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4F50E" w14:textId="77777777" w:rsidR="00A7378D" w:rsidRDefault="00A7378D" w:rsidP="00A7378D">
      <w:pPr>
        <w:jc w:val="both"/>
        <w:rPr>
          <w:rFonts w:ascii="Verdana" w:eastAsia="Times New Roman" w:hAnsi="Verdana" w:cs="Arial"/>
          <w:b/>
          <w:bCs/>
          <w:lang w:eastAsia="es-ES_tradnl"/>
        </w:rPr>
      </w:pPr>
      <w:bookmarkStart w:id="0" w:name="_Hlk214366482"/>
      <w:bookmarkStart w:id="1" w:name="_Hlk143780582"/>
      <w:r w:rsidRPr="00A7378D">
        <w:rPr>
          <w:rFonts w:ascii="Verdana" w:eastAsia="Times New Roman" w:hAnsi="Verdana" w:cs="Arial"/>
          <w:b/>
          <w:bCs/>
          <w:lang w:eastAsia="es-ES_tradnl"/>
        </w:rPr>
        <w:t xml:space="preserve">CONTRATO DE PRESTACIÓN DE SERVICIOS – Naturaleza </w:t>
      </w:r>
    </w:p>
    <w:p w14:paraId="68080CDC" w14:textId="77777777" w:rsidR="00D46EE8" w:rsidRDefault="00D46EE8" w:rsidP="00D46EE8">
      <w:pPr>
        <w:jc w:val="both"/>
        <w:rPr>
          <w:rFonts w:ascii="Verdana" w:eastAsia="Times New Roman" w:hAnsi="Verdana" w:cs="Arial"/>
          <w:b/>
          <w:bCs/>
          <w:sz w:val="20"/>
          <w:szCs w:val="20"/>
          <w:lang w:eastAsia="es-ES_tradnl"/>
        </w:rPr>
      </w:pPr>
      <w:r w:rsidRPr="00D46EE8">
        <w:rPr>
          <w:rFonts w:ascii="Verdana" w:eastAsia="Calibri" w:hAnsi="Verdana" w:cs="Arial"/>
          <w:color w:val="000000"/>
          <w:sz w:val="20"/>
          <w:szCs w:val="20"/>
          <w:lang w:val="es-ES_tradnl"/>
        </w:rPr>
        <w:t>El contrato de prestación de servicios es uno de los tipos contractuales consagrados en el Estatuto General de Contratación de la Administración Pública – en adelante EGCAP</w:t>
      </w:r>
      <w:r>
        <w:rPr>
          <w:rFonts w:ascii="Verdana" w:eastAsia="Calibri" w:hAnsi="Verdana" w:cs="Arial"/>
          <w:color w:val="000000"/>
          <w:sz w:val="20"/>
          <w:szCs w:val="20"/>
          <w:lang w:val="es-ES_tradnl"/>
        </w:rPr>
        <w:t>-</w:t>
      </w:r>
      <w:r w:rsidRPr="00D46EE8">
        <w:rPr>
          <w:rFonts w:ascii="Verdana" w:eastAsia="Calibri" w:hAnsi="Verdana" w:cs="Arial"/>
          <w:color w:val="000000"/>
          <w:sz w:val="20"/>
          <w:szCs w:val="20"/>
          <w:lang w:val="es-ES_tradnl"/>
        </w:rPr>
        <w:t>, que pueden celebrar las entidades estatales. Históricamente, dicha tipología se encontraba regulada en el artículo 138 del Decreto Ley 150 del 1976 y en el artículo 163 del Decreto Ley 222 de 1983. Se trata de un contrato típico, ya que se encuentra definido en la ley y, por tanto, en las condiciones descritas en los artículos 13, 32 y 40 del EGCAP</w:t>
      </w:r>
      <w:r>
        <w:rPr>
          <w:rFonts w:ascii="Verdana" w:eastAsia="Calibri" w:hAnsi="Verdana" w:cs="Arial"/>
          <w:color w:val="000000"/>
          <w:sz w:val="20"/>
          <w:szCs w:val="20"/>
          <w:lang w:val="es-ES_tradnl"/>
        </w:rPr>
        <w:t xml:space="preserve">. (…) </w:t>
      </w:r>
      <w:r w:rsidRPr="00D46EE8">
        <w:rPr>
          <w:rFonts w:ascii="Verdana" w:eastAsia="Calibri" w:hAnsi="Verdana" w:cs="Arial"/>
          <w:color w:val="000000"/>
          <w:sz w:val="20"/>
          <w:szCs w:val="20"/>
          <w:lang w:val="es-ES_tradnl"/>
        </w:rPr>
        <w:t>la celebración de dicho contrato se realiza a través de la modalidad de la contratación directa. Así lo prevé el artículo 2, numeral 4º, literal h), de la Ley 1150 de 2007</w:t>
      </w:r>
      <w:r>
        <w:rPr>
          <w:rFonts w:ascii="Verdana" w:eastAsia="Calibri" w:hAnsi="Verdana" w:cs="Arial"/>
          <w:color w:val="000000"/>
          <w:sz w:val="20"/>
          <w:szCs w:val="20"/>
          <w:lang w:val="es-ES_tradnl"/>
        </w:rPr>
        <w:t>.</w:t>
      </w:r>
    </w:p>
    <w:p w14:paraId="0E00598A" w14:textId="3F778A79" w:rsidR="00A7378D" w:rsidRDefault="00A7378D" w:rsidP="00D46EE8">
      <w:pPr>
        <w:jc w:val="both"/>
        <w:rPr>
          <w:rFonts w:ascii="Verdana" w:eastAsia="Times New Roman" w:hAnsi="Verdana" w:cs="Arial"/>
          <w:b/>
          <w:bCs/>
          <w:lang w:eastAsia="es-ES_tradnl"/>
        </w:rPr>
      </w:pPr>
      <w:r w:rsidRPr="00A7378D">
        <w:rPr>
          <w:rFonts w:ascii="Verdana" w:eastAsia="Times New Roman" w:hAnsi="Verdana" w:cs="Arial"/>
          <w:b/>
          <w:bCs/>
          <w:lang w:eastAsia="es-ES_tradnl"/>
        </w:rPr>
        <w:t xml:space="preserve">CONTRATO DE PRESTACIÓN DE SERVICIOS – Elementos característicos </w:t>
      </w:r>
    </w:p>
    <w:p w14:paraId="461B71A1" w14:textId="77777777" w:rsidR="00D46EE8" w:rsidRPr="00D46EE8" w:rsidRDefault="00D46EE8" w:rsidP="00D46EE8">
      <w:pPr>
        <w:spacing w:after="0" w:line="240" w:lineRule="auto"/>
        <w:jc w:val="both"/>
        <w:rPr>
          <w:rFonts w:ascii="Verdana" w:eastAsia="Calibri" w:hAnsi="Verdana" w:cs="Arial"/>
          <w:color w:val="000000"/>
          <w:sz w:val="20"/>
          <w:szCs w:val="20"/>
          <w:lang w:val="es-ES_tradnl"/>
        </w:rPr>
      </w:pPr>
      <w:r w:rsidRPr="00D46EE8">
        <w:rPr>
          <w:rFonts w:ascii="Verdana" w:eastAsia="Calibri" w:hAnsi="Verdana" w:cs="Arial"/>
          <w:color w:val="000000"/>
          <w:sz w:val="20"/>
          <w:szCs w:val="20"/>
          <w:lang w:val="es-ES_tradnl"/>
        </w:rPr>
        <w:t>a) Solo puede celebrarse para realizar “actividades relacionadas con la administración o funcionamiento de la entidad”, es decir, que hagan parte de su giro ordinario o quehacer cotidiano.</w:t>
      </w:r>
    </w:p>
    <w:p w14:paraId="25E30262" w14:textId="58036799" w:rsidR="00D46EE8" w:rsidRPr="00D46EE8" w:rsidRDefault="00D46EE8" w:rsidP="00D46EE8">
      <w:pPr>
        <w:spacing w:after="0" w:line="240" w:lineRule="auto"/>
        <w:jc w:val="both"/>
        <w:rPr>
          <w:rFonts w:ascii="Verdana" w:eastAsia="Calibri" w:hAnsi="Verdana" w:cs="Arial"/>
          <w:color w:val="000000"/>
          <w:sz w:val="20"/>
          <w:szCs w:val="20"/>
          <w:lang w:val="es-ES"/>
        </w:rPr>
      </w:pPr>
      <w:r w:rsidRPr="00D46EE8">
        <w:rPr>
          <w:rFonts w:ascii="Verdana" w:eastAsia="Calibri" w:hAnsi="Verdana" w:cs="Arial"/>
          <w:color w:val="000000"/>
          <w:sz w:val="20"/>
          <w:szCs w:val="20"/>
          <w:lang w:val="es-ES"/>
        </w:rPr>
        <w:t xml:space="preserve">b) Admite que se suscriba tanto con personas naturales como con personas jurídicas. </w:t>
      </w:r>
      <w:r w:rsidRPr="00D46EE8">
        <w:rPr>
          <w:rFonts w:ascii="Verdana" w:eastAsia="Calibri" w:hAnsi="Verdana" w:cs="Arial"/>
          <w:color w:val="000000" w:themeColor="text1"/>
          <w:sz w:val="20"/>
          <w:szCs w:val="20"/>
          <w:lang w:val="es-ES"/>
        </w:rPr>
        <w:t>Tratándose de personas naturales,</w:t>
      </w:r>
      <w:r w:rsidRPr="00D46EE8">
        <w:rPr>
          <w:rFonts w:ascii="Verdana" w:eastAsia="Calibri" w:hAnsi="Verdana" w:cs="Arial"/>
          <w:color w:val="000000"/>
          <w:sz w:val="20"/>
          <w:szCs w:val="20"/>
          <w:lang w:val="es-ES"/>
        </w:rPr>
        <w:t xml:space="preserve"> requiere que la entidad estatal justifique en los estudios previos que las actividades que buscan encomendarse a aquella “no puedan realizarse con personal de planta o requieran conocimientos especializados”.</w:t>
      </w:r>
    </w:p>
    <w:p w14:paraId="10DF3BBA" w14:textId="3D320CD9" w:rsidR="00D46EE8" w:rsidRPr="00D46EE8" w:rsidRDefault="00D46EE8" w:rsidP="00D46EE8">
      <w:pPr>
        <w:spacing w:after="0" w:line="240" w:lineRule="auto"/>
        <w:jc w:val="both"/>
        <w:rPr>
          <w:rFonts w:ascii="Verdana" w:eastAsia="Calibri" w:hAnsi="Verdana" w:cs="Arial"/>
          <w:color w:val="000000"/>
          <w:sz w:val="20"/>
          <w:szCs w:val="20"/>
          <w:lang w:val="es-ES_tradnl"/>
        </w:rPr>
      </w:pPr>
      <w:r w:rsidRPr="00D46EE8">
        <w:rPr>
          <w:rFonts w:ascii="Verdana" w:eastAsia="Calibri" w:hAnsi="Verdana" w:cs="Arial"/>
          <w:color w:val="000000"/>
          <w:sz w:val="20"/>
          <w:szCs w:val="20"/>
          <w:lang w:val="es-ES_tradnl"/>
        </w:rPr>
        <w:t xml:space="preserve">c) Si bien se celebran para obtener la prestación personal de un servicio, se diferencian del contrato de trabajo en que quien celebra el contrato de prestación de servicios debe mantener autonomía e independencia en la ejecución de la labor, lo que significa que no puede existir la </w:t>
      </w:r>
      <w:r w:rsidRPr="00D46EE8">
        <w:rPr>
          <w:rFonts w:ascii="Verdana" w:eastAsia="Calibri" w:hAnsi="Verdana" w:cs="Arial"/>
          <w:i/>
          <w:color w:val="000000"/>
          <w:sz w:val="20"/>
          <w:szCs w:val="20"/>
          <w:lang w:val="es-ES_tradnl"/>
        </w:rPr>
        <w:t>subordinación y dependencia</w:t>
      </w:r>
      <w:r w:rsidRPr="00D46EE8">
        <w:rPr>
          <w:rFonts w:ascii="Verdana" w:eastAsia="Calibri" w:hAnsi="Verdana" w:cs="Arial"/>
          <w:iCs/>
          <w:color w:val="000000"/>
          <w:sz w:val="20"/>
          <w:szCs w:val="20"/>
          <w:lang w:val="es-ES_tradnl"/>
        </w:rPr>
        <w:t>,</w:t>
      </w:r>
      <w:r w:rsidRPr="00D46EE8">
        <w:rPr>
          <w:rFonts w:ascii="Verdana" w:eastAsia="Calibri" w:hAnsi="Verdana" w:cs="Arial"/>
          <w:color w:val="000000"/>
          <w:sz w:val="20"/>
          <w:szCs w:val="20"/>
          <w:lang w:val="es-ES_tradnl"/>
        </w:rPr>
        <w:t xml:space="preserve"> que es uno de los elementos constitutivos del vínculo laboral. </w:t>
      </w:r>
    </w:p>
    <w:p w14:paraId="25A88FED" w14:textId="276FE4AB" w:rsidR="00D46EE8" w:rsidRPr="00D46EE8" w:rsidRDefault="00D46EE8" w:rsidP="00D46EE8">
      <w:pPr>
        <w:spacing w:after="0" w:line="240" w:lineRule="auto"/>
        <w:jc w:val="both"/>
        <w:rPr>
          <w:rFonts w:ascii="Verdana" w:eastAsia="Calibri" w:hAnsi="Verdana" w:cs="Arial"/>
          <w:color w:val="000000"/>
          <w:sz w:val="20"/>
          <w:szCs w:val="20"/>
          <w:lang w:val="es-ES_tradnl"/>
        </w:rPr>
      </w:pPr>
      <w:r w:rsidRPr="00D46EE8">
        <w:rPr>
          <w:rFonts w:ascii="Verdana" w:eastAsia="Calibri" w:hAnsi="Verdana" w:cs="Arial"/>
          <w:color w:val="000000"/>
          <w:sz w:val="20"/>
          <w:szCs w:val="20"/>
          <w:lang w:val="es-ES_tradnl"/>
        </w:rPr>
        <w:t xml:space="preserve">d) Deben ser temporales. </w:t>
      </w:r>
    </w:p>
    <w:p w14:paraId="4EA62DF2" w14:textId="3DEC1848" w:rsidR="00D46EE8" w:rsidRPr="00D46EE8" w:rsidRDefault="00D46EE8" w:rsidP="00D46EE8">
      <w:pPr>
        <w:spacing w:after="0" w:line="240" w:lineRule="auto"/>
        <w:jc w:val="both"/>
        <w:rPr>
          <w:rFonts w:ascii="Verdana" w:eastAsia="Calibri" w:hAnsi="Verdana" w:cs="Arial"/>
          <w:color w:val="000000"/>
          <w:sz w:val="20"/>
          <w:szCs w:val="20"/>
          <w:lang w:val="es-ES"/>
        </w:rPr>
      </w:pPr>
      <w:r w:rsidRPr="00D46EE8">
        <w:rPr>
          <w:rFonts w:ascii="Verdana" w:eastAsia="Calibri" w:hAnsi="Verdana" w:cs="Arial"/>
          <w:color w:val="000000"/>
          <w:sz w:val="20"/>
          <w:szCs w:val="20"/>
          <w:lang w:val="es-ES"/>
        </w:rPr>
        <w:t xml:space="preserve">e) Los contratos de prestación de servicios constituyen un </w:t>
      </w:r>
      <w:r w:rsidRPr="00D46EE8">
        <w:rPr>
          <w:rFonts w:ascii="Verdana" w:eastAsia="Calibri" w:hAnsi="Verdana" w:cs="Arial"/>
          <w:i/>
          <w:color w:val="000000"/>
          <w:sz w:val="20"/>
          <w:szCs w:val="20"/>
          <w:lang w:val="es-ES"/>
        </w:rPr>
        <w:t>género</w:t>
      </w:r>
      <w:r w:rsidRPr="00D46EE8">
        <w:rPr>
          <w:rFonts w:ascii="Verdana" w:eastAsia="Calibri" w:hAnsi="Verdana" w:cs="Arial"/>
          <w:color w:val="000000"/>
          <w:sz w:val="20"/>
          <w:szCs w:val="20"/>
          <w:lang w:val="es-ES"/>
        </w:rPr>
        <w:t xml:space="preserve"> que incluye, como </w:t>
      </w:r>
      <w:r w:rsidRPr="00D46EE8">
        <w:rPr>
          <w:rFonts w:ascii="Verdana" w:eastAsia="Calibri" w:hAnsi="Verdana" w:cs="Arial"/>
          <w:i/>
          <w:color w:val="000000"/>
          <w:sz w:val="20"/>
          <w:szCs w:val="20"/>
          <w:lang w:val="es-ES"/>
        </w:rPr>
        <w:t>especies</w:t>
      </w:r>
      <w:r w:rsidRPr="00D46EE8">
        <w:rPr>
          <w:rFonts w:ascii="Verdana" w:eastAsia="Calibri" w:hAnsi="Verdana" w:cs="Arial"/>
          <w:color w:val="000000"/>
          <w:sz w:val="20"/>
          <w:szCs w:val="20"/>
          <w:lang w:val="es-ES"/>
        </w:rPr>
        <w:t xml:space="preserve">, los contratos de prestación de servicios profesionales, los contratos de prestación de servicios de apoyo a la gestión y los contratos de prestación de servicios artísticos que solo pueden encomendarse a determinadas personas naturales. </w:t>
      </w:r>
    </w:p>
    <w:p w14:paraId="138BDDF7" w14:textId="45C7DD33" w:rsidR="00D46EE8" w:rsidRPr="00D46EE8" w:rsidRDefault="00D46EE8" w:rsidP="00D46EE8">
      <w:pPr>
        <w:spacing w:after="0" w:line="240" w:lineRule="auto"/>
        <w:jc w:val="both"/>
        <w:rPr>
          <w:rFonts w:ascii="Verdana" w:eastAsia="Calibri" w:hAnsi="Verdana" w:cs="Arial"/>
          <w:color w:val="000000"/>
          <w:sz w:val="20"/>
          <w:szCs w:val="20"/>
          <w:lang w:val="es-ES_tradnl"/>
        </w:rPr>
      </w:pPr>
      <w:r w:rsidRPr="00D46EE8">
        <w:rPr>
          <w:rFonts w:ascii="Verdana" w:eastAsia="Calibri" w:hAnsi="Verdana" w:cs="Arial"/>
          <w:color w:val="000000"/>
          <w:sz w:val="20"/>
          <w:szCs w:val="20"/>
          <w:lang w:val="es-ES_tradnl"/>
        </w:rPr>
        <w:t>f) Su celebración debe realizarse a través de la modalidad de contratación directa.</w:t>
      </w:r>
    </w:p>
    <w:p w14:paraId="77CF1508" w14:textId="1F7DD920" w:rsidR="00D46EE8" w:rsidRPr="00D46EE8" w:rsidRDefault="00D46EE8" w:rsidP="00D46EE8">
      <w:pPr>
        <w:spacing w:after="0" w:line="240" w:lineRule="auto"/>
        <w:jc w:val="both"/>
        <w:rPr>
          <w:rFonts w:ascii="Verdana" w:eastAsia="Calibri" w:hAnsi="Verdana" w:cs="Arial"/>
          <w:color w:val="000000"/>
          <w:sz w:val="20"/>
          <w:szCs w:val="20"/>
          <w:lang w:val="es-ES_tradnl"/>
        </w:rPr>
      </w:pPr>
      <w:r w:rsidRPr="00D46EE8">
        <w:rPr>
          <w:rFonts w:ascii="Verdana" w:eastAsia="Calibri" w:hAnsi="Verdana" w:cs="Arial"/>
          <w:color w:val="000000"/>
          <w:sz w:val="20"/>
          <w:szCs w:val="20"/>
          <w:lang w:val="es-ES_tradnl"/>
        </w:rPr>
        <w:t xml:space="preserve">g) Para su celebración no se requiere en algunos casos la expedición del acto administrativo de justificación de la contratación directa. </w:t>
      </w:r>
    </w:p>
    <w:p w14:paraId="5E66DEF9" w14:textId="39FF742C" w:rsidR="00D46EE8" w:rsidRPr="00D46EE8" w:rsidRDefault="00D46EE8" w:rsidP="00D46EE8">
      <w:pPr>
        <w:spacing w:after="0" w:line="240" w:lineRule="auto"/>
        <w:jc w:val="both"/>
        <w:rPr>
          <w:rFonts w:ascii="Verdana" w:eastAsia="Calibri" w:hAnsi="Verdana" w:cs="Arial"/>
          <w:color w:val="000000"/>
          <w:sz w:val="20"/>
          <w:szCs w:val="20"/>
          <w:lang w:val="es-ES_tradnl"/>
        </w:rPr>
      </w:pPr>
      <w:r w:rsidRPr="00D46EE8">
        <w:rPr>
          <w:rFonts w:ascii="Verdana" w:eastAsia="Calibri" w:hAnsi="Verdana" w:cs="Arial"/>
          <w:color w:val="000000"/>
          <w:sz w:val="20"/>
          <w:szCs w:val="20"/>
          <w:lang w:val="es-ES_tradnl"/>
        </w:rPr>
        <w:t xml:space="preserve">h) Admiten el pacto de cláusulas excepcionales. </w:t>
      </w:r>
    </w:p>
    <w:p w14:paraId="2B84D518" w14:textId="7F83D07D" w:rsidR="00D46EE8" w:rsidRPr="00D46EE8" w:rsidRDefault="00D46EE8" w:rsidP="00D46EE8">
      <w:pPr>
        <w:spacing w:after="0" w:line="240" w:lineRule="auto"/>
        <w:jc w:val="both"/>
        <w:rPr>
          <w:rFonts w:ascii="Verdana" w:eastAsia="Calibri" w:hAnsi="Verdana" w:cs="Arial"/>
          <w:color w:val="000000"/>
          <w:sz w:val="20"/>
          <w:szCs w:val="20"/>
          <w:lang w:val="es-ES_tradnl"/>
        </w:rPr>
      </w:pPr>
      <w:r w:rsidRPr="00D46EE8">
        <w:rPr>
          <w:rFonts w:ascii="Verdana" w:eastAsia="Calibri" w:hAnsi="Verdana" w:cs="Arial"/>
          <w:color w:val="000000"/>
          <w:sz w:val="20"/>
          <w:szCs w:val="20"/>
          <w:lang w:val="es-ES_tradnl"/>
        </w:rPr>
        <w:t>i) En algunos casos no es obligatoria la liquidación, pues así lo estableció el artículo 217 del Decreto 019 de 2012, que modificó el artículo 60 de la Ley 80 de 1993, refiriéndose a los contratos de prestación de servicios profesionales y de apoyo a la gestión.</w:t>
      </w:r>
    </w:p>
    <w:p w14:paraId="21EFBD02" w14:textId="181883C5" w:rsidR="00D46EE8" w:rsidRPr="00D46EE8" w:rsidRDefault="00D46EE8" w:rsidP="00D46EE8">
      <w:pPr>
        <w:spacing w:after="0" w:line="240" w:lineRule="auto"/>
        <w:jc w:val="both"/>
        <w:rPr>
          <w:rFonts w:ascii="Verdana" w:eastAsia="Calibri" w:hAnsi="Verdana" w:cs="Arial"/>
          <w:color w:val="000000"/>
          <w:sz w:val="20"/>
          <w:szCs w:val="20"/>
          <w:lang w:val="es-ES_tradnl"/>
        </w:rPr>
      </w:pPr>
      <w:r w:rsidRPr="00D46EE8">
        <w:rPr>
          <w:rFonts w:ascii="Verdana" w:eastAsia="Calibri" w:hAnsi="Verdana" w:cs="Arial"/>
          <w:color w:val="000000"/>
          <w:sz w:val="20"/>
          <w:szCs w:val="20"/>
          <w:lang w:val="es-ES_tradnl"/>
        </w:rPr>
        <w:t>j) Para su celebración no se requiere inscripción en el Registro Único de Proponentes (RUP), según lo prevé el artículo 6 de la Ley 1150 de 2007.</w:t>
      </w:r>
    </w:p>
    <w:p w14:paraId="0532AD8D" w14:textId="7EE246E3" w:rsidR="00D46EE8" w:rsidRPr="00D46EE8" w:rsidRDefault="00D46EE8" w:rsidP="00D46EE8">
      <w:pPr>
        <w:spacing w:after="0" w:line="240" w:lineRule="auto"/>
        <w:jc w:val="both"/>
        <w:rPr>
          <w:rFonts w:ascii="Verdana" w:eastAsia="Calibri" w:hAnsi="Verdana" w:cs="Arial"/>
          <w:color w:val="000000"/>
          <w:sz w:val="20"/>
          <w:szCs w:val="20"/>
          <w:lang w:val="es-ES_tradnl"/>
        </w:rPr>
      </w:pPr>
      <w:r w:rsidRPr="00D46EE8">
        <w:rPr>
          <w:rFonts w:ascii="Verdana" w:eastAsia="Calibri" w:hAnsi="Verdana" w:cs="Arial"/>
          <w:color w:val="000000"/>
          <w:sz w:val="20"/>
          <w:szCs w:val="20"/>
          <w:lang w:val="es-ES_tradnl"/>
        </w:rPr>
        <w:t>k) En ellos no son necesarias las garantías.</w:t>
      </w:r>
    </w:p>
    <w:p w14:paraId="34C7F379" w14:textId="77777777" w:rsidR="00D46EE8" w:rsidRPr="00D46EE8" w:rsidRDefault="00D46EE8" w:rsidP="00D46EE8">
      <w:pPr>
        <w:spacing w:after="0" w:line="240" w:lineRule="auto"/>
        <w:jc w:val="both"/>
        <w:rPr>
          <w:rFonts w:ascii="Verdana" w:eastAsia="Times New Roman" w:hAnsi="Verdana" w:cs="Arial"/>
          <w:b/>
          <w:bCs/>
          <w:sz w:val="20"/>
          <w:szCs w:val="20"/>
          <w:lang w:val="es-ES_tradnl" w:eastAsia="es-ES_tradnl"/>
        </w:rPr>
      </w:pPr>
    </w:p>
    <w:p w14:paraId="097FA298" w14:textId="17E24A03" w:rsidR="00A7378D" w:rsidRDefault="00A7378D" w:rsidP="00A7378D">
      <w:pPr>
        <w:jc w:val="both"/>
        <w:rPr>
          <w:rFonts w:ascii="Verdana" w:eastAsia="Times New Roman" w:hAnsi="Verdana" w:cs="Arial"/>
          <w:b/>
          <w:bCs/>
          <w:lang w:eastAsia="es-ES_tradnl"/>
        </w:rPr>
      </w:pPr>
      <w:r w:rsidRPr="00A7378D">
        <w:rPr>
          <w:rFonts w:ascii="Verdana" w:eastAsia="Times New Roman" w:hAnsi="Verdana" w:cs="Arial"/>
          <w:b/>
          <w:bCs/>
          <w:lang w:eastAsia="es-ES_tradnl"/>
        </w:rPr>
        <w:t xml:space="preserve">CONTRATO DE PRESTACIÓN DE SERVICIOS – Acreditación de idoneidad o experiencia - Guía para la incorporación de lineamientos de integridad en la contratación de prestación de servicios </w:t>
      </w:r>
    </w:p>
    <w:p w14:paraId="4016A412" w14:textId="7DFDFA07" w:rsidR="007C7CC4" w:rsidRDefault="007C7CC4" w:rsidP="007C7CC4">
      <w:pPr>
        <w:jc w:val="both"/>
        <w:rPr>
          <w:rFonts w:ascii="Verdana" w:hAnsi="Verdana"/>
          <w:sz w:val="20"/>
          <w:szCs w:val="20"/>
          <w:lang w:eastAsia="es-MX"/>
        </w:rPr>
      </w:pPr>
      <w:r w:rsidRPr="007C7CC4">
        <w:rPr>
          <w:rFonts w:ascii="Verdana" w:eastAsia="Times New Roman" w:hAnsi="Verdana" w:cs="Arial"/>
          <w:sz w:val="20"/>
          <w:szCs w:val="20"/>
          <w:lang w:eastAsia="es-ES_tradnl"/>
        </w:rPr>
        <w:lastRenderedPageBreak/>
        <w:t xml:space="preserve">[…] </w:t>
      </w:r>
      <w:r w:rsidRPr="007C7CC4">
        <w:rPr>
          <w:rFonts w:ascii="Verdana" w:eastAsia="Calibri" w:hAnsi="Verdana" w:cs="Arial"/>
          <w:color w:val="000000"/>
          <w:kern w:val="2"/>
          <w:sz w:val="20"/>
          <w:szCs w:val="20"/>
          <w14:ligatures w14:val="standardContextual"/>
        </w:rPr>
        <w:t xml:space="preserve">de acuerdo con lo establecido en el Decreto 1082 de 2015 artículo </w:t>
      </w:r>
      <w:r w:rsidRPr="007C7CC4">
        <w:rPr>
          <w:rFonts w:ascii="Verdana" w:hAnsi="Verdana"/>
          <w:sz w:val="20"/>
          <w:szCs w:val="20"/>
          <w:lang w:eastAsia="es-MX"/>
        </w:rPr>
        <w:t>2.2.1.2.1.4.9., la entidad estatal deberá verificar la idoneidad o experiencia requerida y relacionada con el área de que se trate. Para tales fines, deberán establecer en los documentos previos cuales son los documentos que solicitarán al futuro contratista para acreditar y verificar los requisitos exigidos.</w:t>
      </w:r>
    </w:p>
    <w:p w14:paraId="00E688EC" w14:textId="18683400" w:rsidR="007C7CC4" w:rsidRPr="007C7CC4" w:rsidRDefault="007C7CC4" w:rsidP="007C7CC4">
      <w:pPr>
        <w:spacing w:after="0" w:line="240" w:lineRule="auto"/>
        <w:jc w:val="both"/>
        <w:rPr>
          <w:rFonts w:ascii="Verdana" w:hAnsi="Verdana"/>
          <w:sz w:val="20"/>
          <w:szCs w:val="20"/>
          <w:lang w:eastAsia="es-MX"/>
        </w:rPr>
      </w:pPr>
      <w:r w:rsidRPr="007C7CC4">
        <w:rPr>
          <w:rFonts w:ascii="Verdana" w:hAnsi="Verdana"/>
          <w:iCs/>
          <w:sz w:val="20"/>
          <w:szCs w:val="20"/>
          <w:lang w:eastAsia="es-MX"/>
        </w:rPr>
        <w:t>[…] la</w:t>
      </w:r>
      <w:r w:rsidRPr="007C7CC4">
        <w:rPr>
          <w:rFonts w:ascii="Verdana" w:hAnsi="Verdana"/>
          <w:i/>
          <w:sz w:val="20"/>
          <w:szCs w:val="20"/>
          <w:lang w:eastAsia="es-MX"/>
        </w:rPr>
        <w:t xml:space="preserve"> “Guía para la i</w:t>
      </w:r>
      <w:r w:rsidRPr="007C7CC4">
        <w:rPr>
          <w:rFonts w:ascii="Verdana" w:hAnsi="Verdana"/>
          <w:i/>
          <w:iCs/>
          <w:sz w:val="20"/>
          <w:szCs w:val="20"/>
          <w:lang w:eastAsia="es-MX"/>
        </w:rPr>
        <w:t>ncorporación de lineamientos de integridad en la contratación de prestación de servicios”</w:t>
      </w:r>
      <w:r w:rsidRPr="007C7CC4">
        <w:rPr>
          <w:rFonts w:ascii="Verdana" w:hAnsi="Verdana"/>
          <w:sz w:val="20"/>
          <w:szCs w:val="20"/>
          <w:lang w:eastAsia="es-MX"/>
        </w:rPr>
        <w:t xml:space="preserve">, expedida por la Agencia de Contratación Pública – Colombia Compra Eficiente, en su Anexo 2 y 3, relaciona una lista ilustrativa de los documentos que puede solicitar la entidad del estado para suscribir contratos de prestación de servicios bien sea con persona natural o jurídica, como por ejemplo, los certificados de antecedentes judiciales, fiscales, disciplinarios, documentos que acrediten la experiencia profesional, formación académica, matrícula profesional, RIT, RUT, certificado de afiliación al sistema de seguridad social integral, entre otros. </w:t>
      </w:r>
    </w:p>
    <w:p w14:paraId="2746BB9E" w14:textId="77777777" w:rsidR="007C7CC4" w:rsidRDefault="007C7CC4" w:rsidP="007C7CC4">
      <w:pPr>
        <w:spacing w:after="0" w:line="240" w:lineRule="auto"/>
        <w:jc w:val="both"/>
        <w:rPr>
          <w:rFonts w:ascii="Verdana" w:hAnsi="Verdana"/>
          <w:sz w:val="20"/>
          <w:szCs w:val="20"/>
          <w:lang w:eastAsia="es-MX"/>
        </w:rPr>
      </w:pPr>
    </w:p>
    <w:p w14:paraId="6C6915E7" w14:textId="5B6AB24B" w:rsidR="007C7CC4" w:rsidRPr="007C7CC4" w:rsidRDefault="007C7CC4" w:rsidP="007C7CC4">
      <w:pPr>
        <w:spacing w:after="0" w:line="240" w:lineRule="auto"/>
        <w:jc w:val="both"/>
        <w:rPr>
          <w:rFonts w:ascii="Verdana" w:hAnsi="Verdana"/>
          <w:sz w:val="20"/>
          <w:szCs w:val="20"/>
          <w:lang w:eastAsia="es-MX"/>
        </w:rPr>
      </w:pPr>
      <w:r w:rsidRPr="007C7CC4">
        <w:rPr>
          <w:rFonts w:ascii="Verdana" w:hAnsi="Verdana"/>
          <w:sz w:val="20"/>
          <w:szCs w:val="20"/>
          <w:lang w:eastAsia="es-MX"/>
        </w:rPr>
        <w:t>[…] será la entidad estatal, dentro de su autonomía contractual, la llamada a definir los criterios necesarios para evaluar la idoneidad y experiencia del futuro contratista, así como la ausencia de inhabilidades, incompatibilidades y prohibiciones.</w:t>
      </w:r>
    </w:p>
    <w:p w14:paraId="0A09521D" w14:textId="77777777" w:rsidR="007C7CC4" w:rsidRPr="007C7CC4" w:rsidRDefault="007C7CC4" w:rsidP="007C7CC4">
      <w:pPr>
        <w:spacing w:after="0" w:line="240" w:lineRule="auto"/>
        <w:jc w:val="both"/>
        <w:rPr>
          <w:rFonts w:ascii="Verdana" w:eastAsia="Times New Roman" w:hAnsi="Verdana" w:cs="Arial"/>
          <w:sz w:val="20"/>
          <w:szCs w:val="20"/>
          <w:lang w:eastAsia="es-ES_tradnl"/>
        </w:rPr>
      </w:pPr>
    </w:p>
    <w:p w14:paraId="4559AFAD" w14:textId="77777777" w:rsidR="00A7378D" w:rsidRPr="007C7CC4" w:rsidRDefault="00A7378D" w:rsidP="00A7378D">
      <w:pPr>
        <w:jc w:val="both"/>
        <w:rPr>
          <w:rFonts w:ascii="Verdana" w:eastAsia="Times New Roman" w:hAnsi="Verdana" w:cs="Arial"/>
          <w:b/>
          <w:bCs/>
          <w:lang w:eastAsia="es-ES_tradnl"/>
        </w:rPr>
      </w:pPr>
      <w:r w:rsidRPr="007C7CC4">
        <w:rPr>
          <w:rFonts w:ascii="Verdana" w:eastAsia="Times New Roman" w:hAnsi="Verdana" w:cs="Arial"/>
          <w:b/>
          <w:bCs/>
          <w:lang w:eastAsia="es-ES_tradnl"/>
        </w:rPr>
        <w:t xml:space="preserve">CONTRATOS ESTATALES – Requisitos de perfeccionamiento </w:t>
      </w:r>
    </w:p>
    <w:p w14:paraId="675D378B" w14:textId="77777777" w:rsidR="00FC3608" w:rsidRDefault="007C7CC4" w:rsidP="00FC3608">
      <w:pPr>
        <w:spacing w:after="0" w:line="240" w:lineRule="auto"/>
        <w:jc w:val="both"/>
        <w:rPr>
          <w:rFonts w:ascii="Verdana" w:eastAsia="Calibri" w:hAnsi="Verdana" w:cs="Arial"/>
          <w:color w:val="000000"/>
          <w:sz w:val="20"/>
          <w:szCs w:val="20"/>
          <w:lang w:val="es-ES" w:eastAsia="en-GB"/>
        </w:rPr>
      </w:pPr>
      <w:r w:rsidRPr="007C7CC4">
        <w:rPr>
          <w:rFonts w:ascii="Verdana" w:eastAsia="Calibri" w:hAnsi="Verdana" w:cs="Arial"/>
          <w:color w:val="000000"/>
          <w:sz w:val="20"/>
          <w:szCs w:val="20"/>
          <w:lang w:val="es-ES" w:eastAsia="en-GB"/>
        </w:rPr>
        <w:t xml:space="preserve">Los </w:t>
      </w:r>
      <w:r w:rsidRPr="007C7CC4">
        <w:rPr>
          <w:rFonts w:ascii="Verdana" w:eastAsia="Calibri" w:hAnsi="Verdana" w:cs="Arial"/>
          <w:i/>
          <w:iCs/>
          <w:color w:val="000000"/>
          <w:sz w:val="20"/>
          <w:szCs w:val="20"/>
          <w:lang w:val="es-ES" w:eastAsia="en-GB"/>
        </w:rPr>
        <w:t>requisitos de perfeccionamiento</w:t>
      </w:r>
      <w:r w:rsidRPr="007C7CC4">
        <w:rPr>
          <w:rFonts w:ascii="Verdana" w:eastAsia="Calibri" w:hAnsi="Verdana" w:cs="Arial"/>
          <w:color w:val="000000"/>
          <w:sz w:val="20"/>
          <w:szCs w:val="20"/>
          <w:lang w:val="es-ES" w:eastAsia="en-GB"/>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 Los requisitos de perfeccionamiento del contrato estatal ingresan dentro de los elementos de la esencia.</w:t>
      </w:r>
    </w:p>
    <w:p w14:paraId="7D9284C2" w14:textId="77777777" w:rsidR="00FC3608" w:rsidRDefault="00FC3608" w:rsidP="00FC3608">
      <w:pPr>
        <w:spacing w:after="0" w:line="240" w:lineRule="auto"/>
        <w:jc w:val="both"/>
        <w:rPr>
          <w:rFonts w:ascii="Verdana" w:eastAsia="Calibri" w:hAnsi="Verdana" w:cs="Arial"/>
          <w:color w:val="000000"/>
          <w:sz w:val="20"/>
          <w:szCs w:val="20"/>
          <w:lang w:val="es-ES" w:eastAsia="en-GB"/>
        </w:rPr>
      </w:pPr>
    </w:p>
    <w:p w14:paraId="451EF984" w14:textId="7E28C821" w:rsidR="00A7378D" w:rsidRDefault="00A7378D" w:rsidP="00FC3608">
      <w:pPr>
        <w:spacing w:after="0" w:line="240" w:lineRule="auto"/>
        <w:jc w:val="both"/>
        <w:rPr>
          <w:rFonts w:ascii="Verdana" w:eastAsia="Times New Roman" w:hAnsi="Verdana" w:cs="Arial"/>
          <w:b/>
          <w:bCs/>
          <w:lang w:eastAsia="es-ES_tradnl"/>
        </w:rPr>
      </w:pPr>
      <w:r w:rsidRPr="00A7378D">
        <w:rPr>
          <w:rFonts w:ascii="Verdana" w:eastAsia="Times New Roman" w:hAnsi="Verdana" w:cs="Arial"/>
          <w:b/>
          <w:bCs/>
          <w:lang w:eastAsia="es-ES_tradnl"/>
        </w:rPr>
        <w:t xml:space="preserve">CONTRATOS ESTATALES – Consensuales – Reales – Solemnes </w:t>
      </w:r>
    </w:p>
    <w:p w14:paraId="76AD5D8F" w14:textId="77777777" w:rsidR="00FC3608" w:rsidRDefault="00FC3608" w:rsidP="00FC3608">
      <w:pPr>
        <w:spacing w:after="0" w:line="240" w:lineRule="auto"/>
        <w:jc w:val="both"/>
        <w:rPr>
          <w:rFonts w:ascii="Verdana" w:eastAsia="Times New Roman" w:hAnsi="Verdana" w:cs="Arial"/>
          <w:b/>
          <w:bCs/>
          <w:lang w:eastAsia="es-ES_tradnl"/>
        </w:rPr>
      </w:pPr>
    </w:p>
    <w:p w14:paraId="71A0482E" w14:textId="107B2FE2" w:rsidR="00FC3608" w:rsidRPr="00FC3608" w:rsidRDefault="00FC3608" w:rsidP="00FC3608">
      <w:pPr>
        <w:spacing w:after="0" w:line="240" w:lineRule="auto"/>
        <w:jc w:val="both"/>
        <w:rPr>
          <w:rFonts w:ascii="Verdana" w:eastAsia="Calibri" w:hAnsi="Verdana" w:cs="Arial"/>
          <w:color w:val="000000"/>
          <w:sz w:val="20"/>
          <w:szCs w:val="20"/>
          <w:lang w:val="es-ES" w:eastAsia="en-GB"/>
        </w:rPr>
      </w:pPr>
      <w:r>
        <w:rPr>
          <w:rFonts w:ascii="Verdana" w:eastAsia="Calibri" w:hAnsi="Verdana" w:cs="Arial"/>
          <w:color w:val="000000"/>
          <w:sz w:val="20"/>
          <w:szCs w:val="20"/>
          <w:lang w:val="es-ES" w:eastAsia="en-GB"/>
        </w:rPr>
        <w:t xml:space="preserve">[…] </w:t>
      </w:r>
      <w:r w:rsidRPr="00FC3608">
        <w:rPr>
          <w:rFonts w:ascii="Verdana" w:eastAsia="Calibri" w:hAnsi="Verdana" w:cs="Arial"/>
          <w:color w:val="000000"/>
          <w:sz w:val="20"/>
          <w:szCs w:val="20"/>
          <w:lang w:val="es-ES" w:eastAsia="en-GB"/>
        </w:rPr>
        <w:t xml:space="preserve">los contratos –en términos generales– pueden ser: consensuales, reales o solemnes. Son </w:t>
      </w:r>
      <w:r w:rsidRPr="00FC3608">
        <w:rPr>
          <w:rFonts w:ascii="Verdana" w:eastAsia="Calibri" w:hAnsi="Verdana" w:cs="Arial"/>
          <w:i/>
          <w:iCs/>
          <w:color w:val="000000"/>
          <w:sz w:val="20"/>
          <w:szCs w:val="20"/>
          <w:lang w:val="es-ES" w:eastAsia="en-GB"/>
        </w:rPr>
        <w:t>consensuales</w:t>
      </w:r>
      <w:r w:rsidRPr="00FC3608">
        <w:rPr>
          <w:rFonts w:ascii="Verdana" w:eastAsia="Calibri" w:hAnsi="Verdana" w:cs="Arial"/>
          <w:color w:val="000000"/>
          <w:sz w:val="20"/>
          <w:szCs w:val="20"/>
          <w:lang w:val="es-ES" w:eastAsia="en-GB"/>
        </w:rPr>
        <w:t xml:space="preserve"> los que se perfeccionan con el consentimiento informal, pues no requieren de formalidades especiales. Son </w:t>
      </w:r>
      <w:r w:rsidRPr="00FC3608">
        <w:rPr>
          <w:rFonts w:ascii="Verdana" w:eastAsia="Calibri" w:hAnsi="Verdana" w:cs="Arial"/>
          <w:i/>
          <w:iCs/>
          <w:color w:val="000000"/>
          <w:sz w:val="20"/>
          <w:szCs w:val="20"/>
          <w:lang w:val="es-ES" w:eastAsia="en-GB"/>
        </w:rPr>
        <w:t>reales</w:t>
      </w:r>
      <w:r w:rsidRPr="00FC3608">
        <w:rPr>
          <w:rFonts w:ascii="Verdana" w:eastAsia="Calibri" w:hAnsi="Verdana" w:cs="Arial"/>
          <w:color w:val="000000"/>
          <w:sz w:val="20"/>
          <w:szCs w:val="20"/>
          <w:lang w:val="es-ES" w:eastAsia="en-GB"/>
        </w:rPr>
        <w:t xml:space="preserve"> aquellos que existen solo con la tradición o entrega de una cosa. Por su parte, son </w:t>
      </w:r>
      <w:r w:rsidRPr="00FC3608">
        <w:rPr>
          <w:rFonts w:ascii="Verdana" w:eastAsia="Calibri" w:hAnsi="Verdana" w:cs="Arial"/>
          <w:i/>
          <w:iCs/>
          <w:color w:val="000000"/>
          <w:sz w:val="20"/>
          <w:szCs w:val="20"/>
          <w:lang w:val="es-ES" w:eastAsia="en-GB"/>
        </w:rPr>
        <w:t>solemnes</w:t>
      </w:r>
      <w:r w:rsidRPr="00FC3608">
        <w:rPr>
          <w:rFonts w:ascii="Verdana" w:eastAsia="Calibri" w:hAnsi="Verdana" w:cs="Arial"/>
          <w:color w:val="000000"/>
          <w:sz w:val="20"/>
          <w:szCs w:val="20"/>
          <w:lang w:val="es-ES" w:eastAsia="en-GB"/>
        </w:rPr>
        <w:t>, en cambio, aquellos contratos cuyo perfeccionamiento está revestido del cumplimiento de exigencias formales o ritualidades específicas. Pues bien, los contratos estatales regulados por el ECGAP, por regla general, son solemnes, ya que solo se entienden celebrados si se cumplen ciertas formalidades. Esta regla general solo tiene una excepción, como se explicará.</w:t>
      </w:r>
    </w:p>
    <w:p w14:paraId="63E209D6" w14:textId="77777777" w:rsidR="00FC3608" w:rsidRPr="00FC3608" w:rsidRDefault="00FC3608" w:rsidP="00FC3608">
      <w:pPr>
        <w:spacing w:after="0" w:line="240" w:lineRule="auto"/>
        <w:jc w:val="both"/>
        <w:rPr>
          <w:rFonts w:ascii="Verdana" w:eastAsia="Times New Roman" w:hAnsi="Verdana" w:cs="Arial"/>
          <w:b/>
          <w:bCs/>
          <w:lang w:val="es-ES" w:eastAsia="es-ES_tradnl"/>
        </w:rPr>
      </w:pPr>
    </w:p>
    <w:p w14:paraId="0B495F42" w14:textId="77777777" w:rsidR="00A7378D" w:rsidRDefault="00A7378D" w:rsidP="00A7378D">
      <w:pPr>
        <w:jc w:val="both"/>
        <w:rPr>
          <w:rFonts w:ascii="Verdana" w:eastAsia="Times New Roman" w:hAnsi="Verdana" w:cs="Arial"/>
          <w:b/>
          <w:bCs/>
          <w:lang w:eastAsia="es-ES_tradnl"/>
        </w:rPr>
      </w:pPr>
      <w:r w:rsidRPr="00A7378D">
        <w:rPr>
          <w:rFonts w:ascii="Verdana" w:eastAsia="Times New Roman" w:hAnsi="Verdana" w:cs="Arial"/>
          <w:b/>
          <w:bCs/>
          <w:lang w:eastAsia="es-ES_tradnl"/>
        </w:rPr>
        <w:lastRenderedPageBreak/>
        <w:t xml:space="preserve">CONTRATOS ESTATALES – Requisitos de perfeccionamiento – Requisitos de ejecución - Artículo 41 Ley 80 de 1993  </w:t>
      </w:r>
    </w:p>
    <w:p w14:paraId="44B689A7" w14:textId="77777777" w:rsidR="00FC3608" w:rsidRDefault="00FC3608" w:rsidP="00FC3608">
      <w:pPr>
        <w:spacing w:after="0" w:line="240" w:lineRule="auto"/>
        <w:jc w:val="both"/>
        <w:rPr>
          <w:rFonts w:ascii="Verdana" w:eastAsia="Calibri" w:hAnsi="Verdana" w:cs="Arial"/>
          <w:color w:val="000000"/>
          <w:sz w:val="20"/>
          <w:szCs w:val="20"/>
          <w:lang w:val="es-ES" w:eastAsia="en-GB"/>
        </w:rPr>
      </w:pPr>
      <w:r w:rsidRPr="00FC3608">
        <w:rPr>
          <w:rFonts w:ascii="Verdana" w:eastAsia="Calibri" w:hAnsi="Verdana" w:cs="Arial"/>
          <w:color w:val="000000"/>
          <w:sz w:val="20"/>
          <w:szCs w:val="20"/>
          <w:lang w:val="es-ES" w:eastAsia="en-GB"/>
        </w:rPr>
        <w:t xml:space="preserve">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 “(…) principalmente, </w:t>
      </w:r>
      <w:r w:rsidRPr="00FC3608">
        <w:rPr>
          <w:rFonts w:ascii="Verdana" w:eastAsia="Calibri" w:hAnsi="Verdana" w:cs="Arial"/>
          <w:i/>
          <w:iCs/>
          <w:color w:val="000000"/>
          <w:sz w:val="20"/>
          <w:szCs w:val="20"/>
          <w:lang w:val="es-ES" w:eastAsia="en-GB"/>
        </w:rPr>
        <w:t>solemne,</w:t>
      </w:r>
      <w:r w:rsidRPr="00FC3608">
        <w:rPr>
          <w:rFonts w:ascii="Verdana" w:eastAsia="Calibri" w:hAnsi="Verdana" w:cs="Arial"/>
          <w:color w:val="000000"/>
          <w:sz w:val="20"/>
          <w:szCs w:val="20"/>
          <w:lang w:val="es-ES" w:eastAsia="en-GB"/>
        </w:rPr>
        <w:t xml:space="preserve"> ya que la manifestación de voluntad, si no se expresa bajo la forma </w:t>
      </w:r>
      <w:r w:rsidRPr="00FC3608">
        <w:rPr>
          <w:rFonts w:ascii="Verdana" w:eastAsia="Calibri" w:hAnsi="Verdana" w:cs="Arial"/>
          <w:i/>
          <w:iCs/>
          <w:color w:val="000000"/>
          <w:sz w:val="20"/>
          <w:szCs w:val="20"/>
          <w:lang w:val="es-ES" w:eastAsia="en-GB"/>
        </w:rPr>
        <w:t xml:space="preserve">ad </w:t>
      </w:r>
      <w:proofErr w:type="spellStart"/>
      <w:r w:rsidRPr="00FC3608">
        <w:rPr>
          <w:rFonts w:ascii="Verdana" w:eastAsia="Calibri" w:hAnsi="Verdana" w:cs="Arial"/>
          <w:i/>
          <w:iCs/>
          <w:color w:val="000000"/>
          <w:sz w:val="20"/>
          <w:szCs w:val="20"/>
          <w:lang w:val="es-ES" w:eastAsia="en-GB"/>
        </w:rPr>
        <w:t>solemnitatem</w:t>
      </w:r>
      <w:proofErr w:type="spellEnd"/>
      <w:r w:rsidRPr="00FC3608">
        <w:rPr>
          <w:rFonts w:ascii="Verdana" w:eastAsia="Calibri" w:hAnsi="Verdana" w:cs="Arial"/>
          <w:color w:val="000000"/>
          <w:sz w:val="20"/>
          <w:szCs w:val="20"/>
          <w:lang w:val="es-ES" w:eastAsia="en-GB"/>
        </w:rPr>
        <w:t xml:space="preserve"> o </w:t>
      </w:r>
      <w:r w:rsidRPr="00FC3608">
        <w:rPr>
          <w:rFonts w:ascii="Verdana" w:eastAsia="Calibri" w:hAnsi="Verdana" w:cs="Arial"/>
          <w:i/>
          <w:iCs/>
          <w:color w:val="000000"/>
          <w:sz w:val="20"/>
          <w:szCs w:val="20"/>
          <w:lang w:val="es-ES" w:eastAsia="en-GB"/>
        </w:rPr>
        <w:t xml:space="preserve">ad </w:t>
      </w:r>
      <w:proofErr w:type="spellStart"/>
      <w:r w:rsidRPr="00FC3608">
        <w:rPr>
          <w:rFonts w:ascii="Verdana" w:eastAsia="Calibri" w:hAnsi="Verdana" w:cs="Arial"/>
          <w:i/>
          <w:iCs/>
          <w:color w:val="000000"/>
          <w:sz w:val="20"/>
          <w:szCs w:val="20"/>
          <w:lang w:val="es-ES" w:eastAsia="en-GB"/>
        </w:rPr>
        <w:t>substantiam</w:t>
      </w:r>
      <w:proofErr w:type="spellEnd"/>
      <w:r w:rsidRPr="00FC3608">
        <w:rPr>
          <w:rFonts w:ascii="Verdana" w:eastAsia="Calibri" w:hAnsi="Verdana" w:cs="Arial"/>
          <w:i/>
          <w:iCs/>
          <w:color w:val="000000"/>
          <w:sz w:val="20"/>
          <w:szCs w:val="20"/>
          <w:lang w:val="es-ES" w:eastAsia="en-GB"/>
        </w:rPr>
        <w:t xml:space="preserve"> </w:t>
      </w:r>
      <w:proofErr w:type="spellStart"/>
      <w:r w:rsidRPr="00FC3608">
        <w:rPr>
          <w:rFonts w:ascii="Verdana" w:eastAsia="Calibri" w:hAnsi="Verdana" w:cs="Arial"/>
          <w:i/>
          <w:iCs/>
          <w:color w:val="000000"/>
          <w:sz w:val="20"/>
          <w:szCs w:val="20"/>
          <w:lang w:val="es-ES" w:eastAsia="en-GB"/>
        </w:rPr>
        <w:t>actus</w:t>
      </w:r>
      <w:proofErr w:type="spellEnd"/>
      <w:r w:rsidRPr="00FC3608">
        <w:rPr>
          <w:rFonts w:ascii="Verdana" w:eastAsia="Calibri" w:hAnsi="Verdana" w:cs="Arial"/>
          <w:color w:val="000000"/>
          <w:sz w:val="20"/>
          <w:szCs w:val="20"/>
          <w:lang w:val="es-ES" w:eastAsia="en-GB"/>
        </w:rPr>
        <w:t xml:space="preserve"> exigida por la ley, es inexistente, es decir, se entiende que el contrato jamás ha sido creado para el mundo jurídico”. </w:t>
      </w:r>
    </w:p>
    <w:p w14:paraId="0009AC9A" w14:textId="77777777" w:rsidR="00FC3608" w:rsidRDefault="00FC3608" w:rsidP="00FC3608">
      <w:pPr>
        <w:spacing w:after="0" w:line="240" w:lineRule="auto"/>
        <w:jc w:val="both"/>
        <w:rPr>
          <w:rFonts w:ascii="Verdana" w:eastAsia="Calibri" w:hAnsi="Verdana" w:cs="Arial"/>
          <w:color w:val="000000"/>
          <w:sz w:val="20"/>
          <w:szCs w:val="20"/>
          <w:lang w:val="es-ES" w:eastAsia="en-GB"/>
        </w:rPr>
      </w:pPr>
    </w:p>
    <w:p w14:paraId="3A611814" w14:textId="77777777" w:rsidR="00FC3608" w:rsidRPr="00FC3608" w:rsidRDefault="00FC3608" w:rsidP="00FC3608">
      <w:pPr>
        <w:spacing w:after="0" w:line="240" w:lineRule="auto"/>
        <w:jc w:val="both"/>
        <w:rPr>
          <w:rFonts w:ascii="Verdana" w:eastAsia="Calibri" w:hAnsi="Verdana" w:cs="Arial"/>
          <w:color w:val="000000" w:themeColor="text1"/>
          <w:sz w:val="20"/>
          <w:szCs w:val="20"/>
          <w:lang w:val="es-ES" w:eastAsia="en-GB"/>
        </w:rPr>
      </w:pPr>
      <w:r w:rsidRPr="00FC3608">
        <w:rPr>
          <w:rFonts w:ascii="Verdana" w:eastAsia="Calibri" w:hAnsi="Verdana" w:cs="Arial"/>
          <w:color w:val="000000"/>
          <w:sz w:val="20"/>
          <w:szCs w:val="20"/>
          <w:lang w:val="es-ES" w:eastAsia="en-GB"/>
        </w:rPr>
        <w:t xml:space="preserve">[…] </w:t>
      </w:r>
      <w:r w:rsidRPr="00FC3608">
        <w:rPr>
          <w:rFonts w:ascii="Verdana" w:eastAsia="Calibri" w:hAnsi="Verdana" w:cs="Arial"/>
          <w:color w:val="000000" w:themeColor="text1"/>
          <w:sz w:val="20"/>
          <w:szCs w:val="20"/>
          <w:lang w:val="es-ES" w:eastAsia="en-GB"/>
        </w:rPr>
        <w:t xml:space="preserve">la observancia de los requisitos de ejecución posibilita el inicio de la fase de realización de las actividades pactadas en el contrato, es decir, el cumplimiento del objeto del negocio jurídico. A partir de esta distinción, es posible encontrar contratos estatales –perfeccionados–, que hayan cumplido con los requisitos de ejecución y contratos estatales respecto de los cuales aún falte satisfacer uno o varios requisitos de ejecución. </w:t>
      </w:r>
    </w:p>
    <w:p w14:paraId="63789E71" w14:textId="77777777" w:rsidR="00FC3608" w:rsidRDefault="00FC3608" w:rsidP="00FC3608">
      <w:pPr>
        <w:spacing w:after="0" w:line="240" w:lineRule="auto"/>
        <w:jc w:val="both"/>
        <w:rPr>
          <w:rFonts w:ascii="Verdana" w:eastAsia="Calibri" w:hAnsi="Verdana" w:cs="Arial"/>
          <w:color w:val="000000" w:themeColor="text1"/>
          <w:sz w:val="20"/>
          <w:szCs w:val="20"/>
          <w:lang w:val="es-ES" w:eastAsia="en-GB"/>
        </w:rPr>
      </w:pPr>
    </w:p>
    <w:p w14:paraId="39E5833E" w14:textId="168ABCC5" w:rsidR="00FC3608" w:rsidRDefault="00FC3608" w:rsidP="00FC3608">
      <w:pPr>
        <w:spacing w:after="0" w:line="240" w:lineRule="auto"/>
        <w:jc w:val="both"/>
        <w:rPr>
          <w:rFonts w:ascii="Verdana" w:eastAsia="Calibri" w:hAnsi="Verdana" w:cs="Arial"/>
          <w:color w:val="000000" w:themeColor="text1"/>
          <w:sz w:val="20"/>
          <w:szCs w:val="20"/>
          <w:lang w:val="es-ES" w:eastAsia="en-GB"/>
        </w:rPr>
      </w:pPr>
      <w:r w:rsidRPr="00FC3608">
        <w:rPr>
          <w:rFonts w:ascii="Verdana" w:eastAsia="Calibri" w:hAnsi="Verdana" w:cs="Arial"/>
          <w:color w:val="000000" w:themeColor="text1"/>
          <w:sz w:val="20"/>
          <w:szCs w:val="20"/>
          <w:lang w:val="es-ES" w:eastAsia="en-GB"/>
        </w:rPr>
        <w:t>En ese sentido, la exigencia de que el futuro contratista deba efectuar los cursos de MIPG (Modelo integrado de Planeación y Gestión) para celebrar el contrato, dependerá de la necesidad que la entidad estatal definida en los estudios previos y los requisitos que se exijan para así continuar con el proceso de contratación y perfeccionamiento del contrato. Por lo tanto, al no existir una lista taxativa de los documentos o requisitos para celebrar el contrato, la entidad estatal dentro de la autonomía contractual determinará los criterios necesarios para celebrar el contrato, siempre y cuando se sustente en debida forma y con base en lo dispuesto en la Ley 80 de 1993 y el Decreto 1982 de 2015 artículos 2.2.1.1.1.6.1, 2.2.1.1.2.1.1 y 2.2.1.2.1.4.9.</w:t>
      </w:r>
    </w:p>
    <w:p w14:paraId="2D9CF412" w14:textId="77777777" w:rsidR="00415906" w:rsidRDefault="00415906" w:rsidP="00FC3608">
      <w:pPr>
        <w:spacing w:after="0" w:line="240" w:lineRule="auto"/>
        <w:jc w:val="both"/>
        <w:rPr>
          <w:rFonts w:ascii="Verdana" w:eastAsia="Calibri" w:hAnsi="Verdana" w:cs="Arial"/>
          <w:color w:val="000000" w:themeColor="text1"/>
          <w:sz w:val="20"/>
          <w:szCs w:val="20"/>
          <w:lang w:val="es-ES" w:eastAsia="en-GB"/>
        </w:rPr>
      </w:pPr>
    </w:p>
    <w:p w14:paraId="3F072D04" w14:textId="45A7CA88" w:rsidR="00415906" w:rsidRPr="00415906" w:rsidRDefault="00415906" w:rsidP="00415906">
      <w:pPr>
        <w:spacing w:after="0" w:line="240" w:lineRule="auto"/>
        <w:jc w:val="both"/>
        <w:rPr>
          <w:rFonts w:ascii="Verdana" w:eastAsia="Calibri" w:hAnsi="Verdana" w:cs="Arial"/>
          <w:color w:val="000000" w:themeColor="text1"/>
          <w:sz w:val="20"/>
          <w:szCs w:val="20"/>
          <w:lang w:val="es-ES" w:eastAsia="en-GB"/>
        </w:rPr>
      </w:pPr>
      <w:r w:rsidRPr="00415906">
        <w:rPr>
          <w:rFonts w:ascii="Verdana" w:eastAsia="Calibri" w:hAnsi="Verdana" w:cs="Arial"/>
          <w:color w:val="000000" w:themeColor="text1"/>
          <w:sz w:val="20"/>
          <w:szCs w:val="20"/>
          <w:lang w:val="es-ES" w:eastAsia="en-GB"/>
        </w:rPr>
        <w:t xml:space="preserve">[…] para iniciar la ejecución se requiere: i) la constitución y aprobación de la garantía y </w:t>
      </w:r>
      <w:proofErr w:type="spellStart"/>
      <w:r w:rsidRPr="00415906">
        <w:rPr>
          <w:rFonts w:ascii="Verdana" w:eastAsia="Calibri" w:hAnsi="Verdana" w:cs="Arial"/>
          <w:color w:val="000000" w:themeColor="text1"/>
          <w:sz w:val="20"/>
          <w:szCs w:val="20"/>
          <w:lang w:val="es-ES" w:eastAsia="en-GB"/>
        </w:rPr>
        <w:t>ii</w:t>
      </w:r>
      <w:proofErr w:type="spellEnd"/>
      <w:r w:rsidRPr="00415906">
        <w:rPr>
          <w:rFonts w:ascii="Verdana" w:eastAsia="Calibri" w:hAnsi="Verdana" w:cs="Arial"/>
          <w:color w:val="000000" w:themeColor="text1"/>
          <w:sz w:val="20"/>
          <w:szCs w:val="20"/>
          <w:lang w:val="es-ES" w:eastAsia="en-GB"/>
        </w:rPr>
        <w:t>) la existencia del registro presupuestal […] acreditar estar a paz y salvo con los aportes parafiscales al Sistema de Seguridad Social Integral.</w:t>
      </w:r>
    </w:p>
    <w:p w14:paraId="4959AA65" w14:textId="1156D955" w:rsidR="00415906" w:rsidRDefault="00415906" w:rsidP="00FC3608">
      <w:pPr>
        <w:spacing w:after="0" w:line="240" w:lineRule="auto"/>
        <w:jc w:val="both"/>
        <w:rPr>
          <w:rFonts w:ascii="Verdana" w:eastAsia="Calibri" w:hAnsi="Verdana" w:cs="Arial"/>
          <w:color w:val="000000" w:themeColor="text1"/>
          <w:sz w:val="20"/>
          <w:szCs w:val="20"/>
          <w:lang w:val="es-ES" w:eastAsia="en-GB"/>
        </w:rPr>
      </w:pPr>
    </w:p>
    <w:p w14:paraId="0891AEEB" w14:textId="29CBAF8D" w:rsidR="00A7378D" w:rsidRDefault="00A7378D" w:rsidP="00FC3608">
      <w:pPr>
        <w:spacing w:after="0" w:line="240" w:lineRule="auto"/>
        <w:jc w:val="both"/>
        <w:rPr>
          <w:rFonts w:ascii="Verdana" w:eastAsia="Times New Roman" w:hAnsi="Verdana" w:cs="Arial"/>
          <w:b/>
          <w:bCs/>
          <w:lang w:eastAsia="es-ES_tradnl"/>
        </w:rPr>
      </w:pPr>
      <w:r w:rsidRPr="00A7378D">
        <w:rPr>
          <w:rFonts w:ascii="Verdana" w:eastAsia="Times New Roman" w:hAnsi="Verdana" w:cs="Arial"/>
          <w:b/>
          <w:bCs/>
          <w:lang w:eastAsia="es-ES_tradnl"/>
        </w:rPr>
        <w:t xml:space="preserve">SEGURIDAD SOCIAL – Alcance – Ley 789 de 2002 – Ley 1150 de 2007 artículo 23 – Acreditación </w:t>
      </w:r>
    </w:p>
    <w:p w14:paraId="7C8D024E" w14:textId="77777777" w:rsidR="00FC3608" w:rsidRDefault="00FC3608" w:rsidP="00FC3608">
      <w:pPr>
        <w:spacing w:after="0" w:line="240" w:lineRule="auto"/>
        <w:jc w:val="both"/>
        <w:rPr>
          <w:rFonts w:ascii="Verdana" w:eastAsia="Times New Roman" w:hAnsi="Verdana" w:cs="Arial"/>
          <w:b/>
          <w:bCs/>
          <w:lang w:eastAsia="es-ES_tradnl"/>
        </w:rPr>
      </w:pPr>
    </w:p>
    <w:p w14:paraId="6C1EFC76" w14:textId="77777777" w:rsidR="00671CBB" w:rsidRDefault="00415906" w:rsidP="00FC3608">
      <w:pPr>
        <w:spacing w:after="0" w:line="240" w:lineRule="auto"/>
        <w:jc w:val="both"/>
        <w:rPr>
          <w:rFonts w:ascii="Verdana" w:eastAsia="Calibri" w:hAnsi="Verdana" w:cs="Arial"/>
          <w:color w:val="000000" w:themeColor="text1"/>
          <w:sz w:val="20"/>
          <w:szCs w:val="20"/>
          <w:lang w:val="es-ES" w:eastAsia="en-GB"/>
        </w:rPr>
      </w:pPr>
      <w:r w:rsidRPr="00415906">
        <w:rPr>
          <w:rFonts w:ascii="Verdana" w:eastAsia="Calibri" w:hAnsi="Verdana" w:cs="Arial"/>
          <w:color w:val="000000" w:themeColor="text1"/>
          <w:sz w:val="20"/>
          <w:szCs w:val="20"/>
          <w:lang w:val="es-ES" w:eastAsia="en-GB"/>
        </w:rPr>
        <w:t xml:space="preserve">[…] el artículo 50 de la Ley 789 de 2002 dispuso como obligación de quien quiere </w:t>
      </w:r>
      <w:r w:rsidRPr="00415906">
        <w:rPr>
          <w:rFonts w:ascii="Verdana" w:eastAsia="Calibri" w:hAnsi="Verdana" w:cs="Arial"/>
          <w:i/>
          <w:iCs/>
          <w:color w:val="000000" w:themeColor="text1"/>
          <w:sz w:val="20"/>
          <w:szCs w:val="20"/>
          <w:lang w:val="es-ES" w:eastAsia="en-GB"/>
        </w:rPr>
        <w:t>celebrar, renovar o liquidar</w:t>
      </w:r>
      <w:r w:rsidRPr="00415906">
        <w:rPr>
          <w:rFonts w:ascii="Verdana" w:eastAsia="Calibri" w:hAnsi="Verdana" w:cs="Arial"/>
          <w:color w:val="000000" w:themeColor="text1"/>
          <w:sz w:val="20"/>
          <w:szCs w:val="20"/>
          <w:lang w:val="es-ES" w:eastAsia="en-GB"/>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415906">
        <w:rPr>
          <w:rFonts w:ascii="Verdana" w:eastAsia="Calibri" w:hAnsi="Verdana" w:cs="Arial"/>
          <w:i/>
          <w:iCs/>
          <w:color w:val="000000" w:themeColor="text1"/>
          <w:sz w:val="20"/>
          <w:szCs w:val="20"/>
          <w:lang w:val="es-ES" w:eastAsia="en-GB"/>
        </w:rPr>
        <w:t>liquidar</w:t>
      </w:r>
      <w:r w:rsidRPr="00415906">
        <w:rPr>
          <w:rFonts w:ascii="Verdana" w:eastAsia="Calibri" w:hAnsi="Verdana" w:cs="Arial"/>
          <w:color w:val="000000" w:themeColor="text1"/>
          <w:sz w:val="20"/>
          <w:szCs w:val="20"/>
          <w:lang w:val="es-ES" w:eastAsia="en-GB"/>
        </w:rPr>
        <w:t xml:space="preserve"> los contratos</w:t>
      </w:r>
      <w:r>
        <w:rPr>
          <w:rFonts w:ascii="Verdana" w:eastAsia="Calibri" w:hAnsi="Verdana" w:cs="Arial"/>
          <w:color w:val="000000" w:themeColor="text1"/>
          <w:sz w:val="20"/>
          <w:szCs w:val="20"/>
          <w:lang w:val="es-ES" w:eastAsia="en-GB"/>
        </w:rPr>
        <w:t xml:space="preserve"> […]</w:t>
      </w:r>
    </w:p>
    <w:p w14:paraId="2A269E71" w14:textId="77777777" w:rsidR="001C3E32" w:rsidRDefault="001C3E32" w:rsidP="00FC3608">
      <w:pPr>
        <w:spacing w:after="0" w:line="240" w:lineRule="auto"/>
        <w:jc w:val="both"/>
        <w:rPr>
          <w:rFonts w:ascii="Verdana" w:eastAsia="Calibri" w:hAnsi="Verdana" w:cs="Arial"/>
          <w:color w:val="000000" w:themeColor="text1"/>
          <w:sz w:val="20"/>
          <w:szCs w:val="20"/>
          <w:lang w:val="es-ES" w:eastAsia="en-GB"/>
        </w:rPr>
      </w:pPr>
    </w:p>
    <w:p w14:paraId="04E19E27" w14:textId="5111924E" w:rsidR="00415906" w:rsidRDefault="00415906" w:rsidP="00FC3608">
      <w:pPr>
        <w:spacing w:after="0" w:line="240" w:lineRule="auto"/>
        <w:jc w:val="both"/>
        <w:rPr>
          <w:rFonts w:ascii="Verdana" w:eastAsia="Calibri" w:hAnsi="Verdana" w:cs="Arial"/>
          <w:color w:val="000000" w:themeColor="text1"/>
          <w:sz w:val="20"/>
          <w:szCs w:val="20"/>
          <w:lang w:val="es-ES" w:eastAsia="en-GB"/>
        </w:rPr>
      </w:pPr>
      <w:r w:rsidRPr="00415906">
        <w:rPr>
          <w:rFonts w:ascii="Verdana" w:eastAsia="Calibri" w:hAnsi="Verdana" w:cs="Arial"/>
          <w:color w:val="000000" w:themeColor="text1"/>
          <w:sz w:val="20"/>
          <w:szCs w:val="20"/>
          <w:lang w:val="es-ES" w:eastAsia="en-GB"/>
        </w:rPr>
        <w:lastRenderedPageBreak/>
        <w:t>[…] De esta manera, el artículo 23 de la Ley 1150 de 2007 que modificó el inciso segundo del artículo 41 de la Ley 80 de 1993, incluye la obligación, para los proponentes y contratistas, de estar a paz y salvo con los aportes parafiscales al Sistema de Seguridad Social Integral</w:t>
      </w:r>
      <w:r>
        <w:rPr>
          <w:rFonts w:ascii="Verdana" w:eastAsia="Calibri" w:hAnsi="Verdana" w:cs="Arial"/>
          <w:color w:val="000000" w:themeColor="text1"/>
          <w:sz w:val="20"/>
          <w:szCs w:val="20"/>
          <w:lang w:val="es-ES" w:eastAsia="en-GB"/>
        </w:rPr>
        <w:t xml:space="preserve"> […] </w:t>
      </w:r>
    </w:p>
    <w:p w14:paraId="12943C89" w14:textId="77777777" w:rsidR="00415906" w:rsidRDefault="00415906" w:rsidP="00FC3608">
      <w:pPr>
        <w:spacing w:after="0" w:line="240" w:lineRule="auto"/>
        <w:jc w:val="both"/>
        <w:rPr>
          <w:rFonts w:ascii="Verdana" w:eastAsia="Calibri" w:hAnsi="Verdana" w:cs="Arial"/>
          <w:color w:val="000000" w:themeColor="text1"/>
          <w:sz w:val="20"/>
          <w:szCs w:val="20"/>
          <w:lang w:val="es-ES" w:eastAsia="en-GB"/>
        </w:rPr>
      </w:pPr>
    </w:p>
    <w:p w14:paraId="145B016B" w14:textId="77777777" w:rsidR="00415906" w:rsidRPr="00415906" w:rsidRDefault="00415906" w:rsidP="00415906">
      <w:pPr>
        <w:spacing w:after="0" w:line="240" w:lineRule="auto"/>
        <w:jc w:val="both"/>
        <w:rPr>
          <w:rFonts w:ascii="Verdana" w:eastAsia="Times New Roman" w:hAnsi="Verdana" w:cs="Arial"/>
          <w:b/>
          <w:bCs/>
          <w:sz w:val="20"/>
          <w:szCs w:val="20"/>
          <w:lang w:eastAsia="es-ES_tradnl"/>
        </w:rPr>
      </w:pPr>
      <w:r w:rsidRPr="00415906">
        <w:rPr>
          <w:rFonts w:ascii="Verdana" w:eastAsia="Calibri" w:hAnsi="Verdana" w:cs="Arial"/>
          <w:color w:val="000000" w:themeColor="text1"/>
          <w:sz w:val="20"/>
          <w:szCs w:val="20"/>
          <w:lang w:val="es-ES" w:eastAsia="en-GB"/>
        </w:rPr>
        <w:t>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w:t>
      </w:r>
    </w:p>
    <w:p w14:paraId="33991F85" w14:textId="77777777" w:rsidR="00415906" w:rsidRPr="00415906" w:rsidRDefault="00415906" w:rsidP="00FC3608">
      <w:pPr>
        <w:spacing w:after="0" w:line="240" w:lineRule="auto"/>
        <w:jc w:val="both"/>
        <w:rPr>
          <w:rFonts w:ascii="Verdana" w:eastAsia="Calibri" w:hAnsi="Verdana" w:cs="Arial"/>
          <w:color w:val="000000" w:themeColor="text1"/>
          <w:sz w:val="20"/>
          <w:szCs w:val="20"/>
          <w:lang w:eastAsia="en-GB"/>
        </w:rPr>
      </w:pPr>
    </w:p>
    <w:p w14:paraId="432B7BF8" w14:textId="6A2A5E98" w:rsidR="00A7378D" w:rsidRDefault="00415906" w:rsidP="00A7378D">
      <w:pPr>
        <w:jc w:val="both"/>
        <w:rPr>
          <w:rFonts w:ascii="Verdana" w:eastAsia="Times New Roman" w:hAnsi="Verdana" w:cs="Arial"/>
          <w:b/>
          <w:bCs/>
          <w:lang w:eastAsia="es-ES_tradnl"/>
        </w:rPr>
      </w:pPr>
      <w:r w:rsidRPr="00A7378D">
        <w:rPr>
          <w:rFonts w:ascii="Verdana" w:eastAsia="Times New Roman" w:hAnsi="Verdana" w:cs="Arial"/>
          <w:b/>
          <w:bCs/>
          <w:lang w:eastAsia="es-ES_tradnl"/>
        </w:rPr>
        <w:t xml:space="preserve">CONTRATO DE PRESTACIÓN DE SERVICIOS </w:t>
      </w:r>
      <w:r w:rsidR="00A7378D" w:rsidRPr="00A7378D">
        <w:rPr>
          <w:rFonts w:ascii="Verdana" w:eastAsia="Times New Roman" w:hAnsi="Verdana" w:cs="Arial"/>
          <w:b/>
          <w:bCs/>
          <w:lang w:eastAsia="es-ES_tradnl"/>
        </w:rPr>
        <w:t xml:space="preserve">– Hoja de vida SIGEP – Ley 1083 de 2015 </w:t>
      </w:r>
    </w:p>
    <w:p w14:paraId="3B5630FA" w14:textId="6CD6D513" w:rsidR="00415906" w:rsidRPr="00671CBB" w:rsidRDefault="00415906" w:rsidP="00671CBB">
      <w:pPr>
        <w:spacing w:after="0" w:line="240" w:lineRule="auto"/>
        <w:jc w:val="both"/>
        <w:rPr>
          <w:rFonts w:ascii="Verdana" w:eastAsia="Calibri" w:hAnsi="Verdana" w:cs="Arial"/>
          <w:color w:val="000000" w:themeColor="text1"/>
          <w:sz w:val="20"/>
          <w:szCs w:val="20"/>
          <w:lang w:val="es-ES" w:eastAsia="en-GB"/>
        </w:rPr>
      </w:pPr>
      <w:r w:rsidRPr="00671CBB">
        <w:rPr>
          <w:rFonts w:ascii="Verdana" w:eastAsia="Calibri" w:hAnsi="Verdana" w:cs="Arial"/>
          <w:color w:val="000000" w:themeColor="text1"/>
          <w:sz w:val="20"/>
          <w:szCs w:val="20"/>
          <w:lang w:eastAsia="en-GB"/>
        </w:rPr>
        <w:t xml:space="preserve">[…] el Decreto 1083 de 2015 en su artículo 2.2.17.10, </w:t>
      </w:r>
      <w:r w:rsidRPr="00671CBB">
        <w:rPr>
          <w:rFonts w:ascii="Verdana" w:eastAsia="Calibri" w:hAnsi="Verdana" w:cs="Arial"/>
          <w:color w:val="000000" w:themeColor="text1"/>
          <w:sz w:val="20"/>
          <w:szCs w:val="20"/>
          <w:lang w:val="es-ES" w:eastAsia="en-GB"/>
        </w:rPr>
        <w:t xml:space="preserve">establece que antes de suscribir un contrato de prestación de servicios con una entidad estatal, los contratistas deben diligenciar el Formato Único de Hoja de Vida en el Sistema de Información y Gestión del Empleo Público – en adelante SIGEP – incluyendo el registro detallado de la información solicitada en la hoja de vida como por ejemplo información académica, profesional, etc., así como los documentos que acrediten la información que el contratista requiera registrar. </w:t>
      </w:r>
    </w:p>
    <w:p w14:paraId="63ECBBD5" w14:textId="77777777" w:rsidR="00671CBB" w:rsidRPr="00671CBB" w:rsidRDefault="00671CBB" w:rsidP="00671CBB">
      <w:pPr>
        <w:spacing w:after="0" w:line="240" w:lineRule="auto"/>
        <w:jc w:val="both"/>
        <w:rPr>
          <w:rFonts w:ascii="Verdana" w:eastAsia="Calibri" w:hAnsi="Verdana" w:cs="Arial"/>
          <w:color w:val="000000" w:themeColor="text1"/>
          <w:sz w:val="20"/>
          <w:szCs w:val="20"/>
          <w:lang w:val="es-ES" w:eastAsia="en-GB"/>
        </w:rPr>
      </w:pPr>
    </w:p>
    <w:p w14:paraId="63F62ECF" w14:textId="77777777" w:rsidR="00671CBB" w:rsidRPr="00671CBB" w:rsidRDefault="00415906" w:rsidP="00671CBB">
      <w:pPr>
        <w:spacing w:after="0" w:line="240" w:lineRule="auto"/>
        <w:jc w:val="both"/>
        <w:rPr>
          <w:rFonts w:ascii="Verdana" w:eastAsia="Calibri" w:hAnsi="Verdana" w:cs="Arial"/>
          <w:color w:val="000000" w:themeColor="text1"/>
          <w:sz w:val="20"/>
          <w:szCs w:val="20"/>
          <w:lang w:val="es-ES" w:eastAsia="en-GB"/>
        </w:rPr>
      </w:pPr>
      <w:r w:rsidRPr="00671CBB">
        <w:rPr>
          <w:rFonts w:ascii="Verdana" w:eastAsia="Calibri" w:hAnsi="Verdana" w:cs="Arial"/>
          <w:color w:val="000000" w:themeColor="text1"/>
          <w:sz w:val="20"/>
          <w:szCs w:val="20"/>
          <w:lang w:val="es-ES" w:eastAsia="en-GB"/>
        </w:rPr>
        <w:t xml:space="preserve">Para el efecto, el Instructivo Registro de Hoja de vida SIGEP expedido por el Departamento Administrativo de la Función Pública de enero de 2026 presenta los lineamientos que sirven como orientación a todos los usuarios del sistema en el diligenciamiento, actualización y administración de la hoja de vida. </w:t>
      </w:r>
    </w:p>
    <w:p w14:paraId="0CA8C32D" w14:textId="77777777" w:rsidR="00671CBB" w:rsidRDefault="00671CBB" w:rsidP="00671CBB">
      <w:pPr>
        <w:spacing w:after="0" w:line="240" w:lineRule="auto"/>
        <w:jc w:val="both"/>
        <w:rPr>
          <w:rFonts w:ascii="Verdana" w:eastAsia="Calibri" w:hAnsi="Verdana" w:cs="Arial"/>
          <w:color w:val="000000" w:themeColor="text1"/>
          <w:lang w:val="es-ES" w:eastAsia="en-GB"/>
        </w:rPr>
      </w:pPr>
    </w:p>
    <w:p w14:paraId="43065FAA" w14:textId="77777777" w:rsidR="00671CBB" w:rsidRDefault="00A7378D" w:rsidP="00A7378D">
      <w:pPr>
        <w:spacing w:after="0" w:line="240" w:lineRule="auto"/>
        <w:jc w:val="both"/>
        <w:rPr>
          <w:rFonts w:ascii="Verdana" w:eastAsia="Calibri" w:hAnsi="Verdana" w:cs="Arial"/>
          <w:color w:val="000000" w:themeColor="text1"/>
          <w:lang w:eastAsia="en-GB"/>
        </w:rPr>
      </w:pPr>
      <w:r w:rsidRPr="00A7378D">
        <w:rPr>
          <w:rFonts w:ascii="Verdana" w:eastAsia="Times New Roman" w:hAnsi="Verdana" w:cs="Arial"/>
          <w:b/>
          <w:bCs/>
          <w:lang w:eastAsia="es-ES_tradnl"/>
        </w:rPr>
        <w:t xml:space="preserve">CONTRATO DE PRESTACIÓN DE SERVICIOS – Declaración de </w:t>
      </w:r>
      <w:r w:rsidRPr="00A7378D">
        <w:rPr>
          <w:rFonts w:ascii="Verdana" w:eastAsia="Times New Roman" w:hAnsi="Verdana" w:cs="Times New Roman"/>
          <w:b/>
          <w:bCs/>
          <w:lang w:eastAsia="es-MX"/>
        </w:rPr>
        <w:t xml:space="preserve">Bienes y Rentas – Ley 2013 de 2019 </w:t>
      </w:r>
      <w:r w:rsidRPr="00A7378D">
        <w:rPr>
          <w:rFonts w:ascii="Verdana" w:eastAsia="Times New Roman" w:hAnsi="Verdana" w:cs="Arial"/>
          <w:b/>
          <w:bCs/>
          <w:lang w:eastAsia="es-ES_tradnl"/>
        </w:rPr>
        <w:t xml:space="preserve">    </w:t>
      </w:r>
    </w:p>
    <w:p w14:paraId="5B5AB636" w14:textId="77777777" w:rsidR="00671CBB" w:rsidRDefault="00671CBB" w:rsidP="00A7378D">
      <w:pPr>
        <w:spacing w:after="0" w:line="240" w:lineRule="auto"/>
        <w:jc w:val="both"/>
        <w:rPr>
          <w:rFonts w:ascii="Verdana" w:eastAsia="Calibri" w:hAnsi="Verdana" w:cs="Arial"/>
          <w:color w:val="000000" w:themeColor="text1"/>
          <w:lang w:eastAsia="en-GB"/>
        </w:rPr>
      </w:pPr>
    </w:p>
    <w:p w14:paraId="55200666" w14:textId="77777777" w:rsidR="00671CBB" w:rsidRDefault="00671CBB" w:rsidP="00671CBB">
      <w:pPr>
        <w:spacing w:after="0" w:line="240" w:lineRule="auto"/>
        <w:jc w:val="both"/>
        <w:rPr>
          <w:rFonts w:ascii="Verdana" w:eastAsia="Times New Roman" w:hAnsi="Verdana" w:cs="Times New Roman"/>
          <w:sz w:val="20"/>
          <w:szCs w:val="20"/>
          <w:lang w:eastAsia="es-MX"/>
        </w:rPr>
      </w:pPr>
      <w:r w:rsidRPr="00671CBB">
        <w:rPr>
          <w:rFonts w:ascii="Verdana" w:eastAsia="Calibri" w:hAnsi="Verdana" w:cs="Arial"/>
          <w:color w:val="000000" w:themeColor="text1"/>
          <w:sz w:val="20"/>
          <w:szCs w:val="20"/>
          <w:lang w:val="es-ES" w:eastAsia="en-GB"/>
        </w:rPr>
        <w:t xml:space="preserve">En el mismo sentido, </w:t>
      </w:r>
      <w:r w:rsidRPr="00671CBB">
        <w:rPr>
          <w:rFonts w:ascii="Verdana" w:eastAsia="Times New Roman" w:hAnsi="Verdana" w:cs="Times New Roman"/>
          <w:sz w:val="20"/>
          <w:szCs w:val="20"/>
          <w:lang w:eastAsia="es-MX"/>
        </w:rPr>
        <w:t>la entidad pública, en cumplimiento a lo dispuesto en g) del artículo 2 de la Ley 2013 de 2019 (Ley de Transparencia), debe exigir al futuro contratista el cumplimiento de presentar su Declaración de Bienes y Rentas a través del Sistema de Información y Gestión del Empleo Público (SIGEP). Obligación que tiene como marco general el Decreto 1083 de 2015, para los servidores públicos y la Ley 2013 de 2019 hizo extensible la obligación de manera explícita esta exigencia a los contratistas de prestación de servicios</w:t>
      </w:r>
      <w:r>
        <w:rPr>
          <w:rFonts w:ascii="Verdana" w:eastAsia="Times New Roman" w:hAnsi="Verdana" w:cs="Times New Roman"/>
          <w:sz w:val="20"/>
          <w:szCs w:val="20"/>
          <w:lang w:eastAsia="es-MX"/>
        </w:rPr>
        <w:t xml:space="preserve"> […]</w:t>
      </w:r>
    </w:p>
    <w:p w14:paraId="153FDBCA" w14:textId="77777777" w:rsidR="00671CBB" w:rsidRDefault="00671CBB" w:rsidP="00671CBB">
      <w:pPr>
        <w:spacing w:after="0" w:line="240" w:lineRule="auto"/>
        <w:jc w:val="both"/>
        <w:rPr>
          <w:rFonts w:ascii="Verdana" w:eastAsia="Times New Roman" w:hAnsi="Verdana" w:cs="Times New Roman"/>
          <w:sz w:val="20"/>
          <w:szCs w:val="20"/>
          <w:lang w:eastAsia="es-MX"/>
        </w:rPr>
      </w:pPr>
    </w:p>
    <w:p w14:paraId="21D23012" w14:textId="48A24BB9" w:rsidR="00671CBB" w:rsidRPr="00671CBB" w:rsidRDefault="00671CBB" w:rsidP="00671CBB">
      <w:pPr>
        <w:spacing w:after="0" w:line="240" w:lineRule="auto"/>
        <w:jc w:val="both"/>
        <w:rPr>
          <w:rFonts w:ascii="Verdana" w:eastAsia="Times New Roman" w:hAnsi="Verdana" w:cs="Times New Roman"/>
          <w:sz w:val="20"/>
          <w:szCs w:val="20"/>
          <w:lang w:eastAsia="es-MX"/>
        </w:rPr>
      </w:pPr>
      <w:r w:rsidRPr="00671CBB">
        <w:rPr>
          <w:rFonts w:ascii="Verdana" w:eastAsia="Times New Roman" w:hAnsi="Verdana" w:cs="Times New Roman"/>
          <w:sz w:val="20"/>
          <w:szCs w:val="20"/>
          <w:lang w:eastAsia="es-MX"/>
        </w:rPr>
        <w:t>Estos deberes se constituyen como una condición de capacidad jurídica – requisito habilitante, y un presupuesto necesario para la legalización del contrato,</w:t>
      </w:r>
      <w:r w:rsidRPr="00671CBB">
        <w:rPr>
          <w:rFonts w:ascii="Verdana" w:hAnsi="Verdana"/>
          <w:sz w:val="20"/>
          <w:szCs w:val="20"/>
        </w:rPr>
        <w:t xml:space="preserve"> ya que su inobservancia afecta directamente la aptitud de la persona para ser contratista del Estado, impidiendo que la entidad pública pueda proceder válidamente con el perfeccionamiento y la firma del acuerdo.</w:t>
      </w:r>
    </w:p>
    <w:p w14:paraId="0AC1C42B" w14:textId="07C59D53" w:rsidR="009C576B" w:rsidRPr="007E27D9" w:rsidRDefault="009C576B" w:rsidP="009C576B">
      <w:pPr>
        <w:spacing w:after="0" w:line="240" w:lineRule="auto"/>
        <w:jc w:val="both"/>
        <w:rPr>
          <w:rFonts w:ascii="Verdana" w:eastAsia="Calibri" w:hAnsi="Verdana" w:cs="Arial"/>
          <w:lang w:eastAsia="es-ES"/>
        </w:rPr>
      </w:pPr>
      <w:r w:rsidRPr="007E27D9">
        <w:rPr>
          <w:rFonts w:ascii="Verdana" w:eastAsia="Calibri" w:hAnsi="Verdana" w:cs="Arial"/>
          <w:lang w:eastAsia="es-ES"/>
        </w:rPr>
        <w:lastRenderedPageBreak/>
        <w:t xml:space="preserve">Bogotá D.C., </w:t>
      </w:r>
      <w:r w:rsidR="00606F07">
        <w:rPr>
          <w:rFonts w:ascii="Verdana" w:eastAsia="Calibri" w:hAnsi="Verdana" w:cs="Arial"/>
          <w:lang w:eastAsia="es-ES"/>
        </w:rPr>
        <w:t>10 de marzo de 2026</w:t>
      </w:r>
    </w:p>
    <w:p w14:paraId="468F641C" w14:textId="02E319DE" w:rsidR="009C576B" w:rsidRDefault="001C3E32" w:rsidP="001C3E32">
      <w:pPr>
        <w:spacing w:after="0" w:line="240" w:lineRule="auto"/>
        <w:jc w:val="right"/>
        <w:rPr>
          <w:rFonts w:ascii="Verdana" w:eastAsia="Calibri" w:hAnsi="Verdana" w:cs="Arial"/>
          <w:lang w:eastAsia="es-ES"/>
        </w:rPr>
      </w:pPr>
      <w:r w:rsidRPr="00A7378D">
        <w:rPr>
          <w:rFonts w:ascii="Verdana" w:eastAsia="Calibri" w:hAnsi="Verdana" w:cs="Arial"/>
          <w:noProof/>
          <w:lang w:eastAsia="es-ES"/>
        </w:rPr>
        <w:drawing>
          <wp:inline distT="0" distB="0" distL="0" distR="0" wp14:anchorId="5D63FC1D" wp14:editId="1ECC5C1D">
            <wp:extent cx="3058662" cy="1073150"/>
            <wp:effectExtent l="0" t="0" r="8890" b="0"/>
            <wp:docPr id="1813608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60858" name=""/>
                    <pic:cNvPicPr/>
                  </pic:nvPicPr>
                  <pic:blipFill>
                    <a:blip r:embed="rId11"/>
                    <a:stretch>
                      <a:fillRect/>
                    </a:stretch>
                  </pic:blipFill>
                  <pic:spPr>
                    <a:xfrm>
                      <a:off x="0" y="0"/>
                      <a:ext cx="3216906" cy="1128671"/>
                    </a:xfrm>
                    <a:prstGeom prst="rect">
                      <a:avLst/>
                    </a:prstGeom>
                  </pic:spPr>
                </pic:pic>
              </a:graphicData>
            </a:graphic>
          </wp:inline>
        </w:drawing>
      </w:r>
    </w:p>
    <w:p w14:paraId="060072BF" w14:textId="77777777" w:rsidR="009C576B" w:rsidRPr="00C113EF" w:rsidRDefault="009C576B" w:rsidP="009C576B">
      <w:pPr>
        <w:spacing w:after="0" w:line="240" w:lineRule="auto"/>
        <w:jc w:val="both"/>
        <w:rPr>
          <w:rFonts w:ascii="Verdana" w:eastAsia="Calibri" w:hAnsi="Verdana" w:cs="Arial"/>
          <w:lang w:eastAsia="es-ES"/>
        </w:rPr>
      </w:pPr>
      <w:r w:rsidRPr="00C113EF">
        <w:rPr>
          <w:rFonts w:ascii="Verdana" w:eastAsia="Calibri" w:hAnsi="Verdana" w:cs="Arial"/>
          <w:lang w:eastAsia="es-ES"/>
        </w:rPr>
        <w:t xml:space="preserve">Señor </w:t>
      </w:r>
    </w:p>
    <w:p w14:paraId="5A3EC46E" w14:textId="77777777" w:rsidR="009C576B" w:rsidRPr="00311DD2" w:rsidRDefault="009C576B" w:rsidP="009C576B">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Gustavo Adolfo Patarroyo Cubides </w:t>
      </w:r>
    </w:p>
    <w:p w14:paraId="35028EE5" w14:textId="77777777" w:rsidR="009C576B" w:rsidRPr="00E459B9" w:rsidRDefault="009C576B" w:rsidP="009C576B">
      <w:pPr>
        <w:spacing w:after="0" w:line="240" w:lineRule="auto"/>
        <w:jc w:val="both"/>
        <w:rPr>
          <w:rFonts w:ascii="Verdana" w:hAnsi="Verdana"/>
          <w:b/>
          <w:bCs/>
        </w:rPr>
      </w:pPr>
      <w:hyperlink r:id="rId12" w:history="1">
        <w:r w:rsidRPr="00E459B9">
          <w:rPr>
            <w:rStyle w:val="Hipervnculo"/>
            <w:rFonts w:ascii="Verdana" w:hAnsi="Verdana"/>
            <w:b/>
            <w:bCs/>
          </w:rPr>
          <w:t>gustavopatarroyo@hotmail.com</w:t>
        </w:r>
      </w:hyperlink>
    </w:p>
    <w:p w14:paraId="3E30C65A" w14:textId="77777777" w:rsidR="009C576B" w:rsidRPr="006B2A88" w:rsidRDefault="009C576B" w:rsidP="009C576B">
      <w:pPr>
        <w:spacing w:after="0" w:line="240" w:lineRule="auto"/>
        <w:jc w:val="both"/>
        <w:rPr>
          <w:rFonts w:ascii="Verdana" w:hAnsi="Verdana"/>
          <w:b/>
          <w:bCs/>
        </w:rPr>
      </w:pPr>
      <w:r>
        <w:rPr>
          <w:rFonts w:ascii="Verdana" w:hAnsi="Verdana"/>
        </w:rPr>
        <w:t xml:space="preserve">Ibagué – Tolima </w:t>
      </w:r>
    </w:p>
    <w:p w14:paraId="6B1E6264" w14:textId="77777777" w:rsidR="009C576B" w:rsidRPr="00863416" w:rsidRDefault="009C576B" w:rsidP="009C576B">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9C576B" w:rsidRPr="005644FE" w14:paraId="159C16E3" w14:textId="77777777" w:rsidTr="00295043">
        <w:trPr>
          <w:trHeight w:val="162"/>
        </w:trPr>
        <w:tc>
          <w:tcPr>
            <w:tcW w:w="3119" w:type="dxa"/>
          </w:tcPr>
          <w:p w14:paraId="07B17F28" w14:textId="77777777" w:rsidR="009C576B" w:rsidRPr="00863416" w:rsidRDefault="009C576B" w:rsidP="00295043">
            <w:pPr>
              <w:jc w:val="both"/>
              <w:rPr>
                <w:rFonts w:ascii="Verdana" w:eastAsia="Calibri" w:hAnsi="Verdana" w:cs="Arial"/>
                <w:b/>
                <w:bCs/>
                <w:color w:val="7030A0"/>
                <w:lang w:eastAsia="es-ES_tradnl"/>
              </w:rPr>
            </w:pPr>
          </w:p>
        </w:tc>
        <w:tc>
          <w:tcPr>
            <w:tcW w:w="5670" w:type="dxa"/>
          </w:tcPr>
          <w:p w14:paraId="3F67D981" w14:textId="77777777" w:rsidR="009C576B" w:rsidRPr="005644FE" w:rsidRDefault="009C576B" w:rsidP="00295043">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134 de 2026</w:t>
            </w:r>
          </w:p>
          <w:p w14:paraId="0E0FF7A4" w14:textId="77777777" w:rsidR="009C576B" w:rsidRPr="005644FE" w:rsidRDefault="009C576B" w:rsidP="00295043">
            <w:pPr>
              <w:jc w:val="both"/>
              <w:rPr>
                <w:rFonts w:ascii="Verdana" w:eastAsia="Calibri" w:hAnsi="Verdana" w:cs="Arial"/>
                <w:b/>
                <w:bCs/>
                <w:color w:val="7030A0"/>
                <w:lang w:eastAsia="es-ES"/>
              </w:rPr>
            </w:pPr>
          </w:p>
        </w:tc>
      </w:tr>
      <w:tr w:rsidR="009C576B" w:rsidRPr="005644FE" w14:paraId="123D4E3F" w14:textId="77777777" w:rsidTr="00295043">
        <w:trPr>
          <w:trHeight w:val="884"/>
        </w:trPr>
        <w:tc>
          <w:tcPr>
            <w:tcW w:w="3119" w:type="dxa"/>
          </w:tcPr>
          <w:p w14:paraId="2026C0CF" w14:textId="77777777" w:rsidR="009C576B" w:rsidRPr="005644FE" w:rsidRDefault="009C576B" w:rsidP="00295043">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09BF7D79" w14:textId="6A02D735" w:rsidR="00803D4D" w:rsidRPr="001C3E32" w:rsidRDefault="009C576B" w:rsidP="00295043">
            <w:pPr>
              <w:spacing w:line="276" w:lineRule="auto"/>
              <w:jc w:val="both"/>
              <w:rPr>
                <w:rFonts w:ascii="Verdana" w:eastAsia="Times New Roman" w:hAnsi="Verdana" w:cs="Arial"/>
                <w:lang w:eastAsia="es-ES_tradnl"/>
              </w:rPr>
            </w:pPr>
            <w:r>
              <w:rPr>
                <w:rFonts w:ascii="Verdana" w:eastAsia="Times New Roman" w:hAnsi="Verdana" w:cs="Arial"/>
                <w:lang w:eastAsia="es-ES_tradnl"/>
              </w:rPr>
              <w:t xml:space="preserve">CONTRATO DE PRESTACIÓN DE SERVICIOS – Naturaleza / CONTRATO DE PRESTACIÓN DE SERVICIOS – Elementos característicos / CONTRATO DE PRESTACIÓN DE SERVICIOS – Acreditación de idoneidad o experiencia - Guía para la incorporación de lineamientos de integridad en la contratación de prestación de servicios / CONTRATOS ESTATALES – Requisitos de perfeccionamiento / CONTRATOS ESTATALES – Consensuales – Reales – Solemnes / CONTRATOS ESTATALES – Requisitos de perfeccionamiento – Requisitos de ejecución - Artículo 41 Ley 80 de 1993  / SEGURIDAD SOCIAL – Alcance – Ley 789 de 2002 – Ley 1150 de 2007 artículo 23 – Acreditación / SEGURIDAD SOCIAL – CONTRATO DE PRESTACIÓN DE SERVICIOS – Hoja de vida SIGEP – Ley 1083 de 2015 – CONTRATO DE PRESTACIÓN DE SERVICIOS – Declaración de </w:t>
            </w:r>
            <w:r w:rsidRPr="003F6F07">
              <w:rPr>
                <w:rFonts w:ascii="Verdana" w:eastAsia="Times New Roman" w:hAnsi="Verdana" w:cs="Times New Roman"/>
                <w:lang w:eastAsia="es-MX"/>
              </w:rPr>
              <w:t>Bienes y Rentas</w:t>
            </w:r>
            <w:r>
              <w:rPr>
                <w:rFonts w:ascii="Verdana" w:eastAsia="Times New Roman" w:hAnsi="Verdana" w:cs="Times New Roman"/>
                <w:lang w:eastAsia="es-MX"/>
              </w:rPr>
              <w:t xml:space="preserve"> – Ley 2013 de 2019 </w:t>
            </w:r>
            <w:r>
              <w:rPr>
                <w:rFonts w:ascii="Verdana" w:eastAsia="Times New Roman" w:hAnsi="Verdana" w:cs="Arial"/>
                <w:lang w:eastAsia="es-ES_tradnl"/>
              </w:rPr>
              <w:t xml:space="preserve">    </w:t>
            </w:r>
          </w:p>
        </w:tc>
      </w:tr>
      <w:tr w:rsidR="009C576B" w:rsidRPr="005644FE" w14:paraId="6B89468D" w14:textId="77777777" w:rsidTr="00295043">
        <w:tc>
          <w:tcPr>
            <w:tcW w:w="3119" w:type="dxa"/>
          </w:tcPr>
          <w:p w14:paraId="54EF7EB5" w14:textId="77777777" w:rsidR="009C576B" w:rsidRPr="005644FE" w:rsidRDefault="009C576B" w:rsidP="00295043">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02DCCBF6" w14:textId="77777777" w:rsidR="009C576B" w:rsidRPr="00F04657" w:rsidRDefault="009C576B" w:rsidP="00295043">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E459B9">
              <w:rPr>
                <w:rFonts w:ascii="Verdana" w:eastAsia="Calibri" w:hAnsi="Verdana" w:cs="Arial"/>
                <w:lang w:eastAsia="es-ES_tradnl"/>
              </w:rPr>
              <w:t>1_2026_02_02_001207</w:t>
            </w:r>
          </w:p>
        </w:tc>
      </w:tr>
    </w:tbl>
    <w:p w14:paraId="0C64732F" w14:textId="77777777" w:rsidR="009C576B" w:rsidRPr="005644FE" w:rsidRDefault="009C576B" w:rsidP="009C576B">
      <w:pPr>
        <w:spacing w:after="0" w:line="276" w:lineRule="auto"/>
        <w:jc w:val="both"/>
        <w:rPr>
          <w:rFonts w:ascii="Verdana" w:eastAsia="Calibri" w:hAnsi="Verdana" w:cs="Arial"/>
          <w:lang w:eastAsia="es-ES_tradnl"/>
        </w:rPr>
      </w:pPr>
    </w:p>
    <w:p w14:paraId="04A3821B" w14:textId="77777777" w:rsidR="009C576B" w:rsidRPr="005644FE" w:rsidRDefault="009C576B" w:rsidP="00216129">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Patarroyo: </w:t>
      </w:r>
    </w:p>
    <w:p w14:paraId="0FC309D9" w14:textId="77777777" w:rsidR="009C576B" w:rsidRPr="00E02524" w:rsidRDefault="009C576B" w:rsidP="00C113EF">
      <w:pPr>
        <w:spacing w:after="0" w:line="276" w:lineRule="auto"/>
        <w:jc w:val="both"/>
        <w:rPr>
          <w:rFonts w:ascii="Verdana" w:hAnsi="Verdana"/>
          <w:lang w:val="es-MX"/>
        </w:rPr>
      </w:pPr>
    </w:p>
    <w:p w14:paraId="485D7A9C" w14:textId="77777777" w:rsidR="009C576B" w:rsidRDefault="009C576B" w:rsidP="00CD3C1E">
      <w:pPr>
        <w:spacing w:after="0" w:line="276" w:lineRule="auto"/>
        <w:jc w:val="both"/>
        <w:rPr>
          <w:rFonts w:ascii="Verdana" w:eastAsia="Calibri" w:hAnsi="Verdana" w:cs="Arial"/>
          <w:lang w:eastAsia="es-ES"/>
        </w:rPr>
      </w:pPr>
      <w:r w:rsidRPr="00E02524">
        <w:rPr>
          <w:rFonts w:ascii="Verdana" w:hAnsi="Verdana"/>
        </w:rPr>
        <w:lastRenderedPageBreak/>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w:t>
      </w:r>
      <w:r>
        <w:rPr>
          <w:rFonts w:ascii="Verdana" w:eastAsia="Calibri" w:hAnsi="Verdana" w:cs="Arial"/>
          <w:lang w:eastAsia="es-ES"/>
        </w:rPr>
        <w:t>s</w:t>
      </w:r>
      <w:r w:rsidRPr="005644FE">
        <w:rPr>
          <w:rFonts w:ascii="Verdana" w:eastAsia="Calibri" w:hAnsi="Verdana" w:cs="Arial"/>
          <w:lang w:eastAsia="es-ES"/>
        </w:rPr>
        <w:t xml:space="preserve"> solicitud</w:t>
      </w:r>
      <w:r>
        <w:rPr>
          <w:rFonts w:ascii="Verdana" w:eastAsia="Calibri" w:hAnsi="Verdana" w:cs="Arial"/>
          <w:lang w:eastAsia="es-ES"/>
        </w:rPr>
        <w:t>es</w:t>
      </w:r>
      <w:r w:rsidRPr="005644FE">
        <w:rPr>
          <w:rFonts w:ascii="Verdana" w:eastAsia="Calibri" w:hAnsi="Verdana" w:cs="Arial"/>
          <w:lang w:eastAsia="es-ES"/>
        </w:rPr>
        <w:t xml:space="preserve"> de consulta de fecha </w:t>
      </w:r>
      <w:r>
        <w:rPr>
          <w:rFonts w:ascii="Verdana" w:eastAsia="Calibri" w:hAnsi="Verdana" w:cs="Arial"/>
          <w:lang w:eastAsia="es-ES"/>
        </w:rPr>
        <w:t>2 de febrero de 2026,</w:t>
      </w:r>
      <w:r w:rsidRPr="005644FE">
        <w:rPr>
          <w:rFonts w:ascii="Verdana" w:eastAsia="Calibri" w:hAnsi="Verdana" w:cs="Arial"/>
          <w:lang w:eastAsia="es-ES"/>
        </w:rPr>
        <w:t xml:space="preserve"> en la cual manifiesta lo siguiente:</w:t>
      </w:r>
    </w:p>
    <w:p w14:paraId="316205DD" w14:textId="77777777" w:rsidR="00CD3C1E" w:rsidRDefault="00CD3C1E" w:rsidP="00C113EF">
      <w:pPr>
        <w:spacing w:after="0" w:line="276" w:lineRule="auto"/>
        <w:jc w:val="both"/>
        <w:rPr>
          <w:rFonts w:ascii="Verdana" w:hAnsi="Verdana"/>
        </w:rPr>
      </w:pPr>
    </w:p>
    <w:p w14:paraId="45359607" w14:textId="77777777" w:rsidR="009C576B" w:rsidRDefault="009C576B" w:rsidP="00C113EF">
      <w:pPr>
        <w:spacing w:after="0" w:line="276" w:lineRule="auto"/>
        <w:jc w:val="both"/>
        <w:rPr>
          <w:rFonts w:ascii="Verdana" w:hAnsi="Verdana"/>
        </w:rPr>
      </w:pPr>
      <w:r w:rsidRPr="00E02524">
        <w:rPr>
          <w:rFonts w:ascii="Verdana" w:hAnsi="Verdana"/>
        </w:rPr>
        <w:t xml:space="preserve">PETICIÓN REALIZADA </w:t>
      </w:r>
    </w:p>
    <w:p w14:paraId="33C95ED7" w14:textId="77777777" w:rsidR="009C576B" w:rsidRPr="008E5B36" w:rsidRDefault="009C576B" w:rsidP="00C113EF">
      <w:pPr>
        <w:spacing w:after="0" w:line="276" w:lineRule="auto"/>
        <w:jc w:val="both"/>
        <w:rPr>
          <w:rFonts w:ascii="Verdana" w:hAnsi="Verdana"/>
        </w:rPr>
      </w:pPr>
    </w:p>
    <w:p w14:paraId="4F481ED8" w14:textId="77777777" w:rsidR="009C576B" w:rsidRPr="00594153" w:rsidRDefault="009C576B" w:rsidP="00C113EF">
      <w:pPr>
        <w:spacing w:after="0" w:line="240" w:lineRule="auto"/>
        <w:ind w:left="709" w:right="709"/>
        <w:jc w:val="both"/>
        <w:rPr>
          <w:rFonts w:ascii="Verdana" w:hAnsi="Verdana"/>
          <w:sz w:val="20"/>
          <w:szCs w:val="20"/>
        </w:rPr>
      </w:pPr>
      <w:r w:rsidRPr="00FC1BE4">
        <w:rPr>
          <w:rFonts w:ascii="Verdana" w:hAnsi="Verdana"/>
          <w:sz w:val="20"/>
          <w:szCs w:val="20"/>
        </w:rPr>
        <w:t xml:space="preserve">“(…) </w:t>
      </w:r>
      <w:r w:rsidRPr="00E459B9">
        <w:rPr>
          <w:rFonts w:ascii="Verdana" w:hAnsi="Verdana"/>
          <w:sz w:val="20"/>
          <w:szCs w:val="20"/>
        </w:rPr>
        <w:t xml:space="preserve">Conforme al cumulo </w:t>
      </w:r>
      <w:r>
        <w:rPr>
          <w:rFonts w:ascii="Verdana" w:hAnsi="Verdana"/>
          <w:sz w:val="20"/>
          <w:szCs w:val="20"/>
        </w:rPr>
        <w:t xml:space="preserve">(sic) </w:t>
      </w:r>
      <w:r w:rsidRPr="00E459B9">
        <w:rPr>
          <w:rFonts w:ascii="Verdana" w:hAnsi="Verdana"/>
          <w:sz w:val="20"/>
          <w:szCs w:val="20"/>
        </w:rPr>
        <w:t xml:space="preserve">de </w:t>
      </w:r>
      <w:r>
        <w:rPr>
          <w:rFonts w:ascii="Verdana" w:hAnsi="Verdana"/>
          <w:sz w:val="20"/>
          <w:szCs w:val="20"/>
        </w:rPr>
        <w:t>documentos (sic)</w:t>
      </w:r>
      <w:r w:rsidRPr="00E459B9">
        <w:rPr>
          <w:rFonts w:ascii="Verdana" w:hAnsi="Verdana"/>
          <w:sz w:val="20"/>
          <w:szCs w:val="20"/>
        </w:rPr>
        <w:t xml:space="preserve"> que solicitan las entidades para la celebración de contratos de prestación de servicios que se rigen por la ley 80 de 1993, se plantea las siguientes inquietudes: 1. Que documentos se les debe solicitar </w:t>
      </w:r>
      <w:proofErr w:type="spellStart"/>
      <w:r w:rsidRPr="00E459B9">
        <w:rPr>
          <w:rFonts w:ascii="Verdana" w:hAnsi="Verdana"/>
          <w:sz w:val="20"/>
          <w:szCs w:val="20"/>
        </w:rPr>
        <w:t>previamete</w:t>
      </w:r>
      <w:proofErr w:type="spellEnd"/>
      <w:r w:rsidRPr="00E459B9">
        <w:rPr>
          <w:rFonts w:ascii="Verdana" w:hAnsi="Verdana"/>
          <w:sz w:val="20"/>
          <w:szCs w:val="20"/>
        </w:rPr>
        <w:t xml:space="preserve"> </w:t>
      </w:r>
      <w:r>
        <w:rPr>
          <w:rFonts w:ascii="Verdana" w:hAnsi="Verdana"/>
          <w:sz w:val="20"/>
          <w:szCs w:val="20"/>
        </w:rPr>
        <w:t xml:space="preserve">(sic) </w:t>
      </w:r>
      <w:r w:rsidRPr="00E459B9">
        <w:rPr>
          <w:rFonts w:ascii="Verdana" w:hAnsi="Verdana"/>
          <w:sz w:val="20"/>
          <w:szCs w:val="20"/>
        </w:rPr>
        <w:t xml:space="preserve">la entidad a los contratistas para la celebración de un contrato de prestación de servicios - QUE DOCUMENTOS SON LOS NECESARIOS PARA CELEBRAR Y SEA VALIDO DICHO ACTO CONTRATUAL 2. Es obligatorio para celebrar un contrato de prestación de servicios la realización de cursos MIPG para la celebración del mismos, en este </w:t>
      </w:r>
      <w:proofErr w:type="spellStart"/>
      <w:r w:rsidRPr="00E459B9">
        <w:rPr>
          <w:rFonts w:ascii="Verdana" w:hAnsi="Verdana"/>
          <w:sz w:val="20"/>
          <w:szCs w:val="20"/>
        </w:rPr>
        <w:t>orde</w:t>
      </w:r>
      <w:proofErr w:type="spellEnd"/>
      <w:r w:rsidRPr="00E459B9">
        <w:rPr>
          <w:rFonts w:ascii="Verdana" w:hAnsi="Verdana"/>
          <w:sz w:val="20"/>
          <w:szCs w:val="20"/>
        </w:rPr>
        <w:t xml:space="preserve"> </w:t>
      </w:r>
      <w:r>
        <w:rPr>
          <w:rFonts w:ascii="Verdana" w:hAnsi="Verdana"/>
          <w:sz w:val="20"/>
          <w:szCs w:val="20"/>
        </w:rPr>
        <w:t xml:space="preserve">(sic) </w:t>
      </w:r>
      <w:r w:rsidRPr="00E459B9">
        <w:rPr>
          <w:rFonts w:ascii="Verdana" w:hAnsi="Verdana"/>
          <w:sz w:val="20"/>
          <w:szCs w:val="20"/>
        </w:rPr>
        <w:t xml:space="preserve">de ideas no </w:t>
      </w:r>
      <w:proofErr w:type="spellStart"/>
      <w:r w:rsidRPr="00E459B9">
        <w:rPr>
          <w:rFonts w:ascii="Verdana" w:hAnsi="Verdana"/>
          <w:sz w:val="20"/>
          <w:szCs w:val="20"/>
        </w:rPr>
        <w:t>seria</w:t>
      </w:r>
      <w:proofErr w:type="spellEnd"/>
      <w:r>
        <w:rPr>
          <w:rFonts w:ascii="Verdana" w:hAnsi="Verdana"/>
          <w:sz w:val="20"/>
          <w:szCs w:val="20"/>
        </w:rPr>
        <w:t xml:space="preserve"> (sic)</w:t>
      </w:r>
      <w:r w:rsidRPr="00E459B9">
        <w:rPr>
          <w:rFonts w:ascii="Verdana" w:hAnsi="Verdana"/>
          <w:sz w:val="20"/>
          <w:szCs w:val="20"/>
        </w:rPr>
        <w:t xml:space="preserve"> valido el contrato si el contratista no realiza dichos cursos. 3 </w:t>
      </w:r>
      <w:proofErr w:type="gramStart"/>
      <w:r w:rsidRPr="00E459B9">
        <w:rPr>
          <w:rFonts w:ascii="Verdana" w:hAnsi="Verdana"/>
          <w:sz w:val="20"/>
          <w:szCs w:val="20"/>
        </w:rPr>
        <w:t>Previamente</w:t>
      </w:r>
      <w:proofErr w:type="gramEnd"/>
      <w:r w:rsidRPr="00E459B9">
        <w:rPr>
          <w:rFonts w:ascii="Verdana" w:hAnsi="Verdana"/>
          <w:sz w:val="20"/>
          <w:szCs w:val="20"/>
        </w:rPr>
        <w:t xml:space="preserve"> se le debe exigir al contratista el pago de </w:t>
      </w:r>
      <w:proofErr w:type="spellStart"/>
      <w:r w:rsidRPr="00E459B9">
        <w:rPr>
          <w:rFonts w:ascii="Verdana" w:hAnsi="Verdana"/>
          <w:sz w:val="20"/>
          <w:szCs w:val="20"/>
        </w:rPr>
        <w:t>seguidad</w:t>
      </w:r>
      <w:proofErr w:type="spellEnd"/>
      <w:r w:rsidRPr="00E459B9">
        <w:rPr>
          <w:rFonts w:ascii="Verdana" w:hAnsi="Verdana"/>
          <w:sz w:val="20"/>
          <w:szCs w:val="20"/>
        </w:rPr>
        <w:t xml:space="preserve"> </w:t>
      </w:r>
      <w:r>
        <w:rPr>
          <w:rFonts w:ascii="Verdana" w:hAnsi="Verdana"/>
          <w:sz w:val="20"/>
          <w:szCs w:val="20"/>
        </w:rPr>
        <w:t xml:space="preserve">(sic) </w:t>
      </w:r>
      <w:r w:rsidRPr="00E459B9">
        <w:rPr>
          <w:rFonts w:ascii="Verdana" w:hAnsi="Verdana"/>
          <w:sz w:val="20"/>
          <w:szCs w:val="20"/>
        </w:rPr>
        <w:t xml:space="preserve">social con la </w:t>
      </w:r>
      <w:proofErr w:type="spellStart"/>
      <w:r w:rsidRPr="00E459B9">
        <w:rPr>
          <w:rFonts w:ascii="Verdana" w:hAnsi="Verdana"/>
          <w:sz w:val="20"/>
          <w:szCs w:val="20"/>
        </w:rPr>
        <w:t>fialidad</w:t>
      </w:r>
      <w:proofErr w:type="spellEnd"/>
      <w:r w:rsidRPr="00E459B9">
        <w:rPr>
          <w:rFonts w:ascii="Verdana" w:hAnsi="Verdana"/>
          <w:sz w:val="20"/>
          <w:szCs w:val="20"/>
        </w:rPr>
        <w:t xml:space="preserve"> </w:t>
      </w:r>
      <w:r>
        <w:rPr>
          <w:rFonts w:ascii="Verdana" w:hAnsi="Verdana"/>
          <w:sz w:val="20"/>
          <w:szCs w:val="20"/>
        </w:rPr>
        <w:t xml:space="preserve">(sic) </w:t>
      </w:r>
      <w:r w:rsidRPr="00E459B9">
        <w:rPr>
          <w:rFonts w:ascii="Verdana" w:hAnsi="Verdana"/>
          <w:sz w:val="20"/>
          <w:szCs w:val="20"/>
        </w:rPr>
        <w:t xml:space="preserve">que firme el contrato o bastara la </w:t>
      </w:r>
      <w:proofErr w:type="spellStart"/>
      <w:r w:rsidRPr="00E459B9">
        <w:rPr>
          <w:rFonts w:ascii="Verdana" w:hAnsi="Verdana"/>
          <w:sz w:val="20"/>
          <w:szCs w:val="20"/>
        </w:rPr>
        <w:t>sismpoel</w:t>
      </w:r>
      <w:proofErr w:type="spellEnd"/>
      <w:r w:rsidRPr="00E459B9">
        <w:rPr>
          <w:rFonts w:ascii="Verdana" w:hAnsi="Verdana"/>
          <w:sz w:val="20"/>
          <w:szCs w:val="20"/>
        </w:rPr>
        <w:t xml:space="preserve"> </w:t>
      </w:r>
      <w:r>
        <w:rPr>
          <w:rFonts w:ascii="Verdana" w:hAnsi="Verdana"/>
          <w:sz w:val="20"/>
          <w:szCs w:val="20"/>
        </w:rPr>
        <w:t xml:space="preserve">(sic) </w:t>
      </w:r>
      <w:r w:rsidRPr="00E459B9">
        <w:rPr>
          <w:rFonts w:ascii="Verdana" w:hAnsi="Verdana"/>
          <w:sz w:val="20"/>
          <w:szCs w:val="20"/>
        </w:rPr>
        <w:t xml:space="preserve">afiliación 4. Es obligatorio poner en la hoja de vida del SIGEP la </w:t>
      </w:r>
      <w:proofErr w:type="spellStart"/>
      <w:r w:rsidRPr="00E459B9">
        <w:rPr>
          <w:rFonts w:ascii="Verdana" w:hAnsi="Verdana"/>
          <w:sz w:val="20"/>
          <w:szCs w:val="20"/>
        </w:rPr>
        <w:t>ultima</w:t>
      </w:r>
      <w:proofErr w:type="spellEnd"/>
      <w:r>
        <w:rPr>
          <w:rFonts w:ascii="Verdana" w:hAnsi="Verdana"/>
          <w:sz w:val="20"/>
          <w:szCs w:val="20"/>
        </w:rPr>
        <w:t xml:space="preserve"> (sic)</w:t>
      </w:r>
      <w:r w:rsidRPr="00E459B9">
        <w:rPr>
          <w:rFonts w:ascii="Verdana" w:hAnsi="Verdana"/>
          <w:sz w:val="20"/>
          <w:szCs w:val="20"/>
        </w:rPr>
        <w:t xml:space="preserve"> </w:t>
      </w:r>
      <w:r>
        <w:rPr>
          <w:rFonts w:ascii="Verdana" w:hAnsi="Verdana"/>
          <w:sz w:val="20"/>
          <w:szCs w:val="20"/>
        </w:rPr>
        <w:t>experiencia (sic)</w:t>
      </w:r>
      <w:r w:rsidRPr="00E459B9">
        <w:rPr>
          <w:rFonts w:ascii="Verdana" w:hAnsi="Verdana"/>
          <w:sz w:val="20"/>
          <w:szCs w:val="20"/>
        </w:rPr>
        <w:t xml:space="preserve"> con la misma </w:t>
      </w:r>
      <w:proofErr w:type="spellStart"/>
      <w:r w:rsidRPr="00E459B9">
        <w:rPr>
          <w:rFonts w:ascii="Verdana" w:hAnsi="Verdana"/>
          <w:sz w:val="20"/>
          <w:szCs w:val="20"/>
        </w:rPr>
        <w:t>etidad</w:t>
      </w:r>
      <w:proofErr w:type="spellEnd"/>
      <w:r>
        <w:rPr>
          <w:rFonts w:ascii="Verdana" w:hAnsi="Verdana"/>
          <w:sz w:val="20"/>
          <w:szCs w:val="20"/>
        </w:rPr>
        <w:t xml:space="preserve"> (sic)</w:t>
      </w:r>
      <w:r w:rsidRPr="00E459B9">
        <w:rPr>
          <w:rFonts w:ascii="Verdana" w:hAnsi="Verdana"/>
          <w:sz w:val="20"/>
          <w:szCs w:val="20"/>
        </w:rPr>
        <w:t xml:space="preserve">, </w:t>
      </w:r>
      <w:r>
        <w:rPr>
          <w:rFonts w:ascii="Verdana" w:hAnsi="Verdana"/>
          <w:sz w:val="20"/>
          <w:szCs w:val="20"/>
        </w:rPr>
        <w:t>aunque (sic)</w:t>
      </w:r>
      <w:r w:rsidRPr="00E459B9">
        <w:rPr>
          <w:rFonts w:ascii="Verdana" w:hAnsi="Verdana"/>
          <w:sz w:val="20"/>
          <w:szCs w:val="20"/>
        </w:rPr>
        <w:t xml:space="preserve"> ya exista </w:t>
      </w:r>
      <w:proofErr w:type="spellStart"/>
      <w:r w:rsidRPr="00E459B9">
        <w:rPr>
          <w:rFonts w:ascii="Verdana" w:hAnsi="Verdana"/>
          <w:sz w:val="20"/>
          <w:szCs w:val="20"/>
        </w:rPr>
        <w:t>experiecia</w:t>
      </w:r>
      <w:proofErr w:type="spellEnd"/>
      <w:r w:rsidRPr="00E459B9">
        <w:rPr>
          <w:rFonts w:ascii="Verdana" w:hAnsi="Verdana"/>
          <w:sz w:val="20"/>
          <w:szCs w:val="20"/>
        </w:rPr>
        <w:t xml:space="preserve"> </w:t>
      </w:r>
      <w:r>
        <w:rPr>
          <w:rFonts w:ascii="Verdana" w:hAnsi="Verdana"/>
          <w:sz w:val="20"/>
          <w:szCs w:val="20"/>
        </w:rPr>
        <w:t xml:space="preserve">(sic) </w:t>
      </w:r>
      <w:r w:rsidRPr="00E459B9">
        <w:rPr>
          <w:rFonts w:ascii="Verdana" w:hAnsi="Verdana"/>
          <w:sz w:val="20"/>
          <w:szCs w:val="20"/>
        </w:rPr>
        <w:t xml:space="preserve">para aplicar. 4, Es </w:t>
      </w:r>
      <w:proofErr w:type="spellStart"/>
      <w:r w:rsidRPr="00E459B9">
        <w:rPr>
          <w:rFonts w:ascii="Verdana" w:hAnsi="Verdana"/>
          <w:sz w:val="20"/>
          <w:szCs w:val="20"/>
        </w:rPr>
        <w:t>oligatoria</w:t>
      </w:r>
      <w:proofErr w:type="spellEnd"/>
      <w:r>
        <w:rPr>
          <w:rFonts w:ascii="Verdana" w:hAnsi="Verdana"/>
          <w:sz w:val="20"/>
          <w:szCs w:val="20"/>
        </w:rPr>
        <w:t xml:space="preserve"> (sic)</w:t>
      </w:r>
      <w:r w:rsidRPr="00E459B9">
        <w:rPr>
          <w:rFonts w:ascii="Verdana" w:hAnsi="Verdana"/>
          <w:sz w:val="20"/>
          <w:szCs w:val="20"/>
        </w:rPr>
        <w:t xml:space="preserve"> la declaración de bienes y rentas </w:t>
      </w:r>
      <w:r w:rsidRPr="00FC1BE4">
        <w:rPr>
          <w:rFonts w:ascii="Verdana" w:hAnsi="Verdana"/>
          <w:sz w:val="20"/>
          <w:szCs w:val="20"/>
        </w:rPr>
        <w:t>(…)”.</w:t>
      </w:r>
    </w:p>
    <w:p w14:paraId="1CD41BEA" w14:textId="77777777" w:rsidR="009C576B" w:rsidRPr="008C78AF" w:rsidRDefault="009C576B" w:rsidP="009C576B">
      <w:pPr>
        <w:spacing w:after="0" w:line="240" w:lineRule="auto"/>
        <w:ind w:left="567" w:right="758"/>
        <w:jc w:val="both"/>
        <w:rPr>
          <w:rFonts w:ascii="Verdana" w:hAnsi="Verdana"/>
        </w:rPr>
      </w:pPr>
    </w:p>
    <w:p w14:paraId="103F9283" w14:textId="78829E7F" w:rsidR="009C576B" w:rsidRPr="00F64722" w:rsidRDefault="009C576B" w:rsidP="009C576B">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DC1D2A">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Colombia</w:t>
      </w:r>
      <w:r w:rsidR="00DC1D2A">
        <w:rPr>
          <w:rFonts w:ascii="Verdana" w:eastAsia="Calibri" w:hAnsi="Verdana" w:cs="Arial"/>
          <w:color w:val="000000"/>
          <w:lang w:eastAsia="es-ES"/>
        </w:rPr>
        <w:t xml:space="preserve"> </w:t>
      </w:r>
      <w:r w:rsidRPr="005644FE">
        <w:rPr>
          <w:rFonts w:ascii="Verdana" w:eastAsia="Calibri" w:hAnsi="Verdana" w:cs="Arial"/>
          <w:color w:val="000000"/>
          <w:lang w:eastAsia="es-ES"/>
        </w:rPr>
        <w:t xml:space="preserve">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1E46F66" w14:textId="77777777" w:rsidR="009C576B" w:rsidRDefault="009C576B" w:rsidP="009C576B">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lastRenderedPageBreak/>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w:t>
      </w:r>
      <w:r>
        <w:rPr>
          <w:rFonts w:ascii="Verdana" w:eastAsia="Calibri" w:hAnsi="Verdana" w:cs="Arial"/>
          <w:color w:val="000000"/>
          <w:lang w:eastAsia="es-ES"/>
        </w:rPr>
        <w:t xml:space="preserve"> los problemas </w:t>
      </w:r>
      <w:r w:rsidRPr="00F64722">
        <w:rPr>
          <w:rFonts w:ascii="Verdana" w:eastAsia="Calibri" w:hAnsi="Verdana" w:cs="Arial"/>
          <w:color w:val="000000"/>
          <w:lang w:eastAsia="es-ES"/>
        </w:rPr>
        <w:t>jurídico</w:t>
      </w:r>
      <w:r>
        <w:rPr>
          <w:rFonts w:ascii="Verdana" w:eastAsia="Calibri" w:hAnsi="Verdana" w:cs="Arial"/>
          <w:color w:val="000000"/>
          <w:lang w:eastAsia="es-ES"/>
        </w:rPr>
        <w:t>s</w:t>
      </w:r>
      <w:r w:rsidRPr="00F64722">
        <w:rPr>
          <w:rFonts w:ascii="Verdana" w:eastAsia="Calibri" w:hAnsi="Verdana" w:cs="Arial"/>
          <w:color w:val="000000"/>
          <w:lang w:eastAsia="es-ES"/>
        </w:rPr>
        <w:t xml:space="preserve"> de su consulta.</w:t>
      </w:r>
      <w:r w:rsidRPr="00F64722">
        <w:rPr>
          <w:rFonts w:ascii="Verdana" w:eastAsia="Calibri" w:hAnsi="Verdana" w:cs="Arial"/>
          <w:lang w:eastAsia="es-ES"/>
        </w:rPr>
        <w:t xml:space="preserve">  </w:t>
      </w:r>
    </w:p>
    <w:p w14:paraId="69AE6CA2" w14:textId="77777777" w:rsidR="002F111E" w:rsidRPr="00F64722" w:rsidRDefault="002F111E" w:rsidP="00FF1BEF">
      <w:pPr>
        <w:spacing w:after="0" w:line="276" w:lineRule="auto"/>
        <w:ind w:firstLine="709"/>
        <w:jc w:val="both"/>
        <w:rPr>
          <w:rFonts w:ascii="Verdana" w:eastAsia="Calibri" w:hAnsi="Verdana" w:cs="Arial"/>
          <w:lang w:eastAsia="es-ES"/>
        </w:rPr>
      </w:pPr>
    </w:p>
    <w:p w14:paraId="639284A7" w14:textId="77777777" w:rsidR="009C576B" w:rsidRPr="00F64722" w:rsidRDefault="009C576B" w:rsidP="00FF1BE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06F7EA64" w14:textId="77777777" w:rsidR="009C576B" w:rsidRPr="00F64722" w:rsidRDefault="009C576B" w:rsidP="008C78A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FE7AB22" w14:textId="77777777" w:rsidR="009C576B" w:rsidRDefault="009C576B" w:rsidP="00FF1BEF">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De acuerdo con el contenido de su solicitud, esta Agencia resolverá los siguientes problemas jurídicos</w:t>
      </w:r>
      <w:r w:rsidRPr="003F146D">
        <w:rPr>
          <w:rFonts w:ascii="Verdana" w:eastAsia="Calibri" w:hAnsi="Verdana" w:cs="Arial"/>
          <w:color w:val="000000"/>
          <w:lang w:eastAsia="es-ES"/>
        </w:rPr>
        <w:t xml:space="preserve">: </w:t>
      </w:r>
    </w:p>
    <w:p w14:paraId="32421FA1" w14:textId="77777777" w:rsidR="00DC1D2A" w:rsidRDefault="00DC1D2A" w:rsidP="008C78AF">
      <w:pPr>
        <w:spacing w:after="0" w:line="276" w:lineRule="auto"/>
        <w:jc w:val="both"/>
        <w:rPr>
          <w:rFonts w:ascii="Verdana" w:eastAsia="Calibri" w:hAnsi="Verdana" w:cs="Arial"/>
          <w:color w:val="000000"/>
          <w:lang w:eastAsia="es-ES"/>
        </w:rPr>
      </w:pPr>
    </w:p>
    <w:p w14:paraId="259D2905" w14:textId="77777777" w:rsidR="009C576B" w:rsidRDefault="009C576B" w:rsidP="008C78AF">
      <w:pPr>
        <w:pStyle w:val="Prrafodelista"/>
        <w:numPr>
          <w:ilvl w:val="0"/>
          <w:numId w:val="19"/>
        </w:numPr>
        <w:spacing w:after="0" w:line="276" w:lineRule="auto"/>
        <w:contextualSpacing w:val="0"/>
        <w:jc w:val="both"/>
        <w:rPr>
          <w:rFonts w:ascii="Verdana" w:eastAsia="Calibri" w:hAnsi="Verdana" w:cs="Arial"/>
          <w:color w:val="000000"/>
          <w:lang w:eastAsia="es-ES"/>
        </w:rPr>
      </w:pPr>
      <w:r>
        <w:rPr>
          <w:rFonts w:ascii="Verdana" w:eastAsia="Calibri" w:hAnsi="Verdana" w:cs="Arial"/>
          <w:color w:val="000000"/>
          <w:lang w:eastAsia="es-ES"/>
        </w:rPr>
        <w:t xml:space="preserve">¿Cuáles son los documentos necesarios que la entidad pública requiere para celebrar un contrato de prestación de servicios? </w:t>
      </w:r>
    </w:p>
    <w:p w14:paraId="193B6D6D" w14:textId="77777777" w:rsidR="009C576B" w:rsidRDefault="009C576B" w:rsidP="008C78AF">
      <w:pPr>
        <w:pStyle w:val="Prrafodelista"/>
        <w:numPr>
          <w:ilvl w:val="0"/>
          <w:numId w:val="19"/>
        </w:numPr>
        <w:spacing w:after="0" w:line="276" w:lineRule="auto"/>
        <w:contextualSpacing w:val="0"/>
        <w:jc w:val="both"/>
        <w:rPr>
          <w:rFonts w:ascii="Verdana" w:eastAsia="Calibri" w:hAnsi="Verdana" w:cs="Arial"/>
          <w:color w:val="000000"/>
          <w:lang w:eastAsia="es-ES"/>
        </w:rPr>
      </w:pPr>
      <w:r>
        <w:rPr>
          <w:rFonts w:ascii="Verdana" w:eastAsia="Calibri" w:hAnsi="Verdana" w:cs="Arial"/>
          <w:color w:val="000000"/>
          <w:lang w:eastAsia="es-ES"/>
        </w:rPr>
        <w:t xml:space="preserve">¿La realización de los cursos de MIPG son necesarios para celebrar el contrato de prestación de servicios? </w:t>
      </w:r>
    </w:p>
    <w:p w14:paraId="17E1A273" w14:textId="77777777" w:rsidR="009C576B" w:rsidRDefault="009C576B" w:rsidP="008C78AF">
      <w:pPr>
        <w:pStyle w:val="Prrafodelista"/>
        <w:numPr>
          <w:ilvl w:val="0"/>
          <w:numId w:val="19"/>
        </w:numPr>
        <w:spacing w:after="0" w:line="276" w:lineRule="auto"/>
        <w:contextualSpacing w:val="0"/>
        <w:jc w:val="both"/>
        <w:rPr>
          <w:rFonts w:ascii="Verdana" w:eastAsia="Calibri" w:hAnsi="Verdana" w:cs="Arial"/>
          <w:color w:val="000000"/>
          <w:lang w:eastAsia="es-ES"/>
        </w:rPr>
      </w:pPr>
      <w:r>
        <w:rPr>
          <w:rFonts w:ascii="Verdana" w:eastAsia="Calibri" w:hAnsi="Verdana" w:cs="Arial"/>
          <w:color w:val="000000"/>
          <w:lang w:eastAsia="es-ES"/>
        </w:rPr>
        <w:t xml:space="preserve">¿Es indispensable que el futuro contratista cancele la planilla de la seguridad social integral o basta el certificado de afiliación como requisito para la celebración del contrato? </w:t>
      </w:r>
    </w:p>
    <w:p w14:paraId="4621E3ED" w14:textId="77777777" w:rsidR="009C576B" w:rsidRDefault="009C576B" w:rsidP="008C78AF">
      <w:pPr>
        <w:pStyle w:val="Prrafodelista"/>
        <w:numPr>
          <w:ilvl w:val="0"/>
          <w:numId w:val="19"/>
        </w:numPr>
        <w:spacing w:after="0" w:line="276" w:lineRule="auto"/>
        <w:contextualSpacing w:val="0"/>
        <w:jc w:val="both"/>
        <w:rPr>
          <w:rFonts w:ascii="Verdana" w:eastAsia="Calibri" w:hAnsi="Verdana" w:cs="Arial"/>
          <w:color w:val="000000"/>
          <w:lang w:eastAsia="es-ES"/>
        </w:rPr>
      </w:pPr>
      <w:r>
        <w:rPr>
          <w:rFonts w:ascii="Verdana" w:eastAsia="Calibri" w:hAnsi="Verdana" w:cs="Arial"/>
          <w:color w:val="000000"/>
          <w:lang w:eastAsia="es-ES"/>
        </w:rPr>
        <w:t xml:space="preserve">¿En la hoja de vida SIGEP es obligatorio actualizar la información con la experiencia profesional incluyendo aquella que se haya tenido anteriormente con la entidad futura contratante? </w:t>
      </w:r>
    </w:p>
    <w:p w14:paraId="1D31E63F" w14:textId="77777777" w:rsidR="009C576B" w:rsidRPr="00216156" w:rsidRDefault="009C576B" w:rsidP="008C78AF">
      <w:pPr>
        <w:pStyle w:val="Prrafodelista"/>
        <w:numPr>
          <w:ilvl w:val="0"/>
          <w:numId w:val="19"/>
        </w:numPr>
        <w:spacing w:after="0" w:line="276" w:lineRule="auto"/>
        <w:contextualSpacing w:val="0"/>
        <w:jc w:val="both"/>
        <w:rPr>
          <w:rFonts w:ascii="Verdana" w:eastAsia="Calibri" w:hAnsi="Verdana" w:cs="Arial"/>
          <w:color w:val="000000"/>
          <w:lang w:eastAsia="es-ES"/>
        </w:rPr>
      </w:pPr>
      <w:r>
        <w:rPr>
          <w:rFonts w:ascii="Verdana" w:eastAsia="Calibri" w:hAnsi="Verdana" w:cs="Arial"/>
          <w:color w:val="000000"/>
          <w:lang w:eastAsia="es-ES"/>
        </w:rPr>
        <w:t xml:space="preserve">¿Es obligatorio presentar la declaración de bienes y rentas?  </w:t>
      </w:r>
    </w:p>
    <w:p w14:paraId="1E5ACEFD" w14:textId="77777777" w:rsidR="009C576B" w:rsidRDefault="009C576B" w:rsidP="008C78AF">
      <w:pPr>
        <w:spacing w:after="0" w:line="276" w:lineRule="auto"/>
        <w:jc w:val="both"/>
        <w:rPr>
          <w:rFonts w:ascii="Verdana" w:eastAsia="Century Gothic" w:hAnsi="Verdana" w:cs="Century Gothic"/>
          <w:b/>
          <w:bCs/>
        </w:rPr>
      </w:pPr>
    </w:p>
    <w:p w14:paraId="1CC37A0F" w14:textId="77777777" w:rsidR="009C576B" w:rsidRDefault="009C576B" w:rsidP="008C78AF">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122E4321" w14:textId="77777777" w:rsidR="009C576B" w:rsidRPr="005644FE" w:rsidRDefault="009C576B" w:rsidP="008C78AF">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9C576B" w:rsidRPr="005644FE" w14:paraId="305871CE" w14:textId="77777777" w:rsidTr="00295043">
        <w:tc>
          <w:tcPr>
            <w:tcW w:w="8828" w:type="dxa"/>
          </w:tcPr>
          <w:p w14:paraId="2C0069E8" w14:textId="77777777" w:rsidR="00131A22" w:rsidRDefault="009C576B" w:rsidP="00295043">
            <w:pPr>
              <w:spacing w:after="120" w:line="276" w:lineRule="auto"/>
              <w:jc w:val="both"/>
              <w:rPr>
                <w:rFonts w:ascii="Verdana" w:eastAsia="Calibri" w:hAnsi="Verdana" w:cs="Arial"/>
                <w:bCs/>
                <w:color w:val="000000"/>
                <w:kern w:val="2"/>
                <w14:ligatures w14:val="standardContextual"/>
              </w:rPr>
            </w:pPr>
            <w:r>
              <w:rPr>
                <w:rFonts w:ascii="Verdana" w:eastAsia="Times New Roman" w:hAnsi="Verdana" w:cs="Arial"/>
                <w:color w:val="000000" w:themeColor="text1"/>
                <w:lang w:val="es-ES" w:eastAsia="es-ES_tradnl"/>
              </w:rPr>
              <w:t>i) Lo</w:t>
            </w:r>
            <w:r w:rsidRPr="00F31A35">
              <w:rPr>
                <w:rFonts w:ascii="Verdana" w:eastAsia="Calibri" w:hAnsi="Verdana" w:cs="Arial"/>
                <w:bCs/>
                <w:color w:val="000000"/>
                <w:kern w:val="2"/>
                <w14:ligatures w14:val="standardContextual"/>
              </w:rPr>
              <w:t>s entes estatales durante la etapa de planeación, tienen el deber de realizar el análisis del sector y justificar la modalidad de contratación en los documentos del proceso, que para el caso de los procesos que impliquen una contratación directa y</w:t>
            </w:r>
            <w:r w:rsidR="00941351">
              <w:rPr>
                <w:rFonts w:ascii="Verdana" w:eastAsia="Calibri" w:hAnsi="Verdana" w:cs="Arial"/>
                <w:bCs/>
                <w:color w:val="000000"/>
                <w:kern w:val="2"/>
                <w14:ligatures w14:val="standardContextual"/>
              </w:rPr>
              <w:t>,</w:t>
            </w:r>
            <w:r w:rsidRPr="00F31A35">
              <w:rPr>
                <w:rFonts w:ascii="Verdana" w:eastAsia="Calibri" w:hAnsi="Verdana" w:cs="Arial"/>
                <w:bCs/>
                <w:color w:val="000000"/>
                <w:kern w:val="2"/>
                <w14:ligatures w14:val="standardContextual"/>
              </w:rPr>
              <w:t xml:space="preserve"> en lo concerniente a los contratos de prestación de servicios profesionales, de apoyo a la gestión y de trabajos artísticos, se constata en los estudios y documentos previos, los cuales deben indicar, entre otras, las condiciones mínimas exigidas para suplir la necesidad de la entidad así como los requisitos que debe acreditar el futuro contratista para el cumplimiento del objeto contractual.</w:t>
            </w:r>
            <w:r>
              <w:rPr>
                <w:rFonts w:ascii="Verdana" w:eastAsia="Calibri" w:hAnsi="Verdana" w:cs="Arial"/>
                <w:bCs/>
                <w:color w:val="000000"/>
                <w:kern w:val="2"/>
                <w14:ligatures w14:val="standardContextual"/>
              </w:rPr>
              <w:t xml:space="preserve"> </w:t>
            </w:r>
          </w:p>
          <w:p w14:paraId="56E6704C" w14:textId="77777777" w:rsidR="001C0AB4" w:rsidRDefault="009C576B" w:rsidP="001C0AB4">
            <w:pPr>
              <w:spacing w:before="120" w:after="120" w:line="276" w:lineRule="auto"/>
              <w:ind w:firstLine="709"/>
              <w:jc w:val="both"/>
              <w:rPr>
                <w:rFonts w:ascii="Verdana" w:hAnsi="Verdana"/>
                <w:lang w:eastAsia="es-MX"/>
              </w:rPr>
            </w:pPr>
            <w:r>
              <w:rPr>
                <w:rFonts w:ascii="Verdana" w:eastAsia="Calibri" w:hAnsi="Verdana" w:cs="Arial"/>
                <w:bCs/>
                <w:color w:val="000000"/>
                <w:kern w:val="2"/>
                <w14:ligatures w14:val="standardContextual"/>
              </w:rPr>
              <w:t xml:space="preserve">En este contexto, de acuerdo con lo establecido en el Decreto 1082 de 2015 artículo </w:t>
            </w:r>
            <w:r w:rsidRPr="0059266F">
              <w:rPr>
                <w:rFonts w:ascii="Verdana" w:hAnsi="Verdana"/>
                <w:lang w:eastAsia="es-MX"/>
              </w:rPr>
              <w:t>2.2.1.2.1.4.9.</w:t>
            </w:r>
            <w:r>
              <w:rPr>
                <w:rFonts w:ascii="Verdana" w:hAnsi="Verdana"/>
                <w:lang w:eastAsia="es-MX"/>
              </w:rPr>
              <w:t xml:space="preserve">, la entidad estatal deberá verificar </w:t>
            </w:r>
            <w:r w:rsidRPr="0059266F">
              <w:rPr>
                <w:rFonts w:ascii="Verdana" w:hAnsi="Verdana"/>
                <w:lang w:eastAsia="es-MX"/>
              </w:rPr>
              <w:t xml:space="preserve">la idoneidad o </w:t>
            </w:r>
            <w:r w:rsidRPr="0059266F">
              <w:rPr>
                <w:rFonts w:ascii="Verdana" w:hAnsi="Verdana"/>
                <w:lang w:eastAsia="es-MX"/>
              </w:rPr>
              <w:lastRenderedPageBreak/>
              <w:t>experiencia requerida y relacionada con el área de que se trate</w:t>
            </w:r>
            <w:r>
              <w:rPr>
                <w:rFonts w:ascii="Verdana" w:hAnsi="Verdana"/>
                <w:lang w:eastAsia="es-MX"/>
              </w:rPr>
              <w:t>.</w:t>
            </w:r>
            <w:r w:rsidR="001C0AB4">
              <w:rPr>
                <w:rFonts w:ascii="Verdana" w:hAnsi="Verdana"/>
                <w:lang w:eastAsia="es-MX"/>
              </w:rPr>
              <w:t xml:space="preserve"> Para tales fines, deberán establecer en los documentos previos cuales son los documentos que solicitarán al futuro contratista para acreditar y verificar los requisitos exigidos. </w:t>
            </w:r>
          </w:p>
          <w:p w14:paraId="7C44B694" w14:textId="77777777" w:rsidR="009C576B" w:rsidRDefault="009C576B" w:rsidP="00295043">
            <w:pPr>
              <w:spacing w:before="120" w:after="120" w:line="276" w:lineRule="auto"/>
              <w:ind w:firstLine="709"/>
              <w:jc w:val="both"/>
              <w:rPr>
                <w:rFonts w:ascii="Verdana" w:hAnsi="Verdana"/>
                <w:lang w:eastAsia="es-MX"/>
              </w:rPr>
            </w:pPr>
            <w:r>
              <w:rPr>
                <w:rFonts w:ascii="Verdana" w:eastAsia="Calibri" w:hAnsi="Verdana" w:cs="Arial"/>
                <w:bCs/>
                <w:color w:val="000000"/>
                <w:kern w:val="2"/>
                <w14:ligatures w14:val="standardContextual"/>
              </w:rPr>
              <w:t xml:space="preserve">La </w:t>
            </w:r>
            <w:r>
              <w:rPr>
                <w:rFonts w:ascii="Verdana" w:eastAsia="Calibri" w:hAnsi="Verdana" w:cs="Arial"/>
                <w:bCs/>
                <w:i/>
                <w:iCs/>
                <w:color w:val="000000"/>
                <w:kern w:val="2"/>
                <w14:ligatures w14:val="standardContextual"/>
              </w:rPr>
              <w:t>“</w:t>
            </w:r>
            <w:r w:rsidRPr="0059266F">
              <w:rPr>
                <w:rFonts w:ascii="Verdana" w:hAnsi="Verdana"/>
                <w:i/>
                <w:lang w:eastAsia="es-MX"/>
              </w:rPr>
              <w:t xml:space="preserve">Guía para la </w:t>
            </w:r>
            <w:r>
              <w:rPr>
                <w:rFonts w:ascii="Verdana" w:hAnsi="Verdana"/>
                <w:i/>
                <w:lang w:eastAsia="es-MX"/>
              </w:rPr>
              <w:t>i</w:t>
            </w:r>
            <w:r>
              <w:rPr>
                <w:rFonts w:ascii="Verdana" w:hAnsi="Verdana"/>
                <w:i/>
                <w:iCs/>
                <w:lang w:eastAsia="es-MX"/>
              </w:rPr>
              <w:t>ncorporación de lineamientos de integridad en la contratación de prestación de servicios”</w:t>
            </w:r>
            <w:r w:rsidRPr="0059266F">
              <w:rPr>
                <w:rFonts w:ascii="Verdana" w:hAnsi="Verdana"/>
                <w:lang w:eastAsia="es-MX"/>
              </w:rPr>
              <w:t>,</w:t>
            </w:r>
            <w:r>
              <w:rPr>
                <w:rFonts w:ascii="Verdana" w:hAnsi="Verdana"/>
                <w:lang w:eastAsia="es-MX"/>
              </w:rPr>
              <w:t xml:space="preserve"> expedida por la Agencia de Contratación Pública – Colombia Compra Eficiente, en su Anexo 2 y 3, relaciona una lista ilustrativa de los documentos que puede solicitar la entidad del estado para suscribir contratos de prestación de servicios bien sea con persona natural o jurídica, como por ejemplo, los certificado de antecedentes judiciales, fiscales, disciplinarios, documentos que acrediten la experiencia profesional, formación académica, matrícula profesional, RIT, RUT, certificado de afiliación al sistema de seguridad social integral, entre otros. </w:t>
            </w:r>
          </w:p>
          <w:p w14:paraId="731D375C" w14:textId="3C8E3940" w:rsidR="009C576B" w:rsidRDefault="009C576B" w:rsidP="00B803B2">
            <w:pPr>
              <w:spacing w:before="120" w:line="276" w:lineRule="auto"/>
              <w:ind w:firstLine="709"/>
              <w:jc w:val="both"/>
              <w:rPr>
                <w:rFonts w:ascii="Verdana" w:hAnsi="Verdana"/>
                <w:lang w:eastAsia="es-MX"/>
              </w:rPr>
            </w:pPr>
            <w:r>
              <w:rPr>
                <w:rFonts w:ascii="Verdana" w:hAnsi="Verdana"/>
                <w:lang w:eastAsia="es-MX"/>
              </w:rPr>
              <w:t>En ese sentido, será la entidad estatal, dentro de su autonomía contractual, la llamada a definir los criterios necesarios para evaluar la idoneidad y experiencia del futuro contratista</w:t>
            </w:r>
            <w:r w:rsidR="00BD4CF9">
              <w:rPr>
                <w:rFonts w:ascii="Verdana" w:hAnsi="Verdana"/>
                <w:lang w:eastAsia="es-MX"/>
              </w:rPr>
              <w:t>, así como la ausencia de inhabilidades, incompatibilidades y prohibiciones, sin que exista alguna exigencia normativa, salvo algunos casos que se indicarán más adelante</w:t>
            </w:r>
            <w:r>
              <w:rPr>
                <w:rFonts w:ascii="Verdana" w:hAnsi="Verdana"/>
                <w:lang w:eastAsia="es-MX"/>
              </w:rPr>
              <w:t xml:space="preserve">. No </w:t>
            </w:r>
            <w:proofErr w:type="gramStart"/>
            <w:r>
              <w:rPr>
                <w:rFonts w:ascii="Verdana" w:hAnsi="Verdana"/>
                <w:lang w:eastAsia="es-MX"/>
              </w:rPr>
              <w:t>obstante</w:t>
            </w:r>
            <w:proofErr w:type="gramEnd"/>
            <w:r>
              <w:rPr>
                <w:rFonts w:ascii="Verdana" w:hAnsi="Verdana"/>
                <w:lang w:eastAsia="es-MX"/>
              </w:rPr>
              <w:t xml:space="preserve"> lo anterior, si la entidad estatal cuenta con algún manual de contratación, adoptará lo allí plasmado e incluso, podrá adoptar los lineamientos establecidos en la guía antes mencionada expedida por esta Agencia. </w:t>
            </w:r>
          </w:p>
          <w:p w14:paraId="2A38CD18" w14:textId="77777777" w:rsidR="00832B42" w:rsidRDefault="00832B42" w:rsidP="00832B42">
            <w:pPr>
              <w:spacing w:before="120" w:line="276" w:lineRule="auto"/>
              <w:ind w:firstLine="709"/>
              <w:jc w:val="both"/>
              <w:rPr>
                <w:rFonts w:ascii="Verdana" w:hAnsi="Verdana"/>
                <w:lang w:eastAsia="es-MX"/>
              </w:rPr>
            </w:pPr>
            <w:r>
              <w:rPr>
                <w:rFonts w:ascii="Verdana" w:hAnsi="Verdana"/>
                <w:lang w:eastAsia="es-MX"/>
              </w:rPr>
              <w:t xml:space="preserve">Lo que resulta necesario es que la entidad estatal evalúe y se cerciore sobre la idoneidad y experiencia del futuro contratista para ejercer las actividades propias del objeto contractual, definidas en los estudios previos que posteriormente se concretará a través de la celebración del contrato de prestación de servicios, conforme a los requisitos exigidos en el artículo 41 de la Ley 80 de 1993.  </w:t>
            </w:r>
          </w:p>
          <w:p w14:paraId="3471DB88" w14:textId="77777777" w:rsidR="00B803B2" w:rsidRDefault="00B803B2" w:rsidP="008C78AF">
            <w:pPr>
              <w:spacing w:line="276" w:lineRule="auto"/>
              <w:ind w:firstLine="709"/>
              <w:jc w:val="both"/>
              <w:rPr>
                <w:rFonts w:ascii="Verdana" w:hAnsi="Verdana"/>
                <w:lang w:eastAsia="es-MX"/>
              </w:rPr>
            </w:pPr>
          </w:p>
          <w:p w14:paraId="42E1BE55" w14:textId="77777777" w:rsidR="009C576B" w:rsidRDefault="009C576B" w:rsidP="00EC7892">
            <w:pPr>
              <w:spacing w:line="276" w:lineRule="auto"/>
              <w:jc w:val="both"/>
              <w:rPr>
                <w:rFonts w:ascii="Verdana" w:eastAsia="Calibri" w:hAnsi="Verdana" w:cs="Arial"/>
                <w:color w:val="000000" w:themeColor="text1"/>
                <w:lang w:val="es-ES" w:eastAsia="en-GB"/>
              </w:rPr>
            </w:pPr>
            <w:proofErr w:type="spellStart"/>
            <w:r>
              <w:rPr>
                <w:rFonts w:ascii="Verdana" w:hAnsi="Verdana"/>
                <w:lang w:eastAsia="es-MX"/>
              </w:rPr>
              <w:t>ii</w:t>
            </w:r>
            <w:proofErr w:type="spellEnd"/>
            <w:r>
              <w:rPr>
                <w:rFonts w:ascii="Verdana" w:hAnsi="Verdana"/>
                <w:lang w:eastAsia="es-MX"/>
              </w:rPr>
              <w:t xml:space="preserve">) En cuanto al segundo problema jurídico, </w:t>
            </w:r>
            <w:r w:rsidRPr="00C04026">
              <w:rPr>
                <w:rFonts w:ascii="Verdana" w:eastAsia="Calibri" w:hAnsi="Verdana" w:cs="Arial"/>
                <w:color w:val="000000" w:themeColor="text1"/>
                <w:lang w:val="es-ES" w:eastAsia="en-GB"/>
              </w:rPr>
              <w:t xml:space="preserve">la exigencia de que el futuro contratista deba efectuar los cursos de MIPG (Modelo integrado de Planeación y Gestión) </w:t>
            </w:r>
            <w:r>
              <w:rPr>
                <w:rFonts w:ascii="Verdana" w:eastAsia="Calibri" w:hAnsi="Verdana" w:cs="Arial"/>
                <w:color w:val="000000" w:themeColor="text1"/>
                <w:lang w:val="es-ES" w:eastAsia="en-GB"/>
              </w:rPr>
              <w:t xml:space="preserve">para celebrar el contrato, </w:t>
            </w:r>
            <w:r w:rsidRPr="00C04026">
              <w:rPr>
                <w:rFonts w:ascii="Verdana" w:eastAsia="Calibri" w:hAnsi="Verdana" w:cs="Arial"/>
                <w:color w:val="000000" w:themeColor="text1"/>
                <w:lang w:val="es-ES" w:eastAsia="en-GB"/>
              </w:rPr>
              <w:t xml:space="preserve">dependerá </w:t>
            </w:r>
            <w:r>
              <w:rPr>
                <w:rFonts w:ascii="Verdana" w:eastAsia="Calibri" w:hAnsi="Verdana" w:cs="Arial"/>
                <w:color w:val="000000" w:themeColor="text1"/>
                <w:lang w:val="es-ES" w:eastAsia="en-GB"/>
              </w:rPr>
              <w:t xml:space="preserve">de la necesidad que la entidad estatal definida en los estudios previos y los requisitos que se exijan para así continuar con el proceso de contratación y perfeccionamiento del contrato. Por lo tanto, al no existir una lista taxativa de los documentos o requisitos para </w:t>
            </w:r>
            <w:r>
              <w:rPr>
                <w:rFonts w:ascii="Verdana" w:eastAsia="Calibri" w:hAnsi="Verdana" w:cs="Arial"/>
                <w:color w:val="000000" w:themeColor="text1"/>
                <w:lang w:val="es-ES" w:eastAsia="en-GB"/>
              </w:rPr>
              <w:lastRenderedPageBreak/>
              <w:t>celebrar el contrato, la entidad estatal dentro de la autonomía contractual determinará los criterios necesarios para celebrar el contrato, siempre y cuando se sustente en debida forma y con base en lo dispuesto en la Ley 80 de 1993 y el Decreto 1982 de 2015 artículos 2.2.1.1.1.6.1</w:t>
            </w:r>
            <w:r w:rsidRPr="00AC5804">
              <w:rPr>
                <w:rFonts w:ascii="Verdana" w:eastAsia="Calibri" w:hAnsi="Verdana" w:cs="Arial"/>
                <w:color w:val="000000" w:themeColor="text1"/>
                <w:lang w:val="es-ES" w:eastAsia="en-GB"/>
              </w:rPr>
              <w:t>, 2.2.1.1.2.1.1 y 2.2.1.2.1.4.9</w:t>
            </w:r>
            <w:r>
              <w:rPr>
                <w:rFonts w:ascii="Verdana" w:eastAsia="Calibri" w:hAnsi="Verdana" w:cs="Arial"/>
                <w:color w:val="000000" w:themeColor="text1"/>
                <w:lang w:val="es-ES" w:eastAsia="en-GB"/>
              </w:rPr>
              <w:t>.</w:t>
            </w:r>
          </w:p>
          <w:p w14:paraId="6628458E" w14:textId="77777777" w:rsidR="00EC7892" w:rsidRPr="00C04026" w:rsidRDefault="00EC7892" w:rsidP="008C78AF">
            <w:pPr>
              <w:spacing w:line="276" w:lineRule="auto"/>
              <w:jc w:val="both"/>
              <w:rPr>
                <w:rFonts w:ascii="Verdana" w:eastAsia="Calibri" w:hAnsi="Verdana" w:cs="Arial"/>
                <w:color w:val="000000"/>
                <w:lang w:val="es-ES" w:eastAsia="en-GB"/>
              </w:rPr>
            </w:pPr>
          </w:p>
          <w:p w14:paraId="694F8ABC" w14:textId="77777777" w:rsidR="009C576B" w:rsidRDefault="009C576B" w:rsidP="008C78AF">
            <w:pPr>
              <w:spacing w:after="120" w:line="276" w:lineRule="auto"/>
              <w:jc w:val="both"/>
              <w:rPr>
                <w:rFonts w:ascii="Verdana" w:eastAsia="Calibri" w:hAnsi="Verdana" w:cs="Arial"/>
                <w:color w:val="000000" w:themeColor="text1"/>
                <w:lang w:val="es-ES" w:eastAsia="en-GB"/>
              </w:rPr>
            </w:pPr>
            <w:proofErr w:type="spellStart"/>
            <w:r>
              <w:rPr>
                <w:rFonts w:ascii="Verdana" w:hAnsi="Verdana"/>
                <w:lang w:val="es-ES" w:eastAsia="es-MX"/>
              </w:rPr>
              <w:t>iii</w:t>
            </w:r>
            <w:proofErr w:type="spellEnd"/>
            <w:r>
              <w:rPr>
                <w:rFonts w:ascii="Verdana" w:hAnsi="Verdana"/>
                <w:lang w:val="es-ES" w:eastAsia="es-MX"/>
              </w:rPr>
              <w:t xml:space="preserve">) </w:t>
            </w:r>
            <w:r w:rsidRPr="00C970B4">
              <w:rPr>
                <w:rFonts w:ascii="Verdana" w:eastAsia="Calibri" w:hAnsi="Verdana" w:cs="Arial"/>
                <w:color w:val="000000" w:themeColor="text1"/>
                <w:lang w:val="es-ES" w:eastAsia="en-GB"/>
              </w:rPr>
              <w:t xml:space="preserve">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32B2123A" w14:textId="776B21C4" w:rsidR="00AA0A8C" w:rsidRPr="00865CCD" w:rsidRDefault="00AA0A8C" w:rsidP="008C78AF">
            <w:pPr>
              <w:spacing w:line="276" w:lineRule="auto"/>
              <w:ind w:firstLine="708"/>
              <w:jc w:val="both"/>
              <w:rPr>
                <w:rFonts w:ascii="Verdana" w:eastAsia="Calibri" w:hAnsi="Verdana" w:cs="Arial"/>
                <w:color w:val="000000"/>
                <w:lang w:val="es-ES"/>
              </w:rPr>
            </w:pPr>
            <w:r>
              <w:rPr>
                <w:rFonts w:ascii="Verdana" w:eastAsia="Calibri" w:hAnsi="Verdana" w:cs="Arial"/>
                <w:color w:val="000000"/>
                <w:lang w:val="es-ES"/>
              </w:rPr>
              <w:t xml:space="preserve">En este punto, es importante resaltar que, </w:t>
            </w:r>
            <w:r w:rsidRPr="00865CCD">
              <w:rPr>
                <w:rFonts w:ascii="Verdana" w:eastAsia="Calibri" w:hAnsi="Verdana" w:cs="Arial"/>
                <w:color w:val="000000"/>
                <w:lang w:val="es-ES"/>
              </w:rPr>
              <w:t>la verificación de la afiliación -no el pago- al Sistema de Seguridad Social de salud y pensiones se llevará a cabo al momento de perfeccionar el contrato estatal, siempre y cuando, el contrato se celebre con una persona natural, en virtud del artículo 26 de la Ley 1393 de 2010 y del artículo 50 de la Ley 789 de 2002. En otras palabras, el artículo 26 de la Ley 1393 de 2010 exige que la persona natural se “afilie” al Sistema de Seguridad Social Integral como requisito para la celebración del contrato de prestación de servicios.</w:t>
            </w:r>
          </w:p>
          <w:p w14:paraId="5A41432F" w14:textId="77777777" w:rsidR="00AA0A8C" w:rsidRDefault="00AA0A8C" w:rsidP="00EC7892">
            <w:pPr>
              <w:spacing w:line="276" w:lineRule="auto"/>
              <w:jc w:val="both"/>
              <w:rPr>
                <w:rFonts w:ascii="Verdana" w:eastAsia="Calibri" w:hAnsi="Verdana" w:cs="Arial"/>
                <w:color w:val="000000" w:themeColor="text1"/>
                <w:lang w:val="es-ES" w:eastAsia="en-GB"/>
              </w:rPr>
            </w:pPr>
          </w:p>
          <w:p w14:paraId="2B8A2F8E" w14:textId="77777777" w:rsidR="009C576B" w:rsidRDefault="009C576B" w:rsidP="00295043">
            <w:pPr>
              <w:spacing w:after="120" w:line="276" w:lineRule="auto"/>
              <w:jc w:val="both"/>
              <w:rPr>
                <w:rFonts w:ascii="Verdana" w:eastAsia="Calibri" w:hAnsi="Verdana" w:cs="Arial"/>
                <w:color w:val="000000" w:themeColor="text1"/>
                <w:lang w:val="es-ES" w:eastAsia="en-GB"/>
              </w:rPr>
            </w:pPr>
            <w:r>
              <w:rPr>
                <w:rFonts w:ascii="Verdana" w:eastAsia="Calibri" w:hAnsi="Verdana" w:cs="Arial"/>
                <w:color w:val="000000" w:themeColor="text1"/>
                <w:lang w:eastAsia="en-GB"/>
              </w:rPr>
              <w:t>i</w:t>
            </w:r>
            <w:r>
              <w:rPr>
                <w:rFonts w:ascii="Verdana" w:eastAsia="Calibri" w:hAnsi="Verdana" w:cs="Arial"/>
                <w:color w:val="000000" w:themeColor="text1"/>
                <w:lang w:val="es-ES" w:eastAsia="en-GB"/>
              </w:rPr>
              <w:t xml:space="preserve">v) y v) Respecto del cuarto y quinto problema jurídico, </w:t>
            </w:r>
            <w:r w:rsidRPr="00D82CF6">
              <w:rPr>
                <w:rFonts w:ascii="Verdana" w:eastAsia="Calibri" w:hAnsi="Verdana" w:cs="Arial"/>
                <w:color w:val="000000" w:themeColor="text1"/>
                <w:lang w:eastAsia="en-GB"/>
              </w:rPr>
              <w:t xml:space="preserve">el Decreto 1083 de 2015 en su artículo 2.2.17.10, </w:t>
            </w:r>
            <w:r w:rsidRPr="00D82CF6">
              <w:rPr>
                <w:rFonts w:ascii="Verdana" w:eastAsia="Calibri" w:hAnsi="Verdana" w:cs="Arial"/>
                <w:color w:val="000000" w:themeColor="text1"/>
                <w:lang w:val="es-ES" w:eastAsia="en-GB"/>
              </w:rPr>
              <w:t xml:space="preserve">establece que antes de suscribir un contrato de prestación de servicios con una entidad estatal, los contratistas deben diligenciar el Formato Único de Hoja de Vida en el SIGEP (Sistema de Información y Gestión del Empleo Público) incluyendo el registro detallado de la </w:t>
            </w:r>
            <w:r>
              <w:rPr>
                <w:rFonts w:ascii="Verdana" w:eastAsia="Calibri" w:hAnsi="Verdana" w:cs="Arial"/>
                <w:color w:val="000000" w:themeColor="text1"/>
                <w:lang w:val="es-ES" w:eastAsia="en-GB"/>
              </w:rPr>
              <w:t>in</w:t>
            </w:r>
            <w:r w:rsidRPr="00D82CF6">
              <w:rPr>
                <w:rFonts w:ascii="Verdana" w:eastAsia="Calibri" w:hAnsi="Verdana" w:cs="Arial"/>
                <w:color w:val="000000" w:themeColor="text1"/>
                <w:lang w:val="es-ES" w:eastAsia="en-GB"/>
              </w:rPr>
              <w:t xml:space="preserve">formación </w:t>
            </w:r>
            <w:r>
              <w:rPr>
                <w:rFonts w:ascii="Verdana" w:eastAsia="Calibri" w:hAnsi="Verdana" w:cs="Arial"/>
                <w:color w:val="000000" w:themeColor="text1"/>
                <w:lang w:val="es-ES" w:eastAsia="en-GB"/>
              </w:rPr>
              <w:t xml:space="preserve">solicitada en la hoja de vida como por ejemplo información académica, profesional, etc., así como los documentos que acrediten la información que el contratista requiera registrar. </w:t>
            </w:r>
          </w:p>
          <w:p w14:paraId="3FA5C2F5" w14:textId="77777777" w:rsidR="002D3ED3" w:rsidRDefault="009C576B" w:rsidP="002D3ED3">
            <w:pPr>
              <w:spacing w:after="120" w:line="276" w:lineRule="auto"/>
              <w:ind w:firstLine="709"/>
              <w:jc w:val="both"/>
              <w:rPr>
                <w:rFonts w:ascii="Verdana" w:eastAsia="Calibri" w:hAnsi="Verdana" w:cs="Arial"/>
                <w:color w:val="000000" w:themeColor="text1"/>
                <w:lang w:val="es-ES" w:eastAsia="en-GB"/>
              </w:rPr>
            </w:pPr>
            <w:r>
              <w:rPr>
                <w:rFonts w:ascii="Verdana" w:eastAsia="Calibri" w:hAnsi="Verdana" w:cs="Arial"/>
                <w:color w:val="000000" w:themeColor="text1"/>
                <w:lang w:val="es-ES" w:eastAsia="en-GB"/>
              </w:rPr>
              <w:lastRenderedPageBreak/>
              <w:t>Para el efecto, el Instructivo Registro de Hoja de vida SIGEP expedido por el Departamento Administrativo de la Función Pública de enero de 2026 presenta los lineamientos que sirven como orientación a todos los usuarios del sistema en el diligenciamiento, actualización y administración de la hoja de vida.</w:t>
            </w:r>
          </w:p>
          <w:p w14:paraId="4B47DA88" w14:textId="1F2A9513" w:rsidR="009C576B" w:rsidRPr="002D3ED3" w:rsidRDefault="009C576B" w:rsidP="002D3ED3">
            <w:pPr>
              <w:spacing w:after="120" w:line="276" w:lineRule="auto"/>
              <w:ind w:firstLine="709"/>
              <w:jc w:val="both"/>
              <w:rPr>
                <w:rFonts w:ascii="Verdana" w:eastAsia="Calibri" w:hAnsi="Verdana" w:cs="Arial"/>
                <w:color w:val="000000" w:themeColor="text1"/>
                <w:lang w:val="es-ES" w:eastAsia="en-GB"/>
              </w:rPr>
            </w:pPr>
            <w:r>
              <w:rPr>
                <w:rFonts w:ascii="Verdana" w:eastAsia="Calibri" w:hAnsi="Verdana" w:cs="Arial"/>
                <w:color w:val="000000" w:themeColor="text1"/>
                <w:lang w:val="es-ES" w:eastAsia="en-GB"/>
              </w:rPr>
              <w:t xml:space="preserve">En el mismo sentido, </w:t>
            </w:r>
            <w:r w:rsidRPr="00DC1870">
              <w:rPr>
                <w:rFonts w:ascii="Verdana" w:eastAsia="Times New Roman" w:hAnsi="Verdana" w:cs="Times New Roman"/>
                <w:lang w:eastAsia="es-MX"/>
              </w:rPr>
              <w:t>la entidad pública en cumplimiento a lo dispuesto en g</w:t>
            </w:r>
            <w:r>
              <w:rPr>
                <w:rFonts w:ascii="Verdana" w:eastAsia="Times New Roman" w:hAnsi="Verdana" w:cs="Times New Roman"/>
                <w:lang w:eastAsia="es-MX"/>
              </w:rPr>
              <w:t>)</w:t>
            </w:r>
            <w:r w:rsidRPr="00DC1870">
              <w:rPr>
                <w:rFonts w:ascii="Verdana" w:eastAsia="Times New Roman" w:hAnsi="Verdana" w:cs="Times New Roman"/>
                <w:lang w:eastAsia="es-MX"/>
              </w:rPr>
              <w:t xml:space="preserve"> del art</w:t>
            </w:r>
            <w:r>
              <w:rPr>
                <w:rFonts w:ascii="Verdana" w:eastAsia="Times New Roman" w:hAnsi="Verdana" w:cs="Times New Roman"/>
                <w:lang w:eastAsia="es-MX"/>
              </w:rPr>
              <w:t>í</w:t>
            </w:r>
            <w:r w:rsidRPr="00DC1870">
              <w:rPr>
                <w:rFonts w:ascii="Verdana" w:eastAsia="Times New Roman" w:hAnsi="Verdana" w:cs="Times New Roman"/>
                <w:lang w:eastAsia="es-MX"/>
              </w:rPr>
              <w:t xml:space="preserve">culo 2 de la </w:t>
            </w:r>
            <w:r w:rsidRPr="003F6F07">
              <w:rPr>
                <w:rFonts w:ascii="Verdana" w:eastAsia="Times New Roman" w:hAnsi="Verdana" w:cs="Times New Roman"/>
                <w:lang w:eastAsia="es-MX"/>
              </w:rPr>
              <w:t>Ley 2013 de 2019 (Ley de Transparencia)</w:t>
            </w:r>
            <w:r w:rsidRPr="00DC1870">
              <w:rPr>
                <w:rFonts w:ascii="Verdana" w:eastAsia="Times New Roman" w:hAnsi="Verdana" w:cs="Times New Roman"/>
                <w:lang w:eastAsia="es-MX"/>
              </w:rPr>
              <w:t xml:space="preserve">, debe exigir al futuro contratista </w:t>
            </w:r>
            <w:r w:rsidRPr="003F6F07">
              <w:rPr>
                <w:rFonts w:ascii="Verdana" w:eastAsia="Times New Roman" w:hAnsi="Verdana" w:cs="Times New Roman"/>
                <w:lang w:eastAsia="es-MX"/>
              </w:rPr>
              <w:t xml:space="preserve">el cumplimiento </w:t>
            </w:r>
            <w:r w:rsidRPr="00DC1870">
              <w:rPr>
                <w:rFonts w:ascii="Verdana" w:eastAsia="Times New Roman" w:hAnsi="Verdana" w:cs="Times New Roman"/>
                <w:lang w:eastAsia="es-MX"/>
              </w:rPr>
              <w:t xml:space="preserve">de </w:t>
            </w:r>
            <w:r w:rsidRPr="003F6F07">
              <w:rPr>
                <w:rFonts w:ascii="Verdana" w:eastAsia="Times New Roman" w:hAnsi="Verdana" w:cs="Times New Roman"/>
                <w:lang w:eastAsia="es-MX"/>
              </w:rPr>
              <w:t>present</w:t>
            </w:r>
            <w:r w:rsidRPr="00DC1870">
              <w:rPr>
                <w:rFonts w:ascii="Verdana" w:eastAsia="Times New Roman" w:hAnsi="Verdana" w:cs="Times New Roman"/>
                <w:lang w:eastAsia="es-MX"/>
              </w:rPr>
              <w:t xml:space="preserve">ar </w:t>
            </w:r>
            <w:r w:rsidRPr="003F6F07">
              <w:rPr>
                <w:rFonts w:ascii="Verdana" w:eastAsia="Times New Roman" w:hAnsi="Verdana" w:cs="Times New Roman"/>
                <w:lang w:eastAsia="es-MX"/>
              </w:rPr>
              <w:t>su Declaración de Bienes y Rentas a través del Sistema de Información y Gestión del Empleo Público (SIGEP).</w:t>
            </w:r>
            <w:r w:rsidRPr="00DC1870">
              <w:rPr>
                <w:rFonts w:ascii="Verdana" w:eastAsia="Times New Roman" w:hAnsi="Verdana" w:cs="Times New Roman"/>
                <w:lang w:eastAsia="es-MX"/>
              </w:rPr>
              <w:t xml:space="preserve"> Obligación que tiene como marco general </w:t>
            </w:r>
            <w:r w:rsidRPr="003F6F07">
              <w:rPr>
                <w:rFonts w:ascii="Verdana" w:eastAsia="Times New Roman" w:hAnsi="Verdana" w:cs="Times New Roman"/>
                <w:lang w:eastAsia="es-MX"/>
              </w:rPr>
              <w:t>el Decreto 1083 de 2015</w:t>
            </w:r>
            <w:r w:rsidRPr="00DC1870">
              <w:rPr>
                <w:rFonts w:ascii="Verdana" w:eastAsia="Times New Roman" w:hAnsi="Verdana" w:cs="Times New Roman"/>
                <w:lang w:eastAsia="es-MX"/>
              </w:rPr>
              <w:t xml:space="preserve">, </w:t>
            </w:r>
            <w:r w:rsidRPr="003F6F07">
              <w:rPr>
                <w:rFonts w:ascii="Verdana" w:eastAsia="Times New Roman" w:hAnsi="Verdana" w:cs="Times New Roman"/>
                <w:lang w:eastAsia="es-MX"/>
              </w:rPr>
              <w:t>para los servidores públicos</w:t>
            </w:r>
            <w:r>
              <w:rPr>
                <w:rFonts w:ascii="Verdana" w:eastAsia="Times New Roman" w:hAnsi="Verdana" w:cs="Times New Roman"/>
                <w:lang w:eastAsia="es-MX"/>
              </w:rPr>
              <w:t xml:space="preserve"> y la </w:t>
            </w:r>
            <w:r w:rsidRPr="003F6F07">
              <w:rPr>
                <w:rFonts w:ascii="Verdana" w:eastAsia="Times New Roman" w:hAnsi="Verdana" w:cs="Times New Roman"/>
                <w:lang w:eastAsia="es-MX"/>
              </w:rPr>
              <w:t>Ley 2013 de</w:t>
            </w:r>
            <w:r w:rsidRPr="00DC1870">
              <w:rPr>
                <w:rFonts w:ascii="Verdana" w:eastAsia="Times New Roman" w:hAnsi="Verdana" w:cs="Times New Roman"/>
                <w:lang w:eastAsia="es-MX"/>
              </w:rPr>
              <w:t xml:space="preserve"> 2019</w:t>
            </w:r>
            <w:r>
              <w:rPr>
                <w:rFonts w:ascii="Verdana" w:eastAsia="Times New Roman" w:hAnsi="Verdana" w:cs="Times New Roman"/>
                <w:lang w:eastAsia="es-MX"/>
              </w:rPr>
              <w:t xml:space="preserve"> hizo extensible la obligación </w:t>
            </w:r>
            <w:r w:rsidRPr="003F6F07">
              <w:rPr>
                <w:rFonts w:ascii="Verdana" w:eastAsia="Times New Roman" w:hAnsi="Verdana" w:cs="Times New Roman"/>
                <w:lang w:eastAsia="es-MX"/>
              </w:rPr>
              <w:t>de manera explícita esta exigencia a los contratistas de prestación de servicios</w:t>
            </w:r>
            <w:r>
              <w:rPr>
                <w:rFonts w:ascii="Verdana" w:eastAsia="Times New Roman" w:hAnsi="Verdana" w:cs="Times New Roman"/>
                <w:lang w:eastAsia="es-MX"/>
              </w:rPr>
              <w:t>.</w:t>
            </w:r>
          </w:p>
          <w:p w14:paraId="1E97605C" w14:textId="77777777" w:rsidR="009C576B" w:rsidRPr="000B6E79" w:rsidRDefault="009C576B" w:rsidP="00943597">
            <w:pPr>
              <w:spacing w:line="276" w:lineRule="auto"/>
              <w:jc w:val="both"/>
              <w:rPr>
                <w:rFonts w:ascii="Verdana" w:hAnsi="Verdana"/>
              </w:rPr>
            </w:pPr>
            <w:r w:rsidRPr="00DC1870">
              <w:rPr>
                <w:rFonts w:ascii="Verdana" w:eastAsia="Times New Roman" w:hAnsi="Verdana" w:cs="Times New Roman"/>
                <w:lang w:eastAsia="es-MX"/>
              </w:rPr>
              <w:t xml:space="preserve">       </w:t>
            </w:r>
            <w:r w:rsidRPr="003F6F07">
              <w:rPr>
                <w:rFonts w:ascii="Verdana" w:eastAsia="Times New Roman" w:hAnsi="Verdana" w:cs="Times New Roman"/>
                <w:lang w:eastAsia="es-MX"/>
              </w:rPr>
              <w:t>Est</w:t>
            </w:r>
            <w:r>
              <w:rPr>
                <w:rFonts w:ascii="Verdana" w:eastAsia="Times New Roman" w:hAnsi="Verdana" w:cs="Times New Roman"/>
                <w:lang w:eastAsia="es-MX"/>
              </w:rPr>
              <w:t>os</w:t>
            </w:r>
            <w:r w:rsidRPr="003F6F07">
              <w:rPr>
                <w:rFonts w:ascii="Verdana" w:eastAsia="Times New Roman" w:hAnsi="Verdana" w:cs="Times New Roman"/>
                <w:lang w:eastAsia="es-MX"/>
              </w:rPr>
              <w:t xml:space="preserve"> deber</w:t>
            </w:r>
            <w:r>
              <w:rPr>
                <w:rFonts w:ascii="Verdana" w:eastAsia="Times New Roman" w:hAnsi="Verdana" w:cs="Times New Roman"/>
                <w:lang w:eastAsia="es-MX"/>
              </w:rPr>
              <w:t>es</w:t>
            </w:r>
            <w:r w:rsidRPr="003F6F07">
              <w:rPr>
                <w:rFonts w:ascii="Verdana" w:eastAsia="Times New Roman" w:hAnsi="Verdana" w:cs="Times New Roman"/>
                <w:lang w:eastAsia="es-MX"/>
              </w:rPr>
              <w:t xml:space="preserve"> se constituye</w:t>
            </w:r>
            <w:r>
              <w:rPr>
                <w:rFonts w:ascii="Verdana" w:eastAsia="Times New Roman" w:hAnsi="Verdana" w:cs="Times New Roman"/>
                <w:lang w:eastAsia="es-MX"/>
              </w:rPr>
              <w:t>n</w:t>
            </w:r>
            <w:r w:rsidRPr="003F6F07">
              <w:rPr>
                <w:rFonts w:ascii="Verdana" w:eastAsia="Times New Roman" w:hAnsi="Verdana" w:cs="Times New Roman"/>
                <w:lang w:eastAsia="es-MX"/>
              </w:rPr>
              <w:t xml:space="preserve"> como una condición de capacidad jurídica </w:t>
            </w:r>
            <w:r w:rsidRPr="00DC1870">
              <w:rPr>
                <w:rFonts w:ascii="Verdana" w:eastAsia="Times New Roman" w:hAnsi="Verdana" w:cs="Times New Roman"/>
                <w:lang w:eastAsia="es-MX"/>
              </w:rPr>
              <w:t xml:space="preserve">– requisito habilitante, </w:t>
            </w:r>
            <w:r w:rsidRPr="003F6F07">
              <w:rPr>
                <w:rFonts w:ascii="Verdana" w:eastAsia="Times New Roman" w:hAnsi="Verdana" w:cs="Times New Roman"/>
                <w:lang w:eastAsia="es-MX"/>
              </w:rPr>
              <w:t>y un presupuesto necesario para la legalización del contrato</w:t>
            </w:r>
            <w:r w:rsidRPr="00DC1870">
              <w:rPr>
                <w:rFonts w:ascii="Verdana" w:eastAsia="Times New Roman" w:hAnsi="Verdana" w:cs="Times New Roman"/>
                <w:lang w:eastAsia="es-MX"/>
              </w:rPr>
              <w:t>,</w:t>
            </w:r>
            <w:r w:rsidRPr="00DC1870">
              <w:rPr>
                <w:rFonts w:ascii="Verdana" w:hAnsi="Verdana"/>
              </w:rPr>
              <w:t xml:space="preserve"> ya que su inobservancia afecta directamente la aptitud de la persona para ser contratista del Estado, impidiendo que la entidad pública pueda proceder válidamente con el perfeccionamiento y la firma del acuerdo.</w:t>
            </w:r>
          </w:p>
        </w:tc>
      </w:tr>
    </w:tbl>
    <w:p w14:paraId="4C12B125" w14:textId="77777777" w:rsidR="009C576B" w:rsidRDefault="009C576B" w:rsidP="005268FC">
      <w:pPr>
        <w:tabs>
          <w:tab w:val="left" w:pos="142"/>
          <w:tab w:val="left" w:pos="284"/>
        </w:tabs>
        <w:spacing w:after="0" w:line="276" w:lineRule="auto"/>
        <w:jc w:val="both"/>
        <w:rPr>
          <w:rFonts w:ascii="Verdana" w:eastAsia="Century Gothic" w:hAnsi="Verdana" w:cs="Century Gothic"/>
          <w:b/>
          <w:bCs/>
        </w:rPr>
      </w:pPr>
    </w:p>
    <w:p w14:paraId="0422B2F5" w14:textId="77777777" w:rsidR="009C576B" w:rsidRPr="005644FE" w:rsidRDefault="009C576B" w:rsidP="005268FC">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423824AA" w14:textId="77777777" w:rsidR="009C576B" w:rsidRPr="005644FE" w:rsidRDefault="009C576B" w:rsidP="00943597">
      <w:pPr>
        <w:pStyle w:val="Prrafodelista"/>
        <w:tabs>
          <w:tab w:val="left" w:pos="142"/>
          <w:tab w:val="left" w:pos="284"/>
        </w:tabs>
        <w:spacing w:after="0" w:line="276" w:lineRule="auto"/>
        <w:ind w:left="0"/>
        <w:contextualSpacing w:val="0"/>
        <w:jc w:val="both"/>
        <w:rPr>
          <w:rFonts w:ascii="Verdana" w:eastAsia="Calibri" w:hAnsi="Verdana" w:cs="Arial"/>
        </w:rPr>
      </w:pPr>
    </w:p>
    <w:p w14:paraId="7EE3686B" w14:textId="77777777" w:rsidR="009C576B" w:rsidRDefault="009C576B" w:rsidP="005268FC">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7529C8D4" w14:textId="77777777" w:rsidR="009C576B" w:rsidRDefault="009C576B" w:rsidP="005268FC">
      <w:pPr>
        <w:tabs>
          <w:tab w:val="left" w:pos="142"/>
          <w:tab w:val="left" w:pos="284"/>
          <w:tab w:val="left" w:pos="6975"/>
        </w:tabs>
        <w:spacing w:after="0" w:line="276" w:lineRule="auto"/>
        <w:jc w:val="both"/>
        <w:rPr>
          <w:rFonts w:ascii="Verdana" w:eastAsia="Calibri" w:hAnsi="Verdana" w:cs="Arial"/>
        </w:rPr>
      </w:pPr>
    </w:p>
    <w:p w14:paraId="5F0A65E0" w14:textId="77777777" w:rsidR="009C576B" w:rsidRDefault="009C576B" w:rsidP="009C576B">
      <w:pPr>
        <w:spacing w:after="120" w:line="276" w:lineRule="auto"/>
        <w:jc w:val="both"/>
        <w:rPr>
          <w:rFonts w:ascii="Verdana" w:eastAsia="Calibri" w:hAnsi="Verdana" w:cs="Arial"/>
          <w:color w:val="000000"/>
          <w:lang w:val="es-ES_tradnl"/>
        </w:rPr>
      </w:pPr>
      <w:r>
        <w:rPr>
          <w:rFonts w:ascii="Verdana" w:eastAsia="Calibri" w:hAnsi="Verdana" w:cs="Arial"/>
          <w:color w:val="000000"/>
          <w:lang w:val="es-ES_tradnl"/>
        </w:rPr>
        <w:t xml:space="preserve">i) Previo a dar respuesta al primer problema jurídico, resulta necesario presentar algunas consideraciones sobre la naturaleza y características del contrato de prestación de servicios. </w:t>
      </w:r>
    </w:p>
    <w:p w14:paraId="3401BC5C" w14:textId="77777777" w:rsidR="00DC1F1C" w:rsidRDefault="009C576B" w:rsidP="009C576B">
      <w:pPr>
        <w:spacing w:after="12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El contrato de prestación de servicios es uno de los tipos contractuales consagrados en el Estatuto General de Contratación de la Administración Pública</w:t>
      </w:r>
      <w:r w:rsidR="005268FC">
        <w:rPr>
          <w:rFonts w:ascii="Verdana" w:eastAsia="Calibri" w:hAnsi="Verdana" w:cs="Arial"/>
          <w:color w:val="000000"/>
          <w:lang w:val="es-ES_tradnl"/>
        </w:rPr>
        <w:t xml:space="preserve"> – en adelante EGCAP -</w:t>
      </w:r>
      <w:r w:rsidRPr="00884819">
        <w:rPr>
          <w:rFonts w:ascii="Verdana" w:eastAsia="Calibri" w:hAnsi="Verdana" w:cs="Arial"/>
          <w:color w:val="000000"/>
          <w:lang w:val="es-ES_tradnl"/>
        </w:rPr>
        <w:t xml:space="preserve">, que pueden celebrar las entidades estatales. Históricamente, dicha tipología se encontraba regulada en el artículo 138 del Decreto Ley 150 del 1976 y en el artículo 163 del Decreto Ley 222 de 1983. Se trata de un contrato típico, ya que se encuentra definido en la ley y, por tanto, en las condiciones descritas en los artículos 13, 32 y 40 del EGCAP, su regulación desplaza las reglas del arrendamiento de servicios inmateriales de que tratan los artículos 2063 y siguientes del Código Civil. </w:t>
      </w:r>
    </w:p>
    <w:p w14:paraId="3565F09B" w14:textId="1E6A4CAA" w:rsidR="00350C36" w:rsidRDefault="009C576B" w:rsidP="00671CBB">
      <w:pPr>
        <w:spacing w:after="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Actualmente, el artículo 32, numeral 3º, de la Ley 80 de 1993, establece:</w:t>
      </w:r>
    </w:p>
    <w:p w14:paraId="481A3CD8" w14:textId="77777777" w:rsidR="001C3E32" w:rsidRPr="00884819" w:rsidRDefault="001C3E32" w:rsidP="001C3E32">
      <w:pPr>
        <w:spacing w:after="0" w:line="240" w:lineRule="auto"/>
        <w:ind w:firstLine="709"/>
        <w:jc w:val="both"/>
        <w:rPr>
          <w:rFonts w:ascii="Verdana" w:eastAsia="Calibri" w:hAnsi="Verdana" w:cs="Arial"/>
          <w:color w:val="000000"/>
          <w:lang w:val="es-ES_tradnl"/>
        </w:rPr>
      </w:pPr>
    </w:p>
    <w:p w14:paraId="057CFC6F" w14:textId="77777777" w:rsidR="009C576B" w:rsidRPr="00692C00" w:rsidRDefault="009C576B" w:rsidP="00943597">
      <w:pPr>
        <w:spacing w:after="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26ECD3B7" w14:textId="77777777" w:rsidR="009C576B" w:rsidRDefault="009C576B" w:rsidP="00943597">
      <w:pPr>
        <w:spacing w:after="0" w:line="240" w:lineRule="auto"/>
        <w:ind w:left="709" w:right="709"/>
        <w:jc w:val="both"/>
        <w:rPr>
          <w:rFonts w:ascii="Verdana" w:eastAsia="Calibri" w:hAnsi="Verdana" w:cs="Arial"/>
          <w:color w:val="000000"/>
          <w:sz w:val="20"/>
          <w:szCs w:val="20"/>
          <w:lang w:val="es-ES_tradnl"/>
        </w:rPr>
      </w:pPr>
    </w:p>
    <w:p w14:paraId="6682DF75" w14:textId="77777777" w:rsidR="009C576B" w:rsidRPr="00884819" w:rsidRDefault="009C576B" w:rsidP="00943597">
      <w:pPr>
        <w:spacing w:after="0" w:line="240" w:lineRule="auto"/>
        <w:ind w:left="709" w:right="709"/>
        <w:jc w:val="both"/>
        <w:rPr>
          <w:rFonts w:ascii="Verdana" w:eastAsia="Calibri" w:hAnsi="Verdana" w:cs="Arial"/>
          <w:color w:val="000000"/>
          <w:sz w:val="21"/>
          <w:szCs w:val="21"/>
          <w:lang w:val="es-ES_tradnl"/>
        </w:rPr>
      </w:pPr>
      <w:r w:rsidRPr="00692C00">
        <w:rPr>
          <w:rFonts w:ascii="Verdana" w:eastAsia="Calibri" w:hAnsi="Verdana" w:cs="Arial"/>
          <w:color w:val="000000"/>
          <w:sz w:val="20"/>
          <w:szCs w:val="20"/>
          <w:lang w:val="es-ES_tradnl"/>
        </w:rPr>
        <w:t>En ningún caso estos contratos generan relación laboral ni prestaciones sociales y se celebrarán por el término estrictamente indispensable”.</w:t>
      </w:r>
    </w:p>
    <w:p w14:paraId="45C36C63" w14:textId="77777777" w:rsidR="009C576B" w:rsidRPr="00884819" w:rsidRDefault="009C576B" w:rsidP="00943597">
      <w:pPr>
        <w:tabs>
          <w:tab w:val="left" w:pos="284"/>
        </w:tabs>
        <w:spacing w:after="0" w:line="276" w:lineRule="auto"/>
        <w:jc w:val="both"/>
        <w:rPr>
          <w:rFonts w:ascii="Verdana" w:eastAsia="Calibri" w:hAnsi="Verdana" w:cs="Arial"/>
          <w:b/>
          <w:color w:val="000000"/>
          <w:lang w:val="es-ES_tradnl"/>
        </w:rPr>
      </w:pPr>
    </w:p>
    <w:p w14:paraId="7521E67B" w14:textId="77777777" w:rsidR="009C576B" w:rsidRDefault="009C576B" w:rsidP="001225D2">
      <w:pPr>
        <w:spacing w:after="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A pesar de la derogatoria del literal d) del artículo 24.1 del Estatuto General, la celebración de dicho contrato se realiza a través de la modalidad de la contratación directa. Así lo prevé el artículo 2, numeral 4º, literal h), de la Ley 1150 de 2007, que dispone:</w:t>
      </w:r>
    </w:p>
    <w:p w14:paraId="3372FE40" w14:textId="77777777" w:rsidR="001225D2" w:rsidRPr="00884819" w:rsidRDefault="001225D2" w:rsidP="00943597">
      <w:pPr>
        <w:spacing w:after="0" w:line="276" w:lineRule="auto"/>
        <w:ind w:firstLine="709"/>
        <w:jc w:val="both"/>
        <w:rPr>
          <w:rFonts w:ascii="Verdana" w:eastAsia="Calibri" w:hAnsi="Verdana" w:cs="Arial"/>
          <w:color w:val="000000"/>
          <w:lang w:val="es-ES_tradnl"/>
        </w:rPr>
      </w:pPr>
    </w:p>
    <w:p w14:paraId="3093F8B1" w14:textId="77777777" w:rsidR="009C576B" w:rsidRPr="00692C00" w:rsidRDefault="009C576B" w:rsidP="00943597">
      <w:pPr>
        <w:spacing w:after="0" w:line="240" w:lineRule="auto"/>
        <w:ind w:left="709" w:right="709"/>
        <w:jc w:val="both"/>
        <w:rPr>
          <w:rFonts w:ascii="Verdana" w:eastAsia="Calibri" w:hAnsi="Verdana" w:cs="Arial"/>
          <w:color w:val="000000"/>
          <w:sz w:val="20"/>
          <w:szCs w:val="20"/>
          <w:lang w:val="es-ES_tradnl"/>
        </w:rPr>
      </w:pPr>
      <w:r>
        <w:rPr>
          <w:rFonts w:ascii="Verdana" w:eastAsia="Calibri" w:hAnsi="Verdana" w:cs="Arial"/>
          <w:color w:val="000000"/>
          <w:sz w:val="20"/>
          <w:szCs w:val="20"/>
          <w:lang w:val="es-ES_tradnl"/>
        </w:rPr>
        <w:t>“(…)</w:t>
      </w:r>
    </w:p>
    <w:p w14:paraId="37B86974" w14:textId="77777777" w:rsidR="009C576B" w:rsidRPr="00692C00" w:rsidRDefault="009C576B" w:rsidP="001225D2">
      <w:pPr>
        <w:spacing w:after="0" w:line="240" w:lineRule="auto"/>
        <w:ind w:left="709" w:right="709"/>
        <w:jc w:val="both"/>
        <w:rPr>
          <w:rFonts w:ascii="Verdana" w:eastAsia="Calibri" w:hAnsi="Verdana" w:cs="Arial"/>
          <w:color w:val="000000"/>
          <w:sz w:val="20"/>
          <w:szCs w:val="20"/>
          <w:lang w:val="es-ES"/>
        </w:rPr>
      </w:pPr>
      <w:r w:rsidRPr="00692C00">
        <w:rPr>
          <w:rFonts w:ascii="Verdana" w:eastAsia="Calibri" w:hAnsi="Verdana" w:cs="Arial"/>
          <w:color w:val="000000" w:themeColor="text1"/>
          <w:sz w:val="20"/>
          <w:szCs w:val="20"/>
          <w:lang w:val="es-ES"/>
        </w:rPr>
        <w:t>Contratación directa. La modalidad de selección de contratación directa solamente procederá en los siguientes casos:</w:t>
      </w:r>
    </w:p>
    <w:p w14:paraId="38B26819" w14:textId="77777777" w:rsidR="009C576B" w:rsidRDefault="009C576B" w:rsidP="00943597">
      <w:pPr>
        <w:spacing w:after="0" w:line="240" w:lineRule="auto"/>
        <w:ind w:left="709" w:right="709"/>
        <w:jc w:val="both"/>
        <w:rPr>
          <w:rFonts w:ascii="Verdana" w:eastAsia="Calibri" w:hAnsi="Verdana" w:cs="Arial"/>
          <w:color w:val="000000"/>
          <w:sz w:val="20"/>
          <w:szCs w:val="20"/>
          <w:lang w:val="es-ES_tradnl"/>
        </w:rPr>
      </w:pPr>
    </w:p>
    <w:p w14:paraId="2F506292" w14:textId="77777777" w:rsidR="009C576B" w:rsidRPr="00692C00" w:rsidRDefault="009C576B" w:rsidP="00943597">
      <w:pPr>
        <w:spacing w:after="0" w:line="240" w:lineRule="auto"/>
        <w:ind w:left="709" w:right="709"/>
        <w:jc w:val="both"/>
        <w:rPr>
          <w:rFonts w:ascii="Verdana" w:eastAsia="Calibri" w:hAnsi="Verdana" w:cs="Arial"/>
          <w:color w:val="000000"/>
          <w:sz w:val="20"/>
          <w:szCs w:val="20"/>
          <w:lang w:val="es-ES_tradnl"/>
        </w:rPr>
      </w:pPr>
      <w:r>
        <w:rPr>
          <w:rFonts w:ascii="Verdana" w:eastAsia="Calibri" w:hAnsi="Verdana" w:cs="Arial"/>
          <w:color w:val="000000"/>
          <w:sz w:val="20"/>
          <w:szCs w:val="20"/>
          <w:lang w:val="es-ES_tradnl"/>
        </w:rPr>
        <w:t>(…)</w:t>
      </w:r>
    </w:p>
    <w:p w14:paraId="39E24C90" w14:textId="77777777" w:rsidR="009C576B" w:rsidRPr="00692C00" w:rsidRDefault="009C576B" w:rsidP="001225D2">
      <w:pPr>
        <w:spacing w:after="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h) Para la prestación de servicios profesionales y de apoyo a la gestión, o para la ejecución de trabajos artísticos que sólo puedan encomendarse a determinadas personas naturales”.</w:t>
      </w:r>
    </w:p>
    <w:p w14:paraId="399FFBC4" w14:textId="77777777" w:rsidR="009C576B" w:rsidRPr="00884819" w:rsidRDefault="009C576B" w:rsidP="009C576B">
      <w:pPr>
        <w:spacing w:after="0"/>
        <w:ind w:right="709"/>
        <w:jc w:val="both"/>
        <w:rPr>
          <w:rFonts w:ascii="Verdana" w:eastAsia="Calibri" w:hAnsi="Verdana" w:cs="Arial"/>
          <w:color w:val="000000"/>
          <w:lang w:val="es-ES_tradnl"/>
        </w:rPr>
      </w:pPr>
    </w:p>
    <w:p w14:paraId="498A64AC" w14:textId="77777777" w:rsidR="009C576B" w:rsidRPr="00884819" w:rsidRDefault="009C576B" w:rsidP="009C576B">
      <w:pPr>
        <w:spacing w:after="12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5D44E57C" w14:textId="77777777" w:rsidR="009C576B" w:rsidRPr="00884819" w:rsidRDefault="009C576B" w:rsidP="009C576B">
      <w:pPr>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a</w:t>
      </w:r>
      <w:r w:rsidRPr="00884819">
        <w:rPr>
          <w:rFonts w:ascii="Verdana" w:eastAsia="Calibri" w:hAnsi="Verdana" w:cs="Arial"/>
          <w:color w:val="000000"/>
          <w:lang w:val="es-ES_tradnl"/>
        </w:rPr>
        <w:t>) Solo puede celebrarse para realizar “actividades relacionadas con la administración o funcionamiento de la entidad”, es decir, que hagan parte de su giro ordinario o quehacer cotidiano.</w:t>
      </w:r>
    </w:p>
    <w:p w14:paraId="3724BF6E" w14:textId="05551E4F" w:rsidR="009C576B" w:rsidRPr="00884819" w:rsidRDefault="009C576B" w:rsidP="6C397CF7">
      <w:pPr>
        <w:spacing w:after="120" w:line="276" w:lineRule="auto"/>
        <w:ind w:firstLine="709"/>
        <w:jc w:val="both"/>
        <w:rPr>
          <w:rFonts w:ascii="Verdana" w:eastAsia="Calibri" w:hAnsi="Verdana" w:cs="Arial"/>
          <w:color w:val="000000"/>
          <w:lang w:val="es-ES"/>
        </w:rPr>
      </w:pPr>
      <w:r w:rsidRPr="6C397CF7">
        <w:rPr>
          <w:rFonts w:ascii="Verdana" w:eastAsia="Calibri" w:hAnsi="Verdana" w:cs="Arial"/>
          <w:color w:val="000000"/>
          <w:lang w:val="es-ES"/>
        </w:rPr>
        <w:t xml:space="preserve">b) Admite que se suscriba tanto con personas naturales como con personas jurídicas. </w:t>
      </w:r>
      <w:r w:rsidR="00943597">
        <w:rPr>
          <w:rFonts w:ascii="Verdana" w:eastAsia="Calibri" w:hAnsi="Verdana" w:cs="Arial"/>
          <w:color w:val="000000" w:themeColor="text1"/>
          <w:lang w:val="es-ES"/>
        </w:rPr>
        <w:t>T</w:t>
      </w:r>
      <w:r w:rsidR="008C293A" w:rsidRPr="6C397CF7">
        <w:rPr>
          <w:rFonts w:ascii="Verdana" w:eastAsia="Calibri" w:hAnsi="Verdana" w:cs="Arial"/>
          <w:color w:val="000000" w:themeColor="text1"/>
          <w:lang w:val="es-ES"/>
        </w:rPr>
        <w:t>ratándose de personas naturales,</w:t>
      </w:r>
      <w:r w:rsidRPr="6C397CF7">
        <w:rPr>
          <w:rFonts w:ascii="Verdana" w:eastAsia="Calibri" w:hAnsi="Verdana" w:cs="Arial"/>
          <w:color w:val="000000"/>
          <w:lang w:val="es-ES"/>
        </w:rPr>
        <w:t xml:space="preserve"> requiere que la entidad estatal justifique en los estudios previos que las actividades que buscan encomendarse a aquella “no puedan realizarse con personal de planta o requieran conocimientos especializados”</w:t>
      </w:r>
      <w:r w:rsidRPr="6C397CF7">
        <w:rPr>
          <w:rStyle w:val="Refdenotaalpie"/>
          <w:rFonts w:ascii="Verdana" w:eastAsia="Calibri" w:hAnsi="Verdana" w:cs="Arial"/>
          <w:color w:val="000000"/>
          <w:lang w:val="es-ES"/>
        </w:rPr>
        <w:footnoteReference w:id="1"/>
      </w:r>
      <w:r w:rsidRPr="6C397CF7">
        <w:rPr>
          <w:rFonts w:ascii="Verdana" w:eastAsia="Calibri" w:hAnsi="Verdana" w:cs="Arial"/>
          <w:color w:val="000000"/>
          <w:lang w:val="es-ES"/>
        </w:rPr>
        <w:t xml:space="preserve">. Esto puede suceder en varios eventos, </w:t>
      </w:r>
      <w:r w:rsidRPr="6C397CF7">
        <w:rPr>
          <w:rFonts w:ascii="Verdana" w:eastAsia="Calibri" w:hAnsi="Verdana" w:cs="Arial"/>
          <w:color w:val="000000"/>
          <w:lang w:val="es-ES"/>
        </w:rPr>
        <w:lastRenderedPageBreak/>
        <w:t>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17D0C2B1" w14:textId="77777777" w:rsidR="009C576B" w:rsidRPr="00884819" w:rsidRDefault="009C576B" w:rsidP="009C576B">
      <w:pPr>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c</w:t>
      </w:r>
      <w:r w:rsidRPr="00884819">
        <w:rPr>
          <w:rFonts w:ascii="Verdana" w:eastAsia="Calibri" w:hAnsi="Verdana" w:cs="Arial"/>
          <w:color w:val="000000"/>
          <w:lang w:val="es-ES_tradnl"/>
        </w:rPr>
        <w:t>) Si bien se celebran para obtener la prestación personal de un servicio, se diferencian del contrato de trabajo</w:t>
      </w:r>
      <w:r w:rsidRPr="00884819">
        <w:rPr>
          <w:rStyle w:val="Refdenotaalpie"/>
          <w:rFonts w:ascii="Verdana" w:hAnsi="Verdana" w:cs="Arial"/>
        </w:rPr>
        <w:footnoteReference w:id="2"/>
      </w:r>
      <w:r w:rsidRPr="00884819">
        <w:rPr>
          <w:rFonts w:ascii="Verdana" w:eastAsia="Calibri" w:hAnsi="Verdana" w:cs="Arial"/>
          <w:color w:val="000000"/>
          <w:lang w:val="es-ES_tradnl"/>
        </w:rPr>
        <w:t xml:space="preserve"> en que quien celebra el contrato de prestación de servicios debe mantener autonomía e independencia en la ejecución de la labor, lo que significa que no puede existir la </w:t>
      </w:r>
      <w:r w:rsidRPr="00884819">
        <w:rPr>
          <w:rFonts w:ascii="Verdana" w:eastAsia="Calibri" w:hAnsi="Verdana" w:cs="Arial"/>
          <w:i/>
          <w:color w:val="000000"/>
          <w:lang w:val="es-ES_tradnl"/>
        </w:rPr>
        <w:t>subordinación y dependencia</w:t>
      </w:r>
      <w:r w:rsidRPr="00884819">
        <w:rPr>
          <w:rFonts w:ascii="Verdana" w:eastAsia="Calibri" w:hAnsi="Verdana" w:cs="Arial"/>
          <w:iCs/>
          <w:color w:val="000000"/>
          <w:lang w:val="es-ES_tradnl"/>
        </w:rPr>
        <w:t>,</w:t>
      </w:r>
      <w:r w:rsidRPr="00884819">
        <w:rPr>
          <w:rFonts w:ascii="Verdana" w:eastAsia="Calibri" w:hAnsi="Verdana" w:cs="Arial"/>
          <w:color w:val="000000"/>
          <w:lang w:val="es-ES_tradnl"/>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884819">
        <w:rPr>
          <w:rFonts w:ascii="Verdana" w:eastAsia="Calibri" w:hAnsi="Verdana" w:cs="Arial"/>
          <w:i/>
          <w:color w:val="000000"/>
          <w:lang w:val="es-ES_tradnl"/>
        </w:rPr>
        <w:t>no pueden</w:t>
      </w:r>
      <w:r w:rsidRPr="00884819">
        <w:rPr>
          <w:rFonts w:ascii="Verdana" w:eastAsia="Calibri" w:hAnsi="Verdana" w:cs="Arial"/>
          <w:color w:val="000000"/>
          <w:lang w:val="es-ES_tradnl"/>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w:t>
      </w:r>
    </w:p>
    <w:p w14:paraId="3EC9D113" w14:textId="77777777" w:rsidR="009C576B" w:rsidRPr="00884819" w:rsidRDefault="009C576B" w:rsidP="009C576B">
      <w:pPr>
        <w:spacing w:after="12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 xml:space="preserve">Pero es posible que, a pesar de este mandato deontológico, en la práctica surja la relación laboral, pues, como se sabe, el contrato de trabajo es un </w:t>
      </w:r>
      <w:r w:rsidRPr="00884819">
        <w:rPr>
          <w:rFonts w:ascii="Verdana" w:eastAsia="Calibri" w:hAnsi="Verdana" w:cs="Arial"/>
          <w:i/>
          <w:color w:val="000000"/>
          <w:lang w:val="es-ES_tradnl"/>
        </w:rPr>
        <w:t>contrato realidad</w:t>
      </w:r>
      <w:r w:rsidRPr="00884819">
        <w:rPr>
          <w:rFonts w:ascii="Verdana" w:eastAsia="Calibri" w:hAnsi="Verdana" w:cs="Arial"/>
          <w:color w:val="000000"/>
          <w:lang w:val="es-ES_tradnl"/>
        </w:rPr>
        <w:t xml:space="preserve">, ya que para su perfeccionamiento rige el principio de la </w:t>
      </w:r>
      <w:r w:rsidRPr="00884819">
        <w:rPr>
          <w:rFonts w:ascii="Verdana" w:eastAsia="Calibri" w:hAnsi="Verdana" w:cs="Arial"/>
          <w:color w:val="000000"/>
          <w:lang w:val="es-ES_tradnl"/>
        </w:rPr>
        <w:lastRenderedPageBreak/>
        <w:t>prevalencia de la realidad sobre las formalidades. Por ello, la Corte Constitucional declaró la constitucionalidad condicionada del segundo inciso del numeral 3º del artículo 32, indicando que “las expresiones acusadas del numeral 3°. del artículo 32 de la Ley 80 de 1993, no vulneran los preceptos constitucionales, razón por la cual deberán ser declaradas exequibles, salvo que se acredite por parte del contratista la existencia de una relación laboral subordinada”</w:t>
      </w:r>
      <w:r w:rsidRPr="00884819">
        <w:rPr>
          <w:rStyle w:val="Refdenotaalpie"/>
          <w:rFonts w:ascii="Verdana" w:hAnsi="Verdana" w:cs="Arial"/>
        </w:rPr>
        <w:footnoteReference w:id="3"/>
      </w:r>
      <w:r w:rsidRPr="00884819">
        <w:rPr>
          <w:rFonts w:ascii="Verdana" w:eastAsia="Calibri" w:hAnsi="Verdana" w:cs="Arial"/>
          <w:color w:val="000000"/>
          <w:lang w:val="es-ES_tradnl"/>
        </w:rPr>
        <w:t xml:space="preserve">. </w:t>
      </w:r>
    </w:p>
    <w:p w14:paraId="5F669866" w14:textId="77777777" w:rsidR="009C576B" w:rsidRPr="00884819" w:rsidRDefault="009C576B" w:rsidP="009C576B">
      <w:pPr>
        <w:spacing w:after="12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 xml:space="preserve">En todo caso, conforme al artículo 54.1 de la Ley 1952 de 2019, “Por medio de la cual se expide el código general disciplinario se derogan la ley 734 de 2002 y algunas disposiciones de la ley 1474 de 2011, relacionadas con el derecho disciplinario”, constituye falta gravísima “Celebrar contrato de prestación de servicios cuyo objeto sea el cumplimiento de funciones públicas o administrativas que requieran dedicación de tiempo completo e impliquen subordinación y ausencia de autonomía respecto del contratista </w:t>
      </w:r>
      <w:r>
        <w:rPr>
          <w:rFonts w:ascii="Verdana" w:eastAsia="Calibri" w:hAnsi="Verdana" w:cs="Arial"/>
          <w:color w:val="000000"/>
          <w:lang w:val="es-ES_tradnl"/>
        </w:rPr>
        <w:t>(…)</w:t>
      </w:r>
      <w:r w:rsidRPr="00884819">
        <w:rPr>
          <w:rFonts w:ascii="Verdana" w:eastAsia="Calibri" w:hAnsi="Verdana" w:cs="Arial"/>
          <w:color w:val="000000"/>
          <w:lang w:val="es-ES_tradnl"/>
        </w:rPr>
        <w:t>”</w:t>
      </w:r>
      <w:r w:rsidRPr="00884819">
        <w:rPr>
          <w:rStyle w:val="Refdenotaalpie"/>
          <w:rFonts w:ascii="Verdana" w:eastAsia="Calibri" w:hAnsi="Verdana" w:cs="Arial"/>
          <w:color w:val="000000"/>
          <w:lang w:val="es-ES_tradnl"/>
        </w:rPr>
        <w:footnoteReference w:id="4"/>
      </w:r>
      <w:r w:rsidRPr="00884819">
        <w:rPr>
          <w:rFonts w:ascii="Verdana" w:eastAsia="Calibri" w:hAnsi="Verdana" w:cs="Arial"/>
          <w:color w:val="000000"/>
          <w:lang w:val="es-ES_tradnl"/>
        </w:rPr>
        <w:t>.</w:t>
      </w:r>
    </w:p>
    <w:p w14:paraId="7DF15A5E" w14:textId="77777777" w:rsidR="009C576B" w:rsidRPr="00884819" w:rsidRDefault="009C576B" w:rsidP="009C576B">
      <w:pPr>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d</w:t>
      </w:r>
      <w:r w:rsidRPr="00884819">
        <w:rPr>
          <w:rFonts w:ascii="Verdana" w:eastAsia="Calibri" w:hAnsi="Verdana" w:cs="Arial"/>
          <w:color w:val="000000"/>
          <w:lang w:val="es-ES_tradnl"/>
        </w:rPr>
        <w:t>) Deben ser temporales. Así lo señaló la Corte Constitucional en la misma providencia a la que se aludió previamente, expresando que: “La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884819">
        <w:rPr>
          <w:rStyle w:val="Refdenotaalpie"/>
          <w:rFonts w:ascii="Verdana" w:hAnsi="Verdana" w:cs="Arial"/>
        </w:rPr>
        <w:footnoteReference w:id="5"/>
      </w:r>
      <w:r w:rsidRPr="00884819">
        <w:rPr>
          <w:rFonts w:ascii="Verdana" w:eastAsia="Calibri" w:hAnsi="Verdana" w:cs="Arial"/>
          <w:color w:val="000000"/>
          <w:lang w:val="es-ES_tradnl"/>
        </w:rPr>
        <w:t>.</w:t>
      </w:r>
    </w:p>
    <w:p w14:paraId="2E5E1684" w14:textId="2CAAA0E5" w:rsidR="009C576B" w:rsidRDefault="009C576B" w:rsidP="006956AD">
      <w:pPr>
        <w:spacing w:after="0" w:line="276" w:lineRule="auto"/>
        <w:ind w:firstLine="709"/>
        <w:jc w:val="both"/>
        <w:rPr>
          <w:rFonts w:ascii="Verdana" w:eastAsia="Calibri" w:hAnsi="Verdana" w:cs="Arial"/>
          <w:color w:val="000000"/>
          <w:lang w:val="es-ES"/>
        </w:rPr>
      </w:pPr>
      <w:r>
        <w:rPr>
          <w:rFonts w:ascii="Verdana" w:eastAsia="Calibri" w:hAnsi="Verdana" w:cs="Arial"/>
          <w:color w:val="000000"/>
          <w:lang w:val="es-ES"/>
        </w:rPr>
        <w:t>e</w:t>
      </w:r>
      <w:r w:rsidRPr="00884819">
        <w:rPr>
          <w:rFonts w:ascii="Verdana" w:eastAsia="Calibri" w:hAnsi="Verdana" w:cs="Arial"/>
          <w:color w:val="000000"/>
          <w:lang w:val="es-ES"/>
        </w:rPr>
        <w:t xml:space="preserve">) Los contratos de prestación de servicios constituyen un </w:t>
      </w:r>
      <w:r w:rsidRPr="00884819">
        <w:rPr>
          <w:rFonts w:ascii="Verdana" w:eastAsia="Calibri" w:hAnsi="Verdana" w:cs="Arial"/>
          <w:i/>
          <w:color w:val="000000"/>
          <w:lang w:val="es-ES"/>
        </w:rPr>
        <w:t>género</w:t>
      </w:r>
      <w:r w:rsidRPr="00884819">
        <w:rPr>
          <w:rFonts w:ascii="Verdana" w:eastAsia="Calibri" w:hAnsi="Verdana" w:cs="Arial"/>
          <w:color w:val="000000"/>
          <w:lang w:val="es-ES"/>
        </w:rPr>
        <w:t xml:space="preserve"> que incluye, como </w:t>
      </w:r>
      <w:r w:rsidRPr="00884819">
        <w:rPr>
          <w:rFonts w:ascii="Verdana" w:eastAsia="Calibri" w:hAnsi="Verdana" w:cs="Arial"/>
          <w:i/>
          <w:color w:val="000000"/>
          <w:lang w:val="es-ES"/>
        </w:rPr>
        <w:t>especies</w:t>
      </w:r>
      <w:r w:rsidRPr="00884819">
        <w:rPr>
          <w:rFonts w:ascii="Verdana" w:eastAsia="Calibri" w:hAnsi="Verdana" w:cs="Arial"/>
          <w:color w:val="000000"/>
          <w:lang w:val="es-ES"/>
        </w:rPr>
        <w:t xml:space="preserve">, los contratos de prestación de servicios profesionales, los contratos de prestación de servicios de apoyo a la gestión y los contratos de prestación de servicios artísticos que solo pueden encomendarse a determinadas </w:t>
      </w:r>
      <w:r w:rsidRPr="00884819">
        <w:rPr>
          <w:rFonts w:ascii="Verdana" w:eastAsia="Calibri" w:hAnsi="Verdana" w:cs="Arial"/>
          <w:color w:val="000000"/>
          <w:lang w:val="es-ES"/>
        </w:rPr>
        <w:lastRenderedPageBreak/>
        <w:t>personas naturales</w:t>
      </w:r>
      <w:r w:rsidRPr="00884819">
        <w:rPr>
          <w:rStyle w:val="Refdenotaalpie"/>
          <w:rFonts w:ascii="Verdana" w:hAnsi="Verdana" w:cs="Arial"/>
        </w:rPr>
        <w:footnoteReference w:id="6"/>
      </w:r>
      <w:r w:rsidRPr="00884819">
        <w:rPr>
          <w:rFonts w:ascii="Verdana" w:eastAsia="Calibri" w:hAnsi="Verdana" w:cs="Arial"/>
          <w:color w:val="000000"/>
          <w:lang w:val="es-ES"/>
        </w:rPr>
        <w:t xml:space="preserve">. La diferencia entre el contrato de prestación de servicios </w:t>
      </w:r>
      <w:r w:rsidRPr="00884819">
        <w:rPr>
          <w:rFonts w:ascii="Verdana" w:eastAsia="Calibri" w:hAnsi="Verdana" w:cs="Arial"/>
          <w:i/>
          <w:color w:val="000000"/>
          <w:lang w:val="es-ES"/>
        </w:rPr>
        <w:t>profesionales</w:t>
      </w:r>
      <w:r w:rsidRPr="00884819">
        <w:rPr>
          <w:rFonts w:ascii="Verdana" w:eastAsia="Calibri" w:hAnsi="Verdana" w:cs="Arial"/>
          <w:color w:val="000000"/>
          <w:lang w:val="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774C6EA0" w14:textId="77777777" w:rsidR="006956AD" w:rsidRPr="002D3ED3" w:rsidRDefault="006956AD" w:rsidP="0014714D">
      <w:pPr>
        <w:spacing w:after="0" w:line="276" w:lineRule="auto"/>
        <w:ind w:firstLine="709"/>
        <w:jc w:val="both"/>
        <w:rPr>
          <w:rFonts w:ascii="Verdana" w:eastAsia="Calibri" w:hAnsi="Verdana" w:cs="Arial"/>
          <w:color w:val="000000"/>
          <w:lang w:val="es-ES"/>
        </w:rPr>
      </w:pPr>
    </w:p>
    <w:p w14:paraId="6A929886" w14:textId="77777777" w:rsidR="009C576B" w:rsidRPr="00692C00" w:rsidRDefault="009C576B" w:rsidP="009C576B">
      <w:pPr>
        <w:spacing w:after="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692C00">
        <w:rPr>
          <w:rStyle w:val="Refdenotaalpie"/>
          <w:rFonts w:ascii="Verdana" w:hAnsi="Verdana" w:cs="Arial"/>
          <w:sz w:val="20"/>
          <w:szCs w:val="20"/>
        </w:rPr>
        <w:footnoteReference w:id="7"/>
      </w:r>
      <w:r w:rsidRPr="00692C00">
        <w:rPr>
          <w:rFonts w:ascii="Verdana" w:eastAsia="Calibri" w:hAnsi="Verdana" w:cs="Arial"/>
          <w:color w:val="000000"/>
          <w:sz w:val="20"/>
          <w:szCs w:val="20"/>
          <w:lang w:val="es-ES_tradnl"/>
        </w:rPr>
        <w:t>.</w:t>
      </w:r>
    </w:p>
    <w:p w14:paraId="14F22CF7" w14:textId="77777777" w:rsidR="009C576B" w:rsidRPr="00884819" w:rsidRDefault="009C576B" w:rsidP="006956AD">
      <w:pPr>
        <w:spacing w:after="0" w:line="276" w:lineRule="auto"/>
        <w:ind w:firstLine="709"/>
        <w:jc w:val="both"/>
        <w:rPr>
          <w:rFonts w:ascii="Verdana" w:eastAsia="Calibri" w:hAnsi="Verdana" w:cs="Arial"/>
          <w:color w:val="000000"/>
          <w:lang w:val="es-ES_tradnl"/>
        </w:rPr>
      </w:pPr>
    </w:p>
    <w:p w14:paraId="29B3C2DE" w14:textId="77777777" w:rsidR="009C576B" w:rsidRDefault="009C576B" w:rsidP="006956AD">
      <w:pPr>
        <w:spacing w:after="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Objeto que, según la sentencia que se cita, se diferencia del objeto del contrato de prestación de servicios de apoyo a la gestión, porque en este:</w:t>
      </w:r>
    </w:p>
    <w:p w14:paraId="54D56373" w14:textId="77777777" w:rsidR="006956AD" w:rsidRPr="00884819" w:rsidRDefault="006956AD" w:rsidP="0014714D">
      <w:pPr>
        <w:spacing w:after="0" w:line="276" w:lineRule="auto"/>
        <w:ind w:firstLine="709"/>
        <w:jc w:val="both"/>
        <w:rPr>
          <w:rFonts w:ascii="Verdana" w:eastAsia="Calibri" w:hAnsi="Verdana" w:cs="Arial"/>
          <w:color w:val="000000"/>
          <w:lang w:val="es-ES_tradnl"/>
        </w:rPr>
      </w:pPr>
    </w:p>
    <w:p w14:paraId="70478EE5" w14:textId="77777777" w:rsidR="009C576B" w:rsidRDefault="009C576B" w:rsidP="006956AD">
      <w:pPr>
        <w:spacing w:after="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03FA72A5" w14:textId="77777777" w:rsidR="006956AD" w:rsidRPr="00692C00" w:rsidRDefault="006956AD" w:rsidP="0014714D">
      <w:pPr>
        <w:spacing w:after="0" w:line="240" w:lineRule="auto"/>
        <w:ind w:left="709" w:right="709"/>
        <w:jc w:val="both"/>
        <w:rPr>
          <w:rFonts w:ascii="Verdana" w:eastAsia="Calibri" w:hAnsi="Verdana" w:cs="Arial"/>
          <w:color w:val="000000"/>
          <w:sz w:val="20"/>
          <w:szCs w:val="20"/>
          <w:lang w:val="es-ES_tradnl"/>
        </w:rPr>
      </w:pPr>
    </w:p>
    <w:p w14:paraId="0441D5A4" w14:textId="77777777" w:rsidR="009C576B" w:rsidRPr="00692C00" w:rsidRDefault="009C576B" w:rsidP="0014714D">
      <w:pPr>
        <w:spacing w:after="0" w:line="240" w:lineRule="auto"/>
        <w:ind w:left="709" w:right="709"/>
        <w:jc w:val="both"/>
        <w:rPr>
          <w:rFonts w:ascii="Verdana" w:eastAsia="Calibri" w:hAnsi="Verdana" w:cs="Arial"/>
          <w:color w:val="000000"/>
          <w:sz w:val="20"/>
          <w:szCs w:val="20"/>
          <w:lang w:val="es-ES"/>
        </w:rPr>
      </w:pPr>
      <w:r w:rsidRPr="08E9AED9">
        <w:rPr>
          <w:rFonts w:ascii="Verdana" w:eastAsia="Calibri" w:hAnsi="Verdana" w:cs="Arial"/>
          <w:color w:val="000000" w:themeColor="text1"/>
          <w:sz w:val="20"/>
          <w:szCs w:val="20"/>
          <w:lang w:val="es-ES"/>
        </w:rPr>
        <w:t xml:space="preserve">Aunque también se caracteriza por el desempeño de actividad intelectiva, ésta </w:t>
      </w:r>
      <w:proofErr w:type="gramStart"/>
      <w:r w:rsidRPr="08E9AED9">
        <w:rPr>
          <w:rFonts w:ascii="Verdana" w:eastAsia="Calibri" w:hAnsi="Verdana" w:cs="Arial"/>
          <w:color w:val="000000" w:themeColor="text1"/>
          <w:sz w:val="20"/>
          <w:szCs w:val="20"/>
          <w:lang w:val="es-ES"/>
        </w:rPr>
        <w:t>se enmarca dentro de</w:t>
      </w:r>
      <w:proofErr w:type="gramEnd"/>
      <w:r w:rsidRPr="08E9AED9">
        <w:rPr>
          <w:rFonts w:ascii="Verdana" w:eastAsia="Calibri" w:hAnsi="Verdana" w:cs="Arial"/>
          <w:color w:val="000000" w:themeColor="text1"/>
          <w:sz w:val="20"/>
          <w:szCs w:val="20"/>
          <w:lang w:val="es-ES"/>
        </w:rPr>
        <w:t xml:space="preserve"> un saber propiamente técnico; igualmente involucra actividades en donde prima el esfuerzo físico o mecánico, en donde no se requiere de personal profesional.</w:t>
      </w:r>
    </w:p>
    <w:p w14:paraId="2A5EAAA0" w14:textId="77777777" w:rsidR="006956AD" w:rsidRDefault="006956AD" w:rsidP="006956AD">
      <w:pPr>
        <w:spacing w:after="0" w:line="240" w:lineRule="auto"/>
        <w:ind w:left="709" w:right="709"/>
        <w:jc w:val="both"/>
        <w:rPr>
          <w:rFonts w:ascii="Verdana" w:eastAsia="Calibri" w:hAnsi="Verdana" w:cs="Arial"/>
          <w:color w:val="000000"/>
          <w:sz w:val="20"/>
          <w:szCs w:val="20"/>
          <w:lang w:val="es-ES_tradnl"/>
        </w:rPr>
      </w:pPr>
    </w:p>
    <w:p w14:paraId="36F0DDE5" w14:textId="432FFF28" w:rsidR="00671CBB" w:rsidRPr="001C3E32" w:rsidRDefault="009C576B" w:rsidP="001C3E32">
      <w:pPr>
        <w:spacing w:after="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lastRenderedPageBreak/>
        <w:t>Dentro de su objeto contractual pueden tener lugar actividades operativas, logísticas o asistenciales, siempre que satisfaga los requisitos antes mencionados y sea acorde con las necesidades de la Administración y el principio de planeación”</w:t>
      </w:r>
      <w:r w:rsidRPr="00692C00">
        <w:rPr>
          <w:rStyle w:val="Refdenotaalpie"/>
          <w:rFonts w:ascii="Verdana" w:hAnsi="Verdana" w:cs="Arial"/>
          <w:sz w:val="20"/>
          <w:szCs w:val="20"/>
        </w:rPr>
        <w:footnoteReference w:id="8"/>
      </w:r>
      <w:r w:rsidRPr="00692C00">
        <w:rPr>
          <w:rFonts w:ascii="Verdana" w:eastAsia="Calibri" w:hAnsi="Verdana" w:cs="Arial"/>
          <w:color w:val="000000"/>
          <w:sz w:val="20"/>
          <w:szCs w:val="20"/>
          <w:lang w:val="es-ES_tradnl"/>
        </w:rPr>
        <w:t>.</w:t>
      </w:r>
    </w:p>
    <w:p w14:paraId="2B633C73" w14:textId="6F0BE8DA" w:rsidR="009C576B" w:rsidRDefault="009C576B" w:rsidP="006956AD">
      <w:pPr>
        <w:spacing w:after="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En relación con el contrato de prestación de servicios artísticos que solo pueden encomendarse a determinadas personas naturales, señala el mencionado fallo que:</w:t>
      </w:r>
    </w:p>
    <w:p w14:paraId="7635E8D3" w14:textId="77777777" w:rsidR="006956AD" w:rsidRPr="00884819" w:rsidRDefault="006956AD" w:rsidP="0014714D">
      <w:pPr>
        <w:spacing w:after="0" w:line="276" w:lineRule="auto"/>
        <w:ind w:firstLine="709"/>
        <w:jc w:val="both"/>
        <w:rPr>
          <w:rFonts w:ascii="Verdana" w:eastAsia="Calibri" w:hAnsi="Verdana" w:cs="Arial"/>
          <w:color w:val="000000"/>
          <w:lang w:val="es-ES_tradnl"/>
        </w:rPr>
      </w:pPr>
    </w:p>
    <w:p w14:paraId="1912D8DA" w14:textId="77777777" w:rsidR="009C576B" w:rsidRPr="00692C00" w:rsidRDefault="009C576B" w:rsidP="009C576B">
      <w:pPr>
        <w:spacing w:after="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692C00">
        <w:rPr>
          <w:rStyle w:val="Refdenotaalpie"/>
          <w:rFonts w:ascii="Verdana" w:hAnsi="Verdana" w:cs="Arial"/>
          <w:sz w:val="20"/>
          <w:szCs w:val="20"/>
        </w:rPr>
        <w:footnoteReference w:id="9"/>
      </w:r>
      <w:r w:rsidRPr="00692C00">
        <w:rPr>
          <w:rFonts w:ascii="Verdana" w:eastAsia="Calibri" w:hAnsi="Verdana" w:cs="Arial"/>
          <w:color w:val="000000"/>
          <w:sz w:val="20"/>
          <w:szCs w:val="20"/>
          <w:lang w:val="es-ES_tradnl"/>
        </w:rPr>
        <w:t>.</w:t>
      </w:r>
    </w:p>
    <w:p w14:paraId="0315EB35" w14:textId="77777777" w:rsidR="009C576B" w:rsidRPr="00884819" w:rsidRDefault="009C576B" w:rsidP="009C576B">
      <w:pPr>
        <w:spacing w:after="0"/>
        <w:ind w:left="709" w:right="709"/>
        <w:jc w:val="both"/>
        <w:rPr>
          <w:rFonts w:ascii="Verdana" w:eastAsia="Calibri" w:hAnsi="Verdana" w:cs="Arial"/>
          <w:color w:val="000000"/>
          <w:lang w:val="es-ES_tradnl"/>
        </w:rPr>
      </w:pPr>
    </w:p>
    <w:p w14:paraId="7AECF2B8" w14:textId="77777777" w:rsidR="009C576B" w:rsidRPr="00884819" w:rsidRDefault="009C576B" w:rsidP="009C576B">
      <w:pPr>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f</w:t>
      </w:r>
      <w:r w:rsidRPr="00884819">
        <w:rPr>
          <w:rFonts w:ascii="Verdana" w:eastAsia="Calibri" w:hAnsi="Verdana" w:cs="Arial"/>
          <w:color w:val="000000"/>
          <w:lang w:val="es-ES_tradnl"/>
        </w:rPr>
        <w:t>)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884819">
        <w:rPr>
          <w:rStyle w:val="Refdenotaalpie"/>
          <w:rFonts w:ascii="Verdana" w:hAnsi="Verdana" w:cs="Arial"/>
        </w:rPr>
        <w:footnoteReference w:id="10"/>
      </w:r>
      <w:r w:rsidRPr="00884819">
        <w:rPr>
          <w:rFonts w:ascii="Verdana" w:eastAsia="Calibri" w:hAnsi="Verdana" w:cs="Arial"/>
          <w:color w:val="000000"/>
          <w:lang w:val="es-ES_tradnl"/>
        </w:rPr>
        <w:t>. Pero, tampoco puede suscribirse un contrato de prestación de servicios profesionales para que el contratista ejecute labores que se enmarcan en los otros contratos tipificados en el artículo 32 de la Ley 80 de 1993, como, por ejemplo, para que el contratista de prestación de servicios construya una obra.</w:t>
      </w:r>
    </w:p>
    <w:p w14:paraId="6F286BF6" w14:textId="77777777" w:rsidR="009C576B" w:rsidRPr="00884819" w:rsidRDefault="009C576B" w:rsidP="009C576B">
      <w:pPr>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g</w:t>
      </w:r>
      <w:r w:rsidRPr="00884819">
        <w:rPr>
          <w:rFonts w:ascii="Verdana" w:eastAsia="Calibri" w:hAnsi="Verdana" w:cs="Arial"/>
          <w:color w:val="000000"/>
          <w:lang w:val="es-ES_tradnl"/>
        </w:rPr>
        <w:t>) Para su celebración no se requiere en algunos casos la expedición del acto administrativo de justificación de la contratación directa</w:t>
      </w:r>
      <w:r w:rsidRPr="00884819">
        <w:rPr>
          <w:rStyle w:val="Refdenotaalpie"/>
          <w:rFonts w:ascii="Verdana" w:hAnsi="Verdana" w:cs="Arial"/>
        </w:rPr>
        <w:footnoteReference w:id="11"/>
      </w:r>
      <w:r w:rsidRPr="00884819">
        <w:rPr>
          <w:rFonts w:ascii="Verdana" w:eastAsia="Calibri" w:hAnsi="Verdana" w:cs="Arial"/>
          <w:color w:val="000000"/>
          <w:lang w:val="es-ES_tradnl"/>
        </w:rPr>
        <w:t xml:space="preserve">. </w:t>
      </w:r>
    </w:p>
    <w:p w14:paraId="7CC2BB84" w14:textId="77777777" w:rsidR="009C576B" w:rsidRPr="00884819" w:rsidRDefault="009C576B" w:rsidP="009C576B">
      <w:pPr>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lastRenderedPageBreak/>
        <w:t>h</w:t>
      </w:r>
      <w:r w:rsidRPr="00884819">
        <w:rPr>
          <w:rFonts w:ascii="Verdana" w:eastAsia="Calibri" w:hAnsi="Verdana" w:cs="Arial"/>
          <w:color w:val="000000"/>
          <w:lang w:val="es-ES_tradnl"/>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884819">
        <w:rPr>
          <w:rStyle w:val="Refdenotaalpie"/>
          <w:rFonts w:ascii="Verdana" w:hAnsi="Verdana" w:cs="Arial"/>
        </w:rPr>
        <w:footnoteReference w:id="12"/>
      </w:r>
      <w:r w:rsidRPr="00884819">
        <w:rPr>
          <w:rFonts w:ascii="Verdana" w:eastAsia="Calibri" w:hAnsi="Verdana" w:cs="Arial"/>
          <w:color w:val="000000"/>
          <w:lang w:val="es-ES_tradnl"/>
        </w:rPr>
        <w:t>.</w:t>
      </w:r>
    </w:p>
    <w:p w14:paraId="55A0C098" w14:textId="77777777" w:rsidR="009C576B" w:rsidRPr="00884819" w:rsidRDefault="009C576B" w:rsidP="009C576B">
      <w:pPr>
        <w:spacing w:after="12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i) En algunos casos no es obligatoria la liquidación, pues así lo estableció el artículo 217 del Decreto 019 de 2012, que modificó el artículo 60 de la Ley 80 de 1993</w:t>
      </w:r>
      <w:r w:rsidRPr="00884819">
        <w:rPr>
          <w:rStyle w:val="Refdenotaalpie"/>
          <w:rFonts w:ascii="Verdana" w:hAnsi="Verdana" w:cs="Arial"/>
        </w:rPr>
        <w:footnoteReference w:id="13"/>
      </w:r>
      <w:r w:rsidRPr="00884819">
        <w:rPr>
          <w:rFonts w:ascii="Verdana" w:eastAsia="Calibri" w:hAnsi="Verdana" w:cs="Arial"/>
          <w:color w:val="000000"/>
          <w:lang w:val="es-ES_tradnl"/>
        </w:rPr>
        <w:t>, refiriéndose a los contratos de prestación de servicios profesionales y de apoyo a la gestión.</w:t>
      </w:r>
    </w:p>
    <w:p w14:paraId="13097AFC" w14:textId="77777777" w:rsidR="009C576B" w:rsidRPr="00884819" w:rsidRDefault="009C576B" w:rsidP="009C576B">
      <w:pPr>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j</w:t>
      </w:r>
      <w:r w:rsidRPr="00884819">
        <w:rPr>
          <w:rFonts w:ascii="Verdana" w:eastAsia="Calibri" w:hAnsi="Verdana" w:cs="Arial"/>
          <w:color w:val="000000"/>
          <w:lang w:val="es-ES_tradnl"/>
        </w:rPr>
        <w:t>) Para su celebración no se requiere inscripción en el Registro Único de Proponentes (RUP), según lo prevé el artículo 6 de la Ley 1150 de 2007</w:t>
      </w:r>
      <w:r w:rsidRPr="00884819">
        <w:rPr>
          <w:rStyle w:val="Refdenotaalpie"/>
          <w:rFonts w:ascii="Verdana" w:hAnsi="Verdana" w:cs="Arial"/>
        </w:rPr>
        <w:footnoteReference w:id="14"/>
      </w:r>
      <w:r w:rsidRPr="00884819">
        <w:rPr>
          <w:rFonts w:ascii="Verdana" w:eastAsia="Calibri" w:hAnsi="Verdana" w:cs="Arial"/>
          <w:color w:val="000000"/>
          <w:lang w:val="es-ES_tradnl"/>
        </w:rPr>
        <w:t>.</w:t>
      </w:r>
    </w:p>
    <w:p w14:paraId="6DBFE15F" w14:textId="77777777" w:rsidR="009C576B" w:rsidRDefault="009C576B" w:rsidP="009C576B">
      <w:pPr>
        <w:spacing w:before="120" w:after="0"/>
        <w:ind w:firstLine="709"/>
        <w:jc w:val="both"/>
        <w:rPr>
          <w:rFonts w:ascii="Verdana" w:eastAsia="Calibri" w:hAnsi="Verdana" w:cs="Arial"/>
          <w:color w:val="000000"/>
          <w:lang w:val="es-ES_tradnl"/>
        </w:rPr>
      </w:pPr>
      <w:r>
        <w:rPr>
          <w:rFonts w:ascii="Verdana" w:eastAsia="Calibri" w:hAnsi="Verdana" w:cs="Arial"/>
          <w:color w:val="000000"/>
          <w:lang w:val="es-ES_tradnl"/>
        </w:rPr>
        <w:t>k</w:t>
      </w:r>
      <w:r w:rsidRPr="00884819">
        <w:rPr>
          <w:rFonts w:ascii="Verdana" w:eastAsia="Calibri" w:hAnsi="Verdana" w:cs="Arial"/>
          <w:color w:val="000000"/>
          <w:lang w:val="es-ES_tradnl"/>
        </w:rPr>
        <w:t>) En ellos no son necesarias las garantías</w:t>
      </w:r>
      <w:r w:rsidRPr="00884819">
        <w:rPr>
          <w:rStyle w:val="Refdenotaalpie"/>
          <w:rFonts w:ascii="Verdana" w:hAnsi="Verdana" w:cs="Arial"/>
        </w:rPr>
        <w:footnoteReference w:id="15"/>
      </w:r>
      <w:r w:rsidRPr="00884819">
        <w:rPr>
          <w:rFonts w:ascii="Verdana" w:eastAsia="Calibri" w:hAnsi="Verdana" w:cs="Arial"/>
          <w:color w:val="000000"/>
          <w:lang w:val="es-ES_tradnl"/>
        </w:rPr>
        <w:t>.</w:t>
      </w:r>
    </w:p>
    <w:p w14:paraId="5D150A99" w14:textId="7C30105C" w:rsidR="00F2792C" w:rsidRDefault="009C576B" w:rsidP="009C576B">
      <w:pPr>
        <w:spacing w:before="120" w:after="120" w:line="276" w:lineRule="auto"/>
        <w:ind w:firstLine="709"/>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lastRenderedPageBreak/>
        <w:t>Ahora bien, l</w:t>
      </w:r>
      <w:r w:rsidRPr="00F31A35">
        <w:rPr>
          <w:rFonts w:ascii="Verdana" w:eastAsia="Calibri" w:hAnsi="Verdana" w:cs="Arial"/>
          <w:bCs/>
          <w:color w:val="000000"/>
          <w:kern w:val="2"/>
          <w14:ligatures w14:val="standardContextual"/>
        </w:rPr>
        <w:t>os entes estatales</w:t>
      </w:r>
      <w:r w:rsidR="000666D2">
        <w:rPr>
          <w:rFonts w:ascii="Verdana" w:eastAsia="Calibri" w:hAnsi="Verdana" w:cs="Arial"/>
          <w:bCs/>
          <w:color w:val="000000"/>
          <w:kern w:val="2"/>
          <w14:ligatures w14:val="standardContextual"/>
        </w:rPr>
        <w:t>,</w:t>
      </w:r>
      <w:r w:rsidRPr="00F31A35">
        <w:rPr>
          <w:rFonts w:ascii="Verdana" w:eastAsia="Calibri" w:hAnsi="Verdana" w:cs="Arial"/>
          <w:bCs/>
          <w:color w:val="000000"/>
          <w:kern w:val="2"/>
          <w14:ligatures w14:val="standardContextual"/>
        </w:rPr>
        <w:t xml:space="preserve"> durante la etapa de planeación, tienen el deber de realizar el análisis del sector y justificar la modalidad de contratación en los documentos del proceso, que para el caso de los procesos que impliquen una contratación directa y</w:t>
      </w:r>
      <w:r w:rsidR="003815D3">
        <w:rPr>
          <w:rFonts w:ascii="Verdana" w:eastAsia="Calibri" w:hAnsi="Verdana" w:cs="Arial"/>
          <w:bCs/>
          <w:color w:val="000000"/>
          <w:kern w:val="2"/>
          <w14:ligatures w14:val="standardContextual"/>
        </w:rPr>
        <w:t>, especialmente,</w:t>
      </w:r>
      <w:r w:rsidRPr="00F31A35">
        <w:rPr>
          <w:rFonts w:ascii="Verdana" w:eastAsia="Calibri" w:hAnsi="Verdana" w:cs="Arial"/>
          <w:bCs/>
          <w:color w:val="000000"/>
          <w:kern w:val="2"/>
          <w14:ligatures w14:val="standardContextual"/>
        </w:rPr>
        <w:t xml:space="preserve"> en los contratos de prestación de servicios profesionales, de apoyo a la gestión y de trabajos artísticos, se constata en los estudios y documentos previos, los cuales deben indicar, entre otras, las condiciones mínimas exigidas para suplir la necesidad de la entidad así como los requisitos que debe acreditar el futuro contratista para el cumplimiento del objeto contractual.</w:t>
      </w:r>
      <w:r>
        <w:rPr>
          <w:rFonts w:ascii="Verdana" w:eastAsia="Calibri" w:hAnsi="Verdana" w:cs="Arial"/>
          <w:bCs/>
          <w:color w:val="000000"/>
          <w:kern w:val="2"/>
          <w14:ligatures w14:val="standardContextual"/>
        </w:rPr>
        <w:t xml:space="preserve"> </w:t>
      </w:r>
    </w:p>
    <w:p w14:paraId="7535F2D1" w14:textId="41AD4930" w:rsidR="009C576B" w:rsidRDefault="009C576B" w:rsidP="009C576B">
      <w:pPr>
        <w:spacing w:before="120" w:after="120" w:line="276" w:lineRule="auto"/>
        <w:ind w:firstLine="709"/>
        <w:jc w:val="both"/>
        <w:rPr>
          <w:rFonts w:ascii="Verdana" w:hAnsi="Verdana"/>
          <w:lang w:eastAsia="es-MX"/>
        </w:rPr>
      </w:pPr>
      <w:r>
        <w:rPr>
          <w:rFonts w:ascii="Verdana" w:eastAsia="Calibri" w:hAnsi="Verdana" w:cs="Arial"/>
          <w:bCs/>
          <w:color w:val="000000"/>
          <w:kern w:val="2"/>
          <w14:ligatures w14:val="standardContextual"/>
        </w:rPr>
        <w:t xml:space="preserve">En este contexto, de acuerdo con lo establecido en el Decreto 1082 de 2015 artículo </w:t>
      </w:r>
      <w:r w:rsidRPr="0059266F">
        <w:rPr>
          <w:rFonts w:ascii="Verdana" w:hAnsi="Verdana"/>
          <w:lang w:eastAsia="es-MX"/>
        </w:rPr>
        <w:t>2.2.1.2.1.4.9.</w:t>
      </w:r>
      <w:r>
        <w:rPr>
          <w:rFonts w:ascii="Verdana" w:hAnsi="Verdana"/>
          <w:lang w:eastAsia="es-MX"/>
        </w:rPr>
        <w:t xml:space="preserve">, la entidad estatal deberá verificar </w:t>
      </w:r>
      <w:r w:rsidRPr="0059266F">
        <w:rPr>
          <w:rFonts w:ascii="Verdana" w:hAnsi="Verdana"/>
          <w:lang w:eastAsia="es-MX"/>
        </w:rPr>
        <w:t>la idoneidad o experiencia requerida y relacionada con el área de que se trate</w:t>
      </w:r>
      <w:r>
        <w:rPr>
          <w:rFonts w:ascii="Verdana" w:hAnsi="Verdana"/>
          <w:lang w:eastAsia="es-MX"/>
        </w:rPr>
        <w:t>.</w:t>
      </w:r>
      <w:r w:rsidR="00F2792C">
        <w:rPr>
          <w:rFonts w:ascii="Verdana" w:hAnsi="Verdana"/>
          <w:lang w:eastAsia="es-MX"/>
        </w:rPr>
        <w:t xml:space="preserve"> Para tales fines, deberán establecer en los documentos previos cuales son los </w:t>
      </w:r>
      <w:r w:rsidR="006B347F">
        <w:rPr>
          <w:rFonts w:ascii="Verdana" w:hAnsi="Verdana"/>
          <w:lang w:eastAsia="es-MX"/>
        </w:rPr>
        <w:t>documentos que solicitarán al futuro contratista para acreditar y verificar los requisitos exigidos</w:t>
      </w:r>
      <w:r w:rsidR="00142ED2">
        <w:rPr>
          <w:rFonts w:ascii="Verdana" w:hAnsi="Verdana"/>
          <w:lang w:eastAsia="es-MX"/>
        </w:rPr>
        <w:t>.</w:t>
      </w:r>
      <w:r w:rsidR="006B347F">
        <w:rPr>
          <w:rFonts w:ascii="Verdana" w:hAnsi="Verdana"/>
          <w:lang w:eastAsia="es-MX"/>
        </w:rPr>
        <w:t xml:space="preserve"> </w:t>
      </w:r>
    </w:p>
    <w:p w14:paraId="31B13F20" w14:textId="5C509588" w:rsidR="009C576B" w:rsidRDefault="009C576B" w:rsidP="009C576B">
      <w:pPr>
        <w:spacing w:before="120" w:after="120" w:line="276" w:lineRule="auto"/>
        <w:ind w:firstLine="709"/>
        <w:jc w:val="both"/>
        <w:rPr>
          <w:rFonts w:ascii="Verdana" w:hAnsi="Verdana"/>
          <w:lang w:eastAsia="es-MX"/>
        </w:rPr>
      </w:pPr>
      <w:r>
        <w:rPr>
          <w:rFonts w:ascii="Verdana" w:eastAsia="Calibri" w:hAnsi="Verdana" w:cs="Arial"/>
          <w:bCs/>
          <w:color w:val="000000"/>
          <w:kern w:val="2"/>
          <w14:ligatures w14:val="standardContextual"/>
        </w:rPr>
        <w:t xml:space="preserve">Ahora bien, resulta importante indicar que en la </w:t>
      </w:r>
      <w:r>
        <w:rPr>
          <w:rFonts w:ascii="Verdana" w:eastAsia="Calibri" w:hAnsi="Verdana" w:cs="Arial"/>
          <w:bCs/>
          <w:i/>
          <w:iCs/>
          <w:color w:val="000000"/>
          <w:kern w:val="2"/>
          <w14:ligatures w14:val="standardContextual"/>
        </w:rPr>
        <w:t>“</w:t>
      </w:r>
      <w:r w:rsidRPr="0059266F">
        <w:rPr>
          <w:rFonts w:ascii="Verdana" w:hAnsi="Verdana"/>
          <w:i/>
          <w:lang w:eastAsia="es-MX"/>
        </w:rPr>
        <w:t xml:space="preserve">Guía para la </w:t>
      </w:r>
      <w:r>
        <w:rPr>
          <w:rFonts w:ascii="Verdana" w:hAnsi="Verdana"/>
          <w:i/>
          <w:lang w:eastAsia="es-MX"/>
        </w:rPr>
        <w:t>i</w:t>
      </w:r>
      <w:r>
        <w:rPr>
          <w:rFonts w:ascii="Verdana" w:hAnsi="Verdana"/>
          <w:i/>
          <w:iCs/>
          <w:lang w:eastAsia="es-MX"/>
        </w:rPr>
        <w:t>ncorporación de lineamientos de integridad en la contratación de prestación de servicios”</w:t>
      </w:r>
      <w:r>
        <w:rPr>
          <w:rStyle w:val="Refdenotaalpie"/>
          <w:rFonts w:ascii="Verdana" w:hAnsi="Verdana"/>
          <w:i/>
          <w:iCs/>
          <w:lang w:eastAsia="es-MX"/>
        </w:rPr>
        <w:footnoteReference w:id="16"/>
      </w:r>
      <w:r w:rsidRPr="0059266F">
        <w:rPr>
          <w:rFonts w:ascii="Verdana" w:hAnsi="Verdana"/>
          <w:lang w:eastAsia="es-MX"/>
        </w:rPr>
        <w:t>,</w:t>
      </w:r>
      <w:r>
        <w:rPr>
          <w:rFonts w:ascii="Verdana" w:hAnsi="Verdana"/>
          <w:lang w:eastAsia="es-MX"/>
        </w:rPr>
        <w:t xml:space="preserve"> expedida por la Agencia de Contratación Pública – Colombia Compra Eficiente, en su Anexo 2 y 3, relaciona una lista ilustrativa de los documentos que puede solicitar la entidad del estado para suscribir contratos de prestación de servicios bien sea con persona natural o jurídica, como por ejemplo, los certificado</w:t>
      </w:r>
      <w:r w:rsidR="00F14F60">
        <w:rPr>
          <w:rFonts w:ascii="Verdana" w:hAnsi="Verdana"/>
          <w:lang w:eastAsia="es-MX"/>
        </w:rPr>
        <w:t>s</w:t>
      </w:r>
      <w:r>
        <w:rPr>
          <w:rFonts w:ascii="Verdana" w:hAnsi="Verdana"/>
          <w:lang w:eastAsia="es-MX"/>
        </w:rPr>
        <w:t xml:space="preserve"> de antecedentes judiciales, fiscales, disciplinarios, documentos que acrediten la experiencia profesional, formación académica, matrícula profesional, RIT, RUT, certificado de afiliación al sistema de seguridad social integral, entre otros. </w:t>
      </w:r>
    </w:p>
    <w:p w14:paraId="77CF8A8F" w14:textId="0CAB8A6D" w:rsidR="009C576B" w:rsidRDefault="009C576B" w:rsidP="009C576B">
      <w:pPr>
        <w:spacing w:before="120" w:after="120" w:line="276" w:lineRule="auto"/>
        <w:ind w:firstLine="709"/>
        <w:jc w:val="both"/>
        <w:rPr>
          <w:rFonts w:ascii="Verdana" w:hAnsi="Verdana"/>
          <w:lang w:eastAsia="es-MX"/>
        </w:rPr>
      </w:pPr>
      <w:r>
        <w:rPr>
          <w:rFonts w:ascii="Verdana" w:hAnsi="Verdana"/>
          <w:lang w:eastAsia="es-MX"/>
        </w:rPr>
        <w:t>En ese sentido, será la entidad estatal, dentro de su autonomía contractual, la llamada a definir los criterios necesarios para evaluar la idoneidad y experiencia del futuro contratista,</w:t>
      </w:r>
      <w:r w:rsidR="000A425B">
        <w:rPr>
          <w:rFonts w:ascii="Verdana" w:hAnsi="Verdana"/>
          <w:lang w:eastAsia="es-MX"/>
        </w:rPr>
        <w:t xml:space="preserve"> así como la ausencia de inhabilidades, incompatibilidades y prohibiciones,</w:t>
      </w:r>
      <w:r>
        <w:rPr>
          <w:rFonts w:ascii="Verdana" w:hAnsi="Verdana"/>
          <w:lang w:eastAsia="es-MX"/>
        </w:rPr>
        <w:t xml:space="preserve"> sin que exista alguna exigencia normativa, salvo algunos casos que se indicarán más adelante. No </w:t>
      </w:r>
      <w:proofErr w:type="gramStart"/>
      <w:r>
        <w:rPr>
          <w:rFonts w:ascii="Verdana" w:hAnsi="Verdana"/>
          <w:lang w:eastAsia="es-MX"/>
        </w:rPr>
        <w:t>obstante</w:t>
      </w:r>
      <w:proofErr w:type="gramEnd"/>
      <w:r>
        <w:rPr>
          <w:rFonts w:ascii="Verdana" w:hAnsi="Verdana"/>
          <w:lang w:eastAsia="es-MX"/>
        </w:rPr>
        <w:t xml:space="preserve"> lo anterior, si la entidad estatal cuenta con algún manual de contratación, adoptará lo allí plasmado e incluso, podrá adoptar los lineamientos establecidos en la guía antes mencionada expedida por esta Agencia. </w:t>
      </w:r>
    </w:p>
    <w:p w14:paraId="70038B47" w14:textId="0802A740" w:rsidR="009C576B" w:rsidRDefault="009C576B" w:rsidP="00241E71">
      <w:pPr>
        <w:spacing w:before="120" w:after="0" w:line="276" w:lineRule="auto"/>
        <w:ind w:firstLine="709"/>
        <w:jc w:val="both"/>
        <w:rPr>
          <w:rFonts w:ascii="Verdana" w:hAnsi="Verdana"/>
          <w:lang w:eastAsia="es-MX"/>
        </w:rPr>
      </w:pPr>
      <w:r>
        <w:rPr>
          <w:rFonts w:ascii="Verdana" w:hAnsi="Verdana"/>
          <w:lang w:eastAsia="es-MX"/>
        </w:rPr>
        <w:lastRenderedPageBreak/>
        <w:t>Lo que resulta necesario es que la entidad estatal evalúe</w:t>
      </w:r>
      <w:r w:rsidR="007A2740">
        <w:rPr>
          <w:rFonts w:ascii="Verdana" w:hAnsi="Verdana"/>
          <w:lang w:eastAsia="es-MX"/>
        </w:rPr>
        <w:t xml:space="preserve"> y se cerciore sobre</w:t>
      </w:r>
      <w:r>
        <w:rPr>
          <w:rFonts w:ascii="Verdana" w:hAnsi="Verdana"/>
          <w:lang w:eastAsia="es-MX"/>
        </w:rPr>
        <w:t xml:space="preserve"> la idoneidad y experiencia del futuro contratista para ejercer las actividades </w:t>
      </w:r>
      <w:r w:rsidR="007A2740">
        <w:rPr>
          <w:rFonts w:ascii="Verdana" w:hAnsi="Verdana"/>
          <w:lang w:eastAsia="es-MX"/>
        </w:rPr>
        <w:t>propias del objeto contractual</w:t>
      </w:r>
      <w:r w:rsidR="00241E71">
        <w:rPr>
          <w:rFonts w:ascii="Verdana" w:hAnsi="Verdana"/>
          <w:lang w:eastAsia="es-MX"/>
        </w:rPr>
        <w:t>,</w:t>
      </w:r>
      <w:r>
        <w:rPr>
          <w:rFonts w:ascii="Verdana" w:hAnsi="Verdana"/>
          <w:lang w:eastAsia="es-MX"/>
        </w:rPr>
        <w:t xml:space="preserve"> </w:t>
      </w:r>
      <w:r w:rsidR="00241E71">
        <w:rPr>
          <w:rFonts w:ascii="Verdana" w:hAnsi="Verdana"/>
          <w:lang w:eastAsia="es-MX"/>
        </w:rPr>
        <w:t xml:space="preserve">definidas </w:t>
      </w:r>
      <w:r>
        <w:rPr>
          <w:rFonts w:ascii="Verdana" w:hAnsi="Verdana"/>
          <w:lang w:eastAsia="es-MX"/>
        </w:rPr>
        <w:t xml:space="preserve">en los estudios previos que posteriormente se concretará a través de la celebración del contrato de prestación de servicios, conforme a los requisitos exigidos en el artículo 41 de la Ley 80 de 1993.  </w:t>
      </w:r>
    </w:p>
    <w:p w14:paraId="19537566" w14:textId="77777777" w:rsidR="00241E71" w:rsidRDefault="00241E71" w:rsidP="0014714D">
      <w:pPr>
        <w:spacing w:after="0" w:line="276" w:lineRule="auto"/>
        <w:ind w:firstLine="709"/>
        <w:jc w:val="both"/>
        <w:rPr>
          <w:rFonts w:ascii="Verdana" w:hAnsi="Verdana"/>
          <w:lang w:eastAsia="es-MX"/>
        </w:rPr>
      </w:pPr>
    </w:p>
    <w:p w14:paraId="53032265" w14:textId="70DAF243" w:rsidR="009C576B" w:rsidRPr="00BF13E7" w:rsidRDefault="009C576B" w:rsidP="009C576B">
      <w:pPr>
        <w:spacing w:after="120" w:line="276" w:lineRule="auto"/>
        <w:jc w:val="both"/>
        <w:rPr>
          <w:rFonts w:ascii="Verdana" w:eastAsia="Calibri" w:hAnsi="Verdana" w:cs="Arial"/>
          <w:color w:val="000000"/>
          <w:lang w:val="es-ES" w:eastAsia="en-GB"/>
        </w:rPr>
      </w:pPr>
      <w:proofErr w:type="spellStart"/>
      <w:r>
        <w:rPr>
          <w:rFonts w:ascii="Verdana" w:hAnsi="Verdana"/>
          <w:lang w:eastAsia="es-MX"/>
        </w:rPr>
        <w:t>ii</w:t>
      </w:r>
      <w:proofErr w:type="spellEnd"/>
      <w:r>
        <w:rPr>
          <w:rFonts w:ascii="Verdana" w:hAnsi="Verdana"/>
          <w:lang w:eastAsia="es-MX"/>
        </w:rPr>
        <w:t xml:space="preserve">)  </w:t>
      </w:r>
      <w:r>
        <w:rPr>
          <w:rFonts w:ascii="Verdana" w:eastAsia="Calibri" w:hAnsi="Verdana" w:cs="Arial"/>
          <w:color w:val="000000" w:themeColor="text1"/>
          <w:lang w:val="es-ES" w:eastAsia="en-GB"/>
        </w:rPr>
        <w:t>Ahora bien, e</w:t>
      </w:r>
      <w:r w:rsidRPr="1916222D">
        <w:rPr>
          <w:rFonts w:ascii="Verdana" w:eastAsia="Calibri" w:hAnsi="Verdana" w:cs="Arial"/>
          <w:color w:val="000000" w:themeColor="text1"/>
          <w:lang w:val="es-ES" w:eastAsia="en-GB"/>
        </w:rPr>
        <w:t xml:space="preserve">l EGCAP prevé dos tipos de exigencias en relación con los contratos estatales: i) las relacionadas con el perfeccionamiento y </w:t>
      </w:r>
      <w:proofErr w:type="spellStart"/>
      <w:r w:rsidRPr="1916222D">
        <w:rPr>
          <w:rFonts w:ascii="Verdana" w:eastAsia="Calibri" w:hAnsi="Verdana" w:cs="Arial"/>
          <w:color w:val="000000" w:themeColor="text1"/>
          <w:lang w:val="es-ES" w:eastAsia="en-GB"/>
        </w:rPr>
        <w:t>ii</w:t>
      </w:r>
      <w:proofErr w:type="spellEnd"/>
      <w:r w:rsidRPr="1916222D">
        <w:rPr>
          <w:rFonts w:ascii="Verdana" w:eastAsia="Calibri" w:hAnsi="Verdana" w:cs="Arial"/>
          <w:color w:val="000000" w:themeColor="text1"/>
          <w:lang w:val="es-ES" w:eastAsia="en-GB"/>
        </w:rPr>
        <w:t xml:space="preserve">) las que tienen que ver con la ejecución. Si bien ambas se complementan y marcan el origen de la fase contractual –o de ejecución–, es importante distinguirlas, ya que las consecuencias jurídicas que generan son diferentes. </w:t>
      </w:r>
    </w:p>
    <w:p w14:paraId="3A4B636B" w14:textId="77777777" w:rsidR="009C576B" w:rsidRPr="00BF13E7" w:rsidRDefault="009C576B" w:rsidP="009C576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Los </w:t>
      </w:r>
      <w:r w:rsidRPr="1916222D">
        <w:rPr>
          <w:rFonts w:ascii="Verdana" w:eastAsia="Calibri" w:hAnsi="Verdana" w:cs="Arial"/>
          <w:i/>
          <w:iCs/>
          <w:color w:val="000000"/>
          <w:lang w:val="es-ES" w:eastAsia="en-GB"/>
        </w:rPr>
        <w:t>requisitos de perfeccionamiento</w:t>
      </w:r>
      <w:r w:rsidRPr="1916222D">
        <w:rPr>
          <w:rFonts w:ascii="Verdana" w:eastAsia="Calibri" w:hAnsi="Verdana" w:cs="Arial"/>
          <w:color w:val="000000"/>
          <w:lang w:val="es-ES" w:eastAsia="en-GB"/>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w:t>
      </w:r>
      <w:r w:rsidRPr="00BF13E7">
        <w:rPr>
          <w:rStyle w:val="Refdenotaalpie"/>
          <w:rFonts w:ascii="Verdana" w:eastAsia="Calibri" w:hAnsi="Verdana" w:cs="Arial"/>
          <w:color w:val="000000"/>
          <w:lang w:val="es-ES_tradnl" w:eastAsia="en-GB"/>
        </w:rPr>
        <w:footnoteReference w:id="17"/>
      </w:r>
      <w:r w:rsidRPr="1916222D">
        <w:rPr>
          <w:rFonts w:ascii="Verdana" w:eastAsia="Calibri" w:hAnsi="Verdana" w:cs="Arial"/>
          <w:color w:val="000000"/>
          <w:lang w:val="es-ES" w:eastAsia="en-GB"/>
        </w:rPr>
        <w:t>. Los requisitos de perfeccionamiento del contrato estatal ingresan dentro de los elementos de la esencia.</w:t>
      </w:r>
    </w:p>
    <w:p w14:paraId="7931DAD5" w14:textId="77777777" w:rsidR="009C576B" w:rsidRPr="00BF13E7" w:rsidRDefault="009C576B" w:rsidP="009C576B">
      <w:pPr>
        <w:spacing w:after="120" w:line="276" w:lineRule="auto"/>
        <w:ind w:firstLine="709"/>
        <w:jc w:val="both"/>
        <w:rPr>
          <w:rFonts w:ascii="Verdana" w:eastAsia="Calibri" w:hAnsi="Verdana" w:cs="Arial"/>
          <w:color w:val="000000"/>
          <w:lang w:val="es-ES" w:eastAsia="en-GB"/>
        </w:rPr>
      </w:pPr>
      <w:r w:rsidRPr="00545DB3">
        <w:rPr>
          <w:rFonts w:ascii="Verdana" w:eastAsia="Calibri" w:hAnsi="Verdana" w:cs="Arial"/>
          <w:color w:val="000000"/>
          <w:lang w:val="es-ES" w:eastAsia="en-GB"/>
        </w:rPr>
        <w:t xml:space="preserve">Por otra parte, los contratos –en términos generales– pueden ser: consensuales, reales o solemnes. Son </w:t>
      </w:r>
      <w:r w:rsidRPr="1916222D">
        <w:rPr>
          <w:rFonts w:ascii="Verdana" w:eastAsia="Calibri" w:hAnsi="Verdana" w:cs="Arial"/>
          <w:i/>
          <w:iCs/>
          <w:color w:val="000000"/>
          <w:lang w:val="es-ES" w:eastAsia="en-GB"/>
        </w:rPr>
        <w:t>consensuales</w:t>
      </w:r>
      <w:r w:rsidRPr="00545DB3">
        <w:rPr>
          <w:rFonts w:ascii="Verdana" w:eastAsia="Calibri" w:hAnsi="Verdana" w:cs="Arial"/>
          <w:color w:val="000000"/>
          <w:lang w:val="es-ES" w:eastAsia="en-GB"/>
        </w:rPr>
        <w:t xml:space="preserve"> los que se perfeccionan con el consentimiento informal, pues no requieren de formalidades especiales. Son </w:t>
      </w:r>
      <w:r w:rsidRPr="1916222D">
        <w:rPr>
          <w:rFonts w:ascii="Verdana" w:eastAsia="Calibri" w:hAnsi="Verdana" w:cs="Arial"/>
          <w:i/>
          <w:iCs/>
          <w:color w:val="000000"/>
          <w:lang w:val="es-ES" w:eastAsia="en-GB"/>
        </w:rPr>
        <w:t>reales</w:t>
      </w:r>
      <w:r w:rsidRPr="00545DB3">
        <w:rPr>
          <w:rFonts w:ascii="Verdana" w:eastAsia="Calibri" w:hAnsi="Verdana" w:cs="Arial"/>
          <w:color w:val="000000"/>
          <w:lang w:val="es-ES" w:eastAsia="en-GB"/>
        </w:rPr>
        <w:t xml:space="preserve"> aquellos que existen solo con la tradición o entrega de una cosa. Por su parte, son </w:t>
      </w:r>
      <w:r w:rsidRPr="1916222D">
        <w:rPr>
          <w:rFonts w:ascii="Verdana" w:eastAsia="Calibri" w:hAnsi="Verdana" w:cs="Arial"/>
          <w:i/>
          <w:iCs/>
          <w:color w:val="000000"/>
          <w:lang w:val="es-ES" w:eastAsia="en-GB"/>
        </w:rPr>
        <w:t>solemnes</w:t>
      </w:r>
      <w:r w:rsidRPr="00545DB3">
        <w:rPr>
          <w:rFonts w:ascii="Verdana" w:eastAsia="Calibri" w:hAnsi="Verdana" w:cs="Arial"/>
          <w:color w:val="000000"/>
          <w:lang w:val="es-ES" w:eastAsia="en-GB"/>
        </w:rPr>
        <w:t xml:space="preserve">, en cambio, aquellos contratos cuyo perfeccionamiento está </w:t>
      </w:r>
      <w:r w:rsidRPr="00545DB3">
        <w:rPr>
          <w:rFonts w:ascii="Verdana" w:eastAsia="Calibri" w:hAnsi="Verdana" w:cs="Arial"/>
          <w:color w:val="000000"/>
          <w:lang w:val="es-ES" w:eastAsia="en-GB"/>
        </w:rPr>
        <w:lastRenderedPageBreak/>
        <w:t>revestido del cumplimiento de exigencias formales o ritualidades específicas</w:t>
      </w:r>
      <w:r w:rsidRPr="00BF13E7">
        <w:rPr>
          <w:rStyle w:val="Refdenotaalpie"/>
          <w:rFonts w:ascii="Verdana" w:eastAsia="Calibri" w:hAnsi="Verdana" w:cs="Arial"/>
          <w:color w:val="000000"/>
          <w:lang w:val="es-ES" w:eastAsia="en-GB"/>
        </w:rPr>
        <w:footnoteReference w:id="18"/>
      </w:r>
      <w:r w:rsidRPr="00545DB3">
        <w:rPr>
          <w:rFonts w:ascii="Verdana" w:eastAsia="Calibri" w:hAnsi="Verdana" w:cs="Arial"/>
          <w:color w:val="000000"/>
          <w:lang w:val="es-ES" w:eastAsia="en-GB"/>
        </w:rPr>
        <w:t>. Pues bien, los contratos estatales regulados por el ECGAP, por regla general, son solemnes, ya que solo se entienden celebrados si se cumplen ciertas formalidades. Esta regla general solo tiene una excepción, como se explicará.</w:t>
      </w:r>
    </w:p>
    <w:p w14:paraId="08A50ADA" w14:textId="09E3E09C" w:rsidR="009C576B" w:rsidRPr="00BF13E7" w:rsidRDefault="009C576B" w:rsidP="009C576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w:t>
      </w:r>
      <w:r w:rsidR="00F56249">
        <w:rPr>
          <w:rFonts w:ascii="Verdana" w:eastAsia="Calibri" w:hAnsi="Verdana" w:cs="Arial"/>
          <w:color w:val="000000"/>
          <w:lang w:val="es-ES" w:eastAsia="en-GB"/>
        </w:rPr>
        <w:t>:</w:t>
      </w:r>
      <w:r w:rsidRPr="1916222D">
        <w:rPr>
          <w:rFonts w:ascii="Verdana" w:eastAsia="Calibri" w:hAnsi="Verdana" w:cs="Arial"/>
          <w:color w:val="000000"/>
          <w:lang w:val="es-ES" w:eastAsia="en-GB"/>
        </w:rPr>
        <w:t xml:space="preserve"> “</w:t>
      </w:r>
      <w:r>
        <w:rPr>
          <w:rFonts w:ascii="Verdana" w:eastAsia="Calibri" w:hAnsi="Verdana" w:cs="Arial"/>
          <w:color w:val="000000"/>
          <w:lang w:val="es-ES" w:eastAsia="en-GB"/>
        </w:rPr>
        <w:t xml:space="preserve">(…) </w:t>
      </w:r>
      <w:r w:rsidRPr="1916222D">
        <w:rPr>
          <w:rFonts w:ascii="Verdana" w:eastAsia="Calibri" w:hAnsi="Verdana" w:cs="Arial"/>
          <w:color w:val="000000"/>
          <w:lang w:val="es-ES" w:eastAsia="en-GB"/>
        </w:rPr>
        <w:t xml:space="preserve">principalmente, </w:t>
      </w:r>
      <w:r w:rsidRPr="1916222D">
        <w:rPr>
          <w:rFonts w:ascii="Verdana" w:eastAsia="Calibri" w:hAnsi="Verdana" w:cs="Arial"/>
          <w:i/>
          <w:iCs/>
          <w:color w:val="000000"/>
          <w:lang w:val="es-ES" w:eastAsia="en-GB"/>
        </w:rPr>
        <w:t>solemne,</w:t>
      </w:r>
      <w:r w:rsidRPr="1916222D">
        <w:rPr>
          <w:rFonts w:ascii="Verdana" w:eastAsia="Calibri" w:hAnsi="Verdana" w:cs="Arial"/>
          <w:color w:val="000000"/>
          <w:lang w:val="es-ES" w:eastAsia="en-GB"/>
        </w:rPr>
        <w:t xml:space="preserve"> ya que la manifestación de voluntad, si no se expresa bajo la forma </w:t>
      </w:r>
      <w:r w:rsidRPr="1916222D">
        <w:rPr>
          <w:rFonts w:ascii="Verdana" w:eastAsia="Calibri" w:hAnsi="Verdana" w:cs="Arial"/>
          <w:i/>
          <w:iCs/>
          <w:color w:val="000000"/>
          <w:lang w:val="es-ES" w:eastAsia="en-GB"/>
        </w:rPr>
        <w:t xml:space="preserve">ad </w:t>
      </w:r>
      <w:proofErr w:type="spellStart"/>
      <w:r w:rsidRPr="1916222D">
        <w:rPr>
          <w:rFonts w:ascii="Verdana" w:eastAsia="Calibri" w:hAnsi="Verdana" w:cs="Arial"/>
          <w:i/>
          <w:iCs/>
          <w:color w:val="000000"/>
          <w:lang w:val="es-ES" w:eastAsia="en-GB"/>
        </w:rPr>
        <w:t>solemnitatem</w:t>
      </w:r>
      <w:proofErr w:type="spellEnd"/>
      <w:r w:rsidRPr="1916222D">
        <w:rPr>
          <w:rFonts w:ascii="Verdana" w:eastAsia="Calibri" w:hAnsi="Verdana" w:cs="Arial"/>
          <w:color w:val="000000"/>
          <w:lang w:val="es-ES" w:eastAsia="en-GB"/>
        </w:rPr>
        <w:t xml:space="preserve"> o </w:t>
      </w:r>
      <w:r w:rsidRPr="1916222D">
        <w:rPr>
          <w:rFonts w:ascii="Verdana" w:eastAsia="Calibri" w:hAnsi="Verdana" w:cs="Arial"/>
          <w:i/>
          <w:iCs/>
          <w:color w:val="000000"/>
          <w:lang w:val="es-ES" w:eastAsia="en-GB"/>
        </w:rPr>
        <w:t xml:space="preserve">ad </w:t>
      </w:r>
      <w:proofErr w:type="spellStart"/>
      <w:r w:rsidRPr="1916222D">
        <w:rPr>
          <w:rFonts w:ascii="Verdana" w:eastAsia="Calibri" w:hAnsi="Verdana" w:cs="Arial"/>
          <w:i/>
          <w:iCs/>
          <w:color w:val="000000"/>
          <w:lang w:val="es-ES" w:eastAsia="en-GB"/>
        </w:rPr>
        <w:t>substantiam</w:t>
      </w:r>
      <w:proofErr w:type="spellEnd"/>
      <w:r w:rsidRPr="1916222D">
        <w:rPr>
          <w:rFonts w:ascii="Verdana" w:eastAsia="Calibri" w:hAnsi="Verdana" w:cs="Arial"/>
          <w:i/>
          <w:iCs/>
          <w:color w:val="000000"/>
          <w:lang w:val="es-ES" w:eastAsia="en-GB"/>
        </w:rPr>
        <w:t xml:space="preserve"> </w:t>
      </w:r>
      <w:proofErr w:type="spellStart"/>
      <w:r w:rsidRPr="1916222D">
        <w:rPr>
          <w:rFonts w:ascii="Verdana" w:eastAsia="Calibri" w:hAnsi="Verdana" w:cs="Arial"/>
          <w:i/>
          <w:iCs/>
          <w:color w:val="000000"/>
          <w:lang w:val="es-ES" w:eastAsia="en-GB"/>
        </w:rPr>
        <w:t>actus</w:t>
      </w:r>
      <w:proofErr w:type="spellEnd"/>
      <w:r w:rsidRPr="1916222D">
        <w:rPr>
          <w:rFonts w:ascii="Verdana" w:eastAsia="Calibri" w:hAnsi="Verdana" w:cs="Arial"/>
          <w:color w:val="000000"/>
          <w:lang w:val="es-ES" w:eastAsia="en-GB"/>
        </w:rPr>
        <w:t xml:space="preserve"> exigida por la ley, es inexistente, es decir, se entiende que el contrato jamás ha sido creado para el mundo jurídico”</w:t>
      </w:r>
      <w:r w:rsidRPr="00BF13E7">
        <w:rPr>
          <w:rStyle w:val="Refdenotaalpie"/>
          <w:rFonts w:ascii="Verdana" w:eastAsia="Calibri" w:hAnsi="Verdana" w:cs="Arial"/>
          <w:color w:val="000000"/>
          <w:lang w:val="es-ES_tradnl" w:eastAsia="en-GB"/>
        </w:rPr>
        <w:footnoteReference w:id="19"/>
      </w:r>
      <w:r w:rsidRPr="1916222D">
        <w:rPr>
          <w:rFonts w:ascii="Verdana" w:eastAsia="Calibri" w:hAnsi="Verdana" w:cs="Arial"/>
          <w:color w:val="000000"/>
          <w:lang w:val="es-ES" w:eastAsia="en-GB"/>
        </w:rPr>
        <w:t xml:space="preserve">. </w:t>
      </w:r>
    </w:p>
    <w:p w14:paraId="3E9E0F35" w14:textId="77777777" w:rsidR="009C576B" w:rsidRPr="00BF13E7" w:rsidRDefault="009C576B" w:rsidP="009C576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La excepción a esta regla se encuentra en el cuarto inciso del mismo artículo, según el cual, “En caso de situaciones de urgencia manifiesta a que se refiere el artículo </w:t>
      </w:r>
      <w:hyperlink r:id="rId13" w:anchor="42" w:history="1">
        <w:r w:rsidRPr="1916222D">
          <w:rPr>
            <w:rFonts w:ascii="Verdana" w:hAnsi="Verdana" w:cs="Arial"/>
            <w:color w:val="000000"/>
            <w:lang w:val="es-ES" w:eastAsia="en-GB"/>
          </w:rPr>
          <w:t>42</w:t>
        </w:r>
      </w:hyperlink>
      <w:r w:rsidRPr="1916222D">
        <w:rPr>
          <w:rFonts w:ascii="Verdana" w:eastAsia="Calibri" w:hAnsi="Verdana" w:cs="Arial"/>
          <w:color w:val="000000"/>
          <w:lang w:val="es-ES" w:eastAsia="en-GB"/>
        </w:rPr>
        <w:t xml:space="preserve"> de esta ley que no permitan la suscripción de contrato escrito, se prescindirá de éste y aún del acuerdo acerca de la remuneración, no obstante, deberá dejarse constancia escrita de la autorización impartida por la entidad estatal contratante”. </w:t>
      </w:r>
      <w:r w:rsidRPr="1916222D">
        <w:rPr>
          <w:rFonts w:ascii="Verdana" w:eastAsia="Calibri" w:hAnsi="Verdana" w:cs="Arial"/>
          <w:color w:val="000000" w:themeColor="text1"/>
          <w:lang w:val="es-ES" w:eastAsia="en-GB"/>
        </w:rPr>
        <w:t>En otras palabras, por regla general, los contratos estatales deben constar por escrito, salvo que se presente una situación de urgencia manifiesta en la que no haya tiempo de cumplir con esta formalidad.</w:t>
      </w:r>
    </w:p>
    <w:p w14:paraId="50BA3F11" w14:textId="77777777" w:rsidR="009C576B" w:rsidRDefault="009C576B" w:rsidP="009C576B">
      <w:pPr>
        <w:spacing w:after="120" w:line="276" w:lineRule="auto"/>
        <w:ind w:firstLine="709"/>
        <w:jc w:val="both"/>
        <w:rPr>
          <w:rFonts w:ascii="Verdana" w:eastAsia="Calibri" w:hAnsi="Verdana" w:cs="Arial"/>
          <w:color w:val="000000" w:themeColor="text1"/>
          <w:lang w:val="es-ES" w:eastAsia="en-GB"/>
        </w:rPr>
      </w:pPr>
      <w:r w:rsidRPr="1916222D">
        <w:rPr>
          <w:rFonts w:ascii="Verdana" w:eastAsia="Calibri" w:hAnsi="Verdana" w:cs="Arial"/>
          <w:color w:val="000000" w:themeColor="text1"/>
          <w:lang w:val="es-ES" w:eastAsia="en-GB"/>
        </w:rPr>
        <w:t xml:space="preserve">Analizados con anterioridad los requisitos para el perfeccionamiento del contrato estatal, es necesario diferenciarlos, por tanto, de los </w:t>
      </w:r>
      <w:r w:rsidRPr="1916222D">
        <w:rPr>
          <w:rFonts w:ascii="Verdana" w:eastAsia="Calibri" w:hAnsi="Verdana" w:cs="Arial"/>
          <w:i/>
          <w:iCs/>
          <w:color w:val="000000" w:themeColor="text1"/>
          <w:lang w:val="es-ES" w:eastAsia="en-GB"/>
        </w:rPr>
        <w:t>requisitos de ejecución</w:t>
      </w:r>
      <w:r w:rsidRPr="1916222D">
        <w:rPr>
          <w:rFonts w:ascii="Verdana" w:eastAsia="Calibri" w:hAnsi="Verdana" w:cs="Arial"/>
          <w:color w:val="000000" w:themeColor="text1"/>
          <w:lang w:val="es-ES" w:eastAsia="en-GB"/>
        </w:rPr>
        <w:t xml:space="preserve">, e indicar cuáles son las exigencias de esta segunda clase establecidas en el EGCAP. Si el cumplimiento de los requisitos de perfeccionamiento permite que el contrato exista, la observancia de los requisitos de ejecución posibilita el inicio de la fase de realización de las actividades pactadas en el contrato, es decir, el cumplimiento del objeto del negocio jurídico. A partir de esta distinción, </w:t>
      </w:r>
      <w:r w:rsidRPr="1916222D">
        <w:rPr>
          <w:rFonts w:ascii="Verdana" w:eastAsia="Calibri" w:hAnsi="Verdana" w:cs="Arial"/>
          <w:color w:val="000000" w:themeColor="text1"/>
          <w:lang w:val="es-ES" w:eastAsia="en-GB"/>
        </w:rPr>
        <w:lastRenderedPageBreak/>
        <w:t xml:space="preserve">es posible encontrar contratos estatales –perfeccionados–, que hayan cumplido con los requisitos de ejecución y contratos estatales respecto de los cuales aún falte satisfacer uno o varios requisitos de ejecución. </w:t>
      </w:r>
    </w:p>
    <w:p w14:paraId="14124EB6" w14:textId="77777777" w:rsidR="009C576B" w:rsidRDefault="009C576B" w:rsidP="009C576B">
      <w:pPr>
        <w:spacing w:after="120" w:line="276" w:lineRule="auto"/>
        <w:ind w:firstLine="709"/>
        <w:jc w:val="both"/>
        <w:rPr>
          <w:rFonts w:ascii="Verdana" w:eastAsia="Calibri" w:hAnsi="Verdana" w:cs="Arial"/>
          <w:color w:val="000000" w:themeColor="text1"/>
          <w:lang w:val="es-ES" w:eastAsia="en-GB"/>
        </w:rPr>
      </w:pPr>
      <w:r w:rsidRPr="00C04026">
        <w:rPr>
          <w:rFonts w:ascii="Verdana" w:eastAsia="Calibri" w:hAnsi="Verdana" w:cs="Arial"/>
          <w:color w:val="000000" w:themeColor="text1"/>
          <w:lang w:val="es-ES" w:eastAsia="en-GB"/>
        </w:rPr>
        <w:t xml:space="preserve">En ese sentido, la exigencia de que el futuro contratista deba efectuar los cursos de MIPG (Modelo integrado de Planeación y Gestión) </w:t>
      </w:r>
      <w:r>
        <w:rPr>
          <w:rFonts w:ascii="Verdana" w:eastAsia="Calibri" w:hAnsi="Verdana" w:cs="Arial"/>
          <w:color w:val="000000" w:themeColor="text1"/>
          <w:lang w:val="es-ES" w:eastAsia="en-GB"/>
        </w:rPr>
        <w:t xml:space="preserve">para celebrar el contrato, </w:t>
      </w:r>
      <w:r w:rsidRPr="00C04026">
        <w:rPr>
          <w:rFonts w:ascii="Verdana" w:eastAsia="Calibri" w:hAnsi="Verdana" w:cs="Arial"/>
          <w:color w:val="000000" w:themeColor="text1"/>
          <w:lang w:val="es-ES" w:eastAsia="en-GB"/>
        </w:rPr>
        <w:t xml:space="preserve">dependerá </w:t>
      </w:r>
      <w:r>
        <w:rPr>
          <w:rFonts w:ascii="Verdana" w:eastAsia="Calibri" w:hAnsi="Verdana" w:cs="Arial"/>
          <w:color w:val="000000" w:themeColor="text1"/>
          <w:lang w:val="es-ES" w:eastAsia="en-GB"/>
        </w:rPr>
        <w:t>de la necesidad que la entidad estatal definida en los estudios previos y los requisitos que se exijan para así continuar con el proceso de contratación y perfeccionamiento del contrato. Por lo tanto, al no existir una lista taxativa de los documentos o requisitos para celebrar el contrato, la entidad estatal dentro de la autonomía contractual determinará los criterios necesarios para celebrar el contrato, siempre y cuando se sustente en debida forma y con base en lo dispuesto en la Ley 80 de 1993 y el Decreto 1982 de 2015 artículos 2.2.1.1.1.6.1</w:t>
      </w:r>
      <w:r w:rsidRPr="00AC5804">
        <w:rPr>
          <w:rFonts w:ascii="Verdana" w:eastAsia="Calibri" w:hAnsi="Verdana" w:cs="Arial"/>
          <w:color w:val="000000" w:themeColor="text1"/>
          <w:lang w:val="es-ES" w:eastAsia="en-GB"/>
        </w:rPr>
        <w:t>, 2.2.1.1.2.1.1 y 2.2.1.2.1.4.9</w:t>
      </w:r>
      <w:r>
        <w:rPr>
          <w:rFonts w:ascii="Verdana" w:eastAsia="Calibri" w:hAnsi="Verdana" w:cs="Arial"/>
          <w:color w:val="000000" w:themeColor="text1"/>
          <w:lang w:val="es-ES" w:eastAsia="en-GB"/>
        </w:rPr>
        <w:t>.</w:t>
      </w:r>
    </w:p>
    <w:p w14:paraId="658A81DF" w14:textId="5A94924B" w:rsidR="009A0D0A" w:rsidRDefault="009A0D0A" w:rsidP="00AA3BBA">
      <w:pPr>
        <w:spacing w:after="0" w:line="276" w:lineRule="auto"/>
        <w:ind w:firstLine="709"/>
        <w:jc w:val="both"/>
        <w:rPr>
          <w:rFonts w:ascii="Verdana" w:eastAsia="Calibri" w:hAnsi="Verdana" w:cs="Arial"/>
          <w:color w:val="000000" w:themeColor="text1"/>
          <w:lang w:val="es-ES" w:eastAsia="en-GB"/>
        </w:rPr>
      </w:pPr>
      <w:r>
        <w:rPr>
          <w:rFonts w:ascii="Verdana" w:eastAsia="Calibri" w:hAnsi="Verdana" w:cs="Arial"/>
          <w:color w:val="000000" w:themeColor="text1"/>
          <w:lang w:val="es-ES" w:eastAsia="en-GB"/>
        </w:rPr>
        <w:t>Así mismo, es importante precisar que</w:t>
      </w:r>
      <w:r w:rsidR="00526677">
        <w:rPr>
          <w:rFonts w:ascii="Verdana" w:eastAsia="Calibri" w:hAnsi="Verdana" w:cs="Arial"/>
          <w:color w:val="000000" w:themeColor="text1"/>
          <w:lang w:val="es-ES" w:eastAsia="en-GB"/>
        </w:rPr>
        <w:t xml:space="preserve">, las exigencias en relación con el futuro contratista deben ser proporcionales y adecuadas al objeto contractual que se pretende desarrollar. </w:t>
      </w:r>
      <w:r w:rsidR="001B0B79">
        <w:rPr>
          <w:rFonts w:ascii="Verdana" w:eastAsia="Calibri" w:hAnsi="Verdana" w:cs="Arial"/>
          <w:color w:val="000000" w:themeColor="text1"/>
          <w:lang w:val="es-ES" w:eastAsia="en-GB"/>
        </w:rPr>
        <w:t>Por lo anterio</w:t>
      </w:r>
      <w:r w:rsidR="00084004">
        <w:rPr>
          <w:rFonts w:ascii="Verdana" w:eastAsia="Calibri" w:hAnsi="Verdana" w:cs="Arial"/>
          <w:color w:val="000000" w:themeColor="text1"/>
          <w:lang w:val="es-ES" w:eastAsia="en-GB"/>
        </w:rPr>
        <w:t>r, en cada caso deberá evaluarse la pertinencia de solicitar que la persona acredite la realización de un curso, como el de Modelo Integrado de Planeación y Gestión</w:t>
      </w:r>
      <w:r w:rsidR="006B1347">
        <w:rPr>
          <w:rFonts w:ascii="Verdana" w:eastAsia="Calibri" w:hAnsi="Verdana" w:cs="Arial"/>
          <w:color w:val="000000" w:themeColor="text1"/>
          <w:lang w:val="es-ES" w:eastAsia="en-GB"/>
        </w:rPr>
        <w:t xml:space="preserve"> al que se refiere en su consulta, de acuerdo con las obligaciones que va a desarrollar. </w:t>
      </w:r>
    </w:p>
    <w:p w14:paraId="573046D1" w14:textId="77777777" w:rsidR="00AA3BBA" w:rsidRPr="00C04026" w:rsidRDefault="00AA3BBA" w:rsidP="00671CBB">
      <w:pPr>
        <w:spacing w:after="0" w:line="240" w:lineRule="auto"/>
        <w:ind w:firstLine="709"/>
        <w:jc w:val="both"/>
        <w:rPr>
          <w:rFonts w:ascii="Verdana" w:eastAsia="Calibri" w:hAnsi="Verdana" w:cs="Arial"/>
          <w:color w:val="000000"/>
          <w:lang w:val="es-ES" w:eastAsia="en-GB"/>
        </w:rPr>
      </w:pPr>
    </w:p>
    <w:p w14:paraId="1D62664C" w14:textId="367CB2B6" w:rsidR="009C576B" w:rsidRPr="00C970B4" w:rsidRDefault="009C576B" w:rsidP="0014714D">
      <w:pPr>
        <w:spacing w:after="120" w:line="276" w:lineRule="auto"/>
        <w:jc w:val="both"/>
        <w:rPr>
          <w:rFonts w:ascii="Verdana" w:eastAsia="Calibri" w:hAnsi="Verdana" w:cs="Arial"/>
          <w:color w:val="000000" w:themeColor="text1"/>
          <w:lang w:val="es-ES" w:eastAsia="en-GB"/>
        </w:rPr>
      </w:pPr>
      <w:proofErr w:type="spellStart"/>
      <w:r>
        <w:rPr>
          <w:rFonts w:ascii="Verdana" w:eastAsia="Calibri" w:hAnsi="Verdana" w:cs="Arial"/>
          <w:color w:val="000000" w:themeColor="text1"/>
          <w:lang w:val="es-ES" w:eastAsia="en-GB"/>
        </w:rPr>
        <w:t>iii</w:t>
      </w:r>
      <w:proofErr w:type="spellEnd"/>
      <w:r>
        <w:rPr>
          <w:rFonts w:ascii="Verdana" w:eastAsia="Calibri" w:hAnsi="Verdana" w:cs="Arial"/>
          <w:color w:val="000000" w:themeColor="text1"/>
          <w:lang w:val="es-ES" w:eastAsia="en-GB"/>
        </w:rPr>
        <w:t xml:space="preserve">) Respecto del tercer problema jurídico correspondiente a si es necesario que el contratista esté al día en el pago de la </w:t>
      </w:r>
      <w:r w:rsidR="00AD20B8">
        <w:rPr>
          <w:rFonts w:ascii="Verdana" w:eastAsia="Calibri" w:hAnsi="Verdana" w:cs="Arial"/>
          <w:color w:val="000000" w:themeColor="text1"/>
          <w:lang w:val="es-ES" w:eastAsia="en-GB"/>
        </w:rPr>
        <w:t xml:space="preserve">Seguridad Social Integral </w:t>
      </w:r>
      <w:r>
        <w:rPr>
          <w:rFonts w:ascii="Verdana" w:eastAsia="Calibri" w:hAnsi="Verdana" w:cs="Arial"/>
          <w:color w:val="000000" w:themeColor="text1"/>
          <w:lang w:val="es-ES" w:eastAsia="en-GB"/>
        </w:rPr>
        <w:t>o basta la acreditación de estar afiliado para efectos de suscribir el contrato de prestación de servicios, es menester indicar que e</w:t>
      </w:r>
      <w:r w:rsidRPr="00C970B4">
        <w:rPr>
          <w:rFonts w:ascii="Verdana" w:eastAsia="Calibri" w:hAnsi="Verdana" w:cs="Arial"/>
          <w:color w:val="000000" w:themeColor="text1"/>
          <w:lang w:val="es-ES" w:eastAsia="en-GB"/>
        </w:rPr>
        <w:t xml:space="preserve">n materia de contratación estatal, el texto original del artículo 41 de la Ley 80 de 1993 dispuso que los requisitos para perfeccionar el contrato son: i) el acuerdo sobre el objeto y la contraprestación, y </w:t>
      </w:r>
      <w:proofErr w:type="spellStart"/>
      <w:r w:rsidRPr="00C970B4">
        <w:rPr>
          <w:rFonts w:ascii="Verdana" w:eastAsia="Calibri" w:hAnsi="Verdana" w:cs="Arial"/>
          <w:color w:val="000000" w:themeColor="text1"/>
          <w:lang w:val="es-ES" w:eastAsia="en-GB"/>
        </w:rPr>
        <w:t>ii</w:t>
      </w:r>
      <w:proofErr w:type="spellEnd"/>
      <w:r w:rsidRPr="00C970B4">
        <w:rPr>
          <w:rFonts w:ascii="Verdana" w:eastAsia="Calibri" w:hAnsi="Verdana" w:cs="Arial"/>
          <w:color w:val="000000" w:themeColor="text1"/>
          <w:lang w:val="es-ES" w:eastAsia="en-GB"/>
        </w:rPr>
        <w:t xml:space="preserve">) que conste por escrito. Por su parte, para iniciar la ejecución se requiere: i) la constitución y aprobación de la garantía y </w:t>
      </w:r>
      <w:proofErr w:type="spellStart"/>
      <w:r w:rsidRPr="00C970B4">
        <w:rPr>
          <w:rFonts w:ascii="Verdana" w:eastAsia="Calibri" w:hAnsi="Verdana" w:cs="Arial"/>
          <w:color w:val="000000" w:themeColor="text1"/>
          <w:lang w:val="es-ES" w:eastAsia="en-GB"/>
        </w:rPr>
        <w:t>ii</w:t>
      </w:r>
      <w:proofErr w:type="spellEnd"/>
      <w:r w:rsidRPr="00C970B4">
        <w:rPr>
          <w:rFonts w:ascii="Verdana" w:eastAsia="Calibri" w:hAnsi="Verdana" w:cs="Arial"/>
          <w:color w:val="000000" w:themeColor="text1"/>
          <w:lang w:val="es-ES" w:eastAsia="en-GB"/>
        </w:rPr>
        <w:t>) la existencia del registro presupuestal, 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 Integral.</w:t>
      </w:r>
    </w:p>
    <w:p w14:paraId="62FB44B4" w14:textId="77777777" w:rsidR="009C576B" w:rsidRPr="00C970B4" w:rsidRDefault="009C576B" w:rsidP="009C576B">
      <w:pPr>
        <w:spacing w:after="120" w:line="276" w:lineRule="auto"/>
        <w:ind w:firstLine="709"/>
        <w:jc w:val="both"/>
        <w:rPr>
          <w:rFonts w:ascii="Verdana" w:eastAsia="Calibri" w:hAnsi="Verdana" w:cs="Arial"/>
          <w:color w:val="000000" w:themeColor="text1"/>
          <w:lang w:val="es-ES" w:eastAsia="en-GB"/>
        </w:rPr>
      </w:pPr>
      <w:r w:rsidRPr="00C970B4">
        <w:rPr>
          <w:rFonts w:ascii="Verdana" w:eastAsia="Calibri" w:hAnsi="Verdana" w:cs="Arial"/>
          <w:color w:val="000000" w:themeColor="text1"/>
          <w:lang w:val="es-ES" w:eastAsia="en-GB"/>
        </w:rPr>
        <w:lastRenderedPageBreak/>
        <w:t xml:space="preserve">Por su parte, el artículo 50 de la Ley 789 de 2002 dispuso como obligación de quien quiere </w:t>
      </w:r>
      <w:r w:rsidRPr="00C970B4">
        <w:rPr>
          <w:rFonts w:ascii="Verdana" w:eastAsia="Calibri" w:hAnsi="Verdana" w:cs="Arial"/>
          <w:i/>
          <w:iCs/>
          <w:color w:val="000000" w:themeColor="text1"/>
          <w:lang w:val="es-ES" w:eastAsia="en-GB"/>
        </w:rPr>
        <w:t>celebrar, renovar o liquidar</w:t>
      </w:r>
      <w:r w:rsidRPr="00C970B4">
        <w:rPr>
          <w:rFonts w:ascii="Verdana" w:eastAsia="Calibri" w:hAnsi="Verdana" w:cs="Arial"/>
          <w:color w:val="000000" w:themeColor="text1"/>
          <w:lang w:val="es-ES" w:eastAsia="en-GB"/>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C970B4">
        <w:rPr>
          <w:rFonts w:ascii="Verdana" w:eastAsia="Calibri" w:hAnsi="Verdana" w:cs="Arial"/>
          <w:i/>
          <w:iCs/>
          <w:color w:val="000000" w:themeColor="text1"/>
          <w:lang w:val="es-ES" w:eastAsia="en-GB"/>
        </w:rPr>
        <w:t>liquidar</w:t>
      </w:r>
      <w:r w:rsidRPr="00C970B4">
        <w:rPr>
          <w:rFonts w:ascii="Verdana" w:eastAsia="Calibri" w:hAnsi="Verdana" w:cs="Arial"/>
          <w:color w:val="000000" w:themeColor="text1"/>
          <w:lang w:val="es-ES" w:eastAsia="en-GB"/>
        </w:rPr>
        <w:t xml:space="preserve"> los contratos, para verificar y dejar constancia del cumplimiento de las obligaciones del contratista frente a los aportes mencionados durante toda su vigencia, estableciendo una correcta relación entre el monto cancelado y las sumas que debió cotizar</w:t>
      </w:r>
      <w:r w:rsidRPr="00C970B4">
        <w:rPr>
          <w:rFonts w:ascii="Verdana" w:eastAsia="Calibri" w:hAnsi="Verdana" w:cs="Arial"/>
          <w:color w:val="000000" w:themeColor="text1"/>
          <w:vertAlign w:val="superscript"/>
          <w:lang w:val="es-ES" w:eastAsia="en-GB"/>
        </w:rPr>
        <w:footnoteReference w:id="20"/>
      </w:r>
      <w:r w:rsidRPr="00C970B4">
        <w:rPr>
          <w:rFonts w:ascii="Verdana" w:eastAsia="Calibri" w:hAnsi="Verdana" w:cs="Arial"/>
          <w:color w:val="000000" w:themeColor="text1"/>
          <w:lang w:val="es-ES" w:eastAsia="en-GB"/>
        </w:rPr>
        <w:t>.</w:t>
      </w:r>
    </w:p>
    <w:p w14:paraId="5C879816" w14:textId="3CFE6B1D" w:rsidR="009C576B" w:rsidRPr="00C970B4" w:rsidRDefault="009C576B" w:rsidP="009C576B">
      <w:pPr>
        <w:spacing w:after="120" w:line="276" w:lineRule="auto"/>
        <w:ind w:firstLine="709"/>
        <w:jc w:val="both"/>
        <w:rPr>
          <w:rFonts w:ascii="Verdana" w:eastAsia="Calibri" w:hAnsi="Verdana" w:cs="Arial"/>
          <w:color w:val="000000" w:themeColor="text1"/>
          <w:lang w:val="es-ES" w:eastAsia="en-GB"/>
        </w:rPr>
      </w:pPr>
      <w:r w:rsidRPr="00C970B4">
        <w:rPr>
          <w:rFonts w:ascii="Verdana" w:eastAsia="Calibri" w:hAnsi="Verdana" w:cs="Arial"/>
          <w:color w:val="000000" w:themeColor="text1"/>
          <w:lang w:val="es-ES" w:eastAsia="en-GB"/>
        </w:rPr>
        <w:t xml:space="preserve">Además, aclara que las personas jurídicas que quieran celebrar contratos con las entidades estatales deben acreditar el pago al </w:t>
      </w:r>
      <w:r w:rsidR="00453BA1" w:rsidRPr="00C970B4">
        <w:rPr>
          <w:rFonts w:ascii="Verdana" w:eastAsia="Calibri" w:hAnsi="Verdana" w:cs="Arial"/>
          <w:color w:val="000000" w:themeColor="text1"/>
          <w:lang w:val="es-ES" w:eastAsia="en-GB"/>
        </w:rPr>
        <w:t xml:space="preserve">Sistema </w:t>
      </w:r>
      <w:r w:rsidRPr="00C970B4">
        <w:rPr>
          <w:rFonts w:ascii="Verdana" w:eastAsia="Calibri" w:hAnsi="Verdana" w:cs="Arial"/>
          <w:color w:val="000000" w:themeColor="text1"/>
          <w:lang w:val="es-ES" w:eastAsia="en-GB"/>
        </w:rPr>
        <w:t xml:space="preserve">de </w:t>
      </w:r>
      <w:r w:rsidR="00453BA1" w:rsidRPr="00C970B4">
        <w:rPr>
          <w:rFonts w:ascii="Verdana" w:eastAsia="Calibri" w:hAnsi="Verdana" w:cs="Arial"/>
          <w:color w:val="000000" w:themeColor="text1"/>
          <w:lang w:val="es-ES" w:eastAsia="en-GB"/>
        </w:rPr>
        <w:t xml:space="preserve">Seguridad Social </w:t>
      </w:r>
      <w:r w:rsidRPr="00C970B4">
        <w:rPr>
          <w:rFonts w:ascii="Verdana" w:eastAsia="Calibri" w:hAnsi="Verdana" w:cs="Arial"/>
          <w:color w:val="000000" w:themeColor="text1"/>
          <w:lang w:val="es-ES" w:eastAsia="en-GB"/>
        </w:rPr>
        <w:t xml:space="preserve">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 </w:t>
      </w:r>
      <w:r w:rsidRPr="00C970B4">
        <w:rPr>
          <w:rFonts w:ascii="Verdana" w:eastAsia="Calibri" w:hAnsi="Verdana" w:cs="Arial"/>
          <w:i/>
          <w:iCs/>
          <w:color w:val="000000" w:themeColor="text1"/>
          <w:lang w:val="es-ES" w:eastAsia="en-GB"/>
        </w:rPr>
        <w:t>para presentar la oferta</w:t>
      </w:r>
      <w:r w:rsidRPr="00C970B4">
        <w:rPr>
          <w:rFonts w:ascii="Verdana" w:eastAsia="Calibri" w:hAnsi="Verdana" w:cs="Arial"/>
          <w:color w:val="000000" w:themeColor="text1"/>
          <w:lang w:val="es-ES" w:eastAsia="en-GB"/>
        </w:rPr>
        <w:t xml:space="preserve"> las personas jurídicas deben acreditar el requisito señalado anteriormente.</w:t>
      </w:r>
    </w:p>
    <w:p w14:paraId="2A7E1C16" w14:textId="77777777" w:rsidR="007F430C" w:rsidRDefault="009C576B" w:rsidP="009C576B">
      <w:pPr>
        <w:spacing w:after="120" w:line="276" w:lineRule="auto"/>
        <w:ind w:firstLine="709"/>
        <w:jc w:val="both"/>
        <w:rPr>
          <w:rFonts w:ascii="Verdana" w:eastAsia="Calibri" w:hAnsi="Verdana" w:cs="Arial"/>
          <w:color w:val="000000" w:themeColor="text1"/>
          <w:lang w:val="es-ES" w:eastAsia="en-GB"/>
        </w:rPr>
      </w:pPr>
      <w:r w:rsidRPr="00C970B4">
        <w:rPr>
          <w:rFonts w:ascii="Verdana" w:eastAsia="Calibri" w:hAnsi="Verdana" w:cs="Arial"/>
          <w:color w:val="000000" w:themeColor="text1"/>
          <w:lang w:val="es-ES" w:eastAsia="en-GB"/>
        </w:rPr>
        <w:t xml:space="preserve">Esta norma fue analizada por la Sección Tercera del Consejo de Estado, que consideró que el artículo 50 de la Ley 789 de 2002 tiene por objeto evitar la evasión por parte de los empleadores de las cotizaciones al </w:t>
      </w:r>
      <w:r w:rsidR="007F430C" w:rsidRPr="00C970B4">
        <w:rPr>
          <w:rFonts w:ascii="Verdana" w:eastAsia="Calibri" w:hAnsi="Verdana" w:cs="Arial"/>
          <w:color w:val="000000" w:themeColor="text1"/>
          <w:lang w:val="es-ES" w:eastAsia="en-GB"/>
        </w:rPr>
        <w:t xml:space="preserve">Sistema </w:t>
      </w:r>
      <w:r w:rsidRPr="00C970B4">
        <w:rPr>
          <w:rFonts w:ascii="Verdana" w:eastAsia="Calibri" w:hAnsi="Verdana" w:cs="Arial"/>
          <w:color w:val="000000" w:themeColor="text1"/>
          <w:lang w:val="es-ES" w:eastAsia="en-GB"/>
        </w:rPr>
        <w:t xml:space="preserve">de </w:t>
      </w:r>
      <w:r w:rsidR="007F430C" w:rsidRPr="00C970B4">
        <w:rPr>
          <w:rFonts w:ascii="Verdana" w:eastAsia="Calibri" w:hAnsi="Verdana" w:cs="Arial"/>
          <w:color w:val="000000" w:themeColor="text1"/>
          <w:lang w:val="es-ES" w:eastAsia="en-GB"/>
        </w:rPr>
        <w:t xml:space="preserve">Seguridad Social </w:t>
      </w:r>
      <w:r w:rsidRPr="00C970B4">
        <w:rPr>
          <w:rFonts w:ascii="Verdana" w:eastAsia="Calibri" w:hAnsi="Verdana" w:cs="Arial"/>
          <w:color w:val="000000" w:themeColor="text1"/>
          <w:lang w:val="es-ES" w:eastAsia="en-GB"/>
        </w:rPr>
        <w:t xml:space="preserve">y de los aportes parafiscales, y para lograr esa finalidad el legislador impuso a las entidades estatales la obligación de verificar, en los </w:t>
      </w:r>
      <w:r w:rsidRPr="00C970B4">
        <w:rPr>
          <w:rFonts w:ascii="Verdana" w:eastAsia="Calibri" w:hAnsi="Verdana" w:cs="Arial"/>
          <w:color w:val="000000" w:themeColor="text1"/>
          <w:lang w:val="es-ES" w:eastAsia="en-GB"/>
        </w:rPr>
        <w:lastRenderedPageBreak/>
        <w:t>procesos de selección de contratistas y durante la ejecución y liquidación de los contratos, que tanto los oferentes como los contratistas hayan realizado los aportes al Sistema de Seguridad Social Integral</w:t>
      </w:r>
      <w:r w:rsidRPr="00C970B4">
        <w:rPr>
          <w:rFonts w:ascii="Verdana" w:eastAsia="Calibri" w:hAnsi="Verdana" w:cs="Arial"/>
          <w:color w:val="000000" w:themeColor="text1"/>
          <w:vertAlign w:val="superscript"/>
          <w:lang w:val="es-ES" w:eastAsia="en-GB"/>
        </w:rPr>
        <w:footnoteReference w:id="21"/>
      </w:r>
      <w:r w:rsidRPr="00C970B4">
        <w:rPr>
          <w:rFonts w:ascii="Verdana" w:eastAsia="Calibri" w:hAnsi="Verdana" w:cs="Arial"/>
          <w:color w:val="000000" w:themeColor="text1"/>
          <w:lang w:val="es-ES" w:eastAsia="en-GB"/>
        </w:rPr>
        <w:t xml:space="preserve">. </w:t>
      </w:r>
    </w:p>
    <w:p w14:paraId="58E27702" w14:textId="7FF9BABF" w:rsidR="009C576B" w:rsidRDefault="009C576B" w:rsidP="007F430C">
      <w:pPr>
        <w:spacing w:after="0" w:line="276" w:lineRule="auto"/>
        <w:ind w:firstLine="709"/>
        <w:jc w:val="both"/>
        <w:rPr>
          <w:rFonts w:ascii="Verdana" w:eastAsia="Calibri" w:hAnsi="Verdana" w:cs="Arial"/>
          <w:color w:val="000000" w:themeColor="text1"/>
          <w:lang w:val="es-ES" w:eastAsia="en-GB"/>
        </w:rPr>
      </w:pPr>
      <w:r w:rsidRPr="00C970B4">
        <w:rPr>
          <w:rFonts w:ascii="Verdana" w:eastAsia="Calibri" w:hAnsi="Verdana" w:cs="Arial"/>
          <w:color w:val="000000" w:themeColor="text1"/>
          <w:lang w:val="es-ES" w:eastAsia="en-GB"/>
        </w:rPr>
        <w:t xml:space="preserve">Por lo tanto, la jurisprudencia reiteró la necesidad de que las entidades estatales, </w:t>
      </w:r>
      <w:r w:rsidRPr="00C970B4">
        <w:rPr>
          <w:rFonts w:ascii="Verdana" w:eastAsia="Calibri" w:hAnsi="Verdana" w:cs="Arial"/>
          <w:i/>
          <w:iCs/>
          <w:color w:val="000000" w:themeColor="text1"/>
          <w:lang w:val="es-ES" w:eastAsia="en-GB"/>
        </w:rPr>
        <w:t>durante la ejecución de un contrato</w:t>
      </w:r>
      <w:r w:rsidRPr="00C970B4">
        <w:rPr>
          <w:rFonts w:ascii="Verdana" w:eastAsia="Calibri" w:hAnsi="Verdana" w:cs="Arial"/>
          <w:color w:val="000000" w:themeColor="text1"/>
          <w:lang w:val="es-ES" w:eastAsia="en-GB"/>
        </w:rPr>
        <w:t>, verifiquen el cumplimiento de las obligaciones del sistema de seguridad social por parte de los oferentes. De esta manera, el artículo 23 de la Ley 1150 de 2007 que modificó el inciso segundo del artículo 41 de la Ley 80 de 1993, incluye la obligación, para los proponentes y contratistas, de estar a paz y salvo con los aportes parafiscales al Sistema de Seguridad Social Integral, al señalar:</w:t>
      </w:r>
    </w:p>
    <w:p w14:paraId="3361F746" w14:textId="77777777" w:rsidR="007F430C" w:rsidRPr="00C970B4" w:rsidRDefault="007F430C" w:rsidP="0014714D">
      <w:pPr>
        <w:spacing w:after="0" w:line="276" w:lineRule="auto"/>
        <w:ind w:firstLine="709"/>
        <w:jc w:val="both"/>
        <w:rPr>
          <w:rFonts w:ascii="Verdana" w:eastAsia="Calibri" w:hAnsi="Verdana" w:cs="Arial"/>
          <w:color w:val="000000" w:themeColor="text1"/>
          <w:lang w:val="es-ES" w:eastAsia="en-GB"/>
        </w:rPr>
      </w:pPr>
    </w:p>
    <w:p w14:paraId="02FC5A9A" w14:textId="77777777" w:rsidR="009C576B" w:rsidRDefault="009C576B" w:rsidP="0014714D">
      <w:pPr>
        <w:spacing w:after="0" w:line="240" w:lineRule="auto"/>
        <w:ind w:left="709" w:right="709"/>
        <w:jc w:val="both"/>
        <w:rPr>
          <w:rFonts w:ascii="Verdana" w:eastAsia="Calibri" w:hAnsi="Verdana" w:cs="Arial"/>
          <w:color w:val="000000" w:themeColor="text1"/>
          <w:sz w:val="20"/>
          <w:szCs w:val="20"/>
          <w:lang w:val="es-ES" w:eastAsia="en-GB"/>
        </w:rPr>
      </w:pPr>
      <w:r w:rsidRPr="00C970B4">
        <w:rPr>
          <w:rFonts w:ascii="Verdana" w:eastAsia="Calibri" w:hAnsi="Verdana" w:cs="Arial"/>
          <w:color w:val="000000" w:themeColor="text1"/>
          <w:sz w:val="20"/>
          <w:szCs w:val="20"/>
          <w:lang w:val="es-ES" w:eastAsia="en-GB"/>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262C7560" w14:textId="77777777" w:rsidR="009C576B" w:rsidRPr="00C970B4" w:rsidRDefault="009C576B" w:rsidP="0014714D">
      <w:pPr>
        <w:spacing w:after="0" w:line="240" w:lineRule="auto"/>
        <w:ind w:left="709" w:right="709"/>
        <w:jc w:val="both"/>
        <w:rPr>
          <w:rFonts w:ascii="Verdana" w:eastAsia="Calibri" w:hAnsi="Verdana" w:cs="Arial"/>
          <w:color w:val="000000" w:themeColor="text1"/>
          <w:sz w:val="20"/>
          <w:szCs w:val="20"/>
          <w:lang w:val="es-ES" w:eastAsia="en-GB"/>
        </w:rPr>
      </w:pPr>
    </w:p>
    <w:p w14:paraId="129FBCE5" w14:textId="77777777" w:rsidR="009C576B" w:rsidRPr="00C970B4" w:rsidRDefault="009C576B" w:rsidP="0014714D">
      <w:pPr>
        <w:spacing w:after="0" w:line="240" w:lineRule="auto"/>
        <w:ind w:left="709" w:right="709"/>
        <w:jc w:val="both"/>
        <w:rPr>
          <w:rFonts w:ascii="Verdana" w:eastAsia="Calibri" w:hAnsi="Verdana" w:cs="Arial"/>
          <w:color w:val="000000" w:themeColor="text1"/>
          <w:sz w:val="20"/>
          <w:szCs w:val="20"/>
          <w:lang w:val="es-ES" w:eastAsia="en-GB"/>
        </w:rPr>
      </w:pPr>
      <w:r w:rsidRPr="00C970B4">
        <w:rPr>
          <w:rFonts w:ascii="Verdana" w:eastAsia="Calibri" w:hAnsi="Verdana" w:cs="Arial"/>
          <w:color w:val="000000" w:themeColor="text1"/>
          <w:sz w:val="20"/>
          <w:szCs w:val="20"/>
          <w:lang w:val="es-ES" w:eastAsia="en-GB"/>
        </w:rPr>
        <w:t>Parágrafo 1. El requisito establecido en la parte final del inciso segundo de este artículo deberá acreditarse para la realización de cada pago derivado del contrato estatal.</w:t>
      </w:r>
    </w:p>
    <w:p w14:paraId="151E5F95" w14:textId="77777777" w:rsidR="009C576B" w:rsidRDefault="009C576B" w:rsidP="0014714D">
      <w:pPr>
        <w:spacing w:after="0" w:line="240" w:lineRule="auto"/>
        <w:ind w:left="709" w:right="709"/>
        <w:jc w:val="both"/>
        <w:rPr>
          <w:rFonts w:ascii="Verdana" w:eastAsia="Calibri" w:hAnsi="Verdana" w:cs="Arial"/>
          <w:color w:val="000000" w:themeColor="text1"/>
          <w:sz w:val="20"/>
          <w:szCs w:val="20"/>
          <w:lang w:val="es-ES" w:eastAsia="en-GB"/>
        </w:rPr>
      </w:pPr>
    </w:p>
    <w:p w14:paraId="4945880F" w14:textId="77777777" w:rsidR="009C576B" w:rsidRDefault="009C576B" w:rsidP="0014714D">
      <w:pPr>
        <w:spacing w:after="0" w:line="240" w:lineRule="auto"/>
        <w:ind w:left="709" w:right="709"/>
        <w:jc w:val="both"/>
        <w:rPr>
          <w:rFonts w:ascii="Verdana" w:eastAsia="Calibri" w:hAnsi="Verdana" w:cs="Arial"/>
          <w:color w:val="000000" w:themeColor="text1"/>
          <w:sz w:val="20"/>
          <w:szCs w:val="20"/>
          <w:lang w:val="es-ES" w:eastAsia="en-GB"/>
        </w:rPr>
      </w:pPr>
      <w:r w:rsidRPr="00C970B4">
        <w:rPr>
          <w:rFonts w:ascii="Verdana" w:eastAsia="Calibri" w:hAnsi="Verdana" w:cs="Arial"/>
          <w:color w:val="000000" w:themeColor="text1"/>
          <w:sz w:val="20"/>
          <w:szCs w:val="20"/>
          <w:lang w:val="es-ES" w:eastAsia="en-GB"/>
        </w:rPr>
        <w:t>El servidor público que sin justa causa no verifique el pago de los aportes a que se refiere el presente artículo, incurrirá en causal de mala conducta, que será sancionada con arreglo al régimen disciplinario vigente”.</w:t>
      </w:r>
    </w:p>
    <w:p w14:paraId="0B817262" w14:textId="77777777" w:rsidR="009C576B" w:rsidRPr="0014714D" w:rsidRDefault="009C576B" w:rsidP="0014714D">
      <w:pPr>
        <w:spacing w:after="0" w:line="276" w:lineRule="auto"/>
        <w:ind w:left="851" w:right="618"/>
        <w:jc w:val="both"/>
        <w:rPr>
          <w:rFonts w:ascii="Verdana" w:eastAsia="Calibri" w:hAnsi="Verdana" w:cs="Arial"/>
          <w:color w:val="000000" w:themeColor="text1"/>
          <w:lang w:val="es-ES" w:eastAsia="en-GB"/>
        </w:rPr>
      </w:pPr>
    </w:p>
    <w:p w14:paraId="000DBF4B" w14:textId="77777777" w:rsidR="009C576B" w:rsidRDefault="009C576B" w:rsidP="009C576B">
      <w:pPr>
        <w:spacing w:after="120" w:line="276" w:lineRule="auto"/>
        <w:ind w:firstLine="709"/>
        <w:jc w:val="both"/>
        <w:rPr>
          <w:rFonts w:ascii="Verdana" w:eastAsia="Calibri" w:hAnsi="Verdana" w:cs="Arial"/>
          <w:color w:val="000000" w:themeColor="text1"/>
          <w:lang w:val="es-ES" w:eastAsia="en-GB"/>
        </w:rPr>
      </w:pPr>
      <w:r w:rsidRPr="00C970B4">
        <w:rPr>
          <w:rFonts w:ascii="Verdana" w:eastAsia="Calibri" w:hAnsi="Verdana" w:cs="Arial"/>
          <w:color w:val="000000" w:themeColor="text1"/>
          <w:lang w:val="es-ES" w:eastAsia="en-GB"/>
        </w:rPr>
        <w:t xml:space="preserve">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w:t>
      </w:r>
      <w:r w:rsidRPr="00C970B4">
        <w:rPr>
          <w:rFonts w:ascii="Verdana" w:eastAsia="Calibri" w:hAnsi="Verdana" w:cs="Arial"/>
          <w:color w:val="000000" w:themeColor="text1"/>
          <w:lang w:val="es-ES" w:eastAsia="en-GB"/>
        </w:rPr>
        <w:lastRenderedPageBreak/>
        <w:t xml:space="preserve">del contrato, teniendo en cuenta lo prescrito en el artículo 50 de la Ley 789 de 2002. </w:t>
      </w:r>
    </w:p>
    <w:p w14:paraId="3AF9EA26" w14:textId="77777777" w:rsidR="002F0E93" w:rsidRPr="000630E4" w:rsidRDefault="002F0E93" w:rsidP="002F0E93">
      <w:pPr>
        <w:spacing w:after="120" w:line="276" w:lineRule="auto"/>
        <w:ind w:firstLine="708"/>
        <w:jc w:val="both"/>
        <w:rPr>
          <w:rFonts w:ascii="Verdana" w:eastAsia="Calibri" w:hAnsi="Verdana" w:cs="Arial"/>
          <w:color w:val="000000"/>
          <w:lang w:val="es-ES"/>
        </w:rPr>
      </w:pPr>
      <w:r>
        <w:rPr>
          <w:rFonts w:ascii="Verdana" w:eastAsia="Times New Roman" w:hAnsi="Verdana" w:cs="Arial MT"/>
          <w:lang w:val="es-ES"/>
        </w:rPr>
        <w:t>Al respecto</w:t>
      </w:r>
      <w:r w:rsidRPr="00357EE1">
        <w:rPr>
          <w:rFonts w:ascii="Verdana" w:eastAsia="Times New Roman" w:hAnsi="Verdana" w:cs="Arial MT"/>
          <w:lang w:val="es-ES"/>
        </w:rPr>
        <w:t>,</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el</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artículo</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50</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de</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la</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Ley</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789</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de</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2002</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estableció,</w:t>
      </w:r>
      <w:r w:rsidRPr="00357EE1">
        <w:rPr>
          <w:rFonts w:ascii="Verdana" w:eastAsia="Times New Roman" w:hAnsi="Verdana" w:cs="Arial MT"/>
          <w:spacing w:val="-9"/>
          <w:lang w:val="es-ES"/>
        </w:rPr>
        <w:t xml:space="preserve"> </w:t>
      </w:r>
      <w:r w:rsidRPr="00357EE1">
        <w:rPr>
          <w:rFonts w:ascii="Verdana" w:eastAsia="Times New Roman" w:hAnsi="Verdana" w:cs="Arial MT"/>
          <w:lang w:val="es-ES"/>
        </w:rPr>
        <w:t>como</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obligación</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de</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quien</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quiere celebrar, renovar o liquidar contratos de cualquier naturaleza con entidades del sector</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público, cumplir con las obligaciones frente a los sistemas de salud, riesgos profesionales,</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pensiones y aportes a la Caja de Compensación Familiar, Instituto Colombiano de Bienestar</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Familiar y Servicio Nacional de Aprendizaje cuando a ello haya lugar. Asimismo, se facultó a la</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entidad estatal, al momento de liquidar los contratos, para verificar y dejar constancia del</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cumplimiento de las obligaciones del contratista frente a los aportes mencionados, durante toda</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su</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vigencia,</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estableciendo</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una</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correcta</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relación</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entre</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el</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monto</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cancelado</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y</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las</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sumas</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que</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debía cotizar.</w:t>
      </w:r>
    </w:p>
    <w:p w14:paraId="2A7061BC" w14:textId="77777777" w:rsidR="009C576B" w:rsidRPr="00C970B4" w:rsidRDefault="009C576B" w:rsidP="009C576B">
      <w:pPr>
        <w:spacing w:after="120" w:line="276" w:lineRule="auto"/>
        <w:ind w:firstLine="709"/>
        <w:jc w:val="both"/>
        <w:rPr>
          <w:rFonts w:ascii="Verdana" w:eastAsia="Calibri" w:hAnsi="Verdana" w:cs="Arial"/>
          <w:color w:val="000000" w:themeColor="text1"/>
          <w:lang w:val="es-ES" w:eastAsia="en-GB"/>
        </w:rPr>
      </w:pPr>
      <w:r w:rsidRPr="00C970B4">
        <w:rPr>
          <w:rFonts w:ascii="Verdana" w:eastAsia="Calibri" w:hAnsi="Verdana" w:cs="Arial"/>
          <w:color w:val="000000" w:themeColor="text1"/>
          <w:lang w:val="es-ES" w:eastAsia="en-GB"/>
        </w:rPr>
        <w:t xml:space="preserve">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 que la acreditación de dicho requisito se realiza en diferentes momentos del proceso contractual, tal como se detalla a continuación. </w:t>
      </w:r>
    </w:p>
    <w:p w14:paraId="346239B3" w14:textId="77777777" w:rsidR="009C576B" w:rsidRPr="00C970B4" w:rsidRDefault="009C576B" w:rsidP="009C576B">
      <w:pPr>
        <w:spacing w:after="120" w:line="276" w:lineRule="auto"/>
        <w:ind w:firstLine="709"/>
        <w:jc w:val="both"/>
        <w:rPr>
          <w:rFonts w:ascii="Verdana" w:eastAsia="Calibri" w:hAnsi="Verdana" w:cs="Arial"/>
          <w:color w:val="000000" w:themeColor="text1"/>
          <w:lang w:val="es-ES" w:eastAsia="en-GB"/>
        </w:rPr>
      </w:pPr>
      <w:r w:rsidRPr="00C970B4">
        <w:rPr>
          <w:rFonts w:ascii="Verdana" w:eastAsia="Calibri" w:hAnsi="Verdana" w:cs="Arial"/>
          <w:bCs/>
          <w:color w:val="000000" w:themeColor="text1"/>
          <w:lang w:val="es-ES" w:eastAsia="en-GB"/>
        </w:rPr>
        <w:t>1.</w:t>
      </w:r>
      <w:r w:rsidRPr="00C970B4">
        <w:rPr>
          <w:rFonts w:ascii="Verdana" w:eastAsia="Calibri" w:hAnsi="Verdana" w:cs="Arial"/>
          <w:color w:val="000000" w:themeColor="text1"/>
          <w:lang w:val="es-ES" w:eastAsia="en-GB"/>
        </w:rPr>
        <w:t xml:space="preserve"> </w:t>
      </w:r>
      <w:r w:rsidRPr="00C970B4">
        <w:rPr>
          <w:rFonts w:ascii="Verdana" w:eastAsia="Calibri" w:hAnsi="Verdana" w:cs="Arial"/>
          <w:i/>
          <w:iCs/>
          <w:color w:val="000000" w:themeColor="text1"/>
          <w:lang w:val="es-ES" w:eastAsia="en-GB"/>
        </w:rPr>
        <w:t>Para presentar la oferta</w:t>
      </w:r>
      <w:r w:rsidRPr="00C970B4">
        <w:rPr>
          <w:rFonts w:ascii="Verdana" w:eastAsia="Calibri" w:hAnsi="Verdana" w:cs="Arial"/>
          <w:color w:val="000000" w:themeColor="text1"/>
          <w:lang w:val="es-ES" w:eastAsia="en-GB"/>
        </w:rPr>
        <w:t xml:space="preserve"> los proponentes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que se hubiera constituido la sociedad, el cual, en todo caso, no será inferior a los seis (6) meses anteriores a la celebración del contrato</w:t>
      </w:r>
      <w:r w:rsidRPr="00C970B4">
        <w:rPr>
          <w:rFonts w:ascii="Verdana" w:eastAsia="Calibri" w:hAnsi="Verdana" w:cs="Arial"/>
          <w:color w:val="000000" w:themeColor="text1"/>
          <w:vertAlign w:val="superscript"/>
          <w:lang w:val="es-ES" w:eastAsia="en-GB"/>
        </w:rPr>
        <w:footnoteReference w:id="22"/>
      </w:r>
      <w:r w:rsidRPr="00C970B4">
        <w:rPr>
          <w:rFonts w:ascii="Verdana" w:eastAsia="Calibri" w:hAnsi="Verdana" w:cs="Arial"/>
          <w:color w:val="000000" w:themeColor="text1"/>
          <w:lang w:val="es-ES" w:eastAsia="en-GB"/>
        </w:rPr>
        <w:t xml:space="preserve">. Si bien este certificado no es un requisito para perfeccionar ni para ejecutarlo, sí lo es para admitir la oferta en el procedimiento de selección. Cabe señalar que la acreditación en los términos indicado solo procede frente a las </w:t>
      </w:r>
      <w:r w:rsidRPr="00C970B4">
        <w:rPr>
          <w:rFonts w:ascii="Verdana" w:eastAsia="Calibri" w:hAnsi="Verdana" w:cs="Arial"/>
          <w:i/>
          <w:iCs/>
          <w:color w:val="000000" w:themeColor="text1"/>
          <w:lang w:val="es-ES" w:eastAsia="en-GB"/>
        </w:rPr>
        <w:t xml:space="preserve">personas jurídicas </w:t>
      </w:r>
      <w:r w:rsidRPr="00C970B4">
        <w:rPr>
          <w:rFonts w:ascii="Verdana" w:eastAsia="Calibri" w:hAnsi="Verdana" w:cs="Arial"/>
          <w:color w:val="000000" w:themeColor="text1"/>
          <w:lang w:val="es-ES" w:eastAsia="en-GB"/>
        </w:rPr>
        <w:t>–Ley 789 de 2002, art. 50, inciso 3°–.</w:t>
      </w:r>
    </w:p>
    <w:p w14:paraId="374C4552" w14:textId="77777777" w:rsidR="009C576B" w:rsidRPr="00C970B4" w:rsidRDefault="009C576B" w:rsidP="009C576B">
      <w:pPr>
        <w:spacing w:after="120" w:line="276" w:lineRule="auto"/>
        <w:ind w:firstLine="709"/>
        <w:jc w:val="both"/>
        <w:rPr>
          <w:rFonts w:ascii="Verdana" w:eastAsia="Calibri" w:hAnsi="Verdana" w:cs="Arial"/>
          <w:color w:val="000000" w:themeColor="text1"/>
          <w:lang w:val="es-ES" w:eastAsia="en-GB"/>
        </w:rPr>
      </w:pPr>
      <w:r w:rsidRPr="00C970B4">
        <w:rPr>
          <w:rFonts w:ascii="Verdana" w:eastAsia="Calibri" w:hAnsi="Verdana" w:cs="Arial"/>
          <w:color w:val="000000" w:themeColor="text1"/>
          <w:lang w:val="es-ES" w:eastAsia="en-GB"/>
        </w:rPr>
        <w:lastRenderedPageBreak/>
        <w:t xml:space="preserve">En este sentido, la verificación de los aportes al Sistema de Seguridad Social Integral cambia, dependiendo si se trata de una persona natural o de una jurídica: i) si es una </w:t>
      </w:r>
      <w:r w:rsidRPr="00C970B4">
        <w:rPr>
          <w:rFonts w:ascii="Verdana" w:eastAsia="Calibri" w:hAnsi="Verdana" w:cs="Arial"/>
          <w:i/>
          <w:iCs/>
          <w:color w:val="000000" w:themeColor="text1"/>
          <w:lang w:val="es-ES" w:eastAsia="en-GB"/>
        </w:rPr>
        <w:t xml:space="preserve">persona </w:t>
      </w:r>
      <w:r w:rsidRPr="00C970B4">
        <w:rPr>
          <w:rFonts w:ascii="Verdana" w:eastAsia="Calibri" w:hAnsi="Verdana" w:cs="Arial"/>
          <w:i/>
          <w:color w:val="000000" w:themeColor="text1"/>
          <w:lang w:val="es-ES" w:eastAsia="en-GB"/>
        </w:rPr>
        <w:t>natural</w:t>
      </w:r>
      <w:r w:rsidRPr="00C970B4">
        <w:rPr>
          <w:rFonts w:ascii="Verdana" w:eastAsia="Calibri" w:hAnsi="Verdana" w:cs="Arial"/>
          <w:color w:val="000000" w:themeColor="text1"/>
          <w:lang w:val="es-ES" w:eastAsia="en-GB"/>
        </w:rPr>
        <w:t xml:space="preserve">, la Entidad Estatal verificará el pago al Sistema de Seguridad Social Integral cuando se realicen los pagos del contrato, es decir, durante su ejecución y </w:t>
      </w:r>
      <w:proofErr w:type="spellStart"/>
      <w:r w:rsidRPr="00C970B4">
        <w:rPr>
          <w:rFonts w:ascii="Verdana" w:eastAsia="Calibri" w:hAnsi="Verdana" w:cs="Arial"/>
          <w:color w:val="000000" w:themeColor="text1"/>
          <w:lang w:val="es-ES" w:eastAsia="en-GB"/>
        </w:rPr>
        <w:t>ii</w:t>
      </w:r>
      <w:proofErr w:type="spellEnd"/>
      <w:r w:rsidRPr="00C970B4">
        <w:rPr>
          <w:rFonts w:ascii="Verdana" w:eastAsia="Calibri" w:hAnsi="Verdana" w:cs="Arial"/>
          <w:color w:val="000000" w:themeColor="text1"/>
          <w:lang w:val="es-ES" w:eastAsia="en-GB"/>
        </w:rPr>
        <w:t xml:space="preserve">) si se refiere a una </w:t>
      </w:r>
      <w:r w:rsidRPr="00C970B4">
        <w:rPr>
          <w:rFonts w:ascii="Verdana" w:eastAsia="Calibri" w:hAnsi="Verdana" w:cs="Arial"/>
          <w:i/>
          <w:color w:val="000000" w:themeColor="text1"/>
          <w:lang w:val="es-ES" w:eastAsia="en-GB"/>
        </w:rPr>
        <w:t>persona jurídica</w:t>
      </w:r>
      <w:r w:rsidRPr="00C970B4">
        <w:rPr>
          <w:rFonts w:ascii="Verdana" w:eastAsia="Calibri" w:hAnsi="Verdana" w:cs="Arial"/>
          <w:color w:val="000000" w:themeColor="text1"/>
          <w:lang w:val="es-ES" w:eastAsia="en-GB"/>
        </w:rPr>
        <w:t xml:space="preserve">,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040C2499" w14:textId="77777777" w:rsidR="009C576B" w:rsidRPr="00C970B4" w:rsidRDefault="009C576B" w:rsidP="009C576B">
      <w:pPr>
        <w:spacing w:after="120" w:line="276" w:lineRule="auto"/>
        <w:ind w:firstLine="709"/>
        <w:jc w:val="both"/>
        <w:rPr>
          <w:rFonts w:ascii="Verdana" w:eastAsia="Calibri" w:hAnsi="Verdana" w:cs="Arial"/>
          <w:color w:val="000000" w:themeColor="text1"/>
          <w:lang w:val="es-ES" w:eastAsia="en-GB"/>
        </w:rPr>
      </w:pPr>
      <w:r w:rsidRPr="00C970B4">
        <w:rPr>
          <w:rFonts w:ascii="Verdana" w:eastAsia="Calibri" w:hAnsi="Verdana" w:cs="Arial"/>
          <w:bCs/>
          <w:color w:val="000000" w:themeColor="text1"/>
          <w:lang w:val="es-ES" w:eastAsia="en-GB"/>
        </w:rPr>
        <w:t>2.</w:t>
      </w:r>
      <w:r w:rsidRPr="00C970B4">
        <w:rPr>
          <w:rFonts w:ascii="Verdana" w:eastAsia="Calibri" w:hAnsi="Verdana" w:cs="Arial"/>
          <w:color w:val="000000" w:themeColor="text1"/>
          <w:lang w:val="es-ES" w:eastAsia="en-GB"/>
        </w:rPr>
        <w:t xml:space="preserve"> En el momento del </w:t>
      </w:r>
      <w:r w:rsidRPr="00C970B4">
        <w:rPr>
          <w:rFonts w:ascii="Verdana" w:eastAsia="Calibri" w:hAnsi="Verdana" w:cs="Arial"/>
          <w:i/>
          <w:iCs/>
          <w:color w:val="000000" w:themeColor="text1"/>
          <w:lang w:val="es-ES" w:eastAsia="en-GB"/>
        </w:rPr>
        <w:t>perfeccionamiento del contrato estatal</w:t>
      </w:r>
      <w:r w:rsidRPr="00C970B4">
        <w:rPr>
          <w:rFonts w:ascii="Verdana" w:eastAsia="Calibri" w:hAnsi="Verdana" w:cs="Arial"/>
          <w:color w:val="000000" w:themeColor="text1"/>
          <w:lang w:val="es-ES" w:eastAsia="en-GB"/>
        </w:rPr>
        <w:t>,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60E4B1D6" w14:textId="77777777" w:rsidR="009C576B" w:rsidRPr="00C970B4" w:rsidRDefault="009C576B" w:rsidP="009C576B">
      <w:pPr>
        <w:spacing w:after="120" w:line="276" w:lineRule="auto"/>
        <w:ind w:firstLine="709"/>
        <w:jc w:val="both"/>
        <w:rPr>
          <w:rFonts w:ascii="Verdana" w:eastAsia="Calibri" w:hAnsi="Verdana" w:cs="Arial"/>
          <w:color w:val="000000" w:themeColor="text1"/>
          <w:lang w:val="es-ES" w:eastAsia="en-GB"/>
        </w:rPr>
      </w:pPr>
      <w:r w:rsidRPr="00C970B4">
        <w:rPr>
          <w:rFonts w:ascii="Verdana" w:eastAsia="Calibri" w:hAnsi="Verdana" w:cs="Arial"/>
          <w:bCs/>
          <w:color w:val="000000" w:themeColor="text1"/>
          <w:lang w:val="es-ES" w:eastAsia="en-GB"/>
        </w:rPr>
        <w:t>3.</w:t>
      </w:r>
      <w:r w:rsidRPr="00C970B4">
        <w:rPr>
          <w:rFonts w:ascii="Verdana" w:eastAsia="Calibri" w:hAnsi="Verdana" w:cs="Arial"/>
          <w:color w:val="000000" w:themeColor="text1"/>
          <w:lang w:val="es-ES" w:eastAsia="en-GB"/>
        </w:rPr>
        <w:t xml:space="preserve"> El pago de los aportes de seguridad social es un </w:t>
      </w:r>
      <w:r w:rsidRPr="00C970B4">
        <w:rPr>
          <w:rFonts w:ascii="Verdana" w:eastAsia="Calibri" w:hAnsi="Verdana" w:cs="Arial"/>
          <w:i/>
          <w:iCs/>
          <w:color w:val="000000" w:themeColor="text1"/>
          <w:lang w:val="es-ES" w:eastAsia="en-GB"/>
        </w:rPr>
        <w:t>requisito de ejecución</w:t>
      </w:r>
      <w:r w:rsidRPr="00C970B4">
        <w:rPr>
          <w:rFonts w:ascii="Verdana" w:eastAsia="Calibri" w:hAnsi="Verdana" w:cs="Arial"/>
          <w:color w:val="000000" w:themeColor="text1"/>
          <w:lang w:val="es-ES" w:eastAsia="en-GB"/>
        </w:rPr>
        <w:t xml:space="preserve"> del contrato, es decir, es un elemento </w:t>
      </w:r>
      <w:r w:rsidRPr="00C970B4">
        <w:rPr>
          <w:rFonts w:ascii="Verdana" w:eastAsia="Calibri" w:hAnsi="Verdana" w:cs="Arial"/>
          <w:i/>
          <w:color w:val="000000" w:themeColor="text1"/>
          <w:lang w:val="es-ES" w:eastAsia="en-GB"/>
        </w:rPr>
        <w:t>sine qua non</w:t>
      </w:r>
      <w:r w:rsidRPr="00C970B4">
        <w:rPr>
          <w:rFonts w:ascii="Verdana" w:eastAsia="Calibri" w:hAnsi="Verdana" w:cs="Arial"/>
          <w:color w:val="000000" w:themeColor="text1"/>
          <w:lang w:val="es-ES" w:eastAsia="en-GB"/>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408737AF" w14:textId="77777777" w:rsidR="009C576B" w:rsidRPr="00C970B4" w:rsidRDefault="009C576B" w:rsidP="009C576B">
      <w:pPr>
        <w:spacing w:after="120" w:line="276" w:lineRule="auto"/>
        <w:ind w:firstLine="709"/>
        <w:jc w:val="both"/>
        <w:rPr>
          <w:rFonts w:ascii="Verdana" w:eastAsia="Calibri" w:hAnsi="Verdana" w:cs="Arial"/>
          <w:color w:val="000000" w:themeColor="text1"/>
          <w:lang w:val="es-ES" w:eastAsia="en-GB"/>
        </w:rPr>
      </w:pPr>
      <w:r w:rsidRPr="00C970B4">
        <w:rPr>
          <w:rFonts w:ascii="Verdana" w:eastAsia="Calibri" w:hAnsi="Verdana" w:cs="Arial"/>
          <w:bCs/>
          <w:color w:val="000000" w:themeColor="text1"/>
          <w:lang w:val="es-ES" w:eastAsia="en-GB"/>
        </w:rPr>
        <w:t>4.</w:t>
      </w:r>
      <w:r w:rsidRPr="00C970B4">
        <w:rPr>
          <w:rFonts w:ascii="Verdana" w:eastAsia="Calibri" w:hAnsi="Verdana" w:cs="Arial"/>
          <w:color w:val="000000" w:themeColor="text1"/>
          <w:lang w:val="es-ES" w:eastAsia="en-GB"/>
        </w:rPr>
        <w:t xml:space="preserve"> </w:t>
      </w:r>
      <w:r w:rsidRPr="00C970B4">
        <w:rPr>
          <w:rFonts w:ascii="Verdana" w:eastAsia="Calibri" w:hAnsi="Verdana" w:cs="Arial"/>
          <w:i/>
          <w:iCs/>
          <w:color w:val="000000" w:themeColor="text1"/>
          <w:lang w:val="es-ES" w:eastAsia="en-GB"/>
        </w:rPr>
        <w:t>Durante la ejecución del contrato</w:t>
      </w:r>
      <w:r w:rsidRPr="00C970B4">
        <w:rPr>
          <w:rFonts w:ascii="Verdana" w:eastAsia="Calibri" w:hAnsi="Verdana" w:cs="Arial"/>
          <w:color w:val="000000" w:themeColor="text1"/>
          <w:lang w:val="es-ES" w:eastAsia="en-GB"/>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1E6FFF5B" w14:textId="77777777" w:rsidR="009C576B" w:rsidRDefault="009C576B" w:rsidP="009C576B">
      <w:pPr>
        <w:spacing w:after="120" w:line="276" w:lineRule="auto"/>
        <w:ind w:firstLine="709"/>
        <w:jc w:val="both"/>
        <w:rPr>
          <w:rFonts w:ascii="Verdana" w:eastAsia="Calibri" w:hAnsi="Verdana" w:cs="Arial"/>
          <w:color w:val="000000" w:themeColor="text1"/>
          <w:lang w:val="es-ES" w:eastAsia="en-GB"/>
        </w:rPr>
      </w:pPr>
      <w:r w:rsidRPr="00C970B4">
        <w:rPr>
          <w:rFonts w:ascii="Verdana" w:eastAsia="Calibri" w:hAnsi="Verdana" w:cs="Arial"/>
          <w:bCs/>
          <w:color w:val="000000" w:themeColor="text1"/>
          <w:lang w:val="es-ES" w:eastAsia="en-GB"/>
        </w:rPr>
        <w:lastRenderedPageBreak/>
        <w:t>5.</w:t>
      </w:r>
      <w:r w:rsidRPr="00C970B4">
        <w:rPr>
          <w:rFonts w:ascii="Verdana" w:eastAsia="Calibri" w:hAnsi="Verdana" w:cs="Arial"/>
          <w:color w:val="000000" w:themeColor="text1"/>
          <w:lang w:val="es-ES" w:eastAsia="en-GB"/>
        </w:rPr>
        <w:t xml:space="preserve"> Finalmente, en virtud del artículo 50 de la Ley 789 de 2002, la entidad verificará, tanto para las personas naturales como para las jurídicas, la realización de los aportes al Sistema de Seguridad Social Integral, al </w:t>
      </w:r>
      <w:r w:rsidRPr="00C970B4">
        <w:rPr>
          <w:rFonts w:ascii="Verdana" w:eastAsia="Calibri" w:hAnsi="Verdana" w:cs="Arial"/>
          <w:i/>
          <w:iCs/>
          <w:color w:val="000000" w:themeColor="text1"/>
          <w:lang w:val="es-ES" w:eastAsia="en-GB"/>
        </w:rPr>
        <w:t>momento de su liquidación</w:t>
      </w:r>
      <w:r w:rsidRPr="00C970B4">
        <w:rPr>
          <w:rFonts w:ascii="Verdana" w:eastAsia="Calibri" w:hAnsi="Verdana" w:cs="Arial"/>
          <w:color w:val="000000" w:themeColor="text1"/>
          <w:lang w:val="es-ES" w:eastAsia="en-GB"/>
        </w:rPr>
        <w:t>, y dejarán constancia del cumplimiento de las obligaciones del contratista frente a los aportes mencionados durante toda su vigencia, estableciendo una correcta relación entre el monto cancelado y las sumas que debieron cotizar.</w:t>
      </w:r>
    </w:p>
    <w:p w14:paraId="0EFC0E7B" w14:textId="5A8F3EF3" w:rsidR="008A4CCF" w:rsidRPr="00934326" w:rsidRDefault="00A63D7A" w:rsidP="00563A6D">
      <w:pPr>
        <w:widowControl w:val="0"/>
        <w:autoSpaceDE w:val="0"/>
        <w:autoSpaceDN w:val="0"/>
        <w:spacing w:after="120" w:line="276" w:lineRule="auto"/>
        <w:ind w:right="49" w:firstLine="708"/>
        <w:jc w:val="both"/>
        <w:rPr>
          <w:rFonts w:ascii="Verdana" w:eastAsia="Calibri" w:hAnsi="Verdana" w:cs="Arial"/>
          <w:color w:val="000000"/>
        </w:rPr>
      </w:pPr>
      <w:r w:rsidRPr="008D7F24">
        <w:rPr>
          <w:rFonts w:ascii="Verdana" w:eastAsia="Calibri" w:hAnsi="Verdana" w:cs="Arial"/>
          <w:color w:val="000000"/>
          <w:lang w:val="es-ES_tradnl"/>
        </w:rPr>
        <w:t xml:space="preserve">De conformidad con las disposiciones estudiadas, se deduce que los contratistas deben cumplir sus obligaciones con el Sistema de Seguridad Social Integral, pues </w:t>
      </w:r>
      <w:r>
        <w:rPr>
          <w:rFonts w:ascii="Verdana" w:eastAsia="Calibri" w:hAnsi="Verdana" w:cs="Arial"/>
          <w:color w:val="000000"/>
          <w:lang w:val="es-ES_tradnl"/>
        </w:rPr>
        <w:t xml:space="preserve">de lo </w:t>
      </w:r>
      <w:r w:rsidRPr="008D7F24">
        <w:rPr>
          <w:rFonts w:ascii="Verdana" w:eastAsia="Calibri" w:hAnsi="Verdana" w:cs="Arial"/>
          <w:color w:val="000000"/>
          <w:lang w:val="es-ES_tradnl"/>
        </w:rPr>
        <w:t>que se infiere del artículo 23 de la Ley 1150 de 2007.</w:t>
      </w:r>
      <w:r>
        <w:rPr>
          <w:rFonts w:ascii="Verdana" w:eastAsia="Calibri" w:hAnsi="Verdana" w:cs="Arial"/>
          <w:color w:val="000000"/>
          <w:lang w:val="es-ES_tradnl"/>
        </w:rPr>
        <w:t xml:space="preserve"> </w:t>
      </w:r>
      <w:r w:rsidRPr="008D7F24">
        <w:rPr>
          <w:rFonts w:ascii="Verdana" w:eastAsia="Calibri" w:hAnsi="Verdana" w:cs="Arial"/>
          <w:color w:val="000000"/>
          <w:lang w:val="es-ES_tradnl"/>
        </w:rPr>
        <w:t xml:space="preserve">Ahora bien, ¿qué debe verificar la entidad estatal contratante para celebrar el contrato de prestación de servicios con una persona natural? </w:t>
      </w:r>
      <w:r w:rsidRPr="00865CCD">
        <w:rPr>
          <w:rFonts w:ascii="Verdana" w:eastAsia="Calibri" w:hAnsi="Verdana" w:cs="Arial"/>
          <w:color w:val="000000"/>
        </w:rPr>
        <w:t>Expresado de otro modo, ¿basta con que presente el certificado de afiliación?</w:t>
      </w:r>
      <w:r w:rsidR="008A4CCF">
        <w:rPr>
          <w:rFonts w:ascii="Verdana" w:eastAsia="Calibri" w:hAnsi="Verdana" w:cs="Arial"/>
          <w:color w:val="000000"/>
        </w:rPr>
        <w:t xml:space="preserve"> De acuerdo con el artículo 41 de la Ley 80 de 1993, </w:t>
      </w:r>
      <w:r w:rsidR="008A4CCF" w:rsidRPr="00934326">
        <w:rPr>
          <w:rFonts w:ascii="Verdana" w:eastAsia="Calibri" w:hAnsi="Verdana" w:cs="Arial"/>
          <w:color w:val="000000"/>
        </w:rPr>
        <w:t xml:space="preserve">para las personas naturales, la acreditación del pago de Seguridad Social se verifica durante la ejecución del contrato, como condición para el pago </w:t>
      </w:r>
      <w:proofErr w:type="gramStart"/>
      <w:r w:rsidR="008A4CCF" w:rsidRPr="00934326">
        <w:rPr>
          <w:rFonts w:ascii="Verdana" w:eastAsia="Calibri" w:hAnsi="Verdana" w:cs="Arial"/>
          <w:color w:val="000000"/>
        </w:rPr>
        <w:t xml:space="preserve">del </w:t>
      </w:r>
      <w:r w:rsidR="00A41AE3">
        <w:rPr>
          <w:rFonts w:ascii="Verdana" w:eastAsia="Calibri" w:hAnsi="Verdana" w:cs="Arial"/>
          <w:color w:val="000000"/>
        </w:rPr>
        <w:t>mismo</w:t>
      </w:r>
      <w:proofErr w:type="gramEnd"/>
      <w:r w:rsidR="00A41AE3">
        <w:rPr>
          <w:rFonts w:ascii="Verdana" w:eastAsia="Calibri" w:hAnsi="Verdana" w:cs="Arial"/>
          <w:color w:val="000000"/>
        </w:rPr>
        <w:t>.</w:t>
      </w:r>
      <w:r w:rsidR="008A4CCF" w:rsidRPr="00934326">
        <w:rPr>
          <w:rFonts w:ascii="Verdana" w:eastAsia="Calibri" w:hAnsi="Verdana" w:cs="Arial"/>
          <w:color w:val="000000"/>
        </w:rPr>
        <w:t xml:space="preserve"> </w:t>
      </w:r>
    </w:p>
    <w:p w14:paraId="4F424193" w14:textId="3F4B9E34" w:rsidR="008F031C" w:rsidRPr="00934326" w:rsidRDefault="008F031C" w:rsidP="00563A6D">
      <w:pPr>
        <w:widowControl w:val="0"/>
        <w:autoSpaceDE w:val="0"/>
        <w:autoSpaceDN w:val="0"/>
        <w:spacing w:after="120" w:line="276" w:lineRule="auto"/>
        <w:ind w:right="49" w:firstLine="708"/>
        <w:jc w:val="both"/>
        <w:rPr>
          <w:rFonts w:ascii="Verdana" w:eastAsia="Calibri" w:hAnsi="Verdana" w:cs="Arial"/>
          <w:color w:val="000000"/>
        </w:rPr>
      </w:pPr>
      <w:r w:rsidRPr="00934326">
        <w:rPr>
          <w:rFonts w:ascii="Verdana" w:eastAsia="Calibri" w:hAnsi="Verdana" w:cs="Arial"/>
          <w:color w:val="000000"/>
        </w:rPr>
        <w:t xml:space="preserve">Ahora bien, tratándose específicamente de la celebración de contratos de prestación de servicios con persona natural, al que se refiere en su consulta, deben tenerse en cuenta algunas disposiciones especiales. El artículo 282 de la Ley 100 de 1993 establece: “Las personas naturales que contraten con el Estado en la modalidad de prestación de servicios no están obligadas a acreditar afiliación a los sistemas de salud y pensiones previstos en esta Ley, siempre y cuando la duración de su contrato sea igual o inferior a tres meses”. Por otro lado, el artículo 26 de la Ley 1393 de 2010 establece: “La celebración y cumplimiento de las obligaciones derivadas de contratos de prestación de servicios estará condicionada a la verificación por parte del contratante de la afiliación y pago de los aportes al sistema de protección social, conforme a la reglamentación que para tal efecto expida el Gobierno Nacional”. </w:t>
      </w:r>
    </w:p>
    <w:p w14:paraId="3BDA7207" w14:textId="77777777" w:rsidR="008F031C" w:rsidRDefault="008F031C" w:rsidP="00563A6D">
      <w:pPr>
        <w:widowControl w:val="0"/>
        <w:autoSpaceDE w:val="0"/>
        <w:autoSpaceDN w:val="0"/>
        <w:spacing w:after="120" w:line="276" w:lineRule="auto"/>
        <w:ind w:right="49" w:firstLine="708"/>
        <w:jc w:val="both"/>
        <w:rPr>
          <w:rFonts w:ascii="Verdana" w:hAnsi="Verdana"/>
        </w:rPr>
      </w:pPr>
      <w:r w:rsidRPr="00934326">
        <w:rPr>
          <w:rFonts w:ascii="Verdana" w:eastAsia="Calibri" w:hAnsi="Verdana" w:cs="Arial"/>
          <w:color w:val="000000"/>
        </w:rPr>
        <w:t xml:space="preserve">Así las cosas, la afiliación -no el pago al </w:t>
      </w:r>
      <w:r w:rsidRPr="00934326">
        <w:rPr>
          <w:rFonts w:ascii="Verdana" w:hAnsi="Verdana"/>
        </w:rPr>
        <w:t>Sistema de Seguridad Social de salud y pensiones, se verificará, en virtud del artículo 26 de la Ley 1393 de 2010 y del artículo 50 de la Ley 789 de 2002, al celebrar el contrato estatal, es decir, en el momento que se va a perfeccionar el contrato, siempre y cuando, el contrato se celebre con una persona natural, toda vez que las personas jurídicas no se afilian al Sistema de Seguridad Social. En otras palabras, el artículo 26 de la Ley 1393 de 2010 ex</w:t>
      </w:r>
      <w:r>
        <w:rPr>
          <w:rFonts w:ascii="Verdana" w:hAnsi="Verdana"/>
        </w:rPr>
        <w:t>ige que la persona natural se “afilie</w:t>
      </w:r>
      <w:r w:rsidRPr="00934326">
        <w:rPr>
          <w:rFonts w:ascii="Verdana" w:hAnsi="Verdana"/>
        </w:rPr>
        <w:t xml:space="preserve">” al Sistema de </w:t>
      </w:r>
      <w:r w:rsidRPr="00934326">
        <w:rPr>
          <w:rFonts w:ascii="Verdana" w:hAnsi="Verdana"/>
        </w:rPr>
        <w:lastRenderedPageBreak/>
        <w:t xml:space="preserve">Seguridad Social Integral, como requisito para la celebración del contrato de prestación de servicios. </w:t>
      </w:r>
    </w:p>
    <w:p w14:paraId="3440FC14" w14:textId="77777777" w:rsidR="009C576B" w:rsidRPr="00C970B4" w:rsidRDefault="009C576B" w:rsidP="009C576B">
      <w:pPr>
        <w:spacing w:after="120" w:line="276" w:lineRule="auto"/>
        <w:ind w:firstLine="709"/>
        <w:jc w:val="both"/>
        <w:rPr>
          <w:rFonts w:ascii="Verdana" w:eastAsia="Calibri" w:hAnsi="Verdana" w:cs="Arial"/>
          <w:color w:val="000000" w:themeColor="text1"/>
          <w:lang w:val="es-ES_tradnl" w:eastAsia="en-GB"/>
        </w:rPr>
      </w:pPr>
      <w:r w:rsidRPr="00C970B4">
        <w:rPr>
          <w:rFonts w:ascii="Verdana" w:eastAsia="Calibri" w:hAnsi="Verdana" w:cs="Arial"/>
          <w:color w:val="000000" w:themeColor="text1"/>
          <w:lang w:val="es-ES" w:eastAsia="en-GB"/>
        </w:rPr>
        <w:t xml:space="preserve">Adicionalmente, </w:t>
      </w:r>
      <w:r w:rsidRPr="00C970B4">
        <w:rPr>
          <w:rFonts w:ascii="Verdana" w:eastAsia="Calibri" w:hAnsi="Verdana" w:cs="Arial"/>
          <w:color w:val="000000" w:themeColor="text1"/>
          <w:lang w:val="es-ES_tradnl" w:eastAsia="en-GB"/>
        </w:rPr>
        <w:t xml:space="preserve">la Ley 1955 de 2019 reguló el tema de las cotizaciones al Sistema de Seguridad Social Integral en el artículo 244, señalando que los trabajadores independientes con ingresos superiores a un (1) salario mínimo legal mensual vigente, que celebren contratos de prestación de servicios personales, cotizarán </w:t>
      </w:r>
      <w:r w:rsidRPr="00C970B4">
        <w:rPr>
          <w:rFonts w:ascii="Verdana" w:eastAsia="Calibri" w:hAnsi="Verdana" w:cs="Arial"/>
          <w:i/>
          <w:color w:val="000000" w:themeColor="text1"/>
          <w:lang w:val="es-ES_tradnl" w:eastAsia="en-GB"/>
        </w:rPr>
        <w:t>mes vencido</w:t>
      </w:r>
      <w:r w:rsidRPr="00C970B4">
        <w:rPr>
          <w:rFonts w:ascii="Verdana" w:eastAsia="Calibri" w:hAnsi="Verdana" w:cs="Arial"/>
          <w:color w:val="000000" w:themeColor="text1"/>
          <w:lang w:val="es-ES_tradnl" w:eastAsia="en-GB"/>
        </w:rPr>
        <w:t xml:space="preserve"> al Sistema de Seguridad Social Integral sobre una base mínima del cuarenta por ciento (40%) del valor mensualizado del contrato, sin incluir el valor del Impuesto al Valor Agregado (IVA)</w:t>
      </w:r>
      <w:r w:rsidRPr="00C970B4">
        <w:rPr>
          <w:rFonts w:ascii="Verdana" w:eastAsia="Calibri" w:hAnsi="Verdana" w:cs="Arial"/>
          <w:color w:val="000000" w:themeColor="text1"/>
          <w:vertAlign w:val="superscript"/>
          <w:lang w:val="es-ES_tradnl" w:eastAsia="en-GB"/>
        </w:rPr>
        <w:footnoteReference w:id="23"/>
      </w:r>
      <w:r w:rsidRPr="00C970B4">
        <w:rPr>
          <w:rFonts w:ascii="Verdana" w:eastAsia="Calibri" w:hAnsi="Verdana" w:cs="Arial"/>
          <w:color w:val="000000" w:themeColor="text1"/>
          <w:lang w:val="es-ES_tradnl" w:eastAsia="en-GB"/>
        </w:rPr>
        <w:t>.</w:t>
      </w:r>
    </w:p>
    <w:p w14:paraId="3C135AEA" w14:textId="77777777" w:rsidR="009C576B" w:rsidRPr="00C970B4" w:rsidRDefault="009C576B" w:rsidP="009C576B">
      <w:pPr>
        <w:spacing w:after="120" w:line="276" w:lineRule="auto"/>
        <w:ind w:firstLine="709"/>
        <w:jc w:val="both"/>
        <w:rPr>
          <w:rFonts w:ascii="Verdana" w:eastAsia="Calibri" w:hAnsi="Verdana" w:cs="Arial"/>
          <w:color w:val="000000" w:themeColor="text1"/>
          <w:lang w:val="es-ES_tradnl" w:eastAsia="en-GB"/>
        </w:rPr>
      </w:pPr>
      <w:r w:rsidRPr="00C970B4">
        <w:rPr>
          <w:rFonts w:ascii="Verdana" w:eastAsia="Calibri" w:hAnsi="Verdana" w:cs="Arial"/>
          <w:color w:val="000000" w:themeColor="text1"/>
          <w:lang w:val="es-ES_tradnl" w:eastAsia="en-GB"/>
        </w:rPr>
        <w:t>Dicha norma fue declara inexequible por la Corte Constitucional en la sentencia C-068 de 2020 por infringir el principio de unidad de materia, no obstante, el fallo difirió los efectos de esta decisión hasta el vencimiento de las dos legislaturas posteriores a la notificación del fallo</w:t>
      </w:r>
      <w:r w:rsidRPr="00C970B4">
        <w:rPr>
          <w:rFonts w:ascii="Verdana" w:eastAsia="Calibri" w:hAnsi="Verdana" w:cs="Arial"/>
          <w:color w:val="000000" w:themeColor="text1"/>
          <w:vertAlign w:val="superscript"/>
          <w:lang w:val="es-ES_tradnl" w:eastAsia="en-GB"/>
        </w:rPr>
        <w:footnoteReference w:id="24"/>
      </w:r>
      <w:r w:rsidRPr="00C970B4">
        <w:rPr>
          <w:rFonts w:ascii="Verdana" w:eastAsia="Calibri" w:hAnsi="Verdana" w:cs="Arial"/>
          <w:color w:val="000000" w:themeColor="text1"/>
          <w:lang w:val="es-ES_tradnl" w:eastAsia="en-GB"/>
        </w:rPr>
        <w:t xml:space="preserve">, condición que se cumplió en el mes de junio del año 2022. En consecuencia, dicho artículo ya no está vigente a la fecha. </w:t>
      </w:r>
    </w:p>
    <w:p w14:paraId="4D93A011" w14:textId="77777777" w:rsidR="009C576B" w:rsidRPr="00C970B4" w:rsidRDefault="009C576B" w:rsidP="009C576B">
      <w:pPr>
        <w:spacing w:after="120" w:line="276" w:lineRule="auto"/>
        <w:ind w:firstLine="709"/>
        <w:jc w:val="both"/>
        <w:rPr>
          <w:rFonts w:ascii="Verdana" w:eastAsia="Calibri" w:hAnsi="Verdana" w:cs="Arial"/>
          <w:color w:val="000000" w:themeColor="text1"/>
          <w:lang w:val="es-ES_tradnl" w:eastAsia="en-GB"/>
        </w:rPr>
      </w:pPr>
      <w:r w:rsidRPr="00C970B4">
        <w:rPr>
          <w:rFonts w:ascii="Verdana" w:eastAsia="Calibri" w:hAnsi="Verdana" w:cs="Arial"/>
          <w:color w:val="000000" w:themeColor="text1"/>
          <w:lang w:val="es-ES_tradnl" w:eastAsia="en-GB"/>
        </w:rPr>
        <w:lastRenderedPageBreak/>
        <w:t xml:space="preserve">Sin perjuicio de lo anterior, el Ministerio de Trabajo emitió el Concepto Unificado rad. 08SE202223000000035861 de 2 de agosto de 2022, con ocasión de la efectividad de la </w:t>
      </w:r>
      <w:proofErr w:type="spellStart"/>
      <w:r w:rsidRPr="00C970B4">
        <w:rPr>
          <w:rFonts w:ascii="Verdana" w:eastAsia="Calibri" w:hAnsi="Verdana" w:cs="Arial"/>
          <w:color w:val="000000" w:themeColor="text1"/>
          <w:lang w:val="es-ES_tradnl" w:eastAsia="en-GB"/>
        </w:rPr>
        <w:t>exequibilidad</w:t>
      </w:r>
      <w:proofErr w:type="spellEnd"/>
      <w:r w:rsidRPr="00C970B4">
        <w:rPr>
          <w:rFonts w:ascii="Verdana" w:eastAsia="Calibri" w:hAnsi="Verdana" w:cs="Arial"/>
          <w:color w:val="000000" w:themeColor="text1"/>
          <w:lang w:val="es-ES_tradnl" w:eastAsia="en-GB"/>
        </w:rPr>
        <w:t xml:space="preserve"> del artículo 244 de la Ley 1955 de 2019 y la forma en que cotizan los trabajadores independientes, para concluir que esta no cambió, toda vez que operó la reviviscencia del </w:t>
      </w:r>
      <w:r w:rsidRPr="00C970B4">
        <w:rPr>
          <w:rFonts w:ascii="Verdana" w:eastAsia="Calibri" w:hAnsi="Verdana" w:cs="Arial"/>
          <w:color w:val="000000" w:themeColor="text1"/>
          <w:lang w:val="es-ES" w:eastAsia="en-GB" w:bidi="es-ES"/>
        </w:rPr>
        <w:t>“</w:t>
      </w:r>
      <w:r w:rsidRPr="00C970B4">
        <w:rPr>
          <w:rFonts w:ascii="Verdana" w:eastAsia="Calibri" w:hAnsi="Verdana" w:cs="Arial"/>
          <w:color w:val="000000" w:themeColor="text1"/>
          <w:lang w:val="es-ES_tradnl" w:eastAsia="en-GB"/>
        </w:rPr>
        <w:t xml:space="preserve">artículo 18 de la Ley 1122 de 2007, norma que establece que la cotización de los independientes contratistas de prestación de servicios se efectuará: “(…) </w:t>
      </w:r>
      <w:r w:rsidRPr="00C970B4">
        <w:rPr>
          <w:rFonts w:ascii="Verdana" w:eastAsia="Calibri" w:hAnsi="Verdana" w:cs="Arial"/>
          <w:i/>
          <w:iCs/>
          <w:color w:val="000000" w:themeColor="text1"/>
          <w:lang w:val="es-ES_tradnl" w:eastAsia="en-GB"/>
        </w:rPr>
        <w:t>sobre una base de la cotización máxima de un 40% del valor mensualizado del contrato</w:t>
      </w:r>
      <w:r w:rsidRPr="00C970B4">
        <w:rPr>
          <w:rFonts w:ascii="Verdana" w:eastAsia="Calibri" w:hAnsi="Verdana" w:cs="Arial"/>
          <w:bCs/>
          <w:color w:val="000000" w:themeColor="text1"/>
          <w:lang w:val="es-ES_tradnl" w:eastAsia="en-GB"/>
        </w:rPr>
        <w:t>”</w:t>
      </w:r>
      <w:r w:rsidRPr="00C970B4">
        <w:rPr>
          <w:rFonts w:ascii="Verdana" w:eastAsia="Calibri" w:hAnsi="Verdana" w:cs="Arial"/>
          <w:color w:val="000000" w:themeColor="text1"/>
          <w:lang w:val="es-ES_tradnl" w:eastAsia="en-GB"/>
        </w:rPr>
        <w:t xml:space="preserve">. De igual forma, frente al pago por mes vencido continúa aplicándose el primer inciso del artículo 3.2.7.6 del Decreto 780 de 2016, norma que dispuso que </w:t>
      </w:r>
      <w:r w:rsidRPr="00C970B4">
        <w:rPr>
          <w:rFonts w:ascii="Verdana" w:eastAsia="Calibri" w:hAnsi="Verdana" w:cs="Arial"/>
          <w:color w:val="000000" w:themeColor="text1"/>
          <w:lang w:val="es-ES" w:eastAsia="en-GB" w:bidi="es-ES"/>
        </w:rPr>
        <w:t>“</w:t>
      </w:r>
      <w:r w:rsidRPr="00C970B4">
        <w:rPr>
          <w:rFonts w:ascii="Verdana" w:eastAsia="Calibri" w:hAnsi="Verdana" w:cs="Arial"/>
          <w:color w:val="000000" w:themeColor="text1"/>
          <w:lang w:val="es-ES_tradnl" w:eastAsia="en-GB"/>
        </w:rPr>
        <w:t>el pago por mes vencido de las cotizaciones se debía efectuar a partir del 1 de octubre de 2018</w:t>
      </w:r>
      <w:r w:rsidRPr="00C970B4">
        <w:rPr>
          <w:rFonts w:ascii="Verdana" w:eastAsia="Calibri" w:hAnsi="Verdana" w:cs="Arial"/>
          <w:bCs/>
          <w:color w:val="000000" w:themeColor="text1"/>
          <w:lang w:val="es-ES_tradnl" w:eastAsia="en-GB"/>
        </w:rPr>
        <w:t>”</w:t>
      </w:r>
      <w:r w:rsidRPr="00C970B4">
        <w:rPr>
          <w:rFonts w:ascii="Verdana" w:eastAsia="Calibri" w:hAnsi="Verdana" w:cs="Arial"/>
          <w:color w:val="000000" w:themeColor="text1"/>
          <w:lang w:val="es-ES_tradnl" w:eastAsia="en-GB"/>
        </w:rPr>
        <w:t>.</w:t>
      </w:r>
    </w:p>
    <w:p w14:paraId="33709CF2" w14:textId="77777777" w:rsidR="009C576B" w:rsidRPr="00C970B4" w:rsidRDefault="009C576B" w:rsidP="009C576B">
      <w:pPr>
        <w:spacing w:after="120" w:line="276" w:lineRule="auto"/>
        <w:ind w:firstLine="709"/>
        <w:jc w:val="both"/>
        <w:rPr>
          <w:rFonts w:ascii="Verdana" w:eastAsia="Calibri" w:hAnsi="Verdana" w:cs="Arial"/>
          <w:color w:val="000000" w:themeColor="text1"/>
          <w:lang w:val="es-ES" w:eastAsia="en-GB"/>
        </w:rPr>
      </w:pPr>
      <w:r w:rsidRPr="00C970B4">
        <w:rPr>
          <w:rFonts w:ascii="Verdana" w:eastAsia="Calibri" w:hAnsi="Verdana" w:cs="Arial"/>
          <w:color w:val="000000" w:themeColor="text1"/>
          <w:lang w:val="es-ES" w:eastAsia="en-GB"/>
        </w:rPr>
        <w:t xml:space="preserve">Conforme </w:t>
      </w:r>
      <w:r>
        <w:rPr>
          <w:rFonts w:ascii="Verdana" w:eastAsia="Calibri" w:hAnsi="Verdana" w:cs="Arial"/>
          <w:color w:val="000000" w:themeColor="text1"/>
          <w:lang w:val="es-ES" w:eastAsia="en-GB"/>
        </w:rPr>
        <w:t>con</w:t>
      </w:r>
      <w:r w:rsidRPr="00C970B4">
        <w:rPr>
          <w:rFonts w:ascii="Verdana" w:eastAsia="Calibri" w:hAnsi="Verdana" w:cs="Arial"/>
          <w:color w:val="000000" w:themeColor="text1"/>
          <w:lang w:val="es-ES" w:eastAsia="en-GB"/>
        </w:rPr>
        <w:t xml:space="preserve"> lo anterior, actualmente, al pago al Sistema de Seguridad Social Integral por parte de los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w:t>
      </w:r>
      <w:proofErr w:type="spellStart"/>
      <w:r w:rsidRPr="00C970B4">
        <w:rPr>
          <w:rFonts w:ascii="Verdana" w:eastAsia="Calibri" w:hAnsi="Verdana" w:cs="Arial"/>
          <w:color w:val="000000" w:themeColor="text1"/>
          <w:lang w:val="es-ES" w:eastAsia="en-GB"/>
        </w:rPr>
        <w:t>ii</w:t>
      </w:r>
      <w:proofErr w:type="spellEnd"/>
      <w:r w:rsidRPr="00C970B4">
        <w:rPr>
          <w:rFonts w:ascii="Verdana" w:eastAsia="Calibri" w:hAnsi="Verdana" w:cs="Arial"/>
          <w:color w:val="000000" w:themeColor="text1"/>
          <w:lang w:val="es-ES" w:eastAsia="en-GB"/>
        </w:rPr>
        <w:t xml:space="preserve">) la base mínima de cotización es el cuarenta por ciento (40%) del valor mensualizado de ingresos o del contrato, </w:t>
      </w:r>
      <w:proofErr w:type="spellStart"/>
      <w:r w:rsidRPr="00C970B4">
        <w:rPr>
          <w:rFonts w:ascii="Verdana" w:eastAsia="Calibri" w:hAnsi="Verdana" w:cs="Arial"/>
          <w:color w:val="000000" w:themeColor="text1"/>
          <w:lang w:val="es-ES" w:eastAsia="en-GB"/>
        </w:rPr>
        <w:t>iii</w:t>
      </w:r>
      <w:proofErr w:type="spellEnd"/>
      <w:r w:rsidRPr="00C970B4">
        <w:rPr>
          <w:rFonts w:ascii="Verdana" w:eastAsia="Calibri" w:hAnsi="Verdana" w:cs="Arial"/>
          <w:color w:val="000000" w:themeColor="text1"/>
          <w:lang w:val="es-ES" w:eastAsia="en-GB"/>
        </w:rPr>
        <w:t xml:space="preserve">) la cotización se realizará mes vencido, y finalmente, </w:t>
      </w:r>
      <w:proofErr w:type="spellStart"/>
      <w:r w:rsidRPr="00C970B4">
        <w:rPr>
          <w:rFonts w:ascii="Verdana" w:eastAsia="Calibri" w:hAnsi="Verdana" w:cs="Arial"/>
          <w:color w:val="000000" w:themeColor="text1"/>
          <w:lang w:val="es-ES" w:eastAsia="en-GB"/>
        </w:rPr>
        <w:t>iv</w:t>
      </w:r>
      <w:proofErr w:type="spellEnd"/>
      <w:r w:rsidRPr="00C970B4">
        <w:rPr>
          <w:rFonts w:ascii="Verdana" w:eastAsia="Calibri" w:hAnsi="Verdana" w:cs="Arial"/>
          <w:color w:val="000000" w:themeColor="text1"/>
          <w:lang w:val="es-ES" w:eastAsia="en-GB"/>
        </w:rPr>
        <w:t xml:space="preserve">) el pago lo efectuará directamente el trabajador independiente. </w:t>
      </w:r>
    </w:p>
    <w:p w14:paraId="0241B18E" w14:textId="77777777" w:rsidR="009C576B" w:rsidRPr="00C970B4" w:rsidRDefault="009C576B" w:rsidP="009C576B">
      <w:pPr>
        <w:spacing w:after="120" w:line="276" w:lineRule="auto"/>
        <w:ind w:firstLine="709"/>
        <w:jc w:val="both"/>
        <w:rPr>
          <w:rFonts w:ascii="Verdana" w:eastAsia="Calibri" w:hAnsi="Verdana" w:cs="Arial"/>
          <w:color w:val="000000" w:themeColor="text1"/>
          <w:lang w:eastAsia="en-GB"/>
        </w:rPr>
      </w:pPr>
      <w:r w:rsidRPr="00C970B4">
        <w:rPr>
          <w:rFonts w:ascii="Verdana" w:eastAsia="Calibri" w:hAnsi="Verdana" w:cs="Arial"/>
          <w:color w:val="000000" w:themeColor="text1"/>
          <w:lang w:val="es-ES_tradnl" w:eastAsia="en-GB"/>
        </w:rPr>
        <w:t xml:space="preserve">Respecto de la oportunidad para el pago de los aportes, conviene mencionar que las </w:t>
      </w:r>
      <w:r w:rsidRPr="00C970B4">
        <w:rPr>
          <w:rFonts w:ascii="Verdana" w:eastAsia="Calibri" w:hAnsi="Verdana" w:cs="Arial"/>
          <w:color w:val="000000" w:themeColor="text1"/>
          <w:lang w:eastAsia="en-GB"/>
        </w:rPr>
        <w:t xml:space="preserve">Entidades Estatales deben respetar el derecho del contratista a hacer los aportes al Sistema de Seguridad Social Integral a más tardar en las fechas indicadas en el artículo 3.2.2.1. del Decreto 1990 de 2016 y de conformidad con el artículo 18 de la Ley 1122 de 2007, que establece que la cotización se realiza mes vencido sobre el cuarenta por ciento (40%) del valor mensualizado del contrato (sin contar el valor del IVA que no comporta un ingreso del cotizante). Por tanto, el supervisor debe verificar que el contratista haya hecho sus aportes por lo devengado en el mes inmediatamente anterior. </w:t>
      </w:r>
    </w:p>
    <w:p w14:paraId="2D454C8F" w14:textId="77777777" w:rsidR="009C576B" w:rsidRDefault="009C576B" w:rsidP="009907A0">
      <w:pPr>
        <w:spacing w:after="0" w:line="276" w:lineRule="auto"/>
        <w:ind w:firstLine="709"/>
        <w:jc w:val="both"/>
        <w:rPr>
          <w:rFonts w:ascii="Verdana" w:eastAsia="Calibri" w:hAnsi="Verdana" w:cs="Arial"/>
          <w:color w:val="000000" w:themeColor="text1"/>
          <w:lang w:eastAsia="en-GB"/>
        </w:rPr>
      </w:pPr>
      <w:r w:rsidRPr="00C970B4">
        <w:rPr>
          <w:rFonts w:ascii="Verdana" w:eastAsia="Calibri" w:hAnsi="Verdana" w:cs="Arial"/>
          <w:color w:val="000000" w:themeColor="text1"/>
          <w:lang w:eastAsia="en-GB"/>
        </w:rPr>
        <w:t xml:space="preserve">Ahora bien, debe señalarse que el Ministerio de Salud y Protección Social expidió el Decreto 1273 de 2018, por medio del cual se reglamenta el pago de la cotización por mes vencido al Sistema de Seguridad Social Integral (SSSI) de los trabajadores independientes, así como la retención de aportes cuando se ha celebrado un contrato de prestación de servicios personales. En el primer inciso </w:t>
      </w:r>
      <w:r w:rsidRPr="00C970B4">
        <w:rPr>
          <w:rFonts w:ascii="Verdana" w:eastAsia="Calibri" w:hAnsi="Verdana" w:cs="Arial"/>
          <w:color w:val="000000" w:themeColor="text1"/>
          <w:lang w:eastAsia="en-GB"/>
        </w:rPr>
        <w:lastRenderedPageBreak/>
        <w:t xml:space="preserve">del artículo 3.2.7.1., se señala lo siguiente respecto al Ingreso Base de Cotización – en adelante IBC: </w:t>
      </w:r>
    </w:p>
    <w:p w14:paraId="7D3516F9" w14:textId="77777777" w:rsidR="009907A0" w:rsidRPr="00C970B4" w:rsidRDefault="009907A0" w:rsidP="00563A6D">
      <w:pPr>
        <w:spacing w:after="0" w:line="276" w:lineRule="auto"/>
        <w:ind w:firstLine="709"/>
        <w:jc w:val="both"/>
        <w:rPr>
          <w:rFonts w:ascii="Verdana" w:eastAsia="Calibri" w:hAnsi="Verdana" w:cs="Arial"/>
          <w:color w:val="000000" w:themeColor="text1"/>
          <w:lang w:eastAsia="en-GB"/>
        </w:rPr>
      </w:pPr>
    </w:p>
    <w:p w14:paraId="5696D7BA" w14:textId="77777777" w:rsidR="009C576B" w:rsidRDefault="009C576B" w:rsidP="00563A6D">
      <w:pPr>
        <w:spacing w:after="0" w:line="240" w:lineRule="auto"/>
        <w:ind w:left="709" w:right="709"/>
        <w:jc w:val="both"/>
        <w:rPr>
          <w:rFonts w:ascii="Verdana" w:eastAsia="Calibri" w:hAnsi="Verdana" w:cs="Arial"/>
          <w:color w:val="000000" w:themeColor="text1"/>
          <w:sz w:val="20"/>
          <w:szCs w:val="20"/>
          <w:lang w:eastAsia="en-GB"/>
        </w:rPr>
      </w:pPr>
      <w:r w:rsidRPr="00C970B4">
        <w:rPr>
          <w:rFonts w:ascii="Verdana" w:eastAsia="Calibri" w:hAnsi="Verdana" w:cs="Arial"/>
          <w:color w:val="000000" w:themeColor="text1"/>
          <w:sz w:val="20"/>
          <w:szCs w:val="20"/>
          <w:lang w:eastAsia="en-GB"/>
        </w:rPr>
        <w:t>“</w:t>
      </w:r>
      <w:r w:rsidRPr="00C970B4">
        <w:rPr>
          <w:rFonts w:ascii="Verdana" w:eastAsia="Calibri" w:hAnsi="Verdana" w:cs="Arial"/>
          <w:b/>
          <w:bCs/>
          <w:color w:val="000000" w:themeColor="text1"/>
          <w:sz w:val="20"/>
          <w:szCs w:val="20"/>
          <w:lang w:eastAsia="en-GB"/>
        </w:rPr>
        <w:t>Artículo. 3.2.7.1. Ingreso Base de Cotización (IBC) del trabajador independiente con contrato de prestación de servicios personales.</w:t>
      </w:r>
      <w:r w:rsidRPr="00C970B4">
        <w:rPr>
          <w:rFonts w:ascii="Verdana" w:eastAsia="Calibri" w:hAnsi="Verdana" w:cs="Arial"/>
          <w:color w:val="000000" w:themeColor="text1"/>
          <w:sz w:val="20"/>
          <w:szCs w:val="20"/>
          <w:lang w:eastAsia="en-GB"/>
        </w:rPr>
        <w:t xml:space="preserve"> El ingreso base de cotización (IBC) al Sistema de Seguridad Social Integral del trabajador independiente con contrato de prestación de servicios personales relacionados con las funciones de la entidad contratante corresponde mínimo al cuarenta por ciento (40%) del valor mensualizado de cada contrato, sin incluir el valor total del Impuesto al Valor Agregado (IVA) cuando a ello haya lugar. </w:t>
      </w:r>
      <w:r w:rsidRPr="00C970B4">
        <w:rPr>
          <w:rFonts w:ascii="Verdana" w:eastAsia="Calibri" w:hAnsi="Verdana" w:cs="Arial"/>
          <w:i/>
          <w:iCs/>
          <w:color w:val="000000" w:themeColor="text1"/>
          <w:sz w:val="20"/>
          <w:szCs w:val="20"/>
          <w:lang w:eastAsia="en-GB"/>
        </w:rPr>
        <w:t xml:space="preserve">En ningún caso el IBC podrá ser inferior al salario mínimo mensual legal vigente ni superior a 25 veces el salario mínimo mensual legal vigente </w:t>
      </w:r>
      <w:r w:rsidRPr="00C970B4">
        <w:rPr>
          <w:rFonts w:ascii="Verdana" w:eastAsia="Calibri" w:hAnsi="Verdana" w:cs="Arial"/>
          <w:color w:val="000000" w:themeColor="text1"/>
          <w:sz w:val="20"/>
          <w:szCs w:val="20"/>
          <w:lang w:eastAsia="en-GB"/>
        </w:rPr>
        <w:t xml:space="preserve">[…]” (Énfasis fuera del texto original). </w:t>
      </w:r>
    </w:p>
    <w:p w14:paraId="73DED9E0" w14:textId="77777777" w:rsidR="009C576B" w:rsidRPr="00C970B4" w:rsidRDefault="009C576B" w:rsidP="009C576B">
      <w:pPr>
        <w:spacing w:after="0" w:line="240" w:lineRule="auto"/>
        <w:ind w:left="851" w:right="618"/>
        <w:jc w:val="both"/>
        <w:rPr>
          <w:rFonts w:ascii="Verdana" w:eastAsia="Calibri" w:hAnsi="Verdana" w:cs="Arial"/>
          <w:color w:val="000000" w:themeColor="text1"/>
          <w:sz w:val="20"/>
          <w:szCs w:val="20"/>
          <w:lang w:eastAsia="en-GB"/>
        </w:rPr>
      </w:pPr>
    </w:p>
    <w:p w14:paraId="47596860" w14:textId="77777777" w:rsidR="009C576B" w:rsidRPr="00C970B4" w:rsidRDefault="009C576B" w:rsidP="009C576B">
      <w:pPr>
        <w:spacing w:after="120" w:line="276" w:lineRule="auto"/>
        <w:ind w:firstLine="709"/>
        <w:jc w:val="both"/>
        <w:rPr>
          <w:rFonts w:ascii="Verdana" w:eastAsia="Calibri" w:hAnsi="Verdana" w:cs="Arial"/>
          <w:color w:val="000000" w:themeColor="text1"/>
          <w:lang w:eastAsia="en-GB"/>
        </w:rPr>
      </w:pPr>
      <w:r w:rsidRPr="00C970B4">
        <w:rPr>
          <w:rFonts w:ascii="Verdana" w:eastAsia="Calibri" w:hAnsi="Verdana" w:cs="Arial"/>
          <w:color w:val="000000" w:themeColor="text1"/>
          <w:lang w:eastAsia="en-GB"/>
        </w:rPr>
        <w:t xml:space="preserve">Conforme </w:t>
      </w:r>
      <w:r>
        <w:rPr>
          <w:rFonts w:ascii="Verdana" w:eastAsia="Calibri" w:hAnsi="Verdana" w:cs="Arial"/>
          <w:color w:val="000000" w:themeColor="text1"/>
          <w:lang w:eastAsia="en-GB"/>
        </w:rPr>
        <w:t>al</w:t>
      </w:r>
      <w:r w:rsidRPr="00C970B4">
        <w:rPr>
          <w:rFonts w:ascii="Verdana" w:eastAsia="Calibri" w:hAnsi="Verdana" w:cs="Arial"/>
          <w:color w:val="000000" w:themeColor="text1"/>
          <w:lang w:eastAsia="en-GB"/>
        </w:rPr>
        <w:t xml:space="preserve"> artículo citado, en ningún caso, el IBC podrá ser inferior a un (1) salario mínimo legal mensual vigente (SMLMV) ni superior a veinte cinco (25) SMLMV, por lo que la Entidad Estatal deberá verificar que el contratista haya realizado de forma correcta los aportes al Sistema de Seguridad Social para proceder con el pago de honorarios.</w:t>
      </w:r>
    </w:p>
    <w:p w14:paraId="2341ECD4" w14:textId="132E7C7B" w:rsidR="000E05C7" w:rsidRDefault="009C576B" w:rsidP="000E05C7">
      <w:pPr>
        <w:spacing w:after="0" w:line="276" w:lineRule="auto"/>
        <w:ind w:firstLine="709"/>
        <w:jc w:val="both"/>
        <w:rPr>
          <w:rFonts w:ascii="Verdana" w:eastAsia="Calibri" w:hAnsi="Verdana" w:cs="Arial"/>
          <w:color w:val="000000" w:themeColor="text1"/>
          <w:lang w:eastAsia="en-GB"/>
        </w:rPr>
      </w:pPr>
      <w:r w:rsidRPr="00C970B4">
        <w:rPr>
          <w:rFonts w:ascii="Verdana" w:eastAsia="Calibri" w:hAnsi="Verdana" w:cs="Arial"/>
          <w:color w:val="000000" w:themeColor="text1"/>
          <w:lang w:eastAsia="en-GB"/>
        </w:rPr>
        <w:t xml:space="preserve">Por otro lado, se debe tener en cuenta que el contrato estatal se puede celebrar con la persona natural, verificándose que se encuentre </w:t>
      </w:r>
      <w:r w:rsidRPr="00C970B4">
        <w:rPr>
          <w:rFonts w:ascii="Verdana" w:eastAsia="Calibri" w:hAnsi="Verdana" w:cs="Arial"/>
          <w:i/>
          <w:color w:val="000000" w:themeColor="text1"/>
          <w:lang w:eastAsia="en-GB"/>
        </w:rPr>
        <w:t>afiliada</w:t>
      </w:r>
      <w:r w:rsidRPr="00C970B4">
        <w:rPr>
          <w:rFonts w:ascii="Verdana" w:eastAsia="Calibri" w:hAnsi="Verdana" w:cs="Arial"/>
          <w:color w:val="000000" w:themeColor="text1"/>
          <w:lang w:eastAsia="en-GB"/>
        </w:rPr>
        <w:t xml:space="preserve"> al Sistema de Seguridad Social Integral, así lo esté en calidad de cotizante dependiente; pero la persona, una vez celebrado el contrato, debe efectuar el reporte de la novedad de afiliación como trabajador independiente a cada subsistema –salud, pensiones y riesgos laborales–, pues, es así como debe cotizar mes vencido, según la normativa actualmente aplicable. De manera que, si la persona natural se encontraba afiliada como cotizante dependiente al régimen contributivo y celebra un contrato de prestación de servicios profesionales o de apoyo a la gestión con una Entidad Estatal, debe reportar la novedad de afiliación como independiente y cotizar en esta calidad, demostrando el cumplimiento de este deber, como requisito para el pago, en los términos del artículo 23 de la Ley 1150 de 2007.</w:t>
      </w:r>
    </w:p>
    <w:p w14:paraId="4B574AFA" w14:textId="77777777" w:rsidR="000E05C7" w:rsidRDefault="000E05C7" w:rsidP="000E05C7">
      <w:pPr>
        <w:spacing w:after="0" w:line="276" w:lineRule="auto"/>
        <w:ind w:firstLine="709"/>
        <w:jc w:val="both"/>
        <w:rPr>
          <w:rFonts w:ascii="Verdana" w:eastAsia="Calibri" w:hAnsi="Verdana" w:cs="Arial"/>
          <w:color w:val="000000" w:themeColor="text1"/>
          <w:lang w:eastAsia="en-GB"/>
        </w:rPr>
      </w:pPr>
    </w:p>
    <w:p w14:paraId="1ECA2853" w14:textId="782C3B91" w:rsidR="009C576B" w:rsidRDefault="009C576B" w:rsidP="000E05C7">
      <w:pPr>
        <w:spacing w:after="120" w:line="276" w:lineRule="auto"/>
        <w:ind w:firstLine="709"/>
        <w:jc w:val="both"/>
        <w:rPr>
          <w:rFonts w:ascii="Verdana" w:eastAsia="Calibri" w:hAnsi="Verdana" w:cs="Arial"/>
          <w:color w:val="000000" w:themeColor="text1"/>
          <w:lang w:val="es-ES" w:eastAsia="en-GB"/>
        </w:rPr>
      </w:pPr>
      <w:r>
        <w:rPr>
          <w:rFonts w:ascii="Verdana" w:eastAsia="Calibri" w:hAnsi="Verdana" w:cs="Arial"/>
          <w:color w:val="000000" w:themeColor="text1"/>
          <w:lang w:eastAsia="en-GB"/>
        </w:rPr>
        <w:t>i</w:t>
      </w:r>
      <w:r>
        <w:rPr>
          <w:rFonts w:ascii="Verdana" w:eastAsia="Calibri" w:hAnsi="Verdana" w:cs="Arial"/>
          <w:color w:val="000000" w:themeColor="text1"/>
          <w:lang w:val="es-ES" w:eastAsia="en-GB"/>
        </w:rPr>
        <w:t xml:space="preserve">v) y v) Respecto del cuarto y quinto problema jurídico, </w:t>
      </w:r>
      <w:r w:rsidRPr="00D82CF6">
        <w:rPr>
          <w:rFonts w:ascii="Verdana" w:eastAsia="Calibri" w:hAnsi="Verdana" w:cs="Arial"/>
          <w:color w:val="000000" w:themeColor="text1"/>
          <w:lang w:eastAsia="en-GB"/>
        </w:rPr>
        <w:t xml:space="preserve">el Decreto 1083 de 2015 en su artículo 2.2.17.10, </w:t>
      </w:r>
      <w:r w:rsidRPr="00D82CF6">
        <w:rPr>
          <w:rFonts w:ascii="Verdana" w:eastAsia="Calibri" w:hAnsi="Verdana" w:cs="Arial"/>
          <w:color w:val="000000" w:themeColor="text1"/>
          <w:lang w:val="es-ES" w:eastAsia="en-GB"/>
        </w:rPr>
        <w:t xml:space="preserve">establece que antes de suscribir un contrato de prestación de servicios con una entidad estatal, los contratistas deben diligenciar el Formato Único de Hoja de Vida en el </w:t>
      </w:r>
      <w:r w:rsidR="000E05C7" w:rsidRPr="00D82CF6">
        <w:rPr>
          <w:rFonts w:ascii="Verdana" w:eastAsia="Calibri" w:hAnsi="Verdana" w:cs="Arial"/>
          <w:color w:val="000000" w:themeColor="text1"/>
          <w:lang w:val="es-ES" w:eastAsia="en-GB"/>
        </w:rPr>
        <w:t xml:space="preserve">Sistema de Información y Gestión del Empleo Público </w:t>
      </w:r>
      <w:r w:rsidR="000E05C7">
        <w:rPr>
          <w:rFonts w:ascii="Verdana" w:eastAsia="Calibri" w:hAnsi="Verdana" w:cs="Arial"/>
          <w:color w:val="000000" w:themeColor="text1"/>
          <w:lang w:val="es-ES" w:eastAsia="en-GB"/>
        </w:rPr>
        <w:t xml:space="preserve">– en adelante </w:t>
      </w:r>
      <w:r w:rsidRPr="00D82CF6">
        <w:rPr>
          <w:rFonts w:ascii="Verdana" w:eastAsia="Calibri" w:hAnsi="Verdana" w:cs="Arial"/>
          <w:color w:val="000000" w:themeColor="text1"/>
          <w:lang w:val="es-ES" w:eastAsia="en-GB"/>
        </w:rPr>
        <w:t xml:space="preserve">SIGEP </w:t>
      </w:r>
      <w:r w:rsidR="000E05C7">
        <w:rPr>
          <w:rFonts w:ascii="Verdana" w:eastAsia="Calibri" w:hAnsi="Verdana" w:cs="Arial"/>
          <w:color w:val="000000" w:themeColor="text1"/>
          <w:lang w:val="es-ES" w:eastAsia="en-GB"/>
        </w:rPr>
        <w:t>–</w:t>
      </w:r>
      <w:r w:rsidRPr="00D82CF6">
        <w:rPr>
          <w:rFonts w:ascii="Verdana" w:eastAsia="Calibri" w:hAnsi="Verdana" w:cs="Arial"/>
          <w:color w:val="000000" w:themeColor="text1"/>
          <w:lang w:val="es-ES" w:eastAsia="en-GB"/>
        </w:rPr>
        <w:t xml:space="preserve"> incluyendo</w:t>
      </w:r>
      <w:r w:rsidR="000E05C7">
        <w:rPr>
          <w:rFonts w:ascii="Verdana" w:eastAsia="Calibri" w:hAnsi="Verdana" w:cs="Arial"/>
          <w:color w:val="000000" w:themeColor="text1"/>
          <w:lang w:val="es-ES" w:eastAsia="en-GB"/>
        </w:rPr>
        <w:t xml:space="preserve"> </w:t>
      </w:r>
      <w:r w:rsidRPr="00D82CF6">
        <w:rPr>
          <w:rFonts w:ascii="Verdana" w:eastAsia="Calibri" w:hAnsi="Verdana" w:cs="Arial"/>
          <w:color w:val="000000" w:themeColor="text1"/>
          <w:lang w:val="es-ES" w:eastAsia="en-GB"/>
        </w:rPr>
        <w:t xml:space="preserve">el registro </w:t>
      </w:r>
      <w:r w:rsidRPr="00D82CF6">
        <w:rPr>
          <w:rFonts w:ascii="Verdana" w:eastAsia="Calibri" w:hAnsi="Verdana" w:cs="Arial"/>
          <w:color w:val="000000" w:themeColor="text1"/>
          <w:lang w:val="es-ES" w:eastAsia="en-GB"/>
        </w:rPr>
        <w:lastRenderedPageBreak/>
        <w:t xml:space="preserve">detallado de la </w:t>
      </w:r>
      <w:r>
        <w:rPr>
          <w:rFonts w:ascii="Verdana" w:eastAsia="Calibri" w:hAnsi="Verdana" w:cs="Arial"/>
          <w:color w:val="000000" w:themeColor="text1"/>
          <w:lang w:val="es-ES" w:eastAsia="en-GB"/>
        </w:rPr>
        <w:t>in</w:t>
      </w:r>
      <w:r w:rsidRPr="00D82CF6">
        <w:rPr>
          <w:rFonts w:ascii="Verdana" w:eastAsia="Calibri" w:hAnsi="Verdana" w:cs="Arial"/>
          <w:color w:val="000000" w:themeColor="text1"/>
          <w:lang w:val="es-ES" w:eastAsia="en-GB"/>
        </w:rPr>
        <w:t xml:space="preserve">formación </w:t>
      </w:r>
      <w:r>
        <w:rPr>
          <w:rFonts w:ascii="Verdana" w:eastAsia="Calibri" w:hAnsi="Verdana" w:cs="Arial"/>
          <w:color w:val="000000" w:themeColor="text1"/>
          <w:lang w:val="es-ES" w:eastAsia="en-GB"/>
        </w:rPr>
        <w:t xml:space="preserve">solicitada en la hoja de vida como por ejemplo información académica, profesional, etc., así como los documentos que acrediten la información que el contratista requiera registrar. </w:t>
      </w:r>
    </w:p>
    <w:p w14:paraId="4C79CB3F" w14:textId="77777777" w:rsidR="009C576B" w:rsidRDefault="009C576B" w:rsidP="000E05C7">
      <w:pPr>
        <w:spacing w:after="120" w:line="276" w:lineRule="auto"/>
        <w:ind w:firstLine="709"/>
        <w:jc w:val="both"/>
        <w:rPr>
          <w:rFonts w:ascii="Verdana" w:eastAsia="Calibri" w:hAnsi="Verdana" w:cs="Arial"/>
          <w:color w:val="000000" w:themeColor="text1"/>
          <w:lang w:val="es-ES" w:eastAsia="en-GB"/>
        </w:rPr>
      </w:pPr>
      <w:r>
        <w:rPr>
          <w:rFonts w:ascii="Verdana" w:eastAsia="Calibri" w:hAnsi="Verdana" w:cs="Arial"/>
          <w:color w:val="000000" w:themeColor="text1"/>
          <w:lang w:val="es-ES" w:eastAsia="en-GB"/>
        </w:rPr>
        <w:t>Para el efecto, el Instructivo Registro de Hoja de vida SIGEP</w:t>
      </w:r>
      <w:r>
        <w:rPr>
          <w:rStyle w:val="Refdenotaalpie"/>
          <w:rFonts w:ascii="Verdana" w:eastAsia="Calibri" w:hAnsi="Verdana" w:cs="Arial"/>
          <w:color w:val="000000" w:themeColor="text1"/>
          <w:lang w:val="es-ES" w:eastAsia="en-GB"/>
        </w:rPr>
        <w:footnoteReference w:id="25"/>
      </w:r>
      <w:r>
        <w:rPr>
          <w:rFonts w:ascii="Verdana" w:eastAsia="Calibri" w:hAnsi="Verdana" w:cs="Arial"/>
          <w:color w:val="000000" w:themeColor="text1"/>
          <w:lang w:val="es-ES" w:eastAsia="en-GB"/>
        </w:rPr>
        <w:t xml:space="preserve"> expedido por el Departamento Administrativo de la Función Pública de enero de 2026 presenta los lineamientos que sirven como orientación a todos los usuarios del sistema en el diligenciamiento, actualización y administración de la hoja de vida. </w:t>
      </w:r>
    </w:p>
    <w:p w14:paraId="77771A95" w14:textId="3B0CD195" w:rsidR="009C576B" w:rsidRDefault="009C576B" w:rsidP="001939A2">
      <w:pPr>
        <w:spacing w:after="0" w:line="276" w:lineRule="auto"/>
        <w:ind w:firstLine="709"/>
        <w:jc w:val="both"/>
        <w:rPr>
          <w:rFonts w:ascii="Verdana" w:eastAsia="Times New Roman" w:hAnsi="Verdana" w:cs="Times New Roman"/>
          <w:lang w:eastAsia="es-MX"/>
        </w:rPr>
      </w:pPr>
      <w:r>
        <w:rPr>
          <w:rFonts w:ascii="Verdana" w:eastAsia="Calibri" w:hAnsi="Verdana" w:cs="Arial"/>
          <w:color w:val="000000" w:themeColor="text1"/>
          <w:lang w:val="es-ES" w:eastAsia="en-GB"/>
        </w:rPr>
        <w:t xml:space="preserve">En el mismo sentido, </w:t>
      </w:r>
      <w:r w:rsidRPr="00DC1870">
        <w:rPr>
          <w:rFonts w:ascii="Verdana" w:eastAsia="Times New Roman" w:hAnsi="Verdana" w:cs="Times New Roman"/>
          <w:lang w:eastAsia="es-MX"/>
        </w:rPr>
        <w:t>la entidad pública</w:t>
      </w:r>
      <w:r w:rsidR="000E05C7">
        <w:rPr>
          <w:rFonts w:ascii="Verdana" w:eastAsia="Times New Roman" w:hAnsi="Verdana" w:cs="Times New Roman"/>
          <w:lang w:eastAsia="es-MX"/>
        </w:rPr>
        <w:t>,</w:t>
      </w:r>
      <w:r w:rsidRPr="00DC1870">
        <w:rPr>
          <w:rFonts w:ascii="Verdana" w:eastAsia="Times New Roman" w:hAnsi="Verdana" w:cs="Times New Roman"/>
          <w:lang w:eastAsia="es-MX"/>
        </w:rPr>
        <w:t xml:space="preserve"> en cumplimiento a lo dispuesto en g</w:t>
      </w:r>
      <w:r>
        <w:rPr>
          <w:rFonts w:ascii="Verdana" w:eastAsia="Times New Roman" w:hAnsi="Verdana" w:cs="Times New Roman"/>
          <w:lang w:eastAsia="es-MX"/>
        </w:rPr>
        <w:t>)</w:t>
      </w:r>
      <w:r w:rsidRPr="00DC1870">
        <w:rPr>
          <w:rFonts w:ascii="Verdana" w:eastAsia="Times New Roman" w:hAnsi="Verdana" w:cs="Times New Roman"/>
          <w:lang w:eastAsia="es-MX"/>
        </w:rPr>
        <w:t xml:space="preserve"> del art</w:t>
      </w:r>
      <w:r>
        <w:rPr>
          <w:rFonts w:ascii="Verdana" w:eastAsia="Times New Roman" w:hAnsi="Verdana" w:cs="Times New Roman"/>
          <w:lang w:eastAsia="es-MX"/>
        </w:rPr>
        <w:t>í</w:t>
      </w:r>
      <w:r w:rsidRPr="00DC1870">
        <w:rPr>
          <w:rFonts w:ascii="Verdana" w:eastAsia="Times New Roman" w:hAnsi="Verdana" w:cs="Times New Roman"/>
          <w:lang w:eastAsia="es-MX"/>
        </w:rPr>
        <w:t xml:space="preserve">culo 2 de la </w:t>
      </w:r>
      <w:r w:rsidRPr="003F6F07">
        <w:rPr>
          <w:rFonts w:ascii="Verdana" w:eastAsia="Times New Roman" w:hAnsi="Verdana" w:cs="Times New Roman"/>
          <w:lang w:eastAsia="es-MX"/>
        </w:rPr>
        <w:t>Ley 2013 de 2019 (Ley de Transparencia)</w:t>
      </w:r>
      <w:r w:rsidRPr="00DC1870">
        <w:rPr>
          <w:rFonts w:ascii="Verdana" w:eastAsia="Times New Roman" w:hAnsi="Verdana" w:cs="Times New Roman"/>
          <w:lang w:eastAsia="es-MX"/>
        </w:rPr>
        <w:t xml:space="preserve">, debe exigir al futuro contratista </w:t>
      </w:r>
      <w:r w:rsidRPr="003F6F07">
        <w:rPr>
          <w:rFonts w:ascii="Verdana" w:eastAsia="Times New Roman" w:hAnsi="Verdana" w:cs="Times New Roman"/>
          <w:lang w:eastAsia="es-MX"/>
        </w:rPr>
        <w:t xml:space="preserve">el cumplimiento </w:t>
      </w:r>
      <w:r w:rsidRPr="00DC1870">
        <w:rPr>
          <w:rFonts w:ascii="Verdana" w:eastAsia="Times New Roman" w:hAnsi="Verdana" w:cs="Times New Roman"/>
          <w:lang w:eastAsia="es-MX"/>
        </w:rPr>
        <w:t xml:space="preserve">de </w:t>
      </w:r>
      <w:r w:rsidRPr="003F6F07">
        <w:rPr>
          <w:rFonts w:ascii="Verdana" w:eastAsia="Times New Roman" w:hAnsi="Verdana" w:cs="Times New Roman"/>
          <w:lang w:eastAsia="es-MX"/>
        </w:rPr>
        <w:t>present</w:t>
      </w:r>
      <w:r w:rsidRPr="00DC1870">
        <w:rPr>
          <w:rFonts w:ascii="Verdana" w:eastAsia="Times New Roman" w:hAnsi="Verdana" w:cs="Times New Roman"/>
          <w:lang w:eastAsia="es-MX"/>
        </w:rPr>
        <w:t xml:space="preserve">ar </w:t>
      </w:r>
      <w:r w:rsidRPr="003F6F07">
        <w:rPr>
          <w:rFonts w:ascii="Verdana" w:eastAsia="Times New Roman" w:hAnsi="Verdana" w:cs="Times New Roman"/>
          <w:lang w:eastAsia="es-MX"/>
        </w:rPr>
        <w:t>su Declaración de Bienes y Rentas a través del Sistema de Información y Gestión del Empleo Público (SIGEP).</w:t>
      </w:r>
      <w:r w:rsidRPr="00DC1870">
        <w:rPr>
          <w:rFonts w:ascii="Verdana" w:eastAsia="Times New Roman" w:hAnsi="Verdana" w:cs="Times New Roman"/>
          <w:lang w:eastAsia="es-MX"/>
        </w:rPr>
        <w:t xml:space="preserve"> Obligación que tiene como marco general </w:t>
      </w:r>
      <w:r w:rsidRPr="003F6F07">
        <w:rPr>
          <w:rFonts w:ascii="Verdana" w:eastAsia="Times New Roman" w:hAnsi="Verdana" w:cs="Times New Roman"/>
          <w:lang w:eastAsia="es-MX"/>
        </w:rPr>
        <w:t>el Decreto 1083 de 2015</w:t>
      </w:r>
      <w:r w:rsidRPr="00DC1870">
        <w:rPr>
          <w:rFonts w:ascii="Verdana" w:eastAsia="Times New Roman" w:hAnsi="Verdana" w:cs="Times New Roman"/>
          <w:lang w:eastAsia="es-MX"/>
        </w:rPr>
        <w:t xml:space="preserve">, </w:t>
      </w:r>
      <w:r w:rsidRPr="003F6F07">
        <w:rPr>
          <w:rFonts w:ascii="Verdana" w:eastAsia="Times New Roman" w:hAnsi="Verdana" w:cs="Times New Roman"/>
          <w:lang w:eastAsia="es-MX"/>
        </w:rPr>
        <w:t>para los servidores públicos</w:t>
      </w:r>
      <w:r>
        <w:rPr>
          <w:rFonts w:ascii="Verdana" w:eastAsia="Times New Roman" w:hAnsi="Verdana" w:cs="Times New Roman"/>
          <w:lang w:eastAsia="es-MX"/>
        </w:rPr>
        <w:t xml:space="preserve"> y la </w:t>
      </w:r>
      <w:r w:rsidRPr="003F6F07">
        <w:rPr>
          <w:rFonts w:ascii="Verdana" w:eastAsia="Times New Roman" w:hAnsi="Verdana" w:cs="Times New Roman"/>
          <w:lang w:eastAsia="es-MX"/>
        </w:rPr>
        <w:t>Ley 2013 de</w:t>
      </w:r>
      <w:r w:rsidRPr="00DC1870">
        <w:rPr>
          <w:rFonts w:ascii="Verdana" w:eastAsia="Times New Roman" w:hAnsi="Verdana" w:cs="Times New Roman"/>
          <w:lang w:eastAsia="es-MX"/>
        </w:rPr>
        <w:t xml:space="preserve"> 2019</w:t>
      </w:r>
      <w:r>
        <w:rPr>
          <w:rFonts w:ascii="Verdana" w:eastAsia="Times New Roman" w:hAnsi="Verdana" w:cs="Times New Roman"/>
          <w:lang w:eastAsia="es-MX"/>
        </w:rPr>
        <w:t xml:space="preserve"> hizo extensible la obligación </w:t>
      </w:r>
      <w:r w:rsidRPr="003F6F07">
        <w:rPr>
          <w:rFonts w:ascii="Verdana" w:eastAsia="Times New Roman" w:hAnsi="Verdana" w:cs="Times New Roman"/>
          <w:lang w:eastAsia="es-MX"/>
        </w:rPr>
        <w:t>de manera explícita esta exigencia a los contratistas de prestación de servicios</w:t>
      </w:r>
      <w:r>
        <w:rPr>
          <w:rFonts w:ascii="Verdana" w:eastAsia="Times New Roman" w:hAnsi="Verdana" w:cs="Times New Roman"/>
          <w:lang w:eastAsia="es-MX"/>
        </w:rPr>
        <w:t xml:space="preserve">, en los siguientes términos: </w:t>
      </w:r>
    </w:p>
    <w:p w14:paraId="18A6E70B" w14:textId="77777777" w:rsidR="001939A2" w:rsidRPr="00DC1870" w:rsidRDefault="001939A2" w:rsidP="00563A6D">
      <w:pPr>
        <w:spacing w:after="0" w:line="276" w:lineRule="auto"/>
        <w:ind w:firstLine="709"/>
        <w:jc w:val="both"/>
        <w:rPr>
          <w:rFonts w:ascii="Verdana" w:eastAsia="Times New Roman" w:hAnsi="Verdana" w:cs="Times New Roman"/>
          <w:lang w:eastAsia="es-MX"/>
        </w:rPr>
      </w:pPr>
    </w:p>
    <w:p w14:paraId="2F43B925" w14:textId="77777777" w:rsidR="009C576B" w:rsidRDefault="009C576B" w:rsidP="00563A6D">
      <w:pPr>
        <w:shd w:val="clear" w:color="auto" w:fill="FFFFFF"/>
        <w:spacing w:after="0" w:line="240" w:lineRule="auto"/>
        <w:ind w:left="709" w:right="709"/>
        <w:jc w:val="both"/>
        <w:rPr>
          <w:rFonts w:ascii="Verdana" w:eastAsia="Times New Roman" w:hAnsi="Verdana" w:cs="Times New Roman"/>
          <w:sz w:val="20"/>
          <w:szCs w:val="20"/>
          <w:lang w:eastAsia="es-MX"/>
        </w:rPr>
      </w:pPr>
      <w:r w:rsidRPr="00975F62">
        <w:rPr>
          <w:rFonts w:ascii="Verdana" w:eastAsia="Times New Roman" w:hAnsi="Verdana" w:cs="Times New Roman"/>
          <w:sz w:val="20"/>
          <w:szCs w:val="20"/>
          <w:lang w:eastAsia="es-MX"/>
        </w:rPr>
        <w:t>“La publicación y divulgación de la declaración de bienes y rentas, del registro de conflictos de interés y la declaración del impuesto sobre la renta y complementarios, serán aplicables a las siguientes personas en calidad de sujetos obligados:</w:t>
      </w:r>
    </w:p>
    <w:p w14:paraId="54229363" w14:textId="77777777" w:rsidR="009C576B" w:rsidRDefault="009C576B" w:rsidP="00563A6D">
      <w:pPr>
        <w:shd w:val="clear" w:color="auto" w:fill="FFFFFF"/>
        <w:spacing w:after="0" w:line="240" w:lineRule="auto"/>
        <w:ind w:left="709" w:right="709"/>
        <w:jc w:val="both"/>
        <w:rPr>
          <w:rFonts w:ascii="Verdana" w:eastAsia="Times New Roman" w:hAnsi="Verdana" w:cs="Times New Roman"/>
          <w:sz w:val="20"/>
          <w:szCs w:val="20"/>
          <w:lang w:eastAsia="es-MX"/>
        </w:rPr>
      </w:pPr>
    </w:p>
    <w:p w14:paraId="4D7D19BA" w14:textId="77777777" w:rsidR="009C576B" w:rsidRDefault="009C576B" w:rsidP="00563A6D">
      <w:pPr>
        <w:shd w:val="clear" w:color="auto" w:fill="FFFFFF"/>
        <w:spacing w:after="0" w:line="240" w:lineRule="auto"/>
        <w:ind w:left="709" w:right="709"/>
        <w:jc w:val="both"/>
        <w:rPr>
          <w:rFonts w:ascii="Verdana" w:eastAsia="Times New Roman" w:hAnsi="Verdana" w:cs="Times New Roman"/>
          <w:sz w:val="20"/>
          <w:szCs w:val="20"/>
          <w:lang w:eastAsia="es-MX"/>
        </w:rPr>
      </w:pPr>
      <w:r>
        <w:rPr>
          <w:rFonts w:ascii="Verdana" w:eastAsia="Times New Roman" w:hAnsi="Verdana" w:cs="Times New Roman"/>
          <w:sz w:val="20"/>
          <w:szCs w:val="20"/>
          <w:lang w:eastAsia="es-MX"/>
        </w:rPr>
        <w:t>(…)</w:t>
      </w:r>
    </w:p>
    <w:p w14:paraId="5350C977" w14:textId="77777777" w:rsidR="009C576B" w:rsidRPr="00975F62" w:rsidRDefault="009C576B" w:rsidP="00563A6D">
      <w:pPr>
        <w:shd w:val="clear" w:color="auto" w:fill="FFFFFF"/>
        <w:spacing w:after="0" w:line="240" w:lineRule="auto"/>
        <w:ind w:left="709" w:right="709"/>
        <w:jc w:val="both"/>
        <w:rPr>
          <w:rFonts w:ascii="Verdana" w:eastAsia="Times New Roman" w:hAnsi="Verdana" w:cs="Times New Roman"/>
          <w:sz w:val="20"/>
          <w:szCs w:val="20"/>
          <w:lang w:eastAsia="es-MX"/>
        </w:rPr>
      </w:pPr>
    </w:p>
    <w:p w14:paraId="5D4DAC5A" w14:textId="77777777" w:rsidR="009C576B" w:rsidRPr="00975F62" w:rsidRDefault="009C576B" w:rsidP="00563A6D">
      <w:pPr>
        <w:shd w:val="clear" w:color="auto" w:fill="FFFFFF"/>
        <w:spacing w:after="0" w:line="240" w:lineRule="auto"/>
        <w:ind w:left="709" w:right="709"/>
        <w:jc w:val="both"/>
        <w:rPr>
          <w:rFonts w:ascii="Verdana" w:eastAsia="Times New Roman" w:hAnsi="Verdana" w:cs="Times New Roman"/>
          <w:sz w:val="20"/>
          <w:szCs w:val="20"/>
          <w:lang w:eastAsia="es-MX"/>
        </w:rPr>
      </w:pPr>
      <w:r w:rsidRPr="00975F62">
        <w:rPr>
          <w:rStyle w:val="citation-182"/>
          <w:rFonts w:ascii="Verdana" w:hAnsi="Verdana"/>
          <w:sz w:val="20"/>
          <w:szCs w:val="20"/>
        </w:rPr>
        <w:t>g) Las personas naturales y jurídicas, públicas o privadas que administren, celebren contratos y ejecuten bienes o recursos públicos respecto de la información directamente relacionada con el desempeño de su fun</w:t>
      </w:r>
      <w:r w:rsidRPr="00975F62">
        <w:rPr>
          <w:rFonts w:ascii="Verdana" w:hAnsi="Verdana"/>
          <w:sz w:val="20"/>
          <w:szCs w:val="20"/>
        </w:rPr>
        <w:t>ción”</w:t>
      </w:r>
      <w:bookmarkStart w:id="2" w:name="OLE_LINK3"/>
    </w:p>
    <w:p w14:paraId="07D9D589" w14:textId="77777777" w:rsidR="009C576B" w:rsidRDefault="009C576B" w:rsidP="009C576B">
      <w:pPr>
        <w:spacing w:before="100" w:beforeAutospacing="1" w:after="120" w:line="276" w:lineRule="auto"/>
        <w:jc w:val="both"/>
        <w:rPr>
          <w:rFonts w:ascii="Verdana" w:hAnsi="Verdana"/>
        </w:rPr>
      </w:pPr>
      <w:r w:rsidRPr="00DC1870">
        <w:rPr>
          <w:rFonts w:ascii="Verdana" w:eastAsia="Times New Roman" w:hAnsi="Verdana" w:cs="Times New Roman"/>
          <w:lang w:eastAsia="es-MX"/>
        </w:rPr>
        <w:t xml:space="preserve">       </w:t>
      </w:r>
      <w:r w:rsidRPr="003F6F07">
        <w:rPr>
          <w:rFonts w:ascii="Verdana" w:eastAsia="Times New Roman" w:hAnsi="Verdana" w:cs="Times New Roman"/>
          <w:lang w:eastAsia="es-MX"/>
        </w:rPr>
        <w:t>Est</w:t>
      </w:r>
      <w:r>
        <w:rPr>
          <w:rFonts w:ascii="Verdana" w:eastAsia="Times New Roman" w:hAnsi="Verdana" w:cs="Times New Roman"/>
          <w:lang w:eastAsia="es-MX"/>
        </w:rPr>
        <w:t>os</w:t>
      </w:r>
      <w:r w:rsidRPr="003F6F07">
        <w:rPr>
          <w:rFonts w:ascii="Verdana" w:eastAsia="Times New Roman" w:hAnsi="Verdana" w:cs="Times New Roman"/>
          <w:lang w:eastAsia="es-MX"/>
        </w:rPr>
        <w:t xml:space="preserve"> deber</w:t>
      </w:r>
      <w:r>
        <w:rPr>
          <w:rFonts w:ascii="Verdana" w:eastAsia="Times New Roman" w:hAnsi="Verdana" w:cs="Times New Roman"/>
          <w:lang w:eastAsia="es-MX"/>
        </w:rPr>
        <w:t>es</w:t>
      </w:r>
      <w:r w:rsidRPr="003F6F07">
        <w:rPr>
          <w:rFonts w:ascii="Verdana" w:eastAsia="Times New Roman" w:hAnsi="Verdana" w:cs="Times New Roman"/>
          <w:lang w:eastAsia="es-MX"/>
        </w:rPr>
        <w:t xml:space="preserve"> se constituye</w:t>
      </w:r>
      <w:r>
        <w:rPr>
          <w:rFonts w:ascii="Verdana" w:eastAsia="Times New Roman" w:hAnsi="Verdana" w:cs="Times New Roman"/>
          <w:lang w:eastAsia="es-MX"/>
        </w:rPr>
        <w:t>n</w:t>
      </w:r>
      <w:r w:rsidRPr="003F6F07">
        <w:rPr>
          <w:rFonts w:ascii="Verdana" w:eastAsia="Times New Roman" w:hAnsi="Verdana" w:cs="Times New Roman"/>
          <w:lang w:eastAsia="es-MX"/>
        </w:rPr>
        <w:t xml:space="preserve"> como una condición de capacidad jurídica </w:t>
      </w:r>
      <w:r w:rsidRPr="00DC1870">
        <w:rPr>
          <w:rFonts w:ascii="Verdana" w:eastAsia="Times New Roman" w:hAnsi="Verdana" w:cs="Times New Roman"/>
          <w:lang w:eastAsia="es-MX"/>
        </w:rPr>
        <w:t xml:space="preserve">– requisito habilitante, </w:t>
      </w:r>
      <w:r w:rsidRPr="003F6F07">
        <w:rPr>
          <w:rFonts w:ascii="Verdana" w:eastAsia="Times New Roman" w:hAnsi="Verdana" w:cs="Times New Roman"/>
          <w:lang w:eastAsia="es-MX"/>
        </w:rPr>
        <w:t>y un presupuesto necesario para la legalización del contrato</w:t>
      </w:r>
      <w:r w:rsidRPr="00DC1870">
        <w:rPr>
          <w:rFonts w:ascii="Verdana" w:eastAsia="Times New Roman" w:hAnsi="Verdana" w:cs="Times New Roman"/>
          <w:lang w:eastAsia="es-MX"/>
        </w:rPr>
        <w:t>,</w:t>
      </w:r>
      <w:r w:rsidRPr="00DC1870">
        <w:rPr>
          <w:rFonts w:ascii="Verdana" w:hAnsi="Verdana"/>
        </w:rPr>
        <w:t xml:space="preserve"> ya que su inobservancia afecta directamente la aptitud de la persona para ser contratista del Estado, impidiendo que la entidad pública pueda proceder válidamente con el perfeccionamiento y la firma del acuerdo.</w:t>
      </w:r>
    </w:p>
    <w:bookmarkEnd w:id="2"/>
    <w:p w14:paraId="4C818B11" w14:textId="183F1EC9" w:rsidR="009C576B" w:rsidRDefault="009C576B" w:rsidP="004E03DE">
      <w:pPr>
        <w:spacing w:after="120" w:line="276" w:lineRule="auto"/>
        <w:ind w:firstLine="709"/>
        <w:jc w:val="both"/>
        <w:rPr>
          <w:rFonts w:ascii="Verdana" w:eastAsia="Calibri" w:hAnsi="Verdana" w:cs="Arial"/>
          <w:lang w:eastAsia="es-ES_tradnl"/>
        </w:rPr>
      </w:pPr>
      <w:r w:rsidRPr="00B00396">
        <w:rPr>
          <w:rFonts w:ascii="Verdana" w:eastAsia="Calibri" w:hAnsi="Verdana" w:cs="Times New Roman"/>
          <w:lang w:val="es-ES"/>
        </w:rPr>
        <w:t>Finalmente</w:t>
      </w:r>
      <w:r w:rsidR="00611043">
        <w:rPr>
          <w:rFonts w:ascii="Verdana" w:eastAsia="Calibri" w:hAnsi="Verdana" w:cs="Times New Roman"/>
          <w:lang w:val="es-ES"/>
        </w:rPr>
        <w:t>,</w:t>
      </w:r>
      <w:r w:rsidRPr="00B00396">
        <w:rPr>
          <w:rFonts w:ascii="Verdana" w:eastAsia="Calibri" w:hAnsi="Verdana" w:cs="Times New Roman"/>
          <w:lang w:val="es-ES"/>
        </w:rPr>
        <w:t xml:space="preserv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w:t>
      </w:r>
      <w:r w:rsidRPr="00DB4737">
        <w:rPr>
          <w:rFonts w:ascii="Verdana" w:eastAsia="Calibri" w:hAnsi="Verdana" w:cs="Times New Roman"/>
          <w:lang w:val="es-ES"/>
        </w:rPr>
        <w:lastRenderedPageBreak/>
        <w:t>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20C0E864" w14:textId="77777777" w:rsidR="009C576B" w:rsidRPr="00FE64D4" w:rsidRDefault="009C576B" w:rsidP="009C576B">
      <w:pPr>
        <w:spacing w:after="0" w:line="276" w:lineRule="auto"/>
        <w:ind w:firstLine="709"/>
        <w:jc w:val="both"/>
        <w:rPr>
          <w:rFonts w:ascii="Verdana" w:eastAsia="Calibri" w:hAnsi="Verdana" w:cs="Arial"/>
          <w:lang w:eastAsia="es-ES_tradnl"/>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239FF64F" w14:textId="77777777" w:rsidR="009C576B" w:rsidRDefault="009C576B" w:rsidP="009C576B">
      <w:pPr>
        <w:tabs>
          <w:tab w:val="left" w:pos="142"/>
          <w:tab w:val="left" w:pos="284"/>
          <w:tab w:val="left" w:pos="6912"/>
        </w:tabs>
        <w:spacing w:after="0" w:line="276" w:lineRule="auto"/>
        <w:jc w:val="both"/>
        <w:rPr>
          <w:rFonts w:ascii="Verdana" w:eastAsia="Calibri" w:hAnsi="Verdana" w:cs="Arial"/>
        </w:rPr>
      </w:pPr>
    </w:p>
    <w:p w14:paraId="4AB8EE18" w14:textId="77777777" w:rsidR="009C576B" w:rsidRDefault="009C576B" w:rsidP="009C576B">
      <w:pPr>
        <w:spacing w:after="0" w:line="276" w:lineRule="auto"/>
        <w:jc w:val="both"/>
        <w:rPr>
          <w:rFonts w:ascii="Verdana" w:eastAsia="Century Gothic" w:hAnsi="Verdana" w:cs="Century Gothic"/>
          <w:b/>
          <w:bCs/>
        </w:rPr>
      </w:pPr>
      <w:bookmarkStart w:id="3"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3"/>
    </w:p>
    <w:p w14:paraId="3392EDCE" w14:textId="77777777" w:rsidR="009C576B" w:rsidRPr="000B6E79" w:rsidRDefault="009C576B" w:rsidP="009C576B">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C576B" w:rsidRPr="002D2C18" w14:paraId="3B06D003" w14:textId="77777777" w:rsidTr="00295043">
        <w:trPr>
          <w:trHeight w:val="56"/>
          <w:jc w:val="center"/>
        </w:trPr>
        <w:tc>
          <w:tcPr>
            <w:tcW w:w="8647" w:type="dxa"/>
          </w:tcPr>
          <w:p w14:paraId="4E3C7CAB" w14:textId="77777777" w:rsidR="00611043" w:rsidRDefault="00611043" w:rsidP="00611043">
            <w:pPr>
              <w:pStyle w:val="Prrafodelista"/>
              <w:numPr>
                <w:ilvl w:val="0"/>
                <w:numId w:val="17"/>
              </w:numPr>
              <w:spacing w:after="120" w:line="276" w:lineRule="auto"/>
              <w:jc w:val="both"/>
              <w:rPr>
                <w:rFonts w:ascii="Verdana" w:eastAsia="Aptos" w:hAnsi="Verdana" w:cs="Arial"/>
              </w:rPr>
            </w:pPr>
            <w:r>
              <w:rPr>
                <w:rFonts w:ascii="Verdana" w:eastAsia="Aptos" w:hAnsi="Verdana" w:cs="Arial"/>
              </w:rPr>
              <w:t xml:space="preserve">Código Civil. Artículos 1500, 1501, 2063. </w:t>
            </w:r>
          </w:p>
          <w:p w14:paraId="26B9BE92" w14:textId="6BBFF844" w:rsidR="009C576B" w:rsidRPr="00F76BF2" w:rsidRDefault="009C576B" w:rsidP="00295043">
            <w:pPr>
              <w:pStyle w:val="Prrafodelista"/>
              <w:numPr>
                <w:ilvl w:val="0"/>
                <w:numId w:val="17"/>
              </w:numPr>
              <w:spacing w:after="120" w:line="276" w:lineRule="auto"/>
              <w:jc w:val="both"/>
              <w:rPr>
                <w:rFonts w:ascii="Verdana" w:eastAsia="Aptos" w:hAnsi="Verdana" w:cs="Arial"/>
              </w:rPr>
            </w:pPr>
            <w:r w:rsidRPr="00884819">
              <w:rPr>
                <w:rFonts w:ascii="Verdana" w:eastAsia="Calibri" w:hAnsi="Verdana" w:cs="Arial"/>
                <w:color w:val="000000"/>
                <w:lang w:val="es-ES_tradnl"/>
              </w:rPr>
              <w:t>Decreto Ley 150 del 1976</w:t>
            </w:r>
            <w:r w:rsidR="00611043">
              <w:rPr>
                <w:rFonts w:ascii="Verdana" w:eastAsia="Calibri" w:hAnsi="Verdana" w:cs="Arial"/>
                <w:color w:val="000000"/>
                <w:lang w:val="es-ES_tradnl"/>
              </w:rPr>
              <w:t>.</w:t>
            </w:r>
            <w:r>
              <w:rPr>
                <w:rFonts w:ascii="Verdana" w:eastAsia="Calibri" w:hAnsi="Verdana" w:cs="Arial"/>
                <w:color w:val="000000"/>
                <w:lang w:val="es-ES_tradnl"/>
              </w:rPr>
              <w:t xml:space="preserve"> </w:t>
            </w:r>
            <w:r w:rsidR="00611043">
              <w:rPr>
                <w:rFonts w:ascii="Verdana" w:eastAsia="Calibri" w:hAnsi="Verdana" w:cs="Arial"/>
                <w:color w:val="000000"/>
                <w:lang w:val="es-ES_tradnl"/>
              </w:rPr>
              <w:t xml:space="preserve">Artículo </w:t>
            </w:r>
            <w:r>
              <w:rPr>
                <w:rFonts w:ascii="Verdana" w:eastAsia="Calibri" w:hAnsi="Verdana" w:cs="Arial"/>
                <w:color w:val="000000"/>
                <w:lang w:val="es-ES_tradnl"/>
              </w:rPr>
              <w:t>138.</w:t>
            </w:r>
          </w:p>
          <w:p w14:paraId="3ED0AC7F" w14:textId="77777777" w:rsidR="009C576B" w:rsidRPr="00F76BF2" w:rsidRDefault="009C576B" w:rsidP="00295043">
            <w:pPr>
              <w:pStyle w:val="Prrafodelista"/>
              <w:numPr>
                <w:ilvl w:val="0"/>
                <w:numId w:val="17"/>
              </w:numPr>
              <w:spacing w:after="120" w:line="276" w:lineRule="auto"/>
              <w:jc w:val="both"/>
              <w:rPr>
                <w:rFonts w:ascii="Verdana" w:eastAsia="Aptos" w:hAnsi="Verdana" w:cs="Arial"/>
              </w:rPr>
            </w:pPr>
            <w:r w:rsidRPr="00884819">
              <w:rPr>
                <w:rFonts w:ascii="Verdana" w:eastAsia="Calibri" w:hAnsi="Verdana" w:cs="Arial"/>
                <w:color w:val="000000"/>
                <w:lang w:val="es-ES_tradnl"/>
              </w:rPr>
              <w:t>Decreto Ley 222 de 1983</w:t>
            </w:r>
            <w:r>
              <w:rPr>
                <w:rFonts w:ascii="Verdana" w:eastAsia="Calibri" w:hAnsi="Verdana" w:cs="Arial"/>
                <w:color w:val="000000"/>
                <w:lang w:val="es-ES_tradnl"/>
              </w:rPr>
              <w:t>. Artículo 163.</w:t>
            </w:r>
          </w:p>
          <w:p w14:paraId="66766C96" w14:textId="77777777" w:rsidR="009C576B" w:rsidRDefault="009C576B" w:rsidP="00295043">
            <w:pPr>
              <w:pStyle w:val="Prrafodelista"/>
              <w:numPr>
                <w:ilvl w:val="0"/>
                <w:numId w:val="17"/>
              </w:numPr>
              <w:spacing w:after="120" w:line="276" w:lineRule="auto"/>
              <w:jc w:val="both"/>
              <w:rPr>
                <w:rFonts w:ascii="Verdana" w:eastAsia="Aptos" w:hAnsi="Verdana" w:cs="Arial"/>
              </w:rPr>
            </w:pPr>
            <w:r>
              <w:rPr>
                <w:rFonts w:ascii="Verdana" w:eastAsia="Aptos" w:hAnsi="Verdana" w:cs="Arial"/>
              </w:rPr>
              <w:t xml:space="preserve">Ley 80 de 1993. Artículos 13, 24 numeral 1, 32, 40, 41, 42, 60. </w:t>
            </w:r>
          </w:p>
          <w:p w14:paraId="4D103895" w14:textId="77777777" w:rsidR="00611043" w:rsidRPr="00F76BF2" w:rsidRDefault="00611043" w:rsidP="00611043">
            <w:pPr>
              <w:pStyle w:val="Prrafodelista"/>
              <w:numPr>
                <w:ilvl w:val="0"/>
                <w:numId w:val="17"/>
              </w:numPr>
              <w:spacing w:after="120" w:line="276" w:lineRule="auto"/>
              <w:jc w:val="both"/>
              <w:rPr>
                <w:rFonts w:ascii="Verdana" w:eastAsia="Aptos" w:hAnsi="Verdana" w:cs="Arial"/>
              </w:rPr>
            </w:pPr>
            <w:r w:rsidRPr="00C970B4">
              <w:rPr>
                <w:rFonts w:ascii="Verdana" w:eastAsia="Calibri" w:hAnsi="Verdana" w:cs="Arial"/>
                <w:color w:val="000000" w:themeColor="text1"/>
                <w:lang w:eastAsia="en-GB"/>
              </w:rPr>
              <w:t>Ley 789 de 2002</w:t>
            </w:r>
            <w:r>
              <w:rPr>
                <w:rFonts w:ascii="Verdana" w:eastAsia="Calibri" w:hAnsi="Verdana" w:cs="Arial"/>
                <w:color w:val="000000" w:themeColor="text1"/>
                <w:lang w:eastAsia="en-GB"/>
              </w:rPr>
              <w:t xml:space="preserve">. Artículo 50. </w:t>
            </w:r>
          </w:p>
          <w:p w14:paraId="68309845" w14:textId="77777777" w:rsidR="009C576B" w:rsidRDefault="009C576B" w:rsidP="00295043">
            <w:pPr>
              <w:pStyle w:val="Prrafodelista"/>
              <w:numPr>
                <w:ilvl w:val="0"/>
                <w:numId w:val="17"/>
              </w:numPr>
              <w:spacing w:after="120" w:line="276" w:lineRule="auto"/>
              <w:jc w:val="both"/>
              <w:rPr>
                <w:rFonts w:ascii="Verdana" w:eastAsia="Aptos" w:hAnsi="Verdana" w:cs="Arial"/>
              </w:rPr>
            </w:pPr>
            <w:r>
              <w:rPr>
                <w:rFonts w:ascii="Verdana" w:eastAsia="Aptos" w:hAnsi="Verdana" w:cs="Arial"/>
              </w:rPr>
              <w:t xml:space="preserve">Ley 1150 de 2007. Artículos 2 numeral 4 literal h), 6, 23. </w:t>
            </w:r>
          </w:p>
          <w:p w14:paraId="0FC1429C" w14:textId="77777777" w:rsidR="00611043" w:rsidRPr="00F76BF2" w:rsidRDefault="00611043" w:rsidP="00611043">
            <w:pPr>
              <w:pStyle w:val="Prrafodelista"/>
              <w:numPr>
                <w:ilvl w:val="0"/>
                <w:numId w:val="17"/>
              </w:numPr>
              <w:spacing w:after="120" w:line="276" w:lineRule="auto"/>
              <w:jc w:val="both"/>
              <w:rPr>
                <w:rFonts w:ascii="Verdana" w:eastAsia="Aptos" w:hAnsi="Verdana" w:cs="Arial"/>
              </w:rPr>
            </w:pPr>
            <w:r w:rsidRPr="00C970B4">
              <w:rPr>
                <w:rFonts w:ascii="Verdana" w:eastAsia="Calibri" w:hAnsi="Verdana" w:cs="Arial"/>
                <w:color w:val="000000" w:themeColor="text1"/>
                <w:lang w:val="es-CO" w:eastAsia="en-GB"/>
              </w:rPr>
              <w:t>Ley 1122 de 2007</w:t>
            </w:r>
            <w:r>
              <w:rPr>
                <w:rFonts w:ascii="Verdana" w:eastAsia="Calibri" w:hAnsi="Verdana" w:cs="Arial"/>
                <w:color w:val="000000" w:themeColor="text1"/>
                <w:lang w:val="es-CO" w:eastAsia="en-GB"/>
              </w:rPr>
              <w:t xml:space="preserve">. Artículo 18. </w:t>
            </w:r>
          </w:p>
          <w:p w14:paraId="1F8AAAC1" w14:textId="77777777" w:rsidR="009C576B" w:rsidRPr="00F76BF2" w:rsidRDefault="009C576B" w:rsidP="00295043">
            <w:pPr>
              <w:pStyle w:val="Prrafodelista"/>
              <w:numPr>
                <w:ilvl w:val="0"/>
                <w:numId w:val="17"/>
              </w:numPr>
              <w:spacing w:after="120" w:line="276" w:lineRule="auto"/>
              <w:jc w:val="both"/>
              <w:rPr>
                <w:rFonts w:ascii="Verdana" w:eastAsia="Aptos" w:hAnsi="Verdana" w:cs="Arial"/>
              </w:rPr>
            </w:pPr>
            <w:r w:rsidRPr="00884819">
              <w:rPr>
                <w:rFonts w:ascii="Verdana" w:eastAsia="Calibri" w:hAnsi="Verdana" w:cs="Arial"/>
                <w:color w:val="000000"/>
                <w:lang w:val="es-ES_tradnl"/>
              </w:rPr>
              <w:t>Ley 1952 de 2019</w:t>
            </w:r>
            <w:r>
              <w:rPr>
                <w:rFonts w:ascii="Verdana" w:eastAsia="Calibri" w:hAnsi="Verdana" w:cs="Arial"/>
                <w:color w:val="000000"/>
                <w:lang w:val="es-ES_tradnl"/>
              </w:rPr>
              <w:t>. Artículo 54 numeral 1.</w:t>
            </w:r>
          </w:p>
          <w:p w14:paraId="256DC16B" w14:textId="77777777" w:rsidR="009C576B" w:rsidRPr="00F76BF2" w:rsidRDefault="009C576B" w:rsidP="00295043">
            <w:pPr>
              <w:pStyle w:val="Prrafodelista"/>
              <w:numPr>
                <w:ilvl w:val="0"/>
                <w:numId w:val="17"/>
              </w:numPr>
              <w:spacing w:after="120" w:line="276" w:lineRule="auto"/>
              <w:jc w:val="both"/>
              <w:rPr>
                <w:rFonts w:ascii="Verdana" w:eastAsia="Aptos" w:hAnsi="Verdana" w:cs="Arial"/>
              </w:rPr>
            </w:pPr>
            <w:r w:rsidRPr="00C970B4">
              <w:rPr>
                <w:rFonts w:ascii="Verdana" w:eastAsia="Calibri" w:hAnsi="Verdana" w:cs="Arial"/>
                <w:color w:val="000000" w:themeColor="text1"/>
                <w:lang w:val="es-ES_tradnl" w:eastAsia="en-GB"/>
              </w:rPr>
              <w:t>Ley 1955 de 2019</w:t>
            </w:r>
            <w:r>
              <w:rPr>
                <w:rFonts w:ascii="Verdana" w:eastAsia="Calibri" w:hAnsi="Verdana" w:cs="Arial"/>
                <w:color w:val="000000" w:themeColor="text1"/>
                <w:lang w:val="es-ES_tradnl" w:eastAsia="en-GB"/>
              </w:rPr>
              <w:t>. Artículo 244.</w:t>
            </w:r>
          </w:p>
          <w:p w14:paraId="24832155" w14:textId="77777777" w:rsidR="009C576B" w:rsidRPr="00F76BF2" w:rsidRDefault="009C576B" w:rsidP="00295043">
            <w:pPr>
              <w:pStyle w:val="Prrafodelista"/>
              <w:numPr>
                <w:ilvl w:val="0"/>
                <w:numId w:val="17"/>
              </w:numPr>
              <w:spacing w:after="120" w:line="276" w:lineRule="auto"/>
              <w:jc w:val="both"/>
              <w:rPr>
                <w:rFonts w:ascii="Verdana" w:eastAsia="Aptos" w:hAnsi="Verdana" w:cs="Arial"/>
              </w:rPr>
            </w:pPr>
            <w:r w:rsidRPr="003F6F07">
              <w:rPr>
                <w:rFonts w:ascii="Verdana" w:eastAsia="Times New Roman" w:hAnsi="Verdana" w:cs="Times New Roman"/>
                <w:lang w:eastAsia="es-MX"/>
              </w:rPr>
              <w:t>Ley 2013 de 2019</w:t>
            </w:r>
            <w:r>
              <w:rPr>
                <w:rFonts w:ascii="Verdana" w:eastAsia="Times New Roman" w:hAnsi="Verdana" w:cs="Times New Roman"/>
                <w:lang w:eastAsia="es-MX"/>
              </w:rPr>
              <w:t xml:space="preserve">. Artículo 2 literal g). </w:t>
            </w:r>
          </w:p>
          <w:p w14:paraId="534A0DBB" w14:textId="77777777" w:rsidR="009C576B" w:rsidRPr="00F76BF2" w:rsidRDefault="009C576B" w:rsidP="00295043">
            <w:pPr>
              <w:pStyle w:val="Prrafodelista"/>
              <w:numPr>
                <w:ilvl w:val="0"/>
                <w:numId w:val="17"/>
              </w:numPr>
              <w:spacing w:after="120" w:line="276" w:lineRule="auto"/>
              <w:jc w:val="both"/>
              <w:rPr>
                <w:rFonts w:ascii="Verdana" w:eastAsia="Aptos" w:hAnsi="Verdana" w:cs="Arial"/>
              </w:rPr>
            </w:pPr>
            <w:r w:rsidRPr="00884819">
              <w:rPr>
                <w:rFonts w:ascii="Verdana" w:eastAsia="Calibri" w:hAnsi="Verdana" w:cs="Arial"/>
                <w:color w:val="000000"/>
                <w:lang w:val="es-ES_tradnl"/>
              </w:rPr>
              <w:t>Decreto 019 de 2012</w:t>
            </w:r>
            <w:r>
              <w:rPr>
                <w:rFonts w:ascii="Verdana" w:eastAsia="Calibri" w:hAnsi="Verdana" w:cs="Arial"/>
                <w:color w:val="000000"/>
                <w:lang w:val="es-ES_tradnl"/>
              </w:rPr>
              <w:t xml:space="preserve">. Artículo 217. </w:t>
            </w:r>
          </w:p>
          <w:p w14:paraId="43BBAFFC" w14:textId="77777777" w:rsidR="00611043" w:rsidRDefault="00611043" w:rsidP="00611043">
            <w:pPr>
              <w:pStyle w:val="Prrafodelista"/>
              <w:numPr>
                <w:ilvl w:val="0"/>
                <w:numId w:val="17"/>
              </w:numPr>
              <w:spacing w:after="120" w:line="276" w:lineRule="auto"/>
              <w:jc w:val="both"/>
              <w:rPr>
                <w:rFonts w:ascii="Verdana" w:eastAsia="Aptos" w:hAnsi="Verdana" w:cs="Arial"/>
              </w:rPr>
            </w:pPr>
            <w:r w:rsidRPr="00F76BF2">
              <w:rPr>
                <w:rFonts w:ascii="Verdana" w:eastAsia="Aptos" w:hAnsi="Verdana" w:cs="Arial"/>
              </w:rPr>
              <w:t>Decreto 1068 de 2015</w:t>
            </w:r>
            <w:r>
              <w:rPr>
                <w:rFonts w:ascii="Verdana" w:eastAsia="Aptos" w:hAnsi="Verdana" w:cs="Arial"/>
              </w:rPr>
              <w:t>.</w:t>
            </w:r>
            <w:r w:rsidRPr="00F76BF2">
              <w:rPr>
                <w:rFonts w:ascii="Verdana" w:eastAsia="Aptos" w:hAnsi="Verdana" w:cs="Arial"/>
              </w:rPr>
              <w:t xml:space="preserve"> Artículo 2.8.4.4.5.</w:t>
            </w:r>
          </w:p>
          <w:p w14:paraId="6105A585" w14:textId="77777777" w:rsidR="00611043" w:rsidRDefault="00611043" w:rsidP="00611043">
            <w:pPr>
              <w:pStyle w:val="Prrafodelista"/>
              <w:numPr>
                <w:ilvl w:val="0"/>
                <w:numId w:val="17"/>
              </w:numPr>
              <w:spacing w:after="120" w:line="276" w:lineRule="auto"/>
              <w:jc w:val="both"/>
              <w:rPr>
                <w:rFonts w:ascii="Verdana" w:eastAsia="Aptos" w:hAnsi="Verdana" w:cs="Arial"/>
              </w:rPr>
            </w:pPr>
            <w:r w:rsidRPr="00F76BF2">
              <w:rPr>
                <w:rFonts w:ascii="Verdana" w:eastAsia="Aptos" w:hAnsi="Verdana" w:cs="Arial"/>
              </w:rPr>
              <w:t>Decreto 1082 de 2015</w:t>
            </w:r>
            <w:r>
              <w:rPr>
                <w:rFonts w:ascii="Verdana" w:eastAsia="Aptos" w:hAnsi="Verdana" w:cs="Arial"/>
              </w:rPr>
              <w:t xml:space="preserve">. </w:t>
            </w:r>
            <w:r w:rsidRPr="00F76BF2">
              <w:rPr>
                <w:rFonts w:ascii="Verdana" w:eastAsia="Aptos" w:hAnsi="Verdana" w:cs="Arial"/>
              </w:rPr>
              <w:t>Artículo</w:t>
            </w:r>
            <w:r>
              <w:rPr>
                <w:rFonts w:ascii="Verdana" w:eastAsia="Aptos" w:hAnsi="Verdana" w:cs="Arial"/>
              </w:rPr>
              <w:t xml:space="preserve">s </w:t>
            </w:r>
            <w:r w:rsidRPr="00F76BF2">
              <w:rPr>
                <w:rFonts w:ascii="Verdana" w:eastAsia="Aptos" w:hAnsi="Verdana" w:cs="Arial"/>
              </w:rPr>
              <w:t>2.2.1.2.1.4.1</w:t>
            </w:r>
            <w:r>
              <w:rPr>
                <w:rFonts w:ascii="Verdana" w:eastAsia="Aptos" w:hAnsi="Verdana" w:cs="Arial"/>
              </w:rPr>
              <w:t xml:space="preserve">, </w:t>
            </w:r>
            <w:r w:rsidRPr="00F76BF2">
              <w:rPr>
                <w:rFonts w:ascii="Verdana" w:eastAsia="Aptos" w:hAnsi="Verdana" w:cs="Arial"/>
              </w:rPr>
              <w:t>2.2.1.2.1.4.5</w:t>
            </w:r>
            <w:r>
              <w:rPr>
                <w:rFonts w:ascii="Verdana" w:eastAsia="Aptos" w:hAnsi="Verdana" w:cs="Arial"/>
              </w:rPr>
              <w:t>,</w:t>
            </w:r>
            <w:r w:rsidRPr="00F76BF2">
              <w:rPr>
                <w:rFonts w:ascii="Verdana" w:eastAsia="Aptos" w:hAnsi="Verdana" w:cs="Arial"/>
              </w:rPr>
              <w:t xml:space="preserve"> </w:t>
            </w:r>
            <w:r>
              <w:rPr>
                <w:rFonts w:ascii="Verdana" w:eastAsia="Aptos" w:hAnsi="Verdana" w:cs="Arial"/>
              </w:rPr>
              <w:t>2.2.1.2.1.4.9.</w:t>
            </w:r>
          </w:p>
          <w:p w14:paraId="75FDD4E3" w14:textId="77777777" w:rsidR="00611043" w:rsidRDefault="00611043" w:rsidP="00611043">
            <w:pPr>
              <w:pStyle w:val="Prrafodelista"/>
              <w:numPr>
                <w:ilvl w:val="0"/>
                <w:numId w:val="17"/>
              </w:numPr>
              <w:spacing w:after="120" w:line="276" w:lineRule="auto"/>
              <w:jc w:val="both"/>
              <w:rPr>
                <w:rFonts w:ascii="Verdana" w:eastAsia="Aptos" w:hAnsi="Verdana" w:cs="Arial"/>
              </w:rPr>
            </w:pPr>
            <w:r>
              <w:rPr>
                <w:rFonts w:ascii="Verdana" w:eastAsia="Calibri" w:hAnsi="Verdana" w:cs="Arial"/>
                <w:color w:val="000000" w:themeColor="text1"/>
                <w:lang w:val="es-CO" w:eastAsia="en-GB"/>
              </w:rPr>
              <w:t xml:space="preserve">Decreto 1083 de 2015. Artículo 2.22.17.10. </w:t>
            </w:r>
          </w:p>
          <w:p w14:paraId="5AFD9852" w14:textId="77777777" w:rsidR="009C576B" w:rsidRPr="00F76BF2" w:rsidRDefault="009C576B" w:rsidP="00295043">
            <w:pPr>
              <w:pStyle w:val="Prrafodelista"/>
              <w:numPr>
                <w:ilvl w:val="0"/>
                <w:numId w:val="17"/>
              </w:numPr>
              <w:spacing w:after="120" w:line="276" w:lineRule="auto"/>
              <w:jc w:val="both"/>
              <w:rPr>
                <w:rFonts w:ascii="Verdana" w:eastAsia="Aptos" w:hAnsi="Verdana" w:cs="Arial"/>
              </w:rPr>
            </w:pPr>
            <w:r w:rsidRPr="00C970B4">
              <w:rPr>
                <w:rFonts w:ascii="Verdana" w:eastAsia="Calibri" w:hAnsi="Verdana" w:cs="Arial"/>
                <w:color w:val="000000" w:themeColor="text1"/>
                <w:lang w:val="es-CO" w:eastAsia="en-GB"/>
              </w:rPr>
              <w:t>Decreto 1990 de 2016</w:t>
            </w:r>
            <w:r>
              <w:rPr>
                <w:rFonts w:ascii="Verdana" w:eastAsia="Calibri" w:hAnsi="Verdana" w:cs="Arial"/>
                <w:color w:val="000000" w:themeColor="text1"/>
                <w:lang w:val="es-CO" w:eastAsia="en-GB"/>
              </w:rPr>
              <w:t xml:space="preserve">. </w:t>
            </w:r>
            <w:r>
              <w:rPr>
                <w:rFonts w:ascii="Verdana" w:eastAsia="Calibri" w:hAnsi="Verdana" w:cs="Arial"/>
                <w:color w:val="000000"/>
                <w:lang w:val="es-ES_tradnl"/>
              </w:rPr>
              <w:t>Artículo 3.2.2.1.</w:t>
            </w:r>
          </w:p>
          <w:p w14:paraId="4DC97661" w14:textId="77777777" w:rsidR="009C576B" w:rsidRPr="00F76BF2" w:rsidRDefault="009C576B" w:rsidP="00295043">
            <w:pPr>
              <w:pStyle w:val="Prrafodelista"/>
              <w:numPr>
                <w:ilvl w:val="0"/>
                <w:numId w:val="17"/>
              </w:numPr>
              <w:spacing w:after="120" w:line="276" w:lineRule="auto"/>
              <w:jc w:val="both"/>
              <w:rPr>
                <w:rFonts w:ascii="Verdana" w:eastAsia="Aptos" w:hAnsi="Verdana" w:cs="Arial"/>
              </w:rPr>
            </w:pPr>
            <w:r w:rsidRPr="00C970B4">
              <w:rPr>
                <w:rFonts w:ascii="Verdana" w:eastAsia="Calibri" w:hAnsi="Verdana" w:cs="Arial"/>
                <w:color w:val="000000" w:themeColor="text1"/>
                <w:lang w:val="es-CO" w:eastAsia="en-GB"/>
              </w:rPr>
              <w:t>Decreto 1273 de 2018</w:t>
            </w:r>
            <w:r>
              <w:rPr>
                <w:rFonts w:ascii="Verdana" w:eastAsia="Calibri" w:hAnsi="Verdana" w:cs="Arial"/>
                <w:color w:val="000000" w:themeColor="text1"/>
                <w:lang w:val="es-CO" w:eastAsia="en-GB"/>
              </w:rPr>
              <w:t xml:space="preserve">. Artículo </w:t>
            </w:r>
            <w:r w:rsidRPr="00F76BF2">
              <w:rPr>
                <w:rFonts w:ascii="Verdana" w:eastAsia="Calibri" w:hAnsi="Verdana" w:cs="Arial"/>
                <w:color w:val="000000" w:themeColor="text1"/>
                <w:lang w:val="es-CO" w:eastAsia="en-GB"/>
              </w:rPr>
              <w:t>3.2.7.1</w:t>
            </w:r>
            <w:r>
              <w:rPr>
                <w:rFonts w:ascii="Verdana" w:eastAsia="Calibri" w:hAnsi="Verdana" w:cs="Arial"/>
                <w:color w:val="000000" w:themeColor="text1"/>
                <w:lang w:val="es-CO" w:eastAsia="en-GB"/>
              </w:rPr>
              <w:t>.</w:t>
            </w:r>
          </w:p>
          <w:p w14:paraId="5BE40640" w14:textId="77777777" w:rsidR="009C576B" w:rsidRDefault="009C576B" w:rsidP="00295043">
            <w:pPr>
              <w:pStyle w:val="Prrafodelista"/>
              <w:numPr>
                <w:ilvl w:val="0"/>
                <w:numId w:val="17"/>
              </w:numPr>
              <w:spacing w:after="120" w:line="276" w:lineRule="auto"/>
              <w:ind w:left="714" w:hanging="357"/>
              <w:jc w:val="both"/>
              <w:rPr>
                <w:rFonts w:ascii="Verdana" w:eastAsia="Aptos" w:hAnsi="Verdana" w:cs="Arial"/>
              </w:rPr>
            </w:pPr>
            <w:r w:rsidRPr="00F76BF2">
              <w:rPr>
                <w:rFonts w:ascii="Verdana" w:eastAsia="Aptos" w:hAnsi="Verdana" w:cs="Arial"/>
              </w:rPr>
              <w:t xml:space="preserve">Consejo de Estado. Sala de lo Contencioso Administrativo. Sección Tercera. Subsección C. Sentencia del 2 de diciembre de 2013. </w:t>
            </w:r>
            <w:proofErr w:type="spellStart"/>
            <w:r w:rsidRPr="00F76BF2">
              <w:rPr>
                <w:rFonts w:ascii="Verdana" w:eastAsia="Aptos" w:hAnsi="Verdana" w:cs="Arial"/>
              </w:rPr>
              <w:t>Exp</w:t>
            </w:r>
            <w:proofErr w:type="spellEnd"/>
            <w:r w:rsidRPr="00F76BF2">
              <w:rPr>
                <w:rFonts w:ascii="Verdana" w:eastAsia="Aptos" w:hAnsi="Verdana" w:cs="Arial"/>
              </w:rPr>
              <w:t>. 41719. C.P: Jaime Orlando Santofimio Gamboa.</w:t>
            </w:r>
          </w:p>
          <w:p w14:paraId="55D0A622" w14:textId="77777777" w:rsidR="009C576B" w:rsidRPr="00F76BF2" w:rsidRDefault="009C576B" w:rsidP="00295043">
            <w:pPr>
              <w:pStyle w:val="Prrafodelista"/>
              <w:numPr>
                <w:ilvl w:val="0"/>
                <w:numId w:val="17"/>
              </w:numPr>
              <w:spacing w:after="120" w:line="276" w:lineRule="auto"/>
              <w:ind w:left="714" w:hanging="357"/>
              <w:jc w:val="both"/>
              <w:rPr>
                <w:rFonts w:ascii="Verdana" w:eastAsia="Aptos" w:hAnsi="Verdana" w:cs="Arial"/>
              </w:rPr>
            </w:pPr>
            <w:r w:rsidRPr="00F76BF2">
              <w:rPr>
                <w:rFonts w:ascii="Verdana" w:eastAsia="Aptos" w:hAnsi="Verdana" w:cs="Arial"/>
              </w:rPr>
              <w:lastRenderedPageBreak/>
              <w:t>Consejo de Estado. Sala de lo Contencioso Administrativo. Sección Tercera. Subsección C. Sentencia del 8 de junio de 2011. Radicado: 20001-23-31-000-2005-00409-01(AP). C.P. Enrique Gil Botero.</w:t>
            </w:r>
          </w:p>
          <w:p w14:paraId="40823ADF" w14:textId="77777777" w:rsidR="009C576B" w:rsidRDefault="009C576B" w:rsidP="00295043">
            <w:pPr>
              <w:pStyle w:val="Prrafodelista"/>
              <w:numPr>
                <w:ilvl w:val="0"/>
                <w:numId w:val="17"/>
              </w:numPr>
              <w:spacing w:after="120" w:line="276" w:lineRule="auto"/>
              <w:jc w:val="both"/>
              <w:rPr>
                <w:rFonts w:ascii="Verdana" w:eastAsia="Aptos" w:hAnsi="Verdana" w:cs="Arial"/>
              </w:rPr>
            </w:pPr>
            <w:r w:rsidRPr="00F76BF2">
              <w:rPr>
                <w:rFonts w:ascii="Verdana" w:eastAsia="Aptos" w:hAnsi="Verdana" w:cs="Arial"/>
              </w:rPr>
              <w:t>Corte Constitucional. Sentencia C-154 de 1997. M.P: Hernando Herrera Vergara.</w:t>
            </w:r>
          </w:p>
          <w:p w14:paraId="5F1952A7" w14:textId="77777777" w:rsidR="009C576B" w:rsidRPr="00F76BF2" w:rsidRDefault="009C576B" w:rsidP="00295043">
            <w:pPr>
              <w:pStyle w:val="Prrafodelista"/>
              <w:numPr>
                <w:ilvl w:val="0"/>
                <w:numId w:val="17"/>
              </w:numPr>
              <w:spacing w:after="120" w:line="276" w:lineRule="auto"/>
              <w:jc w:val="both"/>
              <w:rPr>
                <w:rFonts w:ascii="Verdana" w:eastAsia="Aptos" w:hAnsi="Verdana" w:cs="Arial"/>
              </w:rPr>
            </w:pPr>
            <w:r w:rsidRPr="00F76BF2">
              <w:rPr>
                <w:rFonts w:ascii="Verdana" w:eastAsia="Aptos" w:hAnsi="Verdana" w:cs="Arial"/>
              </w:rPr>
              <w:t>Corte Constitucional. Sentencia C-068 del 19 de febrero de 2020. M.P. Diana Fajardo Rivera.</w:t>
            </w:r>
          </w:p>
          <w:p w14:paraId="6984C21B" w14:textId="77777777" w:rsidR="009C576B" w:rsidRPr="00F76BF2" w:rsidRDefault="009C576B" w:rsidP="00295043">
            <w:pPr>
              <w:pStyle w:val="Prrafodelista"/>
              <w:numPr>
                <w:ilvl w:val="0"/>
                <w:numId w:val="17"/>
              </w:numPr>
              <w:spacing w:after="120" w:line="276" w:lineRule="auto"/>
              <w:jc w:val="both"/>
              <w:rPr>
                <w:rFonts w:ascii="Verdana" w:eastAsia="Aptos" w:hAnsi="Verdana" w:cs="Arial"/>
              </w:rPr>
            </w:pPr>
            <w:r w:rsidRPr="00F76BF2">
              <w:rPr>
                <w:rFonts w:ascii="Verdana" w:eastAsia="Aptos" w:hAnsi="Verdana" w:cs="Arial"/>
              </w:rPr>
              <w:t>Guía para la incorporación de lineamientos de integridad en la contratación de prestación de servicios</w:t>
            </w:r>
            <w:r>
              <w:rPr>
                <w:rFonts w:ascii="Verdana" w:eastAsia="Aptos" w:hAnsi="Verdana" w:cs="Arial"/>
              </w:rPr>
              <w:t xml:space="preserve">. Disponible en </w:t>
            </w:r>
            <w:hyperlink r:id="rId14" w:history="1">
              <w:r w:rsidRPr="00147C82">
                <w:rPr>
                  <w:rStyle w:val="Hipervnculo"/>
                  <w:rFonts w:ascii="Verdana" w:hAnsi="Verdana"/>
                  <w:sz w:val="14"/>
                  <w:szCs w:val="14"/>
                  <w:lang w:val="es-CO"/>
                </w:rPr>
                <w:t>c</w:t>
              </w:r>
              <w:r w:rsidRPr="00F76BF2">
                <w:rPr>
                  <w:rStyle w:val="Hipervnculo"/>
                  <w:rFonts w:ascii="Verdana" w:hAnsi="Verdana"/>
                  <w:lang w:val="es-CO"/>
                </w:rPr>
                <w:t>ce-eicp-gi-23_guia_contratacion_prestacion_de_servicios_v1_11-07-2023_def_1_1.pdf</w:t>
              </w:r>
            </w:hyperlink>
          </w:p>
          <w:p w14:paraId="2517862A" w14:textId="77777777" w:rsidR="009C576B" w:rsidRPr="00F76BF2" w:rsidRDefault="009C576B" w:rsidP="00295043">
            <w:pPr>
              <w:pStyle w:val="Prrafodelista"/>
              <w:numPr>
                <w:ilvl w:val="0"/>
                <w:numId w:val="17"/>
              </w:numPr>
              <w:spacing w:after="120" w:line="276" w:lineRule="auto"/>
              <w:jc w:val="both"/>
              <w:rPr>
                <w:rFonts w:ascii="Verdana" w:eastAsia="Aptos" w:hAnsi="Verdana" w:cs="Arial"/>
              </w:rPr>
            </w:pPr>
            <w:r w:rsidRPr="00F76BF2">
              <w:rPr>
                <w:rFonts w:ascii="Verdana" w:hAnsi="Verdana"/>
              </w:rPr>
              <w:t xml:space="preserve">Instructivo Registro de Hoja de vida SIGEO. Pueden consultarse en </w:t>
            </w:r>
            <w:hyperlink r:id="rId15" w:history="1">
              <w:r w:rsidRPr="00F76BF2">
                <w:rPr>
                  <w:rStyle w:val="Hipervnculo"/>
                  <w:rFonts w:ascii="Verdana" w:hAnsi="Verdana"/>
                  <w:lang w:val="es-CO"/>
                </w:rPr>
                <w:t>Instructivo Registro Hoja de Vida SIGEP</w:t>
              </w:r>
            </w:hyperlink>
          </w:p>
          <w:p w14:paraId="1282B282" w14:textId="77777777" w:rsidR="009C576B" w:rsidRPr="006157FE" w:rsidRDefault="009C576B" w:rsidP="00295043">
            <w:pPr>
              <w:pStyle w:val="Prrafodelista"/>
              <w:numPr>
                <w:ilvl w:val="0"/>
                <w:numId w:val="17"/>
              </w:numPr>
              <w:spacing w:after="120" w:line="276" w:lineRule="auto"/>
              <w:jc w:val="both"/>
              <w:rPr>
                <w:rFonts w:ascii="Verdana" w:eastAsia="Aptos" w:hAnsi="Verdana" w:cs="Arial"/>
              </w:rPr>
            </w:pPr>
            <w:r w:rsidRPr="00F76BF2">
              <w:rPr>
                <w:rFonts w:ascii="Verdana" w:eastAsia="Aptos" w:hAnsi="Verdana" w:cs="Arial"/>
              </w:rPr>
              <w:t>EXPÓSITO VÉLEZ, Juan Carlos. Forma y contenido del contrato estatal. Bogotá: Universidad Externado de Colombia, 2013</w:t>
            </w:r>
            <w:r>
              <w:rPr>
                <w:rFonts w:ascii="Verdana" w:eastAsia="Aptos" w:hAnsi="Verdana" w:cs="Arial"/>
              </w:rPr>
              <w:t>.</w:t>
            </w:r>
          </w:p>
        </w:tc>
      </w:tr>
    </w:tbl>
    <w:p w14:paraId="0F66D211" w14:textId="77777777" w:rsidR="009C576B" w:rsidRPr="00611043" w:rsidRDefault="009C576B" w:rsidP="00611043">
      <w:pPr>
        <w:tabs>
          <w:tab w:val="left" w:pos="142"/>
          <w:tab w:val="left" w:pos="284"/>
          <w:tab w:val="left" w:pos="3828"/>
        </w:tabs>
        <w:spacing w:after="0" w:line="276" w:lineRule="auto"/>
        <w:jc w:val="both"/>
        <w:rPr>
          <w:rFonts w:ascii="Verdana" w:eastAsia="Century Gothic" w:hAnsi="Verdana" w:cs="Century Gothic"/>
          <w:b/>
          <w:bCs/>
        </w:rPr>
      </w:pPr>
    </w:p>
    <w:p w14:paraId="76959AE2" w14:textId="77777777" w:rsidR="009C576B" w:rsidRPr="00611043" w:rsidRDefault="009C576B" w:rsidP="00611043">
      <w:pPr>
        <w:tabs>
          <w:tab w:val="left" w:pos="142"/>
          <w:tab w:val="left" w:pos="284"/>
          <w:tab w:val="left" w:pos="3828"/>
        </w:tabs>
        <w:spacing w:after="0" w:line="276" w:lineRule="auto"/>
        <w:jc w:val="both"/>
        <w:rPr>
          <w:rFonts w:ascii="Verdana" w:eastAsia="Century Gothic" w:hAnsi="Verdana" w:cs="Century Gothic"/>
          <w:b/>
          <w:bCs/>
        </w:rPr>
      </w:pPr>
      <w:r w:rsidRPr="00611043">
        <w:rPr>
          <w:rFonts w:ascii="Verdana" w:eastAsia="Century Gothic" w:hAnsi="Verdana" w:cs="Century Gothic"/>
          <w:b/>
          <w:bCs/>
        </w:rPr>
        <w:t>5. Doctrina de la Agencia Nacional de Contratación Pública:</w:t>
      </w:r>
    </w:p>
    <w:p w14:paraId="6463BF98" w14:textId="77777777" w:rsidR="009C576B" w:rsidRPr="00611043" w:rsidRDefault="009C576B" w:rsidP="00563A6D">
      <w:pPr>
        <w:widowControl w:val="0"/>
        <w:autoSpaceDE w:val="0"/>
        <w:autoSpaceDN w:val="0"/>
        <w:spacing w:after="0" w:line="276" w:lineRule="auto"/>
        <w:jc w:val="both"/>
        <w:rPr>
          <w:rFonts w:ascii="Verdana" w:eastAsia="Aptos" w:hAnsi="Verdana" w:cs="Arial"/>
          <w:shd w:val="clear" w:color="auto" w:fill="FFFFFF"/>
          <w:lang w:val="es-ES"/>
        </w:rPr>
      </w:pPr>
    </w:p>
    <w:p w14:paraId="61BA0ED9" w14:textId="77777777" w:rsidR="009C576B" w:rsidRDefault="009C576B" w:rsidP="00611043">
      <w:pPr>
        <w:widowControl w:val="0"/>
        <w:autoSpaceDE w:val="0"/>
        <w:autoSpaceDN w:val="0"/>
        <w:spacing w:after="0" w:line="276" w:lineRule="auto"/>
        <w:jc w:val="both"/>
        <w:rPr>
          <w:rFonts w:ascii="Verdana" w:hAnsi="Verdana" w:cs="Arial"/>
          <w:shd w:val="clear" w:color="auto" w:fill="FFFFFF"/>
          <w:lang w:val="es-ES"/>
        </w:rPr>
      </w:pPr>
      <w:r w:rsidRPr="00611043">
        <w:rPr>
          <w:rFonts w:ascii="Verdana" w:hAnsi="Verdana" w:cs="Arial"/>
          <w:shd w:val="clear" w:color="auto" w:fill="FFFFFF"/>
        </w:rPr>
        <w:t xml:space="preserve">Esta Subdirección se ha pronunciado </w:t>
      </w:r>
      <w:r w:rsidRPr="00611043">
        <w:rPr>
          <w:rFonts w:ascii="Verdana" w:hAnsi="Verdana" w:cs="Arial"/>
          <w:shd w:val="clear" w:color="auto" w:fill="FFFFFF"/>
          <w:lang w:val="es-ES"/>
        </w:rPr>
        <w:t>sobre las generalidades del contrato de prestación de servicios en los conceptos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 C-491 de 01 de agosto de 2022, C-008 del 20 de febrero de 2023, C-009 del 20 de febrero de 2023, C-351 del 30 de agosto de 2024, C-372 del 26 de agosto 2024, C-904 del 9 de diciembre de 2024, C-754 del 4 de diciembre de 2024, C-363 del 15 de abril de 2025</w:t>
      </w:r>
      <w:r w:rsidRPr="00611043">
        <w:rPr>
          <w:rFonts w:ascii="Verdana" w:hAnsi="Verdana" w:cs="Arial"/>
          <w:lang w:val="es-ES"/>
        </w:rPr>
        <w:t xml:space="preserve">, C-441 del 16 de mayo de 2025, C-517 del 27 de mayo de 2025, C- 578 del 24 de junio del 2025, </w:t>
      </w:r>
      <w:r w:rsidRPr="00611043">
        <w:rPr>
          <w:rFonts w:ascii="Verdana" w:hAnsi="Verdana" w:cs="Arial"/>
          <w:shd w:val="clear" w:color="auto" w:fill="FFFFFF"/>
          <w:lang w:val="es-ES"/>
        </w:rPr>
        <w:t xml:space="preserve">C-115 del 6 de febrero de 2026, entre otros. Sobre los documentos necesarios para la celebración del contrato de prestación de servicios se puede consultar el concepto C-1674 del 23 de diciembre de 2025. </w:t>
      </w:r>
    </w:p>
    <w:p w14:paraId="3D7A2100" w14:textId="77777777" w:rsidR="00C34FE1" w:rsidRPr="00611043" w:rsidRDefault="00C34FE1" w:rsidP="00563A6D">
      <w:pPr>
        <w:widowControl w:val="0"/>
        <w:autoSpaceDE w:val="0"/>
        <w:autoSpaceDN w:val="0"/>
        <w:spacing w:after="0" w:line="276" w:lineRule="auto"/>
        <w:jc w:val="both"/>
        <w:rPr>
          <w:rFonts w:ascii="Verdana" w:hAnsi="Verdana" w:cs="Arial"/>
          <w:color w:val="000000" w:themeColor="text1"/>
          <w:shd w:val="clear" w:color="auto" w:fill="FFFFFF"/>
        </w:rPr>
      </w:pPr>
    </w:p>
    <w:p w14:paraId="39D87280" w14:textId="77777777" w:rsidR="009C576B" w:rsidRPr="00611043" w:rsidRDefault="009C576B" w:rsidP="00563A6D">
      <w:pPr>
        <w:widowControl w:val="0"/>
        <w:autoSpaceDE w:val="0"/>
        <w:autoSpaceDN w:val="0"/>
        <w:spacing w:after="0" w:line="276" w:lineRule="auto"/>
        <w:jc w:val="both"/>
        <w:rPr>
          <w:rFonts w:ascii="Verdana" w:hAnsi="Verdana" w:cs="Arial"/>
          <w:color w:val="000000" w:themeColor="text1"/>
          <w:shd w:val="clear" w:color="auto" w:fill="FFFFFF"/>
        </w:rPr>
      </w:pPr>
      <w:r w:rsidRPr="00611043">
        <w:rPr>
          <w:rFonts w:ascii="Verdana" w:hAnsi="Verdana" w:cs="Arial"/>
          <w:color w:val="000000" w:themeColor="text1"/>
          <w:shd w:val="clear" w:color="auto" w:fill="FFFFFF"/>
        </w:rPr>
        <w:t xml:space="preserve">Por otro lado, sobre </w:t>
      </w:r>
      <w:r w:rsidRPr="00611043">
        <w:rPr>
          <w:rFonts w:ascii="Verdana" w:eastAsia="Calibri" w:hAnsi="Verdana" w:cs="Arial"/>
          <w:lang w:val="es-ES" w:eastAsia="es-ES"/>
        </w:rPr>
        <w:t xml:space="preserve">la </w:t>
      </w:r>
      <w:r w:rsidRPr="00611043">
        <w:rPr>
          <w:rFonts w:ascii="Verdana" w:eastAsia="Calibri" w:hAnsi="Verdana" w:cs="Arial"/>
        </w:rPr>
        <w:t>verificación del pago de la Seguridad Social en los contratos</w:t>
      </w:r>
      <w:r w:rsidRPr="00611043">
        <w:rPr>
          <w:rFonts w:ascii="Verdana" w:eastAsia="Calibri" w:hAnsi="Verdana" w:cs="Arial"/>
          <w:lang w:val="es-ES" w:eastAsia="es-ES"/>
        </w:rPr>
        <w:t xml:space="preserve"> la Subdirección se ha pronunciado en los conceptos con</w:t>
      </w:r>
      <w:r w:rsidRPr="00611043">
        <w:rPr>
          <w:rFonts w:ascii="Verdana" w:hAnsi="Verdana" w:cs="Arial"/>
        </w:rPr>
        <w:t xml:space="preserve"> radicados 42019130000005594 de 30 de septiembre de 2019, 4201913000006384 de 21 </w:t>
      </w:r>
      <w:r w:rsidRPr="00611043">
        <w:rPr>
          <w:rFonts w:ascii="Verdana" w:hAnsi="Verdana" w:cs="Arial"/>
        </w:rPr>
        <w:lastRenderedPageBreak/>
        <w:t xml:space="preserve">de octubre de 2019, 4201912000007492 de 17 de diciembre de 2019, C-040 de 5 de febrero de 2020 y, C-042 de 5 de febrero de 2020, C-205 del 07 de abril de 2020, C-134 del 07 de abril de 2021, C-181 de 7 de abril de 2022, C-679 del 14 de octubre de 2022, C-1314 del 22 de octubre de 2025, entre otros. Así mismo, sobre la obligatoriedad del contratista en presentar la Hoja de Vida SIGEP y la declaración de bienes y rentas, la Subdirección se ha pronunciado en los conceptos C-1138 del 24 de septiembre de 2025, C-1307 del 20 de octubre de 2025, entre otros. Estos y otros </w:t>
      </w:r>
      <w:r w:rsidRPr="00611043">
        <w:rPr>
          <w:rFonts w:ascii="Verdana" w:hAnsi="Verdana"/>
        </w:rPr>
        <w:t>conceptos se encuentran disponibles para consulta en el Sistema de relatoría de la Agencia, al cual se puede acceder a través del siguiente enlace:</w:t>
      </w:r>
      <w:r w:rsidRPr="00611043">
        <w:rPr>
          <w:rFonts w:ascii="Verdana" w:hAnsi="Verdana" w:cs="Arial"/>
          <w:shd w:val="clear" w:color="auto" w:fill="FFFFFF"/>
        </w:rPr>
        <w:t xml:space="preserve"> </w:t>
      </w:r>
      <w:hyperlink r:id="rId16" w:history="1">
        <w:r w:rsidRPr="00611043">
          <w:rPr>
            <w:rFonts w:ascii="Verdana" w:hAnsi="Verdana" w:cs="Arial"/>
            <w:color w:val="0563C1" w:themeColor="hyperlink"/>
            <w:u w:val="single"/>
            <w:shd w:val="clear" w:color="auto" w:fill="FFFFFF"/>
          </w:rPr>
          <w:t>https://relatoria.colombiacompra.gov.co/busqueda/conceptos</w:t>
        </w:r>
      </w:hyperlink>
      <w:r w:rsidRPr="00611043">
        <w:rPr>
          <w:rFonts w:ascii="Verdana" w:hAnsi="Verdana" w:cs="Arial"/>
          <w:shd w:val="clear" w:color="auto" w:fill="FFFFFF"/>
        </w:rPr>
        <w:t>.</w:t>
      </w:r>
      <w:r w:rsidRPr="00611043">
        <w:rPr>
          <w:rFonts w:ascii="Verdana" w:hAnsi="Verdana" w:cs="Arial"/>
          <w:color w:val="FF0000"/>
          <w:shd w:val="clear" w:color="auto" w:fill="FFFFFF"/>
        </w:rPr>
        <w:t xml:space="preserve"> </w:t>
      </w:r>
      <w:r w:rsidRPr="00611043">
        <w:rPr>
          <w:rFonts w:ascii="Verdana" w:hAnsi="Verdana" w:cs="Arial"/>
          <w:color w:val="000000" w:themeColor="text1"/>
          <w:shd w:val="clear" w:color="auto" w:fill="FFFFFF"/>
        </w:rPr>
        <w:t>  </w:t>
      </w:r>
    </w:p>
    <w:p w14:paraId="1E75EAEE" w14:textId="77777777" w:rsidR="00C34FE1" w:rsidRDefault="00C34FE1" w:rsidP="00611043">
      <w:pPr>
        <w:widowControl w:val="0"/>
        <w:autoSpaceDE w:val="0"/>
        <w:autoSpaceDN w:val="0"/>
        <w:spacing w:after="0" w:line="276" w:lineRule="auto"/>
        <w:jc w:val="both"/>
        <w:rPr>
          <w:rFonts w:ascii="Verdana" w:hAnsi="Verdana"/>
        </w:rPr>
      </w:pPr>
    </w:p>
    <w:p w14:paraId="3FAD5FE8" w14:textId="33C8190E" w:rsidR="009C576B" w:rsidRDefault="009C576B" w:rsidP="00611043">
      <w:pPr>
        <w:widowControl w:val="0"/>
        <w:autoSpaceDE w:val="0"/>
        <w:autoSpaceDN w:val="0"/>
        <w:spacing w:after="0" w:line="276" w:lineRule="auto"/>
        <w:jc w:val="both"/>
        <w:rPr>
          <w:rFonts w:ascii="Verdana" w:hAnsi="Verdana"/>
        </w:rPr>
      </w:pPr>
      <w:r w:rsidRPr="00611043">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D066436" w14:textId="77777777" w:rsidR="00C34FE1" w:rsidRPr="00611043" w:rsidRDefault="00C34FE1" w:rsidP="00563A6D">
      <w:pPr>
        <w:widowControl w:val="0"/>
        <w:autoSpaceDE w:val="0"/>
        <w:autoSpaceDN w:val="0"/>
        <w:spacing w:after="0" w:line="276" w:lineRule="auto"/>
        <w:jc w:val="both"/>
        <w:rPr>
          <w:rFonts w:ascii="Verdana" w:hAnsi="Verdana" w:cs="Arial"/>
          <w:highlight w:val="yellow"/>
          <w:shd w:val="clear" w:color="auto" w:fill="FFFFFF"/>
          <w:lang w:val="es-MX"/>
        </w:rPr>
      </w:pPr>
    </w:p>
    <w:p w14:paraId="79452517" w14:textId="77777777" w:rsidR="009C576B" w:rsidRPr="00611043" w:rsidRDefault="009C576B" w:rsidP="00563A6D">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611043">
        <w:rPr>
          <w:rFonts w:ascii="Verdana" w:eastAsia="Verdana" w:hAnsi="Verdana" w:cs="Verdana"/>
          <w:lang w:val="es-MX"/>
        </w:rPr>
        <w:t xml:space="preserve">Línea nacional gratuita o servicio a la ciudadanía (Mesa de servicio): </w:t>
      </w:r>
      <w:r w:rsidRPr="00611043">
        <w:rPr>
          <w:rStyle w:val="Hipervnculo"/>
          <w:rFonts w:ascii="Verdana" w:hAnsi="Verdana"/>
        </w:rPr>
        <w:t>01800 0520808</w:t>
      </w:r>
    </w:p>
    <w:p w14:paraId="6CACCD14" w14:textId="77777777" w:rsidR="009C576B" w:rsidRPr="00611043" w:rsidRDefault="009C576B" w:rsidP="00563A6D">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611043">
        <w:rPr>
          <w:rFonts w:ascii="Verdana" w:eastAsia="Verdana" w:hAnsi="Verdana" w:cs="Verdana"/>
          <w:lang w:val="es-MX"/>
        </w:rPr>
        <w:t>Línea en Bogotá (Mesa de servicio</w:t>
      </w:r>
      <w:proofErr w:type="gramStart"/>
      <w:r w:rsidRPr="00611043">
        <w:rPr>
          <w:rFonts w:ascii="Verdana" w:eastAsia="Verdana" w:hAnsi="Verdana" w:cs="Verdana"/>
          <w:lang w:val="es-MX"/>
        </w:rPr>
        <w:t>):</w:t>
      </w:r>
      <w:r w:rsidRPr="00611043">
        <w:rPr>
          <w:rStyle w:val="Hipervnculo"/>
          <w:rFonts w:ascii="Verdana" w:hAnsi="Verdana"/>
        </w:rPr>
        <w:t>+</w:t>
      </w:r>
      <w:proofErr w:type="gramEnd"/>
      <w:r w:rsidRPr="00611043">
        <w:rPr>
          <w:rStyle w:val="Hipervnculo"/>
          <w:rFonts w:ascii="Verdana" w:hAnsi="Verdana"/>
        </w:rPr>
        <w:t>57 601 7456788</w:t>
      </w:r>
    </w:p>
    <w:p w14:paraId="3C445D7F" w14:textId="77777777" w:rsidR="009C576B" w:rsidRPr="00611043" w:rsidRDefault="009C576B" w:rsidP="00563A6D">
      <w:pPr>
        <w:pStyle w:val="Prrafodelista"/>
        <w:numPr>
          <w:ilvl w:val="0"/>
          <w:numId w:val="15"/>
        </w:numPr>
        <w:spacing w:after="0" w:line="276" w:lineRule="auto"/>
        <w:contextualSpacing w:val="0"/>
        <w:jc w:val="both"/>
        <w:rPr>
          <w:rFonts w:ascii="Verdana" w:eastAsia="Verdana" w:hAnsi="Verdana" w:cs="Verdana"/>
          <w:color w:val="0000FF"/>
          <w:u w:val="single"/>
          <w:lang w:val="es-MX"/>
        </w:rPr>
      </w:pPr>
      <w:r w:rsidRPr="00611043">
        <w:rPr>
          <w:rFonts w:ascii="Verdana" w:eastAsia="Verdana" w:hAnsi="Verdana" w:cs="Verdana"/>
          <w:lang w:val="es-MX"/>
        </w:rPr>
        <w:t xml:space="preserve">Correo de radicación de correspondencia: </w:t>
      </w:r>
      <w:hyperlink r:id="rId17">
        <w:r w:rsidRPr="00611043">
          <w:rPr>
            <w:rStyle w:val="Hipervnculo"/>
            <w:rFonts w:ascii="Verdana" w:eastAsia="Verdana" w:hAnsi="Verdana" w:cs="Verdana"/>
            <w:lang w:val="es-MX"/>
          </w:rPr>
          <w:t>ventanilladeradicacion@colombiacompra.gov.co</w:t>
        </w:r>
      </w:hyperlink>
    </w:p>
    <w:p w14:paraId="25C393E6" w14:textId="77777777" w:rsidR="009C576B" w:rsidRPr="00611043" w:rsidRDefault="009C576B" w:rsidP="00563A6D">
      <w:pPr>
        <w:pStyle w:val="Prrafodelista"/>
        <w:numPr>
          <w:ilvl w:val="0"/>
          <w:numId w:val="15"/>
        </w:numPr>
        <w:spacing w:after="0" w:line="276" w:lineRule="auto"/>
        <w:contextualSpacing w:val="0"/>
        <w:jc w:val="both"/>
        <w:rPr>
          <w:rFonts w:ascii="Verdana" w:eastAsia="Verdana" w:hAnsi="Verdana" w:cs="Verdana"/>
          <w:color w:val="0000FF"/>
          <w:u w:val="single"/>
          <w:lang w:val="es-MX"/>
        </w:rPr>
      </w:pPr>
      <w:r w:rsidRPr="00611043">
        <w:rPr>
          <w:rFonts w:ascii="Verdana" w:eastAsia="Verdana" w:hAnsi="Verdana" w:cs="Verdana"/>
        </w:rPr>
        <w:t>Formulario web para</w:t>
      </w:r>
      <w:r w:rsidRPr="00611043">
        <w:rPr>
          <w:rFonts w:ascii="Verdana" w:eastAsia="Verdana" w:hAnsi="Verdana" w:cs="Verdana"/>
          <w:lang w:val="es"/>
        </w:rPr>
        <w:t xml:space="preserve"> PQRSD: </w:t>
      </w:r>
      <w:hyperlink r:id="rId18">
        <w:r w:rsidRPr="00611043">
          <w:rPr>
            <w:rStyle w:val="Hipervnculo"/>
            <w:rFonts w:ascii="Verdana" w:eastAsia="Verdana" w:hAnsi="Verdana" w:cs="Verdana"/>
            <w:lang w:val="es-MX"/>
          </w:rPr>
          <w:t>https://www.colombiacompra.gov.co/pqrsd/informacion-importante-antes-de-formular-una-pqrsd</w:t>
        </w:r>
      </w:hyperlink>
    </w:p>
    <w:p w14:paraId="5B0DB253" w14:textId="77777777" w:rsidR="009C576B" w:rsidRPr="00611043" w:rsidRDefault="009C576B" w:rsidP="00611043">
      <w:pPr>
        <w:spacing w:after="0" w:line="276" w:lineRule="auto"/>
        <w:ind w:left="720"/>
        <w:jc w:val="both"/>
        <w:rPr>
          <w:rFonts w:ascii="Verdana" w:hAnsi="Verdana"/>
        </w:rPr>
      </w:pPr>
    </w:p>
    <w:p w14:paraId="377EF6D7" w14:textId="77777777" w:rsidR="009C576B" w:rsidRDefault="009C576B" w:rsidP="00611043">
      <w:pPr>
        <w:spacing w:after="0" w:line="276" w:lineRule="auto"/>
        <w:jc w:val="both"/>
        <w:rPr>
          <w:rFonts w:ascii="Verdana" w:hAnsi="Verdana"/>
        </w:rPr>
      </w:pPr>
      <w:r w:rsidRPr="00611043">
        <w:rPr>
          <w:rFonts w:ascii="Verdana" w:hAnsi="Verdana"/>
        </w:rPr>
        <w:t xml:space="preserve">Evalúa el servicio que ofrece la Agencia por el canal de atención de PQRSD en el siguiente enlace: </w:t>
      </w:r>
      <w:hyperlink r:id="rId19" w:history="1">
        <w:r w:rsidRPr="00611043">
          <w:rPr>
            <w:rStyle w:val="Hipervnculo"/>
            <w:rFonts w:ascii="Verdana" w:eastAsia="Verdana" w:hAnsi="Verdana" w:cs="Verdana"/>
            <w:lang w:val="es-MX"/>
          </w:rPr>
          <w:t>https://forms.office.com/r/pPHyWVs2SZ</w:t>
        </w:r>
      </w:hyperlink>
      <w:r w:rsidRPr="00611043">
        <w:rPr>
          <w:rStyle w:val="Hipervnculo"/>
          <w:rFonts w:ascii="Verdana" w:eastAsia="Verdana" w:hAnsi="Verdana" w:cs="Verdana"/>
          <w:lang w:val="es-MX"/>
        </w:rPr>
        <w:t>.</w:t>
      </w:r>
      <w:r w:rsidRPr="00611043">
        <w:rPr>
          <w:rFonts w:ascii="Verdana" w:hAnsi="Verdana"/>
        </w:rPr>
        <w:t xml:space="preserve"> ¡Ayúdanos a mejorar porque el compromiso es de todos!</w:t>
      </w:r>
    </w:p>
    <w:p w14:paraId="7F05126D" w14:textId="77777777" w:rsidR="00C34FE1" w:rsidRPr="00611043" w:rsidRDefault="00C34FE1" w:rsidP="00563A6D">
      <w:pPr>
        <w:spacing w:after="0" w:line="276" w:lineRule="auto"/>
        <w:jc w:val="both"/>
        <w:rPr>
          <w:rFonts w:ascii="Verdana" w:hAnsi="Verdana"/>
        </w:rPr>
      </w:pPr>
    </w:p>
    <w:p w14:paraId="1CD06409" w14:textId="77777777" w:rsidR="009C576B" w:rsidRPr="00611043" w:rsidRDefault="009C576B" w:rsidP="00563A6D">
      <w:pPr>
        <w:spacing w:after="0" w:line="276" w:lineRule="auto"/>
        <w:jc w:val="both"/>
        <w:rPr>
          <w:rFonts w:ascii="Verdana" w:hAnsi="Verdana"/>
        </w:rPr>
      </w:pPr>
      <w:r w:rsidRPr="00611043">
        <w:rPr>
          <w:rFonts w:ascii="Verdana" w:hAnsi="Verdana"/>
        </w:rPr>
        <w:t xml:space="preserve">Por último, lo invitamos a seguirnos en las redes sociales en las cuales se difunde información institucional: </w:t>
      </w:r>
    </w:p>
    <w:p w14:paraId="019A5D27" w14:textId="77777777" w:rsidR="009C576B" w:rsidRPr="00611043" w:rsidRDefault="009C576B" w:rsidP="00611043">
      <w:pPr>
        <w:spacing w:after="0" w:line="276" w:lineRule="auto"/>
        <w:jc w:val="both"/>
        <w:rPr>
          <w:rFonts w:ascii="Verdana" w:hAnsi="Verdana"/>
        </w:rPr>
      </w:pPr>
      <w:r w:rsidRPr="00611043">
        <w:rPr>
          <w:rFonts w:ascii="Verdana" w:hAnsi="Verdana"/>
        </w:rPr>
        <w:t xml:space="preserve">Twitter: </w:t>
      </w:r>
      <w:r w:rsidRPr="00611043">
        <w:rPr>
          <w:rStyle w:val="Hipervnculo"/>
          <w:rFonts w:ascii="Verdana" w:hAnsi="Verdana"/>
        </w:rPr>
        <w:t>@colombiacompra</w:t>
      </w:r>
      <w:r w:rsidRPr="00611043">
        <w:rPr>
          <w:rFonts w:ascii="Verdana" w:hAnsi="Verdana"/>
        </w:rPr>
        <w:t xml:space="preserve"> </w:t>
      </w:r>
    </w:p>
    <w:p w14:paraId="19F45745" w14:textId="77777777" w:rsidR="009C576B" w:rsidRPr="00611043" w:rsidRDefault="009C576B" w:rsidP="00611043">
      <w:pPr>
        <w:spacing w:after="0" w:line="276" w:lineRule="auto"/>
        <w:jc w:val="both"/>
        <w:rPr>
          <w:rFonts w:ascii="Verdana" w:hAnsi="Verdana"/>
        </w:rPr>
      </w:pPr>
      <w:r w:rsidRPr="00611043">
        <w:rPr>
          <w:rFonts w:ascii="Verdana" w:hAnsi="Verdana"/>
        </w:rPr>
        <w:t xml:space="preserve">Facebook: </w:t>
      </w:r>
      <w:proofErr w:type="spellStart"/>
      <w:r w:rsidRPr="00611043">
        <w:rPr>
          <w:rStyle w:val="Hipervnculo"/>
          <w:rFonts w:ascii="Verdana" w:hAnsi="Verdana"/>
        </w:rPr>
        <w:t>ColombiaCompraEficiente</w:t>
      </w:r>
      <w:proofErr w:type="spellEnd"/>
    </w:p>
    <w:p w14:paraId="4DC4AB16" w14:textId="77777777" w:rsidR="009C576B" w:rsidRPr="00611043" w:rsidRDefault="009C576B" w:rsidP="00611043">
      <w:pPr>
        <w:spacing w:after="0" w:line="276" w:lineRule="auto"/>
        <w:jc w:val="both"/>
        <w:rPr>
          <w:rFonts w:ascii="Verdana" w:hAnsi="Verdana"/>
        </w:rPr>
      </w:pPr>
      <w:r w:rsidRPr="00611043">
        <w:rPr>
          <w:rFonts w:ascii="Verdana" w:hAnsi="Verdana"/>
        </w:rPr>
        <w:lastRenderedPageBreak/>
        <w:t xml:space="preserve">LinkedIn: </w:t>
      </w:r>
      <w:r w:rsidRPr="00611043">
        <w:rPr>
          <w:rStyle w:val="Hipervnculo"/>
          <w:rFonts w:ascii="Verdana" w:hAnsi="Verdana"/>
        </w:rPr>
        <w:t>Agencia Nacional de Contratación Pública - Colombia Compra Eficiente</w:t>
      </w:r>
      <w:r w:rsidRPr="00611043">
        <w:rPr>
          <w:rFonts w:ascii="Verdana" w:hAnsi="Verdana"/>
        </w:rPr>
        <w:t xml:space="preserve"> Instagram: </w:t>
      </w:r>
      <w:r w:rsidRPr="00611043">
        <w:rPr>
          <w:rStyle w:val="Hipervnculo"/>
          <w:rFonts w:ascii="Verdana" w:hAnsi="Verdana"/>
        </w:rPr>
        <w:t>@colombiacompraeficiente_cce</w:t>
      </w:r>
    </w:p>
    <w:p w14:paraId="0CE4591A" w14:textId="77777777" w:rsidR="009C576B" w:rsidRPr="00611043" w:rsidRDefault="009C576B" w:rsidP="00611043">
      <w:pPr>
        <w:spacing w:after="0" w:line="276" w:lineRule="auto"/>
        <w:jc w:val="both"/>
        <w:rPr>
          <w:rFonts w:ascii="Verdana" w:hAnsi="Verdana"/>
          <w:lang w:val="es-MX"/>
        </w:rPr>
      </w:pPr>
    </w:p>
    <w:p w14:paraId="714194F1" w14:textId="77777777" w:rsidR="00786EF8" w:rsidRDefault="00786EF8" w:rsidP="00611043">
      <w:pPr>
        <w:spacing w:after="0" w:line="276" w:lineRule="auto"/>
        <w:jc w:val="both"/>
        <w:rPr>
          <w:rFonts w:ascii="Verdana" w:hAnsi="Verdana"/>
          <w:lang w:val="es-MX"/>
        </w:rPr>
      </w:pPr>
    </w:p>
    <w:p w14:paraId="2F3AFE08" w14:textId="77777777" w:rsidR="009C576B" w:rsidRDefault="009C576B" w:rsidP="00611043">
      <w:pPr>
        <w:spacing w:after="0" w:line="276" w:lineRule="auto"/>
        <w:jc w:val="both"/>
        <w:rPr>
          <w:rFonts w:ascii="Verdana" w:hAnsi="Verdana"/>
          <w:lang w:val="es-MX"/>
        </w:rPr>
      </w:pPr>
      <w:r w:rsidRPr="00611043">
        <w:rPr>
          <w:rFonts w:ascii="Verdana" w:hAnsi="Verdana"/>
          <w:lang w:val="es-MX"/>
        </w:rPr>
        <w:t>Cordialmente,</w:t>
      </w:r>
    </w:p>
    <w:p w14:paraId="3F31BB3A" w14:textId="77777777" w:rsidR="00786EF8" w:rsidRPr="00611043" w:rsidRDefault="00786EF8" w:rsidP="00611043">
      <w:pPr>
        <w:spacing w:after="0" w:line="276" w:lineRule="auto"/>
        <w:jc w:val="both"/>
        <w:rPr>
          <w:rFonts w:ascii="Verdana" w:hAnsi="Verdana"/>
          <w:lang w:val="es-MX"/>
        </w:rPr>
      </w:pPr>
    </w:p>
    <w:p w14:paraId="55D7B90D" w14:textId="2E92B173" w:rsidR="009C576B" w:rsidRDefault="00F963DF" w:rsidP="00563A6D">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4CAE4433" wp14:editId="289D8776">
            <wp:extent cx="3316406" cy="1562538"/>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0"/>
                    <a:stretch>
                      <a:fillRect/>
                    </a:stretch>
                  </pic:blipFill>
                  <pic:spPr>
                    <a:xfrm>
                      <a:off x="0" y="0"/>
                      <a:ext cx="3335976" cy="1571759"/>
                    </a:xfrm>
                    <a:prstGeom prst="rect">
                      <a:avLst/>
                    </a:prstGeom>
                  </pic:spPr>
                </pic:pic>
              </a:graphicData>
            </a:graphic>
          </wp:inline>
        </w:drawing>
      </w:r>
    </w:p>
    <w:p w14:paraId="5FBE04CB" w14:textId="77777777" w:rsidR="009C576B" w:rsidRDefault="009C576B" w:rsidP="00C34FE1">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9C576B" w:rsidRPr="005644FE" w14:paraId="4DEDB960" w14:textId="77777777" w:rsidTr="00295043">
        <w:trPr>
          <w:trHeight w:val="288"/>
        </w:trPr>
        <w:tc>
          <w:tcPr>
            <w:tcW w:w="893" w:type="dxa"/>
            <w:vAlign w:val="center"/>
            <w:hideMark/>
          </w:tcPr>
          <w:p w14:paraId="28F785AA" w14:textId="77777777" w:rsidR="009C576B" w:rsidRPr="005644FE" w:rsidRDefault="009C576B" w:rsidP="00295043">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3ACF9CCE" w14:textId="77777777" w:rsidR="009C576B" w:rsidRPr="005644FE" w:rsidRDefault="009C576B" w:rsidP="00295043">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49BF60B4" w14:textId="77777777" w:rsidR="009C576B" w:rsidRPr="005644FE" w:rsidRDefault="009C576B" w:rsidP="00295043">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9C576B" w:rsidRPr="005644FE" w14:paraId="0EE55B20" w14:textId="77777777" w:rsidTr="00295043">
        <w:trPr>
          <w:trHeight w:val="330"/>
        </w:trPr>
        <w:tc>
          <w:tcPr>
            <w:tcW w:w="893" w:type="dxa"/>
            <w:vAlign w:val="center"/>
            <w:hideMark/>
          </w:tcPr>
          <w:p w14:paraId="33ED6580" w14:textId="77777777" w:rsidR="009C576B" w:rsidRPr="005644FE" w:rsidRDefault="009C576B" w:rsidP="00295043">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355BC03C" w14:textId="219B4C65" w:rsidR="009C576B" w:rsidRPr="0043234D" w:rsidRDefault="009C576B" w:rsidP="00295043">
            <w:pPr>
              <w:pStyle w:val="paragraph"/>
              <w:spacing w:before="0" w:beforeAutospacing="0" w:after="0" w:afterAutospacing="0"/>
              <w:contextualSpacing/>
              <w:textAlignment w:val="baseline"/>
              <w:rPr>
                <w:rStyle w:val="normaltextrun"/>
                <w:rFonts w:ascii="Verdana" w:hAnsi="Verdana"/>
                <w:sz w:val="16"/>
                <w:szCs w:val="16"/>
              </w:rPr>
            </w:pPr>
            <w:r w:rsidRPr="0043234D">
              <w:rPr>
                <w:rStyle w:val="normaltextrun"/>
                <w:rFonts w:ascii="Verdana" w:hAnsi="Verdana"/>
                <w:sz w:val="16"/>
                <w:szCs w:val="16"/>
              </w:rPr>
              <w:t>Diana Lucía Saavedr</w:t>
            </w:r>
            <w:r w:rsidR="00611043">
              <w:rPr>
                <w:rStyle w:val="normaltextrun"/>
                <w:rFonts w:ascii="Verdana" w:hAnsi="Verdana"/>
                <w:sz w:val="16"/>
                <w:szCs w:val="16"/>
              </w:rPr>
              <w:t>a Castañeda</w:t>
            </w:r>
            <w:r w:rsidRPr="0043234D">
              <w:rPr>
                <w:rStyle w:val="normaltextrun"/>
                <w:rFonts w:ascii="Verdana" w:hAnsi="Verdana"/>
                <w:sz w:val="16"/>
                <w:szCs w:val="16"/>
              </w:rPr>
              <w:t xml:space="preserve"> </w:t>
            </w:r>
          </w:p>
          <w:p w14:paraId="1BEA8462" w14:textId="77777777" w:rsidR="009C576B" w:rsidRPr="005644FE" w:rsidRDefault="009C576B" w:rsidP="00295043">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9C576B" w:rsidRPr="005644FE" w14:paraId="4206E01A" w14:textId="77777777" w:rsidTr="00295043">
        <w:trPr>
          <w:trHeight w:val="300"/>
        </w:trPr>
        <w:tc>
          <w:tcPr>
            <w:tcW w:w="893" w:type="dxa"/>
            <w:vAlign w:val="center"/>
          </w:tcPr>
          <w:p w14:paraId="0FE5A4F5" w14:textId="77777777" w:rsidR="009C576B" w:rsidRPr="005644FE" w:rsidRDefault="009C576B" w:rsidP="00295043">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77F605AB" w14:textId="77777777" w:rsidR="009C576B" w:rsidRPr="005644FE" w:rsidRDefault="009C576B" w:rsidP="00295043">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344479F1" w14:textId="77777777" w:rsidR="009C576B" w:rsidRPr="005644FE" w:rsidRDefault="009C576B" w:rsidP="00295043">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0070097D" w14:textId="77777777" w:rsidR="00563A6D" w:rsidRDefault="00563A6D" w:rsidP="009C576B"/>
    <w:p w14:paraId="1CD01F36" w14:textId="0BDE2164" w:rsidR="009C576B" w:rsidRDefault="009C576B" w:rsidP="009C576B"/>
    <w:bookmarkEnd w:id="0"/>
    <w:p w14:paraId="3B27AFCD" w14:textId="77777777" w:rsidR="002A0DD0" w:rsidRPr="009C576B" w:rsidRDefault="002A0DD0" w:rsidP="30821638">
      <w:pPr>
        <w:spacing w:after="0" w:line="240" w:lineRule="auto"/>
        <w:jc w:val="both"/>
        <w:rPr>
          <w:rFonts w:ascii="Verdana" w:eastAsia="Verdana" w:hAnsi="Verdana" w:cs="Verdana"/>
          <w:b/>
          <w:bCs/>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5D02F9DE"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1"/>
    <w:p w14:paraId="0F293BF4" w14:textId="0F02DE89" w:rsidR="00127233" w:rsidRPr="0015699B" w:rsidRDefault="00127233" w:rsidP="001E44C0">
      <w:pPr>
        <w:spacing w:after="0" w:line="240" w:lineRule="auto"/>
        <w:textAlignment w:val="baseline"/>
        <w:rPr>
          <w:rFonts w:ascii="Verdana" w:eastAsia="Verdana" w:hAnsi="Verdana" w:cs="Verdana"/>
          <w:lang w:eastAsia="es-CO"/>
        </w:rPr>
      </w:pPr>
    </w:p>
    <w:sectPr w:rsidR="00127233" w:rsidRPr="0015699B"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D5B3D6" w14:textId="77777777" w:rsidR="007F5F66" w:rsidRDefault="007F5F66" w:rsidP="004A1847">
      <w:pPr>
        <w:spacing w:after="0" w:line="240" w:lineRule="auto"/>
      </w:pPr>
      <w:r>
        <w:separator/>
      </w:r>
    </w:p>
  </w:endnote>
  <w:endnote w:type="continuationSeparator" w:id="0">
    <w:p w14:paraId="6130EA62" w14:textId="77777777" w:rsidR="007F5F66" w:rsidRDefault="007F5F6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panose1 w:val="00000000000000000000"/>
    <w:charset w:val="00"/>
    <w:family w:val="swiss"/>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C9706F" w14:textId="77777777" w:rsidR="007F5F66" w:rsidRDefault="007F5F66" w:rsidP="004A1847">
      <w:pPr>
        <w:spacing w:after="0" w:line="240" w:lineRule="auto"/>
      </w:pPr>
      <w:r>
        <w:separator/>
      </w:r>
    </w:p>
  </w:footnote>
  <w:footnote w:type="continuationSeparator" w:id="0">
    <w:p w14:paraId="7F3BA4C5" w14:textId="77777777" w:rsidR="007F5F66" w:rsidRDefault="007F5F66" w:rsidP="004A1847">
      <w:pPr>
        <w:spacing w:after="0" w:line="240" w:lineRule="auto"/>
      </w:pPr>
      <w:r>
        <w:continuationSeparator/>
      </w:r>
    </w:p>
  </w:footnote>
  <w:footnote w:id="1">
    <w:p w14:paraId="75B0101C" w14:textId="77777777" w:rsidR="009C576B" w:rsidRPr="00F71A89" w:rsidRDefault="009C576B" w:rsidP="00F71A89">
      <w:pPr>
        <w:pStyle w:val="Textonotapie"/>
        <w:ind w:firstLine="709"/>
        <w:jc w:val="both"/>
        <w:rPr>
          <w:rFonts w:ascii="Verdana" w:hAnsi="Verdana" w:cs="Arial"/>
          <w:color w:val="000000" w:themeColor="text1"/>
          <w:sz w:val="14"/>
          <w:szCs w:val="14"/>
        </w:rPr>
      </w:pPr>
      <w:r w:rsidRPr="00F71A89">
        <w:rPr>
          <w:rStyle w:val="Refdenotaalpie"/>
          <w:rFonts w:ascii="Verdana" w:hAnsi="Verdana" w:cs="Arial"/>
          <w:sz w:val="14"/>
          <w:szCs w:val="14"/>
        </w:rPr>
        <w:footnoteRef/>
      </w:r>
      <w:r w:rsidRPr="00F71A89">
        <w:rPr>
          <w:rFonts w:ascii="Verdana" w:hAnsi="Verdana" w:cs="Arial"/>
          <w:sz w:val="14"/>
          <w:szCs w:val="14"/>
        </w:rPr>
        <w:t xml:space="preserve"> Decreto 1068 de 2015: “</w:t>
      </w:r>
      <w:r w:rsidRPr="00F71A89">
        <w:rPr>
          <w:rFonts w:ascii="Verdana" w:hAnsi="Verdana" w:cs="Arial"/>
          <w:color w:val="000000" w:themeColor="text1"/>
          <w:sz w:val="14"/>
          <w:szCs w:val="14"/>
        </w:rPr>
        <w:t xml:space="preserve">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7E66E8AC" w14:textId="77777777" w:rsidR="009C576B" w:rsidRPr="00F71A89" w:rsidRDefault="009C576B" w:rsidP="00F71A89">
      <w:pPr>
        <w:pStyle w:val="Textonotapie"/>
        <w:ind w:firstLine="709"/>
        <w:jc w:val="both"/>
        <w:rPr>
          <w:rFonts w:ascii="Verdana" w:hAnsi="Verdana" w:cs="Arial"/>
          <w:color w:val="000000" w:themeColor="text1"/>
          <w:sz w:val="14"/>
          <w:szCs w:val="14"/>
        </w:rPr>
      </w:pPr>
      <w:r w:rsidRPr="00F71A89">
        <w:rPr>
          <w:rFonts w:ascii="Verdana" w:hAnsi="Verdana" w:cs="Arial"/>
          <w:color w:val="000000" w:themeColor="text1"/>
          <w:sz w:val="14"/>
          <w:szCs w:val="14"/>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4CF8FAE8" w14:textId="77777777" w:rsidR="009C576B" w:rsidRPr="00F71A89" w:rsidRDefault="009C576B" w:rsidP="00F71A89">
      <w:pPr>
        <w:pStyle w:val="Textonotapie"/>
        <w:ind w:firstLine="708"/>
        <w:jc w:val="both"/>
        <w:rPr>
          <w:rFonts w:ascii="Verdana" w:hAnsi="Verdana" w:cs="Arial"/>
          <w:color w:val="000000" w:themeColor="text1"/>
          <w:sz w:val="14"/>
          <w:szCs w:val="14"/>
        </w:rPr>
      </w:pPr>
      <w:r w:rsidRPr="00F71A89">
        <w:rPr>
          <w:rFonts w:ascii="Verdana" w:hAnsi="Verdana" w:cs="Arial"/>
          <w:color w:val="000000" w:themeColor="text1"/>
          <w:sz w:val="14"/>
          <w:szCs w:val="14"/>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06BE69D5" w14:textId="77777777" w:rsidR="009C576B" w:rsidRPr="00F71A89" w:rsidRDefault="009C576B" w:rsidP="00F71A89">
      <w:pPr>
        <w:pStyle w:val="Textonotapie"/>
        <w:ind w:firstLine="708"/>
        <w:jc w:val="both"/>
        <w:rPr>
          <w:rFonts w:ascii="Verdana" w:hAnsi="Verdana" w:cs="Arial"/>
          <w:sz w:val="14"/>
          <w:szCs w:val="14"/>
        </w:rPr>
      </w:pPr>
    </w:p>
  </w:footnote>
  <w:footnote w:id="2">
    <w:p w14:paraId="51EEB1CC"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Style w:val="Refdenotaalpie"/>
          <w:rFonts w:ascii="Verdana" w:hAnsi="Verdana" w:cs="Arial"/>
          <w:sz w:val="14"/>
          <w:szCs w:val="14"/>
        </w:rPr>
        <w:footnoteRef/>
      </w:r>
      <w:r w:rsidRPr="00F71A89">
        <w:rPr>
          <w:rFonts w:ascii="Verdana" w:hAnsi="Verdana" w:cs="Arial"/>
          <w:color w:val="000000"/>
          <w:sz w:val="14"/>
          <w:szCs w:val="14"/>
        </w:rPr>
        <w:t xml:space="preserve"> </w:t>
      </w:r>
      <w:r w:rsidRPr="00F71A89">
        <w:rPr>
          <w:rFonts w:ascii="Verdana" w:hAnsi="Verdana" w:cs="Arial"/>
          <w:color w:val="000000"/>
          <w:sz w:val="14"/>
          <w:szCs w:val="14"/>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4D27B966"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p>
    <w:p w14:paraId="0800532D"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2. Quien presta el servicio se denomina trabajador, quien lo recibe y remunera, empleador, y la remuneración, cualquiera que sea su forma, salario”.</w:t>
      </w:r>
    </w:p>
    <w:p w14:paraId="0F83A604"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p>
  </w:footnote>
  <w:footnote w:id="3">
    <w:p w14:paraId="48849190"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Style w:val="Refdenotaalpie"/>
          <w:rFonts w:ascii="Verdana" w:hAnsi="Verdana" w:cs="Arial"/>
          <w:sz w:val="14"/>
          <w:szCs w:val="14"/>
        </w:rPr>
        <w:footnoteRef/>
      </w:r>
      <w:r w:rsidRPr="00F71A89">
        <w:rPr>
          <w:rFonts w:ascii="Verdana" w:hAnsi="Verdana" w:cs="Arial"/>
          <w:color w:val="000000"/>
          <w:sz w:val="14"/>
          <w:szCs w:val="14"/>
          <w:lang w:val="pt-BR"/>
        </w:rPr>
        <w:t xml:space="preserve"> Corte Constitucional. Sentencia C-154 de 1997. </w:t>
      </w:r>
      <w:r w:rsidRPr="00F71A89">
        <w:rPr>
          <w:rFonts w:ascii="Verdana" w:hAnsi="Verdana" w:cs="Arial"/>
          <w:color w:val="000000"/>
          <w:sz w:val="14"/>
          <w:szCs w:val="14"/>
          <w:lang w:val="es-ES"/>
        </w:rPr>
        <w:t>M. P: Hernando Herrera Vergara.</w:t>
      </w:r>
    </w:p>
    <w:p w14:paraId="20D11E4D"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p>
  </w:footnote>
  <w:footnote w:id="4">
    <w:p w14:paraId="11843369" w14:textId="77777777" w:rsidR="009C576B" w:rsidRPr="00F71A89" w:rsidRDefault="009C576B" w:rsidP="00F71A89">
      <w:pPr>
        <w:pStyle w:val="Textonotapie"/>
        <w:ind w:firstLine="708"/>
        <w:jc w:val="both"/>
        <w:rPr>
          <w:rFonts w:ascii="Verdana" w:hAnsi="Verdana" w:cs="Arial"/>
          <w:sz w:val="14"/>
          <w:szCs w:val="14"/>
        </w:rPr>
      </w:pPr>
      <w:r w:rsidRPr="00F71A89">
        <w:rPr>
          <w:rStyle w:val="Refdenotaalpie"/>
          <w:rFonts w:ascii="Verdana" w:hAnsi="Verdana" w:cs="Arial"/>
          <w:sz w:val="14"/>
          <w:szCs w:val="14"/>
        </w:rPr>
        <w:footnoteRef/>
      </w:r>
      <w:r w:rsidRPr="00F71A89">
        <w:rPr>
          <w:rFonts w:ascii="Verdana" w:hAnsi="Verdana" w:cs="Arial"/>
          <w:sz w:val="14"/>
          <w:szCs w:val="14"/>
        </w:rPr>
        <w:t xml:space="preserve"> Para la doctrina, “En el esquema constitucional vigente, la realización de actividades que impliquen el ejercicio permanente de función pública sólo puede estar radicada en servidores públicos y excepcionalmente, en los casos previstos por la ley, en particulares que cuenten con autorización expresa para ello. No es pues un contrato de prestación de servicios el instrumento para tolerar o encausar el desempeño de tales tareas, las cuales, en principio, sólo deben ser desplegadas por personas que estén vinculadas al Estado a través de una relación laboral administrativa […]” (Cfr. RODRÍGUEZ TAMAYO. Mauricio. Derecho disciplinario de la contratación estatal. Bogotá: Legis, 2020. p. 171).  </w:t>
      </w:r>
    </w:p>
    <w:p w14:paraId="17B508E8" w14:textId="77777777" w:rsidR="009C576B" w:rsidRPr="00F71A89" w:rsidRDefault="009C576B" w:rsidP="00F71A89">
      <w:pPr>
        <w:pStyle w:val="Textonotapie"/>
        <w:ind w:firstLine="708"/>
        <w:jc w:val="both"/>
        <w:rPr>
          <w:rFonts w:ascii="Verdana" w:hAnsi="Verdana" w:cs="Arial"/>
          <w:sz w:val="14"/>
          <w:szCs w:val="14"/>
        </w:rPr>
      </w:pPr>
    </w:p>
  </w:footnote>
  <w:footnote w:id="5">
    <w:p w14:paraId="172363E2"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Style w:val="Refdenotaalpie"/>
          <w:rFonts w:ascii="Verdana" w:hAnsi="Verdana" w:cs="Arial"/>
          <w:sz w:val="14"/>
          <w:szCs w:val="14"/>
        </w:rPr>
        <w:footnoteRef/>
      </w:r>
      <w:r w:rsidRPr="00F71A89">
        <w:rPr>
          <w:rFonts w:ascii="Verdana" w:hAnsi="Verdana" w:cs="Arial"/>
          <w:color w:val="000000"/>
          <w:sz w:val="14"/>
          <w:szCs w:val="14"/>
        </w:rPr>
        <w:t xml:space="preserve"> Corte Constitucional. Sentencia C-154 de 1997. M.P: Hernando Herrera Vergara</w:t>
      </w:r>
      <w:r w:rsidRPr="00F71A89">
        <w:rPr>
          <w:rFonts w:ascii="Verdana" w:hAnsi="Verdana" w:cs="Arial"/>
          <w:color w:val="000000"/>
          <w:sz w:val="14"/>
          <w:szCs w:val="14"/>
          <w:lang w:val="es-ES"/>
        </w:rPr>
        <w:t>.</w:t>
      </w:r>
    </w:p>
    <w:p w14:paraId="43BB8009"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p>
  </w:footnote>
  <w:footnote w:id="6">
    <w:p w14:paraId="0B2BB62F"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Style w:val="Refdenotaalpie"/>
          <w:rFonts w:ascii="Verdana" w:hAnsi="Verdana" w:cs="Arial"/>
          <w:sz w:val="14"/>
          <w:szCs w:val="14"/>
        </w:rPr>
        <w:footnoteRef/>
      </w:r>
      <w:r w:rsidRPr="00F71A89">
        <w:rPr>
          <w:rFonts w:ascii="Verdana" w:hAnsi="Verdana" w:cs="Arial"/>
          <w:color w:val="000000"/>
          <w:sz w:val="14"/>
          <w:szCs w:val="14"/>
        </w:rPr>
        <w:t xml:space="preserve"> </w:t>
      </w:r>
      <w:r w:rsidRPr="00F71A89">
        <w:rPr>
          <w:rFonts w:ascii="Verdana" w:hAnsi="Verdana" w:cs="Arial"/>
          <w:color w:val="000000"/>
          <w:sz w:val="14"/>
          <w:szCs w:val="14"/>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26F8E58B"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358ACF60"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La Entidad Estatal, para la contratación de trabajos artísticos que solamente puedan en­comendarse a determinadas personas naturales, debe justificar esta situación en los estudios y documentos previos”.</w:t>
      </w:r>
    </w:p>
    <w:p w14:paraId="29427376"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p>
  </w:footnote>
  <w:footnote w:id="7">
    <w:p w14:paraId="75544AAF"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Style w:val="Refdenotaalpie"/>
          <w:rFonts w:ascii="Verdana" w:hAnsi="Verdana" w:cs="Arial"/>
          <w:sz w:val="14"/>
          <w:szCs w:val="14"/>
        </w:rPr>
        <w:footnoteRef/>
      </w:r>
      <w:r w:rsidRPr="00F71A89">
        <w:rPr>
          <w:rFonts w:ascii="Verdana" w:hAnsi="Verdana" w:cs="Arial"/>
          <w:color w:val="000000"/>
          <w:sz w:val="14"/>
          <w:szCs w:val="14"/>
        </w:rPr>
        <w:t xml:space="preserve"> </w:t>
      </w:r>
      <w:r w:rsidRPr="00F71A89">
        <w:rPr>
          <w:rFonts w:ascii="Verdana" w:hAnsi="Verdana" w:cs="Arial"/>
          <w:color w:val="000000"/>
          <w:sz w:val="14"/>
          <w:szCs w:val="14"/>
          <w:lang w:val="es-ES"/>
        </w:rPr>
        <w:t xml:space="preserve">Consejo de Estado. Sala de lo Contencioso Administrativo. Sección Tercera. Subsección C. Sentencia del 2 de diciembre de 2013. </w:t>
      </w:r>
      <w:r w:rsidRPr="00F71A89">
        <w:rPr>
          <w:rFonts w:ascii="Verdana" w:hAnsi="Verdana" w:cs="Arial"/>
          <w:color w:val="000000"/>
          <w:sz w:val="14"/>
          <w:szCs w:val="14"/>
          <w:lang w:val="es-ES"/>
        </w:rPr>
        <w:t>Exp. 41719. C.P: Jaime Orlando Santofimio Gamboa.</w:t>
      </w:r>
    </w:p>
    <w:p w14:paraId="3DC20D17"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p>
  </w:footnote>
  <w:footnote w:id="8">
    <w:p w14:paraId="587D0C63"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Style w:val="Refdenotaalpie"/>
          <w:rFonts w:ascii="Verdana" w:hAnsi="Verdana" w:cs="Arial"/>
          <w:sz w:val="14"/>
          <w:szCs w:val="14"/>
        </w:rPr>
        <w:footnoteRef/>
      </w:r>
      <w:r w:rsidRPr="00F71A89">
        <w:rPr>
          <w:rFonts w:ascii="Verdana" w:hAnsi="Verdana" w:cs="Arial"/>
          <w:color w:val="000000"/>
          <w:sz w:val="14"/>
          <w:szCs w:val="14"/>
        </w:rPr>
        <w:t xml:space="preserve"> </w:t>
      </w:r>
      <w:r w:rsidRPr="00F71A89">
        <w:rPr>
          <w:rFonts w:ascii="Verdana" w:hAnsi="Verdana" w:cs="Arial"/>
          <w:color w:val="000000"/>
          <w:sz w:val="14"/>
          <w:szCs w:val="14"/>
          <w:lang w:val="es-ES"/>
        </w:rPr>
        <w:t>Ibíd.</w:t>
      </w:r>
    </w:p>
    <w:p w14:paraId="5051146C"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p>
  </w:footnote>
  <w:footnote w:id="9">
    <w:p w14:paraId="518940A2"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Style w:val="Refdenotaalpie"/>
          <w:rFonts w:ascii="Verdana" w:hAnsi="Verdana" w:cs="Arial"/>
          <w:sz w:val="14"/>
          <w:szCs w:val="14"/>
        </w:rPr>
        <w:footnoteRef/>
      </w:r>
      <w:r w:rsidRPr="00F71A89">
        <w:rPr>
          <w:rFonts w:ascii="Verdana" w:hAnsi="Verdana" w:cs="Arial"/>
          <w:color w:val="000000"/>
          <w:sz w:val="14"/>
          <w:szCs w:val="14"/>
        </w:rPr>
        <w:t xml:space="preserve"> </w:t>
      </w:r>
      <w:r w:rsidRPr="00F71A89">
        <w:rPr>
          <w:rFonts w:ascii="Verdana" w:hAnsi="Verdana" w:cs="Arial"/>
          <w:color w:val="000000"/>
          <w:sz w:val="14"/>
          <w:szCs w:val="14"/>
          <w:lang w:val="es-ES"/>
        </w:rPr>
        <w:t>Ibíd.</w:t>
      </w:r>
    </w:p>
    <w:p w14:paraId="1981790C"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p>
  </w:footnote>
  <w:footnote w:id="10">
    <w:p w14:paraId="170D6DF2"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Style w:val="Refdenotaalpie"/>
          <w:rFonts w:ascii="Verdana" w:hAnsi="Verdana" w:cs="Arial"/>
          <w:sz w:val="14"/>
          <w:szCs w:val="14"/>
        </w:rPr>
        <w:footnoteRef/>
      </w:r>
      <w:r w:rsidRPr="00F71A89">
        <w:rPr>
          <w:rFonts w:ascii="Verdana" w:hAnsi="Verdana" w:cs="Arial"/>
          <w:color w:val="000000"/>
          <w:sz w:val="14"/>
          <w:szCs w:val="14"/>
        </w:rPr>
        <w:t xml:space="preserve"> </w:t>
      </w:r>
      <w:r w:rsidRPr="00F71A89">
        <w:rPr>
          <w:rFonts w:ascii="Verdana" w:hAnsi="Verdana" w:cs="Arial"/>
          <w:color w:val="000000"/>
          <w:sz w:val="14"/>
          <w:szCs w:val="14"/>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93F934F"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Son también contratos de consultoría los que tienen por objeto la interventoría, asesoría, gerencia de obra o de proyectos, dirección, programación y la ejecución de diseños, planos, anteproyectos y proyectos.</w:t>
      </w:r>
    </w:p>
    <w:p w14:paraId="170338F6"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 xml:space="preserve">Ninguna orden del interventor de una obra podrá darse verbalmente. Es obligatorio para el interventor entregar por escrito sus órdenes o sugerencias y ellas deben </w:t>
      </w:r>
      <w:r w:rsidRPr="00F71A89">
        <w:rPr>
          <w:rFonts w:ascii="Verdana" w:hAnsi="Verdana" w:cs="Arial"/>
          <w:color w:val="000000"/>
          <w:sz w:val="14"/>
          <w:szCs w:val="14"/>
          <w:lang w:val="es-ES"/>
        </w:rPr>
        <w:t xml:space="preserve">enmarcarse dentro de los términos del respectivo contrato”. </w:t>
      </w:r>
    </w:p>
    <w:p w14:paraId="71ACE133"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p>
  </w:footnote>
  <w:footnote w:id="11">
    <w:p w14:paraId="10484556"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Style w:val="Refdenotaalpie"/>
          <w:rFonts w:ascii="Verdana" w:hAnsi="Verdana" w:cs="Arial"/>
          <w:sz w:val="14"/>
          <w:szCs w:val="14"/>
        </w:rPr>
        <w:footnoteRef/>
      </w:r>
      <w:r w:rsidRPr="00F71A89">
        <w:rPr>
          <w:rFonts w:ascii="Verdana" w:hAnsi="Verdana" w:cs="Arial"/>
          <w:color w:val="000000"/>
          <w:sz w:val="14"/>
          <w:szCs w:val="14"/>
        </w:rPr>
        <w:t xml:space="preserve"> </w:t>
      </w:r>
      <w:r w:rsidRPr="00F71A89">
        <w:rPr>
          <w:rFonts w:ascii="Verdana" w:hAnsi="Verdana" w:cs="Arial"/>
          <w:color w:val="000000"/>
          <w:sz w:val="14"/>
          <w:szCs w:val="14"/>
          <w:lang w:val="es-ES"/>
        </w:rPr>
        <w:t>Así lo prevé el artículo 2.2.1.2.1.4.1. del Decreto 1082 de 2015: “La Entidad Estatal debe señalar en un acto administrativo la justificación para contratar bajo la modalidad de contratación directa, el cual debe contener:</w:t>
      </w:r>
    </w:p>
    <w:p w14:paraId="3F98A59F"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1. La causal que invoca para contratar directamente.</w:t>
      </w:r>
    </w:p>
    <w:p w14:paraId="5E169323"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2. El objeto del contrato.</w:t>
      </w:r>
    </w:p>
    <w:p w14:paraId="23177F68"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3. El presupuesto para la contratación y las condiciones que exigirá al contratista.</w:t>
      </w:r>
    </w:p>
    <w:p w14:paraId="577F7C84"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4. El lugar en el cual los interesados pueden consultar los estudios y documentos previos.</w:t>
      </w:r>
    </w:p>
    <w:p w14:paraId="50D8B596"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24BB08F8"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p>
  </w:footnote>
  <w:footnote w:id="12">
    <w:p w14:paraId="3653E4E4"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Style w:val="Refdenotaalpie"/>
          <w:rFonts w:ascii="Verdana" w:hAnsi="Verdana" w:cs="Arial"/>
          <w:sz w:val="14"/>
          <w:szCs w:val="14"/>
        </w:rPr>
        <w:footnoteRef/>
      </w:r>
      <w:r w:rsidRPr="00F71A89">
        <w:rPr>
          <w:rFonts w:ascii="Verdana" w:hAnsi="Verdana" w:cs="Arial"/>
          <w:color w:val="000000"/>
          <w:sz w:val="14"/>
          <w:szCs w:val="14"/>
        </w:rPr>
        <w:t xml:space="preserve"> </w:t>
      </w:r>
      <w:r w:rsidRPr="00F71A89">
        <w:rPr>
          <w:rFonts w:ascii="Verdana" w:hAnsi="Verdana" w:cs="Arial"/>
          <w:color w:val="000000"/>
          <w:sz w:val="14"/>
          <w:szCs w:val="14"/>
          <w:lang w:val="es-ES"/>
        </w:rPr>
        <w:t>Esta norma expresa: “</w:t>
      </w:r>
      <w:r w:rsidRPr="00F71A89">
        <w:rPr>
          <w:rFonts w:ascii="Verdana" w:hAnsi="Verdana" w:cs="Arial"/>
          <w:color w:val="000000"/>
          <w:sz w:val="14"/>
          <w:szCs w:val="14"/>
        </w:rPr>
        <w:t>P</w:t>
      </w:r>
      <w:r w:rsidRPr="00F71A89">
        <w:rPr>
          <w:rFonts w:ascii="Verdana" w:hAnsi="Verdana" w:cs="Arial"/>
          <w:color w:val="000000"/>
          <w:sz w:val="14"/>
          <w:szCs w:val="14"/>
          <w:lang w:val="es-ES"/>
        </w:rPr>
        <w:t>ara el cumplimiento de los fines de la contratación, las entidades estatales al celebrar un contrato:</w:t>
      </w:r>
    </w:p>
    <w:p w14:paraId="4B80CDA7"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w:t>
      </w:r>
    </w:p>
    <w:p w14:paraId="275E5CCE"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2o. Pactaran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w:t>
      </w:r>
    </w:p>
    <w:p w14:paraId="6A1B1C35"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Las entidades estatales podrán pactar estas cláusulas en los contratos de suministro y de prestación de servicios.</w:t>
      </w:r>
    </w:p>
    <w:p w14:paraId="2D160123"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Fonts w:ascii="Verdana" w:hAnsi="Verdana" w:cs="Arial"/>
          <w:color w:val="000000"/>
          <w:sz w:val="14"/>
          <w:szCs w:val="14"/>
          <w:lang w:val="es-ES"/>
        </w:rPr>
        <w:t>[…]”.</w:t>
      </w:r>
    </w:p>
    <w:p w14:paraId="40365410" w14:textId="77777777" w:rsidR="009C576B" w:rsidRPr="0014714D" w:rsidRDefault="009C576B" w:rsidP="00F71A89">
      <w:pPr>
        <w:pStyle w:val="Textonotapie"/>
        <w:snapToGrid w:val="0"/>
        <w:ind w:firstLine="709"/>
        <w:jc w:val="both"/>
        <w:rPr>
          <w:rFonts w:ascii="Verdana" w:hAnsi="Verdana" w:cs="Arial"/>
          <w:color w:val="000000"/>
          <w:sz w:val="14"/>
          <w:szCs w:val="14"/>
          <w:lang w:val="es-ES"/>
        </w:rPr>
      </w:pPr>
    </w:p>
  </w:footnote>
  <w:footnote w:id="13">
    <w:p w14:paraId="7F43B410"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Style w:val="Refdenotaalpie"/>
          <w:rFonts w:ascii="Verdana" w:hAnsi="Verdana" w:cs="Arial"/>
          <w:sz w:val="14"/>
          <w:szCs w:val="14"/>
        </w:rPr>
        <w:footnoteRef/>
      </w:r>
      <w:r w:rsidRPr="00F71A89">
        <w:rPr>
          <w:rFonts w:ascii="Verdana" w:hAnsi="Verdana" w:cs="Arial"/>
          <w:color w:val="000000"/>
          <w:sz w:val="14"/>
          <w:szCs w:val="14"/>
        </w:rPr>
        <w:t xml:space="preserve"> </w:t>
      </w:r>
      <w:r w:rsidRPr="00F71A89">
        <w:rPr>
          <w:rFonts w:ascii="Verdana" w:hAnsi="Verdana" w:cs="Arial"/>
          <w:color w:val="000000"/>
          <w:sz w:val="14"/>
          <w:szCs w:val="14"/>
          <w:lang w:val="es-ES"/>
        </w:rPr>
        <w:t>La norma dispone: “La liquidación a que se refiere el presente artículo no será obligatoria en los contratos de prestación de servicios profesionales y de apoyo a la gestión”.</w:t>
      </w:r>
    </w:p>
    <w:p w14:paraId="635FCA3D"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p>
  </w:footnote>
  <w:footnote w:id="14">
    <w:p w14:paraId="6CDE6CE2" w14:textId="77777777" w:rsidR="009C576B" w:rsidRPr="00F71A89" w:rsidRDefault="009C576B" w:rsidP="00F71A89">
      <w:pPr>
        <w:pStyle w:val="Textonotapie"/>
        <w:snapToGrid w:val="0"/>
        <w:ind w:firstLine="709"/>
        <w:jc w:val="both"/>
        <w:rPr>
          <w:rFonts w:ascii="Verdana" w:hAnsi="Verdana" w:cs="Arial"/>
          <w:color w:val="000000"/>
          <w:sz w:val="14"/>
          <w:szCs w:val="14"/>
        </w:rPr>
      </w:pPr>
      <w:r w:rsidRPr="00F71A89">
        <w:rPr>
          <w:rStyle w:val="Refdenotaalpie"/>
          <w:rFonts w:ascii="Verdana" w:hAnsi="Verdana" w:cs="Arial"/>
          <w:sz w:val="14"/>
          <w:szCs w:val="14"/>
        </w:rPr>
        <w:footnoteRef/>
      </w:r>
      <w:r w:rsidRPr="00F71A89">
        <w:rPr>
          <w:rFonts w:ascii="Verdana" w:hAnsi="Verdana" w:cs="Arial"/>
          <w:color w:val="000000"/>
          <w:sz w:val="14"/>
          <w:szCs w:val="14"/>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C041B6E" w14:textId="77777777" w:rsidR="009C576B" w:rsidRPr="00F71A89" w:rsidRDefault="009C576B" w:rsidP="00F71A89">
      <w:pPr>
        <w:pStyle w:val="Textonotapie"/>
        <w:snapToGrid w:val="0"/>
        <w:ind w:firstLine="709"/>
        <w:jc w:val="both"/>
        <w:rPr>
          <w:rFonts w:ascii="Verdana" w:hAnsi="Verdana" w:cs="Arial"/>
          <w:color w:val="000000"/>
          <w:sz w:val="14"/>
          <w:szCs w:val="14"/>
        </w:rPr>
      </w:pPr>
      <w:r w:rsidRPr="00F71A89">
        <w:rPr>
          <w:rFonts w:ascii="Verdana" w:hAnsi="Verdana" w:cs="Arial"/>
          <w:color w:val="000000"/>
          <w:sz w:val="14"/>
          <w:szCs w:val="14"/>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49D1238"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p>
  </w:footnote>
  <w:footnote w:id="15">
    <w:p w14:paraId="08D0BE39"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r w:rsidRPr="00F71A89">
        <w:rPr>
          <w:rStyle w:val="Refdenotaalpie"/>
          <w:rFonts w:ascii="Verdana" w:hAnsi="Verdana" w:cs="Arial"/>
          <w:sz w:val="14"/>
          <w:szCs w:val="14"/>
        </w:rPr>
        <w:footnoteRef/>
      </w:r>
      <w:r w:rsidRPr="00F71A89">
        <w:rPr>
          <w:rFonts w:ascii="Verdana" w:hAnsi="Verdana" w:cs="Arial"/>
          <w:color w:val="000000"/>
          <w:sz w:val="14"/>
          <w:szCs w:val="14"/>
        </w:rPr>
        <w:t xml:space="preserve"> </w:t>
      </w:r>
      <w:r w:rsidRPr="00F71A89">
        <w:rPr>
          <w:rFonts w:ascii="Verdana" w:hAnsi="Verdana" w:cs="Arial"/>
          <w:color w:val="000000"/>
          <w:sz w:val="14"/>
          <w:szCs w:val="14"/>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4B1E35F2" w14:textId="77777777" w:rsidR="009C576B" w:rsidRPr="00F71A89" w:rsidRDefault="009C576B" w:rsidP="00F71A89">
      <w:pPr>
        <w:pStyle w:val="Textonotapie"/>
        <w:snapToGrid w:val="0"/>
        <w:ind w:firstLine="709"/>
        <w:jc w:val="both"/>
        <w:rPr>
          <w:rFonts w:ascii="Verdana" w:hAnsi="Verdana" w:cs="Arial"/>
          <w:color w:val="000000"/>
          <w:sz w:val="14"/>
          <w:szCs w:val="14"/>
          <w:lang w:val="es-ES"/>
        </w:rPr>
      </w:pPr>
    </w:p>
  </w:footnote>
  <w:footnote w:id="16">
    <w:p w14:paraId="61086951" w14:textId="77777777" w:rsidR="009C576B" w:rsidRPr="00F71A89" w:rsidRDefault="009C576B" w:rsidP="00F71A89">
      <w:pPr>
        <w:pStyle w:val="Textonotapie"/>
        <w:ind w:firstLine="709"/>
        <w:jc w:val="both"/>
        <w:rPr>
          <w:rFonts w:ascii="Verdana" w:hAnsi="Verdana"/>
          <w:sz w:val="14"/>
          <w:szCs w:val="14"/>
          <w:lang w:val="es-ES"/>
        </w:rPr>
      </w:pPr>
      <w:r w:rsidRPr="00F71A89">
        <w:rPr>
          <w:rStyle w:val="Refdenotaalpie"/>
          <w:rFonts w:ascii="Verdana" w:hAnsi="Verdana"/>
          <w:sz w:val="14"/>
          <w:szCs w:val="14"/>
        </w:rPr>
        <w:footnoteRef/>
      </w:r>
      <w:r w:rsidRPr="00F71A89">
        <w:rPr>
          <w:rFonts w:ascii="Verdana" w:hAnsi="Verdana"/>
          <w:sz w:val="14"/>
          <w:szCs w:val="14"/>
        </w:rPr>
        <w:t xml:space="preserve"> </w:t>
      </w:r>
      <w:r w:rsidRPr="00F71A89">
        <w:rPr>
          <w:rFonts w:ascii="Verdana" w:hAnsi="Verdana"/>
          <w:sz w:val="14"/>
          <w:szCs w:val="14"/>
          <w:lang w:val="es-ES"/>
        </w:rPr>
        <w:t xml:space="preserve">Se puede consultar en </w:t>
      </w:r>
      <w:hyperlink r:id="rId1" w:history="1">
        <w:r w:rsidRPr="00F71A89">
          <w:rPr>
            <w:rStyle w:val="Hipervnculo"/>
            <w:rFonts w:ascii="Verdana" w:hAnsi="Verdana"/>
            <w:sz w:val="14"/>
            <w:szCs w:val="14"/>
            <w:lang w:val="es-CO"/>
          </w:rPr>
          <w:t>cce-eicp-gi-23_guia_contratacion_prestacion_de_servicios_v1_11-07-2023_def_1_1.pdf</w:t>
        </w:r>
      </w:hyperlink>
    </w:p>
  </w:footnote>
  <w:footnote w:id="17">
    <w:p w14:paraId="1ABD318E" w14:textId="77777777" w:rsidR="009C576B" w:rsidRPr="00F71A89" w:rsidRDefault="009C576B" w:rsidP="00F71A89">
      <w:pPr>
        <w:spacing w:after="0" w:line="240" w:lineRule="auto"/>
        <w:ind w:firstLine="709"/>
        <w:jc w:val="both"/>
        <w:rPr>
          <w:rFonts w:ascii="Verdana" w:hAnsi="Verdana" w:cs="Arial"/>
          <w:sz w:val="14"/>
          <w:szCs w:val="14"/>
          <w:lang w:val="es-ES"/>
        </w:rPr>
      </w:pPr>
      <w:r w:rsidRPr="00F71A89">
        <w:rPr>
          <w:rStyle w:val="Refdenotaalpie"/>
          <w:rFonts w:ascii="Verdana" w:hAnsi="Verdana" w:cs="Arial"/>
          <w:sz w:val="14"/>
          <w:szCs w:val="14"/>
        </w:rPr>
        <w:footnoteRef/>
      </w:r>
      <w:r w:rsidRPr="00F71A89">
        <w:rPr>
          <w:rFonts w:ascii="Verdana" w:hAnsi="Verdana" w:cs="Arial"/>
          <w:sz w:val="14"/>
          <w:szCs w:val="14"/>
        </w:rPr>
        <w:t xml:space="preserve"> </w:t>
      </w:r>
      <w:r w:rsidRPr="00F71A89">
        <w:rPr>
          <w:rFonts w:ascii="Verdana" w:hAnsi="Verdana" w:cs="Arial"/>
          <w:sz w:val="14"/>
          <w:szCs w:val="14"/>
          <w:lang w:val="es-ES"/>
        </w:rPr>
        <w:t xml:space="preserve">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w:t>
      </w:r>
      <w:r w:rsidRPr="00F71A89">
        <w:rPr>
          <w:rFonts w:ascii="Verdana" w:hAnsi="Verdana" w:cs="Arial"/>
          <w:sz w:val="14"/>
          <w:szCs w:val="14"/>
          <w:lang w:val="es-ES"/>
        </w:rPr>
        <w:t>que no siendo esenciales en él, se entienden pertenecerle, sin necesidad de una cláusula especial; y son accidentales a un contrato aquellas que ni esencial ni naturalmente le pertenecen, y que se le agregan por medio de cláusulas especiales”.</w:t>
      </w:r>
    </w:p>
    <w:p w14:paraId="6722C1FE" w14:textId="77777777" w:rsidR="009C576B" w:rsidRPr="00F71A89" w:rsidRDefault="009C576B" w:rsidP="00F71A89">
      <w:pPr>
        <w:pStyle w:val="Textonotapie"/>
        <w:ind w:firstLine="709"/>
        <w:jc w:val="both"/>
        <w:rPr>
          <w:rFonts w:ascii="Verdana" w:hAnsi="Verdana" w:cs="Arial"/>
          <w:sz w:val="14"/>
          <w:szCs w:val="14"/>
          <w:lang w:val="es-CO"/>
        </w:rPr>
      </w:pPr>
    </w:p>
  </w:footnote>
  <w:footnote w:id="18">
    <w:p w14:paraId="3B7909F6" w14:textId="77777777" w:rsidR="009C576B" w:rsidRPr="00F71A89" w:rsidRDefault="009C576B" w:rsidP="00F71A89">
      <w:pPr>
        <w:spacing w:after="0" w:line="240" w:lineRule="auto"/>
        <w:ind w:firstLine="709"/>
        <w:jc w:val="both"/>
        <w:rPr>
          <w:rFonts w:ascii="Verdana" w:hAnsi="Verdana" w:cs="Arial"/>
          <w:sz w:val="14"/>
          <w:szCs w:val="14"/>
          <w:lang w:val="es-ES"/>
        </w:rPr>
      </w:pPr>
      <w:r w:rsidRPr="00F71A89">
        <w:rPr>
          <w:rStyle w:val="Refdenotaalpie"/>
          <w:rFonts w:ascii="Verdana" w:hAnsi="Verdana" w:cs="Arial"/>
          <w:sz w:val="14"/>
          <w:szCs w:val="14"/>
        </w:rPr>
        <w:footnoteRef/>
      </w:r>
      <w:r w:rsidRPr="00F71A89">
        <w:rPr>
          <w:rFonts w:ascii="Verdana" w:hAnsi="Verdana" w:cs="Arial"/>
          <w:sz w:val="14"/>
          <w:szCs w:val="14"/>
        </w:rPr>
        <w:t xml:space="preserve"> </w:t>
      </w:r>
      <w:r w:rsidRPr="00F71A89">
        <w:rPr>
          <w:rFonts w:ascii="Verdana" w:hAnsi="Verdana" w:cs="Arial"/>
          <w:sz w:val="14"/>
          <w:szCs w:val="14"/>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2D7FF04B" w14:textId="77777777" w:rsidR="009C576B" w:rsidRPr="00F71A89" w:rsidRDefault="009C576B" w:rsidP="00F71A89">
      <w:pPr>
        <w:pStyle w:val="Textonotapie"/>
        <w:ind w:firstLine="709"/>
        <w:jc w:val="both"/>
        <w:rPr>
          <w:rFonts w:ascii="Verdana" w:hAnsi="Verdana" w:cs="Arial"/>
          <w:sz w:val="14"/>
          <w:szCs w:val="14"/>
          <w:lang w:val="es-CO"/>
        </w:rPr>
      </w:pPr>
    </w:p>
  </w:footnote>
  <w:footnote w:id="19">
    <w:p w14:paraId="2032437E" w14:textId="77777777" w:rsidR="009C576B" w:rsidRPr="00F71A89" w:rsidRDefault="009C576B" w:rsidP="00F71A89">
      <w:pPr>
        <w:pStyle w:val="Textonotapie"/>
        <w:ind w:firstLine="709"/>
        <w:jc w:val="both"/>
        <w:rPr>
          <w:rFonts w:ascii="Verdana" w:hAnsi="Verdana" w:cs="Arial"/>
          <w:sz w:val="14"/>
          <w:szCs w:val="14"/>
          <w:lang w:val="es-ES"/>
        </w:rPr>
      </w:pPr>
      <w:r w:rsidRPr="00F71A89">
        <w:rPr>
          <w:rStyle w:val="Refdenotaalpie"/>
          <w:rFonts w:ascii="Verdana" w:hAnsi="Verdana" w:cs="Arial"/>
          <w:sz w:val="14"/>
          <w:szCs w:val="14"/>
        </w:rPr>
        <w:footnoteRef/>
      </w:r>
      <w:r w:rsidRPr="00F71A89">
        <w:rPr>
          <w:rFonts w:ascii="Verdana" w:hAnsi="Verdana" w:cs="Arial"/>
          <w:sz w:val="14"/>
          <w:szCs w:val="14"/>
        </w:rPr>
        <w:t xml:space="preserve"> </w:t>
      </w:r>
      <w:r w:rsidRPr="00F71A89">
        <w:rPr>
          <w:rFonts w:ascii="Verdana" w:hAnsi="Verdana" w:cs="Arial"/>
          <w:sz w:val="14"/>
          <w:szCs w:val="14"/>
          <w:lang w:val="es-ES"/>
        </w:rPr>
        <w:t>EXPÓSITO VÉLEZ, Juan Carlos. Forma y contenido del contrato estatal. Bogotá: Universidad Externado de Colombia, 2013. pp. 28-29.</w:t>
      </w:r>
    </w:p>
    <w:p w14:paraId="4353EEDF" w14:textId="77777777" w:rsidR="009C576B" w:rsidRPr="00F71A89" w:rsidRDefault="009C576B" w:rsidP="00F71A89">
      <w:pPr>
        <w:pStyle w:val="Textonotapie"/>
        <w:ind w:firstLine="709"/>
        <w:jc w:val="both"/>
        <w:rPr>
          <w:rFonts w:ascii="Verdana" w:hAnsi="Verdana" w:cs="Arial"/>
          <w:sz w:val="14"/>
          <w:szCs w:val="14"/>
          <w:lang w:val="es-ES"/>
        </w:rPr>
      </w:pPr>
    </w:p>
  </w:footnote>
  <w:footnote w:id="20">
    <w:p w14:paraId="05FFC066" w14:textId="77777777" w:rsidR="009C576B" w:rsidRPr="00F71A89" w:rsidRDefault="009C576B" w:rsidP="0014714D">
      <w:pPr>
        <w:widowControl w:val="0"/>
        <w:autoSpaceDE w:val="0"/>
        <w:autoSpaceDN w:val="0"/>
        <w:spacing w:after="0" w:line="240" w:lineRule="auto"/>
        <w:ind w:firstLine="708"/>
        <w:jc w:val="both"/>
        <w:rPr>
          <w:rFonts w:ascii="Verdana" w:eastAsia="Arial" w:hAnsi="Verdana" w:cs="Arial"/>
          <w:sz w:val="14"/>
          <w:szCs w:val="14"/>
          <w:lang w:val="es-ES"/>
        </w:rPr>
      </w:pPr>
      <w:r w:rsidRPr="00F71A89">
        <w:rPr>
          <w:rStyle w:val="Refdenotaalpie"/>
          <w:rFonts w:ascii="Verdana" w:hAnsi="Verdana" w:cs="Arial"/>
          <w:sz w:val="14"/>
          <w:szCs w:val="14"/>
        </w:rPr>
        <w:footnoteRef/>
      </w:r>
      <w:r w:rsidRPr="00F71A89">
        <w:rPr>
          <w:rFonts w:ascii="Verdana" w:hAnsi="Verdana" w:cs="Arial"/>
          <w:sz w:val="14"/>
          <w:szCs w:val="14"/>
        </w:rPr>
        <w:t xml:space="preserve"> </w:t>
      </w:r>
      <w:r w:rsidRPr="00F71A89">
        <w:rPr>
          <w:rFonts w:ascii="Verdana" w:eastAsia="Arial" w:hAnsi="Verdana" w:cs="Arial"/>
          <w:sz w:val="14"/>
          <w:szCs w:val="14"/>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sus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obligaciones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con</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los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sistemas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de</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salud,</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riesgos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profesionales,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pensiones</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y</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aportes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a</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las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Cajas de Compensación Familiar, Instituto Colombiano de Bienestar Familiar y Servicio Nacional de Aprendizaje,</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cuando</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a</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ello</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haya</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lugar.</w:t>
      </w:r>
      <w:r w:rsidRPr="00F71A89">
        <w:rPr>
          <w:rFonts w:ascii="Verdana" w:eastAsia="Arial" w:hAnsi="Verdana" w:cs="Arial"/>
          <w:spacing w:val="-11"/>
          <w:sz w:val="14"/>
          <w:szCs w:val="14"/>
          <w:lang w:val="es-ES"/>
        </w:rPr>
        <w:t xml:space="preserve"> </w:t>
      </w:r>
      <w:r w:rsidRPr="00F71A89">
        <w:rPr>
          <w:rFonts w:ascii="Verdana" w:eastAsia="Arial" w:hAnsi="Verdana" w:cs="Arial"/>
          <w:sz w:val="14"/>
          <w:szCs w:val="14"/>
          <w:lang w:val="es-ES"/>
        </w:rPr>
        <w:t>Las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Entidades</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públicas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en</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el</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momento</w:t>
      </w:r>
      <w:r w:rsidRPr="00F71A89">
        <w:rPr>
          <w:rFonts w:ascii="Verdana" w:eastAsia="Arial" w:hAnsi="Verdana" w:cs="Arial"/>
          <w:spacing w:val="-11"/>
          <w:sz w:val="14"/>
          <w:szCs w:val="14"/>
          <w:lang w:val="es-ES"/>
        </w:rPr>
        <w:t xml:space="preserve"> </w:t>
      </w:r>
      <w:r w:rsidRPr="00F71A89">
        <w:rPr>
          <w:rFonts w:ascii="Verdana" w:eastAsia="Arial" w:hAnsi="Verdana" w:cs="Arial"/>
          <w:sz w:val="14"/>
          <w:szCs w:val="14"/>
          <w:lang w:val="es-ES"/>
        </w:rPr>
        <w:t>de</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liquidar</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los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cotizadas.</w:t>
      </w:r>
    </w:p>
    <w:p w14:paraId="3F84C54C" w14:textId="77777777" w:rsidR="009C576B" w:rsidRPr="00F71A89" w:rsidRDefault="009C576B" w:rsidP="0014714D">
      <w:pPr>
        <w:widowControl w:val="0"/>
        <w:autoSpaceDE w:val="0"/>
        <w:autoSpaceDN w:val="0"/>
        <w:spacing w:after="0" w:line="240" w:lineRule="auto"/>
        <w:ind w:firstLine="708"/>
        <w:jc w:val="both"/>
        <w:rPr>
          <w:rFonts w:ascii="Verdana" w:eastAsia="Arial" w:hAnsi="Verdana" w:cs="Arial"/>
          <w:sz w:val="14"/>
          <w:szCs w:val="14"/>
          <w:lang w:val="es-ES"/>
        </w:rPr>
      </w:pPr>
      <w:r w:rsidRPr="00F71A89">
        <w:rPr>
          <w:rFonts w:ascii="Verdana" w:eastAsia="Arial" w:hAnsi="Verdana" w:cs="Arial"/>
          <w:sz w:val="14"/>
          <w:szCs w:val="14"/>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6391CFF2" w14:textId="77777777" w:rsidR="009C576B" w:rsidRPr="00F71A89" w:rsidRDefault="009C576B" w:rsidP="0014714D">
      <w:pPr>
        <w:widowControl w:val="0"/>
        <w:autoSpaceDE w:val="0"/>
        <w:autoSpaceDN w:val="0"/>
        <w:spacing w:after="0" w:line="240" w:lineRule="auto"/>
        <w:ind w:firstLine="708"/>
        <w:jc w:val="both"/>
        <w:rPr>
          <w:rFonts w:ascii="Verdana" w:eastAsia="Arial" w:hAnsi="Verdana" w:cs="Arial"/>
          <w:sz w:val="14"/>
          <w:szCs w:val="14"/>
          <w:lang w:val="es-ES"/>
        </w:rPr>
      </w:pPr>
      <w:r w:rsidRPr="00F71A89">
        <w:rPr>
          <w:rFonts w:ascii="Verdana" w:eastAsia="Arial" w:hAnsi="Verdana" w:cs="Arial"/>
          <w:sz w:val="14"/>
          <w:szCs w:val="14"/>
          <w:lang w:val="es-ES"/>
        </w:rPr>
        <w:t>Cuando</w:t>
      </w:r>
      <w:r w:rsidRPr="00F71A89">
        <w:rPr>
          <w:rFonts w:ascii="Verdana" w:eastAsia="Arial" w:hAnsi="Verdana" w:cs="Arial"/>
          <w:spacing w:val="-8"/>
          <w:sz w:val="14"/>
          <w:szCs w:val="14"/>
          <w:lang w:val="es-ES"/>
        </w:rPr>
        <w:t xml:space="preserve"> </w:t>
      </w:r>
      <w:r w:rsidRPr="00F71A89">
        <w:rPr>
          <w:rFonts w:ascii="Verdana" w:eastAsia="Arial" w:hAnsi="Verdana" w:cs="Arial"/>
          <w:sz w:val="14"/>
          <w:szCs w:val="14"/>
          <w:lang w:val="es-ES"/>
        </w:rPr>
        <w:t>la</w:t>
      </w:r>
      <w:r w:rsidRPr="00F71A89">
        <w:rPr>
          <w:rFonts w:ascii="Verdana" w:eastAsia="Arial" w:hAnsi="Verdana" w:cs="Arial"/>
          <w:spacing w:val="-8"/>
          <w:sz w:val="14"/>
          <w:szCs w:val="14"/>
          <w:lang w:val="es-ES"/>
        </w:rPr>
        <w:t xml:space="preserve"> </w:t>
      </w:r>
      <w:r w:rsidRPr="00F71A89">
        <w:rPr>
          <w:rFonts w:ascii="Verdana" w:eastAsia="Arial" w:hAnsi="Verdana" w:cs="Arial"/>
          <w:sz w:val="14"/>
          <w:szCs w:val="14"/>
          <w:lang w:val="es-ES"/>
        </w:rPr>
        <w:t>contratación</w:t>
      </w:r>
      <w:r w:rsidRPr="00F71A89">
        <w:rPr>
          <w:rFonts w:ascii="Verdana" w:eastAsia="Arial" w:hAnsi="Verdana" w:cs="Arial"/>
          <w:spacing w:val="-8"/>
          <w:sz w:val="14"/>
          <w:szCs w:val="14"/>
          <w:lang w:val="es-ES"/>
        </w:rPr>
        <w:t xml:space="preserve"> </w:t>
      </w:r>
      <w:r w:rsidRPr="00F71A89">
        <w:rPr>
          <w:rFonts w:ascii="Verdana" w:eastAsia="Arial" w:hAnsi="Verdana" w:cs="Arial"/>
          <w:sz w:val="14"/>
          <w:szCs w:val="14"/>
          <w:lang w:val="es-ES"/>
        </w:rPr>
        <w:t>se</w:t>
      </w:r>
      <w:r w:rsidRPr="00F71A89">
        <w:rPr>
          <w:rFonts w:ascii="Verdana" w:eastAsia="Arial" w:hAnsi="Verdana" w:cs="Arial"/>
          <w:spacing w:val="-8"/>
          <w:sz w:val="14"/>
          <w:szCs w:val="14"/>
          <w:lang w:val="es-ES"/>
        </w:rPr>
        <w:t xml:space="preserve"> </w:t>
      </w:r>
      <w:r w:rsidRPr="00F71A89">
        <w:rPr>
          <w:rFonts w:ascii="Verdana" w:eastAsia="Arial" w:hAnsi="Verdana" w:cs="Arial"/>
          <w:sz w:val="14"/>
          <w:szCs w:val="14"/>
          <w:lang w:val="es-ES"/>
        </w:rPr>
        <w:t>realice</w:t>
      </w:r>
      <w:r w:rsidRPr="00F71A89">
        <w:rPr>
          <w:rFonts w:ascii="Verdana" w:eastAsia="Arial" w:hAnsi="Verdana" w:cs="Arial"/>
          <w:spacing w:val="-8"/>
          <w:sz w:val="14"/>
          <w:szCs w:val="14"/>
          <w:lang w:val="es-ES"/>
        </w:rPr>
        <w:t xml:space="preserve"> </w:t>
      </w:r>
      <w:r w:rsidRPr="00F71A89">
        <w:rPr>
          <w:rFonts w:ascii="Verdana" w:eastAsia="Arial" w:hAnsi="Verdana" w:cs="Arial"/>
          <w:sz w:val="14"/>
          <w:szCs w:val="14"/>
          <w:lang w:val="es-ES"/>
        </w:rPr>
        <w:t>con</w:t>
      </w:r>
      <w:r w:rsidRPr="00F71A89">
        <w:rPr>
          <w:rFonts w:ascii="Verdana" w:eastAsia="Arial" w:hAnsi="Verdana" w:cs="Arial"/>
          <w:spacing w:val="-8"/>
          <w:sz w:val="14"/>
          <w:szCs w:val="14"/>
          <w:lang w:val="es-ES"/>
        </w:rPr>
        <w:t xml:space="preserve"> </w:t>
      </w:r>
      <w:r w:rsidRPr="00F71A89">
        <w:rPr>
          <w:rFonts w:ascii="Verdana" w:eastAsia="Arial" w:hAnsi="Verdana" w:cs="Arial"/>
          <w:sz w:val="14"/>
          <w:szCs w:val="14"/>
          <w:lang w:val="es-ES"/>
        </w:rPr>
        <w:t>personas</w:t>
      </w:r>
      <w:r w:rsidRPr="00F71A89">
        <w:rPr>
          <w:rFonts w:ascii="Verdana" w:eastAsia="Arial" w:hAnsi="Verdana" w:cs="Arial"/>
          <w:spacing w:val="-8"/>
          <w:sz w:val="14"/>
          <w:szCs w:val="14"/>
          <w:lang w:val="es-ES"/>
        </w:rPr>
        <w:t xml:space="preserve"> </w:t>
      </w:r>
      <w:r w:rsidRPr="00F71A89">
        <w:rPr>
          <w:rFonts w:ascii="Verdana" w:eastAsia="Arial" w:hAnsi="Verdana" w:cs="Arial"/>
          <w:sz w:val="14"/>
          <w:szCs w:val="14"/>
          <w:lang w:val="es-ES"/>
        </w:rPr>
        <w:t>jurídicas,</w:t>
      </w:r>
      <w:r w:rsidRPr="00F71A89">
        <w:rPr>
          <w:rFonts w:ascii="Verdana" w:eastAsia="Arial" w:hAnsi="Verdana" w:cs="Arial"/>
          <w:spacing w:val="-8"/>
          <w:sz w:val="14"/>
          <w:szCs w:val="14"/>
          <w:lang w:val="es-ES"/>
        </w:rPr>
        <w:t xml:space="preserve"> </w:t>
      </w:r>
      <w:r w:rsidRPr="00F71A89">
        <w:rPr>
          <w:rFonts w:ascii="Verdana" w:eastAsia="Arial" w:hAnsi="Verdana" w:cs="Arial"/>
          <w:sz w:val="14"/>
          <w:szCs w:val="14"/>
          <w:lang w:val="es-ES"/>
        </w:rPr>
        <w:t>se</w:t>
      </w:r>
      <w:r w:rsidRPr="00F71A89">
        <w:rPr>
          <w:rFonts w:ascii="Verdana" w:eastAsia="Arial" w:hAnsi="Verdana" w:cs="Arial"/>
          <w:spacing w:val="-8"/>
          <w:sz w:val="14"/>
          <w:szCs w:val="14"/>
          <w:lang w:val="es-ES"/>
        </w:rPr>
        <w:t xml:space="preserve"> </w:t>
      </w:r>
      <w:r w:rsidRPr="00F71A89">
        <w:rPr>
          <w:rFonts w:ascii="Verdana" w:eastAsia="Arial" w:hAnsi="Verdana" w:cs="Arial"/>
          <w:sz w:val="14"/>
          <w:szCs w:val="14"/>
          <w:lang w:val="es-ES"/>
        </w:rPr>
        <w:t>deberá</w:t>
      </w:r>
      <w:r w:rsidRPr="00F71A89">
        <w:rPr>
          <w:rFonts w:ascii="Verdana" w:eastAsia="Arial" w:hAnsi="Verdana" w:cs="Arial"/>
          <w:spacing w:val="-8"/>
          <w:sz w:val="14"/>
          <w:szCs w:val="14"/>
          <w:lang w:val="es-ES"/>
        </w:rPr>
        <w:t xml:space="preserve"> </w:t>
      </w:r>
      <w:r w:rsidRPr="00F71A89">
        <w:rPr>
          <w:rFonts w:ascii="Verdana" w:eastAsia="Arial" w:hAnsi="Verdana" w:cs="Arial"/>
          <w:sz w:val="14"/>
          <w:szCs w:val="14"/>
          <w:lang w:val="es-ES"/>
        </w:rPr>
        <w:t>acreditar</w:t>
      </w:r>
      <w:r w:rsidRPr="00F71A89">
        <w:rPr>
          <w:rFonts w:ascii="Verdana" w:eastAsia="Arial" w:hAnsi="Verdana" w:cs="Arial"/>
          <w:spacing w:val="-7"/>
          <w:sz w:val="14"/>
          <w:szCs w:val="14"/>
          <w:lang w:val="es-ES"/>
        </w:rPr>
        <w:t xml:space="preserve"> </w:t>
      </w:r>
      <w:r w:rsidRPr="00F71A89">
        <w:rPr>
          <w:rFonts w:ascii="Verdana" w:eastAsia="Arial" w:hAnsi="Verdana" w:cs="Arial"/>
          <w:sz w:val="14"/>
          <w:szCs w:val="14"/>
          <w:lang w:val="es-ES"/>
        </w:rPr>
        <w:t>el</w:t>
      </w:r>
      <w:r w:rsidRPr="00F71A89">
        <w:rPr>
          <w:rFonts w:ascii="Verdana" w:eastAsia="Arial" w:hAnsi="Verdana" w:cs="Arial"/>
          <w:spacing w:val="-8"/>
          <w:sz w:val="14"/>
          <w:szCs w:val="14"/>
          <w:lang w:val="es-ES"/>
        </w:rPr>
        <w:t xml:space="preserve"> </w:t>
      </w:r>
      <w:r w:rsidRPr="00F71A89">
        <w:rPr>
          <w:rFonts w:ascii="Verdana" w:eastAsia="Arial" w:hAnsi="Verdana" w:cs="Arial"/>
          <w:sz w:val="14"/>
          <w:szCs w:val="14"/>
          <w:lang w:val="es-ES"/>
        </w:rPr>
        <w:t>pago</w:t>
      </w:r>
      <w:r w:rsidRPr="00F71A89">
        <w:rPr>
          <w:rFonts w:ascii="Verdana" w:eastAsia="Arial" w:hAnsi="Verdana" w:cs="Arial"/>
          <w:spacing w:val="-8"/>
          <w:sz w:val="14"/>
          <w:szCs w:val="14"/>
          <w:lang w:val="es-ES"/>
        </w:rPr>
        <w:t xml:space="preserve"> </w:t>
      </w:r>
      <w:r w:rsidRPr="00F71A89">
        <w:rPr>
          <w:rFonts w:ascii="Verdana" w:eastAsia="Arial" w:hAnsi="Verdana" w:cs="Arial"/>
          <w:sz w:val="14"/>
          <w:szCs w:val="14"/>
          <w:lang w:val="es-ES"/>
        </w:rPr>
        <w:t>de</w:t>
      </w:r>
      <w:r w:rsidRPr="00F71A89">
        <w:rPr>
          <w:rFonts w:ascii="Verdana" w:eastAsia="Arial" w:hAnsi="Verdana" w:cs="Arial"/>
          <w:spacing w:val="-8"/>
          <w:sz w:val="14"/>
          <w:szCs w:val="14"/>
          <w:lang w:val="es-ES"/>
        </w:rPr>
        <w:t xml:space="preserve"> </w:t>
      </w:r>
      <w:r w:rsidRPr="00F71A89">
        <w:rPr>
          <w:rFonts w:ascii="Verdana" w:eastAsia="Arial" w:hAnsi="Verdana" w:cs="Arial"/>
          <w:sz w:val="14"/>
          <w:szCs w:val="14"/>
          <w:lang w:val="es-ES"/>
        </w:rPr>
        <w:t>los aportes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de</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sus</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empleados,</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a</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los</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sistemas</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mencionados</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mediante</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certificación</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expedida</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por</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el</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F71A89">
        <w:rPr>
          <w:rFonts w:ascii="Verdana" w:eastAsia="Arial" w:hAnsi="Verdana" w:cs="Arial"/>
          <w:spacing w:val="-20"/>
          <w:sz w:val="14"/>
          <w:szCs w:val="14"/>
          <w:lang w:val="es-ES"/>
        </w:rPr>
        <w:t xml:space="preserve"> </w:t>
      </w:r>
      <w:r w:rsidRPr="00F71A89">
        <w:rPr>
          <w:rFonts w:ascii="Verdana" w:eastAsia="Arial" w:hAnsi="Verdana" w:cs="Arial"/>
          <w:sz w:val="14"/>
          <w:szCs w:val="14"/>
          <w:lang w:val="es-ES"/>
        </w:rPr>
        <w:t>constitución.</w:t>
      </w:r>
    </w:p>
    <w:p w14:paraId="6BE360DC" w14:textId="77777777" w:rsidR="009C576B" w:rsidRPr="00F71A89" w:rsidRDefault="009C576B" w:rsidP="00F71A89">
      <w:pPr>
        <w:pStyle w:val="Textonotapie"/>
        <w:jc w:val="both"/>
        <w:rPr>
          <w:rFonts w:ascii="Verdana" w:eastAsia="Arial" w:hAnsi="Verdana" w:cs="Arial"/>
          <w:sz w:val="14"/>
          <w:szCs w:val="14"/>
          <w:lang w:val="es-ES"/>
        </w:rPr>
      </w:pPr>
      <w:r w:rsidRPr="00F71A89">
        <w:rPr>
          <w:rFonts w:ascii="Verdana" w:eastAsia="Arial" w:hAnsi="Verdana" w:cs="Arial"/>
          <w:sz w:val="14"/>
          <w:szCs w:val="14"/>
          <w:lang w:val="es-ES"/>
        </w:rPr>
        <w:tab/>
        <w:t>Para</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la</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presentación</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de</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ofertas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por</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parte</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de</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personas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jurídicas</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será</w:t>
      </w:r>
      <w:r w:rsidRPr="00F71A89">
        <w:rPr>
          <w:rFonts w:ascii="Verdana" w:eastAsia="Arial" w:hAnsi="Verdana" w:cs="Arial"/>
          <w:spacing w:val="-10"/>
          <w:sz w:val="14"/>
          <w:szCs w:val="14"/>
          <w:lang w:val="es-ES"/>
        </w:rPr>
        <w:t xml:space="preserve"> </w:t>
      </w:r>
      <w:r w:rsidRPr="00F71A89">
        <w:rPr>
          <w:rFonts w:ascii="Verdana" w:eastAsia="Arial" w:hAnsi="Verdana" w:cs="Arial"/>
          <w:sz w:val="14"/>
          <w:szCs w:val="14"/>
          <w:lang w:val="es-ES"/>
        </w:rPr>
        <w:t>indispensable</w:t>
      </w:r>
      <w:r w:rsidRPr="00F71A89">
        <w:rPr>
          <w:rFonts w:ascii="Verdana" w:eastAsia="Arial" w:hAnsi="Verdana" w:cs="Arial"/>
          <w:spacing w:val="-9"/>
          <w:sz w:val="14"/>
          <w:szCs w:val="14"/>
          <w:lang w:val="es-ES"/>
        </w:rPr>
        <w:t xml:space="preserve"> </w:t>
      </w:r>
      <w:r w:rsidRPr="00F71A89">
        <w:rPr>
          <w:rFonts w:ascii="Verdana" w:eastAsia="Arial" w:hAnsi="Verdana" w:cs="Arial"/>
          <w:sz w:val="14"/>
          <w:szCs w:val="14"/>
          <w:lang w:val="es-ES"/>
        </w:rPr>
        <w:t>acreditar el requisito señalado anteriormente. El funcionario que no deje constancia de la verificación del cumplimiento de este requisito incurrirá en causal de mala</w:t>
      </w:r>
      <w:r w:rsidRPr="00F71A89">
        <w:rPr>
          <w:rFonts w:ascii="Verdana" w:eastAsia="Arial" w:hAnsi="Verdana" w:cs="Arial"/>
          <w:spacing w:val="-12"/>
          <w:sz w:val="14"/>
          <w:szCs w:val="14"/>
          <w:lang w:val="es-ES"/>
        </w:rPr>
        <w:t xml:space="preserve"> </w:t>
      </w:r>
      <w:r w:rsidRPr="00F71A89">
        <w:rPr>
          <w:rFonts w:ascii="Verdana" w:eastAsia="Arial" w:hAnsi="Verdana" w:cs="Arial"/>
          <w:sz w:val="14"/>
          <w:szCs w:val="14"/>
          <w:lang w:val="es-ES"/>
        </w:rPr>
        <w:t>conducta”.</w:t>
      </w:r>
    </w:p>
    <w:p w14:paraId="0D07D1FC" w14:textId="77777777" w:rsidR="009C576B" w:rsidRPr="00F71A89" w:rsidRDefault="009C576B" w:rsidP="00F71A89">
      <w:pPr>
        <w:pStyle w:val="Textonotapie"/>
        <w:jc w:val="both"/>
        <w:rPr>
          <w:rFonts w:ascii="Verdana" w:eastAsia="Arial" w:hAnsi="Verdana" w:cs="Arial"/>
          <w:sz w:val="14"/>
          <w:szCs w:val="14"/>
          <w:lang w:val="es-ES"/>
        </w:rPr>
      </w:pPr>
    </w:p>
  </w:footnote>
  <w:footnote w:id="21">
    <w:p w14:paraId="000F5FFB" w14:textId="77777777" w:rsidR="009C576B" w:rsidRPr="00F71A89" w:rsidRDefault="009C576B" w:rsidP="00F71A89">
      <w:pPr>
        <w:pStyle w:val="Textonotapie"/>
        <w:ind w:firstLine="708"/>
        <w:jc w:val="both"/>
        <w:rPr>
          <w:rFonts w:ascii="Verdana" w:eastAsia="Arial" w:hAnsi="Verdana" w:cs="Arial"/>
          <w:sz w:val="14"/>
          <w:szCs w:val="14"/>
          <w:lang w:val="es-ES"/>
        </w:rPr>
      </w:pPr>
      <w:r w:rsidRPr="00F71A89">
        <w:rPr>
          <w:rStyle w:val="Refdenotaalpie"/>
          <w:rFonts w:ascii="Verdana" w:hAnsi="Verdana" w:cs="Arial"/>
          <w:sz w:val="14"/>
          <w:szCs w:val="14"/>
        </w:rPr>
        <w:footnoteRef/>
      </w:r>
      <w:r w:rsidRPr="00F71A89">
        <w:rPr>
          <w:rFonts w:ascii="Verdana" w:hAnsi="Verdana" w:cs="Arial"/>
          <w:sz w:val="14"/>
          <w:szCs w:val="14"/>
        </w:rPr>
        <w:t xml:space="preserve"> </w:t>
      </w:r>
      <w:r w:rsidRPr="00F71A89">
        <w:rPr>
          <w:rFonts w:ascii="Verdana" w:eastAsia="Arial" w:hAnsi="Verdana" w:cs="Arial"/>
          <w:sz w:val="14"/>
          <w:szCs w:val="14"/>
          <w:lang w:val="es-ES"/>
        </w:rPr>
        <w:t>Consejo de Estado. Sala de lo Contencioso Administrativo. Sección Tercera. Subsección C. Sentencia del 8 de junio de 2011. Radicado: 20001-23-31-000-2005-00409-01(AP). C.P. Enrique Gil Botero.</w:t>
      </w:r>
    </w:p>
  </w:footnote>
  <w:footnote w:id="22">
    <w:p w14:paraId="68E1D2D5" w14:textId="77777777" w:rsidR="009C576B" w:rsidRPr="00F71A89" w:rsidRDefault="009C576B" w:rsidP="00F71A89">
      <w:pPr>
        <w:pStyle w:val="Textonotapie"/>
        <w:ind w:firstLine="708"/>
        <w:jc w:val="both"/>
        <w:rPr>
          <w:rFonts w:ascii="Verdana" w:hAnsi="Verdana" w:cs="Arial"/>
          <w:sz w:val="14"/>
          <w:szCs w:val="14"/>
          <w:lang w:val="es-CO"/>
        </w:rPr>
      </w:pPr>
      <w:r w:rsidRPr="00F71A89">
        <w:rPr>
          <w:rStyle w:val="Refdenotaalpie"/>
          <w:rFonts w:ascii="Verdana" w:hAnsi="Verdana" w:cs="Arial"/>
          <w:sz w:val="14"/>
          <w:szCs w:val="14"/>
        </w:rPr>
        <w:footnoteRef/>
      </w:r>
      <w:r w:rsidRPr="00F71A89">
        <w:rPr>
          <w:rFonts w:ascii="Verdana" w:hAnsi="Verdana" w:cs="Arial"/>
          <w:sz w:val="14"/>
          <w:szCs w:val="14"/>
        </w:rPr>
        <w:t xml:space="preserve"> Respecto a la revisoría fiscal de las sociedades extranjeras con sucursal en Colombia, el artículo 472.6 del Código de Comercio dispone que </w:t>
      </w:r>
      <w:r w:rsidRPr="00F71A89">
        <w:rPr>
          <w:rFonts w:ascii="Verdana" w:hAnsi="Verdana" w:cs="Arial"/>
          <w:sz w:val="14"/>
          <w:szCs w:val="14"/>
          <w:lang w:val="es-CO"/>
        </w:rPr>
        <w:t xml:space="preserve">la resolución o acto en que la sociedad acuerda establecer negocios permanentes en Colombia expresará “La designación del revisor fiscal, quien será persona natural con residencia permanente en Colombia”. </w:t>
      </w:r>
    </w:p>
    <w:p w14:paraId="3A622D7E" w14:textId="77777777" w:rsidR="009C576B" w:rsidRPr="00F71A89" w:rsidRDefault="009C576B" w:rsidP="00F71A89">
      <w:pPr>
        <w:pStyle w:val="Textonotapie"/>
        <w:ind w:firstLine="708"/>
        <w:jc w:val="both"/>
        <w:rPr>
          <w:rFonts w:ascii="Verdana" w:hAnsi="Verdana" w:cs="Arial"/>
          <w:sz w:val="14"/>
          <w:szCs w:val="14"/>
        </w:rPr>
      </w:pPr>
      <w:r w:rsidRPr="00F71A89">
        <w:rPr>
          <w:rFonts w:ascii="Verdana" w:hAnsi="Verdana" w:cs="Arial"/>
          <w:sz w:val="14"/>
          <w:szCs w:val="14"/>
          <w:lang w:val="es-CO"/>
        </w:rPr>
        <w:t xml:space="preserve">Por lo demás, el artículo el artículo 489 </w:t>
      </w:r>
      <w:r w:rsidRPr="00F71A89">
        <w:rPr>
          <w:rFonts w:ascii="Verdana" w:hAnsi="Verdana" w:cs="Arial"/>
          <w:i/>
          <w:iCs/>
          <w:sz w:val="14"/>
          <w:szCs w:val="14"/>
          <w:lang w:val="es-CO"/>
        </w:rPr>
        <w:t>ibidem</w:t>
      </w:r>
      <w:r w:rsidRPr="00F71A89">
        <w:rPr>
          <w:rFonts w:ascii="Verdana" w:hAnsi="Verdana" w:cs="Arial"/>
          <w:sz w:val="14"/>
          <w:szCs w:val="14"/>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23">
    <w:p w14:paraId="63780267" w14:textId="77777777" w:rsidR="009C576B" w:rsidRPr="00F71A89" w:rsidRDefault="009C576B" w:rsidP="00F71A89">
      <w:pPr>
        <w:pStyle w:val="Textonotapie"/>
        <w:ind w:firstLine="709"/>
        <w:jc w:val="both"/>
        <w:rPr>
          <w:rFonts w:ascii="Verdana" w:hAnsi="Verdana" w:cs="Arial"/>
          <w:iCs/>
          <w:color w:val="000000" w:themeColor="text1"/>
          <w:sz w:val="14"/>
          <w:szCs w:val="14"/>
        </w:rPr>
      </w:pPr>
      <w:r w:rsidRPr="00F71A89">
        <w:rPr>
          <w:rStyle w:val="Refdenotaalpie"/>
          <w:rFonts w:ascii="Verdana" w:hAnsi="Verdana" w:cs="Arial"/>
          <w:color w:val="000000" w:themeColor="text1"/>
          <w:sz w:val="14"/>
          <w:szCs w:val="14"/>
        </w:rPr>
        <w:footnoteRef/>
      </w:r>
      <w:r w:rsidRPr="00F71A89">
        <w:rPr>
          <w:rFonts w:ascii="Verdana" w:hAnsi="Verdana" w:cs="Arial"/>
          <w:color w:val="000000" w:themeColor="text1"/>
          <w:sz w:val="14"/>
          <w:szCs w:val="14"/>
        </w:rPr>
        <w:t xml:space="preserve"> </w:t>
      </w:r>
      <w:r w:rsidRPr="00F71A89">
        <w:rPr>
          <w:rFonts w:ascii="Verdana" w:hAnsi="Verdana" w:cs="Arial"/>
          <w:iCs/>
          <w:color w:val="000000" w:themeColor="text1"/>
          <w:sz w:val="14"/>
          <w:szCs w:val="14"/>
        </w:rPr>
        <w:t>Ley 1955 de 2019: “Artículo 244. Ingreso base de cotización [IBC] de los independientes.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0E011C23" w14:textId="77777777" w:rsidR="009C576B" w:rsidRPr="00F71A89" w:rsidRDefault="009C576B" w:rsidP="00F71A89">
      <w:pPr>
        <w:pStyle w:val="Textonotapie"/>
        <w:ind w:firstLine="709"/>
        <w:jc w:val="both"/>
        <w:rPr>
          <w:rFonts w:ascii="Verdana" w:hAnsi="Verdana" w:cs="Arial"/>
          <w:iCs/>
          <w:color w:val="000000" w:themeColor="text1"/>
          <w:sz w:val="14"/>
          <w:szCs w:val="14"/>
        </w:rPr>
      </w:pPr>
      <w:r w:rsidRPr="00F71A89">
        <w:rPr>
          <w:rFonts w:ascii="Verdana" w:hAnsi="Verdana" w:cs="Arial"/>
          <w:iCs/>
          <w:color w:val="000000" w:themeColor="text1"/>
          <w:sz w:val="14"/>
          <w:szCs w:val="14"/>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5BA121B6" w14:textId="77777777" w:rsidR="009C576B" w:rsidRPr="00F71A89" w:rsidRDefault="009C576B" w:rsidP="00F71A89">
      <w:pPr>
        <w:pStyle w:val="Textonotapie"/>
        <w:ind w:firstLine="709"/>
        <w:jc w:val="both"/>
        <w:rPr>
          <w:rFonts w:ascii="Verdana" w:hAnsi="Verdana" w:cs="Arial"/>
          <w:iCs/>
          <w:color w:val="000000" w:themeColor="text1"/>
          <w:sz w:val="14"/>
          <w:szCs w:val="14"/>
        </w:rPr>
      </w:pPr>
      <w:r w:rsidRPr="00F71A89">
        <w:rPr>
          <w:rFonts w:ascii="Verdana" w:hAnsi="Verdana" w:cs="Arial"/>
          <w:iCs/>
          <w:color w:val="000000" w:themeColor="text1"/>
          <w:sz w:val="14"/>
          <w:szCs w:val="14"/>
        </w:rPr>
        <w:t>El Gobierno nacional reglamentará el mecanismo para realizar la mensualización de que trata el presente artículo.</w:t>
      </w:r>
    </w:p>
    <w:p w14:paraId="4F972965" w14:textId="77777777" w:rsidR="009C576B" w:rsidRPr="00F71A89" w:rsidRDefault="009C576B" w:rsidP="00F71A89">
      <w:pPr>
        <w:pStyle w:val="Textonotapie"/>
        <w:ind w:firstLine="709"/>
        <w:jc w:val="both"/>
        <w:rPr>
          <w:rFonts w:ascii="Verdana" w:hAnsi="Verdana" w:cs="Arial"/>
          <w:iCs/>
          <w:color w:val="000000" w:themeColor="text1"/>
          <w:sz w:val="14"/>
          <w:szCs w:val="14"/>
        </w:rPr>
      </w:pPr>
      <w:r w:rsidRPr="00F71A89">
        <w:rPr>
          <w:rFonts w:ascii="Verdana" w:hAnsi="Verdana" w:cs="Arial"/>
          <w:iCs/>
          <w:color w:val="000000" w:themeColor="text1"/>
          <w:sz w:val="14"/>
          <w:szCs w:val="14"/>
        </w:rPr>
        <w:t>Parágrafo. Para efectos de la determinación del ingreso base de cotización de los trabajadores independientes por cuenta propia y para quienes celebren contratos diferentes de prestación de servicios personales que impliquen subcontratación y/o compra de insumos o expensas, la Unidad de Gestión Pensional y Parafiscales [UGPP] deberá, atendiendo a los datos estadísticos producidos por la Dirección de Impuestos y Aduanas Nacionales [DIAN], por el Departamento Administrativo Nacional de Estadística, por el Banco de la República, por la Superintendencia de Sociedades u otras entidades cuyas estadísticas fueren aplicables, determinar un esquema de presunción de costos.</w:t>
      </w:r>
    </w:p>
    <w:p w14:paraId="751BDF34" w14:textId="77777777" w:rsidR="009C576B" w:rsidRPr="00F71A89" w:rsidRDefault="009C576B" w:rsidP="00F71A89">
      <w:pPr>
        <w:pStyle w:val="Textonotapie"/>
        <w:ind w:firstLine="709"/>
        <w:jc w:val="both"/>
        <w:rPr>
          <w:rFonts w:ascii="Verdana" w:hAnsi="Verdana" w:cs="Arial"/>
          <w:iCs/>
          <w:color w:val="000000" w:themeColor="text1"/>
          <w:sz w:val="14"/>
          <w:szCs w:val="14"/>
        </w:rPr>
      </w:pPr>
      <w:r w:rsidRPr="00F71A89">
        <w:rPr>
          <w:rFonts w:ascii="Verdana" w:hAnsi="Verdana" w:cs="Arial"/>
          <w:iCs/>
          <w:color w:val="000000" w:themeColor="text1"/>
          <w:sz w:val="14"/>
          <w:szCs w:val="14"/>
        </w:rPr>
        <w:t xml:space="preserve">No </w:t>
      </w:r>
      <w:r w:rsidRPr="00F71A89">
        <w:rPr>
          <w:rFonts w:ascii="Verdana" w:hAnsi="Verdana" w:cs="Arial"/>
          <w:iCs/>
          <w:color w:val="000000" w:themeColor="text1"/>
          <w:sz w:val="14"/>
          <w:szCs w:val="14"/>
        </w:rPr>
        <w:t>obstante lo anterior, los obligados podrán establecer costos diferentes de los definidos por el esquema de presunción de costos de la UGPP, siempre y cuando cuenten con los documentos que soporten los costos y deducciones, los cuales deben cumplir con los requisitos establecidos en el artículo 107 del Estatuto Tributario y demás normas que regulen las exigencias para la validez de dichos documentos”.</w:t>
      </w:r>
    </w:p>
    <w:p w14:paraId="494ED416" w14:textId="77777777" w:rsidR="009C576B" w:rsidRPr="00F71A89" w:rsidRDefault="009C576B" w:rsidP="00F71A89">
      <w:pPr>
        <w:pStyle w:val="Textonotapie"/>
        <w:ind w:firstLine="709"/>
        <w:jc w:val="both"/>
        <w:rPr>
          <w:rFonts w:ascii="Verdana" w:hAnsi="Verdana" w:cs="Arial"/>
          <w:iCs/>
          <w:color w:val="000000" w:themeColor="text1"/>
          <w:sz w:val="14"/>
          <w:szCs w:val="14"/>
        </w:rPr>
      </w:pPr>
    </w:p>
  </w:footnote>
  <w:footnote w:id="24">
    <w:p w14:paraId="702B361E" w14:textId="77777777" w:rsidR="009C576B" w:rsidRPr="00F71A89" w:rsidRDefault="009C576B" w:rsidP="00F71A89">
      <w:pPr>
        <w:pStyle w:val="Textonotapie"/>
        <w:ind w:firstLine="709"/>
        <w:jc w:val="both"/>
        <w:rPr>
          <w:rFonts w:ascii="Verdana" w:hAnsi="Verdana" w:cs="Arial"/>
          <w:color w:val="000000" w:themeColor="text1"/>
          <w:sz w:val="14"/>
          <w:szCs w:val="14"/>
        </w:rPr>
      </w:pPr>
      <w:r w:rsidRPr="00F71A89">
        <w:rPr>
          <w:rStyle w:val="Refdenotaalpie"/>
          <w:rFonts w:ascii="Verdana" w:hAnsi="Verdana" w:cs="Arial"/>
          <w:color w:val="000000" w:themeColor="text1"/>
          <w:sz w:val="14"/>
          <w:szCs w:val="14"/>
        </w:rPr>
        <w:footnoteRef/>
      </w:r>
      <w:r w:rsidRPr="00F71A89">
        <w:rPr>
          <w:rFonts w:ascii="Verdana" w:hAnsi="Verdana" w:cs="Arial"/>
          <w:color w:val="000000" w:themeColor="text1"/>
          <w:sz w:val="14"/>
          <w:szCs w:val="14"/>
        </w:rPr>
        <w:t xml:space="preserve">  La Corte expuso lo siguiente como síntesis de la decisión: “</w:t>
      </w:r>
      <w:r w:rsidRPr="00F71A89">
        <w:rPr>
          <w:rFonts w:ascii="Verdana" w:hAnsi="Verdana" w:cs="Arial"/>
          <w:sz w:val="14"/>
          <w:szCs w:val="14"/>
        </w:rPr>
        <w:t>[…]</w:t>
      </w:r>
      <w:r w:rsidRPr="00F71A89">
        <w:rPr>
          <w:rFonts w:ascii="Verdana" w:hAnsi="Verdana" w:cs="Arial"/>
          <w:color w:val="000000" w:themeColor="text1"/>
          <w:sz w:val="14"/>
          <w:szCs w:val="14"/>
        </w:rPr>
        <w:t>164. Los demandantes propusieron la inconstitucionalidad del artículo 244 de la Ley 1955 de 2019, por desconocimiento del principio de unidad de materia. Luego de avalar la integración normativa y advertir la inexistencia de cosa juzgada, la Corte concluyó que era procedente adelantar el juicio de constitucionalidad.</w:t>
      </w:r>
    </w:p>
    <w:p w14:paraId="44C80CD7" w14:textId="77777777" w:rsidR="009C576B" w:rsidRPr="00F71A89" w:rsidRDefault="009C576B" w:rsidP="00F71A89">
      <w:pPr>
        <w:pStyle w:val="Textonotapie"/>
        <w:ind w:firstLine="709"/>
        <w:jc w:val="both"/>
        <w:rPr>
          <w:rFonts w:ascii="Verdana" w:hAnsi="Verdana" w:cs="Arial"/>
          <w:color w:val="000000" w:themeColor="text1"/>
          <w:sz w:val="14"/>
          <w:szCs w:val="14"/>
        </w:rPr>
      </w:pPr>
      <w:r w:rsidRPr="00F71A89">
        <w:rPr>
          <w:rFonts w:ascii="Verdana" w:hAnsi="Verdana" w:cs="Arial"/>
          <w:color w:val="000000" w:themeColor="text1"/>
          <w:sz w:val="14"/>
          <w:szCs w:val="14"/>
        </w:rPr>
        <w:t>165. En tal sentido, la Sala concluyó que el artículo 244 de la Ley 1955 de 2019, adicionado por el artículo 139 de la Ley 2010 de 2019, desconoce el mandato constitucional de unidad de materia previsto en el artículo 158 del Texto Superior, toda vez que no existe una conexidad directa o inmediata entre la regulación del Ingreso Base de Cotización para los trabajadores independientes con contratos diferentes al de prestación de servicios y los objetivos, metas o estrategias previstos en el Plan Nacional de Desarrollo. Sin embargo, difiere los efectos de esta decisión a las dos próximas legislaturas a fin no afectar derechos y principios constitucionales relacionados con la base de cotización de trabajadores independientes al Sistema Integral de Seguridad Social”. Corte Constitucional. Sentencia C-068 del 19 de febrero de 2020. M.P. Diana Fajardo Rivera.</w:t>
      </w:r>
    </w:p>
  </w:footnote>
  <w:footnote w:id="25">
    <w:p w14:paraId="49A17C55" w14:textId="77777777" w:rsidR="009C576B" w:rsidRPr="00F71A89" w:rsidRDefault="009C576B" w:rsidP="00F71A89">
      <w:pPr>
        <w:pStyle w:val="Textonotapie"/>
        <w:ind w:firstLine="709"/>
        <w:rPr>
          <w:rFonts w:ascii="Verdana" w:hAnsi="Verdana"/>
          <w:sz w:val="14"/>
          <w:szCs w:val="14"/>
        </w:rPr>
      </w:pPr>
      <w:r w:rsidRPr="00F71A89">
        <w:rPr>
          <w:rStyle w:val="Refdenotaalpie"/>
          <w:rFonts w:ascii="Verdana" w:hAnsi="Verdana"/>
          <w:sz w:val="14"/>
          <w:szCs w:val="14"/>
        </w:rPr>
        <w:footnoteRef/>
      </w:r>
      <w:r w:rsidRPr="00F71A89">
        <w:rPr>
          <w:rFonts w:ascii="Verdana" w:hAnsi="Verdana"/>
          <w:sz w:val="14"/>
          <w:szCs w:val="14"/>
        </w:rPr>
        <w:t xml:space="preserve"> Se Puede consultar en </w:t>
      </w:r>
      <w:hyperlink r:id="rId2" w:history="1">
        <w:r w:rsidRPr="00F71A89">
          <w:rPr>
            <w:rStyle w:val="Hipervnculo"/>
            <w:rFonts w:ascii="Verdana" w:hAnsi="Verdana"/>
            <w:sz w:val="14"/>
            <w:szCs w:val="14"/>
            <w:lang w:val="es-CO"/>
          </w:rPr>
          <w:t>Instructivo Registro Hoja de Vida SIGEP</w:t>
        </w:r>
      </w:hyperlink>
    </w:p>
    <w:p w14:paraId="532B95C1" w14:textId="77777777" w:rsidR="009C576B" w:rsidRPr="00563A6D" w:rsidRDefault="009C576B" w:rsidP="00F71A89">
      <w:pPr>
        <w:pStyle w:val="Textonotapie"/>
        <w:rPr>
          <w:rFonts w:ascii="Verdana" w:hAnsi="Verdana"/>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B811F29"/>
    <w:multiLevelType w:val="hybridMultilevel"/>
    <w:tmpl w:val="20D4D7C2"/>
    <w:lvl w:ilvl="0" w:tplc="B194152C">
      <w:start w:val="2"/>
      <w:numFmt w:val="lowerRoman"/>
      <w:lvlText w:val="%1)"/>
      <w:lvlJc w:val="left"/>
      <w:pPr>
        <w:ind w:left="260" w:hanging="296"/>
      </w:pPr>
      <w:rPr>
        <w:rFonts w:ascii="Verdana" w:eastAsia="Verdana" w:hAnsi="Verdana" w:cs="Verdana" w:hint="default"/>
        <w:b w:val="0"/>
        <w:bCs w:val="0"/>
        <w:i w:val="0"/>
        <w:iCs w:val="0"/>
        <w:spacing w:val="0"/>
        <w:w w:val="92"/>
        <w:sz w:val="22"/>
        <w:szCs w:val="22"/>
        <w:lang w:val="es-ES" w:eastAsia="en-US" w:bidi="ar-SA"/>
      </w:rPr>
    </w:lvl>
    <w:lvl w:ilvl="1" w:tplc="AA1C9BE6">
      <w:numFmt w:val="bullet"/>
      <w:lvlText w:val="•"/>
      <w:lvlJc w:val="left"/>
      <w:pPr>
        <w:ind w:left="1170" w:hanging="296"/>
      </w:pPr>
      <w:rPr>
        <w:rFonts w:hint="default"/>
        <w:lang w:val="es-ES" w:eastAsia="en-US" w:bidi="ar-SA"/>
      </w:rPr>
    </w:lvl>
    <w:lvl w:ilvl="2" w:tplc="4C387F1A">
      <w:numFmt w:val="bullet"/>
      <w:lvlText w:val="•"/>
      <w:lvlJc w:val="left"/>
      <w:pPr>
        <w:ind w:left="2080" w:hanging="296"/>
      </w:pPr>
      <w:rPr>
        <w:rFonts w:hint="default"/>
        <w:lang w:val="es-ES" w:eastAsia="en-US" w:bidi="ar-SA"/>
      </w:rPr>
    </w:lvl>
    <w:lvl w:ilvl="3" w:tplc="90685690">
      <w:numFmt w:val="bullet"/>
      <w:lvlText w:val="•"/>
      <w:lvlJc w:val="left"/>
      <w:pPr>
        <w:ind w:left="2990" w:hanging="296"/>
      </w:pPr>
      <w:rPr>
        <w:rFonts w:hint="default"/>
        <w:lang w:val="es-ES" w:eastAsia="en-US" w:bidi="ar-SA"/>
      </w:rPr>
    </w:lvl>
    <w:lvl w:ilvl="4" w:tplc="3D428DBC">
      <w:numFmt w:val="bullet"/>
      <w:lvlText w:val="•"/>
      <w:lvlJc w:val="left"/>
      <w:pPr>
        <w:ind w:left="3900" w:hanging="296"/>
      </w:pPr>
      <w:rPr>
        <w:rFonts w:hint="default"/>
        <w:lang w:val="es-ES" w:eastAsia="en-US" w:bidi="ar-SA"/>
      </w:rPr>
    </w:lvl>
    <w:lvl w:ilvl="5" w:tplc="08CCECDC">
      <w:numFmt w:val="bullet"/>
      <w:lvlText w:val="•"/>
      <w:lvlJc w:val="left"/>
      <w:pPr>
        <w:ind w:left="4810" w:hanging="296"/>
      </w:pPr>
      <w:rPr>
        <w:rFonts w:hint="default"/>
        <w:lang w:val="es-ES" w:eastAsia="en-US" w:bidi="ar-SA"/>
      </w:rPr>
    </w:lvl>
    <w:lvl w:ilvl="6" w:tplc="3796F5B8">
      <w:numFmt w:val="bullet"/>
      <w:lvlText w:val="•"/>
      <w:lvlJc w:val="left"/>
      <w:pPr>
        <w:ind w:left="5720" w:hanging="296"/>
      </w:pPr>
      <w:rPr>
        <w:rFonts w:hint="default"/>
        <w:lang w:val="es-ES" w:eastAsia="en-US" w:bidi="ar-SA"/>
      </w:rPr>
    </w:lvl>
    <w:lvl w:ilvl="7" w:tplc="5AD88884">
      <w:numFmt w:val="bullet"/>
      <w:lvlText w:val="•"/>
      <w:lvlJc w:val="left"/>
      <w:pPr>
        <w:ind w:left="6630" w:hanging="296"/>
      </w:pPr>
      <w:rPr>
        <w:rFonts w:hint="default"/>
        <w:lang w:val="es-ES" w:eastAsia="en-US" w:bidi="ar-SA"/>
      </w:rPr>
    </w:lvl>
    <w:lvl w:ilvl="8" w:tplc="D6C275E4">
      <w:numFmt w:val="bullet"/>
      <w:lvlText w:val="•"/>
      <w:lvlJc w:val="left"/>
      <w:pPr>
        <w:ind w:left="7540" w:hanging="296"/>
      </w:pPr>
      <w:rPr>
        <w:rFonts w:hint="default"/>
        <w:lang w:val="es-ES" w:eastAsia="en-US" w:bidi="ar-SA"/>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211F3D"/>
    <w:multiLevelType w:val="hybridMultilevel"/>
    <w:tmpl w:val="A67A2D1E"/>
    <w:lvl w:ilvl="0" w:tplc="9496BE6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0CD2D5A"/>
    <w:multiLevelType w:val="hybridMultilevel"/>
    <w:tmpl w:val="58CE5B02"/>
    <w:lvl w:ilvl="0" w:tplc="3C644CD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1"/>
  </w:num>
  <w:num w:numId="16" w16cid:durableId="341274352">
    <w:abstractNumId w:val="0"/>
  </w:num>
  <w:num w:numId="17" w16cid:durableId="1358431546">
    <w:abstractNumId w:val="3"/>
  </w:num>
  <w:num w:numId="18" w16cid:durableId="1352874029">
    <w:abstractNumId w:val="12"/>
  </w:num>
  <w:num w:numId="19" w16cid:durableId="219750525">
    <w:abstractNumId w:val="17"/>
  </w:num>
  <w:num w:numId="20" w16cid:durableId="76947576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853"/>
    <w:rsid w:val="00031F51"/>
    <w:rsid w:val="00043D10"/>
    <w:rsid w:val="00046945"/>
    <w:rsid w:val="00061B2A"/>
    <w:rsid w:val="000666D2"/>
    <w:rsid w:val="00082362"/>
    <w:rsid w:val="00084004"/>
    <w:rsid w:val="000A0D49"/>
    <w:rsid w:val="000A425B"/>
    <w:rsid w:val="000A683E"/>
    <w:rsid w:val="000B19B9"/>
    <w:rsid w:val="000D0334"/>
    <w:rsid w:val="000D5DA7"/>
    <w:rsid w:val="000E05C7"/>
    <w:rsid w:val="000F6486"/>
    <w:rsid w:val="00116940"/>
    <w:rsid w:val="001225D2"/>
    <w:rsid w:val="00125105"/>
    <w:rsid w:val="00127233"/>
    <w:rsid w:val="00130402"/>
    <w:rsid w:val="00131A22"/>
    <w:rsid w:val="00142ED2"/>
    <w:rsid w:val="0014714D"/>
    <w:rsid w:val="0015699B"/>
    <w:rsid w:val="001939A2"/>
    <w:rsid w:val="0019571D"/>
    <w:rsid w:val="001A33BF"/>
    <w:rsid w:val="001B0B79"/>
    <w:rsid w:val="001C0AB4"/>
    <w:rsid w:val="001C3E32"/>
    <w:rsid w:val="001E4177"/>
    <w:rsid w:val="001E44C0"/>
    <w:rsid w:val="001F0B24"/>
    <w:rsid w:val="001F7DC6"/>
    <w:rsid w:val="00216129"/>
    <w:rsid w:val="0022400B"/>
    <w:rsid w:val="00241E71"/>
    <w:rsid w:val="002421BB"/>
    <w:rsid w:val="0025796E"/>
    <w:rsid w:val="002707A2"/>
    <w:rsid w:val="002951A0"/>
    <w:rsid w:val="002962BC"/>
    <w:rsid w:val="002A093D"/>
    <w:rsid w:val="002A0DD0"/>
    <w:rsid w:val="002A49AC"/>
    <w:rsid w:val="002A64FD"/>
    <w:rsid w:val="002C7A84"/>
    <w:rsid w:val="002D3ED3"/>
    <w:rsid w:val="002E2BF8"/>
    <w:rsid w:val="002E4FD9"/>
    <w:rsid w:val="002F0E93"/>
    <w:rsid w:val="002F111E"/>
    <w:rsid w:val="00300A08"/>
    <w:rsid w:val="0030657A"/>
    <w:rsid w:val="00322A85"/>
    <w:rsid w:val="00324168"/>
    <w:rsid w:val="00330834"/>
    <w:rsid w:val="003448F4"/>
    <w:rsid w:val="00350C36"/>
    <w:rsid w:val="003741FA"/>
    <w:rsid w:val="00374F5E"/>
    <w:rsid w:val="00377E3E"/>
    <w:rsid w:val="003815D3"/>
    <w:rsid w:val="003A2F7D"/>
    <w:rsid w:val="003A779E"/>
    <w:rsid w:val="003D0F4D"/>
    <w:rsid w:val="003D5B0D"/>
    <w:rsid w:val="003E0499"/>
    <w:rsid w:val="003E4F80"/>
    <w:rsid w:val="003E6439"/>
    <w:rsid w:val="003F3941"/>
    <w:rsid w:val="00406575"/>
    <w:rsid w:val="00414C74"/>
    <w:rsid w:val="00415906"/>
    <w:rsid w:val="004205F5"/>
    <w:rsid w:val="0042722E"/>
    <w:rsid w:val="0044528D"/>
    <w:rsid w:val="00453BA1"/>
    <w:rsid w:val="00466E39"/>
    <w:rsid w:val="00471685"/>
    <w:rsid w:val="0049198E"/>
    <w:rsid w:val="004A1847"/>
    <w:rsid w:val="004A305D"/>
    <w:rsid w:val="004B024E"/>
    <w:rsid w:val="004E03DE"/>
    <w:rsid w:val="004F21C4"/>
    <w:rsid w:val="004F3ABE"/>
    <w:rsid w:val="004F685F"/>
    <w:rsid w:val="00526677"/>
    <w:rsid w:val="005268FC"/>
    <w:rsid w:val="005566E8"/>
    <w:rsid w:val="00563A6D"/>
    <w:rsid w:val="00574867"/>
    <w:rsid w:val="0058001E"/>
    <w:rsid w:val="00591460"/>
    <w:rsid w:val="005A65E0"/>
    <w:rsid w:val="005C3777"/>
    <w:rsid w:val="005C5CDC"/>
    <w:rsid w:val="005D476C"/>
    <w:rsid w:val="00606F07"/>
    <w:rsid w:val="00611043"/>
    <w:rsid w:val="006121BD"/>
    <w:rsid w:val="00613520"/>
    <w:rsid w:val="006200BF"/>
    <w:rsid w:val="006219F8"/>
    <w:rsid w:val="006245B1"/>
    <w:rsid w:val="006302F7"/>
    <w:rsid w:val="00632A55"/>
    <w:rsid w:val="00646B9F"/>
    <w:rsid w:val="006557EB"/>
    <w:rsid w:val="00665D70"/>
    <w:rsid w:val="00671CBB"/>
    <w:rsid w:val="006900D9"/>
    <w:rsid w:val="006956AD"/>
    <w:rsid w:val="006B1347"/>
    <w:rsid w:val="006B347F"/>
    <w:rsid w:val="00706C16"/>
    <w:rsid w:val="0072556C"/>
    <w:rsid w:val="007340C3"/>
    <w:rsid w:val="0075235A"/>
    <w:rsid w:val="00756841"/>
    <w:rsid w:val="007649AB"/>
    <w:rsid w:val="00771D0C"/>
    <w:rsid w:val="007833AC"/>
    <w:rsid w:val="00786EF8"/>
    <w:rsid w:val="007A2740"/>
    <w:rsid w:val="007B268C"/>
    <w:rsid w:val="007B7171"/>
    <w:rsid w:val="007C0C0F"/>
    <w:rsid w:val="007C3DC2"/>
    <w:rsid w:val="007C7CC4"/>
    <w:rsid w:val="007D6184"/>
    <w:rsid w:val="007E0CCD"/>
    <w:rsid w:val="007E5497"/>
    <w:rsid w:val="007F430C"/>
    <w:rsid w:val="007F532E"/>
    <w:rsid w:val="007F5F66"/>
    <w:rsid w:val="00803D4D"/>
    <w:rsid w:val="00806F5F"/>
    <w:rsid w:val="00817233"/>
    <w:rsid w:val="00820278"/>
    <w:rsid w:val="008258C9"/>
    <w:rsid w:val="00832B42"/>
    <w:rsid w:val="00844AE9"/>
    <w:rsid w:val="00867F95"/>
    <w:rsid w:val="008843B6"/>
    <w:rsid w:val="00891928"/>
    <w:rsid w:val="008A446D"/>
    <w:rsid w:val="008A4CCF"/>
    <w:rsid w:val="008B25F1"/>
    <w:rsid w:val="008C293A"/>
    <w:rsid w:val="008C42CF"/>
    <w:rsid w:val="008C78AF"/>
    <w:rsid w:val="008D180B"/>
    <w:rsid w:val="008F031C"/>
    <w:rsid w:val="008F0EA7"/>
    <w:rsid w:val="008F211A"/>
    <w:rsid w:val="0090137A"/>
    <w:rsid w:val="00923EEF"/>
    <w:rsid w:val="00941351"/>
    <w:rsid w:val="009419F9"/>
    <w:rsid w:val="00943597"/>
    <w:rsid w:val="0095685E"/>
    <w:rsid w:val="0095688E"/>
    <w:rsid w:val="00961B09"/>
    <w:rsid w:val="00965334"/>
    <w:rsid w:val="0097093E"/>
    <w:rsid w:val="009907A0"/>
    <w:rsid w:val="009A0D0A"/>
    <w:rsid w:val="009A0DFA"/>
    <w:rsid w:val="009A1C6F"/>
    <w:rsid w:val="009B2D26"/>
    <w:rsid w:val="009C576B"/>
    <w:rsid w:val="009C71FA"/>
    <w:rsid w:val="009C72E7"/>
    <w:rsid w:val="009C7F7E"/>
    <w:rsid w:val="009D3058"/>
    <w:rsid w:val="009F3A13"/>
    <w:rsid w:val="00A122D3"/>
    <w:rsid w:val="00A14468"/>
    <w:rsid w:val="00A17F13"/>
    <w:rsid w:val="00A20739"/>
    <w:rsid w:val="00A23AF9"/>
    <w:rsid w:val="00A33C78"/>
    <w:rsid w:val="00A41AE3"/>
    <w:rsid w:val="00A63D7A"/>
    <w:rsid w:val="00A7378D"/>
    <w:rsid w:val="00A82C89"/>
    <w:rsid w:val="00AA0A8C"/>
    <w:rsid w:val="00AA3BBA"/>
    <w:rsid w:val="00AB0ADB"/>
    <w:rsid w:val="00AD20B8"/>
    <w:rsid w:val="00B00C0E"/>
    <w:rsid w:val="00B01B1A"/>
    <w:rsid w:val="00B0381D"/>
    <w:rsid w:val="00B44A47"/>
    <w:rsid w:val="00B72CD3"/>
    <w:rsid w:val="00B72FFF"/>
    <w:rsid w:val="00B803B2"/>
    <w:rsid w:val="00BC3D36"/>
    <w:rsid w:val="00BD4CF9"/>
    <w:rsid w:val="00BD54A6"/>
    <w:rsid w:val="00BD7F72"/>
    <w:rsid w:val="00BF7425"/>
    <w:rsid w:val="00C04FB3"/>
    <w:rsid w:val="00C113EF"/>
    <w:rsid w:val="00C11D8B"/>
    <w:rsid w:val="00C15139"/>
    <w:rsid w:val="00C32302"/>
    <w:rsid w:val="00C330EB"/>
    <w:rsid w:val="00C34FE1"/>
    <w:rsid w:val="00C40D5A"/>
    <w:rsid w:val="00C50D69"/>
    <w:rsid w:val="00C5365C"/>
    <w:rsid w:val="00C67760"/>
    <w:rsid w:val="00C754BE"/>
    <w:rsid w:val="00C76B1C"/>
    <w:rsid w:val="00C925AC"/>
    <w:rsid w:val="00CB6357"/>
    <w:rsid w:val="00CC1B26"/>
    <w:rsid w:val="00CC7CF1"/>
    <w:rsid w:val="00CD3C1E"/>
    <w:rsid w:val="00D361FD"/>
    <w:rsid w:val="00D423A2"/>
    <w:rsid w:val="00D44E26"/>
    <w:rsid w:val="00D46EE8"/>
    <w:rsid w:val="00D520D8"/>
    <w:rsid w:val="00D63AC2"/>
    <w:rsid w:val="00D7383B"/>
    <w:rsid w:val="00D7788A"/>
    <w:rsid w:val="00D954B3"/>
    <w:rsid w:val="00DA231B"/>
    <w:rsid w:val="00DC1D2A"/>
    <w:rsid w:val="00DC1F1C"/>
    <w:rsid w:val="00DC39FC"/>
    <w:rsid w:val="00DF5254"/>
    <w:rsid w:val="00E02524"/>
    <w:rsid w:val="00E16408"/>
    <w:rsid w:val="00E20894"/>
    <w:rsid w:val="00E245AB"/>
    <w:rsid w:val="00E2764C"/>
    <w:rsid w:val="00E27F2E"/>
    <w:rsid w:val="00E50AFE"/>
    <w:rsid w:val="00E50F2C"/>
    <w:rsid w:val="00E75C92"/>
    <w:rsid w:val="00E771DC"/>
    <w:rsid w:val="00E853F9"/>
    <w:rsid w:val="00E8772A"/>
    <w:rsid w:val="00E90F6B"/>
    <w:rsid w:val="00E92C27"/>
    <w:rsid w:val="00EA0E3D"/>
    <w:rsid w:val="00EC38A7"/>
    <w:rsid w:val="00EC7892"/>
    <w:rsid w:val="00EE1AA8"/>
    <w:rsid w:val="00F14F60"/>
    <w:rsid w:val="00F23FEA"/>
    <w:rsid w:val="00F2792C"/>
    <w:rsid w:val="00F31EDC"/>
    <w:rsid w:val="00F462B3"/>
    <w:rsid w:val="00F56249"/>
    <w:rsid w:val="00F5664F"/>
    <w:rsid w:val="00F63CDD"/>
    <w:rsid w:val="00F666C4"/>
    <w:rsid w:val="00F71A89"/>
    <w:rsid w:val="00F76AFC"/>
    <w:rsid w:val="00F963DF"/>
    <w:rsid w:val="00FA47C0"/>
    <w:rsid w:val="00FB5DD1"/>
    <w:rsid w:val="00FC2B5D"/>
    <w:rsid w:val="00FC3608"/>
    <w:rsid w:val="00FF1449"/>
    <w:rsid w:val="00FF1BEF"/>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6C397CF7"/>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9C576B"/>
    <w:rPr>
      <w:rFonts w:ascii="Geomanist Light" w:hAnsi="Geomanist Light"/>
      <w:lang w:val="es-ES"/>
    </w:rPr>
  </w:style>
  <w:style w:type="paragraph" w:customStyle="1" w:styleId="Appelnotedebasde">
    <w:name w:val="Appel note de bas de..."/>
    <w:basedOn w:val="Normal"/>
    <w:link w:val="Refdenotaalpie"/>
    <w:uiPriority w:val="99"/>
    <w:rsid w:val="009C576B"/>
    <w:pPr>
      <w:spacing w:line="240" w:lineRule="exact"/>
    </w:pPr>
    <w:rPr>
      <w:vertAlign w:val="superscript"/>
    </w:rPr>
  </w:style>
  <w:style w:type="character" w:customStyle="1" w:styleId="citation-182">
    <w:name w:val="citation-182"/>
    <w:basedOn w:val="Fuentedeprrafopredeter"/>
    <w:rsid w:val="009C57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080_1993.html"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gustavopatarroyo@hot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1.funcionpublica.gov.co/documents/36277897/0/2025-03-18_Registro_hoja_vida_sigep_pdf.pdf/68725f26-0b28-3fab-f4a7-1194b752d3d7"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wp-content/uploads/2024/08/cce-eicp-gi-23_guia_contratacion_prestacion_de_servicios_v1_11-07-2023_def_1_1.pdf"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1.funcionpublica.gov.co/documents/36277897/0/2025-03-18_Registro_hoja_vida_sigep_pdf.pdf/68725f26-0b28-3fab-f4a7-1194b752d3d7" TargetMode="External"/><Relationship Id="rId1" Type="http://schemas.openxmlformats.org/officeDocument/2006/relationships/hyperlink" Target="https://www.colombiacompra.gov.co/wp-content/uploads/2024/08/cce-eicp-gi-23_guia_contratacion_prestacion_de_servicios_v1_11-07-2023_def_1_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FD557E05-8C6D-4888-9A49-D93E7F4178FC}">
  <ds:schemaRefs>
    <ds:schemaRef ds:uri="http://schemas.openxmlformats.org/officeDocument/2006/bibliography"/>
  </ds:schemaRefs>
</ds:datastoreItem>
</file>

<file path=customXml/itemProps4.xml><?xml version="1.0" encoding="utf-8"?>
<ds:datastoreItem xmlns:ds="http://schemas.openxmlformats.org/officeDocument/2006/customXml" ds:itemID="{0BA25B4E-7C29-4140-B056-C625732493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141</TotalTime>
  <Pages>33</Pages>
  <Words>11179</Words>
  <Characters>59701</Characters>
  <Application>Microsoft Office Word</Application>
  <DocSecurity>0</DocSecurity>
  <Lines>1105</Lines>
  <Paragraphs>245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70635</CharactersWithSpaces>
  <SharedDoc>false</SharedDoc>
  <HLinks>
    <vt:vector size="60"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8323150</vt:i4>
      </vt:variant>
      <vt:variant>
        <vt:i4>9</vt:i4>
      </vt:variant>
      <vt:variant>
        <vt:i4>0</vt:i4>
      </vt:variant>
      <vt:variant>
        <vt:i4>5</vt:i4>
      </vt:variant>
      <vt:variant>
        <vt:lpwstr>https://www1.funcionpublica.gov.co/documents/36277897/0/2025-03-18_Registro_hoja_vida_sigep_pdf.pdf/68725f26-0b28-3fab-f4a7-1194b752d3d7</vt:lpwstr>
      </vt:variant>
      <vt:variant>
        <vt:lpwstr/>
      </vt:variant>
      <vt:variant>
        <vt:i4>720970</vt:i4>
      </vt:variant>
      <vt:variant>
        <vt:i4>6</vt:i4>
      </vt:variant>
      <vt:variant>
        <vt:i4>0</vt:i4>
      </vt:variant>
      <vt:variant>
        <vt:i4>5</vt:i4>
      </vt:variant>
      <vt:variant>
        <vt:lpwstr>https://www.colombiacompra.gov.co/wp-content/uploads/2024/08/cce-eicp-gi-23_guia_contratacion_prestacion_de_servicios_v1_11-07-2023_def_1_1.pdf</vt:lpwstr>
      </vt:variant>
      <vt:variant>
        <vt:lpwstr/>
      </vt:variant>
      <vt:variant>
        <vt:i4>720914</vt:i4>
      </vt:variant>
      <vt:variant>
        <vt:i4>3</vt:i4>
      </vt:variant>
      <vt:variant>
        <vt:i4>0</vt:i4>
      </vt:variant>
      <vt:variant>
        <vt:i4>5</vt:i4>
      </vt:variant>
      <vt:variant>
        <vt:lpwstr>http://www.secretariasenado.gov.co/senado/basedoc/ley_0080_1993.html</vt:lpwstr>
      </vt:variant>
      <vt:variant>
        <vt:lpwstr>42</vt:lpwstr>
      </vt:variant>
      <vt:variant>
        <vt:i4>1638457</vt:i4>
      </vt:variant>
      <vt:variant>
        <vt:i4>0</vt:i4>
      </vt:variant>
      <vt:variant>
        <vt:i4>0</vt:i4>
      </vt:variant>
      <vt:variant>
        <vt:i4>5</vt:i4>
      </vt:variant>
      <vt:variant>
        <vt:lpwstr>mailto:gustavopatarroyo@hotmail.com</vt:lpwstr>
      </vt:variant>
      <vt:variant>
        <vt:lpwstr/>
      </vt:variant>
      <vt:variant>
        <vt:i4>8323150</vt:i4>
      </vt:variant>
      <vt:variant>
        <vt:i4>3</vt:i4>
      </vt:variant>
      <vt:variant>
        <vt:i4>0</vt:i4>
      </vt:variant>
      <vt:variant>
        <vt:i4>5</vt:i4>
      </vt:variant>
      <vt:variant>
        <vt:lpwstr>https://www1.funcionpublica.gov.co/documents/36277897/0/2025-03-18_Registro_hoja_vida_sigep_pdf.pdf/68725f26-0b28-3fab-f4a7-1194b752d3d7</vt:lpwstr>
      </vt:variant>
      <vt:variant>
        <vt:lpwstr/>
      </vt:variant>
      <vt:variant>
        <vt:i4>720970</vt:i4>
      </vt:variant>
      <vt:variant>
        <vt:i4>0</vt:i4>
      </vt:variant>
      <vt:variant>
        <vt:i4>0</vt:i4>
      </vt:variant>
      <vt:variant>
        <vt:i4>5</vt:i4>
      </vt:variant>
      <vt:variant>
        <vt:lpwstr>https://www.colombiacompra.gov.co/wp-content/uploads/2024/08/cce-eicp-gi-23_guia_contratacion_prestacion_de_servicios_v1_11-07-2023_def_1_1.pdf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8</cp:revision>
  <cp:lastPrinted>2023-01-10T21:18:00Z</cp:lastPrinted>
  <dcterms:created xsi:type="dcterms:W3CDTF">2026-03-10T23:50:00Z</dcterms:created>
  <dcterms:modified xsi:type="dcterms:W3CDTF">2026-03-13T21:07:00Z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