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194A58" w14:textId="77777777" w:rsidR="00454E3B" w:rsidRPr="001F370F" w:rsidRDefault="00454E3B" w:rsidP="00454E3B">
      <w:pPr>
        <w:pStyle w:val="paragraph"/>
        <w:spacing w:before="0" w:beforeAutospacing="0" w:after="0" w:afterAutospacing="0"/>
        <w:jc w:val="both"/>
        <w:textAlignment w:val="baseline"/>
        <w:rPr>
          <w:rFonts w:ascii="Verdana" w:hAnsi="Verdana" w:cs="Arial"/>
          <w:sz w:val="22"/>
          <w:szCs w:val="22"/>
        </w:rPr>
      </w:pPr>
      <w:bookmarkStart w:id="0" w:name="_Hlk143780582"/>
      <w:r w:rsidRPr="001F370F">
        <w:rPr>
          <w:rStyle w:val="normaltextrun"/>
          <w:rFonts w:ascii="Verdana" w:hAnsi="Verdana" w:cs="Arial"/>
          <w:b/>
          <w:bCs/>
          <w:sz w:val="22"/>
          <w:szCs w:val="22"/>
          <w:lang w:val="es-MX"/>
        </w:rPr>
        <w:t>LEY DE GARANTÍAS ELECTORALES ‒ Finalidad</w:t>
      </w:r>
      <w:r w:rsidRPr="001F370F">
        <w:rPr>
          <w:rStyle w:val="eop"/>
          <w:rFonts w:ascii="Verdana" w:hAnsi="Verdana" w:cs="Arial"/>
          <w:sz w:val="22"/>
          <w:szCs w:val="22"/>
        </w:rPr>
        <w:t> </w:t>
      </w:r>
    </w:p>
    <w:p w14:paraId="1D45DB8D" w14:textId="77777777" w:rsidR="00454E3B" w:rsidRPr="001F370F" w:rsidRDefault="00454E3B" w:rsidP="00454E3B">
      <w:pPr>
        <w:pStyle w:val="paragraph"/>
        <w:spacing w:before="0" w:beforeAutospacing="0" w:after="0" w:afterAutospacing="0"/>
        <w:jc w:val="both"/>
        <w:textAlignment w:val="baseline"/>
        <w:rPr>
          <w:rFonts w:ascii="Verdana" w:hAnsi="Verdana" w:cs="Arial"/>
          <w:sz w:val="20"/>
          <w:szCs w:val="20"/>
        </w:rPr>
      </w:pPr>
      <w:r w:rsidRPr="001F370F">
        <w:rPr>
          <w:rStyle w:val="eop"/>
          <w:rFonts w:ascii="Verdana" w:hAnsi="Verdana" w:cs="Arial"/>
          <w:sz w:val="20"/>
          <w:szCs w:val="20"/>
        </w:rPr>
        <w:t> </w:t>
      </w:r>
    </w:p>
    <w:p w14:paraId="1C0471F0" w14:textId="77777777" w:rsidR="00454E3B" w:rsidRPr="001F370F" w:rsidRDefault="00454E3B" w:rsidP="00454E3B">
      <w:pPr>
        <w:pStyle w:val="paragraph"/>
        <w:spacing w:before="0" w:beforeAutospacing="0" w:after="0" w:afterAutospacing="0"/>
        <w:jc w:val="both"/>
        <w:textAlignment w:val="baseline"/>
        <w:rPr>
          <w:rFonts w:ascii="Verdana" w:hAnsi="Verdana" w:cs="Arial"/>
          <w:sz w:val="20"/>
          <w:szCs w:val="20"/>
        </w:rPr>
      </w:pPr>
      <w:r w:rsidRPr="001F370F">
        <w:rPr>
          <w:rStyle w:val="normaltextrun"/>
          <w:rFonts w:ascii="Verdana" w:hAnsi="Verdana" w:cs="Arial"/>
          <w:sz w:val="20"/>
          <w:szCs w:val="20"/>
          <w:lang w:val="es-ES"/>
        </w:rPr>
        <w:t xml:space="preserve">[…] </w:t>
      </w:r>
      <w:r w:rsidRPr="001F370F">
        <w:rPr>
          <w:rStyle w:val="normaltextrun"/>
          <w:rFonts w:ascii="Verdana" w:hAnsi="Verdana" w:cs="Arial"/>
          <w:sz w:val="20"/>
          <w:szCs w:val="20"/>
          <w:lang w:val="es-MX"/>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1F370F">
        <w:rPr>
          <w:rStyle w:val="eop"/>
          <w:rFonts w:ascii="Verdana" w:hAnsi="Verdana" w:cs="Arial"/>
          <w:sz w:val="20"/>
          <w:szCs w:val="20"/>
        </w:rPr>
        <w:t> </w:t>
      </w:r>
    </w:p>
    <w:p w14:paraId="7193C320" w14:textId="77777777" w:rsidR="00454E3B" w:rsidRPr="001F370F" w:rsidRDefault="00454E3B" w:rsidP="00454E3B">
      <w:pPr>
        <w:pStyle w:val="paragraph"/>
        <w:spacing w:before="0" w:beforeAutospacing="0" w:after="0" w:afterAutospacing="0"/>
        <w:jc w:val="both"/>
        <w:textAlignment w:val="baseline"/>
        <w:rPr>
          <w:rFonts w:ascii="Verdana" w:hAnsi="Verdana" w:cs="Arial"/>
          <w:sz w:val="20"/>
          <w:szCs w:val="20"/>
        </w:rPr>
      </w:pPr>
      <w:r w:rsidRPr="001F370F">
        <w:rPr>
          <w:rStyle w:val="eop"/>
          <w:rFonts w:ascii="Verdana" w:hAnsi="Verdana" w:cs="Arial"/>
          <w:sz w:val="20"/>
          <w:szCs w:val="20"/>
        </w:rPr>
        <w:t> </w:t>
      </w:r>
    </w:p>
    <w:p w14:paraId="4CB192A4" w14:textId="77777777" w:rsidR="00454E3B" w:rsidRPr="001F370F" w:rsidRDefault="00454E3B" w:rsidP="00454E3B">
      <w:pPr>
        <w:pStyle w:val="paragraph"/>
        <w:spacing w:before="0" w:beforeAutospacing="0" w:after="0" w:afterAutospacing="0"/>
        <w:jc w:val="both"/>
        <w:textAlignment w:val="baseline"/>
        <w:rPr>
          <w:rFonts w:ascii="Verdana" w:hAnsi="Verdana" w:cs="Arial"/>
          <w:sz w:val="22"/>
          <w:szCs w:val="22"/>
        </w:rPr>
      </w:pPr>
      <w:r w:rsidRPr="001F370F">
        <w:rPr>
          <w:rStyle w:val="normaltextrun"/>
          <w:rFonts w:ascii="Verdana" w:hAnsi="Verdana" w:cs="Arial"/>
          <w:b/>
          <w:bCs/>
          <w:sz w:val="22"/>
          <w:szCs w:val="22"/>
          <w:lang w:val="es-MX"/>
        </w:rPr>
        <w:t xml:space="preserve">LEY DE GARANTÍAS ELECTORALES ‒ Tipos de restricciones ‒ Ámbito temporal </w:t>
      </w:r>
      <w:r w:rsidRPr="001F370F">
        <w:rPr>
          <w:rStyle w:val="eop"/>
          <w:rFonts w:ascii="Verdana" w:hAnsi="Verdana" w:cs="Arial"/>
          <w:sz w:val="22"/>
          <w:szCs w:val="22"/>
        </w:rPr>
        <w:t> </w:t>
      </w:r>
    </w:p>
    <w:p w14:paraId="53538CB2" w14:textId="77777777" w:rsidR="00454E3B" w:rsidRPr="001F370F" w:rsidRDefault="00454E3B" w:rsidP="00454E3B">
      <w:pPr>
        <w:pStyle w:val="paragraph"/>
        <w:spacing w:before="0" w:beforeAutospacing="0" w:after="0" w:afterAutospacing="0"/>
        <w:jc w:val="both"/>
        <w:textAlignment w:val="baseline"/>
        <w:rPr>
          <w:rFonts w:ascii="Verdana" w:hAnsi="Verdana" w:cs="Arial"/>
          <w:sz w:val="20"/>
          <w:szCs w:val="20"/>
        </w:rPr>
      </w:pPr>
      <w:r w:rsidRPr="001F370F">
        <w:rPr>
          <w:rStyle w:val="eop"/>
          <w:rFonts w:ascii="Verdana" w:hAnsi="Verdana" w:cs="Arial"/>
          <w:sz w:val="20"/>
          <w:szCs w:val="20"/>
        </w:rPr>
        <w:t> </w:t>
      </w:r>
    </w:p>
    <w:p w14:paraId="474970D0" w14:textId="77777777" w:rsidR="00454E3B" w:rsidRPr="001F370F" w:rsidRDefault="00454E3B" w:rsidP="00454E3B">
      <w:pPr>
        <w:pStyle w:val="paragraph"/>
        <w:spacing w:before="0" w:beforeAutospacing="0" w:after="0" w:afterAutospacing="0"/>
        <w:jc w:val="both"/>
        <w:textAlignment w:val="baseline"/>
        <w:rPr>
          <w:rFonts w:ascii="Verdana" w:hAnsi="Verdana" w:cs="Arial"/>
          <w:sz w:val="20"/>
          <w:szCs w:val="20"/>
        </w:rPr>
      </w:pPr>
      <w:r w:rsidRPr="001F370F">
        <w:rPr>
          <w:rStyle w:val="normaltextrun"/>
          <w:rFonts w:ascii="Verdana" w:hAnsi="Verdana" w:cs="Arial"/>
          <w:sz w:val="20"/>
          <w:szCs w:val="20"/>
          <w:lang w:val="es-ES"/>
        </w:rPr>
        <w:t xml:space="preserve">[…] la Ley 996 de 2005 establece dos (2) tipos de restricciones en materia de contratación, las cuales coinciden parcialmente. </w:t>
      </w:r>
      <w:r w:rsidRPr="001F370F">
        <w:rPr>
          <w:rStyle w:val="normaltextrun"/>
          <w:rFonts w:ascii="Verdana" w:hAnsi="Verdana" w:cs="Arial"/>
          <w:i/>
          <w:iCs/>
          <w:sz w:val="20"/>
          <w:szCs w:val="20"/>
          <w:lang w:val="es-ES"/>
        </w:rPr>
        <w:t>En primer lugar</w:t>
      </w:r>
      <w:r w:rsidRPr="001F370F">
        <w:rPr>
          <w:rStyle w:val="normaltextrun"/>
          <w:rFonts w:ascii="Verdana" w:hAnsi="Verdana" w:cs="Arial"/>
          <w:sz w:val="20"/>
          <w:szCs w:val="20"/>
          <w:lang w:val="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1F370F">
        <w:rPr>
          <w:rStyle w:val="normaltextrun"/>
          <w:rFonts w:ascii="Verdana" w:hAnsi="Verdana" w:cs="Arial"/>
          <w:i/>
          <w:iCs/>
          <w:sz w:val="20"/>
          <w:szCs w:val="20"/>
          <w:lang w:val="es-ES"/>
        </w:rPr>
        <w:t>En segundo lugar</w:t>
      </w:r>
      <w:r w:rsidRPr="001F370F">
        <w:rPr>
          <w:rStyle w:val="normaltextrun"/>
          <w:rFonts w:ascii="Verdana" w:hAnsi="Verdana" w:cs="Arial"/>
          <w:sz w:val="20"/>
          <w:szCs w:val="20"/>
          <w:lang w:val="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sidRPr="001F370F">
        <w:rPr>
          <w:rStyle w:val="eop"/>
          <w:rFonts w:ascii="Verdana" w:hAnsi="Verdana" w:cs="Arial"/>
          <w:sz w:val="20"/>
          <w:szCs w:val="20"/>
        </w:rPr>
        <w:t> </w:t>
      </w:r>
    </w:p>
    <w:p w14:paraId="6779C7D5" w14:textId="77777777" w:rsidR="00454E3B" w:rsidRPr="001F370F" w:rsidRDefault="00454E3B" w:rsidP="00454E3B">
      <w:pPr>
        <w:pStyle w:val="paragraph"/>
        <w:spacing w:before="0" w:beforeAutospacing="0" w:after="0" w:afterAutospacing="0"/>
        <w:jc w:val="both"/>
        <w:textAlignment w:val="baseline"/>
        <w:rPr>
          <w:rFonts w:ascii="Verdana" w:hAnsi="Verdana" w:cs="Arial"/>
          <w:sz w:val="20"/>
          <w:szCs w:val="20"/>
        </w:rPr>
      </w:pPr>
      <w:r w:rsidRPr="001F370F">
        <w:rPr>
          <w:rStyle w:val="eop"/>
          <w:rFonts w:ascii="Verdana" w:hAnsi="Verdana" w:cs="Arial"/>
          <w:sz w:val="20"/>
          <w:szCs w:val="20"/>
        </w:rPr>
        <w:t> </w:t>
      </w:r>
    </w:p>
    <w:p w14:paraId="45F42247" w14:textId="77777777" w:rsidR="00454E3B" w:rsidRPr="001F370F" w:rsidRDefault="00454E3B" w:rsidP="00454E3B">
      <w:pPr>
        <w:pStyle w:val="paragraph"/>
        <w:spacing w:before="0" w:beforeAutospacing="0" w:after="0" w:afterAutospacing="0"/>
        <w:jc w:val="both"/>
        <w:textAlignment w:val="baseline"/>
        <w:rPr>
          <w:rFonts w:ascii="Verdana" w:hAnsi="Verdana" w:cs="Arial"/>
          <w:sz w:val="22"/>
          <w:szCs w:val="22"/>
        </w:rPr>
      </w:pPr>
      <w:r w:rsidRPr="001F370F">
        <w:rPr>
          <w:rStyle w:val="normaltextrun"/>
          <w:rFonts w:ascii="Verdana" w:hAnsi="Verdana" w:cs="Arial"/>
          <w:b/>
          <w:bCs/>
          <w:sz w:val="22"/>
          <w:szCs w:val="22"/>
          <w:lang w:val="es-MX"/>
        </w:rPr>
        <w:t>LEY DE GARANTÍAS ELECTORALES ‒ Prohibición por elección de cargos populares – Convenios y contratos interadministrativos – Definición – Criterio orgánico</w:t>
      </w:r>
      <w:r w:rsidRPr="001F370F">
        <w:rPr>
          <w:rStyle w:val="eop"/>
          <w:rFonts w:ascii="Verdana" w:hAnsi="Verdana" w:cs="Arial"/>
          <w:sz w:val="22"/>
          <w:szCs w:val="22"/>
        </w:rPr>
        <w:t> </w:t>
      </w:r>
    </w:p>
    <w:p w14:paraId="41D3C6D9" w14:textId="77777777" w:rsidR="00454E3B" w:rsidRPr="001F370F" w:rsidRDefault="00454E3B" w:rsidP="00454E3B">
      <w:pPr>
        <w:pStyle w:val="paragraph"/>
        <w:spacing w:before="0" w:beforeAutospacing="0" w:after="0" w:afterAutospacing="0"/>
        <w:jc w:val="both"/>
        <w:textAlignment w:val="baseline"/>
        <w:rPr>
          <w:rStyle w:val="normaltextrun"/>
          <w:rFonts w:ascii="Verdana" w:hAnsi="Verdana"/>
          <w:lang w:val="es-ES"/>
        </w:rPr>
      </w:pPr>
      <w:r w:rsidRPr="001F370F">
        <w:rPr>
          <w:rStyle w:val="normaltextrun"/>
          <w:rFonts w:ascii="Verdana" w:hAnsi="Verdana"/>
          <w:lang w:val="es-ES"/>
        </w:rPr>
        <w:t> </w:t>
      </w:r>
    </w:p>
    <w:p w14:paraId="7480507D" w14:textId="77777777" w:rsidR="00454E3B" w:rsidRPr="001F370F" w:rsidRDefault="00454E3B" w:rsidP="00454E3B">
      <w:pPr>
        <w:spacing w:after="120" w:line="240" w:lineRule="auto"/>
        <w:jc w:val="both"/>
        <w:rPr>
          <w:rStyle w:val="normaltextrun"/>
          <w:rFonts w:ascii="Verdana" w:eastAsia="Times New Roman" w:hAnsi="Verdana" w:cs="Arial"/>
          <w:sz w:val="20"/>
          <w:szCs w:val="20"/>
          <w:lang w:val="es-ES" w:eastAsia="es-CO"/>
        </w:rPr>
      </w:pPr>
      <w:r w:rsidRPr="001F370F">
        <w:rPr>
          <w:rStyle w:val="normaltextrun"/>
          <w:rFonts w:ascii="Verdana" w:eastAsia="Times New Roman" w:hAnsi="Verdana" w:cs="Arial"/>
          <w:sz w:val="20"/>
          <w:szCs w:val="20"/>
          <w:lang w:val="es-ES" w:eastAsia="es-CO"/>
        </w:rPr>
        <w:t>Para tales efectos, debe precisarse que los contratos o convenios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799CCD8F" w14:textId="77777777" w:rsidR="00454E3B" w:rsidRPr="001F370F" w:rsidRDefault="00454E3B" w:rsidP="00454E3B">
      <w:pPr>
        <w:spacing w:after="240" w:line="240" w:lineRule="auto"/>
        <w:jc w:val="both"/>
        <w:rPr>
          <w:rStyle w:val="normaltextrun"/>
          <w:rFonts w:ascii="Verdana" w:eastAsia="Times New Roman" w:hAnsi="Verdana" w:cs="Arial"/>
          <w:sz w:val="20"/>
          <w:szCs w:val="20"/>
          <w:lang w:val="es-ES" w:eastAsia="es-CO"/>
        </w:rPr>
      </w:pPr>
      <w:r w:rsidRPr="001F370F">
        <w:rPr>
          <w:rStyle w:val="normaltextrun"/>
          <w:rFonts w:ascii="Verdana" w:eastAsia="Times New Roman" w:hAnsi="Verdana" w:cs="Arial"/>
          <w:sz w:val="20"/>
          <w:szCs w:val="20"/>
          <w:lang w:val="es-ES" w:eastAsia="es-CO"/>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4A1B54C9" w14:textId="77777777" w:rsidR="008D7729" w:rsidRPr="001F370F" w:rsidRDefault="008D7729" w:rsidP="008D7729">
      <w:pPr>
        <w:spacing w:after="0" w:line="240" w:lineRule="auto"/>
        <w:jc w:val="both"/>
        <w:rPr>
          <w:rFonts w:ascii="Verdana" w:hAnsi="Verdana"/>
          <w:b/>
          <w:lang w:val="es-MX"/>
        </w:rPr>
      </w:pPr>
      <w:r w:rsidRPr="001F370F">
        <w:rPr>
          <w:rFonts w:ascii="Verdana" w:hAnsi="Verdana"/>
          <w:b/>
          <w:lang w:val="es-MX"/>
        </w:rPr>
        <w:lastRenderedPageBreak/>
        <w:t xml:space="preserve">LEY DE GARANTÍAS ELECTORALES </w:t>
      </w:r>
      <w:r w:rsidRPr="001F370F">
        <w:rPr>
          <w:rFonts w:ascii="Verdana" w:hAnsi="Verdana"/>
          <w:b/>
          <w:bCs/>
          <w:lang w:val="es-ES"/>
        </w:rPr>
        <w:t>–</w:t>
      </w:r>
      <w:r w:rsidRPr="001F370F">
        <w:rPr>
          <w:rFonts w:ascii="Verdana" w:hAnsi="Verdana"/>
          <w:b/>
          <w:lang w:val="es-MX"/>
        </w:rPr>
        <w:t xml:space="preserve"> Restricción </w:t>
      </w:r>
      <w:r w:rsidRPr="001F370F">
        <w:rPr>
          <w:rFonts w:ascii="Verdana" w:hAnsi="Verdana"/>
          <w:b/>
          <w:bCs/>
          <w:lang w:val="es-ES"/>
        </w:rPr>
        <w:t>–</w:t>
      </w:r>
      <w:r w:rsidRPr="001F370F">
        <w:rPr>
          <w:rFonts w:ascii="Verdana" w:hAnsi="Verdana"/>
          <w:b/>
          <w:lang w:val="es-MX"/>
        </w:rPr>
        <w:t xml:space="preserve"> Convenios interadministrativos – Postura del Consejo de Estado </w:t>
      </w:r>
    </w:p>
    <w:p w14:paraId="1590773E" w14:textId="77777777" w:rsidR="008D7729" w:rsidRPr="001F370F" w:rsidRDefault="008D7729" w:rsidP="008D7729">
      <w:pPr>
        <w:spacing w:after="0" w:line="240" w:lineRule="auto"/>
        <w:jc w:val="both"/>
        <w:rPr>
          <w:rFonts w:ascii="Verdana" w:hAnsi="Verdana"/>
          <w:b/>
          <w:lang w:val="es-MX"/>
        </w:rPr>
      </w:pPr>
    </w:p>
    <w:p w14:paraId="623B3F4B" w14:textId="77777777" w:rsidR="008D7729" w:rsidRPr="001F370F" w:rsidRDefault="008D7729" w:rsidP="008D7729">
      <w:pPr>
        <w:spacing w:after="0" w:line="240" w:lineRule="auto"/>
        <w:jc w:val="both"/>
        <w:rPr>
          <w:rFonts w:ascii="Verdana" w:hAnsi="Verdana"/>
          <w:i/>
          <w:iCs/>
          <w:sz w:val="20"/>
        </w:rPr>
      </w:pPr>
      <w:r w:rsidRPr="001F370F">
        <w:rPr>
          <w:rFonts w:ascii="Verdana" w:hAnsi="Verdana"/>
          <w:sz w:val="20"/>
          <w:lang w:val="es-MX"/>
        </w:rPr>
        <w:t xml:space="preserve">De conformidad con los argumentos de dicha providencia, se parte de la distinción entre los conceptos </w:t>
      </w:r>
      <w:r w:rsidRPr="001F370F">
        <w:rPr>
          <w:rFonts w:ascii="Verdana" w:hAnsi="Verdana"/>
          <w:sz w:val="20"/>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1F370F">
        <w:rPr>
          <w:rFonts w:ascii="Verdana" w:hAnsi="Verdana"/>
          <w:i/>
          <w:iCs/>
          <w:sz w:val="20"/>
        </w:rPr>
        <w:t xml:space="preserve">“si el legislador no diferenció al establecer la prohibición o la restricción, mal haría el reglamento en aplicar un efecto expansivo o extensivo para incluir una categoría no cobijada con la limitación, (…)”. </w:t>
      </w:r>
      <w:r w:rsidRPr="001F370F">
        <w:rPr>
          <w:rFonts w:ascii="Verdana" w:hAnsi="Verdana"/>
          <w:sz w:val="20"/>
        </w:rPr>
        <w:t xml:space="preserve">Por tal motivo, para efectos de decretar la medida de suspensión provisional de los apartes señalados del numeral 16.2 de la Circular Externa Única, argumentó que </w:t>
      </w:r>
      <w:r w:rsidRPr="001F370F">
        <w:rPr>
          <w:rFonts w:ascii="Verdana" w:hAnsi="Verdana"/>
          <w:i/>
          <w:iCs/>
          <w:sz w:val="20"/>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sidRPr="001F370F">
        <w:rPr>
          <w:rFonts w:ascii="Verdana" w:hAnsi="Verdana"/>
          <w:sz w:val="20"/>
        </w:rPr>
        <w:t>”</w:t>
      </w:r>
      <w:r w:rsidRPr="001F370F">
        <w:rPr>
          <w:rFonts w:ascii="Verdana" w:hAnsi="Verdana"/>
          <w:i/>
          <w:iCs/>
          <w:sz w:val="20"/>
        </w:rPr>
        <w:t>.</w:t>
      </w:r>
    </w:p>
    <w:p w14:paraId="15F7FBD0" w14:textId="77777777" w:rsidR="008D7729" w:rsidRPr="001F370F" w:rsidRDefault="008D7729" w:rsidP="008D7729">
      <w:pPr>
        <w:spacing w:after="0" w:line="240" w:lineRule="auto"/>
        <w:jc w:val="both"/>
        <w:rPr>
          <w:rFonts w:ascii="Verdana" w:hAnsi="Verdana"/>
          <w:i/>
          <w:iCs/>
          <w:sz w:val="20"/>
        </w:rPr>
      </w:pPr>
      <w:r w:rsidRPr="001F370F">
        <w:rPr>
          <w:rFonts w:ascii="Verdana" w:hAnsi="Verdana"/>
          <w:i/>
          <w:iCs/>
          <w:sz w:val="20"/>
        </w:rPr>
        <w:t xml:space="preserve"> </w:t>
      </w:r>
    </w:p>
    <w:p w14:paraId="65840CB0" w14:textId="77777777" w:rsidR="008D7729" w:rsidRPr="001F370F" w:rsidRDefault="008D7729" w:rsidP="008D7729">
      <w:pPr>
        <w:spacing w:after="0" w:line="240" w:lineRule="auto"/>
        <w:jc w:val="both"/>
        <w:rPr>
          <w:rFonts w:ascii="Verdana" w:hAnsi="Verdana"/>
          <w:sz w:val="20"/>
        </w:rPr>
      </w:pPr>
      <w:r w:rsidRPr="001F370F">
        <w:rPr>
          <w:rFonts w:ascii="Verdana" w:hAnsi="Verdana"/>
          <w:sz w:val="20"/>
        </w:rPr>
        <w:t>De igual manera, mediante auto del 6 de noviembre de 2025, el Consejo de Estado, Subsección A de la Sección Tercera, decretó</w:t>
      </w:r>
      <w:r w:rsidRPr="001F370F">
        <w:rPr>
          <w:rFonts w:ascii="Verdana" w:hAnsi="Verdana"/>
          <w:bCs/>
          <w:sz w:val="20"/>
        </w:rPr>
        <w:t xml:space="preserve"> </w:t>
      </w:r>
      <w:r w:rsidRPr="001F370F">
        <w:rPr>
          <w:rFonts w:ascii="Verdana" w:hAnsi="Verdana"/>
          <w:sz w:val="20"/>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w:t>
      </w:r>
      <w:proofErr w:type="spellStart"/>
      <w:r w:rsidRPr="001F370F">
        <w:rPr>
          <w:rFonts w:ascii="Verdana" w:hAnsi="Verdana"/>
          <w:sz w:val="20"/>
        </w:rPr>
        <w:t>legis</w:t>
      </w:r>
      <w:proofErr w:type="spellEnd"/>
      <w:r w:rsidRPr="001F370F">
        <w:rPr>
          <w:rFonts w:ascii="Verdana" w:hAnsi="Verdana"/>
          <w:sz w:val="20"/>
        </w:rPr>
        <w:t xml:space="preserve"> o iuris y la interpretación extensiva y reiteró los argumentos sobre la diferencia entre contratos y convenios interadministrativos. </w:t>
      </w:r>
    </w:p>
    <w:p w14:paraId="15E7A9A3" w14:textId="77777777" w:rsidR="008D7729" w:rsidRPr="001F370F" w:rsidRDefault="008D7729" w:rsidP="008D7729">
      <w:pPr>
        <w:spacing w:after="0" w:line="240" w:lineRule="auto"/>
        <w:jc w:val="both"/>
        <w:rPr>
          <w:rFonts w:ascii="Verdana" w:hAnsi="Verdana"/>
          <w:sz w:val="20"/>
        </w:rPr>
      </w:pPr>
    </w:p>
    <w:p w14:paraId="736382B1" w14:textId="77777777" w:rsidR="008D7729" w:rsidRPr="001F370F" w:rsidRDefault="008D7729" w:rsidP="008D7729">
      <w:pPr>
        <w:spacing w:after="0" w:line="240" w:lineRule="auto"/>
        <w:jc w:val="both"/>
        <w:rPr>
          <w:rFonts w:ascii="Verdana" w:hAnsi="Verdana"/>
          <w:sz w:val="20"/>
        </w:rPr>
      </w:pPr>
      <w:r w:rsidRPr="001F370F">
        <w:rPr>
          <w:rFonts w:ascii="Verdana" w:hAnsi="Verdana"/>
          <w:sz w:val="20"/>
        </w:rPr>
        <w:t xml:space="preserve">Finalmente, mediante sentencia del 17 de octubre de 2025, emitida por la Sección Tercera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0DF6A4C2" w14:textId="77777777" w:rsidR="008D7729" w:rsidRPr="001F370F" w:rsidRDefault="008D7729" w:rsidP="00454E3B">
      <w:pPr>
        <w:spacing w:after="240" w:line="240" w:lineRule="auto"/>
        <w:jc w:val="both"/>
        <w:rPr>
          <w:rStyle w:val="normaltextrun"/>
          <w:rFonts w:ascii="Verdana" w:eastAsia="Times New Roman" w:hAnsi="Verdana" w:cs="Arial"/>
          <w:sz w:val="20"/>
          <w:szCs w:val="20"/>
          <w:lang w:eastAsia="es-CO"/>
        </w:rPr>
      </w:pPr>
    </w:p>
    <w:p w14:paraId="5D66B4C7" w14:textId="77777777" w:rsidR="00454E3B" w:rsidRPr="001F370F" w:rsidRDefault="00454E3B" w:rsidP="30821638">
      <w:pPr>
        <w:spacing w:after="0"/>
        <w:rPr>
          <w:rFonts w:ascii="Verdana" w:eastAsia="Verdana" w:hAnsi="Verdana" w:cs="Verdana"/>
          <w:lang w:val="es-ES"/>
        </w:rPr>
      </w:pPr>
    </w:p>
    <w:p w14:paraId="47958C80" w14:textId="77777777" w:rsidR="00454E3B" w:rsidRPr="001F370F" w:rsidRDefault="00454E3B" w:rsidP="30821638">
      <w:pPr>
        <w:spacing w:after="0"/>
        <w:rPr>
          <w:rFonts w:ascii="Verdana" w:eastAsia="Verdana" w:hAnsi="Verdana" w:cs="Verdana"/>
        </w:rPr>
      </w:pPr>
    </w:p>
    <w:p w14:paraId="48B663A3" w14:textId="77777777" w:rsidR="00454E3B" w:rsidRPr="001F370F" w:rsidRDefault="00454E3B" w:rsidP="30821638">
      <w:pPr>
        <w:spacing w:after="0"/>
        <w:rPr>
          <w:rFonts w:ascii="Verdana" w:eastAsia="Verdana" w:hAnsi="Verdana" w:cs="Verdana"/>
        </w:rPr>
      </w:pPr>
    </w:p>
    <w:p w14:paraId="4282CF02" w14:textId="77777777" w:rsidR="001651E0" w:rsidRPr="001F370F" w:rsidRDefault="001651E0" w:rsidP="30821638">
      <w:pPr>
        <w:spacing w:after="0"/>
        <w:rPr>
          <w:rFonts w:ascii="Verdana" w:eastAsia="Verdana" w:hAnsi="Verdana" w:cs="Verdana"/>
        </w:rPr>
      </w:pPr>
    </w:p>
    <w:p w14:paraId="61540A25" w14:textId="77777777" w:rsidR="00D23811" w:rsidRPr="001F370F" w:rsidRDefault="00D23811" w:rsidP="30821638">
      <w:pPr>
        <w:spacing w:after="0"/>
        <w:rPr>
          <w:rFonts w:ascii="Verdana" w:eastAsia="Verdana" w:hAnsi="Verdana" w:cs="Verdana"/>
        </w:rPr>
      </w:pPr>
    </w:p>
    <w:p w14:paraId="1468C46D" w14:textId="757EB2B6" w:rsidR="00C15139" w:rsidRPr="001F370F" w:rsidRDefault="00C15139" w:rsidP="30821638">
      <w:pPr>
        <w:spacing w:after="0"/>
        <w:rPr>
          <w:rFonts w:ascii="Verdana" w:eastAsia="Verdana" w:hAnsi="Verdana" w:cs="Verdana"/>
        </w:rPr>
      </w:pPr>
      <w:r w:rsidRPr="001F370F">
        <w:rPr>
          <w:rFonts w:ascii="Verdana" w:eastAsia="Verdana" w:hAnsi="Verdana" w:cs="Verdana"/>
        </w:rPr>
        <w:lastRenderedPageBreak/>
        <w:t xml:space="preserve">Bogotá D.C., </w:t>
      </w:r>
      <w:r w:rsidR="003D153B">
        <w:rPr>
          <w:rFonts w:ascii="Verdana" w:eastAsia="Verdana" w:hAnsi="Verdana" w:cs="Verdana"/>
        </w:rPr>
        <w:t>16 de marzo del 2026</w:t>
      </w:r>
      <w:r w:rsidRPr="001F370F">
        <w:rPr>
          <w:rFonts w:ascii="Verdana" w:hAnsi="Verdana"/>
        </w:rPr>
        <w:tab/>
      </w:r>
      <w:r w:rsidRPr="001F370F">
        <w:rPr>
          <w:rFonts w:ascii="Verdana" w:hAnsi="Verdana"/>
        </w:rPr>
        <w:br/>
      </w:r>
      <w:r w:rsidRPr="001F370F">
        <w:rPr>
          <w:rFonts w:ascii="Verdana" w:hAnsi="Verdana"/>
        </w:rPr>
        <w:tab/>
      </w:r>
    </w:p>
    <w:p w14:paraId="12443EE0" w14:textId="79EE6417" w:rsidR="00C15139" w:rsidRPr="001F370F" w:rsidRDefault="00B107C5" w:rsidP="00B107C5">
      <w:pPr>
        <w:spacing w:after="0"/>
        <w:jc w:val="right"/>
        <w:rPr>
          <w:rFonts w:ascii="Verdana" w:eastAsia="Verdana" w:hAnsi="Verdana" w:cs="Verdana"/>
        </w:rPr>
      </w:pPr>
      <w:r w:rsidRPr="00B107C5">
        <w:rPr>
          <w:rFonts w:ascii="Verdana" w:eastAsia="Verdana" w:hAnsi="Verdana" w:cs="Verdana"/>
        </w:rPr>
        <w:drawing>
          <wp:inline distT="0" distB="0" distL="0" distR="0" wp14:anchorId="4982C0B7" wp14:editId="49C4B0EE">
            <wp:extent cx="2800350" cy="866775"/>
            <wp:effectExtent l="0" t="0" r="0" b="9525"/>
            <wp:docPr id="8707472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747234" name=""/>
                    <pic:cNvPicPr/>
                  </pic:nvPicPr>
                  <pic:blipFill>
                    <a:blip r:embed="rId10"/>
                    <a:stretch>
                      <a:fillRect/>
                    </a:stretch>
                  </pic:blipFill>
                  <pic:spPr>
                    <a:xfrm>
                      <a:off x="0" y="0"/>
                      <a:ext cx="2800744" cy="866897"/>
                    </a:xfrm>
                    <a:prstGeom prst="rect">
                      <a:avLst/>
                    </a:prstGeom>
                  </pic:spPr>
                </pic:pic>
              </a:graphicData>
            </a:graphic>
          </wp:inline>
        </w:drawing>
      </w:r>
    </w:p>
    <w:p w14:paraId="66F28363" w14:textId="27BD817F" w:rsidR="00231B0E" w:rsidRPr="001F370F" w:rsidRDefault="00231B0E" w:rsidP="00231B0E">
      <w:pPr>
        <w:spacing w:after="0" w:line="240" w:lineRule="auto"/>
        <w:rPr>
          <w:rFonts w:ascii="Verdana" w:hAnsi="Verdana"/>
        </w:rPr>
      </w:pPr>
      <w:r w:rsidRPr="001F370F">
        <w:rPr>
          <w:rFonts w:ascii="Verdana" w:eastAsia="Calibri" w:hAnsi="Verdana" w:cs="Arial"/>
          <w:color w:val="000000" w:themeColor="text1"/>
          <w:lang w:val="es-ES" w:eastAsia="es-ES"/>
        </w:rPr>
        <w:t>Señor</w:t>
      </w:r>
      <w:r w:rsidR="00690D8A" w:rsidRPr="001F370F">
        <w:rPr>
          <w:rFonts w:ascii="Verdana" w:eastAsia="Calibri" w:hAnsi="Verdana" w:cs="Arial"/>
          <w:color w:val="000000" w:themeColor="text1"/>
          <w:lang w:val="es-ES" w:eastAsia="es-ES"/>
        </w:rPr>
        <w:t>a</w:t>
      </w:r>
      <w:r w:rsidRPr="001F370F">
        <w:rPr>
          <w:rFonts w:ascii="Verdana" w:eastAsia="Calibri" w:hAnsi="Verdana" w:cs="Arial"/>
          <w:color w:val="000000" w:themeColor="text1"/>
          <w:lang w:val="es-ES" w:eastAsia="es-ES"/>
        </w:rPr>
        <w:t>:</w:t>
      </w:r>
    </w:p>
    <w:p w14:paraId="00A7618F" w14:textId="0B51F59A" w:rsidR="00231B0E" w:rsidRPr="001F370F" w:rsidRDefault="00193C0A" w:rsidP="00231B0E">
      <w:pPr>
        <w:spacing w:after="0" w:line="240" w:lineRule="auto"/>
        <w:jc w:val="both"/>
        <w:rPr>
          <w:rFonts w:ascii="Verdana" w:eastAsia="Calibri" w:hAnsi="Verdana" w:cs="Arial"/>
          <w:b/>
          <w:bCs/>
          <w:color w:val="000000" w:themeColor="text1"/>
          <w:lang w:eastAsia="es-ES"/>
        </w:rPr>
      </w:pPr>
      <w:r w:rsidRPr="001F370F">
        <w:rPr>
          <w:rFonts w:ascii="Verdana" w:eastAsia="Calibri" w:hAnsi="Verdana" w:cs="Arial"/>
          <w:b/>
          <w:bCs/>
          <w:color w:val="000000" w:themeColor="text1"/>
          <w:lang w:eastAsia="es-ES"/>
        </w:rPr>
        <w:t>Angela Díaz Pinzón</w:t>
      </w:r>
    </w:p>
    <w:p w14:paraId="3A4A1827" w14:textId="425542F1" w:rsidR="00193C0A" w:rsidRPr="001F370F" w:rsidRDefault="00193C0A" w:rsidP="00231B0E">
      <w:pPr>
        <w:spacing w:after="0" w:line="240" w:lineRule="auto"/>
        <w:jc w:val="both"/>
        <w:rPr>
          <w:rFonts w:ascii="Verdana" w:eastAsia="Calibri" w:hAnsi="Verdana" w:cs="Arial"/>
          <w:color w:val="000000" w:themeColor="text1"/>
          <w:lang w:eastAsia="es-ES"/>
        </w:rPr>
      </w:pPr>
      <w:r w:rsidRPr="001F370F">
        <w:rPr>
          <w:rFonts w:ascii="Verdana" w:eastAsia="Calibri" w:hAnsi="Verdana" w:cs="Arial"/>
          <w:color w:val="000000" w:themeColor="text1"/>
          <w:lang w:eastAsia="es-ES"/>
        </w:rPr>
        <w:t xml:space="preserve">Directora ejecutiva ACOLAP </w:t>
      </w:r>
    </w:p>
    <w:p w14:paraId="7A54E595" w14:textId="0F38AE50" w:rsidR="00231B0E" w:rsidRPr="001F370F" w:rsidRDefault="00193C0A" w:rsidP="00231B0E">
      <w:pPr>
        <w:spacing w:after="0" w:line="240" w:lineRule="auto"/>
        <w:rPr>
          <w:rFonts w:ascii="Verdana" w:eastAsia="Calibri" w:hAnsi="Verdana" w:cs="Arial"/>
          <w:b/>
          <w:bCs/>
          <w:color w:val="000000" w:themeColor="text1"/>
          <w:lang w:val="es-ES_tradnl" w:eastAsia="es-ES"/>
        </w:rPr>
      </w:pPr>
      <w:r w:rsidRPr="001F370F">
        <w:rPr>
          <w:rFonts w:ascii="Verdana" w:eastAsia="Calibri" w:hAnsi="Verdana" w:cs="Arial"/>
          <w:color w:val="000000" w:themeColor="text1"/>
          <w:lang w:val="es-ES_tradnl" w:eastAsia="es-ES"/>
        </w:rPr>
        <w:t>Bogotá D.C.</w:t>
      </w:r>
    </w:p>
    <w:p w14:paraId="25F87184" w14:textId="77777777" w:rsidR="00231B0E" w:rsidRPr="001F370F" w:rsidRDefault="00231B0E" w:rsidP="00231B0E">
      <w:pPr>
        <w:spacing w:after="0" w:line="240" w:lineRule="auto"/>
        <w:rPr>
          <w:rFonts w:ascii="Verdana" w:eastAsia="Calibri" w:hAnsi="Verdana" w:cs="Arial"/>
          <w:b/>
          <w:bCs/>
          <w:color w:val="000000" w:themeColor="text1"/>
          <w:highlight w:val="cyan"/>
          <w:lang w:val="es-ES_tradnl" w:eastAsia="es-ES_tradnl"/>
        </w:rPr>
      </w:pPr>
    </w:p>
    <w:p w14:paraId="472791DF" w14:textId="77777777" w:rsidR="00231B0E" w:rsidRPr="001F370F" w:rsidRDefault="00231B0E" w:rsidP="00231B0E">
      <w:pPr>
        <w:spacing w:after="0" w:line="240" w:lineRule="auto"/>
        <w:rPr>
          <w:rFonts w:ascii="Verdana" w:eastAsia="Calibri" w:hAnsi="Verdana" w:cs="Arial"/>
          <w:b/>
          <w:bCs/>
          <w:color w:val="000000" w:themeColor="text1"/>
          <w:highlight w:val="cyan"/>
          <w:lang w:val="es-ES_tradnl" w:eastAsia="es-ES_tradnl"/>
        </w:rPr>
      </w:pPr>
    </w:p>
    <w:p w14:paraId="5413E556" w14:textId="1751B6F8" w:rsidR="00231B0E" w:rsidRPr="001F370F" w:rsidRDefault="00231B0E" w:rsidP="00231B0E">
      <w:pPr>
        <w:spacing w:after="0" w:line="240" w:lineRule="auto"/>
        <w:rPr>
          <w:rFonts w:ascii="Verdana" w:eastAsia="Calibri" w:hAnsi="Verdana" w:cs="Arial"/>
          <w:b/>
          <w:bCs/>
          <w:color w:val="000000" w:themeColor="text1"/>
          <w:lang w:val="es-ES_tradnl" w:eastAsia="es-ES_tradnl"/>
        </w:rPr>
      </w:pPr>
      <w:r w:rsidRPr="001F370F">
        <w:rPr>
          <w:rFonts w:ascii="Verdana" w:eastAsia="Calibri" w:hAnsi="Verdana" w:cs="Arial"/>
          <w:b/>
          <w:bCs/>
          <w:color w:val="000000" w:themeColor="text1"/>
          <w:lang w:val="es-ES_tradnl" w:eastAsia="es-ES_tradnl"/>
        </w:rPr>
        <w:t xml:space="preserve">                                   Concepto C-</w:t>
      </w:r>
      <w:r w:rsidR="00CA5C46" w:rsidRPr="001F370F">
        <w:rPr>
          <w:rFonts w:ascii="Verdana" w:eastAsia="Calibri" w:hAnsi="Verdana" w:cs="Arial"/>
          <w:b/>
          <w:bCs/>
          <w:color w:val="000000" w:themeColor="text1"/>
          <w:lang w:val="es-ES_tradnl" w:eastAsia="es-ES_tradnl"/>
        </w:rPr>
        <w:t>159</w:t>
      </w:r>
      <w:r w:rsidRPr="001F370F">
        <w:rPr>
          <w:rFonts w:ascii="Verdana" w:eastAsia="Calibri" w:hAnsi="Verdana" w:cs="Arial"/>
          <w:b/>
          <w:bCs/>
          <w:color w:val="000000" w:themeColor="text1"/>
          <w:lang w:val="es-ES_tradnl" w:eastAsia="es-ES_tradnl"/>
        </w:rPr>
        <w:t xml:space="preserve"> del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31B0E" w:rsidRPr="001F370F" w14:paraId="7768F2FE" w14:textId="77777777" w:rsidTr="002F4AB5">
        <w:trPr>
          <w:gridAfter w:val="1"/>
          <w:wAfter w:w="6100" w:type="dxa"/>
          <w:trHeight w:val="133"/>
        </w:trPr>
        <w:tc>
          <w:tcPr>
            <w:tcW w:w="2689" w:type="dxa"/>
          </w:tcPr>
          <w:p w14:paraId="1A51FF78" w14:textId="77777777" w:rsidR="00231B0E" w:rsidRPr="001F370F" w:rsidRDefault="00231B0E" w:rsidP="002F4AB5">
            <w:pPr>
              <w:jc w:val="both"/>
              <w:rPr>
                <w:rFonts w:ascii="Verdana" w:eastAsia="Calibri" w:hAnsi="Verdana" w:cs="Arial"/>
                <w:b/>
                <w:bCs/>
                <w:color w:val="000000" w:themeColor="text1"/>
                <w:highlight w:val="cyan"/>
                <w:lang w:val="es-ES_tradnl" w:eastAsia="es-ES_tradnl"/>
              </w:rPr>
            </w:pPr>
          </w:p>
          <w:p w14:paraId="56C24F4C" w14:textId="77777777" w:rsidR="00231B0E" w:rsidRPr="001F370F" w:rsidRDefault="00231B0E" w:rsidP="002F4AB5">
            <w:pPr>
              <w:jc w:val="both"/>
              <w:rPr>
                <w:rFonts w:ascii="Verdana" w:eastAsia="Calibri" w:hAnsi="Verdana" w:cs="Arial"/>
                <w:b/>
                <w:bCs/>
                <w:color w:val="000000" w:themeColor="text1"/>
                <w:highlight w:val="cyan"/>
                <w:lang w:val="es-ES_tradnl" w:eastAsia="es-ES_tradnl"/>
              </w:rPr>
            </w:pPr>
          </w:p>
        </w:tc>
      </w:tr>
      <w:tr w:rsidR="00231B0E" w:rsidRPr="001F370F" w14:paraId="46FB7C21" w14:textId="77777777" w:rsidTr="002F4AB5">
        <w:trPr>
          <w:trHeight w:val="884"/>
        </w:trPr>
        <w:tc>
          <w:tcPr>
            <w:tcW w:w="2689" w:type="dxa"/>
          </w:tcPr>
          <w:p w14:paraId="103EF90E" w14:textId="77777777" w:rsidR="00231B0E" w:rsidRPr="001F370F" w:rsidRDefault="00231B0E" w:rsidP="002F4AB5">
            <w:pPr>
              <w:jc w:val="both"/>
              <w:rPr>
                <w:rFonts w:ascii="Verdana" w:eastAsia="Calibri" w:hAnsi="Verdana" w:cs="Arial"/>
                <w:color w:val="000000" w:themeColor="text1"/>
                <w:lang w:val="es-ES_tradnl" w:eastAsia="es-ES_tradnl"/>
              </w:rPr>
            </w:pPr>
            <w:r w:rsidRPr="001F370F">
              <w:rPr>
                <w:rFonts w:ascii="Verdana" w:eastAsia="Calibri" w:hAnsi="Verdana" w:cs="Arial"/>
                <w:b/>
                <w:color w:val="000000" w:themeColor="text1"/>
                <w:lang w:val="es-ES_tradnl" w:eastAsia="es-ES_tradnl"/>
              </w:rPr>
              <w:t>Temas:</w:t>
            </w:r>
            <w:r w:rsidRPr="001F370F">
              <w:rPr>
                <w:rFonts w:ascii="Verdana" w:eastAsia="Calibri" w:hAnsi="Verdana" w:cs="Arial"/>
                <w:color w:val="000000" w:themeColor="text1"/>
                <w:lang w:val="es-ES_tradnl" w:eastAsia="es-ES_tradnl"/>
              </w:rPr>
              <w:t xml:space="preserve">                   </w:t>
            </w:r>
          </w:p>
        </w:tc>
        <w:tc>
          <w:tcPr>
            <w:tcW w:w="6100" w:type="dxa"/>
          </w:tcPr>
          <w:p w14:paraId="45FC906B" w14:textId="77777777" w:rsidR="000C503F" w:rsidRPr="001F370F" w:rsidRDefault="000C503F" w:rsidP="002F4AB5">
            <w:pPr>
              <w:jc w:val="both"/>
              <w:rPr>
                <w:rStyle w:val="normaltextrun"/>
                <w:rFonts w:ascii="Verdana" w:hAnsi="Verdana"/>
                <w:lang w:val="es-MX"/>
              </w:rPr>
            </w:pPr>
            <w:r w:rsidRPr="001F370F">
              <w:rPr>
                <w:rStyle w:val="normaltextrun"/>
                <w:rFonts w:ascii="Verdana" w:hAnsi="Verdana" w:cs="Arial"/>
                <w:color w:val="000000"/>
                <w:shd w:val="clear" w:color="auto" w:fill="FFFFFF"/>
                <w:lang w:val="es-MX"/>
              </w:rPr>
              <w:t xml:space="preserve">LEY DE GARANTÍAS ELECTORALES ‒ Finalidad / LEY DE GARANTÍAS ELECTORALES ‒ Tipos de restricciones ‒ Ámbito temporal / LEY DE GARANTÍAS ELECTORALES ‒ Prohibición por elección de cargos populares – Convenios interadministrativos – Definición – Criterio orgánico </w:t>
            </w:r>
            <w:r w:rsidRPr="001F370F">
              <w:rPr>
                <w:rStyle w:val="normaltextrun"/>
                <w:rFonts w:ascii="Verdana" w:hAnsi="Verdana"/>
                <w:lang w:val="es-MX"/>
              </w:rPr>
              <w:t xml:space="preserve">/ </w:t>
            </w:r>
            <w:r w:rsidR="00705857" w:rsidRPr="001F370F">
              <w:rPr>
                <w:rStyle w:val="normaltextrun"/>
                <w:rFonts w:ascii="Verdana" w:hAnsi="Verdana"/>
                <w:lang w:val="es-MX"/>
              </w:rPr>
              <w:t xml:space="preserve">LEY DE GARANTÍAS ELECTORALES ‒ Prohibición por elección de cargos populares – Convenios y contratos interadministrativos – Definición – Criterio orgánico </w:t>
            </w:r>
          </w:p>
          <w:p w14:paraId="29FF6CBE" w14:textId="7E59A56C" w:rsidR="00705857" w:rsidRPr="001F370F" w:rsidRDefault="00705857" w:rsidP="002F4AB5">
            <w:pPr>
              <w:jc w:val="both"/>
              <w:rPr>
                <w:rFonts w:ascii="Verdana" w:hAnsi="Verdana"/>
                <w:lang w:val="es-MX"/>
              </w:rPr>
            </w:pPr>
          </w:p>
        </w:tc>
      </w:tr>
      <w:tr w:rsidR="00231B0E" w:rsidRPr="001F370F" w14:paraId="5482387E" w14:textId="77777777" w:rsidTr="002F4AB5">
        <w:tc>
          <w:tcPr>
            <w:tcW w:w="2689" w:type="dxa"/>
          </w:tcPr>
          <w:p w14:paraId="38D5E64A" w14:textId="77777777" w:rsidR="00231B0E" w:rsidRPr="001F370F" w:rsidRDefault="00231B0E" w:rsidP="002F4AB5">
            <w:pPr>
              <w:jc w:val="both"/>
              <w:rPr>
                <w:rFonts w:ascii="Verdana" w:eastAsia="Calibri" w:hAnsi="Verdana" w:cs="Arial"/>
                <w:b/>
                <w:color w:val="000000" w:themeColor="text1"/>
                <w:lang w:val="es-ES_tradnl" w:eastAsia="es-ES_tradnl"/>
              </w:rPr>
            </w:pPr>
            <w:r w:rsidRPr="001F370F">
              <w:rPr>
                <w:rFonts w:ascii="Verdana" w:eastAsia="Calibri" w:hAnsi="Verdana" w:cs="Arial"/>
                <w:b/>
                <w:color w:val="000000" w:themeColor="text1"/>
                <w:lang w:val="es-ES_tradnl" w:eastAsia="es-ES_tradnl"/>
              </w:rPr>
              <w:t>Radicación:</w:t>
            </w:r>
            <w:r w:rsidRPr="001F370F">
              <w:rPr>
                <w:rFonts w:ascii="Verdana" w:eastAsia="Calibri" w:hAnsi="Verdana" w:cs="Arial"/>
                <w:color w:val="000000" w:themeColor="text1"/>
                <w:lang w:val="es-ES_tradnl" w:eastAsia="es-ES_tradnl"/>
              </w:rPr>
              <w:t xml:space="preserve">               </w:t>
            </w:r>
          </w:p>
        </w:tc>
        <w:tc>
          <w:tcPr>
            <w:tcW w:w="6100" w:type="dxa"/>
          </w:tcPr>
          <w:p w14:paraId="00F078BB" w14:textId="47C96404" w:rsidR="00231B0E" w:rsidRPr="001F370F" w:rsidRDefault="00231B0E" w:rsidP="002F4AB5">
            <w:pPr>
              <w:jc w:val="both"/>
              <w:rPr>
                <w:rFonts w:ascii="Verdana" w:eastAsia="Calibri" w:hAnsi="Verdana" w:cs="Arial"/>
                <w:color w:val="000000" w:themeColor="text1"/>
                <w:lang w:eastAsia="es-ES_tradnl"/>
              </w:rPr>
            </w:pPr>
            <w:r w:rsidRPr="001F370F">
              <w:rPr>
                <w:rFonts w:ascii="Verdana" w:eastAsia="Calibri" w:hAnsi="Verdana" w:cs="Arial"/>
                <w:color w:val="000000" w:themeColor="text1"/>
                <w:lang w:val="es-ES_tradnl" w:eastAsia="es-ES_tradnl"/>
              </w:rPr>
              <w:t>Respuesta a consulta con radicado No.</w:t>
            </w:r>
            <w:r w:rsidR="00966B76" w:rsidRPr="001F370F">
              <w:rPr>
                <w:rFonts w:ascii="Verdana" w:hAnsi="Verdana"/>
              </w:rPr>
              <w:t xml:space="preserve"> 1_2026_02_05_001416</w:t>
            </w:r>
          </w:p>
          <w:p w14:paraId="24545B3A" w14:textId="77777777" w:rsidR="00231B0E" w:rsidRPr="001F370F" w:rsidRDefault="00231B0E" w:rsidP="002F4AB5">
            <w:pPr>
              <w:jc w:val="both"/>
              <w:rPr>
                <w:rFonts w:ascii="Verdana" w:hAnsi="Verdana" w:cs="Arial"/>
              </w:rPr>
            </w:pPr>
          </w:p>
          <w:p w14:paraId="533C89E0" w14:textId="77777777" w:rsidR="00231B0E" w:rsidRPr="001F370F" w:rsidRDefault="00231B0E" w:rsidP="002F4AB5">
            <w:pPr>
              <w:jc w:val="both"/>
              <w:rPr>
                <w:rFonts w:ascii="Verdana" w:hAnsi="Verdana"/>
                <w:color w:val="000000"/>
              </w:rPr>
            </w:pPr>
          </w:p>
        </w:tc>
      </w:tr>
    </w:tbl>
    <w:p w14:paraId="22BE2154" w14:textId="7AA1091E" w:rsidR="00231B0E" w:rsidRPr="001F370F" w:rsidRDefault="00231B0E" w:rsidP="00231B0E">
      <w:pPr>
        <w:spacing w:after="0" w:line="276" w:lineRule="auto"/>
        <w:jc w:val="both"/>
        <w:rPr>
          <w:rFonts w:ascii="Verdana" w:eastAsia="Calibri" w:hAnsi="Verdana" w:cs="Arial"/>
          <w:color w:val="000000" w:themeColor="text1"/>
          <w:lang w:val="es-ES" w:eastAsia="es-ES"/>
        </w:rPr>
      </w:pPr>
      <w:r w:rsidRPr="001F370F">
        <w:rPr>
          <w:rFonts w:ascii="Verdana" w:eastAsia="Calibri" w:hAnsi="Verdana" w:cs="Arial"/>
          <w:color w:val="000000" w:themeColor="text1"/>
          <w:lang w:val="es-ES" w:eastAsia="es-ES"/>
        </w:rPr>
        <w:t>Estimad</w:t>
      </w:r>
      <w:r w:rsidR="00193C0A" w:rsidRPr="001F370F">
        <w:rPr>
          <w:rFonts w:ascii="Verdana" w:eastAsia="Calibri" w:hAnsi="Verdana" w:cs="Arial"/>
          <w:color w:val="000000" w:themeColor="text1"/>
          <w:lang w:val="es-ES" w:eastAsia="es-ES"/>
        </w:rPr>
        <w:t>a señora Díaz</w:t>
      </w:r>
      <w:r w:rsidRPr="001F370F">
        <w:rPr>
          <w:rFonts w:ascii="Verdana" w:eastAsia="Calibri" w:hAnsi="Verdana" w:cs="Arial"/>
          <w:color w:val="000000" w:themeColor="text1"/>
          <w:lang w:val="es-ES" w:eastAsia="es-ES"/>
        </w:rPr>
        <w:t xml:space="preserve">: </w:t>
      </w:r>
    </w:p>
    <w:p w14:paraId="7311480A" w14:textId="77777777" w:rsidR="00231B0E" w:rsidRPr="001F370F" w:rsidRDefault="00231B0E" w:rsidP="00231B0E">
      <w:pPr>
        <w:spacing w:after="0" w:line="276" w:lineRule="auto"/>
        <w:rPr>
          <w:rFonts w:ascii="Verdana" w:eastAsia="Times New Roman" w:hAnsi="Verdana" w:cs="Segoe UI"/>
          <w:highlight w:val="cyan"/>
          <w:lang w:eastAsia="es-CO"/>
        </w:rPr>
      </w:pPr>
    </w:p>
    <w:p w14:paraId="79058E22" w14:textId="2EA5A637" w:rsidR="00231B0E" w:rsidRPr="001F370F" w:rsidRDefault="00231B0E" w:rsidP="00231B0E">
      <w:pPr>
        <w:spacing w:after="0" w:line="276" w:lineRule="auto"/>
        <w:jc w:val="both"/>
        <w:rPr>
          <w:rFonts w:ascii="Verdana" w:eastAsia="Calibri" w:hAnsi="Verdana" w:cs="Arial"/>
          <w:lang w:val="es-ES" w:eastAsia="es-ES"/>
        </w:rPr>
      </w:pPr>
      <w:r w:rsidRPr="001F370F">
        <w:rPr>
          <w:rFonts w:ascii="Verdana" w:eastAsia="Calibri" w:hAnsi="Verdana" w:cs="Arial"/>
          <w:lang w:val="es-ES" w:eastAsia="es-ES"/>
        </w:rPr>
        <w:t>En ejercicio de la competencia otorgada por los artículos 3, numeral 5º, y 11, numeral 8º, del Decreto Ley 4170 de 2011,</w:t>
      </w:r>
      <w:r w:rsidRPr="001F370F">
        <w:rPr>
          <w:rFonts w:ascii="Verdana" w:eastAsia="Arial MT" w:hAnsi="Verdana" w:cs="Arial"/>
          <w:lang w:val="es-ES" w:eastAsia="es-ES"/>
        </w:rPr>
        <w:t xml:space="preserve"> </w:t>
      </w:r>
      <w:r w:rsidRPr="001F370F">
        <w:rPr>
          <w:rFonts w:ascii="Verdana" w:hAnsi="Verdana" w:cs="Arial"/>
        </w:rPr>
        <w:t xml:space="preserve">así como lo establecido en el artículo 4 de la Resolución 1707 de 2018 expedida por esta Entidad, </w:t>
      </w:r>
      <w:r w:rsidRPr="001F370F">
        <w:rPr>
          <w:rFonts w:ascii="Verdana" w:eastAsia="Calibri" w:hAnsi="Verdana" w:cs="Arial"/>
          <w:lang w:val="es-ES" w:eastAsia="es-ES"/>
        </w:rPr>
        <w:t xml:space="preserve">la Agencia Nacional de Contratación Pública – Colombia Compra Eficiente– responde su solicitud del </w:t>
      </w:r>
      <w:r w:rsidR="008C7771" w:rsidRPr="001F370F">
        <w:rPr>
          <w:rFonts w:ascii="Verdana" w:eastAsia="Calibri" w:hAnsi="Verdana" w:cs="Arial"/>
          <w:lang w:val="es-ES" w:eastAsia="es-ES"/>
        </w:rPr>
        <w:t>27 de enero del 2026</w:t>
      </w:r>
      <w:r w:rsidRPr="001F370F">
        <w:rPr>
          <w:rFonts w:ascii="Verdana" w:eastAsia="Calibri" w:hAnsi="Verdana" w:cs="Arial"/>
          <w:lang w:val="es-ES" w:eastAsia="es-ES"/>
        </w:rPr>
        <w:t>,</w:t>
      </w:r>
      <w:r w:rsidR="008C7771" w:rsidRPr="001F370F">
        <w:rPr>
          <w:rFonts w:ascii="Verdana" w:eastAsia="Calibri" w:hAnsi="Verdana" w:cs="Arial"/>
          <w:lang w:val="es-ES" w:eastAsia="es-ES"/>
        </w:rPr>
        <w:t xml:space="preserve"> trasladada por la Contraloría General de la República el </w:t>
      </w:r>
      <w:r w:rsidR="0025427E" w:rsidRPr="001F370F">
        <w:rPr>
          <w:rFonts w:ascii="Verdana" w:eastAsia="Calibri" w:hAnsi="Verdana" w:cs="Arial"/>
          <w:lang w:val="es-ES" w:eastAsia="es-ES"/>
        </w:rPr>
        <w:t xml:space="preserve">04 de febrero del 2026, </w:t>
      </w:r>
      <w:r w:rsidRPr="001F370F">
        <w:rPr>
          <w:rFonts w:ascii="Verdana" w:eastAsia="Calibri" w:hAnsi="Verdana" w:cs="Arial"/>
          <w:lang w:val="es-ES" w:eastAsia="es-ES"/>
        </w:rPr>
        <w:t xml:space="preserve">en la cual manifiesta lo siguiente: </w:t>
      </w:r>
    </w:p>
    <w:p w14:paraId="652A9AC5" w14:textId="77777777" w:rsidR="00231B0E" w:rsidRPr="001F370F" w:rsidRDefault="00231B0E" w:rsidP="00231B0E">
      <w:pPr>
        <w:spacing w:after="0" w:line="276" w:lineRule="auto"/>
        <w:jc w:val="both"/>
        <w:rPr>
          <w:rFonts w:ascii="Verdana" w:eastAsia="Calibri" w:hAnsi="Verdana" w:cs="Arial"/>
          <w:highlight w:val="cyan"/>
          <w:lang w:val="es-ES" w:eastAsia="es-ES"/>
        </w:rPr>
      </w:pPr>
    </w:p>
    <w:p w14:paraId="6A3B9D74" w14:textId="79B7683F" w:rsidR="00231B0E" w:rsidRPr="001F370F" w:rsidRDefault="00231B0E" w:rsidP="006E7BB9">
      <w:pPr>
        <w:spacing w:after="0" w:line="240" w:lineRule="auto"/>
        <w:ind w:left="709" w:right="709"/>
        <w:jc w:val="both"/>
        <w:rPr>
          <w:rFonts w:ascii="Verdana" w:eastAsia="Century Gothic" w:hAnsi="Verdana" w:cs="Arial"/>
          <w:sz w:val="20"/>
          <w:szCs w:val="20"/>
        </w:rPr>
      </w:pPr>
      <w:r w:rsidRPr="001F370F">
        <w:rPr>
          <w:rFonts w:ascii="Verdana" w:eastAsia="Century Gothic" w:hAnsi="Verdana" w:cs="Arial"/>
          <w:sz w:val="20"/>
          <w:szCs w:val="20"/>
          <w:lang w:val="es-ES"/>
        </w:rPr>
        <w:lastRenderedPageBreak/>
        <w:t xml:space="preserve">“[…] </w:t>
      </w:r>
      <w:r w:rsidR="000A1619" w:rsidRPr="001F370F">
        <w:rPr>
          <w:rFonts w:ascii="Verdana" w:eastAsia="Century Gothic" w:hAnsi="Verdana" w:cs="Arial"/>
          <w:sz w:val="20"/>
          <w:szCs w:val="20"/>
        </w:rPr>
        <w:t>¿Es o no viable que la restricción de contratación directa de la Ley 996 de 2005 se aplique de forma</w:t>
      </w:r>
      <w:r w:rsidR="009E50CE" w:rsidRPr="001F370F">
        <w:rPr>
          <w:rFonts w:ascii="Verdana" w:eastAsia="Century Gothic" w:hAnsi="Verdana" w:cs="Arial"/>
          <w:sz w:val="20"/>
          <w:szCs w:val="20"/>
        </w:rPr>
        <w:t xml:space="preserve"> </w:t>
      </w:r>
      <w:r w:rsidR="000A1619" w:rsidRPr="001F370F">
        <w:rPr>
          <w:rFonts w:ascii="Verdana" w:eastAsia="Century Gothic" w:hAnsi="Verdana" w:cs="Arial"/>
          <w:sz w:val="20"/>
          <w:szCs w:val="20"/>
        </w:rPr>
        <w:t>absoluta a convenios de fomento financiados con recursos que no provienen del presupuesto</w:t>
      </w:r>
      <w:r w:rsidR="009E50CE" w:rsidRPr="001F370F">
        <w:rPr>
          <w:rFonts w:ascii="Verdana" w:eastAsia="Century Gothic" w:hAnsi="Verdana" w:cs="Arial"/>
          <w:sz w:val="20"/>
          <w:szCs w:val="20"/>
        </w:rPr>
        <w:t xml:space="preserve"> </w:t>
      </w:r>
      <w:r w:rsidR="000A1619" w:rsidRPr="001F370F">
        <w:rPr>
          <w:rFonts w:ascii="Verdana" w:eastAsia="Century Gothic" w:hAnsi="Verdana" w:cs="Arial"/>
          <w:sz w:val="20"/>
          <w:szCs w:val="20"/>
        </w:rPr>
        <w:t>nacional, sino de la contribución de los mismos privados, quienes además aportan una contrapartida</w:t>
      </w:r>
      <w:r w:rsidR="006E7BB9" w:rsidRPr="001F370F">
        <w:rPr>
          <w:rFonts w:ascii="Verdana" w:eastAsia="Century Gothic" w:hAnsi="Verdana" w:cs="Arial"/>
          <w:sz w:val="20"/>
          <w:szCs w:val="20"/>
        </w:rPr>
        <w:t xml:space="preserve"> </w:t>
      </w:r>
      <w:r w:rsidR="000A1619" w:rsidRPr="001F370F">
        <w:rPr>
          <w:rFonts w:ascii="Verdana" w:eastAsia="Century Gothic" w:hAnsi="Verdana" w:cs="Arial"/>
          <w:sz w:val="20"/>
          <w:szCs w:val="20"/>
        </w:rPr>
        <w:t xml:space="preserve">para la ejecución de los proyectos? </w:t>
      </w:r>
      <w:r w:rsidRPr="001F370F">
        <w:rPr>
          <w:rFonts w:ascii="Verdana" w:eastAsia="Century Gothic" w:hAnsi="Verdana" w:cs="Arial"/>
          <w:sz w:val="20"/>
          <w:szCs w:val="20"/>
        </w:rPr>
        <w:t>[…]”</w:t>
      </w:r>
    </w:p>
    <w:p w14:paraId="0C1457DD" w14:textId="77777777" w:rsidR="00231B0E" w:rsidRPr="001F370F" w:rsidRDefault="00231B0E" w:rsidP="00231B0E">
      <w:pPr>
        <w:spacing w:after="0"/>
        <w:jc w:val="both"/>
        <w:rPr>
          <w:rFonts w:ascii="Verdana" w:hAnsi="Verdana" w:cs="Arial"/>
          <w:highlight w:val="cyan"/>
          <w:lang w:val="es-ES"/>
        </w:rPr>
      </w:pPr>
    </w:p>
    <w:p w14:paraId="037B8245" w14:textId="4617C919" w:rsidR="00231B0E" w:rsidRPr="001F370F" w:rsidRDefault="00231B0E" w:rsidP="00231B0E">
      <w:pPr>
        <w:spacing w:after="120" w:line="276" w:lineRule="auto"/>
        <w:ind w:firstLine="709"/>
        <w:jc w:val="both"/>
        <w:rPr>
          <w:rFonts w:ascii="Verdana" w:eastAsia="Calibri" w:hAnsi="Verdana" w:cs="Arial"/>
          <w:color w:val="000000"/>
          <w:lang w:val="es-ES_tradnl" w:eastAsia="es-ES_tradnl"/>
        </w:rPr>
      </w:pPr>
      <w:r w:rsidRPr="001F370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695CB5">
        <w:rPr>
          <w:rFonts w:ascii="Verdana" w:eastAsia="Calibri" w:hAnsi="Verdana" w:cs="Arial"/>
          <w:color w:val="000000"/>
          <w:lang w:val="es-ES" w:eastAsia="es-ES"/>
        </w:rPr>
        <w:t xml:space="preserve">la Agencia Nacional de Contratación Pública - </w:t>
      </w:r>
      <w:r w:rsidRPr="001F370F">
        <w:rPr>
          <w:rFonts w:ascii="Verdana" w:eastAsia="Calibri" w:hAnsi="Verdana" w:cs="Arial"/>
          <w:color w:val="000000"/>
          <w:lang w:val="es-ES" w:eastAsia="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34414165" w14:textId="53E3CFEC" w:rsidR="00231B0E" w:rsidRPr="001F370F" w:rsidRDefault="00231B0E" w:rsidP="00231B0E">
      <w:pPr>
        <w:spacing w:after="0" w:line="276" w:lineRule="auto"/>
        <w:ind w:firstLine="709"/>
        <w:jc w:val="both"/>
        <w:rPr>
          <w:rFonts w:ascii="Verdana" w:eastAsia="Calibri" w:hAnsi="Verdana" w:cs="Arial"/>
          <w:color w:val="000000"/>
          <w:lang w:val="es-ES" w:eastAsia="es-ES"/>
        </w:rPr>
      </w:pPr>
      <w:r w:rsidRPr="001F370F">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6769F99" w14:textId="77777777" w:rsidR="00231B0E" w:rsidRPr="001F370F" w:rsidRDefault="00231B0E" w:rsidP="00231B0E">
      <w:pPr>
        <w:spacing w:after="0" w:line="276" w:lineRule="auto"/>
        <w:jc w:val="both"/>
        <w:rPr>
          <w:rStyle w:val="Hipervnculo"/>
          <w:rFonts w:ascii="Verdana" w:hAnsi="Verdana"/>
          <w:lang w:val="es-ES"/>
        </w:rPr>
      </w:pPr>
    </w:p>
    <w:p w14:paraId="4FD59D9A" w14:textId="77777777" w:rsidR="00231B0E" w:rsidRPr="001F370F" w:rsidRDefault="00231B0E" w:rsidP="00231B0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Arial"/>
          <w:b/>
          <w:bCs/>
        </w:rPr>
      </w:pPr>
      <w:r w:rsidRPr="001F370F">
        <w:rPr>
          <w:rFonts w:ascii="Verdana" w:eastAsia="Century Gothic" w:hAnsi="Verdana" w:cs="Arial"/>
          <w:b/>
          <w:bCs/>
        </w:rPr>
        <w:t>Problema planteado:</w:t>
      </w:r>
    </w:p>
    <w:p w14:paraId="510C01CC" w14:textId="77777777" w:rsidR="00231B0E" w:rsidRPr="001F370F" w:rsidRDefault="00231B0E" w:rsidP="00231B0E">
      <w:pPr>
        <w:spacing w:after="0" w:line="276" w:lineRule="auto"/>
        <w:jc w:val="both"/>
        <w:rPr>
          <w:rStyle w:val="Hipervnculo"/>
          <w:rFonts w:ascii="Verdana" w:hAnsi="Verdana" w:cs="Arial"/>
          <w:highlight w:val="cyan"/>
        </w:rPr>
      </w:pPr>
    </w:p>
    <w:p w14:paraId="54ADDBAE" w14:textId="63CCCBA2" w:rsidR="00231B0E" w:rsidRPr="001F370F" w:rsidRDefault="00231B0E" w:rsidP="00231B0E">
      <w:pPr>
        <w:spacing w:after="0" w:line="276" w:lineRule="auto"/>
        <w:jc w:val="both"/>
        <w:rPr>
          <w:rFonts w:ascii="Verdana" w:eastAsia="Century Gothic" w:hAnsi="Verdana" w:cs="Century Gothic"/>
          <w:color w:val="000000" w:themeColor="text1"/>
        </w:rPr>
      </w:pPr>
      <w:r w:rsidRPr="001F370F">
        <w:rPr>
          <w:rFonts w:ascii="Verdana" w:eastAsia="Century Gothic" w:hAnsi="Verdana" w:cs="Arial"/>
        </w:rPr>
        <w:t xml:space="preserve">De acuerdo con el contenido de su solicitud, esta Agencia resolverá </w:t>
      </w:r>
      <w:r w:rsidR="00A521CC" w:rsidRPr="001F370F">
        <w:rPr>
          <w:rFonts w:ascii="Verdana" w:eastAsia="Century Gothic" w:hAnsi="Verdana" w:cs="Arial"/>
        </w:rPr>
        <w:t>el</w:t>
      </w:r>
      <w:r w:rsidRPr="001F370F">
        <w:rPr>
          <w:rFonts w:ascii="Verdana" w:eastAsia="Century Gothic" w:hAnsi="Verdana" w:cs="Arial"/>
        </w:rPr>
        <w:t xml:space="preserve"> siguiente problema</w:t>
      </w:r>
      <w:r w:rsidR="00A521CC" w:rsidRPr="001F370F">
        <w:rPr>
          <w:rFonts w:ascii="Verdana" w:eastAsia="Century Gothic" w:hAnsi="Verdana" w:cs="Arial"/>
        </w:rPr>
        <w:t xml:space="preserve"> </w:t>
      </w:r>
      <w:r w:rsidRPr="001F370F">
        <w:rPr>
          <w:rFonts w:ascii="Verdana" w:eastAsia="Century Gothic" w:hAnsi="Verdana" w:cs="Arial"/>
        </w:rPr>
        <w:t xml:space="preserve">jurídico: </w:t>
      </w:r>
      <w:r w:rsidR="00A521CC" w:rsidRPr="001F370F">
        <w:rPr>
          <w:rFonts w:ascii="Verdana" w:eastAsia="Century Gothic" w:hAnsi="Verdana" w:cs="Arial"/>
        </w:rPr>
        <w:t>En atención a las limitaciones establecidas por la Ley 996 de 2005, ¿es procedente la celebración de convenios cuya financiación no provenga de recursos públicos?</w:t>
      </w:r>
    </w:p>
    <w:p w14:paraId="2CD1839F" w14:textId="77777777" w:rsidR="00231B0E" w:rsidRPr="001F370F" w:rsidRDefault="00231B0E" w:rsidP="00231B0E">
      <w:pPr>
        <w:spacing w:after="0" w:line="276" w:lineRule="auto"/>
        <w:jc w:val="both"/>
        <w:rPr>
          <w:rStyle w:val="Hipervnculo"/>
          <w:rFonts w:ascii="Verdana" w:hAnsi="Verdana" w:cs="Arial"/>
          <w:highlight w:val="cyan"/>
          <w:lang w:val="es-ES"/>
        </w:rPr>
      </w:pPr>
    </w:p>
    <w:p w14:paraId="7CB32354" w14:textId="77777777" w:rsidR="00231B0E" w:rsidRPr="001F370F" w:rsidRDefault="00231B0E" w:rsidP="00231B0E">
      <w:pPr>
        <w:pStyle w:val="Prrafodelista"/>
        <w:widowControl w:val="0"/>
        <w:numPr>
          <w:ilvl w:val="0"/>
          <w:numId w:val="16"/>
        </w:numPr>
        <w:autoSpaceDE w:val="0"/>
        <w:autoSpaceDN w:val="0"/>
        <w:spacing w:after="0" w:line="276" w:lineRule="auto"/>
        <w:ind w:left="360"/>
        <w:contextualSpacing w:val="0"/>
        <w:jc w:val="both"/>
        <w:outlineLvl w:val="0"/>
        <w:rPr>
          <w:rFonts w:ascii="Verdana" w:eastAsia="Arial" w:hAnsi="Verdana" w:cs="Arial"/>
          <w:b/>
          <w:bCs/>
        </w:rPr>
      </w:pPr>
      <w:r w:rsidRPr="001F370F">
        <w:rPr>
          <w:rFonts w:ascii="Verdana" w:eastAsia="Arial" w:hAnsi="Verdana" w:cs="Arial"/>
          <w:b/>
          <w:bCs/>
        </w:rPr>
        <w:t>Respuesta:</w:t>
      </w:r>
    </w:p>
    <w:p w14:paraId="7F5F5309" w14:textId="77777777" w:rsidR="00231B0E" w:rsidRPr="001F370F" w:rsidRDefault="00231B0E" w:rsidP="00231B0E">
      <w:pPr>
        <w:spacing w:after="0" w:line="276" w:lineRule="auto"/>
        <w:rPr>
          <w:rFonts w:ascii="Verdana" w:eastAsia="Aptos" w:hAnsi="Verdana" w:cs="Arial"/>
          <w:highlight w:val="cy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31B0E" w:rsidRPr="00897241" w14:paraId="460DC75D" w14:textId="77777777" w:rsidTr="002F4AB5">
        <w:tc>
          <w:tcPr>
            <w:tcW w:w="8828" w:type="dxa"/>
          </w:tcPr>
          <w:p w14:paraId="0701747D" w14:textId="1A4F3E47" w:rsidR="00231B0E" w:rsidRPr="00897241" w:rsidRDefault="00231B0E" w:rsidP="00A14C1C">
            <w:pPr>
              <w:spacing w:line="276" w:lineRule="auto"/>
              <w:jc w:val="both"/>
              <w:rPr>
                <w:rFonts w:ascii="Verdana" w:hAnsi="Verdana" w:cs="Arial"/>
                <w:color w:val="000000" w:themeColor="text1"/>
              </w:rPr>
            </w:pPr>
            <w:bookmarkStart w:id="1" w:name="_Hlk171067516"/>
            <w:r w:rsidRPr="00897241">
              <w:rPr>
                <w:rFonts w:ascii="Verdana" w:hAnsi="Verdana" w:cs="Arial"/>
                <w:color w:val="000000" w:themeColor="text1"/>
              </w:rPr>
              <w:t>En respuesta a</w:t>
            </w:r>
            <w:r w:rsidR="00A521CC" w:rsidRPr="00897241">
              <w:rPr>
                <w:rFonts w:ascii="Verdana" w:hAnsi="Verdana" w:cs="Arial"/>
                <w:color w:val="000000" w:themeColor="text1"/>
              </w:rPr>
              <w:t>l</w:t>
            </w:r>
            <w:r w:rsidRPr="00897241">
              <w:rPr>
                <w:rFonts w:ascii="Verdana" w:hAnsi="Verdana" w:cs="Arial"/>
                <w:color w:val="000000" w:themeColor="text1"/>
              </w:rPr>
              <w:t xml:space="preserve"> problema</w:t>
            </w:r>
            <w:r w:rsidR="00A521CC" w:rsidRPr="00897241">
              <w:rPr>
                <w:rFonts w:ascii="Verdana" w:hAnsi="Verdana" w:cs="Arial"/>
                <w:color w:val="000000" w:themeColor="text1"/>
              </w:rPr>
              <w:t xml:space="preserve"> </w:t>
            </w:r>
            <w:r w:rsidRPr="00897241">
              <w:rPr>
                <w:rFonts w:ascii="Verdana" w:hAnsi="Verdana" w:cs="Arial"/>
                <w:color w:val="000000" w:themeColor="text1"/>
              </w:rPr>
              <w:t>antes planteado, esta Subdirección manifiesta lo siguiente:</w:t>
            </w:r>
          </w:p>
          <w:p w14:paraId="2A99CD68" w14:textId="77777777" w:rsidR="00A14C1C" w:rsidRPr="00897241" w:rsidRDefault="00A14C1C" w:rsidP="007A0CF5">
            <w:pPr>
              <w:spacing w:line="276" w:lineRule="auto"/>
              <w:jc w:val="both"/>
              <w:rPr>
                <w:rFonts w:ascii="Verdana" w:hAnsi="Verdana" w:cs="Arial"/>
                <w:color w:val="000000" w:themeColor="text1"/>
              </w:rPr>
            </w:pPr>
          </w:p>
          <w:p w14:paraId="6032B8E1" w14:textId="7EFD0434" w:rsidR="003F12FD" w:rsidRPr="00897241" w:rsidRDefault="00231B0E" w:rsidP="007A0CF5">
            <w:pPr>
              <w:spacing w:after="120" w:line="276" w:lineRule="auto"/>
              <w:jc w:val="both"/>
              <w:rPr>
                <w:rFonts w:ascii="Verdana" w:hAnsi="Verdana" w:cs="Arial"/>
                <w:lang w:val="es-ES"/>
              </w:rPr>
            </w:pPr>
            <w:r w:rsidRPr="00897241">
              <w:rPr>
                <w:rFonts w:ascii="Verdana" w:eastAsia="Calibri" w:hAnsi="Verdana" w:cs="Arial"/>
                <w:i/>
                <w:color w:val="000000" w:themeColor="text1"/>
              </w:rPr>
              <w:lastRenderedPageBreak/>
              <w:t>En primer lugar</w:t>
            </w:r>
            <w:r w:rsidRPr="00897241">
              <w:rPr>
                <w:rFonts w:ascii="Verdana" w:hAnsi="Verdana" w:cs="Arial"/>
              </w:rPr>
              <w:t xml:space="preserve">, </w:t>
            </w:r>
            <w:r w:rsidR="003F12FD" w:rsidRPr="00897241">
              <w:rPr>
                <w:rFonts w:ascii="Verdana" w:hAnsi="Verdana" w:cs="Arial"/>
              </w:rPr>
              <w:t>debe precisarse que l</w:t>
            </w:r>
            <w:r w:rsidR="003F12FD" w:rsidRPr="00897241">
              <w:rPr>
                <w:rFonts w:ascii="Verdana" w:hAnsi="Verdana" w:cs="Arial"/>
                <w:lang w:val="es-ES"/>
              </w:rPr>
              <w:t>a Ley 996 de 2005, conocida como Ley de Garantías Electorales, establece restricciones específicas para la contratación pública durante los períodos electorales, particularmente en lo que respecta a la celebración de convenios interadministrativos financiados con recursos del presupuesto estatal. El propósito de estas limitaciones es evitar que el uso de recursos públicos pueda influir en el proceso electoral o generar ventajas indebidas.</w:t>
            </w:r>
          </w:p>
          <w:p w14:paraId="190CB7AE" w14:textId="77777777" w:rsidR="003F12FD" w:rsidRPr="00897241" w:rsidRDefault="003F12FD" w:rsidP="003F12FD">
            <w:pPr>
              <w:spacing w:before="120" w:after="120" w:line="276" w:lineRule="auto"/>
              <w:ind w:firstLine="709"/>
              <w:jc w:val="both"/>
              <w:rPr>
                <w:rFonts w:ascii="Verdana" w:hAnsi="Verdana" w:cs="Arial"/>
                <w:lang w:val="es-ES"/>
              </w:rPr>
            </w:pPr>
            <w:r w:rsidRPr="00897241">
              <w:rPr>
                <w:rFonts w:ascii="Verdana" w:hAnsi="Verdana" w:cs="Arial"/>
                <w:lang w:val="es-ES"/>
              </w:rPr>
              <w:t xml:space="preserve">En ese sentido, </w:t>
            </w:r>
            <w:r w:rsidR="009878DC" w:rsidRPr="00897241">
              <w:rPr>
                <w:rFonts w:ascii="Verdana" w:hAnsi="Verdana" w:cs="Arial"/>
                <w:lang w:val="es-ES"/>
              </w:rPr>
              <w:t xml:space="preserve">y teniendo en cuenta la consulta elevada, resulta necesario manifestar que </w:t>
            </w:r>
            <w:r w:rsidRPr="00897241">
              <w:rPr>
                <w:rFonts w:ascii="Verdana" w:hAnsi="Verdana" w:cs="Arial"/>
                <w:lang w:val="es-ES"/>
              </w:rPr>
              <w:t>las prohibiciones previstas en la Ley se</w:t>
            </w:r>
            <w:r w:rsidRPr="00897241">
              <w:rPr>
                <w:rFonts w:ascii="Verdana" w:hAnsi="Verdana" w:cs="Arial"/>
                <w:i/>
                <w:iCs/>
                <w:lang w:val="es-ES"/>
              </w:rPr>
              <w:t xml:space="preserve"> circunscriben a los convenios que impliquen la disposición o ejecución de recursos públicos</w:t>
            </w:r>
            <w:r w:rsidRPr="00897241">
              <w:rPr>
                <w:rFonts w:ascii="Verdana" w:hAnsi="Verdana" w:cs="Arial"/>
                <w:lang w:val="es-ES"/>
              </w:rPr>
              <w:t>. Por lo tanto, aquellos convenios que no se encuentren financiados con recursos públicos no están sujetos a las restricciones establecidas en la Ley 996 de 2005, siempre que su objeto y ejecución no comprometan directa o indirectamente fondos del Estado ni constituyan una forma de eludir las limitaciones legales.</w:t>
            </w:r>
          </w:p>
          <w:p w14:paraId="1361EE76" w14:textId="00325DB3" w:rsidR="00E944D5" w:rsidRPr="00897241" w:rsidRDefault="00E944D5" w:rsidP="007A0CF5">
            <w:pPr>
              <w:spacing w:before="120" w:after="120" w:line="276" w:lineRule="auto"/>
              <w:ind w:firstLine="709"/>
              <w:jc w:val="both"/>
              <w:rPr>
                <w:rFonts w:ascii="Verdana" w:hAnsi="Verdana" w:cs="Arial"/>
                <w:bCs/>
                <w:lang w:val="es-ES"/>
              </w:rPr>
            </w:pPr>
            <w:r w:rsidRPr="00897241">
              <w:rPr>
                <w:rFonts w:ascii="Verdana" w:eastAsia="Times New Roman" w:hAnsi="Verdana" w:cs="Arial"/>
                <w:bCs/>
                <w:color w:val="000000" w:themeColor="text1"/>
                <w:lang w:eastAsia="es-CO"/>
              </w:rPr>
              <w:t xml:space="preserve">Como la intensión de la Ley de Garantías Electorales es evitar que se altere la voluntad del elector y la entrega de recursos en efectivo o en especie pueden causar tal efecto, se debe entender de forma amplia la expresión </w:t>
            </w:r>
            <w:r w:rsidR="00791983" w:rsidRPr="00897241">
              <w:rPr>
                <w:rFonts w:ascii="Verdana" w:eastAsia="Times New Roman" w:hAnsi="Verdana" w:cs="Arial"/>
                <w:bCs/>
                <w:color w:val="000000" w:themeColor="text1"/>
                <w:lang w:eastAsia="es-CO"/>
              </w:rPr>
              <w:t>“</w:t>
            </w:r>
            <w:r w:rsidRPr="00897241">
              <w:rPr>
                <w:rFonts w:ascii="Verdana" w:eastAsia="Times New Roman" w:hAnsi="Verdana" w:cs="Arial"/>
                <w:bCs/>
                <w:color w:val="000000" w:themeColor="text1"/>
                <w:lang w:eastAsia="es-CO"/>
              </w:rPr>
              <w:t>ejecución de recursos públicos</w:t>
            </w:r>
            <w:r w:rsidR="00791983" w:rsidRPr="00897241">
              <w:rPr>
                <w:rFonts w:ascii="Verdana" w:eastAsia="Times New Roman" w:hAnsi="Verdana" w:cs="Arial"/>
                <w:bCs/>
                <w:color w:val="000000" w:themeColor="text1"/>
                <w:lang w:eastAsia="es-CO"/>
              </w:rPr>
              <w:t>”</w:t>
            </w:r>
            <w:r w:rsidRPr="00897241">
              <w:rPr>
                <w:rFonts w:ascii="Verdana" w:eastAsia="Times New Roman" w:hAnsi="Verdana" w:cs="Arial"/>
                <w:bCs/>
                <w:color w:val="000000" w:themeColor="text1"/>
                <w:lang w:eastAsia="es-CO"/>
              </w:rPr>
              <w:t xml:space="preserve">, siendo parte de ella la entrega de dineros públicos y, la entrega de bienes del Estado para su uso. </w:t>
            </w:r>
          </w:p>
          <w:p w14:paraId="6CA471FD" w14:textId="62D9FC91" w:rsidR="00327B94" w:rsidRPr="00897241" w:rsidRDefault="003F12FD" w:rsidP="003F12FD">
            <w:pPr>
              <w:spacing w:after="120" w:line="276" w:lineRule="auto"/>
              <w:ind w:firstLine="708"/>
              <w:jc w:val="both"/>
              <w:rPr>
                <w:rFonts w:ascii="Verdana" w:hAnsi="Verdana" w:cs="Arial"/>
                <w:lang w:val="es-ES"/>
              </w:rPr>
            </w:pPr>
            <w:r w:rsidRPr="00897241">
              <w:rPr>
                <w:rFonts w:ascii="Verdana" w:hAnsi="Verdana" w:cs="Arial"/>
                <w:lang w:val="es-ES"/>
              </w:rPr>
              <w:t>En conclusión, es jurídicamente posible suscribir convenios sin financiación pública durante el período de restricciones, siempre que se garantice que no exista afectación del erario ni se configure un uso indirecto de recursos estatales. No obstante, resulta recomendable verificar caso por caso la naturaleza del convenio y su fuente de financiación, a fin de asegurar plena conformidad con el espíritu y la finalidad de la Ley de Garantías</w:t>
            </w:r>
            <w:r w:rsidR="000F249F" w:rsidRPr="00897241">
              <w:rPr>
                <w:rFonts w:ascii="Verdana" w:hAnsi="Verdana" w:cs="Arial"/>
                <w:lang w:val="es-ES"/>
              </w:rPr>
              <w:t xml:space="preserve"> Electorales. </w:t>
            </w:r>
          </w:p>
          <w:p w14:paraId="75A495A5" w14:textId="42E52AB6" w:rsidR="00231B0E" w:rsidRPr="00897241" w:rsidRDefault="00231B0E" w:rsidP="003F12FD">
            <w:pPr>
              <w:spacing w:after="120" w:line="276" w:lineRule="auto"/>
              <w:ind w:firstLine="708"/>
              <w:jc w:val="both"/>
              <w:rPr>
                <w:rFonts w:ascii="Verdana" w:eastAsia="Calibri" w:hAnsi="Verdana" w:cs="Arial"/>
              </w:rPr>
            </w:pPr>
            <w:r w:rsidRPr="00897241">
              <w:rPr>
                <w:rStyle w:val="s15"/>
                <w:rFonts w:ascii="Verdana" w:hAnsi="Verdana"/>
                <w:color w:val="000000"/>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w:t>
            </w:r>
            <w:r w:rsidRPr="00897241">
              <w:rPr>
                <w:rStyle w:val="s15"/>
                <w:rFonts w:ascii="Verdana" w:hAnsi="Verdana"/>
                <w:color w:val="000000"/>
              </w:rPr>
              <w:lastRenderedPageBreak/>
              <w:t>Así, cada entidad definirá la forma de adelantar su gestión contractual, sin que sea atribución de Colombia Compra Eficiente validar sus actuaciones.</w:t>
            </w:r>
          </w:p>
        </w:tc>
      </w:tr>
      <w:bookmarkEnd w:id="1"/>
    </w:tbl>
    <w:p w14:paraId="19A60E55" w14:textId="77777777" w:rsidR="00231B0E" w:rsidRPr="001F370F" w:rsidRDefault="00231B0E" w:rsidP="007A0CF5">
      <w:pPr>
        <w:widowControl w:val="0"/>
        <w:autoSpaceDE w:val="0"/>
        <w:autoSpaceDN w:val="0"/>
        <w:spacing w:after="0" w:line="276" w:lineRule="auto"/>
        <w:ind w:left="360" w:hanging="360"/>
        <w:outlineLvl w:val="0"/>
        <w:rPr>
          <w:rFonts w:ascii="Verdana" w:eastAsia="Arial" w:hAnsi="Verdana" w:cs="Arial"/>
          <w:b/>
          <w:bCs/>
          <w:highlight w:val="cyan"/>
          <w:lang w:val="es-ES"/>
        </w:rPr>
      </w:pPr>
    </w:p>
    <w:p w14:paraId="12809AAA" w14:textId="77777777" w:rsidR="00231B0E" w:rsidRPr="001F370F" w:rsidRDefault="00231B0E" w:rsidP="007A0CF5">
      <w:pPr>
        <w:widowControl w:val="0"/>
        <w:autoSpaceDE w:val="0"/>
        <w:autoSpaceDN w:val="0"/>
        <w:spacing w:after="0" w:line="276" w:lineRule="auto"/>
        <w:ind w:left="360" w:hanging="360"/>
        <w:outlineLvl w:val="0"/>
        <w:rPr>
          <w:rFonts w:ascii="Verdana" w:eastAsia="Arial" w:hAnsi="Verdana" w:cs="Arial"/>
          <w:b/>
          <w:bCs/>
          <w:lang w:val="es-ES"/>
        </w:rPr>
      </w:pPr>
      <w:r w:rsidRPr="001F370F">
        <w:rPr>
          <w:rFonts w:ascii="Verdana" w:eastAsia="Arial" w:hAnsi="Verdana" w:cs="Arial"/>
          <w:b/>
          <w:bCs/>
          <w:lang w:val="es-ES"/>
        </w:rPr>
        <w:t>3. Razones de la respuesta:</w:t>
      </w:r>
    </w:p>
    <w:p w14:paraId="6ABA1FAE" w14:textId="77777777" w:rsidR="00231B0E" w:rsidRPr="001F370F" w:rsidRDefault="00231B0E" w:rsidP="00231B0E">
      <w:pPr>
        <w:spacing w:after="0" w:line="276" w:lineRule="auto"/>
        <w:jc w:val="both"/>
        <w:rPr>
          <w:rFonts w:ascii="Verdana" w:eastAsia="Calibri" w:hAnsi="Verdana" w:cs="Arial"/>
          <w:lang w:val="es-ES"/>
        </w:rPr>
      </w:pPr>
    </w:p>
    <w:p w14:paraId="7C21CE2E" w14:textId="298A2C61" w:rsidR="00390A4A" w:rsidRPr="001F370F" w:rsidRDefault="00231B0E" w:rsidP="00B879F1">
      <w:pPr>
        <w:spacing w:after="0" w:line="276" w:lineRule="auto"/>
        <w:jc w:val="both"/>
        <w:rPr>
          <w:rFonts w:ascii="Verdana" w:eastAsia="Calibri" w:hAnsi="Verdana" w:cs="Arial"/>
          <w:lang w:val="es-ES"/>
        </w:rPr>
      </w:pPr>
      <w:r w:rsidRPr="001F370F">
        <w:rPr>
          <w:rFonts w:ascii="Verdana" w:eastAsia="Calibri" w:hAnsi="Verdana" w:cs="Arial"/>
          <w:lang w:val="es-ES"/>
        </w:rPr>
        <w:t xml:space="preserve">La respuesta anterior se sustenta en las siguientes consideraciones: </w:t>
      </w:r>
      <w:bookmarkStart w:id="2" w:name="_Hlk78820161"/>
    </w:p>
    <w:p w14:paraId="77826162" w14:textId="77777777" w:rsidR="00B879F1" w:rsidRPr="001F370F" w:rsidRDefault="00B879F1" w:rsidP="00B879F1">
      <w:pPr>
        <w:spacing w:after="0" w:line="276" w:lineRule="auto"/>
        <w:jc w:val="both"/>
        <w:rPr>
          <w:rFonts w:ascii="Verdana" w:eastAsia="Calibri" w:hAnsi="Verdana" w:cs="Arial"/>
          <w:lang w:val="es-ES"/>
        </w:rPr>
      </w:pPr>
    </w:p>
    <w:p w14:paraId="2F7ACA53" w14:textId="33F121EE" w:rsidR="00B879F1" w:rsidRPr="001F370F" w:rsidRDefault="00433184" w:rsidP="00B879F1">
      <w:pPr>
        <w:tabs>
          <w:tab w:val="left" w:pos="426"/>
        </w:tabs>
        <w:spacing w:after="120" w:line="276" w:lineRule="auto"/>
        <w:jc w:val="both"/>
        <w:rPr>
          <w:rFonts w:ascii="Verdana" w:eastAsia="Times New Roman" w:hAnsi="Verdana" w:cs="Arial"/>
          <w:lang w:eastAsia="es-CO"/>
        </w:rPr>
      </w:pPr>
      <w:r w:rsidRPr="001F370F">
        <w:rPr>
          <w:rFonts w:ascii="Verdana" w:eastAsia="Calibri" w:hAnsi="Verdana" w:cs="Arial"/>
        </w:rPr>
        <w:t xml:space="preserve">i) </w:t>
      </w:r>
      <w:r w:rsidR="00B879F1" w:rsidRPr="001F370F">
        <w:rPr>
          <w:rFonts w:ascii="Verdana" w:eastAsia="Calibri" w:hAnsi="Verdana" w:cs="Arial"/>
        </w:rPr>
        <w:t>El ordenamiento jurídico colombiano contempla previsiones claras para evitar la obtención de beneficios personales en asuntos propios de la administración pública</w:t>
      </w:r>
      <w:r w:rsidR="00B879F1" w:rsidRPr="001F370F">
        <w:rPr>
          <w:rFonts w:ascii="Verdana" w:eastAsia="Calibri" w:hAnsi="Verdana" w:cs="Arial"/>
          <w:i/>
        </w:rPr>
        <w:t xml:space="preserve">. </w:t>
      </w:r>
      <w:r w:rsidR="00B879F1" w:rsidRPr="001F370F">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00B879F1" w:rsidRPr="001F370F">
        <w:rPr>
          <w:rFonts w:ascii="Verdana" w:hAnsi="Verdana"/>
          <w:vertAlign w:val="superscript"/>
        </w:rPr>
        <w:footnoteReference w:id="1"/>
      </w:r>
      <w:r w:rsidR="00B879F1" w:rsidRPr="001F370F">
        <w:rPr>
          <w:rFonts w:ascii="Verdana" w:eastAsia="Calibri" w:hAnsi="Verdana" w:cs="Arial"/>
        </w:rPr>
        <w:t xml:space="preserve">. </w:t>
      </w:r>
    </w:p>
    <w:p w14:paraId="14B0AA32" w14:textId="77777777" w:rsidR="00B879F1" w:rsidRPr="001F370F" w:rsidRDefault="00B879F1" w:rsidP="00B879F1">
      <w:pPr>
        <w:tabs>
          <w:tab w:val="left" w:pos="426"/>
        </w:tabs>
        <w:spacing w:after="0" w:line="276" w:lineRule="auto"/>
        <w:ind w:firstLine="709"/>
        <w:jc w:val="both"/>
        <w:rPr>
          <w:rFonts w:ascii="Verdana" w:eastAsia="Calibri" w:hAnsi="Verdana" w:cs="Arial"/>
          <w:lang w:val="es-ES_tradnl"/>
        </w:rPr>
      </w:pPr>
      <w:r w:rsidRPr="001F370F">
        <w:rPr>
          <w:rFonts w:ascii="Verdana" w:eastAsia="Times New Roman" w:hAnsi="Verdana" w:cs="Arial"/>
          <w:lang w:eastAsia="es-CO"/>
        </w:rPr>
        <w:t>En el mismo sentido</w:t>
      </w:r>
      <w:r w:rsidRPr="001F370F">
        <w:rPr>
          <w:rFonts w:ascii="Verdana" w:eastAsia="Times New Roman" w:hAnsi="Verdana" w:cs="Arial"/>
          <w:lang w:val="es-MX" w:eastAsia="es-CO"/>
        </w:rPr>
        <w:t xml:space="preserve">, </w:t>
      </w:r>
      <w:bookmarkStart w:id="3" w:name="_Hlk99576829"/>
      <w:r w:rsidRPr="001F370F">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1F370F">
        <w:rPr>
          <w:rFonts w:ascii="Verdana" w:eastAsia="Times New Roman" w:hAnsi="Verdana" w:cs="Arial"/>
          <w:vertAlign w:val="superscript"/>
          <w:lang w:val="es-MX" w:eastAsia="es-CO"/>
        </w:rPr>
        <w:footnoteReference w:id="2"/>
      </w:r>
      <w:r w:rsidRPr="001F370F">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1F370F">
        <w:rPr>
          <w:rFonts w:ascii="Verdana" w:eastAsia="Calibri" w:hAnsi="Verdana" w:cs="Arial"/>
          <w:lang w:val="es-ES_tradnl"/>
        </w:rPr>
        <w:t xml:space="preserve"> </w:t>
      </w:r>
      <w:bookmarkEnd w:id="3"/>
      <w:r w:rsidRPr="001F370F">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587E040C" w14:textId="77777777" w:rsidR="00B879F1" w:rsidRPr="001F370F" w:rsidRDefault="00B879F1" w:rsidP="00B879F1">
      <w:pPr>
        <w:spacing w:after="0" w:line="276" w:lineRule="auto"/>
        <w:ind w:right="709"/>
        <w:contextualSpacing/>
        <w:jc w:val="both"/>
        <w:rPr>
          <w:rFonts w:ascii="Verdana" w:eastAsia="Times New Roman" w:hAnsi="Verdana" w:cs="Arial"/>
          <w:lang w:val="es-ES" w:eastAsia="es-CO"/>
        </w:rPr>
      </w:pPr>
    </w:p>
    <w:p w14:paraId="756E2FED" w14:textId="77777777" w:rsidR="00B879F1" w:rsidRPr="001F370F" w:rsidRDefault="00B879F1" w:rsidP="00B879F1">
      <w:pPr>
        <w:spacing w:after="0" w:line="240" w:lineRule="auto"/>
        <w:ind w:left="709" w:right="709"/>
        <w:contextualSpacing/>
        <w:jc w:val="both"/>
        <w:rPr>
          <w:rFonts w:ascii="Verdana" w:eastAsia="Times New Roman" w:hAnsi="Verdana" w:cs="Arial"/>
          <w:sz w:val="20"/>
          <w:szCs w:val="20"/>
          <w:lang w:val="es-MX" w:eastAsia="es-CO"/>
        </w:rPr>
      </w:pPr>
      <w:r w:rsidRPr="001F370F">
        <w:rPr>
          <w:rFonts w:ascii="Verdana" w:eastAsia="Times New Roman" w:hAnsi="Verdana" w:cs="Arial"/>
          <w:sz w:val="20"/>
          <w:szCs w:val="20"/>
          <w:lang w:val="es-ES" w:eastAsia="es-CO"/>
        </w:rPr>
        <w:lastRenderedPageBreak/>
        <w:t xml:space="preserve">“[…] </w:t>
      </w:r>
      <w:r w:rsidRPr="001F370F">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F3182B2" w14:textId="77777777" w:rsidR="00B879F1" w:rsidRPr="001F370F" w:rsidRDefault="00B879F1" w:rsidP="00B879F1">
      <w:pPr>
        <w:spacing w:after="0" w:line="240" w:lineRule="auto"/>
        <w:ind w:left="709" w:right="709"/>
        <w:contextualSpacing/>
        <w:jc w:val="both"/>
        <w:rPr>
          <w:rFonts w:ascii="Verdana" w:eastAsia="Times New Roman" w:hAnsi="Verdana" w:cs="Arial"/>
          <w:sz w:val="20"/>
          <w:szCs w:val="20"/>
          <w:lang w:val="es-MX" w:eastAsia="es-CO"/>
        </w:rPr>
      </w:pPr>
      <w:r w:rsidRPr="001F370F">
        <w:rPr>
          <w:rFonts w:ascii="Verdana" w:eastAsia="Times New Roman" w:hAnsi="Verdana" w:cs="Arial"/>
          <w:sz w:val="20"/>
          <w:szCs w:val="20"/>
          <w:lang w:val="es-MX" w:eastAsia="es-CO"/>
        </w:rPr>
        <w:t xml:space="preserve">[…] </w:t>
      </w:r>
    </w:p>
    <w:p w14:paraId="496FBA35" w14:textId="77777777" w:rsidR="00B879F1" w:rsidRPr="001F370F" w:rsidRDefault="00B879F1" w:rsidP="00B879F1">
      <w:pPr>
        <w:spacing w:after="0" w:line="240" w:lineRule="auto"/>
        <w:ind w:left="709" w:right="709"/>
        <w:contextualSpacing/>
        <w:jc w:val="both"/>
        <w:rPr>
          <w:rFonts w:ascii="Verdana" w:eastAsia="Times New Roman" w:hAnsi="Verdana" w:cs="Arial"/>
          <w:sz w:val="20"/>
          <w:szCs w:val="20"/>
          <w:lang w:val="es-MX" w:eastAsia="es-CO"/>
        </w:rPr>
      </w:pPr>
      <w:r w:rsidRPr="001F370F">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1F370F">
        <w:rPr>
          <w:rFonts w:ascii="Verdana" w:eastAsia="Calibri" w:hAnsi="Verdana" w:cs="Arial"/>
          <w:sz w:val="20"/>
          <w:szCs w:val="20"/>
          <w:vertAlign w:val="superscript"/>
          <w:lang w:val="es-MX"/>
        </w:rPr>
        <w:footnoteReference w:id="3"/>
      </w:r>
    </w:p>
    <w:p w14:paraId="5E477166" w14:textId="77777777" w:rsidR="00B879F1" w:rsidRPr="001F370F" w:rsidRDefault="00B879F1" w:rsidP="00B879F1">
      <w:pPr>
        <w:spacing w:after="0" w:line="276" w:lineRule="auto"/>
        <w:ind w:firstLine="709"/>
        <w:jc w:val="both"/>
        <w:rPr>
          <w:rFonts w:ascii="Verdana" w:eastAsia="Times New Roman" w:hAnsi="Verdana" w:cs="Arial"/>
          <w:lang w:val="es-MX" w:eastAsia="es-CO"/>
        </w:rPr>
      </w:pPr>
      <w:bookmarkStart w:id="4" w:name="_Hlk78818186"/>
    </w:p>
    <w:p w14:paraId="75D63057" w14:textId="77777777" w:rsidR="00B879F1" w:rsidRPr="001F370F" w:rsidRDefault="00B879F1" w:rsidP="00B879F1">
      <w:pPr>
        <w:spacing w:after="0" w:line="276" w:lineRule="auto"/>
        <w:ind w:firstLine="709"/>
        <w:jc w:val="both"/>
        <w:rPr>
          <w:rFonts w:ascii="Verdana" w:eastAsia="Times New Roman" w:hAnsi="Verdana" w:cs="Arial"/>
          <w:lang w:val="es-MX" w:eastAsia="es-CO"/>
        </w:rPr>
      </w:pPr>
      <w:r w:rsidRPr="001F370F">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4"/>
      <w:r w:rsidRPr="001F370F">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35097517" w14:textId="77777777" w:rsidR="00B879F1" w:rsidRPr="001F370F" w:rsidRDefault="00B879F1" w:rsidP="00B879F1">
      <w:pPr>
        <w:spacing w:after="0" w:line="276" w:lineRule="auto"/>
        <w:ind w:firstLine="709"/>
        <w:jc w:val="both"/>
        <w:rPr>
          <w:rFonts w:ascii="Verdana" w:eastAsia="Times New Roman" w:hAnsi="Verdana" w:cs="Arial"/>
          <w:lang w:val="es-MX" w:eastAsia="es-CO"/>
        </w:rPr>
      </w:pPr>
    </w:p>
    <w:p w14:paraId="46DDB405" w14:textId="77777777" w:rsidR="00B879F1" w:rsidRPr="001F370F" w:rsidRDefault="00B879F1" w:rsidP="00B879F1">
      <w:pPr>
        <w:spacing w:after="0" w:line="240" w:lineRule="auto"/>
        <w:ind w:left="709" w:right="709"/>
        <w:contextualSpacing/>
        <w:jc w:val="both"/>
        <w:rPr>
          <w:rFonts w:ascii="Verdana" w:eastAsia="Times New Roman" w:hAnsi="Verdana" w:cs="Arial"/>
          <w:sz w:val="20"/>
          <w:szCs w:val="20"/>
          <w:lang w:val="es-MX" w:eastAsia="es-CO"/>
        </w:rPr>
      </w:pPr>
      <w:r w:rsidRPr="001F370F">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1F370F">
        <w:rPr>
          <w:rFonts w:ascii="Verdana" w:eastAsia="Times New Roman" w:hAnsi="Verdana" w:cs="Arial"/>
          <w:sz w:val="20"/>
          <w:szCs w:val="20"/>
          <w:lang w:val="es-MX" w:eastAsia="es-CO"/>
        </w:rPr>
        <w:t>legis</w:t>
      </w:r>
      <w:proofErr w:type="spellEnd"/>
      <w:r w:rsidRPr="001F370F">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24FF44A" w14:textId="77777777" w:rsidR="00B879F1" w:rsidRPr="001F370F" w:rsidRDefault="00B879F1" w:rsidP="00B879F1">
      <w:pPr>
        <w:spacing w:after="0" w:line="240" w:lineRule="auto"/>
        <w:ind w:right="709"/>
        <w:contextualSpacing/>
        <w:jc w:val="both"/>
        <w:rPr>
          <w:rFonts w:ascii="Verdana" w:eastAsia="Times New Roman" w:hAnsi="Verdana" w:cs="Arial"/>
          <w:sz w:val="12"/>
          <w:szCs w:val="12"/>
          <w:lang w:val="es-MX" w:eastAsia="es-CO"/>
        </w:rPr>
      </w:pPr>
    </w:p>
    <w:p w14:paraId="105B97DF" w14:textId="77777777" w:rsidR="00B879F1" w:rsidRPr="001F370F" w:rsidRDefault="00B879F1" w:rsidP="00B879F1">
      <w:pPr>
        <w:spacing w:after="0" w:line="240" w:lineRule="auto"/>
        <w:ind w:left="709" w:right="709"/>
        <w:contextualSpacing/>
        <w:jc w:val="both"/>
        <w:rPr>
          <w:rFonts w:ascii="Verdana" w:eastAsia="Times New Roman" w:hAnsi="Verdana" w:cs="Arial"/>
          <w:sz w:val="20"/>
          <w:szCs w:val="20"/>
          <w:lang w:val="es-MX" w:eastAsia="es-CO"/>
        </w:rPr>
      </w:pPr>
      <w:r w:rsidRPr="001F370F">
        <w:rPr>
          <w:rFonts w:ascii="Verdana" w:eastAsia="Times New Roman" w:hAnsi="Verdana" w:cs="Arial"/>
          <w:sz w:val="20"/>
          <w:szCs w:val="20"/>
          <w:lang w:val="es-MX" w:eastAsia="es-CO"/>
        </w:rPr>
        <w:lastRenderedPageBreak/>
        <w:t>La jurisprudencia de la Corte Constitucional</w:t>
      </w:r>
      <w:r w:rsidRPr="001F370F">
        <w:rPr>
          <w:rFonts w:ascii="Verdana" w:eastAsia="Times New Roman" w:hAnsi="Verdana" w:cs="Arial"/>
          <w:sz w:val="20"/>
          <w:szCs w:val="20"/>
          <w:vertAlign w:val="superscript"/>
          <w:lang w:val="es-MX" w:eastAsia="es-CO"/>
        </w:rPr>
        <w:footnoteReference w:id="4"/>
      </w:r>
      <w:r w:rsidRPr="001F370F">
        <w:rPr>
          <w:rFonts w:ascii="Verdana" w:eastAsia="Times New Roman" w:hAnsi="Verdana" w:cs="Arial"/>
          <w:sz w:val="20"/>
          <w:szCs w:val="20"/>
          <w:lang w:val="es-MX" w:eastAsia="es-CO"/>
        </w:rPr>
        <w:t> y del Consejo de Estado</w:t>
      </w:r>
      <w:r w:rsidRPr="001F370F">
        <w:rPr>
          <w:rFonts w:ascii="Verdana" w:eastAsia="Times New Roman" w:hAnsi="Verdana" w:cs="Arial"/>
          <w:sz w:val="20"/>
          <w:szCs w:val="20"/>
          <w:vertAlign w:val="superscript"/>
          <w:lang w:val="es-MX" w:eastAsia="es-CO"/>
        </w:rPr>
        <w:footnoteReference w:id="5"/>
      </w:r>
      <w:r w:rsidRPr="001F370F">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1F370F">
        <w:rPr>
          <w:rFonts w:ascii="Verdana" w:eastAsia="Times New Roman" w:hAnsi="Verdana" w:cs="Arial"/>
          <w:sz w:val="20"/>
          <w:szCs w:val="20"/>
          <w:vertAlign w:val="superscript"/>
          <w:lang w:val="es-MX" w:eastAsia="es-CO"/>
        </w:rPr>
        <w:footnoteReference w:id="6"/>
      </w:r>
      <w:r w:rsidRPr="001F370F">
        <w:rPr>
          <w:rFonts w:ascii="Verdana" w:eastAsia="Times New Roman" w:hAnsi="Verdana" w:cs="Arial"/>
          <w:sz w:val="20"/>
          <w:szCs w:val="20"/>
          <w:lang w:val="es-MX" w:eastAsia="es-CO"/>
        </w:rPr>
        <w:t>.</w:t>
      </w:r>
    </w:p>
    <w:p w14:paraId="24DE0973" w14:textId="77777777" w:rsidR="00B879F1" w:rsidRPr="001F370F" w:rsidRDefault="00B879F1" w:rsidP="00B879F1">
      <w:pPr>
        <w:spacing w:after="0" w:line="276" w:lineRule="auto"/>
        <w:jc w:val="both"/>
        <w:rPr>
          <w:rFonts w:ascii="Verdana" w:eastAsia="Calibri" w:hAnsi="Verdana" w:cs="Arial"/>
          <w:bCs/>
          <w:lang w:val="es-ES_tradnl"/>
        </w:rPr>
      </w:pPr>
    </w:p>
    <w:p w14:paraId="751D4688" w14:textId="77777777" w:rsidR="00B879F1" w:rsidRPr="001F370F" w:rsidRDefault="00B879F1" w:rsidP="00B879F1">
      <w:pPr>
        <w:spacing w:after="0" w:line="276" w:lineRule="auto"/>
        <w:ind w:firstLine="709"/>
        <w:jc w:val="both"/>
        <w:rPr>
          <w:rFonts w:ascii="Verdana" w:eastAsia="Arial" w:hAnsi="Verdana" w:cs="Arial"/>
          <w:lang w:val="es-ES" w:eastAsia="es-ES" w:bidi="es-ES"/>
        </w:rPr>
      </w:pPr>
      <w:r w:rsidRPr="001F370F">
        <w:rPr>
          <w:rFonts w:ascii="Verdana" w:eastAsia="Times New Roman" w:hAnsi="Verdana" w:cs="Arial"/>
          <w:lang w:val="es-MX" w:eastAsia="es-CO"/>
        </w:rPr>
        <w:t>De</w:t>
      </w:r>
      <w:r w:rsidRPr="001F370F">
        <w:rPr>
          <w:rFonts w:ascii="Verdana" w:eastAsia="Arial" w:hAnsi="Verdana" w:cs="Arial"/>
          <w:lang w:val="es-ES" w:eastAsia="es-ES" w:bidi="es-ES"/>
        </w:rPr>
        <w:t xml:space="preserve"> conformidad con lo anterior, </w:t>
      </w:r>
      <w:bookmarkStart w:id="5" w:name="_Hlk77236098"/>
      <w:bookmarkStart w:id="6" w:name="_Hlk100679383"/>
      <w:r w:rsidRPr="001F370F">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F27D3BA" w14:textId="77777777" w:rsidR="00B879F1" w:rsidRPr="001F370F" w:rsidRDefault="00B879F1" w:rsidP="00B879F1">
      <w:pPr>
        <w:spacing w:after="0" w:line="276" w:lineRule="auto"/>
        <w:ind w:firstLine="709"/>
        <w:jc w:val="both"/>
        <w:rPr>
          <w:rFonts w:ascii="Verdana" w:eastAsia="Arial" w:hAnsi="Verdana" w:cs="Arial"/>
          <w:lang w:val="es-ES" w:eastAsia="es-ES" w:bidi="es-ES"/>
        </w:rPr>
      </w:pPr>
    </w:p>
    <w:p w14:paraId="35F27E62" w14:textId="77777777" w:rsidR="00B879F1" w:rsidRPr="001F370F" w:rsidRDefault="00B879F1" w:rsidP="00B879F1">
      <w:pPr>
        <w:spacing w:after="120" w:line="276" w:lineRule="auto"/>
        <w:jc w:val="both"/>
        <w:rPr>
          <w:rFonts w:ascii="Verdana" w:eastAsia="Arial" w:hAnsi="Verdana" w:cs="Arial"/>
          <w:lang w:val="es-ES" w:eastAsia="es-ES" w:bidi="es-ES"/>
        </w:rPr>
      </w:pPr>
      <w:proofErr w:type="spellStart"/>
      <w:r w:rsidRPr="001F370F">
        <w:rPr>
          <w:rFonts w:ascii="Verdana" w:eastAsia="Arial" w:hAnsi="Verdana" w:cs="Arial"/>
          <w:lang w:val="es-ES" w:eastAsia="es-ES" w:bidi="es-ES"/>
        </w:rPr>
        <w:t>ii</w:t>
      </w:r>
      <w:proofErr w:type="spellEnd"/>
      <w:r w:rsidRPr="001F370F">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32E73A29" w14:textId="77777777" w:rsidR="00B879F1" w:rsidRPr="001F370F" w:rsidRDefault="00B879F1" w:rsidP="00B879F1">
      <w:pPr>
        <w:spacing w:after="120" w:line="276" w:lineRule="auto"/>
        <w:ind w:firstLine="708"/>
        <w:jc w:val="both"/>
        <w:rPr>
          <w:rFonts w:ascii="Verdana" w:eastAsia="Calibri" w:hAnsi="Verdana" w:cs="Arial"/>
        </w:rPr>
      </w:pPr>
      <w:r w:rsidRPr="001F370F">
        <w:rPr>
          <w:rFonts w:ascii="Verdana" w:eastAsia="Calibri" w:hAnsi="Verdana" w:cs="Arial"/>
        </w:rPr>
        <w:t xml:space="preserve">Por un lado, el </w:t>
      </w:r>
      <w:r w:rsidRPr="001F370F">
        <w:rPr>
          <w:rFonts w:ascii="Verdana" w:eastAsia="Calibri" w:hAnsi="Verdana" w:cs="Arial"/>
          <w:i/>
          <w:iCs/>
        </w:rPr>
        <w:t>artículo 33 de la Ley 996 de 2005</w:t>
      </w:r>
      <w:r w:rsidRPr="001F370F">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w:t>
      </w:r>
      <w:r w:rsidRPr="001F370F">
        <w:rPr>
          <w:rFonts w:ascii="Verdana" w:eastAsia="Calibri" w:hAnsi="Verdana" w:cs="Arial"/>
        </w:rPr>
        <w:lastRenderedPageBreak/>
        <w:t>energética y de comunicaciones, en caso de que hayan sido objeto de atentados, acciones terroristas, desastres naturales o casos de fuerza mayor, y los que deban realizar las entidades sanitarias y hospitalarias”</w:t>
      </w:r>
      <w:r w:rsidRPr="001F370F">
        <w:rPr>
          <w:rFonts w:ascii="Verdana" w:eastAsia="Calibri" w:hAnsi="Verdana" w:cs="Arial"/>
          <w:vertAlign w:val="superscript"/>
        </w:rPr>
        <w:footnoteReference w:id="7"/>
      </w:r>
      <w:r w:rsidRPr="001F370F">
        <w:rPr>
          <w:rFonts w:ascii="Verdana" w:eastAsia="Calibri" w:hAnsi="Verdana" w:cs="Arial"/>
        </w:rPr>
        <w:t>.</w:t>
      </w:r>
    </w:p>
    <w:p w14:paraId="6BAF1873" w14:textId="77777777" w:rsidR="00B879F1" w:rsidRPr="001F370F" w:rsidRDefault="00B879F1" w:rsidP="00B879F1">
      <w:pPr>
        <w:widowControl w:val="0"/>
        <w:autoSpaceDE w:val="0"/>
        <w:autoSpaceDN w:val="0"/>
        <w:spacing w:after="120" w:line="276" w:lineRule="auto"/>
        <w:ind w:right="113" w:firstLine="709"/>
        <w:jc w:val="both"/>
        <w:rPr>
          <w:rFonts w:ascii="Verdana" w:eastAsia="Arial" w:hAnsi="Verdana" w:cs="Arial"/>
          <w:lang w:val="es-ES" w:eastAsia="es-ES" w:bidi="es-ES"/>
        </w:rPr>
      </w:pPr>
      <w:r w:rsidRPr="001F370F">
        <w:rPr>
          <w:rFonts w:ascii="Verdana" w:eastAsia="Calibri" w:hAnsi="Verdana" w:cs="Arial"/>
        </w:rPr>
        <w:t xml:space="preserve">Por otro lado, </w:t>
      </w:r>
      <w:r w:rsidRPr="001F370F">
        <w:rPr>
          <w:rFonts w:ascii="Verdana" w:eastAsia="Calibri" w:hAnsi="Verdana" w:cs="Arial"/>
          <w:i/>
          <w:iCs/>
        </w:rPr>
        <w:t>el parágrafo del artículo 38 de la Ley 996 de 2005</w:t>
      </w:r>
      <w:r w:rsidRPr="001F370F">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1F370F">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F370F">
        <w:rPr>
          <w:rFonts w:ascii="Verdana" w:eastAsia="Calibri" w:hAnsi="Verdana" w:cs="Arial"/>
        </w:rPr>
        <w:t>”</w:t>
      </w:r>
      <w:bookmarkEnd w:id="6"/>
      <w:r w:rsidRPr="001F370F">
        <w:rPr>
          <w:rFonts w:ascii="Verdana" w:eastAsia="Calibri" w:hAnsi="Verdana" w:cs="Arial"/>
          <w:vertAlign w:val="superscript"/>
        </w:rPr>
        <w:footnoteReference w:id="8"/>
      </w:r>
      <w:r w:rsidRPr="001F370F">
        <w:rPr>
          <w:rFonts w:ascii="Verdana" w:eastAsia="Calibri" w:hAnsi="Verdana" w:cs="Arial"/>
          <w:lang w:val="es-MX"/>
        </w:rPr>
        <w:t>.</w:t>
      </w:r>
      <w:r w:rsidRPr="001F370F">
        <w:rPr>
          <w:rFonts w:ascii="Verdana" w:eastAsia="Arial" w:hAnsi="Verdana" w:cs="Arial"/>
          <w:lang w:val="es-ES" w:eastAsia="es-ES" w:bidi="es-ES"/>
        </w:rPr>
        <w:t xml:space="preserve"> </w:t>
      </w:r>
    </w:p>
    <w:p w14:paraId="3749E0A6" w14:textId="77777777" w:rsidR="00B879F1" w:rsidRPr="001F370F" w:rsidRDefault="00B879F1" w:rsidP="00B879F1">
      <w:pPr>
        <w:spacing w:after="120" w:line="276" w:lineRule="auto"/>
        <w:ind w:firstLine="708"/>
        <w:jc w:val="both"/>
        <w:rPr>
          <w:rFonts w:ascii="Verdana" w:eastAsia="Times New Roman" w:hAnsi="Verdana" w:cs="Arial"/>
          <w:bCs/>
          <w:lang w:eastAsia="es-CO"/>
        </w:rPr>
      </w:pPr>
      <w:r w:rsidRPr="001F370F">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sidRPr="001F370F">
        <w:rPr>
          <w:rFonts w:ascii="Verdana" w:eastAsia="Times New Roman" w:hAnsi="Verdana" w:cs="Arial"/>
          <w:bCs/>
          <w:lang w:eastAsia="es-CO"/>
        </w:rPr>
        <w:t>1. </w:t>
      </w:r>
      <w:r w:rsidRPr="001F370F">
        <w:rPr>
          <w:rFonts w:ascii="Verdana" w:eastAsia="Times New Roman" w:hAnsi="Verdana" w:cs="Arial"/>
          <w:bCs/>
          <w:i/>
          <w:iCs/>
          <w:lang w:eastAsia="es-CO"/>
        </w:rPr>
        <w:t>Gral.</w:t>
      </w:r>
      <w:r w:rsidRPr="001F370F">
        <w:rPr>
          <w:rFonts w:ascii="Verdana" w:eastAsia="Times New Roman" w:hAnsi="Verdana" w:cs="Arial"/>
          <w:bCs/>
          <w:lang w:eastAsia="es-CO"/>
        </w:rPr>
        <w:t xml:space="preserve"> Otorgar o firmar un contrato. 2. </w:t>
      </w:r>
      <w:proofErr w:type="spellStart"/>
      <w:r w:rsidRPr="001F370F">
        <w:rPr>
          <w:rFonts w:ascii="Verdana" w:eastAsia="Times New Roman" w:hAnsi="Verdana" w:cs="Arial"/>
          <w:bCs/>
          <w:i/>
          <w:iCs/>
          <w:lang w:eastAsia="es-CO"/>
        </w:rPr>
        <w:t>Proc</w:t>
      </w:r>
      <w:proofErr w:type="spellEnd"/>
      <w:r w:rsidRPr="001F370F">
        <w:rPr>
          <w:rFonts w:ascii="Verdana" w:eastAsia="Times New Roman" w:hAnsi="Verdana" w:cs="Arial"/>
          <w:bCs/>
          <w:i/>
          <w:iCs/>
          <w:lang w:eastAsia="es-CO"/>
        </w:rPr>
        <w:t>.</w:t>
      </w:r>
      <w:r w:rsidRPr="001F370F">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283C174C" w14:textId="77777777" w:rsidR="00B879F1" w:rsidRPr="001F370F" w:rsidRDefault="00B879F1" w:rsidP="00B879F1">
      <w:pPr>
        <w:spacing w:after="120" w:line="276" w:lineRule="auto"/>
        <w:ind w:firstLine="708"/>
        <w:jc w:val="both"/>
        <w:rPr>
          <w:rFonts w:ascii="Verdana" w:eastAsia="Times New Roman" w:hAnsi="Verdana" w:cs="Arial"/>
          <w:bCs/>
          <w:lang w:val="es-ES" w:eastAsia="es-CO"/>
        </w:rPr>
      </w:pPr>
      <w:r w:rsidRPr="001F370F">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1F370F">
        <w:rPr>
          <w:rFonts w:ascii="Verdana" w:eastAsia="Times New Roman" w:hAnsi="Verdana" w:cs="Arial"/>
          <w:bCs/>
          <w:lang w:val="es-ES" w:eastAsia="es-CO"/>
        </w:rPr>
        <w:t xml:space="preserve">la </w:t>
      </w:r>
      <w:r w:rsidRPr="001F370F">
        <w:rPr>
          <w:rFonts w:ascii="Verdana" w:eastAsia="Times New Roman" w:hAnsi="Verdana" w:cs="Arial"/>
          <w:bCs/>
          <w:lang w:val="es-ES" w:eastAsia="es-CO"/>
        </w:rPr>
        <w:lastRenderedPageBreak/>
        <w:t xml:space="preserve">existencia de los contratos estatales, es decir, la producción de efectos jurídicos en los términos del artículo 1501 </w:t>
      </w:r>
      <w:r w:rsidRPr="001F370F">
        <w:rPr>
          <w:rFonts w:ascii="Verdana" w:eastAsia="Times New Roman" w:hAnsi="Verdana" w:cs="Arial"/>
          <w:bCs/>
          <w:i/>
          <w:lang w:val="es-ES" w:eastAsia="es-CO"/>
        </w:rPr>
        <w:t>ibidem</w:t>
      </w:r>
      <w:r w:rsidRPr="001F370F">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24569408" w14:textId="77777777" w:rsidR="00B879F1" w:rsidRPr="001F370F" w:rsidRDefault="00B879F1" w:rsidP="00B879F1">
      <w:pPr>
        <w:spacing w:after="120" w:line="276" w:lineRule="auto"/>
        <w:ind w:firstLine="708"/>
        <w:jc w:val="both"/>
        <w:rPr>
          <w:rFonts w:ascii="Verdana" w:eastAsia="Times New Roman" w:hAnsi="Verdana" w:cs="Arial"/>
          <w:bCs/>
          <w:lang w:val="es-ES" w:eastAsia="es-CO"/>
        </w:rPr>
      </w:pPr>
      <w:r w:rsidRPr="001F370F">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2879AD15" w14:textId="77777777" w:rsidR="00B879F1" w:rsidRPr="001F370F" w:rsidRDefault="00B879F1" w:rsidP="00B879F1">
      <w:pPr>
        <w:spacing w:after="120" w:line="276" w:lineRule="auto"/>
        <w:ind w:firstLine="708"/>
        <w:jc w:val="both"/>
        <w:rPr>
          <w:rFonts w:ascii="Verdana" w:eastAsia="Times New Roman" w:hAnsi="Verdana" w:cs="Arial"/>
          <w:bCs/>
          <w:lang w:val="es-ES" w:eastAsia="es-CO"/>
        </w:rPr>
      </w:pPr>
      <w:r w:rsidRPr="001F370F">
        <w:rPr>
          <w:rFonts w:ascii="Verdana" w:eastAsia="Times New Roman" w:hAnsi="Verdana" w:cs="Arial"/>
          <w:bCs/>
          <w:lang w:val="es-ES" w:eastAsia="es-CO"/>
        </w:rPr>
        <w:t xml:space="preserve">Asimismo, </w:t>
      </w:r>
      <w:r w:rsidRPr="001F370F">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1F370F">
        <w:rPr>
          <w:rFonts w:ascii="Verdana" w:eastAsia="Times New Roman" w:hAnsi="Verdana" w:cs="Arial"/>
          <w:bCs/>
          <w:vertAlign w:val="superscript"/>
          <w:lang w:val="es-MX" w:eastAsia="es-CO"/>
        </w:rPr>
        <w:footnoteReference w:id="9"/>
      </w:r>
      <w:r w:rsidRPr="001F370F">
        <w:rPr>
          <w:rFonts w:ascii="Verdana" w:eastAsia="Times New Roman" w:hAnsi="Verdana" w:cs="Arial"/>
          <w:bCs/>
          <w:lang w:val="es-MX" w:eastAsia="es-CO"/>
        </w:rPr>
        <w:t xml:space="preserve">. </w:t>
      </w:r>
      <w:r w:rsidRPr="001F370F">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5EF1BE9E" w14:textId="77777777" w:rsidR="00B879F1" w:rsidRPr="001F370F" w:rsidRDefault="00B879F1" w:rsidP="00B879F1">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7B2A91E1" w14:textId="77777777" w:rsidR="00B879F1" w:rsidRPr="001F370F" w:rsidRDefault="00B879F1" w:rsidP="00B879F1">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1F370F">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w:t>
      </w:r>
      <w:r w:rsidRPr="001F370F">
        <w:rPr>
          <w:rFonts w:ascii="Verdana" w:eastAsia="Arial" w:hAnsi="Verdana" w:cs="Arial"/>
          <w:sz w:val="20"/>
          <w:szCs w:val="20"/>
          <w:lang w:eastAsia="es-ES" w:bidi="es-ES"/>
        </w:rPr>
        <w:lastRenderedPageBreak/>
        <w:t xml:space="preserve">se excluyen sino que </w:t>
      </w:r>
      <w:bookmarkStart w:id="9" w:name="_Hlk76109421"/>
      <w:r w:rsidRPr="001F370F">
        <w:rPr>
          <w:rFonts w:ascii="Verdana" w:eastAsia="Arial" w:hAnsi="Verdana" w:cs="Arial"/>
          <w:sz w:val="20"/>
          <w:szCs w:val="20"/>
          <w:lang w:eastAsia="es-ES" w:bidi="es-ES"/>
        </w:rPr>
        <w:t>se integran parcialmente</w:t>
      </w:r>
      <w:bookmarkEnd w:id="9"/>
      <w:r w:rsidRPr="001F370F">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1F370F">
        <w:rPr>
          <w:rFonts w:ascii="Verdana" w:eastAsia="Arial" w:hAnsi="Verdana" w:cs="Arial"/>
          <w:sz w:val="20"/>
          <w:szCs w:val="20"/>
          <w:vertAlign w:val="superscript"/>
          <w:lang w:eastAsia="es-ES" w:bidi="es-ES"/>
        </w:rPr>
        <w:footnoteReference w:id="10"/>
      </w:r>
    </w:p>
    <w:p w14:paraId="2B2B66D1" w14:textId="77777777" w:rsidR="00B879F1" w:rsidRPr="001F370F" w:rsidRDefault="00B879F1" w:rsidP="00B879F1">
      <w:pPr>
        <w:widowControl w:val="0"/>
        <w:autoSpaceDE w:val="0"/>
        <w:autoSpaceDN w:val="0"/>
        <w:spacing w:after="0" w:line="276" w:lineRule="auto"/>
        <w:contextualSpacing/>
        <w:rPr>
          <w:rFonts w:ascii="Verdana" w:eastAsia="Arial" w:hAnsi="Verdana" w:cs="Arial"/>
          <w:lang w:val="es-ES" w:eastAsia="es-ES" w:bidi="es-ES"/>
        </w:rPr>
      </w:pPr>
    </w:p>
    <w:p w14:paraId="3B141FFD" w14:textId="77777777" w:rsidR="00B879F1" w:rsidRPr="001F370F" w:rsidRDefault="00B879F1" w:rsidP="00B879F1">
      <w:pPr>
        <w:spacing w:after="120" w:line="276" w:lineRule="auto"/>
        <w:ind w:firstLine="709"/>
        <w:jc w:val="both"/>
        <w:rPr>
          <w:rFonts w:ascii="Verdana" w:eastAsia="Arial" w:hAnsi="Verdana" w:cs="Arial"/>
          <w:lang w:val="es-ES" w:eastAsia="es-ES" w:bidi="es-ES"/>
        </w:rPr>
      </w:pPr>
      <w:r w:rsidRPr="001F370F">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1F370F">
        <w:rPr>
          <w:rFonts w:ascii="Verdana" w:eastAsia="Arial" w:hAnsi="Verdana" w:cs="Arial"/>
          <w:lang w:val="es-ES" w:eastAsia="es-ES" w:bidi="es-ES"/>
        </w:rPr>
        <w:t xml:space="preserve">la Ley 996 de 2005 establece dos (2) tipos de restricciones en materia de contratación, las cuales coinciden parcialmente. </w:t>
      </w:r>
      <w:r w:rsidRPr="001F370F">
        <w:rPr>
          <w:rFonts w:ascii="Verdana" w:eastAsia="Arial" w:hAnsi="Verdana" w:cs="Arial"/>
          <w:i/>
          <w:lang w:val="es-ES" w:eastAsia="es-ES" w:bidi="es-ES"/>
        </w:rPr>
        <w:t>En primer lugar</w:t>
      </w:r>
      <w:r w:rsidRPr="001F370F">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1F370F">
        <w:rPr>
          <w:rFonts w:ascii="Verdana" w:eastAsia="Arial" w:hAnsi="Verdana" w:cs="Arial"/>
          <w:i/>
          <w:lang w:val="es-ES" w:eastAsia="es-ES" w:bidi="es-ES"/>
        </w:rPr>
        <w:t>En segundo lugar</w:t>
      </w:r>
      <w:r w:rsidRPr="001F370F">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0E1C125E" w14:textId="77777777" w:rsidR="00B879F1" w:rsidRPr="001F370F" w:rsidRDefault="00B879F1" w:rsidP="00B879F1">
      <w:pPr>
        <w:spacing w:after="120" w:line="276" w:lineRule="auto"/>
        <w:ind w:firstLine="709"/>
        <w:jc w:val="both"/>
        <w:rPr>
          <w:rFonts w:ascii="Verdana" w:eastAsia="Arial" w:hAnsi="Verdana" w:cs="Arial"/>
          <w:lang w:val="es-ES" w:eastAsia="es-ES" w:bidi="es-ES"/>
        </w:rPr>
      </w:pPr>
      <w:r w:rsidRPr="001F370F">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2"/>
    <w:p w14:paraId="65F95160" w14:textId="77777777" w:rsidR="00B879F1" w:rsidRPr="001F370F" w:rsidRDefault="00B879F1" w:rsidP="00B879F1">
      <w:pPr>
        <w:spacing w:after="0" w:line="276" w:lineRule="auto"/>
        <w:ind w:firstLine="709"/>
        <w:jc w:val="both"/>
        <w:rPr>
          <w:rFonts w:ascii="Verdana" w:eastAsia="Arial" w:hAnsi="Verdana" w:cs="Arial"/>
          <w:lang w:val="es-ES" w:eastAsia="es-ES" w:bidi="es-ES"/>
        </w:rPr>
      </w:pPr>
      <w:r w:rsidRPr="001F370F">
        <w:rPr>
          <w:rFonts w:ascii="Verdana" w:eastAsia="Arial" w:hAnsi="Verdana" w:cs="Arial"/>
          <w:lang w:val="es-ES" w:eastAsia="es-ES" w:bidi="es-ES"/>
        </w:rPr>
        <w:t xml:space="preserve">La Corte Constitucional, en la Sentencia C-1153 del 11 de noviembre de 2005, señaló que, para que la garantía sea plena, era necesario que la </w:t>
      </w:r>
      <w:r w:rsidRPr="001F370F">
        <w:rPr>
          <w:rFonts w:ascii="Verdana" w:eastAsia="Arial" w:hAnsi="Verdana" w:cs="Arial"/>
          <w:lang w:val="es-ES" w:eastAsia="es-ES" w:bidi="es-ES"/>
        </w:rPr>
        <w:lastRenderedPageBreak/>
        <w:t xml:space="preserve">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28B3B6AE" w14:textId="77777777" w:rsidR="00B879F1" w:rsidRPr="001F370F" w:rsidRDefault="00B879F1" w:rsidP="00B879F1">
      <w:pPr>
        <w:spacing w:after="0" w:line="276" w:lineRule="auto"/>
        <w:ind w:firstLine="708"/>
        <w:jc w:val="both"/>
        <w:rPr>
          <w:rFonts w:ascii="Verdana" w:eastAsia="Arial" w:hAnsi="Verdana" w:cs="Arial"/>
          <w:lang w:val="es-ES" w:eastAsia="es-ES" w:bidi="es-ES"/>
        </w:rPr>
      </w:pPr>
      <w:r w:rsidRPr="001F370F">
        <w:rPr>
          <w:rFonts w:ascii="Verdana" w:eastAsia="Arial" w:hAnsi="Verdana" w:cs="Arial"/>
          <w:lang w:val="es-ES" w:eastAsia="es-ES" w:bidi="es-ES"/>
        </w:rPr>
        <w:t xml:space="preserve"> </w:t>
      </w:r>
    </w:p>
    <w:p w14:paraId="1173ECC8" w14:textId="77777777" w:rsidR="00B879F1" w:rsidRPr="001F370F" w:rsidRDefault="00B879F1" w:rsidP="00B879F1">
      <w:pPr>
        <w:spacing w:line="276" w:lineRule="auto"/>
        <w:jc w:val="both"/>
        <w:rPr>
          <w:rFonts w:ascii="Verdana" w:eastAsia="Times New Roman" w:hAnsi="Verdana" w:cs="Arial"/>
          <w:bCs/>
          <w:lang w:val="es-MX" w:eastAsia="es-CO"/>
        </w:rPr>
      </w:pPr>
      <w:proofErr w:type="spellStart"/>
      <w:r w:rsidRPr="001F370F">
        <w:rPr>
          <w:rFonts w:ascii="Verdana" w:eastAsia="Arial" w:hAnsi="Verdana" w:cs="Arial"/>
          <w:lang w:val="es-ES" w:eastAsia="es-ES" w:bidi="es-ES"/>
        </w:rPr>
        <w:t>iii</w:t>
      </w:r>
      <w:proofErr w:type="spellEnd"/>
      <w:r w:rsidRPr="001F370F">
        <w:rPr>
          <w:rFonts w:ascii="Verdana" w:eastAsia="Arial" w:hAnsi="Verdana" w:cs="Arial"/>
          <w:lang w:val="es-ES" w:eastAsia="es-ES" w:bidi="es-ES"/>
        </w:rPr>
        <w:t xml:space="preserve">. </w:t>
      </w:r>
      <w:r w:rsidRPr="001F370F">
        <w:rPr>
          <w:rFonts w:ascii="Verdana" w:eastAsia="Times New Roman" w:hAnsi="Verdana" w:cs="Arial"/>
          <w:bCs/>
          <w:lang w:val="es-MX" w:eastAsia="x-none"/>
        </w:rPr>
        <w:t xml:space="preserve">El ámbito material de la prohibición contenida en el artículo 33 de la ley 996 de 2005 está delimitado por la expresión </w:t>
      </w:r>
      <w:r w:rsidRPr="001F370F">
        <w:rPr>
          <w:rFonts w:ascii="Verdana" w:eastAsia="Calibri" w:hAnsi="Verdana" w:cs="Arial"/>
          <w:bCs/>
          <w:sz w:val="20"/>
          <w:szCs w:val="20"/>
          <w:lang w:val="es-MX"/>
        </w:rPr>
        <w:t>“</w:t>
      </w:r>
      <w:r w:rsidRPr="001F370F">
        <w:rPr>
          <w:rFonts w:ascii="Verdana" w:eastAsia="Times New Roman" w:hAnsi="Verdana" w:cs="Arial"/>
          <w:bCs/>
          <w:lang w:val="es-MX" w:eastAsia="x-none"/>
        </w:rPr>
        <w:t>queda prohibida la contratación directa</w:t>
      </w:r>
      <w:r w:rsidRPr="001F370F">
        <w:rPr>
          <w:rFonts w:ascii="Verdana" w:eastAsia="Calibri" w:hAnsi="Verdana" w:cs="Arial"/>
          <w:sz w:val="20"/>
          <w:szCs w:val="20"/>
          <w:lang w:val="es-MX"/>
        </w:rPr>
        <w:t>”</w:t>
      </w:r>
      <w:r w:rsidRPr="001F370F">
        <w:rPr>
          <w:rFonts w:ascii="Verdana" w:eastAsia="Times New Roman" w:hAnsi="Verdana" w:cs="Arial"/>
          <w:bCs/>
          <w:lang w:val="es-MX" w:eastAsia="x-none"/>
        </w:rPr>
        <w:t xml:space="preserve">. </w:t>
      </w:r>
      <w:r w:rsidRPr="001F370F">
        <w:rPr>
          <w:rFonts w:ascii="Verdana" w:eastAsia="Times New Roman" w:hAnsi="Verdana" w:cs="Arial"/>
          <w:lang w:val="es-MX" w:eastAsia="es-CO"/>
        </w:rPr>
        <w:t xml:space="preserve"> A propósito de </w:t>
      </w:r>
      <w:r w:rsidRPr="001F370F">
        <w:rPr>
          <w:rFonts w:ascii="Verdana" w:eastAsia="Times New Roman" w:hAnsi="Verdana" w:cs="Arial"/>
          <w:lang w:eastAsia="es-CO"/>
        </w:rPr>
        <w:t>esta restricción de la Ley de Garantías Electorales, la Sala de Consulta y Servicio Civil del Consejo de Estado ha considerado que:</w:t>
      </w:r>
    </w:p>
    <w:p w14:paraId="274F77A5" w14:textId="77777777" w:rsidR="00B879F1" w:rsidRPr="001F370F" w:rsidRDefault="00B879F1" w:rsidP="00B879F1">
      <w:pPr>
        <w:spacing w:after="0" w:line="240" w:lineRule="auto"/>
        <w:ind w:left="708" w:right="709"/>
        <w:jc w:val="both"/>
        <w:rPr>
          <w:rFonts w:ascii="Verdana" w:eastAsia="Calibri" w:hAnsi="Verdana" w:cs="Arial"/>
          <w:sz w:val="20"/>
          <w:szCs w:val="20"/>
          <w:lang w:val="es-MX"/>
        </w:rPr>
      </w:pPr>
    </w:p>
    <w:p w14:paraId="2EADB741" w14:textId="77777777" w:rsidR="00B879F1" w:rsidRPr="001F370F" w:rsidRDefault="00B879F1" w:rsidP="00B879F1">
      <w:pPr>
        <w:spacing w:after="120" w:line="240" w:lineRule="auto"/>
        <w:ind w:left="709" w:right="709"/>
        <w:jc w:val="both"/>
        <w:rPr>
          <w:rFonts w:ascii="Verdana" w:eastAsia="Calibri" w:hAnsi="Verdana" w:cs="Arial"/>
          <w:sz w:val="20"/>
          <w:szCs w:val="20"/>
          <w:lang w:val="es-MX"/>
        </w:rPr>
      </w:pPr>
      <w:r w:rsidRPr="001F370F">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1F370F">
        <w:rPr>
          <w:rFonts w:ascii="Verdana" w:eastAsia="Times New Roman" w:hAnsi="Verdana" w:cs="Arial"/>
          <w:sz w:val="20"/>
          <w:szCs w:val="20"/>
          <w:vertAlign w:val="superscript"/>
          <w:lang w:eastAsia="es-CO"/>
        </w:rPr>
        <w:footnoteReference w:id="11"/>
      </w:r>
      <w:r w:rsidRPr="001F370F">
        <w:rPr>
          <w:rFonts w:ascii="Verdana" w:eastAsia="Calibri" w:hAnsi="Verdana" w:cs="Arial"/>
          <w:sz w:val="20"/>
          <w:szCs w:val="20"/>
          <w:lang w:val="es-MX"/>
        </w:rPr>
        <w:t>.</w:t>
      </w:r>
    </w:p>
    <w:p w14:paraId="595C08EF" w14:textId="77777777" w:rsidR="00B879F1" w:rsidRPr="001F370F" w:rsidRDefault="00B879F1" w:rsidP="00B879F1">
      <w:pPr>
        <w:spacing w:after="0" w:line="240" w:lineRule="auto"/>
        <w:ind w:left="708" w:right="709"/>
        <w:jc w:val="both"/>
        <w:rPr>
          <w:rFonts w:ascii="Verdana" w:eastAsia="Calibri" w:hAnsi="Verdana" w:cs="Arial"/>
          <w:sz w:val="20"/>
          <w:szCs w:val="20"/>
          <w:lang w:val="es-MX"/>
        </w:rPr>
      </w:pPr>
      <w:r w:rsidRPr="001F370F">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1F370F">
        <w:rPr>
          <w:rFonts w:ascii="Verdana" w:eastAsia="Times New Roman" w:hAnsi="Verdana" w:cs="Arial"/>
          <w:sz w:val="20"/>
          <w:szCs w:val="20"/>
          <w:vertAlign w:val="superscript"/>
          <w:lang w:val="es-MX"/>
        </w:rPr>
        <w:footnoteReference w:id="12"/>
      </w:r>
      <w:r w:rsidRPr="001F370F">
        <w:rPr>
          <w:rFonts w:ascii="Verdana" w:eastAsia="Times New Roman" w:hAnsi="Verdana" w:cs="Arial"/>
          <w:sz w:val="20"/>
          <w:szCs w:val="20"/>
          <w:vertAlign w:val="superscript"/>
          <w:lang w:val="es-MX"/>
        </w:rPr>
        <w:t>.</w:t>
      </w:r>
      <w:r w:rsidRPr="001F370F">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w:t>
      </w:r>
      <w:r w:rsidRPr="001F370F">
        <w:rPr>
          <w:rFonts w:ascii="Verdana" w:eastAsia="Calibri" w:hAnsi="Verdana" w:cs="Arial"/>
          <w:sz w:val="20"/>
          <w:szCs w:val="20"/>
          <w:lang w:val="es-MX"/>
        </w:rPr>
        <w:lastRenderedPageBreak/>
        <w:t>por la cual en ese periodo preelectoral de que trata la disposición pueden las entidades públicas seguir contratando bajo estos sistemas. [...]</w:t>
      </w:r>
      <w:r w:rsidRPr="001F370F">
        <w:rPr>
          <w:rFonts w:ascii="Verdana" w:eastAsia="Times New Roman" w:hAnsi="Verdana" w:cs="Arial"/>
          <w:sz w:val="20"/>
          <w:szCs w:val="20"/>
          <w:vertAlign w:val="superscript"/>
          <w:lang w:eastAsia="es-CO"/>
        </w:rPr>
        <w:footnoteReference w:id="13"/>
      </w:r>
      <w:r w:rsidRPr="001F370F">
        <w:rPr>
          <w:rFonts w:ascii="Verdana" w:eastAsia="Calibri" w:hAnsi="Verdana" w:cs="Arial"/>
          <w:sz w:val="20"/>
          <w:szCs w:val="20"/>
          <w:lang w:val="es-MX"/>
        </w:rPr>
        <w:t xml:space="preserve"> .</w:t>
      </w:r>
    </w:p>
    <w:p w14:paraId="3ACFAE3D" w14:textId="77777777" w:rsidR="00B879F1" w:rsidRPr="001F370F" w:rsidRDefault="00B879F1" w:rsidP="00B879F1">
      <w:pPr>
        <w:shd w:val="clear" w:color="auto" w:fill="FFFFFF"/>
        <w:spacing w:after="0" w:line="276" w:lineRule="auto"/>
        <w:ind w:firstLine="709"/>
        <w:jc w:val="both"/>
        <w:rPr>
          <w:rFonts w:ascii="Verdana" w:eastAsia="Times New Roman" w:hAnsi="Verdana" w:cs="Arial"/>
          <w:lang w:eastAsia="x-none"/>
        </w:rPr>
      </w:pPr>
    </w:p>
    <w:p w14:paraId="4C5C25D6" w14:textId="77777777" w:rsidR="00B879F1" w:rsidRPr="001F370F" w:rsidRDefault="00B879F1" w:rsidP="00B879F1">
      <w:pPr>
        <w:spacing w:after="120" w:line="276" w:lineRule="auto"/>
        <w:ind w:firstLine="708"/>
        <w:jc w:val="both"/>
        <w:rPr>
          <w:rFonts w:ascii="Verdana" w:eastAsia="Times New Roman" w:hAnsi="Verdana" w:cs="Arial"/>
          <w:bCs/>
          <w:lang w:eastAsia="x-none"/>
        </w:rPr>
      </w:pPr>
      <w:r w:rsidRPr="001F370F">
        <w:rPr>
          <w:rFonts w:ascii="Verdana" w:eastAsia="Times New Roman" w:hAnsi="Verdana" w:cs="Arial"/>
          <w:lang w:eastAsia="x-none"/>
        </w:rPr>
        <w:t xml:space="preserve">De acuerdo con el citado concepto, la prohibición del artículo 33 de la Ley de Garantías Electorales se refiere a </w:t>
      </w:r>
      <w:r w:rsidRPr="001F370F">
        <w:rPr>
          <w:rFonts w:ascii="Verdana" w:eastAsia="Times New Roman" w:hAnsi="Verdana" w:cs="Arial"/>
          <w:sz w:val="19"/>
          <w:szCs w:val="19"/>
          <w:lang w:eastAsia="en-GB"/>
        </w:rPr>
        <w:t>“</w:t>
      </w:r>
      <w:r w:rsidRPr="001F370F">
        <w:rPr>
          <w:rFonts w:ascii="Verdana" w:eastAsia="Times New Roman" w:hAnsi="Verdana" w:cs="Arial"/>
          <w:lang w:eastAsia="x-none"/>
        </w:rPr>
        <w:t>cualquier sistema que no implique convocatoria pública y posibilidad de pluralidad de oferentes</w:t>
      </w:r>
      <w:r w:rsidRPr="001F370F">
        <w:rPr>
          <w:rFonts w:ascii="Verdana" w:eastAsia="Times New Roman" w:hAnsi="Verdana" w:cs="Arial"/>
          <w:lang w:eastAsia="en-GB"/>
        </w:rPr>
        <w:t>”</w:t>
      </w:r>
      <w:r w:rsidRPr="001F370F">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1F370F">
        <w:rPr>
          <w:rFonts w:ascii="Verdana" w:eastAsia="Times New Roman" w:hAnsi="Verdana" w:cs="Arial"/>
          <w:lang w:val="es-ES_tradnl" w:eastAsia="x-none"/>
        </w:rPr>
        <w:t>y la mínima cuantía</w:t>
      </w:r>
      <w:r w:rsidRPr="001F370F" w:rsidDel="00A85D9F">
        <w:rPr>
          <w:rFonts w:ascii="Verdana" w:eastAsia="Times New Roman" w:hAnsi="Verdana" w:cs="Arial"/>
          <w:lang w:eastAsia="x-none"/>
        </w:rPr>
        <w:t xml:space="preserve"> </w:t>
      </w:r>
      <w:r w:rsidRPr="001F370F">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1F370F">
        <w:rPr>
          <w:rFonts w:ascii="Verdana" w:eastAsia="Times New Roman" w:hAnsi="Verdana" w:cs="Arial"/>
          <w:vertAlign w:val="superscript"/>
          <w:lang w:val="en-GB" w:eastAsia="x-none"/>
        </w:rPr>
        <w:footnoteReference w:id="14"/>
      </w:r>
      <w:r w:rsidRPr="001F370F">
        <w:rPr>
          <w:rFonts w:ascii="Verdana" w:eastAsia="Times New Roman" w:hAnsi="Verdana" w:cs="Arial"/>
          <w:lang w:eastAsia="x-none"/>
        </w:rPr>
        <w:t xml:space="preserve"> y sistematizó las causales de contratación directa</w:t>
      </w:r>
      <w:r w:rsidRPr="001F370F">
        <w:rPr>
          <w:rFonts w:ascii="Verdana" w:eastAsia="Times New Roman" w:hAnsi="Verdana" w:cs="Arial"/>
          <w:vertAlign w:val="superscript"/>
          <w:lang w:val="en-GB" w:eastAsia="x-none"/>
        </w:rPr>
        <w:footnoteReference w:id="15"/>
      </w:r>
      <w:r w:rsidRPr="001F370F">
        <w:rPr>
          <w:rFonts w:ascii="Verdana" w:eastAsia="Times New Roman" w:hAnsi="Verdana" w:cs="Arial"/>
          <w:lang w:eastAsia="x-none"/>
        </w:rPr>
        <w:t xml:space="preserve">, </w:t>
      </w:r>
      <w:r w:rsidRPr="001F370F">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06246E1E" w14:textId="77777777" w:rsidR="00B879F1" w:rsidRPr="001F370F" w:rsidRDefault="00B879F1" w:rsidP="00B879F1">
      <w:pPr>
        <w:spacing w:after="120" w:line="276" w:lineRule="auto"/>
        <w:ind w:firstLine="708"/>
        <w:jc w:val="both"/>
        <w:rPr>
          <w:rFonts w:ascii="Verdana" w:eastAsia="Times New Roman" w:hAnsi="Verdana" w:cs="Arial"/>
          <w:lang w:val="es-MX" w:eastAsia="x-none"/>
        </w:rPr>
      </w:pPr>
      <w:r w:rsidRPr="001F370F">
        <w:rPr>
          <w:rFonts w:ascii="Verdana" w:eastAsia="Times New Roman" w:hAnsi="Verdana" w:cs="Arial"/>
          <w:lang w:eastAsia="x-none"/>
        </w:rPr>
        <w:t xml:space="preserve">De esta forma, con fundamento en la evolución de la normativa sobre la contratación pública, se ha depurado la noción de </w:t>
      </w:r>
      <w:r w:rsidRPr="001F370F">
        <w:rPr>
          <w:rFonts w:ascii="Verdana" w:eastAsia="Times New Roman" w:hAnsi="Verdana" w:cs="Arial"/>
          <w:sz w:val="19"/>
          <w:szCs w:val="19"/>
          <w:lang w:eastAsia="en-GB"/>
        </w:rPr>
        <w:t>“</w:t>
      </w:r>
      <w:r w:rsidRPr="001F370F">
        <w:rPr>
          <w:rFonts w:ascii="Verdana" w:eastAsia="Times New Roman" w:hAnsi="Verdana" w:cs="Arial"/>
          <w:lang w:eastAsia="x-none"/>
        </w:rPr>
        <w:t>contratación directa</w:t>
      </w:r>
      <w:r w:rsidRPr="001F370F">
        <w:rPr>
          <w:rFonts w:ascii="Verdana" w:eastAsia="Times New Roman" w:hAnsi="Verdana" w:cs="Arial"/>
          <w:lang w:eastAsia="en-GB"/>
        </w:rPr>
        <w:t>”</w:t>
      </w:r>
      <w:r w:rsidRPr="001F370F">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F370F">
        <w:rPr>
          <w:rFonts w:ascii="Verdana" w:eastAsia="Times New Roman" w:hAnsi="Verdana" w:cs="Arial"/>
          <w:vertAlign w:val="superscript"/>
          <w:lang w:val="en-GB" w:eastAsia="x-none"/>
        </w:rPr>
        <w:footnoteReference w:id="16"/>
      </w:r>
      <w:r w:rsidRPr="001F370F">
        <w:rPr>
          <w:rFonts w:ascii="Verdana" w:eastAsia="Times New Roman" w:hAnsi="Verdana" w:cs="Arial"/>
          <w:lang w:eastAsia="x-none"/>
        </w:rPr>
        <w:t>, han establecido sistemas de contratación que implican convocatoria pública y participación de varios oferentes</w:t>
      </w:r>
      <w:r w:rsidRPr="001F370F">
        <w:rPr>
          <w:rFonts w:ascii="Verdana" w:eastAsia="Times New Roman" w:hAnsi="Verdana" w:cs="Arial"/>
          <w:lang w:eastAsia="en-GB"/>
        </w:rPr>
        <w:t>”</w:t>
      </w:r>
      <w:r w:rsidRPr="001F370F">
        <w:rPr>
          <w:rFonts w:ascii="Verdana" w:eastAsia="Times New Roman" w:hAnsi="Verdana" w:cs="Arial"/>
          <w:lang w:eastAsia="x-none"/>
        </w:rPr>
        <w:t xml:space="preserve">. </w:t>
      </w:r>
    </w:p>
    <w:p w14:paraId="3EA1338A" w14:textId="77777777" w:rsidR="00B879F1" w:rsidRPr="001F370F" w:rsidRDefault="00B879F1" w:rsidP="00B879F1">
      <w:pPr>
        <w:spacing w:after="120" w:line="276" w:lineRule="auto"/>
        <w:ind w:firstLine="708"/>
        <w:jc w:val="both"/>
        <w:rPr>
          <w:rFonts w:ascii="Verdana" w:eastAsia="Times New Roman" w:hAnsi="Verdana" w:cs="Arial"/>
          <w:lang w:eastAsia="x-none"/>
        </w:rPr>
      </w:pPr>
      <w:r w:rsidRPr="001F370F">
        <w:rPr>
          <w:rFonts w:ascii="Verdana" w:eastAsia="Times New Roman" w:hAnsi="Verdana" w:cs="Arial"/>
          <w:bCs/>
          <w:lang w:val="es-MX" w:eastAsia="x-none"/>
        </w:rPr>
        <w:t>E</w:t>
      </w:r>
      <w:r w:rsidRPr="001F370F">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w:t>
      </w:r>
      <w:r w:rsidRPr="001F370F">
        <w:rPr>
          <w:rFonts w:ascii="Verdana" w:eastAsia="Times New Roman" w:hAnsi="Verdana" w:cs="Arial"/>
          <w:lang w:eastAsia="x-none"/>
        </w:rPr>
        <w:lastRenderedPageBreak/>
        <w:t>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1F370F">
        <w:rPr>
          <w:rFonts w:ascii="Verdana" w:eastAsia="Times New Roman" w:hAnsi="Verdana" w:cs="Arial"/>
          <w:vertAlign w:val="superscript"/>
          <w:lang w:eastAsia="x-none"/>
        </w:rPr>
        <w:footnoteReference w:id="17"/>
      </w:r>
      <w:r w:rsidRPr="001F370F">
        <w:rPr>
          <w:rFonts w:ascii="Verdana" w:eastAsia="Times New Roman" w:hAnsi="Verdana" w:cs="Arial"/>
          <w:lang w:eastAsia="x-none"/>
        </w:rPr>
        <w:t xml:space="preserve">. </w:t>
      </w:r>
    </w:p>
    <w:p w14:paraId="49430947" w14:textId="77777777" w:rsidR="00B879F1" w:rsidRPr="001F370F" w:rsidRDefault="00B879F1" w:rsidP="00B879F1">
      <w:pPr>
        <w:spacing w:after="120" w:line="276" w:lineRule="auto"/>
        <w:ind w:firstLine="708"/>
        <w:jc w:val="both"/>
        <w:rPr>
          <w:rFonts w:ascii="Verdana" w:eastAsia="Times New Roman" w:hAnsi="Verdana" w:cs="Arial"/>
          <w:bCs/>
          <w:lang w:val="es-MX" w:eastAsia="es-CO"/>
        </w:rPr>
      </w:pPr>
      <w:r w:rsidRPr="001F370F">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2BC7C1F6" w14:textId="77777777" w:rsidR="00B879F1" w:rsidRPr="001F370F" w:rsidRDefault="00B879F1" w:rsidP="00B879F1">
      <w:pPr>
        <w:spacing w:after="120" w:line="276" w:lineRule="auto"/>
        <w:ind w:firstLine="708"/>
        <w:jc w:val="both"/>
        <w:rPr>
          <w:rFonts w:ascii="Verdana" w:eastAsia="Times New Roman" w:hAnsi="Verdana" w:cs="Arial"/>
          <w:bCs/>
          <w:lang w:val="es-MX" w:eastAsia="x-none"/>
        </w:rPr>
      </w:pPr>
      <w:r w:rsidRPr="001F370F">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1F370F">
        <w:rPr>
          <w:rFonts w:ascii="Verdana" w:eastAsia="Times New Roman" w:hAnsi="Verdana" w:cs="Arial"/>
          <w:vertAlign w:val="superscript"/>
          <w:lang w:eastAsia="x-none"/>
        </w:rPr>
        <w:footnoteReference w:id="18"/>
      </w:r>
      <w:r w:rsidRPr="001F370F">
        <w:rPr>
          <w:rFonts w:ascii="Verdana" w:eastAsia="Times New Roman" w:hAnsi="Verdana" w:cs="Arial"/>
          <w:bCs/>
          <w:lang w:val="es-MX" w:eastAsia="x-none"/>
        </w:rPr>
        <w:t>.</w:t>
      </w:r>
      <w:r w:rsidRPr="001F370F">
        <w:rPr>
          <w:rFonts w:ascii="Verdana" w:eastAsia="Times New Roman" w:hAnsi="Verdana" w:cs="Arial"/>
          <w:vertAlign w:val="superscript"/>
          <w:lang w:eastAsia="x-none"/>
        </w:rPr>
        <w:t xml:space="preserve"> </w:t>
      </w:r>
    </w:p>
    <w:p w14:paraId="2968B3B0" w14:textId="77777777" w:rsidR="00B879F1" w:rsidRPr="001F370F" w:rsidRDefault="00B879F1" w:rsidP="00B879F1">
      <w:pPr>
        <w:spacing w:after="120" w:line="276" w:lineRule="auto"/>
        <w:ind w:firstLine="708"/>
        <w:jc w:val="both"/>
        <w:rPr>
          <w:rFonts w:ascii="Verdana" w:eastAsia="Times New Roman" w:hAnsi="Verdana" w:cs="Arial"/>
          <w:lang w:eastAsia="x-none"/>
        </w:rPr>
      </w:pPr>
      <w:r w:rsidRPr="001F370F">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1F370F">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0C23F0E" w14:textId="77777777" w:rsidR="00B879F1" w:rsidRPr="001F370F" w:rsidRDefault="00B879F1" w:rsidP="00B879F1">
      <w:pPr>
        <w:spacing w:after="120" w:line="276" w:lineRule="auto"/>
        <w:ind w:firstLine="708"/>
        <w:jc w:val="both"/>
        <w:rPr>
          <w:rFonts w:ascii="Verdana" w:eastAsia="Times New Roman" w:hAnsi="Verdana" w:cs="Arial"/>
          <w:bCs/>
          <w:lang w:val="es-MX" w:eastAsia="es-CO"/>
        </w:rPr>
      </w:pPr>
      <w:r w:rsidRPr="001F370F">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1F370F">
        <w:rPr>
          <w:rFonts w:ascii="Verdana" w:eastAsia="Times New Roman" w:hAnsi="Verdana" w:cs="Arial"/>
          <w:bCs/>
          <w:lang w:val="es-MX" w:eastAsia="x-none"/>
        </w:rPr>
        <w:t>ii</w:t>
      </w:r>
      <w:proofErr w:type="spellEnd"/>
      <w:r w:rsidRPr="001F370F">
        <w:rPr>
          <w:rFonts w:ascii="Verdana" w:eastAsia="Times New Roman" w:hAnsi="Verdana" w:cs="Arial"/>
          <w:bCs/>
          <w:lang w:val="es-MX" w:eastAsia="x-none"/>
        </w:rPr>
        <w:t xml:space="preserve">) los contratos de crédito público; </w:t>
      </w:r>
      <w:proofErr w:type="spellStart"/>
      <w:r w:rsidRPr="001F370F">
        <w:rPr>
          <w:rFonts w:ascii="Verdana" w:eastAsia="Times New Roman" w:hAnsi="Verdana" w:cs="Arial"/>
          <w:bCs/>
          <w:lang w:val="es-MX" w:eastAsia="x-none"/>
        </w:rPr>
        <w:t>iii</w:t>
      </w:r>
      <w:proofErr w:type="spellEnd"/>
      <w:r w:rsidRPr="001F370F">
        <w:rPr>
          <w:rFonts w:ascii="Verdana" w:eastAsia="Times New Roman" w:hAnsi="Verdana" w:cs="Arial"/>
          <w:bCs/>
          <w:lang w:val="es-MX" w:eastAsia="x-none"/>
        </w:rPr>
        <w:t xml:space="preserve">) los requeridos para </w:t>
      </w:r>
      <w:r w:rsidRPr="001F370F">
        <w:rPr>
          <w:rFonts w:ascii="Verdana" w:eastAsia="Times New Roman" w:hAnsi="Verdana" w:cs="Arial"/>
          <w:bCs/>
          <w:lang w:val="es-MX" w:eastAsia="x-none"/>
        </w:rPr>
        <w:lastRenderedPageBreak/>
        <w:t xml:space="preserve">cubrir las emergencias educativas, sanitarias y desastres; </w:t>
      </w:r>
      <w:proofErr w:type="spellStart"/>
      <w:r w:rsidRPr="001F370F">
        <w:rPr>
          <w:rFonts w:ascii="Verdana" w:eastAsia="Times New Roman" w:hAnsi="Verdana" w:cs="Arial"/>
          <w:bCs/>
          <w:lang w:val="es-MX" w:eastAsia="x-none"/>
        </w:rPr>
        <w:t>iv</w:t>
      </w:r>
      <w:proofErr w:type="spellEnd"/>
      <w:r w:rsidRPr="001F370F">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1F370F">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6F9C6F1" w14:textId="77777777" w:rsidR="00B879F1" w:rsidRPr="001F370F" w:rsidRDefault="00B879F1" w:rsidP="00B879F1">
      <w:pPr>
        <w:spacing w:after="120" w:line="276" w:lineRule="auto"/>
        <w:ind w:firstLine="709"/>
        <w:jc w:val="both"/>
        <w:rPr>
          <w:rFonts w:ascii="Verdana" w:eastAsia="Times New Roman" w:hAnsi="Verdana" w:cs="Arial"/>
          <w:bCs/>
          <w:lang w:val="es-MX" w:eastAsia="x-none"/>
        </w:rPr>
      </w:pPr>
      <w:r w:rsidRPr="001F370F">
        <w:rPr>
          <w:rFonts w:ascii="Verdana" w:eastAsia="Times New Roman" w:hAnsi="Verdana" w:cs="Arial"/>
          <w:bCs/>
          <w:lang w:val="es-MX"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1F370F">
        <w:rPr>
          <w:rFonts w:ascii="Verdana" w:eastAsia="Calibri" w:hAnsi="Verdana" w:cs="Arial"/>
          <w:vertAlign w:val="superscript"/>
          <w:lang w:val="es-MX"/>
        </w:rPr>
        <w:footnoteReference w:id="19"/>
      </w:r>
      <w:r w:rsidRPr="001F370F">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5751D0A2" w14:textId="77777777" w:rsidR="00B879F1" w:rsidRPr="001F370F" w:rsidRDefault="00B879F1" w:rsidP="00B879F1">
      <w:pPr>
        <w:spacing w:after="0" w:line="276" w:lineRule="auto"/>
        <w:ind w:firstLine="708"/>
        <w:jc w:val="both"/>
        <w:rPr>
          <w:rFonts w:ascii="Verdana" w:eastAsia="Times New Roman" w:hAnsi="Verdana" w:cs="Arial"/>
          <w:bCs/>
          <w:lang w:val="es-MX" w:eastAsia="x-none"/>
        </w:rPr>
      </w:pPr>
      <w:r w:rsidRPr="001F370F">
        <w:rPr>
          <w:rFonts w:ascii="Verdana" w:eastAsia="Times New Roman" w:hAnsi="Verdana" w:cs="Arial"/>
          <w:bCs/>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1F370F">
        <w:rPr>
          <w:rFonts w:ascii="Verdana" w:eastAsia="Calibri" w:hAnsi="Verdana" w:cs="Arial"/>
          <w:sz w:val="24"/>
          <w:lang w:val="es-MX"/>
        </w:rPr>
        <w:t xml:space="preserve"> </w:t>
      </w:r>
      <w:r w:rsidRPr="001F370F">
        <w:rPr>
          <w:rFonts w:ascii="Verdana" w:eastAsia="Times New Roman" w:hAnsi="Verdana" w:cs="Arial"/>
          <w:bCs/>
          <w:lang w:val="es-MX" w:eastAsia="x-none"/>
        </w:rPr>
        <w:t>En efecto, tal como lo ha sostenido el Consejo de Estado, el vocablo “todos” utilizado por el legislador comprende</w:t>
      </w:r>
      <w:r w:rsidRPr="001F370F">
        <w:rPr>
          <w:rFonts w:ascii="Verdana" w:eastAsia="Calibri" w:hAnsi="Verdana" w:cs="Arial"/>
          <w:sz w:val="24"/>
          <w:lang w:val="es-MX"/>
        </w:rPr>
        <w:t xml:space="preserve"> </w:t>
      </w:r>
      <w:r w:rsidRPr="001F370F">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1F370F">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78BDC2D2" w14:textId="77777777" w:rsidR="00B879F1" w:rsidRPr="001F370F" w:rsidRDefault="00B879F1" w:rsidP="00B879F1">
      <w:pPr>
        <w:spacing w:after="0" w:line="276" w:lineRule="auto"/>
        <w:jc w:val="both"/>
        <w:rPr>
          <w:rFonts w:ascii="Verdana" w:eastAsia="Times New Roman" w:hAnsi="Verdana" w:cs="Arial"/>
          <w:bCs/>
          <w:lang w:val="es-MX" w:eastAsia="x-none"/>
        </w:rPr>
      </w:pPr>
    </w:p>
    <w:p w14:paraId="22E7E8AE" w14:textId="77777777" w:rsidR="00B879F1" w:rsidRPr="007A0CF5" w:rsidRDefault="00B879F1" w:rsidP="00B879F1">
      <w:pPr>
        <w:spacing w:after="0" w:line="240" w:lineRule="auto"/>
        <w:ind w:left="708" w:right="709"/>
        <w:jc w:val="both"/>
        <w:rPr>
          <w:rFonts w:ascii="Verdana" w:eastAsia="Times New Roman" w:hAnsi="Verdana" w:cs="Arial"/>
          <w:sz w:val="20"/>
          <w:szCs w:val="20"/>
          <w:lang w:val="es-MX" w:eastAsia="es-CO"/>
        </w:rPr>
      </w:pPr>
      <w:r w:rsidRPr="007A0CF5">
        <w:rPr>
          <w:rFonts w:ascii="Verdana" w:eastAsia="Times New Roman" w:hAnsi="Verdana" w:cs="Arial"/>
          <w:sz w:val="20"/>
          <w:szCs w:val="2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7A0CF5">
        <w:rPr>
          <w:rFonts w:ascii="Verdana" w:eastAsia="Times New Roman" w:hAnsi="Verdana" w:cs="Arial"/>
          <w:sz w:val="20"/>
          <w:szCs w:val="20"/>
          <w:vertAlign w:val="superscript"/>
          <w:lang w:val="es-MX" w:eastAsia="x-none"/>
        </w:rPr>
        <w:footnoteReference w:id="20"/>
      </w:r>
      <w:r w:rsidRPr="007A0CF5">
        <w:rPr>
          <w:rFonts w:ascii="Verdana" w:eastAsia="Times New Roman" w:hAnsi="Verdana" w:cs="Arial"/>
          <w:sz w:val="20"/>
          <w:szCs w:val="20"/>
          <w:lang w:val="es-MX" w:eastAsia="x-none"/>
        </w:rPr>
        <w:t>.</w:t>
      </w:r>
      <w:r w:rsidRPr="007A0CF5">
        <w:rPr>
          <w:rFonts w:ascii="Verdana" w:eastAsia="Times New Roman" w:hAnsi="Verdana" w:cs="Arial"/>
          <w:sz w:val="20"/>
          <w:szCs w:val="20"/>
          <w:lang w:val="es-MX" w:eastAsia="es-CO"/>
        </w:rPr>
        <w:t xml:space="preserve"> </w:t>
      </w:r>
    </w:p>
    <w:p w14:paraId="35D60E63" w14:textId="77777777" w:rsidR="00B879F1" w:rsidRPr="001F370F" w:rsidRDefault="00B879F1" w:rsidP="00B879F1">
      <w:pPr>
        <w:spacing w:after="0" w:line="276" w:lineRule="auto"/>
        <w:ind w:firstLine="708"/>
        <w:jc w:val="both"/>
        <w:rPr>
          <w:rFonts w:ascii="Verdana" w:eastAsia="Times New Roman" w:hAnsi="Verdana" w:cs="Arial"/>
          <w:bCs/>
          <w:lang w:val="es-MX" w:eastAsia="es-CO"/>
        </w:rPr>
      </w:pPr>
    </w:p>
    <w:p w14:paraId="6FF2C820" w14:textId="77777777" w:rsidR="00B879F1" w:rsidRPr="001F370F" w:rsidRDefault="00B879F1" w:rsidP="00B879F1">
      <w:pPr>
        <w:spacing w:after="0" w:line="276" w:lineRule="auto"/>
        <w:ind w:firstLine="708"/>
        <w:jc w:val="both"/>
        <w:rPr>
          <w:rFonts w:ascii="Verdana" w:eastAsia="Calibri" w:hAnsi="Verdana" w:cs="Arial"/>
          <w:lang w:val="es-MX"/>
        </w:rPr>
      </w:pPr>
      <w:r w:rsidRPr="001F370F">
        <w:rPr>
          <w:rFonts w:ascii="Verdana" w:eastAsia="Times New Roman" w:hAnsi="Verdana" w:cs="Arial"/>
          <w:bCs/>
          <w:lang w:val="es-MX"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1F370F">
        <w:rPr>
          <w:rFonts w:ascii="Verdana" w:eastAsia="Calibri" w:hAnsi="Verdana" w:cs="Arial"/>
          <w:sz w:val="24"/>
          <w:vertAlign w:val="superscript"/>
          <w:lang w:val="es-MX"/>
        </w:rPr>
        <w:footnoteReference w:id="21"/>
      </w:r>
      <w:r w:rsidRPr="001F370F">
        <w:rPr>
          <w:rFonts w:ascii="Verdana" w:eastAsia="Times New Roman" w:hAnsi="Verdana" w:cs="Arial"/>
          <w:bCs/>
          <w:lang w:val="es-MX" w:eastAsia="x-none"/>
        </w:rPr>
        <w:t>.</w:t>
      </w:r>
      <w:r w:rsidRPr="001F370F">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4FF45D7F" w14:textId="77777777" w:rsidR="00B879F1" w:rsidRPr="001F370F" w:rsidRDefault="00B879F1" w:rsidP="00B879F1">
      <w:pPr>
        <w:spacing w:after="0" w:line="276" w:lineRule="auto"/>
        <w:jc w:val="both"/>
        <w:rPr>
          <w:rFonts w:ascii="Verdana" w:eastAsia="Calibri" w:hAnsi="Verdana" w:cs="Arial"/>
          <w:lang w:val="es-MX"/>
        </w:rPr>
      </w:pPr>
    </w:p>
    <w:p w14:paraId="6CB3C44D" w14:textId="77777777" w:rsidR="00B879F1" w:rsidRPr="001F370F" w:rsidRDefault="00B879F1" w:rsidP="00B879F1">
      <w:pPr>
        <w:spacing w:after="0" w:line="240" w:lineRule="auto"/>
        <w:ind w:left="708" w:right="709"/>
        <w:jc w:val="both"/>
        <w:rPr>
          <w:rFonts w:ascii="Verdana" w:eastAsia="Calibri" w:hAnsi="Verdana" w:cs="Arial"/>
          <w:sz w:val="20"/>
          <w:szCs w:val="20"/>
          <w:lang w:val="es-MX"/>
        </w:rPr>
      </w:pPr>
      <w:r w:rsidRPr="001F370F">
        <w:rPr>
          <w:rFonts w:ascii="Verdana" w:eastAsia="Calibri"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w:t>
      </w:r>
      <w:r w:rsidRPr="001F370F">
        <w:rPr>
          <w:rFonts w:ascii="Verdana" w:eastAsia="Calibri" w:hAnsi="Verdana" w:cs="Arial"/>
          <w:sz w:val="20"/>
          <w:szCs w:val="20"/>
          <w:lang w:val="es-MX"/>
        </w:rPr>
        <w:lastRenderedPageBreak/>
        <w:t>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477E9EC8" w14:textId="77777777" w:rsidR="00B879F1" w:rsidRPr="001F370F" w:rsidRDefault="00B879F1" w:rsidP="00B879F1">
      <w:pPr>
        <w:spacing w:after="0" w:line="240" w:lineRule="auto"/>
        <w:ind w:left="708" w:right="709"/>
        <w:jc w:val="both"/>
        <w:rPr>
          <w:rFonts w:ascii="Verdana" w:eastAsia="Calibri" w:hAnsi="Verdana" w:cs="Arial"/>
          <w:sz w:val="20"/>
          <w:szCs w:val="20"/>
          <w:lang w:val="es-MX"/>
        </w:rPr>
      </w:pPr>
    </w:p>
    <w:p w14:paraId="5F9E2C35" w14:textId="77777777" w:rsidR="00B879F1" w:rsidRPr="001F370F" w:rsidRDefault="00B879F1" w:rsidP="00B879F1">
      <w:pPr>
        <w:spacing w:after="0" w:line="240" w:lineRule="auto"/>
        <w:ind w:left="708" w:right="709"/>
        <w:jc w:val="both"/>
        <w:rPr>
          <w:rFonts w:ascii="Verdana" w:eastAsia="Calibri" w:hAnsi="Verdana" w:cs="Arial"/>
          <w:sz w:val="20"/>
          <w:szCs w:val="20"/>
          <w:lang w:val="es-MX"/>
        </w:rPr>
      </w:pPr>
      <w:r w:rsidRPr="001F370F">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F370F">
        <w:rPr>
          <w:rFonts w:ascii="Verdana" w:eastAsia="Calibri" w:hAnsi="Verdana" w:cs="Arial"/>
          <w:sz w:val="20"/>
          <w:szCs w:val="20"/>
          <w:vertAlign w:val="superscript"/>
          <w:lang w:val="es-MX"/>
        </w:rPr>
        <w:footnoteReference w:id="22"/>
      </w:r>
      <w:r w:rsidRPr="001F370F">
        <w:rPr>
          <w:rFonts w:ascii="Verdana" w:eastAsia="Times New Roman" w:hAnsi="Verdana" w:cs="Arial"/>
          <w:bCs/>
          <w:sz w:val="20"/>
          <w:szCs w:val="20"/>
          <w:lang w:val="es-MX" w:eastAsia="x-none"/>
        </w:rPr>
        <w:t>.</w:t>
      </w:r>
    </w:p>
    <w:p w14:paraId="5212C704" w14:textId="77777777" w:rsidR="00B879F1" w:rsidRPr="001F370F" w:rsidRDefault="00B879F1" w:rsidP="00B879F1">
      <w:pPr>
        <w:spacing w:after="0" w:line="276" w:lineRule="auto"/>
        <w:jc w:val="both"/>
        <w:rPr>
          <w:rFonts w:ascii="Verdana" w:eastAsia="Calibri" w:hAnsi="Verdana" w:cs="Arial"/>
          <w:lang w:val="es-MX"/>
        </w:rPr>
      </w:pPr>
    </w:p>
    <w:p w14:paraId="3569D585" w14:textId="77777777" w:rsidR="00B879F1" w:rsidRPr="001F370F" w:rsidRDefault="00B879F1" w:rsidP="00B879F1">
      <w:pPr>
        <w:spacing w:after="120" w:line="276" w:lineRule="auto"/>
        <w:ind w:firstLine="709"/>
        <w:jc w:val="both"/>
        <w:rPr>
          <w:rFonts w:ascii="Verdana" w:eastAsia="Times New Roman" w:hAnsi="Verdana" w:cs="Arial"/>
          <w:lang w:eastAsia="es-CO"/>
        </w:rPr>
      </w:pPr>
      <w:r w:rsidRPr="001F370F">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1F370F">
        <w:rPr>
          <w:rFonts w:ascii="Verdana" w:eastAsia="Times New Roman" w:hAnsi="Verdana" w:cs="Arial"/>
          <w:bCs/>
          <w:lang w:val="es-MX" w:eastAsia="x-none"/>
        </w:rPr>
        <w:t>establecimientos de crédito, las sociedades de servicios financieros y las entidades aseguradoras</w:t>
      </w:r>
      <w:r w:rsidRPr="001F370F">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F370F">
        <w:rPr>
          <w:rFonts w:ascii="Verdana" w:eastAsia="Calibri" w:hAnsi="Verdana" w:cs="Arial"/>
          <w:vertAlign w:val="superscript"/>
          <w:lang w:val="es-MX"/>
        </w:rPr>
        <w:footnoteReference w:id="23"/>
      </w:r>
      <w:r w:rsidRPr="001F370F">
        <w:rPr>
          <w:rFonts w:ascii="Verdana" w:eastAsia="Calibri" w:hAnsi="Verdana" w:cs="Arial"/>
          <w:lang w:val="es-MX"/>
        </w:rPr>
        <w:t>.</w:t>
      </w:r>
      <w:r w:rsidRPr="001F370F">
        <w:rPr>
          <w:rFonts w:ascii="Verdana" w:eastAsia="Times New Roman" w:hAnsi="Verdana" w:cs="Arial"/>
          <w:lang w:eastAsia="es-CO"/>
        </w:rPr>
        <w:t xml:space="preserve"> </w:t>
      </w:r>
    </w:p>
    <w:p w14:paraId="38312CD4" w14:textId="77777777" w:rsidR="00B879F1" w:rsidRPr="001F370F" w:rsidRDefault="00B879F1" w:rsidP="00B879F1">
      <w:pPr>
        <w:spacing w:after="120" w:line="276" w:lineRule="auto"/>
        <w:ind w:firstLine="709"/>
        <w:jc w:val="both"/>
        <w:rPr>
          <w:rFonts w:ascii="Verdana" w:eastAsia="Times New Roman" w:hAnsi="Verdana" w:cs="Arial"/>
          <w:bCs/>
          <w:lang w:val="es-MX" w:eastAsia="x-none"/>
        </w:rPr>
      </w:pPr>
      <w:r w:rsidRPr="001F370F">
        <w:rPr>
          <w:rFonts w:ascii="Verdana" w:eastAsia="Times New Roman" w:hAnsi="Verdana" w:cs="Arial"/>
          <w:lang w:eastAsia="es-CO"/>
        </w:rPr>
        <w:t>Sin perjuicio de estos pronunciamientos de la Sala de Consulta y Servicio Civil</w:t>
      </w:r>
      <w:r w:rsidRPr="001F370F">
        <w:rPr>
          <w:rFonts w:ascii="Verdana" w:eastAsia="Calibri" w:hAnsi="Verdana" w:cs="Arial"/>
          <w:lang w:val="es-MX"/>
        </w:rPr>
        <w:t xml:space="preserve">, como la ha señalado esa misma Corporación, la restricción prevista en la Ley 996 de 2005 </w:t>
      </w:r>
      <w:r w:rsidRPr="001F370F">
        <w:rPr>
          <w:rFonts w:ascii="Verdana" w:eastAsia="Times New Roman" w:hAnsi="Verdana" w:cs="Arial"/>
          <w:bCs/>
          <w:lang w:val="es-MX" w:eastAsia="x-none"/>
        </w:rPr>
        <w:t xml:space="preserve">cobija a cualquier entidad pública independiente del régimen jurídico, que pueda mediante la contratación directa romper el equilibrio entre </w:t>
      </w:r>
      <w:r w:rsidRPr="001F370F">
        <w:rPr>
          <w:rFonts w:ascii="Verdana" w:eastAsia="Times New Roman" w:hAnsi="Verdana" w:cs="Arial"/>
          <w:bCs/>
          <w:lang w:val="es-MX" w:eastAsia="x-none"/>
        </w:rPr>
        <w:lastRenderedPageBreak/>
        <w:t>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51918EDE" w14:textId="77777777" w:rsidR="00B879F1" w:rsidRPr="001F370F" w:rsidRDefault="00B879F1" w:rsidP="00B879F1">
      <w:pPr>
        <w:spacing w:after="120" w:line="276" w:lineRule="auto"/>
        <w:ind w:firstLine="709"/>
        <w:jc w:val="both"/>
        <w:rPr>
          <w:rFonts w:ascii="Verdana" w:eastAsia="Times New Roman" w:hAnsi="Verdana" w:cs="Arial"/>
          <w:bCs/>
          <w:lang w:val="es-MX" w:eastAsia="x-none" w:bidi="es-ES"/>
        </w:rPr>
      </w:pPr>
      <w:r w:rsidRPr="001F370F">
        <w:rPr>
          <w:rFonts w:ascii="Verdana" w:eastAsia="Times New Roman" w:hAnsi="Verdana" w:cs="Arial"/>
          <w:bCs/>
          <w:lang w:val="es-MX" w:eastAsia="x-none"/>
        </w:rPr>
        <w:t xml:space="preserve">En este sentido, todos los entes del Estado, independiente del régimen jurídico aplicable, están sujetos a la restricción del artículo 33 de la Ley 996 de 2005, es decir, no podrán adelantar sistema que implique contratación directa respecto de </w:t>
      </w:r>
      <w:r w:rsidRPr="001F370F">
        <w:rPr>
          <w:rFonts w:ascii="Verdana" w:eastAsia="Times New Roman" w:hAnsi="Verdana" w:cs="Arial"/>
          <w:bCs/>
          <w:lang w:val="es-MX" w:eastAsia="x-none" w:bidi="es-ES"/>
        </w:rPr>
        <w:t xml:space="preserve">las elecciones presidenciales, dentro de los cuatro (4) meses anteriores a la celebración de los comicios, salvo las excepciones dispuestas en esta. </w:t>
      </w:r>
      <w:r w:rsidRPr="001F370F">
        <w:rPr>
          <w:rFonts w:ascii="Verdana" w:eastAsia="Times New Roman" w:hAnsi="Verdana" w:cs="Arial"/>
          <w:bCs/>
          <w:lang w:val="es-MX" w:eastAsia="x-none"/>
        </w:rPr>
        <w:t>En efecto, los entes del Estado independiente de su régimen especial no podrán celebrar contratos de forma directa desde el 31 de enero de 2026, teniendo en cuenta que la Resolución 02580 del 5 de marzo de 2025 de la Registraduría Nacional del Estado Civil dispuso que las elecciones presidenciales se celebrarán el 31 de mayo de 2026.</w:t>
      </w:r>
    </w:p>
    <w:p w14:paraId="5822A9EC" w14:textId="77777777" w:rsidR="00B879F1" w:rsidRPr="001F370F" w:rsidRDefault="00B879F1" w:rsidP="00B879F1">
      <w:pPr>
        <w:spacing w:after="120" w:line="276" w:lineRule="auto"/>
        <w:ind w:firstLine="709"/>
        <w:jc w:val="both"/>
        <w:rPr>
          <w:rFonts w:ascii="Verdana" w:eastAsia="Times New Roman" w:hAnsi="Verdana" w:cs="Arial"/>
          <w:bCs/>
          <w:lang w:val="es-MX" w:eastAsia="x-none"/>
        </w:rPr>
      </w:pPr>
      <w:r w:rsidRPr="001F370F">
        <w:rPr>
          <w:rFonts w:ascii="Verdana" w:eastAsia="Times New Roman" w:hAnsi="Verdana" w:cs="Arial"/>
          <w:bCs/>
          <w:lang w:val="es-MX" w:eastAsia="x-none" w:bidi="es-ES"/>
        </w:rPr>
        <w:t>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que, de acuerdo con lo expuesto, se celebraría el 21 de junio de 2026.</w:t>
      </w:r>
    </w:p>
    <w:p w14:paraId="44DDA351" w14:textId="77777777" w:rsidR="00B879F1" w:rsidRPr="001F370F" w:rsidRDefault="00B879F1" w:rsidP="00B879F1">
      <w:pPr>
        <w:spacing w:after="120" w:line="276" w:lineRule="auto"/>
        <w:ind w:firstLine="709"/>
        <w:jc w:val="both"/>
        <w:rPr>
          <w:rFonts w:ascii="Verdana" w:eastAsia="Times New Roman" w:hAnsi="Verdana" w:cs="Arial"/>
          <w:bCs/>
          <w:lang w:eastAsia="x-none"/>
        </w:rPr>
      </w:pPr>
      <w:r w:rsidRPr="001F370F">
        <w:rPr>
          <w:rFonts w:ascii="Verdana" w:eastAsia="Times New Roman" w:hAnsi="Verdana" w:cs="Arial"/>
          <w:bCs/>
          <w:lang w:val="es-MX" w:eastAsia="x-none"/>
        </w:rPr>
        <w:t xml:space="preserve">Esto, sin perjuicio de las excepciones a la prohibición establecidas en el inciso segundo del mismo artículo 33, como son: i) la defensa y seguridad del Estado; </w:t>
      </w:r>
      <w:proofErr w:type="spellStart"/>
      <w:r w:rsidRPr="001F370F">
        <w:rPr>
          <w:rFonts w:ascii="Verdana" w:eastAsia="Times New Roman" w:hAnsi="Verdana" w:cs="Arial"/>
          <w:bCs/>
          <w:lang w:val="es-MX" w:eastAsia="x-none"/>
        </w:rPr>
        <w:t>ii</w:t>
      </w:r>
      <w:proofErr w:type="spellEnd"/>
      <w:r w:rsidRPr="001F370F">
        <w:rPr>
          <w:rFonts w:ascii="Verdana" w:eastAsia="Times New Roman" w:hAnsi="Verdana" w:cs="Arial"/>
          <w:bCs/>
          <w:lang w:val="es-MX" w:eastAsia="x-none"/>
        </w:rPr>
        <w:t xml:space="preserve">) los contratos de crédito público; </w:t>
      </w:r>
      <w:proofErr w:type="spellStart"/>
      <w:r w:rsidRPr="001F370F">
        <w:rPr>
          <w:rFonts w:ascii="Verdana" w:eastAsia="Times New Roman" w:hAnsi="Verdana" w:cs="Arial"/>
          <w:bCs/>
          <w:lang w:val="es-MX" w:eastAsia="x-none"/>
        </w:rPr>
        <w:t>iii</w:t>
      </w:r>
      <w:proofErr w:type="spellEnd"/>
      <w:r w:rsidRPr="001F370F">
        <w:rPr>
          <w:rFonts w:ascii="Verdana" w:eastAsia="Times New Roman" w:hAnsi="Verdana" w:cs="Arial"/>
          <w:bCs/>
          <w:lang w:val="es-MX" w:eastAsia="x-none"/>
        </w:rPr>
        <w:t xml:space="preserve">) los requeridos para cubrir las emergencias educativas, sanitarias y desastres; </w:t>
      </w:r>
      <w:proofErr w:type="spellStart"/>
      <w:r w:rsidRPr="001F370F">
        <w:rPr>
          <w:rFonts w:ascii="Verdana" w:eastAsia="Times New Roman" w:hAnsi="Verdana" w:cs="Arial"/>
          <w:bCs/>
          <w:lang w:val="es-MX" w:eastAsia="x-none"/>
        </w:rPr>
        <w:t>iv</w:t>
      </w:r>
      <w:proofErr w:type="spellEnd"/>
      <w:r w:rsidRPr="001F370F">
        <w:rPr>
          <w:rFonts w:ascii="Verdana" w:eastAsia="Times New Roman" w:hAnsi="Verdana" w:cs="Arial"/>
          <w:bCs/>
          <w:lang w:val="es-MX" w:eastAsia="x-none"/>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w:t>
      </w:r>
      <w:r w:rsidRPr="001F370F">
        <w:rPr>
          <w:rFonts w:ascii="Verdana" w:eastAsia="Times New Roman" w:hAnsi="Verdana" w:cs="Arial"/>
          <w:bCs/>
          <w:lang w:val="es-MX" w:eastAsia="x-none"/>
        </w:rPr>
        <w:lastRenderedPageBreak/>
        <w:t>excepciones, de manera que se le permita realizar la contratación que necesite en forma directa.</w:t>
      </w:r>
    </w:p>
    <w:p w14:paraId="05CF3970" w14:textId="77777777" w:rsidR="00B879F1" w:rsidRPr="001F370F" w:rsidRDefault="00B879F1" w:rsidP="00B879F1">
      <w:pPr>
        <w:spacing w:after="0" w:line="276" w:lineRule="auto"/>
        <w:ind w:firstLine="709"/>
        <w:jc w:val="both"/>
        <w:rPr>
          <w:rFonts w:ascii="Verdana" w:eastAsia="Times New Roman" w:hAnsi="Verdana" w:cs="Arial"/>
          <w:bCs/>
          <w:lang w:val="es-MX" w:eastAsia="x-none"/>
        </w:rPr>
      </w:pPr>
      <w:r w:rsidRPr="001F370F">
        <w:rPr>
          <w:rFonts w:ascii="Verdana" w:eastAsia="Times New Roman" w:hAnsi="Verdana" w:cs="Arial"/>
          <w:bCs/>
          <w:lang w:val="es-MX" w:eastAsia="x-none"/>
        </w:rPr>
        <w:t>Finalmente, se reitera, c</w:t>
      </w:r>
      <w:r w:rsidRPr="001F370F">
        <w:rPr>
          <w:rFonts w:ascii="Verdana" w:eastAsia="Times New Roman" w:hAnsi="Verdana" w:cs="Arial"/>
          <w:bCs/>
          <w:lang w:val="es-MX" w:eastAsia="es-CO"/>
        </w:rPr>
        <w:t>omo en otras oportunidades lo ha manifestado esta Agencia, que las prórrogas, modificaciones o adiciones de los contratos suscritos antes de la entrada en vigor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1F370F">
        <w:rPr>
          <w:rFonts w:ascii="Verdana" w:eastAsia="Times New Roman" w:hAnsi="Verdana" w:cs="Arial"/>
          <w:bCs/>
          <w:vertAlign w:val="superscript"/>
          <w:lang w:val="es-MX" w:eastAsia="es-CO"/>
        </w:rPr>
        <w:footnoteReference w:id="24"/>
      </w:r>
      <w:r w:rsidRPr="001F370F">
        <w:rPr>
          <w:rFonts w:ascii="Verdana" w:eastAsia="Times New Roman" w:hAnsi="Verdana" w:cs="Arial"/>
          <w:bCs/>
          <w:lang w:val="es-MX" w:eastAsia="es-CO"/>
        </w:rPr>
        <w:t>. Además, también es posible que contratos celebrados previamente se continúen ejecutando con normalidad.</w:t>
      </w:r>
    </w:p>
    <w:p w14:paraId="79DB3D73" w14:textId="77777777" w:rsidR="00B879F1" w:rsidRPr="001F370F" w:rsidRDefault="00B879F1" w:rsidP="00B879F1">
      <w:pPr>
        <w:spacing w:after="0" w:line="276" w:lineRule="auto"/>
        <w:jc w:val="both"/>
        <w:rPr>
          <w:rFonts w:ascii="Verdana" w:eastAsia="Arial" w:hAnsi="Verdana" w:cs="Arial"/>
          <w:lang w:val="es-ES" w:eastAsia="es-ES" w:bidi="es-ES"/>
        </w:rPr>
      </w:pPr>
    </w:p>
    <w:p w14:paraId="6AD154B8" w14:textId="77777777" w:rsidR="00B879F1" w:rsidRPr="001F370F" w:rsidRDefault="00B879F1" w:rsidP="00B879F1">
      <w:pPr>
        <w:spacing w:after="120" w:line="276" w:lineRule="auto"/>
        <w:jc w:val="both"/>
        <w:rPr>
          <w:rFonts w:ascii="Verdana" w:hAnsi="Verdana" w:cs="Arial"/>
          <w:lang w:val="es-ES"/>
        </w:rPr>
      </w:pPr>
      <w:proofErr w:type="spellStart"/>
      <w:r w:rsidRPr="001F370F">
        <w:rPr>
          <w:rFonts w:ascii="Verdana" w:eastAsia="Arial" w:hAnsi="Verdana" w:cs="Arial"/>
          <w:lang w:val="es-ES" w:eastAsia="es-ES" w:bidi="es-ES"/>
        </w:rPr>
        <w:t>iv</w:t>
      </w:r>
      <w:proofErr w:type="spellEnd"/>
      <w:r w:rsidRPr="001F370F">
        <w:rPr>
          <w:rFonts w:ascii="Verdana" w:eastAsia="Arial" w:hAnsi="Verdana" w:cs="Arial"/>
          <w:lang w:val="es-ES" w:eastAsia="es-ES" w:bidi="es-ES"/>
        </w:rPr>
        <w:t xml:space="preserve">. </w:t>
      </w:r>
      <w:r w:rsidRPr="001F370F">
        <w:rPr>
          <w:rFonts w:ascii="Verdana" w:hAnsi="Verdana" w:cs="Arial"/>
          <w:lang w:val="es-ES"/>
        </w:rPr>
        <w:t xml:space="preserve">Ahora bien, respecto del alcance del parágrafo </w:t>
      </w:r>
      <w:r w:rsidRPr="001F370F">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1F370F">
        <w:rPr>
          <w:rFonts w:ascii="Verdana" w:hAnsi="Verdana" w:cs="Arial"/>
          <w:i/>
          <w:iCs/>
        </w:rPr>
        <w:t>convenios interadministrativos</w:t>
      </w:r>
      <w:r w:rsidRPr="001F370F">
        <w:rPr>
          <w:rFonts w:ascii="Verdana" w:hAnsi="Verdana" w:cs="Arial"/>
        </w:rPr>
        <w:t xml:space="preserve"> </w:t>
      </w:r>
      <w:r w:rsidRPr="001F370F">
        <w:rPr>
          <w:rFonts w:ascii="Verdana" w:hAnsi="Verdana" w:cs="Arial"/>
          <w:i/>
          <w:iCs/>
        </w:rPr>
        <w:t>para la ejecución de recursos públicos</w:t>
      </w:r>
      <w:r w:rsidRPr="001F370F">
        <w:rPr>
          <w:rFonts w:ascii="Verdana" w:hAnsi="Verdana" w:cs="Arial"/>
        </w:rPr>
        <w:t>”.</w:t>
      </w:r>
      <w:r w:rsidRPr="001F370F">
        <w:rPr>
          <w:rFonts w:ascii="Verdana" w:eastAsia="Times New Roman" w:hAnsi="Verdana" w:cs="Arial"/>
          <w:lang w:val="es-MX" w:eastAsia="x-none"/>
        </w:rPr>
        <w:t xml:space="preserve"> [Énfasis fuera del texto original]</w:t>
      </w:r>
    </w:p>
    <w:p w14:paraId="7BABFF11" w14:textId="77777777" w:rsidR="00B879F1" w:rsidRPr="001F370F" w:rsidRDefault="00B879F1" w:rsidP="00B879F1">
      <w:pPr>
        <w:spacing w:after="120" w:line="276" w:lineRule="auto"/>
        <w:ind w:firstLine="709"/>
        <w:jc w:val="both"/>
        <w:rPr>
          <w:rFonts w:ascii="Verdana" w:hAnsi="Verdana" w:cs="Arial"/>
          <w:lang w:eastAsia="es-ES"/>
        </w:rPr>
      </w:pPr>
      <w:r w:rsidRPr="001F370F">
        <w:rPr>
          <w:rFonts w:ascii="Verdana" w:eastAsia="Times New Roman" w:hAnsi="Verdana" w:cs="Arial"/>
          <w:lang w:val="es-ES" w:eastAsia="es-ES"/>
        </w:rPr>
        <w:t xml:space="preserve">Para tales efectos, debe precisarse que </w:t>
      </w:r>
      <w:r w:rsidRPr="001F370F">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1F370F">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1F370F">
        <w:rPr>
          <w:rFonts w:ascii="Verdana" w:hAnsi="Verdana" w:cs="Arial"/>
          <w:vertAlign w:val="superscript"/>
          <w:lang w:eastAsia="es-ES"/>
        </w:rPr>
        <w:footnoteReference w:id="25"/>
      </w:r>
      <w:r w:rsidRPr="001F370F">
        <w:rPr>
          <w:rFonts w:ascii="Verdana" w:hAnsi="Verdana" w:cs="Arial"/>
          <w:lang w:eastAsia="es-ES"/>
        </w:rPr>
        <w:t>.</w:t>
      </w:r>
    </w:p>
    <w:p w14:paraId="1065227E" w14:textId="77777777" w:rsidR="00B879F1" w:rsidRPr="001F370F" w:rsidRDefault="00B879F1" w:rsidP="00B879F1">
      <w:pPr>
        <w:spacing w:after="120" w:line="276" w:lineRule="auto"/>
        <w:ind w:firstLine="709"/>
        <w:jc w:val="both"/>
        <w:rPr>
          <w:rFonts w:ascii="Verdana" w:hAnsi="Verdana" w:cs="Arial"/>
          <w:color w:val="000000" w:themeColor="text1"/>
          <w:lang w:val="es-ES_tradnl"/>
        </w:rPr>
      </w:pPr>
      <w:r w:rsidRPr="001F370F">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2E9043B" w14:textId="77777777" w:rsidR="00B879F1" w:rsidRPr="001F370F" w:rsidRDefault="00B879F1" w:rsidP="00B879F1">
      <w:pPr>
        <w:spacing w:before="120" w:after="0" w:line="276" w:lineRule="auto"/>
        <w:ind w:firstLine="708"/>
        <w:jc w:val="both"/>
        <w:rPr>
          <w:rFonts w:ascii="Verdana" w:hAnsi="Verdana" w:cs="Arial"/>
          <w:lang w:val="es-ES_tradnl"/>
        </w:rPr>
      </w:pPr>
      <w:r w:rsidRPr="001F370F">
        <w:rPr>
          <w:rFonts w:ascii="Verdana" w:hAnsi="Verdana" w:cs="Arial"/>
          <w:lang w:val="es-ES"/>
        </w:rPr>
        <w:lastRenderedPageBreak/>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1F370F">
        <w:rPr>
          <w:rFonts w:ascii="Verdana" w:hAnsi="Verdana" w:cs="Arial"/>
          <w:vertAlign w:val="superscript"/>
          <w:lang w:val="es-ES"/>
        </w:rPr>
        <w:footnoteReference w:id="26"/>
      </w:r>
      <w:r w:rsidRPr="001F370F">
        <w:rPr>
          <w:rFonts w:ascii="Verdana" w:hAnsi="Verdana" w:cs="Arial"/>
          <w:lang w:val="es-ES"/>
        </w:rPr>
        <w:t>. Nótese que, en este caso, lo que cambia es la modalidad de selección y no la naturaleza de contrato interadministrativo.</w:t>
      </w:r>
    </w:p>
    <w:p w14:paraId="105417B7" w14:textId="77777777" w:rsidR="00B879F1" w:rsidRPr="001F370F" w:rsidRDefault="00B879F1" w:rsidP="00B879F1">
      <w:pPr>
        <w:spacing w:before="120" w:after="0" w:line="276" w:lineRule="auto"/>
        <w:ind w:firstLine="708"/>
        <w:jc w:val="both"/>
        <w:rPr>
          <w:rFonts w:ascii="Verdana" w:hAnsi="Verdana" w:cs="Arial"/>
          <w:lang w:val="es-ES_tradnl"/>
        </w:rPr>
      </w:pPr>
      <w:r w:rsidRPr="001F370F">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001F370F">
        <w:rPr>
          <w:rFonts w:ascii="Verdana" w:hAnsi="Verdana" w:cs="Arial"/>
          <w:vertAlign w:val="superscript"/>
          <w:lang w:val="es-ES"/>
        </w:rPr>
        <w:footnoteReference w:id="27"/>
      </w:r>
      <w:r w:rsidRPr="001F370F">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051E7783" w14:textId="77777777" w:rsidR="00B879F1" w:rsidRPr="001F370F" w:rsidRDefault="00B879F1" w:rsidP="00B879F1">
      <w:pPr>
        <w:spacing w:before="120" w:after="0" w:line="276" w:lineRule="auto"/>
        <w:ind w:firstLine="708"/>
        <w:jc w:val="both"/>
        <w:rPr>
          <w:rFonts w:ascii="Verdana" w:hAnsi="Verdana"/>
          <w:sz w:val="24"/>
          <w:szCs w:val="24"/>
          <w:lang w:eastAsia="es-CO"/>
        </w:rPr>
      </w:pPr>
      <w:r w:rsidRPr="001F370F">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1F370F">
        <w:rPr>
          <w:rFonts w:ascii="Verdana" w:hAnsi="Verdana" w:cs="Arial"/>
          <w:vertAlign w:val="superscript"/>
          <w:lang w:val="es-ES"/>
        </w:rPr>
        <w:footnoteReference w:id="28"/>
      </w:r>
      <w:r w:rsidRPr="001F370F">
        <w:rPr>
          <w:rFonts w:ascii="Verdana" w:hAnsi="Verdana" w:cs="Arial"/>
          <w:lang w:val="es-ES"/>
        </w:rPr>
        <w:t xml:space="preserve">, pues, de acuerdo con lo anotado, esta clase de acuerdos de voluntades se definen por un criterio orgánico, por lo que uno de sus elementos esenciales es </w:t>
      </w:r>
      <w:r w:rsidRPr="001F370F">
        <w:rPr>
          <w:rFonts w:ascii="Verdana" w:hAnsi="Verdana" w:cs="Arial"/>
          <w:lang w:val="es-ES"/>
        </w:rPr>
        <w:lastRenderedPageBreak/>
        <w:t>que en los extremos de la relación jurídico negocial concurran personas de derecho público</w:t>
      </w:r>
      <w:r w:rsidRPr="001F370F">
        <w:rPr>
          <w:rFonts w:ascii="Verdana" w:hAnsi="Verdana"/>
          <w:sz w:val="24"/>
          <w:szCs w:val="24"/>
          <w:lang w:eastAsia="es-CO"/>
        </w:rPr>
        <w:t>.</w:t>
      </w:r>
    </w:p>
    <w:p w14:paraId="7CDBA09F" w14:textId="77777777" w:rsidR="00B879F1" w:rsidRPr="001F370F" w:rsidRDefault="00B879F1" w:rsidP="00B879F1">
      <w:pPr>
        <w:spacing w:before="120" w:after="0" w:line="276" w:lineRule="auto"/>
        <w:ind w:firstLine="708"/>
        <w:jc w:val="both"/>
        <w:rPr>
          <w:rFonts w:ascii="Verdana" w:eastAsia="Times New Roman" w:hAnsi="Verdana" w:cs="Arial"/>
          <w:lang w:val="es-MX" w:eastAsia="es-CO"/>
        </w:rPr>
      </w:pPr>
      <w:r w:rsidRPr="001F370F">
        <w:rPr>
          <w:rFonts w:ascii="Verdana" w:eastAsia="Arial" w:hAnsi="Verdana" w:cs="Arial"/>
          <w:lang w:val="es-MX" w:eastAsia="es-ES" w:bidi="es-ES"/>
        </w:rPr>
        <w:t>De esta manera, se</w:t>
      </w:r>
      <w:r w:rsidRPr="001F370F">
        <w:rPr>
          <w:rFonts w:ascii="Verdana" w:eastAsia="Times New Roman" w:hAnsi="Verdana" w:cs="Arial"/>
          <w:lang w:eastAsia="es-CO"/>
        </w:rPr>
        <w:t xml:space="preserve"> observa entonces que </w:t>
      </w:r>
      <w:r w:rsidRPr="001F370F">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1F370F">
        <w:rPr>
          <w:rFonts w:ascii="Verdana" w:eastAsia="Times New Roman" w:hAnsi="Verdana" w:cs="Arial"/>
          <w:i/>
          <w:iCs/>
          <w:lang w:val="es-MX" w:eastAsia="es-CO"/>
        </w:rPr>
        <w:t>convenios interadministrativos</w:t>
      </w:r>
      <w:r w:rsidRPr="001F370F">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1F370F">
        <w:rPr>
          <w:rFonts w:ascii="Verdana" w:eastAsia="Times New Roman" w:hAnsi="Verdana" w:cs="Arial"/>
          <w:i/>
          <w:lang w:val="es-MX" w:eastAsia="es-CO"/>
        </w:rPr>
        <w:t>ibidem</w:t>
      </w:r>
      <w:r w:rsidRPr="001F370F">
        <w:rPr>
          <w:rFonts w:ascii="Verdana" w:eastAsia="Times New Roman" w:hAnsi="Verdana" w:cs="Arial"/>
          <w:lang w:val="es-MX" w:eastAsia="es-CO"/>
        </w:rPr>
        <w:t xml:space="preserve">, es decir, </w:t>
      </w:r>
      <w:r w:rsidRPr="001F370F">
        <w:rPr>
          <w:rFonts w:ascii="Verdana" w:eastAsia="Times New Roman" w:hAnsi="Verdana" w:cs="Arial"/>
          <w:lang w:eastAsia="es-CO"/>
        </w:rPr>
        <w:t xml:space="preserve">alcaldías, gobernaciones, secretarías de despacho, así como entidades descentralizadas por servicios del orden municipal, departamental o distrital </w:t>
      </w:r>
      <w:r w:rsidRPr="001F370F">
        <w:rPr>
          <w:rFonts w:ascii="Verdana" w:eastAsia="Times New Roman" w:hAnsi="Verdana" w:cs="Arial"/>
          <w:lang w:val="es-MX" w:eastAsia="es-CO"/>
        </w:rPr>
        <w:t xml:space="preserve">no podrá celebrar tales </w:t>
      </w:r>
      <w:r w:rsidRPr="001F370F">
        <w:rPr>
          <w:rFonts w:ascii="Verdana" w:eastAsia="Times New Roman" w:hAnsi="Verdana" w:cs="Arial"/>
          <w:i/>
          <w:iCs/>
          <w:lang w:val="es-MX" w:eastAsia="es-CO"/>
        </w:rPr>
        <w:t>convenios</w:t>
      </w:r>
      <w:r w:rsidRPr="001F370F">
        <w:rPr>
          <w:rFonts w:ascii="Verdana" w:eastAsia="Times New Roman" w:hAnsi="Verdana" w:cs="Arial"/>
          <w:lang w:val="es-MX" w:eastAsia="es-CO"/>
        </w:rPr>
        <w:t xml:space="preserve"> durante la aplicación de la Ley de Garantías Electorales, toda vez que la citada disposición se refiere a dicha tipología contractual sin que el legislador hubiere contemplado un efecto extensivo a otra tipología. </w:t>
      </w:r>
    </w:p>
    <w:p w14:paraId="10ADF145" w14:textId="77777777" w:rsidR="00B879F1" w:rsidRPr="001F370F" w:rsidRDefault="00B879F1" w:rsidP="00B879F1">
      <w:pPr>
        <w:spacing w:before="120" w:after="0" w:line="276" w:lineRule="auto"/>
        <w:ind w:firstLine="708"/>
        <w:jc w:val="both"/>
        <w:rPr>
          <w:rFonts w:ascii="Verdana" w:eastAsia="Calibri" w:hAnsi="Verdana" w:cs="Arial"/>
          <w:color w:val="000000"/>
        </w:rPr>
      </w:pPr>
      <w:r w:rsidRPr="001F370F">
        <w:rPr>
          <w:rFonts w:ascii="Verdana" w:eastAsia="Times New Roman" w:hAnsi="Verdana" w:cs="Arial"/>
          <w:lang w:val="es-MX" w:eastAsia="es-CO"/>
        </w:rPr>
        <w:t xml:space="preserve">En este aspecto, se destaca que uno de los sujetos de aplicación de dicha restricción son las entidades descentralizadas por servicios, </w:t>
      </w:r>
      <w:r w:rsidRPr="001F370F">
        <w:rPr>
          <w:rFonts w:ascii="Verdana" w:eastAsia="Times New Roman" w:hAnsi="Verdana" w:cs="Arial"/>
          <w:lang w:eastAsia="es-CO"/>
        </w:rPr>
        <w:t xml:space="preserve">las cuales </w:t>
      </w:r>
      <w:r w:rsidRPr="001F370F">
        <w:rPr>
          <w:rFonts w:ascii="Verdana" w:eastAsia="Calibri" w:hAnsi="Verdana" w:cs="Arial"/>
          <w:color w:val="000000"/>
        </w:rPr>
        <w:t>–sin perjuicio del control de tutela– tienen personería jurídica, autonomía administrativa y patrimonio propio.</w:t>
      </w:r>
      <w:r w:rsidRPr="001F370F">
        <w:rPr>
          <w:rFonts w:ascii="Verdana" w:eastAsia="Calibri" w:hAnsi="Verdana" w:cs="Arial"/>
          <w:b/>
          <w:bCs/>
          <w:color w:val="000000"/>
        </w:rPr>
        <w:t xml:space="preserve"> </w:t>
      </w:r>
      <w:r w:rsidRPr="001F370F">
        <w:rPr>
          <w:rFonts w:ascii="Verdana" w:eastAsia="Calibri" w:hAnsi="Verdana" w:cs="Arial"/>
          <w:color w:val="000000"/>
        </w:rPr>
        <w:t xml:space="preserve">Dentro de la categoría amplia de entidades descentralizadas por servicios se encuentran las Empresas Industriales y Comerciales del Estado, los establecimientos públicos, las sociedades públicas, las sociedades de economía mixta, las empresas sociales del Estado, entre otras entidades. </w:t>
      </w:r>
    </w:p>
    <w:p w14:paraId="7C0DA121" w14:textId="77777777" w:rsidR="00B879F1" w:rsidRPr="001F370F" w:rsidRDefault="00B879F1" w:rsidP="00B879F1">
      <w:pPr>
        <w:spacing w:before="120" w:after="0" w:line="276" w:lineRule="auto"/>
        <w:ind w:firstLine="708"/>
        <w:jc w:val="both"/>
        <w:rPr>
          <w:rFonts w:ascii="Verdana" w:eastAsia="Times New Roman" w:hAnsi="Verdana" w:cs="Arial"/>
          <w:lang w:eastAsia="es-CO"/>
        </w:rPr>
      </w:pPr>
      <w:r w:rsidRPr="001F370F">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1F370F">
        <w:rPr>
          <w:rFonts w:ascii="Verdana" w:eastAsia="Times New Roman" w:hAnsi="Verdana" w:cs="Arial"/>
          <w:lang w:val="es-MX" w:eastAsia="es-CO"/>
        </w:rPr>
        <w:t>ii</w:t>
      </w:r>
      <w:proofErr w:type="spellEnd"/>
      <w:r w:rsidRPr="001F370F">
        <w:rPr>
          <w:rFonts w:ascii="Verdana" w:eastAsia="Times New Roman" w:hAnsi="Verdana" w:cs="Arial"/>
          <w:lang w:val="es-MX" w:eastAsia="es-CO"/>
        </w:rPr>
        <w:t xml:space="preserve">) y </w:t>
      </w:r>
      <w:proofErr w:type="spellStart"/>
      <w:r w:rsidRPr="001F370F">
        <w:rPr>
          <w:rFonts w:ascii="Verdana" w:eastAsia="Times New Roman" w:hAnsi="Verdana" w:cs="Arial"/>
          <w:lang w:val="es-MX" w:eastAsia="es-CO"/>
        </w:rPr>
        <w:t>iv</w:t>
      </w:r>
      <w:proofErr w:type="spellEnd"/>
      <w:r w:rsidRPr="001F370F">
        <w:rPr>
          <w:rFonts w:ascii="Verdana" w:eastAsia="Times New Roman" w:hAnsi="Verdana" w:cs="Arial"/>
          <w:lang w:val="es-MX" w:eastAsia="es-CO"/>
        </w:rPr>
        <w:t>) del numeral 2</w:t>
      </w:r>
      <w:r w:rsidRPr="001F370F">
        <w:rPr>
          <w:rFonts w:ascii="Verdana" w:eastAsia="Times New Roman" w:hAnsi="Verdana" w:cs="Arial"/>
          <w:lang w:eastAsia="es-CO"/>
        </w:rPr>
        <w:t>,</w:t>
      </w:r>
      <w:r w:rsidRPr="001F370F">
        <w:rPr>
          <w:rFonts w:ascii="Verdana" w:eastAsia="Times New Roman" w:hAnsi="Verdana" w:cs="Arial"/>
          <w:lang w:val="es-MX" w:eastAsia="es-CO"/>
        </w:rPr>
        <w:t xml:space="preserve"> indica que el </w:t>
      </w:r>
      <w:r w:rsidRPr="001F370F">
        <w:rPr>
          <w:rFonts w:ascii="Verdana" w:eastAsia="Times New Roman" w:hAnsi="Verdana" w:cs="Arial"/>
          <w:lang w:eastAsia="es-CO"/>
        </w:rPr>
        <w:t xml:space="preserve">parágrafo del artículo 38 de la Ley 996 de 2005 cobija expresamente a los </w:t>
      </w:r>
      <w:r w:rsidRPr="001F370F">
        <w:rPr>
          <w:rFonts w:ascii="Verdana" w:eastAsia="Times New Roman" w:hAnsi="Verdana" w:cs="Arial"/>
          <w:i/>
          <w:iCs/>
          <w:lang w:eastAsia="es-CO"/>
        </w:rPr>
        <w:t>convenios interadministrativos</w:t>
      </w:r>
      <w:r w:rsidRPr="001F370F">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1F370F">
        <w:rPr>
          <w:rFonts w:ascii="Verdana" w:eastAsia="Times New Roman" w:hAnsi="Verdana" w:cs="Arial"/>
          <w:i/>
          <w:iCs/>
          <w:lang w:eastAsia="es-CO"/>
        </w:rPr>
        <w:t>“aunque se configure alguno de los supuestos de excepción que señaló el inciso final del artículo 33”.</w:t>
      </w:r>
      <w:r w:rsidRPr="001F370F">
        <w:rPr>
          <w:rFonts w:ascii="Verdana" w:eastAsia="Times New Roman" w:hAnsi="Verdana" w:cs="Arial"/>
          <w:lang w:eastAsia="es-CO"/>
        </w:rPr>
        <w:t xml:space="preserve"> </w:t>
      </w:r>
    </w:p>
    <w:p w14:paraId="31EB709E" w14:textId="77777777" w:rsidR="00B879F1" w:rsidRPr="001F370F" w:rsidRDefault="00B879F1" w:rsidP="007A0CF5">
      <w:pPr>
        <w:spacing w:before="120" w:after="120" w:line="276" w:lineRule="auto"/>
        <w:ind w:firstLine="708"/>
        <w:jc w:val="both"/>
        <w:rPr>
          <w:rFonts w:ascii="Verdana" w:eastAsia="Times New Roman" w:hAnsi="Verdana" w:cs="Arial"/>
          <w:lang w:eastAsia="es-CO"/>
        </w:rPr>
      </w:pPr>
      <w:r w:rsidRPr="001F370F">
        <w:rPr>
          <w:rFonts w:ascii="Verdana" w:eastAsia="Times New Roman" w:hAnsi="Verdana" w:cs="Arial"/>
          <w:lang w:eastAsia="es-CO"/>
        </w:rPr>
        <w:t xml:space="preserve">Sin embargo, el ámbito de aplicación de la restricción prevista en el parágrafo del artículo 38 de la Ley 996 de 2005 comprende a los </w:t>
      </w:r>
      <w:r w:rsidRPr="001F370F">
        <w:rPr>
          <w:rFonts w:ascii="Verdana" w:eastAsia="Times New Roman" w:hAnsi="Verdana" w:cs="Arial"/>
          <w:i/>
          <w:iCs/>
          <w:lang w:eastAsia="es-CO"/>
        </w:rPr>
        <w:t>convenios interadministrativos</w:t>
      </w:r>
      <w:r w:rsidRPr="001F370F">
        <w:rPr>
          <w:rFonts w:ascii="Verdana" w:eastAsia="Times New Roman" w:hAnsi="Verdana" w:cs="Arial"/>
          <w:lang w:eastAsia="es-CO"/>
        </w:rPr>
        <w:t xml:space="preserve"> en los que exista </w:t>
      </w:r>
      <w:r w:rsidRPr="001F370F">
        <w:rPr>
          <w:rFonts w:ascii="Verdana" w:eastAsia="Times New Roman" w:hAnsi="Verdana" w:cs="Arial"/>
          <w:i/>
          <w:iCs/>
          <w:lang w:eastAsia="es-CO"/>
        </w:rPr>
        <w:t>ejecución de recursos públicos</w:t>
      </w:r>
      <w:r w:rsidRPr="001F370F">
        <w:rPr>
          <w:rFonts w:ascii="Verdana" w:eastAsia="Times New Roman" w:hAnsi="Verdana" w:cs="Arial"/>
          <w:lang w:eastAsia="es-CO"/>
        </w:rPr>
        <w:t xml:space="preserve">, sin importar de que estos sean en dinero o en especie, ya que la norma no distingue. </w:t>
      </w:r>
      <w:r w:rsidRPr="001F370F">
        <w:rPr>
          <w:rFonts w:ascii="Verdana" w:eastAsia="Times New Roman" w:hAnsi="Verdana" w:cs="Arial"/>
          <w:lang w:val="es-ES" w:eastAsia="es-CO"/>
        </w:rPr>
        <w:t xml:space="preserve">Lo anterior conforme a la directriz interpretativa del artículo 31 del Código Civil, </w:t>
      </w:r>
      <w:r w:rsidRPr="001F370F">
        <w:rPr>
          <w:rFonts w:ascii="Verdana" w:eastAsia="Times New Roman" w:hAnsi="Verdana" w:cs="Arial"/>
          <w:lang w:val="es-ES" w:eastAsia="es-CO"/>
        </w:rPr>
        <w:lastRenderedPageBreak/>
        <w:t>según la cual “Lo favorable u odioso de una disposición no se tomará en cuenta para ampliar o restringir su interpretación. La extensión que deba darse a toda ley se determinará por su genuino sentido, y según las reglas de interpretación precedentes”</w:t>
      </w:r>
      <w:r w:rsidRPr="001F370F">
        <w:rPr>
          <w:rStyle w:val="Refdenotaalpie"/>
          <w:rFonts w:ascii="Verdana" w:hAnsi="Verdana" w:cs="Arial"/>
          <w:lang w:val="es-ES"/>
        </w:rPr>
        <w:footnoteReference w:id="29"/>
      </w:r>
      <w:r w:rsidRPr="001F370F">
        <w:rPr>
          <w:rFonts w:ascii="Verdana" w:eastAsia="Times New Roman" w:hAnsi="Verdana" w:cs="Arial"/>
          <w:lang w:val="es-ES" w:eastAsia="es-CO"/>
        </w:rPr>
        <w:t>.</w:t>
      </w:r>
      <w:r w:rsidRPr="001F370F">
        <w:rPr>
          <w:rFonts w:ascii="Verdana" w:eastAsia="Times New Roman" w:hAnsi="Verdana" w:cs="Arial"/>
          <w:lang w:eastAsia="es-CO"/>
        </w:rPr>
        <w:t xml:space="preserve"> Por ello, en el Concepto 2201913000006634 del 6 de septiembre de 2019, la Agencia sostuvo que la ejecución de recursos no se agota en el “[…] el dinero que integra el ciclo presupuestal de la entidad […]”, pues “[…] también los bienes muebles, inmuebles y personal hacen parte del concepto de ‘recursos públicos’”.</w:t>
      </w:r>
    </w:p>
    <w:p w14:paraId="1A55FD85" w14:textId="1422E4CE" w:rsidR="009860F9" w:rsidRPr="007A0CF5" w:rsidRDefault="00372BCD" w:rsidP="007A0CF5">
      <w:pPr>
        <w:spacing w:after="120" w:line="276" w:lineRule="auto"/>
        <w:ind w:firstLine="709"/>
        <w:jc w:val="both"/>
        <w:rPr>
          <w:rFonts w:ascii="Verdana" w:eastAsia="Times New Roman" w:hAnsi="Verdana" w:cs="Arial"/>
          <w:bCs/>
          <w:color w:val="000000" w:themeColor="text1"/>
          <w:lang w:eastAsia="es-CO"/>
        </w:rPr>
      </w:pPr>
      <w:r w:rsidRPr="007A0CF5">
        <w:rPr>
          <w:rFonts w:ascii="Verdana" w:eastAsia="Times New Roman" w:hAnsi="Verdana" w:cs="Arial"/>
          <w:bCs/>
          <w:color w:val="000000" w:themeColor="text1"/>
          <w:lang w:eastAsia="es-CO"/>
        </w:rPr>
        <w:t>Conforme a lo anterior, com</w:t>
      </w:r>
      <w:r w:rsidR="009860F9" w:rsidRPr="007A0CF5">
        <w:rPr>
          <w:rFonts w:ascii="Verdana" w:eastAsia="Times New Roman" w:hAnsi="Verdana" w:cs="Arial"/>
          <w:bCs/>
          <w:color w:val="000000" w:themeColor="text1"/>
          <w:lang w:eastAsia="es-CO"/>
        </w:rPr>
        <w:t xml:space="preserve">o la intensión de la Ley de Garantías Electorales es evitar que se altere la voluntad del elector y la entrega de recursos en efectivo o en especie pueden causar tal efecto, se debe entender de forma amplia la expresión </w:t>
      </w:r>
      <w:r>
        <w:rPr>
          <w:rFonts w:ascii="Verdana" w:eastAsia="Times New Roman" w:hAnsi="Verdana" w:cs="Arial"/>
          <w:bCs/>
          <w:color w:val="000000" w:themeColor="text1"/>
          <w:lang w:eastAsia="es-CO"/>
        </w:rPr>
        <w:t>“</w:t>
      </w:r>
      <w:r w:rsidR="009860F9" w:rsidRPr="007A0CF5">
        <w:rPr>
          <w:rFonts w:ascii="Verdana" w:eastAsia="Times New Roman" w:hAnsi="Verdana" w:cs="Arial"/>
          <w:bCs/>
          <w:color w:val="000000" w:themeColor="text1"/>
          <w:lang w:eastAsia="es-CO"/>
        </w:rPr>
        <w:t>ejecución de recursos públicos</w:t>
      </w:r>
      <w:r>
        <w:rPr>
          <w:rFonts w:ascii="Verdana" w:eastAsia="Times New Roman" w:hAnsi="Verdana" w:cs="Arial"/>
          <w:bCs/>
          <w:color w:val="000000" w:themeColor="text1"/>
          <w:lang w:eastAsia="es-CO"/>
        </w:rPr>
        <w:t>”</w:t>
      </w:r>
      <w:r w:rsidR="009860F9" w:rsidRPr="007A0CF5">
        <w:rPr>
          <w:rFonts w:ascii="Verdana" w:eastAsia="Times New Roman" w:hAnsi="Verdana" w:cs="Arial"/>
          <w:bCs/>
          <w:color w:val="000000" w:themeColor="text1"/>
          <w:lang w:eastAsia="es-CO"/>
        </w:rPr>
        <w:t xml:space="preserve">, siendo parte de ella la entrega de dineros públicos y, la entrega de bienes del Estado para su uso. </w:t>
      </w:r>
    </w:p>
    <w:p w14:paraId="304C1A2B" w14:textId="77777777" w:rsidR="00B879F1" w:rsidRPr="001F370F" w:rsidRDefault="00B879F1" w:rsidP="007A0CF5">
      <w:pPr>
        <w:spacing w:before="120" w:after="120" w:line="276" w:lineRule="auto"/>
        <w:ind w:firstLine="708"/>
        <w:jc w:val="both"/>
        <w:rPr>
          <w:rFonts w:ascii="Verdana" w:eastAsia="Times New Roman" w:hAnsi="Verdana" w:cs="Arial"/>
          <w:lang w:eastAsia="es-CO"/>
        </w:rPr>
      </w:pPr>
      <w:r w:rsidRPr="001F370F">
        <w:rPr>
          <w:rFonts w:ascii="Verdana" w:eastAsia="Times New Roman" w:hAnsi="Verdana" w:cs="Arial"/>
          <w:lang w:eastAsia="es-CO"/>
        </w:rPr>
        <w:t xml:space="preserve">De esta manera, conforme a lo dispuesto en la Circular referida, si se suscriben </w:t>
      </w:r>
      <w:r w:rsidRPr="001F370F">
        <w:rPr>
          <w:rFonts w:ascii="Verdana" w:eastAsia="Times New Roman" w:hAnsi="Verdana" w:cs="Arial"/>
          <w:i/>
          <w:iCs/>
          <w:lang w:eastAsia="es-CO"/>
        </w:rPr>
        <w:t>convenios interadministrativos para la ejecución de recursos públicos</w:t>
      </w:r>
      <w:r w:rsidRPr="001F370F">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1F370F">
        <w:rPr>
          <w:rFonts w:ascii="Verdana" w:eastAsia="Times New Roman" w:hAnsi="Verdana" w:cs="Arial"/>
          <w:i/>
          <w:iCs/>
          <w:lang w:eastAsia="es-CO"/>
        </w:rPr>
        <w:t>ibidem</w:t>
      </w:r>
      <w:r w:rsidRPr="001F370F">
        <w:rPr>
          <w:rFonts w:ascii="Verdana" w:eastAsia="Times New Roman" w:hAnsi="Verdana" w:cs="Arial"/>
          <w:lang w:eastAsia="es-CO"/>
        </w:rPr>
        <w:t>, independientemente de que se configure alguno de los supuestos de excepción que señaló el inciso final del artículo 33, es decir, que se trate de:</w:t>
      </w:r>
      <w:r w:rsidRPr="001F370F">
        <w:rPr>
          <w:rFonts w:ascii="Verdana" w:hAnsi="Verdana" w:cs="Arial"/>
          <w:bCs/>
          <w:lang w:val="es-MX" w:eastAsia="x-none"/>
        </w:rPr>
        <w:t xml:space="preserve"> i) la defensa y seguridad del Estado; </w:t>
      </w:r>
      <w:proofErr w:type="spellStart"/>
      <w:r w:rsidRPr="001F370F">
        <w:rPr>
          <w:rFonts w:ascii="Verdana" w:hAnsi="Verdana" w:cs="Arial"/>
          <w:bCs/>
          <w:lang w:val="es-MX" w:eastAsia="x-none"/>
        </w:rPr>
        <w:t>ii</w:t>
      </w:r>
      <w:proofErr w:type="spellEnd"/>
      <w:r w:rsidRPr="001F370F">
        <w:rPr>
          <w:rFonts w:ascii="Verdana" w:hAnsi="Verdana" w:cs="Arial"/>
          <w:bCs/>
          <w:lang w:val="es-MX" w:eastAsia="x-none"/>
        </w:rPr>
        <w:t xml:space="preserve">) los contratos de crédito público; </w:t>
      </w:r>
      <w:proofErr w:type="spellStart"/>
      <w:r w:rsidRPr="001F370F">
        <w:rPr>
          <w:rFonts w:ascii="Verdana" w:hAnsi="Verdana" w:cs="Arial"/>
          <w:bCs/>
          <w:lang w:val="es-MX" w:eastAsia="x-none"/>
        </w:rPr>
        <w:t>iii</w:t>
      </w:r>
      <w:proofErr w:type="spellEnd"/>
      <w:r w:rsidRPr="001F370F">
        <w:rPr>
          <w:rFonts w:ascii="Verdana" w:hAnsi="Verdana" w:cs="Arial"/>
          <w:bCs/>
          <w:lang w:val="es-MX" w:eastAsia="x-none"/>
        </w:rPr>
        <w:t xml:space="preserve">) los requeridos para cubrir las emergencias educativas, sanitarias y desastres; </w:t>
      </w:r>
      <w:proofErr w:type="spellStart"/>
      <w:r w:rsidRPr="001F370F">
        <w:rPr>
          <w:rFonts w:ascii="Verdana" w:hAnsi="Verdana" w:cs="Arial"/>
          <w:bCs/>
          <w:lang w:val="es-MX" w:eastAsia="x-none"/>
        </w:rPr>
        <w:t>iv</w:t>
      </w:r>
      <w:proofErr w:type="spellEnd"/>
      <w:r w:rsidRPr="001F370F">
        <w:rPr>
          <w:rFonts w:ascii="Verdana" w:hAnsi="Verdana" w:cs="Arial"/>
          <w:bCs/>
          <w:lang w:val="es-MX" w:eastAsia="x-none"/>
        </w:rPr>
        <w:t xml:space="preserve">) los utilizados para la reconstrucción de vías, puentes, carreteras, infraestructura energética y de comunicaciones, en caso de que hayan sido objeto de atentados, acciones terroristas, desastres naturales o casos </w:t>
      </w:r>
      <w:r w:rsidRPr="001F370F">
        <w:rPr>
          <w:rFonts w:ascii="Verdana" w:hAnsi="Verdana" w:cs="Arial"/>
          <w:bCs/>
          <w:lang w:val="es-MX" w:eastAsia="x-none"/>
        </w:rPr>
        <w:lastRenderedPageBreak/>
        <w:t>de fuerza mayor; y, v) los que deban realizar las entidades sanitarias y hospitalarias.</w:t>
      </w:r>
      <w:r w:rsidRPr="001F370F">
        <w:rPr>
          <w:rFonts w:ascii="Verdana" w:hAnsi="Verdana" w:cs="Arial"/>
          <w:bCs/>
          <w:lang w:val="es-MX" w:eastAsia="es-CO"/>
        </w:rPr>
        <w:t xml:space="preserve"> </w:t>
      </w:r>
      <w:r w:rsidRPr="001F370F">
        <w:rPr>
          <w:rFonts w:ascii="Verdana" w:eastAsia="Times New Roman" w:hAnsi="Verdana" w:cs="Arial"/>
          <w:lang w:eastAsia="es-CO"/>
        </w:rPr>
        <w:t xml:space="preserve">  </w:t>
      </w:r>
    </w:p>
    <w:p w14:paraId="7294A302" w14:textId="77777777" w:rsidR="00B879F1" w:rsidRPr="001F370F" w:rsidRDefault="00B879F1" w:rsidP="00B879F1">
      <w:pPr>
        <w:spacing w:before="120" w:after="0" w:line="276" w:lineRule="auto"/>
        <w:ind w:firstLine="708"/>
        <w:jc w:val="both"/>
        <w:rPr>
          <w:rFonts w:ascii="Verdana" w:eastAsia="Times New Roman" w:hAnsi="Verdana" w:cs="Arial"/>
          <w:lang w:eastAsia="es-CO"/>
        </w:rPr>
      </w:pPr>
      <w:r w:rsidRPr="001F370F">
        <w:rPr>
          <w:rFonts w:ascii="Verdana" w:eastAsia="Times New Roman" w:hAnsi="Verdana" w:cs="Arial"/>
          <w:lang w:eastAsia="es-CO"/>
        </w:rPr>
        <w:t xml:space="preserve">En este punto, teniendo en cuenta lo señalado en el contenido de su petición, vale la pena destacar que </w:t>
      </w:r>
      <w:r w:rsidRPr="001F370F">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1F370F">
        <w:rPr>
          <w:rFonts w:ascii="Verdana" w:hAnsi="Verdana" w:cs="Arial"/>
        </w:rPr>
        <w:t>numeral 16.2 de la Circular Externa Única de 2022 expedida por la Agencia Nacional de Contratación Pública – Colombia Compra Eficiente, concretamente, respecto de los siguientes apartes normativos</w:t>
      </w:r>
      <w:r w:rsidRPr="001F370F">
        <w:rPr>
          <w:rFonts w:ascii="Verdana" w:hAnsi="Verdana" w:cs="Arial"/>
          <w:vertAlign w:val="superscript"/>
        </w:rPr>
        <w:footnoteReference w:id="30"/>
      </w:r>
      <w:r w:rsidRPr="001F370F">
        <w:rPr>
          <w:rFonts w:ascii="Verdana" w:hAnsi="Verdana" w:cs="Arial"/>
        </w:rPr>
        <w:t xml:space="preserve">: </w:t>
      </w:r>
    </w:p>
    <w:p w14:paraId="4B3E7731" w14:textId="77777777" w:rsidR="00B879F1" w:rsidRPr="001F370F" w:rsidRDefault="00B879F1" w:rsidP="00B879F1">
      <w:pPr>
        <w:spacing w:after="0" w:line="276" w:lineRule="auto"/>
        <w:ind w:firstLine="709"/>
        <w:jc w:val="both"/>
        <w:rPr>
          <w:rFonts w:ascii="Verdana" w:hAnsi="Verdana" w:cs="Arial"/>
        </w:rPr>
      </w:pPr>
    </w:p>
    <w:p w14:paraId="366F6932" w14:textId="77777777" w:rsidR="00B879F1" w:rsidRPr="001F370F" w:rsidRDefault="00B879F1" w:rsidP="00B879F1">
      <w:pPr>
        <w:spacing w:after="0" w:line="240" w:lineRule="auto"/>
        <w:ind w:left="709" w:right="709"/>
        <w:jc w:val="both"/>
        <w:rPr>
          <w:rFonts w:ascii="Verdana" w:hAnsi="Verdana" w:cs="Arial"/>
          <w:sz w:val="20"/>
          <w:szCs w:val="20"/>
        </w:rPr>
      </w:pPr>
      <w:r w:rsidRPr="001F370F">
        <w:rPr>
          <w:rFonts w:ascii="Verdana" w:hAnsi="Verdana" w:cs="Arial"/>
          <w:sz w:val="20"/>
          <w:szCs w:val="20"/>
          <w:lang w:val="es-MX"/>
        </w:rPr>
        <w:t>“i)</w:t>
      </w:r>
      <w:r w:rsidRPr="001F370F">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6B236732" w14:textId="77777777" w:rsidR="00B879F1" w:rsidRPr="001F370F" w:rsidRDefault="00B879F1" w:rsidP="00B879F1">
      <w:pPr>
        <w:spacing w:after="0" w:line="240" w:lineRule="auto"/>
        <w:ind w:left="709" w:right="709"/>
        <w:jc w:val="both"/>
        <w:rPr>
          <w:rFonts w:ascii="Verdana" w:hAnsi="Verdana" w:cs="Arial"/>
          <w:sz w:val="20"/>
          <w:szCs w:val="20"/>
        </w:rPr>
      </w:pPr>
    </w:p>
    <w:p w14:paraId="483AE6AB" w14:textId="77777777" w:rsidR="00B879F1" w:rsidRPr="001F370F" w:rsidRDefault="00B879F1" w:rsidP="00B879F1">
      <w:pPr>
        <w:spacing w:after="0" w:line="240" w:lineRule="auto"/>
        <w:ind w:left="709" w:right="709"/>
        <w:jc w:val="both"/>
        <w:rPr>
          <w:rFonts w:ascii="Verdana" w:hAnsi="Verdana" w:cs="Arial"/>
          <w:sz w:val="20"/>
          <w:szCs w:val="20"/>
        </w:rPr>
      </w:pPr>
      <w:proofErr w:type="spellStart"/>
      <w:r w:rsidRPr="001F370F">
        <w:rPr>
          <w:rFonts w:ascii="Verdana" w:hAnsi="Verdana" w:cs="Arial"/>
          <w:sz w:val="20"/>
          <w:szCs w:val="20"/>
        </w:rPr>
        <w:t>ii</w:t>
      </w:r>
      <w:proofErr w:type="spellEnd"/>
      <w:r w:rsidRPr="001F370F">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16B0118E" w14:textId="77777777" w:rsidR="00B879F1" w:rsidRPr="001F370F" w:rsidRDefault="00B879F1" w:rsidP="00B879F1">
      <w:pPr>
        <w:spacing w:after="0" w:line="276" w:lineRule="auto"/>
        <w:ind w:left="709" w:right="709"/>
        <w:jc w:val="both"/>
        <w:rPr>
          <w:rFonts w:ascii="Verdana" w:hAnsi="Verdana" w:cs="Arial"/>
        </w:rPr>
      </w:pPr>
    </w:p>
    <w:p w14:paraId="7B9E297B" w14:textId="77777777" w:rsidR="00B879F1" w:rsidRPr="001F370F" w:rsidRDefault="00B879F1" w:rsidP="00B879F1">
      <w:pPr>
        <w:spacing w:after="120" w:line="276" w:lineRule="auto"/>
        <w:ind w:firstLine="709"/>
        <w:jc w:val="both"/>
        <w:rPr>
          <w:rFonts w:ascii="Verdana" w:eastAsia="Arial" w:hAnsi="Verdana" w:cs="Arial"/>
          <w:i/>
          <w:iCs/>
          <w:lang w:eastAsia="es-ES" w:bidi="es-ES"/>
        </w:rPr>
      </w:pPr>
      <w:r w:rsidRPr="001F370F">
        <w:rPr>
          <w:rFonts w:ascii="Verdana" w:eastAsia="Arial" w:hAnsi="Verdana" w:cs="Arial"/>
          <w:lang w:val="es-MX" w:eastAsia="es-ES" w:bidi="es-ES"/>
        </w:rPr>
        <w:t xml:space="preserve">De conformidad con los argumentos de dicha providencia, se parte de la distinción entre los conceptos </w:t>
      </w:r>
      <w:r w:rsidRPr="001F370F">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1F370F">
        <w:rPr>
          <w:rFonts w:ascii="Verdana" w:hAnsi="Verdana"/>
          <w:sz w:val="24"/>
          <w:szCs w:val="24"/>
          <w:lang w:eastAsia="es-CO"/>
        </w:rPr>
        <w:t xml:space="preserve"> </w:t>
      </w:r>
      <w:r w:rsidRPr="001F370F">
        <w:rPr>
          <w:rFonts w:ascii="Verdana" w:eastAsia="Arial" w:hAnsi="Verdana" w:cs="Arial"/>
          <w:lang w:eastAsia="es-ES" w:bidi="es-ES"/>
        </w:rPr>
        <w:t xml:space="preserve">En este sentido, en relación con el parágrafo del artículo 38 de la Ley 996 de 2005 concluyó que </w:t>
      </w:r>
      <w:r w:rsidRPr="001F370F">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1F370F">
        <w:rPr>
          <w:rFonts w:ascii="Verdana" w:eastAsia="Arial" w:hAnsi="Verdana" w:cs="Arial"/>
          <w:lang w:eastAsia="es-ES" w:bidi="es-ES"/>
        </w:rPr>
        <w:t xml:space="preserve">Por tal motivo, para efectos de decretar la medida de suspensión </w:t>
      </w:r>
      <w:r w:rsidRPr="001F370F">
        <w:rPr>
          <w:rFonts w:ascii="Verdana" w:eastAsia="Arial" w:hAnsi="Verdana" w:cs="Arial"/>
          <w:lang w:eastAsia="es-ES" w:bidi="es-ES"/>
        </w:rPr>
        <w:lastRenderedPageBreak/>
        <w:t xml:space="preserve">provisional de los apartes señalados del numeral 16.2 de la Circular Externa Única, argumentó que </w:t>
      </w:r>
      <w:r w:rsidRPr="001F370F">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sidRPr="001F370F">
        <w:rPr>
          <w:rFonts w:ascii="Verdana" w:eastAsia="Arial" w:hAnsi="Verdana" w:cs="Arial"/>
          <w:lang w:eastAsia="es-ES" w:bidi="es-ES"/>
        </w:rPr>
        <w:t>”</w:t>
      </w:r>
      <w:r w:rsidRPr="001F370F">
        <w:rPr>
          <w:rFonts w:ascii="Verdana" w:eastAsia="Arial" w:hAnsi="Verdana" w:cs="Arial"/>
          <w:i/>
          <w:iCs/>
          <w:lang w:eastAsia="es-ES" w:bidi="es-ES"/>
        </w:rPr>
        <w:t xml:space="preserve">. </w:t>
      </w:r>
    </w:p>
    <w:p w14:paraId="7DAA5D06" w14:textId="77777777" w:rsidR="00B879F1" w:rsidRPr="001F370F" w:rsidRDefault="00B879F1" w:rsidP="00B879F1">
      <w:pPr>
        <w:spacing w:after="120" w:line="276" w:lineRule="auto"/>
        <w:ind w:firstLine="709"/>
        <w:jc w:val="both"/>
        <w:rPr>
          <w:rFonts w:ascii="Verdana" w:eastAsia="Arial" w:hAnsi="Verdana" w:cs="Arial"/>
          <w:lang w:eastAsia="es-ES" w:bidi="es-ES"/>
        </w:rPr>
      </w:pPr>
      <w:r w:rsidRPr="001F370F">
        <w:rPr>
          <w:rFonts w:ascii="Verdana" w:eastAsia="Arial" w:hAnsi="Verdana" w:cs="Arial"/>
          <w:lang w:eastAsia="es-ES" w:bidi="es-ES"/>
        </w:rPr>
        <w:t>De igual manera, mediante auto del 6 de noviembre de 2025, el Consejo de Estado, Subsección A de la Sección Tercera, decretó</w:t>
      </w:r>
      <w:r w:rsidRPr="001F370F">
        <w:rPr>
          <w:rFonts w:ascii="Verdana" w:eastAsia="Arial" w:hAnsi="Verdana" w:cs="Arial"/>
          <w:b/>
          <w:bCs/>
          <w:lang w:eastAsia="es-ES" w:bidi="es-ES"/>
        </w:rPr>
        <w:t xml:space="preserve"> </w:t>
      </w:r>
      <w:r w:rsidRPr="001F370F">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1F370F">
        <w:rPr>
          <w:rFonts w:ascii="Verdana" w:eastAsia="Arial" w:hAnsi="Verdana" w:cs="Arial"/>
          <w:vertAlign w:val="superscript"/>
          <w:lang w:eastAsia="es-ES" w:bidi="es-ES"/>
        </w:rPr>
        <w:footnoteReference w:id="31"/>
      </w:r>
      <w:r w:rsidRPr="001F370F">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1F370F">
        <w:rPr>
          <w:rFonts w:ascii="Verdana" w:eastAsia="Arial" w:hAnsi="Verdana" w:cs="Arial"/>
          <w:lang w:eastAsia="es-ES" w:bidi="es-ES"/>
        </w:rPr>
        <w:t>legis</w:t>
      </w:r>
      <w:proofErr w:type="spellEnd"/>
      <w:r w:rsidRPr="001F370F">
        <w:rPr>
          <w:rFonts w:ascii="Verdana" w:eastAsia="Arial" w:hAnsi="Verdana" w:cs="Arial"/>
          <w:lang w:eastAsia="es-ES" w:bidi="es-ES"/>
        </w:rPr>
        <w:t xml:space="preserve"> o iuris y la interpretación extensiva y reiteró los argumentos sobre la diferencia entre contratos y convenios interadministrativos. </w:t>
      </w:r>
    </w:p>
    <w:p w14:paraId="0BBFAD70" w14:textId="77777777" w:rsidR="00B879F1" w:rsidRPr="001F370F" w:rsidRDefault="00B879F1" w:rsidP="00B879F1">
      <w:pPr>
        <w:spacing w:after="120" w:line="276" w:lineRule="auto"/>
        <w:ind w:firstLine="709"/>
        <w:jc w:val="both"/>
        <w:rPr>
          <w:rFonts w:ascii="Verdana" w:eastAsia="Times New Roman" w:hAnsi="Verdana" w:cs="Times New Roman"/>
          <w:lang w:eastAsia="es-ES"/>
        </w:rPr>
      </w:pPr>
      <w:r w:rsidRPr="001F370F">
        <w:rPr>
          <w:rFonts w:ascii="Verdana" w:eastAsia="Arial" w:hAnsi="Verdana" w:cs="Arial"/>
          <w:lang w:eastAsia="es-ES" w:bidi="es-ES"/>
        </w:rPr>
        <w:t xml:space="preserve">Finalmente, mediante sentencia del 17 de octubre de 2025, emitida por la Sección Tercera del Consejo de Estado, dentro del expediente </w:t>
      </w:r>
      <w:r w:rsidRPr="001F370F">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w:t>
      </w:r>
      <w:r w:rsidRPr="001F370F">
        <w:rPr>
          <w:rFonts w:ascii="Verdana" w:eastAsia="Times New Roman" w:hAnsi="Verdana" w:cs="Times New Roman"/>
          <w:lang w:eastAsia="es-ES"/>
        </w:rPr>
        <w:lastRenderedPageBreak/>
        <w:t xml:space="preserve">- Colombia Compra Eficiente que indicaba: “Esta restricción es aplicable tanto a los convenios como a los contratos interadministrativos […]”. </w:t>
      </w:r>
    </w:p>
    <w:p w14:paraId="536D57B6" w14:textId="77777777" w:rsidR="00B879F1" w:rsidRPr="001F370F" w:rsidRDefault="00B879F1" w:rsidP="00B879F1">
      <w:pPr>
        <w:spacing w:after="120" w:line="276" w:lineRule="auto"/>
        <w:ind w:firstLine="709"/>
        <w:jc w:val="both"/>
        <w:rPr>
          <w:rFonts w:ascii="Verdana" w:eastAsia="Times New Roman" w:hAnsi="Verdana" w:cs="Times New Roman"/>
          <w:lang w:eastAsia="es-ES"/>
        </w:rPr>
      </w:pPr>
      <w:r w:rsidRPr="001F370F">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1F370F">
        <w:rPr>
          <w:rStyle w:val="Refdenotaalpie"/>
          <w:rFonts w:ascii="Verdana" w:eastAsia="Times New Roman" w:hAnsi="Verdana" w:cs="Times New Roman"/>
          <w:lang w:eastAsia="es-ES"/>
        </w:rPr>
        <w:footnoteReference w:id="32"/>
      </w:r>
      <w:r w:rsidRPr="001F370F">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24CAB989" w14:textId="77777777" w:rsidR="00B879F1" w:rsidRPr="001F370F" w:rsidRDefault="00B879F1" w:rsidP="00B879F1">
      <w:pPr>
        <w:spacing w:after="120" w:line="276" w:lineRule="auto"/>
        <w:ind w:firstLine="709"/>
        <w:jc w:val="both"/>
        <w:rPr>
          <w:rFonts w:ascii="Verdana" w:eastAsia="Times New Roman" w:hAnsi="Verdana" w:cs="Arial"/>
          <w:lang w:eastAsia="es-CO"/>
        </w:rPr>
      </w:pPr>
      <w:r w:rsidRPr="001F370F">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sidRPr="001F370F">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1F370F">
        <w:rPr>
          <w:rFonts w:ascii="Verdana" w:eastAsia="Times New Roman" w:hAnsi="Verdana" w:cs="Arial"/>
          <w:i/>
          <w:iCs/>
          <w:lang w:eastAsia="es-CO"/>
        </w:rPr>
        <w:t>contratos interadministrativos</w:t>
      </w:r>
      <w:r w:rsidRPr="001F370F">
        <w:rPr>
          <w:rFonts w:ascii="Verdana" w:eastAsia="Times New Roman" w:hAnsi="Verdana" w:cs="Arial"/>
          <w:lang w:eastAsia="es-CO"/>
        </w:rPr>
        <w:t>, esta prohibición solo aplicaría a los convenios interadministrativos que impliquen la ejecución de recursos públicos</w:t>
      </w:r>
      <w:r w:rsidRPr="001F370F">
        <w:rPr>
          <w:rStyle w:val="Refdenotaalpie"/>
          <w:rFonts w:ascii="Verdana" w:eastAsia="Times New Roman" w:hAnsi="Verdana" w:cs="Arial"/>
          <w:lang w:eastAsia="es-CO"/>
        </w:rPr>
        <w:footnoteReference w:id="33"/>
      </w:r>
      <w:r w:rsidRPr="001F370F">
        <w:rPr>
          <w:rFonts w:ascii="Verdana" w:eastAsia="Times New Roman" w:hAnsi="Verdana" w:cs="Arial"/>
          <w:lang w:eastAsia="es-CO"/>
        </w:rPr>
        <w:t xml:space="preserve">. Conforme a lo señalado por el Consejo de Estado, cuando </w:t>
      </w:r>
      <w:r w:rsidRPr="001F370F">
        <w:rPr>
          <w:rFonts w:ascii="Verdana" w:eastAsia="Times New Roman" w:hAnsi="Verdana" w:cs="Arial"/>
          <w:lang w:eastAsia="es-CO"/>
        </w:rPr>
        <w:lastRenderedPageBreak/>
        <w:t xml:space="preserve">dos entidades públicas celebren un </w:t>
      </w:r>
      <w:r w:rsidRPr="001F370F">
        <w:rPr>
          <w:rFonts w:ascii="Verdana" w:eastAsia="Times New Roman" w:hAnsi="Verdana" w:cs="Arial"/>
          <w:i/>
          <w:iCs/>
          <w:lang w:eastAsia="es-CO"/>
        </w:rPr>
        <w:t>contrato interadministrativo,</w:t>
      </w:r>
      <w:r w:rsidRPr="001F370F">
        <w:rPr>
          <w:rFonts w:ascii="Verdana" w:eastAsia="Times New Roman" w:hAnsi="Verdana" w:cs="Arial"/>
          <w:lang w:eastAsia="es-CO"/>
        </w:rPr>
        <w:t xml:space="preserve"> independientemente del objeto, dicho contrato puede suscribirse durante el periodo preelectoral.</w:t>
      </w:r>
    </w:p>
    <w:p w14:paraId="103C7D23" w14:textId="77777777" w:rsidR="00B879F1" w:rsidRPr="001F370F" w:rsidRDefault="00B879F1" w:rsidP="00B879F1">
      <w:pPr>
        <w:spacing w:after="120" w:line="276" w:lineRule="auto"/>
        <w:ind w:firstLine="708"/>
        <w:jc w:val="both"/>
        <w:rPr>
          <w:rFonts w:ascii="Verdana" w:eastAsia="Times New Roman" w:hAnsi="Verdana" w:cs="Arial"/>
          <w:lang w:eastAsia="es-CO"/>
        </w:rPr>
      </w:pPr>
      <w:r w:rsidRPr="001F370F">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sidRPr="001F370F">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7B995C50" w14:textId="77777777" w:rsidR="00B879F1" w:rsidRPr="001F370F" w:rsidRDefault="00B879F1" w:rsidP="00B879F1">
      <w:pPr>
        <w:spacing w:after="0" w:line="276" w:lineRule="auto"/>
        <w:ind w:firstLine="708"/>
        <w:jc w:val="both"/>
        <w:rPr>
          <w:rFonts w:ascii="Verdana" w:eastAsia="Times New Roman" w:hAnsi="Verdana" w:cs="Arial"/>
          <w:lang w:eastAsia="es-CO"/>
        </w:rPr>
      </w:pPr>
      <w:r w:rsidRPr="001F370F">
        <w:rPr>
          <w:rFonts w:ascii="Verdana" w:eastAsia="Times New Roman" w:hAnsi="Verdana" w:cs="Arial"/>
          <w:lang w:eastAsia="es-CO"/>
        </w:rPr>
        <w:t xml:space="preserve"> No obstante, es importante mencionar que aún se encuentra por definir la demanda </w:t>
      </w:r>
      <w:r w:rsidRPr="001F370F">
        <w:rPr>
          <w:rFonts w:ascii="Verdana" w:eastAsia="Calibri" w:hAnsi="Verdana" w:cs="Arial"/>
          <w:lang w:val="es-ES" w:eastAsia="es-ES"/>
        </w:rPr>
        <w:t xml:space="preserve">de nulidad simple, identificada con el Radicado número 11001-03-26-000-2025-00016-00, en la cual se cuestiona </w:t>
      </w:r>
      <w:r w:rsidRPr="001F370F">
        <w:rPr>
          <w:rFonts w:ascii="Verdana" w:eastAsia="Calibri" w:hAnsi="Verdana" w:cs="Arial"/>
          <w:lang w:eastAsia="es-ES"/>
        </w:rPr>
        <w:t>parcialmente el numeral 16.2 de la Circular Externa Única CCE-EICP-MA-06, Versión 03 del 27 de diciembre de 2023.</w:t>
      </w:r>
      <w:r w:rsidRPr="001F370F">
        <w:rPr>
          <w:rFonts w:ascii="Verdana" w:eastAsia="Calibri" w:hAnsi="Verdana" w:cs="Arial"/>
          <w:lang w:val="es-ES" w:eastAsia="es-ES"/>
        </w:rPr>
        <w:t xml:space="preserve"> </w:t>
      </w:r>
      <w:r w:rsidRPr="001F370F">
        <w:rPr>
          <w:rFonts w:ascii="Verdana" w:eastAsia="Arial" w:hAnsi="Verdana" w:cs="Arial"/>
          <w:bCs/>
          <w:color w:val="000000" w:themeColor="text1"/>
        </w:rPr>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1F370F">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3C05E2ED" w14:textId="77777777" w:rsidR="002A0365" w:rsidRPr="001F370F" w:rsidRDefault="002A0365" w:rsidP="001B44BF">
      <w:pPr>
        <w:spacing w:after="0" w:line="276" w:lineRule="auto"/>
        <w:jc w:val="both"/>
        <w:rPr>
          <w:rFonts w:ascii="Verdana" w:eastAsia="Times New Roman" w:hAnsi="Verdana" w:cs="Arial"/>
          <w:bCs/>
          <w:lang w:val="es-MX" w:eastAsia="x-none"/>
        </w:rPr>
      </w:pPr>
    </w:p>
    <w:bookmarkEnd w:id="2"/>
    <w:p w14:paraId="250DF27F" w14:textId="2A82C3EE" w:rsidR="002A0365" w:rsidRPr="001F370F" w:rsidRDefault="001B44BF" w:rsidP="002A0365">
      <w:pPr>
        <w:spacing w:after="120" w:line="276" w:lineRule="auto"/>
        <w:jc w:val="both"/>
        <w:rPr>
          <w:rFonts w:ascii="Verdana" w:eastAsia="Calibri" w:hAnsi="Verdana" w:cs="Arial"/>
          <w:bCs/>
          <w:color w:val="000000" w:themeColor="text1"/>
        </w:rPr>
      </w:pPr>
      <w:r w:rsidRPr="001F370F">
        <w:rPr>
          <w:rFonts w:ascii="Verdana" w:eastAsia="Times New Roman" w:hAnsi="Verdana" w:cs="Arial"/>
          <w:lang w:val="es-ES" w:eastAsia="es-MX"/>
        </w:rPr>
        <w:t>v</w:t>
      </w:r>
      <w:r w:rsidR="002A0365" w:rsidRPr="001F370F">
        <w:rPr>
          <w:rFonts w:ascii="Verdana" w:eastAsia="Calibri" w:hAnsi="Verdana" w:cs="Arial"/>
          <w:bCs/>
          <w:color w:val="000000" w:themeColor="text1"/>
        </w:rPr>
        <w:t xml:space="preserve">. 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w:t>
      </w:r>
      <w:r w:rsidR="002A0365" w:rsidRPr="001F370F">
        <w:rPr>
          <w:rFonts w:ascii="Verdana" w:eastAsia="Calibri" w:hAnsi="Verdana" w:cs="Arial"/>
          <w:bCs/>
          <w:color w:val="000000" w:themeColor="text1"/>
        </w:rPr>
        <w:lastRenderedPageBreak/>
        <w:t>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65A10D7" w14:textId="68A4AFEA" w:rsidR="0058307B" w:rsidRPr="001F370F" w:rsidRDefault="002A0365" w:rsidP="001B44BF">
      <w:pPr>
        <w:spacing w:after="0" w:line="276" w:lineRule="auto"/>
        <w:ind w:firstLine="708"/>
        <w:jc w:val="both"/>
        <w:rPr>
          <w:rFonts w:ascii="Verdana" w:hAnsi="Verdana" w:cs="Arial"/>
          <w:color w:val="000000" w:themeColor="text1"/>
        </w:rPr>
      </w:pPr>
      <w:r w:rsidRPr="001F370F">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B9C4174" w14:textId="77777777" w:rsidR="007014D3" w:rsidRPr="001F370F" w:rsidRDefault="007014D3" w:rsidP="007014D3">
      <w:pPr>
        <w:pBdr>
          <w:top w:val="nil"/>
          <w:left w:val="nil"/>
          <w:bottom w:val="nil"/>
          <w:right w:val="nil"/>
          <w:between w:val="nil"/>
        </w:pBdr>
        <w:spacing w:after="0" w:line="276" w:lineRule="auto"/>
        <w:jc w:val="both"/>
        <w:rPr>
          <w:rFonts w:ascii="Verdana" w:eastAsia="Calibri" w:hAnsi="Verdana" w:cs="Arial"/>
          <w:bCs/>
          <w:color w:val="000000" w:themeColor="text1"/>
          <w:lang w:val="es-ES_tradnl"/>
        </w:rPr>
      </w:pPr>
    </w:p>
    <w:p w14:paraId="1487E63F" w14:textId="77777777" w:rsidR="007014D3" w:rsidRPr="001F370F" w:rsidRDefault="007014D3" w:rsidP="004A624F">
      <w:pPr>
        <w:pStyle w:val="Prrafodelista"/>
        <w:numPr>
          <w:ilvl w:val="0"/>
          <w:numId w:val="19"/>
        </w:numPr>
        <w:tabs>
          <w:tab w:val="left" w:pos="142"/>
          <w:tab w:val="left" w:pos="284"/>
        </w:tabs>
        <w:spacing w:after="0" w:line="276" w:lineRule="auto"/>
        <w:ind w:left="360"/>
        <w:contextualSpacing w:val="0"/>
        <w:jc w:val="both"/>
        <w:rPr>
          <w:rFonts w:ascii="Verdana" w:eastAsia="Century Gothic" w:hAnsi="Verdana" w:cs="Century Gothic"/>
          <w:b/>
          <w:bCs/>
        </w:rPr>
      </w:pPr>
      <w:r w:rsidRPr="001F370F">
        <w:rPr>
          <w:rFonts w:ascii="Verdana" w:eastAsia="Century Gothic" w:hAnsi="Verdana" w:cs="Century Gothic"/>
          <w:b/>
          <w:bCs/>
        </w:rPr>
        <w:t>Referencias normativas, jurisprudenciales y otras fuentes:</w:t>
      </w:r>
    </w:p>
    <w:p w14:paraId="3C98AFF7" w14:textId="77777777" w:rsidR="007014D3" w:rsidRPr="001F370F" w:rsidRDefault="007014D3" w:rsidP="007014D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014D3" w:rsidRPr="001F370F" w14:paraId="14A0F713" w14:textId="77777777" w:rsidTr="002F4AB5">
        <w:trPr>
          <w:trHeight w:val="870"/>
        </w:trPr>
        <w:tc>
          <w:tcPr>
            <w:tcW w:w="8647" w:type="dxa"/>
          </w:tcPr>
          <w:p w14:paraId="27A5784C" w14:textId="77777777" w:rsidR="0001271B" w:rsidRPr="001F370F" w:rsidRDefault="0001271B" w:rsidP="0001271B">
            <w:pPr>
              <w:pStyle w:val="Prrafodelista"/>
              <w:widowControl w:val="0"/>
              <w:numPr>
                <w:ilvl w:val="0"/>
                <w:numId w:val="18"/>
              </w:numPr>
              <w:autoSpaceDE w:val="0"/>
              <w:autoSpaceDN w:val="0"/>
              <w:spacing w:before="120" w:after="120" w:line="276" w:lineRule="auto"/>
              <w:ind w:left="714" w:hanging="357"/>
              <w:contextualSpacing w:val="0"/>
              <w:jc w:val="both"/>
              <w:rPr>
                <w:rFonts w:ascii="Verdana" w:hAnsi="Verdana" w:cs="Arial"/>
              </w:rPr>
            </w:pPr>
            <w:r w:rsidRPr="001F370F">
              <w:rPr>
                <w:rFonts w:ascii="Verdana" w:hAnsi="Verdana" w:cs="Arial"/>
              </w:rPr>
              <w:t>Constitución Política de 1991, artículos 127, 190, 197 y 286.</w:t>
            </w:r>
          </w:p>
          <w:p w14:paraId="1204C21F" w14:textId="77777777" w:rsidR="0001271B" w:rsidRPr="001F370F" w:rsidRDefault="0001271B" w:rsidP="0001271B">
            <w:pPr>
              <w:pStyle w:val="Prrafodelista"/>
              <w:widowControl w:val="0"/>
              <w:numPr>
                <w:ilvl w:val="0"/>
                <w:numId w:val="18"/>
              </w:numPr>
              <w:autoSpaceDE w:val="0"/>
              <w:autoSpaceDN w:val="0"/>
              <w:spacing w:before="120" w:after="120" w:line="276" w:lineRule="auto"/>
              <w:ind w:left="714" w:hanging="357"/>
              <w:contextualSpacing w:val="0"/>
              <w:jc w:val="both"/>
              <w:rPr>
                <w:rFonts w:ascii="Verdana" w:hAnsi="Verdana" w:cs="Arial"/>
              </w:rPr>
            </w:pPr>
            <w:r w:rsidRPr="001F370F">
              <w:rPr>
                <w:rFonts w:ascii="Verdana" w:hAnsi="Verdana" w:cs="Arial"/>
              </w:rPr>
              <w:t>Ley 80 de 1993, artículos 2, 13, 32, 39, 40 y 41.</w:t>
            </w:r>
          </w:p>
          <w:p w14:paraId="5B97CFD0" w14:textId="77777777" w:rsidR="0001271B" w:rsidRPr="001F370F" w:rsidRDefault="0001271B" w:rsidP="0001271B">
            <w:pPr>
              <w:pStyle w:val="Prrafodelista"/>
              <w:widowControl w:val="0"/>
              <w:numPr>
                <w:ilvl w:val="0"/>
                <w:numId w:val="18"/>
              </w:numPr>
              <w:autoSpaceDE w:val="0"/>
              <w:autoSpaceDN w:val="0"/>
              <w:spacing w:before="120" w:after="120" w:line="276" w:lineRule="auto"/>
              <w:ind w:left="714" w:hanging="357"/>
              <w:contextualSpacing w:val="0"/>
              <w:jc w:val="both"/>
              <w:rPr>
                <w:rFonts w:ascii="Verdana" w:hAnsi="Verdana" w:cs="Arial"/>
              </w:rPr>
            </w:pPr>
            <w:r w:rsidRPr="001F370F">
              <w:rPr>
                <w:rFonts w:ascii="Verdana" w:hAnsi="Verdana" w:cs="Arial"/>
              </w:rPr>
              <w:t>Ley 996 de 2005, artículos 33 y 38.</w:t>
            </w:r>
          </w:p>
          <w:p w14:paraId="6A0C5360" w14:textId="77777777" w:rsidR="0001271B" w:rsidRPr="001F370F" w:rsidRDefault="0001271B" w:rsidP="0001271B">
            <w:pPr>
              <w:pStyle w:val="Prrafodelista"/>
              <w:widowControl w:val="0"/>
              <w:numPr>
                <w:ilvl w:val="0"/>
                <w:numId w:val="18"/>
              </w:numPr>
              <w:autoSpaceDE w:val="0"/>
              <w:autoSpaceDN w:val="0"/>
              <w:spacing w:before="120" w:after="120" w:line="276" w:lineRule="auto"/>
              <w:ind w:left="714" w:hanging="357"/>
              <w:contextualSpacing w:val="0"/>
              <w:jc w:val="both"/>
              <w:rPr>
                <w:rFonts w:ascii="Verdana" w:hAnsi="Verdana" w:cs="Arial"/>
              </w:rPr>
            </w:pPr>
            <w:r w:rsidRPr="001F370F">
              <w:rPr>
                <w:rFonts w:ascii="Verdana" w:hAnsi="Verdana" w:cs="Arial"/>
              </w:rPr>
              <w:t>Ley 1150 de 2007, artículo 2.</w:t>
            </w:r>
          </w:p>
          <w:p w14:paraId="6DFF0004" w14:textId="77777777" w:rsidR="00A714B2" w:rsidRPr="001F370F" w:rsidRDefault="00A714B2" w:rsidP="00A714B2">
            <w:pPr>
              <w:pStyle w:val="Prrafodelista"/>
              <w:widowControl w:val="0"/>
              <w:numPr>
                <w:ilvl w:val="0"/>
                <w:numId w:val="18"/>
              </w:numPr>
              <w:autoSpaceDE w:val="0"/>
              <w:autoSpaceDN w:val="0"/>
              <w:spacing w:before="120" w:after="120" w:line="276" w:lineRule="auto"/>
              <w:contextualSpacing w:val="0"/>
              <w:jc w:val="both"/>
              <w:rPr>
                <w:rFonts w:ascii="Verdana" w:hAnsi="Verdana" w:cs="Arial"/>
              </w:rPr>
            </w:pPr>
            <w:r w:rsidRPr="001F370F">
              <w:rPr>
                <w:rFonts w:ascii="Verdana" w:hAnsi="Verdana" w:cs="Arial"/>
              </w:rPr>
              <w:t xml:space="preserve">Consejo de Estado, Sala de Consulta y Servicio Civil. Concepto de 20 de febrero de 2006. C.P. Enrique José Arboleda Perdomo. Rad. 1727. </w:t>
            </w:r>
          </w:p>
          <w:p w14:paraId="6AB08CFE" w14:textId="77777777" w:rsidR="00A714B2" w:rsidRPr="001F370F" w:rsidRDefault="00A714B2" w:rsidP="00A714B2">
            <w:pPr>
              <w:pStyle w:val="Prrafodelista"/>
              <w:widowControl w:val="0"/>
              <w:numPr>
                <w:ilvl w:val="0"/>
                <w:numId w:val="18"/>
              </w:numPr>
              <w:autoSpaceDE w:val="0"/>
              <w:autoSpaceDN w:val="0"/>
              <w:spacing w:before="120" w:after="120" w:line="276" w:lineRule="auto"/>
              <w:contextualSpacing w:val="0"/>
              <w:jc w:val="both"/>
              <w:rPr>
                <w:rFonts w:ascii="Verdana" w:hAnsi="Verdana" w:cs="Arial"/>
              </w:rPr>
            </w:pPr>
            <w:r w:rsidRPr="001F370F">
              <w:rPr>
                <w:rFonts w:ascii="Verdana" w:hAnsi="Verdana" w:cs="Arial"/>
              </w:rPr>
              <w:t>Consejo de Estado, Sala de Consulta y Servicio Civil. Concepto de 6 de abril de 2006.C.P. Enrique José Arboleda Perdomo. Rad. 1738</w:t>
            </w:r>
          </w:p>
          <w:p w14:paraId="121DC9B6" w14:textId="77777777" w:rsidR="00A714B2" w:rsidRPr="001F370F" w:rsidRDefault="00A714B2" w:rsidP="00A714B2">
            <w:pPr>
              <w:pStyle w:val="Prrafodelista"/>
              <w:widowControl w:val="0"/>
              <w:numPr>
                <w:ilvl w:val="0"/>
                <w:numId w:val="18"/>
              </w:numPr>
              <w:autoSpaceDE w:val="0"/>
              <w:autoSpaceDN w:val="0"/>
              <w:spacing w:before="120" w:after="120" w:line="276" w:lineRule="auto"/>
              <w:contextualSpacing w:val="0"/>
              <w:jc w:val="both"/>
              <w:rPr>
                <w:rFonts w:ascii="Verdana" w:hAnsi="Verdana" w:cs="Arial"/>
              </w:rPr>
            </w:pPr>
            <w:r w:rsidRPr="001F370F">
              <w:rPr>
                <w:rFonts w:ascii="Verdana" w:hAnsi="Verdana" w:cs="Arial"/>
              </w:rPr>
              <w:t xml:space="preserve">Consejo de Estado, Sala de Consulta y Servicio Civil de fecha 24 de julio de 2013. C. P. Álvaro Namén Vargas. Rad. 2166, </w:t>
            </w:r>
          </w:p>
          <w:p w14:paraId="1BD01200" w14:textId="77777777" w:rsidR="00A714B2" w:rsidRPr="001F370F" w:rsidRDefault="00A714B2" w:rsidP="00A714B2">
            <w:pPr>
              <w:pStyle w:val="Prrafodelista"/>
              <w:widowControl w:val="0"/>
              <w:numPr>
                <w:ilvl w:val="0"/>
                <w:numId w:val="18"/>
              </w:numPr>
              <w:autoSpaceDE w:val="0"/>
              <w:autoSpaceDN w:val="0"/>
              <w:spacing w:before="120" w:after="120" w:line="276" w:lineRule="auto"/>
              <w:contextualSpacing w:val="0"/>
              <w:jc w:val="both"/>
              <w:rPr>
                <w:rFonts w:ascii="Verdana" w:hAnsi="Verdana" w:cs="Arial"/>
              </w:rPr>
            </w:pPr>
            <w:r w:rsidRPr="001F370F">
              <w:rPr>
                <w:rFonts w:ascii="Verdana" w:hAnsi="Verdana" w:cs="Arial"/>
              </w:rPr>
              <w:t xml:space="preserve">Consejo de Estado. Sala de Consulta y Servicio Civil. Concepto del 2 de septiembre de 2013. C.P. Álvaro Namén </w:t>
            </w:r>
            <w:proofErr w:type="spellStart"/>
            <w:r w:rsidRPr="001F370F">
              <w:rPr>
                <w:rFonts w:ascii="Verdana" w:hAnsi="Verdana" w:cs="Arial"/>
              </w:rPr>
              <w:t>Vargas.Rad</w:t>
            </w:r>
            <w:proofErr w:type="spellEnd"/>
            <w:r w:rsidRPr="001F370F">
              <w:rPr>
                <w:rFonts w:ascii="Verdana" w:hAnsi="Verdana" w:cs="Arial"/>
              </w:rPr>
              <w:t xml:space="preserve">. 2168. </w:t>
            </w:r>
          </w:p>
          <w:p w14:paraId="184F5D66" w14:textId="77777777" w:rsidR="00A714B2" w:rsidRPr="001F370F" w:rsidRDefault="00A714B2" w:rsidP="00A714B2">
            <w:pPr>
              <w:pStyle w:val="Prrafodelista"/>
              <w:widowControl w:val="0"/>
              <w:numPr>
                <w:ilvl w:val="0"/>
                <w:numId w:val="18"/>
              </w:numPr>
              <w:autoSpaceDE w:val="0"/>
              <w:autoSpaceDN w:val="0"/>
              <w:spacing w:before="120" w:after="120" w:line="276" w:lineRule="auto"/>
              <w:contextualSpacing w:val="0"/>
              <w:jc w:val="both"/>
              <w:rPr>
                <w:rFonts w:ascii="Verdana" w:hAnsi="Verdana" w:cs="Arial"/>
              </w:rPr>
            </w:pPr>
            <w:r w:rsidRPr="001F370F">
              <w:rPr>
                <w:rFonts w:ascii="Verdana" w:hAnsi="Verdana" w:cs="Arial"/>
              </w:rPr>
              <w:t>Consejo de Estado. Sala de Consulta y Servicio Civil. Concepto del 17 de febrero de 2015. C.P. William Zambrano Cetina. Rad. 2269.</w:t>
            </w:r>
          </w:p>
          <w:p w14:paraId="37BECBE6" w14:textId="77777777" w:rsidR="00A714B2" w:rsidRPr="001F370F" w:rsidRDefault="00A714B2" w:rsidP="00A714B2">
            <w:pPr>
              <w:pStyle w:val="Prrafodelista"/>
              <w:widowControl w:val="0"/>
              <w:numPr>
                <w:ilvl w:val="0"/>
                <w:numId w:val="18"/>
              </w:numPr>
              <w:autoSpaceDE w:val="0"/>
              <w:autoSpaceDN w:val="0"/>
              <w:spacing w:before="120" w:after="120" w:line="276" w:lineRule="auto"/>
              <w:contextualSpacing w:val="0"/>
              <w:jc w:val="both"/>
              <w:rPr>
                <w:rFonts w:ascii="Verdana" w:hAnsi="Verdana" w:cs="Arial"/>
              </w:rPr>
            </w:pPr>
            <w:r w:rsidRPr="001F370F">
              <w:rPr>
                <w:rFonts w:ascii="Verdana" w:hAnsi="Verdana" w:cs="Arial"/>
              </w:rPr>
              <w:t xml:space="preserve">Consejo de Estado, Sala de Consulta y Servicio Civil, Concepto de 8 </w:t>
            </w:r>
            <w:r w:rsidRPr="001F370F">
              <w:rPr>
                <w:rFonts w:ascii="Verdana" w:hAnsi="Verdana" w:cs="Arial"/>
              </w:rPr>
              <w:lastRenderedPageBreak/>
              <w:t>de mayo de 2018. C.P. Álvaro Namén Vargas. Rad. 2382.</w:t>
            </w:r>
          </w:p>
          <w:p w14:paraId="2DA11916" w14:textId="77777777" w:rsidR="00A714B2" w:rsidRPr="001F370F" w:rsidRDefault="00A714B2" w:rsidP="00A714B2">
            <w:pPr>
              <w:pStyle w:val="Prrafodelista"/>
              <w:widowControl w:val="0"/>
              <w:numPr>
                <w:ilvl w:val="0"/>
                <w:numId w:val="18"/>
              </w:numPr>
              <w:autoSpaceDE w:val="0"/>
              <w:autoSpaceDN w:val="0"/>
              <w:spacing w:before="120" w:after="120" w:line="276" w:lineRule="auto"/>
              <w:contextualSpacing w:val="0"/>
              <w:jc w:val="both"/>
              <w:rPr>
                <w:rFonts w:ascii="Verdana" w:hAnsi="Verdana" w:cs="Arial"/>
              </w:rPr>
            </w:pPr>
            <w:r w:rsidRPr="001F370F">
              <w:rPr>
                <w:rFonts w:ascii="Verdana" w:hAnsi="Verdana" w:cs="Arial"/>
              </w:rPr>
              <w:t xml:space="preserve">Consejo de Estado, Sección Tercera, Subsección B. Auto del 4 de octubre de 2024. C.P: Fredy Ibarra Martínez. </w:t>
            </w:r>
            <w:proofErr w:type="spellStart"/>
            <w:r w:rsidRPr="001F370F">
              <w:rPr>
                <w:rFonts w:ascii="Verdana" w:hAnsi="Verdana" w:cs="Arial"/>
              </w:rPr>
              <w:t>Exp</w:t>
            </w:r>
            <w:proofErr w:type="spellEnd"/>
            <w:r w:rsidRPr="001F370F">
              <w:rPr>
                <w:rFonts w:ascii="Verdana" w:hAnsi="Verdana" w:cs="Arial"/>
              </w:rPr>
              <w:t>. 70.313.</w:t>
            </w:r>
          </w:p>
          <w:p w14:paraId="184C355D" w14:textId="77777777" w:rsidR="00A714B2" w:rsidRPr="001F370F" w:rsidRDefault="00A714B2" w:rsidP="00A714B2">
            <w:pPr>
              <w:pStyle w:val="Prrafodelista"/>
              <w:widowControl w:val="0"/>
              <w:numPr>
                <w:ilvl w:val="0"/>
                <w:numId w:val="18"/>
              </w:numPr>
              <w:autoSpaceDE w:val="0"/>
              <w:autoSpaceDN w:val="0"/>
              <w:spacing w:before="120" w:after="120" w:line="276" w:lineRule="auto"/>
              <w:contextualSpacing w:val="0"/>
              <w:jc w:val="both"/>
              <w:rPr>
                <w:rFonts w:ascii="Verdana" w:hAnsi="Verdana" w:cs="Arial"/>
              </w:rPr>
            </w:pPr>
            <w:r w:rsidRPr="001F370F">
              <w:rPr>
                <w:rFonts w:ascii="Verdana" w:hAnsi="Verdana" w:cs="Arial"/>
              </w:rPr>
              <w:t>Consejo de Estado, Sección Tercera. Subsección B. Sentencia 17 de octubre de 2025. C.P. Fredy Ibarra Martínez</w:t>
            </w:r>
          </w:p>
          <w:p w14:paraId="3EA7F87E" w14:textId="77777777" w:rsidR="00A714B2" w:rsidRPr="001F370F" w:rsidRDefault="00A714B2" w:rsidP="00A714B2">
            <w:pPr>
              <w:pStyle w:val="Prrafodelista"/>
              <w:widowControl w:val="0"/>
              <w:numPr>
                <w:ilvl w:val="0"/>
                <w:numId w:val="18"/>
              </w:numPr>
              <w:autoSpaceDE w:val="0"/>
              <w:autoSpaceDN w:val="0"/>
              <w:spacing w:before="120" w:after="120" w:line="276" w:lineRule="auto"/>
              <w:contextualSpacing w:val="0"/>
              <w:jc w:val="both"/>
              <w:rPr>
                <w:rFonts w:ascii="Verdana" w:hAnsi="Verdana" w:cs="Arial"/>
              </w:rPr>
            </w:pPr>
            <w:r w:rsidRPr="001F370F">
              <w:rPr>
                <w:rFonts w:ascii="Verdana" w:hAnsi="Verdana" w:cs="Arial"/>
                <w:lang w:val="pt-BR"/>
              </w:rPr>
              <w:t xml:space="preserve">Corte Constitucional. Sentencia C-671 de 2005. </w:t>
            </w:r>
            <w:r w:rsidRPr="001F370F">
              <w:rPr>
                <w:rFonts w:ascii="Verdana" w:hAnsi="Verdana" w:cs="Arial"/>
              </w:rPr>
              <w:t xml:space="preserve">M.P. Álvaro Tafur Galvis. </w:t>
            </w:r>
          </w:p>
          <w:p w14:paraId="1C0205B0" w14:textId="64E43FEC" w:rsidR="007014D3" w:rsidRPr="001F370F" w:rsidRDefault="00A714B2" w:rsidP="00A714B2">
            <w:pPr>
              <w:pStyle w:val="Prrafodelista"/>
              <w:widowControl w:val="0"/>
              <w:numPr>
                <w:ilvl w:val="0"/>
                <w:numId w:val="18"/>
              </w:numPr>
              <w:autoSpaceDE w:val="0"/>
              <w:autoSpaceDN w:val="0"/>
              <w:spacing w:before="120" w:after="120" w:line="276" w:lineRule="auto"/>
              <w:contextualSpacing w:val="0"/>
              <w:jc w:val="both"/>
              <w:rPr>
                <w:rFonts w:ascii="Verdana" w:hAnsi="Verdana" w:cs="Arial"/>
              </w:rPr>
            </w:pPr>
            <w:r w:rsidRPr="001F370F">
              <w:rPr>
                <w:rFonts w:ascii="Verdana" w:hAnsi="Verdana" w:cs="Arial"/>
              </w:rPr>
              <w:t>Corte Constitucional, Sentencia C- 1153 de 2005, M.P. Marco Gerardo Monroy Cabra.</w:t>
            </w:r>
          </w:p>
        </w:tc>
      </w:tr>
    </w:tbl>
    <w:p w14:paraId="7E3347F9" w14:textId="77777777" w:rsidR="007014D3" w:rsidRPr="001F370F" w:rsidRDefault="007014D3" w:rsidP="007014D3">
      <w:pPr>
        <w:widowControl w:val="0"/>
        <w:autoSpaceDE w:val="0"/>
        <w:autoSpaceDN w:val="0"/>
        <w:spacing w:after="0" w:line="276" w:lineRule="auto"/>
        <w:jc w:val="both"/>
        <w:rPr>
          <w:rFonts w:ascii="Verdana" w:hAnsi="Verdana" w:cs="Arial"/>
        </w:rPr>
      </w:pPr>
    </w:p>
    <w:p w14:paraId="105D24E1" w14:textId="77777777" w:rsidR="007014D3" w:rsidRPr="001F370F" w:rsidRDefault="007014D3" w:rsidP="007014D3">
      <w:pPr>
        <w:pStyle w:val="Prrafodelista"/>
        <w:numPr>
          <w:ilvl w:val="0"/>
          <w:numId w:val="19"/>
        </w:numPr>
        <w:tabs>
          <w:tab w:val="left" w:pos="142"/>
          <w:tab w:val="left" w:pos="284"/>
        </w:tabs>
        <w:spacing w:after="0" w:line="276" w:lineRule="auto"/>
        <w:ind w:left="0" w:firstLine="0"/>
        <w:contextualSpacing w:val="0"/>
        <w:jc w:val="both"/>
        <w:rPr>
          <w:rFonts w:ascii="Verdana" w:eastAsia="Century Gothic" w:hAnsi="Verdana" w:cs="Arial"/>
          <w:b/>
          <w:bCs/>
        </w:rPr>
      </w:pPr>
      <w:r w:rsidRPr="001F370F">
        <w:rPr>
          <w:rFonts w:ascii="Verdana" w:eastAsia="Century Gothic" w:hAnsi="Verdana" w:cs="Arial"/>
          <w:b/>
          <w:bCs/>
        </w:rPr>
        <w:t>Doctrina de la Agencia Nacional de Contratación Pública:</w:t>
      </w:r>
    </w:p>
    <w:p w14:paraId="605C844F" w14:textId="77777777" w:rsidR="007014D3" w:rsidRPr="001F370F" w:rsidRDefault="007014D3" w:rsidP="007014D3">
      <w:pPr>
        <w:widowControl w:val="0"/>
        <w:autoSpaceDE w:val="0"/>
        <w:autoSpaceDN w:val="0"/>
        <w:spacing w:after="0" w:line="276" w:lineRule="auto"/>
        <w:jc w:val="both"/>
        <w:rPr>
          <w:rFonts w:ascii="Verdana" w:hAnsi="Verdana" w:cs="Arial"/>
        </w:rPr>
      </w:pPr>
    </w:p>
    <w:p w14:paraId="49F8FD76" w14:textId="43402D63" w:rsidR="007014D3" w:rsidRPr="001F370F" w:rsidRDefault="00403FAC" w:rsidP="007014D3">
      <w:pPr>
        <w:widowControl w:val="0"/>
        <w:autoSpaceDE w:val="0"/>
        <w:autoSpaceDN w:val="0"/>
        <w:spacing w:after="0" w:line="276" w:lineRule="auto"/>
        <w:jc w:val="both"/>
        <w:rPr>
          <w:rFonts w:ascii="Verdana" w:hAnsi="Verdana" w:cs="Arial"/>
          <w:shd w:val="clear" w:color="auto" w:fill="FFFFFF"/>
        </w:rPr>
      </w:pPr>
      <w:r w:rsidRPr="001F370F">
        <w:rPr>
          <w:rFonts w:ascii="Verdana" w:hAnsi="Verdana" w:cs="Arial"/>
          <w:shd w:val="clear" w:color="auto" w:fill="FFFFFF"/>
        </w:rPr>
        <w:t xml:space="preserve">Sobre la finalidad y propósito de la Ley de Garantías Electorales, la ANCP- CCE se ha pronunciado en los </w:t>
      </w:r>
      <w:r w:rsidR="00E37CDD" w:rsidRPr="001F370F">
        <w:rPr>
          <w:rFonts w:ascii="Verdana" w:hAnsi="Verdana" w:cs="Arial"/>
          <w:shd w:val="clear" w:color="auto" w:fill="FFFFFF"/>
        </w:rPr>
        <w:t>conceptos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C-1401 del 22 de octubre de 2025, C-1512 del 27 de octubre de 2025, C-1488 del 30 de octubre de 2025, C-1596 del 6 de noviembre de 2025, C-1509 del 19 de noviembre de 2025, C-1773 del 5 de diciembre de 2025, C-1646 del 17 de diciembre de 2025, C-1703 del 29 de diciembre de 2025, C-068 del 27 de enero de 2026, C-111 del 6 de febrero de 2026, C-127 del 6 de febrero de 2026 y C-</w:t>
      </w:r>
      <w:r w:rsidR="00E8711D" w:rsidRPr="001F370F">
        <w:rPr>
          <w:rFonts w:ascii="Verdana" w:hAnsi="Verdana" w:cs="Arial"/>
          <w:shd w:val="clear" w:color="auto" w:fill="FFFFFF"/>
        </w:rPr>
        <w:t xml:space="preserve">185 del 23 de febrero del 2026, entre otros. </w:t>
      </w:r>
      <w:r w:rsidR="007014D3" w:rsidRPr="001F370F">
        <w:rPr>
          <w:rFonts w:ascii="Verdana" w:hAnsi="Verdana" w:cs="Arial"/>
        </w:rPr>
        <w:t>Estos y otros conceptos se encuentran disponibles para consulta en el Sistema de relatoría de la Agencia, al cual se puede acceder a través del siguiente enlace:</w:t>
      </w:r>
      <w:r w:rsidR="007014D3" w:rsidRPr="001F370F">
        <w:rPr>
          <w:rFonts w:ascii="Verdana" w:hAnsi="Verdana" w:cs="Arial"/>
          <w:shd w:val="clear" w:color="auto" w:fill="FFFFFF"/>
        </w:rPr>
        <w:t xml:space="preserve"> </w:t>
      </w:r>
      <w:hyperlink r:id="rId11" w:history="1">
        <w:r w:rsidR="007014D3" w:rsidRPr="001F370F">
          <w:rPr>
            <w:rStyle w:val="Hipervnculo"/>
            <w:rFonts w:ascii="Verdana" w:hAnsi="Verdana" w:cs="Arial"/>
            <w:shd w:val="clear" w:color="auto" w:fill="FFFFFF"/>
          </w:rPr>
          <w:t>https://relatoria.colombiacompra.gov.co/busqueda/conceptos</w:t>
        </w:r>
      </w:hyperlink>
      <w:r w:rsidR="007014D3" w:rsidRPr="001F370F">
        <w:rPr>
          <w:rFonts w:ascii="Verdana" w:hAnsi="Verdana" w:cs="Arial"/>
          <w:shd w:val="clear" w:color="auto" w:fill="FFFFFF"/>
        </w:rPr>
        <w:t>.</w:t>
      </w:r>
      <w:r w:rsidR="007014D3" w:rsidRPr="001F370F">
        <w:rPr>
          <w:rFonts w:ascii="Verdana" w:hAnsi="Verdana" w:cs="Arial"/>
          <w:color w:val="FF0000"/>
          <w:shd w:val="clear" w:color="auto" w:fill="FFFFFF"/>
        </w:rPr>
        <w:t xml:space="preserve"> </w:t>
      </w:r>
      <w:r w:rsidR="007014D3" w:rsidRPr="001F370F">
        <w:rPr>
          <w:rFonts w:ascii="Verdana" w:hAnsi="Verdana" w:cs="Arial"/>
          <w:color w:val="000000" w:themeColor="text1"/>
          <w:shd w:val="clear" w:color="auto" w:fill="FFFFFF"/>
        </w:rPr>
        <w:t>  </w:t>
      </w:r>
    </w:p>
    <w:p w14:paraId="702080B0" w14:textId="77777777" w:rsidR="007014D3" w:rsidRPr="001F370F" w:rsidRDefault="007014D3" w:rsidP="007014D3">
      <w:pPr>
        <w:spacing w:after="0" w:line="276" w:lineRule="auto"/>
        <w:jc w:val="both"/>
        <w:rPr>
          <w:rFonts w:ascii="Verdana" w:hAnsi="Verdana" w:cs="Arial"/>
        </w:rPr>
      </w:pPr>
    </w:p>
    <w:p w14:paraId="29F5E490" w14:textId="77777777" w:rsidR="007014D3" w:rsidRPr="001F370F" w:rsidRDefault="007014D3" w:rsidP="007014D3">
      <w:pPr>
        <w:spacing w:after="0" w:line="276" w:lineRule="auto"/>
        <w:jc w:val="both"/>
        <w:rPr>
          <w:rFonts w:ascii="Verdana" w:hAnsi="Verdana" w:cs="Arial"/>
        </w:rPr>
      </w:pPr>
      <w:r w:rsidRPr="001F370F">
        <w:rPr>
          <w:rFonts w:ascii="Verdana" w:hAnsi="Verdana" w:cs="Arial"/>
        </w:rPr>
        <w:t xml:space="preserve">La sostenibilidad no es una opción, es una obligación. Por ello, la Agencia Nacional de Contratación Pública –Colombia Compra Eficiente– te invita a realizar el </w:t>
      </w:r>
      <w:r w:rsidRPr="001F370F">
        <w:rPr>
          <w:rFonts w:ascii="Verdana" w:hAnsi="Verdana" w:cs="Arial"/>
          <w:b/>
          <w:bCs/>
        </w:rPr>
        <w:t>Curso de Contratación Pública Sostenible y Socialmente Responsable</w:t>
      </w:r>
      <w:r w:rsidRPr="001F370F">
        <w:rPr>
          <w:rFonts w:ascii="Verdana" w:hAnsi="Verdana" w:cs="Arial"/>
        </w:rPr>
        <w:t xml:space="preserve">, una herramienta clave para fortalecer las capacidades de todos los compradores públicos, proveedores, servidores públicos v para generar </w:t>
      </w:r>
      <w:r w:rsidRPr="001F370F">
        <w:rPr>
          <w:rFonts w:ascii="Verdana" w:hAnsi="Verdana" w:cs="Arial"/>
        </w:rPr>
        <w:lastRenderedPageBreak/>
        <w:t>mayor valor público. Accede al curso y aprende como implementar criterios sociales y ambientales en las diferentes etapas del proceso de contratación:</w:t>
      </w:r>
      <w:r w:rsidRPr="001F370F">
        <w:rPr>
          <w:rFonts w:ascii="Verdana" w:hAnsi="Verdana" w:cs="Arial"/>
        </w:rPr>
        <w:br/>
      </w:r>
      <w:hyperlink r:id="rId12" w:tgtFrame="_new" w:history="1">
        <w:r w:rsidRPr="001F370F">
          <w:rPr>
            <w:rStyle w:val="Hipervnculo"/>
            <w:rFonts w:ascii="Verdana" w:hAnsi="Verdana" w:cs="Arial"/>
          </w:rPr>
          <w:t>https://formacionvirtual.colombiacompra.gov.co/mod/page/view.php?id=3718</w:t>
        </w:r>
      </w:hyperlink>
    </w:p>
    <w:p w14:paraId="594E2F45" w14:textId="77777777" w:rsidR="007014D3" w:rsidRPr="001F370F" w:rsidRDefault="007014D3" w:rsidP="007014D3">
      <w:pPr>
        <w:spacing w:after="0" w:line="276" w:lineRule="auto"/>
        <w:jc w:val="both"/>
        <w:rPr>
          <w:rFonts w:ascii="Verdana" w:hAnsi="Verdana" w:cs="Arial"/>
        </w:rPr>
      </w:pPr>
    </w:p>
    <w:p w14:paraId="2778446F" w14:textId="77777777" w:rsidR="007014D3" w:rsidRPr="001F370F" w:rsidRDefault="007014D3" w:rsidP="007014D3">
      <w:pPr>
        <w:spacing w:after="0" w:line="276" w:lineRule="auto"/>
        <w:jc w:val="both"/>
        <w:rPr>
          <w:rFonts w:ascii="Verdana" w:hAnsi="Verdana" w:cs="Arial"/>
        </w:rPr>
      </w:pPr>
      <w:r w:rsidRPr="001F370F">
        <w:rPr>
          <w:rFonts w:ascii="Verdana" w:hAnsi="Verdana" w:cs="Arial"/>
        </w:rPr>
        <w:t xml:space="preserve">De otro lado, te contamos que esta Agencia ha da un paso decisivo en la estandarización y modernización del </w:t>
      </w:r>
      <w:r w:rsidRPr="001F370F">
        <w:rPr>
          <w:rFonts w:ascii="Verdana" w:hAnsi="Verdana" w:cs="Arial"/>
          <w:b/>
          <w:bCs/>
        </w:rPr>
        <w:t>sector  social</w:t>
      </w:r>
      <w:r w:rsidRPr="001F370F">
        <w:rPr>
          <w:rFonts w:ascii="Verdana" w:hAnsi="Verdana" w:cs="Arial"/>
        </w:rPr>
        <w:t xml:space="preserve"> con la expedición de las </w:t>
      </w:r>
      <w:r w:rsidRPr="001F370F">
        <w:rPr>
          <w:rFonts w:ascii="Verdana" w:hAnsi="Verdana" w:cs="Arial"/>
          <w:b/>
          <w:bCs/>
        </w:rPr>
        <w:t>Resoluciones 539, 540, 541, 952 y 953 de 2025</w:t>
      </w:r>
      <w:r w:rsidRPr="001F370F">
        <w:rPr>
          <w:rFonts w:ascii="Verdana" w:hAnsi="Verdana" w:cs="Arial"/>
        </w:rPr>
        <w:t xml:space="preserve">, </w:t>
      </w:r>
      <w:r w:rsidRPr="001F370F">
        <w:rPr>
          <w:rFonts w:ascii="Verdana" w:hAnsi="Verdana" w:cs="Arial"/>
          <w:b/>
          <w:bCs/>
        </w:rPr>
        <w:t>mediante las cuales adoptó Documentos Tipo</w:t>
      </w:r>
      <w:r w:rsidRPr="001F370F">
        <w:rPr>
          <w:rFonts w:ascii="Verdana" w:hAnsi="Verdana" w:cs="Arial"/>
        </w:rPr>
        <w:t xml:space="preserve"> para las modalidades de selección de</w:t>
      </w:r>
      <w:r w:rsidRPr="001F370F">
        <w:rPr>
          <w:rFonts w:ascii="Verdana" w:hAnsi="Verdana" w:cs="Arial"/>
          <w:b/>
          <w:bCs/>
        </w:rPr>
        <w:t xml:space="preserve"> licitación pública (versión 2), selección abreviada de menor cuantía, mínima cuantía, consultoría e interventoría</w:t>
      </w:r>
      <w:r w:rsidRPr="001F370F">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3" w:tgtFrame="_new" w:history="1">
        <w:r w:rsidRPr="001F370F">
          <w:rPr>
            <w:rStyle w:val="Hipervnculo"/>
            <w:rFonts w:ascii="Verdana" w:hAnsi="Verdana" w:cs="Arial"/>
          </w:rPr>
          <w:t>https://www.colombiacompra.gov.co/normativa-y-relatoria/documentos-tipo</w:t>
        </w:r>
      </w:hyperlink>
    </w:p>
    <w:p w14:paraId="4BE60C0C" w14:textId="77777777" w:rsidR="007014D3" w:rsidRPr="001F370F" w:rsidRDefault="007014D3" w:rsidP="007014D3">
      <w:pPr>
        <w:spacing w:after="0" w:line="276" w:lineRule="auto"/>
        <w:jc w:val="both"/>
        <w:rPr>
          <w:rFonts w:ascii="Verdana" w:hAnsi="Verdana" w:cs="Arial"/>
        </w:rPr>
      </w:pPr>
    </w:p>
    <w:p w14:paraId="53690B44" w14:textId="77777777" w:rsidR="007014D3" w:rsidRPr="001F370F" w:rsidRDefault="007014D3" w:rsidP="007014D3">
      <w:pPr>
        <w:spacing w:after="0" w:line="276" w:lineRule="auto"/>
        <w:jc w:val="both"/>
        <w:rPr>
          <w:rFonts w:ascii="Verdana" w:hAnsi="Verdana" w:cs="Arial"/>
        </w:rPr>
      </w:pPr>
      <w:r w:rsidRPr="001F370F">
        <w:rPr>
          <w:rFonts w:ascii="Verdana" w:hAnsi="Verdana" w:cs="Arial"/>
        </w:rPr>
        <w:t xml:space="preserve">Si quieres conocer más sobre la aplicación de Documentos Tipo puedes consultar la última versión de la </w:t>
      </w:r>
      <w:r w:rsidRPr="001F370F">
        <w:rPr>
          <w:rFonts w:ascii="Verdana" w:hAnsi="Verdana" w:cs="Arial"/>
          <w:b/>
          <w:bCs/>
        </w:rPr>
        <w:t>Guía para la comprensión e implementación de los Documentos Tipo de obra pública de infraestructura de transporte</w:t>
      </w:r>
      <w:r w:rsidRPr="001F370F">
        <w:rPr>
          <w:rFonts w:ascii="Verdana"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F370F">
        <w:rPr>
          <w:rFonts w:ascii="Verdana" w:hAnsi="Verdana" w:cs="Arial"/>
        </w:rPr>
        <w:br/>
      </w:r>
      <w:hyperlink r:id="rId14" w:tgtFrame="_new" w:history="1">
        <w:r w:rsidRPr="001F370F">
          <w:rPr>
            <w:rStyle w:val="Hipervnculo"/>
            <w:rFonts w:ascii="Verdana" w:hAnsi="Verdana" w:cs="Arial"/>
          </w:rPr>
          <w:t>https://www.colombiacompra.gov.co/archivos/manual/guia-para-la-comprension-e-implementacion-de-los-documentos-tipo-de-obra-publica-de-infraestructura-de-transporte-bajo-las-diferentes-modalidades-de-contratacion-vigentes</w:t>
        </w:r>
      </w:hyperlink>
    </w:p>
    <w:p w14:paraId="7FE2008C" w14:textId="77777777" w:rsidR="007014D3" w:rsidRPr="001F370F" w:rsidRDefault="007014D3" w:rsidP="007014D3">
      <w:pPr>
        <w:spacing w:after="0" w:line="276" w:lineRule="auto"/>
        <w:jc w:val="both"/>
        <w:rPr>
          <w:rFonts w:ascii="Verdana" w:hAnsi="Verdana" w:cs="Arial"/>
        </w:rPr>
      </w:pPr>
    </w:p>
    <w:p w14:paraId="1C3BFAB1" w14:textId="77777777" w:rsidR="007014D3" w:rsidRPr="001F370F" w:rsidRDefault="007014D3" w:rsidP="007014D3">
      <w:pPr>
        <w:spacing w:after="0" w:line="276" w:lineRule="auto"/>
        <w:jc w:val="both"/>
        <w:rPr>
          <w:rFonts w:ascii="Verdana" w:hAnsi="Verdana" w:cs="Arial"/>
        </w:rPr>
      </w:pPr>
      <w:r w:rsidRPr="001F370F">
        <w:rPr>
          <w:rFonts w:ascii="Verdana" w:hAnsi="Verdana" w:cs="Arial"/>
        </w:rPr>
        <w:t xml:space="preserve">Por último, lo invitamos a seguirnos en las redes sociales en las cuales se difunde información institucional: </w:t>
      </w:r>
    </w:p>
    <w:p w14:paraId="440D0748" w14:textId="77777777" w:rsidR="007014D3" w:rsidRPr="001F370F" w:rsidRDefault="007014D3" w:rsidP="007014D3">
      <w:pPr>
        <w:spacing w:after="0" w:line="276" w:lineRule="auto"/>
        <w:jc w:val="both"/>
        <w:rPr>
          <w:rFonts w:ascii="Verdana" w:hAnsi="Verdana" w:cs="Arial"/>
        </w:rPr>
      </w:pPr>
    </w:p>
    <w:p w14:paraId="42DD2AB9" w14:textId="77777777" w:rsidR="007014D3" w:rsidRPr="001F370F" w:rsidRDefault="007014D3" w:rsidP="007014D3">
      <w:pPr>
        <w:spacing w:after="0" w:line="276" w:lineRule="auto"/>
        <w:jc w:val="both"/>
        <w:rPr>
          <w:rFonts w:ascii="Verdana" w:hAnsi="Verdana" w:cs="Arial"/>
        </w:rPr>
      </w:pPr>
      <w:r w:rsidRPr="001F370F">
        <w:rPr>
          <w:rFonts w:ascii="Verdana" w:hAnsi="Verdana" w:cs="Arial"/>
        </w:rPr>
        <w:t xml:space="preserve">Twitter: </w:t>
      </w:r>
      <w:r w:rsidRPr="001F370F">
        <w:rPr>
          <w:rStyle w:val="Hipervnculo"/>
          <w:rFonts w:ascii="Verdana" w:hAnsi="Verdana" w:cs="Arial"/>
          <w:color w:val="4472C4" w:themeColor="accent1"/>
        </w:rPr>
        <w:t>@colombiacompra</w:t>
      </w:r>
      <w:r w:rsidRPr="001F370F">
        <w:rPr>
          <w:rFonts w:ascii="Verdana" w:hAnsi="Verdana" w:cs="Arial"/>
          <w:color w:val="4472C4" w:themeColor="accent1"/>
        </w:rPr>
        <w:t xml:space="preserve"> </w:t>
      </w:r>
    </w:p>
    <w:p w14:paraId="39BCE5AE" w14:textId="77777777" w:rsidR="007014D3" w:rsidRPr="001F370F" w:rsidRDefault="007014D3" w:rsidP="007014D3">
      <w:pPr>
        <w:spacing w:after="0" w:line="276" w:lineRule="auto"/>
        <w:jc w:val="both"/>
        <w:rPr>
          <w:rFonts w:ascii="Verdana" w:hAnsi="Verdana" w:cs="Arial"/>
        </w:rPr>
      </w:pPr>
      <w:r w:rsidRPr="001F370F">
        <w:rPr>
          <w:rFonts w:ascii="Verdana" w:hAnsi="Verdana" w:cs="Arial"/>
        </w:rPr>
        <w:t xml:space="preserve">Facebook: </w:t>
      </w:r>
      <w:proofErr w:type="spellStart"/>
      <w:r w:rsidRPr="001F370F">
        <w:rPr>
          <w:rStyle w:val="Hipervnculo"/>
          <w:rFonts w:ascii="Verdana" w:hAnsi="Verdana" w:cs="Arial"/>
          <w:color w:val="4472C4" w:themeColor="accent1"/>
        </w:rPr>
        <w:t>ColombiaCompraEficiente</w:t>
      </w:r>
      <w:proofErr w:type="spellEnd"/>
    </w:p>
    <w:p w14:paraId="1EC42253" w14:textId="77777777" w:rsidR="007014D3" w:rsidRPr="001F370F" w:rsidRDefault="007014D3" w:rsidP="007014D3">
      <w:pPr>
        <w:spacing w:after="0" w:line="276" w:lineRule="auto"/>
        <w:jc w:val="both"/>
        <w:rPr>
          <w:rStyle w:val="Hipervnculo"/>
          <w:rFonts w:ascii="Verdana" w:hAnsi="Verdana" w:cs="Arial"/>
          <w:color w:val="4472C4" w:themeColor="accent1"/>
        </w:rPr>
      </w:pPr>
      <w:r w:rsidRPr="001F370F">
        <w:rPr>
          <w:rFonts w:ascii="Verdana" w:hAnsi="Verdana" w:cs="Arial"/>
        </w:rPr>
        <w:t xml:space="preserve">LinkedIn: </w:t>
      </w:r>
      <w:r w:rsidRPr="001F370F">
        <w:rPr>
          <w:rStyle w:val="Hipervnculo"/>
          <w:rFonts w:ascii="Verdana" w:hAnsi="Verdana" w:cs="Arial"/>
          <w:color w:val="4472C4" w:themeColor="accent1"/>
        </w:rPr>
        <w:t>Agencia Nacional de Contratación Pública - Colombia Compra Eficiente</w:t>
      </w:r>
      <w:r w:rsidRPr="001F370F">
        <w:rPr>
          <w:rFonts w:ascii="Verdana" w:hAnsi="Verdana" w:cs="Arial"/>
          <w:color w:val="4472C4" w:themeColor="accent1"/>
        </w:rPr>
        <w:t xml:space="preserve"> </w:t>
      </w:r>
      <w:r w:rsidRPr="001F370F">
        <w:rPr>
          <w:rFonts w:ascii="Verdana" w:hAnsi="Verdana" w:cs="Arial"/>
        </w:rPr>
        <w:t xml:space="preserve">Instagram: </w:t>
      </w:r>
      <w:r w:rsidRPr="001F370F">
        <w:rPr>
          <w:rStyle w:val="Hipervnculo"/>
          <w:rFonts w:ascii="Verdana" w:hAnsi="Verdana" w:cs="Arial"/>
          <w:color w:val="4472C4" w:themeColor="accent1"/>
        </w:rPr>
        <w:t>@colombiacompraeficiente_cce</w:t>
      </w:r>
    </w:p>
    <w:p w14:paraId="65658305" w14:textId="77777777" w:rsidR="007014D3" w:rsidRPr="001F370F" w:rsidRDefault="007014D3" w:rsidP="007014D3">
      <w:pPr>
        <w:spacing w:after="0" w:line="276" w:lineRule="auto"/>
        <w:jc w:val="both"/>
        <w:rPr>
          <w:rStyle w:val="Hipervnculo"/>
          <w:rFonts w:ascii="Verdana" w:hAnsi="Verdana" w:cs="Arial"/>
          <w:color w:val="4472C4" w:themeColor="accent1"/>
        </w:rPr>
      </w:pPr>
    </w:p>
    <w:p w14:paraId="026051DA" w14:textId="77777777" w:rsidR="007014D3" w:rsidRPr="001F370F" w:rsidRDefault="007014D3" w:rsidP="007014D3">
      <w:pPr>
        <w:widowControl w:val="0"/>
        <w:autoSpaceDE w:val="0"/>
        <w:autoSpaceDN w:val="0"/>
        <w:spacing w:after="0" w:line="276" w:lineRule="auto"/>
        <w:jc w:val="both"/>
        <w:rPr>
          <w:rFonts w:ascii="Verdana" w:hAnsi="Verdana" w:cs="Arial"/>
          <w:lang w:val="es-ES_tradnl"/>
        </w:rPr>
      </w:pPr>
      <w:r w:rsidRPr="001F370F">
        <w:rPr>
          <w:rFonts w:ascii="Verdana" w:hAnsi="Verdana" w:cs="Arial"/>
        </w:rPr>
        <w:t xml:space="preserve">Este concepto tiene el alcance previsto en el artículo 28 del Código de Procedimiento Administrativo y de lo Contencioso Administrativo </w:t>
      </w:r>
      <w:r w:rsidRPr="001F370F">
        <w:rPr>
          <w:rFonts w:ascii="Verdana" w:hAnsi="Verdana" w:cs="Arial"/>
          <w:lang w:val="es-ES_tradnl"/>
        </w:rPr>
        <w:t>y las expresiones aquí utilizadas con mayúscula inicial deben ser entendidas con el significado que les otorga el artículo 2.2.1.1.1.3.1. del Decreto 1082 de 2015.</w:t>
      </w:r>
    </w:p>
    <w:p w14:paraId="4430D569" w14:textId="77777777" w:rsidR="007014D3" w:rsidRPr="001F370F" w:rsidRDefault="007014D3" w:rsidP="007014D3">
      <w:pPr>
        <w:widowControl w:val="0"/>
        <w:autoSpaceDE w:val="0"/>
        <w:autoSpaceDN w:val="0"/>
        <w:spacing w:after="0" w:line="276" w:lineRule="auto"/>
        <w:jc w:val="both"/>
        <w:rPr>
          <w:rFonts w:ascii="Verdana" w:hAnsi="Verdana" w:cs="Arial"/>
        </w:rPr>
      </w:pPr>
    </w:p>
    <w:p w14:paraId="20780659" w14:textId="77777777" w:rsidR="007014D3" w:rsidRPr="001F370F" w:rsidRDefault="007014D3" w:rsidP="007014D3">
      <w:pPr>
        <w:spacing w:after="0" w:line="276" w:lineRule="auto"/>
        <w:jc w:val="both"/>
        <w:rPr>
          <w:rFonts w:ascii="Verdana" w:hAnsi="Verdana" w:cs="Arial"/>
          <w:lang w:eastAsia="es-CO"/>
        </w:rPr>
      </w:pPr>
      <w:r w:rsidRPr="001F370F">
        <w:rPr>
          <w:rFonts w:ascii="Verdana" w:eastAsia="Times New Roman" w:hAnsi="Verdana" w:cs="Arial"/>
          <w:lang w:eastAsia="es-CO"/>
        </w:rPr>
        <w:t>Atentamente,</w:t>
      </w:r>
      <w:r w:rsidRPr="001F370F">
        <w:rPr>
          <w:rFonts w:ascii="Verdana" w:hAnsi="Verdana" w:cs="Arial"/>
          <w:lang w:eastAsia="es-CO"/>
        </w:rPr>
        <w:t xml:space="preserve"> </w:t>
      </w:r>
    </w:p>
    <w:p w14:paraId="37984FB6" w14:textId="678FFE1B" w:rsidR="007014D3" w:rsidRPr="001F370F" w:rsidRDefault="00FA1DB7" w:rsidP="007014D3">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drawing>
          <wp:inline distT="0" distB="0" distL="0" distR="0" wp14:anchorId="1A14364A" wp14:editId="14737E9E">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014D3" w:rsidRPr="001F370F" w14:paraId="4DDA867A" w14:textId="77777777" w:rsidTr="002F4AB5">
        <w:trPr>
          <w:trHeight w:val="315"/>
        </w:trPr>
        <w:tc>
          <w:tcPr>
            <w:tcW w:w="893" w:type="dxa"/>
            <w:vAlign w:val="center"/>
            <w:hideMark/>
          </w:tcPr>
          <w:p w14:paraId="6936C89D" w14:textId="77777777" w:rsidR="007014D3" w:rsidRPr="001F370F" w:rsidRDefault="007014D3" w:rsidP="002F4AB5">
            <w:pPr>
              <w:contextualSpacing/>
              <w:rPr>
                <w:rFonts w:ascii="Verdana" w:hAnsi="Verdana" w:cs="Arial"/>
                <w:sz w:val="16"/>
                <w:szCs w:val="16"/>
                <w:lang w:val="es-ES" w:eastAsia="es-ES"/>
              </w:rPr>
            </w:pPr>
            <w:r w:rsidRPr="001F370F">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5BB2485" w14:textId="77777777" w:rsidR="007014D3" w:rsidRPr="001F370F" w:rsidRDefault="007014D3" w:rsidP="002F4AB5">
            <w:pPr>
              <w:contextualSpacing/>
              <w:rPr>
                <w:rFonts w:ascii="Verdana" w:eastAsia="Arial" w:hAnsi="Verdana" w:cs="Arial"/>
                <w:sz w:val="16"/>
                <w:szCs w:val="16"/>
              </w:rPr>
            </w:pPr>
            <w:r w:rsidRPr="001F370F">
              <w:rPr>
                <w:rFonts w:ascii="Verdana" w:eastAsia="Arial" w:hAnsi="Verdana" w:cs="Arial"/>
                <w:sz w:val="16"/>
                <w:szCs w:val="16"/>
              </w:rPr>
              <w:t>Ana María Ortiz Ballesteros</w:t>
            </w:r>
          </w:p>
          <w:p w14:paraId="2774FB54" w14:textId="77777777" w:rsidR="007014D3" w:rsidRPr="001F370F" w:rsidRDefault="007014D3" w:rsidP="002F4AB5">
            <w:pPr>
              <w:contextualSpacing/>
              <w:rPr>
                <w:rFonts w:ascii="Verdana" w:eastAsia="Arial" w:hAnsi="Verdana" w:cs="Arial"/>
                <w:sz w:val="16"/>
                <w:szCs w:val="16"/>
              </w:rPr>
            </w:pPr>
            <w:r w:rsidRPr="001F370F">
              <w:rPr>
                <w:rStyle w:val="normaltextrun"/>
                <w:rFonts w:ascii="Verdana" w:eastAsia="Arial" w:hAnsi="Verdana" w:cs="Arial"/>
                <w:sz w:val="16"/>
                <w:szCs w:val="16"/>
              </w:rPr>
              <w:t>C</w:t>
            </w:r>
            <w:r w:rsidRPr="001F370F">
              <w:rPr>
                <w:rStyle w:val="normaltextrun"/>
                <w:rFonts w:ascii="Verdana" w:hAnsi="Verdana"/>
                <w:sz w:val="16"/>
                <w:szCs w:val="16"/>
              </w:rPr>
              <w:t>ontratista</w:t>
            </w:r>
            <w:r w:rsidRPr="001F370F">
              <w:rPr>
                <w:rStyle w:val="normaltextrun"/>
                <w:rFonts w:ascii="Verdana" w:eastAsia="Arial" w:hAnsi="Verdana" w:cs="Arial"/>
                <w:sz w:val="16"/>
                <w:szCs w:val="16"/>
              </w:rPr>
              <w:t xml:space="preserve"> de la Subdirección de Gestión Contractual</w:t>
            </w:r>
          </w:p>
        </w:tc>
      </w:tr>
      <w:tr w:rsidR="007014D3" w:rsidRPr="001F370F" w14:paraId="2E36B67C" w14:textId="77777777" w:rsidTr="002F4AB5">
        <w:trPr>
          <w:trHeight w:val="330"/>
        </w:trPr>
        <w:tc>
          <w:tcPr>
            <w:tcW w:w="893" w:type="dxa"/>
            <w:vAlign w:val="center"/>
            <w:hideMark/>
          </w:tcPr>
          <w:p w14:paraId="5365E2AA" w14:textId="77777777" w:rsidR="007014D3" w:rsidRPr="001F370F" w:rsidRDefault="007014D3" w:rsidP="002F4AB5">
            <w:pPr>
              <w:contextualSpacing/>
              <w:rPr>
                <w:rFonts w:ascii="Verdana" w:hAnsi="Verdana" w:cs="Arial"/>
                <w:sz w:val="16"/>
                <w:szCs w:val="16"/>
                <w:lang w:val="es-ES" w:eastAsia="es-ES"/>
              </w:rPr>
            </w:pPr>
            <w:r w:rsidRPr="001F370F">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6B586A0" w14:textId="77777777" w:rsidR="007014D3" w:rsidRPr="001F370F" w:rsidRDefault="007014D3" w:rsidP="002F4AB5">
            <w:pPr>
              <w:pStyle w:val="paragraph"/>
              <w:spacing w:before="0" w:beforeAutospacing="0" w:after="0" w:afterAutospacing="0"/>
              <w:contextualSpacing/>
              <w:textAlignment w:val="baseline"/>
              <w:rPr>
                <w:rFonts w:ascii="Verdana" w:hAnsi="Verdana" w:cs="Arial"/>
                <w:sz w:val="16"/>
                <w:szCs w:val="16"/>
              </w:rPr>
            </w:pPr>
            <w:r w:rsidRPr="001F370F">
              <w:rPr>
                <w:rFonts w:ascii="Verdana" w:hAnsi="Verdana" w:cs="Arial"/>
                <w:sz w:val="16"/>
                <w:szCs w:val="16"/>
              </w:rPr>
              <w:t>Diana Lucia Saavedra Castañeda</w:t>
            </w:r>
          </w:p>
          <w:p w14:paraId="7CFA6D0E" w14:textId="77777777" w:rsidR="007014D3" w:rsidRPr="001F370F" w:rsidRDefault="007014D3" w:rsidP="002F4AB5">
            <w:pPr>
              <w:pStyle w:val="paragraph"/>
              <w:spacing w:before="0" w:beforeAutospacing="0" w:after="0" w:afterAutospacing="0"/>
              <w:contextualSpacing/>
              <w:textAlignment w:val="baseline"/>
              <w:rPr>
                <w:rFonts w:ascii="Verdana" w:hAnsi="Verdana" w:cs="Arial"/>
                <w:sz w:val="16"/>
                <w:szCs w:val="16"/>
              </w:rPr>
            </w:pPr>
            <w:r w:rsidRPr="001F370F">
              <w:rPr>
                <w:rStyle w:val="normaltextrun"/>
                <w:rFonts w:ascii="Verdana" w:eastAsia="Arial" w:hAnsi="Verdana" w:cs="Arial"/>
                <w:sz w:val="16"/>
                <w:szCs w:val="16"/>
              </w:rPr>
              <w:t>C</w:t>
            </w:r>
            <w:r w:rsidRPr="001F370F">
              <w:rPr>
                <w:rStyle w:val="normaltextrun"/>
                <w:rFonts w:ascii="Verdana" w:hAnsi="Verdana"/>
                <w:sz w:val="16"/>
                <w:szCs w:val="16"/>
              </w:rPr>
              <w:t>ontratista</w:t>
            </w:r>
            <w:r w:rsidRPr="001F370F">
              <w:rPr>
                <w:rStyle w:val="normaltextrun"/>
                <w:rFonts w:ascii="Verdana" w:eastAsia="Arial" w:hAnsi="Verdana" w:cs="Arial"/>
                <w:sz w:val="16"/>
                <w:szCs w:val="16"/>
              </w:rPr>
              <w:t xml:space="preserve"> de la Subdirección de Gestión Contractual</w:t>
            </w:r>
          </w:p>
        </w:tc>
      </w:tr>
      <w:tr w:rsidR="007014D3" w:rsidRPr="001F370F" w14:paraId="31730FFB" w14:textId="77777777" w:rsidTr="002F4AB5">
        <w:trPr>
          <w:trHeight w:val="300"/>
        </w:trPr>
        <w:tc>
          <w:tcPr>
            <w:tcW w:w="893" w:type="dxa"/>
            <w:vAlign w:val="center"/>
          </w:tcPr>
          <w:p w14:paraId="04038B64" w14:textId="77777777" w:rsidR="007014D3" w:rsidRPr="001F370F" w:rsidRDefault="007014D3" w:rsidP="002F4AB5">
            <w:pPr>
              <w:contextualSpacing/>
              <w:rPr>
                <w:rFonts w:ascii="Verdana" w:hAnsi="Verdana" w:cs="Arial"/>
                <w:sz w:val="16"/>
                <w:szCs w:val="16"/>
                <w:lang w:val="es-ES" w:eastAsia="es-ES"/>
              </w:rPr>
            </w:pPr>
            <w:r w:rsidRPr="001F370F">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70734BA" w14:textId="77777777" w:rsidR="007014D3" w:rsidRPr="001F370F" w:rsidRDefault="007014D3" w:rsidP="002F4AB5">
            <w:pPr>
              <w:contextualSpacing/>
              <w:rPr>
                <w:rFonts w:ascii="Verdana" w:eastAsia="Calibri" w:hAnsi="Verdana" w:cs="Arial"/>
                <w:sz w:val="16"/>
                <w:szCs w:val="16"/>
                <w:lang w:val="pt-BR" w:eastAsia="es-ES"/>
              </w:rPr>
            </w:pPr>
            <w:r w:rsidRPr="001F370F">
              <w:rPr>
                <w:rFonts w:ascii="Verdana" w:eastAsia="Calibri" w:hAnsi="Verdana" w:cs="Arial"/>
                <w:sz w:val="16"/>
                <w:szCs w:val="16"/>
                <w:lang w:val="pt-BR" w:eastAsia="es-ES"/>
              </w:rPr>
              <w:t xml:space="preserve">Carolina Quintero </w:t>
            </w:r>
            <w:proofErr w:type="spellStart"/>
            <w:r w:rsidRPr="001F370F">
              <w:rPr>
                <w:rFonts w:ascii="Verdana" w:eastAsia="Calibri" w:hAnsi="Verdana" w:cs="Arial"/>
                <w:sz w:val="16"/>
                <w:szCs w:val="16"/>
                <w:lang w:val="pt-BR" w:eastAsia="es-ES"/>
              </w:rPr>
              <w:t>Gacharná</w:t>
            </w:r>
            <w:proofErr w:type="spellEnd"/>
          </w:p>
          <w:p w14:paraId="0A7E7C4B" w14:textId="77777777" w:rsidR="007014D3" w:rsidRPr="001F370F" w:rsidRDefault="007014D3" w:rsidP="002F4AB5">
            <w:pPr>
              <w:contextualSpacing/>
              <w:rPr>
                <w:rFonts w:ascii="Verdana" w:eastAsia="Calibri" w:hAnsi="Verdana" w:cs="Arial"/>
                <w:sz w:val="16"/>
                <w:szCs w:val="16"/>
                <w:lang w:val="pt-BR" w:eastAsia="es-ES"/>
              </w:rPr>
            </w:pPr>
            <w:r w:rsidRPr="001F370F">
              <w:rPr>
                <w:rFonts w:ascii="Verdana" w:eastAsia="Calibri" w:hAnsi="Verdana" w:cs="Arial"/>
                <w:sz w:val="16"/>
                <w:szCs w:val="16"/>
                <w:lang w:eastAsia="es-ES"/>
              </w:rPr>
              <w:t>Subdirectora</w:t>
            </w:r>
            <w:r w:rsidRPr="001F370F">
              <w:rPr>
                <w:rFonts w:ascii="Verdana" w:eastAsia="Calibri" w:hAnsi="Verdana" w:cs="Arial"/>
                <w:sz w:val="16"/>
                <w:szCs w:val="16"/>
                <w:lang w:val="pt-BR" w:eastAsia="es-ES"/>
              </w:rPr>
              <w:t xml:space="preserve"> de Gestión Contractual ANCP – CCE</w:t>
            </w:r>
          </w:p>
        </w:tc>
      </w:tr>
    </w:tbl>
    <w:p w14:paraId="29807374" w14:textId="77777777" w:rsidR="003F13BC" w:rsidRPr="001F370F" w:rsidRDefault="003F13BC" w:rsidP="30821638">
      <w:pPr>
        <w:spacing w:after="0" w:line="240" w:lineRule="auto"/>
        <w:jc w:val="both"/>
        <w:rPr>
          <w:rFonts w:ascii="Verdana" w:eastAsia="Verdana" w:hAnsi="Verdana" w:cs="Verdana"/>
        </w:rPr>
      </w:pPr>
    </w:p>
    <w:bookmarkEnd w:id="0"/>
    <w:p w14:paraId="15ADE2E9" w14:textId="77777777" w:rsidR="003F13BC" w:rsidRPr="001F370F" w:rsidRDefault="003F13BC" w:rsidP="30821638">
      <w:pPr>
        <w:spacing w:after="0" w:line="240" w:lineRule="auto"/>
        <w:jc w:val="both"/>
        <w:rPr>
          <w:rFonts w:ascii="Verdana" w:eastAsia="Verdana" w:hAnsi="Verdana" w:cs="Verdana"/>
          <w:lang w:val="es-MX"/>
        </w:rPr>
      </w:pPr>
    </w:p>
    <w:sectPr w:rsidR="003F13BC" w:rsidRPr="001F370F"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D74FAC" w14:textId="77777777" w:rsidR="00783183" w:rsidRDefault="00783183" w:rsidP="004A1847">
      <w:pPr>
        <w:spacing w:after="0" w:line="240" w:lineRule="auto"/>
      </w:pPr>
      <w:r>
        <w:separator/>
      </w:r>
    </w:p>
  </w:endnote>
  <w:endnote w:type="continuationSeparator" w:id="0">
    <w:p w14:paraId="71F14376" w14:textId="77777777" w:rsidR="00783183" w:rsidRDefault="0078318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A6D8A6" w14:textId="77777777" w:rsidR="00783183" w:rsidRDefault="00783183" w:rsidP="004A1847">
      <w:pPr>
        <w:spacing w:after="0" w:line="240" w:lineRule="auto"/>
      </w:pPr>
      <w:r>
        <w:separator/>
      </w:r>
    </w:p>
  </w:footnote>
  <w:footnote w:type="continuationSeparator" w:id="0">
    <w:p w14:paraId="02624F14" w14:textId="77777777" w:rsidR="00783183" w:rsidRDefault="00783183" w:rsidP="004A1847">
      <w:pPr>
        <w:spacing w:after="0" w:line="240" w:lineRule="auto"/>
      </w:pPr>
      <w:r>
        <w:continuationSeparator/>
      </w:r>
    </w:p>
  </w:footnote>
  <w:footnote w:id="1">
    <w:p w14:paraId="5C19F712" w14:textId="77777777" w:rsidR="00B879F1" w:rsidRPr="0011172E" w:rsidRDefault="00B879F1" w:rsidP="00B879F1">
      <w:pPr>
        <w:pStyle w:val="Textonotapie"/>
        <w:ind w:firstLine="709"/>
        <w:jc w:val="both"/>
        <w:rPr>
          <w:rFonts w:ascii="Verdana" w:hAnsi="Verdana" w:cs="Arial"/>
          <w:sz w:val="18"/>
          <w:szCs w:val="18"/>
        </w:rPr>
      </w:pPr>
      <w:r w:rsidRPr="0011172E">
        <w:rPr>
          <w:rStyle w:val="Refdenotaalpie"/>
          <w:rFonts w:ascii="Verdana" w:hAnsi="Verdana" w:cs="Arial"/>
          <w:sz w:val="18"/>
          <w:szCs w:val="18"/>
        </w:rPr>
        <w:footnoteRef/>
      </w:r>
      <w:r w:rsidRPr="0011172E">
        <w:rPr>
          <w:rFonts w:ascii="Verdana" w:hAnsi="Verdana" w:cs="Arial"/>
          <w:sz w:val="18"/>
          <w:szCs w:val="18"/>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B28473A" w14:textId="77777777" w:rsidR="00B879F1" w:rsidRPr="0011172E" w:rsidRDefault="00B879F1" w:rsidP="00B879F1">
      <w:pPr>
        <w:pStyle w:val="Textonotapie"/>
        <w:ind w:firstLine="709"/>
        <w:jc w:val="both"/>
        <w:rPr>
          <w:rFonts w:ascii="Verdana" w:hAnsi="Verdana" w:cs="Arial"/>
          <w:sz w:val="18"/>
          <w:szCs w:val="18"/>
        </w:rPr>
      </w:pPr>
      <w:r w:rsidRPr="0011172E">
        <w:rPr>
          <w:rFonts w:ascii="Verdana" w:hAnsi="Verdana" w:cs="Arial"/>
          <w:sz w:val="18"/>
          <w:szCs w:val="18"/>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0341662C" w14:textId="77777777" w:rsidR="00B879F1" w:rsidRPr="0011172E" w:rsidRDefault="00B879F1" w:rsidP="00B879F1">
      <w:pPr>
        <w:pStyle w:val="Textonotapie"/>
        <w:ind w:firstLine="709"/>
        <w:jc w:val="both"/>
        <w:rPr>
          <w:rFonts w:ascii="Verdana" w:hAnsi="Verdana" w:cs="Arial"/>
          <w:sz w:val="18"/>
          <w:szCs w:val="18"/>
        </w:rPr>
      </w:pPr>
      <w:r w:rsidRPr="0011172E">
        <w:rPr>
          <w:rStyle w:val="Refdenotaalpie"/>
          <w:rFonts w:ascii="Verdana" w:hAnsi="Verdana" w:cs="Arial"/>
          <w:sz w:val="18"/>
          <w:szCs w:val="18"/>
        </w:rPr>
        <w:footnoteRef/>
      </w:r>
      <w:r w:rsidRPr="0011172E">
        <w:rPr>
          <w:rFonts w:ascii="Verdana" w:hAnsi="Verdana" w:cs="Arial"/>
          <w:sz w:val="18"/>
          <w:szCs w:val="18"/>
        </w:rPr>
        <w:t xml:space="preserve"> Gaceta del Congreso de la República No. 71 del 2005.</w:t>
      </w:r>
    </w:p>
  </w:footnote>
  <w:footnote w:id="3">
    <w:p w14:paraId="7EF96140" w14:textId="77777777" w:rsidR="00B879F1" w:rsidRPr="0011172E" w:rsidRDefault="00B879F1" w:rsidP="00B879F1">
      <w:pPr>
        <w:pStyle w:val="Textonotapie"/>
        <w:ind w:firstLine="709"/>
        <w:jc w:val="both"/>
        <w:rPr>
          <w:rFonts w:ascii="Verdana" w:hAnsi="Verdana" w:cs="Arial"/>
          <w:sz w:val="18"/>
          <w:szCs w:val="18"/>
          <w:lang w:val="pt-BR"/>
        </w:rPr>
      </w:pPr>
      <w:r w:rsidRPr="0011172E">
        <w:rPr>
          <w:rStyle w:val="Refdenotaalpie"/>
          <w:rFonts w:ascii="Verdana" w:hAnsi="Verdana" w:cs="Arial"/>
          <w:sz w:val="18"/>
          <w:szCs w:val="18"/>
        </w:rPr>
        <w:footnoteRef/>
      </w:r>
      <w:r w:rsidRPr="0011172E">
        <w:rPr>
          <w:rFonts w:ascii="Verdana" w:hAnsi="Verdana" w:cs="Arial"/>
          <w:sz w:val="18"/>
          <w:szCs w:val="18"/>
          <w:lang w:val="pt-BR"/>
        </w:rPr>
        <w:t xml:space="preserve"> Corte Constitucional, Sentencia C- 1153 de 2005, M.P. Marco Gerardo </w:t>
      </w:r>
      <w:proofErr w:type="spellStart"/>
      <w:r w:rsidRPr="0011172E">
        <w:rPr>
          <w:rFonts w:ascii="Verdana" w:hAnsi="Verdana" w:cs="Arial"/>
          <w:sz w:val="18"/>
          <w:szCs w:val="18"/>
          <w:lang w:val="pt-BR"/>
        </w:rPr>
        <w:t>Monroy</w:t>
      </w:r>
      <w:proofErr w:type="spellEnd"/>
      <w:r w:rsidRPr="0011172E">
        <w:rPr>
          <w:rFonts w:ascii="Verdana" w:hAnsi="Verdana" w:cs="Arial"/>
          <w:sz w:val="18"/>
          <w:szCs w:val="18"/>
          <w:lang w:val="pt-BR"/>
        </w:rPr>
        <w:t xml:space="preserve"> Cabra.</w:t>
      </w:r>
    </w:p>
  </w:footnote>
  <w:footnote w:id="4">
    <w:p w14:paraId="4014C818" w14:textId="77777777" w:rsidR="00B879F1" w:rsidRPr="0011172E" w:rsidRDefault="00B879F1" w:rsidP="00B879F1">
      <w:pPr>
        <w:pStyle w:val="Textonotapie"/>
        <w:ind w:firstLine="709"/>
        <w:jc w:val="both"/>
        <w:rPr>
          <w:rFonts w:ascii="Verdana" w:hAnsi="Verdana" w:cs="Arial"/>
          <w:sz w:val="18"/>
          <w:szCs w:val="18"/>
          <w:lang w:val="pt-BR"/>
        </w:rPr>
      </w:pPr>
      <w:r w:rsidRPr="0011172E">
        <w:rPr>
          <w:rStyle w:val="Refdenotaalpie"/>
          <w:rFonts w:ascii="Verdana" w:hAnsi="Verdana" w:cs="Arial"/>
          <w:sz w:val="18"/>
          <w:szCs w:val="18"/>
        </w:rPr>
        <w:footnoteRef/>
      </w:r>
      <w:r w:rsidRPr="0011172E">
        <w:rPr>
          <w:rFonts w:ascii="Verdana" w:hAnsi="Verdana" w:cs="Arial"/>
          <w:sz w:val="18"/>
          <w:szCs w:val="18"/>
          <w:lang w:val="pt-BR"/>
        </w:rPr>
        <w:t xml:space="preserve"> Corte Constitucional. Sentencias: C-233 de 4 de abril de 2002, expediente: D-3704; C-551 de 9 de </w:t>
      </w:r>
      <w:proofErr w:type="spellStart"/>
      <w:r w:rsidRPr="0011172E">
        <w:rPr>
          <w:rFonts w:ascii="Verdana" w:hAnsi="Verdana" w:cs="Arial"/>
          <w:sz w:val="18"/>
          <w:szCs w:val="18"/>
          <w:lang w:val="pt-BR"/>
        </w:rPr>
        <w:t>julio</w:t>
      </w:r>
      <w:proofErr w:type="spellEnd"/>
      <w:r w:rsidRPr="0011172E">
        <w:rPr>
          <w:rFonts w:ascii="Verdana" w:hAnsi="Verdana" w:cs="Arial"/>
          <w:sz w:val="18"/>
          <w:szCs w:val="18"/>
          <w:lang w:val="pt-BR"/>
        </w:rPr>
        <w:t xml:space="preserve"> de 2003, expediente: CRF-001 de 9 de </w:t>
      </w:r>
      <w:proofErr w:type="spellStart"/>
      <w:r w:rsidRPr="0011172E">
        <w:rPr>
          <w:rFonts w:ascii="Verdana" w:hAnsi="Verdana" w:cs="Arial"/>
          <w:sz w:val="18"/>
          <w:szCs w:val="18"/>
          <w:lang w:val="pt-BR"/>
        </w:rPr>
        <w:t>julio</w:t>
      </w:r>
      <w:proofErr w:type="spellEnd"/>
      <w:r w:rsidRPr="0011172E">
        <w:rPr>
          <w:rFonts w:ascii="Verdana" w:hAnsi="Verdana" w:cs="Arial"/>
          <w:sz w:val="18"/>
          <w:szCs w:val="18"/>
          <w:lang w:val="pt-BR"/>
        </w:rPr>
        <w:t xml:space="preserve"> de 2003; C-652 de 5 de agosto de 2003, expediente: D-4330; C-353 de 20 de </w:t>
      </w:r>
      <w:proofErr w:type="spellStart"/>
      <w:r w:rsidRPr="0011172E">
        <w:rPr>
          <w:rFonts w:ascii="Verdana" w:hAnsi="Verdana" w:cs="Arial"/>
          <w:sz w:val="18"/>
          <w:szCs w:val="18"/>
          <w:lang w:val="pt-BR"/>
        </w:rPr>
        <w:t>mayo</w:t>
      </w:r>
      <w:proofErr w:type="spellEnd"/>
      <w:r w:rsidRPr="0011172E">
        <w:rPr>
          <w:rFonts w:ascii="Verdana" w:hAnsi="Verdana" w:cs="Arial"/>
          <w:sz w:val="18"/>
          <w:szCs w:val="18"/>
          <w:lang w:val="pt-BR"/>
        </w:rPr>
        <w:t xml:space="preserve"> de 2009, expediente: D-7518, C-541 de 30 de </w:t>
      </w:r>
      <w:proofErr w:type="spellStart"/>
      <w:r w:rsidRPr="0011172E">
        <w:rPr>
          <w:rFonts w:ascii="Verdana" w:hAnsi="Verdana" w:cs="Arial"/>
          <w:sz w:val="18"/>
          <w:szCs w:val="18"/>
          <w:lang w:val="pt-BR"/>
        </w:rPr>
        <w:t>junio</w:t>
      </w:r>
      <w:proofErr w:type="spellEnd"/>
      <w:r w:rsidRPr="0011172E">
        <w:rPr>
          <w:rFonts w:ascii="Verdana" w:hAnsi="Verdana" w:cs="Arial"/>
          <w:sz w:val="18"/>
          <w:szCs w:val="18"/>
          <w:lang w:val="pt-BR"/>
        </w:rPr>
        <w:t xml:space="preserve"> de 2010, expediente: DD7966; entre </w:t>
      </w:r>
      <w:proofErr w:type="spellStart"/>
      <w:r w:rsidRPr="0011172E">
        <w:rPr>
          <w:rFonts w:ascii="Verdana" w:hAnsi="Verdana" w:cs="Arial"/>
          <w:sz w:val="18"/>
          <w:szCs w:val="18"/>
          <w:lang w:val="pt-BR"/>
        </w:rPr>
        <w:t>otras</w:t>
      </w:r>
      <w:proofErr w:type="spellEnd"/>
      <w:r w:rsidRPr="0011172E">
        <w:rPr>
          <w:rFonts w:ascii="Verdana" w:hAnsi="Verdana" w:cs="Arial"/>
          <w:sz w:val="18"/>
          <w:szCs w:val="18"/>
          <w:lang w:val="pt-BR"/>
        </w:rPr>
        <w:t>.</w:t>
      </w:r>
    </w:p>
  </w:footnote>
  <w:footnote w:id="5">
    <w:p w14:paraId="784D043A" w14:textId="77777777" w:rsidR="00B879F1" w:rsidRPr="0011172E" w:rsidRDefault="00B879F1" w:rsidP="00B879F1">
      <w:pPr>
        <w:pStyle w:val="Textonotapie"/>
        <w:ind w:firstLine="709"/>
        <w:jc w:val="both"/>
        <w:rPr>
          <w:rFonts w:ascii="Verdana" w:hAnsi="Verdana" w:cs="Arial"/>
          <w:sz w:val="18"/>
          <w:szCs w:val="18"/>
          <w:lang w:val="es-CO"/>
        </w:rPr>
      </w:pPr>
      <w:r w:rsidRPr="0011172E">
        <w:rPr>
          <w:rStyle w:val="Refdenotaalpie"/>
          <w:rFonts w:ascii="Verdana" w:hAnsi="Verdana" w:cs="Arial"/>
          <w:sz w:val="18"/>
          <w:szCs w:val="18"/>
        </w:rPr>
        <w:footnoteRef/>
      </w:r>
      <w:r w:rsidRPr="0011172E">
        <w:rPr>
          <w:rFonts w:ascii="Verdana" w:hAnsi="Verdana" w:cs="Arial"/>
          <w:sz w:val="18"/>
          <w:szCs w:val="18"/>
          <w:lang w:val="es-CO"/>
        </w:rPr>
        <w:t xml:space="preserve"> Consejo de Estado,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3DA81829" w14:textId="77777777" w:rsidR="00B879F1" w:rsidRPr="0011172E" w:rsidRDefault="00B879F1" w:rsidP="00B879F1">
      <w:pPr>
        <w:pStyle w:val="Textonotapie"/>
        <w:ind w:firstLine="709"/>
        <w:jc w:val="both"/>
        <w:rPr>
          <w:rFonts w:ascii="Verdana" w:hAnsi="Verdana" w:cs="Arial"/>
          <w:sz w:val="18"/>
          <w:szCs w:val="18"/>
        </w:rPr>
      </w:pPr>
      <w:r w:rsidRPr="0011172E">
        <w:rPr>
          <w:rStyle w:val="Refdenotaalpie"/>
          <w:rFonts w:ascii="Verdana" w:hAnsi="Verdana" w:cs="Arial"/>
          <w:sz w:val="18"/>
          <w:szCs w:val="18"/>
        </w:rPr>
        <w:footnoteRef/>
      </w:r>
      <w:r w:rsidRPr="0011172E">
        <w:rPr>
          <w:rFonts w:ascii="Verdana" w:hAnsi="Verdana" w:cs="Arial"/>
          <w:sz w:val="18"/>
          <w:szCs w:val="18"/>
        </w:rPr>
        <w:t xml:space="preserve"> Consejo de Estado, Sala de Consulta y Servicio Civil de fecha 24 de julio de 2013. </w:t>
      </w:r>
      <w:r w:rsidRPr="0011172E">
        <w:rPr>
          <w:rFonts w:ascii="Verdana" w:hAnsi="Verdana" w:cs="Arial"/>
          <w:sz w:val="18"/>
          <w:szCs w:val="18"/>
          <w:lang w:val="es-CO"/>
        </w:rPr>
        <w:t>C. P. Álvaro Namén Vargas. Rad.</w:t>
      </w:r>
      <w:r w:rsidRPr="0011172E">
        <w:rPr>
          <w:rFonts w:ascii="Verdana" w:hAnsi="Verdana" w:cs="Arial"/>
          <w:sz w:val="18"/>
          <w:szCs w:val="18"/>
        </w:rPr>
        <w:t xml:space="preserve"> 2166, </w:t>
      </w:r>
    </w:p>
  </w:footnote>
  <w:footnote w:id="7">
    <w:p w14:paraId="74B3B6BB" w14:textId="77777777" w:rsidR="00B879F1" w:rsidRPr="0011172E" w:rsidRDefault="00B879F1" w:rsidP="00B879F1">
      <w:pPr>
        <w:spacing w:after="0" w:line="240" w:lineRule="auto"/>
        <w:ind w:firstLine="709"/>
        <w:jc w:val="both"/>
        <w:rPr>
          <w:rFonts w:ascii="Verdana" w:eastAsia="Times New Roman" w:hAnsi="Verdana" w:cs="Arial"/>
          <w:sz w:val="18"/>
          <w:szCs w:val="18"/>
        </w:rPr>
      </w:pPr>
      <w:r w:rsidRPr="0011172E">
        <w:rPr>
          <w:rStyle w:val="Refdenotaalpie"/>
          <w:rFonts w:ascii="Verdana" w:hAnsi="Verdana" w:cs="Arial"/>
          <w:sz w:val="18"/>
          <w:szCs w:val="18"/>
        </w:rPr>
        <w:footnoteRef/>
      </w:r>
      <w:r w:rsidRPr="0011172E">
        <w:rPr>
          <w:rFonts w:ascii="Verdana" w:hAnsi="Verdana" w:cs="Arial"/>
          <w:sz w:val="18"/>
          <w:szCs w:val="18"/>
        </w:rPr>
        <w:t xml:space="preserve"> </w:t>
      </w:r>
      <w:bookmarkStart w:id="7" w:name="33"/>
      <w:r w:rsidRPr="0011172E">
        <w:rPr>
          <w:rFonts w:ascii="Verdana" w:eastAsia="Calibri" w:hAnsi="Verdana" w:cs="Arial"/>
          <w:color w:val="000000"/>
          <w:sz w:val="18"/>
          <w:szCs w:val="18"/>
        </w:rPr>
        <w:t>“</w:t>
      </w:r>
      <w:r w:rsidRPr="0011172E">
        <w:rPr>
          <w:rFonts w:ascii="Verdana" w:eastAsia="Times New Roman" w:hAnsi="Verdana" w:cs="Arial"/>
          <w:sz w:val="18"/>
          <w:szCs w:val="18"/>
        </w:rPr>
        <w:t>Artículo 33. Restricciones a la contratación pública.</w:t>
      </w:r>
      <w:bookmarkEnd w:id="7"/>
      <w:r w:rsidRPr="0011172E">
        <w:rPr>
          <w:rFonts w:ascii="Verdana" w:eastAsia="Times New Roman" w:hAnsi="Verdana" w:cs="Arial"/>
          <w:sz w:val="18"/>
          <w:szCs w:val="18"/>
        </w:rPr>
        <w:t> Durante los cuatro (4) meses anteriores a la elección presidencial y hasta la realización de la elección en la segunda vuelta, si fuere el caso, queda prohibida la contratación directa por parte de todos los entes del Estado.</w:t>
      </w:r>
    </w:p>
    <w:p w14:paraId="2D761BF8" w14:textId="77777777" w:rsidR="00B879F1" w:rsidRPr="0011172E" w:rsidRDefault="00B879F1" w:rsidP="00B879F1">
      <w:pPr>
        <w:spacing w:after="0" w:line="240" w:lineRule="auto"/>
        <w:ind w:firstLine="709"/>
        <w:jc w:val="both"/>
        <w:rPr>
          <w:rFonts w:ascii="Verdana" w:eastAsia="Times New Roman" w:hAnsi="Verdana" w:cs="Arial"/>
          <w:sz w:val="18"/>
          <w:szCs w:val="18"/>
        </w:rPr>
      </w:pPr>
      <w:r w:rsidRPr="0011172E">
        <w:rPr>
          <w:rFonts w:ascii="Verdana" w:eastAsia="Times New Roman" w:hAnsi="Verdana" w:cs="Arial"/>
          <w:sz w:val="18"/>
          <w:szCs w:val="18"/>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1172E">
        <w:rPr>
          <w:rFonts w:ascii="Verdana" w:eastAsia="Calibri" w:hAnsi="Verdana" w:cs="Arial"/>
          <w:color w:val="000000"/>
          <w:sz w:val="18"/>
          <w:szCs w:val="18"/>
        </w:rPr>
        <w:t>”</w:t>
      </w:r>
      <w:r w:rsidRPr="0011172E">
        <w:rPr>
          <w:rFonts w:ascii="Verdana" w:eastAsia="Times New Roman" w:hAnsi="Verdana" w:cs="Arial"/>
          <w:sz w:val="18"/>
          <w:szCs w:val="18"/>
        </w:rPr>
        <w:t>.</w:t>
      </w:r>
    </w:p>
  </w:footnote>
  <w:footnote w:id="8">
    <w:p w14:paraId="271BD2A3" w14:textId="77777777" w:rsidR="00B879F1" w:rsidRPr="0011172E" w:rsidRDefault="00B879F1" w:rsidP="00B879F1">
      <w:pPr>
        <w:pStyle w:val="NormalWeb"/>
        <w:spacing w:before="0" w:beforeAutospacing="0" w:after="0" w:afterAutospacing="0"/>
        <w:ind w:firstLine="709"/>
        <w:jc w:val="both"/>
        <w:rPr>
          <w:rFonts w:ascii="Verdana" w:hAnsi="Verdana" w:cs="Arial"/>
          <w:sz w:val="18"/>
          <w:szCs w:val="18"/>
          <w:lang w:val="es-MX"/>
        </w:rPr>
      </w:pPr>
      <w:r w:rsidRPr="0011172E">
        <w:rPr>
          <w:rStyle w:val="Refdenotaalpie"/>
          <w:rFonts w:ascii="Verdana" w:hAnsi="Verdana" w:cs="Arial"/>
          <w:sz w:val="18"/>
          <w:szCs w:val="18"/>
        </w:rPr>
        <w:footnoteRef/>
      </w:r>
      <w:r w:rsidRPr="0011172E">
        <w:rPr>
          <w:rFonts w:ascii="Verdana" w:hAnsi="Verdana" w:cs="Arial"/>
          <w:sz w:val="18"/>
          <w:szCs w:val="18"/>
        </w:rPr>
        <w:t xml:space="preserve"> </w:t>
      </w:r>
      <w:bookmarkStart w:id="8" w:name="38"/>
      <w:r w:rsidRPr="0011172E">
        <w:rPr>
          <w:rFonts w:ascii="Verdana" w:eastAsia="Calibri" w:hAnsi="Verdana" w:cs="Arial"/>
          <w:color w:val="000000"/>
          <w:sz w:val="18"/>
          <w:szCs w:val="18"/>
        </w:rPr>
        <w:t>“</w:t>
      </w:r>
      <w:r w:rsidRPr="0011172E">
        <w:rPr>
          <w:rFonts w:ascii="Verdana" w:hAnsi="Verdana" w:cs="Arial"/>
          <w:sz w:val="18"/>
          <w:szCs w:val="18"/>
          <w:lang w:val="es-MX"/>
        </w:rPr>
        <w:t>Artículo 38. Prohibiciones para los servidores públicos. A los empleados del Estado les está prohibido:</w:t>
      </w:r>
      <w:bookmarkEnd w:id="8"/>
      <w:r w:rsidRPr="0011172E">
        <w:rPr>
          <w:rFonts w:ascii="Verdana" w:hAnsi="Verdana" w:cs="Arial"/>
          <w:sz w:val="18"/>
          <w:szCs w:val="18"/>
          <w:lang w:val="es-MX"/>
        </w:rPr>
        <w:t xml:space="preserve"> […]</w:t>
      </w:r>
    </w:p>
    <w:p w14:paraId="716C6D03" w14:textId="77777777" w:rsidR="00B879F1" w:rsidRPr="0011172E" w:rsidRDefault="00B879F1" w:rsidP="00B879F1">
      <w:pPr>
        <w:pStyle w:val="NormalWeb"/>
        <w:spacing w:before="0" w:beforeAutospacing="0" w:after="0" w:afterAutospacing="0"/>
        <w:ind w:firstLine="709"/>
        <w:jc w:val="both"/>
        <w:rPr>
          <w:rFonts w:ascii="Verdana" w:hAnsi="Verdana" w:cs="Arial"/>
          <w:sz w:val="18"/>
          <w:szCs w:val="18"/>
          <w:lang w:val="es-MX"/>
        </w:rPr>
      </w:pPr>
      <w:r w:rsidRPr="0011172E">
        <w:rPr>
          <w:rStyle w:val="baj"/>
          <w:rFonts w:ascii="Verdana" w:hAnsi="Verdana" w:cs="Arial"/>
          <w:sz w:val="18"/>
          <w:szCs w:val="18"/>
          <w:lang w:val="es-MX"/>
        </w:rPr>
        <w:t>Parágrafo.</w:t>
      </w:r>
      <w:r w:rsidRPr="0011172E">
        <w:rPr>
          <w:rFonts w:ascii="Verdana" w:hAnsi="Verdana" w:cs="Arial"/>
          <w:sz w:val="18"/>
          <w:szCs w:val="18"/>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1172E">
        <w:rPr>
          <w:rFonts w:ascii="Verdana" w:eastAsia="Calibri" w:hAnsi="Verdana" w:cs="Arial"/>
          <w:color w:val="000000"/>
          <w:sz w:val="18"/>
          <w:szCs w:val="18"/>
        </w:rPr>
        <w:t>”</w:t>
      </w:r>
      <w:r w:rsidRPr="0011172E">
        <w:rPr>
          <w:rFonts w:ascii="Verdana" w:hAnsi="Verdana" w:cs="Arial"/>
          <w:sz w:val="18"/>
          <w:szCs w:val="18"/>
          <w:lang w:val="es-MX"/>
        </w:rPr>
        <w:t>.</w:t>
      </w:r>
    </w:p>
  </w:footnote>
  <w:footnote w:id="9">
    <w:p w14:paraId="679EF5F6" w14:textId="77777777" w:rsidR="00B879F1" w:rsidRPr="0011172E" w:rsidRDefault="00B879F1" w:rsidP="00B879F1">
      <w:pPr>
        <w:pStyle w:val="Textonotapie"/>
        <w:ind w:firstLine="708"/>
        <w:jc w:val="both"/>
        <w:rPr>
          <w:rFonts w:ascii="Verdana" w:hAnsi="Verdana" w:cs="Arial"/>
          <w:sz w:val="18"/>
          <w:szCs w:val="18"/>
        </w:rPr>
      </w:pPr>
      <w:r w:rsidRPr="0011172E">
        <w:rPr>
          <w:rStyle w:val="Refdenotaalpie"/>
          <w:rFonts w:ascii="Verdana" w:hAnsi="Verdana" w:cs="Arial"/>
          <w:sz w:val="18"/>
          <w:szCs w:val="18"/>
        </w:rPr>
        <w:footnoteRef/>
      </w:r>
      <w:r w:rsidRPr="0011172E">
        <w:rPr>
          <w:rFonts w:ascii="Verdana" w:hAnsi="Verdana" w:cs="Arial"/>
          <w:sz w:val="18"/>
          <w:szCs w:val="18"/>
        </w:rPr>
        <w:t xml:space="preserve"> Colombia Compra Eficiente. Circular Externa Única. Numeral 16.5. </w:t>
      </w:r>
    </w:p>
  </w:footnote>
  <w:footnote w:id="10">
    <w:p w14:paraId="584ED188" w14:textId="77777777" w:rsidR="00B879F1" w:rsidRPr="0011172E" w:rsidRDefault="00B879F1" w:rsidP="00B879F1">
      <w:pPr>
        <w:spacing w:after="0" w:line="240" w:lineRule="auto"/>
        <w:ind w:left="100" w:right="244" w:firstLine="608"/>
        <w:jc w:val="both"/>
        <w:rPr>
          <w:rFonts w:ascii="Verdana" w:hAnsi="Verdana" w:cs="Arial"/>
          <w:sz w:val="18"/>
          <w:szCs w:val="18"/>
          <w:lang w:val="es-ES"/>
        </w:rPr>
      </w:pPr>
      <w:r w:rsidRPr="0011172E">
        <w:rPr>
          <w:rStyle w:val="Refdenotaalpie"/>
          <w:rFonts w:ascii="Verdana" w:hAnsi="Verdana" w:cs="Arial"/>
          <w:sz w:val="18"/>
          <w:szCs w:val="18"/>
        </w:rPr>
        <w:footnoteRef/>
      </w:r>
      <w:r w:rsidRPr="0011172E">
        <w:rPr>
          <w:rFonts w:ascii="Verdana" w:hAnsi="Verdana" w:cs="Arial"/>
          <w:sz w:val="18"/>
          <w:szCs w:val="18"/>
        </w:rPr>
        <w:t xml:space="preserve"> Consejo de Estado. Sala de Consulta y Servicio Civil. Concepto del 17 de febrero de 2015. C.P. William Zambrano Cetina. Radicación No. 11001-03-06-000-2015-00164-00(2269).</w:t>
      </w:r>
    </w:p>
  </w:footnote>
  <w:footnote w:id="11">
    <w:p w14:paraId="62C92F36" w14:textId="77777777" w:rsidR="00B879F1" w:rsidRPr="0011172E" w:rsidRDefault="00B879F1" w:rsidP="00B879F1">
      <w:pPr>
        <w:pStyle w:val="Textonotapie"/>
        <w:ind w:right="51" w:firstLine="709"/>
        <w:jc w:val="both"/>
        <w:rPr>
          <w:rFonts w:ascii="Verdana" w:hAnsi="Verdana" w:cs="Arial"/>
          <w:sz w:val="18"/>
          <w:szCs w:val="18"/>
        </w:rPr>
      </w:pPr>
      <w:r w:rsidRPr="0011172E">
        <w:rPr>
          <w:rStyle w:val="Refdenotaalpie"/>
          <w:rFonts w:ascii="Verdana" w:hAnsi="Verdana" w:cs="Arial"/>
          <w:sz w:val="18"/>
          <w:szCs w:val="18"/>
        </w:rPr>
        <w:footnoteRef/>
      </w:r>
      <w:r w:rsidRPr="0011172E">
        <w:rPr>
          <w:rFonts w:ascii="Verdana" w:hAnsi="Verdana" w:cs="Arial"/>
          <w:sz w:val="18"/>
          <w:szCs w:val="18"/>
        </w:rPr>
        <w:t xml:space="preserve"> “</w:t>
      </w:r>
      <w:r w:rsidRPr="0011172E">
        <w:rPr>
          <w:rFonts w:ascii="Verdana" w:hAnsi="Verdana" w:cs="Arial"/>
          <w:sz w:val="18"/>
          <w:szCs w:val="18"/>
          <w:lang w:val="es-ES"/>
        </w:rPr>
        <w:t xml:space="preserve">[25] </w:t>
      </w:r>
      <w:r w:rsidRPr="0011172E">
        <w:rPr>
          <w:rFonts w:ascii="Verdana" w:hAnsi="Verdana" w:cs="Arial"/>
          <w:sz w:val="18"/>
          <w:szCs w:val="18"/>
        </w:rPr>
        <w:t>Cfr. Consejo de Estado. Sección Tercera. Sentencia de 3 de diciembre de 2007. Radicados: 24.715, 25.206, 25.409, 24.524, 27.834, 25.410, 26.105, 28.244, 31.447 -acumulados-“.</w:t>
      </w:r>
    </w:p>
  </w:footnote>
  <w:footnote w:id="12">
    <w:p w14:paraId="5B251E88" w14:textId="77777777" w:rsidR="00B879F1" w:rsidRPr="0011172E" w:rsidRDefault="00B879F1" w:rsidP="00B879F1">
      <w:pPr>
        <w:pStyle w:val="Textonotapie"/>
        <w:ind w:right="51" w:firstLine="709"/>
        <w:jc w:val="both"/>
        <w:rPr>
          <w:rFonts w:ascii="Verdana" w:hAnsi="Verdana" w:cs="Arial"/>
          <w:sz w:val="18"/>
          <w:szCs w:val="18"/>
        </w:rPr>
      </w:pPr>
      <w:r w:rsidRPr="0011172E">
        <w:rPr>
          <w:rStyle w:val="Refdenotaalpie"/>
          <w:rFonts w:ascii="Verdana" w:hAnsi="Verdana" w:cs="Arial"/>
          <w:sz w:val="18"/>
          <w:szCs w:val="18"/>
        </w:rPr>
        <w:footnoteRef/>
      </w:r>
      <w:r w:rsidRPr="0011172E">
        <w:rPr>
          <w:rFonts w:ascii="Verdana" w:hAnsi="Verdana" w:cs="Arial"/>
          <w:sz w:val="18"/>
          <w:szCs w:val="18"/>
        </w:rPr>
        <w:t xml:space="preserve"> “</w:t>
      </w:r>
      <w:r w:rsidRPr="0011172E">
        <w:rPr>
          <w:rFonts w:ascii="Verdana" w:hAnsi="Verdana" w:cs="Arial"/>
          <w:sz w:val="18"/>
          <w:szCs w:val="18"/>
          <w:lang w:val="es-ES"/>
        </w:rPr>
        <w:t xml:space="preserve">[26] </w:t>
      </w:r>
      <w:r w:rsidRPr="0011172E">
        <w:rPr>
          <w:rFonts w:ascii="Verdana" w:hAnsi="Verdana" w:cs="Arial"/>
          <w:sz w:val="18"/>
          <w:szCs w:val="18"/>
        </w:rPr>
        <w:t>Al respecto ver el concepto 1712 de 2 de febrero de 2006. Consejo de Estado Sala de Consulta y Servicio Civil”.</w:t>
      </w:r>
    </w:p>
  </w:footnote>
  <w:footnote w:id="13">
    <w:p w14:paraId="3A11212C" w14:textId="77777777" w:rsidR="00B879F1" w:rsidRPr="0011172E" w:rsidRDefault="00B879F1" w:rsidP="00B879F1">
      <w:pPr>
        <w:pStyle w:val="Textonotapie"/>
        <w:ind w:firstLine="709"/>
        <w:jc w:val="both"/>
        <w:rPr>
          <w:rFonts w:ascii="Verdana" w:hAnsi="Verdana" w:cs="Arial"/>
          <w:sz w:val="18"/>
          <w:szCs w:val="18"/>
        </w:rPr>
      </w:pPr>
      <w:r w:rsidRPr="0011172E">
        <w:rPr>
          <w:rStyle w:val="Refdenotaalpie"/>
          <w:rFonts w:ascii="Verdana" w:hAnsi="Verdana" w:cs="Arial"/>
          <w:sz w:val="18"/>
          <w:szCs w:val="18"/>
        </w:rPr>
        <w:footnoteRef/>
      </w:r>
      <w:r w:rsidRPr="0011172E">
        <w:rPr>
          <w:rFonts w:ascii="Verdana" w:hAnsi="Verdana" w:cs="Arial"/>
          <w:sz w:val="18"/>
          <w:szCs w:val="18"/>
        </w:rPr>
        <w:t xml:space="preserve"> Consejo de Estado. Sala de Consulta y Servicio Civil. Concepto del 2 de septiembre de 2013. </w:t>
      </w:r>
      <w:r w:rsidRPr="0011172E">
        <w:rPr>
          <w:rFonts w:ascii="Verdana" w:hAnsi="Verdana" w:cs="Arial"/>
          <w:sz w:val="18"/>
          <w:szCs w:val="18"/>
          <w:lang w:val="es-CO"/>
        </w:rPr>
        <w:t>C.P. Álvaro Namén Vargas.</w:t>
      </w:r>
      <w:r w:rsidRPr="0011172E">
        <w:rPr>
          <w:rFonts w:ascii="Verdana" w:hAnsi="Verdana" w:cs="Arial"/>
          <w:sz w:val="18"/>
          <w:szCs w:val="18"/>
        </w:rPr>
        <w:t xml:space="preserve">Rad. 2168. </w:t>
      </w:r>
    </w:p>
  </w:footnote>
  <w:footnote w:id="14">
    <w:p w14:paraId="3E325FB0" w14:textId="77777777" w:rsidR="00B879F1" w:rsidRPr="0011172E" w:rsidRDefault="00B879F1" w:rsidP="00B879F1">
      <w:pPr>
        <w:pStyle w:val="Textonotapie"/>
        <w:ind w:firstLine="709"/>
        <w:jc w:val="both"/>
        <w:rPr>
          <w:rFonts w:ascii="Verdana" w:hAnsi="Verdana" w:cs="Arial"/>
          <w:sz w:val="18"/>
          <w:szCs w:val="18"/>
          <w:lang w:val="es-ES"/>
        </w:rPr>
      </w:pPr>
      <w:r w:rsidRPr="0011172E">
        <w:rPr>
          <w:rStyle w:val="Refdenotaalpie"/>
          <w:rFonts w:ascii="Verdana" w:hAnsi="Verdana" w:cs="Arial"/>
          <w:sz w:val="18"/>
          <w:szCs w:val="18"/>
        </w:rPr>
        <w:footnoteRef/>
      </w:r>
      <w:r w:rsidRPr="0011172E">
        <w:rPr>
          <w:rFonts w:ascii="Verdana" w:hAnsi="Verdana" w:cs="Arial"/>
          <w:sz w:val="18"/>
          <w:szCs w:val="18"/>
        </w:rPr>
        <w:t xml:space="preserve"> </w:t>
      </w:r>
      <w:r w:rsidRPr="0011172E">
        <w:rPr>
          <w:rFonts w:ascii="Verdana" w:hAnsi="Verdana" w:cs="Arial"/>
          <w:sz w:val="18"/>
          <w:szCs w:val="18"/>
          <w:lang w:val="es-ES"/>
        </w:rPr>
        <w:t xml:space="preserve">Artículo 2. </w:t>
      </w:r>
    </w:p>
  </w:footnote>
  <w:footnote w:id="15">
    <w:p w14:paraId="2D8DC073" w14:textId="77777777" w:rsidR="00B879F1" w:rsidRPr="0011172E" w:rsidRDefault="00B879F1" w:rsidP="00B879F1">
      <w:pPr>
        <w:pStyle w:val="Textonotapie"/>
        <w:ind w:firstLine="709"/>
        <w:jc w:val="both"/>
        <w:rPr>
          <w:rFonts w:ascii="Verdana" w:hAnsi="Verdana" w:cs="Arial"/>
          <w:sz w:val="18"/>
          <w:szCs w:val="18"/>
          <w:lang w:val="es-ES"/>
        </w:rPr>
      </w:pPr>
      <w:r w:rsidRPr="0011172E">
        <w:rPr>
          <w:rStyle w:val="Refdenotaalpie"/>
          <w:rFonts w:ascii="Verdana" w:hAnsi="Verdana" w:cs="Arial"/>
          <w:sz w:val="18"/>
          <w:szCs w:val="18"/>
        </w:rPr>
        <w:footnoteRef/>
      </w:r>
      <w:r w:rsidRPr="0011172E">
        <w:rPr>
          <w:rFonts w:ascii="Verdana" w:hAnsi="Verdana" w:cs="Arial"/>
          <w:sz w:val="18"/>
          <w:szCs w:val="18"/>
        </w:rPr>
        <w:t xml:space="preserve"> </w:t>
      </w:r>
      <w:r w:rsidRPr="0011172E">
        <w:rPr>
          <w:rFonts w:ascii="Verdana" w:hAnsi="Verdana" w:cs="Arial"/>
          <w:i/>
          <w:sz w:val="18"/>
          <w:szCs w:val="18"/>
          <w:lang w:val="es-ES"/>
        </w:rPr>
        <w:t>Ídem</w:t>
      </w:r>
      <w:r w:rsidRPr="0011172E">
        <w:rPr>
          <w:rFonts w:ascii="Verdana" w:hAnsi="Verdana" w:cs="Arial"/>
          <w:sz w:val="18"/>
          <w:szCs w:val="18"/>
          <w:lang w:val="es-ES"/>
        </w:rPr>
        <w:t>.</w:t>
      </w:r>
    </w:p>
  </w:footnote>
  <w:footnote w:id="16">
    <w:p w14:paraId="321CC9A1" w14:textId="77777777" w:rsidR="00B879F1" w:rsidRPr="0011172E" w:rsidRDefault="00B879F1" w:rsidP="00B879F1">
      <w:pPr>
        <w:pStyle w:val="Textonotapie"/>
        <w:ind w:firstLine="709"/>
        <w:jc w:val="both"/>
        <w:rPr>
          <w:rFonts w:ascii="Verdana" w:hAnsi="Verdana" w:cs="Arial"/>
          <w:sz w:val="18"/>
          <w:szCs w:val="18"/>
          <w:lang w:val="es-ES"/>
        </w:rPr>
      </w:pPr>
      <w:r w:rsidRPr="0011172E">
        <w:rPr>
          <w:rStyle w:val="Refdenotaalpie"/>
          <w:rFonts w:ascii="Verdana" w:hAnsi="Verdana" w:cs="Arial"/>
          <w:sz w:val="18"/>
          <w:szCs w:val="18"/>
        </w:rPr>
        <w:footnoteRef/>
      </w:r>
      <w:r w:rsidRPr="0011172E">
        <w:rPr>
          <w:rStyle w:val="Refdenotaalpie"/>
          <w:rFonts w:ascii="Verdana" w:hAnsi="Verdana" w:cs="Arial"/>
          <w:sz w:val="18"/>
          <w:szCs w:val="18"/>
        </w:rPr>
        <w:t xml:space="preserve"> </w:t>
      </w:r>
      <w:r w:rsidRPr="0011172E">
        <w:rPr>
          <w:rFonts w:ascii="Verdana" w:hAnsi="Verdana" w:cs="Arial"/>
          <w:sz w:val="18"/>
          <w:szCs w:val="18"/>
          <w:lang w:val="es-ES"/>
        </w:rPr>
        <w:t xml:space="preserve">“[…] A este respecto, cabe recordar que el artículo 860 del Código de Comercio regula la licitación en el derecho privado”. </w:t>
      </w:r>
    </w:p>
  </w:footnote>
  <w:footnote w:id="17">
    <w:p w14:paraId="156FF4C4" w14:textId="77777777" w:rsidR="00B879F1" w:rsidRPr="0011172E" w:rsidRDefault="00B879F1" w:rsidP="00B879F1">
      <w:pPr>
        <w:shd w:val="clear" w:color="auto" w:fill="FFFFFF"/>
        <w:spacing w:after="0" w:line="240" w:lineRule="auto"/>
        <w:ind w:firstLine="709"/>
        <w:jc w:val="both"/>
        <w:rPr>
          <w:rFonts w:ascii="Verdana" w:hAnsi="Verdana" w:cs="Arial"/>
          <w:sz w:val="18"/>
          <w:szCs w:val="18"/>
          <w:lang w:val="es-ES"/>
        </w:rPr>
      </w:pPr>
      <w:r w:rsidRPr="0011172E">
        <w:rPr>
          <w:rStyle w:val="Refdenotaalpie"/>
          <w:rFonts w:ascii="Verdana" w:hAnsi="Verdana" w:cs="Arial"/>
          <w:sz w:val="18"/>
          <w:szCs w:val="18"/>
        </w:rPr>
        <w:footnoteRef/>
      </w:r>
      <w:r w:rsidRPr="0011172E">
        <w:rPr>
          <w:rStyle w:val="Refdenotaalpie"/>
          <w:rFonts w:ascii="Verdana" w:hAnsi="Verdana" w:cs="Arial"/>
          <w:sz w:val="18"/>
          <w:szCs w:val="18"/>
        </w:rPr>
        <w:t xml:space="preserve"> </w:t>
      </w:r>
      <w:r w:rsidRPr="0011172E">
        <w:rPr>
          <w:rFonts w:ascii="Verdana" w:hAnsi="Verdana" w:cs="Arial"/>
          <w:sz w:val="18"/>
          <w:szCs w:val="18"/>
          <w:lang w:val="es-ES"/>
        </w:rPr>
        <w:t>Consejo de Estado, Sala de Consulta y Servicio Civil, Concepto de 8 de mayo de 2018. C.P. Álvaro Namén Vargas. Rad. 2382.</w:t>
      </w:r>
    </w:p>
  </w:footnote>
  <w:footnote w:id="18">
    <w:p w14:paraId="030DBD6D" w14:textId="77777777" w:rsidR="00B879F1" w:rsidRPr="0011172E" w:rsidRDefault="00B879F1" w:rsidP="00B879F1">
      <w:pPr>
        <w:pStyle w:val="Textonotapie"/>
        <w:ind w:firstLine="709"/>
        <w:jc w:val="both"/>
        <w:rPr>
          <w:rFonts w:ascii="Verdana" w:hAnsi="Verdana" w:cs="Arial"/>
          <w:sz w:val="18"/>
          <w:szCs w:val="18"/>
        </w:rPr>
      </w:pPr>
      <w:r w:rsidRPr="0011172E">
        <w:rPr>
          <w:rStyle w:val="Refdenotaalpie"/>
          <w:rFonts w:ascii="Verdana" w:hAnsi="Verdana" w:cs="Arial"/>
          <w:sz w:val="18"/>
          <w:szCs w:val="18"/>
        </w:rPr>
        <w:footnoteRef/>
      </w:r>
      <w:r w:rsidRPr="0011172E">
        <w:rPr>
          <w:rFonts w:ascii="Verdana" w:hAnsi="Verdana" w:cs="Arial"/>
          <w:sz w:val="18"/>
          <w:szCs w:val="18"/>
        </w:rPr>
        <w:t xml:space="preserve"> </w:t>
      </w:r>
      <w:proofErr w:type="spellStart"/>
      <w:r w:rsidRPr="0011172E">
        <w:rPr>
          <w:rFonts w:ascii="Verdana" w:hAnsi="Verdana" w:cs="Arial"/>
          <w:sz w:val="18"/>
          <w:szCs w:val="18"/>
        </w:rPr>
        <w:t>Ibídem</w:t>
      </w:r>
      <w:proofErr w:type="spellEnd"/>
      <w:r w:rsidRPr="0011172E">
        <w:rPr>
          <w:rFonts w:ascii="Verdana" w:hAnsi="Verdana" w:cs="Arial"/>
          <w:sz w:val="18"/>
          <w:szCs w:val="18"/>
        </w:rPr>
        <w:t xml:space="preserve">. </w:t>
      </w:r>
    </w:p>
  </w:footnote>
  <w:footnote w:id="19">
    <w:p w14:paraId="4128B73E" w14:textId="77777777" w:rsidR="00B879F1" w:rsidRPr="0011172E" w:rsidRDefault="00B879F1" w:rsidP="00B879F1">
      <w:pPr>
        <w:pStyle w:val="Textonotapie"/>
        <w:ind w:firstLine="709"/>
        <w:jc w:val="both"/>
        <w:rPr>
          <w:rFonts w:ascii="Verdana" w:hAnsi="Verdana" w:cs="Arial"/>
          <w:sz w:val="18"/>
          <w:szCs w:val="18"/>
        </w:rPr>
      </w:pPr>
      <w:r w:rsidRPr="0011172E">
        <w:rPr>
          <w:rStyle w:val="Refdenotaalpie"/>
          <w:rFonts w:ascii="Verdana" w:hAnsi="Verdana" w:cs="Arial"/>
          <w:sz w:val="18"/>
          <w:szCs w:val="18"/>
        </w:rPr>
        <w:footnoteRef/>
      </w:r>
      <w:r w:rsidRPr="0011172E">
        <w:rPr>
          <w:rFonts w:ascii="Verdana" w:hAnsi="Verdana" w:cs="Arial"/>
          <w:sz w:val="18"/>
          <w:szCs w:val="18"/>
        </w:rPr>
        <w:t xml:space="preserve"> La Corte Constitucional mediante Sentencia C-1153-05 de 11 de noviembre de 2005, Magistrado Ponente Marco Gerardo Monroy Cabra, efectuó el Control constitucional al Proyecto de Ley Estatutaria </w:t>
      </w:r>
      <w:proofErr w:type="spellStart"/>
      <w:r w:rsidRPr="0011172E">
        <w:rPr>
          <w:rFonts w:ascii="Verdana" w:hAnsi="Verdana" w:cs="Arial"/>
          <w:sz w:val="18"/>
          <w:szCs w:val="18"/>
        </w:rPr>
        <w:t>N°</w:t>
      </w:r>
      <w:proofErr w:type="spellEnd"/>
      <w:r w:rsidRPr="0011172E">
        <w:rPr>
          <w:rFonts w:ascii="Verdana" w:hAnsi="Verdana" w:cs="Arial"/>
          <w:sz w:val="18"/>
          <w:szCs w:val="18"/>
        </w:rPr>
        <w:t xml:space="preserve"> 216/05 Senado, </w:t>
      </w:r>
      <w:proofErr w:type="spellStart"/>
      <w:r w:rsidRPr="0011172E">
        <w:rPr>
          <w:rFonts w:ascii="Verdana" w:hAnsi="Verdana" w:cs="Arial"/>
          <w:sz w:val="18"/>
          <w:szCs w:val="18"/>
        </w:rPr>
        <w:t>N°</w:t>
      </w:r>
      <w:proofErr w:type="spellEnd"/>
      <w:r w:rsidRPr="0011172E">
        <w:rPr>
          <w:rFonts w:ascii="Verdana" w:hAnsi="Verdana" w:cs="Arial"/>
          <w:sz w:val="18"/>
          <w:szCs w:val="18"/>
        </w:rPr>
        <w:t xml:space="preserve"> 235-Cámara que dio lugar a la Ley de Garantías Electorales.</w:t>
      </w:r>
    </w:p>
  </w:footnote>
  <w:footnote w:id="20">
    <w:p w14:paraId="520AABA7" w14:textId="77777777" w:rsidR="00B879F1" w:rsidRPr="0011172E" w:rsidRDefault="00B879F1" w:rsidP="00B879F1">
      <w:pPr>
        <w:spacing w:after="0" w:line="240" w:lineRule="auto"/>
        <w:ind w:firstLine="709"/>
        <w:jc w:val="both"/>
        <w:rPr>
          <w:rFonts w:ascii="Verdana" w:hAnsi="Verdana" w:cs="Arial"/>
          <w:sz w:val="18"/>
          <w:szCs w:val="18"/>
        </w:rPr>
      </w:pPr>
      <w:r w:rsidRPr="0011172E">
        <w:rPr>
          <w:rStyle w:val="Refdenotaalpie"/>
          <w:rFonts w:ascii="Verdana" w:hAnsi="Verdana" w:cs="Arial"/>
          <w:sz w:val="18"/>
          <w:szCs w:val="18"/>
        </w:rPr>
        <w:footnoteRef/>
      </w:r>
      <w:r w:rsidRPr="0011172E">
        <w:rPr>
          <w:rFonts w:ascii="Verdana" w:hAnsi="Verdana" w:cs="Arial"/>
          <w:sz w:val="18"/>
          <w:szCs w:val="18"/>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1">
    <w:p w14:paraId="7E68063F" w14:textId="77777777" w:rsidR="00B879F1" w:rsidRPr="0011172E" w:rsidRDefault="00B879F1" w:rsidP="00B879F1">
      <w:pPr>
        <w:pStyle w:val="Textonotapie"/>
        <w:ind w:right="51" w:firstLine="709"/>
        <w:jc w:val="both"/>
        <w:rPr>
          <w:rFonts w:ascii="Verdana" w:eastAsia="Times New Roman" w:hAnsi="Verdana" w:cs="Arial"/>
          <w:bCs/>
          <w:sz w:val="18"/>
          <w:szCs w:val="18"/>
          <w:lang w:eastAsia="x-none"/>
        </w:rPr>
      </w:pPr>
      <w:r w:rsidRPr="0011172E">
        <w:rPr>
          <w:rStyle w:val="Refdenotaalpie"/>
          <w:rFonts w:ascii="Verdana" w:hAnsi="Verdana" w:cs="Arial"/>
          <w:sz w:val="18"/>
          <w:szCs w:val="18"/>
        </w:rPr>
        <w:footnoteRef/>
      </w:r>
      <w:r w:rsidRPr="0011172E">
        <w:rPr>
          <w:rFonts w:ascii="Verdana" w:hAnsi="Verdana" w:cs="Arial"/>
          <w:sz w:val="18"/>
          <w:szCs w:val="18"/>
        </w:rPr>
        <w:t xml:space="preserve"> Consejo de Estado, Sala de Consulta y Servicio Civil. Concepto de 6 de abril de 2006.C.P. Enrique José Arboleda Perdomo. </w:t>
      </w:r>
      <w:r w:rsidRPr="0011172E">
        <w:rPr>
          <w:rFonts w:ascii="Verdana" w:hAnsi="Verdana" w:cs="Arial"/>
          <w:sz w:val="18"/>
          <w:szCs w:val="18"/>
          <w:lang w:val="es-CO"/>
        </w:rPr>
        <w:t>Rad. 1738</w:t>
      </w:r>
      <w:r w:rsidRPr="0011172E">
        <w:rPr>
          <w:rFonts w:ascii="Verdana" w:eastAsia="Times New Roman" w:hAnsi="Verdana" w:cs="Arial"/>
          <w:bCs/>
          <w:sz w:val="18"/>
          <w:szCs w:val="18"/>
          <w:lang w:eastAsia="x-none"/>
        </w:rPr>
        <w:t xml:space="preserve"> “</w:t>
      </w:r>
      <w:r w:rsidRPr="0011172E">
        <w:rPr>
          <w:rFonts w:ascii="Verdana" w:hAnsi="Verdana" w:cs="Arial"/>
          <w:sz w:val="18"/>
          <w:szCs w:val="18"/>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11172E">
        <w:rPr>
          <w:rFonts w:ascii="Verdana" w:eastAsia="Times New Roman" w:hAnsi="Verdana" w:cs="Arial"/>
          <w:bCs/>
          <w:sz w:val="18"/>
          <w:szCs w:val="18"/>
          <w:lang w:eastAsia="x-none"/>
        </w:rPr>
        <w:t>”.</w:t>
      </w:r>
    </w:p>
  </w:footnote>
  <w:footnote w:id="22">
    <w:p w14:paraId="77C4A442" w14:textId="77777777" w:rsidR="00B879F1" w:rsidRPr="0011172E" w:rsidRDefault="00B879F1" w:rsidP="00B879F1">
      <w:pPr>
        <w:spacing w:after="0" w:line="240" w:lineRule="auto"/>
        <w:ind w:firstLine="708"/>
        <w:jc w:val="both"/>
        <w:rPr>
          <w:rFonts w:ascii="Verdana" w:hAnsi="Verdana" w:cs="Arial"/>
          <w:sz w:val="18"/>
          <w:szCs w:val="18"/>
        </w:rPr>
      </w:pPr>
      <w:r w:rsidRPr="0011172E">
        <w:rPr>
          <w:rStyle w:val="Refdenotaalpie"/>
          <w:rFonts w:ascii="Verdana" w:hAnsi="Verdana" w:cs="Arial"/>
          <w:sz w:val="18"/>
          <w:szCs w:val="18"/>
        </w:rPr>
        <w:footnoteRef/>
      </w:r>
      <w:r w:rsidRPr="0011172E">
        <w:rPr>
          <w:rFonts w:ascii="Verdana" w:hAnsi="Verdana" w:cs="Arial"/>
          <w:sz w:val="18"/>
          <w:szCs w:val="18"/>
        </w:rPr>
        <w:t xml:space="preserve"> Consejo de Estado. Sala de Consulta y Servicio Civil. Concepto de 6 de abril de 2006. C.P. Enrique José Arboleda Perdomo. Rad. 1738. </w:t>
      </w:r>
    </w:p>
  </w:footnote>
  <w:footnote w:id="23">
    <w:p w14:paraId="4DDE5E1A" w14:textId="77777777" w:rsidR="00B879F1" w:rsidRPr="0011172E" w:rsidRDefault="00B879F1" w:rsidP="00B879F1">
      <w:pPr>
        <w:pStyle w:val="Textonotapie"/>
        <w:ind w:right="51" w:firstLine="709"/>
        <w:jc w:val="both"/>
        <w:rPr>
          <w:rFonts w:ascii="Verdana" w:hAnsi="Verdana" w:cs="Arial"/>
          <w:sz w:val="18"/>
          <w:szCs w:val="18"/>
        </w:rPr>
      </w:pPr>
      <w:r w:rsidRPr="0011172E">
        <w:rPr>
          <w:rStyle w:val="Refdenotaalpie"/>
          <w:rFonts w:ascii="Verdana" w:hAnsi="Verdana" w:cs="Arial"/>
          <w:sz w:val="18"/>
          <w:szCs w:val="18"/>
        </w:rPr>
        <w:footnoteRef/>
      </w:r>
      <w:r w:rsidRPr="0011172E">
        <w:rPr>
          <w:rFonts w:ascii="Verdana" w:hAnsi="Verdana" w:cs="Arial"/>
          <w:sz w:val="18"/>
          <w:szCs w:val="18"/>
        </w:rPr>
        <w:t xml:space="preserve"> Consejo de Estado. Sala de Consulta y Servicio Civil, ídem.</w:t>
      </w:r>
    </w:p>
  </w:footnote>
  <w:footnote w:id="24">
    <w:p w14:paraId="66CCFB76" w14:textId="77777777" w:rsidR="00B879F1" w:rsidRPr="0011172E" w:rsidRDefault="00B879F1" w:rsidP="00B879F1">
      <w:pPr>
        <w:pStyle w:val="Textonotapie"/>
        <w:ind w:firstLine="708"/>
        <w:jc w:val="both"/>
        <w:rPr>
          <w:rFonts w:ascii="Arial" w:hAnsi="Arial" w:cs="Arial"/>
          <w:sz w:val="18"/>
          <w:szCs w:val="18"/>
        </w:rPr>
      </w:pPr>
      <w:r w:rsidRPr="0011172E">
        <w:rPr>
          <w:rStyle w:val="Refdenotaalpie"/>
          <w:rFonts w:ascii="Verdana" w:hAnsi="Verdana" w:cs="Arial"/>
          <w:sz w:val="18"/>
          <w:szCs w:val="18"/>
        </w:rPr>
        <w:footnoteRef/>
      </w:r>
      <w:r w:rsidRPr="0011172E">
        <w:rPr>
          <w:rFonts w:ascii="Verdana" w:hAnsi="Verdana" w:cs="Arial"/>
          <w:sz w:val="18"/>
          <w:szCs w:val="18"/>
        </w:rPr>
        <w:t xml:space="preserve"> Colombia Compra Eficiente. Circular Externa Única. Numeral 15.5.</w:t>
      </w:r>
    </w:p>
  </w:footnote>
  <w:footnote w:id="25">
    <w:p w14:paraId="60D7CCE9" w14:textId="77777777" w:rsidR="00B879F1" w:rsidRPr="0011172E" w:rsidRDefault="00B879F1" w:rsidP="00B879F1">
      <w:pPr>
        <w:pStyle w:val="Textonotapie"/>
        <w:ind w:firstLine="709"/>
        <w:contextualSpacing/>
        <w:jc w:val="both"/>
        <w:rPr>
          <w:rFonts w:ascii="Verdana" w:hAnsi="Verdana" w:cs="Arial"/>
          <w:sz w:val="18"/>
          <w:szCs w:val="18"/>
        </w:rPr>
      </w:pPr>
      <w:r w:rsidRPr="0011172E">
        <w:rPr>
          <w:rStyle w:val="Refdenotaalpie"/>
          <w:rFonts w:ascii="Verdana" w:hAnsi="Verdana"/>
          <w:sz w:val="18"/>
          <w:szCs w:val="18"/>
        </w:rPr>
        <w:footnoteRef/>
      </w:r>
      <w:r w:rsidRPr="0011172E">
        <w:rPr>
          <w:rFonts w:ascii="Verdana" w:hAnsi="Verdana"/>
          <w:sz w:val="18"/>
          <w:szCs w:val="18"/>
        </w:rPr>
        <w:t xml:space="preserve"> </w:t>
      </w:r>
      <w:r w:rsidRPr="0011172E">
        <w:rPr>
          <w:rFonts w:ascii="Verdana" w:hAnsi="Verdana" w:cs="Arial"/>
          <w:sz w:val="18"/>
          <w:szCs w:val="18"/>
        </w:rPr>
        <w:t xml:space="preserve">Consejo de Estado -Sección Tercera-. Sentencia del 21 de febrero de 2025. CP: José Roberto Sáchica Méndez. </w:t>
      </w:r>
      <w:proofErr w:type="spellStart"/>
      <w:r w:rsidRPr="0011172E">
        <w:rPr>
          <w:rFonts w:ascii="Verdana" w:hAnsi="Verdana" w:cs="Arial"/>
          <w:sz w:val="18"/>
          <w:szCs w:val="18"/>
        </w:rPr>
        <w:t>Exp</w:t>
      </w:r>
      <w:proofErr w:type="spellEnd"/>
      <w:r w:rsidRPr="0011172E">
        <w:rPr>
          <w:rFonts w:ascii="Verdana" w:hAnsi="Verdana" w:cs="Arial"/>
          <w:sz w:val="18"/>
          <w:szCs w:val="18"/>
        </w:rPr>
        <w:t xml:space="preserve">. 68.280. </w:t>
      </w:r>
    </w:p>
  </w:footnote>
  <w:footnote w:id="26">
    <w:p w14:paraId="51DCE7D3" w14:textId="77777777" w:rsidR="00B879F1" w:rsidRPr="0011172E" w:rsidRDefault="00B879F1" w:rsidP="00B879F1">
      <w:pPr>
        <w:pStyle w:val="Textonotapie"/>
        <w:ind w:firstLine="709"/>
        <w:contextualSpacing/>
        <w:jc w:val="both"/>
        <w:rPr>
          <w:rFonts w:ascii="Verdana" w:hAnsi="Verdana" w:cs="Arial"/>
          <w:sz w:val="18"/>
          <w:szCs w:val="18"/>
        </w:rPr>
      </w:pPr>
      <w:r w:rsidRPr="0011172E">
        <w:rPr>
          <w:rFonts w:ascii="Verdana" w:hAnsi="Verdana"/>
          <w:sz w:val="18"/>
          <w:szCs w:val="18"/>
          <w:vertAlign w:val="superscript"/>
        </w:rPr>
        <w:footnoteRef/>
      </w:r>
      <w:r w:rsidRPr="0011172E">
        <w:rPr>
          <w:rFonts w:ascii="Verdana" w:hAnsi="Verdana"/>
          <w:sz w:val="18"/>
          <w:szCs w:val="18"/>
          <w:vertAlign w:val="superscript"/>
        </w:rPr>
        <w:t xml:space="preserve"> </w:t>
      </w:r>
      <w:r w:rsidRPr="0011172E">
        <w:rPr>
          <w:rFonts w:ascii="Verdana" w:hAnsi="Verdana" w:cs="Arial"/>
          <w:sz w:val="18"/>
          <w:szCs w:val="18"/>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7">
    <w:p w14:paraId="22B67A0C" w14:textId="77777777" w:rsidR="00B879F1" w:rsidRPr="0011172E" w:rsidRDefault="00B879F1" w:rsidP="00B879F1">
      <w:pPr>
        <w:pStyle w:val="Textonotapie"/>
        <w:ind w:firstLine="709"/>
        <w:contextualSpacing/>
        <w:jc w:val="both"/>
        <w:rPr>
          <w:rFonts w:ascii="Verdana" w:hAnsi="Verdana" w:cs="Arial"/>
          <w:sz w:val="18"/>
          <w:szCs w:val="18"/>
        </w:rPr>
      </w:pPr>
      <w:r w:rsidRPr="0011172E">
        <w:rPr>
          <w:rFonts w:ascii="Verdana" w:hAnsi="Verdana"/>
          <w:sz w:val="18"/>
          <w:szCs w:val="18"/>
          <w:vertAlign w:val="superscript"/>
        </w:rPr>
        <w:footnoteRef/>
      </w:r>
      <w:r w:rsidRPr="0011172E">
        <w:rPr>
          <w:rFonts w:ascii="Verdana" w:hAnsi="Verdana" w:cs="Arial"/>
          <w:sz w:val="18"/>
          <w:szCs w:val="18"/>
          <w:vertAlign w:val="superscript"/>
        </w:rPr>
        <w:t xml:space="preserve"> </w:t>
      </w:r>
      <w:r w:rsidRPr="0011172E">
        <w:rPr>
          <w:rFonts w:ascii="Verdana" w:hAnsi="Verdana" w:cs="Arial"/>
          <w:sz w:val="18"/>
          <w:szCs w:val="18"/>
        </w:rPr>
        <w:t>Ley 80 de 1993: “Artículo 41. Del perfeccionamiento del contrato. Los contratos del Estado se perfeccionan cuando se logre acuerdo sobre el objeto y la contraprestación y éste se eleve a escrito.</w:t>
      </w:r>
    </w:p>
    <w:p w14:paraId="4D74E385" w14:textId="77777777" w:rsidR="00B879F1" w:rsidRPr="0011172E" w:rsidRDefault="00B879F1" w:rsidP="00B879F1">
      <w:pPr>
        <w:pStyle w:val="Textonotapie"/>
        <w:ind w:firstLine="709"/>
        <w:contextualSpacing/>
        <w:jc w:val="both"/>
        <w:rPr>
          <w:rFonts w:ascii="Verdana" w:hAnsi="Verdana" w:cs="Arial"/>
          <w:sz w:val="18"/>
          <w:szCs w:val="18"/>
        </w:rPr>
      </w:pPr>
      <w:r w:rsidRPr="0011172E">
        <w:rPr>
          <w:rFonts w:ascii="Verdana" w:hAnsi="Verdana" w:cs="Arial"/>
          <w:sz w:val="18"/>
          <w:szCs w:val="18"/>
        </w:rPr>
        <w:t>[…]”.</w:t>
      </w:r>
    </w:p>
  </w:footnote>
  <w:footnote w:id="28">
    <w:p w14:paraId="184931E5" w14:textId="77777777" w:rsidR="00B879F1" w:rsidRPr="0011172E" w:rsidRDefault="00B879F1" w:rsidP="00B879F1">
      <w:pPr>
        <w:pStyle w:val="Textonotapie"/>
        <w:ind w:firstLine="709"/>
        <w:contextualSpacing/>
        <w:jc w:val="both"/>
        <w:rPr>
          <w:rFonts w:ascii="Verdana" w:hAnsi="Verdana" w:cs="Arial"/>
          <w:sz w:val="18"/>
          <w:szCs w:val="18"/>
        </w:rPr>
      </w:pPr>
      <w:r w:rsidRPr="0011172E">
        <w:rPr>
          <w:rFonts w:ascii="Verdana" w:hAnsi="Verdana"/>
          <w:sz w:val="18"/>
          <w:szCs w:val="18"/>
          <w:vertAlign w:val="superscript"/>
        </w:rPr>
        <w:footnoteRef/>
      </w:r>
      <w:r w:rsidRPr="0011172E">
        <w:rPr>
          <w:rFonts w:ascii="Verdana" w:hAnsi="Verdana" w:cs="Arial"/>
          <w:sz w:val="18"/>
          <w:szCs w:val="18"/>
          <w:vertAlign w:val="superscript"/>
        </w:rPr>
        <w:t xml:space="preserve"> </w:t>
      </w:r>
      <w:r w:rsidRPr="0011172E">
        <w:rPr>
          <w:rFonts w:ascii="Verdana" w:hAnsi="Verdana" w:cs="Arial"/>
          <w:sz w:val="18"/>
          <w:szCs w:val="18"/>
        </w:rPr>
        <w:t>Código Civil: “Artículo 27. Cuando el sentido de la ley sea claro, no se desatenderá su tenor a pretexto de consultar su espíritu”.</w:t>
      </w:r>
    </w:p>
  </w:footnote>
  <w:footnote w:id="29">
    <w:p w14:paraId="4B0BEA18" w14:textId="77777777" w:rsidR="00B879F1" w:rsidRPr="0011172E" w:rsidRDefault="00B879F1" w:rsidP="00B879F1">
      <w:pPr>
        <w:pStyle w:val="Textonotapie"/>
        <w:ind w:firstLine="708"/>
        <w:jc w:val="both"/>
        <w:rPr>
          <w:rFonts w:ascii="Verdana" w:hAnsi="Verdana"/>
          <w:sz w:val="18"/>
          <w:szCs w:val="18"/>
          <w:lang w:val="es-ES"/>
        </w:rPr>
      </w:pPr>
      <w:r w:rsidRPr="0011172E">
        <w:rPr>
          <w:rStyle w:val="Refdenotaalpie"/>
          <w:rFonts w:ascii="Verdana" w:hAnsi="Verdana"/>
          <w:sz w:val="18"/>
          <w:szCs w:val="18"/>
        </w:rPr>
        <w:footnoteRef/>
      </w:r>
      <w:r w:rsidRPr="0011172E">
        <w:rPr>
          <w:rFonts w:ascii="Verdana" w:hAnsi="Verdana"/>
          <w:sz w:val="18"/>
          <w:szCs w:val="18"/>
        </w:rPr>
        <w:t xml:space="preserve"> </w:t>
      </w:r>
      <w:r w:rsidRPr="0011172E">
        <w:rPr>
          <w:rFonts w:ascii="Verdana" w:hAnsi="Verdana"/>
          <w:sz w:val="18"/>
          <w:szCs w:val="18"/>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proofErr w:type="spellStart"/>
      <w:r w:rsidRPr="0011172E">
        <w:rPr>
          <w:rFonts w:ascii="Verdana" w:hAnsi="Verdana"/>
          <w:i/>
          <w:iCs/>
          <w:sz w:val="18"/>
          <w:szCs w:val="18"/>
          <w:lang w:val="es-ES"/>
        </w:rPr>
        <w:t>Ubi</w:t>
      </w:r>
      <w:proofErr w:type="spellEnd"/>
      <w:r w:rsidRPr="0011172E">
        <w:rPr>
          <w:rFonts w:ascii="Verdana" w:hAnsi="Verdana"/>
          <w:i/>
          <w:iCs/>
          <w:sz w:val="18"/>
          <w:szCs w:val="18"/>
          <w:lang w:val="es-ES"/>
        </w:rPr>
        <w:t xml:space="preserve"> lex non </w:t>
      </w:r>
      <w:proofErr w:type="spellStart"/>
      <w:r w:rsidRPr="0011172E">
        <w:rPr>
          <w:rFonts w:ascii="Verdana" w:hAnsi="Verdana"/>
          <w:i/>
          <w:iCs/>
          <w:sz w:val="18"/>
          <w:szCs w:val="18"/>
          <w:lang w:val="es-ES"/>
        </w:rPr>
        <w:t>distinguit</w:t>
      </w:r>
      <w:proofErr w:type="spellEnd"/>
      <w:r w:rsidRPr="0011172E">
        <w:rPr>
          <w:rFonts w:ascii="Verdana" w:hAnsi="Verdana"/>
          <w:i/>
          <w:iCs/>
          <w:sz w:val="18"/>
          <w:szCs w:val="18"/>
          <w:lang w:val="es-ES"/>
        </w:rPr>
        <w:t xml:space="preserve"> </w:t>
      </w:r>
      <w:proofErr w:type="spellStart"/>
      <w:r w:rsidRPr="0011172E">
        <w:rPr>
          <w:rFonts w:ascii="Verdana" w:hAnsi="Verdana"/>
          <w:i/>
          <w:iCs/>
          <w:sz w:val="18"/>
          <w:szCs w:val="18"/>
          <w:lang w:val="es-ES"/>
        </w:rPr>
        <w:t>nec</w:t>
      </w:r>
      <w:proofErr w:type="spellEnd"/>
      <w:r w:rsidRPr="0011172E">
        <w:rPr>
          <w:rFonts w:ascii="Verdana" w:hAnsi="Verdana"/>
          <w:i/>
          <w:iCs/>
          <w:sz w:val="18"/>
          <w:szCs w:val="18"/>
          <w:lang w:val="es-ES"/>
        </w:rPr>
        <w:t xml:space="preserve"> nos </w:t>
      </w:r>
      <w:proofErr w:type="spellStart"/>
      <w:r w:rsidRPr="0011172E">
        <w:rPr>
          <w:rFonts w:ascii="Verdana" w:hAnsi="Verdana"/>
          <w:i/>
          <w:iCs/>
          <w:sz w:val="18"/>
          <w:szCs w:val="18"/>
          <w:lang w:val="es-ES"/>
        </w:rPr>
        <w:t>distinguere</w:t>
      </w:r>
      <w:proofErr w:type="spellEnd"/>
      <w:r w:rsidRPr="0011172E">
        <w:rPr>
          <w:rFonts w:ascii="Verdana" w:hAnsi="Verdana"/>
          <w:i/>
          <w:iCs/>
          <w:sz w:val="18"/>
          <w:szCs w:val="18"/>
          <w:lang w:val="es-ES"/>
        </w:rPr>
        <w:t xml:space="preserve"> </w:t>
      </w:r>
      <w:proofErr w:type="spellStart"/>
      <w:r w:rsidRPr="0011172E">
        <w:rPr>
          <w:rFonts w:ascii="Verdana" w:hAnsi="Verdana"/>
          <w:i/>
          <w:iCs/>
          <w:sz w:val="18"/>
          <w:szCs w:val="18"/>
          <w:lang w:val="es-ES"/>
        </w:rPr>
        <w:t>debemus</w:t>
      </w:r>
      <w:proofErr w:type="spellEnd"/>
      <w:r w:rsidRPr="0011172E">
        <w:rPr>
          <w:rFonts w:ascii="Verdana" w:hAnsi="Verdana"/>
          <w:sz w:val="18"/>
          <w:szCs w:val="18"/>
          <w:lang w:val="es-ES"/>
        </w:rPr>
        <w:t>, ‘donde la ley no distingue no puede el hombre distinguir’. ‘La extensión que deba dársele a la ley se determinará por su genuino sentido y según las reglas de interpretación precedentes’, dice el artículo 23.</w:t>
      </w:r>
    </w:p>
    <w:p w14:paraId="232074A3" w14:textId="77777777" w:rsidR="00B879F1" w:rsidRPr="0011172E" w:rsidRDefault="00B879F1" w:rsidP="00B879F1">
      <w:pPr>
        <w:pStyle w:val="Textonotapie"/>
        <w:ind w:firstLine="708"/>
        <w:jc w:val="both"/>
        <w:rPr>
          <w:rFonts w:ascii="Verdana" w:hAnsi="Verdana"/>
          <w:sz w:val="18"/>
          <w:szCs w:val="18"/>
          <w:lang w:val="es-CO"/>
        </w:rPr>
      </w:pPr>
      <w:r w:rsidRPr="0011172E">
        <w:rPr>
          <w:rFonts w:ascii="Verdana" w:hAnsi="Verdana"/>
          <w:sz w:val="18"/>
          <w:szCs w:val="18"/>
          <w:lang w:val="es-ES"/>
        </w:rPr>
        <w:t xml:space="preserve">En el derecho antiguo y en el derecho canónico se distinguían las leyes en favorables y odiosas, para ampliar o restringir su interpretación. </w:t>
      </w:r>
      <w:r w:rsidRPr="0011172E">
        <w:rPr>
          <w:rFonts w:ascii="Verdana" w:hAnsi="Verdana"/>
          <w:i/>
          <w:iCs/>
          <w:sz w:val="18"/>
          <w:szCs w:val="18"/>
          <w:lang w:val="es-ES"/>
        </w:rPr>
        <w:t xml:space="preserve">Odia restringí et favores </w:t>
      </w:r>
      <w:proofErr w:type="spellStart"/>
      <w:r w:rsidRPr="0011172E">
        <w:rPr>
          <w:rFonts w:ascii="Verdana" w:hAnsi="Verdana"/>
          <w:i/>
          <w:iCs/>
          <w:sz w:val="18"/>
          <w:szCs w:val="18"/>
          <w:lang w:val="es-ES"/>
        </w:rPr>
        <w:t>convenit</w:t>
      </w:r>
      <w:proofErr w:type="spellEnd"/>
      <w:r w:rsidRPr="0011172E">
        <w:rPr>
          <w:rFonts w:ascii="Verdana" w:hAnsi="Verdana"/>
          <w:i/>
          <w:iCs/>
          <w:sz w:val="18"/>
          <w:szCs w:val="18"/>
          <w:lang w:val="es-ES"/>
        </w:rPr>
        <w:t xml:space="preserve"> </w:t>
      </w:r>
      <w:proofErr w:type="spellStart"/>
      <w:r w:rsidRPr="0011172E">
        <w:rPr>
          <w:rFonts w:ascii="Verdana" w:hAnsi="Verdana"/>
          <w:i/>
          <w:iCs/>
          <w:sz w:val="18"/>
          <w:szCs w:val="18"/>
          <w:lang w:val="es-ES"/>
        </w:rPr>
        <w:t>ampliari</w:t>
      </w:r>
      <w:proofErr w:type="spellEnd"/>
      <w:r w:rsidRPr="0011172E">
        <w:rPr>
          <w:rFonts w:ascii="Verdana" w:hAnsi="Verdana"/>
          <w:sz w:val="18"/>
          <w:szCs w:val="18"/>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11172E">
        <w:rPr>
          <w:rFonts w:ascii="Verdana" w:hAnsi="Verdana"/>
          <w:sz w:val="18"/>
          <w:szCs w:val="18"/>
        </w:rPr>
        <w:t>CLARO SOLAR, Luis. Explicaciones de derecho civil chileno y comparado. Volumen I. Tomo I. Santiago: Editorial Jurídica de Chile, 2013. p. 119. Énfasis dentro del texto).</w:t>
      </w:r>
    </w:p>
  </w:footnote>
  <w:footnote w:id="30">
    <w:p w14:paraId="2F27437E" w14:textId="77777777" w:rsidR="00B879F1" w:rsidRPr="0011172E" w:rsidRDefault="00B879F1" w:rsidP="00B879F1">
      <w:pPr>
        <w:pStyle w:val="Textonotapie"/>
        <w:ind w:firstLine="709"/>
        <w:contextualSpacing/>
        <w:jc w:val="both"/>
        <w:rPr>
          <w:rFonts w:ascii="Verdana" w:hAnsi="Verdana"/>
          <w:sz w:val="18"/>
          <w:szCs w:val="18"/>
          <w:lang w:val="es-CO"/>
        </w:rPr>
      </w:pPr>
      <w:r w:rsidRPr="0011172E">
        <w:rPr>
          <w:rStyle w:val="Refdenotaalpie"/>
          <w:rFonts w:ascii="Verdana" w:hAnsi="Verdana"/>
          <w:sz w:val="18"/>
          <w:szCs w:val="18"/>
        </w:rPr>
        <w:footnoteRef/>
      </w:r>
      <w:r w:rsidRPr="0011172E">
        <w:rPr>
          <w:rFonts w:ascii="Verdana" w:hAnsi="Verdana"/>
          <w:sz w:val="18"/>
          <w:szCs w:val="18"/>
          <w:lang w:val="es-CO"/>
        </w:rPr>
        <w:t xml:space="preserve"> Consejo de Estado, Sección Tercera, Subsección B. Auto del 4 de octubre de 2024. C.P: Fredy Ibarra Martínez. </w:t>
      </w:r>
      <w:proofErr w:type="spellStart"/>
      <w:r w:rsidRPr="0011172E">
        <w:rPr>
          <w:rFonts w:ascii="Verdana" w:hAnsi="Verdana"/>
          <w:sz w:val="18"/>
          <w:szCs w:val="18"/>
          <w:lang w:val="es-CO"/>
        </w:rPr>
        <w:t>Exp</w:t>
      </w:r>
      <w:proofErr w:type="spellEnd"/>
      <w:r w:rsidRPr="0011172E">
        <w:rPr>
          <w:rFonts w:ascii="Verdana" w:hAnsi="Verdana"/>
          <w:sz w:val="18"/>
          <w:szCs w:val="18"/>
          <w:lang w:val="es-CO"/>
        </w:rPr>
        <w:t>. 70.313.</w:t>
      </w:r>
    </w:p>
  </w:footnote>
  <w:footnote w:id="31">
    <w:p w14:paraId="10550E0C" w14:textId="77777777" w:rsidR="00B879F1" w:rsidRPr="0011172E" w:rsidRDefault="00B879F1" w:rsidP="00B879F1">
      <w:pPr>
        <w:pStyle w:val="Textonotapie"/>
        <w:ind w:firstLine="709"/>
        <w:contextualSpacing/>
        <w:jc w:val="both"/>
        <w:rPr>
          <w:rFonts w:ascii="Verdana" w:hAnsi="Verdana"/>
          <w:sz w:val="18"/>
          <w:szCs w:val="18"/>
          <w:lang w:val="es-CO"/>
        </w:rPr>
      </w:pPr>
      <w:r w:rsidRPr="0011172E">
        <w:rPr>
          <w:rStyle w:val="Refdenotaalpie"/>
          <w:rFonts w:ascii="Verdana" w:hAnsi="Verdana"/>
          <w:sz w:val="18"/>
          <w:szCs w:val="18"/>
        </w:rPr>
        <w:footnoteRef/>
      </w:r>
      <w:r w:rsidRPr="0011172E">
        <w:rPr>
          <w:rFonts w:ascii="Verdana" w:hAnsi="Verdana"/>
          <w:sz w:val="18"/>
          <w:szCs w:val="18"/>
        </w:rPr>
        <w:t xml:space="preserve"> La parte resolutiva del auto dispone lo siguiente; “</w:t>
      </w:r>
      <w:r w:rsidRPr="0011172E">
        <w:rPr>
          <w:rFonts w:ascii="Verdana" w:hAnsi="Verdana"/>
          <w:b/>
          <w:sz w:val="18"/>
          <w:szCs w:val="18"/>
          <w:lang w:val="es-CO"/>
        </w:rPr>
        <w:t xml:space="preserve">PRIMERO: DECRETAR </w:t>
      </w:r>
      <w:r w:rsidRPr="0011172E">
        <w:rPr>
          <w:rFonts w:ascii="Verdana" w:hAnsi="Verdana"/>
          <w:sz w:val="18"/>
          <w:szCs w:val="18"/>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11172E">
        <w:rPr>
          <w:rFonts w:ascii="Verdana" w:hAnsi="Verdana"/>
          <w:i/>
          <w:sz w:val="18"/>
          <w:szCs w:val="18"/>
          <w:lang w:val="es-CO"/>
        </w:rPr>
        <w:t>“[e]</w:t>
      </w:r>
      <w:proofErr w:type="spellStart"/>
      <w:r w:rsidRPr="0011172E">
        <w:rPr>
          <w:rFonts w:ascii="Verdana" w:hAnsi="Verdana"/>
          <w:i/>
          <w:sz w:val="18"/>
          <w:szCs w:val="18"/>
          <w:lang w:val="es-CO"/>
        </w:rPr>
        <w:t>sta</w:t>
      </w:r>
      <w:proofErr w:type="spellEnd"/>
      <w:r w:rsidRPr="0011172E">
        <w:rPr>
          <w:rFonts w:ascii="Verdana" w:hAnsi="Verdana"/>
          <w:i/>
          <w:sz w:val="18"/>
          <w:szCs w:val="18"/>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11172E">
        <w:rPr>
          <w:rFonts w:ascii="Verdana" w:hAnsi="Verdana"/>
          <w:sz w:val="18"/>
          <w:szCs w:val="18"/>
          <w:lang w:val="es-CO"/>
        </w:rPr>
        <w:t xml:space="preserve">, por las razones expuestas en precedencia. </w:t>
      </w:r>
    </w:p>
    <w:p w14:paraId="2A088A99" w14:textId="77777777" w:rsidR="00B879F1" w:rsidRPr="0011172E" w:rsidRDefault="00B879F1" w:rsidP="00B879F1">
      <w:pPr>
        <w:pStyle w:val="Textonotapie"/>
        <w:ind w:firstLine="709"/>
        <w:contextualSpacing/>
        <w:jc w:val="both"/>
        <w:rPr>
          <w:rFonts w:ascii="Verdana" w:hAnsi="Verdana"/>
          <w:sz w:val="18"/>
          <w:szCs w:val="18"/>
          <w:lang w:val="es-CO"/>
        </w:rPr>
      </w:pPr>
      <w:r w:rsidRPr="0011172E">
        <w:rPr>
          <w:rFonts w:ascii="Verdana" w:hAnsi="Verdana"/>
          <w:b/>
          <w:sz w:val="18"/>
          <w:szCs w:val="18"/>
          <w:lang w:val="es-CO"/>
        </w:rPr>
        <w:t xml:space="preserve">SEGUNDO: DECRETAR </w:t>
      </w:r>
      <w:r w:rsidRPr="0011172E">
        <w:rPr>
          <w:rFonts w:ascii="Verdana" w:hAnsi="Verdana"/>
          <w:sz w:val="18"/>
          <w:szCs w:val="18"/>
          <w:lang w:val="es-CO"/>
        </w:rPr>
        <w:t>la suspensión provisional de la expresión “</w:t>
      </w:r>
      <w:r w:rsidRPr="0011172E">
        <w:rPr>
          <w:rFonts w:ascii="Verdana" w:hAnsi="Verdana"/>
          <w:i/>
          <w:sz w:val="18"/>
          <w:szCs w:val="18"/>
          <w:lang w:val="es-CO"/>
        </w:rPr>
        <w:t>contratos</w:t>
      </w:r>
      <w:r w:rsidRPr="0011172E">
        <w:rPr>
          <w:rFonts w:ascii="Verdana" w:hAnsi="Verdana"/>
          <w:sz w:val="18"/>
          <w:szCs w:val="18"/>
          <w:lang w:val="es-CO"/>
        </w:rPr>
        <w:t xml:space="preserve">” y del párrafo </w:t>
      </w:r>
      <w:r w:rsidRPr="0011172E">
        <w:rPr>
          <w:rFonts w:ascii="Verdana" w:hAnsi="Verdana"/>
          <w:i/>
          <w:sz w:val="18"/>
          <w:szCs w:val="18"/>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11172E">
        <w:rPr>
          <w:rFonts w:ascii="Verdana" w:hAnsi="Verdana"/>
          <w:sz w:val="18"/>
          <w:szCs w:val="18"/>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11172E">
        <w:rPr>
          <w:rFonts w:ascii="Verdana" w:hAnsi="Verdana"/>
          <w:sz w:val="18"/>
          <w:szCs w:val="18"/>
          <w:lang w:val="es-CO"/>
        </w:rPr>
        <w:t>Exp</w:t>
      </w:r>
      <w:proofErr w:type="spellEnd"/>
      <w:r w:rsidRPr="0011172E">
        <w:rPr>
          <w:rFonts w:ascii="Verdana" w:hAnsi="Verdana"/>
          <w:sz w:val="18"/>
          <w:szCs w:val="18"/>
          <w:lang w:val="es-CO"/>
        </w:rPr>
        <w:t xml:space="preserve">. 72.424. C.P: Fernando Alexei Pardo Flórez. </w:t>
      </w:r>
    </w:p>
  </w:footnote>
  <w:footnote w:id="32">
    <w:p w14:paraId="24B9D7D1" w14:textId="77777777" w:rsidR="00B879F1" w:rsidRPr="0011172E" w:rsidRDefault="00B879F1" w:rsidP="00B879F1">
      <w:pPr>
        <w:spacing w:after="0" w:line="240" w:lineRule="auto"/>
        <w:ind w:firstLine="709"/>
        <w:contextualSpacing/>
        <w:jc w:val="both"/>
        <w:rPr>
          <w:rFonts w:ascii="Verdana" w:eastAsia="Times New Roman" w:hAnsi="Verdana" w:cs="Times New Roman"/>
          <w:sz w:val="18"/>
          <w:szCs w:val="18"/>
          <w:lang w:eastAsia="es-ES"/>
        </w:rPr>
      </w:pPr>
      <w:r w:rsidRPr="0011172E">
        <w:rPr>
          <w:rStyle w:val="Refdenotaalpie"/>
          <w:rFonts w:ascii="Verdana" w:hAnsi="Verdana"/>
          <w:sz w:val="18"/>
          <w:szCs w:val="18"/>
        </w:rPr>
        <w:footnoteRef/>
      </w:r>
      <w:r w:rsidRPr="0011172E">
        <w:rPr>
          <w:rFonts w:ascii="Verdana" w:hAnsi="Verdana"/>
          <w:sz w:val="18"/>
          <w:szCs w:val="18"/>
        </w:rPr>
        <w:t xml:space="preserve"> </w:t>
      </w:r>
      <w:r w:rsidRPr="0011172E">
        <w:rPr>
          <w:rFonts w:ascii="Verdana" w:eastAsia="Times New Roman" w:hAnsi="Verdana" w:cs="Times New Roman"/>
          <w:sz w:val="18"/>
          <w:szCs w:val="18"/>
          <w:lang w:eastAsia="es-ES"/>
        </w:rPr>
        <w:t xml:space="preserve">Consejo de Estado. Sección Tercera. Subsección B. 17 de octubre de 2025. C.P. Fredy Ibarra Martínez. </w:t>
      </w:r>
      <w:r w:rsidRPr="0011172E">
        <w:rPr>
          <w:rFonts w:ascii="Verdana" w:hAnsi="Verdana"/>
          <w:sz w:val="18"/>
          <w:szCs w:val="18"/>
        </w:rPr>
        <w:t xml:space="preserve">La parte de la providencia señala: </w:t>
      </w:r>
      <w:r w:rsidRPr="0011172E">
        <w:rPr>
          <w:rFonts w:ascii="Verdana" w:eastAsia="Times New Roman" w:hAnsi="Verdana" w:cs="Times New Roman"/>
          <w:sz w:val="18"/>
          <w:szCs w:val="18"/>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11172E">
        <w:rPr>
          <w:rFonts w:ascii="Verdana" w:eastAsia="Times New Roman" w:hAnsi="Verdana" w:cs="Times New Roman"/>
          <w:sz w:val="18"/>
          <w:szCs w:val="18"/>
          <w:lang w:eastAsia="es-ES"/>
        </w:rPr>
        <w:t>ii</w:t>
      </w:r>
      <w:proofErr w:type="spellEnd"/>
      <w:r w:rsidRPr="0011172E">
        <w:rPr>
          <w:rFonts w:ascii="Verdana" w:eastAsia="Times New Roman" w:hAnsi="Verdana" w:cs="Times New Roman"/>
          <w:sz w:val="18"/>
          <w:szCs w:val="18"/>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3">
    <w:p w14:paraId="0899244D" w14:textId="77777777" w:rsidR="00B879F1" w:rsidRPr="009D0D83" w:rsidRDefault="00B879F1" w:rsidP="00B879F1">
      <w:pPr>
        <w:pStyle w:val="Textonotapie"/>
        <w:ind w:firstLine="709"/>
        <w:jc w:val="both"/>
        <w:rPr>
          <w:rFonts w:ascii="Verdana" w:hAnsi="Verdana"/>
          <w:sz w:val="16"/>
          <w:szCs w:val="16"/>
          <w:lang w:val="es-CO"/>
        </w:rPr>
      </w:pPr>
      <w:r w:rsidRPr="0011172E">
        <w:rPr>
          <w:rStyle w:val="Refdenotaalpie"/>
          <w:rFonts w:ascii="Verdana" w:hAnsi="Verdana"/>
          <w:sz w:val="18"/>
          <w:szCs w:val="18"/>
        </w:rPr>
        <w:footnoteRef/>
      </w:r>
      <w:r w:rsidRPr="0011172E">
        <w:rPr>
          <w:rFonts w:ascii="Verdana" w:hAnsi="Verdana"/>
          <w:sz w:val="18"/>
          <w:szCs w:val="18"/>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546F3E"/>
    <w:multiLevelType w:val="hybridMultilevel"/>
    <w:tmpl w:val="249CDDD8"/>
    <w:lvl w:ilvl="0" w:tplc="23FE460A">
      <w:start w:val="1"/>
      <w:numFmt w:val="lowerRoman"/>
      <w:lvlText w:val="(%1)"/>
      <w:lvlJc w:val="left"/>
      <w:pPr>
        <w:ind w:left="1070" w:hanging="360"/>
      </w:pPr>
      <w:rPr>
        <w:rFonts w:ascii="Verdana" w:eastAsia="Times New Roman" w:hAnsi="Verdana" w:cs="Arial"/>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1" w15:restartNumberingAfterBreak="0">
    <w:nsid w:val="43E26ED5"/>
    <w:multiLevelType w:val="hybridMultilevel"/>
    <w:tmpl w:val="34D8BCCC"/>
    <w:lvl w:ilvl="0" w:tplc="1CDEDC7C">
      <w:start w:val="12"/>
      <w:numFmt w:val="bullet"/>
      <w:lvlText w:val="-"/>
      <w:lvlJc w:val="left"/>
      <w:pPr>
        <w:ind w:left="1069" w:hanging="360"/>
      </w:pPr>
      <w:rPr>
        <w:rFonts w:ascii="Verdana" w:eastAsia="Century Gothic"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2"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5"/>
  </w:num>
  <w:num w:numId="8" w16cid:durableId="152644682">
    <w:abstractNumId w:val="15"/>
  </w:num>
  <w:num w:numId="9" w16cid:durableId="1317221377">
    <w:abstractNumId w:val="7"/>
  </w:num>
  <w:num w:numId="10" w16cid:durableId="1471245386">
    <w:abstractNumId w:val="14"/>
  </w:num>
  <w:num w:numId="11" w16cid:durableId="289172385">
    <w:abstractNumId w:val="8"/>
  </w:num>
  <w:num w:numId="12" w16cid:durableId="1470781324">
    <w:abstractNumId w:val="1"/>
  </w:num>
  <w:num w:numId="13" w16cid:durableId="1512908409">
    <w:abstractNumId w:val="3"/>
  </w:num>
  <w:num w:numId="14" w16cid:durableId="895897244">
    <w:abstractNumId w:val="17"/>
  </w:num>
  <w:num w:numId="15" w16cid:durableId="390349800">
    <w:abstractNumId w:val="13"/>
  </w:num>
  <w:num w:numId="16" w16cid:durableId="1489201040">
    <w:abstractNumId w:val="0"/>
  </w:num>
  <w:num w:numId="17" w16cid:durableId="222445883">
    <w:abstractNumId w:val="11"/>
  </w:num>
  <w:num w:numId="18" w16cid:durableId="1542086715">
    <w:abstractNumId w:val="9"/>
  </w:num>
  <w:num w:numId="19" w16cid:durableId="1723482334">
    <w:abstractNumId w:val="12"/>
  </w:num>
  <w:num w:numId="20" w16cid:durableId="132396957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71B"/>
    <w:rsid w:val="00016F78"/>
    <w:rsid w:val="00046945"/>
    <w:rsid w:val="0005373A"/>
    <w:rsid w:val="00061B2A"/>
    <w:rsid w:val="00082362"/>
    <w:rsid w:val="000A1619"/>
    <w:rsid w:val="000A683E"/>
    <w:rsid w:val="000B19B9"/>
    <w:rsid w:val="000B7011"/>
    <w:rsid w:val="000C503F"/>
    <w:rsid w:val="000C54FC"/>
    <w:rsid w:val="000C6184"/>
    <w:rsid w:val="000D0334"/>
    <w:rsid w:val="000D5DA7"/>
    <w:rsid w:val="000E07D2"/>
    <w:rsid w:val="000F249F"/>
    <w:rsid w:val="000F6486"/>
    <w:rsid w:val="000F71D6"/>
    <w:rsid w:val="0011172E"/>
    <w:rsid w:val="00116940"/>
    <w:rsid w:val="00125105"/>
    <w:rsid w:val="00127233"/>
    <w:rsid w:val="00135D97"/>
    <w:rsid w:val="0015699B"/>
    <w:rsid w:val="00156E2B"/>
    <w:rsid w:val="001651E0"/>
    <w:rsid w:val="00182A55"/>
    <w:rsid w:val="001844A9"/>
    <w:rsid w:val="00190222"/>
    <w:rsid w:val="00193C0A"/>
    <w:rsid w:val="001A1D19"/>
    <w:rsid w:val="001A33BF"/>
    <w:rsid w:val="001B44BF"/>
    <w:rsid w:val="001B7CA6"/>
    <w:rsid w:val="001E4177"/>
    <w:rsid w:val="001F0B24"/>
    <w:rsid w:val="001F0B38"/>
    <w:rsid w:val="001F370F"/>
    <w:rsid w:val="001F7DC6"/>
    <w:rsid w:val="0022400B"/>
    <w:rsid w:val="00231B0E"/>
    <w:rsid w:val="00241D3E"/>
    <w:rsid w:val="002421BB"/>
    <w:rsid w:val="0025427E"/>
    <w:rsid w:val="0025796E"/>
    <w:rsid w:val="00266664"/>
    <w:rsid w:val="002707A2"/>
    <w:rsid w:val="002951A0"/>
    <w:rsid w:val="002962BC"/>
    <w:rsid w:val="002A0365"/>
    <w:rsid w:val="002A093D"/>
    <w:rsid w:val="002A0DD0"/>
    <w:rsid w:val="002A49AC"/>
    <w:rsid w:val="002A64FD"/>
    <w:rsid w:val="002C7A84"/>
    <w:rsid w:val="002E2BF8"/>
    <w:rsid w:val="002E4FD9"/>
    <w:rsid w:val="0030657A"/>
    <w:rsid w:val="00322A85"/>
    <w:rsid w:val="00324168"/>
    <w:rsid w:val="00327B94"/>
    <w:rsid w:val="00330834"/>
    <w:rsid w:val="003448F4"/>
    <w:rsid w:val="00372BCD"/>
    <w:rsid w:val="00374F5E"/>
    <w:rsid w:val="00377E3E"/>
    <w:rsid w:val="00390A4A"/>
    <w:rsid w:val="003A779E"/>
    <w:rsid w:val="003C6FF5"/>
    <w:rsid w:val="003D0F4D"/>
    <w:rsid w:val="003D153B"/>
    <w:rsid w:val="003D5B0D"/>
    <w:rsid w:val="003E0499"/>
    <w:rsid w:val="003E4F80"/>
    <w:rsid w:val="003E6439"/>
    <w:rsid w:val="003F12FD"/>
    <w:rsid w:val="003F13BC"/>
    <w:rsid w:val="003F3941"/>
    <w:rsid w:val="00403FAC"/>
    <w:rsid w:val="00406575"/>
    <w:rsid w:val="00414C74"/>
    <w:rsid w:val="0042722E"/>
    <w:rsid w:val="00433184"/>
    <w:rsid w:val="0044528D"/>
    <w:rsid w:val="00454E3B"/>
    <w:rsid w:val="00461373"/>
    <w:rsid w:val="00466E39"/>
    <w:rsid w:val="00484A69"/>
    <w:rsid w:val="004905EF"/>
    <w:rsid w:val="004A1847"/>
    <w:rsid w:val="004A305D"/>
    <w:rsid w:val="004A624F"/>
    <w:rsid w:val="004C47B2"/>
    <w:rsid w:val="004F144F"/>
    <w:rsid w:val="004F21C4"/>
    <w:rsid w:val="004F685F"/>
    <w:rsid w:val="005566E8"/>
    <w:rsid w:val="00574867"/>
    <w:rsid w:val="00577D2F"/>
    <w:rsid w:val="0058307B"/>
    <w:rsid w:val="00591460"/>
    <w:rsid w:val="005A65E0"/>
    <w:rsid w:val="005C3777"/>
    <w:rsid w:val="005C5CDC"/>
    <w:rsid w:val="005D476C"/>
    <w:rsid w:val="006200BF"/>
    <w:rsid w:val="006219F8"/>
    <w:rsid w:val="006302F7"/>
    <w:rsid w:val="00646B9F"/>
    <w:rsid w:val="00665D70"/>
    <w:rsid w:val="006900D9"/>
    <w:rsid w:val="00690D8A"/>
    <w:rsid w:val="0069232D"/>
    <w:rsid w:val="00695CB5"/>
    <w:rsid w:val="006E7BB9"/>
    <w:rsid w:val="006E7EF5"/>
    <w:rsid w:val="007014D3"/>
    <w:rsid w:val="00705857"/>
    <w:rsid w:val="00706C16"/>
    <w:rsid w:val="007340C3"/>
    <w:rsid w:val="0075235A"/>
    <w:rsid w:val="00756841"/>
    <w:rsid w:val="00764602"/>
    <w:rsid w:val="007649AB"/>
    <w:rsid w:val="00771D0C"/>
    <w:rsid w:val="00783183"/>
    <w:rsid w:val="007833AC"/>
    <w:rsid w:val="00790086"/>
    <w:rsid w:val="00791983"/>
    <w:rsid w:val="007A0CF5"/>
    <w:rsid w:val="007B268C"/>
    <w:rsid w:val="007B7171"/>
    <w:rsid w:val="007C0873"/>
    <w:rsid w:val="007C0C0F"/>
    <w:rsid w:val="007C3DC2"/>
    <w:rsid w:val="007E5497"/>
    <w:rsid w:val="007F55ED"/>
    <w:rsid w:val="00806F5F"/>
    <w:rsid w:val="008147B7"/>
    <w:rsid w:val="00820278"/>
    <w:rsid w:val="008258C9"/>
    <w:rsid w:val="00844AE9"/>
    <w:rsid w:val="00862469"/>
    <w:rsid w:val="00867F95"/>
    <w:rsid w:val="008843B6"/>
    <w:rsid w:val="00891928"/>
    <w:rsid w:val="00897241"/>
    <w:rsid w:val="008A446D"/>
    <w:rsid w:val="008B25F1"/>
    <w:rsid w:val="008C7771"/>
    <w:rsid w:val="008D180B"/>
    <w:rsid w:val="008D3D27"/>
    <w:rsid w:val="008D7729"/>
    <w:rsid w:val="008F0EA7"/>
    <w:rsid w:val="00923EEF"/>
    <w:rsid w:val="009419F9"/>
    <w:rsid w:val="0095685E"/>
    <w:rsid w:val="00961B09"/>
    <w:rsid w:val="00965334"/>
    <w:rsid w:val="00966B76"/>
    <w:rsid w:val="0097093E"/>
    <w:rsid w:val="009860F9"/>
    <w:rsid w:val="009878DC"/>
    <w:rsid w:val="009A0DFA"/>
    <w:rsid w:val="009A1C6F"/>
    <w:rsid w:val="009B2D26"/>
    <w:rsid w:val="009C71FA"/>
    <w:rsid w:val="009C72E7"/>
    <w:rsid w:val="009C7F7E"/>
    <w:rsid w:val="009D3058"/>
    <w:rsid w:val="009D7F36"/>
    <w:rsid w:val="009E50CE"/>
    <w:rsid w:val="009F3A13"/>
    <w:rsid w:val="00A122D3"/>
    <w:rsid w:val="00A14468"/>
    <w:rsid w:val="00A14C1C"/>
    <w:rsid w:val="00A17F13"/>
    <w:rsid w:val="00A20739"/>
    <w:rsid w:val="00A21FAB"/>
    <w:rsid w:val="00A23AF9"/>
    <w:rsid w:val="00A33C78"/>
    <w:rsid w:val="00A521CC"/>
    <w:rsid w:val="00A714B2"/>
    <w:rsid w:val="00AB0ADB"/>
    <w:rsid w:val="00B0015D"/>
    <w:rsid w:val="00B00C0E"/>
    <w:rsid w:val="00B01B1A"/>
    <w:rsid w:val="00B0381D"/>
    <w:rsid w:val="00B107C5"/>
    <w:rsid w:val="00B44A47"/>
    <w:rsid w:val="00B72CD3"/>
    <w:rsid w:val="00B72FFF"/>
    <w:rsid w:val="00B879F1"/>
    <w:rsid w:val="00BC3D36"/>
    <w:rsid w:val="00BD54A6"/>
    <w:rsid w:val="00BD7F72"/>
    <w:rsid w:val="00BF7425"/>
    <w:rsid w:val="00C04FB3"/>
    <w:rsid w:val="00C11D8B"/>
    <w:rsid w:val="00C15139"/>
    <w:rsid w:val="00C2144B"/>
    <w:rsid w:val="00C330EB"/>
    <w:rsid w:val="00C50D69"/>
    <w:rsid w:val="00C5365C"/>
    <w:rsid w:val="00C5584D"/>
    <w:rsid w:val="00C754BE"/>
    <w:rsid w:val="00C76B1C"/>
    <w:rsid w:val="00C925AC"/>
    <w:rsid w:val="00CA5C46"/>
    <w:rsid w:val="00CB124D"/>
    <w:rsid w:val="00CB6357"/>
    <w:rsid w:val="00CC1B26"/>
    <w:rsid w:val="00D23811"/>
    <w:rsid w:val="00D311B7"/>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37CDD"/>
    <w:rsid w:val="00E50AFE"/>
    <w:rsid w:val="00E75C92"/>
    <w:rsid w:val="00E771DC"/>
    <w:rsid w:val="00E8711D"/>
    <w:rsid w:val="00E8772A"/>
    <w:rsid w:val="00E90F6B"/>
    <w:rsid w:val="00E92C27"/>
    <w:rsid w:val="00E944D5"/>
    <w:rsid w:val="00EA0E3D"/>
    <w:rsid w:val="00EC38A7"/>
    <w:rsid w:val="00EE1AA8"/>
    <w:rsid w:val="00EE2387"/>
    <w:rsid w:val="00F055AA"/>
    <w:rsid w:val="00F23FEA"/>
    <w:rsid w:val="00F31EDC"/>
    <w:rsid w:val="00F462B3"/>
    <w:rsid w:val="00F5664F"/>
    <w:rsid w:val="00F6152C"/>
    <w:rsid w:val="00F666C4"/>
    <w:rsid w:val="00F70CB1"/>
    <w:rsid w:val="00F76AFC"/>
    <w:rsid w:val="00F76B9A"/>
    <w:rsid w:val="00F86E4C"/>
    <w:rsid w:val="00FA1DB7"/>
    <w:rsid w:val="00FA47C0"/>
    <w:rsid w:val="00FA4FA1"/>
    <w:rsid w:val="00FB5DD1"/>
    <w:rsid w:val="00FC2B5D"/>
    <w:rsid w:val="00FE4A84"/>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31B0E"/>
    <w:rPr>
      <w:rFonts w:ascii="Geomanist Light" w:hAnsi="Geomanist Light"/>
      <w:lang w:val="es-ES"/>
    </w:rPr>
  </w:style>
  <w:style w:type="character" w:customStyle="1" w:styleId="s15">
    <w:name w:val="s15"/>
    <w:basedOn w:val="Fuentedeprrafopredeter"/>
    <w:rsid w:val="00231B0E"/>
  </w:style>
  <w:style w:type="paragraph" w:customStyle="1" w:styleId="Appelnotedebasde">
    <w:name w:val="Appel note de bas de..."/>
    <w:basedOn w:val="Normal"/>
    <w:link w:val="Refdenotaalpie"/>
    <w:uiPriority w:val="99"/>
    <w:rsid w:val="002A0365"/>
    <w:pPr>
      <w:spacing w:line="240" w:lineRule="exact"/>
    </w:pPr>
    <w:rPr>
      <w:vertAlign w:val="superscript"/>
    </w:rPr>
  </w:style>
  <w:style w:type="character" w:customStyle="1" w:styleId="NormalWebCar">
    <w:name w:val="Normal (Web) Car"/>
    <w:link w:val="NormalWeb"/>
    <w:uiPriority w:val="99"/>
    <w:locked/>
    <w:rsid w:val="002A0365"/>
    <w:rPr>
      <w:rFonts w:ascii="Times New Roman" w:eastAsia="Times New Roman" w:hAnsi="Times New Roman" w:cs="Times New Roman"/>
      <w:sz w:val="24"/>
      <w:szCs w:val="24"/>
      <w:lang w:eastAsia="es-CO"/>
    </w:rPr>
  </w:style>
  <w:style w:type="character" w:customStyle="1" w:styleId="baj">
    <w:name w:val="b_aj"/>
    <w:basedOn w:val="Fuentedeprrafopredeter"/>
    <w:rsid w:val="002A03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B22BC2E-1DBD-4F4C-8918-13BF63A5462A}"/>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30</Pages>
  <Words>9695</Words>
  <Characters>53325</Characters>
  <Application>Microsoft Office Word</Application>
  <DocSecurity>0</DocSecurity>
  <Lines>444</Lines>
  <Paragraphs>125</Paragraphs>
  <ScaleCrop>false</ScaleCrop>
  <Company/>
  <LinksUpToDate>false</LinksUpToDate>
  <CharactersWithSpaces>62895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25</cp:revision>
  <cp:lastPrinted>2023-01-10T21:18:00Z</cp:lastPrinted>
  <dcterms:created xsi:type="dcterms:W3CDTF">2026-03-16T20:05:00Z</dcterms:created>
  <dcterms:modified xsi:type="dcterms:W3CDTF">2026-03-16T20:20:00Z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