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541EB" w14:textId="2E679C00" w:rsidR="008E53E8" w:rsidRPr="007E7CB9" w:rsidRDefault="008E53E8" w:rsidP="007E7CB9">
      <w:pPr>
        <w:spacing w:after="0"/>
        <w:rPr>
          <w:rFonts w:ascii="Verdana" w:eastAsia="Verdana" w:hAnsi="Verdana" w:cs="Verdana"/>
        </w:rPr>
      </w:pPr>
      <w:bookmarkStart w:id="0" w:name="_Hlk143780582"/>
      <w:r w:rsidRPr="00561B0A">
        <w:rPr>
          <w:rFonts w:ascii="Verdana" w:eastAsia="Calibri" w:hAnsi="Verdana" w:cs="Arial"/>
          <w:b/>
          <w:lang w:val="es-ES" w:eastAsia="es-ES"/>
        </w:rPr>
        <w:t xml:space="preserve">LEY DE GARANTÍAS ELECTORALES ‒ Finalidad </w:t>
      </w:r>
    </w:p>
    <w:p w14:paraId="2C2E877A" w14:textId="77777777" w:rsidR="008E53E8" w:rsidRDefault="008E53E8" w:rsidP="008E53E8">
      <w:pPr>
        <w:spacing w:after="0" w:line="240" w:lineRule="auto"/>
        <w:jc w:val="both"/>
        <w:rPr>
          <w:rFonts w:ascii="Verdana" w:eastAsia="Calibri" w:hAnsi="Verdana" w:cs="Arial"/>
          <w:b/>
          <w:lang w:val="es-ES" w:eastAsia="es-ES"/>
        </w:rPr>
      </w:pPr>
    </w:p>
    <w:p w14:paraId="10101928" w14:textId="77777777" w:rsidR="008E53E8" w:rsidRPr="00561B0A" w:rsidRDefault="008E53E8" w:rsidP="008E53E8">
      <w:pPr>
        <w:spacing w:after="0" w:line="240" w:lineRule="auto"/>
        <w:jc w:val="both"/>
        <w:rPr>
          <w:rFonts w:ascii="Verdana" w:eastAsia="Calibri" w:hAnsi="Verdana" w:cs="Arial"/>
          <w:sz w:val="20"/>
          <w:lang w:val="es-ES" w:eastAsia="es-ES"/>
        </w:rPr>
      </w:pPr>
      <w:r w:rsidRPr="00561B0A">
        <w:rPr>
          <w:rFonts w:ascii="Verdana" w:eastAsia="Calibri" w:hAnsi="Verdana" w:cs="Arial"/>
          <w:sz w:val="20"/>
          <w:lang w:val="es-MX" w:eastAsia="es-ES"/>
        </w:rPr>
        <w:t>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54A1D218" w14:textId="77777777" w:rsidR="008E53E8" w:rsidRPr="00561B0A" w:rsidRDefault="008E53E8" w:rsidP="008E53E8">
      <w:pPr>
        <w:spacing w:after="0" w:line="240" w:lineRule="auto"/>
        <w:jc w:val="both"/>
        <w:rPr>
          <w:rFonts w:ascii="Verdana" w:eastAsia="Calibri" w:hAnsi="Verdana" w:cs="Arial"/>
          <w:b/>
          <w:lang w:val="es-ES" w:eastAsia="es-ES"/>
        </w:rPr>
      </w:pPr>
    </w:p>
    <w:p w14:paraId="5F05D642"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Tipos de restricciones ‒ Ámbito temporal – </w:t>
      </w:r>
      <w:r>
        <w:rPr>
          <w:rFonts w:ascii="Verdana" w:eastAsia="Calibri" w:hAnsi="Verdana" w:cs="Arial"/>
          <w:b/>
          <w:lang w:val="es-ES" w:eastAsia="es-ES"/>
        </w:rPr>
        <w:t>C</w:t>
      </w:r>
      <w:r w:rsidRPr="00561B0A">
        <w:rPr>
          <w:rFonts w:ascii="Verdana" w:eastAsia="Calibri" w:hAnsi="Verdana" w:cs="Arial"/>
          <w:b/>
          <w:lang w:val="es-ES" w:eastAsia="es-ES"/>
        </w:rPr>
        <w:t>elebración</w:t>
      </w:r>
      <w:r>
        <w:rPr>
          <w:rFonts w:ascii="Verdana" w:eastAsia="Calibri" w:hAnsi="Verdana" w:cs="Arial"/>
          <w:b/>
          <w:lang w:val="es-ES" w:eastAsia="es-ES"/>
        </w:rPr>
        <w:t xml:space="preserve"> </w:t>
      </w:r>
      <w:r w:rsidRPr="00BE3D4E">
        <w:rPr>
          <w:rFonts w:ascii="Verdana" w:eastAsia="Calibri" w:hAnsi="Verdana" w:cs="Arial"/>
          <w:b/>
          <w:bCs/>
          <w:lang w:eastAsia="es-ES"/>
        </w:rPr>
        <w:t>–</w:t>
      </w:r>
      <w:r w:rsidRPr="00561B0A">
        <w:rPr>
          <w:rFonts w:ascii="Verdana" w:eastAsia="Calibri" w:hAnsi="Verdana" w:cs="Arial"/>
          <w:b/>
          <w:lang w:val="es-ES" w:eastAsia="es-ES"/>
        </w:rPr>
        <w:t xml:space="preserve"> </w:t>
      </w:r>
      <w:r>
        <w:rPr>
          <w:rFonts w:ascii="Verdana" w:eastAsia="Calibri" w:hAnsi="Verdana" w:cs="Arial"/>
          <w:b/>
          <w:lang w:val="es-ES" w:eastAsia="es-ES"/>
        </w:rPr>
        <w:t>L</w:t>
      </w:r>
      <w:r w:rsidRPr="00561B0A">
        <w:rPr>
          <w:rFonts w:ascii="Verdana" w:eastAsia="Calibri" w:hAnsi="Verdana" w:cs="Arial"/>
          <w:b/>
          <w:lang w:val="es-ES" w:eastAsia="es-ES"/>
        </w:rPr>
        <w:t>ímite</w:t>
      </w:r>
    </w:p>
    <w:p w14:paraId="7DF97F42" w14:textId="77777777" w:rsidR="008E53E8" w:rsidRDefault="008E53E8" w:rsidP="008E53E8">
      <w:pPr>
        <w:spacing w:after="0" w:line="240" w:lineRule="auto"/>
        <w:jc w:val="both"/>
        <w:rPr>
          <w:rFonts w:ascii="Verdana" w:eastAsia="Calibri" w:hAnsi="Verdana" w:cs="Arial"/>
          <w:b/>
          <w:lang w:val="es-ES" w:eastAsia="es-ES"/>
        </w:rPr>
      </w:pPr>
    </w:p>
    <w:p w14:paraId="67940CA6" w14:textId="77777777" w:rsidR="008E53E8" w:rsidRDefault="008E53E8" w:rsidP="008E53E8">
      <w:pPr>
        <w:spacing w:after="0" w:line="240" w:lineRule="auto"/>
        <w:jc w:val="both"/>
        <w:rPr>
          <w:rFonts w:ascii="Verdana" w:eastAsia="Calibri" w:hAnsi="Verdana" w:cs="Arial"/>
          <w:sz w:val="20"/>
          <w:lang w:eastAsia="es-ES"/>
        </w:rPr>
      </w:pPr>
      <w:r w:rsidRPr="00561B0A">
        <w:rPr>
          <w:rFonts w:ascii="Verdana" w:eastAsia="Calibri" w:hAnsi="Verdana" w:cs="Arial"/>
          <w:i/>
          <w:iCs/>
          <w:sz w:val="20"/>
          <w:lang w:eastAsia="es-ES"/>
        </w:rPr>
        <w:t>Por un lado</w:t>
      </w:r>
      <w:r w:rsidRPr="00561B0A">
        <w:rPr>
          <w:rFonts w:ascii="Verdana" w:eastAsia="Calibri" w:hAnsi="Verdana" w:cs="Arial"/>
          <w:sz w:val="20"/>
          <w:lang w:eastAsia="es-ES"/>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5B617F1" w14:textId="77777777" w:rsidR="008E53E8" w:rsidRPr="00561B0A" w:rsidRDefault="008E53E8" w:rsidP="008E53E8">
      <w:pPr>
        <w:spacing w:after="0" w:line="240" w:lineRule="auto"/>
        <w:jc w:val="both"/>
        <w:rPr>
          <w:rFonts w:ascii="Verdana" w:eastAsia="Calibri" w:hAnsi="Verdana" w:cs="Arial"/>
          <w:sz w:val="20"/>
          <w:lang w:eastAsia="es-ES"/>
        </w:rPr>
      </w:pPr>
    </w:p>
    <w:p w14:paraId="25C15803" w14:textId="77777777" w:rsidR="008E53E8" w:rsidRPr="00561B0A" w:rsidRDefault="008E53E8" w:rsidP="008E53E8">
      <w:pPr>
        <w:spacing w:after="0" w:line="240" w:lineRule="auto"/>
        <w:jc w:val="both"/>
        <w:rPr>
          <w:rFonts w:ascii="Verdana" w:eastAsia="Calibri" w:hAnsi="Verdana" w:cs="Arial"/>
          <w:sz w:val="20"/>
          <w:lang w:val="es-ES" w:eastAsia="es-ES" w:bidi="es-ES"/>
        </w:rPr>
      </w:pPr>
      <w:r w:rsidRPr="00561B0A">
        <w:rPr>
          <w:rFonts w:ascii="Verdana" w:eastAsia="Calibri" w:hAnsi="Verdana" w:cs="Arial"/>
          <w:i/>
          <w:iCs/>
          <w:sz w:val="20"/>
          <w:lang w:eastAsia="es-ES"/>
        </w:rPr>
        <w:t>Por otro</w:t>
      </w:r>
      <w:r w:rsidRPr="00561B0A">
        <w:rPr>
          <w:rFonts w:ascii="Verdana" w:eastAsia="Calibri" w:hAnsi="Verdana" w:cs="Arial"/>
          <w:sz w:val="20"/>
          <w:lang w:eastAsia="es-ES"/>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561B0A">
        <w:rPr>
          <w:rFonts w:ascii="Verdana" w:eastAsia="Calibri" w:hAnsi="Verdana" w:cs="Arial"/>
          <w:sz w:val="20"/>
          <w:lang w:val="es-MX" w:eastAsia="es-ES"/>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61B0A">
        <w:rPr>
          <w:rFonts w:ascii="Verdana" w:eastAsia="Calibri" w:hAnsi="Verdana" w:cs="Arial"/>
          <w:sz w:val="20"/>
          <w:lang w:eastAsia="es-ES"/>
        </w:rPr>
        <w:t>”</w:t>
      </w:r>
      <w:r w:rsidRPr="00561B0A">
        <w:rPr>
          <w:rFonts w:ascii="Verdana" w:eastAsia="Calibri" w:hAnsi="Verdana" w:cs="Arial"/>
          <w:sz w:val="20"/>
          <w:lang w:val="es-MX" w:eastAsia="es-ES"/>
        </w:rPr>
        <w:t>.</w:t>
      </w:r>
      <w:r w:rsidRPr="00561B0A">
        <w:rPr>
          <w:rFonts w:ascii="Verdana" w:eastAsia="Calibri" w:hAnsi="Verdana" w:cs="Arial"/>
          <w:sz w:val="20"/>
          <w:lang w:val="es-ES" w:eastAsia="es-ES" w:bidi="es-ES"/>
        </w:rPr>
        <w:t xml:space="preserve"> La Sala de Consulta y Servicio Civil del Consejo de Estado ha aclarado la distinción en la aplicación de las prohibiciones de la Ley 996 de 2005, dependiendo del tipo de elección que se trate. </w:t>
      </w:r>
    </w:p>
    <w:p w14:paraId="055A2E4E" w14:textId="77777777" w:rsidR="008E53E8" w:rsidRPr="00561B0A" w:rsidRDefault="008E53E8" w:rsidP="008E53E8">
      <w:pPr>
        <w:spacing w:after="0" w:line="240" w:lineRule="auto"/>
        <w:jc w:val="both"/>
        <w:rPr>
          <w:rFonts w:ascii="Verdana" w:eastAsia="Calibri" w:hAnsi="Verdana" w:cs="Arial"/>
          <w:b/>
          <w:lang w:val="es-ES" w:eastAsia="es-ES"/>
        </w:rPr>
      </w:pPr>
    </w:p>
    <w:p w14:paraId="6FAF1730"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Prohibición artículo 33 – Contratación directa – Alcance </w:t>
      </w:r>
    </w:p>
    <w:p w14:paraId="2B1976C3" w14:textId="77777777" w:rsidR="008E53E8" w:rsidRDefault="008E53E8" w:rsidP="008E53E8">
      <w:pPr>
        <w:spacing w:after="0" w:line="240" w:lineRule="auto"/>
        <w:jc w:val="both"/>
        <w:rPr>
          <w:rFonts w:ascii="Verdana" w:eastAsia="Calibri" w:hAnsi="Verdana" w:cs="Arial"/>
          <w:b/>
          <w:lang w:val="es-ES" w:eastAsia="es-ES"/>
        </w:rPr>
      </w:pPr>
    </w:p>
    <w:p w14:paraId="0AEDE717" w14:textId="77777777" w:rsidR="008E53E8" w:rsidRPr="00561B0A" w:rsidRDefault="008E53E8" w:rsidP="008E53E8">
      <w:pPr>
        <w:spacing w:after="0" w:line="240" w:lineRule="auto"/>
        <w:jc w:val="both"/>
        <w:rPr>
          <w:rFonts w:ascii="Verdana" w:eastAsia="Calibri" w:hAnsi="Verdana" w:cs="Arial"/>
          <w:sz w:val="20"/>
          <w:lang w:eastAsia="es-ES"/>
        </w:rPr>
      </w:pPr>
      <w:r w:rsidRPr="00561B0A">
        <w:rPr>
          <w:rFonts w:ascii="Verdana" w:eastAsia="Calibri" w:hAnsi="Verdana" w:cs="Arial"/>
          <w:sz w:val="20"/>
          <w:lang w:eastAsia="es-ES"/>
        </w:rPr>
        <w:t xml:space="preserve">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 </w:t>
      </w:r>
    </w:p>
    <w:p w14:paraId="63C7256F" w14:textId="77777777" w:rsidR="008E53E8" w:rsidRPr="00561B0A" w:rsidRDefault="008E53E8" w:rsidP="008E53E8">
      <w:pPr>
        <w:spacing w:after="0" w:line="240" w:lineRule="auto"/>
        <w:jc w:val="both"/>
        <w:rPr>
          <w:rFonts w:ascii="Verdana" w:eastAsia="Calibri" w:hAnsi="Verdana" w:cs="Arial"/>
          <w:bCs/>
          <w:sz w:val="20"/>
          <w:lang w:eastAsia="es-ES"/>
        </w:rPr>
      </w:pPr>
    </w:p>
    <w:p w14:paraId="69F4097C" w14:textId="77777777" w:rsidR="008E53E8" w:rsidRPr="00561B0A" w:rsidRDefault="008E53E8" w:rsidP="008E53E8">
      <w:pPr>
        <w:spacing w:after="0" w:line="240" w:lineRule="auto"/>
        <w:jc w:val="both"/>
        <w:rPr>
          <w:rFonts w:ascii="Verdana" w:eastAsia="Calibri" w:hAnsi="Verdana" w:cs="Arial"/>
          <w:sz w:val="20"/>
          <w:lang w:eastAsia="es-ES"/>
        </w:rPr>
      </w:pPr>
      <w:r w:rsidRPr="00561B0A">
        <w:rPr>
          <w:rFonts w:ascii="Verdana" w:eastAsia="Calibri" w:hAnsi="Verdana" w:cs="Arial"/>
          <w:sz w:val="20"/>
          <w:lang w:eastAsia="es-ES"/>
        </w:rPr>
        <w:lastRenderedPageBreak/>
        <w:t>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p>
    <w:p w14:paraId="521CC50B" w14:textId="77777777" w:rsidR="008E53E8" w:rsidRPr="00561B0A" w:rsidRDefault="008E53E8" w:rsidP="008E53E8">
      <w:pPr>
        <w:spacing w:after="0" w:line="240" w:lineRule="auto"/>
        <w:jc w:val="both"/>
        <w:rPr>
          <w:rFonts w:ascii="Verdana" w:eastAsia="Calibri" w:hAnsi="Verdana" w:cs="Arial"/>
          <w:b/>
          <w:lang w:val="es-ES" w:eastAsia="es-ES"/>
        </w:rPr>
      </w:pPr>
    </w:p>
    <w:p w14:paraId="34C01F86"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Prohibición del artículo 33 – Destinatarios </w:t>
      </w:r>
    </w:p>
    <w:p w14:paraId="49861A11" w14:textId="77777777" w:rsidR="008E53E8" w:rsidRDefault="008E53E8" w:rsidP="008E53E8">
      <w:pPr>
        <w:spacing w:after="0" w:line="240" w:lineRule="auto"/>
        <w:jc w:val="both"/>
        <w:rPr>
          <w:rFonts w:ascii="Verdana" w:eastAsia="Calibri" w:hAnsi="Verdana" w:cs="Arial"/>
          <w:b/>
          <w:lang w:val="es-ES" w:eastAsia="es-ES"/>
        </w:rPr>
      </w:pPr>
    </w:p>
    <w:p w14:paraId="38A2D578" w14:textId="77777777" w:rsidR="008E53E8" w:rsidRPr="00561B0A" w:rsidRDefault="008E53E8" w:rsidP="008E53E8">
      <w:pPr>
        <w:spacing w:after="0" w:line="240" w:lineRule="auto"/>
        <w:jc w:val="both"/>
        <w:rPr>
          <w:rFonts w:ascii="Verdana" w:eastAsia="Calibri" w:hAnsi="Verdana" w:cs="Arial"/>
          <w:bCs/>
          <w:sz w:val="20"/>
          <w:lang w:val="es-MX" w:eastAsia="es-ES"/>
        </w:rPr>
      </w:pPr>
      <w:r w:rsidRPr="00561B0A">
        <w:rPr>
          <w:rFonts w:ascii="Verdana" w:eastAsia="Calibri" w:hAnsi="Verdana" w:cs="Arial"/>
          <w:bCs/>
          <w:sz w:val="20"/>
          <w:lang w:val="es-MX" w:eastAsia="es-ES"/>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561B0A">
        <w:rPr>
          <w:rFonts w:ascii="Verdana" w:eastAsia="Calibri" w:hAnsi="Verdana" w:cs="Arial"/>
          <w:sz w:val="20"/>
          <w:lang w:val="es-MX" w:eastAsia="es-ES"/>
        </w:rPr>
        <w:t xml:space="preserve"> </w:t>
      </w:r>
      <w:r w:rsidRPr="00561B0A">
        <w:rPr>
          <w:rFonts w:ascii="Verdana" w:eastAsia="Calibri" w:hAnsi="Verdana" w:cs="Arial"/>
          <w:bCs/>
          <w:sz w:val="20"/>
          <w:lang w:val="es-MX" w:eastAsia="es-ES"/>
        </w:rPr>
        <w:t>En efecto, tal como lo ha sostenido el Consejo de Estado, el vocablo “todos” utilizado por el legislador comprende</w:t>
      </w:r>
      <w:r w:rsidRPr="00561B0A">
        <w:rPr>
          <w:rFonts w:ascii="Verdana" w:eastAsia="Calibri" w:hAnsi="Verdana" w:cs="Arial"/>
          <w:sz w:val="20"/>
          <w:lang w:val="es-MX" w:eastAsia="es-ES"/>
        </w:rPr>
        <w:t xml:space="preserve"> </w:t>
      </w:r>
      <w:r w:rsidRPr="00561B0A">
        <w:rPr>
          <w:rFonts w:ascii="Verdana" w:eastAsia="Calibri" w:hAnsi="Verdana" w:cs="Arial"/>
          <w:bCs/>
          <w:sz w:val="20"/>
          <w:lang w:val="es-MX" w:eastAsia="es-ES"/>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59E42785" w14:textId="77777777" w:rsidR="008E53E8" w:rsidRPr="00561B0A" w:rsidRDefault="008E53E8" w:rsidP="008E53E8">
      <w:pPr>
        <w:spacing w:after="0" w:line="240" w:lineRule="auto"/>
        <w:jc w:val="both"/>
        <w:rPr>
          <w:rFonts w:ascii="Verdana" w:eastAsia="Calibri" w:hAnsi="Verdana" w:cs="Arial"/>
          <w:b/>
          <w:lang w:val="es-ES" w:eastAsia="es-ES"/>
        </w:rPr>
      </w:pPr>
    </w:p>
    <w:p w14:paraId="20CD0BBC"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Condiciones de igualdad – Contratación directa </w:t>
      </w:r>
    </w:p>
    <w:p w14:paraId="7547ECC8" w14:textId="77777777" w:rsidR="008E53E8" w:rsidRDefault="008E53E8" w:rsidP="008E53E8">
      <w:pPr>
        <w:spacing w:after="0" w:line="240" w:lineRule="auto"/>
        <w:jc w:val="both"/>
        <w:rPr>
          <w:rFonts w:ascii="Verdana" w:eastAsia="Calibri" w:hAnsi="Verdana" w:cs="Arial"/>
          <w:b/>
          <w:lang w:val="es-ES" w:eastAsia="es-ES"/>
        </w:rPr>
      </w:pPr>
    </w:p>
    <w:p w14:paraId="6353AB6A" w14:textId="77777777" w:rsidR="008E53E8" w:rsidRPr="004D6761" w:rsidRDefault="008E53E8" w:rsidP="008E53E8">
      <w:pPr>
        <w:spacing w:after="0" w:line="240" w:lineRule="auto"/>
        <w:jc w:val="both"/>
        <w:rPr>
          <w:rFonts w:ascii="Verdana" w:eastAsia="Calibri" w:hAnsi="Verdana" w:cs="Arial"/>
          <w:bCs/>
          <w:sz w:val="20"/>
          <w:lang w:val="es-MX" w:eastAsia="es-ES"/>
        </w:rPr>
      </w:pPr>
      <w:r w:rsidRPr="004D6761">
        <w:rPr>
          <w:rFonts w:ascii="Verdana" w:eastAsia="Calibri" w:hAnsi="Verdana" w:cs="Arial"/>
          <w:sz w:val="20"/>
          <w:lang w:val="es-MX" w:eastAsia="es-ES"/>
        </w:rPr>
        <w:t xml:space="preserve">Por lo tanto, la restricción prevista en la Ley 996 de 2005, </w:t>
      </w:r>
      <w:r w:rsidRPr="004D6761">
        <w:rPr>
          <w:rFonts w:ascii="Verdana" w:eastAsia="Calibri" w:hAnsi="Verdana" w:cs="Arial"/>
          <w:bCs/>
          <w:sz w:val="20"/>
          <w:lang w:val="es-MX" w:eastAsia="es-ES"/>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BE3FDF7" w14:textId="77777777" w:rsidR="008E53E8" w:rsidRPr="004D6761" w:rsidRDefault="008E53E8" w:rsidP="008E53E8">
      <w:pPr>
        <w:spacing w:after="0" w:line="240" w:lineRule="auto"/>
        <w:jc w:val="both"/>
        <w:rPr>
          <w:rFonts w:ascii="Verdana" w:eastAsia="Calibri" w:hAnsi="Verdana" w:cs="Arial"/>
          <w:sz w:val="20"/>
          <w:lang w:val="es-MX" w:eastAsia="es-ES"/>
        </w:rPr>
      </w:pPr>
    </w:p>
    <w:p w14:paraId="1492BB42"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LEY DE GARANTÍAS ELECTORALES – Contratación Directa – Excepciones</w:t>
      </w:r>
    </w:p>
    <w:p w14:paraId="5C26943D" w14:textId="77777777" w:rsidR="008E53E8" w:rsidRDefault="008E53E8" w:rsidP="008E53E8">
      <w:pPr>
        <w:spacing w:after="0" w:line="240" w:lineRule="auto"/>
        <w:jc w:val="both"/>
        <w:rPr>
          <w:rFonts w:ascii="Verdana" w:eastAsia="Calibri" w:hAnsi="Verdana" w:cs="Arial"/>
          <w:b/>
          <w:lang w:val="es-ES" w:eastAsia="es-ES"/>
        </w:rPr>
      </w:pPr>
    </w:p>
    <w:p w14:paraId="4F11CA04" w14:textId="77777777" w:rsidR="008E53E8" w:rsidRDefault="008E53E8" w:rsidP="008E53E8">
      <w:pPr>
        <w:spacing w:after="0" w:line="240" w:lineRule="auto"/>
        <w:jc w:val="both"/>
        <w:rPr>
          <w:rFonts w:ascii="Verdana" w:eastAsia="Calibri" w:hAnsi="Verdana" w:cs="Arial"/>
          <w:iCs/>
          <w:sz w:val="20"/>
          <w:lang w:val="es-ES" w:eastAsia="es-ES"/>
        </w:rPr>
      </w:pPr>
      <w:r w:rsidRPr="004D6761">
        <w:rPr>
          <w:rFonts w:ascii="Verdana" w:eastAsia="Calibri" w:hAnsi="Verdana" w:cs="Arial"/>
          <w:iCs/>
          <w:sz w:val="20"/>
          <w:lang w:eastAsia="es-ES"/>
        </w:rPr>
        <w:t xml:space="preserve">Las excepciones están </w:t>
      </w:r>
      <w:r w:rsidRPr="004D6761">
        <w:rPr>
          <w:rFonts w:ascii="Verdana" w:eastAsia="Calibri" w:hAnsi="Verdana" w:cs="Arial"/>
          <w:bCs/>
          <w:sz w:val="20"/>
          <w:lang w:val="es-MX" w:eastAsia="es-ES"/>
        </w:rPr>
        <w:t xml:space="preserve">consagradas de forma expresa en el inciso final del citado artículo 33 de la Ley 996 de 2005 en lo referente a i) la defensa y seguridad del Estado; </w:t>
      </w:r>
      <w:proofErr w:type="spellStart"/>
      <w:r w:rsidRPr="004D6761">
        <w:rPr>
          <w:rFonts w:ascii="Verdana" w:eastAsia="Calibri" w:hAnsi="Verdana" w:cs="Arial"/>
          <w:bCs/>
          <w:sz w:val="20"/>
          <w:lang w:val="es-MX" w:eastAsia="es-ES"/>
        </w:rPr>
        <w:t>ii</w:t>
      </w:r>
      <w:proofErr w:type="spellEnd"/>
      <w:r w:rsidRPr="004D6761">
        <w:rPr>
          <w:rFonts w:ascii="Verdana" w:eastAsia="Calibri" w:hAnsi="Verdana" w:cs="Arial"/>
          <w:bCs/>
          <w:sz w:val="20"/>
          <w:lang w:val="es-MX" w:eastAsia="es-ES"/>
        </w:rPr>
        <w:t xml:space="preserve">) los contratos de crédito público; </w:t>
      </w:r>
      <w:proofErr w:type="spellStart"/>
      <w:r w:rsidRPr="004D6761">
        <w:rPr>
          <w:rFonts w:ascii="Verdana" w:eastAsia="Calibri" w:hAnsi="Verdana" w:cs="Arial"/>
          <w:bCs/>
          <w:sz w:val="20"/>
          <w:lang w:val="es-MX" w:eastAsia="es-ES"/>
        </w:rPr>
        <w:t>iii</w:t>
      </w:r>
      <w:proofErr w:type="spellEnd"/>
      <w:r w:rsidRPr="004D6761">
        <w:rPr>
          <w:rFonts w:ascii="Verdana" w:eastAsia="Calibri" w:hAnsi="Verdana" w:cs="Arial"/>
          <w:bCs/>
          <w:sz w:val="20"/>
          <w:lang w:val="es-MX" w:eastAsia="es-ES"/>
        </w:rPr>
        <w:t xml:space="preserve">) los requeridos para cubrir las emergencias educativas, sanitarias y desastres; </w:t>
      </w:r>
      <w:proofErr w:type="spellStart"/>
      <w:r w:rsidRPr="004D6761">
        <w:rPr>
          <w:rFonts w:ascii="Verdana" w:eastAsia="Calibri" w:hAnsi="Verdana" w:cs="Arial"/>
          <w:bCs/>
          <w:sz w:val="20"/>
          <w:lang w:val="es-MX" w:eastAsia="es-ES"/>
        </w:rPr>
        <w:t>iv</w:t>
      </w:r>
      <w:proofErr w:type="spellEnd"/>
      <w:r w:rsidRPr="004D6761">
        <w:rPr>
          <w:rFonts w:ascii="Verdana" w:eastAsia="Calibri" w:hAnsi="Verdana" w:cs="Arial"/>
          <w:bCs/>
          <w:sz w:val="20"/>
          <w:lang w:val="es-MX" w:eastAsia="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Así mismo, la Corte Constitucional en la Sentencia C-1153 de 2005 señaló que la expresión </w:t>
      </w:r>
      <w:r w:rsidRPr="004D6761">
        <w:rPr>
          <w:rFonts w:ascii="Verdana" w:eastAsia="Calibri" w:hAnsi="Verdana" w:cs="Arial"/>
          <w:i/>
          <w:iCs/>
          <w:sz w:val="20"/>
          <w:lang w:val="es-ES" w:eastAsia="es-ES"/>
        </w:rPr>
        <w:t xml:space="preserve">“adicionalmente </w:t>
      </w:r>
      <w:r w:rsidRPr="004D6761">
        <w:rPr>
          <w:rFonts w:ascii="Verdana" w:eastAsia="Calibri" w:hAnsi="Verdana" w:cs="Arial"/>
          <w:i/>
          <w:iCs/>
          <w:sz w:val="20"/>
          <w:lang w:val="es-ES" w:eastAsia="es-ES"/>
        </w:rPr>
        <w:lastRenderedPageBreak/>
        <w:t xml:space="preserve">se exceptúan aquellos gastos inaplazables e imprescindibles que afecten el normal funcionamiento de la administración” </w:t>
      </w:r>
      <w:r w:rsidRPr="004D6761">
        <w:rPr>
          <w:rFonts w:ascii="Verdana" w:eastAsia="Calibri" w:hAnsi="Verdana" w:cs="Arial"/>
          <w:iCs/>
          <w:sz w:val="20"/>
          <w:lang w:val="es-ES" w:eastAsia="es-ES"/>
        </w:rPr>
        <w:t>regulada como excepción en el artículo 33</w:t>
      </w:r>
      <w:r w:rsidRPr="004D6761">
        <w:rPr>
          <w:rFonts w:ascii="Verdana" w:eastAsia="Calibri" w:hAnsi="Verdana" w:cs="Arial"/>
          <w:i/>
          <w:iCs/>
          <w:sz w:val="20"/>
          <w:lang w:val="es-ES" w:eastAsia="es-ES"/>
        </w:rPr>
        <w:t xml:space="preserve"> </w:t>
      </w:r>
      <w:r w:rsidRPr="004D6761">
        <w:rPr>
          <w:rFonts w:ascii="Verdana" w:eastAsia="Calibri" w:hAnsi="Verdana" w:cs="Arial"/>
          <w:iCs/>
          <w:sz w:val="20"/>
          <w:lang w:val="es-ES" w:eastAsia="es-ES"/>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4D6761">
        <w:rPr>
          <w:rFonts w:ascii="Verdana" w:eastAsia="Calibri" w:hAnsi="Verdana" w:cs="Arial"/>
          <w:i/>
          <w:iCs/>
          <w:sz w:val="20"/>
          <w:lang w:val="es-ES" w:eastAsia="es-ES"/>
        </w:rPr>
        <w:t xml:space="preserve"> </w:t>
      </w:r>
      <w:r w:rsidRPr="004D6761">
        <w:rPr>
          <w:rFonts w:ascii="Verdana" w:eastAsia="Calibri" w:hAnsi="Verdana" w:cs="Arial"/>
          <w:iCs/>
          <w:sz w:val="20"/>
          <w:lang w:val="es-ES" w:eastAsia="es-ES"/>
        </w:rPr>
        <w:t>Por tanto, dicha expresión fue declarada inexequible, razón por la cual no es posible que las entidades argumenten razones como esta para exceptuar la restricción del artículo 33.</w:t>
      </w:r>
    </w:p>
    <w:p w14:paraId="787FDDD5" w14:textId="77777777" w:rsidR="008E53E8" w:rsidRPr="004D6761" w:rsidRDefault="008E53E8" w:rsidP="008E53E8">
      <w:pPr>
        <w:spacing w:after="0" w:line="240" w:lineRule="auto"/>
        <w:jc w:val="both"/>
        <w:rPr>
          <w:rFonts w:ascii="Verdana" w:eastAsia="Calibri" w:hAnsi="Verdana" w:cs="Arial"/>
          <w:sz w:val="20"/>
          <w:lang w:val="es-ES" w:eastAsia="es-ES"/>
        </w:rPr>
      </w:pPr>
    </w:p>
    <w:p w14:paraId="5C6E212C" w14:textId="77777777" w:rsidR="008E53E8" w:rsidRPr="00CE10ED" w:rsidRDefault="008E53E8" w:rsidP="008E53E8">
      <w:pPr>
        <w:spacing w:after="0"/>
        <w:rPr>
          <w:rFonts w:ascii="Verdana" w:eastAsia="Verdana" w:hAnsi="Verdana" w:cs="Verdana"/>
          <w:lang w:val="es-ES"/>
        </w:rPr>
      </w:pPr>
    </w:p>
    <w:p w14:paraId="07FB8B4D" w14:textId="77777777" w:rsidR="008E53E8" w:rsidRDefault="008E53E8" w:rsidP="008E53E8">
      <w:pPr>
        <w:spacing w:after="0"/>
        <w:rPr>
          <w:rFonts w:ascii="Verdana" w:eastAsia="Verdana" w:hAnsi="Verdana" w:cs="Verdana"/>
        </w:rPr>
      </w:pPr>
    </w:p>
    <w:p w14:paraId="581BB52E" w14:textId="77777777" w:rsidR="008E53E8" w:rsidRDefault="008E53E8" w:rsidP="008E53E8">
      <w:pPr>
        <w:spacing w:after="0"/>
        <w:rPr>
          <w:rFonts w:ascii="Verdana" w:eastAsia="Verdana" w:hAnsi="Verdana" w:cs="Verdana"/>
        </w:rPr>
      </w:pPr>
    </w:p>
    <w:p w14:paraId="3A0285FF" w14:textId="77777777" w:rsidR="008E53E8" w:rsidRDefault="008E53E8" w:rsidP="008E53E8">
      <w:pPr>
        <w:spacing w:after="0"/>
        <w:rPr>
          <w:rFonts w:ascii="Verdana" w:eastAsia="Verdana" w:hAnsi="Verdana" w:cs="Verdana"/>
        </w:rPr>
      </w:pPr>
    </w:p>
    <w:p w14:paraId="0DDB4AC7" w14:textId="77777777" w:rsidR="008E53E8" w:rsidRDefault="008E53E8" w:rsidP="008E53E8">
      <w:pPr>
        <w:spacing w:after="0"/>
        <w:rPr>
          <w:rFonts w:ascii="Verdana" w:eastAsia="Verdana" w:hAnsi="Verdana" w:cs="Verdana"/>
        </w:rPr>
      </w:pPr>
    </w:p>
    <w:p w14:paraId="30D05E2E" w14:textId="77777777" w:rsidR="008E53E8" w:rsidRDefault="008E53E8" w:rsidP="008E53E8">
      <w:pPr>
        <w:spacing w:after="0"/>
        <w:rPr>
          <w:rFonts w:ascii="Verdana" w:eastAsia="Verdana" w:hAnsi="Verdana" w:cs="Verdana"/>
        </w:rPr>
      </w:pPr>
    </w:p>
    <w:p w14:paraId="44B9D2CB" w14:textId="77777777" w:rsidR="008E53E8" w:rsidRDefault="008E53E8" w:rsidP="008E53E8">
      <w:pPr>
        <w:spacing w:after="0"/>
        <w:rPr>
          <w:rFonts w:ascii="Verdana" w:eastAsia="Verdana" w:hAnsi="Verdana" w:cs="Verdana"/>
        </w:rPr>
      </w:pPr>
    </w:p>
    <w:p w14:paraId="27D8858C" w14:textId="77777777" w:rsidR="008E53E8" w:rsidRDefault="008E53E8" w:rsidP="008E53E8">
      <w:pPr>
        <w:spacing w:after="0"/>
        <w:rPr>
          <w:rFonts w:ascii="Verdana" w:eastAsia="Verdana" w:hAnsi="Verdana" w:cs="Verdana"/>
        </w:rPr>
      </w:pPr>
    </w:p>
    <w:p w14:paraId="3888107F" w14:textId="77777777" w:rsidR="008E53E8" w:rsidRDefault="008E53E8" w:rsidP="008E53E8">
      <w:pPr>
        <w:spacing w:after="0"/>
        <w:rPr>
          <w:rFonts w:ascii="Verdana" w:eastAsia="Verdana" w:hAnsi="Verdana" w:cs="Verdana"/>
        </w:rPr>
      </w:pPr>
    </w:p>
    <w:p w14:paraId="56ED9A4C" w14:textId="77777777" w:rsidR="008E53E8" w:rsidRDefault="008E53E8" w:rsidP="008E53E8">
      <w:pPr>
        <w:spacing w:after="0"/>
        <w:rPr>
          <w:rFonts w:ascii="Verdana" w:eastAsia="Verdana" w:hAnsi="Verdana" w:cs="Verdana"/>
        </w:rPr>
      </w:pPr>
    </w:p>
    <w:p w14:paraId="74453E5B" w14:textId="77777777" w:rsidR="008E53E8" w:rsidRDefault="008E53E8" w:rsidP="008E53E8">
      <w:pPr>
        <w:spacing w:after="0"/>
        <w:rPr>
          <w:rFonts w:ascii="Verdana" w:eastAsia="Verdana" w:hAnsi="Verdana" w:cs="Verdana"/>
        </w:rPr>
      </w:pPr>
    </w:p>
    <w:p w14:paraId="1F7626B7" w14:textId="77777777" w:rsidR="008E53E8" w:rsidRDefault="008E53E8" w:rsidP="008E53E8">
      <w:pPr>
        <w:spacing w:after="0"/>
        <w:rPr>
          <w:rFonts w:ascii="Verdana" w:eastAsia="Verdana" w:hAnsi="Verdana" w:cs="Verdana"/>
        </w:rPr>
      </w:pPr>
    </w:p>
    <w:p w14:paraId="12B8057D" w14:textId="77777777" w:rsidR="008E53E8" w:rsidRDefault="008E53E8" w:rsidP="008E53E8">
      <w:pPr>
        <w:spacing w:after="0"/>
        <w:rPr>
          <w:rFonts w:ascii="Verdana" w:eastAsia="Verdana" w:hAnsi="Verdana" w:cs="Verdana"/>
        </w:rPr>
      </w:pPr>
    </w:p>
    <w:p w14:paraId="38B73911" w14:textId="77777777" w:rsidR="008E53E8" w:rsidRDefault="008E53E8" w:rsidP="008E53E8">
      <w:pPr>
        <w:spacing w:after="0"/>
        <w:rPr>
          <w:rFonts w:ascii="Verdana" w:eastAsia="Verdana" w:hAnsi="Verdana" w:cs="Verdana"/>
        </w:rPr>
      </w:pPr>
    </w:p>
    <w:p w14:paraId="681524E7" w14:textId="77777777" w:rsidR="008E53E8" w:rsidRDefault="008E53E8" w:rsidP="008E53E8">
      <w:pPr>
        <w:spacing w:after="0"/>
        <w:rPr>
          <w:rFonts w:ascii="Verdana" w:eastAsia="Verdana" w:hAnsi="Verdana" w:cs="Verdana"/>
        </w:rPr>
      </w:pPr>
    </w:p>
    <w:p w14:paraId="0E35A90F" w14:textId="77777777" w:rsidR="008E53E8" w:rsidRDefault="008E53E8" w:rsidP="008E53E8">
      <w:pPr>
        <w:spacing w:after="0"/>
        <w:rPr>
          <w:rFonts w:ascii="Verdana" w:eastAsia="Verdana" w:hAnsi="Verdana" w:cs="Verdana"/>
        </w:rPr>
      </w:pPr>
    </w:p>
    <w:p w14:paraId="3BA35095" w14:textId="77777777" w:rsidR="008E53E8" w:rsidRDefault="008E53E8" w:rsidP="008E53E8">
      <w:pPr>
        <w:spacing w:after="0"/>
        <w:rPr>
          <w:rFonts w:ascii="Verdana" w:eastAsia="Verdana" w:hAnsi="Verdana" w:cs="Verdana"/>
        </w:rPr>
      </w:pPr>
    </w:p>
    <w:p w14:paraId="03573D73" w14:textId="77777777" w:rsidR="008E53E8" w:rsidRDefault="008E53E8" w:rsidP="008E53E8">
      <w:pPr>
        <w:spacing w:after="0"/>
        <w:rPr>
          <w:rFonts w:ascii="Verdana" w:eastAsia="Verdana" w:hAnsi="Verdana" w:cs="Verdana"/>
        </w:rPr>
      </w:pPr>
    </w:p>
    <w:p w14:paraId="44DD05AC" w14:textId="77777777" w:rsidR="008E53E8" w:rsidRDefault="008E53E8" w:rsidP="008E53E8">
      <w:pPr>
        <w:spacing w:after="0"/>
        <w:rPr>
          <w:rFonts w:ascii="Verdana" w:eastAsia="Verdana" w:hAnsi="Verdana" w:cs="Verdana"/>
        </w:rPr>
      </w:pPr>
    </w:p>
    <w:p w14:paraId="6E2F675B" w14:textId="77777777" w:rsidR="008E53E8" w:rsidRDefault="008E53E8" w:rsidP="008E53E8">
      <w:pPr>
        <w:spacing w:after="0"/>
        <w:rPr>
          <w:rFonts w:ascii="Verdana" w:eastAsia="Verdana" w:hAnsi="Verdana" w:cs="Verdana"/>
        </w:rPr>
      </w:pPr>
    </w:p>
    <w:p w14:paraId="2B9D0007" w14:textId="77777777" w:rsidR="008E53E8" w:rsidRDefault="008E53E8" w:rsidP="008E53E8">
      <w:pPr>
        <w:spacing w:after="0"/>
        <w:rPr>
          <w:rFonts w:ascii="Verdana" w:eastAsia="Verdana" w:hAnsi="Verdana" w:cs="Verdana"/>
        </w:rPr>
      </w:pPr>
    </w:p>
    <w:p w14:paraId="4116CAA9" w14:textId="77777777" w:rsidR="008E53E8" w:rsidRDefault="008E53E8" w:rsidP="008E53E8">
      <w:pPr>
        <w:spacing w:after="0"/>
        <w:rPr>
          <w:rFonts w:ascii="Verdana" w:eastAsia="Verdana" w:hAnsi="Verdana" w:cs="Verdana"/>
        </w:rPr>
      </w:pPr>
    </w:p>
    <w:p w14:paraId="22697F20" w14:textId="77777777" w:rsidR="008E53E8" w:rsidRDefault="008E53E8" w:rsidP="008E53E8">
      <w:pPr>
        <w:spacing w:after="0"/>
        <w:rPr>
          <w:rFonts w:ascii="Verdana" w:eastAsia="Verdana" w:hAnsi="Verdana" w:cs="Verdana"/>
        </w:rPr>
      </w:pPr>
    </w:p>
    <w:p w14:paraId="443EBE46" w14:textId="77777777" w:rsidR="008E53E8" w:rsidRDefault="008E53E8" w:rsidP="008E53E8">
      <w:pPr>
        <w:spacing w:after="0"/>
        <w:rPr>
          <w:rFonts w:ascii="Verdana" w:eastAsia="Verdana" w:hAnsi="Verdana" w:cs="Verdana"/>
        </w:rPr>
      </w:pPr>
    </w:p>
    <w:p w14:paraId="3616607E" w14:textId="77777777" w:rsidR="008E53E8" w:rsidRDefault="008E53E8" w:rsidP="008E53E8">
      <w:pPr>
        <w:spacing w:after="0"/>
        <w:rPr>
          <w:rFonts w:ascii="Verdana" w:eastAsia="Verdana" w:hAnsi="Verdana" w:cs="Verdana"/>
        </w:rPr>
      </w:pPr>
    </w:p>
    <w:p w14:paraId="13808C2E" w14:textId="77777777" w:rsidR="008E53E8" w:rsidRDefault="008E53E8" w:rsidP="008E53E8">
      <w:pPr>
        <w:spacing w:after="0"/>
        <w:rPr>
          <w:rFonts w:ascii="Verdana" w:eastAsia="Verdana" w:hAnsi="Verdana" w:cs="Verdana"/>
        </w:rPr>
      </w:pPr>
    </w:p>
    <w:p w14:paraId="458E8259" w14:textId="77777777" w:rsidR="008E53E8" w:rsidRDefault="008E53E8" w:rsidP="008E53E8">
      <w:pPr>
        <w:spacing w:after="0"/>
        <w:rPr>
          <w:rFonts w:ascii="Verdana" w:eastAsia="Verdana" w:hAnsi="Verdana" w:cs="Verdana"/>
        </w:rPr>
      </w:pPr>
    </w:p>
    <w:p w14:paraId="072B6EAC" w14:textId="77777777" w:rsidR="008E53E8" w:rsidRDefault="008E53E8" w:rsidP="008E53E8">
      <w:pPr>
        <w:spacing w:after="0"/>
        <w:rPr>
          <w:rFonts w:ascii="Verdana" w:eastAsia="Verdana" w:hAnsi="Verdana" w:cs="Verdana"/>
        </w:rPr>
      </w:pPr>
    </w:p>
    <w:p w14:paraId="284163E6" w14:textId="77777777" w:rsidR="008E53E8" w:rsidRDefault="008E53E8" w:rsidP="008E53E8">
      <w:pPr>
        <w:spacing w:after="0"/>
        <w:rPr>
          <w:rFonts w:ascii="Verdana" w:eastAsia="Verdana" w:hAnsi="Verdana" w:cs="Verdana"/>
        </w:rPr>
      </w:pPr>
    </w:p>
    <w:p w14:paraId="605BD917" w14:textId="06200006" w:rsidR="008E53E8" w:rsidRDefault="008E53E8" w:rsidP="00241959">
      <w:pPr>
        <w:tabs>
          <w:tab w:val="left" w:pos="2760"/>
        </w:tabs>
        <w:spacing w:after="0"/>
        <w:rPr>
          <w:rFonts w:ascii="Verdana" w:eastAsia="Verdana" w:hAnsi="Verdana" w:cs="Verdana"/>
        </w:rPr>
      </w:pPr>
    </w:p>
    <w:p w14:paraId="3EA425FE" w14:textId="39F4F43A" w:rsidR="008E53E8" w:rsidRDefault="008E53E8" w:rsidP="008E53E8">
      <w:pPr>
        <w:spacing w:after="0"/>
        <w:rPr>
          <w:rFonts w:ascii="Verdana" w:eastAsia="Verdana" w:hAnsi="Verdana" w:cs="Verdana"/>
        </w:rPr>
      </w:pPr>
    </w:p>
    <w:p w14:paraId="3A52448F" w14:textId="48956792" w:rsidR="008E53E8" w:rsidRDefault="008E53E8" w:rsidP="008E53E8">
      <w:pPr>
        <w:spacing w:after="0"/>
        <w:rPr>
          <w:rFonts w:ascii="Verdana" w:eastAsia="Verdana" w:hAnsi="Verdana" w:cs="Verdana"/>
        </w:rPr>
      </w:pPr>
    </w:p>
    <w:p w14:paraId="011D0023" w14:textId="0AD5D9A0" w:rsidR="008E53E8" w:rsidRDefault="004D76BD" w:rsidP="008E53E8">
      <w:pPr>
        <w:spacing w:after="0"/>
        <w:rPr>
          <w:rFonts w:ascii="Verdana" w:eastAsia="Verdana" w:hAnsi="Verdana" w:cs="Verdana"/>
        </w:rPr>
      </w:pPr>
      <w:r>
        <w:rPr>
          <w:noProof/>
        </w:rPr>
        <w:lastRenderedPageBreak/>
        <w:drawing>
          <wp:anchor distT="0" distB="0" distL="0" distR="0" simplePos="0" relativeHeight="251660288" behindDoc="0" locked="0" layoutInCell="1" allowOverlap="1" wp14:anchorId="6CE42498" wp14:editId="6D9E553B">
            <wp:simplePos x="0" y="0"/>
            <wp:positionH relativeFrom="page">
              <wp:posOffset>4635795</wp:posOffset>
            </wp:positionH>
            <wp:positionV relativeFrom="paragraph">
              <wp:posOffset>149063</wp:posOffset>
            </wp:positionV>
            <wp:extent cx="2509284" cy="691116"/>
            <wp:effectExtent l="0" t="0" r="5715"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2511470" cy="691718"/>
                    </a:xfrm>
                    <a:prstGeom prst="rect">
                      <a:avLst/>
                    </a:prstGeom>
                  </pic:spPr>
                </pic:pic>
              </a:graphicData>
            </a:graphic>
            <wp14:sizeRelH relativeFrom="margin">
              <wp14:pctWidth>0</wp14:pctWidth>
            </wp14:sizeRelH>
            <wp14:sizeRelV relativeFrom="margin">
              <wp14:pctHeight>0</wp14:pctHeight>
            </wp14:sizeRelV>
          </wp:anchor>
        </w:drawing>
      </w:r>
      <w:r w:rsidR="008E53E8" w:rsidRPr="30821638">
        <w:rPr>
          <w:rFonts w:ascii="Verdana" w:eastAsia="Verdana" w:hAnsi="Verdana" w:cs="Verdana"/>
        </w:rPr>
        <w:t xml:space="preserve">Bogotá D.C., </w:t>
      </w:r>
      <w:r w:rsidR="00524DB1">
        <w:rPr>
          <w:rFonts w:ascii="Verdana" w:eastAsia="Verdana" w:hAnsi="Verdana" w:cs="Verdana"/>
        </w:rPr>
        <w:t xml:space="preserve">17 </w:t>
      </w:r>
      <w:proofErr w:type="gramStart"/>
      <w:r w:rsidR="00524DB1">
        <w:rPr>
          <w:rFonts w:ascii="Verdana" w:eastAsia="Verdana" w:hAnsi="Verdana" w:cs="Verdana"/>
        </w:rPr>
        <w:t>Marzo</w:t>
      </w:r>
      <w:proofErr w:type="gramEnd"/>
      <w:r w:rsidR="00524DB1">
        <w:rPr>
          <w:rFonts w:ascii="Verdana" w:eastAsia="Verdana" w:hAnsi="Verdana" w:cs="Verdana"/>
        </w:rPr>
        <w:t xml:space="preserve"> 2026</w:t>
      </w:r>
    </w:p>
    <w:p w14:paraId="509AFE8E" w14:textId="195DE575" w:rsidR="008E53E8" w:rsidRPr="006733BD" w:rsidRDefault="008E53E8" w:rsidP="008E53E8">
      <w:pPr>
        <w:spacing w:after="0"/>
        <w:rPr>
          <w:rFonts w:ascii="Verdana" w:hAnsi="Verdana"/>
          <w:color w:val="ED7D31" w:themeColor="accent2"/>
          <w:lang w:val="es-ES"/>
        </w:rPr>
      </w:pPr>
    </w:p>
    <w:p w14:paraId="65245E22" w14:textId="3B85B3F3" w:rsidR="008E53E8" w:rsidRPr="00801A0F" w:rsidRDefault="008E53E8" w:rsidP="008E53E8">
      <w:pPr>
        <w:spacing w:after="0" w:line="240" w:lineRule="auto"/>
        <w:rPr>
          <w:rFonts w:ascii="Verdana" w:hAnsi="Verdana"/>
          <w:lang w:val="es-ES"/>
        </w:rPr>
      </w:pPr>
      <w:r w:rsidRPr="00801A0F">
        <w:rPr>
          <w:rFonts w:ascii="Verdana" w:eastAsia="Calibri" w:hAnsi="Verdana" w:cs="Arial"/>
          <w:lang w:val="es-ES" w:eastAsia="es-ES"/>
        </w:rPr>
        <w:t>Señor</w:t>
      </w:r>
      <w:r>
        <w:rPr>
          <w:rFonts w:ascii="Verdana" w:eastAsia="Calibri" w:hAnsi="Verdana" w:cs="Arial"/>
          <w:lang w:val="es-ES" w:eastAsia="es-ES"/>
        </w:rPr>
        <w:t>es</w:t>
      </w:r>
      <w:r w:rsidR="004D76BD">
        <w:rPr>
          <w:rFonts w:ascii="Verdana" w:eastAsia="Calibri" w:hAnsi="Verdana" w:cs="Arial"/>
          <w:lang w:val="es-ES" w:eastAsia="es-ES"/>
        </w:rPr>
        <w:t xml:space="preserve">                                                                                     </w:t>
      </w:r>
    </w:p>
    <w:p w14:paraId="3F3C2DC5" w14:textId="77777777" w:rsidR="008E53E8" w:rsidRPr="00D15BC0" w:rsidRDefault="008E53E8" w:rsidP="008E53E8">
      <w:pPr>
        <w:spacing w:after="0" w:line="240" w:lineRule="auto"/>
        <w:rPr>
          <w:rFonts w:ascii="Verdana" w:eastAsia="Verdana" w:hAnsi="Verdana" w:cs="Verdana"/>
          <w:b/>
          <w:bCs/>
          <w:lang w:val="es-MX"/>
        </w:rPr>
      </w:pPr>
      <w:r w:rsidRPr="00315F0D">
        <w:rPr>
          <w:rFonts w:ascii="Verdana" w:eastAsia="Verdana" w:hAnsi="Verdana" w:cs="Verdana"/>
          <w:b/>
          <w:bCs/>
          <w:lang w:val="es-MX"/>
        </w:rPr>
        <w:t>Municipio De Dosquebradas</w:t>
      </w:r>
    </w:p>
    <w:p w14:paraId="02B4BC3B" w14:textId="77777777" w:rsidR="008E53E8" w:rsidRPr="00265E4A" w:rsidRDefault="008E53E8" w:rsidP="008E53E8">
      <w:pPr>
        <w:spacing w:after="0" w:line="240" w:lineRule="auto"/>
        <w:rPr>
          <w:rStyle w:val="Hipervnculo"/>
          <w:rFonts w:ascii="Verdana" w:eastAsia="Verdana" w:hAnsi="Verdana" w:cs="Verdana"/>
          <w:color w:val="auto"/>
          <w:u w:val="none"/>
          <w:lang w:val="es-MX"/>
        </w:rPr>
      </w:pPr>
      <w:hyperlink r:id="rId11" w:history="1">
        <w:r w:rsidRPr="00326A68">
          <w:rPr>
            <w:rStyle w:val="Hipervnculo"/>
            <w:rFonts w:ascii="Verdana" w:eastAsia="Verdana" w:hAnsi="Verdana" w:cs="Verdana"/>
            <w:lang w:val="es-MX"/>
          </w:rPr>
          <w:t>saianotificaciones@dosquebradas.gov.co</w:t>
        </w:r>
      </w:hyperlink>
      <w:r>
        <w:rPr>
          <w:rFonts w:ascii="Verdana" w:eastAsia="Verdana" w:hAnsi="Verdana" w:cs="Verdana"/>
          <w:lang w:val="es-MX"/>
        </w:rPr>
        <w:t xml:space="preserve"> </w:t>
      </w:r>
    </w:p>
    <w:p w14:paraId="6AA5D8DB" w14:textId="77777777" w:rsidR="008E53E8" w:rsidRDefault="008E53E8" w:rsidP="008E53E8">
      <w:pPr>
        <w:spacing w:after="0" w:line="240" w:lineRule="auto"/>
        <w:rPr>
          <w:rFonts w:ascii="Verdana" w:eastAsia="Verdana" w:hAnsi="Verdana" w:cs="Verdana"/>
          <w:lang w:val="es-MX"/>
        </w:rPr>
      </w:pPr>
      <w:r>
        <w:rPr>
          <w:rFonts w:ascii="Verdana" w:eastAsia="Verdana" w:hAnsi="Verdana" w:cs="Verdana"/>
          <w:lang w:val="es-MX"/>
        </w:rPr>
        <w:t>Dosquebradas-Risaralda</w:t>
      </w:r>
    </w:p>
    <w:p w14:paraId="777D36F4" w14:textId="77777777" w:rsidR="008E53E8" w:rsidRPr="006209EF" w:rsidRDefault="008E53E8" w:rsidP="008E53E8">
      <w:pPr>
        <w:spacing w:after="0"/>
        <w:rPr>
          <w:rFonts w:ascii="Verdana" w:eastAsia="Calibri" w:hAnsi="Verdana" w:cs="Arial"/>
          <w:color w:val="ED7D31" w:themeColor="accent2"/>
          <w:lang w:val="es-MX" w:eastAsia="es-ES"/>
        </w:rPr>
      </w:pPr>
    </w:p>
    <w:p w14:paraId="19B226FA" w14:textId="77777777" w:rsidR="008E53E8" w:rsidRPr="006733BD" w:rsidRDefault="008E53E8" w:rsidP="008E53E8">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E53E8" w:rsidRPr="006733BD" w14:paraId="2145BFC8" w14:textId="77777777" w:rsidTr="00517FDB">
        <w:trPr>
          <w:trHeight w:val="300"/>
        </w:trPr>
        <w:tc>
          <w:tcPr>
            <w:tcW w:w="2410" w:type="dxa"/>
          </w:tcPr>
          <w:p w14:paraId="628E13DE" w14:textId="77777777" w:rsidR="008E53E8" w:rsidRPr="00A54BCB" w:rsidRDefault="008E53E8" w:rsidP="00517FDB">
            <w:pPr>
              <w:ind w:left="-142"/>
              <w:jc w:val="both"/>
              <w:rPr>
                <w:rFonts w:ascii="Verdana" w:eastAsia="Calibri" w:hAnsi="Verdana" w:cs="Arial"/>
                <w:b/>
                <w:bCs/>
                <w:lang w:val="es-ES" w:eastAsia="es-ES_tradnl"/>
              </w:rPr>
            </w:pPr>
          </w:p>
        </w:tc>
        <w:tc>
          <w:tcPr>
            <w:tcW w:w="6100" w:type="dxa"/>
          </w:tcPr>
          <w:p w14:paraId="7F9D1DB0" w14:textId="77777777" w:rsidR="008E53E8" w:rsidRPr="00A54BCB" w:rsidRDefault="008E53E8" w:rsidP="00517FDB">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163</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4988D44F" w14:textId="77777777" w:rsidR="008E53E8" w:rsidRPr="00A54BCB" w:rsidRDefault="008E53E8" w:rsidP="00517FDB">
            <w:pPr>
              <w:ind w:left="3"/>
              <w:jc w:val="both"/>
              <w:rPr>
                <w:rFonts w:ascii="Verdana" w:eastAsia="Calibri" w:hAnsi="Verdana" w:cs="Arial"/>
                <w:b/>
                <w:bCs/>
                <w:lang w:val="es-ES" w:eastAsia="es-ES"/>
              </w:rPr>
            </w:pPr>
          </w:p>
        </w:tc>
      </w:tr>
      <w:tr w:rsidR="008E53E8" w:rsidRPr="006733BD" w14:paraId="7E5E6ADC" w14:textId="77777777" w:rsidTr="00517FDB">
        <w:trPr>
          <w:trHeight w:val="300"/>
        </w:trPr>
        <w:tc>
          <w:tcPr>
            <w:tcW w:w="2410" w:type="dxa"/>
          </w:tcPr>
          <w:p w14:paraId="0BDB1069" w14:textId="77777777" w:rsidR="008E53E8" w:rsidRPr="006733BD" w:rsidRDefault="008E53E8" w:rsidP="00517FDB">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60966A7D" w14:textId="70A4488C" w:rsidR="00144EB3" w:rsidRDefault="008E53E8" w:rsidP="00517FDB">
            <w:pPr>
              <w:tabs>
                <w:tab w:val="left" w:pos="3374"/>
              </w:tabs>
              <w:jc w:val="both"/>
              <w:rPr>
                <w:rFonts w:ascii="Verdana" w:eastAsia="Calibri" w:hAnsi="Verdana" w:cs="Arial"/>
                <w:lang w:val="es-ES" w:eastAsia="es-ES"/>
              </w:rPr>
            </w:pPr>
            <w:r w:rsidRPr="00E631A9">
              <w:rPr>
                <w:rFonts w:ascii="Verdana" w:eastAsia="Calibri" w:hAnsi="Verdana" w:cs="Arial"/>
                <w:lang w:val="es-ES" w:eastAsia="es-ES"/>
              </w:rPr>
              <w:t xml:space="preserve">LEY DE GARANTÍAS ELECTORALES ─ Definición ─ Finalidad ─ Restricciones ─ Destinatarios / LEY DE GARANTÍAS ELECTORALES ─ Prohibición ─ Contratación Directa ─ Alcance ─ Excepciones / </w:t>
            </w:r>
            <w:r w:rsidR="00144EB3" w:rsidRPr="00E631A9">
              <w:rPr>
                <w:rFonts w:ascii="Verdana" w:eastAsia="Calibri" w:hAnsi="Verdana" w:cs="Arial"/>
                <w:lang w:val="es-ES" w:eastAsia="es-ES"/>
              </w:rPr>
              <w:t>LEY DE GARANTÍAS ELECTORALES ─ Prohibición ─</w:t>
            </w:r>
            <w:r w:rsidR="00144EB3">
              <w:rPr>
                <w:rFonts w:ascii="Verdana" w:eastAsia="Calibri" w:hAnsi="Verdana" w:cs="Arial"/>
                <w:lang w:val="es-ES" w:eastAsia="es-ES"/>
              </w:rPr>
              <w:t xml:space="preserve"> Convenios interadministrativos / </w:t>
            </w:r>
            <w:r w:rsidR="00A14620" w:rsidRPr="00E631A9">
              <w:rPr>
                <w:rFonts w:ascii="Verdana" w:eastAsia="Calibri" w:hAnsi="Verdana" w:cs="Arial"/>
                <w:lang w:val="es-ES" w:eastAsia="es-ES"/>
              </w:rPr>
              <w:t>LEY DE GARANTÍAS ELECTORALES ─ Prohibición ─</w:t>
            </w:r>
            <w:r w:rsidR="00A14620">
              <w:rPr>
                <w:rFonts w:ascii="Verdana" w:eastAsia="Calibri" w:hAnsi="Verdana" w:cs="Arial"/>
                <w:lang w:val="es-ES" w:eastAsia="es-ES"/>
              </w:rPr>
              <w:t xml:space="preserve"> Convenios y contratos interadministrativos – Distinción – Aplicación restricción / </w:t>
            </w:r>
            <w:r w:rsidR="00A14620" w:rsidRPr="00E631A9">
              <w:rPr>
                <w:rFonts w:ascii="Verdana" w:eastAsia="Calibri" w:hAnsi="Verdana" w:cs="Arial"/>
                <w:lang w:val="es-ES" w:eastAsia="es-ES"/>
              </w:rPr>
              <w:t>LEY DE GARANTÍAS ELECTORALES ─ Prohibición ─</w:t>
            </w:r>
            <w:r w:rsidR="00A14620">
              <w:rPr>
                <w:rFonts w:ascii="Verdana" w:eastAsia="Calibri" w:hAnsi="Verdana" w:cs="Arial"/>
                <w:lang w:val="es-ES" w:eastAsia="es-ES"/>
              </w:rPr>
              <w:t xml:space="preserve"> Convenios interadministrativos – no aplicación excepciones</w:t>
            </w:r>
          </w:p>
          <w:p w14:paraId="260A90B6" w14:textId="77777777" w:rsidR="008E53E8" w:rsidRPr="008F679F" w:rsidRDefault="008E53E8" w:rsidP="00A14620">
            <w:pPr>
              <w:tabs>
                <w:tab w:val="left" w:pos="3374"/>
              </w:tabs>
              <w:jc w:val="both"/>
              <w:rPr>
                <w:rFonts w:ascii="Verdana" w:eastAsia="Calibri" w:hAnsi="Verdana" w:cs="Arial"/>
                <w:color w:val="ED7D31" w:themeColor="accent2"/>
                <w:lang w:val="es-ES"/>
              </w:rPr>
            </w:pPr>
          </w:p>
        </w:tc>
      </w:tr>
      <w:tr w:rsidR="008E53E8" w:rsidRPr="00C5490E" w14:paraId="782C4556" w14:textId="77777777" w:rsidTr="00517FDB">
        <w:tc>
          <w:tcPr>
            <w:tcW w:w="2410" w:type="dxa"/>
          </w:tcPr>
          <w:p w14:paraId="07366479" w14:textId="77777777" w:rsidR="008E53E8" w:rsidRPr="006733BD" w:rsidRDefault="008E53E8" w:rsidP="00517FDB">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4CB934D2" w14:textId="77777777" w:rsidR="008E53E8" w:rsidRPr="00C5490E" w:rsidRDefault="008E53E8" w:rsidP="00517FDB">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1_2026_02_05_001477</w:t>
            </w:r>
          </w:p>
        </w:tc>
      </w:tr>
    </w:tbl>
    <w:p w14:paraId="556CE768" w14:textId="77777777" w:rsidR="008E53E8" w:rsidRPr="006733BD" w:rsidRDefault="008E53E8" w:rsidP="008E53E8">
      <w:pPr>
        <w:spacing w:after="0" w:line="276" w:lineRule="auto"/>
        <w:jc w:val="both"/>
        <w:rPr>
          <w:rFonts w:ascii="Verdana" w:eastAsia="Calibri" w:hAnsi="Verdana" w:cs="Arial"/>
          <w:color w:val="ED7D31" w:themeColor="accent2"/>
          <w:lang w:val="es-ES" w:eastAsia="es-ES"/>
        </w:rPr>
      </w:pPr>
    </w:p>
    <w:p w14:paraId="4DF661AA" w14:textId="77777777" w:rsidR="008E53E8" w:rsidRPr="006733BD" w:rsidRDefault="008E53E8" w:rsidP="008E53E8">
      <w:pPr>
        <w:spacing w:after="0" w:line="276" w:lineRule="auto"/>
        <w:jc w:val="both"/>
        <w:rPr>
          <w:rFonts w:ascii="Verdana" w:eastAsia="Calibri" w:hAnsi="Verdana" w:cs="Arial"/>
          <w:color w:val="ED7D31" w:themeColor="accent2"/>
          <w:lang w:val="es-ES" w:eastAsia="es-ES"/>
        </w:rPr>
      </w:pPr>
    </w:p>
    <w:p w14:paraId="000D8B48" w14:textId="77777777" w:rsidR="008E53E8" w:rsidRDefault="008E53E8" w:rsidP="008E53E8">
      <w:pPr>
        <w:spacing w:after="0" w:line="276" w:lineRule="auto"/>
        <w:jc w:val="both"/>
        <w:rPr>
          <w:rFonts w:ascii="Verdana" w:eastAsia="Calibri" w:hAnsi="Verdana" w:cs="Arial"/>
          <w:lang w:val="es-ES" w:eastAsia="es-ES"/>
        </w:rPr>
      </w:pPr>
    </w:p>
    <w:p w14:paraId="22A4F870" w14:textId="77777777" w:rsidR="008E53E8" w:rsidRPr="00C5490E" w:rsidRDefault="008E53E8" w:rsidP="008E53E8">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2DDBABC5" w14:textId="77777777" w:rsidR="008E53E8" w:rsidRPr="00C5490E" w:rsidRDefault="008E53E8" w:rsidP="008E53E8">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5F5965D4" w14:textId="77777777" w:rsidR="008E53E8" w:rsidRPr="00C5490E" w:rsidRDefault="008E53E8" w:rsidP="008E53E8">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05</w:t>
      </w:r>
      <w:r w:rsidRPr="00852F26">
        <w:rPr>
          <w:rFonts w:ascii="Verdana" w:eastAsia="Calibri" w:hAnsi="Verdana" w:cs="Arial"/>
          <w:lang w:val="es-ES" w:eastAsia="es-ES"/>
        </w:rPr>
        <w:t xml:space="preserve"> de febrero de 2026, en la cual manifiesta lo siguiente:</w:t>
      </w:r>
    </w:p>
    <w:p w14:paraId="03A457E0" w14:textId="77777777" w:rsidR="008E53E8" w:rsidRPr="006733BD" w:rsidRDefault="008E53E8" w:rsidP="008E53E8">
      <w:pPr>
        <w:tabs>
          <w:tab w:val="left" w:pos="142"/>
          <w:tab w:val="left" w:pos="284"/>
        </w:tabs>
        <w:spacing w:after="0" w:line="276" w:lineRule="auto"/>
        <w:contextualSpacing/>
        <w:jc w:val="both"/>
        <w:rPr>
          <w:rFonts w:ascii="Verdana" w:eastAsia="Century Gothic" w:hAnsi="Verdana" w:cs="Century Gothic"/>
          <w:b/>
          <w:bCs/>
          <w:color w:val="ED7D31" w:themeColor="accent2"/>
          <w:lang w:val="es-ES"/>
        </w:rPr>
      </w:pPr>
    </w:p>
    <w:p w14:paraId="4274B065" w14:textId="2D4A6BE6" w:rsidR="00BB6406" w:rsidRDefault="00BB6406" w:rsidP="00294702">
      <w:pPr>
        <w:spacing w:after="0" w:line="240" w:lineRule="auto"/>
        <w:ind w:left="709" w:right="709"/>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Pr="00BB6406">
        <w:rPr>
          <w:rFonts w:ascii="Verdana" w:eastAsia="Century Gothic" w:hAnsi="Verdana" w:cs="Century Gothic"/>
          <w:i/>
          <w:iCs/>
          <w:sz w:val="20"/>
          <w:szCs w:val="20"/>
          <w:lang w:val="es-ES"/>
        </w:rPr>
        <w:t>Con fundamento en lo anterior, se solicita a esa Dirección Jurídica emitir concepto jurídico sobre la viabilidad de</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celebrar convenios interadministrativos con el INPEC u otras entidades del Estado durante la vigencia de la Ley de</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Garantías Electorales, cuando su objeto sea la garantía de los derechos humanos y fundamentales de la población</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privada de la libertad. Así mismo, se solicita pronunciamiento sobre si la no celebración</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de dichos convenios, pese</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 xml:space="preserve">a la existencia de un riesgo cierto </w:t>
      </w:r>
      <w:r w:rsidRPr="00BB6406">
        <w:rPr>
          <w:rFonts w:ascii="Verdana" w:eastAsia="Century Gothic" w:hAnsi="Verdana" w:cs="Century Gothic"/>
          <w:i/>
          <w:iCs/>
          <w:sz w:val="20"/>
          <w:szCs w:val="20"/>
          <w:lang w:val="es-ES"/>
        </w:rPr>
        <w:lastRenderedPageBreak/>
        <w:t>y grave de vulneración de derechos fundamentales, podría derivar en</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responsabilidades constitucionales, disciplinarias o administrativas para la entidad territorial por omisión en el</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cumplimiento de sus deberes, y cuál es el marco normativo aplicable para sustentar jurídicamente la procedencia</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de estos instrumentos de cooperación interadministrativa, a la luz de los principios de colaboración armónica,</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concurrencia, subsidiariedad, prevalencia del interés general y protección efectiva de los derechos humanos</w:t>
      </w:r>
      <w:r>
        <w:rPr>
          <w:rFonts w:ascii="Verdana" w:eastAsia="Century Gothic" w:hAnsi="Verdana" w:cs="Century Gothic"/>
          <w:i/>
          <w:iCs/>
          <w:sz w:val="20"/>
          <w:szCs w:val="20"/>
          <w:lang w:val="es-ES"/>
        </w:rPr>
        <w:t>”</w:t>
      </w:r>
      <w:r w:rsidRPr="00BB6406">
        <w:rPr>
          <w:rFonts w:ascii="Verdana" w:eastAsia="Century Gothic" w:hAnsi="Verdana" w:cs="Century Gothic"/>
          <w:i/>
          <w:iCs/>
          <w:sz w:val="20"/>
          <w:szCs w:val="20"/>
          <w:lang w:val="es-ES"/>
        </w:rPr>
        <w:t>.</w:t>
      </w:r>
      <w:r w:rsidRPr="00BB6406" w:rsidDel="00BB6406">
        <w:rPr>
          <w:rFonts w:ascii="Verdana" w:eastAsia="Century Gothic" w:hAnsi="Verdana" w:cs="Century Gothic"/>
          <w:i/>
          <w:iCs/>
          <w:sz w:val="20"/>
          <w:szCs w:val="20"/>
          <w:lang w:val="es-ES"/>
        </w:rPr>
        <w:t xml:space="preserve"> </w:t>
      </w:r>
    </w:p>
    <w:p w14:paraId="739F311F" w14:textId="77777777" w:rsidR="008E53E8" w:rsidRPr="00CD496A" w:rsidRDefault="008E53E8" w:rsidP="008E53E8">
      <w:pPr>
        <w:spacing w:before="120" w:after="120"/>
        <w:ind w:right="709"/>
        <w:contextualSpacing/>
        <w:jc w:val="both"/>
        <w:rPr>
          <w:rFonts w:ascii="Verdana" w:eastAsia="Century Gothic" w:hAnsi="Verdana" w:cs="Century Gothic"/>
          <w:i/>
          <w:iCs/>
          <w:sz w:val="20"/>
          <w:szCs w:val="20"/>
        </w:rPr>
      </w:pPr>
    </w:p>
    <w:p w14:paraId="3D2C6893" w14:textId="77777777" w:rsidR="008E53E8" w:rsidRPr="00CD496A" w:rsidRDefault="008E53E8" w:rsidP="008E53E8">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6BB4A20C" w14:textId="77777777" w:rsidR="008E53E8" w:rsidRPr="00CD496A" w:rsidRDefault="008E53E8" w:rsidP="008E53E8">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BB98D9D" w14:textId="77777777" w:rsidR="008E53E8" w:rsidRPr="00CD496A" w:rsidRDefault="008E53E8" w:rsidP="008E53E8">
      <w:pPr>
        <w:spacing w:after="0" w:line="276" w:lineRule="auto"/>
        <w:ind w:firstLine="709"/>
        <w:jc w:val="both"/>
        <w:rPr>
          <w:rFonts w:ascii="Verdana" w:eastAsia="Calibri" w:hAnsi="Verdana" w:cs="Arial"/>
          <w:lang w:val="es-ES" w:eastAsia="es-ES"/>
        </w:rPr>
      </w:pPr>
    </w:p>
    <w:p w14:paraId="687A7F33" w14:textId="77777777" w:rsidR="008E53E8" w:rsidRPr="00CD496A" w:rsidRDefault="008E53E8" w:rsidP="008E53E8">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3E6EA616" w14:textId="77777777" w:rsidR="008E53E8" w:rsidRPr="006733BD" w:rsidRDefault="008E53E8" w:rsidP="008E53E8">
      <w:pPr>
        <w:tabs>
          <w:tab w:val="left" w:pos="426"/>
        </w:tabs>
        <w:spacing w:after="0" w:line="276" w:lineRule="auto"/>
        <w:jc w:val="both"/>
        <w:rPr>
          <w:rFonts w:ascii="Verdana" w:eastAsia="Century Gothic" w:hAnsi="Verdana" w:cs="Century Gothic"/>
          <w:color w:val="ED7D31" w:themeColor="accent2"/>
          <w:lang w:val="es-ES"/>
        </w:rPr>
      </w:pPr>
    </w:p>
    <w:p w14:paraId="35E67CAC" w14:textId="77777777" w:rsidR="008E53E8" w:rsidRPr="008A568A" w:rsidRDefault="008E53E8" w:rsidP="008E53E8">
      <w:pPr>
        <w:spacing w:after="0" w:line="276" w:lineRule="auto"/>
        <w:jc w:val="both"/>
        <w:rPr>
          <w:rFonts w:ascii="Verdana" w:eastAsia="Century Gothic" w:hAnsi="Verdana" w:cs="Century Gothic"/>
        </w:rPr>
      </w:pPr>
      <w:r w:rsidRPr="00CD496A">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el</w:t>
      </w:r>
      <w:r w:rsidRPr="00CD496A">
        <w:rPr>
          <w:rFonts w:ascii="Verdana" w:eastAsia="Century Gothic" w:hAnsi="Verdana" w:cs="Century Gothic"/>
          <w:lang w:val="es-ES"/>
        </w:rPr>
        <w:t xml:space="preserve"> siguiente problema jurídico:</w:t>
      </w:r>
      <w:r w:rsidRPr="00CD496A">
        <w:rPr>
          <w:rFonts w:ascii="Verdana" w:eastAsia="Century Gothic" w:hAnsi="Verdana" w:cs="Century Gothic"/>
        </w:rPr>
        <w:t xml:space="preserve"> </w:t>
      </w:r>
      <w:r w:rsidRPr="00472774">
        <w:rPr>
          <w:rFonts w:ascii="Verdana" w:eastAsia="Century Gothic" w:hAnsi="Verdana" w:cs="Century Gothic"/>
        </w:rPr>
        <w:t>¿Es jurídicamente viable que una entidad territorial celebre un convenio interadministrativo con el Instituto Nacional Penitenciario y Carcelario –INPEC– para la ejecución de recursos públicos destinados a la garantía de los derechos fundamentales de la población privada de la libertad, durante el período de Ley de Garantías Electorales?</w:t>
      </w:r>
    </w:p>
    <w:p w14:paraId="6649B4CA" w14:textId="77777777" w:rsidR="008E53E8" w:rsidRPr="006733BD" w:rsidRDefault="008E53E8" w:rsidP="008E53E8">
      <w:pPr>
        <w:spacing w:after="0" w:line="276" w:lineRule="auto"/>
        <w:jc w:val="both"/>
        <w:rPr>
          <w:rFonts w:ascii="Verdana" w:eastAsia="Century Gothic" w:hAnsi="Verdana" w:cs="Century Gothic"/>
          <w:color w:val="ED7D31" w:themeColor="accent2"/>
        </w:rPr>
      </w:pPr>
    </w:p>
    <w:p w14:paraId="34A98F36" w14:textId="77777777" w:rsidR="008E53E8" w:rsidRPr="006733BD" w:rsidRDefault="008E53E8" w:rsidP="008E53E8">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67E7DEAF" w14:textId="77777777" w:rsidR="008E53E8" w:rsidRPr="006733BD" w:rsidRDefault="008E53E8" w:rsidP="008E53E8">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E53E8" w:rsidRPr="006733BD" w14:paraId="533F02EC" w14:textId="77777777" w:rsidTr="00517FDB">
        <w:tc>
          <w:tcPr>
            <w:tcW w:w="8828" w:type="dxa"/>
          </w:tcPr>
          <w:p w14:paraId="0D80049A" w14:textId="12133EB4" w:rsidR="00CD0AD9" w:rsidRPr="00CE01E2" w:rsidRDefault="008E53E8"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lastRenderedPageBreak/>
              <w:t xml:space="preserve">Para dar respuesta al problema jurídico planteado, resulta pertinente señalar que </w:t>
            </w:r>
            <w:r w:rsidR="00CD0AD9" w:rsidRPr="00CE01E2">
              <w:rPr>
                <w:rFonts w:ascii="Verdana" w:eastAsia="Calibri" w:hAnsi="Verdana" w:cs="Arial"/>
                <w:bCs/>
                <w:szCs w:val="24"/>
                <w:lang w:eastAsia="es-ES_tradnl"/>
              </w:rPr>
              <w:t xml:space="preserve">la Ley de Garantías Electorales </w:t>
            </w:r>
            <w:r w:rsidR="00CD0AD9" w:rsidRPr="00CE01E2">
              <w:rPr>
                <w:rFonts w:ascii="Verdana" w:hAnsi="Verdana" w:cs="Arial"/>
                <w:lang w:val="es-ES"/>
              </w:rPr>
              <w:t>establece restricciones específicas para la contratación pública durante los períodos electorales, particularmente en lo que respecta a la contratación directa y a la celebración de convenios interadministrativos financiados con recursos del presupuesto estatal.</w:t>
            </w:r>
          </w:p>
          <w:p w14:paraId="5CD422B2" w14:textId="77777777" w:rsidR="00CD0AD9" w:rsidRPr="00CE01E2" w:rsidRDefault="00CD0AD9"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Por un lado, </w:t>
            </w:r>
            <w:r w:rsidR="008E53E8" w:rsidRPr="00CE01E2">
              <w:rPr>
                <w:rFonts w:ascii="Verdana" w:eastAsia="Calibri" w:hAnsi="Verdana" w:cs="Arial"/>
                <w:bCs/>
                <w:szCs w:val="24"/>
                <w:lang w:eastAsia="es-ES_tradnl"/>
              </w:rPr>
              <w:t>el artículo 33 de la Ley 996 de 2005 establece que, durante los cuatro (4) meses anteriores a la elección presidencial y hasta la realización de la segunda vuelta, si fuere el caso, queda prohibida la contratación directa por parte de todos los entes del Estado. No obstante, la citada disposición prevé determinadas excepciones a dicha restricción, entre las cuales se encuentran los contratos relacionados con la defensa y seguridad del Estado, los contratos de crédito público, aquellos requeridos para atender emergencias educativas, sanitarias o desastres, así como los destinados a la reconstrucción de vías, puentes, carreteras, infraestructura energética y de comunicaciones cuando hayan sido afectados por atentados, acciones terroristas, desastres naturales o casos de fuerza mayor, y los que deban celebrar las entidades sanitarias y hospitalaria</w:t>
            </w:r>
            <w:r w:rsidRPr="00CE01E2">
              <w:rPr>
                <w:rFonts w:ascii="Verdana" w:eastAsia="Calibri" w:hAnsi="Verdana" w:cs="Arial"/>
                <w:bCs/>
                <w:szCs w:val="24"/>
                <w:lang w:eastAsia="es-ES_tradnl"/>
              </w:rPr>
              <w:t xml:space="preserve">. </w:t>
            </w:r>
          </w:p>
          <w:p w14:paraId="0483AA59" w14:textId="72A159D1" w:rsidR="000D50BA" w:rsidRPr="00CE01E2" w:rsidRDefault="000D50BA"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294702">
              <w:rPr>
                <w:rFonts w:ascii="Verdana" w:hAnsi="Verdana" w:cs="Arial"/>
                <w:color w:val="000000" w:themeColor="text1"/>
                <w:lang w:val="es-ES"/>
              </w:rPr>
              <w:t xml:space="preserve">Tal y como se </w:t>
            </w:r>
            <w:r w:rsidR="00CE01E2" w:rsidRPr="00CE01E2">
              <w:rPr>
                <w:rFonts w:ascii="Verdana" w:hAnsi="Verdana" w:cs="Arial"/>
                <w:color w:val="000000" w:themeColor="text1"/>
                <w:lang w:val="es-ES"/>
              </w:rPr>
              <w:t>analizará</w:t>
            </w:r>
            <w:r w:rsidRPr="00294702">
              <w:rPr>
                <w:rFonts w:ascii="Verdana" w:hAnsi="Verdana" w:cs="Arial"/>
                <w:color w:val="000000" w:themeColor="text1"/>
                <w:lang w:val="es-ES"/>
              </w:rPr>
              <w:t xml:space="preserve"> en el presente concepto, la expresión “defensa y seguridad del Estado”, empleada por el segundo inciso del artículo 33 de la Ley 996 de 2005 –y que se halla también en otras disposiciones normativas con la denominación de “defensa y seguridad nacional”– es un </w:t>
            </w:r>
            <w:r w:rsidRPr="00294702">
              <w:rPr>
                <w:rFonts w:ascii="Verdana" w:hAnsi="Verdana" w:cs="Arial"/>
                <w:i/>
                <w:iCs/>
                <w:color w:val="000000" w:themeColor="text1"/>
                <w:lang w:val="es-ES"/>
              </w:rPr>
              <w:t>concepto jurídico indeterminado</w:t>
            </w:r>
            <w:r w:rsidRPr="00294702">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de la sola adquisición de armamento o de los bienes y actividades requeridas para la “guerra”. Para el alto tribunal, aquel es un concepto que debe interpretarse bajo una comprensión sistemática del orden público. Por tanto, considerando estos criterios hermenéuticos, corresponde a la entidad que realiza la consulta interpretar el concepto jurídico “defensa y seguridad del Estado”, para determinar si se presenta la excepción a la contratación directa prevista en el segundo inciso del artículo 33 de la Ley 996 de 2005.    </w:t>
            </w:r>
          </w:p>
          <w:p w14:paraId="4556D822" w14:textId="3D42710A" w:rsidR="008E53E8" w:rsidRPr="00CE01E2" w:rsidRDefault="000D50BA"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Por otro lado, </w:t>
            </w:r>
            <w:r w:rsidR="008E53E8" w:rsidRPr="00CE01E2">
              <w:rPr>
                <w:rFonts w:ascii="Verdana" w:eastAsia="Calibri" w:hAnsi="Verdana" w:cs="Arial"/>
                <w:bCs/>
                <w:szCs w:val="24"/>
                <w:lang w:eastAsia="es-ES_tradnl"/>
              </w:rPr>
              <w:t xml:space="preserve">el parágrafo del artículo 38 de la misma </w:t>
            </w:r>
            <w:r w:rsidRPr="00CE01E2">
              <w:rPr>
                <w:rFonts w:ascii="Verdana" w:eastAsia="Calibri" w:hAnsi="Verdana" w:cs="Arial"/>
                <w:bCs/>
                <w:szCs w:val="24"/>
                <w:lang w:eastAsia="es-ES_tradnl"/>
              </w:rPr>
              <w:t>L</w:t>
            </w:r>
            <w:r w:rsidR="008E53E8" w:rsidRPr="00CE01E2">
              <w:rPr>
                <w:rFonts w:ascii="Verdana" w:eastAsia="Calibri" w:hAnsi="Verdana" w:cs="Arial"/>
                <w:bCs/>
                <w:szCs w:val="24"/>
                <w:lang w:eastAsia="es-ES_tradnl"/>
              </w:rPr>
              <w:t xml:space="preserve">ey establece una restricción específica dirigida a las autoridades del orden territorial, al disponer que los gobernadores, alcaldes, secretarios, gerentes y directores de las entidades del orden departamental, distrital o municipal no podrán celebrar </w:t>
            </w:r>
            <w:r w:rsidR="008E53E8" w:rsidRPr="00CE01E2">
              <w:rPr>
                <w:rFonts w:ascii="Verdana" w:eastAsia="Calibri" w:hAnsi="Verdana" w:cs="Arial"/>
                <w:bCs/>
                <w:szCs w:val="24"/>
                <w:lang w:eastAsia="es-ES_tradnl"/>
              </w:rPr>
              <w:lastRenderedPageBreak/>
              <w:t>convenios interadministrativos para la ejecución de recursos públicos dentro de los cuatro (4) meses anteriores a la respectiva jornada electoral.</w:t>
            </w:r>
          </w:p>
          <w:p w14:paraId="2FAE7428" w14:textId="4541E603" w:rsidR="008E53E8" w:rsidRPr="00CE01E2" w:rsidRDefault="008E53E8" w:rsidP="00CE01E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En ese sentido, cuando una o ambas partes de la relación contractual correspondan a alguna de las autoridades o entidades señaladas en el citado parágrafo</w:t>
            </w:r>
            <w:r w:rsidR="000D50BA" w:rsidRPr="00CE01E2">
              <w:rPr>
                <w:rFonts w:ascii="Verdana" w:eastAsia="Calibri" w:hAnsi="Verdana" w:cs="Arial"/>
                <w:bCs/>
                <w:szCs w:val="24"/>
                <w:lang w:eastAsia="es-ES_tradnl"/>
              </w:rPr>
              <w:t xml:space="preserve"> – como es el caso de los alcaldes municipales –</w:t>
            </w:r>
            <w:r w:rsidRPr="00CE01E2">
              <w:rPr>
                <w:rFonts w:ascii="Verdana" w:eastAsia="Calibri" w:hAnsi="Verdana" w:cs="Arial"/>
                <w:bCs/>
                <w:szCs w:val="24"/>
                <w:lang w:eastAsia="es-ES_tradnl"/>
              </w:rPr>
              <w:t>, no resultará jurídicamente viable la celebración de convenios interadministrativos durante el periodo de aplicación de la Ley de Garantías Electorales, en la medida en que la prohibición establecida por el legislador recae expresamente sobre dicha tipología contractual cuando implique la ejecución de recursos públicos.</w:t>
            </w:r>
          </w:p>
          <w:p w14:paraId="08168AA6" w14:textId="76C53531" w:rsidR="00B4163F" w:rsidRPr="00294702" w:rsidRDefault="00EB7A94" w:rsidP="00294702">
            <w:pPr>
              <w:spacing w:after="120"/>
              <w:ind w:firstLine="709"/>
              <w:jc w:val="both"/>
              <w:rPr>
                <w:rFonts w:ascii="Verdana" w:eastAsia="Century Gothic" w:hAnsi="Verdana" w:cs="Century Gothic"/>
                <w:lang w:val="es-ES"/>
              </w:rPr>
            </w:pPr>
            <w:r w:rsidRPr="00CE01E2">
              <w:rPr>
                <w:rFonts w:ascii="Verdana" w:eastAsia="Calibri" w:hAnsi="Verdana" w:cs="Arial"/>
                <w:bCs/>
                <w:szCs w:val="24"/>
                <w:lang w:eastAsia="es-ES_tradnl"/>
              </w:rPr>
              <w:t xml:space="preserve">En importante </w:t>
            </w:r>
            <w:proofErr w:type="gramStart"/>
            <w:r w:rsidRPr="00CE01E2">
              <w:rPr>
                <w:rFonts w:ascii="Verdana" w:eastAsia="Calibri" w:hAnsi="Verdana" w:cs="Arial"/>
                <w:bCs/>
                <w:szCs w:val="24"/>
                <w:lang w:eastAsia="es-ES_tradnl"/>
              </w:rPr>
              <w:t>precisar</w:t>
            </w:r>
            <w:proofErr w:type="gramEnd"/>
            <w:r w:rsidRPr="00CE01E2">
              <w:rPr>
                <w:rFonts w:ascii="Verdana" w:eastAsia="Calibri" w:hAnsi="Verdana" w:cs="Arial"/>
                <w:bCs/>
                <w:szCs w:val="24"/>
                <w:lang w:eastAsia="es-ES_tradnl"/>
              </w:rPr>
              <w:t xml:space="preserve"> que, </w:t>
            </w:r>
            <w:r w:rsidR="005751F2" w:rsidRPr="00CE01E2">
              <w:rPr>
                <w:rFonts w:ascii="Verdana" w:eastAsia="Century Gothic" w:hAnsi="Verdana" w:cs="Century Gothic"/>
                <w:lang w:val="es-ES"/>
              </w:rPr>
              <w:t>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w:t>
            </w:r>
            <w:r w:rsidR="00B4163F" w:rsidRPr="00CE01E2">
              <w:rPr>
                <w:rFonts w:ascii="Verdana" w:eastAsia="Century Gothic" w:hAnsi="Verdana" w:cs="Century Gothic"/>
                <w:lang w:val="es-ES"/>
              </w:rPr>
              <w:t xml:space="preserve"> </w:t>
            </w:r>
          </w:p>
          <w:p w14:paraId="22A29BC8" w14:textId="0FEB3765" w:rsidR="008E53E8" w:rsidRPr="001669C8" w:rsidRDefault="008E53E8" w:rsidP="00294702">
            <w:pPr>
              <w:spacing w:after="120"/>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Así las cosas, cuando una entidad territorial pretenda celebrar un convenio interadministrativo con el Instituto Nacional Penitenciario y Carcelario, en principio</w:t>
            </w:r>
            <w:r w:rsidR="00CE01E2" w:rsidRPr="00CE01E2">
              <w:rPr>
                <w:rFonts w:ascii="Verdana" w:eastAsia="Calibri" w:hAnsi="Verdana" w:cs="Arial"/>
                <w:bCs/>
                <w:szCs w:val="24"/>
                <w:lang w:eastAsia="es-ES_tradnl"/>
              </w:rPr>
              <w:t>,</w:t>
            </w:r>
            <w:r w:rsidRPr="00CE01E2">
              <w:rPr>
                <w:rFonts w:ascii="Verdana" w:eastAsia="Calibri" w:hAnsi="Verdana" w:cs="Arial"/>
                <w:bCs/>
                <w:szCs w:val="24"/>
                <w:lang w:eastAsia="es-ES_tradnl"/>
              </w:rPr>
              <w:t xml:space="preserve"> no resultaría jurídicamente viable su suscripción durante el periodo de aplicación de la Ley 996 de 2005 (Ley de Garantías Electorales)</w:t>
            </w:r>
            <w:r w:rsidR="00CE01E2" w:rsidRPr="00CE01E2">
              <w:rPr>
                <w:rFonts w:ascii="Verdana" w:eastAsia="Calibri" w:hAnsi="Verdana" w:cs="Arial"/>
                <w:bCs/>
                <w:szCs w:val="24"/>
                <w:lang w:eastAsia="es-ES_tradnl"/>
              </w:rPr>
              <w:t xml:space="preserve">. </w:t>
            </w:r>
            <w:r w:rsidRPr="00CE01E2">
              <w:rPr>
                <w:rFonts w:ascii="Verdana" w:eastAsia="Calibri" w:hAnsi="Verdana" w:cs="Arial"/>
                <w:bCs/>
                <w:szCs w:val="24"/>
                <w:lang w:eastAsia="es-ES_tradnl"/>
              </w:rPr>
              <w:t>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33600B93" w14:textId="77777777" w:rsidR="008E53E8" w:rsidRPr="00416686" w:rsidRDefault="008E53E8" w:rsidP="008E53E8">
      <w:pPr>
        <w:tabs>
          <w:tab w:val="left" w:pos="142"/>
          <w:tab w:val="left" w:pos="284"/>
        </w:tabs>
        <w:spacing w:after="0" w:line="276" w:lineRule="auto"/>
        <w:jc w:val="both"/>
        <w:rPr>
          <w:rFonts w:ascii="Verdana" w:eastAsia="Century Gothic" w:hAnsi="Verdana" w:cs="Century Gothic"/>
          <w:b/>
          <w:bCs/>
        </w:rPr>
      </w:pPr>
    </w:p>
    <w:p w14:paraId="06A8D934" w14:textId="77777777" w:rsidR="008E53E8" w:rsidRDefault="008E53E8" w:rsidP="008E53E8">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16A1485B" w14:textId="77777777" w:rsidR="008E53E8" w:rsidRDefault="008E53E8" w:rsidP="008E53E8">
      <w:pPr>
        <w:spacing w:after="0" w:line="276" w:lineRule="auto"/>
        <w:jc w:val="both"/>
        <w:rPr>
          <w:rFonts w:ascii="Verdana" w:eastAsia="Calibri" w:hAnsi="Verdana" w:cs="Arial"/>
          <w:lang w:val="es-ES"/>
        </w:rPr>
      </w:pPr>
    </w:p>
    <w:p w14:paraId="446181D5" w14:textId="77777777" w:rsidR="008E53E8" w:rsidRPr="00B52642" w:rsidRDefault="008E53E8" w:rsidP="008E53E8">
      <w:pPr>
        <w:spacing w:after="0" w:line="276" w:lineRule="auto"/>
        <w:jc w:val="both"/>
        <w:rPr>
          <w:rFonts w:ascii="Verdana" w:eastAsia="Calibri" w:hAnsi="Verdana" w:cs="Arial"/>
          <w:lang w:val="es-ES"/>
        </w:rPr>
      </w:pPr>
      <w:r w:rsidRPr="00B52642">
        <w:rPr>
          <w:rFonts w:ascii="Verdana" w:eastAsia="Calibri" w:hAnsi="Verdana" w:cs="Arial"/>
          <w:lang w:val="es-ES"/>
        </w:rPr>
        <w:t xml:space="preserve">Las respuestas anteriores se sustentan en las siguientes consideraciones: </w:t>
      </w:r>
    </w:p>
    <w:p w14:paraId="6BBE99C0" w14:textId="77777777" w:rsidR="008E53E8" w:rsidRPr="00CD496A" w:rsidRDefault="008E53E8" w:rsidP="008E53E8">
      <w:pPr>
        <w:tabs>
          <w:tab w:val="left" w:pos="142"/>
          <w:tab w:val="left" w:pos="284"/>
        </w:tabs>
        <w:spacing w:after="0" w:line="276" w:lineRule="auto"/>
        <w:jc w:val="both"/>
        <w:rPr>
          <w:rFonts w:ascii="Verdana" w:eastAsia="Century Gothic" w:hAnsi="Verdana" w:cs="Century Gothic"/>
          <w:b/>
          <w:lang w:val="es-ES"/>
        </w:rPr>
      </w:pPr>
    </w:p>
    <w:p w14:paraId="0A1D3EA2" w14:textId="77777777" w:rsidR="008E53E8" w:rsidRPr="00C13395" w:rsidRDefault="008E53E8" w:rsidP="008E53E8">
      <w:pPr>
        <w:spacing w:after="120" w:line="276" w:lineRule="auto"/>
        <w:jc w:val="both"/>
        <w:rPr>
          <w:rFonts w:ascii="Verdana" w:eastAsia="Century Gothic" w:hAnsi="Verdana" w:cs="Century Gothic"/>
          <w:bCs/>
          <w:lang w:val="es-ES_tradnl"/>
        </w:rPr>
      </w:pPr>
      <w:bookmarkStart w:id="1" w:name="_Hlk102983874"/>
      <w:bookmarkStart w:id="2" w:name="_Hlk102388095"/>
      <w:r w:rsidRPr="00CC581A">
        <w:rPr>
          <w:rFonts w:ascii="Verdana" w:hAnsi="Verdana" w:cs="Arial"/>
          <w:bCs/>
          <w:lang w:val="es-ES_tradnl" w:eastAsia="es-ES" w:bidi="es-ES"/>
        </w:rPr>
        <w:t>i)</w:t>
      </w:r>
      <w:r>
        <w:rPr>
          <w:rFonts w:ascii="Verdana" w:hAnsi="Verdana" w:cs="Arial"/>
          <w:bCs/>
          <w:lang w:val="es-ES_tradnl" w:eastAsia="es-ES" w:bidi="es-ES"/>
        </w:rPr>
        <w:t xml:space="preserve"> </w:t>
      </w:r>
      <w:r w:rsidRPr="00C13395">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w:t>
      </w:r>
      <w:r w:rsidRPr="00C13395">
        <w:rPr>
          <w:rFonts w:ascii="Verdana" w:eastAsia="Century Gothic" w:hAnsi="Verdana" w:cs="Century Gothic"/>
          <w:bCs/>
          <w:lang w:val="es-ES_tradnl"/>
        </w:rPr>
        <w:lastRenderedPageBreak/>
        <w:t xml:space="preserve">pública. Por ejemplo, el artículo 127 de la Constitución Política establece una prohibición contractual a los servidores públicos y, en cuanto a aspectos políticos, señala restricciones a ciertos empleados del Estado, incluso en época no electoral. </w:t>
      </w:r>
    </w:p>
    <w:p w14:paraId="1EF88546"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3F1D9FA7" w14:textId="77777777" w:rsidR="008E53E8" w:rsidRDefault="008E53E8" w:rsidP="00025CBA">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29E57BB8" w14:textId="77777777" w:rsidR="00025CBA" w:rsidRPr="00C13395" w:rsidRDefault="00025CBA" w:rsidP="00294702">
      <w:pPr>
        <w:spacing w:after="0" w:line="276" w:lineRule="auto"/>
        <w:ind w:firstLine="708"/>
        <w:jc w:val="both"/>
        <w:rPr>
          <w:rFonts w:ascii="Verdana" w:eastAsia="Century Gothic" w:hAnsi="Verdana" w:cs="Century Gothic"/>
          <w:bCs/>
          <w:lang w:val="es-ES_tradnl"/>
        </w:rPr>
      </w:pPr>
    </w:p>
    <w:p w14:paraId="6E829F9C"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24320AA0"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 </w:t>
      </w:r>
    </w:p>
    <w:p w14:paraId="2ECE65C8" w14:textId="77777777" w:rsidR="008E53E8" w:rsidRDefault="008E53E8" w:rsidP="00997FEE">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44ACF8C6" w14:textId="77777777" w:rsidR="00997FEE" w:rsidRPr="00C13395" w:rsidRDefault="00997FEE" w:rsidP="00294702">
      <w:pPr>
        <w:spacing w:after="0" w:line="276" w:lineRule="auto"/>
        <w:ind w:left="709" w:right="709"/>
        <w:jc w:val="both"/>
        <w:rPr>
          <w:rFonts w:ascii="Verdana" w:eastAsia="Century Gothic" w:hAnsi="Verdana" w:cs="Century Gothic"/>
          <w:bCs/>
          <w:sz w:val="20"/>
          <w:szCs w:val="20"/>
          <w:lang w:val="es-ES_tradnl"/>
        </w:rPr>
      </w:pPr>
    </w:p>
    <w:p w14:paraId="3F237256" w14:textId="77777777" w:rsidR="008E53E8" w:rsidRDefault="008E53E8" w:rsidP="00997FEE">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w:t>
      </w:r>
      <w:r w:rsidRPr="00C13395">
        <w:rPr>
          <w:rFonts w:ascii="Verdana" w:eastAsia="Century Gothic" w:hAnsi="Verdana" w:cs="Century Gothic"/>
          <w:bCs/>
          <w:lang w:val="es-ES_tradnl"/>
        </w:rPr>
        <w:lastRenderedPageBreak/>
        <w:t>normas prohibitivas, deben interpretarse restrictivamente. En efecto, la Sala de Consulta y Servicio Civil del Consejo de Estado, precisó:</w:t>
      </w:r>
    </w:p>
    <w:p w14:paraId="256C4FB9" w14:textId="77777777" w:rsidR="00033100" w:rsidRPr="00C13395" w:rsidRDefault="00033100" w:rsidP="00294702">
      <w:pPr>
        <w:spacing w:after="0" w:line="276" w:lineRule="auto"/>
        <w:ind w:firstLine="708"/>
        <w:jc w:val="both"/>
        <w:rPr>
          <w:rFonts w:ascii="Verdana" w:eastAsia="Century Gothic" w:hAnsi="Verdana" w:cs="Century Gothic"/>
          <w:bCs/>
          <w:lang w:val="es-ES_tradnl"/>
        </w:rPr>
      </w:pPr>
    </w:p>
    <w:p w14:paraId="4DE62E6C" w14:textId="77777777" w:rsidR="008E53E8" w:rsidRDefault="008E53E8" w:rsidP="00CC69D2">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122F1934">
        <w:rPr>
          <w:rFonts w:ascii="Verdana" w:eastAsia="Century Gothic" w:hAnsi="Verdana" w:cs="Century Gothic"/>
          <w:sz w:val="20"/>
          <w:szCs w:val="20"/>
          <w:lang w:val="es-ES"/>
        </w:rPr>
        <w:t>legis</w:t>
      </w:r>
      <w:proofErr w:type="spellEnd"/>
      <w:r w:rsidRPr="122F1934">
        <w:rPr>
          <w:rFonts w:ascii="Verdana" w:eastAsia="Century Gothic" w:hAnsi="Verdana" w:cs="Century Gothic"/>
          <w:sz w:val="20"/>
          <w:szCs w:val="20"/>
          <w:lang w:val="es-ES"/>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AF0782A" w14:textId="77777777" w:rsidR="00CC69D2" w:rsidRPr="00C13395" w:rsidRDefault="00CC69D2" w:rsidP="00294702">
      <w:pPr>
        <w:spacing w:after="0" w:line="240" w:lineRule="auto"/>
        <w:ind w:left="709" w:right="709"/>
        <w:jc w:val="both"/>
        <w:rPr>
          <w:rFonts w:ascii="Verdana" w:eastAsia="Century Gothic" w:hAnsi="Verdana" w:cs="Century Gothic"/>
          <w:sz w:val="20"/>
          <w:szCs w:val="20"/>
          <w:lang w:val="es-ES"/>
        </w:rPr>
      </w:pPr>
    </w:p>
    <w:p w14:paraId="128FD5A1" w14:textId="77777777" w:rsidR="008E53E8" w:rsidRDefault="008E53E8" w:rsidP="00CC69D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14986133" w14:textId="77777777" w:rsidR="00CC69D2" w:rsidRPr="00C13395" w:rsidRDefault="00CC69D2" w:rsidP="00294702">
      <w:pPr>
        <w:spacing w:after="0" w:line="276" w:lineRule="auto"/>
        <w:ind w:left="709" w:right="709"/>
        <w:jc w:val="both"/>
        <w:rPr>
          <w:rFonts w:ascii="Verdana" w:eastAsia="Century Gothic" w:hAnsi="Verdana" w:cs="Century Gothic"/>
          <w:bCs/>
          <w:sz w:val="20"/>
          <w:szCs w:val="20"/>
          <w:lang w:val="es-ES_tradnl"/>
        </w:rPr>
      </w:pPr>
    </w:p>
    <w:p w14:paraId="330346A6"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FBA1AE2" w14:textId="4BEADEBC"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Las restricciones </w:t>
      </w:r>
      <w:r w:rsidR="000459C3">
        <w:rPr>
          <w:rFonts w:ascii="Verdana" w:eastAsia="Century Gothic" w:hAnsi="Verdana" w:cs="Century Gothic"/>
          <w:bCs/>
          <w:lang w:val="es-ES_tradnl"/>
        </w:rPr>
        <w:t xml:space="preserve">en materia de contratación estatal </w:t>
      </w:r>
      <w:r w:rsidRPr="00C13395">
        <w:rPr>
          <w:rFonts w:ascii="Verdana" w:eastAsia="Century Gothic" w:hAnsi="Verdana" w:cs="Century Gothic"/>
          <w:bCs/>
          <w:lang w:val="es-ES_tradnl"/>
        </w:rPr>
        <w:t>consagradas en la Ley de Garantías Electorales se dirigen a dos (2) tipos de campañas electorales diferenciadas: las presidenciales y las que se adelanten para la elección de los demás cargos de elección popular, tanto a nivel nacional como territorial.</w:t>
      </w:r>
    </w:p>
    <w:p w14:paraId="41A61C01"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t>E</w:t>
      </w:r>
      <w:r w:rsidRPr="00C13395">
        <w:rPr>
          <w:rFonts w:ascii="Verdana" w:eastAsia="Century Gothic" w:hAnsi="Verdana" w:cs="Century Gothic"/>
          <w:bCs/>
          <w:lang w:val="es-ES_tradnl"/>
        </w:rPr>
        <w:t xml:space="preserve">l artículo 33 de la Ley 996 de 2005 prohíbe “(…) la contratación directa por parte de todos los entes del Estado” durante los cuatro (4) meses anteriores a las elecciones presidenciales, salvo “[…] lo referente a la </w:t>
      </w:r>
      <w:r w:rsidRPr="00294702">
        <w:rPr>
          <w:rFonts w:ascii="Verdana" w:eastAsia="Century Gothic" w:hAnsi="Verdana" w:cs="Century Gothic"/>
          <w:bCs/>
          <w:i/>
          <w:iCs/>
          <w:lang w:val="es-ES_tradnl"/>
        </w:rPr>
        <w:t>defensa y seguridad del Estado</w:t>
      </w:r>
      <w:r w:rsidRPr="00C13395">
        <w:rPr>
          <w:rFonts w:ascii="Verdana" w:eastAsia="Century Gothic" w:hAnsi="Verdana" w:cs="Century Gothic"/>
          <w:bCs/>
          <w:lang w:val="es-ES_tradnl"/>
        </w:rPr>
        <w:t xml:space="preserve">, los contratos de crédito público, los requeridos para cubrir las emergencias educativas, sanitarias y desastres, así como también los utilizados para la reconstrucción de vías, puentes, carreteras, infraestructura energética y </w:t>
      </w:r>
      <w:r w:rsidRPr="00C13395">
        <w:rPr>
          <w:rFonts w:ascii="Verdana" w:eastAsia="Century Gothic" w:hAnsi="Verdana" w:cs="Century Gothic"/>
          <w:bCs/>
          <w:lang w:val="es-ES_tradnl"/>
        </w:rPr>
        <w:lastRenderedPageBreak/>
        <w:t>de comunicaciones, en caso de que hayan sido objeto de atentados, acciones terroristas, desastres naturales o casos de fuerza mayor, y los que deban realizar las entidades sanitarias y hospitalarias” .</w:t>
      </w:r>
    </w:p>
    <w:p w14:paraId="1C8D2C48"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6D240B">
        <w:rPr>
          <w:rFonts w:ascii="Verdana" w:eastAsia="Century Gothic" w:hAnsi="Verdana" w:cs="Century Gothic"/>
          <w:bCs/>
          <w:lang w:val="es-ES_tradnl"/>
        </w:rPr>
        <w:t>Por otro lado, el parágrafo del artículo 38 de la Ley 996 de 2005 prevé una restricción, aplicable</w:t>
      </w:r>
      <w:r w:rsidRPr="00C13395">
        <w:rPr>
          <w:rFonts w:ascii="Verdana" w:eastAsia="Century Gothic" w:hAnsi="Verdana" w:cs="Century Gothic"/>
          <w:bCs/>
          <w:lang w:val="es-ES_tradnl"/>
        </w:rPr>
        <w:t xml:space="preserv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6EE8786E" w14:textId="77777777" w:rsidR="008E53E8" w:rsidRDefault="008E53E8" w:rsidP="00C27838">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271EB927" w14:textId="77777777" w:rsidR="00C27838" w:rsidRPr="00C13395" w:rsidRDefault="00C27838" w:rsidP="00294702">
      <w:pPr>
        <w:spacing w:after="0" w:line="276" w:lineRule="auto"/>
        <w:ind w:firstLine="708"/>
        <w:jc w:val="both"/>
        <w:rPr>
          <w:rFonts w:ascii="Verdana" w:eastAsia="Century Gothic" w:hAnsi="Verdana" w:cs="Century Gothic"/>
          <w:bCs/>
          <w:lang w:val="es-ES_tradnl"/>
        </w:rPr>
      </w:pPr>
    </w:p>
    <w:p w14:paraId="67610F97" w14:textId="77777777" w:rsidR="008E53E8" w:rsidRDefault="008E53E8" w:rsidP="00C27838">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2963FD7B" w14:textId="77777777" w:rsidR="00C27838" w:rsidRPr="00294702" w:rsidRDefault="00C27838" w:rsidP="00294702">
      <w:pPr>
        <w:spacing w:after="0" w:line="276" w:lineRule="auto"/>
        <w:ind w:left="709" w:right="709"/>
        <w:jc w:val="both"/>
        <w:rPr>
          <w:rFonts w:ascii="Verdana" w:eastAsia="Century Gothic" w:hAnsi="Verdana" w:cs="Century Gothic"/>
          <w:bCs/>
          <w:lang w:val="es-ES_tradnl"/>
        </w:rPr>
      </w:pPr>
    </w:p>
    <w:p w14:paraId="11A008F9" w14:textId="77777777" w:rsidR="008E53E8" w:rsidRPr="00C13395" w:rsidRDefault="008E53E8" w:rsidP="00294702">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w:t>
      </w:r>
      <w:r w:rsidRPr="122F1934">
        <w:rPr>
          <w:rFonts w:ascii="Verdana" w:eastAsia="Century Gothic" w:hAnsi="Verdana" w:cs="Century Gothic"/>
          <w:lang w:val="es-ES"/>
        </w:rPr>
        <w:lastRenderedPageBreak/>
        <w:t>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384E843" w14:textId="77777777" w:rsidR="008E53E8" w:rsidRPr="00C13395" w:rsidRDefault="008E53E8" w:rsidP="00294702">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Ambas restricciones no son excluyentes, lo que permite concluir que, en el período preelectoral para elección de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de la República, las autoridades allí mencionadas sólo deben aplicar las restricciones contenidas en el parágrafo del artículo 38.</w:t>
      </w:r>
    </w:p>
    <w:p w14:paraId="5CCF27D5" w14:textId="77777777" w:rsidR="008E53E8" w:rsidRDefault="008E53E8" w:rsidP="005734B3">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o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y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de la República, ha perdido vigencia ante la prohibición de la reelección presidencial, restablecida por el Acto Legislativo 2 de 2015. Esto excepto para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que no haya ejercido la presidencia o que la haya ejercido por un tiempo inferior a tres (3) meses durante el respectivo cuatrienio, en forma continua o discontinua, conforme al artículo 197 de la Constitución Política. </w:t>
      </w:r>
    </w:p>
    <w:p w14:paraId="6B4F97C2" w14:textId="77777777" w:rsidR="005734B3" w:rsidRPr="00C13395" w:rsidRDefault="005734B3" w:rsidP="00294702">
      <w:pPr>
        <w:spacing w:after="0" w:line="276" w:lineRule="auto"/>
        <w:ind w:firstLine="708"/>
        <w:jc w:val="both"/>
        <w:rPr>
          <w:rFonts w:ascii="Verdana" w:eastAsia="Century Gothic" w:hAnsi="Verdana" w:cs="Century Gothic"/>
          <w:lang w:val="es-ES"/>
        </w:rPr>
      </w:pPr>
    </w:p>
    <w:p w14:paraId="1237F9E3" w14:textId="77777777" w:rsidR="008E53E8" w:rsidRPr="00C13395" w:rsidRDefault="008E53E8" w:rsidP="122F1934">
      <w:pPr>
        <w:spacing w:after="120" w:line="276" w:lineRule="auto"/>
        <w:jc w:val="both"/>
        <w:rPr>
          <w:rFonts w:ascii="Verdana" w:eastAsia="Century Gothic" w:hAnsi="Verdana" w:cs="Century Gothic"/>
          <w:lang w:val="es-ES"/>
        </w:rPr>
      </w:pP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122F1934">
        <w:rPr>
          <w:rFonts w:ascii="Verdana" w:eastAsia="Century Gothic" w:hAnsi="Verdana" w:cs="Century Gothic"/>
          <w:lang w:val="es-ES"/>
        </w:rPr>
        <w:t>Proc</w:t>
      </w:r>
      <w:proofErr w:type="spellEnd"/>
      <w:r w:rsidRPr="122F1934">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87A3556"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35CDCBD"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2C8D16DA" w14:textId="77777777" w:rsidR="008E53E8" w:rsidRPr="00C13395" w:rsidRDefault="008E53E8" w:rsidP="00294702">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Asimismo, como en otras oportunidades lo ha manifestado esta Agencia, las prórrogas, modificaciones o adiciones de los contratos suscritos antes de la </w:t>
      </w:r>
      <w:proofErr w:type="gramStart"/>
      <w:r w:rsidRPr="122F1934">
        <w:rPr>
          <w:rFonts w:ascii="Verdana" w:eastAsia="Century Gothic" w:hAnsi="Verdana" w:cs="Century Gothic"/>
          <w:lang w:val="es-ES"/>
        </w:rPr>
        <w:t>entrada en vigencia</w:t>
      </w:r>
      <w:proofErr w:type="gramEnd"/>
      <w:r w:rsidRPr="122F1934">
        <w:rPr>
          <w:rFonts w:ascii="Verdana" w:eastAsia="Century Gothic" w:hAnsi="Verdana" w:cs="Century Gothic"/>
          <w:lang w:val="es-ES"/>
        </w:rPr>
        <w:t xml:space="preserve"> de las prohibiciones anotadas, así como la cesión de </w:t>
      </w:r>
      <w:proofErr w:type="gramStart"/>
      <w:r w:rsidRPr="122F1934">
        <w:rPr>
          <w:rFonts w:ascii="Verdana" w:eastAsia="Century Gothic" w:hAnsi="Verdana" w:cs="Century Gothic"/>
          <w:lang w:val="es-ES"/>
        </w:rPr>
        <w:t>los mismos</w:t>
      </w:r>
      <w:proofErr w:type="gramEnd"/>
      <w:r w:rsidRPr="122F1934">
        <w:rPr>
          <w:rFonts w:ascii="Verdana" w:eastAsia="Century Gothic" w:hAnsi="Verdana" w:cs="Century Gothic"/>
          <w:lang w:val="es-ES"/>
        </w:rPr>
        <w:t xml:space="preserve">, pueden tener lugar en el período de aplicación de la Ley de Garantías Electorales, sin que ello haga nugatoria la restricción de la contratación directa y siempre que cumplan los principios de planeación, transparencia y responsabilidad. </w:t>
      </w:r>
    </w:p>
    <w:p w14:paraId="55252367" w14:textId="77777777" w:rsidR="00825A02" w:rsidRDefault="00825A02" w:rsidP="00294702">
      <w:pPr>
        <w:spacing w:after="0" w:line="276" w:lineRule="auto"/>
        <w:jc w:val="both"/>
        <w:rPr>
          <w:rFonts w:ascii="Verdana" w:eastAsia="Century Gothic" w:hAnsi="Verdana" w:cs="Century Gothic"/>
          <w:bCs/>
          <w:lang w:val="es-ES_tradnl"/>
        </w:rPr>
      </w:pPr>
    </w:p>
    <w:p w14:paraId="3BB27B05" w14:textId="69F8DA33" w:rsidR="008E53E8" w:rsidRPr="00C13395" w:rsidRDefault="00825A02" w:rsidP="00294702">
      <w:pPr>
        <w:spacing w:after="0" w:line="276" w:lineRule="auto"/>
        <w:jc w:val="both"/>
        <w:rPr>
          <w:rFonts w:ascii="Verdana" w:eastAsia="Century Gothic" w:hAnsi="Verdana" w:cs="Century Gothic"/>
          <w:lang w:val="es-ES"/>
        </w:rPr>
      </w:pPr>
      <w:proofErr w:type="spellStart"/>
      <w:r w:rsidRPr="61CFEC75">
        <w:rPr>
          <w:rFonts w:ascii="Verdana" w:eastAsia="Century Gothic" w:hAnsi="Verdana" w:cs="Century Gothic"/>
          <w:lang w:val="es-ES"/>
        </w:rPr>
        <w:t>iii</w:t>
      </w:r>
      <w:proofErr w:type="spellEnd"/>
      <w:r w:rsidRPr="61CFEC75">
        <w:rPr>
          <w:rFonts w:ascii="Verdana" w:eastAsia="Century Gothic" w:hAnsi="Verdana" w:cs="Century Gothic"/>
          <w:lang w:val="es-ES"/>
        </w:rPr>
        <w:t>)</w:t>
      </w:r>
      <w:r w:rsidR="00AB176F" w:rsidRPr="61CFEC75">
        <w:rPr>
          <w:rFonts w:ascii="Verdana" w:eastAsia="Century Gothic" w:hAnsi="Verdana" w:cs="Century Gothic"/>
          <w:lang w:val="es-ES"/>
        </w:rPr>
        <w:t xml:space="preserve"> Teniendo en cuenta el contenido de su consulta, es imperioso analizar los dos tipos de restricciones. En primer lugar,</w:t>
      </w:r>
      <w:r w:rsidRPr="61CFEC75">
        <w:rPr>
          <w:rFonts w:ascii="Verdana" w:eastAsia="Century Gothic" w:hAnsi="Verdana" w:cs="Century Gothic"/>
          <w:lang w:val="es-ES"/>
        </w:rPr>
        <w:t xml:space="preserve"> </w:t>
      </w:r>
      <w:r w:rsidR="00AB176F" w:rsidRPr="61CFEC75">
        <w:rPr>
          <w:rFonts w:ascii="Verdana" w:eastAsia="Century Gothic" w:hAnsi="Verdana" w:cs="Century Gothic"/>
          <w:lang w:val="es-ES"/>
        </w:rPr>
        <w:t xml:space="preserve">el </w:t>
      </w:r>
      <w:r w:rsidR="008E53E8" w:rsidRPr="61CFEC75">
        <w:rPr>
          <w:rFonts w:ascii="Verdana" w:eastAsia="Century Gothic" w:hAnsi="Verdana" w:cs="Century Gothic"/>
          <w:lang w:val="es-ES"/>
        </w:rPr>
        <w:t>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49262FC7" w14:textId="77777777" w:rsidR="008E53E8" w:rsidRPr="00C13395" w:rsidRDefault="008E53E8" w:rsidP="00294702">
      <w:pPr>
        <w:spacing w:after="0" w:line="276" w:lineRule="auto"/>
        <w:jc w:val="both"/>
        <w:rPr>
          <w:rFonts w:ascii="Verdana" w:eastAsia="Century Gothic" w:hAnsi="Verdana" w:cs="Century Gothic"/>
          <w:bCs/>
          <w:lang w:val="es-ES_tradnl"/>
        </w:rPr>
      </w:pPr>
    </w:p>
    <w:p w14:paraId="5903D1A3"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lastRenderedPageBreak/>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028E4D16"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p>
    <w:p w14:paraId="282FE391"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eastAsia="Century Gothic" w:hAnsi="Verdana" w:cs="Century Gothic"/>
          <w:bCs/>
          <w:sz w:val="20"/>
          <w:szCs w:val="20"/>
          <w:lang w:val="es-ES_tradnl"/>
        </w:rPr>
        <w:t xml:space="preserve"> (…)</w:t>
      </w:r>
      <w:r w:rsidRPr="00C13395">
        <w:rPr>
          <w:rFonts w:ascii="Verdana" w:eastAsia="Century Gothic" w:hAnsi="Verdana" w:cs="Century Gothic"/>
          <w:bCs/>
          <w:sz w:val="20"/>
          <w:szCs w:val="20"/>
          <w:lang w:val="es-ES_tradnl"/>
        </w:rPr>
        <w:t>”.</w:t>
      </w:r>
    </w:p>
    <w:p w14:paraId="59FE831D" w14:textId="77777777" w:rsidR="00AB176F" w:rsidRDefault="00AB176F" w:rsidP="00294702">
      <w:pPr>
        <w:spacing w:after="0" w:line="276" w:lineRule="auto"/>
        <w:ind w:firstLine="708"/>
        <w:jc w:val="both"/>
        <w:rPr>
          <w:rFonts w:ascii="Verdana" w:eastAsia="Century Gothic" w:hAnsi="Verdana" w:cs="Century Gothic"/>
          <w:bCs/>
          <w:lang w:val="es-ES_tradnl"/>
        </w:rPr>
      </w:pPr>
    </w:p>
    <w:p w14:paraId="5039E959" w14:textId="76774E29"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58B9EA99"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w:t>
      </w:r>
      <w:r w:rsidRPr="00C13395">
        <w:rPr>
          <w:rFonts w:ascii="Verdana" w:eastAsia="Century Gothic" w:hAnsi="Verdana" w:cs="Century Gothic"/>
          <w:bCs/>
          <w:lang w:val="es-ES_tradnl"/>
        </w:rPr>
        <w:lastRenderedPageBreak/>
        <w:t xml:space="preserve">contratación que implican convocatoria pública y participación de varios oferentes”. </w:t>
      </w:r>
    </w:p>
    <w:p w14:paraId="6F69E5AB"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4C9CB526" w14:textId="77777777" w:rsidR="008E53E8" w:rsidRPr="00C13395" w:rsidRDefault="008E53E8" w:rsidP="00072845">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2DE5F87"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18038707" w14:textId="24D8AFD9" w:rsidR="008E53E8" w:rsidRPr="00C13395" w:rsidRDefault="008E53E8" w:rsidP="61CFEC75">
      <w:pPr>
        <w:spacing w:after="120" w:line="276" w:lineRule="auto"/>
        <w:ind w:firstLine="708"/>
        <w:jc w:val="both"/>
        <w:rPr>
          <w:rFonts w:ascii="Verdana" w:eastAsia="Century Gothic" w:hAnsi="Verdana" w:cs="Century Gothic"/>
          <w:lang w:val="es-ES"/>
        </w:rPr>
      </w:pPr>
      <w:r w:rsidRPr="61CFEC75">
        <w:rPr>
          <w:rFonts w:ascii="Verdana" w:eastAsia="Century Gothic" w:hAnsi="Verdana" w:cs="Century Gothic"/>
          <w:lang w:val="es-ES"/>
        </w:rPr>
        <w:t>De lo anterior se desprende que la restricción aplica, sin perjuicio de las excepciones establecidas en la misma Ley,</w:t>
      </w:r>
      <w:r w:rsidR="0034005D" w:rsidRPr="61CFEC75">
        <w:rPr>
          <w:rFonts w:ascii="Verdana" w:eastAsia="Century Gothic" w:hAnsi="Verdana" w:cs="Century Gothic"/>
          <w:lang w:val="es-ES"/>
        </w:rPr>
        <w:t xml:space="preserve"> a las cuales se hará referencia más adelante,</w:t>
      </w:r>
      <w:r w:rsidRPr="61CFEC75">
        <w:rPr>
          <w:rFonts w:ascii="Verdana" w:eastAsia="Century Gothic" w:hAnsi="Verdana" w:cs="Century Gothic"/>
          <w:lang w:val="es-ES"/>
        </w:rPr>
        <w:t xml:space="preserv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1B74122D" w14:textId="116A62BE" w:rsidR="000F128F" w:rsidRDefault="00390DBE" w:rsidP="00072845">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lastRenderedPageBreak/>
        <w:t>Ahora bien</w:t>
      </w:r>
      <w:r w:rsidR="008E53E8" w:rsidRPr="122F1934">
        <w:rPr>
          <w:rFonts w:ascii="Verdana" w:eastAsia="Century Gothic" w:hAnsi="Verdana" w:cs="Century Gothic"/>
          <w:lang w:val="es-ES"/>
        </w:rPr>
        <w:t>, las excepciones a la restricción prevista en la Ley de Garantías Electorales,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w:t>
      </w:r>
      <w:r w:rsidR="008E53E8" w:rsidRPr="00294702">
        <w:rPr>
          <w:rFonts w:ascii="Verdana" w:eastAsia="Century Gothic" w:hAnsi="Verdana" w:cs="Century Gothic"/>
          <w:i/>
          <w:iCs/>
          <w:lang w:val="es-ES"/>
        </w:rPr>
        <w:t>) la defensa y seguridad del Estado;</w:t>
      </w:r>
      <w:r w:rsidR="008E53E8" w:rsidRPr="122F1934">
        <w:rPr>
          <w:rFonts w:ascii="Verdana" w:eastAsia="Century Gothic" w:hAnsi="Verdana" w:cs="Century Gothic"/>
          <w:lang w:val="es-ES"/>
        </w:rPr>
        <w:t xml:space="preserve"> </w:t>
      </w:r>
      <w:proofErr w:type="spellStart"/>
      <w:r w:rsidR="008E53E8" w:rsidRPr="122F1934">
        <w:rPr>
          <w:rFonts w:ascii="Verdana" w:eastAsia="Century Gothic" w:hAnsi="Verdana" w:cs="Century Gothic"/>
          <w:lang w:val="es-ES"/>
        </w:rPr>
        <w:t>ii</w:t>
      </w:r>
      <w:proofErr w:type="spellEnd"/>
      <w:r w:rsidR="008E53E8" w:rsidRPr="122F1934">
        <w:rPr>
          <w:rFonts w:ascii="Verdana" w:eastAsia="Century Gothic" w:hAnsi="Verdana" w:cs="Century Gothic"/>
          <w:lang w:val="es-ES"/>
        </w:rPr>
        <w:t xml:space="preserve">) los contratos de crédito público; </w:t>
      </w:r>
      <w:proofErr w:type="spellStart"/>
      <w:r w:rsidR="008E53E8" w:rsidRPr="122F1934">
        <w:rPr>
          <w:rFonts w:ascii="Verdana" w:eastAsia="Century Gothic" w:hAnsi="Verdana" w:cs="Century Gothic"/>
          <w:lang w:val="es-ES"/>
        </w:rPr>
        <w:t>iii</w:t>
      </w:r>
      <w:proofErr w:type="spellEnd"/>
      <w:r w:rsidR="008E53E8" w:rsidRPr="122F1934">
        <w:rPr>
          <w:rFonts w:ascii="Verdana" w:eastAsia="Century Gothic" w:hAnsi="Verdana" w:cs="Century Gothic"/>
          <w:lang w:val="es-ES"/>
        </w:rPr>
        <w:t xml:space="preserve">) los requeridos para cubrir las emergencias educativas, sanitarias y desastres; </w:t>
      </w:r>
      <w:proofErr w:type="spellStart"/>
      <w:r w:rsidR="008E53E8" w:rsidRPr="122F1934">
        <w:rPr>
          <w:rFonts w:ascii="Verdana" w:eastAsia="Century Gothic" w:hAnsi="Verdana" w:cs="Century Gothic"/>
          <w:lang w:val="es-ES"/>
        </w:rPr>
        <w:t>iv</w:t>
      </w:r>
      <w:proofErr w:type="spellEnd"/>
      <w:r w:rsidR="008E53E8" w:rsidRPr="122F1934">
        <w:rPr>
          <w:rFonts w:ascii="Verdana" w:eastAsia="Century Gothic" w:hAnsi="Verdana" w:cs="Century Gothic"/>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5A5FC7DF" w14:textId="395AD8DB" w:rsidR="008E53E8" w:rsidRPr="00C13395" w:rsidRDefault="000F128F" w:rsidP="00072845">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Conforme a las anteriores causales de excepción</w:t>
      </w:r>
      <w:r w:rsidR="00DB1EBD">
        <w:rPr>
          <w:rFonts w:ascii="Verdana" w:eastAsia="Century Gothic" w:hAnsi="Verdana" w:cs="Century Gothic"/>
          <w:lang w:val="es-ES"/>
        </w:rPr>
        <w:t>, e</w:t>
      </w:r>
      <w:r w:rsidR="008E53E8" w:rsidRPr="122F1934">
        <w:rPr>
          <w:rFonts w:ascii="Verdana" w:eastAsia="Century Gothic" w:hAnsi="Verdana" w:cs="Century Gothic"/>
          <w:lang w:val="es-ES"/>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78395EC"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1FB1543" w14:textId="5C1308A6" w:rsidR="00AA6873" w:rsidRPr="00DB1EBD" w:rsidRDefault="00AA6873" w:rsidP="00294702">
      <w:pPr>
        <w:spacing w:after="120" w:line="276" w:lineRule="auto"/>
        <w:ind w:firstLine="708"/>
        <w:jc w:val="both"/>
        <w:rPr>
          <w:rFonts w:ascii="Verdana" w:eastAsia="Century Gothic" w:hAnsi="Verdana" w:cs="Century Gothic"/>
          <w:bCs/>
          <w:lang w:val="es-ES_tradnl"/>
        </w:rPr>
      </w:pPr>
      <w:r w:rsidRPr="00294702">
        <w:rPr>
          <w:rFonts w:ascii="Verdana" w:hAnsi="Verdana" w:cs="Arial"/>
          <w:color w:val="000000" w:themeColor="text1"/>
          <w:lang w:val="es-ES"/>
        </w:rPr>
        <w:t xml:space="preserve">Precisamente, en lo que respecta a estas excepciones, el segundo inciso del artículo 33 de la Ley 996 de 2005, como acaba de plantearse, establece que la prohibición de la contratación directa no se aplicará en lo referente a la </w:t>
      </w:r>
      <w:r w:rsidR="00DB1EBD" w:rsidRPr="00294702">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sidR="00DB1EBD" w:rsidRPr="00294702">
        <w:rPr>
          <w:rFonts w:ascii="Verdana" w:hAnsi="Verdana" w:cs="Arial"/>
          <w:color w:val="000000" w:themeColor="text1"/>
          <w:lang w:val="es-ES"/>
        </w:rPr>
        <w:t>2</w:t>
      </w:r>
      <w:r w:rsidRPr="00294702">
        <w:rPr>
          <w:rFonts w:ascii="Verdana" w:hAnsi="Verdana" w:cs="Arial"/>
          <w:color w:val="000000" w:themeColor="text1"/>
          <w:lang w:val="es-ES"/>
        </w:rPr>
        <w:t xml:space="preserve">; expresión que </w:t>
      </w:r>
      <w:r w:rsidR="00DB1EBD" w:rsidRPr="00294702">
        <w:rPr>
          <w:rFonts w:ascii="Verdana" w:hAnsi="Verdana" w:cs="Arial"/>
          <w:color w:val="000000" w:themeColor="text1"/>
          <w:lang w:val="es-ES"/>
        </w:rPr>
        <w:t xml:space="preserve">puede relacionarse con </w:t>
      </w:r>
      <w:r w:rsidRPr="00294702">
        <w:rPr>
          <w:rFonts w:ascii="Verdana" w:hAnsi="Verdana" w:cs="Arial"/>
          <w:color w:val="000000" w:themeColor="text1"/>
          <w:lang w:val="es-ES"/>
        </w:rPr>
        <w:t>la consulta bajo análisis.</w:t>
      </w:r>
    </w:p>
    <w:p w14:paraId="16E70431" w14:textId="629D7991" w:rsidR="0036476C" w:rsidRPr="00294702" w:rsidRDefault="0036476C" w:rsidP="00294702">
      <w:pPr>
        <w:spacing w:after="120" w:line="276" w:lineRule="auto"/>
        <w:ind w:firstLine="709"/>
        <w:jc w:val="both"/>
        <w:rPr>
          <w:rFonts w:ascii="Verdana" w:eastAsia="Arial" w:hAnsi="Verdana" w:cs="Arial"/>
          <w:color w:val="000000" w:themeColor="text1"/>
          <w:lang w:val="es-ES_tradnl"/>
        </w:rPr>
      </w:pPr>
      <w:r w:rsidRPr="00294702">
        <w:rPr>
          <w:rFonts w:ascii="Verdana" w:hAnsi="Verdana" w:cs="Arial"/>
          <w:color w:val="000000" w:themeColor="text1"/>
          <w:lang w:val="es-ES_tradnl"/>
        </w:rPr>
        <w:t xml:space="preserve">Haciendo, previamente, la salvedad, de que la competencia consultiva de la Agencia Nacional de Contratación Pública – Colombia Compra Eficiente se circunscribe a la interpretación, en abstracto, de normas de alcance general que </w:t>
      </w:r>
      <w:r w:rsidRPr="00294702">
        <w:rPr>
          <w:rFonts w:ascii="Verdana" w:hAnsi="Verdana" w:cs="Arial"/>
          <w:color w:val="000000" w:themeColor="text1"/>
          <w:lang w:val="es-ES_tradnl"/>
        </w:rPr>
        <w:lastRenderedPageBreak/>
        <w:t>hagan parte del Sistema de Compras y Contratación Pública</w:t>
      </w:r>
      <w:r w:rsidRPr="00294702">
        <w:rPr>
          <w:rStyle w:val="Refdenotaalpie"/>
          <w:rFonts w:ascii="Verdana" w:hAnsi="Verdana"/>
        </w:rPr>
        <w:footnoteReference w:id="1"/>
      </w:r>
      <w:r w:rsidRPr="00294702">
        <w:rPr>
          <w:rFonts w:ascii="Verdana" w:hAnsi="Verdana" w:cs="Arial"/>
          <w:color w:val="000000" w:themeColor="text1"/>
          <w:lang w:val="es-ES_tradnl"/>
        </w:rPr>
        <w:t xml:space="preserve">, y que, por tanto, no puede asesorar a las entidades estatales en decisiones contractuales particulares, se aclara que la expresión </w:t>
      </w:r>
      <w:r w:rsidR="005F5235">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5F5235">
        <w:rPr>
          <w:rFonts w:ascii="Verdana" w:hAnsi="Verdana" w:cs="Arial"/>
          <w:color w:val="000000" w:themeColor="text1"/>
          <w:lang w:val="es-ES_tradnl"/>
        </w:rPr>
        <w:t>”</w:t>
      </w:r>
      <w:r w:rsidRPr="00294702">
        <w:rPr>
          <w:rFonts w:ascii="Verdana" w:hAnsi="Verdana" w:cs="Arial"/>
          <w:color w:val="000000" w:themeColor="text1"/>
          <w:lang w:val="es-ES_tradnl"/>
        </w:rPr>
        <w:t xml:space="preserve">, contenida en el segundo inciso del artículo 33 de la Ley 996 de 2005, es un </w:t>
      </w:r>
      <w:r w:rsidRPr="00294702">
        <w:rPr>
          <w:rFonts w:ascii="Verdana" w:hAnsi="Verdana" w:cs="Arial"/>
          <w:i/>
          <w:iCs/>
          <w:color w:val="000000" w:themeColor="text1"/>
          <w:lang w:val="es-ES_tradnl"/>
        </w:rPr>
        <w:t>concepto jurídico indeterminado</w:t>
      </w:r>
      <w:r w:rsidRPr="00294702">
        <w:rPr>
          <w:rStyle w:val="Refdenotaalpie"/>
          <w:rFonts w:ascii="Verdana" w:eastAsia="Calibri" w:hAnsi="Verdana"/>
        </w:rPr>
        <w:footnoteReference w:id="2"/>
      </w:r>
      <w:r w:rsidRPr="00294702">
        <w:rPr>
          <w:rFonts w:ascii="Verdana" w:eastAsia="Calibri" w:hAnsi="Verdana" w:cs="Arial"/>
          <w:bCs/>
          <w:color w:val="000000" w:themeColor="text1"/>
          <w:lang w:val="es-ES_tradnl"/>
        </w:rPr>
        <w:t xml:space="preserve">. </w:t>
      </w:r>
      <w:r w:rsidRPr="00294702">
        <w:rPr>
          <w:rFonts w:ascii="Verdana" w:eastAsia="Arial" w:hAnsi="Verdana" w:cs="Arial"/>
          <w:color w:val="000000" w:themeColor="text1"/>
          <w:lang w:val="es-ES_tradnl"/>
        </w:rPr>
        <w:t xml:space="preserve">Un concepto adquiere </w:t>
      </w:r>
      <w:r w:rsidR="00072845">
        <w:rPr>
          <w:rFonts w:ascii="Verdana" w:eastAsia="Arial" w:hAnsi="Verdana" w:cs="Arial"/>
          <w:color w:val="000000" w:themeColor="text1"/>
          <w:lang w:val="es-ES_tradnl"/>
        </w:rPr>
        <w:t>l</w:t>
      </w:r>
      <w:r w:rsidRPr="00294702">
        <w:rPr>
          <w:rFonts w:ascii="Verdana" w:eastAsia="Arial" w:hAnsi="Verdana" w:cs="Arial"/>
          <w:color w:val="000000" w:themeColor="text1"/>
          <w:lang w:val="es-ES_tradnl"/>
        </w:rPr>
        <w:t xml:space="preserve">a denominación </w:t>
      </w:r>
      <w:r w:rsidR="00072845">
        <w:rPr>
          <w:rFonts w:ascii="Verdana" w:eastAsia="Arial" w:hAnsi="Verdana" w:cs="Arial"/>
          <w:color w:val="000000" w:themeColor="text1"/>
          <w:lang w:val="es-ES_tradnl"/>
        </w:rPr>
        <w:t xml:space="preserve">de indeterminado </w:t>
      </w:r>
      <w:r w:rsidRPr="00294702">
        <w:rPr>
          <w:rFonts w:ascii="Verdana" w:eastAsia="Arial" w:hAnsi="Verdana" w:cs="Arial"/>
          <w:color w:val="000000" w:themeColor="text1"/>
          <w:lang w:val="es-ES_tradnl"/>
        </w:rPr>
        <w:t>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La Corte Constitucional</w:t>
      </w:r>
      <w:r w:rsidRPr="00294702">
        <w:rPr>
          <w:rStyle w:val="Refdenotaalpie"/>
          <w:rFonts w:ascii="Verdana" w:eastAsia="Arial" w:hAnsi="Verdana"/>
        </w:rPr>
        <w:footnoteReference w:id="3"/>
      </w:r>
      <w:r w:rsidRPr="00294702">
        <w:rPr>
          <w:rFonts w:ascii="Verdana" w:eastAsia="Arial" w:hAnsi="Verdana" w:cs="Arial"/>
          <w:color w:val="000000" w:themeColor="text1"/>
          <w:lang w:val="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p>
    <w:p w14:paraId="37987A7B" w14:textId="310156BD" w:rsidR="0036476C" w:rsidRPr="00294702" w:rsidRDefault="0036476C" w:rsidP="00294702">
      <w:pPr>
        <w:spacing w:after="120" w:line="276" w:lineRule="auto"/>
        <w:ind w:firstLine="709"/>
        <w:jc w:val="both"/>
        <w:rPr>
          <w:rFonts w:ascii="Verdana" w:hAnsi="Verdana" w:cs="Arial"/>
          <w:color w:val="000000" w:themeColor="text1"/>
          <w:lang w:val="es-ES_tradnl"/>
        </w:rPr>
      </w:pPr>
      <w:r w:rsidRPr="00294702">
        <w:rPr>
          <w:rFonts w:ascii="Verdana" w:eastAsia="Arial" w:hAnsi="Verdana" w:cs="Arial"/>
          <w:color w:val="000000" w:themeColor="text1"/>
          <w:lang w:val="es-ES_tradnl"/>
        </w:rPr>
        <w:t xml:space="preserve">El Consejo de Estado, en varios pronunciamientos, ha admitido el carácter indeterminado de los conceptos </w:t>
      </w:r>
      <w:r w:rsidR="006A3A90">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6A3A90">
        <w:rPr>
          <w:rFonts w:ascii="Verdana" w:hAnsi="Verdana" w:cs="Arial"/>
          <w:color w:val="000000" w:themeColor="text1"/>
          <w:lang w:val="es-ES_tradnl"/>
        </w:rPr>
        <w:t>”</w:t>
      </w:r>
      <w:r w:rsidRPr="00294702">
        <w:rPr>
          <w:rFonts w:ascii="Verdana" w:hAnsi="Verdana" w:cs="Arial"/>
          <w:color w:val="000000" w:themeColor="text1"/>
          <w:lang w:val="es-ES_tradnl"/>
        </w:rPr>
        <w:t xml:space="preserve"> y </w:t>
      </w:r>
      <w:r w:rsidR="006A3A90">
        <w:rPr>
          <w:rFonts w:ascii="Verdana" w:hAnsi="Verdana" w:cs="Arial"/>
          <w:color w:val="000000" w:themeColor="text1"/>
          <w:lang w:val="es-ES_tradnl"/>
        </w:rPr>
        <w:t>“</w:t>
      </w:r>
      <w:r w:rsidRPr="00294702">
        <w:rPr>
          <w:rFonts w:ascii="Verdana" w:hAnsi="Verdana" w:cs="Arial"/>
          <w:color w:val="000000" w:themeColor="text1"/>
          <w:lang w:val="es-ES_tradnl"/>
        </w:rPr>
        <w:t>defensa y seguridad nacional</w:t>
      </w:r>
      <w:r w:rsidR="006A3A90">
        <w:rPr>
          <w:rFonts w:ascii="Verdana" w:hAnsi="Verdana" w:cs="Arial"/>
          <w:color w:val="000000" w:themeColor="text1"/>
          <w:lang w:val="es-ES_tradnl"/>
        </w:rPr>
        <w:t>”</w:t>
      </w:r>
      <w:r w:rsidRPr="00294702">
        <w:rPr>
          <w:rFonts w:ascii="Verdana" w:hAnsi="Verdana" w:cs="Arial"/>
          <w:color w:val="000000" w:themeColor="text1"/>
          <w:lang w:val="es-ES_tradnl"/>
        </w:rPr>
        <w:t>, en las normas de contratación pública que se refieren a aquellos, incluida la del artículo 33 de la Ley 996 de 2005. A modo enunciativo, conviene referirse a algunas de dichas providencias:</w:t>
      </w:r>
    </w:p>
    <w:p w14:paraId="6F9FA0BD" w14:textId="3374376F" w:rsidR="0036476C" w:rsidRPr="00294702" w:rsidRDefault="0036476C" w:rsidP="00294702">
      <w:pPr>
        <w:spacing w:before="120"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En concepto del 30 de enero de 1997, la Sala de Consulta y Servicio Civil indicó que</w:t>
      </w:r>
      <w:r w:rsidR="004C08B5">
        <w:rPr>
          <w:rFonts w:ascii="Verdana" w:hAnsi="Verdana" w:cs="Arial"/>
          <w:color w:val="000000" w:themeColor="text1"/>
          <w:lang w:val="es-ES_tradnl"/>
        </w:rPr>
        <w:t>:</w:t>
      </w:r>
      <w:r w:rsidRPr="00294702">
        <w:rPr>
          <w:rFonts w:ascii="Verdana" w:hAnsi="Verdana" w:cs="Arial"/>
          <w:color w:val="000000" w:themeColor="text1"/>
          <w:lang w:val="es-ES_tradnl"/>
        </w:rPr>
        <w:t xml:space="preserve"> </w:t>
      </w:r>
      <w:r w:rsidR="004C08B5">
        <w:rPr>
          <w:rFonts w:ascii="Verdana" w:hAnsi="Verdana" w:cs="Arial"/>
          <w:color w:val="000000" w:themeColor="text1"/>
          <w:lang w:val="es-ES_tradnl"/>
        </w:rPr>
        <w:t>“</w:t>
      </w:r>
      <w:r w:rsidRPr="00294702">
        <w:rPr>
          <w:rFonts w:ascii="Verdana" w:hAnsi="Verdana" w:cs="Arial"/>
          <w:color w:val="000000" w:themeColor="text1"/>
          <w:lang w:val="es-ES_tradnl"/>
        </w:rPr>
        <w:t>El ramo de seguridad, perteneciente a la administración pública, comprende las actividades que velan por la seguridad de los habitantes del territorio del Estado. Su finalidad es la detectar las amenazas que puedan perturbar el orden público, afectar intereses nacionales o desestabilizar las instituciones políticas vigentes. Por tanto, tiene un carácter eminentemente preventivo</w:t>
      </w:r>
      <w:r w:rsidR="004C08B5">
        <w:rPr>
          <w:rFonts w:ascii="Verdana" w:hAnsi="Verdana" w:cs="Arial"/>
          <w:color w:val="000000" w:themeColor="text1"/>
          <w:lang w:val="es-ES_tradnl"/>
        </w:rPr>
        <w:t>”</w:t>
      </w:r>
      <w:r w:rsidRPr="00294702">
        <w:rPr>
          <w:rStyle w:val="Refdenotaalpie"/>
          <w:rFonts w:ascii="Verdana" w:hAnsi="Verdana"/>
        </w:rPr>
        <w:footnoteReference w:id="4"/>
      </w:r>
      <w:r w:rsidRPr="00294702">
        <w:rPr>
          <w:rFonts w:ascii="Verdana" w:hAnsi="Verdana" w:cs="Arial"/>
          <w:color w:val="000000" w:themeColor="text1"/>
          <w:lang w:val="es-ES_tradnl"/>
        </w:rPr>
        <w:t>. Y agregó:</w:t>
      </w:r>
    </w:p>
    <w:p w14:paraId="59E66D9E" w14:textId="77777777" w:rsidR="0036476C" w:rsidRPr="00294702" w:rsidRDefault="0036476C" w:rsidP="00294702">
      <w:pPr>
        <w:spacing w:after="0"/>
        <w:ind w:left="709" w:right="709"/>
        <w:jc w:val="both"/>
        <w:rPr>
          <w:rFonts w:ascii="Verdana" w:hAnsi="Verdana" w:cs="Arial"/>
          <w:color w:val="000000" w:themeColor="text1"/>
          <w:lang w:val="es-ES_tradnl"/>
        </w:rPr>
      </w:pPr>
    </w:p>
    <w:p w14:paraId="78082315" w14:textId="77777777" w:rsidR="0036476C" w:rsidRPr="00294702" w:rsidRDefault="0036476C" w:rsidP="00294702">
      <w:pPr>
        <w:spacing w:after="0" w:line="240" w:lineRule="auto"/>
        <w:ind w:left="709" w:right="709"/>
        <w:jc w:val="both"/>
        <w:rPr>
          <w:rFonts w:ascii="Verdana" w:hAnsi="Verdana" w:cs="Arial"/>
          <w:color w:val="000000" w:themeColor="text1"/>
          <w:sz w:val="20"/>
          <w:szCs w:val="20"/>
          <w:lang w:val="es-ES_tradnl"/>
        </w:rPr>
      </w:pPr>
      <w:r w:rsidRPr="00294702">
        <w:rPr>
          <w:rFonts w:ascii="Verdana" w:hAnsi="Verdana" w:cs="Arial"/>
          <w:color w:val="000000" w:themeColor="text1"/>
          <w:sz w:val="20"/>
          <w:szCs w:val="20"/>
          <w:lang w:val="es-ES_tradnl"/>
        </w:rPr>
        <w:t>De manera que, aunque disímiles, los conceptos de seguridad y de defensa nacional se complementan para el cumplimiento de fines esenciales del Estado, como que ambos conforman sectores de la administración pública íntimamente relacionados. Al sector seguridad corresponde "asegurar la convivencia pacífica y la vigencia de un orden justo", mientras que al sector defensa compete "defender la independencia nacional y mantener la integridad territorial", para utilizar expresiones que pertenecen a la terminología empleada por el artículo 2</w:t>
      </w:r>
      <w:r w:rsidRPr="00294702">
        <w:rPr>
          <w:rFonts w:ascii="Verdana" w:hAnsi="Verdana" w:cs="Arial"/>
          <w:color w:val="000000" w:themeColor="text1"/>
          <w:sz w:val="20"/>
          <w:szCs w:val="20"/>
          <w:vertAlign w:val="superscript"/>
          <w:lang w:val="es-ES_tradnl"/>
        </w:rPr>
        <w:t>o</w:t>
      </w:r>
      <w:r w:rsidRPr="00294702">
        <w:rPr>
          <w:rFonts w:ascii="Verdana" w:hAnsi="Verdana" w:cs="Arial"/>
          <w:color w:val="000000" w:themeColor="text1"/>
          <w:sz w:val="20"/>
          <w:szCs w:val="20"/>
          <w:lang w:val="es-ES_tradnl"/>
        </w:rPr>
        <w:t>. de la Constitución. Por lo demás, la primera noción implica un campo de acción de naturaleza preventivo, encomendado a instituciones y cuerpos de naturaleza civil. La segunda requiere de medidas de protección e inclusive acciones de carácter bélico, para lo cual se han organizado instituciones y cuerpos de naturaleza militar</w:t>
      </w:r>
      <w:r w:rsidRPr="00294702">
        <w:rPr>
          <w:rStyle w:val="Refdenotaalpie"/>
          <w:rFonts w:ascii="Verdana" w:hAnsi="Verdana"/>
          <w:sz w:val="20"/>
          <w:szCs w:val="20"/>
        </w:rPr>
        <w:footnoteReference w:id="5"/>
      </w:r>
      <w:r w:rsidRPr="00294702">
        <w:rPr>
          <w:rFonts w:ascii="Verdana" w:hAnsi="Verdana" w:cs="Arial"/>
          <w:color w:val="000000" w:themeColor="text1"/>
          <w:sz w:val="20"/>
          <w:szCs w:val="20"/>
          <w:lang w:val="es-ES_tradnl"/>
        </w:rPr>
        <w:t>.</w:t>
      </w:r>
    </w:p>
    <w:p w14:paraId="6B36D0EA"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30F99D9D" w14:textId="2A709FA2" w:rsidR="0036476C" w:rsidRPr="00294702" w:rsidRDefault="0036476C" w:rsidP="0036476C">
      <w:pPr>
        <w:spacing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_tradnl"/>
        </w:rPr>
        <w:t>En concepto del 15 de diciembre de 2005, la Sala de Consulta y Servicio Civil señaló que</w:t>
      </w:r>
      <w:r w:rsidR="006A3A90">
        <w:rPr>
          <w:rFonts w:ascii="Verdana" w:hAnsi="Verdana" w:cs="Arial"/>
          <w:color w:val="000000" w:themeColor="text1"/>
          <w:lang w:val="es-ES_tradnl"/>
        </w:rPr>
        <w:t>:</w:t>
      </w:r>
      <w:r w:rsidRPr="00294702">
        <w:rPr>
          <w:rFonts w:ascii="Verdana" w:hAnsi="Verdana" w:cs="Arial"/>
          <w:color w:val="000000" w:themeColor="text1"/>
          <w:lang w:val="es-ES_tradnl"/>
        </w:rPr>
        <w:t xml:space="preserve"> </w:t>
      </w:r>
      <w:r w:rsidR="006A3A90">
        <w:rPr>
          <w:rFonts w:ascii="Verdana" w:hAnsi="Verdana" w:cs="Arial"/>
          <w:color w:val="000000" w:themeColor="text1"/>
          <w:lang w:val="es-ES_tradnl"/>
        </w:rPr>
        <w:t>“</w:t>
      </w:r>
      <w:r w:rsidRPr="00294702">
        <w:rPr>
          <w:rFonts w:ascii="Verdana" w:hAnsi="Verdana" w:cs="Arial"/>
          <w:lang w:val="es-ES" w:eastAsia="es-ES"/>
        </w:rPr>
        <w:t xml:space="preserve">[…] </w:t>
      </w:r>
      <w:r w:rsidRPr="00294702">
        <w:rPr>
          <w:rFonts w:ascii="Verdana" w:hAnsi="Verdana" w:cs="Arial"/>
          <w:color w:val="000000" w:themeColor="text1"/>
          <w:lang w:val="es-ES"/>
        </w:rPr>
        <w:t>la creación de los cargos de Inspector de Seguridad Aérea en la Unidad Administrativa Especial de la Aeronáutica Civil, y su posterior provisión, por relacionarse con la incorporación de un personal necesario para la seguridad aérea, la cual constituye un aspecto de la seguridad del Estado, se encuentra dentro de la excepción mencionada por el artículo 33 de la ley 996 de 2005, y en consecuencia, resulta viable la expedición del decreto de creación de dichos cargos en la planta de personal de la entidad</w:t>
      </w:r>
      <w:r w:rsidR="00A56C31">
        <w:rPr>
          <w:rFonts w:ascii="Verdana" w:hAnsi="Verdana" w:cs="Arial"/>
          <w:color w:val="000000" w:themeColor="text1"/>
          <w:lang w:val="es-ES"/>
        </w:rPr>
        <w:t>”</w:t>
      </w:r>
      <w:r w:rsidRPr="00294702">
        <w:rPr>
          <w:rStyle w:val="Refdenotaalpie"/>
          <w:rFonts w:ascii="Verdana" w:hAnsi="Verdana"/>
        </w:rPr>
        <w:footnoteReference w:id="6"/>
      </w:r>
      <w:r w:rsidRPr="00294702">
        <w:rPr>
          <w:rFonts w:ascii="Verdana" w:hAnsi="Verdana" w:cs="Arial"/>
          <w:color w:val="000000" w:themeColor="text1"/>
          <w:lang w:val="es-ES"/>
        </w:rPr>
        <w:t>.</w:t>
      </w:r>
    </w:p>
    <w:p w14:paraId="73206C92" w14:textId="7D04D69A" w:rsidR="0036476C" w:rsidRPr="00294702" w:rsidRDefault="0036476C" w:rsidP="00294702">
      <w:pPr>
        <w:spacing w:before="120" w:after="0"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
        </w:rPr>
        <w:t xml:space="preserve">En concepto del 17 de febrero de 2006, la Sala de Consulta y Servicio Civil, al interpretar la excepción de </w:t>
      </w:r>
      <w:r w:rsidR="00A56C31">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sidR="00A56C31">
        <w:rPr>
          <w:rFonts w:ascii="Verdana" w:hAnsi="Verdana" w:cs="Arial"/>
          <w:color w:val="000000" w:themeColor="text1"/>
          <w:lang w:val="es-ES"/>
        </w:rPr>
        <w:t>”</w:t>
      </w:r>
      <w:r w:rsidRPr="00294702">
        <w:rPr>
          <w:rFonts w:ascii="Verdana" w:hAnsi="Verdana" w:cs="Arial"/>
          <w:color w:val="000000" w:themeColor="text1"/>
          <w:lang w:val="es-ES"/>
        </w:rPr>
        <w:t xml:space="preserve"> del segundo inciso del artículo 33 de la Ley 996 de 2005, sostuvo que </w:t>
      </w:r>
      <w:r w:rsidR="00A56C31">
        <w:rPr>
          <w:rFonts w:ascii="Verdana" w:hAnsi="Verdana" w:cs="Arial"/>
          <w:color w:val="000000" w:themeColor="text1"/>
          <w:lang w:val="es-ES"/>
        </w:rPr>
        <w:t>“</w:t>
      </w:r>
      <w:r w:rsidRPr="00294702">
        <w:rPr>
          <w:rFonts w:ascii="Verdana" w:hAnsi="Verdana" w:cs="Arial"/>
          <w:color w:val="000000" w:themeColor="text1"/>
          <w:lang w:val="es-ES"/>
        </w:rPr>
        <w:t>Seguridad y defensa del Estado, significan respeto del orden instituido</w:t>
      </w:r>
      <w:r w:rsidR="00A56C31">
        <w:rPr>
          <w:rFonts w:ascii="Verdana" w:hAnsi="Verdana" w:cs="Arial"/>
          <w:color w:val="000000" w:themeColor="text1"/>
          <w:lang w:val="es-ES"/>
        </w:rPr>
        <w:t>”</w:t>
      </w:r>
      <w:r w:rsidRPr="00294702">
        <w:rPr>
          <w:rStyle w:val="Refdenotaalpie"/>
          <w:rFonts w:ascii="Verdana" w:hAnsi="Verdana"/>
        </w:rPr>
        <w:footnoteReference w:id="7"/>
      </w:r>
      <w:r w:rsidRPr="00294702">
        <w:rPr>
          <w:rFonts w:ascii="Verdana" w:hAnsi="Verdana" w:cs="Arial"/>
          <w:color w:val="000000" w:themeColor="text1"/>
          <w:lang w:val="es-ES"/>
        </w:rPr>
        <w:t>, añadiendo, por tanto, que:</w:t>
      </w:r>
    </w:p>
    <w:p w14:paraId="3DF20364" w14:textId="77777777" w:rsidR="0036476C" w:rsidRPr="00294702" w:rsidRDefault="0036476C" w:rsidP="00294702">
      <w:pPr>
        <w:spacing w:after="0"/>
        <w:ind w:left="709" w:right="709"/>
        <w:jc w:val="both"/>
        <w:rPr>
          <w:rFonts w:ascii="Verdana" w:hAnsi="Verdana" w:cs="Arial"/>
          <w:color w:val="000000" w:themeColor="text1"/>
          <w:sz w:val="21"/>
          <w:szCs w:val="21"/>
          <w:lang w:val="es-ES"/>
        </w:rPr>
      </w:pPr>
    </w:p>
    <w:p w14:paraId="0878F1F7" w14:textId="77777777" w:rsidR="0036476C" w:rsidRPr="00294702" w:rsidRDefault="0036476C" w:rsidP="00294702">
      <w:pPr>
        <w:spacing w:after="0" w:line="240" w:lineRule="auto"/>
        <w:ind w:left="709" w:right="709"/>
        <w:jc w:val="both"/>
        <w:rPr>
          <w:rFonts w:ascii="Verdana" w:hAnsi="Verdana" w:cs="Arial"/>
          <w:color w:val="000000" w:themeColor="text1"/>
          <w:sz w:val="20"/>
          <w:szCs w:val="20"/>
          <w:lang w:val="es-ES_tradnl"/>
        </w:rPr>
      </w:pPr>
      <w:r w:rsidRPr="00294702">
        <w:rPr>
          <w:rFonts w:ascii="Verdana" w:hAnsi="Verdana" w:cs="Arial"/>
          <w:color w:val="000000" w:themeColor="text1"/>
          <w:sz w:val="20"/>
          <w:szCs w:val="20"/>
          <w:lang w:val="es-ES_tradnl"/>
        </w:rPr>
        <w:t xml:space="preserve">Por su relación directa, necesaria e inmediata con la realización del derecho constitucional a la participación democrática y la defensa del orden institucional, los procesos de contratación para la adquisición de bienes y servicios necesarios para adelantar los procesos electorales  para elección de Congreso y Presidente de la República, hacen parte de la defensa y seguridad del Estado, y por consiguiente se pueden incluir en la </w:t>
      </w:r>
      <w:r w:rsidRPr="00294702">
        <w:rPr>
          <w:rFonts w:ascii="Verdana" w:hAnsi="Verdana" w:cs="Arial"/>
          <w:color w:val="000000" w:themeColor="text1"/>
          <w:sz w:val="20"/>
          <w:szCs w:val="20"/>
          <w:lang w:val="es-ES_tradnl"/>
        </w:rPr>
        <w:lastRenderedPageBreak/>
        <w:t>excepción a la prohibición de contratación directa establecida por el artículo 33 de la ley 996 de 2.005, razón por la cual las gobernaciones y alcaldías, en su labor de colaboración, de acuerdo con el marco establecido por el Plan Nacional de Garantías, pueden contratar en forma directa en aquellos casos que no superen las cuantías para hacer licitación pública, durante los cuatro meses anteriores a las elecciones presidenciales, salvo que se trate de convenios interadministrativos para la ejecución de recursos públicos, en cuyo caso no cabría la excepción a la prohibición</w:t>
      </w:r>
      <w:r w:rsidRPr="00294702">
        <w:rPr>
          <w:rStyle w:val="Refdenotaalpie"/>
          <w:rFonts w:ascii="Verdana" w:hAnsi="Verdana"/>
          <w:sz w:val="20"/>
          <w:szCs w:val="20"/>
        </w:rPr>
        <w:footnoteReference w:id="8"/>
      </w:r>
      <w:r w:rsidRPr="00294702">
        <w:rPr>
          <w:rFonts w:ascii="Verdana" w:hAnsi="Verdana" w:cs="Arial"/>
          <w:color w:val="000000" w:themeColor="text1"/>
          <w:sz w:val="20"/>
          <w:szCs w:val="20"/>
          <w:lang w:val="es-ES_tradnl"/>
        </w:rPr>
        <w:t>.</w:t>
      </w:r>
    </w:p>
    <w:p w14:paraId="22E75405"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1F8EFBA4" w14:textId="543748CC" w:rsidR="0036476C" w:rsidRPr="00294702" w:rsidRDefault="0036476C" w:rsidP="00294702">
      <w:pPr>
        <w:spacing w:after="12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En concepto del 25 de marzo de 2010, la Sala de Consulta y Servicio Civil acoge la interpretación prohijada en el concepto del 20 de febrero de 2006, indicando que el concepto </w:t>
      </w:r>
      <w:r w:rsidR="00AC62E4">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AC62E4">
        <w:rPr>
          <w:rFonts w:ascii="Verdana" w:hAnsi="Verdana" w:cs="Arial"/>
          <w:color w:val="000000" w:themeColor="text1"/>
          <w:lang w:val="es-ES_tradnl"/>
        </w:rPr>
        <w:t>”</w:t>
      </w:r>
      <w:r w:rsidRPr="00294702">
        <w:rPr>
          <w:rFonts w:ascii="Verdana" w:hAnsi="Verdana" w:cs="Arial"/>
          <w:color w:val="000000" w:themeColor="text1"/>
          <w:lang w:val="es-ES_tradnl"/>
        </w:rPr>
        <w:t xml:space="preserve"> debe interpretarse </w:t>
      </w:r>
      <w:r w:rsidR="00AC62E4">
        <w:rPr>
          <w:rFonts w:ascii="Verdana" w:hAnsi="Verdana" w:cs="Arial"/>
          <w:color w:val="000000" w:themeColor="text1"/>
          <w:lang w:val="es-ES_tradnl"/>
        </w:rPr>
        <w:t>“</w:t>
      </w:r>
      <w:r w:rsidRPr="00294702">
        <w:rPr>
          <w:rFonts w:ascii="Verdana" w:hAnsi="Verdana" w:cs="Arial"/>
          <w:color w:val="000000" w:themeColor="text1"/>
          <w:lang w:val="es-ES_tradnl"/>
        </w:rPr>
        <w:t xml:space="preserve">como aquellas actividades necesarias para la estabilidad </w:t>
      </w:r>
      <w:proofErr w:type="gramStart"/>
      <w:r w:rsidRPr="00294702">
        <w:rPr>
          <w:rFonts w:ascii="Verdana" w:hAnsi="Verdana" w:cs="Arial"/>
          <w:color w:val="000000" w:themeColor="text1"/>
          <w:lang w:val="es-ES_tradnl"/>
        </w:rPr>
        <w:t>del mismo</w:t>
      </w:r>
      <w:proofErr w:type="gramEnd"/>
      <w:r w:rsidRPr="00294702">
        <w:rPr>
          <w:rFonts w:ascii="Verdana" w:hAnsi="Verdana" w:cs="Arial"/>
          <w:color w:val="000000" w:themeColor="text1"/>
          <w:lang w:val="es-ES_tradnl"/>
        </w:rPr>
        <w:t>, pues está de por medio el mantenimiento del orden público</w:t>
      </w:r>
      <w:r w:rsidR="00AC62E4">
        <w:rPr>
          <w:rFonts w:ascii="Verdana" w:hAnsi="Verdana" w:cs="Arial"/>
          <w:color w:val="000000" w:themeColor="text1"/>
          <w:lang w:val="es-ES_tradnl"/>
        </w:rPr>
        <w:t>”</w:t>
      </w:r>
      <w:r w:rsidRPr="00294702">
        <w:rPr>
          <w:rStyle w:val="Refdenotaalpie"/>
          <w:rFonts w:ascii="Verdana" w:hAnsi="Verdana"/>
        </w:rPr>
        <w:footnoteReference w:id="9"/>
      </w:r>
      <w:r w:rsidRPr="00294702">
        <w:rPr>
          <w:rFonts w:ascii="Verdana" w:hAnsi="Verdana" w:cs="Arial"/>
          <w:color w:val="000000" w:themeColor="text1"/>
          <w:lang w:val="es-ES_tradnl"/>
        </w:rPr>
        <w:t xml:space="preserve">. En tal sentido, concluyó que </w:t>
      </w:r>
      <w:r w:rsidR="00AC62E4">
        <w:rPr>
          <w:rFonts w:ascii="Verdana" w:hAnsi="Verdana" w:cs="Arial"/>
          <w:color w:val="000000" w:themeColor="text1"/>
          <w:lang w:val="es-ES_tradnl"/>
        </w:rPr>
        <w:t>“</w:t>
      </w:r>
      <w:r w:rsidRPr="00294702">
        <w:rPr>
          <w:rFonts w:ascii="Verdana" w:hAnsi="Verdana" w:cs="Arial"/>
          <w:color w:val="000000" w:themeColor="text1"/>
          <w:lang w:val="es-ES_tradnl"/>
        </w:rPr>
        <w:t xml:space="preserve">Las funciones confiadas al </w:t>
      </w:r>
      <w:proofErr w:type="gramStart"/>
      <w:r w:rsidRPr="00294702">
        <w:rPr>
          <w:rFonts w:ascii="Verdana" w:hAnsi="Verdana" w:cs="Arial"/>
          <w:color w:val="000000" w:themeColor="text1"/>
          <w:lang w:val="es-ES_tradnl"/>
        </w:rPr>
        <w:t>Director General</w:t>
      </w:r>
      <w:proofErr w:type="gramEnd"/>
      <w:r w:rsidRPr="00294702">
        <w:rPr>
          <w:rFonts w:ascii="Verdana" w:hAnsi="Verdana" w:cs="Arial"/>
          <w:color w:val="000000" w:themeColor="text1"/>
          <w:lang w:val="es-ES_tradnl"/>
        </w:rPr>
        <w:t xml:space="preserve"> del INPEC están directamente relacionadas con la seguridad del Estado, y por lo mismo, su desvinculación mediante declaratoria de insubsistencia y la posterior provisión del cargo, dentro del ámbito temporal previsto en el artículo 32 de la ley 996 de 2005, no conlleva transgresión de las prohibiciones contenidas en los artículos 32 y 33 </w:t>
      </w:r>
      <w:proofErr w:type="spellStart"/>
      <w:r w:rsidRPr="00294702">
        <w:rPr>
          <w:rFonts w:ascii="Verdana" w:hAnsi="Verdana" w:cs="Arial"/>
          <w:color w:val="000000" w:themeColor="text1"/>
          <w:lang w:val="es-ES_tradnl"/>
        </w:rPr>
        <w:t>ibídem</w:t>
      </w:r>
      <w:proofErr w:type="spellEnd"/>
      <w:r w:rsidR="00AC62E4">
        <w:rPr>
          <w:rFonts w:ascii="Verdana" w:hAnsi="Verdana" w:cs="Arial"/>
          <w:color w:val="000000" w:themeColor="text1"/>
          <w:lang w:val="es-ES_tradnl"/>
        </w:rPr>
        <w:t>”</w:t>
      </w:r>
      <w:r w:rsidRPr="00294702">
        <w:rPr>
          <w:rStyle w:val="Refdenotaalpie"/>
          <w:rFonts w:ascii="Verdana" w:hAnsi="Verdana"/>
        </w:rPr>
        <w:footnoteReference w:id="10"/>
      </w:r>
      <w:r w:rsidRPr="00294702">
        <w:rPr>
          <w:rFonts w:ascii="Verdana" w:hAnsi="Verdana" w:cs="Arial"/>
          <w:color w:val="000000" w:themeColor="text1"/>
          <w:lang w:val="es-ES_tradnl"/>
        </w:rPr>
        <w:t>.</w:t>
      </w:r>
    </w:p>
    <w:p w14:paraId="4B58826B" w14:textId="1E19E03A" w:rsidR="0036476C" w:rsidRPr="00294702" w:rsidRDefault="0036476C" w:rsidP="00294702">
      <w:pPr>
        <w:spacing w:before="120"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En concepto del 2 de septiembre de 2013, la Sala de Consulta y Servicio Civil se pronunció sobre el alcance de la expresión </w:t>
      </w:r>
      <w:r w:rsidR="00BE117F">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BE117F">
        <w:rPr>
          <w:rFonts w:ascii="Verdana" w:hAnsi="Verdana" w:cs="Arial"/>
          <w:color w:val="000000" w:themeColor="text1"/>
          <w:lang w:val="es-ES_tradnl"/>
        </w:rPr>
        <w:t>”</w:t>
      </w:r>
      <w:r w:rsidRPr="00294702">
        <w:rPr>
          <w:rFonts w:ascii="Verdana" w:hAnsi="Verdana" w:cs="Arial"/>
          <w:color w:val="000000" w:themeColor="text1"/>
          <w:lang w:val="es-ES_tradnl"/>
        </w:rPr>
        <w:t>, como excepción a la prohibición del artículo 33 de la Ley 996 de 2005, en el marco de la contratación relacionada con los compromisos derivados del acuerdo de paz con las FARC, señalando lo siguiente:</w:t>
      </w:r>
    </w:p>
    <w:p w14:paraId="1D90136C" w14:textId="77777777" w:rsidR="0036476C" w:rsidRPr="00294702" w:rsidRDefault="0036476C" w:rsidP="00294702">
      <w:pPr>
        <w:spacing w:after="0"/>
        <w:ind w:left="709" w:right="709"/>
        <w:jc w:val="both"/>
        <w:rPr>
          <w:rFonts w:ascii="Verdana" w:hAnsi="Verdana" w:cs="Arial"/>
          <w:i/>
          <w:sz w:val="21"/>
          <w:szCs w:val="21"/>
        </w:rPr>
      </w:pPr>
    </w:p>
    <w:p w14:paraId="3B45D3D3"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(i)</w:t>
      </w:r>
      <w:r w:rsidRPr="00294702">
        <w:rPr>
          <w:rFonts w:ascii="Verdana" w:hAnsi="Verdana" w:cs="Arial"/>
          <w:sz w:val="20"/>
          <w:szCs w:val="20"/>
        </w:rPr>
        <w:t xml:space="preserve"> La seguridad y la defensa nacionales son presupuestos materiales de la soberanía nacional, la independencia, la integridad territorial y el orden constitucional, y contribuyen a garantizar las condiciones necesarias para el ejercicio de los derechos, obligaciones y libertades públicas.</w:t>
      </w:r>
    </w:p>
    <w:p w14:paraId="00DC2B56" w14:textId="77777777" w:rsidR="0036476C" w:rsidRPr="00294702" w:rsidRDefault="0036476C" w:rsidP="00294702">
      <w:pPr>
        <w:spacing w:after="0" w:line="240" w:lineRule="auto"/>
        <w:ind w:left="709" w:right="709"/>
        <w:jc w:val="both"/>
        <w:rPr>
          <w:rFonts w:ascii="Verdana" w:hAnsi="Verdana" w:cs="Arial"/>
          <w:sz w:val="20"/>
          <w:szCs w:val="20"/>
        </w:rPr>
      </w:pPr>
    </w:p>
    <w:p w14:paraId="19772204"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w:t>
      </w:r>
      <w:proofErr w:type="spellStart"/>
      <w:r w:rsidRPr="00294702">
        <w:rPr>
          <w:rFonts w:ascii="Verdana" w:hAnsi="Verdana" w:cs="Arial"/>
          <w:i/>
          <w:sz w:val="20"/>
          <w:szCs w:val="20"/>
        </w:rPr>
        <w:t>ii</w:t>
      </w:r>
      <w:proofErr w:type="spellEnd"/>
      <w:r w:rsidRPr="00294702">
        <w:rPr>
          <w:rFonts w:ascii="Verdana" w:hAnsi="Verdana" w:cs="Arial"/>
          <w:i/>
          <w:sz w:val="20"/>
          <w:szCs w:val="20"/>
        </w:rPr>
        <w:t>)</w:t>
      </w:r>
      <w:r w:rsidRPr="00294702">
        <w:rPr>
          <w:rFonts w:ascii="Verdana" w:hAnsi="Verdana" w:cs="Arial"/>
          <w:sz w:val="20"/>
          <w:szCs w:val="20"/>
        </w:rPr>
        <w:t xml:space="preserve"> Se trata de conceptos amplios, relativos y dinámicos, cuya concreción depende de los objetivos que se propone alcanzar el Estado en una época determinada, de manera que son susceptibles de actualización y sufren constantes transformaciones y cambios.</w:t>
      </w:r>
    </w:p>
    <w:p w14:paraId="0A60A788" w14:textId="77777777" w:rsidR="0036476C" w:rsidRPr="00294702" w:rsidRDefault="0036476C" w:rsidP="00294702">
      <w:pPr>
        <w:spacing w:after="0" w:line="240" w:lineRule="auto"/>
        <w:ind w:left="709" w:right="709"/>
        <w:jc w:val="both"/>
        <w:rPr>
          <w:rFonts w:ascii="Verdana" w:hAnsi="Verdana" w:cs="Arial"/>
          <w:sz w:val="20"/>
          <w:szCs w:val="20"/>
        </w:rPr>
      </w:pPr>
    </w:p>
    <w:p w14:paraId="3907D49A"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lastRenderedPageBreak/>
        <w:t>(</w:t>
      </w:r>
      <w:proofErr w:type="spellStart"/>
      <w:r w:rsidRPr="00294702">
        <w:rPr>
          <w:rFonts w:ascii="Verdana" w:hAnsi="Verdana" w:cs="Arial"/>
          <w:i/>
          <w:sz w:val="20"/>
          <w:szCs w:val="20"/>
        </w:rPr>
        <w:t>iii</w:t>
      </w:r>
      <w:proofErr w:type="spellEnd"/>
      <w:r w:rsidRPr="00294702">
        <w:rPr>
          <w:rFonts w:ascii="Verdana" w:hAnsi="Verdana" w:cs="Arial"/>
          <w:i/>
          <w:sz w:val="20"/>
          <w:szCs w:val="20"/>
        </w:rPr>
        <w:t>)</w:t>
      </w:r>
      <w:r w:rsidRPr="00294702">
        <w:rPr>
          <w:rFonts w:ascii="Verdana" w:hAnsi="Verdana" w:cs="Arial"/>
          <w:sz w:val="20"/>
          <w:szCs w:val="20"/>
        </w:rPr>
        <w:t xml:space="preserve"> La conservación y mantenimiento del orden público es la finalidad misma de la “seguridad” y encuentra en el Gobierno Nacional (art. 189.4 CP) su principal responsable y garante, razón por la cual puede</w:t>
      </w:r>
      <w:r w:rsidRPr="00294702">
        <w:rPr>
          <w:rStyle w:val="Refdecomentario"/>
          <w:rFonts w:ascii="Verdana" w:hAnsi="Verdana"/>
          <w:sz w:val="20"/>
          <w:szCs w:val="20"/>
        </w:rPr>
        <w:t xml:space="preserve"> </w:t>
      </w:r>
      <w:r w:rsidRPr="00294702">
        <w:rPr>
          <w:rFonts w:ascii="Verdana" w:hAnsi="Verdana" w:cs="Arial"/>
          <w:sz w:val="20"/>
          <w:szCs w:val="20"/>
        </w:rPr>
        <w:t>adoptar medidas y  adelantar acciones coercitivas o militares y soluciones no armamentistas sino políticas negociadas (por ejemplo desmovilización y reinserción), para alcanzar la paz, que es un valor (preámbulo constitucional), un fin esencial del Estado (art. 2 CP), un derecho (art. 22 CP) y un deber social (95.6 CP).</w:t>
      </w:r>
    </w:p>
    <w:p w14:paraId="7C73DF03" w14:textId="77777777" w:rsidR="0036476C" w:rsidRPr="00294702" w:rsidRDefault="0036476C" w:rsidP="00294702">
      <w:pPr>
        <w:spacing w:after="0" w:line="240" w:lineRule="auto"/>
        <w:ind w:left="709" w:right="709"/>
        <w:jc w:val="both"/>
        <w:rPr>
          <w:rFonts w:ascii="Verdana" w:hAnsi="Verdana" w:cs="Arial"/>
          <w:sz w:val="20"/>
          <w:szCs w:val="20"/>
        </w:rPr>
      </w:pPr>
    </w:p>
    <w:p w14:paraId="043F6E21"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w:t>
      </w:r>
      <w:proofErr w:type="spellStart"/>
      <w:r w:rsidRPr="00294702">
        <w:rPr>
          <w:rFonts w:ascii="Verdana" w:hAnsi="Verdana" w:cs="Arial"/>
          <w:i/>
          <w:sz w:val="20"/>
          <w:szCs w:val="20"/>
        </w:rPr>
        <w:t>iv</w:t>
      </w:r>
      <w:proofErr w:type="spellEnd"/>
      <w:r w:rsidRPr="00294702">
        <w:rPr>
          <w:rFonts w:ascii="Verdana" w:hAnsi="Verdana" w:cs="Arial"/>
          <w:i/>
          <w:sz w:val="20"/>
          <w:szCs w:val="20"/>
        </w:rPr>
        <w:t>)</w:t>
      </w:r>
      <w:r w:rsidRPr="00294702">
        <w:rPr>
          <w:rFonts w:ascii="Verdana" w:hAnsi="Verdana" w:cs="Arial"/>
          <w:sz w:val="20"/>
          <w:szCs w:val="20"/>
        </w:rPr>
        <w:t xml:space="preserve"> Estos conceptos no están relacionados únicamente con los dispositivos o actividades bélicas o armamentistas, sino que abarcan todas aquellas estrategias y acciones que permitan la garantía de los derechos y libertades y, por ende, la coexistencia pacífica de los habitantes de la Nación, inclusive aquellas que permitan que los infractores de la ley se reincorporen a la vida civil.</w:t>
      </w:r>
    </w:p>
    <w:p w14:paraId="10709B2B" w14:textId="77777777" w:rsidR="0036476C" w:rsidRPr="00294702" w:rsidRDefault="0036476C" w:rsidP="00294702">
      <w:pPr>
        <w:spacing w:after="0" w:line="240" w:lineRule="auto"/>
        <w:ind w:left="709" w:right="709"/>
        <w:jc w:val="both"/>
        <w:rPr>
          <w:rFonts w:ascii="Verdana" w:hAnsi="Verdana" w:cs="Arial"/>
          <w:sz w:val="20"/>
          <w:szCs w:val="20"/>
        </w:rPr>
      </w:pPr>
    </w:p>
    <w:p w14:paraId="4AFD766B"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(v)</w:t>
      </w:r>
      <w:r w:rsidRPr="00294702">
        <w:rPr>
          <w:rFonts w:ascii="Verdana" w:hAnsi="Verdana" w:cs="Arial"/>
          <w:sz w:val="20"/>
          <w:szCs w:val="20"/>
        </w:rPr>
        <w:t xml:space="preserve"> La política de seguridad y defensa nacionales, supone para el Estado no solo la adopción de estrategias y acciones militares directas, sino también soluciones negociadas y, por tanto, estas últimas y todas las acciones y actividades que requieran, también configuran evidentes manifestaciones de la defensa y la seguridad nacionales.</w:t>
      </w:r>
    </w:p>
    <w:p w14:paraId="78B4D0BE" w14:textId="77777777" w:rsidR="0036476C" w:rsidRPr="00294702" w:rsidRDefault="0036476C" w:rsidP="00294702">
      <w:pPr>
        <w:tabs>
          <w:tab w:val="left" w:pos="8222"/>
        </w:tabs>
        <w:spacing w:after="0" w:line="240" w:lineRule="auto"/>
        <w:ind w:left="709" w:right="709"/>
        <w:jc w:val="both"/>
        <w:rPr>
          <w:rFonts w:ascii="Verdana" w:hAnsi="Verdana" w:cs="Arial"/>
          <w:sz w:val="20"/>
          <w:szCs w:val="20"/>
        </w:rPr>
      </w:pPr>
    </w:p>
    <w:p w14:paraId="4BB8FC1D" w14:textId="77777777" w:rsidR="0036476C" w:rsidRPr="00294702" w:rsidRDefault="0036476C" w:rsidP="00294702">
      <w:pPr>
        <w:tabs>
          <w:tab w:val="left" w:pos="8222"/>
        </w:tabs>
        <w:spacing w:after="0" w:line="240" w:lineRule="auto"/>
        <w:ind w:left="709" w:right="709"/>
        <w:jc w:val="both"/>
        <w:rPr>
          <w:rFonts w:ascii="Verdana" w:hAnsi="Verdana" w:cs="Arial"/>
          <w:bCs/>
          <w:sz w:val="20"/>
          <w:szCs w:val="20"/>
        </w:rPr>
      </w:pPr>
      <w:r w:rsidRPr="00294702">
        <w:rPr>
          <w:rFonts w:ascii="Verdana" w:hAnsi="Verdana" w:cs="Arial"/>
          <w:sz w:val="20"/>
          <w:szCs w:val="20"/>
          <w:lang w:val="es-ES_tradnl"/>
        </w:rPr>
        <w:t xml:space="preserve">Como se puede concluir de este análisis, </w:t>
      </w:r>
      <w:r w:rsidRPr="00294702">
        <w:rPr>
          <w:rFonts w:ascii="Verdana" w:hAnsi="Verdana" w:cs="Arial"/>
          <w:sz w:val="20"/>
          <w:szCs w:val="20"/>
        </w:rPr>
        <w:t xml:space="preserve">los conceptos de seguridad y defensa nacionales son conceptos jurídicos indeterminados, su alcance no se limita al campo de lo </w:t>
      </w:r>
      <w:proofErr w:type="gramStart"/>
      <w:r w:rsidRPr="00294702">
        <w:rPr>
          <w:rFonts w:ascii="Verdana" w:hAnsi="Verdana" w:cs="Arial"/>
          <w:sz w:val="20"/>
          <w:szCs w:val="20"/>
        </w:rPr>
        <w:t>bélico</w:t>
      </w:r>
      <w:proofErr w:type="gramEnd"/>
      <w:r w:rsidRPr="00294702">
        <w:rPr>
          <w:rFonts w:ascii="Verdana" w:hAnsi="Verdana" w:cs="Arial"/>
          <w:sz w:val="20"/>
          <w:szCs w:val="20"/>
        </w:rPr>
        <w:t xml:space="preserve"> sino que </w:t>
      </w:r>
      <w:r w:rsidRPr="00294702">
        <w:rPr>
          <w:rFonts w:ascii="Verdana" w:hAnsi="Verdana" w:cs="Arial"/>
          <w:bCs/>
          <w:sz w:val="20"/>
          <w:szCs w:val="20"/>
        </w:rPr>
        <w:t>incluye asuntos encaminados, directamente o por conexidad, al mantenimiento del orden público, la convivencia pacífica de la comunidad y la vigencia de los derechos y libertades de las personas.</w:t>
      </w:r>
    </w:p>
    <w:p w14:paraId="12ACBE61" w14:textId="77777777" w:rsidR="0036476C" w:rsidRPr="00294702" w:rsidRDefault="0036476C" w:rsidP="00294702">
      <w:pPr>
        <w:tabs>
          <w:tab w:val="left" w:pos="8222"/>
        </w:tabs>
        <w:spacing w:after="0" w:line="240" w:lineRule="auto"/>
        <w:ind w:left="709" w:right="709"/>
        <w:jc w:val="both"/>
        <w:rPr>
          <w:rFonts w:ascii="Verdana" w:hAnsi="Verdana" w:cs="Arial"/>
          <w:bCs/>
          <w:sz w:val="20"/>
          <w:szCs w:val="20"/>
        </w:rPr>
      </w:pPr>
    </w:p>
    <w:p w14:paraId="08103A8D" w14:textId="77777777" w:rsidR="0036476C" w:rsidRPr="00294702" w:rsidRDefault="0036476C" w:rsidP="00294702">
      <w:pPr>
        <w:tabs>
          <w:tab w:val="left" w:pos="8222"/>
        </w:tabs>
        <w:spacing w:after="0" w:line="240" w:lineRule="auto"/>
        <w:ind w:left="709" w:right="709"/>
        <w:jc w:val="both"/>
        <w:rPr>
          <w:rFonts w:ascii="Verdana" w:hAnsi="Verdana" w:cs="Arial"/>
          <w:bCs/>
          <w:sz w:val="20"/>
          <w:szCs w:val="20"/>
        </w:rPr>
      </w:pPr>
      <w:r w:rsidRPr="00294702">
        <w:rPr>
          <w:rFonts w:ascii="Verdana" w:hAnsi="Verdana" w:cs="Arial"/>
          <w:bCs/>
          <w:sz w:val="20"/>
          <w:szCs w:val="20"/>
        </w:rPr>
        <w:t xml:space="preserve">Dentro del marco conceptual expuesto, resulta relevante revisar la naturaleza y objeto </w:t>
      </w:r>
      <w:r w:rsidRPr="00294702">
        <w:rPr>
          <w:rFonts w:ascii="Verdana" w:hAnsi="Verdana" w:cs="Arial"/>
          <w:sz w:val="20"/>
          <w:szCs w:val="20"/>
        </w:rPr>
        <w:t>del Fondo de Programas para la Paz y de la Agencia Colombiana para la Reintegración de Personas y Grupos Alzados en Armas, con el objeto de determinar si la gestión administrativa que dichas entidades realizan en ejercicio de sus funciones encajan en el objetivo de procurar la materialización de la convivencia pacífica y en esa medida se ajustan a la excepción de defensa y seguridad del Estado que contempla el artículo 33 de la ley 996 de 2005</w:t>
      </w:r>
      <w:r w:rsidRPr="00294702">
        <w:rPr>
          <w:rStyle w:val="Refdenotaalpie"/>
          <w:rFonts w:ascii="Verdana" w:hAnsi="Verdana"/>
          <w:sz w:val="20"/>
          <w:szCs w:val="20"/>
        </w:rPr>
        <w:footnoteReference w:id="11"/>
      </w:r>
      <w:r w:rsidRPr="00294702">
        <w:rPr>
          <w:rFonts w:ascii="Verdana" w:hAnsi="Verdana" w:cs="Arial"/>
          <w:sz w:val="20"/>
          <w:szCs w:val="20"/>
        </w:rPr>
        <w:t>.</w:t>
      </w:r>
    </w:p>
    <w:p w14:paraId="71A2E63F"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1167F37A"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De este modo, concluyó que:  </w:t>
      </w:r>
    </w:p>
    <w:p w14:paraId="5BF45B12" w14:textId="77777777" w:rsidR="0036476C" w:rsidRPr="00294702" w:rsidRDefault="0036476C" w:rsidP="00294702">
      <w:pPr>
        <w:spacing w:after="0" w:line="276" w:lineRule="auto"/>
        <w:ind w:left="709" w:right="709"/>
        <w:jc w:val="both"/>
        <w:rPr>
          <w:rFonts w:ascii="Verdana" w:hAnsi="Verdana" w:cs="Arial"/>
          <w:sz w:val="21"/>
          <w:szCs w:val="21"/>
        </w:rPr>
      </w:pPr>
    </w:p>
    <w:p w14:paraId="4856B3E1" w14:textId="560537F3" w:rsidR="0036476C" w:rsidRPr="00294702" w:rsidRDefault="00FB32A6"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w:t>
      </w:r>
      <w:r w:rsidR="0036476C" w:rsidRPr="00294702">
        <w:rPr>
          <w:rFonts w:ascii="Verdana" w:hAnsi="Verdana" w:cs="Arial"/>
          <w:sz w:val="20"/>
          <w:szCs w:val="20"/>
        </w:rPr>
        <w:t xml:space="preserve">La ejecución de los programas a cargo del Fondo de Programas para la Paz están encaminados directamente al restablecimiento del orden público, a la construcción de una política de paz y a la búsqueda del logro </w:t>
      </w:r>
      <w:r w:rsidR="0036476C" w:rsidRPr="00294702">
        <w:rPr>
          <w:rFonts w:ascii="Verdana" w:hAnsi="Verdana" w:cs="Arial"/>
          <w:sz w:val="20"/>
          <w:szCs w:val="20"/>
        </w:rPr>
        <w:lastRenderedPageBreak/>
        <w:t xml:space="preserve">y mantenimiento de </w:t>
      </w:r>
      <w:proofErr w:type="gramStart"/>
      <w:r w:rsidR="0036476C" w:rsidRPr="00294702">
        <w:rPr>
          <w:rFonts w:ascii="Verdana" w:hAnsi="Verdana" w:cs="Arial"/>
          <w:sz w:val="20"/>
          <w:szCs w:val="20"/>
        </w:rPr>
        <w:t>la misma</w:t>
      </w:r>
      <w:proofErr w:type="gramEnd"/>
      <w:r w:rsidR="0036476C" w:rsidRPr="00294702">
        <w:rPr>
          <w:rFonts w:ascii="Verdana" w:hAnsi="Verdana" w:cs="Arial"/>
          <w:sz w:val="20"/>
          <w:szCs w:val="20"/>
        </w:rPr>
        <w:t>, en atención a uno de los fines estatales consagrados en el preámbulo y en el artículo 2 de la Constitución Política. Por esta razón, es claro que llevar a cabo la contratación directa, en lo que corresponda contratar bajo esta modalidad de selección, para la continuidad de estos programas, encaja dentro de la noción de “</w:t>
      </w:r>
      <w:r w:rsidR="0036476C" w:rsidRPr="00294702">
        <w:rPr>
          <w:rFonts w:ascii="Verdana" w:hAnsi="Verdana" w:cs="Arial"/>
          <w:i/>
          <w:sz w:val="20"/>
          <w:szCs w:val="20"/>
        </w:rPr>
        <w:t>defensa y seguridad del Estado”</w:t>
      </w:r>
      <w:r w:rsidR="0036476C" w:rsidRPr="00294702">
        <w:rPr>
          <w:rFonts w:ascii="Verdana" w:hAnsi="Verdana" w:cs="Arial"/>
          <w:sz w:val="20"/>
          <w:szCs w:val="20"/>
        </w:rPr>
        <w:t xml:space="preserve"> de la excepción a que se refiere el artículo 33 de la ley 996 de 2005, Estatutaria de la Ley de Garantías Electorales.</w:t>
      </w:r>
    </w:p>
    <w:p w14:paraId="413F9F9F" w14:textId="77777777" w:rsidR="0036476C" w:rsidRPr="00294702" w:rsidRDefault="0036476C" w:rsidP="00294702">
      <w:pPr>
        <w:spacing w:after="0" w:line="240" w:lineRule="auto"/>
        <w:ind w:left="709" w:right="709"/>
        <w:jc w:val="both"/>
        <w:rPr>
          <w:rFonts w:ascii="Verdana" w:hAnsi="Verdana" w:cs="Arial"/>
          <w:sz w:val="20"/>
          <w:szCs w:val="20"/>
        </w:rPr>
      </w:pPr>
    </w:p>
    <w:p w14:paraId="683E054A"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En consecuencia, en caso de que el Presidente de la República en ejercicio manifieste su interés en participar como candidato en las próximas elecciones presidenciales, el Fondo de Programas para la Paz puede continuar contratando directamente los programas cuya financiación esté a su cargo relacionados con la construcción de la paz, el restablecimiento del orden público y la vigencia de los derechos y libertades de las personas, en cumplimiento de las normas que rigen su actividad y al amparo de la excepción a la que se refiere el artículo 33 de la citada ley.</w:t>
      </w:r>
    </w:p>
    <w:p w14:paraId="3CAF7ECD" w14:textId="77777777" w:rsidR="0036476C" w:rsidRPr="00294702" w:rsidRDefault="0036476C" w:rsidP="00294702">
      <w:pPr>
        <w:spacing w:after="0" w:line="240" w:lineRule="auto"/>
        <w:ind w:left="709" w:right="709"/>
        <w:jc w:val="both"/>
        <w:rPr>
          <w:rFonts w:ascii="Verdana" w:hAnsi="Verdana" w:cs="Arial"/>
          <w:sz w:val="20"/>
          <w:szCs w:val="20"/>
        </w:rPr>
      </w:pPr>
    </w:p>
    <w:p w14:paraId="33A0498D"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w:t>
      </w:r>
    </w:p>
    <w:p w14:paraId="27328037" w14:textId="77777777" w:rsidR="0036476C" w:rsidRPr="00294702" w:rsidRDefault="0036476C" w:rsidP="00294702">
      <w:pPr>
        <w:spacing w:after="0" w:line="240" w:lineRule="auto"/>
        <w:ind w:left="709" w:right="709"/>
        <w:jc w:val="both"/>
        <w:rPr>
          <w:rFonts w:ascii="Verdana" w:hAnsi="Verdana" w:cs="Arial"/>
          <w:sz w:val="20"/>
          <w:szCs w:val="20"/>
        </w:rPr>
      </w:pPr>
    </w:p>
    <w:p w14:paraId="576D7739" w14:textId="06AD378F" w:rsidR="0036476C" w:rsidRPr="00294702" w:rsidRDefault="0036476C" w:rsidP="00294702">
      <w:pPr>
        <w:pStyle w:val="Prrafodelista"/>
        <w:spacing w:after="0" w:line="240" w:lineRule="auto"/>
        <w:ind w:left="709" w:right="709"/>
        <w:jc w:val="both"/>
        <w:rPr>
          <w:rFonts w:ascii="Verdana" w:hAnsi="Verdana" w:cs="Arial"/>
          <w:i/>
          <w:sz w:val="20"/>
          <w:szCs w:val="20"/>
        </w:rPr>
      </w:pPr>
      <w:r w:rsidRPr="00294702">
        <w:rPr>
          <w:rFonts w:ascii="Verdana" w:hAnsi="Verdana" w:cs="Arial"/>
          <w:iCs/>
          <w:sz w:val="20"/>
          <w:szCs w:val="20"/>
        </w:rPr>
        <w:t>La excepción a la prohibición a la contratación directa prevista en el artículo 33 de la ley 996 de 2005, en “</w:t>
      </w:r>
      <w:r w:rsidRPr="00294702">
        <w:rPr>
          <w:rFonts w:ascii="Verdana" w:hAnsi="Verdana" w:cs="Arial"/>
          <w:i/>
          <w:iCs/>
          <w:sz w:val="20"/>
          <w:szCs w:val="20"/>
        </w:rPr>
        <w:t>lo referente a la defensa y seguridad del Estado”,</w:t>
      </w:r>
      <w:r w:rsidRPr="00294702">
        <w:rPr>
          <w:rFonts w:ascii="Verdana" w:hAnsi="Verdana" w:cs="Arial"/>
          <w:iCs/>
          <w:sz w:val="20"/>
          <w:szCs w:val="20"/>
        </w:rPr>
        <w:t xml:space="preserve"> es aplicable a la adquisición de bienes y servicios para atender los programas de desmovilización y reincorporación a la vida civil de grupos alzados en armas al margen de la ley y de los miembros de los mismos, que se manejan a través de la </w:t>
      </w:r>
      <w:r w:rsidRPr="00294702">
        <w:rPr>
          <w:rFonts w:ascii="Verdana" w:hAnsi="Verdana" w:cs="Arial"/>
          <w:sz w:val="20"/>
          <w:szCs w:val="20"/>
        </w:rPr>
        <w:t>Agencia Colombiana para la Reintegración de Personas y Grupos Alzados en Armas, de conformidad</w:t>
      </w:r>
      <w:r w:rsidRPr="00294702">
        <w:rPr>
          <w:rFonts w:ascii="Verdana" w:hAnsi="Verdana"/>
          <w:sz w:val="20"/>
          <w:szCs w:val="20"/>
        </w:rPr>
        <w:t xml:space="preserve"> </w:t>
      </w:r>
      <w:r w:rsidRPr="00294702">
        <w:rPr>
          <w:rFonts w:ascii="Verdana" w:hAnsi="Verdana" w:cs="Arial"/>
          <w:sz w:val="20"/>
          <w:szCs w:val="20"/>
        </w:rPr>
        <w:t>con las causales de contratación directa previstas en el Estatuto General de Contratación de la Administración Pública (leyes 80 de 1993 y 1150 de 2007) y su decreto reglamentario 1510 del 17 de julio de 2013</w:t>
      </w:r>
      <w:r w:rsidR="00FB32A6">
        <w:rPr>
          <w:rFonts w:ascii="Verdana" w:hAnsi="Verdana" w:cs="Arial"/>
          <w:sz w:val="20"/>
          <w:szCs w:val="20"/>
        </w:rPr>
        <w:t>”</w:t>
      </w:r>
      <w:r w:rsidRPr="00294702">
        <w:rPr>
          <w:rStyle w:val="Refdenotaalpie"/>
          <w:rFonts w:ascii="Verdana" w:hAnsi="Verdana"/>
          <w:sz w:val="20"/>
          <w:szCs w:val="20"/>
        </w:rPr>
        <w:footnoteReference w:id="12"/>
      </w:r>
      <w:r w:rsidRPr="00294702">
        <w:rPr>
          <w:rFonts w:ascii="Verdana" w:hAnsi="Verdana" w:cs="Arial"/>
          <w:sz w:val="20"/>
          <w:szCs w:val="20"/>
        </w:rPr>
        <w:t xml:space="preserve">. </w:t>
      </w:r>
    </w:p>
    <w:p w14:paraId="1D83BD38" w14:textId="77777777" w:rsidR="0036476C" w:rsidRPr="00294702" w:rsidRDefault="0036476C" w:rsidP="00294702">
      <w:pPr>
        <w:spacing w:after="0" w:line="276" w:lineRule="auto"/>
        <w:ind w:firstLine="709"/>
        <w:jc w:val="both"/>
        <w:rPr>
          <w:rFonts w:ascii="Verdana" w:hAnsi="Verdana" w:cs="Arial"/>
          <w:color w:val="000000" w:themeColor="text1"/>
          <w:lang w:val="es-ES"/>
        </w:rPr>
      </w:pPr>
    </w:p>
    <w:p w14:paraId="61FEDC51" w14:textId="2476E26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Por su parte, la Sección Tercera del Consejo de Estado, al resolver la acción de nulidad contra el artículo 1 del Decreto 3740 de 2004, en sentencia del 27 de marzo de 2008, interpretó el concepto de </w:t>
      </w:r>
      <w:r w:rsidR="00FB32A6">
        <w:rPr>
          <w:rFonts w:ascii="Verdana" w:hAnsi="Verdana" w:cs="Arial"/>
          <w:color w:val="000000" w:themeColor="text1"/>
          <w:lang w:val="es-ES_tradnl"/>
        </w:rPr>
        <w:t>“</w:t>
      </w:r>
      <w:r w:rsidRPr="00294702">
        <w:rPr>
          <w:rFonts w:ascii="Verdana" w:hAnsi="Verdana" w:cs="Arial"/>
          <w:color w:val="000000" w:themeColor="text1"/>
          <w:lang w:val="es-ES_tradnl"/>
        </w:rPr>
        <w:t>defensa y seguridad nacional</w:t>
      </w:r>
      <w:r w:rsidR="00FB32A6">
        <w:rPr>
          <w:rFonts w:ascii="Verdana" w:hAnsi="Verdana" w:cs="Arial"/>
          <w:color w:val="000000" w:themeColor="text1"/>
          <w:lang w:val="es-ES_tradnl"/>
        </w:rPr>
        <w:t>”</w:t>
      </w:r>
      <w:r w:rsidRPr="00294702">
        <w:rPr>
          <w:rFonts w:ascii="Verdana" w:hAnsi="Verdana" w:cs="Arial"/>
          <w:color w:val="000000" w:themeColor="text1"/>
          <w:lang w:val="es-ES_tradnl"/>
        </w:rPr>
        <w:t xml:space="preserve"> de la siguiente manera: </w:t>
      </w:r>
    </w:p>
    <w:p w14:paraId="0956FA81"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2E5DD820" w14:textId="77777777" w:rsidR="0036476C" w:rsidRPr="00294702" w:rsidRDefault="00FB32A6" w:rsidP="00294702">
      <w:pPr>
        <w:spacing w:after="0" w:line="240" w:lineRule="auto"/>
        <w:ind w:left="709" w:right="709"/>
        <w:jc w:val="both"/>
        <w:rPr>
          <w:rFonts w:ascii="Verdana" w:hAnsi="Verdana" w:cs="Arial"/>
          <w:sz w:val="20"/>
          <w:szCs w:val="20"/>
        </w:rPr>
      </w:pPr>
      <w:r w:rsidRPr="00294702">
        <w:rPr>
          <w:rFonts w:ascii="Verdana" w:hAnsi="Verdana" w:cs="Arial"/>
          <w:sz w:val="20"/>
          <w:szCs w:val="20"/>
          <w:lang w:val="es-ES_tradnl"/>
        </w:rPr>
        <w:t>“</w:t>
      </w:r>
      <w:r w:rsidR="0036476C" w:rsidRPr="00294702">
        <w:rPr>
          <w:rFonts w:ascii="Verdana" w:hAnsi="Verdana" w:cs="Arial"/>
          <w:sz w:val="20"/>
          <w:szCs w:val="20"/>
        </w:rPr>
        <w:t xml:space="preserve">[…] una visión sistémica de la seguridad y defensa nacionales impone la articulación dinámica de diversos elementos (no sólo bélicos) con el entorno de violencia que agobia a la sociedad colombiana desde hace mucho tiempo. Asegurar la convivencia pacífica, base y razón de ser de la defensa y seguridad nacional, supone para el Estado la adopción de medidas que no siempre comportan la acción militar directa. En otros términos, la acción estatal en punto de seguridad no tiene que forzosa e ineludiblemente recaer en el empleo de las armas, ni en la estrategia </w:t>
      </w:r>
      <w:r w:rsidR="0036476C" w:rsidRPr="00294702">
        <w:rPr>
          <w:rFonts w:ascii="Verdana" w:hAnsi="Verdana" w:cs="Arial"/>
          <w:sz w:val="20"/>
          <w:szCs w:val="20"/>
        </w:rPr>
        <w:lastRenderedPageBreak/>
        <w:t xml:space="preserve">militar o en el despliegue de fuerzas combatientes, sino que también puede haber otros medios eficaces para garantizar la defensa y seguridad nacionales. La prerrogativa legítima del ejercicio de la coacción exige la utilización de varios instrumentos, que no se reducen necesariamente al uso de las armas. La seguridad no sólo se </w:t>
      </w:r>
      <w:proofErr w:type="gramStart"/>
      <w:r w:rsidR="0036476C" w:rsidRPr="00294702">
        <w:rPr>
          <w:rFonts w:ascii="Verdana" w:hAnsi="Verdana" w:cs="Arial"/>
          <w:sz w:val="20"/>
          <w:szCs w:val="20"/>
        </w:rPr>
        <w:t>defiende</w:t>
      </w:r>
      <w:proofErr w:type="gramEnd"/>
      <w:r w:rsidR="0036476C" w:rsidRPr="00294702">
        <w:rPr>
          <w:rFonts w:ascii="Verdana" w:hAnsi="Verdana" w:cs="Arial"/>
          <w:sz w:val="20"/>
          <w:szCs w:val="20"/>
        </w:rPr>
        <w:t xml:space="preserve"> sino que se robustece si, por ejemplo, se materializa efectivamente una política de sometimiento de grupos que pretenden hacer de la seguridad un fin ilegítimo de su accionar delincuencial. </w:t>
      </w:r>
      <w:proofErr w:type="gramStart"/>
      <w:r w:rsidR="0036476C" w:rsidRPr="00294702">
        <w:rPr>
          <w:rFonts w:ascii="Verdana" w:hAnsi="Verdana" w:cs="Arial"/>
          <w:sz w:val="20"/>
          <w:szCs w:val="20"/>
        </w:rPr>
        <w:t>Un conclusión</w:t>
      </w:r>
      <w:proofErr w:type="gramEnd"/>
      <w:r w:rsidR="0036476C" w:rsidRPr="00294702">
        <w:rPr>
          <w:rFonts w:ascii="Verdana" w:hAnsi="Verdana" w:cs="Arial"/>
          <w:sz w:val="20"/>
          <w:szCs w:val="20"/>
        </w:rPr>
        <w:t xml:space="preserve"> se impone: la seguridad no es sólo una cuestión de medios bélicos, sino que ante todo es un asunto político, de ahí su lugar privilegiado en el texto político fundamental: la Constitución. </w:t>
      </w:r>
    </w:p>
    <w:p w14:paraId="46480A1E" w14:textId="77777777" w:rsidR="0036476C" w:rsidRPr="00294702" w:rsidRDefault="0036476C" w:rsidP="00294702">
      <w:pPr>
        <w:spacing w:after="0" w:line="240" w:lineRule="auto"/>
        <w:ind w:left="709" w:right="709"/>
        <w:jc w:val="both"/>
        <w:rPr>
          <w:rFonts w:ascii="Verdana" w:hAnsi="Verdana" w:cs="Arial"/>
          <w:sz w:val="20"/>
          <w:szCs w:val="20"/>
        </w:rPr>
      </w:pPr>
    </w:p>
    <w:p w14:paraId="54B8F890"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Dicho de otra manera, el diseño de estrategias de seguridad y defensa nacional en un entorno signado por convivencia pacífica evidentemente amenazada y perturbada por la acción de grupos ilegales, supone recurrir no solamente a estrategias estrictamente armamentistas, sino que también impone la formulación de ciertas políticas que constituyen del mismo modo manifestación de la seguridad y defensa nacionales. Las difíciles circunstancias de orden público y la complejidad que reviste el conflicto </w:t>
      </w:r>
      <w:proofErr w:type="gramStart"/>
      <w:r w:rsidRPr="00294702">
        <w:rPr>
          <w:rFonts w:ascii="Verdana" w:hAnsi="Verdana" w:cs="Arial"/>
          <w:sz w:val="20"/>
          <w:szCs w:val="20"/>
        </w:rPr>
        <w:t>interno,</w:t>
      </w:r>
      <w:proofErr w:type="gramEnd"/>
      <w:r w:rsidRPr="00294702">
        <w:rPr>
          <w:rFonts w:ascii="Verdana" w:hAnsi="Verdana" w:cs="Arial"/>
          <w:sz w:val="20"/>
          <w:szCs w:val="20"/>
        </w:rPr>
        <w:t xml:space="preserve"> hacen necesaria la adopción de medidas de acercamiento con los grupos armados actores de la violencia, para </w:t>
      </w:r>
      <w:r w:rsidRPr="00294702">
        <w:rPr>
          <w:rFonts w:ascii="Verdana" w:hAnsi="Verdana" w:cs="Arial"/>
          <w:i/>
          <w:sz w:val="20"/>
          <w:szCs w:val="20"/>
        </w:rPr>
        <w:t>“restablecer la tranquilidad pública y en aras de abordar el fenómeno de la violencia, se hacen necesarios mecanismos que faciliten un acercamiento con los diferentes grupos armados actores de la violencia”</w:t>
      </w:r>
      <w:r w:rsidRPr="00294702">
        <w:rPr>
          <w:rFonts w:ascii="Verdana" w:hAnsi="Verdana" w:cs="Arial"/>
          <w:sz w:val="20"/>
          <w:szCs w:val="20"/>
        </w:rPr>
        <w:t>, como señaló la exposición de motivos de la ley 418.</w:t>
      </w:r>
    </w:p>
    <w:p w14:paraId="57249A15" w14:textId="77777777" w:rsidR="0036476C" w:rsidRPr="00294702" w:rsidRDefault="0036476C" w:rsidP="00294702">
      <w:pPr>
        <w:spacing w:after="0" w:line="240" w:lineRule="auto"/>
        <w:ind w:left="709" w:right="709"/>
        <w:jc w:val="both"/>
        <w:rPr>
          <w:rFonts w:ascii="Verdana" w:hAnsi="Verdana" w:cs="Arial"/>
          <w:sz w:val="20"/>
          <w:szCs w:val="20"/>
        </w:rPr>
      </w:pPr>
    </w:p>
    <w:p w14:paraId="3237F571" w14:textId="42F44736"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En definitiva, en materia de seguridad, la consecución de objetivos de defensa y seguridad no autoriza sólo la compra de armamento como </w:t>
      </w:r>
      <w:r w:rsidRPr="00294702">
        <w:rPr>
          <w:rFonts w:ascii="Verdana" w:hAnsi="Verdana" w:cs="Arial"/>
          <w:i/>
          <w:sz w:val="20"/>
          <w:szCs w:val="20"/>
        </w:rPr>
        <w:t>prima facie</w:t>
      </w:r>
      <w:r w:rsidRPr="00294702">
        <w:rPr>
          <w:rFonts w:ascii="Verdana" w:hAnsi="Verdana" w:cs="Arial"/>
          <w:sz w:val="20"/>
          <w:szCs w:val="20"/>
        </w:rPr>
        <w:t xml:space="preserve"> parecería, sino que autoriza la adopción de medidas proporcionadas y razonables al logro de ese objetivo, medidas que serán evaluadas caso por caso para determinar si realmente guardan relación y conexidad</w:t>
      </w:r>
      <w:r w:rsidR="00FB32A6">
        <w:rPr>
          <w:rFonts w:ascii="Verdana" w:hAnsi="Verdana" w:cs="Arial"/>
          <w:sz w:val="20"/>
          <w:szCs w:val="20"/>
        </w:rPr>
        <w:t>”</w:t>
      </w:r>
      <w:r w:rsidRPr="00294702">
        <w:rPr>
          <w:rStyle w:val="Refdenotaalpie"/>
          <w:rFonts w:ascii="Verdana" w:hAnsi="Verdana"/>
          <w:sz w:val="20"/>
          <w:szCs w:val="20"/>
        </w:rPr>
        <w:footnoteReference w:id="13"/>
      </w:r>
      <w:r w:rsidRPr="00294702">
        <w:rPr>
          <w:rFonts w:ascii="Verdana" w:hAnsi="Verdana" w:cs="Arial"/>
          <w:sz w:val="20"/>
          <w:szCs w:val="20"/>
        </w:rPr>
        <w:t xml:space="preserve">. </w:t>
      </w:r>
      <w:r w:rsidRPr="00294702">
        <w:rPr>
          <w:rFonts w:ascii="Verdana" w:hAnsi="Verdana" w:cs="Arial"/>
          <w:color w:val="000000" w:themeColor="text1"/>
          <w:sz w:val="20"/>
          <w:szCs w:val="20"/>
          <w:lang w:val="es-ES_tradnl"/>
        </w:rPr>
        <w:t xml:space="preserve">  </w:t>
      </w:r>
    </w:p>
    <w:p w14:paraId="27CFB36A"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6622A84C"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Así mismo, en sentencia del 26 de julio de 2011, la Sección Tercera sostuvo:</w:t>
      </w:r>
    </w:p>
    <w:p w14:paraId="5A9F4DB0"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2C74503A" w14:textId="687CC4B4" w:rsidR="0036476C" w:rsidRPr="00294702" w:rsidRDefault="00FB32A6" w:rsidP="00294702">
      <w:pPr>
        <w:spacing w:after="0"/>
        <w:ind w:left="709" w:right="709"/>
        <w:jc w:val="both"/>
        <w:rPr>
          <w:rFonts w:ascii="Verdana" w:hAnsi="Verdana" w:cs="Arial"/>
          <w:bCs/>
          <w:sz w:val="20"/>
          <w:szCs w:val="20"/>
        </w:rPr>
      </w:pPr>
      <w:r w:rsidRPr="00294702">
        <w:rPr>
          <w:rFonts w:ascii="Verdana" w:hAnsi="Verdana" w:cs="Arial"/>
          <w:bCs/>
          <w:sz w:val="20"/>
          <w:szCs w:val="20"/>
        </w:rPr>
        <w:t>“</w:t>
      </w:r>
      <w:r w:rsidR="0036476C" w:rsidRPr="00294702">
        <w:rPr>
          <w:rFonts w:ascii="Verdana" w:hAnsi="Verdana" w:cs="Arial"/>
          <w:bCs/>
          <w:sz w:val="20"/>
          <w:szCs w:val="20"/>
        </w:rPr>
        <w:t xml:space="preserve">[…] en vigencia de la ley 80 original –que rigió el proceso de selección </w:t>
      </w:r>
      <w:r w:rsidR="0036476C" w:rsidRPr="00294702">
        <w:rPr>
          <w:rFonts w:ascii="Verdana" w:hAnsi="Verdana" w:cs="Arial"/>
          <w:bCs/>
          <w:i/>
          <w:sz w:val="20"/>
          <w:szCs w:val="20"/>
        </w:rPr>
        <w:t>sub iudice</w:t>
      </w:r>
      <w:r w:rsidR="0036476C" w:rsidRPr="00294702">
        <w:rPr>
          <w:rFonts w:ascii="Verdana" w:hAnsi="Verdana" w:cs="Arial"/>
          <w:bCs/>
          <w:sz w:val="20"/>
          <w:szCs w:val="20"/>
        </w:rPr>
        <w:t xml:space="preserve">- la noción de bienes para la defensa y seguridad nacional fue un concepto jurídico indeterminado, cuyo alcance, como acontece normalmente con estas nociones vagas y amplias, suele quedar en manos del operador jurídico del caso, que tiene el deber de precisar su contenido para aplicarlo al asunto concreto. Claro está que luego procede el control </w:t>
      </w:r>
      <w:r w:rsidR="0036476C" w:rsidRPr="00294702">
        <w:rPr>
          <w:rFonts w:ascii="Verdana" w:hAnsi="Verdana" w:cs="Arial"/>
          <w:bCs/>
          <w:sz w:val="20"/>
          <w:szCs w:val="20"/>
        </w:rPr>
        <w:lastRenderedPageBreak/>
        <w:t>judicial sobre los actos que definen el tema, y será el juez quien determinará la corrección o incorrección que la administración hace de su alcance</w:t>
      </w:r>
      <w:r w:rsidRPr="00294702">
        <w:rPr>
          <w:rFonts w:ascii="Verdana" w:hAnsi="Verdana" w:cs="Arial"/>
          <w:bCs/>
          <w:sz w:val="20"/>
          <w:szCs w:val="20"/>
        </w:rPr>
        <w:t>”</w:t>
      </w:r>
      <w:r w:rsidR="0036476C" w:rsidRPr="00294702">
        <w:rPr>
          <w:rStyle w:val="Refdenotaalpie"/>
          <w:rFonts w:ascii="Verdana" w:hAnsi="Verdana"/>
          <w:sz w:val="20"/>
          <w:szCs w:val="20"/>
        </w:rPr>
        <w:footnoteReference w:id="14"/>
      </w:r>
      <w:r w:rsidR="0036476C" w:rsidRPr="00294702">
        <w:rPr>
          <w:rFonts w:ascii="Verdana" w:hAnsi="Verdana" w:cs="Arial"/>
          <w:bCs/>
          <w:sz w:val="20"/>
          <w:szCs w:val="20"/>
        </w:rPr>
        <w:t>.</w:t>
      </w:r>
    </w:p>
    <w:p w14:paraId="05367B25" w14:textId="77777777" w:rsidR="0036476C" w:rsidRPr="00294702" w:rsidRDefault="0036476C" w:rsidP="00294702">
      <w:pPr>
        <w:spacing w:after="0" w:line="276" w:lineRule="auto"/>
        <w:jc w:val="both"/>
        <w:rPr>
          <w:rFonts w:ascii="Verdana" w:hAnsi="Verdana" w:cs="Arial"/>
          <w:color w:val="000000" w:themeColor="text1"/>
        </w:rPr>
      </w:pPr>
    </w:p>
    <w:p w14:paraId="161EE527"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Finalmente, en la sentencia del 23 de julio de 2015, la Sección Tercera indicó:</w:t>
      </w:r>
    </w:p>
    <w:p w14:paraId="3A49D12D"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61392135" w14:textId="77777777" w:rsidR="0036476C" w:rsidRPr="00294702" w:rsidRDefault="00FB32A6" w:rsidP="00294702">
      <w:pPr>
        <w:spacing w:after="0" w:line="240" w:lineRule="auto"/>
        <w:ind w:left="709" w:right="709"/>
        <w:jc w:val="both"/>
        <w:rPr>
          <w:rFonts w:ascii="Verdana" w:hAnsi="Verdana" w:cs="Arial"/>
          <w:sz w:val="20"/>
          <w:szCs w:val="20"/>
          <w:lang w:val="es-ES" w:eastAsia="es-ES"/>
        </w:rPr>
      </w:pPr>
      <w:r w:rsidRPr="00294702">
        <w:rPr>
          <w:rFonts w:ascii="Verdana" w:hAnsi="Verdana" w:cs="Arial"/>
          <w:sz w:val="20"/>
          <w:szCs w:val="20"/>
          <w:lang w:val="es-ES" w:eastAsia="es-ES"/>
        </w:rPr>
        <w:t>“</w:t>
      </w:r>
      <w:r w:rsidR="0036476C" w:rsidRPr="00294702">
        <w:rPr>
          <w:rFonts w:ascii="Verdana" w:hAnsi="Verdana" w:cs="Arial"/>
          <w:sz w:val="20"/>
          <w:szCs w:val="20"/>
          <w:lang w:val="es-ES" w:eastAsia="es-ES"/>
        </w:rPr>
        <w:t xml:space="preserve">La defensa y seguridad nacional son </w:t>
      </w:r>
      <w:r w:rsidR="0036476C" w:rsidRPr="00294702">
        <w:rPr>
          <w:rFonts w:ascii="Verdana" w:hAnsi="Verdana" w:cs="Arial"/>
          <w:i/>
          <w:iCs/>
          <w:sz w:val="20"/>
          <w:szCs w:val="20"/>
          <w:lang w:val="es-ES" w:eastAsia="es-ES"/>
        </w:rPr>
        <w:t>conceptos normativos indeterminados</w:t>
      </w:r>
      <w:r w:rsidR="0036476C" w:rsidRPr="00294702">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w:t>
      </w:r>
      <w:proofErr w:type="gramStart"/>
      <w:r w:rsidR="0036476C" w:rsidRPr="00294702">
        <w:rPr>
          <w:rFonts w:ascii="Verdana" w:hAnsi="Verdana" w:cs="Arial"/>
          <w:sz w:val="20"/>
          <w:szCs w:val="20"/>
          <w:lang w:val="es-ES" w:eastAsia="es-ES"/>
        </w:rPr>
        <w:t>espacio-temporal</w:t>
      </w:r>
      <w:proofErr w:type="gramEnd"/>
      <w:r w:rsidR="0036476C" w:rsidRPr="00294702">
        <w:rPr>
          <w:rFonts w:ascii="Verdana" w:hAnsi="Verdana" w:cs="Arial"/>
          <w:sz w:val="20"/>
          <w:szCs w:val="20"/>
          <w:lang w:val="es-ES" w:eastAsia="es-ES"/>
        </w:rPr>
        <w:t xml:space="preserve">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0977D178" w14:textId="77777777" w:rsidR="0036476C" w:rsidRPr="00294702" w:rsidRDefault="0036476C" w:rsidP="00294702">
      <w:pPr>
        <w:spacing w:after="0" w:line="240" w:lineRule="auto"/>
        <w:ind w:left="709" w:right="709"/>
        <w:jc w:val="both"/>
        <w:rPr>
          <w:rFonts w:ascii="Verdana" w:hAnsi="Verdana" w:cs="Arial"/>
          <w:sz w:val="20"/>
          <w:szCs w:val="20"/>
          <w:lang w:val="es-ES_tradnl" w:eastAsia="es-ES"/>
        </w:rPr>
      </w:pPr>
    </w:p>
    <w:p w14:paraId="54ABAA61" w14:textId="3F3E6775" w:rsidR="0036476C" w:rsidRPr="00294702" w:rsidRDefault="0036476C" w:rsidP="00294702">
      <w:pPr>
        <w:spacing w:after="0" w:line="240" w:lineRule="auto"/>
        <w:ind w:left="709" w:right="709"/>
        <w:jc w:val="both"/>
        <w:rPr>
          <w:rFonts w:ascii="Verdana" w:hAnsi="Verdana" w:cs="Arial"/>
          <w:sz w:val="20"/>
          <w:szCs w:val="20"/>
          <w:lang w:val="es-ES_tradnl" w:eastAsia="es-ES"/>
        </w:rPr>
      </w:pPr>
      <w:r w:rsidRPr="00294702">
        <w:rPr>
          <w:rFonts w:ascii="Verdana" w:hAnsi="Verdana" w:cs="Arial"/>
          <w:sz w:val="20"/>
          <w:szCs w:val="20"/>
          <w:lang w:val="es-ES_tradnl" w:eastAsia="es-ES"/>
        </w:rPr>
        <w:t xml:space="preserve">El núcleo básico de la expresión se encuentra en la razón misma del Estado, como pacto político garante de la vida, honra y bienes de las 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294702">
        <w:rPr>
          <w:rFonts w:ascii="Verdana" w:hAnsi="Verdana" w:cs="Arial"/>
          <w:i/>
          <w:sz w:val="20"/>
          <w:szCs w:val="20"/>
          <w:lang w:val="es-ES_tradnl" w:eastAsia="es-ES"/>
        </w:rPr>
        <w:t>el criterio conforme al cual la seguridad es apenas un conjunto de dispositivos para la guerra</w:t>
      </w:r>
      <w:r w:rsidRPr="00294702">
        <w:rPr>
          <w:rFonts w:ascii="Verdana" w:hAnsi="Verdana" w:cs="Arial"/>
          <w:sz w:val="20"/>
          <w:szCs w:val="20"/>
          <w:lang w:val="es-ES_tradnl" w:eastAsia="es-ES"/>
        </w:rPr>
        <w:t>: es un fenómeno que, dadas las condiciones actuales de nuestras sociedades, puede referir, incluso, a asuntos económicos, energéticos, ambientales y hasta de salud pública</w:t>
      </w:r>
      <w:r w:rsidR="00FB32A6" w:rsidRPr="00294702">
        <w:rPr>
          <w:rFonts w:ascii="Verdana" w:hAnsi="Verdana" w:cs="Arial"/>
          <w:sz w:val="20"/>
          <w:szCs w:val="20"/>
          <w:lang w:val="es-ES_tradnl" w:eastAsia="es-ES"/>
        </w:rPr>
        <w:t>”</w:t>
      </w:r>
      <w:r w:rsidRPr="00294702">
        <w:rPr>
          <w:rStyle w:val="Refdenotaalpie"/>
          <w:rFonts w:ascii="Verdana" w:hAnsi="Verdana"/>
          <w:sz w:val="20"/>
          <w:szCs w:val="20"/>
        </w:rPr>
        <w:footnoteReference w:id="15"/>
      </w:r>
      <w:r w:rsidRPr="00294702">
        <w:rPr>
          <w:rFonts w:ascii="Verdana" w:hAnsi="Verdana" w:cs="Arial"/>
          <w:sz w:val="20"/>
          <w:szCs w:val="20"/>
          <w:lang w:val="es-ES_tradnl" w:eastAsia="es-ES"/>
        </w:rPr>
        <w:t>.</w:t>
      </w:r>
    </w:p>
    <w:p w14:paraId="58B43782"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15FEBD77" w14:textId="77777777" w:rsidR="00117528" w:rsidRDefault="0036476C" w:rsidP="00294702">
      <w:pPr>
        <w:spacing w:after="120"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
        </w:rPr>
        <w:t xml:space="preserve">Del anterior recuento doctrinario y jurisprudencial se concluye que la expresión </w:t>
      </w:r>
      <w:r w:rsidR="00FB32A6">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sidR="00FB32A6">
        <w:rPr>
          <w:rFonts w:ascii="Verdana" w:hAnsi="Verdana" w:cs="Arial"/>
          <w:color w:val="000000" w:themeColor="text1"/>
          <w:lang w:val="es-ES"/>
        </w:rPr>
        <w:t>”</w:t>
      </w:r>
      <w:r w:rsidRPr="00294702">
        <w:rPr>
          <w:rFonts w:ascii="Verdana" w:hAnsi="Verdana" w:cs="Arial"/>
          <w:color w:val="000000" w:themeColor="text1"/>
          <w:lang w:val="es-ES"/>
        </w:rPr>
        <w:t xml:space="preserve">, empleada por el segundo inciso del artículo 33 de la Ley 996 de 2005 –y que se halla también en otras disposiciones normativas con la denominación de </w:t>
      </w:r>
      <w:r w:rsidR="00FB32A6">
        <w:rPr>
          <w:rFonts w:ascii="Verdana" w:hAnsi="Verdana" w:cs="Arial"/>
          <w:color w:val="000000" w:themeColor="text1"/>
          <w:lang w:val="es-ES"/>
        </w:rPr>
        <w:t>“</w:t>
      </w:r>
      <w:r w:rsidRPr="00294702">
        <w:rPr>
          <w:rFonts w:ascii="Verdana" w:hAnsi="Verdana" w:cs="Arial"/>
          <w:color w:val="000000" w:themeColor="text1"/>
          <w:lang w:val="es-ES"/>
        </w:rPr>
        <w:t>defensa y seguridad nacional</w:t>
      </w:r>
      <w:r w:rsidR="00FB32A6">
        <w:rPr>
          <w:rFonts w:ascii="Verdana" w:hAnsi="Verdana" w:cs="Arial"/>
          <w:color w:val="000000" w:themeColor="text1"/>
          <w:lang w:val="es-ES"/>
        </w:rPr>
        <w:t>”</w:t>
      </w:r>
      <w:r w:rsidRPr="00294702">
        <w:rPr>
          <w:rFonts w:ascii="Verdana" w:hAnsi="Verdana" w:cs="Arial"/>
          <w:color w:val="000000" w:themeColor="text1"/>
          <w:lang w:val="es-ES"/>
        </w:rPr>
        <w:t xml:space="preserve">– es un </w:t>
      </w:r>
      <w:r w:rsidRPr="00294702">
        <w:rPr>
          <w:rFonts w:ascii="Verdana" w:hAnsi="Verdana" w:cs="Arial"/>
          <w:i/>
          <w:iCs/>
          <w:color w:val="000000" w:themeColor="text1"/>
          <w:lang w:val="es-ES"/>
        </w:rPr>
        <w:t>concepto jurídico indeterminado</w:t>
      </w:r>
      <w:r w:rsidRPr="00294702">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de la sola adquisición de armamento o de los bienes y actividades requeridas </w:t>
      </w:r>
      <w:r w:rsidRPr="00294702">
        <w:rPr>
          <w:rFonts w:ascii="Verdana" w:hAnsi="Verdana" w:cs="Arial"/>
          <w:color w:val="000000" w:themeColor="text1"/>
          <w:lang w:val="es-ES"/>
        </w:rPr>
        <w:lastRenderedPageBreak/>
        <w:t xml:space="preserve">para la </w:t>
      </w:r>
      <w:r w:rsidR="00117528">
        <w:rPr>
          <w:rFonts w:ascii="Verdana" w:hAnsi="Verdana" w:cs="Arial"/>
          <w:color w:val="000000" w:themeColor="text1"/>
          <w:lang w:val="es-ES"/>
        </w:rPr>
        <w:t>“</w:t>
      </w:r>
      <w:r w:rsidRPr="00294702">
        <w:rPr>
          <w:rFonts w:ascii="Verdana" w:hAnsi="Verdana" w:cs="Arial"/>
          <w:color w:val="000000" w:themeColor="text1"/>
          <w:lang w:val="es-ES"/>
        </w:rPr>
        <w:t>guerra</w:t>
      </w:r>
      <w:r w:rsidR="00117528">
        <w:rPr>
          <w:rFonts w:ascii="Verdana" w:hAnsi="Verdana" w:cs="Arial"/>
          <w:color w:val="000000" w:themeColor="text1"/>
          <w:lang w:val="es-ES"/>
        </w:rPr>
        <w:t>”</w:t>
      </w:r>
      <w:r w:rsidRPr="00294702">
        <w:rPr>
          <w:rFonts w:ascii="Verdana" w:hAnsi="Verdana" w:cs="Arial"/>
          <w:color w:val="000000" w:themeColor="text1"/>
          <w:lang w:val="es-ES"/>
        </w:rPr>
        <w:t xml:space="preserve">. Para el alto tribunal, aquel es un concepto que debe interpretarse bajo una comprensión sistemática del orden público. </w:t>
      </w:r>
    </w:p>
    <w:p w14:paraId="14C26220" w14:textId="7A72CBDA" w:rsidR="0036476C" w:rsidRPr="00294702" w:rsidRDefault="00117528" w:rsidP="00294702">
      <w:pPr>
        <w:spacing w:after="0" w:line="276" w:lineRule="auto"/>
        <w:ind w:firstLine="709"/>
        <w:jc w:val="both"/>
        <w:rPr>
          <w:rFonts w:ascii="Verdana" w:hAnsi="Verdana" w:cs="Arial"/>
          <w:color w:val="000000" w:themeColor="text1"/>
          <w:lang w:val="es-ES"/>
        </w:rPr>
      </w:pPr>
      <w:r>
        <w:rPr>
          <w:rFonts w:ascii="Verdana" w:hAnsi="Verdana" w:cs="Arial"/>
          <w:color w:val="000000" w:themeColor="text1"/>
          <w:lang w:val="es-ES"/>
        </w:rPr>
        <w:t>En virtud de lo anterior</w:t>
      </w:r>
      <w:r w:rsidR="0036476C" w:rsidRPr="00294702">
        <w:rPr>
          <w:rFonts w:ascii="Verdana" w:hAnsi="Verdana" w:cs="Arial"/>
          <w:color w:val="000000" w:themeColor="text1"/>
          <w:lang w:val="es-ES"/>
        </w:rPr>
        <w:t xml:space="preserve">, considerando estos criterios hermenéuticos, corresponde a la entidad que realiza la consulta interpretar el concepto jurídico </w:t>
      </w:r>
      <w:r w:rsidR="00D46819">
        <w:rPr>
          <w:rFonts w:ascii="Verdana" w:hAnsi="Verdana" w:cs="Arial"/>
          <w:color w:val="000000" w:themeColor="text1"/>
          <w:lang w:val="es-ES"/>
        </w:rPr>
        <w:t>“</w:t>
      </w:r>
      <w:r w:rsidR="0036476C" w:rsidRPr="00294702">
        <w:rPr>
          <w:rFonts w:ascii="Verdana" w:hAnsi="Verdana" w:cs="Arial"/>
          <w:color w:val="000000" w:themeColor="text1"/>
          <w:lang w:val="es-ES"/>
        </w:rPr>
        <w:t>defensa y seguridad del Estado</w:t>
      </w:r>
      <w:r w:rsidR="00D46819">
        <w:rPr>
          <w:rFonts w:ascii="Verdana" w:hAnsi="Verdana" w:cs="Arial"/>
          <w:color w:val="000000" w:themeColor="text1"/>
          <w:lang w:val="es-ES"/>
        </w:rPr>
        <w:t>”</w:t>
      </w:r>
      <w:r w:rsidR="0036476C" w:rsidRPr="00294702">
        <w:rPr>
          <w:rFonts w:ascii="Verdana" w:hAnsi="Verdana" w:cs="Arial"/>
          <w:color w:val="000000" w:themeColor="text1"/>
          <w:lang w:val="es-ES"/>
        </w:rPr>
        <w:t xml:space="preserve">, para determinar si se presenta la excepción a la contratación directa prevista en el segundo inciso del artículo 33 de la Ley 996 de 2005.    </w:t>
      </w:r>
    </w:p>
    <w:p w14:paraId="22DA0FE1" w14:textId="77777777" w:rsidR="00AA6873" w:rsidRPr="00294702" w:rsidRDefault="00AA6873" w:rsidP="00294702">
      <w:pPr>
        <w:spacing w:after="0" w:line="276" w:lineRule="auto"/>
        <w:jc w:val="both"/>
        <w:rPr>
          <w:rFonts w:ascii="Verdana" w:eastAsia="Century Gothic" w:hAnsi="Verdana" w:cs="Century Gothic"/>
          <w:bCs/>
          <w:lang w:val="es-ES"/>
        </w:rPr>
      </w:pPr>
    </w:p>
    <w:p w14:paraId="7E1B4563" w14:textId="4C2BC39C" w:rsidR="008E53E8" w:rsidRPr="00C13395" w:rsidRDefault="00DB1EBD" w:rsidP="00294702">
      <w:pPr>
        <w:spacing w:after="120" w:line="276" w:lineRule="auto"/>
        <w:jc w:val="both"/>
        <w:rPr>
          <w:rFonts w:ascii="Verdana" w:eastAsia="Century Gothic" w:hAnsi="Verdana" w:cs="Century Gothic"/>
          <w:lang w:val="es-ES"/>
        </w:rPr>
      </w:pPr>
      <w:proofErr w:type="spellStart"/>
      <w:r w:rsidRPr="61CFEC75">
        <w:rPr>
          <w:rFonts w:ascii="Verdana" w:eastAsia="Century Gothic" w:hAnsi="Verdana" w:cs="Century Gothic"/>
          <w:lang w:val="es-ES"/>
        </w:rPr>
        <w:t>iv</w:t>
      </w:r>
      <w:proofErr w:type="spellEnd"/>
      <w:r w:rsidRPr="61CFEC75">
        <w:rPr>
          <w:rFonts w:ascii="Verdana" w:eastAsia="Century Gothic" w:hAnsi="Verdana" w:cs="Century Gothic"/>
          <w:lang w:val="es-ES"/>
        </w:rPr>
        <w:t xml:space="preserve">. </w:t>
      </w:r>
      <w:r w:rsidR="008E53E8" w:rsidRPr="61CFEC75">
        <w:rPr>
          <w:rFonts w:ascii="Verdana" w:eastAsia="Century Gothic" w:hAnsi="Verdana" w:cs="Century Gothic"/>
          <w:lang w:val="es-ES"/>
        </w:rPr>
        <w:t xml:space="preserve">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741F22E" w14:textId="77777777" w:rsidR="008E53E8" w:rsidRPr="00C13395" w:rsidRDefault="008E53E8" w:rsidP="00294702">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Respecto de lo anterior, la Sala de Consulta y Servicio Civil del Consejo de Estado, en Concepto 1727 de fecha 20 de febrero de 2006, consideró que: </w:t>
      </w:r>
    </w:p>
    <w:p w14:paraId="37F4BB6F" w14:textId="77777777" w:rsidR="008E53E8" w:rsidRPr="00C13395" w:rsidRDefault="008E53E8" w:rsidP="00294702">
      <w:pPr>
        <w:spacing w:after="0" w:line="276" w:lineRule="auto"/>
        <w:jc w:val="both"/>
        <w:rPr>
          <w:rFonts w:ascii="Verdana" w:eastAsia="Century Gothic" w:hAnsi="Verdana" w:cs="Century Gothic"/>
          <w:bCs/>
          <w:lang w:val="es-ES_tradnl"/>
        </w:rPr>
      </w:pPr>
    </w:p>
    <w:p w14:paraId="42C75A61" w14:textId="77777777" w:rsidR="008E53E8" w:rsidRDefault="008E53E8" w:rsidP="005C62F0">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 . </w:t>
      </w:r>
    </w:p>
    <w:p w14:paraId="62F53322" w14:textId="77777777" w:rsidR="00492790" w:rsidRPr="00C13395" w:rsidRDefault="00492790" w:rsidP="00294702">
      <w:pPr>
        <w:spacing w:after="0" w:line="276" w:lineRule="auto"/>
        <w:ind w:left="709" w:right="709"/>
        <w:jc w:val="both"/>
        <w:rPr>
          <w:rFonts w:ascii="Verdana" w:eastAsia="Century Gothic" w:hAnsi="Verdana" w:cs="Century Gothic"/>
          <w:bCs/>
          <w:sz w:val="20"/>
          <w:szCs w:val="20"/>
          <w:lang w:val="es-ES_tradnl"/>
        </w:rPr>
      </w:pPr>
    </w:p>
    <w:p w14:paraId="74E318E5" w14:textId="77777777" w:rsidR="008E53E8" w:rsidRDefault="008E53E8" w:rsidP="00492790">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 Además, la Sala de Consulta y Servicio Civil del Consejo de Estado </w:t>
      </w:r>
      <w:r w:rsidRPr="00C13395">
        <w:rPr>
          <w:rFonts w:ascii="Verdana" w:eastAsia="Century Gothic" w:hAnsi="Verdana" w:cs="Century Gothic"/>
          <w:bCs/>
          <w:lang w:val="es-ES_tradnl"/>
        </w:rPr>
        <w:lastRenderedPageBreak/>
        <w:t>realizó la siguiente distinción, retomando el pronunciamiento de la misma sala del 20 de febrero de 2006, citado anteriormente:</w:t>
      </w:r>
    </w:p>
    <w:p w14:paraId="71F315A7" w14:textId="77777777" w:rsidR="00492790" w:rsidRPr="00C13395" w:rsidRDefault="00492790" w:rsidP="00294702">
      <w:pPr>
        <w:spacing w:after="0" w:line="276" w:lineRule="auto"/>
        <w:ind w:firstLine="708"/>
        <w:jc w:val="both"/>
        <w:rPr>
          <w:rFonts w:ascii="Verdana" w:eastAsia="Century Gothic" w:hAnsi="Verdana" w:cs="Century Gothic"/>
          <w:bCs/>
          <w:lang w:val="es-ES_tradnl"/>
        </w:rPr>
      </w:pPr>
    </w:p>
    <w:p w14:paraId="473F0B57" w14:textId="77777777" w:rsidR="008E53E8" w:rsidRDefault="008E53E8" w:rsidP="00492790">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6E2FC259" w14:textId="77777777" w:rsidR="00492790" w:rsidRPr="00C13395" w:rsidRDefault="00492790" w:rsidP="00294702">
      <w:pPr>
        <w:spacing w:after="0" w:line="240" w:lineRule="auto"/>
        <w:ind w:left="709" w:right="709"/>
        <w:jc w:val="both"/>
        <w:rPr>
          <w:rFonts w:ascii="Verdana" w:eastAsia="Century Gothic" w:hAnsi="Verdana" w:cs="Century Gothic"/>
          <w:bCs/>
          <w:sz w:val="20"/>
          <w:szCs w:val="20"/>
          <w:lang w:val="es-ES_tradnl"/>
        </w:rPr>
      </w:pPr>
    </w:p>
    <w:p w14:paraId="58A2F613"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p>
    <w:p w14:paraId="53252603" w14:textId="77777777" w:rsidR="00492790" w:rsidRDefault="00492790" w:rsidP="00294702">
      <w:pPr>
        <w:spacing w:after="0" w:line="276" w:lineRule="auto"/>
        <w:ind w:firstLine="708"/>
        <w:jc w:val="both"/>
        <w:rPr>
          <w:rFonts w:ascii="Verdana" w:eastAsia="Century Gothic" w:hAnsi="Verdana" w:cs="Century Gothic"/>
          <w:bCs/>
          <w:lang w:val="es-ES_tradnl"/>
        </w:rPr>
      </w:pPr>
    </w:p>
    <w:p w14:paraId="7EC71F33" w14:textId="555FB164"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acuerdo con estos pronunciamientos de la Sala de Consulta y Servicio Civil del Consejo de Estado, la prohibición de la contratación directa también aplica frente a las entidades exceptuadas de la aplicación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w:t>
      </w:r>
      <w:r w:rsidRPr="00C13395">
        <w:rPr>
          <w:rFonts w:ascii="Verdana" w:eastAsia="Century Gothic" w:hAnsi="Verdana" w:cs="Century Gothic"/>
          <w:bCs/>
          <w:lang w:val="es-ES_tradnl"/>
        </w:rPr>
        <w:lastRenderedPageBreak/>
        <w:t xml:space="preserve">parálisis de una actividad propia de la administración, que incluso podría desconocer los derechos fundamentales” . </w:t>
      </w:r>
    </w:p>
    <w:p w14:paraId="3804E1BC" w14:textId="77777777" w:rsidR="008E53E8" w:rsidRDefault="008E53E8" w:rsidP="00B158FB">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Conforme a los expuesto, la restricción prevista en la Ley 996 de 2005 cobija a cualquier entidad pública, independiente del régimen jurídico, que pueda mediante la contratación directa romper el equilibrio entre los candidatos en desarrollo de las elecciones presidenciales. Así las cosas, no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578803A1" w14:textId="77777777" w:rsidR="00B158FB" w:rsidRPr="00C13395" w:rsidRDefault="00B158FB" w:rsidP="00294702">
      <w:pPr>
        <w:spacing w:after="0" w:line="276" w:lineRule="auto"/>
        <w:ind w:firstLine="708"/>
        <w:jc w:val="both"/>
        <w:rPr>
          <w:rFonts w:ascii="Verdana" w:eastAsia="Century Gothic" w:hAnsi="Verdana" w:cs="Century Gothic"/>
          <w:bCs/>
          <w:lang w:val="es-ES_tradnl"/>
        </w:rPr>
      </w:pPr>
    </w:p>
    <w:p w14:paraId="2E54CD07" w14:textId="6D3E2E7C" w:rsidR="008E53E8" w:rsidRPr="00C13395" w:rsidRDefault="00B158FB" w:rsidP="122F1934">
      <w:pPr>
        <w:spacing w:after="120" w:line="276" w:lineRule="auto"/>
        <w:jc w:val="both"/>
        <w:rPr>
          <w:rFonts w:ascii="Verdana" w:eastAsia="Century Gothic" w:hAnsi="Verdana" w:cs="Century Gothic"/>
          <w:lang w:val="es-ES"/>
        </w:rPr>
      </w:pPr>
      <w:r>
        <w:rPr>
          <w:rFonts w:ascii="Verdana" w:eastAsia="Century Gothic" w:hAnsi="Verdana" w:cs="Century Gothic"/>
          <w:lang w:val="es-ES"/>
        </w:rPr>
        <w:t>v</w:t>
      </w:r>
      <w:r w:rsidR="008E53E8" w:rsidRPr="122F1934">
        <w:rPr>
          <w:rFonts w:ascii="Verdana" w:eastAsia="Century Gothic" w:hAnsi="Verdana" w:cs="Century Gothic"/>
          <w:lang w:val="es-ES"/>
        </w:rPr>
        <w:t xml:space="preserve">) Ahora bien, respecto del alcance del parágrafo del artículo 38 de la Ley 996 de 2005, esta prohibición dispone que “Los Gobernadores, </w:t>
      </w:r>
      <w:proofErr w:type="gramStart"/>
      <w:r w:rsidR="008E53E8" w:rsidRPr="122F1934">
        <w:rPr>
          <w:rFonts w:ascii="Verdana" w:eastAsia="Century Gothic" w:hAnsi="Verdana" w:cs="Century Gothic"/>
          <w:lang w:val="es-ES"/>
        </w:rPr>
        <w:t>Alcaldes</w:t>
      </w:r>
      <w:proofErr w:type="gramEnd"/>
      <w:r w:rsidR="008E53E8" w:rsidRPr="122F1934">
        <w:rPr>
          <w:rFonts w:ascii="Verdana" w:eastAsia="Century Gothic" w:hAnsi="Verdana" w:cs="Century Gothic"/>
          <w:lang w:val="es-ES"/>
        </w:rPr>
        <w:t xml:space="preserve"> Municipales y/o Distritales, </w:t>
      </w:r>
      <w:proofErr w:type="gramStart"/>
      <w:r w:rsidR="008E53E8" w:rsidRPr="122F1934">
        <w:rPr>
          <w:rFonts w:ascii="Verdana" w:eastAsia="Century Gothic" w:hAnsi="Verdana" w:cs="Century Gothic"/>
          <w:lang w:val="es-ES"/>
        </w:rPr>
        <w:t>Secretarios</w:t>
      </w:r>
      <w:proofErr w:type="gramEnd"/>
      <w:r w:rsidR="008E53E8" w:rsidRPr="122F1934">
        <w:rPr>
          <w:rFonts w:ascii="Verdana" w:eastAsia="Century Gothic" w:hAnsi="Verdana" w:cs="Century Gothic"/>
          <w:lang w:val="es-ES"/>
        </w:rPr>
        <w:t xml:space="preserve">, Gerentes y directores de Entidades Descentralizadas del orden Municipal, Departamental o Distrital, dentro de los cuatro (4) meses anteriores a las elecciones, no podrán celebrar convenios interadministrativos para la ejecución de recursos públicos”. </w:t>
      </w:r>
    </w:p>
    <w:p w14:paraId="064A5652" w14:textId="058A3E9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Para tales efectos, debe precisarse que los contratos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6CDE33EB"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37ABE0D" w14:textId="238FDDEE"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Un convenio interadministrativo no está determinado por la modalidad de selección utilizada para celebrarlo. La Ley 1150 de 2007 establece que pueden celebrarse directamente, siempre que las obligaciones derivadas del mismo </w:t>
      </w:r>
      <w:r w:rsidRPr="00C13395">
        <w:rPr>
          <w:rFonts w:ascii="Verdana" w:eastAsia="Century Gothic" w:hAnsi="Verdana" w:cs="Century Gothic"/>
          <w:bCs/>
          <w:lang w:val="es-ES_tradnl"/>
        </w:rPr>
        <w:lastRenderedPageBreak/>
        <w:t>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36D9BFFB" w14:textId="6141BA5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Además, es necesario tener en cuenta que para que un convenio interadministrativo exista debe cumplir con los siguientes elementos: acuerdo sobre el objeto y la contraprestación y que conste por escrito.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AA6D00E"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w:t>
      </w:r>
      <w:proofErr w:type="gramStart"/>
      <w:r w:rsidRPr="122F1934">
        <w:rPr>
          <w:rFonts w:ascii="Verdana" w:eastAsia="Century Gothic" w:hAnsi="Verdana" w:cs="Century Gothic"/>
          <w:lang w:val="es-ES"/>
        </w:rPr>
        <w:t>diferente ,</w:t>
      </w:r>
      <w:proofErr w:type="gramEnd"/>
      <w:r w:rsidRPr="122F1934">
        <w:rPr>
          <w:rFonts w:ascii="Verdana" w:eastAsia="Century Gothic" w:hAnsi="Verdana" w:cs="Century Gothic"/>
          <w:lang w:val="es-ES"/>
        </w:rPr>
        <w:t xml:space="preserve"> pues, de acuerdo con lo anotado, esta clase de acuerdos de voluntades se definen por un criterio orgánico, por lo que uno de sus elementos esenciales es que en los extremos de la relación jurídico negocial concurran personas de derecho público.</w:t>
      </w:r>
    </w:p>
    <w:p w14:paraId="4C889B0D"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De esta manera, se observa entonces que el parágrafo del artículo 38 de la Ley 996 de 2005 prohíbe a los </w:t>
      </w:r>
      <w:proofErr w:type="gramStart"/>
      <w:r w:rsidRPr="122F1934">
        <w:rPr>
          <w:rFonts w:ascii="Verdana" w:eastAsia="Century Gothic" w:hAnsi="Verdana" w:cs="Century Gothic"/>
          <w:lang w:val="es-ES"/>
        </w:rPr>
        <w:t>Alcaldes</w:t>
      </w:r>
      <w:proofErr w:type="gramEnd"/>
      <w:r w:rsidRPr="122F1934">
        <w:rPr>
          <w:rFonts w:ascii="Verdana" w:eastAsia="Century Gothic" w:hAnsi="Verdana" w:cs="Century Gothic"/>
          <w:lang w:val="es-ES"/>
        </w:rPr>
        <w:t xml:space="preserve">, Gobernadores, </w:t>
      </w:r>
      <w:proofErr w:type="gramStart"/>
      <w:r w:rsidRPr="122F1934">
        <w:rPr>
          <w:rFonts w:ascii="Verdana" w:eastAsia="Century Gothic" w:hAnsi="Verdana" w:cs="Century Gothic"/>
          <w:lang w:val="es-ES"/>
        </w:rPr>
        <w:t>Secretarios</w:t>
      </w:r>
      <w:proofErr w:type="gramEnd"/>
      <w:r w:rsidRPr="122F1934">
        <w:rPr>
          <w:rFonts w:ascii="Verdana" w:eastAsia="Century Gothic" w:hAnsi="Verdana" w:cs="Century Gothic"/>
          <w:lang w:val="es-ES"/>
        </w:rPr>
        <w:t xml:space="preserve">, Gerentes y </w:t>
      </w:r>
      <w:proofErr w:type="gramStart"/>
      <w:r w:rsidRPr="122F1934">
        <w:rPr>
          <w:rFonts w:ascii="Verdana" w:eastAsia="Century Gothic" w:hAnsi="Verdana" w:cs="Century Gothic"/>
          <w:lang w:val="es-ES"/>
        </w:rPr>
        <w:t>Directores</w:t>
      </w:r>
      <w:proofErr w:type="gramEnd"/>
      <w:r w:rsidRPr="122F1934">
        <w:rPr>
          <w:rFonts w:ascii="Verdana" w:eastAsia="Century Gothic" w:hAnsi="Verdana" w:cs="Century Gothic"/>
          <w:lang w:val="es-ES"/>
        </w:rPr>
        <w:t xml:space="preserve"> de las entidades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2FB12621"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Respecto del alcance de esta prohibición la Circular Externa No. 006 de 2025 expedida por la Agencia Nacional de Contratación Pública – Colombia Compra Eficiente, en los literales </w:t>
      </w: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y </w:t>
      </w:r>
      <w:proofErr w:type="spellStart"/>
      <w:r w:rsidRPr="122F1934">
        <w:rPr>
          <w:rFonts w:ascii="Verdana" w:eastAsia="Century Gothic" w:hAnsi="Verdana" w:cs="Century Gothic"/>
          <w:lang w:val="es-ES"/>
        </w:rPr>
        <w:t>iv</w:t>
      </w:r>
      <w:proofErr w:type="spellEnd"/>
      <w:r w:rsidRPr="122F1934">
        <w:rPr>
          <w:rFonts w:ascii="Verdana" w:eastAsia="Century Gothic" w:hAnsi="Verdana" w:cs="Century Gothic"/>
          <w:lang w:val="es-ES"/>
        </w:rPr>
        <w:t xml:space="preserve">) del numeral 2, indica que el parágrafo del artículo 38 de la Ley 996 de 2005 cobija expresamente a los convenios interadministrativos en los que se contemple la ejecución de recursos públicos. </w:t>
      </w:r>
      <w:r w:rsidRPr="122F1934">
        <w:rPr>
          <w:rFonts w:ascii="Verdana" w:eastAsia="Century Gothic" w:hAnsi="Verdana" w:cs="Century Gothic"/>
          <w:lang w:val="es-ES"/>
        </w:rPr>
        <w:lastRenderedPageBreak/>
        <w:t xml:space="preserve">Además, precisa que 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 </w:t>
      </w:r>
    </w:p>
    <w:p w14:paraId="3A1082C0" w14:textId="34E622CE" w:rsidR="008E53E8" w:rsidRPr="00C13395" w:rsidRDefault="00967C24" w:rsidP="122F1934">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w:t>
      </w:r>
      <w:r w:rsidR="008E53E8" w:rsidRPr="122F1934">
        <w:rPr>
          <w:rFonts w:ascii="Verdana" w:eastAsia="Century Gothic" w:hAnsi="Verdana" w:cs="Century Gothic"/>
          <w:lang w:val="es-ES"/>
        </w:rPr>
        <w:t xml:space="preserve">onforme a lo dispuesto en la Circular referida, </w:t>
      </w:r>
      <w:r>
        <w:rPr>
          <w:rFonts w:ascii="Verdana" w:eastAsia="Century Gothic" w:hAnsi="Verdana" w:cs="Century Gothic"/>
          <w:lang w:val="es-ES"/>
        </w:rPr>
        <w:t>se prohíben</w:t>
      </w:r>
      <w:r w:rsidR="008E53E8" w:rsidRPr="122F1934">
        <w:rPr>
          <w:rFonts w:ascii="Verdana" w:eastAsia="Century Gothic" w:hAnsi="Verdana" w:cs="Century Gothic"/>
          <w:lang w:val="es-ES"/>
        </w:rPr>
        <w:t xml:space="preserve"> convenios interadministrativos para la ejecución de recursos públicos por los alcaldes, gobernadores, secretarios, gerentes y directores de las entidades del orden municipal, departamental o distrital, aplicará la prohibición del parágrafo del artículo 38 ibidem, independientemente de que se configure alguno de los supuestos de excepción que señaló el inciso final del artículo 33, es decir, que se trate de: i) la defensa y seguridad del Estado; </w:t>
      </w:r>
      <w:proofErr w:type="spellStart"/>
      <w:r w:rsidR="008E53E8" w:rsidRPr="122F1934">
        <w:rPr>
          <w:rFonts w:ascii="Verdana" w:eastAsia="Century Gothic" w:hAnsi="Verdana" w:cs="Century Gothic"/>
          <w:lang w:val="es-ES"/>
        </w:rPr>
        <w:t>ii</w:t>
      </w:r>
      <w:proofErr w:type="spellEnd"/>
      <w:r w:rsidR="008E53E8" w:rsidRPr="122F1934">
        <w:rPr>
          <w:rFonts w:ascii="Verdana" w:eastAsia="Century Gothic" w:hAnsi="Verdana" w:cs="Century Gothic"/>
          <w:lang w:val="es-ES"/>
        </w:rPr>
        <w:t xml:space="preserve">) los contratos de crédito público; </w:t>
      </w:r>
      <w:proofErr w:type="spellStart"/>
      <w:r w:rsidR="008E53E8" w:rsidRPr="122F1934">
        <w:rPr>
          <w:rFonts w:ascii="Verdana" w:eastAsia="Century Gothic" w:hAnsi="Verdana" w:cs="Century Gothic"/>
          <w:lang w:val="es-ES"/>
        </w:rPr>
        <w:t>iii</w:t>
      </w:r>
      <w:proofErr w:type="spellEnd"/>
      <w:r w:rsidR="008E53E8" w:rsidRPr="122F1934">
        <w:rPr>
          <w:rFonts w:ascii="Verdana" w:eastAsia="Century Gothic" w:hAnsi="Verdana" w:cs="Century Gothic"/>
          <w:lang w:val="es-ES"/>
        </w:rPr>
        <w:t xml:space="preserve">) los requeridos para cubrir las emergencias educativas, sanitarias y desastres; </w:t>
      </w:r>
      <w:proofErr w:type="spellStart"/>
      <w:r w:rsidR="008E53E8" w:rsidRPr="122F1934">
        <w:rPr>
          <w:rFonts w:ascii="Verdana" w:eastAsia="Century Gothic" w:hAnsi="Verdana" w:cs="Century Gothic"/>
          <w:lang w:val="es-ES"/>
        </w:rPr>
        <w:t>iv</w:t>
      </w:r>
      <w:proofErr w:type="spellEnd"/>
      <w:r w:rsidR="008E53E8" w:rsidRPr="122F1934">
        <w:rPr>
          <w:rFonts w:ascii="Verdana" w:eastAsia="Century Gothic" w:hAnsi="Verdana" w:cs="Century Gothic"/>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2674D386" w14:textId="77777777" w:rsidR="008E53E8" w:rsidRDefault="008E53E8" w:rsidP="004337FD">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punto, teniendo en cuenta lo señalado en el contenido de su petición, vale la pena destacar que, mediante auto de 4 de octubre del 2024, el Consejo de Estado, Subsección C de la Sección Tercera, decretó medida de suspensión provisional parcial del numeral 16.2 de la Circular Externa Única de 2022 expedida por la Agencia Nacional de Contratación Pública – Colombia Compra Eficiente, concretamente, respecto de los siguientes apartes normativos: </w:t>
      </w:r>
    </w:p>
    <w:p w14:paraId="657DFCAE" w14:textId="77777777" w:rsidR="004337FD" w:rsidRPr="00C13395" w:rsidRDefault="004337FD" w:rsidP="00294702">
      <w:pPr>
        <w:spacing w:after="0" w:line="276" w:lineRule="auto"/>
        <w:ind w:firstLine="708"/>
        <w:jc w:val="both"/>
        <w:rPr>
          <w:rFonts w:ascii="Verdana" w:eastAsia="Century Gothic" w:hAnsi="Verdana" w:cs="Century Gothic"/>
          <w:bCs/>
          <w:lang w:val="es-ES_tradnl"/>
        </w:rPr>
      </w:pPr>
    </w:p>
    <w:p w14:paraId="6AE37200" w14:textId="77777777" w:rsidR="008E53E8" w:rsidRDefault="008E53E8" w:rsidP="004337FD">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“i)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262B456D" w14:textId="77777777" w:rsidR="004337FD" w:rsidRPr="00C13395" w:rsidRDefault="004337FD" w:rsidP="00294702">
      <w:pPr>
        <w:spacing w:after="0" w:line="240" w:lineRule="auto"/>
        <w:ind w:left="709" w:right="709"/>
        <w:jc w:val="both"/>
        <w:rPr>
          <w:rFonts w:ascii="Verdana" w:eastAsia="Century Gothic" w:hAnsi="Verdana" w:cs="Century Gothic"/>
          <w:sz w:val="20"/>
          <w:szCs w:val="20"/>
          <w:lang w:val="es-ES"/>
        </w:rPr>
      </w:pPr>
    </w:p>
    <w:p w14:paraId="32995E4A" w14:textId="77777777" w:rsidR="008E53E8" w:rsidRPr="00C13395" w:rsidRDefault="008E53E8" w:rsidP="00294702">
      <w:pPr>
        <w:spacing w:after="0" w:line="240" w:lineRule="auto"/>
        <w:ind w:left="709" w:right="709"/>
        <w:jc w:val="both"/>
        <w:rPr>
          <w:rFonts w:ascii="Verdana" w:eastAsia="Century Gothic" w:hAnsi="Verdana" w:cs="Century Gothic"/>
          <w:sz w:val="20"/>
          <w:szCs w:val="20"/>
          <w:lang w:val="es-ES"/>
        </w:rPr>
      </w:pPr>
      <w:proofErr w:type="spellStart"/>
      <w:r w:rsidRPr="122F1934">
        <w:rPr>
          <w:rFonts w:ascii="Verdana" w:eastAsia="Century Gothic" w:hAnsi="Verdana" w:cs="Century Gothic"/>
          <w:sz w:val="20"/>
          <w:szCs w:val="20"/>
          <w:lang w:val="es-ES"/>
        </w:rPr>
        <w:t>ii</w:t>
      </w:r>
      <w:proofErr w:type="spellEnd"/>
      <w:r w:rsidRPr="122F1934">
        <w:rPr>
          <w:rFonts w:ascii="Verdana" w:eastAsia="Century Gothic" w:hAnsi="Verdana" w:cs="Century Gothic"/>
          <w:sz w:val="20"/>
          <w:szCs w:val="20"/>
          <w:lang w:val="es-ES"/>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w:t>
      </w:r>
      <w:r w:rsidRPr="122F1934">
        <w:rPr>
          <w:rFonts w:ascii="Verdana" w:eastAsia="Century Gothic" w:hAnsi="Verdana" w:cs="Century Gothic"/>
          <w:sz w:val="20"/>
          <w:szCs w:val="20"/>
          <w:lang w:val="es-ES"/>
        </w:rPr>
        <w:lastRenderedPageBreak/>
        <w:t xml:space="preserve">de contratos y/o convenios, que, para efectos de la Ley de Garantías, tienen la misma connotación y propósito’”. </w:t>
      </w:r>
    </w:p>
    <w:p w14:paraId="3C25F52D" w14:textId="77777777" w:rsidR="004337FD" w:rsidRDefault="004337FD" w:rsidP="008E53E8">
      <w:pPr>
        <w:spacing w:after="120" w:line="276" w:lineRule="auto"/>
        <w:ind w:firstLine="708"/>
        <w:jc w:val="both"/>
        <w:rPr>
          <w:rFonts w:ascii="Verdana" w:eastAsia="Century Gothic" w:hAnsi="Verdana" w:cs="Century Gothic"/>
          <w:bCs/>
          <w:lang w:val="es-ES_tradnl"/>
        </w:rPr>
      </w:pPr>
    </w:p>
    <w:p w14:paraId="40C31320" w14:textId="56029549"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conformidad con los argumentos de dicha providencia, se parte de la distinción entre los conceptos 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w:t>
      </w:r>
    </w:p>
    <w:p w14:paraId="16C18F17"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sentido, en relación con el parágrafo del artículo 38 de la Ley 996 de 2005 concluyó que “si el legislador no diferenció al establecer la prohibición o la restricción, mal haría el reglamento en aplicar un efecto expansivo o extensivo para incluir una categoría no cobijada con la limitación, (…)”. Por tal motivo, para efectos de decretar la medida de suspensión provisional de los apartes señalados del numeral 16.2 de la Circular Externa Única, argumentó que “con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A9B1E61"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De igual manera, mediante auto del 6 de noviembre de 2025, el Consejo de Estado, Subsección A de la Sección Tercera, decretó 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122F1934">
        <w:rPr>
          <w:rFonts w:ascii="Verdana" w:eastAsia="Century Gothic" w:hAnsi="Verdana" w:cs="Century Gothic"/>
          <w:lang w:val="es-ES"/>
        </w:rPr>
        <w:t>legis</w:t>
      </w:r>
      <w:proofErr w:type="spellEnd"/>
      <w:r w:rsidRPr="122F1934">
        <w:rPr>
          <w:rFonts w:ascii="Verdana" w:eastAsia="Century Gothic" w:hAnsi="Verdana" w:cs="Century Gothic"/>
          <w:lang w:val="es-ES"/>
        </w:rPr>
        <w:t xml:space="preserve"> o iuris y la interpretación extensiva y reiteró los argumentos sobre la diferencia entre contratos y convenios interadministrativos. </w:t>
      </w:r>
    </w:p>
    <w:p w14:paraId="4BE92B7B" w14:textId="7BD20D4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w:t>
      </w:r>
      <w:r w:rsidR="007865E2">
        <w:rPr>
          <w:rFonts w:ascii="Verdana" w:eastAsia="Century Gothic" w:hAnsi="Verdana" w:cs="Century Gothic"/>
          <w:bCs/>
          <w:lang w:val="es-ES_tradnl"/>
        </w:rPr>
        <w:t>–</w:t>
      </w:r>
      <w:r w:rsidRPr="00C13395">
        <w:rPr>
          <w:rFonts w:ascii="Verdana" w:eastAsia="Century Gothic" w:hAnsi="Verdana" w:cs="Century Gothic"/>
          <w:bCs/>
          <w:lang w:val="es-ES_tradnl"/>
        </w:rPr>
        <w:t xml:space="preserve"> Colombia Compra Eficiente que indicaba: </w:t>
      </w:r>
      <w:r w:rsidRPr="00C13395">
        <w:rPr>
          <w:rFonts w:ascii="Verdana" w:eastAsia="Century Gothic" w:hAnsi="Verdana" w:cs="Century Gothic"/>
          <w:bCs/>
          <w:lang w:val="es-ES_tradnl"/>
        </w:rPr>
        <w:lastRenderedPageBreak/>
        <w:t xml:space="preserve">“Esta restricción es aplicable tanto a los convenios como a los contratos interadministrativos…”. </w:t>
      </w:r>
    </w:p>
    <w:p w14:paraId="4B35E905"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E394EC3"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contratos interadministrativos, esta prohibición solo aplicaría a los convenios interadministrativos que impliquen la ejecución de recursos públicos .</w:t>
      </w:r>
    </w:p>
    <w:p w14:paraId="278F88E6" w14:textId="77777777" w:rsidR="008E53E8" w:rsidRDefault="008E53E8" w:rsidP="007865E2">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60173024" w14:textId="77777777" w:rsidR="007865E2" w:rsidRPr="00C13395" w:rsidRDefault="007865E2" w:rsidP="00294702">
      <w:pPr>
        <w:spacing w:after="0" w:line="276" w:lineRule="auto"/>
        <w:ind w:firstLine="708"/>
        <w:jc w:val="both"/>
        <w:rPr>
          <w:rFonts w:ascii="Verdana" w:eastAsia="Century Gothic" w:hAnsi="Verdana" w:cs="Century Gothic"/>
          <w:bCs/>
          <w:lang w:val="es-ES_tradnl"/>
        </w:rPr>
      </w:pPr>
    </w:p>
    <w:p w14:paraId="01BCD7B4" w14:textId="73C3ECEB" w:rsidR="008E53E8" w:rsidRPr="00C13395" w:rsidRDefault="008E53E8" w:rsidP="008E53E8">
      <w:pPr>
        <w:spacing w:after="120" w:line="276" w:lineRule="auto"/>
        <w:jc w:val="both"/>
        <w:rPr>
          <w:rFonts w:ascii="Verdana" w:eastAsia="Century Gothic" w:hAnsi="Verdana" w:cs="Century Gothic"/>
          <w:bCs/>
          <w:lang w:val="es-ES_tradnl"/>
        </w:rPr>
      </w:pPr>
      <w:r w:rsidRPr="122F1934">
        <w:rPr>
          <w:rFonts w:ascii="Verdana" w:eastAsia="Century Gothic" w:hAnsi="Verdana" w:cs="Century Gothic"/>
          <w:lang w:val="es-ES"/>
        </w:rPr>
        <w:t>v</w:t>
      </w:r>
      <w:r w:rsidR="007865E2">
        <w:rPr>
          <w:rFonts w:ascii="Verdana" w:eastAsia="Century Gothic" w:hAnsi="Verdana" w:cs="Century Gothic"/>
          <w:lang w:val="es-ES"/>
        </w:rPr>
        <w:t>i</w:t>
      </w:r>
      <w:r w:rsidRPr="122F1934">
        <w:rPr>
          <w:rFonts w:ascii="Verdana" w:eastAsia="Century Gothic" w:hAnsi="Verdana" w:cs="Century Gothic"/>
          <w:lang w:val="es-ES"/>
        </w:rPr>
        <w:t xml:space="preserve">) </w:t>
      </w:r>
      <w:r w:rsidRPr="00C13395">
        <w:rPr>
          <w:rFonts w:ascii="Verdana" w:eastAsia="Century Gothic" w:hAnsi="Verdana" w:cs="Century Gothic"/>
          <w:bCs/>
          <w:lang w:val="es-ES_tradnl"/>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w:t>
      </w:r>
      <w:r w:rsidRPr="00C13395">
        <w:rPr>
          <w:rFonts w:ascii="Verdana" w:eastAsia="Century Gothic" w:hAnsi="Verdana" w:cs="Century Gothic"/>
          <w:bCs/>
          <w:lang w:val="es-ES_tradnl"/>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4ABBF1A" w14:textId="77777777" w:rsidR="008E53E8" w:rsidRPr="00C13395" w:rsidRDefault="008E53E8" w:rsidP="00294702">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1B711FA" w14:textId="25046EE7" w:rsidR="008E53E8" w:rsidRPr="00144EB3" w:rsidRDefault="008E53E8" w:rsidP="00294702">
      <w:pPr>
        <w:tabs>
          <w:tab w:val="left" w:pos="709"/>
        </w:tabs>
        <w:spacing w:after="0" w:line="276" w:lineRule="auto"/>
        <w:jc w:val="both"/>
        <w:rPr>
          <w:rFonts w:ascii="Verdana" w:eastAsia="Calibri" w:hAnsi="Verdana" w:cs="Arial"/>
          <w:bCs/>
        </w:rPr>
      </w:pPr>
      <w:r w:rsidRPr="0026138F">
        <w:rPr>
          <w:rFonts w:ascii="Verdana" w:eastAsia="Calibri" w:hAnsi="Verdana" w:cs="Arial"/>
          <w:lang w:eastAsia="es-ES"/>
        </w:rPr>
        <w:tab/>
      </w:r>
    </w:p>
    <w:bookmarkEnd w:id="1"/>
    <w:bookmarkEnd w:id="2"/>
    <w:p w14:paraId="07396383" w14:textId="77777777" w:rsidR="008E53E8" w:rsidRDefault="008E53E8" w:rsidP="00144EB3">
      <w:pPr>
        <w:spacing w:after="0" w:line="276" w:lineRule="auto"/>
        <w:jc w:val="both"/>
        <w:rPr>
          <w:rFonts w:ascii="Verdana" w:eastAsia="Century Gothic" w:hAnsi="Verdana" w:cs="Century Gothic"/>
          <w:b/>
          <w:lang w:val="es-ES"/>
        </w:rPr>
      </w:pPr>
      <w:r w:rsidRPr="00144EB3">
        <w:rPr>
          <w:rFonts w:ascii="Verdana" w:eastAsia="Century Gothic" w:hAnsi="Verdana" w:cs="Century Gothic"/>
          <w:b/>
          <w:lang w:val="es-ES"/>
        </w:rPr>
        <w:t>4. Referencias normativas, jurisprudenciales y otras fuentes:</w:t>
      </w:r>
    </w:p>
    <w:p w14:paraId="1591ED80" w14:textId="77777777" w:rsidR="00CE01E2" w:rsidRPr="00144EB3" w:rsidRDefault="00CE01E2" w:rsidP="00294702">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E53E8" w:rsidRPr="00144EB3" w14:paraId="6FF9B148" w14:textId="77777777" w:rsidTr="00517FDB">
        <w:trPr>
          <w:trHeight w:val="870"/>
        </w:trPr>
        <w:tc>
          <w:tcPr>
            <w:tcW w:w="8647" w:type="dxa"/>
          </w:tcPr>
          <w:p w14:paraId="3FAB5B34"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 de 1989, artículo 38.</w:t>
            </w:r>
          </w:p>
          <w:p w14:paraId="2BD69FBA"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80 de 1993, artículos 13, 32 y 40.</w:t>
            </w:r>
          </w:p>
          <w:p w14:paraId="63BA6122"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136 de 1994, artículo 32.</w:t>
            </w:r>
          </w:p>
          <w:p w14:paraId="002D48E5"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 xml:space="preserve">Ley 489 de 1998, artículo 96. </w:t>
            </w:r>
          </w:p>
          <w:p w14:paraId="6452301D"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996 de 2005, artículos 33 y 38.</w:t>
            </w:r>
          </w:p>
          <w:p w14:paraId="400CA7D9"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Decreto 1333 de 1986, artículo 167.</w:t>
            </w:r>
          </w:p>
          <w:p w14:paraId="408FF37E" w14:textId="77777777" w:rsidR="008E53E8" w:rsidRPr="00144EB3" w:rsidRDefault="008E53E8" w:rsidP="00294702">
            <w:pPr>
              <w:numPr>
                <w:ilvl w:val="0"/>
                <w:numId w:val="16"/>
              </w:numPr>
              <w:spacing w:line="276" w:lineRule="auto"/>
              <w:jc w:val="both"/>
              <w:rPr>
                <w:rFonts w:ascii="Verdana" w:eastAsia="Calibri" w:hAnsi="Verdana" w:cs="Arial"/>
                <w:lang w:val="es-MX" w:bidi="es-ES"/>
              </w:rPr>
            </w:pPr>
            <w:r w:rsidRPr="00144EB3">
              <w:rPr>
                <w:rFonts w:ascii="Verdana" w:eastAsia="Calibri" w:hAnsi="Verdana" w:cs="Arial"/>
                <w:lang w:val="es-MX"/>
              </w:rPr>
              <w:t xml:space="preserve">Consejo de Estado. Sala de Consulta y del Servicio Civil. Concepto del 9 de octubre de 2014. </w:t>
            </w:r>
          </w:p>
          <w:p w14:paraId="6D7D036F" w14:textId="77777777" w:rsidR="008E53E8" w:rsidRPr="00144EB3" w:rsidRDefault="008E53E8" w:rsidP="00144EB3">
            <w:pPr>
              <w:widowControl w:val="0"/>
              <w:numPr>
                <w:ilvl w:val="0"/>
                <w:numId w:val="16"/>
              </w:numPr>
              <w:autoSpaceDE w:val="0"/>
              <w:autoSpaceDN w:val="0"/>
              <w:spacing w:line="276" w:lineRule="auto"/>
              <w:jc w:val="both"/>
              <w:rPr>
                <w:rFonts w:ascii="Verdana" w:eastAsia="Arial MT" w:hAnsi="Verdana" w:cs="Arial"/>
                <w:color w:val="ED7D31" w:themeColor="accent2"/>
                <w:lang w:eastAsia="es-ES" w:bidi="es-ES"/>
              </w:rPr>
            </w:pPr>
            <w:r w:rsidRPr="00144EB3">
              <w:rPr>
                <w:rFonts w:ascii="Verdana" w:eastAsia="Calibri" w:hAnsi="Verdana" w:cs="Arial"/>
              </w:rPr>
              <w:t xml:space="preserve">Consejo de Estado. Sala de lo Contencioso Administrativo. Sección Primera. Radicación número: 50001-23-31-000-2010-00548-01. 19 de septiembre de 2019. Consejera Ponente: Nubia </w:t>
            </w:r>
            <w:proofErr w:type="spellStart"/>
            <w:r w:rsidRPr="00144EB3">
              <w:rPr>
                <w:rFonts w:ascii="Verdana" w:eastAsia="Calibri" w:hAnsi="Verdana" w:cs="Arial"/>
              </w:rPr>
              <w:t>Margoth</w:t>
            </w:r>
            <w:proofErr w:type="spellEnd"/>
            <w:r w:rsidRPr="00144EB3">
              <w:rPr>
                <w:rFonts w:ascii="Verdana" w:eastAsia="Calibri" w:hAnsi="Verdana" w:cs="Arial"/>
              </w:rPr>
              <w:t xml:space="preserve"> Peña Garzón.</w:t>
            </w:r>
          </w:p>
        </w:tc>
      </w:tr>
    </w:tbl>
    <w:p w14:paraId="59131004" w14:textId="77777777" w:rsidR="008E53E8" w:rsidRPr="00144EB3" w:rsidRDefault="008E53E8" w:rsidP="00144EB3">
      <w:pPr>
        <w:widowControl w:val="0"/>
        <w:autoSpaceDE w:val="0"/>
        <w:autoSpaceDN w:val="0"/>
        <w:spacing w:after="0" w:line="276" w:lineRule="auto"/>
        <w:jc w:val="both"/>
        <w:rPr>
          <w:rFonts w:ascii="Verdana" w:hAnsi="Verdana" w:cs="Arial"/>
          <w:color w:val="ED7D31" w:themeColor="accent2"/>
          <w:lang w:val="es-ES"/>
        </w:rPr>
      </w:pPr>
    </w:p>
    <w:p w14:paraId="4B5A42D8" w14:textId="77777777" w:rsidR="008E53E8" w:rsidRPr="00144EB3" w:rsidRDefault="008E53E8" w:rsidP="00144EB3">
      <w:pPr>
        <w:spacing w:after="0" w:line="276" w:lineRule="auto"/>
        <w:jc w:val="both"/>
        <w:rPr>
          <w:rFonts w:ascii="Verdana" w:eastAsia="Aptos" w:hAnsi="Verdana" w:cs="Arial"/>
          <w:b/>
          <w:bCs/>
          <w:shd w:val="clear" w:color="auto" w:fill="FFFFFF"/>
        </w:rPr>
      </w:pPr>
    </w:p>
    <w:p w14:paraId="60C326B1" w14:textId="77777777" w:rsidR="008E53E8" w:rsidRPr="00144EB3" w:rsidRDefault="008E53E8" w:rsidP="00144EB3">
      <w:pPr>
        <w:spacing w:after="0" w:line="276" w:lineRule="auto"/>
        <w:jc w:val="both"/>
        <w:rPr>
          <w:rFonts w:ascii="Verdana" w:eastAsia="Aptos" w:hAnsi="Verdana" w:cs="Arial"/>
          <w:b/>
          <w:bCs/>
          <w:shd w:val="clear" w:color="auto" w:fill="FFFFFF"/>
        </w:rPr>
      </w:pPr>
      <w:r w:rsidRPr="00144EB3">
        <w:rPr>
          <w:rFonts w:ascii="Verdana" w:eastAsia="Aptos" w:hAnsi="Verdana" w:cs="Arial"/>
          <w:b/>
          <w:bCs/>
          <w:shd w:val="clear" w:color="auto" w:fill="FFFFFF"/>
        </w:rPr>
        <w:t xml:space="preserve">5. Doctrina de la Agencia Nacional de Contratación Pública: </w:t>
      </w:r>
    </w:p>
    <w:p w14:paraId="39B0466B" w14:textId="77777777" w:rsidR="008E53E8" w:rsidRPr="00144EB3" w:rsidRDefault="008E53E8" w:rsidP="00144EB3">
      <w:pPr>
        <w:spacing w:after="0" w:line="276" w:lineRule="auto"/>
        <w:jc w:val="both"/>
        <w:rPr>
          <w:rFonts w:ascii="Verdana" w:eastAsia="Aptos" w:hAnsi="Verdana" w:cs="Arial"/>
          <w:b/>
          <w:bCs/>
          <w:shd w:val="clear" w:color="auto" w:fill="FFFFFF"/>
        </w:rPr>
      </w:pPr>
    </w:p>
    <w:p w14:paraId="3A8A42D9" w14:textId="77777777" w:rsidR="008E53E8" w:rsidRPr="00144EB3" w:rsidRDefault="008E53E8" w:rsidP="00144EB3">
      <w:pPr>
        <w:spacing w:after="0" w:line="276" w:lineRule="auto"/>
        <w:jc w:val="both"/>
        <w:rPr>
          <w:rFonts w:ascii="Verdana" w:eastAsia="Aptos" w:hAnsi="Verdana" w:cs="Arial"/>
          <w:shd w:val="clear" w:color="auto" w:fill="FFFFFF"/>
        </w:rPr>
      </w:pPr>
      <w:r w:rsidRPr="00144EB3">
        <w:rPr>
          <w:rFonts w:ascii="Verdana" w:hAnsi="Verdana" w:cs="Arial"/>
          <w:bCs/>
          <w:shd w:val="clear" w:color="auto" w:fill="FFFFFF"/>
        </w:rPr>
        <w:t xml:space="preserve">La Agencia Nacional de Contratación Pública – Colombia Compra Eficiente ha expedido </w:t>
      </w:r>
      <w:r w:rsidRPr="00144EB3">
        <w:rPr>
          <w:rFonts w:ascii="Verdana" w:eastAsia="Calibri" w:hAnsi="Verdana" w:cs="Arial"/>
          <w:lang w:val="es-ES_tradnl"/>
        </w:rPr>
        <w:t>conceptos sobre</w:t>
      </w:r>
      <w:r w:rsidRPr="00144EB3">
        <w:rPr>
          <w:rFonts w:ascii="Verdana" w:eastAsia="Aptos" w:hAnsi="Verdana" w:cs="Arial"/>
          <w:shd w:val="clear" w:color="auto" w:fill="FFFFFF"/>
        </w:rPr>
        <w:t xml:space="preserve"> </w:t>
      </w:r>
      <w:r w:rsidRPr="00144EB3">
        <w:rPr>
          <w:rFonts w:ascii="Verdana" w:eastAsia="Calibri" w:hAnsi="Verdana" w:cs="Arial"/>
          <w:shd w:val="clear" w:color="auto" w:fill="FFFFFF"/>
        </w:rPr>
        <w:t xml:space="preserve"> la finalidad y propósito de la Ley de Garantías Electorales, la ANCP- CCE se ha pronunciado en los Conceptos </w:t>
      </w:r>
      <w:r w:rsidRPr="00144EB3">
        <w:rPr>
          <w:rFonts w:ascii="Verdana" w:eastAsia="Calibri" w:hAnsi="Verdana" w:cs="Arial"/>
          <w:shd w:val="clear" w:color="auto" w:fill="FFFFFF"/>
        </w:rPr>
        <w:lastRenderedPageBreak/>
        <w:t>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w:t>
      </w:r>
      <w:r w:rsidRPr="00144EB3">
        <w:rPr>
          <w:rFonts w:ascii="Verdana" w:eastAsia="Aptos" w:hAnsi="Verdana" w:cs="Arial"/>
          <w:shd w:val="clear" w:color="auto" w:fill="FFFFFF"/>
          <w:lang w:val="es-ES"/>
        </w:rPr>
        <w:t xml:space="preserve">. </w:t>
      </w:r>
    </w:p>
    <w:p w14:paraId="65335FB6" w14:textId="77777777" w:rsidR="008E53E8" w:rsidRPr="00144EB3" w:rsidRDefault="008E53E8" w:rsidP="00144EB3">
      <w:pPr>
        <w:spacing w:after="0" w:line="276" w:lineRule="auto"/>
        <w:jc w:val="both"/>
        <w:rPr>
          <w:rFonts w:ascii="Verdana" w:hAnsi="Verdana"/>
          <w:lang w:val="es-ES"/>
        </w:rPr>
      </w:pPr>
      <w:r w:rsidRPr="00144EB3">
        <w:rPr>
          <w:rFonts w:ascii="Verdana" w:hAnsi="Verdana" w:cs="Arial"/>
          <w:shd w:val="clear" w:color="auto" w:fill="FFFFFF"/>
          <w:lang w:val="es-ES"/>
        </w:rPr>
        <w:t>Estos</w:t>
      </w:r>
      <w:r w:rsidRPr="00144EB3">
        <w:rPr>
          <w:rFonts w:ascii="Verdana" w:hAnsi="Verdana"/>
          <w:lang w:val="es-ES"/>
        </w:rPr>
        <w:t xml:space="preserve"> y otros se encuentran disponibles para consulta en el Sistema de relatoría de la Agencia, al cual se puede acceder a través del siguiente enlace:</w:t>
      </w:r>
      <w:r w:rsidRPr="00144EB3">
        <w:rPr>
          <w:rFonts w:ascii="Verdana" w:hAnsi="Verdana" w:cs="Arial"/>
          <w:shd w:val="clear" w:color="auto" w:fill="FFFFFF"/>
          <w:lang w:val="es-ES"/>
        </w:rPr>
        <w:t xml:space="preserve"> </w:t>
      </w:r>
      <w:hyperlink r:id="rId12" w:history="1">
        <w:r w:rsidRPr="00144EB3">
          <w:rPr>
            <w:rStyle w:val="Hipervnculo"/>
            <w:rFonts w:ascii="Verdana" w:hAnsi="Verdana" w:cs="Arial"/>
            <w:shd w:val="clear" w:color="auto" w:fill="FFFFFF"/>
            <w:lang w:val="es-ES"/>
          </w:rPr>
          <w:t>https://relatoria.colombiacompra.gov.co/busqueda/conceptos</w:t>
        </w:r>
      </w:hyperlink>
    </w:p>
    <w:p w14:paraId="7EEBC3FF" w14:textId="77777777" w:rsidR="008E53E8" w:rsidRPr="00144EB3" w:rsidRDefault="008E53E8" w:rsidP="00144EB3">
      <w:pPr>
        <w:spacing w:after="0" w:line="276" w:lineRule="auto"/>
        <w:jc w:val="both"/>
        <w:rPr>
          <w:rFonts w:ascii="Verdana" w:hAnsi="Verdana" w:cs="Arial"/>
          <w:shd w:val="clear" w:color="auto" w:fill="FFFFFF"/>
          <w:lang w:val="es-ES"/>
        </w:rPr>
      </w:pPr>
    </w:p>
    <w:p w14:paraId="35CB09A5" w14:textId="77777777"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7E2B0F1E" w14:textId="77777777" w:rsidR="00144EB3" w:rsidRDefault="00144EB3" w:rsidP="00144EB3">
      <w:pPr>
        <w:spacing w:after="0" w:line="276" w:lineRule="auto"/>
        <w:jc w:val="both"/>
        <w:rPr>
          <w:rFonts w:ascii="Verdana" w:eastAsia="Calibri" w:hAnsi="Verdana" w:cs="Arial"/>
        </w:rPr>
      </w:pPr>
    </w:p>
    <w:p w14:paraId="493DCA18" w14:textId="7793DA4F"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w:t>
      </w:r>
      <w:r w:rsidRPr="00144EB3">
        <w:rPr>
          <w:rFonts w:ascii="Verdana" w:eastAsia="Calibri" w:hAnsi="Verdana" w:cs="Arial"/>
          <w:b/>
          <w:bCs/>
        </w:rPr>
        <w:lastRenderedPageBreak/>
        <w:t>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627EDBAD" w14:textId="77777777" w:rsidR="008E53E8" w:rsidRPr="00144EB3" w:rsidRDefault="008E53E8" w:rsidP="00144EB3">
      <w:pPr>
        <w:spacing w:after="0" w:line="276" w:lineRule="auto"/>
        <w:jc w:val="both"/>
        <w:rPr>
          <w:rFonts w:ascii="Verdana" w:eastAsia="Calibri" w:hAnsi="Verdana" w:cs="Arial"/>
        </w:rPr>
      </w:pPr>
    </w:p>
    <w:p w14:paraId="37BE5756" w14:textId="77777777"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1C294FC4" w14:textId="77777777"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77E5DDA7" w14:textId="77777777" w:rsidR="008E53E8" w:rsidRPr="00144EB3" w:rsidRDefault="008E53E8" w:rsidP="00144EB3">
      <w:pPr>
        <w:spacing w:after="0" w:line="276" w:lineRule="auto"/>
        <w:jc w:val="both"/>
        <w:rPr>
          <w:rFonts w:ascii="Verdana" w:eastAsia="Calibri" w:hAnsi="Verdana" w:cs="Arial"/>
          <w:shd w:val="clear" w:color="auto" w:fill="FFFFFF"/>
        </w:rPr>
      </w:pPr>
    </w:p>
    <w:p w14:paraId="48754C80" w14:textId="77777777" w:rsidR="008E53E8" w:rsidRPr="00144EB3" w:rsidRDefault="008E53E8" w:rsidP="00144EB3">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570495A7" w14:textId="77777777" w:rsidR="008E53E8" w:rsidRPr="00144EB3" w:rsidRDefault="008E53E8" w:rsidP="00144EB3">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65EE08A0" w14:textId="77777777" w:rsidR="008E53E8" w:rsidRPr="00144EB3" w:rsidRDefault="008E53E8" w:rsidP="00144EB3">
      <w:pPr>
        <w:spacing w:after="0" w:line="276"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77CDBD9C" w14:textId="77777777" w:rsidR="008E53E8" w:rsidRPr="00144EB3" w:rsidRDefault="008E53E8" w:rsidP="00144EB3">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2AF0018F" w14:textId="77777777" w:rsidR="008E53E8" w:rsidRPr="00144EB3" w:rsidRDefault="008E53E8" w:rsidP="00144EB3">
      <w:pPr>
        <w:widowControl w:val="0"/>
        <w:autoSpaceDE w:val="0"/>
        <w:autoSpaceDN w:val="0"/>
        <w:spacing w:after="0" w:line="276" w:lineRule="auto"/>
        <w:jc w:val="both"/>
        <w:rPr>
          <w:rFonts w:ascii="Verdana" w:eastAsia="Calibri" w:hAnsi="Verdana" w:cs="Arial"/>
          <w:lang w:val="es-ES"/>
        </w:rPr>
      </w:pPr>
    </w:p>
    <w:p w14:paraId="54789667" w14:textId="77777777" w:rsidR="008E53E8" w:rsidRPr="00144EB3" w:rsidRDefault="008E53E8" w:rsidP="00144EB3">
      <w:pPr>
        <w:widowControl w:val="0"/>
        <w:autoSpaceDE w:val="0"/>
        <w:autoSpaceDN w:val="0"/>
        <w:spacing w:after="0" w:line="276"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12EC3E3" w14:textId="77777777" w:rsidR="008E53E8" w:rsidRPr="00144EB3" w:rsidRDefault="008E53E8" w:rsidP="00144EB3">
      <w:pPr>
        <w:spacing w:after="0" w:line="276" w:lineRule="auto"/>
        <w:jc w:val="both"/>
        <w:rPr>
          <w:rFonts w:ascii="Verdana" w:eastAsia="Verdana" w:hAnsi="Verdana" w:cs="Verdana"/>
        </w:rPr>
      </w:pPr>
    </w:p>
    <w:p w14:paraId="6A1DA677" w14:textId="77777777" w:rsidR="008E53E8" w:rsidRPr="00144EB3" w:rsidRDefault="008E53E8" w:rsidP="00144EB3">
      <w:pPr>
        <w:spacing w:after="0" w:line="276"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0E881C9E" w14:textId="77777777" w:rsidR="008E53E8" w:rsidRPr="00144EB3" w:rsidRDefault="008E53E8" w:rsidP="00144EB3">
      <w:pPr>
        <w:spacing w:after="0" w:line="276" w:lineRule="auto"/>
        <w:rPr>
          <w:rFonts w:ascii="Verdana" w:eastAsia="Verdana" w:hAnsi="Verdana" w:cs="Verdana"/>
        </w:rPr>
      </w:pPr>
    </w:p>
    <w:p w14:paraId="16BE96C4" w14:textId="77777777" w:rsidR="008E53E8" w:rsidRPr="00144EB3" w:rsidRDefault="008E53E8" w:rsidP="00144EB3">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53827E48" w14:textId="1CE5360C" w:rsidR="008E53E8" w:rsidRPr="00182F6A" w:rsidRDefault="00F42C1A" w:rsidP="00F42C1A">
      <w:pPr>
        <w:spacing w:after="120" w:line="276" w:lineRule="auto"/>
        <w:contextualSpacing/>
        <w:jc w:val="center"/>
        <w:rPr>
          <w:rFonts w:ascii="Verdana" w:eastAsia="Aptos" w:hAnsi="Verdana" w:cs="Arial"/>
          <w:shd w:val="clear" w:color="auto" w:fill="FFFFFF"/>
          <w:lang w:val="es-ES"/>
        </w:rPr>
      </w:pPr>
      <w:r>
        <w:rPr>
          <w:noProof/>
        </w:rPr>
        <w:lastRenderedPageBreak/>
        <w:drawing>
          <wp:inline distT="0" distB="0" distL="0" distR="0" wp14:anchorId="351385DD" wp14:editId="49034C1F">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p w14:paraId="5033601B" w14:textId="77777777" w:rsidR="008E53E8" w:rsidRPr="00182F6A" w:rsidRDefault="008E53E8" w:rsidP="008E53E8">
      <w:pPr>
        <w:spacing w:after="120" w:line="276" w:lineRule="auto"/>
        <w:contextualSpacing/>
        <w:jc w:val="both"/>
        <w:rPr>
          <w:rFonts w:ascii="Verdana" w:eastAsia="Aptos" w:hAnsi="Verdana" w:cs="Arial"/>
          <w:shd w:val="clear" w:color="auto" w:fill="FFFFFF"/>
          <w:lang w:val="es-ES"/>
        </w:rPr>
      </w:pPr>
    </w:p>
    <w:p w14:paraId="5DFABE61" w14:textId="77777777" w:rsidR="008E53E8" w:rsidRDefault="008E53E8" w:rsidP="008E53E8">
      <w:pPr>
        <w:spacing w:after="0" w:line="276" w:lineRule="auto"/>
        <w:jc w:val="center"/>
        <w:rPr>
          <w:rFonts w:ascii="Verdana" w:hAnsi="Verdana" w:cs="Arial"/>
          <w:lang w:val="es-ES" w:eastAsia="es-CO"/>
        </w:rPr>
      </w:pPr>
    </w:p>
    <w:p w14:paraId="77666F85" w14:textId="77777777" w:rsidR="008E53E8" w:rsidRPr="008278B1" w:rsidRDefault="008E53E8" w:rsidP="008E53E8">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E53E8" w:rsidRPr="008278B1" w14:paraId="15BF7DC3" w14:textId="77777777" w:rsidTr="00517FDB">
        <w:trPr>
          <w:trHeight w:val="315"/>
        </w:trPr>
        <w:tc>
          <w:tcPr>
            <w:tcW w:w="893" w:type="dxa"/>
            <w:vAlign w:val="center"/>
            <w:hideMark/>
          </w:tcPr>
          <w:p w14:paraId="2FD12AD1" w14:textId="77777777" w:rsidR="008E53E8" w:rsidRPr="008278B1" w:rsidRDefault="008E53E8" w:rsidP="00517FDB">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664642E" w14:textId="77777777" w:rsidR="008E53E8" w:rsidRPr="00860461" w:rsidRDefault="008E53E8" w:rsidP="00517FD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5463DA6E" w14:textId="77777777" w:rsidR="008E53E8" w:rsidRPr="00860461" w:rsidRDefault="008E53E8" w:rsidP="00517FD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8E53E8" w:rsidRPr="00F84F36" w14:paraId="1147CC7D" w14:textId="77777777" w:rsidTr="00517FDB">
        <w:trPr>
          <w:trHeight w:val="330"/>
        </w:trPr>
        <w:tc>
          <w:tcPr>
            <w:tcW w:w="893" w:type="dxa"/>
            <w:vAlign w:val="center"/>
            <w:hideMark/>
          </w:tcPr>
          <w:p w14:paraId="6E486679" w14:textId="77777777" w:rsidR="008E53E8" w:rsidRPr="0025661F" w:rsidRDefault="008E53E8" w:rsidP="00517FDB">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A90187B" w14:textId="77777777" w:rsidR="008E53E8" w:rsidRPr="00D62D2E" w:rsidRDefault="008E53E8" w:rsidP="00517FDB">
            <w:pPr>
              <w:rPr>
                <w:rFonts w:ascii="Verdana" w:eastAsia="Times New Roman" w:hAnsi="Verdana" w:cs="Arial"/>
                <w:color w:val="000000" w:themeColor="text1"/>
                <w:sz w:val="16"/>
                <w:szCs w:val="16"/>
                <w:lang w:eastAsia="es-ES"/>
              </w:rPr>
            </w:pPr>
            <w:r w:rsidRPr="00D62D2E">
              <w:rPr>
                <w:rFonts w:ascii="Verdana" w:eastAsia="Times New Roman" w:hAnsi="Verdana" w:cs="Arial"/>
                <w:color w:val="000000" w:themeColor="text1"/>
                <w:sz w:val="16"/>
                <w:szCs w:val="16"/>
                <w:lang w:eastAsia="es-ES"/>
              </w:rPr>
              <w:t>Diana Lucia Saavedra</w:t>
            </w:r>
            <w:r>
              <w:rPr>
                <w:rFonts w:ascii="Verdana" w:eastAsia="Times New Roman" w:hAnsi="Verdana" w:cs="Arial"/>
                <w:color w:val="000000" w:themeColor="text1"/>
                <w:sz w:val="16"/>
                <w:szCs w:val="16"/>
                <w:lang w:eastAsia="es-ES"/>
              </w:rPr>
              <w:t xml:space="preserve"> Castañeda</w:t>
            </w:r>
          </w:p>
          <w:p w14:paraId="35080F82" w14:textId="77777777" w:rsidR="008E53E8" w:rsidRPr="0025661F" w:rsidRDefault="008E53E8" w:rsidP="00517FDB">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8E53E8" w:rsidRPr="00F84F36" w14:paraId="471F1E59" w14:textId="77777777" w:rsidTr="00517FDB">
        <w:trPr>
          <w:trHeight w:val="300"/>
        </w:trPr>
        <w:tc>
          <w:tcPr>
            <w:tcW w:w="893" w:type="dxa"/>
            <w:vAlign w:val="center"/>
          </w:tcPr>
          <w:p w14:paraId="0A7C9E39" w14:textId="77777777" w:rsidR="008E53E8" w:rsidRPr="008278B1" w:rsidRDefault="008E53E8" w:rsidP="00517FDB">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9CE96C5" w14:textId="77777777" w:rsidR="008E53E8" w:rsidRPr="008278B1" w:rsidRDefault="008E53E8" w:rsidP="00517FD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357AE7E5" w14:textId="77777777" w:rsidR="008E53E8" w:rsidRPr="008278B1" w:rsidRDefault="008E53E8" w:rsidP="00517FD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12443EE0" w14:textId="1F855260" w:rsidR="00C15139" w:rsidRPr="008E53E8" w:rsidRDefault="00241959" w:rsidP="30821638">
      <w:pPr>
        <w:spacing w:after="0"/>
        <w:rPr>
          <w:rFonts w:ascii="Verdana" w:eastAsia="Verdana" w:hAnsi="Verdana" w:cs="Verdana"/>
          <w:lang w:val="es-ES"/>
        </w:rPr>
      </w:pPr>
      <w:r>
        <w:rPr>
          <w:noProof/>
        </w:rPr>
        <w:drawing>
          <wp:inline distT="0" distB="0" distL="0" distR="0" wp14:anchorId="58B5ECDD" wp14:editId="564CB8C5">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bookmarkEnd w:id="0"/>
    </w:p>
    <w:sectPr w:rsidR="00C15139" w:rsidRPr="008E53E8"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63BEF" w14:textId="77777777" w:rsidR="00F51BAA" w:rsidRDefault="00F51BAA" w:rsidP="004A1847">
      <w:pPr>
        <w:spacing w:after="0" w:line="240" w:lineRule="auto"/>
      </w:pPr>
      <w:r>
        <w:separator/>
      </w:r>
    </w:p>
  </w:endnote>
  <w:endnote w:type="continuationSeparator" w:id="0">
    <w:p w14:paraId="4435FE16" w14:textId="77777777" w:rsidR="00F51BAA" w:rsidRDefault="00F51BA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3EA2D" w14:textId="77777777" w:rsidR="00F51BAA" w:rsidRDefault="00F51BAA" w:rsidP="004A1847">
      <w:pPr>
        <w:spacing w:after="0" w:line="240" w:lineRule="auto"/>
      </w:pPr>
      <w:r>
        <w:separator/>
      </w:r>
    </w:p>
  </w:footnote>
  <w:footnote w:type="continuationSeparator" w:id="0">
    <w:p w14:paraId="4618B29D" w14:textId="77777777" w:rsidR="00F51BAA" w:rsidRDefault="00F51BAA" w:rsidP="004A1847">
      <w:pPr>
        <w:spacing w:after="0" w:line="240" w:lineRule="auto"/>
      </w:pPr>
      <w:r>
        <w:continuationSeparator/>
      </w:r>
    </w:p>
  </w:footnote>
  <w:footnote w:id="1">
    <w:p w14:paraId="797AA6DE"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Ello de conformidad con </w:t>
      </w:r>
      <w:r w:rsidRPr="00294702">
        <w:rPr>
          <w:rFonts w:ascii="Verdana" w:eastAsia="Calibri" w:hAnsi="Verdana" w:cs="Arial"/>
          <w:color w:val="000000" w:themeColor="text1"/>
          <w:sz w:val="16"/>
          <w:szCs w:val="16"/>
          <w:lang w:val="es-ES_tradnl"/>
        </w:rPr>
        <w:t>el numeral 8 del artículo 11 y el numeral 5 del artículo 3 del Decreto Ley 4170 de 2011.</w:t>
      </w:r>
    </w:p>
  </w:footnote>
  <w:footnote w:id="2">
    <w:p w14:paraId="716094CC" w14:textId="77777777" w:rsidR="0036476C" w:rsidRPr="00294702" w:rsidRDefault="0036476C" w:rsidP="0036476C">
      <w:pPr>
        <w:pStyle w:val="Textonotapie"/>
        <w:ind w:firstLine="709"/>
        <w:jc w:val="both"/>
        <w:rPr>
          <w:rFonts w:ascii="Verdana" w:hAnsi="Verdana" w:cs="Arial"/>
          <w:color w:val="000000" w:themeColor="text1"/>
          <w:sz w:val="16"/>
          <w:szCs w:val="16"/>
        </w:rPr>
      </w:pPr>
    </w:p>
    <w:p w14:paraId="213951F8" w14:textId="77777777" w:rsidR="0036476C" w:rsidRDefault="0036476C" w:rsidP="0036476C">
      <w:pPr>
        <w:pStyle w:val="Textonotapie"/>
        <w:ind w:firstLine="709"/>
        <w:jc w:val="both"/>
        <w:rPr>
          <w:rFonts w:ascii="Verdana" w:hAnsi="Verdana" w:cs="Arial"/>
          <w:color w:val="000000" w:themeColor="text1"/>
          <w:sz w:val="16"/>
          <w:szCs w:val="16"/>
          <w:lang w:val="es-ES"/>
        </w:rPr>
      </w:pPr>
      <w:r w:rsidRPr="00294702">
        <w:rPr>
          <w:rStyle w:val="Refdenotaalpie"/>
          <w:rFonts w:ascii="Verdana" w:hAnsi="Verdana"/>
          <w:sz w:val="16"/>
          <w:szCs w:val="16"/>
        </w:rPr>
        <w:footnoteRef/>
      </w:r>
      <w:r w:rsidRPr="00294702">
        <w:rPr>
          <w:rFonts w:ascii="Verdana" w:hAnsi="Verdana" w:cs="Arial"/>
          <w:color w:val="000000" w:themeColor="text1"/>
          <w:sz w:val="16"/>
          <w:szCs w:val="16"/>
        </w:rPr>
        <w:t xml:space="preserve"> </w:t>
      </w:r>
      <w:r w:rsidRPr="00294702">
        <w:rPr>
          <w:rFonts w:ascii="Verdana" w:hAnsi="Verdana" w:cs="Arial"/>
          <w:color w:val="000000" w:themeColor="text1"/>
          <w:sz w:val="16"/>
          <w:szCs w:val="16"/>
          <w:lang w:val="es-ES"/>
        </w:rPr>
        <w:t>Según García de Enterría, «Estos concepto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p w14:paraId="08A86335" w14:textId="77777777" w:rsidR="00CE01E2" w:rsidRPr="00294702" w:rsidRDefault="00CE01E2" w:rsidP="0036476C">
      <w:pPr>
        <w:pStyle w:val="Textonotapie"/>
        <w:ind w:firstLine="709"/>
        <w:jc w:val="both"/>
        <w:rPr>
          <w:rFonts w:ascii="Verdana" w:hAnsi="Verdana" w:cs="Arial"/>
          <w:color w:val="000000" w:themeColor="text1"/>
          <w:sz w:val="16"/>
          <w:szCs w:val="16"/>
        </w:rPr>
      </w:pPr>
    </w:p>
  </w:footnote>
  <w:footnote w:id="3">
    <w:p w14:paraId="2F0A5450" w14:textId="77777777" w:rsidR="0036476C" w:rsidRDefault="0036476C" w:rsidP="0036476C">
      <w:pPr>
        <w:pStyle w:val="Textonotapie"/>
        <w:ind w:firstLine="709"/>
        <w:jc w:val="both"/>
        <w:rPr>
          <w:rFonts w:ascii="Verdana" w:hAnsi="Verdana" w:cs="Arial"/>
          <w:color w:val="000000" w:themeColor="text1"/>
          <w:sz w:val="16"/>
          <w:szCs w:val="16"/>
        </w:rPr>
      </w:pPr>
      <w:r w:rsidRPr="00294702">
        <w:rPr>
          <w:rStyle w:val="Refdenotaalpie"/>
          <w:rFonts w:ascii="Verdana" w:hAnsi="Verdana"/>
          <w:sz w:val="16"/>
          <w:szCs w:val="16"/>
        </w:rPr>
        <w:footnoteRef/>
      </w:r>
      <w:r w:rsidRPr="00294702">
        <w:rPr>
          <w:rFonts w:ascii="Verdana" w:hAnsi="Verdana" w:cs="Arial"/>
          <w:color w:val="000000" w:themeColor="text1"/>
          <w:sz w:val="16"/>
          <w:szCs w:val="16"/>
        </w:rPr>
        <w:t xml:space="preserve"> Sentencia C-382 de 2019, M.P. Alejandro Linares Cantillo.</w:t>
      </w:r>
    </w:p>
    <w:p w14:paraId="37727EA0" w14:textId="77777777" w:rsidR="00CE01E2" w:rsidRPr="00294702" w:rsidRDefault="00CE01E2" w:rsidP="0036476C">
      <w:pPr>
        <w:pStyle w:val="Textonotapie"/>
        <w:ind w:firstLine="709"/>
        <w:jc w:val="both"/>
        <w:rPr>
          <w:rFonts w:ascii="Verdana" w:hAnsi="Verdana" w:cs="Arial"/>
          <w:color w:val="000000" w:themeColor="text1"/>
          <w:sz w:val="16"/>
          <w:szCs w:val="16"/>
        </w:rPr>
      </w:pPr>
    </w:p>
  </w:footnote>
  <w:footnote w:id="4">
    <w:p w14:paraId="5AA6A94B" w14:textId="77777777" w:rsidR="0036476C" w:rsidRDefault="0036476C" w:rsidP="0036476C">
      <w:pPr>
        <w:pStyle w:val="Textonotapie"/>
        <w:ind w:firstLine="709"/>
        <w:jc w:val="both"/>
        <w:rPr>
          <w:rStyle w:val="FontStyle23"/>
          <w:rFonts w:ascii="Verdana" w:hAnsi="Verdana" w:cs="Arial"/>
          <w:sz w:val="16"/>
          <w:szCs w:val="16"/>
          <w:lang w:val="es-ES_tradnl" w:eastAsia="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30 de enero de 1997. Consejero Ponente: Javier Henao Hidrón. Expediente: </w:t>
      </w:r>
      <w:r w:rsidRPr="00294702">
        <w:rPr>
          <w:rStyle w:val="FontStyle23"/>
          <w:rFonts w:ascii="Verdana" w:hAnsi="Verdana" w:cs="Arial"/>
          <w:sz w:val="16"/>
          <w:szCs w:val="16"/>
          <w:lang w:val="es-ES_tradnl" w:eastAsia="es-ES_tradnl"/>
        </w:rPr>
        <w:t>938.</w:t>
      </w:r>
    </w:p>
    <w:p w14:paraId="7B01B04E" w14:textId="77777777" w:rsidR="00CE01E2" w:rsidRPr="00294702" w:rsidRDefault="00CE01E2" w:rsidP="0036476C">
      <w:pPr>
        <w:pStyle w:val="Textonotapie"/>
        <w:ind w:firstLine="709"/>
        <w:jc w:val="both"/>
        <w:rPr>
          <w:rFonts w:ascii="Verdana" w:hAnsi="Verdana" w:cs="Arial"/>
          <w:sz w:val="16"/>
          <w:szCs w:val="16"/>
          <w:lang w:val="es-ES"/>
        </w:rPr>
      </w:pPr>
    </w:p>
  </w:footnote>
  <w:footnote w:id="5">
    <w:p w14:paraId="46B97AD0" w14:textId="77777777" w:rsidR="0036476C"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p w14:paraId="574740DF" w14:textId="77777777" w:rsidR="00CE01E2" w:rsidRPr="00294702" w:rsidRDefault="00CE01E2" w:rsidP="0036476C">
      <w:pPr>
        <w:pStyle w:val="Textonotapie"/>
        <w:ind w:firstLine="709"/>
        <w:jc w:val="both"/>
        <w:rPr>
          <w:rFonts w:ascii="Verdana" w:hAnsi="Verdana" w:cs="Arial"/>
          <w:sz w:val="16"/>
          <w:szCs w:val="16"/>
          <w:lang w:val="es-ES"/>
        </w:rPr>
      </w:pPr>
    </w:p>
  </w:footnote>
  <w:footnote w:id="6">
    <w:p w14:paraId="54A94BDD" w14:textId="77777777" w:rsidR="0036476C" w:rsidRPr="00294702"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15 de diciembre de 2005. Consejero Ponente: Gustavo Aponte Santos. Expediente: </w:t>
      </w:r>
      <w:r w:rsidRPr="00294702">
        <w:rPr>
          <w:rFonts w:ascii="Verdana" w:hAnsi="Verdana" w:cs="Arial"/>
          <w:sz w:val="16"/>
          <w:szCs w:val="16"/>
        </w:rPr>
        <w:t>1706.</w:t>
      </w:r>
    </w:p>
    <w:p w14:paraId="7DD03001" w14:textId="77777777" w:rsidR="0036476C" w:rsidRPr="00294702" w:rsidRDefault="0036476C" w:rsidP="0036476C">
      <w:pPr>
        <w:pStyle w:val="Textonotapie"/>
        <w:ind w:firstLine="709"/>
        <w:jc w:val="both"/>
        <w:rPr>
          <w:rFonts w:ascii="Verdana" w:hAnsi="Verdana" w:cs="Arial"/>
          <w:sz w:val="16"/>
          <w:szCs w:val="16"/>
          <w:lang w:val="es-ES"/>
        </w:rPr>
      </w:pPr>
    </w:p>
  </w:footnote>
  <w:footnote w:id="7">
    <w:p w14:paraId="36CE8495" w14:textId="77777777" w:rsidR="0036476C" w:rsidRPr="00294702" w:rsidRDefault="0036476C" w:rsidP="0036476C">
      <w:pPr>
        <w:pStyle w:val="Textonotapie"/>
        <w:ind w:firstLine="709"/>
        <w:jc w:val="both"/>
        <w:rPr>
          <w:rFonts w:ascii="Verdana" w:hAnsi="Verdana" w:cs="Arial"/>
          <w:sz w:val="16"/>
          <w:szCs w:val="16"/>
          <w:lang w:val="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17 de febrero de 2006. Consejero Ponente: Luis Fernando Álvarez Jaramillo. Expediente: </w:t>
      </w:r>
      <w:r w:rsidRPr="00294702">
        <w:rPr>
          <w:rFonts w:ascii="Verdana" w:hAnsi="Verdana" w:cs="Arial"/>
          <w:sz w:val="16"/>
          <w:szCs w:val="16"/>
          <w:lang w:val="es-ES_tradnl"/>
        </w:rPr>
        <w:t>1720.</w:t>
      </w:r>
    </w:p>
    <w:p w14:paraId="2BC12976" w14:textId="77777777" w:rsidR="0036476C" w:rsidRPr="00294702" w:rsidRDefault="0036476C" w:rsidP="0036476C">
      <w:pPr>
        <w:pStyle w:val="Textonotapie"/>
        <w:ind w:firstLine="709"/>
        <w:jc w:val="both"/>
        <w:rPr>
          <w:rFonts w:ascii="Verdana" w:hAnsi="Verdana" w:cs="Arial"/>
          <w:sz w:val="16"/>
          <w:szCs w:val="16"/>
          <w:lang w:val="es-ES"/>
        </w:rPr>
      </w:pPr>
    </w:p>
  </w:footnote>
  <w:footnote w:id="8">
    <w:p w14:paraId="2C606BD6"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footnote>
  <w:footnote w:id="9">
    <w:p w14:paraId="0A15ADAA" w14:textId="77777777" w:rsidR="0036476C" w:rsidRPr="00294702" w:rsidRDefault="0036476C" w:rsidP="0036476C">
      <w:pPr>
        <w:pStyle w:val="Textonotapie"/>
        <w:ind w:firstLine="709"/>
        <w:jc w:val="both"/>
        <w:rPr>
          <w:rFonts w:ascii="Verdana" w:hAnsi="Verdana" w:cs="Arial"/>
          <w:sz w:val="16"/>
          <w:szCs w:val="16"/>
        </w:rPr>
      </w:pPr>
    </w:p>
    <w:p w14:paraId="7CB3F9B8"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Sala de Consulta y Servicio Civil. </w:t>
      </w:r>
      <w:r w:rsidRPr="00294702">
        <w:rPr>
          <w:rFonts w:ascii="Verdana" w:hAnsi="Verdana" w:cs="Arial"/>
          <w:sz w:val="16"/>
          <w:szCs w:val="16"/>
          <w:lang w:val="es-ES"/>
        </w:rPr>
        <w:t xml:space="preserve">Concepto del 25 de marzo de 2010. Consejero Ponente: William Zambrano Cetina. Expediente: </w:t>
      </w:r>
      <w:r w:rsidRPr="00294702">
        <w:rPr>
          <w:rFonts w:ascii="Verdana" w:hAnsi="Verdana" w:cs="Arial"/>
          <w:sz w:val="16"/>
          <w:szCs w:val="16"/>
        </w:rPr>
        <w:t>1993.</w:t>
      </w:r>
      <w:r w:rsidRPr="00294702">
        <w:rPr>
          <w:rFonts w:ascii="Verdana" w:hAnsi="Verdana" w:cs="Arial"/>
          <w:sz w:val="16"/>
          <w:szCs w:val="16"/>
          <w:lang w:val="es-ES"/>
        </w:rPr>
        <w:t xml:space="preserve"> </w:t>
      </w:r>
    </w:p>
    <w:p w14:paraId="1F7FF312" w14:textId="77777777" w:rsidR="0036476C" w:rsidRPr="00294702" w:rsidRDefault="0036476C" w:rsidP="0036476C">
      <w:pPr>
        <w:pStyle w:val="Textonotapie"/>
        <w:ind w:firstLine="709"/>
        <w:jc w:val="both"/>
        <w:rPr>
          <w:rFonts w:ascii="Verdana" w:hAnsi="Verdana" w:cs="Arial"/>
          <w:sz w:val="16"/>
          <w:szCs w:val="16"/>
          <w:lang w:val="es-ES"/>
        </w:rPr>
      </w:pPr>
    </w:p>
  </w:footnote>
  <w:footnote w:id="10">
    <w:p w14:paraId="0A9CAA52"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footnote>
  <w:footnote w:id="11">
    <w:p w14:paraId="373EC8C8" w14:textId="77777777" w:rsidR="0036476C"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Sala de Consulta y Servicio Civil. </w:t>
      </w:r>
      <w:r w:rsidRPr="00294702">
        <w:rPr>
          <w:rFonts w:ascii="Verdana" w:hAnsi="Verdana" w:cs="Arial"/>
          <w:sz w:val="16"/>
          <w:szCs w:val="16"/>
          <w:lang w:val="es-ES"/>
        </w:rPr>
        <w:t xml:space="preserve">Concepto del 2 de septiembre de 2013. Consejero Ponente: Álvaro Namén Vargas. Expediente: </w:t>
      </w:r>
      <w:r w:rsidRPr="00294702">
        <w:rPr>
          <w:rFonts w:ascii="Verdana" w:hAnsi="Verdana" w:cs="Arial"/>
          <w:sz w:val="16"/>
          <w:szCs w:val="16"/>
          <w:lang w:val="es-ES_tradnl"/>
        </w:rPr>
        <w:t>2168</w:t>
      </w:r>
      <w:r w:rsidRPr="00294702">
        <w:rPr>
          <w:rFonts w:ascii="Verdana" w:hAnsi="Verdana" w:cs="Arial"/>
          <w:sz w:val="16"/>
          <w:szCs w:val="16"/>
        </w:rPr>
        <w:t>.</w:t>
      </w:r>
    </w:p>
    <w:p w14:paraId="7EA12812" w14:textId="77777777" w:rsidR="00CE01E2" w:rsidRPr="00294702" w:rsidRDefault="00CE01E2" w:rsidP="0036476C">
      <w:pPr>
        <w:pStyle w:val="Textonotapie"/>
        <w:ind w:firstLine="709"/>
        <w:jc w:val="both"/>
        <w:rPr>
          <w:rFonts w:ascii="Verdana" w:hAnsi="Verdana" w:cs="Arial"/>
          <w:sz w:val="16"/>
          <w:szCs w:val="16"/>
          <w:lang w:val="es-ES"/>
        </w:rPr>
      </w:pPr>
    </w:p>
  </w:footnote>
  <w:footnote w:id="12">
    <w:p w14:paraId="45F87561" w14:textId="77777777" w:rsidR="0036476C"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p w14:paraId="609CC1A7" w14:textId="77777777" w:rsidR="00CE01E2" w:rsidRPr="00294702" w:rsidRDefault="00CE01E2" w:rsidP="0036476C">
      <w:pPr>
        <w:pStyle w:val="Textonotapie"/>
        <w:ind w:firstLine="709"/>
        <w:jc w:val="both"/>
        <w:rPr>
          <w:rFonts w:ascii="Verdana" w:hAnsi="Verdana" w:cs="Arial"/>
          <w:sz w:val="16"/>
          <w:szCs w:val="16"/>
          <w:lang w:val="es-ES"/>
        </w:rPr>
      </w:pPr>
    </w:p>
  </w:footnote>
  <w:footnote w:id="13">
    <w:p w14:paraId="67BBE1AD" w14:textId="77777777" w:rsidR="0036476C"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Sección Tercera. Sentencia del 27 de marzo de 2008. Consejera Ponente: Ruth Stella Correa Palacio. Expediente: 29393. Esta tesis fue sostenida también en el auto del 16 de marzo de 2006, dentro del mismo proceso de la referencia. </w:t>
      </w:r>
    </w:p>
    <w:p w14:paraId="003B5AD4" w14:textId="77777777" w:rsidR="00CE01E2" w:rsidRPr="00294702" w:rsidRDefault="00CE01E2" w:rsidP="0036476C">
      <w:pPr>
        <w:pStyle w:val="Textonotapie"/>
        <w:ind w:firstLine="709"/>
        <w:jc w:val="both"/>
        <w:rPr>
          <w:rFonts w:ascii="Verdana" w:hAnsi="Verdana" w:cs="Arial"/>
          <w:sz w:val="16"/>
          <w:szCs w:val="16"/>
          <w:lang w:val="es-ES"/>
        </w:rPr>
      </w:pPr>
    </w:p>
  </w:footnote>
  <w:footnote w:id="14">
    <w:p w14:paraId="2DCDA914" w14:textId="77777777" w:rsidR="0036476C" w:rsidRPr="00294702"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Sección Tercera. Subsección C. Sentencia del 26 de julio de 2011. Consejero Ponente: Enrique Gil Botero. Expediente: </w:t>
      </w:r>
      <w:r w:rsidRPr="00294702">
        <w:rPr>
          <w:rFonts w:ascii="Verdana" w:hAnsi="Verdana" w:cs="Arial"/>
          <w:iCs/>
          <w:sz w:val="16"/>
          <w:szCs w:val="16"/>
        </w:rPr>
        <w:t>17661.</w:t>
      </w:r>
      <w:r w:rsidRPr="00294702">
        <w:rPr>
          <w:rFonts w:ascii="Verdana" w:hAnsi="Verdana" w:cs="Arial"/>
          <w:sz w:val="16"/>
          <w:szCs w:val="16"/>
        </w:rPr>
        <w:t xml:space="preserve"> </w:t>
      </w:r>
    </w:p>
    <w:p w14:paraId="45DC2813" w14:textId="77777777" w:rsidR="0036476C" w:rsidRPr="00294702" w:rsidRDefault="0036476C" w:rsidP="0036476C">
      <w:pPr>
        <w:pStyle w:val="Textonotapie"/>
        <w:ind w:firstLine="709"/>
        <w:jc w:val="both"/>
        <w:rPr>
          <w:rFonts w:ascii="Verdana" w:hAnsi="Verdana" w:cs="Arial"/>
          <w:sz w:val="16"/>
          <w:szCs w:val="16"/>
          <w:lang w:val="es-ES"/>
        </w:rPr>
      </w:pPr>
    </w:p>
  </w:footnote>
  <w:footnote w:id="15">
    <w:p w14:paraId="29FA4981" w14:textId="77777777" w:rsidR="0036476C" w:rsidRDefault="0036476C" w:rsidP="0036476C">
      <w:pPr>
        <w:pStyle w:val="Textonotapie"/>
        <w:ind w:firstLine="709"/>
        <w:jc w:val="both"/>
        <w:rPr>
          <w:rFonts w:ascii="Verdana" w:hAnsi="Verdana" w:cs="Arial"/>
          <w:spacing w:val="4"/>
          <w:sz w:val="16"/>
          <w:szCs w:val="16"/>
          <w:lang w:val="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Sección Tercera. Sala Plena. Sentencia del 23 de julio de 2015. Consejero Ponente: Hernán Andrade Rincón. Expediente: </w:t>
      </w:r>
      <w:r w:rsidRPr="00294702">
        <w:rPr>
          <w:rFonts w:ascii="Verdana" w:hAnsi="Verdana" w:cs="Arial"/>
          <w:spacing w:val="4"/>
          <w:sz w:val="16"/>
          <w:szCs w:val="16"/>
          <w:lang w:val="es-ES_tradnl"/>
        </w:rPr>
        <w:t>36805.</w:t>
      </w:r>
    </w:p>
    <w:p w14:paraId="6B927031" w14:textId="77777777" w:rsidR="00CE01E2" w:rsidRPr="00294702" w:rsidRDefault="00CE01E2" w:rsidP="0036476C">
      <w:pPr>
        <w:pStyle w:val="Textonotapie"/>
        <w:ind w:firstLine="709"/>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0F663280" w14:textId="77777777" w:rsidR="000A2EA8" w:rsidRPr="00C925AC" w:rsidRDefault="000A2EA8"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1.8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CBA"/>
    <w:rsid w:val="00030236"/>
    <w:rsid w:val="00033100"/>
    <w:rsid w:val="000459C3"/>
    <w:rsid w:val="00046945"/>
    <w:rsid w:val="00061B2A"/>
    <w:rsid w:val="00072845"/>
    <w:rsid w:val="00082362"/>
    <w:rsid w:val="000A2EA8"/>
    <w:rsid w:val="000A683E"/>
    <w:rsid w:val="000A6BE0"/>
    <w:rsid w:val="000B19B9"/>
    <w:rsid w:val="000D0334"/>
    <w:rsid w:val="000D50BA"/>
    <w:rsid w:val="000D5DA7"/>
    <w:rsid w:val="000F128F"/>
    <w:rsid w:val="000F6486"/>
    <w:rsid w:val="00116940"/>
    <w:rsid w:val="00117528"/>
    <w:rsid w:val="00125105"/>
    <w:rsid w:val="00126863"/>
    <w:rsid w:val="00127233"/>
    <w:rsid w:val="00144EB3"/>
    <w:rsid w:val="0015699B"/>
    <w:rsid w:val="00161C66"/>
    <w:rsid w:val="001A33BF"/>
    <w:rsid w:val="001D20BC"/>
    <w:rsid w:val="001D2386"/>
    <w:rsid w:val="001E4177"/>
    <w:rsid w:val="001F0B24"/>
    <w:rsid w:val="001F7DC6"/>
    <w:rsid w:val="0022400B"/>
    <w:rsid w:val="00241959"/>
    <w:rsid w:val="002421BB"/>
    <w:rsid w:val="0025796E"/>
    <w:rsid w:val="002707A2"/>
    <w:rsid w:val="00294702"/>
    <w:rsid w:val="002951A0"/>
    <w:rsid w:val="002962BC"/>
    <w:rsid w:val="002A093D"/>
    <w:rsid w:val="002A0DD0"/>
    <w:rsid w:val="002A49AC"/>
    <w:rsid w:val="002A64FD"/>
    <w:rsid w:val="002C7A84"/>
    <w:rsid w:val="002E2BF8"/>
    <w:rsid w:val="002E4FD9"/>
    <w:rsid w:val="0030657A"/>
    <w:rsid w:val="00322A85"/>
    <w:rsid w:val="00324168"/>
    <w:rsid w:val="00330834"/>
    <w:rsid w:val="003377F2"/>
    <w:rsid w:val="0034005D"/>
    <w:rsid w:val="003448F4"/>
    <w:rsid w:val="0036476C"/>
    <w:rsid w:val="00374F5E"/>
    <w:rsid w:val="00377E3E"/>
    <w:rsid w:val="00390DBE"/>
    <w:rsid w:val="003A779E"/>
    <w:rsid w:val="003D0F4D"/>
    <w:rsid w:val="003D5B0D"/>
    <w:rsid w:val="003E0499"/>
    <w:rsid w:val="003E4F80"/>
    <w:rsid w:val="003E6439"/>
    <w:rsid w:val="003F3941"/>
    <w:rsid w:val="00406575"/>
    <w:rsid w:val="00414C74"/>
    <w:rsid w:val="0042722E"/>
    <w:rsid w:val="004337FD"/>
    <w:rsid w:val="0044528D"/>
    <w:rsid w:val="00466E39"/>
    <w:rsid w:val="00492790"/>
    <w:rsid w:val="0049458B"/>
    <w:rsid w:val="004A1847"/>
    <w:rsid w:val="004A305D"/>
    <w:rsid w:val="004C08B5"/>
    <w:rsid w:val="004C754F"/>
    <w:rsid w:val="004D76BD"/>
    <w:rsid w:val="004E21AF"/>
    <w:rsid w:val="004F21C4"/>
    <w:rsid w:val="004F685F"/>
    <w:rsid w:val="00502BEC"/>
    <w:rsid w:val="00515851"/>
    <w:rsid w:val="00524DB1"/>
    <w:rsid w:val="0054273A"/>
    <w:rsid w:val="0055150B"/>
    <w:rsid w:val="005566E8"/>
    <w:rsid w:val="005734B3"/>
    <w:rsid w:val="00574867"/>
    <w:rsid w:val="005751F2"/>
    <w:rsid w:val="00591460"/>
    <w:rsid w:val="005915B3"/>
    <w:rsid w:val="005976CF"/>
    <w:rsid w:val="005A65E0"/>
    <w:rsid w:val="005C3777"/>
    <w:rsid w:val="005C5CDC"/>
    <w:rsid w:val="005C62F0"/>
    <w:rsid w:val="005D2DFE"/>
    <w:rsid w:val="005D476C"/>
    <w:rsid w:val="005F5235"/>
    <w:rsid w:val="006200BF"/>
    <w:rsid w:val="006219F8"/>
    <w:rsid w:val="006302F7"/>
    <w:rsid w:val="00646B9F"/>
    <w:rsid w:val="006548ED"/>
    <w:rsid w:val="00665D70"/>
    <w:rsid w:val="006900D9"/>
    <w:rsid w:val="006917F6"/>
    <w:rsid w:val="006A3A90"/>
    <w:rsid w:val="006F0630"/>
    <w:rsid w:val="00706C16"/>
    <w:rsid w:val="007340C3"/>
    <w:rsid w:val="0075235A"/>
    <w:rsid w:val="00756841"/>
    <w:rsid w:val="007649AB"/>
    <w:rsid w:val="00771D0C"/>
    <w:rsid w:val="007833AC"/>
    <w:rsid w:val="007865E2"/>
    <w:rsid w:val="007B268C"/>
    <w:rsid w:val="007B5A7F"/>
    <w:rsid w:val="007B7171"/>
    <w:rsid w:val="007C0C0F"/>
    <w:rsid w:val="007C3DC2"/>
    <w:rsid w:val="007E5497"/>
    <w:rsid w:val="007E7CB9"/>
    <w:rsid w:val="00806F5F"/>
    <w:rsid w:val="00820278"/>
    <w:rsid w:val="008258C9"/>
    <w:rsid w:val="00825A02"/>
    <w:rsid w:val="00844AE9"/>
    <w:rsid w:val="00850AD7"/>
    <w:rsid w:val="00867F95"/>
    <w:rsid w:val="008843B6"/>
    <w:rsid w:val="00891928"/>
    <w:rsid w:val="008A446D"/>
    <w:rsid w:val="008B25F1"/>
    <w:rsid w:val="008D180B"/>
    <w:rsid w:val="008E3392"/>
    <w:rsid w:val="008E53E8"/>
    <w:rsid w:val="008F0EA7"/>
    <w:rsid w:val="00923EEF"/>
    <w:rsid w:val="009419F9"/>
    <w:rsid w:val="00947718"/>
    <w:rsid w:val="0095685E"/>
    <w:rsid w:val="00961B09"/>
    <w:rsid w:val="00965334"/>
    <w:rsid w:val="00967C24"/>
    <w:rsid w:val="0097093E"/>
    <w:rsid w:val="009735EA"/>
    <w:rsid w:val="00997FEE"/>
    <w:rsid w:val="009A0DFA"/>
    <w:rsid w:val="009A1C6F"/>
    <w:rsid w:val="009A5F3D"/>
    <w:rsid w:val="009B2D26"/>
    <w:rsid w:val="009C71FA"/>
    <w:rsid w:val="009C72E7"/>
    <w:rsid w:val="009C7F7E"/>
    <w:rsid w:val="009D3058"/>
    <w:rsid w:val="009D5D33"/>
    <w:rsid w:val="009F3A13"/>
    <w:rsid w:val="00A122D3"/>
    <w:rsid w:val="00A14468"/>
    <w:rsid w:val="00A14620"/>
    <w:rsid w:val="00A17F13"/>
    <w:rsid w:val="00A20739"/>
    <w:rsid w:val="00A23AF9"/>
    <w:rsid w:val="00A33C78"/>
    <w:rsid w:val="00A56C31"/>
    <w:rsid w:val="00A87CD8"/>
    <w:rsid w:val="00AA3DD1"/>
    <w:rsid w:val="00AA4DE4"/>
    <w:rsid w:val="00AA6873"/>
    <w:rsid w:val="00AB0ADB"/>
    <w:rsid w:val="00AB176F"/>
    <w:rsid w:val="00AC62E4"/>
    <w:rsid w:val="00B00C0E"/>
    <w:rsid w:val="00B01B1A"/>
    <w:rsid w:val="00B0381D"/>
    <w:rsid w:val="00B158FB"/>
    <w:rsid w:val="00B4163F"/>
    <w:rsid w:val="00B44A47"/>
    <w:rsid w:val="00B72CD3"/>
    <w:rsid w:val="00B72FFF"/>
    <w:rsid w:val="00BB0E9B"/>
    <w:rsid w:val="00BB6406"/>
    <w:rsid w:val="00BC3D36"/>
    <w:rsid w:val="00BD54A6"/>
    <w:rsid w:val="00BD7F72"/>
    <w:rsid w:val="00BE117F"/>
    <w:rsid w:val="00BF7425"/>
    <w:rsid w:val="00C04FB3"/>
    <w:rsid w:val="00C11D8B"/>
    <w:rsid w:val="00C15139"/>
    <w:rsid w:val="00C27838"/>
    <w:rsid w:val="00C330EB"/>
    <w:rsid w:val="00C412DA"/>
    <w:rsid w:val="00C50D69"/>
    <w:rsid w:val="00C5365C"/>
    <w:rsid w:val="00C754BE"/>
    <w:rsid w:val="00C76B1C"/>
    <w:rsid w:val="00C81186"/>
    <w:rsid w:val="00C925AC"/>
    <w:rsid w:val="00CA0F28"/>
    <w:rsid w:val="00CB6357"/>
    <w:rsid w:val="00CC1B26"/>
    <w:rsid w:val="00CC69D2"/>
    <w:rsid w:val="00CD0AD9"/>
    <w:rsid w:val="00CD20EB"/>
    <w:rsid w:val="00CE01E2"/>
    <w:rsid w:val="00D361FD"/>
    <w:rsid w:val="00D423A2"/>
    <w:rsid w:val="00D44E26"/>
    <w:rsid w:val="00D46734"/>
    <w:rsid w:val="00D46819"/>
    <w:rsid w:val="00D520D8"/>
    <w:rsid w:val="00D63AC2"/>
    <w:rsid w:val="00D7383B"/>
    <w:rsid w:val="00D7788A"/>
    <w:rsid w:val="00DA231B"/>
    <w:rsid w:val="00DB1EBD"/>
    <w:rsid w:val="00DC39FC"/>
    <w:rsid w:val="00DD5A68"/>
    <w:rsid w:val="00DF5254"/>
    <w:rsid w:val="00E02524"/>
    <w:rsid w:val="00E16408"/>
    <w:rsid w:val="00E20894"/>
    <w:rsid w:val="00E245AB"/>
    <w:rsid w:val="00E2764C"/>
    <w:rsid w:val="00E27F2E"/>
    <w:rsid w:val="00E45730"/>
    <w:rsid w:val="00E50AFE"/>
    <w:rsid w:val="00E75C92"/>
    <w:rsid w:val="00E771DC"/>
    <w:rsid w:val="00E8772A"/>
    <w:rsid w:val="00E90F6B"/>
    <w:rsid w:val="00E923B4"/>
    <w:rsid w:val="00E92C27"/>
    <w:rsid w:val="00EA0E3D"/>
    <w:rsid w:val="00EB7A94"/>
    <w:rsid w:val="00EC38A7"/>
    <w:rsid w:val="00ED7C05"/>
    <w:rsid w:val="00EE1AA8"/>
    <w:rsid w:val="00EF1CB8"/>
    <w:rsid w:val="00F23FEA"/>
    <w:rsid w:val="00F31EDC"/>
    <w:rsid w:val="00F42C1A"/>
    <w:rsid w:val="00F462B3"/>
    <w:rsid w:val="00F51BAA"/>
    <w:rsid w:val="00F5664F"/>
    <w:rsid w:val="00F6152C"/>
    <w:rsid w:val="00F666C4"/>
    <w:rsid w:val="00F76AFC"/>
    <w:rsid w:val="00FA47C0"/>
    <w:rsid w:val="00FB32A6"/>
    <w:rsid w:val="00FB5DD1"/>
    <w:rsid w:val="00FC2B5D"/>
    <w:rsid w:val="00FD2B1F"/>
    <w:rsid w:val="00FF1449"/>
    <w:rsid w:val="00FF7963"/>
    <w:rsid w:val="071B8F93"/>
    <w:rsid w:val="07C73DD1"/>
    <w:rsid w:val="09908A09"/>
    <w:rsid w:val="0EFE6349"/>
    <w:rsid w:val="0FF4CCA8"/>
    <w:rsid w:val="122F1934"/>
    <w:rsid w:val="13CFC91B"/>
    <w:rsid w:val="19A2EC2C"/>
    <w:rsid w:val="21779BE6"/>
    <w:rsid w:val="2859CA1B"/>
    <w:rsid w:val="2C4D2425"/>
    <w:rsid w:val="2EE1E026"/>
    <w:rsid w:val="30821638"/>
    <w:rsid w:val="32A4F9CF"/>
    <w:rsid w:val="33A1FF93"/>
    <w:rsid w:val="356CEDFD"/>
    <w:rsid w:val="3C591AFD"/>
    <w:rsid w:val="42183F0A"/>
    <w:rsid w:val="545B112A"/>
    <w:rsid w:val="5BEB1497"/>
    <w:rsid w:val="61CFEC75"/>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unhideWhenUsed/>
    <w:qFormat/>
    <w:rsid w:val="008E53E8"/>
    <w:pPr>
      <w:spacing w:after="120"/>
    </w:pPr>
  </w:style>
  <w:style w:type="character" w:customStyle="1" w:styleId="TextoindependienteCar">
    <w:name w:val="Texto independiente Car"/>
    <w:basedOn w:val="Fuentedeprrafopredeter"/>
    <w:link w:val="Textoindependiente"/>
    <w:uiPriority w:val="1"/>
    <w:rsid w:val="008E53E8"/>
  </w:style>
  <w:style w:type="character" w:customStyle="1" w:styleId="s15">
    <w:name w:val="s15"/>
    <w:basedOn w:val="Fuentedeprrafopredeter"/>
    <w:rsid w:val="008E53E8"/>
  </w:style>
  <w:style w:type="character" w:styleId="Refdecomentario">
    <w:name w:val="annotation reference"/>
    <w:basedOn w:val="Fuentedeprrafopredeter"/>
    <w:uiPriority w:val="99"/>
    <w:semiHidden/>
    <w:unhideWhenUsed/>
    <w:rsid w:val="0036476C"/>
    <w:rPr>
      <w:sz w:val="16"/>
      <w:szCs w:val="16"/>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6476C"/>
    <w:rPr>
      <w:rFonts w:ascii="Geomanist Light" w:hAnsi="Geomanist Light"/>
      <w:lang w:val="es-ES"/>
    </w:rPr>
  </w:style>
  <w:style w:type="paragraph" w:customStyle="1" w:styleId="Appelnotedebasde">
    <w:name w:val="Appel note de bas de..."/>
    <w:basedOn w:val="Normal"/>
    <w:link w:val="Refdenotaalpie"/>
    <w:uiPriority w:val="99"/>
    <w:rsid w:val="0036476C"/>
    <w:pPr>
      <w:spacing w:line="240" w:lineRule="exact"/>
    </w:pPr>
    <w:rPr>
      <w:vertAlign w:val="superscript"/>
    </w:rPr>
  </w:style>
  <w:style w:type="character" w:customStyle="1" w:styleId="FontStyle23">
    <w:name w:val="Font Style23"/>
    <w:basedOn w:val="Fuentedeprrafopredeter"/>
    <w:rsid w:val="0036476C"/>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ianotificaciones@dosquebradas.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63152B6-304F-47C5-BF0A-1F90E32E3F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33</Pages>
  <Words>12116</Words>
  <Characters>66275</Characters>
  <Application>Microsoft Office Word</Application>
  <DocSecurity>0</DocSecurity>
  <Lines>1274</Lines>
  <Paragraphs>203</Paragraphs>
  <ScaleCrop>false</ScaleCrop>
  <Company/>
  <LinksUpToDate>false</LinksUpToDate>
  <CharactersWithSpaces>78188</CharactersWithSpaces>
  <SharedDoc>false</SharedDoc>
  <HLinks>
    <vt:vector size="36" baseType="variant">
      <vt:variant>
        <vt:i4>4456513</vt:i4>
      </vt:variant>
      <vt:variant>
        <vt:i4>15</vt:i4>
      </vt:variant>
      <vt:variant>
        <vt:i4>0</vt:i4>
      </vt:variant>
      <vt:variant>
        <vt:i4>5</vt:i4>
      </vt:variant>
      <vt:variant>
        <vt:lpwstr>https://forms.office.com/r/pPHyWVs2SZ</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2228319</vt:i4>
      </vt:variant>
      <vt:variant>
        <vt:i4>0</vt:i4>
      </vt:variant>
      <vt:variant>
        <vt:i4>0</vt:i4>
      </vt:variant>
      <vt:variant>
        <vt:i4>5</vt:i4>
      </vt:variant>
      <vt:variant>
        <vt:lpwstr>mailto:saianotificaciones@dosquebradas.gov.co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10</cp:revision>
  <cp:lastPrinted>2023-01-10T21:18:00Z</cp:lastPrinted>
  <dcterms:created xsi:type="dcterms:W3CDTF">2026-03-18T15:06:00Z</dcterms:created>
  <dcterms:modified xsi:type="dcterms:W3CDTF">2026-03-26T14:58:00Z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