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3541EB" w14:textId="2E679C00" w:rsidR="008E53E8" w:rsidRPr="007E7CB9" w:rsidRDefault="008E53E8" w:rsidP="007E7CB9">
      <w:pPr>
        <w:spacing w:after="0"/>
        <w:rPr>
          <w:rFonts w:ascii="Verdana" w:eastAsia="Verdana" w:hAnsi="Verdana" w:cs="Verdana"/>
        </w:rPr>
      </w:pPr>
      <w:bookmarkStart w:id="0" w:name="_Hlk143780582"/>
      <w:r w:rsidRPr="00561B0A">
        <w:rPr>
          <w:rFonts w:ascii="Verdana" w:eastAsia="Calibri" w:hAnsi="Verdana" w:cs="Arial"/>
          <w:b/>
          <w:lang w:val="es-ES" w:eastAsia="es-ES"/>
        </w:rPr>
        <w:t xml:space="preserve">LEY DE GARANTÍAS ELECTORALES ‒ Finalidad </w:t>
      </w:r>
    </w:p>
    <w:p w14:paraId="2C2E877A" w14:textId="77777777" w:rsidR="008E53E8" w:rsidRDefault="008E53E8" w:rsidP="008E53E8">
      <w:pPr>
        <w:spacing w:after="0" w:line="240" w:lineRule="auto"/>
        <w:jc w:val="both"/>
        <w:rPr>
          <w:rFonts w:ascii="Verdana" w:eastAsia="Calibri" w:hAnsi="Verdana" w:cs="Arial"/>
          <w:b/>
          <w:lang w:val="es-ES" w:eastAsia="es-ES"/>
        </w:rPr>
      </w:pPr>
    </w:p>
    <w:p w14:paraId="10101928" w14:textId="77777777" w:rsidR="008E53E8" w:rsidRPr="00561B0A" w:rsidRDefault="008E53E8" w:rsidP="008E53E8">
      <w:pPr>
        <w:spacing w:after="0" w:line="240" w:lineRule="auto"/>
        <w:jc w:val="both"/>
        <w:rPr>
          <w:rFonts w:ascii="Verdana" w:eastAsia="Calibri" w:hAnsi="Verdana" w:cs="Arial"/>
          <w:sz w:val="20"/>
          <w:lang w:val="es-ES" w:eastAsia="es-ES"/>
        </w:rPr>
      </w:pPr>
      <w:r w:rsidRPr="00561B0A">
        <w:rPr>
          <w:rFonts w:ascii="Verdana" w:eastAsia="Calibri" w:hAnsi="Verdana" w:cs="Arial"/>
          <w:sz w:val="20"/>
          <w:lang w:val="es-MX" w:eastAsia="es-ES"/>
        </w:rPr>
        <w:t>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54A1D218" w14:textId="77777777" w:rsidR="008E53E8" w:rsidRPr="00561B0A" w:rsidRDefault="008E53E8" w:rsidP="008E53E8">
      <w:pPr>
        <w:spacing w:after="0" w:line="240" w:lineRule="auto"/>
        <w:jc w:val="both"/>
        <w:rPr>
          <w:rFonts w:ascii="Verdana" w:eastAsia="Calibri" w:hAnsi="Verdana" w:cs="Arial"/>
          <w:b/>
          <w:lang w:val="es-ES" w:eastAsia="es-ES"/>
        </w:rPr>
      </w:pPr>
    </w:p>
    <w:p w14:paraId="5F05D642" w14:textId="77777777" w:rsidR="008E53E8" w:rsidRPr="00561B0A" w:rsidRDefault="008E53E8" w:rsidP="008E53E8">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 xml:space="preserve">LEY DE GARANTÍAS ELECTORALES ‒ Tipos de restricciones ‒ Ámbito temporal – </w:t>
      </w:r>
      <w:r>
        <w:rPr>
          <w:rFonts w:ascii="Verdana" w:eastAsia="Calibri" w:hAnsi="Verdana" w:cs="Arial"/>
          <w:b/>
          <w:lang w:val="es-ES" w:eastAsia="es-ES"/>
        </w:rPr>
        <w:t>C</w:t>
      </w:r>
      <w:r w:rsidRPr="00561B0A">
        <w:rPr>
          <w:rFonts w:ascii="Verdana" w:eastAsia="Calibri" w:hAnsi="Verdana" w:cs="Arial"/>
          <w:b/>
          <w:lang w:val="es-ES" w:eastAsia="es-ES"/>
        </w:rPr>
        <w:t>elebración</w:t>
      </w:r>
      <w:r>
        <w:rPr>
          <w:rFonts w:ascii="Verdana" w:eastAsia="Calibri" w:hAnsi="Verdana" w:cs="Arial"/>
          <w:b/>
          <w:lang w:val="es-ES" w:eastAsia="es-ES"/>
        </w:rPr>
        <w:t xml:space="preserve"> </w:t>
      </w:r>
      <w:r w:rsidRPr="00BE3D4E">
        <w:rPr>
          <w:rFonts w:ascii="Verdana" w:eastAsia="Calibri" w:hAnsi="Verdana" w:cs="Arial"/>
          <w:b/>
          <w:bCs/>
          <w:lang w:eastAsia="es-ES"/>
        </w:rPr>
        <w:t>–</w:t>
      </w:r>
      <w:r w:rsidRPr="00561B0A">
        <w:rPr>
          <w:rFonts w:ascii="Verdana" w:eastAsia="Calibri" w:hAnsi="Verdana" w:cs="Arial"/>
          <w:b/>
          <w:lang w:val="es-ES" w:eastAsia="es-ES"/>
        </w:rPr>
        <w:t xml:space="preserve"> </w:t>
      </w:r>
      <w:r>
        <w:rPr>
          <w:rFonts w:ascii="Verdana" w:eastAsia="Calibri" w:hAnsi="Verdana" w:cs="Arial"/>
          <w:b/>
          <w:lang w:val="es-ES" w:eastAsia="es-ES"/>
        </w:rPr>
        <w:t>L</w:t>
      </w:r>
      <w:r w:rsidRPr="00561B0A">
        <w:rPr>
          <w:rFonts w:ascii="Verdana" w:eastAsia="Calibri" w:hAnsi="Verdana" w:cs="Arial"/>
          <w:b/>
          <w:lang w:val="es-ES" w:eastAsia="es-ES"/>
        </w:rPr>
        <w:t>ímite</w:t>
      </w:r>
    </w:p>
    <w:p w14:paraId="7DF97F42" w14:textId="77777777" w:rsidR="008E53E8" w:rsidRDefault="008E53E8" w:rsidP="008E53E8">
      <w:pPr>
        <w:spacing w:after="0" w:line="240" w:lineRule="auto"/>
        <w:jc w:val="both"/>
        <w:rPr>
          <w:rFonts w:ascii="Verdana" w:eastAsia="Calibri" w:hAnsi="Verdana" w:cs="Arial"/>
          <w:b/>
          <w:lang w:val="es-ES" w:eastAsia="es-ES"/>
        </w:rPr>
      </w:pPr>
    </w:p>
    <w:p w14:paraId="67940CA6" w14:textId="77777777" w:rsidR="008E53E8" w:rsidRDefault="008E53E8" w:rsidP="008E53E8">
      <w:pPr>
        <w:spacing w:after="0" w:line="240" w:lineRule="auto"/>
        <w:jc w:val="both"/>
        <w:rPr>
          <w:rFonts w:ascii="Verdana" w:eastAsia="Calibri" w:hAnsi="Verdana" w:cs="Arial"/>
          <w:sz w:val="20"/>
          <w:lang w:eastAsia="es-ES"/>
        </w:rPr>
      </w:pPr>
      <w:r w:rsidRPr="00561B0A">
        <w:rPr>
          <w:rFonts w:ascii="Verdana" w:eastAsia="Calibri" w:hAnsi="Verdana" w:cs="Arial"/>
          <w:i/>
          <w:iCs/>
          <w:sz w:val="20"/>
          <w:lang w:eastAsia="es-ES"/>
        </w:rPr>
        <w:t>Por un lado</w:t>
      </w:r>
      <w:r w:rsidRPr="00561B0A">
        <w:rPr>
          <w:rFonts w:ascii="Verdana" w:eastAsia="Calibri" w:hAnsi="Verdana" w:cs="Arial"/>
          <w:sz w:val="20"/>
          <w:lang w:eastAsia="es-ES"/>
        </w:rPr>
        <w:t>,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5B617F1" w14:textId="77777777" w:rsidR="008E53E8" w:rsidRPr="00561B0A" w:rsidRDefault="008E53E8" w:rsidP="008E53E8">
      <w:pPr>
        <w:spacing w:after="0" w:line="240" w:lineRule="auto"/>
        <w:jc w:val="both"/>
        <w:rPr>
          <w:rFonts w:ascii="Verdana" w:eastAsia="Calibri" w:hAnsi="Verdana" w:cs="Arial"/>
          <w:sz w:val="20"/>
          <w:lang w:eastAsia="es-ES"/>
        </w:rPr>
      </w:pPr>
    </w:p>
    <w:p w14:paraId="25C15803" w14:textId="77777777" w:rsidR="008E53E8" w:rsidRPr="00561B0A" w:rsidRDefault="008E53E8" w:rsidP="008E53E8">
      <w:pPr>
        <w:spacing w:after="0" w:line="240" w:lineRule="auto"/>
        <w:jc w:val="both"/>
        <w:rPr>
          <w:rFonts w:ascii="Verdana" w:eastAsia="Calibri" w:hAnsi="Verdana" w:cs="Arial"/>
          <w:sz w:val="20"/>
          <w:lang w:val="es-ES" w:eastAsia="es-ES" w:bidi="es-ES"/>
        </w:rPr>
      </w:pPr>
      <w:r w:rsidRPr="00561B0A">
        <w:rPr>
          <w:rFonts w:ascii="Verdana" w:eastAsia="Calibri" w:hAnsi="Verdana" w:cs="Arial"/>
          <w:i/>
          <w:iCs/>
          <w:sz w:val="20"/>
          <w:lang w:eastAsia="es-ES"/>
        </w:rPr>
        <w:t>Por otro</w:t>
      </w:r>
      <w:r w:rsidRPr="00561B0A">
        <w:rPr>
          <w:rFonts w:ascii="Verdana" w:eastAsia="Calibri" w:hAnsi="Verdana" w:cs="Arial"/>
          <w:sz w:val="20"/>
          <w:lang w:eastAsia="es-ES"/>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561B0A">
        <w:rPr>
          <w:rFonts w:ascii="Verdana" w:eastAsia="Calibri" w:hAnsi="Verdana" w:cs="Arial"/>
          <w:sz w:val="20"/>
          <w:lang w:val="es-MX" w:eastAsia="es-ES"/>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561B0A">
        <w:rPr>
          <w:rFonts w:ascii="Verdana" w:eastAsia="Calibri" w:hAnsi="Verdana" w:cs="Arial"/>
          <w:sz w:val="20"/>
          <w:lang w:eastAsia="es-ES"/>
        </w:rPr>
        <w:t>”</w:t>
      </w:r>
      <w:r w:rsidRPr="00561B0A">
        <w:rPr>
          <w:rFonts w:ascii="Verdana" w:eastAsia="Calibri" w:hAnsi="Verdana" w:cs="Arial"/>
          <w:sz w:val="20"/>
          <w:lang w:val="es-MX" w:eastAsia="es-ES"/>
        </w:rPr>
        <w:t>.</w:t>
      </w:r>
      <w:r w:rsidRPr="00561B0A">
        <w:rPr>
          <w:rFonts w:ascii="Verdana" w:eastAsia="Calibri" w:hAnsi="Verdana" w:cs="Arial"/>
          <w:sz w:val="20"/>
          <w:lang w:val="es-ES" w:eastAsia="es-ES" w:bidi="es-ES"/>
        </w:rPr>
        <w:t xml:space="preserve"> La Sala de Consulta y Servicio Civil del Consejo de Estado ha aclarado la distinción en la aplicación de las prohibiciones de la Ley 996 de 2005, dependiendo del tipo de elección que se trate. </w:t>
      </w:r>
    </w:p>
    <w:p w14:paraId="055A2E4E" w14:textId="77777777" w:rsidR="008E53E8" w:rsidRPr="00561B0A" w:rsidRDefault="008E53E8" w:rsidP="008E53E8">
      <w:pPr>
        <w:spacing w:after="0" w:line="240" w:lineRule="auto"/>
        <w:jc w:val="both"/>
        <w:rPr>
          <w:rFonts w:ascii="Verdana" w:eastAsia="Calibri" w:hAnsi="Verdana" w:cs="Arial"/>
          <w:b/>
          <w:lang w:val="es-ES" w:eastAsia="es-ES"/>
        </w:rPr>
      </w:pPr>
    </w:p>
    <w:p w14:paraId="6FAF1730" w14:textId="77777777" w:rsidR="008E53E8" w:rsidRPr="00561B0A" w:rsidRDefault="008E53E8" w:rsidP="008E53E8">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 xml:space="preserve">LEY DE GARANTÍAS ELECTORALES – Prohibición artículo 33 – Contratación directa – Alcance </w:t>
      </w:r>
    </w:p>
    <w:p w14:paraId="2B1976C3" w14:textId="77777777" w:rsidR="008E53E8" w:rsidRDefault="008E53E8" w:rsidP="008E53E8">
      <w:pPr>
        <w:spacing w:after="0" w:line="240" w:lineRule="auto"/>
        <w:jc w:val="both"/>
        <w:rPr>
          <w:rFonts w:ascii="Verdana" w:eastAsia="Calibri" w:hAnsi="Verdana" w:cs="Arial"/>
          <w:b/>
          <w:lang w:val="es-ES" w:eastAsia="es-ES"/>
        </w:rPr>
      </w:pPr>
    </w:p>
    <w:p w14:paraId="0AEDE717" w14:textId="77777777" w:rsidR="008E53E8" w:rsidRPr="00561B0A" w:rsidRDefault="008E53E8" w:rsidP="008E53E8">
      <w:pPr>
        <w:spacing w:after="0" w:line="240" w:lineRule="auto"/>
        <w:jc w:val="both"/>
        <w:rPr>
          <w:rFonts w:ascii="Verdana" w:eastAsia="Calibri" w:hAnsi="Verdana" w:cs="Arial"/>
          <w:sz w:val="20"/>
          <w:lang w:eastAsia="es-ES"/>
        </w:rPr>
      </w:pPr>
      <w:r w:rsidRPr="00561B0A">
        <w:rPr>
          <w:rFonts w:ascii="Verdana" w:eastAsia="Calibri" w:hAnsi="Verdana" w:cs="Arial"/>
          <w:sz w:val="20"/>
          <w:lang w:eastAsia="es-ES"/>
        </w:rPr>
        <w:t xml:space="preserve">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 y sistematizó las causales de contratación directa. </w:t>
      </w:r>
    </w:p>
    <w:p w14:paraId="63C7256F" w14:textId="77777777" w:rsidR="008E53E8" w:rsidRPr="00561B0A" w:rsidRDefault="008E53E8" w:rsidP="008E53E8">
      <w:pPr>
        <w:spacing w:after="0" w:line="240" w:lineRule="auto"/>
        <w:jc w:val="both"/>
        <w:rPr>
          <w:rFonts w:ascii="Verdana" w:eastAsia="Calibri" w:hAnsi="Verdana" w:cs="Arial"/>
          <w:bCs/>
          <w:sz w:val="20"/>
          <w:lang w:eastAsia="es-ES"/>
        </w:rPr>
      </w:pPr>
    </w:p>
    <w:p w14:paraId="69F4097C" w14:textId="77777777" w:rsidR="008E53E8" w:rsidRPr="00561B0A" w:rsidRDefault="008E53E8" w:rsidP="008E53E8">
      <w:pPr>
        <w:spacing w:after="0" w:line="240" w:lineRule="auto"/>
        <w:jc w:val="both"/>
        <w:rPr>
          <w:rFonts w:ascii="Verdana" w:eastAsia="Calibri" w:hAnsi="Verdana" w:cs="Arial"/>
          <w:sz w:val="20"/>
          <w:lang w:eastAsia="es-ES"/>
        </w:rPr>
      </w:pPr>
      <w:r w:rsidRPr="00561B0A">
        <w:rPr>
          <w:rFonts w:ascii="Verdana" w:eastAsia="Calibri" w:hAnsi="Verdana" w:cs="Arial"/>
          <w:sz w:val="20"/>
          <w:lang w:eastAsia="es-ES"/>
        </w:rPr>
        <w:lastRenderedPageBreak/>
        <w:t>De esta forma, con fundamento en la evolución de la normativa sobre la contratación pública, se ha depurado la noción de “contratación directa”,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han establecido sistemas de contratación que implican convocatoria pública y participación de varios oferentes”.</w:t>
      </w:r>
    </w:p>
    <w:p w14:paraId="521CC50B" w14:textId="77777777" w:rsidR="008E53E8" w:rsidRPr="00561B0A" w:rsidRDefault="008E53E8" w:rsidP="008E53E8">
      <w:pPr>
        <w:spacing w:after="0" w:line="240" w:lineRule="auto"/>
        <w:jc w:val="both"/>
        <w:rPr>
          <w:rFonts w:ascii="Verdana" w:eastAsia="Calibri" w:hAnsi="Verdana" w:cs="Arial"/>
          <w:b/>
          <w:lang w:val="es-ES" w:eastAsia="es-ES"/>
        </w:rPr>
      </w:pPr>
    </w:p>
    <w:p w14:paraId="34C01F86" w14:textId="77777777" w:rsidR="008E53E8" w:rsidRPr="00561B0A" w:rsidRDefault="008E53E8" w:rsidP="008E53E8">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 xml:space="preserve">LEY DE GARANTÍAS ELECTORALES – Prohibición del artículo 33 – Destinatarios </w:t>
      </w:r>
    </w:p>
    <w:p w14:paraId="49861A11" w14:textId="77777777" w:rsidR="008E53E8" w:rsidRDefault="008E53E8" w:rsidP="008E53E8">
      <w:pPr>
        <w:spacing w:after="0" w:line="240" w:lineRule="auto"/>
        <w:jc w:val="both"/>
        <w:rPr>
          <w:rFonts w:ascii="Verdana" w:eastAsia="Calibri" w:hAnsi="Verdana" w:cs="Arial"/>
          <w:b/>
          <w:lang w:val="es-ES" w:eastAsia="es-ES"/>
        </w:rPr>
      </w:pPr>
    </w:p>
    <w:p w14:paraId="38A2D578" w14:textId="77777777" w:rsidR="008E53E8" w:rsidRPr="00561B0A" w:rsidRDefault="008E53E8" w:rsidP="008E53E8">
      <w:pPr>
        <w:spacing w:after="0" w:line="240" w:lineRule="auto"/>
        <w:jc w:val="both"/>
        <w:rPr>
          <w:rFonts w:ascii="Verdana" w:eastAsia="Calibri" w:hAnsi="Verdana" w:cs="Arial"/>
          <w:bCs/>
          <w:sz w:val="20"/>
          <w:lang w:val="es-MX" w:eastAsia="es-ES"/>
        </w:rPr>
      </w:pPr>
      <w:r w:rsidRPr="00561B0A">
        <w:rPr>
          <w:rFonts w:ascii="Verdana" w:eastAsia="Calibri" w:hAnsi="Verdana" w:cs="Arial"/>
          <w:bCs/>
          <w:sz w:val="20"/>
          <w:lang w:val="es-MX" w:eastAsia="es-ES"/>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561B0A">
        <w:rPr>
          <w:rFonts w:ascii="Verdana" w:eastAsia="Calibri" w:hAnsi="Verdana" w:cs="Arial"/>
          <w:sz w:val="20"/>
          <w:lang w:val="es-MX" w:eastAsia="es-ES"/>
        </w:rPr>
        <w:t xml:space="preserve"> </w:t>
      </w:r>
      <w:r w:rsidRPr="00561B0A">
        <w:rPr>
          <w:rFonts w:ascii="Verdana" w:eastAsia="Calibri" w:hAnsi="Verdana" w:cs="Arial"/>
          <w:bCs/>
          <w:sz w:val="20"/>
          <w:lang w:val="es-MX" w:eastAsia="es-ES"/>
        </w:rPr>
        <w:t>En efecto, tal como lo ha sostenido el Consejo de Estado, el vocablo “todos” utilizado por el legislador comprende</w:t>
      </w:r>
      <w:r w:rsidRPr="00561B0A">
        <w:rPr>
          <w:rFonts w:ascii="Verdana" w:eastAsia="Calibri" w:hAnsi="Verdana" w:cs="Arial"/>
          <w:sz w:val="20"/>
          <w:lang w:val="es-MX" w:eastAsia="es-ES"/>
        </w:rPr>
        <w:t xml:space="preserve"> </w:t>
      </w:r>
      <w:r w:rsidRPr="00561B0A">
        <w:rPr>
          <w:rFonts w:ascii="Verdana" w:eastAsia="Calibri" w:hAnsi="Verdana" w:cs="Arial"/>
          <w:bCs/>
          <w:sz w:val="20"/>
          <w:lang w:val="es-MX" w:eastAsia="es-ES"/>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59E42785" w14:textId="77777777" w:rsidR="008E53E8" w:rsidRPr="00561B0A" w:rsidRDefault="008E53E8" w:rsidP="008E53E8">
      <w:pPr>
        <w:spacing w:after="0" w:line="240" w:lineRule="auto"/>
        <w:jc w:val="both"/>
        <w:rPr>
          <w:rFonts w:ascii="Verdana" w:eastAsia="Calibri" w:hAnsi="Verdana" w:cs="Arial"/>
          <w:b/>
          <w:lang w:val="es-ES" w:eastAsia="es-ES"/>
        </w:rPr>
      </w:pPr>
    </w:p>
    <w:p w14:paraId="20CD0BBC" w14:textId="77777777" w:rsidR="008E53E8" w:rsidRPr="00561B0A" w:rsidRDefault="008E53E8" w:rsidP="008E53E8">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 xml:space="preserve">LEY DE GARANTÍAS ELECTORALES – Condiciones de igualdad – Contratación directa </w:t>
      </w:r>
    </w:p>
    <w:p w14:paraId="7547ECC8" w14:textId="77777777" w:rsidR="008E53E8" w:rsidRDefault="008E53E8" w:rsidP="008E53E8">
      <w:pPr>
        <w:spacing w:after="0" w:line="240" w:lineRule="auto"/>
        <w:jc w:val="both"/>
        <w:rPr>
          <w:rFonts w:ascii="Verdana" w:eastAsia="Calibri" w:hAnsi="Verdana" w:cs="Arial"/>
          <w:b/>
          <w:lang w:val="es-ES" w:eastAsia="es-ES"/>
        </w:rPr>
      </w:pPr>
    </w:p>
    <w:p w14:paraId="6353AB6A" w14:textId="77777777" w:rsidR="008E53E8" w:rsidRPr="004D6761" w:rsidRDefault="008E53E8" w:rsidP="008E53E8">
      <w:pPr>
        <w:spacing w:after="0" w:line="240" w:lineRule="auto"/>
        <w:jc w:val="both"/>
        <w:rPr>
          <w:rFonts w:ascii="Verdana" w:eastAsia="Calibri" w:hAnsi="Verdana" w:cs="Arial"/>
          <w:bCs/>
          <w:sz w:val="20"/>
          <w:lang w:val="es-MX" w:eastAsia="es-ES"/>
        </w:rPr>
      </w:pPr>
      <w:r w:rsidRPr="004D6761">
        <w:rPr>
          <w:rFonts w:ascii="Verdana" w:eastAsia="Calibri" w:hAnsi="Verdana" w:cs="Arial"/>
          <w:sz w:val="20"/>
          <w:lang w:val="es-MX" w:eastAsia="es-ES"/>
        </w:rPr>
        <w:t xml:space="preserve">Por lo tanto, la restricción prevista en la Ley 996 de 2005, </w:t>
      </w:r>
      <w:r w:rsidRPr="004D6761">
        <w:rPr>
          <w:rFonts w:ascii="Verdana" w:eastAsia="Calibri" w:hAnsi="Verdana" w:cs="Arial"/>
          <w:bCs/>
          <w:sz w:val="20"/>
          <w:lang w:val="es-MX" w:eastAsia="es-ES"/>
        </w:rPr>
        <w:t>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1BE3FDF7" w14:textId="77777777" w:rsidR="008E53E8" w:rsidRPr="004D6761" w:rsidRDefault="008E53E8" w:rsidP="008E53E8">
      <w:pPr>
        <w:spacing w:after="0" w:line="240" w:lineRule="auto"/>
        <w:jc w:val="both"/>
        <w:rPr>
          <w:rFonts w:ascii="Verdana" w:eastAsia="Calibri" w:hAnsi="Verdana" w:cs="Arial"/>
          <w:sz w:val="20"/>
          <w:lang w:val="es-MX" w:eastAsia="es-ES"/>
        </w:rPr>
      </w:pPr>
    </w:p>
    <w:p w14:paraId="1492BB42" w14:textId="77777777" w:rsidR="008E53E8" w:rsidRPr="00561B0A" w:rsidRDefault="008E53E8" w:rsidP="008E53E8">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LEY DE GARANTÍAS ELECTORALES – Contratación Directa – Excepciones</w:t>
      </w:r>
    </w:p>
    <w:p w14:paraId="5C26943D" w14:textId="77777777" w:rsidR="008E53E8" w:rsidRDefault="008E53E8" w:rsidP="008E53E8">
      <w:pPr>
        <w:spacing w:after="0" w:line="240" w:lineRule="auto"/>
        <w:jc w:val="both"/>
        <w:rPr>
          <w:rFonts w:ascii="Verdana" w:eastAsia="Calibri" w:hAnsi="Verdana" w:cs="Arial"/>
          <w:b/>
          <w:lang w:val="es-ES" w:eastAsia="es-ES"/>
        </w:rPr>
      </w:pPr>
    </w:p>
    <w:p w14:paraId="4F11CA04" w14:textId="77777777" w:rsidR="008E53E8" w:rsidRDefault="008E53E8" w:rsidP="008E53E8">
      <w:pPr>
        <w:spacing w:after="0" w:line="240" w:lineRule="auto"/>
        <w:jc w:val="both"/>
        <w:rPr>
          <w:rFonts w:ascii="Verdana" w:eastAsia="Calibri" w:hAnsi="Verdana" w:cs="Arial"/>
          <w:iCs/>
          <w:sz w:val="20"/>
          <w:lang w:val="es-ES" w:eastAsia="es-ES"/>
        </w:rPr>
      </w:pPr>
      <w:r w:rsidRPr="004D6761">
        <w:rPr>
          <w:rFonts w:ascii="Verdana" w:eastAsia="Calibri" w:hAnsi="Verdana" w:cs="Arial"/>
          <w:iCs/>
          <w:sz w:val="20"/>
          <w:lang w:eastAsia="es-ES"/>
        </w:rPr>
        <w:t xml:space="preserve">Las excepciones están </w:t>
      </w:r>
      <w:r w:rsidRPr="004D6761">
        <w:rPr>
          <w:rFonts w:ascii="Verdana" w:eastAsia="Calibri" w:hAnsi="Verdana" w:cs="Arial"/>
          <w:bCs/>
          <w:sz w:val="20"/>
          <w:lang w:val="es-MX" w:eastAsia="es-ES"/>
        </w:rPr>
        <w:t xml:space="preserve">consagradas de forma expresa en el inciso final del citado artículo 33 de la Ley 996 de 2005 en lo referente a i) la defensa y seguridad del Estado; </w:t>
      </w:r>
      <w:proofErr w:type="spellStart"/>
      <w:r w:rsidRPr="004D6761">
        <w:rPr>
          <w:rFonts w:ascii="Verdana" w:eastAsia="Calibri" w:hAnsi="Verdana" w:cs="Arial"/>
          <w:bCs/>
          <w:sz w:val="20"/>
          <w:lang w:val="es-MX" w:eastAsia="es-ES"/>
        </w:rPr>
        <w:t>ii</w:t>
      </w:r>
      <w:proofErr w:type="spellEnd"/>
      <w:r w:rsidRPr="004D6761">
        <w:rPr>
          <w:rFonts w:ascii="Verdana" w:eastAsia="Calibri" w:hAnsi="Verdana" w:cs="Arial"/>
          <w:bCs/>
          <w:sz w:val="20"/>
          <w:lang w:val="es-MX" w:eastAsia="es-ES"/>
        </w:rPr>
        <w:t xml:space="preserve">) los contratos de crédito público; </w:t>
      </w:r>
      <w:proofErr w:type="spellStart"/>
      <w:r w:rsidRPr="004D6761">
        <w:rPr>
          <w:rFonts w:ascii="Verdana" w:eastAsia="Calibri" w:hAnsi="Verdana" w:cs="Arial"/>
          <w:bCs/>
          <w:sz w:val="20"/>
          <w:lang w:val="es-MX" w:eastAsia="es-ES"/>
        </w:rPr>
        <w:t>iii</w:t>
      </w:r>
      <w:proofErr w:type="spellEnd"/>
      <w:r w:rsidRPr="004D6761">
        <w:rPr>
          <w:rFonts w:ascii="Verdana" w:eastAsia="Calibri" w:hAnsi="Verdana" w:cs="Arial"/>
          <w:bCs/>
          <w:sz w:val="20"/>
          <w:lang w:val="es-MX" w:eastAsia="es-ES"/>
        </w:rPr>
        <w:t xml:space="preserve">) los requeridos para cubrir las emergencias educativas, sanitarias y desastres; </w:t>
      </w:r>
      <w:proofErr w:type="spellStart"/>
      <w:r w:rsidRPr="004D6761">
        <w:rPr>
          <w:rFonts w:ascii="Verdana" w:eastAsia="Calibri" w:hAnsi="Verdana" w:cs="Arial"/>
          <w:bCs/>
          <w:sz w:val="20"/>
          <w:lang w:val="es-MX" w:eastAsia="es-ES"/>
        </w:rPr>
        <w:t>iv</w:t>
      </w:r>
      <w:proofErr w:type="spellEnd"/>
      <w:r w:rsidRPr="004D6761">
        <w:rPr>
          <w:rFonts w:ascii="Verdana" w:eastAsia="Calibri" w:hAnsi="Verdana" w:cs="Arial"/>
          <w:bCs/>
          <w:sz w:val="20"/>
          <w:lang w:val="es-MX" w:eastAsia="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Así mismo, la Corte Constitucional en la Sentencia C-1153 de 2005 señaló que la expresión </w:t>
      </w:r>
      <w:r w:rsidRPr="004D6761">
        <w:rPr>
          <w:rFonts w:ascii="Verdana" w:eastAsia="Calibri" w:hAnsi="Verdana" w:cs="Arial"/>
          <w:i/>
          <w:iCs/>
          <w:sz w:val="20"/>
          <w:lang w:val="es-ES" w:eastAsia="es-ES"/>
        </w:rPr>
        <w:t xml:space="preserve">“adicionalmente </w:t>
      </w:r>
      <w:r w:rsidRPr="004D6761">
        <w:rPr>
          <w:rFonts w:ascii="Verdana" w:eastAsia="Calibri" w:hAnsi="Verdana" w:cs="Arial"/>
          <w:i/>
          <w:iCs/>
          <w:sz w:val="20"/>
          <w:lang w:val="es-ES" w:eastAsia="es-ES"/>
        </w:rPr>
        <w:lastRenderedPageBreak/>
        <w:t xml:space="preserve">se exceptúan aquellos gastos inaplazables e imprescindibles que afecten el normal funcionamiento de la administración” </w:t>
      </w:r>
      <w:r w:rsidRPr="004D6761">
        <w:rPr>
          <w:rFonts w:ascii="Verdana" w:eastAsia="Calibri" w:hAnsi="Verdana" w:cs="Arial"/>
          <w:iCs/>
          <w:sz w:val="20"/>
          <w:lang w:val="es-ES" w:eastAsia="es-ES"/>
        </w:rPr>
        <w:t>regulada como excepción en el artículo 33</w:t>
      </w:r>
      <w:r w:rsidRPr="004D6761">
        <w:rPr>
          <w:rFonts w:ascii="Verdana" w:eastAsia="Calibri" w:hAnsi="Verdana" w:cs="Arial"/>
          <w:i/>
          <w:iCs/>
          <w:sz w:val="20"/>
          <w:lang w:val="es-ES" w:eastAsia="es-ES"/>
        </w:rPr>
        <w:t xml:space="preserve"> </w:t>
      </w:r>
      <w:r w:rsidRPr="004D6761">
        <w:rPr>
          <w:rFonts w:ascii="Verdana" w:eastAsia="Calibri" w:hAnsi="Verdana" w:cs="Arial"/>
          <w:iCs/>
          <w:sz w:val="20"/>
          <w:lang w:val="es-ES" w:eastAsia="es-ES"/>
        </w:rPr>
        <w:t>es demasiado amplia y ambigua, pues términos como inaplazable, imprescindible y normal funcionamiento son evaluativos y sujetos a interpretaciones diversas, lo que permitiría introducir múltiples excepciones que desfigurarían la prohibición original y comprometerían los fines y propósitos de la Ley de Garantías Electorales.</w:t>
      </w:r>
      <w:r w:rsidRPr="004D6761">
        <w:rPr>
          <w:rFonts w:ascii="Verdana" w:eastAsia="Calibri" w:hAnsi="Verdana" w:cs="Arial"/>
          <w:i/>
          <w:iCs/>
          <w:sz w:val="20"/>
          <w:lang w:val="es-ES" w:eastAsia="es-ES"/>
        </w:rPr>
        <w:t xml:space="preserve"> </w:t>
      </w:r>
      <w:r w:rsidRPr="004D6761">
        <w:rPr>
          <w:rFonts w:ascii="Verdana" w:eastAsia="Calibri" w:hAnsi="Verdana" w:cs="Arial"/>
          <w:iCs/>
          <w:sz w:val="20"/>
          <w:lang w:val="es-ES" w:eastAsia="es-ES"/>
        </w:rPr>
        <w:t>Por tanto, dicha expresión fue declarada inexequible, razón por la cual no es posible que las entidades argumenten razones como esta para exceptuar la restricción del artículo 33.</w:t>
      </w:r>
    </w:p>
    <w:p w14:paraId="787FDDD5" w14:textId="77777777" w:rsidR="008E53E8" w:rsidRPr="004D6761" w:rsidRDefault="008E53E8" w:rsidP="008E53E8">
      <w:pPr>
        <w:spacing w:after="0" w:line="240" w:lineRule="auto"/>
        <w:jc w:val="both"/>
        <w:rPr>
          <w:rFonts w:ascii="Verdana" w:eastAsia="Calibri" w:hAnsi="Verdana" w:cs="Arial"/>
          <w:sz w:val="20"/>
          <w:lang w:val="es-ES" w:eastAsia="es-ES"/>
        </w:rPr>
      </w:pPr>
    </w:p>
    <w:p w14:paraId="5C6E212C" w14:textId="77777777" w:rsidR="008E53E8" w:rsidRPr="00CE10ED" w:rsidRDefault="008E53E8" w:rsidP="008E53E8">
      <w:pPr>
        <w:spacing w:after="0"/>
        <w:rPr>
          <w:rFonts w:ascii="Verdana" w:eastAsia="Verdana" w:hAnsi="Verdana" w:cs="Verdana"/>
          <w:lang w:val="es-ES"/>
        </w:rPr>
      </w:pPr>
    </w:p>
    <w:p w14:paraId="07FB8B4D" w14:textId="77777777" w:rsidR="008E53E8" w:rsidRDefault="008E53E8" w:rsidP="008E53E8">
      <w:pPr>
        <w:spacing w:after="0"/>
        <w:rPr>
          <w:rFonts w:ascii="Verdana" w:eastAsia="Verdana" w:hAnsi="Verdana" w:cs="Verdana"/>
        </w:rPr>
      </w:pPr>
    </w:p>
    <w:p w14:paraId="581BB52E" w14:textId="77777777" w:rsidR="008E53E8" w:rsidRDefault="008E53E8" w:rsidP="008E53E8">
      <w:pPr>
        <w:spacing w:after="0"/>
        <w:rPr>
          <w:rFonts w:ascii="Verdana" w:eastAsia="Verdana" w:hAnsi="Verdana" w:cs="Verdana"/>
        </w:rPr>
      </w:pPr>
    </w:p>
    <w:p w14:paraId="3A0285FF" w14:textId="77777777" w:rsidR="008E53E8" w:rsidRDefault="008E53E8" w:rsidP="008E53E8">
      <w:pPr>
        <w:spacing w:after="0"/>
        <w:rPr>
          <w:rFonts w:ascii="Verdana" w:eastAsia="Verdana" w:hAnsi="Verdana" w:cs="Verdana"/>
        </w:rPr>
      </w:pPr>
    </w:p>
    <w:p w14:paraId="0DDB4AC7" w14:textId="77777777" w:rsidR="008E53E8" w:rsidRDefault="008E53E8" w:rsidP="008E53E8">
      <w:pPr>
        <w:spacing w:after="0"/>
        <w:rPr>
          <w:rFonts w:ascii="Verdana" w:eastAsia="Verdana" w:hAnsi="Verdana" w:cs="Verdana"/>
        </w:rPr>
      </w:pPr>
    </w:p>
    <w:p w14:paraId="30D05E2E" w14:textId="77777777" w:rsidR="008E53E8" w:rsidRDefault="008E53E8" w:rsidP="008E53E8">
      <w:pPr>
        <w:spacing w:after="0"/>
        <w:rPr>
          <w:rFonts w:ascii="Verdana" w:eastAsia="Verdana" w:hAnsi="Verdana" w:cs="Verdana"/>
        </w:rPr>
      </w:pPr>
    </w:p>
    <w:p w14:paraId="44B9D2CB" w14:textId="77777777" w:rsidR="008E53E8" w:rsidRDefault="008E53E8" w:rsidP="008E53E8">
      <w:pPr>
        <w:spacing w:after="0"/>
        <w:rPr>
          <w:rFonts w:ascii="Verdana" w:eastAsia="Verdana" w:hAnsi="Verdana" w:cs="Verdana"/>
        </w:rPr>
      </w:pPr>
    </w:p>
    <w:p w14:paraId="27D8858C" w14:textId="77777777" w:rsidR="008E53E8" w:rsidRDefault="008E53E8" w:rsidP="008E53E8">
      <w:pPr>
        <w:spacing w:after="0"/>
        <w:rPr>
          <w:rFonts w:ascii="Verdana" w:eastAsia="Verdana" w:hAnsi="Verdana" w:cs="Verdana"/>
        </w:rPr>
      </w:pPr>
    </w:p>
    <w:p w14:paraId="3888107F" w14:textId="77777777" w:rsidR="008E53E8" w:rsidRDefault="008E53E8" w:rsidP="008E53E8">
      <w:pPr>
        <w:spacing w:after="0"/>
        <w:rPr>
          <w:rFonts w:ascii="Verdana" w:eastAsia="Verdana" w:hAnsi="Verdana" w:cs="Verdana"/>
        </w:rPr>
      </w:pPr>
    </w:p>
    <w:p w14:paraId="56ED9A4C" w14:textId="77777777" w:rsidR="008E53E8" w:rsidRDefault="008E53E8" w:rsidP="008E53E8">
      <w:pPr>
        <w:spacing w:after="0"/>
        <w:rPr>
          <w:rFonts w:ascii="Verdana" w:eastAsia="Verdana" w:hAnsi="Verdana" w:cs="Verdana"/>
        </w:rPr>
      </w:pPr>
    </w:p>
    <w:p w14:paraId="74453E5B" w14:textId="77777777" w:rsidR="008E53E8" w:rsidRDefault="008E53E8" w:rsidP="008E53E8">
      <w:pPr>
        <w:spacing w:after="0"/>
        <w:rPr>
          <w:rFonts w:ascii="Verdana" w:eastAsia="Verdana" w:hAnsi="Verdana" w:cs="Verdana"/>
        </w:rPr>
      </w:pPr>
    </w:p>
    <w:p w14:paraId="1F7626B7" w14:textId="77777777" w:rsidR="008E53E8" w:rsidRDefault="008E53E8" w:rsidP="008E53E8">
      <w:pPr>
        <w:spacing w:after="0"/>
        <w:rPr>
          <w:rFonts w:ascii="Verdana" w:eastAsia="Verdana" w:hAnsi="Verdana" w:cs="Verdana"/>
        </w:rPr>
      </w:pPr>
    </w:p>
    <w:p w14:paraId="12B8057D" w14:textId="77777777" w:rsidR="008E53E8" w:rsidRDefault="008E53E8" w:rsidP="008E53E8">
      <w:pPr>
        <w:spacing w:after="0"/>
        <w:rPr>
          <w:rFonts w:ascii="Verdana" w:eastAsia="Verdana" w:hAnsi="Verdana" w:cs="Verdana"/>
        </w:rPr>
      </w:pPr>
    </w:p>
    <w:p w14:paraId="38B73911" w14:textId="77777777" w:rsidR="008E53E8" w:rsidRDefault="008E53E8" w:rsidP="008E53E8">
      <w:pPr>
        <w:spacing w:after="0"/>
        <w:rPr>
          <w:rFonts w:ascii="Verdana" w:eastAsia="Verdana" w:hAnsi="Verdana" w:cs="Verdana"/>
        </w:rPr>
      </w:pPr>
    </w:p>
    <w:p w14:paraId="681524E7" w14:textId="77777777" w:rsidR="008E53E8" w:rsidRDefault="008E53E8" w:rsidP="008E53E8">
      <w:pPr>
        <w:spacing w:after="0"/>
        <w:rPr>
          <w:rFonts w:ascii="Verdana" w:eastAsia="Verdana" w:hAnsi="Verdana" w:cs="Verdana"/>
        </w:rPr>
      </w:pPr>
    </w:p>
    <w:p w14:paraId="0E35A90F" w14:textId="77777777" w:rsidR="008E53E8" w:rsidRDefault="008E53E8" w:rsidP="008E53E8">
      <w:pPr>
        <w:spacing w:after="0"/>
        <w:rPr>
          <w:rFonts w:ascii="Verdana" w:eastAsia="Verdana" w:hAnsi="Verdana" w:cs="Verdana"/>
        </w:rPr>
      </w:pPr>
    </w:p>
    <w:p w14:paraId="3BA35095" w14:textId="77777777" w:rsidR="008E53E8" w:rsidRDefault="008E53E8" w:rsidP="008E53E8">
      <w:pPr>
        <w:spacing w:after="0"/>
        <w:rPr>
          <w:rFonts w:ascii="Verdana" w:eastAsia="Verdana" w:hAnsi="Verdana" w:cs="Verdana"/>
        </w:rPr>
      </w:pPr>
    </w:p>
    <w:p w14:paraId="03573D73" w14:textId="77777777" w:rsidR="008E53E8" w:rsidRDefault="008E53E8" w:rsidP="008E53E8">
      <w:pPr>
        <w:spacing w:after="0"/>
        <w:rPr>
          <w:rFonts w:ascii="Verdana" w:eastAsia="Verdana" w:hAnsi="Verdana" w:cs="Verdana"/>
        </w:rPr>
      </w:pPr>
    </w:p>
    <w:p w14:paraId="44DD05AC" w14:textId="77777777" w:rsidR="008E53E8" w:rsidRDefault="008E53E8" w:rsidP="008E53E8">
      <w:pPr>
        <w:spacing w:after="0"/>
        <w:rPr>
          <w:rFonts w:ascii="Verdana" w:eastAsia="Verdana" w:hAnsi="Verdana" w:cs="Verdana"/>
        </w:rPr>
      </w:pPr>
    </w:p>
    <w:p w14:paraId="6E2F675B" w14:textId="77777777" w:rsidR="008E53E8" w:rsidRDefault="008E53E8" w:rsidP="008E53E8">
      <w:pPr>
        <w:spacing w:after="0"/>
        <w:rPr>
          <w:rFonts w:ascii="Verdana" w:eastAsia="Verdana" w:hAnsi="Verdana" w:cs="Verdana"/>
        </w:rPr>
      </w:pPr>
    </w:p>
    <w:p w14:paraId="2B9D0007" w14:textId="77777777" w:rsidR="008E53E8" w:rsidRDefault="008E53E8" w:rsidP="008E53E8">
      <w:pPr>
        <w:spacing w:after="0"/>
        <w:rPr>
          <w:rFonts w:ascii="Verdana" w:eastAsia="Verdana" w:hAnsi="Verdana" w:cs="Verdana"/>
        </w:rPr>
      </w:pPr>
    </w:p>
    <w:p w14:paraId="4116CAA9" w14:textId="77777777" w:rsidR="008E53E8" w:rsidRDefault="008E53E8" w:rsidP="008E53E8">
      <w:pPr>
        <w:spacing w:after="0"/>
        <w:rPr>
          <w:rFonts w:ascii="Verdana" w:eastAsia="Verdana" w:hAnsi="Verdana" w:cs="Verdana"/>
        </w:rPr>
      </w:pPr>
    </w:p>
    <w:p w14:paraId="22697F20" w14:textId="77777777" w:rsidR="008E53E8" w:rsidRDefault="008E53E8" w:rsidP="008E53E8">
      <w:pPr>
        <w:spacing w:after="0"/>
        <w:rPr>
          <w:rFonts w:ascii="Verdana" w:eastAsia="Verdana" w:hAnsi="Verdana" w:cs="Verdana"/>
        </w:rPr>
      </w:pPr>
    </w:p>
    <w:p w14:paraId="443EBE46" w14:textId="77777777" w:rsidR="008E53E8" w:rsidRDefault="008E53E8" w:rsidP="008E53E8">
      <w:pPr>
        <w:spacing w:after="0"/>
        <w:rPr>
          <w:rFonts w:ascii="Verdana" w:eastAsia="Verdana" w:hAnsi="Verdana" w:cs="Verdana"/>
        </w:rPr>
      </w:pPr>
    </w:p>
    <w:p w14:paraId="3616607E" w14:textId="77777777" w:rsidR="008E53E8" w:rsidRDefault="008E53E8" w:rsidP="008E53E8">
      <w:pPr>
        <w:spacing w:after="0"/>
        <w:rPr>
          <w:rFonts w:ascii="Verdana" w:eastAsia="Verdana" w:hAnsi="Verdana" w:cs="Verdana"/>
        </w:rPr>
      </w:pPr>
    </w:p>
    <w:p w14:paraId="13808C2E" w14:textId="77777777" w:rsidR="008E53E8" w:rsidRDefault="008E53E8" w:rsidP="008E53E8">
      <w:pPr>
        <w:spacing w:after="0"/>
        <w:rPr>
          <w:rFonts w:ascii="Verdana" w:eastAsia="Verdana" w:hAnsi="Verdana" w:cs="Verdana"/>
        </w:rPr>
      </w:pPr>
    </w:p>
    <w:p w14:paraId="458E8259" w14:textId="77777777" w:rsidR="008E53E8" w:rsidRDefault="008E53E8" w:rsidP="008E53E8">
      <w:pPr>
        <w:spacing w:after="0"/>
        <w:rPr>
          <w:rFonts w:ascii="Verdana" w:eastAsia="Verdana" w:hAnsi="Verdana" w:cs="Verdana"/>
        </w:rPr>
      </w:pPr>
    </w:p>
    <w:p w14:paraId="072B6EAC" w14:textId="77777777" w:rsidR="008E53E8" w:rsidRDefault="008E53E8" w:rsidP="008E53E8">
      <w:pPr>
        <w:spacing w:after="0"/>
        <w:rPr>
          <w:rFonts w:ascii="Verdana" w:eastAsia="Verdana" w:hAnsi="Verdana" w:cs="Verdana"/>
        </w:rPr>
      </w:pPr>
    </w:p>
    <w:p w14:paraId="284163E6" w14:textId="77777777" w:rsidR="008E53E8" w:rsidRDefault="008E53E8" w:rsidP="008E53E8">
      <w:pPr>
        <w:spacing w:after="0"/>
        <w:rPr>
          <w:rFonts w:ascii="Verdana" w:eastAsia="Verdana" w:hAnsi="Verdana" w:cs="Verdana"/>
        </w:rPr>
      </w:pPr>
    </w:p>
    <w:p w14:paraId="605BD917" w14:textId="06200006" w:rsidR="008E53E8" w:rsidRDefault="008E53E8" w:rsidP="00241959">
      <w:pPr>
        <w:tabs>
          <w:tab w:val="left" w:pos="2760"/>
        </w:tabs>
        <w:spacing w:after="0"/>
        <w:rPr>
          <w:rFonts w:ascii="Verdana" w:eastAsia="Verdana" w:hAnsi="Verdana" w:cs="Verdana"/>
        </w:rPr>
      </w:pPr>
    </w:p>
    <w:p w14:paraId="3EA425FE" w14:textId="39F4F43A" w:rsidR="008E53E8" w:rsidRDefault="008E53E8" w:rsidP="008E53E8">
      <w:pPr>
        <w:spacing w:after="0"/>
        <w:rPr>
          <w:rFonts w:ascii="Verdana" w:eastAsia="Verdana" w:hAnsi="Verdana" w:cs="Verdana"/>
        </w:rPr>
      </w:pPr>
    </w:p>
    <w:p w14:paraId="3A52448F" w14:textId="48956792" w:rsidR="008E53E8" w:rsidRDefault="008E53E8" w:rsidP="008E53E8">
      <w:pPr>
        <w:spacing w:after="0"/>
        <w:rPr>
          <w:rFonts w:ascii="Verdana" w:eastAsia="Verdana" w:hAnsi="Verdana" w:cs="Verdana"/>
        </w:rPr>
      </w:pPr>
    </w:p>
    <w:p w14:paraId="011D0023" w14:textId="502823C6" w:rsidR="008E53E8" w:rsidRDefault="004D76BD" w:rsidP="008E53E8">
      <w:pPr>
        <w:spacing w:after="0"/>
        <w:rPr>
          <w:rFonts w:ascii="Verdana" w:eastAsia="Verdana" w:hAnsi="Verdana" w:cs="Verdana"/>
        </w:rPr>
      </w:pPr>
      <w:r>
        <w:rPr>
          <w:noProof/>
        </w:rPr>
        <w:lastRenderedPageBreak/>
        <w:drawing>
          <wp:anchor distT="0" distB="0" distL="0" distR="0" simplePos="0" relativeHeight="251660288" behindDoc="0" locked="0" layoutInCell="1" allowOverlap="1" wp14:anchorId="6CE42498" wp14:editId="6D9E553B">
            <wp:simplePos x="0" y="0"/>
            <wp:positionH relativeFrom="page">
              <wp:posOffset>4635795</wp:posOffset>
            </wp:positionH>
            <wp:positionV relativeFrom="paragraph">
              <wp:posOffset>149063</wp:posOffset>
            </wp:positionV>
            <wp:extent cx="2509284" cy="691116"/>
            <wp:effectExtent l="0" t="0" r="5715" b="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0" cstate="print"/>
                    <a:stretch>
                      <a:fillRect/>
                    </a:stretch>
                  </pic:blipFill>
                  <pic:spPr>
                    <a:xfrm>
                      <a:off x="0" y="0"/>
                      <a:ext cx="2511470" cy="691718"/>
                    </a:xfrm>
                    <a:prstGeom prst="rect">
                      <a:avLst/>
                    </a:prstGeom>
                  </pic:spPr>
                </pic:pic>
              </a:graphicData>
            </a:graphic>
            <wp14:sizeRelH relativeFrom="margin">
              <wp14:pctWidth>0</wp14:pctWidth>
            </wp14:sizeRelH>
            <wp14:sizeRelV relativeFrom="margin">
              <wp14:pctHeight>0</wp14:pctHeight>
            </wp14:sizeRelV>
          </wp:anchor>
        </w:drawing>
      </w:r>
      <w:r w:rsidR="008E53E8" w:rsidRPr="30821638">
        <w:rPr>
          <w:rFonts w:ascii="Verdana" w:eastAsia="Verdana" w:hAnsi="Verdana" w:cs="Verdana"/>
        </w:rPr>
        <w:t xml:space="preserve">Bogotá D.C., </w:t>
      </w:r>
      <w:r w:rsidR="00524DB1">
        <w:rPr>
          <w:rFonts w:ascii="Verdana" w:eastAsia="Verdana" w:hAnsi="Verdana" w:cs="Verdana"/>
        </w:rPr>
        <w:t xml:space="preserve">17 </w:t>
      </w:r>
      <w:r w:rsidR="001105B2">
        <w:rPr>
          <w:rFonts w:ascii="Verdana" w:eastAsia="Verdana" w:hAnsi="Verdana" w:cs="Verdana"/>
        </w:rPr>
        <w:t>marzo</w:t>
      </w:r>
      <w:r w:rsidR="00524DB1">
        <w:rPr>
          <w:rFonts w:ascii="Verdana" w:eastAsia="Verdana" w:hAnsi="Verdana" w:cs="Verdana"/>
        </w:rPr>
        <w:t xml:space="preserve"> 2026</w:t>
      </w:r>
    </w:p>
    <w:p w14:paraId="509AFE8E" w14:textId="195DE575" w:rsidR="008E53E8" w:rsidRPr="006733BD" w:rsidRDefault="008E53E8" w:rsidP="008E53E8">
      <w:pPr>
        <w:spacing w:after="0"/>
        <w:rPr>
          <w:rFonts w:ascii="Verdana" w:hAnsi="Verdana"/>
          <w:color w:val="ED7D31" w:themeColor="accent2"/>
          <w:lang w:val="es-ES"/>
        </w:rPr>
      </w:pPr>
    </w:p>
    <w:p w14:paraId="65245E22" w14:textId="3B85B3F3" w:rsidR="008E53E8" w:rsidRPr="00801A0F" w:rsidRDefault="008E53E8" w:rsidP="008E53E8">
      <w:pPr>
        <w:spacing w:after="0" w:line="240" w:lineRule="auto"/>
        <w:rPr>
          <w:rFonts w:ascii="Verdana" w:hAnsi="Verdana"/>
          <w:lang w:val="es-ES"/>
        </w:rPr>
      </w:pPr>
      <w:r w:rsidRPr="00801A0F">
        <w:rPr>
          <w:rFonts w:ascii="Verdana" w:eastAsia="Calibri" w:hAnsi="Verdana" w:cs="Arial"/>
          <w:lang w:val="es-ES" w:eastAsia="es-ES"/>
        </w:rPr>
        <w:t>Señor</w:t>
      </w:r>
      <w:r>
        <w:rPr>
          <w:rFonts w:ascii="Verdana" w:eastAsia="Calibri" w:hAnsi="Verdana" w:cs="Arial"/>
          <w:lang w:val="es-ES" w:eastAsia="es-ES"/>
        </w:rPr>
        <w:t>es</w:t>
      </w:r>
      <w:r w:rsidR="004D76BD">
        <w:rPr>
          <w:rFonts w:ascii="Verdana" w:eastAsia="Calibri" w:hAnsi="Verdana" w:cs="Arial"/>
          <w:lang w:val="es-ES" w:eastAsia="es-ES"/>
        </w:rPr>
        <w:t xml:space="preserve">                                                                                     </w:t>
      </w:r>
    </w:p>
    <w:p w14:paraId="3F3C2DC5" w14:textId="77777777" w:rsidR="008E53E8" w:rsidRPr="00D15BC0" w:rsidRDefault="008E53E8" w:rsidP="008E53E8">
      <w:pPr>
        <w:spacing w:after="0" w:line="240" w:lineRule="auto"/>
        <w:rPr>
          <w:rFonts w:ascii="Verdana" w:eastAsia="Verdana" w:hAnsi="Verdana" w:cs="Verdana"/>
          <w:b/>
          <w:bCs/>
          <w:lang w:val="es-MX"/>
        </w:rPr>
      </w:pPr>
      <w:r w:rsidRPr="00315F0D">
        <w:rPr>
          <w:rFonts w:ascii="Verdana" w:eastAsia="Verdana" w:hAnsi="Verdana" w:cs="Verdana"/>
          <w:b/>
          <w:bCs/>
          <w:lang w:val="es-MX"/>
        </w:rPr>
        <w:t>Municipio De Dosquebradas</w:t>
      </w:r>
    </w:p>
    <w:p w14:paraId="02B4BC3B" w14:textId="77777777" w:rsidR="008E53E8" w:rsidRPr="00265E4A" w:rsidRDefault="008E53E8" w:rsidP="008E53E8">
      <w:pPr>
        <w:spacing w:after="0" w:line="240" w:lineRule="auto"/>
        <w:rPr>
          <w:rStyle w:val="Hipervnculo"/>
          <w:rFonts w:ascii="Verdana" w:eastAsia="Verdana" w:hAnsi="Verdana" w:cs="Verdana"/>
          <w:color w:val="auto"/>
          <w:u w:val="none"/>
          <w:lang w:val="es-MX"/>
        </w:rPr>
      </w:pPr>
      <w:hyperlink r:id="rId11" w:history="1">
        <w:r w:rsidRPr="00326A68">
          <w:rPr>
            <w:rStyle w:val="Hipervnculo"/>
            <w:rFonts w:ascii="Verdana" w:eastAsia="Verdana" w:hAnsi="Verdana" w:cs="Verdana"/>
            <w:lang w:val="es-MX"/>
          </w:rPr>
          <w:t>saianotificaciones@dosquebradas.gov.co</w:t>
        </w:r>
      </w:hyperlink>
      <w:r>
        <w:rPr>
          <w:rFonts w:ascii="Verdana" w:eastAsia="Verdana" w:hAnsi="Verdana" w:cs="Verdana"/>
          <w:lang w:val="es-MX"/>
        </w:rPr>
        <w:t xml:space="preserve"> </w:t>
      </w:r>
    </w:p>
    <w:p w14:paraId="6AA5D8DB" w14:textId="77777777" w:rsidR="008E53E8" w:rsidRDefault="008E53E8" w:rsidP="008E53E8">
      <w:pPr>
        <w:spacing w:after="0" w:line="240" w:lineRule="auto"/>
        <w:rPr>
          <w:rFonts w:ascii="Verdana" w:eastAsia="Verdana" w:hAnsi="Verdana" w:cs="Verdana"/>
          <w:lang w:val="es-MX"/>
        </w:rPr>
      </w:pPr>
      <w:r>
        <w:rPr>
          <w:rFonts w:ascii="Verdana" w:eastAsia="Verdana" w:hAnsi="Verdana" w:cs="Verdana"/>
          <w:lang w:val="es-MX"/>
        </w:rPr>
        <w:t>Dosquebradas-Risaralda</w:t>
      </w:r>
    </w:p>
    <w:p w14:paraId="777D36F4" w14:textId="77777777" w:rsidR="008E53E8" w:rsidRPr="006209EF" w:rsidRDefault="008E53E8" w:rsidP="008E53E8">
      <w:pPr>
        <w:spacing w:after="0"/>
        <w:rPr>
          <w:rFonts w:ascii="Verdana" w:eastAsia="Calibri" w:hAnsi="Verdana" w:cs="Arial"/>
          <w:color w:val="ED7D31" w:themeColor="accent2"/>
          <w:lang w:val="es-MX" w:eastAsia="es-ES"/>
        </w:rPr>
      </w:pPr>
    </w:p>
    <w:p w14:paraId="19B226FA" w14:textId="77777777" w:rsidR="008E53E8" w:rsidRPr="006733BD" w:rsidRDefault="008E53E8" w:rsidP="008E53E8">
      <w:pPr>
        <w:spacing w:after="0" w:line="240" w:lineRule="auto"/>
        <w:rPr>
          <w:rFonts w:ascii="Verdana" w:eastAsia="Calibri" w:hAnsi="Verdana" w:cs="Arial"/>
          <w:b/>
          <w:bCs/>
          <w:color w:val="ED7D31" w:themeColor="accent2"/>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8E53E8" w:rsidRPr="006733BD" w14:paraId="2145BFC8" w14:textId="77777777" w:rsidTr="00517FDB">
        <w:trPr>
          <w:trHeight w:val="300"/>
        </w:trPr>
        <w:tc>
          <w:tcPr>
            <w:tcW w:w="2410" w:type="dxa"/>
          </w:tcPr>
          <w:p w14:paraId="628E13DE" w14:textId="77777777" w:rsidR="008E53E8" w:rsidRPr="00A54BCB" w:rsidRDefault="008E53E8" w:rsidP="00517FDB">
            <w:pPr>
              <w:ind w:left="-142"/>
              <w:jc w:val="both"/>
              <w:rPr>
                <w:rFonts w:ascii="Verdana" w:eastAsia="Calibri" w:hAnsi="Verdana" w:cs="Arial"/>
                <w:b/>
                <w:bCs/>
                <w:lang w:val="es-ES" w:eastAsia="es-ES_tradnl"/>
              </w:rPr>
            </w:pPr>
          </w:p>
        </w:tc>
        <w:tc>
          <w:tcPr>
            <w:tcW w:w="6100" w:type="dxa"/>
          </w:tcPr>
          <w:p w14:paraId="7F9D1DB0" w14:textId="77777777" w:rsidR="008E53E8" w:rsidRPr="00A54BCB" w:rsidRDefault="008E53E8" w:rsidP="00517FDB">
            <w:pPr>
              <w:ind w:left="3"/>
              <w:jc w:val="both"/>
              <w:rPr>
                <w:rFonts w:ascii="Verdana" w:eastAsia="Calibri" w:hAnsi="Verdana" w:cs="Arial"/>
                <w:b/>
                <w:bCs/>
                <w:lang w:val="es-ES" w:eastAsia="es-ES"/>
              </w:rPr>
            </w:pPr>
            <w:r w:rsidRPr="00A54BCB">
              <w:rPr>
                <w:rFonts w:ascii="Verdana" w:eastAsia="Calibri" w:hAnsi="Verdana" w:cs="Arial"/>
                <w:b/>
                <w:bCs/>
                <w:lang w:val="es-ES" w:eastAsia="es-ES"/>
              </w:rPr>
              <w:t>Concepto C-</w:t>
            </w:r>
            <w:r>
              <w:rPr>
                <w:rFonts w:ascii="Verdana" w:eastAsia="Calibri" w:hAnsi="Verdana" w:cs="Arial"/>
                <w:b/>
                <w:bCs/>
                <w:lang w:val="es-ES" w:eastAsia="es-ES"/>
              </w:rPr>
              <w:t>163</w:t>
            </w:r>
            <w:r w:rsidRPr="00A54BCB">
              <w:rPr>
                <w:rFonts w:ascii="Verdana" w:eastAsia="Calibri" w:hAnsi="Verdana" w:cs="Arial"/>
                <w:b/>
                <w:bCs/>
                <w:lang w:val="es-ES" w:eastAsia="es-ES"/>
              </w:rPr>
              <w:t xml:space="preserve"> de 202</w:t>
            </w:r>
            <w:r>
              <w:rPr>
                <w:rFonts w:ascii="Verdana" w:eastAsia="Calibri" w:hAnsi="Verdana" w:cs="Arial"/>
                <w:b/>
                <w:bCs/>
                <w:lang w:val="es-ES" w:eastAsia="es-ES"/>
              </w:rPr>
              <w:t>6</w:t>
            </w:r>
          </w:p>
          <w:p w14:paraId="4988D44F" w14:textId="77777777" w:rsidR="008E53E8" w:rsidRPr="00A54BCB" w:rsidRDefault="008E53E8" w:rsidP="00517FDB">
            <w:pPr>
              <w:ind w:left="3"/>
              <w:jc w:val="both"/>
              <w:rPr>
                <w:rFonts w:ascii="Verdana" w:eastAsia="Calibri" w:hAnsi="Verdana" w:cs="Arial"/>
                <w:b/>
                <w:bCs/>
                <w:lang w:val="es-ES" w:eastAsia="es-ES"/>
              </w:rPr>
            </w:pPr>
          </w:p>
        </w:tc>
      </w:tr>
      <w:tr w:rsidR="008E53E8" w:rsidRPr="006733BD" w14:paraId="7E5E6ADC" w14:textId="77777777" w:rsidTr="00517FDB">
        <w:trPr>
          <w:trHeight w:val="300"/>
        </w:trPr>
        <w:tc>
          <w:tcPr>
            <w:tcW w:w="2410" w:type="dxa"/>
          </w:tcPr>
          <w:p w14:paraId="0BDB1069" w14:textId="77777777" w:rsidR="008E53E8" w:rsidRPr="006733BD" w:rsidRDefault="008E53E8" w:rsidP="00517FDB">
            <w:pPr>
              <w:ind w:left="424" w:firstLine="142"/>
              <w:jc w:val="both"/>
              <w:rPr>
                <w:rFonts w:ascii="Verdana" w:eastAsia="Calibri" w:hAnsi="Verdana" w:cs="Arial"/>
                <w:color w:val="ED7D31" w:themeColor="accent2"/>
                <w:lang w:val="es-ES" w:eastAsia="es-ES_tradnl"/>
              </w:rPr>
            </w:pPr>
            <w:r w:rsidRPr="00A54BCB">
              <w:rPr>
                <w:rFonts w:ascii="Verdana" w:eastAsia="Calibri" w:hAnsi="Verdana" w:cs="Arial"/>
                <w:b/>
                <w:lang w:val="es-ES" w:eastAsia="es-ES_tradnl"/>
              </w:rPr>
              <w:t>Temas:</w:t>
            </w:r>
            <w:r w:rsidRPr="006733BD">
              <w:rPr>
                <w:rFonts w:ascii="Verdana" w:eastAsia="Calibri" w:hAnsi="Verdana" w:cs="Arial"/>
                <w:color w:val="ED7D31" w:themeColor="accent2"/>
                <w:lang w:val="es-ES" w:eastAsia="es-ES_tradnl"/>
              </w:rPr>
              <w:t xml:space="preserve">                  </w:t>
            </w:r>
          </w:p>
        </w:tc>
        <w:tc>
          <w:tcPr>
            <w:tcW w:w="6100" w:type="dxa"/>
          </w:tcPr>
          <w:p w14:paraId="60966A7D" w14:textId="70A4488C" w:rsidR="00144EB3" w:rsidRDefault="008E53E8" w:rsidP="00517FDB">
            <w:pPr>
              <w:tabs>
                <w:tab w:val="left" w:pos="3374"/>
              </w:tabs>
              <w:jc w:val="both"/>
              <w:rPr>
                <w:rFonts w:ascii="Verdana" w:eastAsia="Calibri" w:hAnsi="Verdana" w:cs="Arial"/>
                <w:lang w:val="es-ES" w:eastAsia="es-ES"/>
              </w:rPr>
            </w:pPr>
            <w:r w:rsidRPr="00E631A9">
              <w:rPr>
                <w:rFonts w:ascii="Verdana" w:eastAsia="Calibri" w:hAnsi="Verdana" w:cs="Arial"/>
                <w:lang w:val="es-ES" w:eastAsia="es-ES"/>
              </w:rPr>
              <w:t xml:space="preserve">LEY DE GARANTÍAS ELECTORALES ─ Definición ─ Finalidad ─ Restricciones ─ Destinatarios / LEY DE GARANTÍAS ELECTORALES ─ Prohibición ─ Contratación Directa ─ Alcance ─ Excepciones / </w:t>
            </w:r>
            <w:r w:rsidR="00144EB3" w:rsidRPr="00E631A9">
              <w:rPr>
                <w:rFonts w:ascii="Verdana" w:eastAsia="Calibri" w:hAnsi="Verdana" w:cs="Arial"/>
                <w:lang w:val="es-ES" w:eastAsia="es-ES"/>
              </w:rPr>
              <w:t>LEY DE GARANTÍAS ELECTORALES ─ Prohibición ─</w:t>
            </w:r>
            <w:r w:rsidR="00144EB3">
              <w:rPr>
                <w:rFonts w:ascii="Verdana" w:eastAsia="Calibri" w:hAnsi="Verdana" w:cs="Arial"/>
                <w:lang w:val="es-ES" w:eastAsia="es-ES"/>
              </w:rPr>
              <w:t xml:space="preserve"> Convenios interadministrativos / </w:t>
            </w:r>
            <w:r w:rsidR="00A14620" w:rsidRPr="00E631A9">
              <w:rPr>
                <w:rFonts w:ascii="Verdana" w:eastAsia="Calibri" w:hAnsi="Verdana" w:cs="Arial"/>
                <w:lang w:val="es-ES" w:eastAsia="es-ES"/>
              </w:rPr>
              <w:t>LEY DE GARANTÍAS ELECTORALES ─ Prohibición ─</w:t>
            </w:r>
            <w:r w:rsidR="00A14620">
              <w:rPr>
                <w:rFonts w:ascii="Verdana" w:eastAsia="Calibri" w:hAnsi="Verdana" w:cs="Arial"/>
                <w:lang w:val="es-ES" w:eastAsia="es-ES"/>
              </w:rPr>
              <w:t xml:space="preserve"> Convenios y contratos interadministrativos – Distinción – Aplicación restricción / </w:t>
            </w:r>
            <w:r w:rsidR="00A14620" w:rsidRPr="00E631A9">
              <w:rPr>
                <w:rFonts w:ascii="Verdana" w:eastAsia="Calibri" w:hAnsi="Verdana" w:cs="Arial"/>
                <w:lang w:val="es-ES" w:eastAsia="es-ES"/>
              </w:rPr>
              <w:t>LEY DE GARANTÍAS ELECTORALES ─ Prohibición ─</w:t>
            </w:r>
            <w:r w:rsidR="00A14620">
              <w:rPr>
                <w:rFonts w:ascii="Verdana" w:eastAsia="Calibri" w:hAnsi="Verdana" w:cs="Arial"/>
                <w:lang w:val="es-ES" w:eastAsia="es-ES"/>
              </w:rPr>
              <w:t xml:space="preserve"> Convenios interadministrativos – no aplicación excepciones</w:t>
            </w:r>
          </w:p>
          <w:p w14:paraId="260A90B6" w14:textId="77777777" w:rsidR="008E53E8" w:rsidRPr="008F679F" w:rsidRDefault="008E53E8" w:rsidP="00A14620">
            <w:pPr>
              <w:tabs>
                <w:tab w:val="left" w:pos="3374"/>
              </w:tabs>
              <w:jc w:val="both"/>
              <w:rPr>
                <w:rFonts w:ascii="Verdana" w:eastAsia="Calibri" w:hAnsi="Verdana" w:cs="Arial"/>
                <w:color w:val="ED7D31" w:themeColor="accent2"/>
                <w:lang w:val="es-ES"/>
              </w:rPr>
            </w:pPr>
          </w:p>
        </w:tc>
      </w:tr>
      <w:tr w:rsidR="008E53E8" w:rsidRPr="00C5490E" w14:paraId="782C4556" w14:textId="77777777" w:rsidTr="00517FDB">
        <w:tc>
          <w:tcPr>
            <w:tcW w:w="2410" w:type="dxa"/>
          </w:tcPr>
          <w:p w14:paraId="07366479" w14:textId="77777777" w:rsidR="008E53E8" w:rsidRPr="006733BD" w:rsidRDefault="008E53E8" w:rsidP="00517FDB">
            <w:pPr>
              <w:ind w:left="561"/>
              <w:jc w:val="both"/>
              <w:rPr>
                <w:rFonts w:ascii="Verdana" w:eastAsia="Calibri" w:hAnsi="Verdana" w:cs="Arial"/>
                <w:b/>
                <w:color w:val="ED7D31" w:themeColor="accent2"/>
                <w:lang w:val="es-ES" w:eastAsia="es-ES_tradnl"/>
              </w:rPr>
            </w:pPr>
            <w:r w:rsidRPr="00A54BCB">
              <w:rPr>
                <w:rFonts w:ascii="Verdana" w:eastAsia="Calibri" w:hAnsi="Verdana" w:cs="Arial"/>
                <w:b/>
                <w:lang w:val="es-ES" w:eastAsia="es-ES_tradnl"/>
              </w:rPr>
              <w:t>Radicación:</w:t>
            </w:r>
            <w:r w:rsidRPr="00A54BCB">
              <w:rPr>
                <w:rFonts w:ascii="Verdana" w:eastAsia="Calibri" w:hAnsi="Verdana" w:cs="Arial"/>
                <w:lang w:val="es-ES" w:eastAsia="es-ES_tradnl"/>
              </w:rPr>
              <w:t xml:space="preserve">   </w:t>
            </w:r>
            <w:r w:rsidRPr="006733BD">
              <w:rPr>
                <w:rFonts w:ascii="Verdana" w:eastAsia="Calibri" w:hAnsi="Verdana" w:cs="Arial"/>
                <w:color w:val="ED7D31" w:themeColor="accent2"/>
                <w:lang w:val="es-ES" w:eastAsia="es-ES_tradnl"/>
              </w:rPr>
              <w:t xml:space="preserve">           </w:t>
            </w:r>
          </w:p>
        </w:tc>
        <w:tc>
          <w:tcPr>
            <w:tcW w:w="6100" w:type="dxa"/>
          </w:tcPr>
          <w:p w14:paraId="4CB934D2" w14:textId="77777777" w:rsidR="008E53E8" w:rsidRPr="00C5490E" w:rsidRDefault="008E53E8" w:rsidP="00517FDB">
            <w:pPr>
              <w:ind w:left="3"/>
              <w:jc w:val="both"/>
              <w:rPr>
                <w:rFonts w:ascii="Verdana" w:hAnsi="Verdana"/>
                <w:lang w:val="es-ES"/>
              </w:rPr>
            </w:pPr>
            <w:r w:rsidRPr="00C5490E">
              <w:rPr>
                <w:rFonts w:ascii="Verdana" w:eastAsia="Calibri" w:hAnsi="Verdana" w:cs="Arial"/>
                <w:lang w:val="es-ES" w:eastAsia="es-ES"/>
              </w:rPr>
              <w:t xml:space="preserve">Respuesta a consulta con radicado No. </w:t>
            </w:r>
            <w:r>
              <w:rPr>
                <w:rFonts w:ascii="Verdana" w:hAnsi="Verdana" w:cs="Calibri"/>
                <w:color w:val="000000"/>
              </w:rPr>
              <w:t>1_2026_02_05_001477</w:t>
            </w:r>
          </w:p>
        </w:tc>
      </w:tr>
    </w:tbl>
    <w:p w14:paraId="556CE768" w14:textId="77777777" w:rsidR="008E53E8" w:rsidRPr="006733BD" w:rsidRDefault="008E53E8" w:rsidP="008E53E8">
      <w:pPr>
        <w:spacing w:after="0" w:line="276" w:lineRule="auto"/>
        <w:jc w:val="both"/>
        <w:rPr>
          <w:rFonts w:ascii="Verdana" w:eastAsia="Calibri" w:hAnsi="Verdana" w:cs="Arial"/>
          <w:color w:val="ED7D31" w:themeColor="accent2"/>
          <w:lang w:val="es-ES" w:eastAsia="es-ES"/>
        </w:rPr>
      </w:pPr>
    </w:p>
    <w:p w14:paraId="4DF661AA" w14:textId="77777777" w:rsidR="008E53E8" w:rsidRPr="006733BD" w:rsidRDefault="008E53E8" w:rsidP="008E53E8">
      <w:pPr>
        <w:spacing w:after="0" w:line="276" w:lineRule="auto"/>
        <w:jc w:val="both"/>
        <w:rPr>
          <w:rFonts w:ascii="Verdana" w:eastAsia="Calibri" w:hAnsi="Verdana" w:cs="Arial"/>
          <w:color w:val="ED7D31" w:themeColor="accent2"/>
          <w:lang w:val="es-ES" w:eastAsia="es-ES"/>
        </w:rPr>
      </w:pPr>
    </w:p>
    <w:p w14:paraId="000D8B48" w14:textId="77777777" w:rsidR="008E53E8" w:rsidRDefault="008E53E8" w:rsidP="008E53E8">
      <w:pPr>
        <w:spacing w:after="0" w:line="276" w:lineRule="auto"/>
        <w:jc w:val="both"/>
        <w:rPr>
          <w:rFonts w:ascii="Verdana" w:eastAsia="Calibri" w:hAnsi="Verdana" w:cs="Arial"/>
          <w:lang w:val="es-ES" w:eastAsia="es-ES"/>
        </w:rPr>
      </w:pPr>
    </w:p>
    <w:p w14:paraId="22A4F870" w14:textId="77777777" w:rsidR="008E53E8" w:rsidRPr="00C5490E" w:rsidRDefault="008E53E8" w:rsidP="008E53E8">
      <w:pPr>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Estimado Señor</w:t>
      </w:r>
      <w:r>
        <w:rPr>
          <w:rFonts w:ascii="Verdana" w:eastAsia="Calibri" w:hAnsi="Verdana" w:cs="Arial"/>
          <w:lang w:val="es-ES" w:eastAsia="es-ES"/>
        </w:rPr>
        <w:t>es</w:t>
      </w:r>
      <w:r w:rsidRPr="00C5490E">
        <w:rPr>
          <w:rFonts w:ascii="Verdana" w:eastAsia="Calibri" w:hAnsi="Verdana" w:cs="Arial"/>
          <w:lang w:val="es-ES" w:eastAsia="es-ES"/>
        </w:rPr>
        <w:t>,</w:t>
      </w:r>
    </w:p>
    <w:p w14:paraId="2DDBABC5" w14:textId="77777777" w:rsidR="008E53E8" w:rsidRPr="00C5490E" w:rsidRDefault="008E53E8" w:rsidP="008E53E8">
      <w:pPr>
        <w:tabs>
          <w:tab w:val="left" w:pos="3768"/>
        </w:tabs>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ab/>
      </w:r>
    </w:p>
    <w:p w14:paraId="5F5965D4" w14:textId="77777777" w:rsidR="008E53E8" w:rsidRPr="00C5490E" w:rsidRDefault="008E53E8" w:rsidP="008E53E8">
      <w:pPr>
        <w:spacing w:after="0" w:line="276" w:lineRule="auto"/>
        <w:jc w:val="both"/>
        <w:rPr>
          <w:rFonts w:ascii="Verdana" w:eastAsia="Calibri" w:hAnsi="Verdana" w:cs="Arial"/>
          <w:lang w:val="es-ES" w:eastAsia="es-ES"/>
        </w:rPr>
      </w:pPr>
      <w:r w:rsidRPr="00852F26">
        <w:rPr>
          <w:rFonts w:ascii="Verdana" w:eastAsia="Calibri" w:hAnsi="Verdana" w:cs="Arial"/>
          <w:lang w:val="es-ES"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w:t>
      </w:r>
      <w:r>
        <w:rPr>
          <w:rFonts w:ascii="Verdana" w:eastAsia="Calibri" w:hAnsi="Verdana" w:cs="Arial"/>
          <w:lang w:val="es-ES" w:eastAsia="es-ES"/>
        </w:rPr>
        <w:t>05</w:t>
      </w:r>
      <w:r w:rsidRPr="00852F26">
        <w:rPr>
          <w:rFonts w:ascii="Verdana" w:eastAsia="Calibri" w:hAnsi="Verdana" w:cs="Arial"/>
          <w:lang w:val="es-ES" w:eastAsia="es-ES"/>
        </w:rPr>
        <w:t xml:space="preserve"> de febrero de 2026, en la cual manifiesta lo siguiente:</w:t>
      </w:r>
    </w:p>
    <w:p w14:paraId="03A457E0" w14:textId="77777777" w:rsidR="008E53E8" w:rsidRPr="006733BD" w:rsidRDefault="008E53E8" w:rsidP="008E53E8">
      <w:pPr>
        <w:tabs>
          <w:tab w:val="left" w:pos="142"/>
          <w:tab w:val="left" w:pos="284"/>
        </w:tabs>
        <w:spacing w:after="0" w:line="276" w:lineRule="auto"/>
        <w:contextualSpacing/>
        <w:jc w:val="both"/>
        <w:rPr>
          <w:rFonts w:ascii="Verdana" w:eastAsia="Century Gothic" w:hAnsi="Verdana" w:cs="Century Gothic"/>
          <w:b/>
          <w:bCs/>
          <w:color w:val="ED7D31" w:themeColor="accent2"/>
          <w:lang w:val="es-ES"/>
        </w:rPr>
      </w:pPr>
    </w:p>
    <w:p w14:paraId="4274B065" w14:textId="2D4A6BE6" w:rsidR="00BB6406" w:rsidRDefault="00BB6406" w:rsidP="00294702">
      <w:pPr>
        <w:spacing w:after="0" w:line="240" w:lineRule="auto"/>
        <w:ind w:left="709" w:right="709"/>
        <w:jc w:val="both"/>
        <w:rPr>
          <w:rFonts w:ascii="Verdana" w:eastAsia="Century Gothic" w:hAnsi="Verdana" w:cs="Century Gothic"/>
          <w:i/>
          <w:iCs/>
          <w:sz w:val="20"/>
          <w:szCs w:val="20"/>
          <w:lang w:val="es-ES"/>
        </w:rPr>
      </w:pPr>
      <w:r>
        <w:rPr>
          <w:rFonts w:ascii="Verdana" w:eastAsia="Century Gothic" w:hAnsi="Verdana" w:cs="Century Gothic"/>
          <w:i/>
          <w:iCs/>
          <w:sz w:val="20"/>
          <w:szCs w:val="20"/>
          <w:lang w:val="es-ES"/>
        </w:rPr>
        <w:t>“</w:t>
      </w:r>
      <w:r w:rsidRPr="00BB6406">
        <w:rPr>
          <w:rFonts w:ascii="Verdana" w:eastAsia="Century Gothic" w:hAnsi="Verdana" w:cs="Century Gothic"/>
          <w:i/>
          <w:iCs/>
          <w:sz w:val="20"/>
          <w:szCs w:val="20"/>
          <w:lang w:val="es-ES"/>
        </w:rPr>
        <w:t>Con fundamento en lo anterior, se solicita a esa Dirección Jurídica emitir concepto jurídico sobre la viabilidad de</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celebrar convenios interadministrativos con el INPEC u otras entidades del Estado durante la vigencia de la Ley de</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Garantías Electorales, cuando su objeto sea la garantía de los derechos humanos y fundamentales de la población</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privada de la libertad. Así mismo, se solicita pronunciamiento sobre si la no celebración</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de dichos convenios, pese</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 xml:space="preserve">a la existencia de un riesgo cierto </w:t>
      </w:r>
      <w:r w:rsidRPr="00BB6406">
        <w:rPr>
          <w:rFonts w:ascii="Verdana" w:eastAsia="Century Gothic" w:hAnsi="Verdana" w:cs="Century Gothic"/>
          <w:i/>
          <w:iCs/>
          <w:sz w:val="20"/>
          <w:szCs w:val="20"/>
          <w:lang w:val="es-ES"/>
        </w:rPr>
        <w:lastRenderedPageBreak/>
        <w:t>y grave de vulneración de derechos fundamentales, podría derivar en</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responsabilidades constitucionales, disciplinarias o administrativas para la entidad territorial por omisión en el</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cumplimiento de sus deberes, y cuál es el marco normativo aplicable para sustentar jurídicamente la procedencia</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de estos instrumentos de cooperación interadministrativa, a la luz de los principios de colaboración armónica,</w:t>
      </w:r>
      <w:r>
        <w:rPr>
          <w:rFonts w:ascii="Verdana" w:eastAsia="Century Gothic" w:hAnsi="Verdana" w:cs="Century Gothic"/>
          <w:i/>
          <w:iCs/>
          <w:sz w:val="20"/>
          <w:szCs w:val="20"/>
          <w:lang w:val="es-ES"/>
        </w:rPr>
        <w:t xml:space="preserve"> </w:t>
      </w:r>
      <w:r w:rsidRPr="00BB6406">
        <w:rPr>
          <w:rFonts w:ascii="Verdana" w:eastAsia="Century Gothic" w:hAnsi="Verdana" w:cs="Century Gothic"/>
          <w:i/>
          <w:iCs/>
          <w:sz w:val="20"/>
          <w:szCs w:val="20"/>
          <w:lang w:val="es-ES"/>
        </w:rPr>
        <w:t>concurrencia, subsidiariedad, prevalencia del interés general y protección efectiva de los derechos humanos</w:t>
      </w:r>
      <w:r>
        <w:rPr>
          <w:rFonts w:ascii="Verdana" w:eastAsia="Century Gothic" w:hAnsi="Verdana" w:cs="Century Gothic"/>
          <w:i/>
          <w:iCs/>
          <w:sz w:val="20"/>
          <w:szCs w:val="20"/>
          <w:lang w:val="es-ES"/>
        </w:rPr>
        <w:t>”</w:t>
      </w:r>
      <w:r w:rsidRPr="00BB6406">
        <w:rPr>
          <w:rFonts w:ascii="Verdana" w:eastAsia="Century Gothic" w:hAnsi="Verdana" w:cs="Century Gothic"/>
          <w:i/>
          <w:iCs/>
          <w:sz w:val="20"/>
          <w:szCs w:val="20"/>
          <w:lang w:val="es-ES"/>
        </w:rPr>
        <w:t>.</w:t>
      </w:r>
      <w:r w:rsidRPr="00BB6406" w:rsidDel="00BB6406">
        <w:rPr>
          <w:rFonts w:ascii="Verdana" w:eastAsia="Century Gothic" w:hAnsi="Verdana" w:cs="Century Gothic"/>
          <w:i/>
          <w:iCs/>
          <w:sz w:val="20"/>
          <w:szCs w:val="20"/>
          <w:lang w:val="es-ES"/>
        </w:rPr>
        <w:t xml:space="preserve"> </w:t>
      </w:r>
    </w:p>
    <w:p w14:paraId="739F311F" w14:textId="77777777" w:rsidR="008E53E8" w:rsidRPr="00CD496A" w:rsidRDefault="008E53E8" w:rsidP="008E53E8">
      <w:pPr>
        <w:spacing w:before="120" w:after="120"/>
        <w:ind w:right="709"/>
        <w:contextualSpacing/>
        <w:jc w:val="both"/>
        <w:rPr>
          <w:rFonts w:ascii="Verdana" w:eastAsia="Century Gothic" w:hAnsi="Verdana" w:cs="Century Gothic"/>
          <w:i/>
          <w:iCs/>
          <w:sz w:val="20"/>
          <w:szCs w:val="20"/>
        </w:rPr>
      </w:pPr>
    </w:p>
    <w:p w14:paraId="3D2C6893" w14:textId="77777777" w:rsidR="008E53E8" w:rsidRPr="00CD496A" w:rsidRDefault="008E53E8" w:rsidP="008E53E8">
      <w:pPr>
        <w:spacing w:after="120" w:line="276" w:lineRule="auto"/>
        <w:ind w:firstLine="708"/>
        <w:jc w:val="both"/>
        <w:rPr>
          <w:rFonts w:ascii="Verdana" w:eastAsia="Calibri" w:hAnsi="Verdana" w:cs="Arial"/>
          <w:lang w:val="es-ES" w:eastAsia="es-ES"/>
        </w:rPr>
      </w:pPr>
      <w:r w:rsidRPr="00CD496A">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D496A">
        <w:rPr>
          <w:rFonts w:ascii="Verdana" w:hAnsi="Verdana"/>
          <w:lang w:val="es-ES"/>
        </w:rPr>
        <w:tab/>
      </w:r>
    </w:p>
    <w:p w14:paraId="6BB4A20C" w14:textId="77777777" w:rsidR="008E53E8" w:rsidRPr="00CD496A" w:rsidRDefault="008E53E8" w:rsidP="008E53E8">
      <w:pPr>
        <w:spacing w:after="0" w:line="276" w:lineRule="auto"/>
        <w:ind w:firstLine="709"/>
        <w:jc w:val="both"/>
        <w:rPr>
          <w:rFonts w:ascii="Verdana" w:eastAsia="Calibri" w:hAnsi="Verdana" w:cs="Arial"/>
          <w:lang w:val="es-ES" w:eastAsia="es-ES"/>
        </w:rPr>
      </w:pPr>
      <w:r w:rsidRPr="00CD496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0BB98D9D" w14:textId="77777777" w:rsidR="008E53E8" w:rsidRPr="00CD496A" w:rsidRDefault="008E53E8" w:rsidP="008E53E8">
      <w:pPr>
        <w:spacing w:after="0" w:line="276" w:lineRule="auto"/>
        <w:ind w:firstLine="709"/>
        <w:jc w:val="both"/>
        <w:rPr>
          <w:rFonts w:ascii="Verdana" w:eastAsia="Calibri" w:hAnsi="Verdana" w:cs="Arial"/>
          <w:lang w:val="es-ES" w:eastAsia="es-ES"/>
        </w:rPr>
      </w:pPr>
    </w:p>
    <w:p w14:paraId="687A7F33" w14:textId="77777777" w:rsidR="008E53E8" w:rsidRPr="00CD496A" w:rsidRDefault="008E53E8" w:rsidP="008E53E8">
      <w:pPr>
        <w:tabs>
          <w:tab w:val="left" w:pos="142"/>
          <w:tab w:val="left" w:pos="284"/>
        </w:tabs>
        <w:spacing w:after="0" w:line="276" w:lineRule="auto"/>
        <w:contextualSpacing/>
        <w:jc w:val="both"/>
        <w:rPr>
          <w:rFonts w:ascii="Verdana" w:eastAsia="Century Gothic" w:hAnsi="Verdana" w:cs="Century Gothic"/>
          <w:b/>
          <w:lang w:val="es-ES"/>
        </w:rPr>
      </w:pPr>
      <w:r w:rsidRPr="00CD496A">
        <w:rPr>
          <w:rFonts w:ascii="Verdana" w:eastAsia="Century Gothic" w:hAnsi="Verdana" w:cs="Century Gothic"/>
          <w:b/>
          <w:lang w:val="es-ES"/>
        </w:rPr>
        <w:t>1. Problema planteado:</w:t>
      </w:r>
    </w:p>
    <w:p w14:paraId="3E6EA616" w14:textId="77777777" w:rsidR="008E53E8" w:rsidRPr="006733BD" w:rsidRDefault="008E53E8" w:rsidP="008E53E8">
      <w:pPr>
        <w:tabs>
          <w:tab w:val="left" w:pos="426"/>
        </w:tabs>
        <w:spacing w:after="0" w:line="276" w:lineRule="auto"/>
        <w:jc w:val="both"/>
        <w:rPr>
          <w:rFonts w:ascii="Verdana" w:eastAsia="Century Gothic" w:hAnsi="Verdana" w:cs="Century Gothic"/>
          <w:color w:val="ED7D31" w:themeColor="accent2"/>
          <w:lang w:val="es-ES"/>
        </w:rPr>
      </w:pPr>
    </w:p>
    <w:p w14:paraId="35E67CAC" w14:textId="77777777" w:rsidR="008E53E8" w:rsidRPr="008A568A" w:rsidRDefault="008E53E8" w:rsidP="008E53E8">
      <w:pPr>
        <w:spacing w:after="0" w:line="276" w:lineRule="auto"/>
        <w:jc w:val="both"/>
        <w:rPr>
          <w:rFonts w:ascii="Verdana" w:eastAsia="Century Gothic" w:hAnsi="Verdana" w:cs="Century Gothic"/>
        </w:rPr>
      </w:pPr>
      <w:r w:rsidRPr="00CD496A">
        <w:rPr>
          <w:rFonts w:ascii="Verdana" w:eastAsia="Century Gothic" w:hAnsi="Verdana" w:cs="Century Gothic"/>
          <w:lang w:val="es-ES"/>
        </w:rPr>
        <w:t xml:space="preserve">De acuerdo con el contenido de su solicitud, esta Agencia resolverá </w:t>
      </w:r>
      <w:r>
        <w:rPr>
          <w:rFonts w:ascii="Verdana" w:eastAsia="Century Gothic" w:hAnsi="Verdana" w:cs="Century Gothic"/>
          <w:lang w:val="es-ES"/>
        </w:rPr>
        <w:t>el</w:t>
      </w:r>
      <w:r w:rsidRPr="00CD496A">
        <w:rPr>
          <w:rFonts w:ascii="Verdana" w:eastAsia="Century Gothic" w:hAnsi="Verdana" w:cs="Century Gothic"/>
          <w:lang w:val="es-ES"/>
        </w:rPr>
        <w:t xml:space="preserve"> siguiente problema jurídico:</w:t>
      </w:r>
      <w:r w:rsidRPr="00CD496A">
        <w:rPr>
          <w:rFonts w:ascii="Verdana" w:eastAsia="Century Gothic" w:hAnsi="Verdana" w:cs="Century Gothic"/>
        </w:rPr>
        <w:t xml:space="preserve"> </w:t>
      </w:r>
      <w:r w:rsidRPr="00472774">
        <w:rPr>
          <w:rFonts w:ascii="Verdana" w:eastAsia="Century Gothic" w:hAnsi="Verdana" w:cs="Century Gothic"/>
        </w:rPr>
        <w:t>¿Es jurídicamente viable que una entidad territorial celebre un convenio interadministrativo con el Instituto Nacional Penitenciario y Carcelario –INPEC– para la ejecución de recursos públicos destinados a la garantía de los derechos fundamentales de la población privada de la libertad, durante el período de Ley de Garantías Electorales?</w:t>
      </w:r>
    </w:p>
    <w:p w14:paraId="6649B4CA" w14:textId="77777777" w:rsidR="008E53E8" w:rsidRPr="006733BD" w:rsidRDefault="008E53E8" w:rsidP="008E53E8">
      <w:pPr>
        <w:spacing w:after="0" w:line="276" w:lineRule="auto"/>
        <w:jc w:val="both"/>
        <w:rPr>
          <w:rFonts w:ascii="Verdana" w:eastAsia="Century Gothic" w:hAnsi="Verdana" w:cs="Century Gothic"/>
          <w:color w:val="ED7D31" w:themeColor="accent2"/>
        </w:rPr>
      </w:pPr>
    </w:p>
    <w:p w14:paraId="34A98F36" w14:textId="77777777" w:rsidR="008E53E8" w:rsidRPr="006733BD" w:rsidRDefault="008E53E8" w:rsidP="008E53E8">
      <w:pPr>
        <w:tabs>
          <w:tab w:val="left" w:pos="142"/>
          <w:tab w:val="left" w:pos="284"/>
        </w:tabs>
        <w:spacing w:after="0" w:line="276" w:lineRule="auto"/>
        <w:jc w:val="both"/>
        <w:rPr>
          <w:rFonts w:ascii="Verdana" w:eastAsia="Century Gothic" w:hAnsi="Verdana" w:cs="Century Gothic"/>
          <w:b/>
          <w:color w:val="ED7D31" w:themeColor="accent2"/>
          <w:lang w:val="es-ES"/>
        </w:rPr>
      </w:pPr>
      <w:r w:rsidRPr="00CD496A">
        <w:rPr>
          <w:rFonts w:ascii="Verdana" w:eastAsia="Century Gothic" w:hAnsi="Verdana" w:cs="Century Gothic"/>
          <w:b/>
          <w:lang w:val="es-ES"/>
        </w:rPr>
        <w:t>2. Respuesta:</w:t>
      </w:r>
    </w:p>
    <w:p w14:paraId="67E7DEAF" w14:textId="77777777" w:rsidR="008E53E8" w:rsidRPr="006733BD" w:rsidRDefault="008E53E8" w:rsidP="008E53E8">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E53E8" w:rsidRPr="006733BD" w14:paraId="533F02EC" w14:textId="77777777" w:rsidTr="00517FDB">
        <w:tc>
          <w:tcPr>
            <w:tcW w:w="8828" w:type="dxa"/>
          </w:tcPr>
          <w:p w14:paraId="0D80049A" w14:textId="12133EB4" w:rsidR="00CD0AD9" w:rsidRPr="00CE01E2" w:rsidRDefault="008E53E8" w:rsidP="00294702">
            <w:pPr>
              <w:pStyle w:val="Textoindependiente"/>
              <w:tabs>
                <w:tab w:val="left" w:pos="6225"/>
              </w:tabs>
              <w:spacing w:line="276" w:lineRule="auto"/>
              <w:ind w:firstLine="709"/>
              <w:jc w:val="both"/>
              <w:rPr>
                <w:rFonts w:ascii="Verdana" w:eastAsia="Calibri" w:hAnsi="Verdana" w:cs="Arial"/>
                <w:bCs/>
                <w:szCs w:val="24"/>
                <w:lang w:eastAsia="es-ES_tradnl"/>
              </w:rPr>
            </w:pPr>
            <w:r w:rsidRPr="00CE01E2">
              <w:rPr>
                <w:rFonts w:ascii="Verdana" w:eastAsia="Calibri" w:hAnsi="Verdana" w:cs="Arial"/>
                <w:bCs/>
                <w:szCs w:val="24"/>
                <w:lang w:eastAsia="es-ES_tradnl"/>
              </w:rPr>
              <w:lastRenderedPageBreak/>
              <w:t xml:space="preserve">Para dar respuesta al problema jurídico planteado, resulta pertinente señalar que </w:t>
            </w:r>
            <w:r w:rsidR="00CD0AD9" w:rsidRPr="00CE01E2">
              <w:rPr>
                <w:rFonts w:ascii="Verdana" w:eastAsia="Calibri" w:hAnsi="Verdana" w:cs="Arial"/>
                <w:bCs/>
                <w:szCs w:val="24"/>
                <w:lang w:eastAsia="es-ES_tradnl"/>
              </w:rPr>
              <w:t xml:space="preserve">la Ley de Garantías Electorales </w:t>
            </w:r>
            <w:r w:rsidR="00CD0AD9" w:rsidRPr="00CE01E2">
              <w:rPr>
                <w:rFonts w:ascii="Verdana" w:hAnsi="Verdana" w:cs="Arial"/>
                <w:lang w:val="es-ES"/>
              </w:rPr>
              <w:t>establece restricciones específicas para la contratación pública durante los períodos electorales, particularmente en lo que respecta a la contratación directa y a la celebración de convenios interadministrativos financiados con recursos del presupuesto estatal.</w:t>
            </w:r>
          </w:p>
          <w:p w14:paraId="5CD422B2" w14:textId="77777777" w:rsidR="00CD0AD9" w:rsidRPr="00CE01E2" w:rsidRDefault="00CD0AD9" w:rsidP="00294702">
            <w:pPr>
              <w:pStyle w:val="Textoindependiente"/>
              <w:tabs>
                <w:tab w:val="left" w:pos="6225"/>
              </w:tabs>
              <w:spacing w:line="276" w:lineRule="auto"/>
              <w:ind w:firstLine="709"/>
              <w:jc w:val="both"/>
              <w:rPr>
                <w:rFonts w:ascii="Verdana" w:eastAsia="Calibri" w:hAnsi="Verdana" w:cs="Arial"/>
                <w:bCs/>
                <w:szCs w:val="24"/>
                <w:lang w:eastAsia="es-ES_tradnl"/>
              </w:rPr>
            </w:pPr>
            <w:r w:rsidRPr="00CE01E2">
              <w:rPr>
                <w:rFonts w:ascii="Verdana" w:eastAsia="Calibri" w:hAnsi="Verdana" w:cs="Arial"/>
                <w:bCs/>
                <w:szCs w:val="24"/>
                <w:lang w:eastAsia="es-ES_tradnl"/>
              </w:rPr>
              <w:t xml:space="preserve">Por un lado, </w:t>
            </w:r>
            <w:r w:rsidR="008E53E8" w:rsidRPr="00CE01E2">
              <w:rPr>
                <w:rFonts w:ascii="Verdana" w:eastAsia="Calibri" w:hAnsi="Verdana" w:cs="Arial"/>
                <w:bCs/>
                <w:szCs w:val="24"/>
                <w:lang w:eastAsia="es-ES_tradnl"/>
              </w:rPr>
              <w:t>el artículo 33 de la Ley 996 de 2005 establece que, durante los cuatro (4) meses anteriores a la elección presidencial y hasta la realización de la segunda vuelta, si fuere el caso, queda prohibida la contratación directa por parte de todos los entes del Estado. No obstante, la citada disposición prevé determinadas excepciones a dicha restricción, entre las cuales se encuentran los contratos relacionados con la defensa y seguridad del Estado, los contratos de crédito público, aquellos requeridos para atender emergencias educativas, sanitarias o desastres, así como los destinados a la reconstrucción de vías, puentes, carreteras, infraestructura energética y de comunicaciones cuando hayan sido afectados por atentados, acciones terroristas, desastres naturales o casos de fuerza mayor, y los que deban celebrar las entidades sanitarias y hospitalaria</w:t>
            </w:r>
            <w:r w:rsidRPr="00CE01E2">
              <w:rPr>
                <w:rFonts w:ascii="Verdana" w:eastAsia="Calibri" w:hAnsi="Verdana" w:cs="Arial"/>
                <w:bCs/>
                <w:szCs w:val="24"/>
                <w:lang w:eastAsia="es-ES_tradnl"/>
              </w:rPr>
              <w:t xml:space="preserve">. </w:t>
            </w:r>
          </w:p>
          <w:p w14:paraId="0483AA59" w14:textId="72A159D1" w:rsidR="000D50BA" w:rsidRPr="00CE01E2" w:rsidRDefault="000D50BA" w:rsidP="00294702">
            <w:pPr>
              <w:pStyle w:val="Textoindependiente"/>
              <w:tabs>
                <w:tab w:val="left" w:pos="6225"/>
              </w:tabs>
              <w:spacing w:line="276" w:lineRule="auto"/>
              <w:ind w:firstLine="709"/>
              <w:jc w:val="both"/>
              <w:rPr>
                <w:rFonts w:ascii="Verdana" w:eastAsia="Calibri" w:hAnsi="Verdana" w:cs="Arial"/>
                <w:bCs/>
                <w:szCs w:val="24"/>
                <w:lang w:eastAsia="es-ES_tradnl"/>
              </w:rPr>
            </w:pPr>
            <w:r w:rsidRPr="00294702">
              <w:rPr>
                <w:rFonts w:ascii="Verdana" w:hAnsi="Verdana" w:cs="Arial"/>
                <w:color w:val="000000" w:themeColor="text1"/>
                <w:lang w:val="es-ES"/>
              </w:rPr>
              <w:t xml:space="preserve">Tal y como se </w:t>
            </w:r>
            <w:r w:rsidR="00CE01E2" w:rsidRPr="00CE01E2">
              <w:rPr>
                <w:rFonts w:ascii="Verdana" w:hAnsi="Verdana" w:cs="Arial"/>
                <w:color w:val="000000" w:themeColor="text1"/>
                <w:lang w:val="es-ES"/>
              </w:rPr>
              <w:t>analizará</w:t>
            </w:r>
            <w:r w:rsidRPr="00294702">
              <w:rPr>
                <w:rFonts w:ascii="Verdana" w:hAnsi="Verdana" w:cs="Arial"/>
                <w:color w:val="000000" w:themeColor="text1"/>
                <w:lang w:val="es-ES"/>
              </w:rPr>
              <w:t xml:space="preserve"> en el presente concepto, la expresión “defensa y seguridad del Estado”, empleada por el segundo inciso del artículo 33 de la Ley 996 de 2005 –y que se halla también en otras disposiciones normativas con la denominación de “defensa y seguridad nacional”– es un </w:t>
            </w:r>
            <w:r w:rsidRPr="00294702">
              <w:rPr>
                <w:rFonts w:ascii="Verdana" w:hAnsi="Verdana" w:cs="Arial"/>
                <w:i/>
                <w:iCs/>
                <w:color w:val="000000" w:themeColor="text1"/>
                <w:lang w:val="es-ES"/>
              </w:rPr>
              <w:t>concepto jurídico indeterminado</w:t>
            </w:r>
            <w:r w:rsidRPr="00294702">
              <w:rPr>
                <w:rFonts w:ascii="Verdana" w:hAnsi="Verdana" w:cs="Arial"/>
                <w:color w:val="000000" w:themeColor="text1"/>
                <w:lang w:val="es-ES"/>
              </w:rPr>
              <w:t xml:space="preserve"> que las entidades estatales deben aplicar teniendo en cuenta la situación fáctica particular. En todo caso, el Consejo de Estado es claro en indicar que tal concepto, en materia contractual, va más allá de la sola adquisición de armamento o de los bienes y actividades requeridas para la “guerra”. Para el alto tribunal, aquel es un concepto que debe interpretarse bajo una comprensión sistemática del orden público. Por tanto, considerando estos criterios hermenéuticos, corresponde a la entidad que realiza la consulta interpretar el concepto jurídico “defensa y seguridad del Estado”, para determinar si se presenta la excepción a la contratación directa prevista en el segundo inciso del artículo 33 de la Ley 996 de 2005.    </w:t>
            </w:r>
          </w:p>
          <w:p w14:paraId="4556D822" w14:textId="3D42710A" w:rsidR="008E53E8" w:rsidRPr="00CE01E2" w:rsidRDefault="000D50BA" w:rsidP="00294702">
            <w:pPr>
              <w:pStyle w:val="Textoindependiente"/>
              <w:tabs>
                <w:tab w:val="left" w:pos="6225"/>
              </w:tabs>
              <w:spacing w:line="276" w:lineRule="auto"/>
              <w:ind w:firstLine="709"/>
              <w:jc w:val="both"/>
              <w:rPr>
                <w:rFonts w:ascii="Verdana" w:eastAsia="Calibri" w:hAnsi="Verdana" w:cs="Arial"/>
                <w:bCs/>
                <w:szCs w:val="24"/>
                <w:lang w:eastAsia="es-ES_tradnl"/>
              </w:rPr>
            </w:pPr>
            <w:r w:rsidRPr="00CE01E2">
              <w:rPr>
                <w:rFonts w:ascii="Verdana" w:eastAsia="Calibri" w:hAnsi="Verdana" w:cs="Arial"/>
                <w:bCs/>
                <w:szCs w:val="24"/>
                <w:lang w:eastAsia="es-ES_tradnl"/>
              </w:rPr>
              <w:t xml:space="preserve">Por otro lado, </w:t>
            </w:r>
            <w:r w:rsidR="008E53E8" w:rsidRPr="00CE01E2">
              <w:rPr>
                <w:rFonts w:ascii="Verdana" w:eastAsia="Calibri" w:hAnsi="Verdana" w:cs="Arial"/>
                <w:bCs/>
                <w:szCs w:val="24"/>
                <w:lang w:eastAsia="es-ES_tradnl"/>
              </w:rPr>
              <w:t xml:space="preserve">el parágrafo del artículo 38 de la misma </w:t>
            </w:r>
            <w:r w:rsidRPr="00CE01E2">
              <w:rPr>
                <w:rFonts w:ascii="Verdana" w:eastAsia="Calibri" w:hAnsi="Verdana" w:cs="Arial"/>
                <w:bCs/>
                <w:szCs w:val="24"/>
                <w:lang w:eastAsia="es-ES_tradnl"/>
              </w:rPr>
              <w:t>L</w:t>
            </w:r>
            <w:r w:rsidR="008E53E8" w:rsidRPr="00CE01E2">
              <w:rPr>
                <w:rFonts w:ascii="Verdana" w:eastAsia="Calibri" w:hAnsi="Verdana" w:cs="Arial"/>
                <w:bCs/>
                <w:szCs w:val="24"/>
                <w:lang w:eastAsia="es-ES_tradnl"/>
              </w:rPr>
              <w:t xml:space="preserve">ey establece una restricción específica dirigida a las autoridades del orden territorial, al disponer que los gobernadores, alcaldes, secretarios, gerentes y directores de las entidades del orden departamental, distrital o municipal no podrán celebrar </w:t>
            </w:r>
            <w:r w:rsidR="008E53E8" w:rsidRPr="00CE01E2">
              <w:rPr>
                <w:rFonts w:ascii="Verdana" w:eastAsia="Calibri" w:hAnsi="Verdana" w:cs="Arial"/>
                <w:bCs/>
                <w:szCs w:val="24"/>
                <w:lang w:eastAsia="es-ES_tradnl"/>
              </w:rPr>
              <w:lastRenderedPageBreak/>
              <w:t>convenios interadministrativos para la ejecución de recursos públicos dentro de los cuatro (4) meses anteriores a la respectiva jornada electoral.</w:t>
            </w:r>
          </w:p>
          <w:p w14:paraId="2FAE7428" w14:textId="4541E603" w:rsidR="008E53E8" w:rsidRPr="00CE01E2" w:rsidRDefault="008E53E8" w:rsidP="00CE01E2">
            <w:pPr>
              <w:pStyle w:val="Textoindependiente"/>
              <w:tabs>
                <w:tab w:val="left" w:pos="6225"/>
              </w:tabs>
              <w:spacing w:line="276" w:lineRule="auto"/>
              <w:ind w:firstLine="709"/>
              <w:jc w:val="both"/>
              <w:rPr>
                <w:rFonts w:ascii="Verdana" w:eastAsia="Calibri" w:hAnsi="Verdana" w:cs="Arial"/>
                <w:bCs/>
                <w:szCs w:val="24"/>
                <w:lang w:eastAsia="es-ES_tradnl"/>
              </w:rPr>
            </w:pPr>
            <w:r w:rsidRPr="00CE01E2">
              <w:rPr>
                <w:rFonts w:ascii="Verdana" w:eastAsia="Calibri" w:hAnsi="Verdana" w:cs="Arial"/>
                <w:bCs/>
                <w:szCs w:val="24"/>
                <w:lang w:eastAsia="es-ES_tradnl"/>
              </w:rPr>
              <w:t>En ese sentido, cuando una o ambas partes de la relación contractual correspondan a alguna de las autoridades o entidades señaladas en el citado parágrafo</w:t>
            </w:r>
            <w:r w:rsidR="000D50BA" w:rsidRPr="00CE01E2">
              <w:rPr>
                <w:rFonts w:ascii="Verdana" w:eastAsia="Calibri" w:hAnsi="Verdana" w:cs="Arial"/>
                <w:bCs/>
                <w:szCs w:val="24"/>
                <w:lang w:eastAsia="es-ES_tradnl"/>
              </w:rPr>
              <w:t xml:space="preserve"> – como es el caso de los alcaldes municipales –</w:t>
            </w:r>
            <w:r w:rsidRPr="00CE01E2">
              <w:rPr>
                <w:rFonts w:ascii="Verdana" w:eastAsia="Calibri" w:hAnsi="Verdana" w:cs="Arial"/>
                <w:bCs/>
                <w:szCs w:val="24"/>
                <w:lang w:eastAsia="es-ES_tradnl"/>
              </w:rPr>
              <w:t>, no resultará jurídicamente viable la celebración de convenios interadministrativos durante el periodo de aplicación de la Ley de Garantías Electorales, en la medida en que la prohibición establecida por el legislador recae expresamente sobre dicha tipología contractual cuando implique la ejecución de recursos públicos.</w:t>
            </w:r>
          </w:p>
          <w:p w14:paraId="08168AA6" w14:textId="76C53531" w:rsidR="00B4163F" w:rsidRPr="00294702" w:rsidRDefault="00EB7A94" w:rsidP="00294702">
            <w:pPr>
              <w:spacing w:after="120"/>
              <w:ind w:firstLine="709"/>
              <w:jc w:val="both"/>
              <w:rPr>
                <w:rFonts w:ascii="Verdana" w:eastAsia="Century Gothic" w:hAnsi="Verdana" w:cs="Century Gothic"/>
                <w:lang w:val="es-ES"/>
              </w:rPr>
            </w:pPr>
            <w:r w:rsidRPr="00CE01E2">
              <w:rPr>
                <w:rFonts w:ascii="Verdana" w:eastAsia="Calibri" w:hAnsi="Verdana" w:cs="Arial"/>
                <w:bCs/>
                <w:szCs w:val="24"/>
                <w:lang w:eastAsia="es-ES_tradnl"/>
              </w:rPr>
              <w:t xml:space="preserve">En importante precisar que, </w:t>
            </w:r>
            <w:r w:rsidR="005751F2" w:rsidRPr="00CE01E2">
              <w:rPr>
                <w:rFonts w:ascii="Verdana" w:eastAsia="Century Gothic" w:hAnsi="Verdana" w:cs="Century Gothic"/>
                <w:lang w:val="es-ES"/>
              </w:rPr>
              <w:t>el parágrafo referido no estableció ningún supuesto que exceptúe la aplicación de esta prohibición, por lo que la restricción referida a la celebración de convenios interadministrativos aplicará a los sujetos allí señalados, “aunque se configure alguno de los supuestos de excepción que señaló el inciso final del artículo 33”.</w:t>
            </w:r>
            <w:r w:rsidR="00B4163F" w:rsidRPr="00CE01E2">
              <w:rPr>
                <w:rFonts w:ascii="Verdana" w:eastAsia="Century Gothic" w:hAnsi="Verdana" w:cs="Century Gothic"/>
                <w:lang w:val="es-ES"/>
              </w:rPr>
              <w:t xml:space="preserve"> </w:t>
            </w:r>
          </w:p>
          <w:p w14:paraId="22A29BC8" w14:textId="0FEB3765" w:rsidR="008E53E8" w:rsidRPr="001669C8" w:rsidRDefault="008E53E8" w:rsidP="00294702">
            <w:pPr>
              <w:spacing w:after="120"/>
              <w:ind w:firstLine="709"/>
              <w:jc w:val="both"/>
              <w:rPr>
                <w:rFonts w:ascii="Verdana" w:eastAsia="Calibri" w:hAnsi="Verdana" w:cs="Arial"/>
                <w:bCs/>
                <w:szCs w:val="24"/>
                <w:lang w:eastAsia="es-ES_tradnl"/>
              </w:rPr>
            </w:pPr>
            <w:r w:rsidRPr="00CE01E2">
              <w:rPr>
                <w:rFonts w:ascii="Verdana" w:eastAsia="Calibri" w:hAnsi="Verdana" w:cs="Arial"/>
                <w:bCs/>
                <w:szCs w:val="24"/>
                <w:lang w:eastAsia="es-ES_tradnl"/>
              </w:rPr>
              <w:t>Así las cosas, cuando una entidad territorial pretenda celebrar un convenio interadministrativo con el Instituto Nacional Penitenciario y Carcelario, en principio</w:t>
            </w:r>
            <w:r w:rsidR="00CE01E2" w:rsidRPr="00CE01E2">
              <w:rPr>
                <w:rFonts w:ascii="Verdana" w:eastAsia="Calibri" w:hAnsi="Verdana" w:cs="Arial"/>
                <w:bCs/>
                <w:szCs w:val="24"/>
                <w:lang w:eastAsia="es-ES_tradnl"/>
              </w:rPr>
              <w:t>,</w:t>
            </w:r>
            <w:r w:rsidRPr="00CE01E2">
              <w:rPr>
                <w:rFonts w:ascii="Verdana" w:eastAsia="Calibri" w:hAnsi="Verdana" w:cs="Arial"/>
                <w:bCs/>
                <w:szCs w:val="24"/>
                <w:lang w:eastAsia="es-ES_tradnl"/>
              </w:rPr>
              <w:t xml:space="preserve"> no resultaría jurídicamente viable su suscripción durante el periodo de aplicación de la Ley 996 de 2005 (Ley de Garantías Electorales)</w:t>
            </w:r>
            <w:r w:rsidR="00CE01E2" w:rsidRPr="00CE01E2">
              <w:rPr>
                <w:rFonts w:ascii="Verdana" w:eastAsia="Calibri" w:hAnsi="Verdana" w:cs="Arial"/>
                <w:bCs/>
                <w:szCs w:val="24"/>
                <w:lang w:eastAsia="es-ES_tradnl"/>
              </w:rPr>
              <w:t xml:space="preserve">. </w:t>
            </w:r>
            <w:r w:rsidRPr="00CE01E2">
              <w:rPr>
                <w:rFonts w:ascii="Verdana" w:eastAsia="Calibri" w:hAnsi="Verdana" w:cs="Arial"/>
                <w:bCs/>
                <w:szCs w:val="24"/>
                <w:lang w:eastAsia="es-ES_tradnl"/>
              </w:rPr>
              <w:t>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p>
        </w:tc>
      </w:tr>
    </w:tbl>
    <w:p w14:paraId="33600B93" w14:textId="77777777" w:rsidR="008E53E8" w:rsidRPr="00416686" w:rsidRDefault="008E53E8" w:rsidP="008E53E8">
      <w:pPr>
        <w:tabs>
          <w:tab w:val="left" w:pos="142"/>
          <w:tab w:val="left" w:pos="284"/>
        </w:tabs>
        <w:spacing w:after="0" w:line="276" w:lineRule="auto"/>
        <w:jc w:val="both"/>
        <w:rPr>
          <w:rFonts w:ascii="Verdana" w:eastAsia="Century Gothic" w:hAnsi="Verdana" w:cs="Century Gothic"/>
          <w:b/>
          <w:bCs/>
        </w:rPr>
      </w:pPr>
    </w:p>
    <w:p w14:paraId="06A8D934" w14:textId="77777777" w:rsidR="008E53E8" w:rsidRDefault="008E53E8" w:rsidP="008E53E8">
      <w:pPr>
        <w:tabs>
          <w:tab w:val="left" w:pos="142"/>
          <w:tab w:val="left" w:pos="284"/>
        </w:tabs>
        <w:spacing w:after="0" w:line="276" w:lineRule="auto"/>
        <w:jc w:val="both"/>
        <w:rPr>
          <w:rFonts w:ascii="Verdana" w:eastAsia="Century Gothic" w:hAnsi="Verdana" w:cs="Century Gothic"/>
          <w:b/>
          <w:lang w:val="es-ES"/>
        </w:rPr>
      </w:pPr>
      <w:r w:rsidRPr="00CD496A">
        <w:rPr>
          <w:rFonts w:ascii="Verdana" w:eastAsia="Century Gothic" w:hAnsi="Verdana" w:cs="Century Gothic"/>
          <w:b/>
          <w:lang w:val="es-ES"/>
        </w:rPr>
        <w:t>3. Razones de la respuesta:</w:t>
      </w:r>
    </w:p>
    <w:p w14:paraId="16A1485B" w14:textId="77777777" w:rsidR="008E53E8" w:rsidRDefault="008E53E8" w:rsidP="008E53E8">
      <w:pPr>
        <w:spacing w:after="0" w:line="276" w:lineRule="auto"/>
        <w:jc w:val="both"/>
        <w:rPr>
          <w:rFonts w:ascii="Verdana" w:eastAsia="Calibri" w:hAnsi="Verdana" w:cs="Arial"/>
          <w:lang w:val="es-ES"/>
        </w:rPr>
      </w:pPr>
    </w:p>
    <w:p w14:paraId="446181D5" w14:textId="77777777" w:rsidR="008E53E8" w:rsidRPr="00B52642" w:rsidRDefault="008E53E8" w:rsidP="008E53E8">
      <w:pPr>
        <w:spacing w:after="0" w:line="276" w:lineRule="auto"/>
        <w:jc w:val="both"/>
        <w:rPr>
          <w:rFonts w:ascii="Verdana" w:eastAsia="Calibri" w:hAnsi="Verdana" w:cs="Arial"/>
          <w:lang w:val="es-ES"/>
        </w:rPr>
      </w:pPr>
      <w:r w:rsidRPr="00B52642">
        <w:rPr>
          <w:rFonts w:ascii="Verdana" w:eastAsia="Calibri" w:hAnsi="Verdana" w:cs="Arial"/>
          <w:lang w:val="es-ES"/>
        </w:rPr>
        <w:t xml:space="preserve">Las respuestas anteriores se sustentan en las siguientes consideraciones: </w:t>
      </w:r>
    </w:p>
    <w:p w14:paraId="6BBE99C0" w14:textId="77777777" w:rsidR="008E53E8" w:rsidRPr="00CD496A" w:rsidRDefault="008E53E8" w:rsidP="008E53E8">
      <w:pPr>
        <w:tabs>
          <w:tab w:val="left" w:pos="142"/>
          <w:tab w:val="left" w:pos="284"/>
        </w:tabs>
        <w:spacing w:after="0" w:line="276" w:lineRule="auto"/>
        <w:jc w:val="both"/>
        <w:rPr>
          <w:rFonts w:ascii="Verdana" w:eastAsia="Century Gothic" w:hAnsi="Verdana" w:cs="Century Gothic"/>
          <w:b/>
          <w:lang w:val="es-ES"/>
        </w:rPr>
      </w:pPr>
    </w:p>
    <w:p w14:paraId="0A1D3EA2" w14:textId="77777777" w:rsidR="008E53E8" w:rsidRPr="00C13395" w:rsidRDefault="008E53E8" w:rsidP="008E53E8">
      <w:pPr>
        <w:spacing w:after="120" w:line="276" w:lineRule="auto"/>
        <w:jc w:val="both"/>
        <w:rPr>
          <w:rFonts w:ascii="Verdana" w:eastAsia="Century Gothic" w:hAnsi="Verdana" w:cs="Century Gothic"/>
          <w:bCs/>
          <w:lang w:val="es-ES_tradnl"/>
        </w:rPr>
      </w:pPr>
      <w:bookmarkStart w:id="1" w:name="_Hlk102983874"/>
      <w:bookmarkStart w:id="2" w:name="_Hlk102388095"/>
      <w:r w:rsidRPr="00CC581A">
        <w:rPr>
          <w:rFonts w:ascii="Verdana" w:hAnsi="Verdana" w:cs="Arial"/>
          <w:bCs/>
          <w:lang w:val="es-ES_tradnl" w:eastAsia="es-ES" w:bidi="es-ES"/>
        </w:rPr>
        <w:t>i)</w:t>
      </w:r>
      <w:r>
        <w:rPr>
          <w:rFonts w:ascii="Verdana" w:hAnsi="Verdana" w:cs="Arial"/>
          <w:bCs/>
          <w:lang w:val="es-ES_tradnl" w:eastAsia="es-ES" w:bidi="es-ES"/>
        </w:rPr>
        <w:t xml:space="preserve"> </w:t>
      </w:r>
      <w:r w:rsidRPr="00C13395">
        <w:rPr>
          <w:rFonts w:ascii="Verdana" w:eastAsia="Century Gothic" w:hAnsi="Verdana" w:cs="Century Gothic"/>
          <w:bCs/>
          <w:lang w:val="es-ES_tradnl"/>
        </w:rPr>
        <w:t xml:space="preserve">El ordenamiento jurídico colombiano contempla diferentes medidas para evitar la obtención de beneficios personales en asuntos propios de la administración </w:t>
      </w:r>
      <w:r w:rsidRPr="00C13395">
        <w:rPr>
          <w:rFonts w:ascii="Verdana" w:eastAsia="Century Gothic" w:hAnsi="Verdana" w:cs="Century Gothic"/>
          <w:bCs/>
          <w:lang w:val="es-ES_tradnl"/>
        </w:rPr>
        <w:lastRenderedPageBreak/>
        <w:t xml:space="preserve">pública. Por ejemplo, el artículo 127 de la Constitución Política establece una prohibición contractual a los servidores públicos y, en cuanto a aspectos políticos, señala restricciones a ciertos empleados del Estado, incluso en época no electoral. </w:t>
      </w:r>
    </w:p>
    <w:p w14:paraId="1EF88546"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 </w:t>
      </w:r>
    </w:p>
    <w:p w14:paraId="3F1D9FA7" w14:textId="77777777" w:rsidR="008E53E8" w:rsidRDefault="008E53E8" w:rsidP="00025CBA">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armonía con lo anterior, la Corte Constitucional ha abordado la definición de la Ley de Garantías Electorales. De esta manera, explica que tiene como propósito:</w:t>
      </w:r>
    </w:p>
    <w:p w14:paraId="29E57BB8" w14:textId="77777777" w:rsidR="00025CBA" w:rsidRPr="00C13395" w:rsidRDefault="00025CBA" w:rsidP="00294702">
      <w:pPr>
        <w:spacing w:after="0" w:line="276" w:lineRule="auto"/>
        <w:ind w:firstLine="708"/>
        <w:jc w:val="both"/>
        <w:rPr>
          <w:rFonts w:ascii="Verdana" w:eastAsia="Century Gothic" w:hAnsi="Verdana" w:cs="Century Gothic"/>
          <w:bCs/>
          <w:lang w:val="es-ES_tradnl"/>
        </w:rPr>
      </w:pPr>
    </w:p>
    <w:p w14:paraId="6E829F9C" w14:textId="77777777" w:rsidR="008E53E8" w:rsidRPr="00C13395" w:rsidRDefault="008E53E8" w:rsidP="00294702">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la definición de reglas claras que permitan acceder a los canales de expresión democrática de manera efectiva e igualitaria. El objetivo de una ley de garantías es definir esas reglas.</w:t>
      </w:r>
    </w:p>
    <w:p w14:paraId="24320AA0" w14:textId="77777777" w:rsidR="008E53E8" w:rsidRPr="00C13395" w:rsidRDefault="008E53E8" w:rsidP="00294702">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 </w:t>
      </w:r>
    </w:p>
    <w:p w14:paraId="2ECE65C8" w14:textId="77777777" w:rsidR="008E53E8" w:rsidRDefault="008E53E8" w:rsidP="00997FEE">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p>
    <w:p w14:paraId="44ACF8C6" w14:textId="77777777" w:rsidR="00997FEE" w:rsidRPr="00C13395" w:rsidRDefault="00997FEE" w:rsidP="00294702">
      <w:pPr>
        <w:spacing w:after="0" w:line="276" w:lineRule="auto"/>
        <w:ind w:left="709" w:right="709"/>
        <w:jc w:val="both"/>
        <w:rPr>
          <w:rFonts w:ascii="Verdana" w:eastAsia="Century Gothic" w:hAnsi="Verdana" w:cs="Century Gothic"/>
          <w:bCs/>
          <w:sz w:val="20"/>
          <w:szCs w:val="20"/>
          <w:lang w:val="es-ES_tradnl"/>
        </w:rPr>
      </w:pPr>
    </w:p>
    <w:p w14:paraId="3F237256" w14:textId="77777777" w:rsidR="008E53E8" w:rsidRDefault="008E53E8" w:rsidP="00997FEE">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w:t>
      </w:r>
      <w:r w:rsidRPr="00C13395">
        <w:rPr>
          <w:rFonts w:ascii="Verdana" w:eastAsia="Century Gothic" w:hAnsi="Verdana" w:cs="Century Gothic"/>
          <w:bCs/>
          <w:lang w:val="es-ES_tradnl"/>
        </w:rPr>
        <w:lastRenderedPageBreak/>
        <w:t>normas prohibitivas, deben interpretarse restrictivamente. En efecto, la Sala de Consulta y Servicio Civil del Consejo de Estado, precisó:</w:t>
      </w:r>
    </w:p>
    <w:p w14:paraId="256C4FB9" w14:textId="77777777" w:rsidR="00033100" w:rsidRPr="00C13395" w:rsidRDefault="00033100" w:rsidP="00294702">
      <w:pPr>
        <w:spacing w:after="0" w:line="276" w:lineRule="auto"/>
        <w:ind w:firstLine="708"/>
        <w:jc w:val="both"/>
        <w:rPr>
          <w:rFonts w:ascii="Verdana" w:eastAsia="Century Gothic" w:hAnsi="Verdana" w:cs="Century Gothic"/>
          <w:bCs/>
          <w:lang w:val="es-ES_tradnl"/>
        </w:rPr>
      </w:pPr>
    </w:p>
    <w:p w14:paraId="4DE62E6C" w14:textId="77777777" w:rsidR="008E53E8" w:rsidRDefault="008E53E8" w:rsidP="00CC69D2">
      <w:pPr>
        <w:spacing w:after="0" w:line="240" w:lineRule="auto"/>
        <w:ind w:left="709" w:right="709"/>
        <w:jc w:val="both"/>
        <w:rPr>
          <w:rFonts w:ascii="Verdana" w:eastAsia="Century Gothic" w:hAnsi="Verdana" w:cs="Century Gothic"/>
          <w:sz w:val="20"/>
          <w:szCs w:val="20"/>
          <w:lang w:val="es-ES"/>
        </w:rPr>
      </w:pPr>
      <w:r w:rsidRPr="122F1934">
        <w:rPr>
          <w:rFonts w:ascii="Verdana" w:eastAsia="Century Gothic" w:hAnsi="Verdana" w:cs="Century Gothic"/>
          <w:sz w:val="20"/>
          <w:szCs w:val="20"/>
          <w:lang w:val="es-ES"/>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122F1934">
        <w:rPr>
          <w:rFonts w:ascii="Verdana" w:eastAsia="Century Gothic" w:hAnsi="Verdana" w:cs="Century Gothic"/>
          <w:sz w:val="20"/>
          <w:szCs w:val="20"/>
          <w:lang w:val="es-ES"/>
        </w:rPr>
        <w:t>legis</w:t>
      </w:r>
      <w:proofErr w:type="spellEnd"/>
      <w:r w:rsidRPr="122F1934">
        <w:rPr>
          <w:rFonts w:ascii="Verdana" w:eastAsia="Century Gothic" w:hAnsi="Verdana" w:cs="Century Gothic"/>
          <w:sz w:val="20"/>
          <w:szCs w:val="20"/>
          <w:lang w:val="es-ES"/>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1AF0782A" w14:textId="77777777" w:rsidR="00CC69D2" w:rsidRPr="00C13395" w:rsidRDefault="00CC69D2" w:rsidP="00294702">
      <w:pPr>
        <w:spacing w:after="0" w:line="240" w:lineRule="auto"/>
        <w:ind w:left="709" w:right="709"/>
        <w:jc w:val="both"/>
        <w:rPr>
          <w:rFonts w:ascii="Verdana" w:eastAsia="Century Gothic" w:hAnsi="Verdana" w:cs="Century Gothic"/>
          <w:sz w:val="20"/>
          <w:szCs w:val="20"/>
          <w:lang w:val="es-ES"/>
        </w:rPr>
      </w:pPr>
    </w:p>
    <w:p w14:paraId="128FD5A1" w14:textId="77777777" w:rsidR="008E53E8" w:rsidRDefault="008E53E8" w:rsidP="00CC69D2">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La jurisprudencia de la Corte Constitucional y del Consejo de Estado,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 .</w:t>
      </w:r>
    </w:p>
    <w:p w14:paraId="14986133" w14:textId="77777777" w:rsidR="00CC69D2" w:rsidRPr="00C13395" w:rsidRDefault="00CC69D2" w:rsidP="00294702">
      <w:pPr>
        <w:spacing w:after="0" w:line="276" w:lineRule="auto"/>
        <w:ind w:left="709" w:right="709"/>
        <w:jc w:val="both"/>
        <w:rPr>
          <w:rFonts w:ascii="Verdana" w:eastAsia="Century Gothic" w:hAnsi="Verdana" w:cs="Century Gothic"/>
          <w:bCs/>
          <w:sz w:val="20"/>
          <w:szCs w:val="20"/>
          <w:lang w:val="es-ES_tradnl"/>
        </w:rPr>
      </w:pPr>
    </w:p>
    <w:p w14:paraId="330346A6"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1FBA1AE2" w14:textId="4BEADEBC"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Las restricciones </w:t>
      </w:r>
      <w:r w:rsidR="000459C3">
        <w:rPr>
          <w:rFonts w:ascii="Verdana" w:eastAsia="Century Gothic" w:hAnsi="Verdana" w:cs="Century Gothic"/>
          <w:bCs/>
          <w:lang w:val="es-ES_tradnl"/>
        </w:rPr>
        <w:t xml:space="preserve">en materia de contratación estatal </w:t>
      </w:r>
      <w:r w:rsidRPr="00C13395">
        <w:rPr>
          <w:rFonts w:ascii="Verdana" w:eastAsia="Century Gothic" w:hAnsi="Verdana" w:cs="Century Gothic"/>
          <w:bCs/>
          <w:lang w:val="es-ES_tradnl"/>
        </w:rPr>
        <w:t>consagradas en la Ley de Garantías Electorales se dirigen a dos (2) tipos de campañas electorales diferenciadas: las presidenciales y las que se adelanten para la elección de los demás cargos de elección popular, tanto a nivel nacional como territorial.</w:t>
      </w:r>
    </w:p>
    <w:p w14:paraId="41A61C01"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Pr>
          <w:rFonts w:ascii="Verdana" w:eastAsia="Century Gothic" w:hAnsi="Verdana" w:cs="Century Gothic"/>
          <w:bCs/>
          <w:lang w:val="es-ES_tradnl"/>
        </w:rPr>
        <w:t>E</w:t>
      </w:r>
      <w:r w:rsidRPr="00C13395">
        <w:rPr>
          <w:rFonts w:ascii="Verdana" w:eastAsia="Century Gothic" w:hAnsi="Verdana" w:cs="Century Gothic"/>
          <w:bCs/>
          <w:lang w:val="es-ES_tradnl"/>
        </w:rPr>
        <w:t xml:space="preserve">l artículo 33 de la Ley 996 de 2005 prohíbe “(…) la contratación directa por parte de todos los entes del Estado” durante los cuatro (4) meses anteriores a las elecciones presidenciales, salvo “[…] lo referente a la </w:t>
      </w:r>
      <w:r w:rsidRPr="00294702">
        <w:rPr>
          <w:rFonts w:ascii="Verdana" w:eastAsia="Century Gothic" w:hAnsi="Verdana" w:cs="Century Gothic"/>
          <w:bCs/>
          <w:i/>
          <w:iCs/>
          <w:lang w:val="es-ES_tradnl"/>
        </w:rPr>
        <w:t>defensa y seguridad del Estado</w:t>
      </w:r>
      <w:r w:rsidRPr="00C13395">
        <w:rPr>
          <w:rFonts w:ascii="Verdana" w:eastAsia="Century Gothic" w:hAnsi="Verdana" w:cs="Century Gothic"/>
          <w:bCs/>
          <w:lang w:val="es-ES_tradnl"/>
        </w:rPr>
        <w:t xml:space="preserve">, los contratos de crédito público, los requeridos para cubrir las emergencias educativas, sanitarias y desastres, así como también los utilizados para la reconstrucción de vías, puentes, carreteras, infraestructura energética y </w:t>
      </w:r>
      <w:r w:rsidRPr="00C13395">
        <w:rPr>
          <w:rFonts w:ascii="Verdana" w:eastAsia="Century Gothic" w:hAnsi="Verdana" w:cs="Century Gothic"/>
          <w:bCs/>
          <w:lang w:val="es-ES_tradnl"/>
        </w:rPr>
        <w:lastRenderedPageBreak/>
        <w:t>de comunicaciones, en caso de que hayan sido objeto de atentados, acciones terroristas, desastres naturales o casos de fuerza mayor, y los que deban realizar las entidades sanitarias y hospitalarias” .</w:t>
      </w:r>
    </w:p>
    <w:p w14:paraId="1C8D2C48"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6D240B">
        <w:rPr>
          <w:rFonts w:ascii="Verdana" w:eastAsia="Century Gothic" w:hAnsi="Verdana" w:cs="Century Gothic"/>
          <w:bCs/>
          <w:lang w:val="es-ES_tradnl"/>
        </w:rPr>
        <w:t>Por otro lado, el parágrafo del artículo 38 de la Ley 996 de 2005 prevé una restricción, aplicable</w:t>
      </w:r>
      <w:r w:rsidRPr="00C13395">
        <w:rPr>
          <w:rFonts w:ascii="Verdana" w:eastAsia="Century Gothic" w:hAnsi="Verdana" w:cs="Century Gothic"/>
          <w:bCs/>
          <w:lang w:val="es-ES_tradnl"/>
        </w:rPr>
        <w:t xml:space="preserv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6EE8786E" w14:textId="77777777" w:rsidR="008E53E8" w:rsidRDefault="008E53E8" w:rsidP="00C27838">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La Sala de Consulta y Servicio Civil del Consejo de Estado ha aclarado la distinción en la aplicación de las prohibiciones de la Ley 996 de 2005, dependiendo del tipo de elección que se trate. Al respecto, considera:</w:t>
      </w:r>
    </w:p>
    <w:p w14:paraId="271EB927" w14:textId="77777777" w:rsidR="00C27838" w:rsidRPr="00C13395" w:rsidRDefault="00C27838" w:rsidP="00294702">
      <w:pPr>
        <w:spacing w:after="0" w:line="276" w:lineRule="auto"/>
        <w:ind w:firstLine="708"/>
        <w:jc w:val="both"/>
        <w:rPr>
          <w:rFonts w:ascii="Verdana" w:eastAsia="Century Gothic" w:hAnsi="Verdana" w:cs="Century Gothic"/>
          <w:bCs/>
          <w:lang w:val="es-ES_tradnl"/>
        </w:rPr>
      </w:pPr>
    </w:p>
    <w:p w14:paraId="67610F97" w14:textId="77777777" w:rsidR="008E53E8" w:rsidRDefault="008E53E8" w:rsidP="00C27838">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 </w:t>
      </w:r>
    </w:p>
    <w:p w14:paraId="2963FD7B" w14:textId="77777777" w:rsidR="00C27838" w:rsidRPr="00294702" w:rsidRDefault="00C27838" w:rsidP="00294702">
      <w:pPr>
        <w:spacing w:after="0" w:line="276" w:lineRule="auto"/>
        <w:ind w:left="709" w:right="709"/>
        <w:jc w:val="both"/>
        <w:rPr>
          <w:rFonts w:ascii="Verdana" w:eastAsia="Century Gothic" w:hAnsi="Verdana" w:cs="Century Gothic"/>
          <w:bCs/>
          <w:lang w:val="es-ES_tradnl"/>
        </w:rPr>
      </w:pPr>
    </w:p>
    <w:p w14:paraId="11A008F9" w14:textId="77777777" w:rsidR="008E53E8" w:rsidRPr="00C13395" w:rsidRDefault="008E53E8" w:rsidP="00294702">
      <w:pPr>
        <w:spacing w:after="120" w:line="276" w:lineRule="auto"/>
        <w:ind w:firstLine="709"/>
        <w:jc w:val="both"/>
        <w:rPr>
          <w:rFonts w:ascii="Verdana" w:eastAsia="Century Gothic" w:hAnsi="Verdana" w:cs="Century Gothic"/>
          <w:lang w:val="es-ES"/>
        </w:rPr>
      </w:pPr>
      <w:r w:rsidRPr="122F1934">
        <w:rPr>
          <w:rFonts w:ascii="Verdana" w:eastAsia="Century Gothic" w:hAnsi="Verdana" w:cs="Century Gothic"/>
          <w:lang w:val="es-ES"/>
        </w:rPr>
        <w:t xml:space="preserve">De conformidad con lo anterior, la Ley 996 de 2005 establece dos (2) tipos de restricciones en materia de contratación, las cuales coinciden parcialmente. En primer lugar,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w:t>
      </w:r>
      <w:r w:rsidRPr="122F1934">
        <w:rPr>
          <w:rFonts w:ascii="Verdana" w:eastAsia="Century Gothic" w:hAnsi="Verdana" w:cs="Century Gothic"/>
          <w:lang w:val="es-ES"/>
        </w:rPr>
        <w:lastRenderedPageBreak/>
        <w:t>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4384E843" w14:textId="77777777" w:rsidR="008E53E8" w:rsidRPr="00C13395" w:rsidRDefault="008E53E8" w:rsidP="00294702">
      <w:pPr>
        <w:spacing w:after="120" w:line="276" w:lineRule="auto"/>
        <w:ind w:firstLine="709"/>
        <w:jc w:val="both"/>
        <w:rPr>
          <w:rFonts w:ascii="Verdana" w:eastAsia="Century Gothic" w:hAnsi="Verdana" w:cs="Century Gothic"/>
          <w:lang w:val="es-ES"/>
        </w:rPr>
      </w:pPr>
      <w:r w:rsidRPr="122F1934">
        <w:rPr>
          <w:rFonts w:ascii="Verdana" w:eastAsia="Century Gothic" w:hAnsi="Verdana" w:cs="Century Gothic"/>
          <w:lang w:val="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5CCF27D5" w14:textId="77777777" w:rsidR="008E53E8" w:rsidRDefault="008E53E8" w:rsidP="005734B3">
      <w:pPr>
        <w:spacing w:after="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6B4F97C2" w14:textId="77777777" w:rsidR="005734B3" w:rsidRPr="00C13395" w:rsidRDefault="005734B3" w:rsidP="00294702">
      <w:pPr>
        <w:spacing w:after="0" w:line="276" w:lineRule="auto"/>
        <w:ind w:firstLine="708"/>
        <w:jc w:val="both"/>
        <w:rPr>
          <w:rFonts w:ascii="Verdana" w:eastAsia="Century Gothic" w:hAnsi="Verdana" w:cs="Century Gothic"/>
          <w:lang w:val="es-ES"/>
        </w:rPr>
      </w:pPr>
    </w:p>
    <w:p w14:paraId="1237F9E3" w14:textId="77777777" w:rsidR="008E53E8" w:rsidRPr="00C13395" w:rsidRDefault="008E53E8" w:rsidP="122F1934">
      <w:pPr>
        <w:spacing w:after="120" w:line="276" w:lineRule="auto"/>
        <w:jc w:val="both"/>
        <w:rPr>
          <w:rFonts w:ascii="Verdana" w:eastAsia="Century Gothic" w:hAnsi="Verdana" w:cs="Century Gothic"/>
          <w:lang w:val="es-ES"/>
        </w:rPr>
      </w:pPr>
      <w:proofErr w:type="spellStart"/>
      <w:r w:rsidRPr="122F1934">
        <w:rPr>
          <w:rFonts w:ascii="Verdana" w:eastAsia="Century Gothic" w:hAnsi="Verdana" w:cs="Century Gothic"/>
          <w:lang w:val="es-ES"/>
        </w:rPr>
        <w:t>ii</w:t>
      </w:r>
      <w:proofErr w:type="spellEnd"/>
      <w:r w:rsidRPr="122F1934">
        <w:rPr>
          <w:rFonts w:ascii="Verdana" w:eastAsia="Century Gothic" w:hAnsi="Verdana" w:cs="Century Gothic"/>
          <w:lang w:val="es-ES"/>
        </w:rPr>
        <w:t xml:space="preserve">) Para entender el momento de aplicación de estas restricciones, es preciso señalar que el vocablo “celebrar” es definido por el Diccionario Panhispánico del Español Jurídico como: “1. Gral. Otorgar o firmar un contrato. 2. </w:t>
      </w:r>
      <w:proofErr w:type="spellStart"/>
      <w:r w:rsidRPr="122F1934">
        <w:rPr>
          <w:rFonts w:ascii="Verdana" w:eastAsia="Century Gothic" w:hAnsi="Verdana" w:cs="Century Gothic"/>
          <w:lang w:val="es-ES"/>
        </w:rPr>
        <w:t>Proc</w:t>
      </w:r>
      <w:proofErr w:type="spellEnd"/>
      <w:r w:rsidRPr="122F1934">
        <w:rPr>
          <w:rFonts w:ascii="Verdana" w:eastAsia="Century Gothic" w:hAnsi="Verdana" w:cs="Century Gothic"/>
          <w:lang w:val="es-ES"/>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087A3556"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lastRenderedPageBreak/>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 de los contratos estatales, es decir, la producción de efectos jurídicos en los términos del artículo 1501 ibidem,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535CDCBD"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2C8D16DA" w14:textId="77777777" w:rsidR="008E53E8" w:rsidRPr="00C13395" w:rsidRDefault="008E53E8" w:rsidP="00294702">
      <w:pPr>
        <w:spacing w:after="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Asimismo, 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Electorales, sin que ello haga nugatoria la restricción de la contratación directa y siempre que cumplan los principios de planeación, transparencia y responsabilidad. </w:t>
      </w:r>
    </w:p>
    <w:p w14:paraId="55252367" w14:textId="77777777" w:rsidR="00825A02" w:rsidRDefault="00825A02" w:rsidP="00294702">
      <w:pPr>
        <w:spacing w:after="0" w:line="276" w:lineRule="auto"/>
        <w:jc w:val="both"/>
        <w:rPr>
          <w:rFonts w:ascii="Verdana" w:eastAsia="Century Gothic" w:hAnsi="Verdana" w:cs="Century Gothic"/>
          <w:bCs/>
          <w:lang w:val="es-ES_tradnl"/>
        </w:rPr>
      </w:pPr>
    </w:p>
    <w:p w14:paraId="3BB27B05" w14:textId="69F8DA33" w:rsidR="008E53E8" w:rsidRPr="00C13395" w:rsidRDefault="00825A02" w:rsidP="00294702">
      <w:pPr>
        <w:spacing w:after="0" w:line="276" w:lineRule="auto"/>
        <w:jc w:val="both"/>
        <w:rPr>
          <w:rFonts w:ascii="Verdana" w:eastAsia="Century Gothic" w:hAnsi="Verdana" w:cs="Century Gothic"/>
          <w:lang w:val="es-ES"/>
        </w:rPr>
      </w:pPr>
      <w:proofErr w:type="spellStart"/>
      <w:r w:rsidRPr="61CFEC75">
        <w:rPr>
          <w:rFonts w:ascii="Verdana" w:eastAsia="Century Gothic" w:hAnsi="Verdana" w:cs="Century Gothic"/>
          <w:lang w:val="es-ES"/>
        </w:rPr>
        <w:t>iii</w:t>
      </w:r>
      <w:proofErr w:type="spellEnd"/>
      <w:r w:rsidRPr="61CFEC75">
        <w:rPr>
          <w:rFonts w:ascii="Verdana" w:eastAsia="Century Gothic" w:hAnsi="Verdana" w:cs="Century Gothic"/>
          <w:lang w:val="es-ES"/>
        </w:rPr>
        <w:t>)</w:t>
      </w:r>
      <w:r w:rsidR="00AB176F" w:rsidRPr="61CFEC75">
        <w:rPr>
          <w:rFonts w:ascii="Verdana" w:eastAsia="Century Gothic" w:hAnsi="Verdana" w:cs="Century Gothic"/>
          <w:lang w:val="es-ES"/>
        </w:rPr>
        <w:t xml:space="preserve"> Teniendo en cuenta el contenido de su consulta, es imperioso analizar los dos tipos de restricciones. En primer lugar,</w:t>
      </w:r>
      <w:r w:rsidRPr="61CFEC75">
        <w:rPr>
          <w:rFonts w:ascii="Verdana" w:eastAsia="Century Gothic" w:hAnsi="Verdana" w:cs="Century Gothic"/>
          <w:lang w:val="es-ES"/>
        </w:rPr>
        <w:t xml:space="preserve"> </w:t>
      </w:r>
      <w:r w:rsidR="00AB176F" w:rsidRPr="61CFEC75">
        <w:rPr>
          <w:rFonts w:ascii="Verdana" w:eastAsia="Century Gothic" w:hAnsi="Verdana" w:cs="Century Gothic"/>
          <w:lang w:val="es-ES"/>
        </w:rPr>
        <w:t xml:space="preserve">el </w:t>
      </w:r>
      <w:r w:rsidR="008E53E8" w:rsidRPr="61CFEC75">
        <w:rPr>
          <w:rFonts w:ascii="Verdana" w:eastAsia="Century Gothic" w:hAnsi="Verdana" w:cs="Century Gothic"/>
          <w:lang w:val="es-ES"/>
        </w:rPr>
        <w:t>ámbito material de la prohibición contenida en el artículo 33 de la Ley 996 de 2005 está delimitado por la expresión “queda prohibida la contratación directa”. A propósito de esta restricción de la Ley de Garantías Electorales, la Sala de Consulta y Servicio Civil del Consejo de Estado ha considerado que:</w:t>
      </w:r>
    </w:p>
    <w:p w14:paraId="49262FC7" w14:textId="77777777" w:rsidR="008E53E8" w:rsidRPr="00C13395" w:rsidRDefault="008E53E8" w:rsidP="00294702">
      <w:pPr>
        <w:spacing w:after="0" w:line="276" w:lineRule="auto"/>
        <w:jc w:val="both"/>
        <w:rPr>
          <w:rFonts w:ascii="Verdana" w:eastAsia="Century Gothic" w:hAnsi="Verdana" w:cs="Century Gothic"/>
          <w:bCs/>
          <w:lang w:val="es-ES_tradnl"/>
        </w:rPr>
      </w:pPr>
    </w:p>
    <w:p w14:paraId="5903D1A3" w14:textId="77777777" w:rsidR="008E53E8" w:rsidRPr="00C13395" w:rsidRDefault="008E53E8" w:rsidP="00294702">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lastRenderedPageBreak/>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p>
    <w:p w14:paraId="028E4D16" w14:textId="77777777" w:rsidR="008E53E8" w:rsidRPr="00C13395" w:rsidRDefault="008E53E8" w:rsidP="00294702">
      <w:pPr>
        <w:spacing w:after="0" w:line="240" w:lineRule="auto"/>
        <w:ind w:left="709" w:right="709"/>
        <w:jc w:val="both"/>
        <w:rPr>
          <w:rFonts w:ascii="Verdana" w:eastAsia="Century Gothic" w:hAnsi="Verdana" w:cs="Century Gothic"/>
          <w:bCs/>
          <w:sz w:val="20"/>
          <w:szCs w:val="20"/>
          <w:lang w:val="es-ES_tradnl"/>
        </w:rPr>
      </w:pPr>
    </w:p>
    <w:p w14:paraId="282FE391" w14:textId="77777777" w:rsidR="008E53E8" w:rsidRPr="00C13395" w:rsidRDefault="008E53E8" w:rsidP="00294702">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w:t>
      </w:r>
      <w:r>
        <w:rPr>
          <w:rFonts w:ascii="Verdana" w:eastAsia="Century Gothic" w:hAnsi="Verdana" w:cs="Century Gothic"/>
          <w:bCs/>
          <w:sz w:val="20"/>
          <w:szCs w:val="20"/>
          <w:lang w:val="es-ES_tradnl"/>
        </w:rPr>
        <w:t xml:space="preserve"> (…)</w:t>
      </w:r>
      <w:r w:rsidRPr="00C13395">
        <w:rPr>
          <w:rFonts w:ascii="Verdana" w:eastAsia="Century Gothic" w:hAnsi="Verdana" w:cs="Century Gothic"/>
          <w:bCs/>
          <w:sz w:val="20"/>
          <w:szCs w:val="20"/>
          <w:lang w:val="es-ES_tradnl"/>
        </w:rPr>
        <w:t>”.</w:t>
      </w:r>
    </w:p>
    <w:p w14:paraId="59FE831D" w14:textId="77777777" w:rsidR="00AB176F" w:rsidRDefault="00AB176F" w:rsidP="00294702">
      <w:pPr>
        <w:spacing w:after="0" w:line="276" w:lineRule="auto"/>
        <w:ind w:firstLine="708"/>
        <w:jc w:val="both"/>
        <w:rPr>
          <w:rFonts w:ascii="Verdana" w:eastAsia="Century Gothic" w:hAnsi="Verdana" w:cs="Century Gothic"/>
          <w:bCs/>
          <w:lang w:val="es-ES_tradnl"/>
        </w:rPr>
      </w:pPr>
    </w:p>
    <w:p w14:paraId="5039E959" w14:textId="76774E29" w:rsidR="008E53E8" w:rsidRPr="00C13395" w:rsidRDefault="008E53E8" w:rsidP="00072845">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el concurso de méritos y la mínima cuantía u otros previstos en normas especiales. Esta posición es congruente con la expedición de la Ley 1150 de 2007 que, entre otras reformas, introdujo la selección abreviada, rediseñó el concurso de méritos y sistematizó las causales de contratación directa, además lo es con la posterior creación de la modalidad de mínima cuantía establecida actualmente en el numeral 5 del artículo 2 de la Ley 1150 de 2007, de acuerdo con las modificaciones realizadas por leyes posteriores.</w:t>
      </w:r>
    </w:p>
    <w:p w14:paraId="58B9EA99" w14:textId="77777777" w:rsidR="008E53E8" w:rsidRPr="00C13395" w:rsidRDefault="008E53E8" w:rsidP="00072845">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esta forma, con fundamento en la evolución de la normativa sobre la contratación pública, se ha depurado la noción de “contratación directa”,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 han establecido sistemas de </w:t>
      </w:r>
      <w:r w:rsidRPr="00C13395">
        <w:rPr>
          <w:rFonts w:ascii="Verdana" w:eastAsia="Century Gothic" w:hAnsi="Verdana" w:cs="Century Gothic"/>
          <w:bCs/>
          <w:lang w:val="es-ES_tradnl"/>
        </w:rPr>
        <w:lastRenderedPageBreak/>
        <w:t xml:space="preserve">contratación que implican convocatoria pública y participación de varios oferentes”. </w:t>
      </w:r>
    </w:p>
    <w:p w14:paraId="6F69E5AB" w14:textId="77777777" w:rsidR="008E53E8" w:rsidRPr="00C13395" w:rsidRDefault="008E53E8" w:rsidP="00072845">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 </w:t>
      </w:r>
    </w:p>
    <w:p w14:paraId="4C9CB526" w14:textId="77777777" w:rsidR="008E53E8" w:rsidRPr="00C13395" w:rsidRDefault="008E53E8" w:rsidP="00072845">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32DE5F87" w14:textId="77777777" w:rsidR="008E53E8" w:rsidRPr="00C13395" w:rsidRDefault="008E53E8" w:rsidP="00072845">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18038707" w14:textId="24D8AFD9" w:rsidR="008E53E8" w:rsidRPr="00C13395" w:rsidRDefault="008E53E8" w:rsidP="61CFEC75">
      <w:pPr>
        <w:spacing w:after="120" w:line="276" w:lineRule="auto"/>
        <w:ind w:firstLine="708"/>
        <w:jc w:val="both"/>
        <w:rPr>
          <w:rFonts w:ascii="Verdana" w:eastAsia="Century Gothic" w:hAnsi="Verdana" w:cs="Century Gothic"/>
          <w:lang w:val="es-ES"/>
        </w:rPr>
      </w:pPr>
      <w:r w:rsidRPr="61CFEC75">
        <w:rPr>
          <w:rFonts w:ascii="Verdana" w:eastAsia="Century Gothic" w:hAnsi="Verdana" w:cs="Century Gothic"/>
          <w:lang w:val="es-ES"/>
        </w:rPr>
        <w:t>De lo anterior se desprende que la restricción aplica, sin perjuicio de las excepciones establecidas en la misma Ley,</w:t>
      </w:r>
      <w:r w:rsidR="0034005D" w:rsidRPr="61CFEC75">
        <w:rPr>
          <w:rFonts w:ascii="Verdana" w:eastAsia="Century Gothic" w:hAnsi="Verdana" w:cs="Century Gothic"/>
          <w:lang w:val="es-ES"/>
        </w:rPr>
        <w:t xml:space="preserve"> a las cuales se hará referencia más adelante,</w:t>
      </w:r>
      <w:r w:rsidRPr="61CFEC75">
        <w:rPr>
          <w:rFonts w:ascii="Verdana" w:eastAsia="Century Gothic" w:hAnsi="Verdana" w:cs="Century Gothic"/>
          <w:lang w:val="es-ES"/>
        </w:rPr>
        <w:t xml:space="preserve"> para celebrar cualquier contrato de forma directa,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 </w:t>
      </w:r>
    </w:p>
    <w:p w14:paraId="1B74122D" w14:textId="116A62BE" w:rsidR="000F128F" w:rsidRDefault="00390DBE" w:rsidP="00072845">
      <w:pPr>
        <w:spacing w:after="120" w:line="276" w:lineRule="auto"/>
        <w:ind w:firstLine="708"/>
        <w:jc w:val="both"/>
        <w:rPr>
          <w:rFonts w:ascii="Verdana" w:eastAsia="Century Gothic" w:hAnsi="Verdana" w:cs="Century Gothic"/>
          <w:lang w:val="es-ES"/>
        </w:rPr>
      </w:pPr>
      <w:r>
        <w:rPr>
          <w:rFonts w:ascii="Verdana" w:eastAsia="Century Gothic" w:hAnsi="Verdana" w:cs="Century Gothic"/>
          <w:lang w:val="es-ES"/>
        </w:rPr>
        <w:lastRenderedPageBreak/>
        <w:t>Ahora bien</w:t>
      </w:r>
      <w:r w:rsidR="008E53E8" w:rsidRPr="122F1934">
        <w:rPr>
          <w:rFonts w:ascii="Verdana" w:eastAsia="Century Gothic" w:hAnsi="Verdana" w:cs="Century Gothic"/>
          <w:lang w:val="es-ES"/>
        </w:rPr>
        <w:t>, las excepciones a la restricción prevista en la Ley de Garantías Electorales,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w:t>
      </w:r>
      <w:r w:rsidR="008E53E8" w:rsidRPr="00294702">
        <w:rPr>
          <w:rFonts w:ascii="Verdana" w:eastAsia="Century Gothic" w:hAnsi="Verdana" w:cs="Century Gothic"/>
          <w:i/>
          <w:iCs/>
          <w:lang w:val="es-ES"/>
        </w:rPr>
        <w:t>) la defensa y seguridad del Estado;</w:t>
      </w:r>
      <w:r w:rsidR="008E53E8" w:rsidRPr="122F1934">
        <w:rPr>
          <w:rFonts w:ascii="Verdana" w:eastAsia="Century Gothic" w:hAnsi="Verdana" w:cs="Century Gothic"/>
          <w:lang w:val="es-ES"/>
        </w:rPr>
        <w:t xml:space="preserve"> </w:t>
      </w:r>
      <w:proofErr w:type="spellStart"/>
      <w:r w:rsidR="008E53E8" w:rsidRPr="122F1934">
        <w:rPr>
          <w:rFonts w:ascii="Verdana" w:eastAsia="Century Gothic" w:hAnsi="Verdana" w:cs="Century Gothic"/>
          <w:lang w:val="es-ES"/>
        </w:rPr>
        <w:t>ii</w:t>
      </w:r>
      <w:proofErr w:type="spellEnd"/>
      <w:r w:rsidR="008E53E8" w:rsidRPr="122F1934">
        <w:rPr>
          <w:rFonts w:ascii="Verdana" w:eastAsia="Century Gothic" w:hAnsi="Verdana" w:cs="Century Gothic"/>
          <w:lang w:val="es-ES"/>
        </w:rPr>
        <w:t xml:space="preserve">) los contratos de crédito público; </w:t>
      </w:r>
      <w:proofErr w:type="spellStart"/>
      <w:r w:rsidR="008E53E8" w:rsidRPr="122F1934">
        <w:rPr>
          <w:rFonts w:ascii="Verdana" w:eastAsia="Century Gothic" w:hAnsi="Verdana" w:cs="Century Gothic"/>
          <w:lang w:val="es-ES"/>
        </w:rPr>
        <w:t>iii</w:t>
      </w:r>
      <w:proofErr w:type="spellEnd"/>
      <w:r w:rsidR="008E53E8" w:rsidRPr="122F1934">
        <w:rPr>
          <w:rFonts w:ascii="Verdana" w:eastAsia="Century Gothic" w:hAnsi="Verdana" w:cs="Century Gothic"/>
          <w:lang w:val="es-ES"/>
        </w:rPr>
        <w:t xml:space="preserve">) los requeridos para cubrir las emergencias educativas, sanitarias y desastres; </w:t>
      </w:r>
      <w:proofErr w:type="spellStart"/>
      <w:r w:rsidR="008E53E8" w:rsidRPr="122F1934">
        <w:rPr>
          <w:rFonts w:ascii="Verdana" w:eastAsia="Century Gothic" w:hAnsi="Verdana" w:cs="Century Gothic"/>
          <w:lang w:val="es-ES"/>
        </w:rPr>
        <w:t>iv</w:t>
      </w:r>
      <w:proofErr w:type="spellEnd"/>
      <w:r w:rsidR="008E53E8" w:rsidRPr="122F1934">
        <w:rPr>
          <w:rFonts w:ascii="Verdana" w:eastAsia="Century Gothic" w:hAnsi="Verdana" w:cs="Century Gothic"/>
          <w:lang w:val="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5A5FC7DF" w14:textId="395AD8DB" w:rsidR="008E53E8" w:rsidRPr="00C13395" w:rsidRDefault="000F128F" w:rsidP="00072845">
      <w:pPr>
        <w:spacing w:after="120" w:line="276" w:lineRule="auto"/>
        <w:ind w:firstLine="708"/>
        <w:jc w:val="both"/>
        <w:rPr>
          <w:rFonts w:ascii="Verdana" w:eastAsia="Century Gothic" w:hAnsi="Verdana" w:cs="Century Gothic"/>
          <w:lang w:val="es-ES"/>
        </w:rPr>
      </w:pPr>
      <w:r>
        <w:rPr>
          <w:rFonts w:ascii="Verdana" w:eastAsia="Century Gothic" w:hAnsi="Verdana" w:cs="Century Gothic"/>
          <w:lang w:val="es-ES"/>
        </w:rPr>
        <w:t>Conforme a las anteriores causales de excepción</w:t>
      </w:r>
      <w:r w:rsidR="00DB1EBD">
        <w:rPr>
          <w:rFonts w:ascii="Verdana" w:eastAsia="Century Gothic" w:hAnsi="Verdana" w:cs="Century Gothic"/>
          <w:lang w:val="es-ES"/>
        </w:rPr>
        <w:t>, e</w:t>
      </w:r>
      <w:r w:rsidR="008E53E8" w:rsidRPr="122F1934">
        <w:rPr>
          <w:rFonts w:ascii="Verdana" w:eastAsia="Century Gothic" w:hAnsi="Verdana" w:cs="Century Gothic"/>
          <w:lang w:val="es-ES"/>
        </w:rPr>
        <w:t>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78395EC" w14:textId="77777777" w:rsidR="008E53E8" w:rsidRPr="00C13395" w:rsidRDefault="008E53E8" w:rsidP="00072845">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11FB1543" w14:textId="5C1308A6" w:rsidR="00AA6873" w:rsidRPr="00DB1EBD" w:rsidRDefault="00AA6873" w:rsidP="00294702">
      <w:pPr>
        <w:spacing w:after="120" w:line="276" w:lineRule="auto"/>
        <w:ind w:firstLine="708"/>
        <w:jc w:val="both"/>
        <w:rPr>
          <w:rFonts w:ascii="Verdana" w:eastAsia="Century Gothic" w:hAnsi="Verdana" w:cs="Century Gothic"/>
          <w:bCs/>
          <w:lang w:val="es-ES_tradnl"/>
        </w:rPr>
      </w:pPr>
      <w:r w:rsidRPr="00294702">
        <w:rPr>
          <w:rFonts w:ascii="Verdana" w:hAnsi="Verdana" w:cs="Arial"/>
          <w:color w:val="000000" w:themeColor="text1"/>
          <w:lang w:val="es-ES"/>
        </w:rPr>
        <w:t xml:space="preserve">Precisamente, en lo que respecta a estas excepciones, el segundo inciso del artículo 33 de la Ley 996 de 2005, como acaba de plantearse, establece que la prohibición de la contratación directa no se aplicará en lo referente a la </w:t>
      </w:r>
      <w:r w:rsidR="00DB1EBD" w:rsidRPr="00294702">
        <w:rPr>
          <w:rFonts w:ascii="Verdana" w:hAnsi="Verdana" w:cs="Arial"/>
          <w:color w:val="000000" w:themeColor="text1"/>
          <w:lang w:val="es-ES"/>
        </w:rPr>
        <w:t>“</w:t>
      </w:r>
      <w:r w:rsidRPr="00294702">
        <w:rPr>
          <w:rFonts w:ascii="Verdana" w:hAnsi="Verdana" w:cs="Arial"/>
          <w:color w:val="000000" w:themeColor="text1"/>
          <w:lang w:val="es-ES"/>
        </w:rPr>
        <w:t>defensa y seguridad del Estado</w:t>
      </w:r>
      <w:r w:rsidR="00DB1EBD" w:rsidRPr="00294702">
        <w:rPr>
          <w:rFonts w:ascii="Verdana" w:hAnsi="Verdana" w:cs="Arial"/>
          <w:color w:val="000000" w:themeColor="text1"/>
          <w:lang w:val="es-ES"/>
        </w:rPr>
        <w:t>2</w:t>
      </w:r>
      <w:r w:rsidRPr="00294702">
        <w:rPr>
          <w:rFonts w:ascii="Verdana" w:hAnsi="Verdana" w:cs="Arial"/>
          <w:color w:val="000000" w:themeColor="text1"/>
          <w:lang w:val="es-ES"/>
        </w:rPr>
        <w:t xml:space="preserve">; expresión que </w:t>
      </w:r>
      <w:r w:rsidR="00DB1EBD" w:rsidRPr="00294702">
        <w:rPr>
          <w:rFonts w:ascii="Verdana" w:hAnsi="Verdana" w:cs="Arial"/>
          <w:color w:val="000000" w:themeColor="text1"/>
          <w:lang w:val="es-ES"/>
        </w:rPr>
        <w:t xml:space="preserve">puede relacionarse con </w:t>
      </w:r>
      <w:r w:rsidRPr="00294702">
        <w:rPr>
          <w:rFonts w:ascii="Verdana" w:hAnsi="Verdana" w:cs="Arial"/>
          <w:color w:val="000000" w:themeColor="text1"/>
          <w:lang w:val="es-ES"/>
        </w:rPr>
        <w:t>la consulta bajo análisis.</w:t>
      </w:r>
    </w:p>
    <w:p w14:paraId="16E70431" w14:textId="629D7991" w:rsidR="0036476C" w:rsidRPr="00294702" w:rsidRDefault="0036476C" w:rsidP="00294702">
      <w:pPr>
        <w:spacing w:after="120" w:line="276" w:lineRule="auto"/>
        <w:ind w:firstLine="709"/>
        <w:jc w:val="both"/>
        <w:rPr>
          <w:rFonts w:ascii="Verdana" w:eastAsia="Arial" w:hAnsi="Verdana" w:cs="Arial"/>
          <w:color w:val="000000" w:themeColor="text1"/>
          <w:lang w:val="es-ES_tradnl"/>
        </w:rPr>
      </w:pPr>
      <w:r w:rsidRPr="00294702">
        <w:rPr>
          <w:rFonts w:ascii="Verdana" w:hAnsi="Verdana" w:cs="Arial"/>
          <w:color w:val="000000" w:themeColor="text1"/>
          <w:lang w:val="es-ES_tradnl"/>
        </w:rPr>
        <w:t xml:space="preserve">Haciendo, previamente, la salvedad, de que la competencia consultiva de la Agencia Nacional de Contratación Pública – Colombia Compra Eficiente se circunscribe a la interpretación, en abstracto, de normas de alcance general que </w:t>
      </w:r>
      <w:r w:rsidRPr="00294702">
        <w:rPr>
          <w:rFonts w:ascii="Verdana" w:hAnsi="Verdana" w:cs="Arial"/>
          <w:color w:val="000000" w:themeColor="text1"/>
          <w:lang w:val="es-ES_tradnl"/>
        </w:rPr>
        <w:lastRenderedPageBreak/>
        <w:t>hagan parte del Sistema de Compras y Contratación Pública</w:t>
      </w:r>
      <w:r w:rsidRPr="00294702">
        <w:rPr>
          <w:rStyle w:val="Refdenotaalpie"/>
          <w:rFonts w:ascii="Verdana" w:hAnsi="Verdana"/>
        </w:rPr>
        <w:footnoteReference w:id="1"/>
      </w:r>
      <w:r w:rsidRPr="00294702">
        <w:rPr>
          <w:rFonts w:ascii="Verdana" w:hAnsi="Verdana" w:cs="Arial"/>
          <w:color w:val="000000" w:themeColor="text1"/>
          <w:lang w:val="es-ES_tradnl"/>
        </w:rPr>
        <w:t xml:space="preserve">, y que, por tanto, no puede asesorar a las entidades estatales en decisiones contractuales particulares, se aclara que la expresión </w:t>
      </w:r>
      <w:r w:rsidR="005F5235">
        <w:rPr>
          <w:rFonts w:ascii="Verdana" w:hAnsi="Verdana" w:cs="Arial"/>
          <w:color w:val="000000" w:themeColor="text1"/>
          <w:lang w:val="es-ES_tradnl"/>
        </w:rPr>
        <w:t>“</w:t>
      </w:r>
      <w:r w:rsidRPr="00294702">
        <w:rPr>
          <w:rFonts w:ascii="Verdana" w:hAnsi="Verdana" w:cs="Arial"/>
          <w:color w:val="000000" w:themeColor="text1"/>
          <w:lang w:val="es-ES_tradnl"/>
        </w:rPr>
        <w:t>defensa y seguridad del Estado</w:t>
      </w:r>
      <w:r w:rsidR="005F5235">
        <w:rPr>
          <w:rFonts w:ascii="Verdana" w:hAnsi="Verdana" w:cs="Arial"/>
          <w:color w:val="000000" w:themeColor="text1"/>
          <w:lang w:val="es-ES_tradnl"/>
        </w:rPr>
        <w:t>”</w:t>
      </w:r>
      <w:r w:rsidRPr="00294702">
        <w:rPr>
          <w:rFonts w:ascii="Verdana" w:hAnsi="Verdana" w:cs="Arial"/>
          <w:color w:val="000000" w:themeColor="text1"/>
          <w:lang w:val="es-ES_tradnl"/>
        </w:rPr>
        <w:t xml:space="preserve">, contenida en el segundo inciso del artículo 33 de la Ley 996 de 2005, es un </w:t>
      </w:r>
      <w:r w:rsidRPr="00294702">
        <w:rPr>
          <w:rFonts w:ascii="Verdana" w:hAnsi="Verdana" w:cs="Arial"/>
          <w:i/>
          <w:iCs/>
          <w:color w:val="000000" w:themeColor="text1"/>
          <w:lang w:val="es-ES_tradnl"/>
        </w:rPr>
        <w:t>concepto jurídico indeterminado</w:t>
      </w:r>
      <w:r w:rsidRPr="00294702">
        <w:rPr>
          <w:rStyle w:val="Refdenotaalpie"/>
          <w:rFonts w:ascii="Verdana" w:eastAsia="Calibri" w:hAnsi="Verdana"/>
        </w:rPr>
        <w:footnoteReference w:id="2"/>
      </w:r>
      <w:r w:rsidRPr="00294702">
        <w:rPr>
          <w:rFonts w:ascii="Verdana" w:eastAsia="Calibri" w:hAnsi="Verdana" w:cs="Arial"/>
          <w:bCs/>
          <w:color w:val="000000" w:themeColor="text1"/>
          <w:lang w:val="es-ES_tradnl"/>
        </w:rPr>
        <w:t xml:space="preserve">. </w:t>
      </w:r>
      <w:r w:rsidRPr="00294702">
        <w:rPr>
          <w:rFonts w:ascii="Verdana" w:eastAsia="Arial" w:hAnsi="Verdana" w:cs="Arial"/>
          <w:color w:val="000000" w:themeColor="text1"/>
          <w:lang w:val="es-ES_tradnl"/>
        </w:rPr>
        <w:t xml:space="preserve">Un concepto adquiere </w:t>
      </w:r>
      <w:r w:rsidR="00072845">
        <w:rPr>
          <w:rFonts w:ascii="Verdana" w:eastAsia="Arial" w:hAnsi="Verdana" w:cs="Arial"/>
          <w:color w:val="000000" w:themeColor="text1"/>
          <w:lang w:val="es-ES_tradnl"/>
        </w:rPr>
        <w:t>l</w:t>
      </w:r>
      <w:r w:rsidRPr="00294702">
        <w:rPr>
          <w:rFonts w:ascii="Verdana" w:eastAsia="Arial" w:hAnsi="Verdana" w:cs="Arial"/>
          <w:color w:val="000000" w:themeColor="text1"/>
          <w:lang w:val="es-ES_tradnl"/>
        </w:rPr>
        <w:t xml:space="preserve">a denominación </w:t>
      </w:r>
      <w:r w:rsidR="00072845">
        <w:rPr>
          <w:rFonts w:ascii="Verdana" w:eastAsia="Arial" w:hAnsi="Verdana" w:cs="Arial"/>
          <w:color w:val="000000" w:themeColor="text1"/>
          <w:lang w:val="es-ES_tradnl"/>
        </w:rPr>
        <w:t xml:space="preserve">de indeterminado </w:t>
      </w:r>
      <w:r w:rsidRPr="00294702">
        <w:rPr>
          <w:rFonts w:ascii="Verdana" w:eastAsia="Arial" w:hAnsi="Verdana" w:cs="Arial"/>
          <w:color w:val="000000" w:themeColor="text1"/>
          <w:lang w:val="es-ES_tradnl"/>
        </w:rPr>
        <w:t>en el Derecho cuando se trata de un enunciado que goza de vaguedad y que debe materializarse en cada caso, atendiendo a las técnicas de la interpretación jurídica. De igual forma, se trata de un concepto para cuya concreción las entidades estatales gozan de cierto margen de apreciación en su aplicación, pero deben respetar los límites previstos en las normas de orden público. La Corte Constitucional</w:t>
      </w:r>
      <w:r w:rsidRPr="00294702">
        <w:rPr>
          <w:rStyle w:val="Refdenotaalpie"/>
          <w:rFonts w:ascii="Verdana" w:eastAsia="Arial" w:hAnsi="Verdana"/>
        </w:rPr>
        <w:footnoteReference w:id="3"/>
      </w:r>
      <w:r w:rsidRPr="00294702">
        <w:rPr>
          <w:rFonts w:ascii="Verdana" w:eastAsia="Arial" w:hAnsi="Verdana" w:cs="Arial"/>
          <w:color w:val="000000" w:themeColor="text1"/>
          <w:lang w:val="es-ES_tradnl"/>
        </w:rPr>
        <w:t xml:space="preserve"> también ha reconocido que el Congreso de la República, dentro de su libertad de configuración legislativa, puede emplear este tipo de conceptos, que se caracterizan por tener un cierto halo de incertidumbre en su interpretación, quedando referida su determinación concreta a la actividad de los operadores jurídicos.</w:t>
      </w:r>
    </w:p>
    <w:p w14:paraId="37987A7B" w14:textId="310156BD" w:rsidR="0036476C" w:rsidRPr="00294702" w:rsidRDefault="0036476C" w:rsidP="00294702">
      <w:pPr>
        <w:spacing w:after="120" w:line="276" w:lineRule="auto"/>
        <w:ind w:firstLine="709"/>
        <w:jc w:val="both"/>
        <w:rPr>
          <w:rFonts w:ascii="Verdana" w:hAnsi="Verdana" w:cs="Arial"/>
          <w:color w:val="000000" w:themeColor="text1"/>
          <w:lang w:val="es-ES_tradnl"/>
        </w:rPr>
      </w:pPr>
      <w:r w:rsidRPr="00294702">
        <w:rPr>
          <w:rFonts w:ascii="Verdana" w:eastAsia="Arial" w:hAnsi="Verdana" w:cs="Arial"/>
          <w:color w:val="000000" w:themeColor="text1"/>
          <w:lang w:val="es-ES_tradnl"/>
        </w:rPr>
        <w:t xml:space="preserve">El Consejo de Estado, en varios pronunciamientos, ha admitido el carácter indeterminado de los conceptos </w:t>
      </w:r>
      <w:r w:rsidR="006A3A90">
        <w:rPr>
          <w:rFonts w:ascii="Verdana" w:hAnsi="Verdana" w:cs="Arial"/>
          <w:color w:val="000000" w:themeColor="text1"/>
          <w:lang w:val="es-ES_tradnl"/>
        </w:rPr>
        <w:t>“</w:t>
      </w:r>
      <w:r w:rsidRPr="00294702">
        <w:rPr>
          <w:rFonts w:ascii="Verdana" w:hAnsi="Verdana" w:cs="Arial"/>
          <w:color w:val="000000" w:themeColor="text1"/>
          <w:lang w:val="es-ES_tradnl"/>
        </w:rPr>
        <w:t>defensa y seguridad del Estado</w:t>
      </w:r>
      <w:r w:rsidR="006A3A90">
        <w:rPr>
          <w:rFonts w:ascii="Verdana" w:hAnsi="Verdana" w:cs="Arial"/>
          <w:color w:val="000000" w:themeColor="text1"/>
          <w:lang w:val="es-ES_tradnl"/>
        </w:rPr>
        <w:t>”</w:t>
      </w:r>
      <w:r w:rsidRPr="00294702">
        <w:rPr>
          <w:rFonts w:ascii="Verdana" w:hAnsi="Verdana" w:cs="Arial"/>
          <w:color w:val="000000" w:themeColor="text1"/>
          <w:lang w:val="es-ES_tradnl"/>
        </w:rPr>
        <w:t xml:space="preserve"> y </w:t>
      </w:r>
      <w:r w:rsidR="006A3A90">
        <w:rPr>
          <w:rFonts w:ascii="Verdana" w:hAnsi="Verdana" w:cs="Arial"/>
          <w:color w:val="000000" w:themeColor="text1"/>
          <w:lang w:val="es-ES_tradnl"/>
        </w:rPr>
        <w:t>“</w:t>
      </w:r>
      <w:r w:rsidRPr="00294702">
        <w:rPr>
          <w:rFonts w:ascii="Verdana" w:hAnsi="Verdana" w:cs="Arial"/>
          <w:color w:val="000000" w:themeColor="text1"/>
          <w:lang w:val="es-ES_tradnl"/>
        </w:rPr>
        <w:t>defensa y seguridad nacional</w:t>
      </w:r>
      <w:r w:rsidR="006A3A90">
        <w:rPr>
          <w:rFonts w:ascii="Verdana" w:hAnsi="Verdana" w:cs="Arial"/>
          <w:color w:val="000000" w:themeColor="text1"/>
          <w:lang w:val="es-ES_tradnl"/>
        </w:rPr>
        <w:t>”</w:t>
      </w:r>
      <w:r w:rsidRPr="00294702">
        <w:rPr>
          <w:rFonts w:ascii="Verdana" w:hAnsi="Verdana" w:cs="Arial"/>
          <w:color w:val="000000" w:themeColor="text1"/>
          <w:lang w:val="es-ES_tradnl"/>
        </w:rPr>
        <w:t>, en las normas de contratación pública que se refieren a aquellos, incluida la del artículo 33 de la Ley 996 de 2005. A modo enunciativo, conviene referirse a algunas de dichas providencias:</w:t>
      </w:r>
    </w:p>
    <w:p w14:paraId="6F9FA0BD" w14:textId="3374376F" w:rsidR="0036476C" w:rsidRPr="00294702" w:rsidRDefault="0036476C" w:rsidP="00294702">
      <w:pPr>
        <w:spacing w:before="120"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En concepto del 30 de enero de 1997, la Sala de Consulta y Servicio Civil indicó que</w:t>
      </w:r>
      <w:r w:rsidR="004C08B5">
        <w:rPr>
          <w:rFonts w:ascii="Verdana" w:hAnsi="Verdana" w:cs="Arial"/>
          <w:color w:val="000000" w:themeColor="text1"/>
          <w:lang w:val="es-ES_tradnl"/>
        </w:rPr>
        <w:t>:</w:t>
      </w:r>
      <w:r w:rsidRPr="00294702">
        <w:rPr>
          <w:rFonts w:ascii="Verdana" w:hAnsi="Verdana" w:cs="Arial"/>
          <w:color w:val="000000" w:themeColor="text1"/>
          <w:lang w:val="es-ES_tradnl"/>
        </w:rPr>
        <w:t xml:space="preserve"> </w:t>
      </w:r>
      <w:r w:rsidR="004C08B5">
        <w:rPr>
          <w:rFonts w:ascii="Verdana" w:hAnsi="Verdana" w:cs="Arial"/>
          <w:color w:val="000000" w:themeColor="text1"/>
          <w:lang w:val="es-ES_tradnl"/>
        </w:rPr>
        <w:t>“</w:t>
      </w:r>
      <w:r w:rsidRPr="00294702">
        <w:rPr>
          <w:rFonts w:ascii="Verdana" w:hAnsi="Verdana" w:cs="Arial"/>
          <w:color w:val="000000" w:themeColor="text1"/>
          <w:lang w:val="es-ES_tradnl"/>
        </w:rPr>
        <w:t>El ramo de seguridad, perteneciente a la administración pública, comprende las actividades que velan por la seguridad de los habitantes del territorio del Estado. Su finalidad es la detectar las amenazas que puedan perturbar el orden público, afectar intereses nacionales o desestabilizar las instituciones políticas vigentes. Por tanto, tiene un carácter eminentemente preventivo</w:t>
      </w:r>
      <w:r w:rsidR="004C08B5">
        <w:rPr>
          <w:rFonts w:ascii="Verdana" w:hAnsi="Verdana" w:cs="Arial"/>
          <w:color w:val="000000" w:themeColor="text1"/>
          <w:lang w:val="es-ES_tradnl"/>
        </w:rPr>
        <w:t>”</w:t>
      </w:r>
      <w:r w:rsidRPr="00294702">
        <w:rPr>
          <w:rStyle w:val="Refdenotaalpie"/>
          <w:rFonts w:ascii="Verdana" w:hAnsi="Verdana"/>
        </w:rPr>
        <w:footnoteReference w:id="4"/>
      </w:r>
      <w:r w:rsidRPr="00294702">
        <w:rPr>
          <w:rFonts w:ascii="Verdana" w:hAnsi="Verdana" w:cs="Arial"/>
          <w:color w:val="000000" w:themeColor="text1"/>
          <w:lang w:val="es-ES_tradnl"/>
        </w:rPr>
        <w:t>. Y agregó:</w:t>
      </w:r>
    </w:p>
    <w:p w14:paraId="59E66D9E" w14:textId="77777777" w:rsidR="0036476C" w:rsidRPr="00294702" w:rsidRDefault="0036476C" w:rsidP="00294702">
      <w:pPr>
        <w:spacing w:after="0"/>
        <w:ind w:left="709" w:right="709"/>
        <w:jc w:val="both"/>
        <w:rPr>
          <w:rFonts w:ascii="Verdana" w:hAnsi="Verdana" w:cs="Arial"/>
          <w:color w:val="000000" w:themeColor="text1"/>
          <w:lang w:val="es-ES_tradnl"/>
        </w:rPr>
      </w:pPr>
    </w:p>
    <w:p w14:paraId="78082315" w14:textId="77777777" w:rsidR="0036476C" w:rsidRPr="00294702" w:rsidRDefault="0036476C" w:rsidP="00294702">
      <w:pPr>
        <w:spacing w:after="0" w:line="240" w:lineRule="auto"/>
        <w:ind w:left="709" w:right="709"/>
        <w:jc w:val="both"/>
        <w:rPr>
          <w:rFonts w:ascii="Verdana" w:hAnsi="Verdana" w:cs="Arial"/>
          <w:color w:val="000000" w:themeColor="text1"/>
          <w:sz w:val="20"/>
          <w:szCs w:val="20"/>
          <w:lang w:val="es-ES_tradnl"/>
        </w:rPr>
      </w:pPr>
      <w:r w:rsidRPr="00294702">
        <w:rPr>
          <w:rFonts w:ascii="Verdana" w:hAnsi="Verdana" w:cs="Arial"/>
          <w:color w:val="000000" w:themeColor="text1"/>
          <w:sz w:val="20"/>
          <w:szCs w:val="20"/>
          <w:lang w:val="es-ES_tradnl"/>
        </w:rPr>
        <w:t>De manera que, aunque disímiles, los conceptos de seguridad y de defensa nacional se complementan para el cumplimiento de fines esenciales del Estado, como que ambos conforman sectores de la administración pública íntimamente relacionados. Al sector seguridad corresponde "asegurar la convivencia pacífica y la vigencia de un orden justo", mientras que al sector defensa compete "defender la independencia nacional y mantener la integridad territorial", para utilizar expresiones que pertenecen a la terminología empleada por el artículo 2</w:t>
      </w:r>
      <w:r w:rsidRPr="00294702">
        <w:rPr>
          <w:rFonts w:ascii="Verdana" w:hAnsi="Verdana" w:cs="Arial"/>
          <w:color w:val="000000" w:themeColor="text1"/>
          <w:sz w:val="20"/>
          <w:szCs w:val="20"/>
          <w:vertAlign w:val="superscript"/>
          <w:lang w:val="es-ES_tradnl"/>
        </w:rPr>
        <w:t>o</w:t>
      </w:r>
      <w:r w:rsidRPr="00294702">
        <w:rPr>
          <w:rFonts w:ascii="Verdana" w:hAnsi="Verdana" w:cs="Arial"/>
          <w:color w:val="000000" w:themeColor="text1"/>
          <w:sz w:val="20"/>
          <w:szCs w:val="20"/>
          <w:lang w:val="es-ES_tradnl"/>
        </w:rPr>
        <w:t>. de la Constitución. Por lo demás, la primera noción implica un campo de acción de naturaleza preventivo, encomendado a instituciones y cuerpos de naturaleza civil. La segunda requiere de medidas de protección e inclusive acciones de carácter bélico, para lo cual se han organizado instituciones y cuerpos de naturaleza militar</w:t>
      </w:r>
      <w:r w:rsidRPr="00294702">
        <w:rPr>
          <w:rStyle w:val="Refdenotaalpie"/>
          <w:rFonts w:ascii="Verdana" w:hAnsi="Verdana"/>
          <w:sz w:val="20"/>
          <w:szCs w:val="20"/>
        </w:rPr>
        <w:footnoteReference w:id="5"/>
      </w:r>
      <w:r w:rsidRPr="00294702">
        <w:rPr>
          <w:rFonts w:ascii="Verdana" w:hAnsi="Verdana" w:cs="Arial"/>
          <w:color w:val="000000" w:themeColor="text1"/>
          <w:sz w:val="20"/>
          <w:szCs w:val="20"/>
          <w:lang w:val="es-ES_tradnl"/>
        </w:rPr>
        <w:t>.</w:t>
      </w:r>
    </w:p>
    <w:p w14:paraId="6B36D0EA"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p>
    <w:p w14:paraId="30F99D9D" w14:textId="2A709FA2" w:rsidR="0036476C" w:rsidRPr="00294702" w:rsidRDefault="0036476C" w:rsidP="0036476C">
      <w:pPr>
        <w:spacing w:line="276" w:lineRule="auto"/>
        <w:ind w:firstLine="709"/>
        <w:jc w:val="both"/>
        <w:rPr>
          <w:rFonts w:ascii="Verdana" w:hAnsi="Verdana" w:cs="Arial"/>
          <w:color w:val="000000" w:themeColor="text1"/>
          <w:lang w:val="es-ES"/>
        </w:rPr>
      </w:pPr>
      <w:r w:rsidRPr="00294702">
        <w:rPr>
          <w:rFonts w:ascii="Verdana" w:hAnsi="Verdana" w:cs="Arial"/>
          <w:color w:val="000000" w:themeColor="text1"/>
          <w:lang w:val="es-ES_tradnl"/>
        </w:rPr>
        <w:t>En concepto del 15 de diciembre de 2005, la Sala de Consulta y Servicio Civil señaló que</w:t>
      </w:r>
      <w:r w:rsidR="006A3A90">
        <w:rPr>
          <w:rFonts w:ascii="Verdana" w:hAnsi="Verdana" w:cs="Arial"/>
          <w:color w:val="000000" w:themeColor="text1"/>
          <w:lang w:val="es-ES_tradnl"/>
        </w:rPr>
        <w:t>:</w:t>
      </w:r>
      <w:r w:rsidRPr="00294702">
        <w:rPr>
          <w:rFonts w:ascii="Verdana" w:hAnsi="Verdana" w:cs="Arial"/>
          <w:color w:val="000000" w:themeColor="text1"/>
          <w:lang w:val="es-ES_tradnl"/>
        </w:rPr>
        <w:t xml:space="preserve"> </w:t>
      </w:r>
      <w:r w:rsidR="006A3A90">
        <w:rPr>
          <w:rFonts w:ascii="Verdana" w:hAnsi="Verdana" w:cs="Arial"/>
          <w:color w:val="000000" w:themeColor="text1"/>
          <w:lang w:val="es-ES_tradnl"/>
        </w:rPr>
        <w:t>“</w:t>
      </w:r>
      <w:r w:rsidRPr="00294702">
        <w:rPr>
          <w:rFonts w:ascii="Verdana" w:hAnsi="Verdana" w:cs="Arial"/>
          <w:lang w:val="es-ES" w:eastAsia="es-ES"/>
        </w:rPr>
        <w:t xml:space="preserve">[…] </w:t>
      </w:r>
      <w:r w:rsidRPr="00294702">
        <w:rPr>
          <w:rFonts w:ascii="Verdana" w:hAnsi="Verdana" w:cs="Arial"/>
          <w:color w:val="000000" w:themeColor="text1"/>
          <w:lang w:val="es-ES"/>
        </w:rPr>
        <w:t>la creación de los cargos de Inspector de Seguridad Aérea en la Unidad Administrativa Especial de la Aeronáutica Civil, y su posterior provisión, por relacionarse con la incorporación de un personal necesario para la seguridad aérea, la cual constituye un aspecto de la seguridad del Estado, se encuentra dentro de la excepción mencionada por el artículo 33 de la ley 996 de 2005, y en consecuencia, resulta viable la expedición del decreto de creación de dichos cargos en la planta de personal de la entidad</w:t>
      </w:r>
      <w:r w:rsidR="00A56C31">
        <w:rPr>
          <w:rFonts w:ascii="Verdana" w:hAnsi="Verdana" w:cs="Arial"/>
          <w:color w:val="000000" w:themeColor="text1"/>
          <w:lang w:val="es-ES"/>
        </w:rPr>
        <w:t>”</w:t>
      </w:r>
      <w:r w:rsidRPr="00294702">
        <w:rPr>
          <w:rStyle w:val="Refdenotaalpie"/>
          <w:rFonts w:ascii="Verdana" w:hAnsi="Verdana"/>
        </w:rPr>
        <w:footnoteReference w:id="6"/>
      </w:r>
      <w:r w:rsidRPr="00294702">
        <w:rPr>
          <w:rFonts w:ascii="Verdana" w:hAnsi="Verdana" w:cs="Arial"/>
          <w:color w:val="000000" w:themeColor="text1"/>
          <w:lang w:val="es-ES"/>
        </w:rPr>
        <w:t>.</w:t>
      </w:r>
    </w:p>
    <w:p w14:paraId="73206C92" w14:textId="7D04D69A" w:rsidR="0036476C" w:rsidRPr="00294702" w:rsidRDefault="0036476C" w:rsidP="00294702">
      <w:pPr>
        <w:spacing w:before="120" w:after="0" w:line="276" w:lineRule="auto"/>
        <w:ind w:firstLine="709"/>
        <w:jc w:val="both"/>
        <w:rPr>
          <w:rFonts w:ascii="Verdana" w:hAnsi="Verdana" w:cs="Arial"/>
          <w:color w:val="000000" w:themeColor="text1"/>
          <w:lang w:val="es-ES"/>
        </w:rPr>
      </w:pPr>
      <w:r w:rsidRPr="00294702">
        <w:rPr>
          <w:rFonts w:ascii="Verdana" w:hAnsi="Verdana" w:cs="Arial"/>
          <w:color w:val="000000" w:themeColor="text1"/>
          <w:lang w:val="es-ES"/>
        </w:rPr>
        <w:t xml:space="preserve">En concepto del 17 de febrero de 2006, la Sala de Consulta y Servicio Civil, al interpretar la excepción de </w:t>
      </w:r>
      <w:r w:rsidR="00A56C31">
        <w:rPr>
          <w:rFonts w:ascii="Verdana" w:hAnsi="Verdana" w:cs="Arial"/>
          <w:color w:val="000000" w:themeColor="text1"/>
          <w:lang w:val="es-ES"/>
        </w:rPr>
        <w:t>“</w:t>
      </w:r>
      <w:r w:rsidRPr="00294702">
        <w:rPr>
          <w:rFonts w:ascii="Verdana" w:hAnsi="Verdana" w:cs="Arial"/>
          <w:color w:val="000000" w:themeColor="text1"/>
          <w:lang w:val="es-ES"/>
        </w:rPr>
        <w:t>defensa y seguridad del Estado</w:t>
      </w:r>
      <w:r w:rsidR="00A56C31">
        <w:rPr>
          <w:rFonts w:ascii="Verdana" w:hAnsi="Verdana" w:cs="Arial"/>
          <w:color w:val="000000" w:themeColor="text1"/>
          <w:lang w:val="es-ES"/>
        </w:rPr>
        <w:t>”</w:t>
      </w:r>
      <w:r w:rsidRPr="00294702">
        <w:rPr>
          <w:rFonts w:ascii="Verdana" w:hAnsi="Verdana" w:cs="Arial"/>
          <w:color w:val="000000" w:themeColor="text1"/>
          <w:lang w:val="es-ES"/>
        </w:rPr>
        <w:t xml:space="preserve"> del segundo inciso del artículo 33 de la Ley 996 de 2005, sostuvo que </w:t>
      </w:r>
      <w:r w:rsidR="00A56C31">
        <w:rPr>
          <w:rFonts w:ascii="Verdana" w:hAnsi="Verdana" w:cs="Arial"/>
          <w:color w:val="000000" w:themeColor="text1"/>
          <w:lang w:val="es-ES"/>
        </w:rPr>
        <w:t>“</w:t>
      </w:r>
      <w:r w:rsidRPr="00294702">
        <w:rPr>
          <w:rFonts w:ascii="Verdana" w:hAnsi="Verdana" w:cs="Arial"/>
          <w:color w:val="000000" w:themeColor="text1"/>
          <w:lang w:val="es-ES"/>
        </w:rPr>
        <w:t>Seguridad y defensa del Estado, significan respeto del orden instituido</w:t>
      </w:r>
      <w:r w:rsidR="00A56C31">
        <w:rPr>
          <w:rFonts w:ascii="Verdana" w:hAnsi="Verdana" w:cs="Arial"/>
          <w:color w:val="000000" w:themeColor="text1"/>
          <w:lang w:val="es-ES"/>
        </w:rPr>
        <w:t>”</w:t>
      </w:r>
      <w:r w:rsidRPr="00294702">
        <w:rPr>
          <w:rStyle w:val="Refdenotaalpie"/>
          <w:rFonts w:ascii="Verdana" w:hAnsi="Verdana"/>
        </w:rPr>
        <w:footnoteReference w:id="7"/>
      </w:r>
      <w:r w:rsidRPr="00294702">
        <w:rPr>
          <w:rFonts w:ascii="Verdana" w:hAnsi="Verdana" w:cs="Arial"/>
          <w:color w:val="000000" w:themeColor="text1"/>
          <w:lang w:val="es-ES"/>
        </w:rPr>
        <w:t>, añadiendo, por tanto, que:</w:t>
      </w:r>
    </w:p>
    <w:p w14:paraId="3DF20364" w14:textId="77777777" w:rsidR="0036476C" w:rsidRPr="00294702" w:rsidRDefault="0036476C" w:rsidP="00294702">
      <w:pPr>
        <w:spacing w:after="0"/>
        <w:ind w:left="709" w:right="709"/>
        <w:jc w:val="both"/>
        <w:rPr>
          <w:rFonts w:ascii="Verdana" w:hAnsi="Verdana" w:cs="Arial"/>
          <w:color w:val="000000" w:themeColor="text1"/>
          <w:sz w:val="21"/>
          <w:szCs w:val="21"/>
          <w:lang w:val="es-ES"/>
        </w:rPr>
      </w:pPr>
    </w:p>
    <w:p w14:paraId="0878F1F7" w14:textId="77777777" w:rsidR="0036476C" w:rsidRPr="00294702" w:rsidRDefault="0036476C" w:rsidP="00294702">
      <w:pPr>
        <w:spacing w:after="0" w:line="240" w:lineRule="auto"/>
        <w:ind w:left="709" w:right="709"/>
        <w:jc w:val="both"/>
        <w:rPr>
          <w:rFonts w:ascii="Verdana" w:hAnsi="Verdana" w:cs="Arial"/>
          <w:color w:val="000000" w:themeColor="text1"/>
          <w:sz w:val="20"/>
          <w:szCs w:val="20"/>
          <w:lang w:val="es-ES_tradnl"/>
        </w:rPr>
      </w:pPr>
      <w:r w:rsidRPr="00294702">
        <w:rPr>
          <w:rFonts w:ascii="Verdana" w:hAnsi="Verdana" w:cs="Arial"/>
          <w:color w:val="000000" w:themeColor="text1"/>
          <w:sz w:val="20"/>
          <w:szCs w:val="20"/>
          <w:lang w:val="es-ES_tradnl"/>
        </w:rPr>
        <w:t xml:space="preserve">Por su relación directa, necesaria e inmediata con la realización del derecho constitucional a la participación democrática y la defensa del orden institucional, los procesos de contratación para la adquisición de bienes y servicios necesarios para adelantar los procesos electorales  para elección de Congreso y Presidente de la República, hacen parte de la defensa y seguridad del Estado, y por consiguiente se pueden incluir en la </w:t>
      </w:r>
      <w:r w:rsidRPr="00294702">
        <w:rPr>
          <w:rFonts w:ascii="Verdana" w:hAnsi="Verdana" w:cs="Arial"/>
          <w:color w:val="000000" w:themeColor="text1"/>
          <w:sz w:val="20"/>
          <w:szCs w:val="20"/>
          <w:lang w:val="es-ES_tradnl"/>
        </w:rPr>
        <w:lastRenderedPageBreak/>
        <w:t>excepción a la prohibición de contratación directa establecida por el artículo 33 de la ley 996 de 2.005, razón por la cual las gobernaciones y alcaldías, en su labor de colaboración, de acuerdo con el marco establecido por el Plan Nacional de Garantías, pueden contratar en forma directa en aquellos casos que no superen las cuantías para hacer licitación pública, durante los cuatro meses anteriores a las elecciones presidenciales, salvo que se trate de convenios interadministrativos para la ejecución de recursos públicos, en cuyo caso no cabría la excepción a la prohibición</w:t>
      </w:r>
      <w:r w:rsidRPr="00294702">
        <w:rPr>
          <w:rStyle w:val="Refdenotaalpie"/>
          <w:rFonts w:ascii="Verdana" w:hAnsi="Verdana"/>
          <w:sz w:val="20"/>
          <w:szCs w:val="20"/>
        </w:rPr>
        <w:footnoteReference w:id="8"/>
      </w:r>
      <w:r w:rsidRPr="00294702">
        <w:rPr>
          <w:rFonts w:ascii="Verdana" w:hAnsi="Verdana" w:cs="Arial"/>
          <w:color w:val="000000" w:themeColor="text1"/>
          <w:sz w:val="20"/>
          <w:szCs w:val="20"/>
          <w:lang w:val="es-ES_tradnl"/>
        </w:rPr>
        <w:t>.</w:t>
      </w:r>
    </w:p>
    <w:p w14:paraId="22E75405"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p>
    <w:p w14:paraId="1F8EFBA4" w14:textId="543748CC" w:rsidR="0036476C" w:rsidRPr="00294702" w:rsidRDefault="0036476C" w:rsidP="00294702">
      <w:pPr>
        <w:spacing w:after="12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 xml:space="preserve">En concepto del 25 de marzo de 2010, la Sala de Consulta y Servicio Civil acoge la interpretación prohijada en el concepto del 20 de febrero de 2006, indicando que el concepto </w:t>
      </w:r>
      <w:r w:rsidR="00AC62E4">
        <w:rPr>
          <w:rFonts w:ascii="Verdana" w:hAnsi="Verdana" w:cs="Arial"/>
          <w:color w:val="000000" w:themeColor="text1"/>
          <w:lang w:val="es-ES_tradnl"/>
        </w:rPr>
        <w:t>“</w:t>
      </w:r>
      <w:r w:rsidRPr="00294702">
        <w:rPr>
          <w:rFonts w:ascii="Verdana" w:hAnsi="Verdana" w:cs="Arial"/>
          <w:color w:val="000000" w:themeColor="text1"/>
          <w:lang w:val="es-ES_tradnl"/>
        </w:rPr>
        <w:t>defensa y seguridad del Estado</w:t>
      </w:r>
      <w:r w:rsidR="00AC62E4">
        <w:rPr>
          <w:rFonts w:ascii="Verdana" w:hAnsi="Verdana" w:cs="Arial"/>
          <w:color w:val="000000" w:themeColor="text1"/>
          <w:lang w:val="es-ES_tradnl"/>
        </w:rPr>
        <w:t>”</w:t>
      </w:r>
      <w:r w:rsidRPr="00294702">
        <w:rPr>
          <w:rFonts w:ascii="Verdana" w:hAnsi="Verdana" w:cs="Arial"/>
          <w:color w:val="000000" w:themeColor="text1"/>
          <w:lang w:val="es-ES_tradnl"/>
        </w:rPr>
        <w:t xml:space="preserve"> debe interpretarse </w:t>
      </w:r>
      <w:r w:rsidR="00AC62E4">
        <w:rPr>
          <w:rFonts w:ascii="Verdana" w:hAnsi="Verdana" w:cs="Arial"/>
          <w:color w:val="000000" w:themeColor="text1"/>
          <w:lang w:val="es-ES_tradnl"/>
        </w:rPr>
        <w:t>“</w:t>
      </w:r>
      <w:r w:rsidRPr="00294702">
        <w:rPr>
          <w:rFonts w:ascii="Verdana" w:hAnsi="Verdana" w:cs="Arial"/>
          <w:color w:val="000000" w:themeColor="text1"/>
          <w:lang w:val="es-ES_tradnl"/>
        </w:rPr>
        <w:t>como aquellas actividades necesarias para la estabilidad del mismo, pues está de por medio el mantenimiento del orden público</w:t>
      </w:r>
      <w:r w:rsidR="00AC62E4">
        <w:rPr>
          <w:rFonts w:ascii="Verdana" w:hAnsi="Verdana" w:cs="Arial"/>
          <w:color w:val="000000" w:themeColor="text1"/>
          <w:lang w:val="es-ES_tradnl"/>
        </w:rPr>
        <w:t>”</w:t>
      </w:r>
      <w:r w:rsidRPr="00294702">
        <w:rPr>
          <w:rStyle w:val="Refdenotaalpie"/>
          <w:rFonts w:ascii="Verdana" w:hAnsi="Verdana"/>
        </w:rPr>
        <w:footnoteReference w:id="9"/>
      </w:r>
      <w:r w:rsidRPr="00294702">
        <w:rPr>
          <w:rFonts w:ascii="Verdana" w:hAnsi="Verdana" w:cs="Arial"/>
          <w:color w:val="000000" w:themeColor="text1"/>
          <w:lang w:val="es-ES_tradnl"/>
        </w:rPr>
        <w:t xml:space="preserve">. En tal sentido, concluyó que </w:t>
      </w:r>
      <w:r w:rsidR="00AC62E4">
        <w:rPr>
          <w:rFonts w:ascii="Verdana" w:hAnsi="Verdana" w:cs="Arial"/>
          <w:color w:val="000000" w:themeColor="text1"/>
          <w:lang w:val="es-ES_tradnl"/>
        </w:rPr>
        <w:t>“</w:t>
      </w:r>
      <w:r w:rsidRPr="00294702">
        <w:rPr>
          <w:rFonts w:ascii="Verdana" w:hAnsi="Verdana" w:cs="Arial"/>
          <w:color w:val="000000" w:themeColor="text1"/>
          <w:lang w:val="es-ES_tradnl"/>
        </w:rPr>
        <w:t xml:space="preserve">Las funciones confiadas al Director General del INPEC están directamente relacionadas con la seguridad del Estado, y por lo mismo, su desvinculación mediante declaratoria de insubsistencia y la posterior provisión del cargo, dentro del ámbito temporal previsto en el artículo 32 de la ley 996 de 2005, no conlleva transgresión de las prohibiciones contenidas en los artículos 32 y 33 </w:t>
      </w:r>
      <w:proofErr w:type="spellStart"/>
      <w:r w:rsidRPr="00294702">
        <w:rPr>
          <w:rFonts w:ascii="Verdana" w:hAnsi="Verdana" w:cs="Arial"/>
          <w:color w:val="000000" w:themeColor="text1"/>
          <w:lang w:val="es-ES_tradnl"/>
        </w:rPr>
        <w:t>ibídem</w:t>
      </w:r>
      <w:proofErr w:type="spellEnd"/>
      <w:r w:rsidR="00AC62E4">
        <w:rPr>
          <w:rFonts w:ascii="Verdana" w:hAnsi="Verdana" w:cs="Arial"/>
          <w:color w:val="000000" w:themeColor="text1"/>
          <w:lang w:val="es-ES_tradnl"/>
        </w:rPr>
        <w:t>”</w:t>
      </w:r>
      <w:r w:rsidRPr="00294702">
        <w:rPr>
          <w:rStyle w:val="Refdenotaalpie"/>
          <w:rFonts w:ascii="Verdana" w:hAnsi="Verdana"/>
        </w:rPr>
        <w:footnoteReference w:id="10"/>
      </w:r>
      <w:r w:rsidRPr="00294702">
        <w:rPr>
          <w:rFonts w:ascii="Verdana" w:hAnsi="Verdana" w:cs="Arial"/>
          <w:color w:val="000000" w:themeColor="text1"/>
          <w:lang w:val="es-ES_tradnl"/>
        </w:rPr>
        <w:t>.</w:t>
      </w:r>
    </w:p>
    <w:p w14:paraId="4B58826B" w14:textId="1E19E03A" w:rsidR="0036476C" w:rsidRPr="00294702" w:rsidRDefault="0036476C" w:rsidP="00294702">
      <w:pPr>
        <w:spacing w:before="120"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 xml:space="preserve">En concepto del 2 de septiembre de 2013, la Sala de Consulta y Servicio Civil se pronunció sobre el alcance de la expresión </w:t>
      </w:r>
      <w:r w:rsidR="00BE117F">
        <w:rPr>
          <w:rFonts w:ascii="Verdana" w:hAnsi="Verdana" w:cs="Arial"/>
          <w:color w:val="000000" w:themeColor="text1"/>
          <w:lang w:val="es-ES_tradnl"/>
        </w:rPr>
        <w:t>“</w:t>
      </w:r>
      <w:r w:rsidRPr="00294702">
        <w:rPr>
          <w:rFonts w:ascii="Verdana" w:hAnsi="Verdana" w:cs="Arial"/>
          <w:color w:val="000000" w:themeColor="text1"/>
          <w:lang w:val="es-ES_tradnl"/>
        </w:rPr>
        <w:t>defensa y seguridad del Estado</w:t>
      </w:r>
      <w:r w:rsidR="00BE117F">
        <w:rPr>
          <w:rFonts w:ascii="Verdana" w:hAnsi="Verdana" w:cs="Arial"/>
          <w:color w:val="000000" w:themeColor="text1"/>
          <w:lang w:val="es-ES_tradnl"/>
        </w:rPr>
        <w:t>”</w:t>
      </w:r>
      <w:r w:rsidRPr="00294702">
        <w:rPr>
          <w:rFonts w:ascii="Verdana" w:hAnsi="Verdana" w:cs="Arial"/>
          <w:color w:val="000000" w:themeColor="text1"/>
          <w:lang w:val="es-ES_tradnl"/>
        </w:rPr>
        <w:t>, como excepción a la prohibición del artículo 33 de la Ley 996 de 2005, en el marco de la contratación relacionada con los compromisos derivados del acuerdo de paz con las FARC, señalando lo siguiente:</w:t>
      </w:r>
    </w:p>
    <w:p w14:paraId="1D90136C" w14:textId="77777777" w:rsidR="0036476C" w:rsidRPr="00294702" w:rsidRDefault="0036476C" w:rsidP="00294702">
      <w:pPr>
        <w:spacing w:after="0"/>
        <w:ind w:left="709" w:right="709"/>
        <w:jc w:val="both"/>
        <w:rPr>
          <w:rFonts w:ascii="Verdana" w:hAnsi="Verdana" w:cs="Arial"/>
          <w:i/>
          <w:sz w:val="21"/>
          <w:szCs w:val="21"/>
        </w:rPr>
      </w:pPr>
    </w:p>
    <w:p w14:paraId="3B45D3D3" w14:textId="77777777"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i/>
          <w:sz w:val="20"/>
          <w:szCs w:val="20"/>
        </w:rPr>
        <w:t>(i)</w:t>
      </w:r>
      <w:r w:rsidRPr="00294702">
        <w:rPr>
          <w:rFonts w:ascii="Verdana" w:hAnsi="Verdana" w:cs="Arial"/>
          <w:sz w:val="20"/>
          <w:szCs w:val="20"/>
        </w:rPr>
        <w:t xml:space="preserve"> La seguridad y la defensa nacionales son presupuestos materiales de la soberanía nacional, la independencia, la integridad territorial y el orden constitucional, y contribuyen a garantizar las condiciones necesarias para el ejercicio de los derechos, obligaciones y libertades públicas.</w:t>
      </w:r>
    </w:p>
    <w:p w14:paraId="00DC2B56" w14:textId="77777777" w:rsidR="0036476C" w:rsidRPr="00294702" w:rsidRDefault="0036476C" w:rsidP="00294702">
      <w:pPr>
        <w:spacing w:after="0" w:line="240" w:lineRule="auto"/>
        <w:ind w:left="709" w:right="709"/>
        <w:jc w:val="both"/>
        <w:rPr>
          <w:rFonts w:ascii="Verdana" w:hAnsi="Verdana" w:cs="Arial"/>
          <w:sz w:val="20"/>
          <w:szCs w:val="20"/>
        </w:rPr>
      </w:pPr>
    </w:p>
    <w:p w14:paraId="19772204" w14:textId="77777777"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i/>
          <w:sz w:val="20"/>
          <w:szCs w:val="20"/>
        </w:rPr>
        <w:t>(</w:t>
      </w:r>
      <w:proofErr w:type="spellStart"/>
      <w:r w:rsidRPr="00294702">
        <w:rPr>
          <w:rFonts w:ascii="Verdana" w:hAnsi="Verdana" w:cs="Arial"/>
          <w:i/>
          <w:sz w:val="20"/>
          <w:szCs w:val="20"/>
        </w:rPr>
        <w:t>ii</w:t>
      </w:r>
      <w:proofErr w:type="spellEnd"/>
      <w:r w:rsidRPr="00294702">
        <w:rPr>
          <w:rFonts w:ascii="Verdana" w:hAnsi="Verdana" w:cs="Arial"/>
          <w:i/>
          <w:sz w:val="20"/>
          <w:szCs w:val="20"/>
        </w:rPr>
        <w:t>)</w:t>
      </w:r>
      <w:r w:rsidRPr="00294702">
        <w:rPr>
          <w:rFonts w:ascii="Verdana" w:hAnsi="Verdana" w:cs="Arial"/>
          <w:sz w:val="20"/>
          <w:szCs w:val="20"/>
        </w:rPr>
        <w:t xml:space="preserve"> Se trata de conceptos amplios, relativos y dinámicos, cuya concreción depende de los objetivos que se propone alcanzar el Estado en una época determinada, de manera que son susceptibles de actualización y sufren constantes transformaciones y cambios.</w:t>
      </w:r>
    </w:p>
    <w:p w14:paraId="0A60A788" w14:textId="77777777" w:rsidR="0036476C" w:rsidRPr="00294702" w:rsidRDefault="0036476C" w:rsidP="00294702">
      <w:pPr>
        <w:spacing w:after="0" w:line="240" w:lineRule="auto"/>
        <w:ind w:left="709" w:right="709"/>
        <w:jc w:val="both"/>
        <w:rPr>
          <w:rFonts w:ascii="Verdana" w:hAnsi="Verdana" w:cs="Arial"/>
          <w:sz w:val="20"/>
          <w:szCs w:val="20"/>
        </w:rPr>
      </w:pPr>
    </w:p>
    <w:p w14:paraId="3907D49A" w14:textId="77777777"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i/>
          <w:sz w:val="20"/>
          <w:szCs w:val="20"/>
        </w:rPr>
        <w:lastRenderedPageBreak/>
        <w:t>(</w:t>
      </w:r>
      <w:proofErr w:type="spellStart"/>
      <w:r w:rsidRPr="00294702">
        <w:rPr>
          <w:rFonts w:ascii="Verdana" w:hAnsi="Verdana" w:cs="Arial"/>
          <w:i/>
          <w:sz w:val="20"/>
          <w:szCs w:val="20"/>
        </w:rPr>
        <w:t>iii</w:t>
      </w:r>
      <w:proofErr w:type="spellEnd"/>
      <w:r w:rsidRPr="00294702">
        <w:rPr>
          <w:rFonts w:ascii="Verdana" w:hAnsi="Verdana" w:cs="Arial"/>
          <w:i/>
          <w:sz w:val="20"/>
          <w:szCs w:val="20"/>
        </w:rPr>
        <w:t>)</w:t>
      </w:r>
      <w:r w:rsidRPr="00294702">
        <w:rPr>
          <w:rFonts w:ascii="Verdana" w:hAnsi="Verdana" w:cs="Arial"/>
          <w:sz w:val="20"/>
          <w:szCs w:val="20"/>
        </w:rPr>
        <w:t xml:space="preserve"> La conservación y mantenimiento del orden público es la finalidad misma de la “seguridad” y encuentra en el Gobierno Nacional (art. 189.4 CP) su principal responsable y garante, razón por la cual puede</w:t>
      </w:r>
      <w:r w:rsidRPr="00294702">
        <w:rPr>
          <w:rStyle w:val="Refdecomentario"/>
          <w:rFonts w:ascii="Verdana" w:hAnsi="Verdana"/>
          <w:sz w:val="20"/>
          <w:szCs w:val="20"/>
        </w:rPr>
        <w:t xml:space="preserve"> </w:t>
      </w:r>
      <w:r w:rsidRPr="00294702">
        <w:rPr>
          <w:rFonts w:ascii="Verdana" w:hAnsi="Verdana" w:cs="Arial"/>
          <w:sz w:val="20"/>
          <w:szCs w:val="20"/>
        </w:rPr>
        <w:t>adoptar medidas y  adelantar acciones coercitivas o militares y soluciones no armamentistas sino políticas negociadas (por ejemplo desmovilización y reinserción), para alcanzar la paz, que es un valor (preámbulo constitucional), un fin esencial del Estado (art. 2 CP), un derecho (art. 22 CP) y un deber social (95.6 CP).</w:t>
      </w:r>
    </w:p>
    <w:p w14:paraId="7C73DF03" w14:textId="77777777" w:rsidR="0036476C" w:rsidRPr="00294702" w:rsidRDefault="0036476C" w:rsidP="00294702">
      <w:pPr>
        <w:spacing w:after="0" w:line="240" w:lineRule="auto"/>
        <w:ind w:left="709" w:right="709"/>
        <w:jc w:val="both"/>
        <w:rPr>
          <w:rFonts w:ascii="Verdana" w:hAnsi="Verdana" w:cs="Arial"/>
          <w:sz w:val="20"/>
          <w:szCs w:val="20"/>
        </w:rPr>
      </w:pPr>
    </w:p>
    <w:p w14:paraId="043F6E21" w14:textId="77777777"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i/>
          <w:sz w:val="20"/>
          <w:szCs w:val="20"/>
        </w:rPr>
        <w:t>(</w:t>
      </w:r>
      <w:proofErr w:type="spellStart"/>
      <w:r w:rsidRPr="00294702">
        <w:rPr>
          <w:rFonts w:ascii="Verdana" w:hAnsi="Verdana" w:cs="Arial"/>
          <w:i/>
          <w:sz w:val="20"/>
          <w:szCs w:val="20"/>
        </w:rPr>
        <w:t>iv</w:t>
      </w:r>
      <w:proofErr w:type="spellEnd"/>
      <w:r w:rsidRPr="00294702">
        <w:rPr>
          <w:rFonts w:ascii="Verdana" w:hAnsi="Verdana" w:cs="Arial"/>
          <w:i/>
          <w:sz w:val="20"/>
          <w:szCs w:val="20"/>
        </w:rPr>
        <w:t>)</w:t>
      </w:r>
      <w:r w:rsidRPr="00294702">
        <w:rPr>
          <w:rFonts w:ascii="Verdana" w:hAnsi="Verdana" w:cs="Arial"/>
          <w:sz w:val="20"/>
          <w:szCs w:val="20"/>
        </w:rPr>
        <w:t xml:space="preserve"> Estos conceptos no están relacionados únicamente con los dispositivos o actividades bélicas o armamentistas, sino que abarcan todas aquellas estrategias y acciones que permitan la garantía de los derechos y libertades y, por ende, la coexistencia pacífica de los habitantes de la Nación, inclusive aquellas que permitan que los infractores de la ley se reincorporen a la vida civil.</w:t>
      </w:r>
    </w:p>
    <w:p w14:paraId="10709B2B" w14:textId="77777777" w:rsidR="0036476C" w:rsidRPr="00294702" w:rsidRDefault="0036476C" w:rsidP="00294702">
      <w:pPr>
        <w:spacing w:after="0" w:line="240" w:lineRule="auto"/>
        <w:ind w:left="709" w:right="709"/>
        <w:jc w:val="both"/>
        <w:rPr>
          <w:rFonts w:ascii="Verdana" w:hAnsi="Verdana" w:cs="Arial"/>
          <w:sz w:val="20"/>
          <w:szCs w:val="20"/>
        </w:rPr>
      </w:pPr>
    </w:p>
    <w:p w14:paraId="4AFD766B" w14:textId="77777777"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i/>
          <w:sz w:val="20"/>
          <w:szCs w:val="20"/>
        </w:rPr>
        <w:t>(v)</w:t>
      </w:r>
      <w:r w:rsidRPr="00294702">
        <w:rPr>
          <w:rFonts w:ascii="Verdana" w:hAnsi="Verdana" w:cs="Arial"/>
          <w:sz w:val="20"/>
          <w:szCs w:val="20"/>
        </w:rPr>
        <w:t xml:space="preserve"> La política de seguridad y defensa nacionales, supone para el Estado no solo la adopción de estrategias y acciones militares directas, sino también soluciones negociadas y, por tanto, estas últimas y todas las acciones y actividades que requieran, también configuran evidentes manifestaciones de la defensa y la seguridad nacionales.</w:t>
      </w:r>
    </w:p>
    <w:p w14:paraId="78B4D0BE" w14:textId="77777777" w:rsidR="0036476C" w:rsidRPr="00294702" w:rsidRDefault="0036476C" w:rsidP="00294702">
      <w:pPr>
        <w:tabs>
          <w:tab w:val="left" w:pos="8222"/>
        </w:tabs>
        <w:spacing w:after="0" w:line="240" w:lineRule="auto"/>
        <w:ind w:left="709" w:right="709"/>
        <w:jc w:val="both"/>
        <w:rPr>
          <w:rFonts w:ascii="Verdana" w:hAnsi="Verdana" w:cs="Arial"/>
          <w:sz w:val="20"/>
          <w:szCs w:val="20"/>
        </w:rPr>
      </w:pPr>
    </w:p>
    <w:p w14:paraId="4BB8FC1D" w14:textId="77777777" w:rsidR="0036476C" w:rsidRPr="00294702" w:rsidRDefault="0036476C" w:rsidP="00294702">
      <w:pPr>
        <w:tabs>
          <w:tab w:val="left" w:pos="8222"/>
        </w:tabs>
        <w:spacing w:after="0" w:line="240" w:lineRule="auto"/>
        <w:ind w:left="709" w:right="709"/>
        <w:jc w:val="both"/>
        <w:rPr>
          <w:rFonts w:ascii="Verdana" w:hAnsi="Verdana" w:cs="Arial"/>
          <w:bCs/>
          <w:sz w:val="20"/>
          <w:szCs w:val="20"/>
        </w:rPr>
      </w:pPr>
      <w:r w:rsidRPr="00294702">
        <w:rPr>
          <w:rFonts w:ascii="Verdana" w:hAnsi="Verdana" w:cs="Arial"/>
          <w:sz w:val="20"/>
          <w:szCs w:val="20"/>
          <w:lang w:val="es-ES_tradnl"/>
        </w:rPr>
        <w:t xml:space="preserve">Como se puede concluir de este análisis, </w:t>
      </w:r>
      <w:r w:rsidRPr="00294702">
        <w:rPr>
          <w:rFonts w:ascii="Verdana" w:hAnsi="Verdana" w:cs="Arial"/>
          <w:sz w:val="20"/>
          <w:szCs w:val="20"/>
        </w:rPr>
        <w:t xml:space="preserve">los conceptos de seguridad y defensa nacionales son conceptos jurídicos indeterminados, su alcance no se limita al campo de lo bélico sino que </w:t>
      </w:r>
      <w:r w:rsidRPr="00294702">
        <w:rPr>
          <w:rFonts w:ascii="Verdana" w:hAnsi="Verdana" w:cs="Arial"/>
          <w:bCs/>
          <w:sz w:val="20"/>
          <w:szCs w:val="20"/>
        </w:rPr>
        <w:t>incluye asuntos encaminados, directamente o por conexidad, al mantenimiento del orden público, la convivencia pacífica de la comunidad y la vigencia de los derechos y libertades de las personas.</w:t>
      </w:r>
    </w:p>
    <w:p w14:paraId="12ACBE61" w14:textId="77777777" w:rsidR="0036476C" w:rsidRPr="00294702" w:rsidRDefault="0036476C" w:rsidP="00294702">
      <w:pPr>
        <w:tabs>
          <w:tab w:val="left" w:pos="8222"/>
        </w:tabs>
        <w:spacing w:after="0" w:line="240" w:lineRule="auto"/>
        <w:ind w:left="709" w:right="709"/>
        <w:jc w:val="both"/>
        <w:rPr>
          <w:rFonts w:ascii="Verdana" w:hAnsi="Verdana" w:cs="Arial"/>
          <w:bCs/>
          <w:sz w:val="20"/>
          <w:szCs w:val="20"/>
        </w:rPr>
      </w:pPr>
    </w:p>
    <w:p w14:paraId="08103A8D" w14:textId="77777777" w:rsidR="0036476C" w:rsidRPr="00294702" w:rsidRDefault="0036476C" w:rsidP="00294702">
      <w:pPr>
        <w:tabs>
          <w:tab w:val="left" w:pos="8222"/>
        </w:tabs>
        <w:spacing w:after="0" w:line="240" w:lineRule="auto"/>
        <w:ind w:left="709" w:right="709"/>
        <w:jc w:val="both"/>
        <w:rPr>
          <w:rFonts w:ascii="Verdana" w:hAnsi="Verdana" w:cs="Arial"/>
          <w:bCs/>
          <w:sz w:val="20"/>
          <w:szCs w:val="20"/>
        </w:rPr>
      </w:pPr>
      <w:r w:rsidRPr="00294702">
        <w:rPr>
          <w:rFonts w:ascii="Verdana" w:hAnsi="Verdana" w:cs="Arial"/>
          <w:bCs/>
          <w:sz w:val="20"/>
          <w:szCs w:val="20"/>
        </w:rPr>
        <w:t xml:space="preserve">Dentro del marco conceptual expuesto, resulta relevante revisar la naturaleza y objeto </w:t>
      </w:r>
      <w:r w:rsidRPr="00294702">
        <w:rPr>
          <w:rFonts w:ascii="Verdana" w:hAnsi="Verdana" w:cs="Arial"/>
          <w:sz w:val="20"/>
          <w:szCs w:val="20"/>
        </w:rPr>
        <w:t>del Fondo de Programas para la Paz y de la Agencia Colombiana para la Reintegración de Personas y Grupos Alzados en Armas, con el objeto de determinar si la gestión administrativa que dichas entidades realizan en ejercicio de sus funciones encajan en el objetivo de procurar la materialización de la convivencia pacífica y en esa medida se ajustan a la excepción de defensa y seguridad del Estado que contempla el artículo 33 de la ley 996 de 2005</w:t>
      </w:r>
      <w:r w:rsidRPr="00294702">
        <w:rPr>
          <w:rStyle w:val="Refdenotaalpie"/>
          <w:rFonts w:ascii="Verdana" w:hAnsi="Verdana"/>
          <w:sz w:val="20"/>
          <w:szCs w:val="20"/>
        </w:rPr>
        <w:footnoteReference w:id="11"/>
      </w:r>
      <w:r w:rsidRPr="00294702">
        <w:rPr>
          <w:rFonts w:ascii="Verdana" w:hAnsi="Verdana" w:cs="Arial"/>
          <w:sz w:val="20"/>
          <w:szCs w:val="20"/>
        </w:rPr>
        <w:t>.</w:t>
      </w:r>
    </w:p>
    <w:p w14:paraId="71A2E63F"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p>
    <w:p w14:paraId="1167F37A"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 xml:space="preserve">De este modo, concluyó que:  </w:t>
      </w:r>
    </w:p>
    <w:p w14:paraId="5BF45B12" w14:textId="77777777" w:rsidR="0036476C" w:rsidRPr="00294702" w:rsidRDefault="0036476C" w:rsidP="00294702">
      <w:pPr>
        <w:spacing w:after="0" w:line="276" w:lineRule="auto"/>
        <w:ind w:left="709" w:right="709"/>
        <w:jc w:val="both"/>
        <w:rPr>
          <w:rFonts w:ascii="Verdana" w:hAnsi="Verdana" w:cs="Arial"/>
          <w:sz w:val="21"/>
          <w:szCs w:val="21"/>
        </w:rPr>
      </w:pPr>
    </w:p>
    <w:p w14:paraId="4856B3E1" w14:textId="560537F3" w:rsidR="0036476C" w:rsidRPr="00294702" w:rsidRDefault="00FB32A6" w:rsidP="00294702">
      <w:pPr>
        <w:spacing w:after="0" w:line="240" w:lineRule="auto"/>
        <w:ind w:left="709" w:right="709"/>
        <w:jc w:val="both"/>
        <w:rPr>
          <w:rFonts w:ascii="Verdana" w:hAnsi="Verdana" w:cs="Arial"/>
          <w:sz w:val="20"/>
          <w:szCs w:val="20"/>
        </w:rPr>
      </w:pPr>
      <w:r w:rsidRPr="00294702">
        <w:rPr>
          <w:rFonts w:ascii="Verdana" w:hAnsi="Verdana" w:cs="Arial"/>
          <w:sz w:val="20"/>
          <w:szCs w:val="20"/>
        </w:rPr>
        <w:t>“</w:t>
      </w:r>
      <w:r w:rsidR="0036476C" w:rsidRPr="00294702">
        <w:rPr>
          <w:rFonts w:ascii="Verdana" w:hAnsi="Verdana" w:cs="Arial"/>
          <w:sz w:val="20"/>
          <w:szCs w:val="20"/>
        </w:rPr>
        <w:t xml:space="preserve">La ejecución de los programas a cargo del Fondo de Programas para la Paz están encaminados directamente al restablecimiento del orden público, a la construcción de una política de paz y a la búsqueda del logro </w:t>
      </w:r>
      <w:r w:rsidR="0036476C" w:rsidRPr="00294702">
        <w:rPr>
          <w:rFonts w:ascii="Verdana" w:hAnsi="Verdana" w:cs="Arial"/>
          <w:sz w:val="20"/>
          <w:szCs w:val="20"/>
        </w:rPr>
        <w:lastRenderedPageBreak/>
        <w:t>y mantenimiento de la misma, en atención a uno de los fines estatales consagrados en el preámbulo y en el artículo 2 de la Constitución Política. Por esta razón, es claro que llevar a cabo la contratación directa, en lo que corresponda contratar bajo esta modalidad de selección, para la continuidad de estos programas, encaja dentro de la noción de “</w:t>
      </w:r>
      <w:r w:rsidR="0036476C" w:rsidRPr="00294702">
        <w:rPr>
          <w:rFonts w:ascii="Verdana" w:hAnsi="Verdana" w:cs="Arial"/>
          <w:i/>
          <w:sz w:val="20"/>
          <w:szCs w:val="20"/>
        </w:rPr>
        <w:t>defensa y seguridad del Estado”</w:t>
      </w:r>
      <w:r w:rsidR="0036476C" w:rsidRPr="00294702">
        <w:rPr>
          <w:rFonts w:ascii="Verdana" w:hAnsi="Verdana" w:cs="Arial"/>
          <w:sz w:val="20"/>
          <w:szCs w:val="20"/>
        </w:rPr>
        <w:t xml:space="preserve"> de la excepción a que se refiere el artículo 33 de la ley 996 de 2005, Estatutaria de la Ley de Garantías Electorales.</w:t>
      </w:r>
    </w:p>
    <w:p w14:paraId="413F9F9F" w14:textId="77777777" w:rsidR="0036476C" w:rsidRPr="00294702" w:rsidRDefault="0036476C" w:rsidP="00294702">
      <w:pPr>
        <w:spacing w:after="0" w:line="240" w:lineRule="auto"/>
        <w:ind w:left="709" w:right="709"/>
        <w:jc w:val="both"/>
        <w:rPr>
          <w:rFonts w:ascii="Verdana" w:hAnsi="Verdana" w:cs="Arial"/>
          <w:sz w:val="20"/>
          <w:szCs w:val="20"/>
        </w:rPr>
      </w:pPr>
    </w:p>
    <w:p w14:paraId="683E054A" w14:textId="77777777"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sz w:val="20"/>
          <w:szCs w:val="20"/>
        </w:rPr>
        <w:t>En consecuencia, en caso de que el Presidente de la República en ejercicio manifieste su interés en participar como candidato en las próximas elecciones presidenciales, el Fondo de Programas para la Paz puede continuar contratando directamente los programas cuya financiación esté a su cargo relacionados con la construcción de la paz, el restablecimiento del orden público y la vigencia de los derechos y libertades de las personas, en cumplimiento de las normas que rigen su actividad y al amparo de la excepción a la que se refiere el artículo 33 de la citada ley.</w:t>
      </w:r>
    </w:p>
    <w:p w14:paraId="3CAF7ECD" w14:textId="77777777" w:rsidR="0036476C" w:rsidRPr="00294702" w:rsidRDefault="0036476C" w:rsidP="00294702">
      <w:pPr>
        <w:spacing w:after="0" w:line="240" w:lineRule="auto"/>
        <w:ind w:left="709" w:right="709"/>
        <w:jc w:val="both"/>
        <w:rPr>
          <w:rFonts w:ascii="Verdana" w:hAnsi="Verdana" w:cs="Arial"/>
          <w:sz w:val="20"/>
          <w:szCs w:val="20"/>
        </w:rPr>
      </w:pPr>
    </w:p>
    <w:p w14:paraId="33A0498D" w14:textId="77777777"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sz w:val="20"/>
          <w:szCs w:val="20"/>
        </w:rPr>
        <w:t>[…]</w:t>
      </w:r>
    </w:p>
    <w:p w14:paraId="27328037" w14:textId="77777777" w:rsidR="0036476C" w:rsidRPr="00294702" w:rsidRDefault="0036476C" w:rsidP="00294702">
      <w:pPr>
        <w:spacing w:after="0" w:line="240" w:lineRule="auto"/>
        <w:ind w:left="709" w:right="709"/>
        <w:jc w:val="both"/>
        <w:rPr>
          <w:rFonts w:ascii="Verdana" w:hAnsi="Verdana" w:cs="Arial"/>
          <w:sz w:val="20"/>
          <w:szCs w:val="20"/>
        </w:rPr>
      </w:pPr>
    </w:p>
    <w:p w14:paraId="576D7739" w14:textId="06AD378F" w:rsidR="0036476C" w:rsidRPr="00294702" w:rsidRDefault="0036476C" w:rsidP="00294702">
      <w:pPr>
        <w:pStyle w:val="Prrafodelista"/>
        <w:spacing w:after="0" w:line="240" w:lineRule="auto"/>
        <w:ind w:left="709" w:right="709"/>
        <w:jc w:val="both"/>
        <w:rPr>
          <w:rFonts w:ascii="Verdana" w:hAnsi="Verdana" w:cs="Arial"/>
          <w:i/>
          <w:sz w:val="20"/>
          <w:szCs w:val="20"/>
        </w:rPr>
      </w:pPr>
      <w:r w:rsidRPr="00294702">
        <w:rPr>
          <w:rFonts w:ascii="Verdana" w:hAnsi="Verdana" w:cs="Arial"/>
          <w:iCs/>
          <w:sz w:val="20"/>
          <w:szCs w:val="20"/>
        </w:rPr>
        <w:t>La excepción a la prohibición a la contratación directa prevista en el artículo 33 de la ley 996 de 2005, en “</w:t>
      </w:r>
      <w:r w:rsidRPr="00294702">
        <w:rPr>
          <w:rFonts w:ascii="Verdana" w:hAnsi="Verdana" w:cs="Arial"/>
          <w:i/>
          <w:iCs/>
          <w:sz w:val="20"/>
          <w:szCs w:val="20"/>
        </w:rPr>
        <w:t>lo referente a la defensa y seguridad del Estado”,</w:t>
      </w:r>
      <w:r w:rsidRPr="00294702">
        <w:rPr>
          <w:rFonts w:ascii="Verdana" w:hAnsi="Verdana" w:cs="Arial"/>
          <w:iCs/>
          <w:sz w:val="20"/>
          <w:szCs w:val="20"/>
        </w:rPr>
        <w:t xml:space="preserve"> es aplicable a la adquisición de bienes y servicios para atender los programas de desmovilización y reincorporación a la vida civil de grupos alzados en armas al margen de la ley y de los miembros de los mismos, que se manejan a través de la </w:t>
      </w:r>
      <w:r w:rsidRPr="00294702">
        <w:rPr>
          <w:rFonts w:ascii="Verdana" w:hAnsi="Verdana" w:cs="Arial"/>
          <w:sz w:val="20"/>
          <w:szCs w:val="20"/>
        </w:rPr>
        <w:t>Agencia Colombiana para la Reintegración de Personas y Grupos Alzados en Armas, de conformidad</w:t>
      </w:r>
      <w:r w:rsidRPr="00294702">
        <w:rPr>
          <w:rFonts w:ascii="Verdana" w:hAnsi="Verdana"/>
          <w:sz w:val="20"/>
          <w:szCs w:val="20"/>
        </w:rPr>
        <w:t xml:space="preserve"> </w:t>
      </w:r>
      <w:r w:rsidRPr="00294702">
        <w:rPr>
          <w:rFonts w:ascii="Verdana" w:hAnsi="Verdana" w:cs="Arial"/>
          <w:sz w:val="20"/>
          <w:szCs w:val="20"/>
        </w:rPr>
        <w:t>con las causales de contratación directa previstas en el Estatuto General de Contratación de la Administración Pública (leyes 80 de 1993 y 1150 de 2007) y su decreto reglamentario 1510 del 17 de julio de 2013</w:t>
      </w:r>
      <w:r w:rsidR="00FB32A6">
        <w:rPr>
          <w:rFonts w:ascii="Verdana" w:hAnsi="Verdana" w:cs="Arial"/>
          <w:sz w:val="20"/>
          <w:szCs w:val="20"/>
        </w:rPr>
        <w:t>”</w:t>
      </w:r>
      <w:r w:rsidRPr="00294702">
        <w:rPr>
          <w:rStyle w:val="Refdenotaalpie"/>
          <w:rFonts w:ascii="Verdana" w:hAnsi="Verdana"/>
          <w:sz w:val="20"/>
          <w:szCs w:val="20"/>
        </w:rPr>
        <w:footnoteReference w:id="12"/>
      </w:r>
      <w:r w:rsidRPr="00294702">
        <w:rPr>
          <w:rFonts w:ascii="Verdana" w:hAnsi="Verdana" w:cs="Arial"/>
          <w:sz w:val="20"/>
          <w:szCs w:val="20"/>
        </w:rPr>
        <w:t xml:space="preserve">. </w:t>
      </w:r>
    </w:p>
    <w:p w14:paraId="1D83BD38" w14:textId="77777777" w:rsidR="0036476C" w:rsidRPr="00294702" w:rsidRDefault="0036476C" w:rsidP="00294702">
      <w:pPr>
        <w:spacing w:after="0" w:line="276" w:lineRule="auto"/>
        <w:ind w:firstLine="709"/>
        <w:jc w:val="both"/>
        <w:rPr>
          <w:rFonts w:ascii="Verdana" w:hAnsi="Verdana" w:cs="Arial"/>
          <w:color w:val="000000" w:themeColor="text1"/>
          <w:lang w:val="es-ES"/>
        </w:rPr>
      </w:pPr>
    </w:p>
    <w:p w14:paraId="61FEDC51" w14:textId="2476E267" w:rsidR="0036476C" w:rsidRPr="00294702" w:rsidRDefault="0036476C" w:rsidP="00294702">
      <w:pPr>
        <w:spacing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 xml:space="preserve">Por su parte, la Sección Tercera del Consejo de Estado, al resolver la acción de nulidad contra el artículo 1 del Decreto 3740 de 2004, en sentencia del 27 de marzo de 2008, interpretó el concepto de </w:t>
      </w:r>
      <w:r w:rsidR="00FB32A6">
        <w:rPr>
          <w:rFonts w:ascii="Verdana" w:hAnsi="Verdana" w:cs="Arial"/>
          <w:color w:val="000000" w:themeColor="text1"/>
          <w:lang w:val="es-ES_tradnl"/>
        </w:rPr>
        <w:t>“</w:t>
      </w:r>
      <w:r w:rsidRPr="00294702">
        <w:rPr>
          <w:rFonts w:ascii="Verdana" w:hAnsi="Verdana" w:cs="Arial"/>
          <w:color w:val="000000" w:themeColor="text1"/>
          <w:lang w:val="es-ES_tradnl"/>
        </w:rPr>
        <w:t>defensa y seguridad nacional</w:t>
      </w:r>
      <w:r w:rsidR="00FB32A6">
        <w:rPr>
          <w:rFonts w:ascii="Verdana" w:hAnsi="Verdana" w:cs="Arial"/>
          <w:color w:val="000000" w:themeColor="text1"/>
          <w:lang w:val="es-ES_tradnl"/>
        </w:rPr>
        <w:t>”</w:t>
      </w:r>
      <w:r w:rsidRPr="00294702">
        <w:rPr>
          <w:rFonts w:ascii="Verdana" w:hAnsi="Verdana" w:cs="Arial"/>
          <w:color w:val="000000" w:themeColor="text1"/>
          <w:lang w:val="es-ES_tradnl"/>
        </w:rPr>
        <w:t xml:space="preserve"> de la siguiente manera: </w:t>
      </w:r>
    </w:p>
    <w:p w14:paraId="0956FA81"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p>
    <w:p w14:paraId="2E5DD820" w14:textId="77777777" w:rsidR="0036476C" w:rsidRPr="00294702" w:rsidRDefault="00FB32A6" w:rsidP="00294702">
      <w:pPr>
        <w:spacing w:after="0" w:line="240" w:lineRule="auto"/>
        <w:ind w:left="709" w:right="709"/>
        <w:jc w:val="both"/>
        <w:rPr>
          <w:rFonts w:ascii="Verdana" w:hAnsi="Verdana" w:cs="Arial"/>
          <w:sz w:val="20"/>
          <w:szCs w:val="20"/>
        </w:rPr>
      </w:pPr>
      <w:r w:rsidRPr="00294702">
        <w:rPr>
          <w:rFonts w:ascii="Verdana" w:hAnsi="Verdana" w:cs="Arial"/>
          <w:sz w:val="20"/>
          <w:szCs w:val="20"/>
          <w:lang w:val="es-ES_tradnl"/>
        </w:rPr>
        <w:t>“</w:t>
      </w:r>
      <w:r w:rsidR="0036476C" w:rsidRPr="00294702">
        <w:rPr>
          <w:rFonts w:ascii="Verdana" w:hAnsi="Verdana" w:cs="Arial"/>
          <w:sz w:val="20"/>
          <w:szCs w:val="20"/>
        </w:rPr>
        <w:t xml:space="preserve">[…] una visión sistémica de la seguridad y defensa nacionales impone la articulación dinámica de diversos elementos (no sólo bélicos) con el entorno de violencia que agobia a la sociedad colombiana desde hace mucho tiempo. Asegurar la convivencia pacífica, base y razón de ser de la defensa y seguridad nacional, supone para el Estado la adopción de medidas que no siempre comportan la acción militar directa. En otros términos, la acción estatal en punto de seguridad no tiene que forzosa e ineludiblemente recaer en el empleo de las armas, ni en la estrategia </w:t>
      </w:r>
      <w:r w:rsidR="0036476C" w:rsidRPr="00294702">
        <w:rPr>
          <w:rFonts w:ascii="Verdana" w:hAnsi="Verdana" w:cs="Arial"/>
          <w:sz w:val="20"/>
          <w:szCs w:val="20"/>
        </w:rPr>
        <w:lastRenderedPageBreak/>
        <w:t xml:space="preserve">militar o en el despliegue de fuerzas combatientes, sino que también puede haber otros medios eficaces para garantizar la defensa y seguridad nacionales. La prerrogativa legítima del ejercicio de la coacción exige la utilización de varios instrumentos, que no se reducen necesariamente al uso de las armas. La seguridad no sólo se defiende sino que se robustece si, por ejemplo, se materializa efectivamente una política de sometimiento de grupos que pretenden hacer de la seguridad un fin ilegítimo de su accionar delincuencial. Un conclusión se impone: la seguridad no es sólo una cuestión de medios bélicos, sino que ante todo es un asunto político, de ahí su lugar privilegiado en el texto político fundamental: la Constitución. </w:t>
      </w:r>
    </w:p>
    <w:p w14:paraId="46480A1E" w14:textId="77777777" w:rsidR="0036476C" w:rsidRPr="00294702" w:rsidRDefault="0036476C" w:rsidP="00294702">
      <w:pPr>
        <w:spacing w:after="0" w:line="240" w:lineRule="auto"/>
        <w:ind w:left="709" w:right="709"/>
        <w:jc w:val="both"/>
        <w:rPr>
          <w:rFonts w:ascii="Verdana" w:hAnsi="Verdana" w:cs="Arial"/>
          <w:sz w:val="20"/>
          <w:szCs w:val="20"/>
        </w:rPr>
      </w:pPr>
    </w:p>
    <w:p w14:paraId="54B8F890" w14:textId="77777777"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sz w:val="20"/>
          <w:szCs w:val="20"/>
        </w:rPr>
        <w:t xml:space="preserve">Dicho de otra manera, el diseño de estrategias de seguridad y defensa nacional en un entorno signado por convivencia pacífica evidentemente amenazada y perturbada por la acción de grupos ilegales, supone recurrir no solamente a estrategias estrictamente armamentistas, sino que también impone la formulación de ciertas políticas que constituyen del mismo modo manifestación de la seguridad y defensa nacionales. Las difíciles circunstancias de orden público y la complejidad que reviste el conflicto interno, hacen necesaria la adopción de medidas de acercamiento con los grupos armados actores de la violencia, para </w:t>
      </w:r>
      <w:r w:rsidRPr="00294702">
        <w:rPr>
          <w:rFonts w:ascii="Verdana" w:hAnsi="Verdana" w:cs="Arial"/>
          <w:i/>
          <w:sz w:val="20"/>
          <w:szCs w:val="20"/>
        </w:rPr>
        <w:t>“restablecer la tranquilidad pública y en aras de abordar el fenómeno de la violencia, se hacen necesarios mecanismos que faciliten un acercamiento con los diferentes grupos armados actores de la violencia”</w:t>
      </w:r>
      <w:r w:rsidRPr="00294702">
        <w:rPr>
          <w:rFonts w:ascii="Verdana" w:hAnsi="Verdana" w:cs="Arial"/>
          <w:sz w:val="20"/>
          <w:szCs w:val="20"/>
        </w:rPr>
        <w:t>, como señaló la exposición de motivos de la ley 418.</w:t>
      </w:r>
    </w:p>
    <w:p w14:paraId="57249A15" w14:textId="77777777" w:rsidR="0036476C" w:rsidRPr="00294702" w:rsidRDefault="0036476C" w:rsidP="00294702">
      <w:pPr>
        <w:spacing w:after="0" w:line="240" w:lineRule="auto"/>
        <w:ind w:left="709" w:right="709"/>
        <w:jc w:val="both"/>
        <w:rPr>
          <w:rFonts w:ascii="Verdana" w:hAnsi="Verdana" w:cs="Arial"/>
          <w:sz w:val="20"/>
          <w:szCs w:val="20"/>
        </w:rPr>
      </w:pPr>
    </w:p>
    <w:p w14:paraId="3237F571" w14:textId="42F44736" w:rsidR="0036476C" w:rsidRPr="00294702" w:rsidRDefault="0036476C" w:rsidP="00294702">
      <w:pPr>
        <w:spacing w:after="0" w:line="240" w:lineRule="auto"/>
        <w:ind w:left="709" w:right="709"/>
        <w:jc w:val="both"/>
        <w:rPr>
          <w:rFonts w:ascii="Verdana" w:hAnsi="Verdana" w:cs="Arial"/>
          <w:sz w:val="20"/>
          <w:szCs w:val="20"/>
        </w:rPr>
      </w:pPr>
      <w:r w:rsidRPr="00294702">
        <w:rPr>
          <w:rFonts w:ascii="Verdana" w:hAnsi="Verdana" w:cs="Arial"/>
          <w:sz w:val="20"/>
          <w:szCs w:val="20"/>
        </w:rPr>
        <w:t xml:space="preserve">En definitiva, en materia de seguridad, la consecución de objetivos de defensa y seguridad no autoriza sólo la compra de armamento como </w:t>
      </w:r>
      <w:r w:rsidRPr="00294702">
        <w:rPr>
          <w:rFonts w:ascii="Verdana" w:hAnsi="Verdana" w:cs="Arial"/>
          <w:i/>
          <w:sz w:val="20"/>
          <w:szCs w:val="20"/>
        </w:rPr>
        <w:t>prima facie</w:t>
      </w:r>
      <w:r w:rsidRPr="00294702">
        <w:rPr>
          <w:rFonts w:ascii="Verdana" w:hAnsi="Verdana" w:cs="Arial"/>
          <w:sz w:val="20"/>
          <w:szCs w:val="20"/>
        </w:rPr>
        <w:t xml:space="preserve"> parecería, sino que autoriza la adopción de medidas proporcionadas y razonables al logro de ese objetivo, medidas que serán evaluadas caso por caso para determinar si realmente guardan relación y conexidad</w:t>
      </w:r>
      <w:r w:rsidR="00FB32A6">
        <w:rPr>
          <w:rFonts w:ascii="Verdana" w:hAnsi="Verdana" w:cs="Arial"/>
          <w:sz w:val="20"/>
          <w:szCs w:val="20"/>
        </w:rPr>
        <w:t>”</w:t>
      </w:r>
      <w:r w:rsidRPr="00294702">
        <w:rPr>
          <w:rStyle w:val="Refdenotaalpie"/>
          <w:rFonts w:ascii="Verdana" w:hAnsi="Verdana"/>
          <w:sz w:val="20"/>
          <w:szCs w:val="20"/>
        </w:rPr>
        <w:footnoteReference w:id="13"/>
      </w:r>
      <w:r w:rsidRPr="00294702">
        <w:rPr>
          <w:rFonts w:ascii="Verdana" w:hAnsi="Verdana" w:cs="Arial"/>
          <w:sz w:val="20"/>
          <w:szCs w:val="20"/>
        </w:rPr>
        <w:t xml:space="preserve">. </w:t>
      </w:r>
      <w:r w:rsidRPr="00294702">
        <w:rPr>
          <w:rFonts w:ascii="Verdana" w:hAnsi="Verdana" w:cs="Arial"/>
          <w:color w:val="000000" w:themeColor="text1"/>
          <w:sz w:val="20"/>
          <w:szCs w:val="20"/>
          <w:lang w:val="es-ES_tradnl"/>
        </w:rPr>
        <w:t xml:space="preserve">  </w:t>
      </w:r>
    </w:p>
    <w:p w14:paraId="27CFB36A"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p>
    <w:p w14:paraId="6622A84C"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Así mismo, en sentencia del 26 de julio de 2011, la Sección Tercera sostuvo:</w:t>
      </w:r>
    </w:p>
    <w:p w14:paraId="5A9F4DB0"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p>
    <w:p w14:paraId="2C74503A" w14:textId="687CC4B4" w:rsidR="0036476C" w:rsidRPr="00294702" w:rsidRDefault="00FB32A6" w:rsidP="00294702">
      <w:pPr>
        <w:spacing w:after="0"/>
        <w:ind w:left="709" w:right="709"/>
        <w:jc w:val="both"/>
        <w:rPr>
          <w:rFonts w:ascii="Verdana" w:hAnsi="Verdana" w:cs="Arial"/>
          <w:bCs/>
          <w:sz w:val="20"/>
          <w:szCs w:val="20"/>
        </w:rPr>
      </w:pPr>
      <w:r w:rsidRPr="00294702">
        <w:rPr>
          <w:rFonts w:ascii="Verdana" w:hAnsi="Verdana" w:cs="Arial"/>
          <w:bCs/>
          <w:sz w:val="20"/>
          <w:szCs w:val="20"/>
        </w:rPr>
        <w:t>“</w:t>
      </w:r>
      <w:r w:rsidR="0036476C" w:rsidRPr="00294702">
        <w:rPr>
          <w:rFonts w:ascii="Verdana" w:hAnsi="Verdana" w:cs="Arial"/>
          <w:bCs/>
          <w:sz w:val="20"/>
          <w:szCs w:val="20"/>
        </w:rPr>
        <w:t xml:space="preserve">[…] en vigencia de la ley 80 original –que rigió el proceso de selección </w:t>
      </w:r>
      <w:r w:rsidR="0036476C" w:rsidRPr="00294702">
        <w:rPr>
          <w:rFonts w:ascii="Verdana" w:hAnsi="Verdana" w:cs="Arial"/>
          <w:bCs/>
          <w:i/>
          <w:sz w:val="20"/>
          <w:szCs w:val="20"/>
        </w:rPr>
        <w:t>sub iudice</w:t>
      </w:r>
      <w:r w:rsidR="0036476C" w:rsidRPr="00294702">
        <w:rPr>
          <w:rFonts w:ascii="Verdana" w:hAnsi="Verdana" w:cs="Arial"/>
          <w:bCs/>
          <w:sz w:val="20"/>
          <w:szCs w:val="20"/>
        </w:rPr>
        <w:t xml:space="preserve">- la noción de bienes para la defensa y seguridad nacional fue un concepto jurídico indeterminado, cuyo alcance, como acontece normalmente con estas nociones vagas y amplias, suele quedar en manos del operador jurídico del caso, que tiene el deber de precisar su contenido para aplicarlo al asunto concreto. Claro está que luego procede el control </w:t>
      </w:r>
      <w:r w:rsidR="0036476C" w:rsidRPr="00294702">
        <w:rPr>
          <w:rFonts w:ascii="Verdana" w:hAnsi="Verdana" w:cs="Arial"/>
          <w:bCs/>
          <w:sz w:val="20"/>
          <w:szCs w:val="20"/>
        </w:rPr>
        <w:lastRenderedPageBreak/>
        <w:t>judicial sobre los actos que definen el tema, y será el juez quien determinará la corrección o incorrección que la administración hace de su alcance</w:t>
      </w:r>
      <w:r w:rsidRPr="00294702">
        <w:rPr>
          <w:rFonts w:ascii="Verdana" w:hAnsi="Verdana" w:cs="Arial"/>
          <w:bCs/>
          <w:sz w:val="20"/>
          <w:szCs w:val="20"/>
        </w:rPr>
        <w:t>”</w:t>
      </w:r>
      <w:r w:rsidR="0036476C" w:rsidRPr="00294702">
        <w:rPr>
          <w:rStyle w:val="Refdenotaalpie"/>
          <w:rFonts w:ascii="Verdana" w:hAnsi="Verdana"/>
          <w:sz w:val="20"/>
          <w:szCs w:val="20"/>
        </w:rPr>
        <w:footnoteReference w:id="14"/>
      </w:r>
      <w:r w:rsidR="0036476C" w:rsidRPr="00294702">
        <w:rPr>
          <w:rFonts w:ascii="Verdana" w:hAnsi="Verdana" w:cs="Arial"/>
          <w:bCs/>
          <w:sz w:val="20"/>
          <w:szCs w:val="20"/>
        </w:rPr>
        <w:t>.</w:t>
      </w:r>
    </w:p>
    <w:p w14:paraId="05367B25" w14:textId="77777777" w:rsidR="0036476C" w:rsidRPr="00294702" w:rsidRDefault="0036476C" w:rsidP="00294702">
      <w:pPr>
        <w:spacing w:after="0" w:line="276" w:lineRule="auto"/>
        <w:jc w:val="both"/>
        <w:rPr>
          <w:rFonts w:ascii="Verdana" w:hAnsi="Verdana" w:cs="Arial"/>
          <w:color w:val="000000" w:themeColor="text1"/>
        </w:rPr>
      </w:pPr>
    </w:p>
    <w:p w14:paraId="161EE527"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Finalmente, en la sentencia del 23 de julio de 2015, la Sección Tercera indicó:</w:t>
      </w:r>
    </w:p>
    <w:p w14:paraId="3A49D12D"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p>
    <w:p w14:paraId="61392135" w14:textId="77777777" w:rsidR="0036476C" w:rsidRPr="00294702" w:rsidRDefault="00FB32A6" w:rsidP="00294702">
      <w:pPr>
        <w:spacing w:after="0" w:line="240" w:lineRule="auto"/>
        <w:ind w:left="709" w:right="709"/>
        <w:jc w:val="both"/>
        <w:rPr>
          <w:rFonts w:ascii="Verdana" w:hAnsi="Verdana" w:cs="Arial"/>
          <w:sz w:val="20"/>
          <w:szCs w:val="20"/>
          <w:lang w:val="es-ES" w:eastAsia="es-ES"/>
        </w:rPr>
      </w:pPr>
      <w:r w:rsidRPr="00294702">
        <w:rPr>
          <w:rFonts w:ascii="Verdana" w:hAnsi="Verdana" w:cs="Arial"/>
          <w:sz w:val="20"/>
          <w:szCs w:val="20"/>
          <w:lang w:val="es-ES" w:eastAsia="es-ES"/>
        </w:rPr>
        <w:t>“</w:t>
      </w:r>
      <w:r w:rsidR="0036476C" w:rsidRPr="00294702">
        <w:rPr>
          <w:rFonts w:ascii="Verdana" w:hAnsi="Verdana" w:cs="Arial"/>
          <w:sz w:val="20"/>
          <w:szCs w:val="20"/>
          <w:lang w:val="es-ES" w:eastAsia="es-ES"/>
        </w:rPr>
        <w:t xml:space="preserve">La defensa y seguridad nacional son </w:t>
      </w:r>
      <w:r w:rsidR="0036476C" w:rsidRPr="00294702">
        <w:rPr>
          <w:rFonts w:ascii="Verdana" w:hAnsi="Verdana" w:cs="Arial"/>
          <w:i/>
          <w:iCs/>
          <w:sz w:val="20"/>
          <w:szCs w:val="20"/>
          <w:lang w:val="es-ES" w:eastAsia="es-ES"/>
        </w:rPr>
        <w:t>conceptos normativos indeterminados</w:t>
      </w:r>
      <w:r w:rsidR="0036476C" w:rsidRPr="00294702">
        <w:rPr>
          <w:rFonts w:ascii="Verdana" w:hAnsi="Verdana" w:cs="Arial"/>
          <w:sz w:val="20"/>
          <w:szCs w:val="20"/>
          <w:lang w:val="es-ES" w:eastAsia="es-ES"/>
        </w:rPr>
        <w:t xml:space="preserve"> que adquieren significación conforme el contexto social, cultural y económico que, en cualquier caso, reflejará las necesidades de una colectividad en una circunstancia espacio-temporal definida. Como concepto anfibológico requiere de un contexto específico que permita nutrirlo de contenido, de suerte que cada realidad social le dará un sentido particular. Son conceptos simbióticos pues se sirven mutuamente y la acción de uno afecta al otro, por manera que su adecuado entendimiento merece un tratamiento unívoco. </w:t>
      </w:r>
    </w:p>
    <w:p w14:paraId="0977D178" w14:textId="77777777" w:rsidR="0036476C" w:rsidRPr="00294702" w:rsidRDefault="0036476C" w:rsidP="00294702">
      <w:pPr>
        <w:spacing w:after="0" w:line="240" w:lineRule="auto"/>
        <w:ind w:left="709" w:right="709"/>
        <w:jc w:val="both"/>
        <w:rPr>
          <w:rFonts w:ascii="Verdana" w:hAnsi="Verdana" w:cs="Arial"/>
          <w:sz w:val="20"/>
          <w:szCs w:val="20"/>
          <w:lang w:val="es-ES_tradnl" w:eastAsia="es-ES"/>
        </w:rPr>
      </w:pPr>
    </w:p>
    <w:p w14:paraId="54ABAA61" w14:textId="3F3E6775" w:rsidR="0036476C" w:rsidRPr="00294702" w:rsidRDefault="0036476C" w:rsidP="00294702">
      <w:pPr>
        <w:spacing w:after="0" w:line="240" w:lineRule="auto"/>
        <w:ind w:left="709" w:right="709"/>
        <w:jc w:val="both"/>
        <w:rPr>
          <w:rFonts w:ascii="Verdana" w:hAnsi="Verdana" w:cs="Arial"/>
          <w:sz w:val="20"/>
          <w:szCs w:val="20"/>
          <w:lang w:val="es-ES_tradnl" w:eastAsia="es-ES"/>
        </w:rPr>
      </w:pPr>
      <w:r w:rsidRPr="00294702">
        <w:rPr>
          <w:rFonts w:ascii="Verdana" w:hAnsi="Verdana" w:cs="Arial"/>
          <w:sz w:val="20"/>
          <w:szCs w:val="20"/>
          <w:lang w:val="es-ES_tradnl" w:eastAsia="es-ES"/>
        </w:rPr>
        <w:t xml:space="preserve">El núcleo básico de la expresión se encuentra en la razón misma del Estado, como pacto político garante de la vida, honra y bienes de las personas, por manera que a través de la defensa y seguridad nacional se busca obtener el bienestar de los ciudadanos y la estabilidad misma del Estado. Es un concepto base sobre el que se construye la estrategia del Estado para proteger a los ciudadanos y rebaza, en mucho, </w:t>
      </w:r>
      <w:r w:rsidRPr="00294702">
        <w:rPr>
          <w:rFonts w:ascii="Verdana" w:hAnsi="Verdana" w:cs="Arial"/>
          <w:i/>
          <w:sz w:val="20"/>
          <w:szCs w:val="20"/>
          <w:lang w:val="es-ES_tradnl" w:eastAsia="es-ES"/>
        </w:rPr>
        <w:t>el criterio conforme al cual la seguridad es apenas un conjunto de dispositivos para la guerra</w:t>
      </w:r>
      <w:r w:rsidRPr="00294702">
        <w:rPr>
          <w:rFonts w:ascii="Verdana" w:hAnsi="Verdana" w:cs="Arial"/>
          <w:sz w:val="20"/>
          <w:szCs w:val="20"/>
          <w:lang w:val="es-ES_tradnl" w:eastAsia="es-ES"/>
        </w:rPr>
        <w:t>: es un fenómeno que, dadas las condiciones actuales de nuestras sociedades, puede referir, incluso, a asuntos económicos, energéticos, ambientales y hasta de salud pública</w:t>
      </w:r>
      <w:r w:rsidR="00FB32A6" w:rsidRPr="00294702">
        <w:rPr>
          <w:rFonts w:ascii="Verdana" w:hAnsi="Verdana" w:cs="Arial"/>
          <w:sz w:val="20"/>
          <w:szCs w:val="20"/>
          <w:lang w:val="es-ES_tradnl" w:eastAsia="es-ES"/>
        </w:rPr>
        <w:t>”</w:t>
      </w:r>
      <w:r w:rsidRPr="00294702">
        <w:rPr>
          <w:rStyle w:val="Refdenotaalpie"/>
          <w:rFonts w:ascii="Verdana" w:hAnsi="Verdana"/>
          <w:sz w:val="20"/>
          <w:szCs w:val="20"/>
        </w:rPr>
        <w:footnoteReference w:id="15"/>
      </w:r>
      <w:r w:rsidRPr="00294702">
        <w:rPr>
          <w:rFonts w:ascii="Verdana" w:hAnsi="Verdana" w:cs="Arial"/>
          <w:sz w:val="20"/>
          <w:szCs w:val="20"/>
          <w:lang w:val="es-ES_tradnl" w:eastAsia="es-ES"/>
        </w:rPr>
        <w:t>.</w:t>
      </w:r>
    </w:p>
    <w:p w14:paraId="58B43782" w14:textId="77777777" w:rsidR="0036476C" w:rsidRPr="00294702" w:rsidRDefault="0036476C" w:rsidP="00294702">
      <w:pPr>
        <w:spacing w:after="0" w:line="276" w:lineRule="auto"/>
        <w:ind w:firstLine="709"/>
        <w:jc w:val="both"/>
        <w:rPr>
          <w:rFonts w:ascii="Verdana" w:hAnsi="Verdana" w:cs="Arial"/>
          <w:color w:val="000000" w:themeColor="text1"/>
          <w:lang w:val="es-ES_tradnl"/>
        </w:rPr>
      </w:pPr>
    </w:p>
    <w:p w14:paraId="15FEBD77" w14:textId="77777777" w:rsidR="00117528" w:rsidRDefault="0036476C" w:rsidP="00294702">
      <w:pPr>
        <w:spacing w:after="120" w:line="276" w:lineRule="auto"/>
        <w:ind w:firstLine="709"/>
        <w:jc w:val="both"/>
        <w:rPr>
          <w:rFonts w:ascii="Verdana" w:hAnsi="Verdana" w:cs="Arial"/>
          <w:color w:val="000000" w:themeColor="text1"/>
          <w:lang w:val="es-ES"/>
        </w:rPr>
      </w:pPr>
      <w:r w:rsidRPr="00294702">
        <w:rPr>
          <w:rFonts w:ascii="Verdana" w:hAnsi="Verdana" w:cs="Arial"/>
          <w:color w:val="000000" w:themeColor="text1"/>
          <w:lang w:val="es-ES"/>
        </w:rPr>
        <w:t xml:space="preserve">Del anterior recuento doctrinario y jurisprudencial se concluye que la expresión </w:t>
      </w:r>
      <w:r w:rsidR="00FB32A6">
        <w:rPr>
          <w:rFonts w:ascii="Verdana" w:hAnsi="Verdana" w:cs="Arial"/>
          <w:color w:val="000000" w:themeColor="text1"/>
          <w:lang w:val="es-ES"/>
        </w:rPr>
        <w:t>“</w:t>
      </w:r>
      <w:r w:rsidRPr="00294702">
        <w:rPr>
          <w:rFonts w:ascii="Verdana" w:hAnsi="Verdana" w:cs="Arial"/>
          <w:color w:val="000000" w:themeColor="text1"/>
          <w:lang w:val="es-ES"/>
        </w:rPr>
        <w:t>defensa y seguridad del Estado</w:t>
      </w:r>
      <w:r w:rsidR="00FB32A6">
        <w:rPr>
          <w:rFonts w:ascii="Verdana" w:hAnsi="Verdana" w:cs="Arial"/>
          <w:color w:val="000000" w:themeColor="text1"/>
          <w:lang w:val="es-ES"/>
        </w:rPr>
        <w:t>”</w:t>
      </w:r>
      <w:r w:rsidRPr="00294702">
        <w:rPr>
          <w:rFonts w:ascii="Verdana" w:hAnsi="Verdana" w:cs="Arial"/>
          <w:color w:val="000000" w:themeColor="text1"/>
          <w:lang w:val="es-ES"/>
        </w:rPr>
        <w:t xml:space="preserve">, empleada por el segundo inciso del artículo 33 de la Ley 996 de 2005 –y que se halla también en otras disposiciones normativas con la denominación de </w:t>
      </w:r>
      <w:r w:rsidR="00FB32A6">
        <w:rPr>
          <w:rFonts w:ascii="Verdana" w:hAnsi="Verdana" w:cs="Arial"/>
          <w:color w:val="000000" w:themeColor="text1"/>
          <w:lang w:val="es-ES"/>
        </w:rPr>
        <w:t>“</w:t>
      </w:r>
      <w:r w:rsidRPr="00294702">
        <w:rPr>
          <w:rFonts w:ascii="Verdana" w:hAnsi="Verdana" w:cs="Arial"/>
          <w:color w:val="000000" w:themeColor="text1"/>
          <w:lang w:val="es-ES"/>
        </w:rPr>
        <w:t>defensa y seguridad nacional</w:t>
      </w:r>
      <w:r w:rsidR="00FB32A6">
        <w:rPr>
          <w:rFonts w:ascii="Verdana" w:hAnsi="Verdana" w:cs="Arial"/>
          <w:color w:val="000000" w:themeColor="text1"/>
          <w:lang w:val="es-ES"/>
        </w:rPr>
        <w:t>”</w:t>
      </w:r>
      <w:r w:rsidRPr="00294702">
        <w:rPr>
          <w:rFonts w:ascii="Verdana" w:hAnsi="Verdana" w:cs="Arial"/>
          <w:color w:val="000000" w:themeColor="text1"/>
          <w:lang w:val="es-ES"/>
        </w:rPr>
        <w:t xml:space="preserve">– es un </w:t>
      </w:r>
      <w:r w:rsidRPr="00294702">
        <w:rPr>
          <w:rFonts w:ascii="Verdana" w:hAnsi="Verdana" w:cs="Arial"/>
          <w:i/>
          <w:iCs/>
          <w:color w:val="000000" w:themeColor="text1"/>
          <w:lang w:val="es-ES"/>
        </w:rPr>
        <w:t>concepto jurídico indeterminado</w:t>
      </w:r>
      <w:r w:rsidRPr="00294702">
        <w:rPr>
          <w:rFonts w:ascii="Verdana" w:hAnsi="Verdana" w:cs="Arial"/>
          <w:color w:val="000000" w:themeColor="text1"/>
          <w:lang w:val="es-ES"/>
        </w:rPr>
        <w:t xml:space="preserve"> que las entidades estatales deben aplicar teniendo en cuenta la situación fáctica particular. En todo caso, el Consejo de Estado es claro en indicar que tal concepto, en materia contractual, va más allá de la sola adquisición de armamento o de los bienes y actividades requeridas </w:t>
      </w:r>
      <w:r w:rsidRPr="00294702">
        <w:rPr>
          <w:rFonts w:ascii="Verdana" w:hAnsi="Verdana" w:cs="Arial"/>
          <w:color w:val="000000" w:themeColor="text1"/>
          <w:lang w:val="es-ES"/>
        </w:rPr>
        <w:lastRenderedPageBreak/>
        <w:t xml:space="preserve">para la </w:t>
      </w:r>
      <w:r w:rsidR="00117528">
        <w:rPr>
          <w:rFonts w:ascii="Verdana" w:hAnsi="Verdana" w:cs="Arial"/>
          <w:color w:val="000000" w:themeColor="text1"/>
          <w:lang w:val="es-ES"/>
        </w:rPr>
        <w:t>“</w:t>
      </w:r>
      <w:r w:rsidRPr="00294702">
        <w:rPr>
          <w:rFonts w:ascii="Verdana" w:hAnsi="Verdana" w:cs="Arial"/>
          <w:color w:val="000000" w:themeColor="text1"/>
          <w:lang w:val="es-ES"/>
        </w:rPr>
        <w:t>guerra</w:t>
      </w:r>
      <w:r w:rsidR="00117528">
        <w:rPr>
          <w:rFonts w:ascii="Verdana" w:hAnsi="Verdana" w:cs="Arial"/>
          <w:color w:val="000000" w:themeColor="text1"/>
          <w:lang w:val="es-ES"/>
        </w:rPr>
        <w:t>”</w:t>
      </w:r>
      <w:r w:rsidRPr="00294702">
        <w:rPr>
          <w:rFonts w:ascii="Verdana" w:hAnsi="Verdana" w:cs="Arial"/>
          <w:color w:val="000000" w:themeColor="text1"/>
          <w:lang w:val="es-ES"/>
        </w:rPr>
        <w:t xml:space="preserve">. Para el alto tribunal, aquel es un concepto que debe interpretarse bajo una comprensión sistemática del orden público. </w:t>
      </w:r>
    </w:p>
    <w:p w14:paraId="14C26220" w14:textId="7A72CBDA" w:rsidR="0036476C" w:rsidRPr="00294702" w:rsidRDefault="00117528" w:rsidP="00294702">
      <w:pPr>
        <w:spacing w:after="0" w:line="276" w:lineRule="auto"/>
        <w:ind w:firstLine="709"/>
        <w:jc w:val="both"/>
        <w:rPr>
          <w:rFonts w:ascii="Verdana" w:hAnsi="Verdana" w:cs="Arial"/>
          <w:color w:val="000000" w:themeColor="text1"/>
          <w:lang w:val="es-ES"/>
        </w:rPr>
      </w:pPr>
      <w:r>
        <w:rPr>
          <w:rFonts w:ascii="Verdana" w:hAnsi="Verdana" w:cs="Arial"/>
          <w:color w:val="000000" w:themeColor="text1"/>
          <w:lang w:val="es-ES"/>
        </w:rPr>
        <w:t>En virtud de lo anterior</w:t>
      </w:r>
      <w:r w:rsidR="0036476C" w:rsidRPr="00294702">
        <w:rPr>
          <w:rFonts w:ascii="Verdana" w:hAnsi="Verdana" w:cs="Arial"/>
          <w:color w:val="000000" w:themeColor="text1"/>
          <w:lang w:val="es-ES"/>
        </w:rPr>
        <w:t xml:space="preserve">, considerando estos criterios hermenéuticos, corresponde a la entidad que realiza la consulta interpretar el concepto jurídico </w:t>
      </w:r>
      <w:r w:rsidR="00D46819">
        <w:rPr>
          <w:rFonts w:ascii="Verdana" w:hAnsi="Verdana" w:cs="Arial"/>
          <w:color w:val="000000" w:themeColor="text1"/>
          <w:lang w:val="es-ES"/>
        </w:rPr>
        <w:t>“</w:t>
      </w:r>
      <w:r w:rsidR="0036476C" w:rsidRPr="00294702">
        <w:rPr>
          <w:rFonts w:ascii="Verdana" w:hAnsi="Verdana" w:cs="Arial"/>
          <w:color w:val="000000" w:themeColor="text1"/>
          <w:lang w:val="es-ES"/>
        </w:rPr>
        <w:t>defensa y seguridad del Estado</w:t>
      </w:r>
      <w:r w:rsidR="00D46819">
        <w:rPr>
          <w:rFonts w:ascii="Verdana" w:hAnsi="Verdana" w:cs="Arial"/>
          <w:color w:val="000000" w:themeColor="text1"/>
          <w:lang w:val="es-ES"/>
        </w:rPr>
        <w:t>”</w:t>
      </w:r>
      <w:r w:rsidR="0036476C" w:rsidRPr="00294702">
        <w:rPr>
          <w:rFonts w:ascii="Verdana" w:hAnsi="Verdana" w:cs="Arial"/>
          <w:color w:val="000000" w:themeColor="text1"/>
          <w:lang w:val="es-ES"/>
        </w:rPr>
        <w:t xml:space="preserve">, para determinar si se presenta la excepción a la contratación directa prevista en el segundo inciso del artículo 33 de la Ley 996 de 2005.    </w:t>
      </w:r>
    </w:p>
    <w:p w14:paraId="22DA0FE1" w14:textId="77777777" w:rsidR="00AA6873" w:rsidRPr="00294702" w:rsidRDefault="00AA6873" w:rsidP="00294702">
      <w:pPr>
        <w:spacing w:after="0" w:line="276" w:lineRule="auto"/>
        <w:jc w:val="both"/>
        <w:rPr>
          <w:rFonts w:ascii="Verdana" w:eastAsia="Century Gothic" w:hAnsi="Verdana" w:cs="Century Gothic"/>
          <w:bCs/>
          <w:lang w:val="es-ES"/>
        </w:rPr>
      </w:pPr>
    </w:p>
    <w:p w14:paraId="7E1B4563" w14:textId="4C2BC39C" w:rsidR="008E53E8" w:rsidRPr="00C13395" w:rsidRDefault="00DB1EBD" w:rsidP="00294702">
      <w:pPr>
        <w:spacing w:after="120" w:line="276" w:lineRule="auto"/>
        <w:jc w:val="both"/>
        <w:rPr>
          <w:rFonts w:ascii="Verdana" w:eastAsia="Century Gothic" w:hAnsi="Verdana" w:cs="Century Gothic"/>
          <w:lang w:val="es-ES"/>
        </w:rPr>
      </w:pPr>
      <w:proofErr w:type="spellStart"/>
      <w:r w:rsidRPr="61CFEC75">
        <w:rPr>
          <w:rFonts w:ascii="Verdana" w:eastAsia="Century Gothic" w:hAnsi="Verdana" w:cs="Century Gothic"/>
          <w:lang w:val="es-ES"/>
        </w:rPr>
        <w:t>iv</w:t>
      </w:r>
      <w:proofErr w:type="spellEnd"/>
      <w:r w:rsidRPr="61CFEC75">
        <w:rPr>
          <w:rFonts w:ascii="Verdana" w:eastAsia="Century Gothic" w:hAnsi="Verdana" w:cs="Century Gothic"/>
          <w:lang w:val="es-ES"/>
        </w:rPr>
        <w:t xml:space="preserve">. </w:t>
      </w:r>
      <w:r w:rsidR="008E53E8" w:rsidRPr="61CFEC75">
        <w:rPr>
          <w:rFonts w:ascii="Verdana" w:eastAsia="Century Gothic" w:hAnsi="Verdana" w:cs="Century Gothic"/>
          <w:lang w:val="es-ES"/>
        </w:rPr>
        <w:t xml:space="preserve">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7741F22E" w14:textId="77777777" w:rsidR="008E53E8" w:rsidRPr="00C13395" w:rsidRDefault="008E53E8" w:rsidP="00294702">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Respecto de lo anterior, la Sala de Consulta y Servicio Civil del Consejo de Estado, en Concepto 1727 de fecha 20 de febrero de 2006, consideró que: </w:t>
      </w:r>
    </w:p>
    <w:p w14:paraId="37F4BB6F" w14:textId="77777777" w:rsidR="008E53E8" w:rsidRPr="00C13395" w:rsidRDefault="008E53E8" w:rsidP="00294702">
      <w:pPr>
        <w:spacing w:after="0" w:line="276" w:lineRule="auto"/>
        <w:jc w:val="both"/>
        <w:rPr>
          <w:rFonts w:ascii="Verdana" w:eastAsia="Century Gothic" w:hAnsi="Verdana" w:cs="Century Gothic"/>
          <w:bCs/>
          <w:lang w:val="es-ES_tradnl"/>
        </w:rPr>
      </w:pPr>
    </w:p>
    <w:p w14:paraId="42C75A61" w14:textId="77777777" w:rsidR="008E53E8" w:rsidRDefault="008E53E8" w:rsidP="005C62F0">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 . </w:t>
      </w:r>
    </w:p>
    <w:p w14:paraId="62F53322" w14:textId="77777777" w:rsidR="00492790" w:rsidRPr="00C13395" w:rsidRDefault="00492790" w:rsidP="00294702">
      <w:pPr>
        <w:spacing w:after="0" w:line="276" w:lineRule="auto"/>
        <w:ind w:left="709" w:right="709"/>
        <w:jc w:val="both"/>
        <w:rPr>
          <w:rFonts w:ascii="Verdana" w:eastAsia="Century Gothic" w:hAnsi="Verdana" w:cs="Century Gothic"/>
          <w:bCs/>
          <w:sz w:val="20"/>
          <w:szCs w:val="20"/>
          <w:lang w:val="es-ES_tradnl"/>
        </w:rPr>
      </w:pPr>
    </w:p>
    <w:p w14:paraId="74E318E5" w14:textId="77777777" w:rsidR="008E53E8" w:rsidRDefault="008E53E8" w:rsidP="00492790">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 Además, la Sala de Consulta y Servicio Civil del Consejo de Estado </w:t>
      </w:r>
      <w:r w:rsidRPr="00C13395">
        <w:rPr>
          <w:rFonts w:ascii="Verdana" w:eastAsia="Century Gothic" w:hAnsi="Verdana" w:cs="Century Gothic"/>
          <w:bCs/>
          <w:lang w:val="es-ES_tradnl"/>
        </w:rPr>
        <w:lastRenderedPageBreak/>
        <w:t>realizó la siguiente distinción, retomando el pronunciamiento de la misma sala del 20 de febrero de 2006, citado anteriormente:</w:t>
      </w:r>
    </w:p>
    <w:p w14:paraId="71F315A7" w14:textId="77777777" w:rsidR="00492790" w:rsidRPr="00C13395" w:rsidRDefault="00492790" w:rsidP="00294702">
      <w:pPr>
        <w:spacing w:after="0" w:line="276" w:lineRule="auto"/>
        <w:ind w:firstLine="708"/>
        <w:jc w:val="both"/>
        <w:rPr>
          <w:rFonts w:ascii="Verdana" w:eastAsia="Century Gothic" w:hAnsi="Verdana" w:cs="Century Gothic"/>
          <w:bCs/>
          <w:lang w:val="es-ES_tradnl"/>
        </w:rPr>
      </w:pPr>
    </w:p>
    <w:p w14:paraId="473F0B57" w14:textId="77777777" w:rsidR="008E53E8" w:rsidRDefault="008E53E8" w:rsidP="00492790">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6E2FC259" w14:textId="77777777" w:rsidR="00492790" w:rsidRPr="00C13395" w:rsidRDefault="00492790" w:rsidP="00294702">
      <w:pPr>
        <w:spacing w:after="0" w:line="240" w:lineRule="auto"/>
        <w:ind w:left="709" w:right="709"/>
        <w:jc w:val="both"/>
        <w:rPr>
          <w:rFonts w:ascii="Verdana" w:eastAsia="Century Gothic" w:hAnsi="Verdana" w:cs="Century Gothic"/>
          <w:bCs/>
          <w:sz w:val="20"/>
          <w:szCs w:val="20"/>
          <w:lang w:val="es-ES_tradnl"/>
        </w:rPr>
      </w:pPr>
    </w:p>
    <w:p w14:paraId="58A2F613" w14:textId="77777777" w:rsidR="008E53E8" w:rsidRPr="00C13395" w:rsidRDefault="008E53E8" w:rsidP="00294702">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p>
    <w:p w14:paraId="53252603" w14:textId="77777777" w:rsidR="00492790" w:rsidRDefault="00492790" w:rsidP="00294702">
      <w:pPr>
        <w:spacing w:after="0" w:line="276" w:lineRule="auto"/>
        <w:ind w:firstLine="708"/>
        <w:jc w:val="both"/>
        <w:rPr>
          <w:rFonts w:ascii="Verdana" w:eastAsia="Century Gothic" w:hAnsi="Verdana" w:cs="Century Gothic"/>
          <w:bCs/>
          <w:lang w:val="es-ES_tradnl"/>
        </w:rPr>
      </w:pPr>
    </w:p>
    <w:p w14:paraId="7EC71F33" w14:textId="555FB164"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acuerdo con estos pronunciamientos de la Sala de Consulta y Servicio Civil del Consejo de Estado, la prohibición de la contratación directa también aplica frente a las entidades exceptuadas de la aplicación del Estatuto General de Contratación de la Administración Pública y que se rigen en materia contractual por el derecho privado. Sin embargo, señaló que algunas de estas entidades, como sucede con las empresas de servicios públicos domiciliarios, los establecimientos de crédito, las sociedades de servicios financieros y las entidades aseguradoras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w:t>
      </w:r>
      <w:r w:rsidRPr="00C13395">
        <w:rPr>
          <w:rFonts w:ascii="Verdana" w:eastAsia="Century Gothic" w:hAnsi="Verdana" w:cs="Century Gothic"/>
          <w:bCs/>
          <w:lang w:val="es-ES_tradnl"/>
        </w:rPr>
        <w:lastRenderedPageBreak/>
        <w:t xml:space="preserve">parálisis de una actividad propia de la administración, que incluso podría desconocer los derechos fundamentales” . </w:t>
      </w:r>
    </w:p>
    <w:p w14:paraId="3804E1BC" w14:textId="77777777" w:rsidR="008E53E8" w:rsidRDefault="008E53E8" w:rsidP="00B158FB">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Conforme a los expuesto, la restricción prevista en la Ley 996 de 2005 cobija a cualquier entidad pública, independiente del régimen jurídico, que pueda mediante la contratación directa romper el equilibrio entre los candidatos en desarrollo de las elecciones presidenciales. Así las cosas, no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578803A1" w14:textId="77777777" w:rsidR="00B158FB" w:rsidRPr="00C13395" w:rsidRDefault="00B158FB" w:rsidP="00294702">
      <w:pPr>
        <w:spacing w:after="0" w:line="276" w:lineRule="auto"/>
        <w:ind w:firstLine="708"/>
        <w:jc w:val="both"/>
        <w:rPr>
          <w:rFonts w:ascii="Verdana" w:eastAsia="Century Gothic" w:hAnsi="Verdana" w:cs="Century Gothic"/>
          <w:bCs/>
          <w:lang w:val="es-ES_tradnl"/>
        </w:rPr>
      </w:pPr>
    </w:p>
    <w:p w14:paraId="2E54CD07" w14:textId="6D3E2E7C" w:rsidR="008E53E8" w:rsidRPr="00C13395" w:rsidRDefault="00B158FB" w:rsidP="122F1934">
      <w:pPr>
        <w:spacing w:after="120" w:line="276" w:lineRule="auto"/>
        <w:jc w:val="both"/>
        <w:rPr>
          <w:rFonts w:ascii="Verdana" w:eastAsia="Century Gothic" w:hAnsi="Verdana" w:cs="Century Gothic"/>
          <w:lang w:val="es-ES"/>
        </w:rPr>
      </w:pPr>
      <w:r>
        <w:rPr>
          <w:rFonts w:ascii="Verdana" w:eastAsia="Century Gothic" w:hAnsi="Verdana" w:cs="Century Gothic"/>
          <w:lang w:val="es-ES"/>
        </w:rPr>
        <w:t>v</w:t>
      </w:r>
      <w:r w:rsidR="008E53E8" w:rsidRPr="122F1934">
        <w:rPr>
          <w:rFonts w:ascii="Verdana" w:eastAsia="Century Gothic" w:hAnsi="Verdana" w:cs="Century Gothic"/>
          <w:lang w:val="es-ES"/>
        </w:rPr>
        <w:t xml:space="preserve">) Ahora bien, respecto del alcance del parágrafo del artículo 38 de la Ley 996 de 2005, esta prohibición dispone que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w:t>
      </w:r>
    </w:p>
    <w:p w14:paraId="064A5652" w14:textId="058A3E9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Para tales efectos, debe precisarse que los contratos interadministrativos están determinados por un criterio orgánico, pues es necesario que los extremos de la relación contractual sean entidades públicas, 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6CDE33EB"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237ABE0D" w14:textId="238FDDEE"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Un convenio interadministrativo no está determinado por la modalidad de selección utilizada para celebrarlo. La Ley 1150 de 2007 establece que pueden celebrarse directamente, siempre que las obligaciones derivadas del mismo </w:t>
      </w:r>
      <w:r w:rsidRPr="00C13395">
        <w:rPr>
          <w:rFonts w:ascii="Verdana" w:eastAsia="Century Gothic" w:hAnsi="Verdana" w:cs="Century Gothic"/>
          <w:bCs/>
          <w:lang w:val="es-ES_tradnl"/>
        </w:rPr>
        <w:lastRenderedPageBreak/>
        <w:t>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36D9BFFB" w14:textId="6141BA57" w:rsidR="008E53E8" w:rsidRPr="00C13395" w:rsidRDefault="008E53E8" w:rsidP="122F1934">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Además, es necesario tener en cuenta que para que un convenio interadministrativo exista debe cumplir con los siguientes elementos: acuerdo sobre el objeto y la contraprestación y que conste por escrito.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5AA6D00E" w14:textId="77777777" w:rsidR="008E53E8" w:rsidRPr="00C13395" w:rsidRDefault="008E53E8" w:rsidP="122F1934">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 , pues, de acuerdo con lo anotado, esta clase de acuerdos de voluntades se definen por un criterio orgánico, por lo que uno de sus elementos esenciales es que en los extremos de la relación jurídico negocial concurran personas de derecho público.</w:t>
      </w:r>
    </w:p>
    <w:p w14:paraId="4C889B0D" w14:textId="77777777" w:rsidR="008E53E8" w:rsidRPr="00C13395" w:rsidRDefault="008E53E8" w:rsidP="122F1934">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De esta manera, se observa entonces que el parágrafo del artículo 38 de la Ley 996 de 2005 prohíbe a los Alcaldes, Gobernadores, Secretarios, Gerentes y Directores de las entidades del orden municipal, departamental o distrital celebrar convenios interadministrativos para la ejecución de recursos públicos. En este sentido, si una o ambas partes de la relación contractual es una entidad de aquellas descritas en el parágrafo ibidem, no podrá celebrar tales convenios durante la aplicación de la Ley de Garantías Electorales, toda vez que la citada disposición hace referencia a dicha tipología contractual sin que el legislador hubiere contemplado un efecto extensivo a otra tipología. </w:t>
      </w:r>
    </w:p>
    <w:p w14:paraId="2FB12621" w14:textId="77777777" w:rsidR="008E53E8" w:rsidRPr="00C13395" w:rsidRDefault="008E53E8" w:rsidP="122F1934">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Respecto del alcance de esta prohibición la Circular Externa No. 006 de 2025 expedida por la Agencia Nacional de Contratación Pública – Colombia Compra Eficiente, en los literales </w:t>
      </w:r>
      <w:proofErr w:type="spellStart"/>
      <w:r w:rsidRPr="122F1934">
        <w:rPr>
          <w:rFonts w:ascii="Verdana" w:eastAsia="Century Gothic" w:hAnsi="Verdana" w:cs="Century Gothic"/>
          <w:lang w:val="es-ES"/>
        </w:rPr>
        <w:t>ii</w:t>
      </w:r>
      <w:proofErr w:type="spellEnd"/>
      <w:r w:rsidRPr="122F1934">
        <w:rPr>
          <w:rFonts w:ascii="Verdana" w:eastAsia="Century Gothic" w:hAnsi="Verdana" w:cs="Century Gothic"/>
          <w:lang w:val="es-ES"/>
        </w:rPr>
        <w:t xml:space="preserve">) y </w:t>
      </w:r>
      <w:proofErr w:type="spellStart"/>
      <w:r w:rsidRPr="122F1934">
        <w:rPr>
          <w:rFonts w:ascii="Verdana" w:eastAsia="Century Gothic" w:hAnsi="Verdana" w:cs="Century Gothic"/>
          <w:lang w:val="es-ES"/>
        </w:rPr>
        <w:t>iv</w:t>
      </w:r>
      <w:proofErr w:type="spellEnd"/>
      <w:r w:rsidRPr="122F1934">
        <w:rPr>
          <w:rFonts w:ascii="Verdana" w:eastAsia="Century Gothic" w:hAnsi="Verdana" w:cs="Century Gothic"/>
          <w:lang w:val="es-ES"/>
        </w:rPr>
        <w:t xml:space="preserve">) del numeral 2, indica que el parágrafo del artículo 38 de la Ley 996 de 2005 cobija expresamente a los convenios interadministrativos en los que se contemple la ejecución de recursos públicos. </w:t>
      </w:r>
      <w:r w:rsidRPr="122F1934">
        <w:rPr>
          <w:rFonts w:ascii="Verdana" w:eastAsia="Century Gothic" w:hAnsi="Verdana" w:cs="Century Gothic"/>
          <w:lang w:val="es-ES"/>
        </w:rPr>
        <w:lastRenderedPageBreak/>
        <w:t xml:space="preserve">Además, precisa que el parágrafo referido no estableció ningún supuesto que exceptúe la aplicación de esta prohibición, por lo que la restricción referida a la celebración de convenios interadministrativos aplicará a los sujetos allí señalados, “aunque se configure alguno de los supuestos de excepción que señaló el inciso final del artículo 33”. </w:t>
      </w:r>
    </w:p>
    <w:p w14:paraId="3A1082C0" w14:textId="34E622CE" w:rsidR="008E53E8" w:rsidRPr="00C13395" w:rsidRDefault="00967C24" w:rsidP="122F1934">
      <w:pPr>
        <w:spacing w:after="120" w:line="276" w:lineRule="auto"/>
        <w:ind w:firstLine="708"/>
        <w:jc w:val="both"/>
        <w:rPr>
          <w:rFonts w:ascii="Verdana" w:eastAsia="Century Gothic" w:hAnsi="Verdana" w:cs="Century Gothic"/>
          <w:lang w:val="es-ES"/>
        </w:rPr>
      </w:pPr>
      <w:r>
        <w:rPr>
          <w:rFonts w:ascii="Verdana" w:eastAsia="Century Gothic" w:hAnsi="Verdana" w:cs="Century Gothic"/>
          <w:lang w:val="es-ES"/>
        </w:rPr>
        <w:t>C</w:t>
      </w:r>
      <w:r w:rsidR="008E53E8" w:rsidRPr="122F1934">
        <w:rPr>
          <w:rFonts w:ascii="Verdana" w:eastAsia="Century Gothic" w:hAnsi="Verdana" w:cs="Century Gothic"/>
          <w:lang w:val="es-ES"/>
        </w:rPr>
        <w:t xml:space="preserve">onforme a lo dispuesto en la Circular referida, </w:t>
      </w:r>
      <w:r>
        <w:rPr>
          <w:rFonts w:ascii="Verdana" w:eastAsia="Century Gothic" w:hAnsi="Verdana" w:cs="Century Gothic"/>
          <w:lang w:val="es-ES"/>
        </w:rPr>
        <w:t>se prohíben</w:t>
      </w:r>
      <w:r w:rsidR="008E53E8" w:rsidRPr="122F1934">
        <w:rPr>
          <w:rFonts w:ascii="Verdana" w:eastAsia="Century Gothic" w:hAnsi="Verdana" w:cs="Century Gothic"/>
          <w:lang w:val="es-ES"/>
        </w:rPr>
        <w:t xml:space="preserve"> convenios interadministrativos para la ejecución de recursos públicos por los alcaldes, gobernadores, secretarios, gerentes y directores de las entidades del orden municipal, departamental o distrital, aplicará la prohibición del parágrafo del artículo 38 ibidem, independientemente de que se configure alguno de los supuestos de excepción que señaló el inciso final del artículo 33, es decir, que se trate de: i) la defensa y seguridad del Estado; </w:t>
      </w:r>
      <w:proofErr w:type="spellStart"/>
      <w:r w:rsidR="008E53E8" w:rsidRPr="122F1934">
        <w:rPr>
          <w:rFonts w:ascii="Verdana" w:eastAsia="Century Gothic" w:hAnsi="Verdana" w:cs="Century Gothic"/>
          <w:lang w:val="es-ES"/>
        </w:rPr>
        <w:t>ii</w:t>
      </w:r>
      <w:proofErr w:type="spellEnd"/>
      <w:r w:rsidR="008E53E8" w:rsidRPr="122F1934">
        <w:rPr>
          <w:rFonts w:ascii="Verdana" w:eastAsia="Century Gothic" w:hAnsi="Verdana" w:cs="Century Gothic"/>
          <w:lang w:val="es-ES"/>
        </w:rPr>
        <w:t xml:space="preserve">) los contratos de crédito público; </w:t>
      </w:r>
      <w:proofErr w:type="spellStart"/>
      <w:r w:rsidR="008E53E8" w:rsidRPr="122F1934">
        <w:rPr>
          <w:rFonts w:ascii="Verdana" w:eastAsia="Century Gothic" w:hAnsi="Verdana" w:cs="Century Gothic"/>
          <w:lang w:val="es-ES"/>
        </w:rPr>
        <w:t>iii</w:t>
      </w:r>
      <w:proofErr w:type="spellEnd"/>
      <w:r w:rsidR="008E53E8" w:rsidRPr="122F1934">
        <w:rPr>
          <w:rFonts w:ascii="Verdana" w:eastAsia="Century Gothic" w:hAnsi="Verdana" w:cs="Century Gothic"/>
          <w:lang w:val="es-ES"/>
        </w:rPr>
        <w:t xml:space="preserve">) los requeridos para cubrir las emergencias educativas, sanitarias y desastres; </w:t>
      </w:r>
      <w:proofErr w:type="spellStart"/>
      <w:r w:rsidR="008E53E8" w:rsidRPr="122F1934">
        <w:rPr>
          <w:rFonts w:ascii="Verdana" w:eastAsia="Century Gothic" w:hAnsi="Verdana" w:cs="Century Gothic"/>
          <w:lang w:val="es-ES"/>
        </w:rPr>
        <w:t>iv</w:t>
      </w:r>
      <w:proofErr w:type="spellEnd"/>
      <w:r w:rsidR="008E53E8" w:rsidRPr="122F1934">
        <w:rPr>
          <w:rFonts w:ascii="Verdana" w:eastAsia="Century Gothic" w:hAnsi="Verdana" w:cs="Century Gothic"/>
          <w:lang w:val="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2674D386" w14:textId="77777777" w:rsidR="008E53E8" w:rsidRDefault="008E53E8" w:rsidP="004337FD">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este punto, teniendo en cuenta lo señalado en el contenido de su petición, vale la pena destacar que, mediante auto de 4 de octubre del 2024, el Consejo de Estado, Subsección C de la Sección Tercera, decretó medida de suspensión provisional parcial del numeral 16.2 de la Circular Externa Única de 2022 expedida por la Agencia Nacional de Contratación Pública – Colombia Compra Eficiente, concretamente, respecto de los siguientes apartes normativos: </w:t>
      </w:r>
    </w:p>
    <w:p w14:paraId="657DFCAE" w14:textId="77777777" w:rsidR="004337FD" w:rsidRPr="00C13395" w:rsidRDefault="004337FD" w:rsidP="00294702">
      <w:pPr>
        <w:spacing w:after="0" w:line="276" w:lineRule="auto"/>
        <w:ind w:firstLine="708"/>
        <w:jc w:val="both"/>
        <w:rPr>
          <w:rFonts w:ascii="Verdana" w:eastAsia="Century Gothic" w:hAnsi="Verdana" w:cs="Century Gothic"/>
          <w:bCs/>
          <w:lang w:val="es-ES_tradnl"/>
        </w:rPr>
      </w:pPr>
    </w:p>
    <w:p w14:paraId="6AE37200" w14:textId="77777777" w:rsidR="008E53E8" w:rsidRDefault="008E53E8" w:rsidP="004337FD">
      <w:pPr>
        <w:spacing w:after="0" w:line="240" w:lineRule="auto"/>
        <w:ind w:left="709" w:right="709"/>
        <w:jc w:val="both"/>
        <w:rPr>
          <w:rFonts w:ascii="Verdana" w:eastAsia="Century Gothic" w:hAnsi="Verdana" w:cs="Century Gothic"/>
          <w:sz w:val="20"/>
          <w:szCs w:val="20"/>
          <w:lang w:val="es-ES"/>
        </w:rPr>
      </w:pPr>
      <w:r w:rsidRPr="122F1934">
        <w:rPr>
          <w:rFonts w:ascii="Verdana" w:eastAsia="Century Gothic" w:hAnsi="Verdana" w:cs="Century Gothic"/>
          <w:sz w:val="20"/>
          <w:szCs w:val="20"/>
          <w:lang w:val="es-ES"/>
        </w:rPr>
        <w:t xml:space="preserve">“i)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262B456D" w14:textId="77777777" w:rsidR="004337FD" w:rsidRPr="00C13395" w:rsidRDefault="004337FD" w:rsidP="00294702">
      <w:pPr>
        <w:spacing w:after="0" w:line="240" w:lineRule="auto"/>
        <w:ind w:left="709" w:right="709"/>
        <w:jc w:val="both"/>
        <w:rPr>
          <w:rFonts w:ascii="Verdana" w:eastAsia="Century Gothic" w:hAnsi="Verdana" w:cs="Century Gothic"/>
          <w:sz w:val="20"/>
          <w:szCs w:val="20"/>
          <w:lang w:val="es-ES"/>
        </w:rPr>
      </w:pPr>
    </w:p>
    <w:p w14:paraId="32995E4A" w14:textId="77777777" w:rsidR="008E53E8" w:rsidRPr="00C13395" w:rsidRDefault="008E53E8" w:rsidP="00294702">
      <w:pPr>
        <w:spacing w:after="0" w:line="240" w:lineRule="auto"/>
        <w:ind w:left="709" w:right="709"/>
        <w:jc w:val="both"/>
        <w:rPr>
          <w:rFonts w:ascii="Verdana" w:eastAsia="Century Gothic" w:hAnsi="Verdana" w:cs="Century Gothic"/>
          <w:sz w:val="20"/>
          <w:szCs w:val="20"/>
          <w:lang w:val="es-ES"/>
        </w:rPr>
      </w:pPr>
      <w:proofErr w:type="spellStart"/>
      <w:r w:rsidRPr="122F1934">
        <w:rPr>
          <w:rFonts w:ascii="Verdana" w:eastAsia="Century Gothic" w:hAnsi="Verdana" w:cs="Century Gothic"/>
          <w:sz w:val="20"/>
          <w:szCs w:val="20"/>
          <w:lang w:val="es-ES"/>
        </w:rPr>
        <w:t>ii</w:t>
      </w:r>
      <w:proofErr w:type="spellEnd"/>
      <w:r w:rsidRPr="122F1934">
        <w:rPr>
          <w:rFonts w:ascii="Verdana" w:eastAsia="Century Gothic" w:hAnsi="Verdana" w:cs="Century Gothic"/>
          <w:sz w:val="20"/>
          <w:szCs w:val="20"/>
          <w:lang w:val="es-ES"/>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w:t>
      </w:r>
      <w:r w:rsidRPr="122F1934">
        <w:rPr>
          <w:rFonts w:ascii="Verdana" w:eastAsia="Century Gothic" w:hAnsi="Verdana" w:cs="Century Gothic"/>
          <w:sz w:val="20"/>
          <w:szCs w:val="20"/>
          <w:lang w:val="es-ES"/>
        </w:rPr>
        <w:lastRenderedPageBreak/>
        <w:t xml:space="preserve">de contratos y/o convenios, que, para efectos de la Ley de Garantías, tienen la misma connotación y propósito’”. </w:t>
      </w:r>
    </w:p>
    <w:p w14:paraId="3C25F52D" w14:textId="77777777" w:rsidR="004337FD" w:rsidRDefault="004337FD" w:rsidP="008E53E8">
      <w:pPr>
        <w:spacing w:after="120" w:line="276" w:lineRule="auto"/>
        <w:ind w:firstLine="708"/>
        <w:jc w:val="both"/>
        <w:rPr>
          <w:rFonts w:ascii="Verdana" w:eastAsia="Century Gothic" w:hAnsi="Verdana" w:cs="Century Gothic"/>
          <w:bCs/>
          <w:lang w:val="es-ES_tradnl"/>
        </w:rPr>
      </w:pPr>
    </w:p>
    <w:p w14:paraId="40C31320" w14:textId="56029549"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conformidad con los argumentos de dicha providencia, se parte de la distinción entre los conceptos 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w:t>
      </w:r>
    </w:p>
    <w:p w14:paraId="16C18F17"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este sentido, en relación con el parágrafo del artículo 38 de la Ley 996 de 2005 concluyó que “si el legislador no diferenció al establecer la prohibición o la restricción, mal haría el reglamento en aplicar un efecto expansivo o extensivo para incluir una categoría no cobijada con la limitación, (…)”. Por tal motivo, para efectos de decretar la medida de suspensión provisional de los apartes señalados del numeral 16.2 de la Circular Externa Única, argumentó que “con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1A9B1E61" w14:textId="77777777" w:rsidR="008E53E8" w:rsidRPr="00C13395" w:rsidRDefault="008E53E8" w:rsidP="122F1934">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De igual manera, mediante auto del 6 de noviembre de 2025, el Consejo de Estado, Subsección A de la Sección Tercera, decretó 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w:t>
      </w:r>
      <w:proofErr w:type="spellStart"/>
      <w:r w:rsidRPr="122F1934">
        <w:rPr>
          <w:rFonts w:ascii="Verdana" w:eastAsia="Century Gothic" w:hAnsi="Verdana" w:cs="Century Gothic"/>
          <w:lang w:val="es-ES"/>
        </w:rPr>
        <w:t>legis</w:t>
      </w:r>
      <w:proofErr w:type="spellEnd"/>
      <w:r w:rsidRPr="122F1934">
        <w:rPr>
          <w:rFonts w:ascii="Verdana" w:eastAsia="Century Gothic" w:hAnsi="Verdana" w:cs="Century Gothic"/>
          <w:lang w:val="es-ES"/>
        </w:rPr>
        <w:t xml:space="preserve"> o iuris y la interpretación extensiva y reiteró los argumentos sobre la diferencia entre contratos y convenios interadministrativos. </w:t>
      </w:r>
    </w:p>
    <w:p w14:paraId="4BE92B7B" w14:textId="7BD20D4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Finalmente, mediante sentencia del 17 de octubre de 2025, emitida por la Sala de lo Contencioso Administrativo del Consejo de Estado, dentro del expediente 11001-03-26-000-2023-00139-00, se declaró la nulidad parcial del numeral 16.2 de la Circular Externa Única de 2022 expedida por la Agencia Nacional de Contratación Pública </w:t>
      </w:r>
      <w:r w:rsidR="007865E2">
        <w:rPr>
          <w:rFonts w:ascii="Verdana" w:eastAsia="Century Gothic" w:hAnsi="Verdana" w:cs="Century Gothic"/>
          <w:bCs/>
          <w:lang w:val="es-ES_tradnl"/>
        </w:rPr>
        <w:t>–</w:t>
      </w:r>
      <w:r w:rsidRPr="00C13395">
        <w:rPr>
          <w:rFonts w:ascii="Verdana" w:eastAsia="Century Gothic" w:hAnsi="Verdana" w:cs="Century Gothic"/>
          <w:bCs/>
          <w:lang w:val="es-ES_tradnl"/>
        </w:rPr>
        <w:t xml:space="preserve"> Colombia Compra Eficiente que indicaba: </w:t>
      </w:r>
      <w:r w:rsidRPr="00C13395">
        <w:rPr>
          <w:rFonts w:ascii="Verdana" w:eastAsia="Century Gothic" w:hAnsi="Verdana" w:cs="Century Gothic"/>
          <w:bCs/>
          <w:lang w:val="es-ES_tradnl"/>
        </w:rPr>
        <w:lastRenderedPageBreak/>
        <w:t xml:space="preserve">“Esta restricción es aplicable tanto a los convenios como a los contratos interadministrativos…”. </w:t>
      </w:r>
    </w:p>
    <w:p w14:paraId="4B35E905"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6E394EC3" w14:textId="77777777" w:rsidR="008E53E8" w:rsidRPr="00C13395" w:rsidRDefault="008E53E8" w:rsidP="008E53E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contratos interadministrativos, esta prohibición solo aplicaría a los convenios interadministrativos que impliquen la ejecución de recursos públicos .</w:t>
      </w:r>
    </w:p>
    <w:p w14:paraId="278F88E6" w14:textId="77777777" w:rsidR="008E53E8" w:rsidRDefault="008E53E8" w:rsidP="007865E2">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todo caso, es importante resaltar que la Sala de Consulta y Servicio Civil del Consejo de Estado se ha pronunciado en el sentido de que 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p>
    <w:p w14:paraId="60173024" w14:textId="77777777" w:rsidR="007865E2" w:rsidRPr="00C13395" w:rsidRDefault="007865E2" w:rsidP="00294702">
      <w:pPr>
        <w:spacing w:after="0" w:line="276" w:lineRule="auto"/>
        <w:ind w:firstLine="708"/>
        <w:jc w:val="both"/>
        <w:rPr>
          <w:rFonts w:ascii="Verdana" w:eastAsia="Century Gothic" w:hAnsi="Verdana" w:cs="Century Gothic"/>
          <w:bCs/>
          <w:lang w:val="es-ES_tradnl"/>
        </w:rPr>
      </w:pPr>
    </w:p>
    <w:p w14:paraId="01BCD7B4" w14:textId="73C3ECEB" w:rsidR="008E53E8" w:rsidRPr="00C13395" w:rsidRDefault="008E53E8" w:rsidP="008E53E8">
      <w:pPr>
        <w:spacing w:after="120" w:line="276" w:lineRule="auto"/>
        <w:jc w:val="both"/>
        <w:rPr>
          <w:rFonts w:ascii="Verdana" w:eastAsia="Century Gothic" w:hAnsi="Verdana" w:cs="Century Gothic"/>
          <w:bCs/>
          <w:lang w:val="es-ES_tradnl"/>
        </w:rPr>
      </w:pPr>
      <w:r w:rsidRPr="122F1934">
        <w:rPr>
          <w:rFonts w:ascii="Verdana" w:eastAsia="Century Gothic" w:hAnsi="Verdana" w:cs="Century Gothic"/>
          <w:lang w:val="es-ES"/>
        </w:rPr>
        <w:t>v</w:t>
      </w:r>
      <w:r w:rsidR="007865E2">
        <w:rPr>
          <w:rFonts w:ascii="Verdana" w:eastAsia="Century Gothic" w:hAnsi="Verdana" w:cs="Century Gothic"/>
          <w:lang w:val="es-ES"/>
        </w:rPr>
        <w:t>i</w:t>
      </w:r>
      <w:r w:rsidRPr="122F1934">
        <w:rPr>
          <w:rFonts w:ascii="Verdana" w:eastAsia="Century Gothic" w:hAnsi="Verdana" w:cs="Century Gothic"/>
          <w:lang w:val="es-ES"/>
        </w:rPr>
        <w:t xml:space="preserve">) </w:t>
      </w:r>
      <w:r w:rsidRPr="00C13395">
        <w:rPr>
          <w:rFonts w:ascii="Verdana" w:eastAsia="Century Gothic" w:hAnsi="Verdana" w:cs="Century Gothic"/>
          <w:bCs/>
          <w:lang w:val="es-ES_tradnl"/>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w:t>
      </w:r>
      <w:r w:rsidRPr="00C13395">
        <w:rPr>
          <w:rFonts w:ascii="Verdana" w:eastAsia="Century Gothic" w:hAnsi="Verdana" w:cs="Century Gothic"/>
          <w:bCs/>
          <w:lang w:val="es-ES_tradnl"/>
        </w:rPr>
        <w:lastRenderedPageBreak/>
        <w:t>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4ABBF1A" w14:textId="77777777" w:rsidR="008E53E8" w:rsidRPr="00C13395" w:rsidRDefault="008E53E8" w:rsidP="00294702">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1B711FA" w14:textId="25046EE7" w:rsidR="008E53E8" w:rsidRPr="00144EB3" w:rsidRDefault="008E53E8" w:rsidP="00294702">
      <w:pPr>
        <w:tabs>
          <w:tab w:val="left" w:pos="709"/>
        </w:tabs>
        <w:spacing w:after="0" w:line="276" w:lineRule="auto"/>
        <w:jc w:val="both"/>
        <w:rPr>
          <w:rFonts w:ascii="Verdana" w:eastAsia="Calibri" w:hAnsi="Verdana" w:cs="Arial"/>
          <w:bCs/>
        </w:rPr>
      </w:pPr>
      <w:r w:rsidRPr="0026138F">
        <w:rPr>
          <w:rFonts w:ascii="Verdana" w:eastAsia="Calibri" w:hAnsi="Verdana" w:cs="Arial"/>
          <w:lang w:eastAsia="es-ES"/>
        </w:rPr>
        <w:tab/>
      </w:r>
    </w:p>
    <w:bookmarkEnd w:id="1"/>
    <w:bookmarkEnd w:id="2"/>
    <w:p w14:paraId="07396383" w14:textId="77777777" w:rsidR="008E53E8" w:rsidRDefault="008E53E8" w:rsidP="00144EB3">
      <w:pPr>
        <w:spacing w:after="0" w:line="276" w:lineRule="auto"/>
        <w:jc w:val="both"/>
        <w:rPr>
          <w:rFonts w:ascii="Verdana" w:eastAsia="Century Gothic" w:hAnsi="Verdana" w:cs="Century Gothic"/>
          <w:b/>
          <w:lang w:val="es-ES"/>
        </w:rPr>
      </w:pPr>
      <w:r w:rsidRPr="00144EB3">
        <w:rPr>
          <w:rFonts w:ascii="Verdana" w:eastAsia="Century Gothic" w:hAnsi="Verdana" w:cs="Century Gothic"/>
          <w:b/>
          <w:lang w:val="es-ES"/>
        </w:rPr>
        <w:t>4. Referencias normativas, jurisprudenciales y otras fuentes:</w:t>
      </w:r>
    </w:p>
    <w:p w14:paraId="1591ED80" w14:textId="77777777" w:rsidR="00CE01E2" w:rsidRPr="00144EB3" w:rsidRDefault="00CE01E2" w:rsidP="00294702">
      <w:pPr>
        <w:spacing w:after="0" w:line="276" w:lineRule="auto"/>
        <w:jc w:val="both"/>
        <w:rPr>
          <w:rFonts w:ascii="Verdana" w:eastAsia="Century Gothic" w:hAnsi="Verdana" w:cs="Century Gothic"/>
          <w:b/>
          <w:color w:val="ED7D31" w:themeColor="accent2"/>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E53E8" w:rsidRPr="00144EB3" w14:paraId="6FF9B148" w14:textId="77777777" w:rsidTr="00517FDB">
        <w:trPr>
          <w:trHeight w:val="870"/>
        </w:trPr>
        <w:tc>
          <w:tcPr>
            <w:tcW w:w="8647" w:type="dxa"/>
          </w:tcPr>
          <w:p w14:paraId="3FAB5B34" w14:textId="77777777" w:rsidR="008E53E8" w:rsidRPr="00144EB3" w:rsidRDefault="008E53E8" w:rsidP="00294702">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Ley 9 de 1989, artículo 38.</w:t>
            </w:r>
          </w:p>
          <w:p w14:paraId="2BD69FBA" w14:textId="77777777" w:rsidR="008E53E8" w:rsidRPr="00144EB3" w:rsidRDefault="008E53E8" w:rsidP="00294702">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Ley 80 de 1993, artículos 13, 32 y 40.</w:t>
            </w:r>
          </w:p>
          <w:p w14:paraId="63BA6122" w14:textId="77777777" w:rsidR="008E53E8" w:rsidRPr="00144EB3" w:rsidRDefault="008E53E8" w:rsidP="00294702">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Ley 136 de 1994, artículo 32.</w:t>
            </w:r>
          </w:p>
          <w:p w14:paraId="002D48E5" w14:textId="77777777" w:rsidR="008E53E8" w:rsidRPr="00144EB3" w:rsidRDefault="008E53E8" w:rsidP="00294702">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 xml:space="preserve">Ley 489 de 1998, artículo 96. </w:t>
            </w:r>
          </w:p>
          <w:p w14:paraId="6452301D" w14:textId="77777777" w:rsidR="008E53E8" w:rsidRPr="00144EB3" w:rsidRDefault="008E53E8" w:rsidP="00294702">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Ley 996 de 2005, artículos 33 y 38.</w:t>
            </w:r>
          </w:p>
          <w:p w14:paraId="400CA7D9" w14:textId="77777777" w:rsidR="008E53E8" w:rsidRPr="00144EB3" w:rsidRDefault="008E53E8" w:rsidP="00294702">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Decreto 1333 de 1986, artículo 167.</w:t>
            </w:r>
          </w:p>
          <w:p w14:paraId="408FF37E" w14:textId="77777777" w:rsidR="008E53E8" w:rsidRPr="00144EB3" w:rsidRDefault="008E53E8" w:rsidP="00294702">
            <w:pPr>
              <w:numPr>
                <w:ilvl w:val="0"/>
                <w:numId w:val="16"/>
              </w:numPr>
              <w:spacing w:line="276" w:lineRule="auto"/>
              <w:jc w:val="both"/>
              <w:rPr>
                <w:rFonts w:ascii="Verdana" w:eastAsia="Calibri" w:hAnsi="Verdana" w:cs="Arial"/>
                <w:lang w:val="es-MX" w:bidi="es-ES"/>
              </w:rPr>
            </w:pPr>
            <w:r w:rsidRPr="00144EB3">
              <w:rPr>
                <w:rFonts w:ascii="Verdana" w:eastAsia="Calibri" w:hAnsi="Verdana" w:cs="Arial"/>
                <w:lang w:val="es-MX"/>
              </w:rPr>
              <w:t xml:space="preserve">Consejo de Estado. Sala de Consulta y del Servicio Civil. Concepto del 9 de octubre de 2014. </w:t>
            </w:r>
          </w:p>
          <w:p w14:paraId="6D7D036F" w14:textId="77777777" w:rsidR="008E53E8" w:rsidRPr="00144EB3" w:rsidRDefault="008E53E8" w:rsidP="00144EB3">
            <w:pPr>
              <w:widowControl w:val="0"/>
              <w:numPr>
                <w:ilvl w:val="0"/>
                <w:numId w:val="16"/>
              </w:numPr>
              <w:autoSpaceDE w:val="0"/>
              <w:autoSpaceDN w:val="0"/>
              <w:spacing w:line="276" w:lineRule="auto"/>
              <w:jc w:val="both"/>
              <w:rPr>
                <w:rFonts w:ascii="Verdana" w:eastAsia="Arial MT" w:hAnsi="Verdana" w:cs="Arial"/>
                <w:color w:val="ED7D31" w:themeColor="accent2"/>
                <w:lang w:eastAsia="es-ES" w:bidi="es-ES"/>
              </w:rPr>
            </w:pPr>
            <w:r w:rsidRPr="00144EB3">
              <w:rPr>
                <w:rFonts w:ascii="Verdana" w:eastAsia="Calibri" w:hAnsi="Verdana" w:cs="Arial"/>
              </w:rPr>
              <w:t xml:space="preserve">Consejo de Estado. Sala de lo Contencioso Administrativo. Sección Primera. Radicación número: 50001-23-31-000-2010-00548-01. 19 de septiembre de 2019. Consejera Ponente: Nubia </w:t>
            </w:r>
            <w:proofErr w:type="spellStart"/>
            <w:r w:rsidRPr="00144EB3">
              <w:rPr>
                <w:rFonts w:ascii="Verdana" w:eastAsia="Calibri" w:hAnsi="Verdana" w:cs="Arial"/>
              </w:rPr>
              <w:t>Margoth</w:t>
            </w:r>
            <w:proofErr w:type="spellEnd"/>
            <w:r w:rsidRPr="00144EB3">
              <w:rPr>
                <w:rFonts w:ascii="Verdana" w:eastAsia="Calibri" w:hAnsi="Verdana" w:cs="Arial"/>
              </w:rPr>
              <w:t xml:space="preserve"> Peña Garzón.</w:t>
            </w:r>
          </w:p>
        </w:tc>
      </w:tr>
    </w:tbl>
    <w:p w14:paraId="59131004" w14:textId="77777777" w:rsidR="008E53E8" w:rsidRPr="00144EB3" w:rsidRDefault="008E53E8" w:rsidP="00144EB3">
      <w:pPr>
        <w:widowControl w:val="0"/>
        <w:autoSpaceDE w:val="0"/>
        <w:autoSpaceDN w:val="0"/>
        <w:spacing w:after="0" w:line="276" w:lineRule="auto"/>
        <w:jc w:val="both"/>
        <w:rPr>
          <w:rFonts w:ascii="Verdana" w:hAnsi="Verdana" w:cs="Arial"/>
          <w:color w:val="ED7D31" w:themeColor="accent2"/>
          <w:lang w:val="es-ES"/>
        </w:rPr>
      </w:pPr>
    </w:p>
    <w:p w14:paraId="4B5A42D8" w14:textId="77777777" w:rsidR="008E53E8" w:rsidRPr="00144EB3" w:rsidRDefault="008E53E8" w:rsidP="00144EB3">
      <w:pPr>
        <w:spacing w:after="0" w:line="276" w:lineRule="auto"/>
        <w:jc w:val="both"/>
        <w:rPr>
          <w:rFonts w:ascii="Verdana" w:eastAsia="Aptos" w:hAnsi="Verdana" w:cs="Arial"/>
          <w:b/>
          <w:bCs/>
          <w:shd w:val="clear" w:color="auto" w:fill="FFFFFF"/>
        </w:rPr>
      </w:pPr>
    </w:p>
    <w:p w14:paraId="60C326B1" w14:textId="77777777" w:rsidR="008E53E8" w:rsidRPr="00144EB3" w:rsidRDefault="008E53E8" w:rsidP="00144EB3">
      <w:pPr>
        <w:spacing w:after="0" w:line="276" w:lineRule="auto"/>
        <w:jc w:val="both"/>
        <w:rPr>
          <w:rFonts w:ascii="Verdana" w:eastAsia="Aptos" w:hAnsi="Verdana" w:cs="Arial"/>
          <w:b/>
          <w:bCs/>
          <w:shd w:val="clear" w:color="auto" w:fill="FFFFFF"/>
        </w:rPr>
      </w:pPr>
      <w:r w:rsidRPr="00144EB3">
        <w:rPr>
          <w:rFonts w:ascii="Verdana" w:eastAsia="Aptos" w:hAnsi="Verdana" w:cs="Arial"/>
          <w:b/>
          <w:bCs/>
          <w:shd w:val="clear" w:color="auto" w:fill="FFFFFF"/>
        </w:rPr>
        <w:t xml:space="preserve">5. Doctrina de la Agencia Nacional de Contratación Pública: </w:t>
      </w:r>
    </w:p>
    <w:p w14:paraId="39B0466B" w14:textId="77777777" w:rsidR="008E53E8" w:rsidRPr="00144EB3" w:rsidRDefault="008E53E8" w:rsidP="00144EB3">
      <w:pPr>
        <w:spacing w:after="0" w:line="276" w:lineRule="auto"/>
        <w:jc w:val="both"/>
        <w:rPr>
          <w:rFonts w:ascii="Verdana" w:eastAsia="Aptos" w:hAnsi="Verdana" w:cs="Arial"/>
          <w:b/>
          <w:bCs/>
          <w:shd w:val="clear" w:color="auto" w:fill="FFFFFF"/>
        </w:rPr>
      </w:pPr>
    </w:p>
    <w:p w14:paraId="3A8A42D9" w14:textId="77777777" w:rsidR="008E53E8" w:rsidRPr="00144EB3" w:rsidRDefault="008E53E8" w:rsidP="00144EB3">
      <w:pPr>
        <w:spacing w:after="0" w:line="276" w:lineRule="auto"/>
        <w:jc w:val="both"/>
        <w:rPr>
          <w:rFonts w:ascii="Verdana" w:eastAsia="Aptos" w:hAnsi="Verdana" w:cs="Arial"/>
          <w:shd w:val="clear" w:color="auto" w:fill="FFFFFF"/>
        </w:rPr>
      </w:pPr>
      <w:r w:rsidRPr="00144EB3">
        <w:rPr>
          <w:rFonts w:ascii="Verdana" w:hAnsi="Verdana" w:cs="Arial"/>
          <w:bCs/>
          <w:shd w:val="clear" w:color="auto" w:fill="FFFFFF"/>
        </w:rPr>
        <w:t xml:space="preserve">La Agencia Nacional de Contratación Pública – Colombia Compra Eficiente ha expedido </w:t>
      </w:r>
      <w:r w:rsidRPr="00144EB3">
        <w:rPr>
          <w:rFonts w:ascii="Verdana" w:eastAsia="Calibri" w:hAnsi="Verdana" w:cs="Arial"/>
          <w:lang w:val="es-ES_tradnl"/>
        </w:rPr>
        <w:t>conceptos sobre</w:t>
      </w:r>
      <w:r w:rsidRPr="00144EB3">
        <w:rPr>
          <w:rFonts w:ascii="Verdana" w:eastAsia="Aptos" w:hAnsi="Verdana" w:cs="Arial"/>
          <w:shd w:val="clear" w:color="auto" w:fill="FFFFFF"/>
        </w:rPr>
        <w:t xml:space="preserve"> </w:t>
      </w:r>
      <w:r w:rsidRPr="00144EB3">
        <w:rPr>
          <w:rFonts w:ascii="Verdana" w:eastAsia="Calibri" w:hAnsi="Verdana" w:cs="Arial"/>
          <w:shd w:val="clear" w:color="auto" w:fill="FFFFFF"/>
        </w:rPr>
        <w:t xml:space="preserve"> la finalidad y propósito de la Ley de Garantías Electorales, la ANCP- CCE se ha pronunciado en los Conceptos </w:t>
      </w:r>
      <w:r w:rsidRPr="00144EB3">
        <w:rPr>
          <w:rFonts w:ascii="Verdana" w:eastAsia="Calibri" w:hAnsi="Verdana" w:cs="Arial"/>
          <w:shd w:val="clear" w:color="auto" w:fill="FFFFFF"/>
        </w:rPr>
        <w:lastRenderedPageBreak/>
        <w:t>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C-1512 del 27 de octubre de 2025, C-1488 del 30 de octubre de 2025, C-1596 del 6 de noviembre de 2025, entre otros</w:t>
      </w:r>
      <w:r w:rsidRPr="00144EB3">
        <w:rPr>
          <w:rFonts w:ascii="Verdana" w:eastAsia="Aptos" w:hAnsi="Verdana" w:cs="Arial"/>
          <w:shd w:val="clear" w:color="auto" w:fill="FFFFFF"/>
          <w:lang w:val="es-ES"/>
        </w:rPr>
        <w:t xml:space="preserve">. </w:t>
      </w:r>
    </w:p>
    <w:p w14:paraId="65335FB6" w14:textId="77777777" w:rsidR="008E53E8" w:rsidRPr="00144EB3" w:rsidRDefault="008E53E8" w:rsidP="00144EB3">
      <w:pPr>
        <w:spacing w:after="0" w:line="276" w:lineRule="auto"/>
        <w:jc w:val="both"/>
        <w:rPr>
          <w:rFonts w:ascii="Verdana" w:hAnsi="Verdana"/>
          <w:lang w:val="es-ES"/>
        </w:rPr>
      </w:pPr>
      <w:r w:rsidRPr="00144EB3">
        <w:rPr>
          <w:rFonts w:ascii="Verdana" w:hAnsi="Verdana" w:cs="Arial"/>
          <w:shd w:val="clear" w:color="auto" w:fill="FFFFFF"/>
          <w:lang w:val="es-ES"/>
        </w:rPr>
        <w:t>Estos</w:t>
      </w:r>
      <w:r w:rsidRPr="00144EB3">
        <w:rPr>
          <w:rFonts w:ascii="Verdana" w:hAnsi="Verdana"/>
          <w:lang w:val="es-ES"/>
        </w:rPr>
        <w:t xml:space="preserve"> y otros se encuentran disponibles para consulta en el Sistema de relatoría de la Agencia, al cual se puede acceder a través del siguiente enlace:</w:t>
      </w:r>
      <w:r w:rsidRPr="00144EB3">
        <w:rPr>
          <w:rFonts w:ascii="Verdana" w:hAnsi="Verdana" w:cs="Arial"/>
          <w:shd w:val="clear" w:color="auto" w:fill="FFFFFF"/>
          <w:lang w:val="es-ES"/>
        </w:rPr>
        <w:t xml:space="preserve"> </w:t>
      </w:r>
      <w:hyperlink r:id="rId12" w:history="1">
        <w:r w:rsidRPr="00144EB3">
          <w:rPr>
            <w:rStyle w:val="Hipervnculo"/>
            <w:rFonts w:ascii="Verdana" w:hAnsi="Verdana" w:cs="Arial"/>
            <w:shd w:val="clear" w:color="auto" w:fill="FFFFFF"/>
            <w:lang w:val="es-ES"/>
          </w:rPr>
          <w:t>https://relatoria.colombiacompra.gov.co/busqueda/conceptos</w:t>
        </w:r>
      </w:hyperlink>
    </w:p>
    <w:p w14:paraId="7EEBC3FF" w14:textId="77777777" w:rsidR="008E53E8" w:rsidRPr="00144EB3" w:rsidRDefault="008E53E8" w:rsidP="00144EB3">
      <w:pPr>
        <w:spacing w:after="0" w:line="276" w:lineRule="auto"/>
        <w:jc w:val="both"/>
        <w:rPr>
          <w:rFonts w:ascii="Verdana" w:hAnsi="Verdana" w:cs="Arial"/>
          <w:shd w:val="clear" w:color="auto" w:fill="FFFFFF"/>
          <w:lang w:val="es-ES"/>
        </w:rPr>
      </w:pPr>
    </w:p>
    <w:p w14:paraId="35CB09A5" w14:textId="77777777" w:rsidR="008E53E8" w:rsidRPr="00144EB3" w:rsidRDefault="008E53E8" w:rsidP="00144EB3">
      <w:pPr>
        <w:spacing w:after="0" w:line="276" w:lineRule="auto"/>
        <w:jc w:val="both"/>
        <w:rPr>
          <w:rFonts w:ascii="Verdana" w:eastAsia="Calibri" w:hAnsi="Verdana" w:cs="Arial"/>
        </w:rPr>
      </w:pPr>
      <w:r w:rsidRPr="00144EB3">
        <w:rPr>
          <w:rFonts w:ascii="Verdana" w:eastAsia="Calibri" w:hAnsi="Verdana" w:cs="Arial"/>
        </w:rPr>
        <w:t xml:space="preserve">La sostenibilidad no es una opción, es una obligación. Por ello, la Agencia Nacional de Contratación Pública –Colombia Compra Eficiente– te invita a realizar el </w:t>
      </w:r>
      <w:r w:rsidRPr="00144EB3">
        <w:rPr>
          <w:rFonts w:ascii="Verdana" w:eastAsia="Calibri" w:hAnsi="Verdana" w:cs="Arial"/>
          <w:b/>
          <w:bCs/>
        </w:rPr>
        <w:t>Curso de Contratación Pública Sostenible y Socialmente Responsable</w:t>
      </w:r>
      <w:r w:rsidRPr="00144EB3">
        <w:rPr>
          <w:rFonts w:ascii="Verdana" w:eastAsia="Calibri"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44EB3">
        <w:rPr>
          <w:rFonts w:ascii="Verdana" w:eastAsia="Calibri" w:hAnsi="Verdana" w:cs="Arial"/>
        </w:rPr>
        <w:br/>
      </w:r>
      <w:hyperlink r:id="rId13" w:tgtFrame="_new" w:history="1">
        <w:r w:rsidRPr="00144EB3">
          <w:rPr>
            <w:rFonts w:ascii="Verdana" w:eastAsia="Calibri" w:hAnsi="Verdana" w:cs="Arial"/>
            <w:color w:val="0000FF"/>
            <w:u w:val="single"/>
          </w:rPr>
          <w:t>https://formacionvirtual.colombiacompra.gov.co/mod/page/view.php?id=3718</w:t>
        </w:r>
      </w:hyperlink>
    </w:p>
    <w:p w14:paraId="7E2B0F1E" w14:textId="77777777" w:rsidR="00144EB3" w:rsidRDefault="00144EB3" w:rsidP="00144EB3">
      <w:pPr>
        <w:spacing w:after="0" w:line="276" w:lineRule="auto"/>
        <w:jc w:val="both"/>
        <w:rPr>
          <w:rFonts w:ascii="Verdana" w:eastAsia="Calibri" w:hAnsi="Verdana" w:cs="Arial"/>
        </w:rPr>
      </w:pPr>
    </w:p>
    <w:p w14:paraId="493DCA18" w14:textId="7793DA4F" w:rsidR="008E53E8" w:rsidRPr="00144EB3" w:rsidRDefault="008E53E8" w:rsidP="00144EB3">
      <w:pPr>
        <w:spacing w:after="0" w:line="276" w:lineRule="auto"/>
        <w:jc w:val="both"/>
        <w:rPr>
          <w:rFonts w:ascii="Verdana" w:eastAsia="Calibri" w:hAnsi="Verdana" w:cs="Arial"/>
        </w:rPr>
      </w:pPr>
      <w:r w:rsidRPr="00144EB3">
        <w:rPr>
          <w:rFonts w:ascii="Verdana" w:eastAsia="Calibri" w:hAnsi="Verdana" w:cs="Arial"/>
        </w:rPr>
        <w:t xml:space="preserve">De otro lado, te contamos que esta Agencia ha da un paso decisivo en la estandarización y modernización del </w:t>
      </w:r>
      <w:r w:rsidRPr="00144EB3">
        <w:rPr>
          <w:rFonts w:ascii="Verdana" w:eastAsia="Calibri" w:hAnsi="Verdana" w:cs="Arial"/>
          <w:b/>
          <w:bCs/>
        </w:rPr>
        <w:t>sector  social</w:t>
      </w:r>
      <w:r w:rsidRPr="00144EB3">
        <w:rPr>
          <w:rFonts w:ascii="Verdana" w:eastAsia="Calibri" w:hAnsi="Verdana" w:cs="Arial"/>
        </w:rPr>
        <w:t xml:space="preserve"> con la expedición de las </w:t>
      </w:r>
      <w:r w:rsidRPr="00144EB3">
        <w:rPr>
          <w:rFonts w:ascii="Verdana" w:eastAsia="Calibri" w:hAnsi="Verdana" w:cs="Arial"/>
          <w:b/>
          <w:bCs/>
        </w:rPr>
        <w:t>Resoluciones 539, 540, 541, 952 y 953 de 2025</w:t>
      </w:r>
      <w:r w:rsidRPr="00144EB3">
        <w:rPr>
          <w:rFonts w:ascii="Verdana" w:eastAsia="Calibri" w:hAnsi="Verdana" w:cs="Arial"/>
        </w:rPr>
        <w:t xml:space="preserve">, </w:t>
      </w:r>
      <w:r w:rsidRPr="00144EB3">
        <w:rPr>
          <w:rFonts w:ascii="Verdana" w:eastAsia="Calibri" w:hAnsi="Verdana" w:cs="Arial"/>
          <w:b/>
          <w:bCs/>
        </w:rPr>
        <w:t>mediante las cuales adoptó Documentos Tipo</w:t>
      </w:r>
      <w:r w:rsidRPr="00144EB3">
        <w:rPr>
          <w:rFonts w:ascii="Verdana" w:eastAsia="Calibri" w:hAnsi="Verdana" w:cs="Arial"/>
        </w:rPr>
        <w:t xml:space="preserve"> para las modalidades de selección de</w:t>
      </w:r>
      <w:r w:rsidRPr="00144EB3">
        <w:rPr>
          <w:rFonts w:ascii="Verdana" w:eastAsia="Calibri" w:hAnsi="Verdana" w:cs="Arial"/>
          <w:b/>
          <w:bCs/>
        </w:rPr>
        <w:t xml:space="preserve"> licitación pública (versión 2), selección abreviada de menor cuantía, mínima </w:t>
      </w:r>
      <w:r w:rsidRPr="00144EB3">
        <w:rPr>
          <w:rFonts w:ascii="Verdana" w:eastAsia="Calibri" w:hAnsi="Verdana" w:cs="Arial"/>
          <w:b/>
          <w:bCs/>
        </w:rPr>
        <w:lastRenderedPageBreak/>
        <w:t>cuantía, consultoría e interventoría</w:t>
      </w:r>
      <w:r w:rsidRPr="00144EB3">
        <w:rPr>
          <w:rFonts w:ascii="Verdana" w:eastAsia="Calibri"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144EB3">
          <w:rPr>
            <w:rFonts w:ascii="Verdana" w:eastAsia="Calibri" w:hAnsi="Verdana" w:cs="Arial"/>
            <w:color w:val="0000FF"/>
            <w:u w:val="single"/>
          </w:rPr>
          <w:t>https://www.colombiacompra.gov.co/normativa-y-relatoria/documentos-tipo</w:t>
        </w:r>
      </w:hyperlink>
    </w:p>
    <w:p w14:paraId="627EDBAD" w14:textId="77777777" w:rsidR="008E53E8" w:rsidRPr="00144EB3" w:rsidRDefault="008E53E8" w:rsidP="00144EB3">
      <w:pPr>
        <w:spacing w:after="0" w:line="276" w:lineRule="auto"/>
        <w:jc w:val="both"/>
        <w:rPr>
          <w:rFonts w:ascii="Verdana" w:eastAsia="Calibri" w:hAnsi="Verdana" w:cs="Arial"/>
        </w:rPr>
      </w:pPr>
    </w:p>
    <w:p w14:paraId="37BE5756" w14:textId="77777777" w:rsidR="008E53E8" w:rsidRPr="00144EB3" w:rsidRDefault="008E53E8" w:rsidP="00144EB3">
      <w:pPr>
        <w:spacing w:after="0" w:line="276" w:lineRule="auto"/>
        <w:jc w:val="both"/>
        <w:rPr>
          <w:rFonts w:ascii="Verdana" w:eastAsia="Calibri" w:hAnsi="Verdana" w:cs="Arial"/>
        </w:rPr>
      </w:pPr>
      <w:r w:rsidRPr="00144EB3">
        <w:rPr>
          <w:rFonts w:ascii="Verdana" w:eastAsia="Calibri" w:hAnsi="Verdana" w:cs="Arial"/>
        </w:rPr>
        <w:t xml:space="preserve">Si quieres conocer más sobre la aplicación de Documentos Tipo puedes consultar la última versión de la </w:t>
      </w:r>
      <w:r w:rsidRPr="00144EB3">
        <w:rPr>
          <w:rFonts w:ascii="Verdana" w:eastAsia="Calibri" w:hAnsi="Verdana" w:cs="Arial"/>
          <w:b/>
          <w:bCs/>
        </w:rPr>
        <w:t>Guía para la comprensión e implementación de los Documentos Tipo de obra pública de infraestructura de transporte</w:t>
      </w:r>
      <w:r w:rsidRPr="00144EB3">
        <w:rPr>
          <w:rFonts w:ascii="Verdana" w:eastAsia="Calibri"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44EB3">
        <w:rPr>
          <w:rFonts w:ascii="Verdana" w:eastAsia="Calibri" w:hAnsi="Verdana" w:cs="Arial"/>
        </w:rPr>
        <w:br/>
      </w:r>
      <w:hyperlink r:id="rId15" w:tgtFrame="_new" w:history="1">
        <w:r w:rsidRPr="00144EB3">
          <w:rPr>
            <w:rFonts w:ascii="Verdana" w:eastAsia="Calibri" w:hAnsi="Verdana" w:cs="Arial"/>
            <w:color w:val="0000FF"/>
            <w:u w:val="single"/>
          </w:rPr>
          <w:t>https://www.colombiacompra.gov.co/archivos/manual/guia-para-la-comprension-e-implementacion-de-los-documentos-tipo-de-obra-publica-de-infraestructura-de-transporte-bajo-las-diferentes-modalidades-de-contratacion-vigentes</w:t>
        </w:r>
      </w:hyperlink>
    </w:p>
    <w:p w14:paraId="1C294FC4" w14:textId="77777777" w:rsidR="008E53E8" w:rsidRPr="00144EB3" w:rsidRDefault="008E53E8" w:rsidP="00144EB3">
      <w:pPr>
        <w:spacing w:after="0" w:line="276" w:lineRule="auto"/>
        <w:jc w:val="both"/>
        <w:rPr>
          <w:rFonts w:ascii="Verdana" w:eastAsia="Calibri" w:hAnsi="Verdana" w:cs="Arial"/>
        </w:rPr>
      </w:pPr>
      <w:r w:rsidRPr="00144EB3">
        <w:rPr>
          <w:rFonts w:ascii="Verdana" w:eastAsia="Calibri" w:hAnsi="Verdana" w:cs="Arial"/>
          <w:shd w:val="clear" w:color="auto" w:fill="FFFFFF"/>
        </w:rPr>
        <w:t xml:space="preserve">Por último, lo invitamos a seguirnos en las redes sociales en las cuales se difunde información institucional: </w:t>
      </w:r>
    </w:p>
    <w:p w14:paraId="77E5DDA7" w14:textId="77777777" w:rsidR="008E53E8" w:rsidRPr="00144EB3" w:rsidRDefault="008E53E8" w:rsidP="00144EB3">
      <w:pPr>
        <w:spacing w:after="0" w:line="276" w:lineRule="auto"/>
        <w:jc w:val="both"/>
        <w:rPr>
          <w:rFonts w:ascii="Verdana" w:eastAsia="Calibri" w:hAnsi="Verdana" w:cs="Arial"/>
          <w:shd w:val="clear" w:color="auto" w:fill="FFFFFF"/>
        </w:rPr>
      </w:pPr>
    </w:p>
    <w:p w14:paraId="48754C80" w14:textId="77777777" w:rsidR="008E53E8" w:rsidRPr="00144EB3" w:rsidRDefault="008E53E8" w:rsidP="00144EB3">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Twitter: </w:t>
      </w:r>
      <w:r w:rsidRPr="00144EB3">
        <w:rPr>
          <w:rFonts w:ascii="Verdana" w:eastAsia="Calibri" w:hAnsi="Verdana" w:cs="Arial"/>
          <w:color w:val="0000FF"/>
          <w:u w:val="single"/>
          <w:lang w:val="es-ES"/>
        </w:rPr>
        <w:t xml:space="preserve">@colombiacompra </w:t>
      </w:r>
    </w:p>
    <w:p w14:paraId="570495A7" w14:textId="77777777" w:rsidR="008E53E8" w:rsidRPr="00144EB3" w:rsidRDefault="008E53E8" w:rsidP="00144EB3">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Facebook:</w:t>
      </w:r>
      <w:r w:rsidRPr="00144EB3">
        <w:rPr>
          <w:rFonts w:ascii="Verdana" w:eastAsia="Calibri" w:hAnsi="Verdana" w:cs="Arial"/>
          <w:color w:val="0000FF"/>
          <w:u w:val="single"/>
          <w:lang w:val="es-ES"/>
        </w:rPr>
        <w:t xml:space="preserve"> </w:t>
      </w:r>
      <w:proofErr w:type="spellStart"/>
      <w:r w:rsidRPr="00144EB3">
        <w:rPr>
          <w:rFonts w:ascii="Verdana" w:eastAsia="Calibri" w:hAnsi="Verdana" w:cs="Arial"/>
          <w:color w:val="0000FF"/>
          <w:u w:val="single"/>
          <w:lang w:val="es-ES"/>
        </w:rPr>
        <w:t>ColombiaCompraEficiente</w:t>
      </w:r>
      <w:proofErr w:type="spellEnd"/>
    </w:p>
    <w:p w14:paraId="65EE08A0" w14:textId="77777777" w:rsidR="008E53E8" w:rsidRPr="00144EB3" w:rsidRDefault="008E53E8" w:rsidP="00144EB3">
      <w:pPr>
        <w:spacing w:after="0" w:line="276" w:lineRule="auto"/>
        <w:jc w:val="both"/>
        <w:rPr>
          <w:rFonts w:ascii="Verdana" w:eastAsia="Calibri" w:hAnsi="Verdana" w:cs="Arial"/>
          <w:color w:val="0000FF"/>
          <w:shd w:val="clear" w:color="auto" w:fill="FFFFFF"/>
        </w:rPr>
      </w:pPr>
      <w:r w:rsidRPr="00144EB3">
        <w:rPr>
          <w:rFonts w:ascii="Verdana" w:eastAsia="Calibri" w:hAnsi="Verdana" w:cs="Arial"/>
          <w:shd w:val="clear" w:color="auto" w:fill="FFFFFF"/>
        </w:rPr>
        <w:t xml:space="preserve">LinkedIn: </w:t>
      </w:r>
      <w:r w:rsidRPr="00144EB3">
        <w:rPr>
          <w:rFonts w:ascii="Verdana" w:eastAsia="Calibri" w:hAnsi="Verdana" w:cs="Arial"/>
          <w:color w:val="0000FF"/>
          <w:u w:val="single"/>
          <w:lang w:val="es-ES"/>
        </w:rPr>
        <w:t>Agencia Nacional de Contratación Pública - Colombia Compra Eficiente</w:t>
      </w:r>
      <w:r w:rsidRPr="00144EB3">
        <w:rPr>
          <w:rFonts w:ascii="Verdana" w:eastAsia="Calibri" w:hAnsi="Verdana" w:cs="Arial"/>
          <w:color w:val="0000FF"/>
          <w:shd w:val="clear" w:color="auto" w:fill="FFFFFF"/>
        </w:rPr>
        <w:t xml:space="preserve"> </w:t>
      </w:r>
    </w:p>
    <w:p w14:paraId="77CDBD9C" w14:textId="77777777" w:rsidR="008E53E8" w:rsidRPr="00144EB3" w:rsidRDefault="008E53E8" w:rsidP="00144EB3">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Instagram: </w:t>
      </w:r>
      <w:r w:rsidRPr="00144EB3">
        <w:rPr>
          <w:rFonts w:ascii="Verdana" w:eastAsia="Calibri" w:hAnsi="Verdana" w:cs="Arial"/>
          <w:color w:val="0000FF"/>
          <w:u w:val="single"/>
          <w:lang w:val="es-ES"/>
        </w:rPr>
        <w:t>@colombiacompraeficiente_cce</w:t>
      </w:r>
    </w:p>
    <w:p w14:paraId="2AF0018F" w14:textId="77777777" w:rsidR="008E53E8" w:rsidRPr="00144EB3" w:rsidRDefault="008E53E8" w:rsidP="00144EB3">
      <w:pPr>
        <w:widowControl w:val="0"/>
        <w:autoSpaceDE w:val="0"/>
        <w:autoSpaceDN w:val="0"/>
        <w:spacing w:after="0" w:line="276" w:lineRule="auto"/>
        <w:jc w:val="both"/>
        <w:rPr>
          <w:rFonts w:ascii="Verdana" w:eastAsia="Calibri" w:hAnsi="Verdana" w:cs="Arial"/>
          <w:lang w:val="es-ES"/>
        </w:rPr>
      </w:pPr>
    </w:p>
    <w:p w14:paraId="54789667" w14:textId="77777777" w:rsidR="008E53E8" w:rsidRPr="00144EB3" w:rsidRDefault="008E53E8" w:rsidP="00144EB3">
      <w:pPr>
        <w:widowControl w:val="0"/>
        <w:autoSpaceDE w:val="0"/>
        <w:autoSpaceDN w:val="0"/>
        <w:spacing w:after="0" w:line="276" w:lineRule="auto"/>
        <w:jc w:val="both"/>
        <w:rPr>
          <w:rFonts w:ascii="Verdana" w:eastAsia="Calibri" w:hAnsi="Verdana" w:cs="Arial"/>
          <w:lang w:val="es-ES"/>
        </w:rPr>
      </w:pPr>
      <w:r w:rsidRPr="00144EB3">
        <w:rPr>
          <w:rFonts w:ascii="Verdana" w:eastAsia="Calibri"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12EC3E3" w14:textId="77777777" w:rsidR="008E53E8" w:rsidRPr="00144EB3" w:rsidRDefault="008E53E8" w:rsidP="00144EB3">
      <w:pPr>
        <w:spacing w:after="0" w:line="276" w:lineRule="auto"/>
        <w:jc w:val="both"/>
        <w:rPr>
          <w:rFonts w:ascii="Verdana" w:eastAsia="Verdana" w:hAnsi="Verdana" w:cs="Verdana"/>
        </w:rPr>
      </w:pPr>
    </w:p>
    <w:p w14:paraId="6A1DA677" w14:textId="77777777" w:rsidR="008E53E8" w:rsidRPr="00144EB3" w:rsidRDefault="008E53E8" w:rsidP="00144EB3">
      <w:pPr>
        <w:spacing w:after="0" w:line="276" w:lineRule="auto"/>
        <w:rPr>
          <w:rFonts w:ascii="Verdana" w:eastAsia="Verdana" w:hAnsi="Verdana" w:cs="Verdana"/>
        </w:rPr>
      </w:pPr>
      <w:r w:rsidRPr="00144EB3">
        <w:rPr>
          <w:rFonts w:ascii="Verdana" w:eastAsia="Verdana" w:hAnsi="Verdana" w:cs="Verdana"/>
        </w:rPr>
        <w:t xml:space="preserve">Evalúa el servicio que ofrece la Agencia por el canal de atención de PQRSD en el siguiente enlace: </w:t>
      </w:r>
      <w:hyperlink r:id="rId16" w:history="1">
        <w:r w:rsidRPr="00144EB3">
          <w:rPr>
            <w:rFonts w:ascii="Verdana" w:eastAsia="Verdana" w:hAnsi="Verdana" w:cs="Verdana"/>
            <w:color w:val="0000FF"/>
            <w:u w:val="single"/>
          </w:rPr>
          <w:t>https://forms.office.com/r/pPHyWVs2SZ</w:t>
        </w:r>
      </w:hyperlink>
      <w:r w:rsidRPr="00144EB3">
        <w:rPr>
          <w:rFonts w:ascii="Verdana" w:eastAsia="Verdana" w:hAnsi="Verdana" w:cs="Verdana"/>
        </w:rPr>
        <w:t xml:space="preserve"> .¡Ayúdanos a mejorar porque el compromiso es de todos!</w:t>
      </w:r>
    </w:p>
    <w:p w14:paraId="0E881C9E" w14:textId="77777777" w:rsidR="008E53E8" w:rsidRPr="00144EB3" w:rsidRDefault="008E53E8" w:rsidP="00144EB3">
      <w:pPr>
        <w:spacing w:after="0" w:line="276" w:lineRule="auto"/>
        <w:rPr>
          <w:rFonts w:ascii="Verdana" w:eastAsia="Verdana" w:hAnsi="Verdana" w:cs="Verdana"/>
        </w:rPr>
      </w:pPr>
    </w:p>
    <w:p w14:paraId="16BE96C4" w14:textId="77777777" w:rsidR="008E53E8" w:rsidRPr="00144EB3" w:rsidRDefault="008E53E8" w:rsidP="00144EB3">
      <w:pPr>
        <w:spacing w:after="0" w:line="276" w:lineRule="auto"/>
        <w:jc w:val="both"/>
        <w:rPr>
          <w:rFonts w:ascii="Verdana" w:eastAsia="Verdana" w:hAnsi="Verdana" w:cs="Verdana"/>
          <w:lang w:val="es-MX"/>
        </w:rPr>
      </w:pPr>
      <w:r w:rsidRPr="00144EB3">
        <w:rPr>
          <w:rFonts w:ascii="Verdana" w:eastAsia="Verdana" w:hAnsi="Verdana" w:cs="Verdana"/>
          <w:lang w:val="es-MX"/>
        </w:rPr>
        <w:t xml:space="preserve">Cordialmente, </w:t>
      </w:r>
    </w:p>
    <w:p w14:paraId="53827E48" w14:textId="1CE5360C" w:rsidR="008E53E8" w:rsidRPr="00182F6A" w:rsidRDefault="00F42C1A" w:rsidP="00F42C1A">
      <w:pPr>
        <w:spacing w:after="120" w:line="276" w:lineRule="auto"/>
        <w:contextualSpacing/>
        <w:jc w:val="center"/>
        <w:rPr>
          <w:rFonts w:ascii="Verdana" w:eastAsia="Aptos" w:hAnsi="Verdana" w:cs="Arial"/>
          <w:shd w:val="clear" w:color="auto" w:fill="FFFFFF"/>
          <w:lang w:val="es-ES"/>
        </w:rPr>
      </w:pPr>
      <w:r>
        <w:rPr>
          <w:noProof/>
        </w:rPr>
        <w:lastRenderedPageBreak/>
        <w:drawing>
          <wp:inline distT="0" distB="0" distL="0" distR="0" wp14:anchorId="351385DD" wp14:editId="49034C1F">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p w14:paraId="5033601B" w14:textId="77777777" w:rsidR="008E53E8" w:rsidRPr="00182F6A" w:rsidRDefault="008E53E8" w:rsidP="008E53E8">
      <w:pPr>
        <w:spacing w:after="120" w:line="276" w:lineRule="auto"/>
        <w:contextualSpacing/>
        <w:jc w:val="both"/>
        <w:rPr>
          <w:rFonts w:ascii="Verdana" w:eastAsia="Aptos" w:hAnsi="Verdana" w:cs="Arial"/>
          <w:shd w:val="clear" w:color="auto" w:fill="FFFFFF"/>
          <w:lang w:val="es-ES"/>
        </w:rPr>
      </w:pPr>
    </w:p>
    <w:p w14:paraId="5DFABE61" w14:textId="77777777" w:rsidR="008E53E8" w:rsidRDefault="008E53E8" w:rsidP="008E53E8">
      <w:pPr>
        <w:spacing w:after="0" w:line="276" w:lineRule="auto"/>
        <w:jc w:val="center"/>
        <w:rPr>
          <w:rFonts w:ascii="Verdana" w:hAnsi="Verdana" w:cs="Arial"/>
          <w:lang w:val="es-ES" w:eastAsia="es-CO"/>
        </w:rPr>
      </w:pPr>
    </w:p>
    <w:p w14:paraId="77666F85" w14:textId="77777777" w:rsidR="008E53E8" w:rsidRPr="008278B1" w:rsidRDefault="008E53E8" w:rsidP="008E53E8">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E53E8" w:rsidRPr="008278B1" w14:paraId="15BF7DC3" w14:textId="77777777" w:rsidTr="00517FDB">
        <w:trPr>
          <w:trHeight w:val="315"/>
        </w:trPr>
        <w:tc>
          <w:tcPr>
            <w:tcW w:w="893" w:type="dxa"/>
            <w:vAlign w:val="center"/>
            <w:hideMark/>
          </w:tcPr>
          <w:p w14:paraId="2FD12AD1" w14:textId="77777777" w:rsidR="008E53E8" w:rsidRPr="008278B1" w:rsidRDefault="008E53E8" w:rsidP="00517FDB">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664642E" w14:textId="77777777" w:rsidR="008E53E8" w:rsidRPr="00860461" w:rsidRDefault="008E53E8" w:rsidP="00517FDB">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5463DA6E" w14:textId="77777777" w:rsidR="008E53E8" w:rsidRPr="00860461" w:rsidRDefault="008E53E8" w:rsidP="00517FDB">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8E53E8" w:rsidRPr="00F84F36" w14:paraId="1147CC7D" w14:textId="77777777" w:rsidTr="00517FDB">
        <w:trPr>
          <w:trHeight w:val="330"/>
        </w:trPr>
        <w:tc>
          <w:tcPr>
            <w:tcW w:w="893" w:type="dxa"/>
            <w:vAlign w:val="center"/>
            <w:hideMark/>
          </w:tcPr>
          <w:p w14:paraId="6E486679" w14:textId="77777777" w:rsidR="008E53E8" w:rsidRPr="0025661F" w:rsidRDefault="008E53E8" w:rsidP="00517FDB">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A90187B" w14:textId="77777777" w:rsidR="008E53E8" w:rsidRPr="00D62D2E" w:rsidRDefault="008E53E8" w:rsidP="00517FDB">
            <w:pPr>
              <w:rPr>
                <w:rFonts w:ascii="Verdana" w:eastAsia="Times New Roman" w:hAnsi="Verdana" w:cs="Arial"/>
                <w:color w:val="000000" w:themeColor="text1"/>
                <w:sz w:val="16"/>
                <w:szCs w:val="16"/>
                <w:lang w:eastAsia="es-ES"/>
              </w:rPr>
            </w:pPr>
            <w:r w:rsidRPr="00D62D2E">
              <w:rPr>
                <w:rFonts w:ascii="Verdana" w:eastAsia="Times New Roman" w:hAnsi="Verdana" w:cs="Arial"/>
                <w:color w:val="000000" w:themeColor="text1"/>
                <w:sz w:val="16"/>
                <w:szCs w:val="16"/>
                <w:lang w:eastAsia="es-ES"/>
              </w:rPr>
              <w:t>Diana Lucia Saavedra</w:t>
            </w:r>
            <w:r>
              <w:rPr>
                <w:rFonts w:ascii="Verdana" w:eastAsia="Times New Roman" w:hAnsi="Verdana" w:cs="Arial"/>
                <w:color w:val="000000" w:themeColor="text1"/>
                <w:sz w:val="16"/>
                <w:szCs w:val="16"/>
                <w:lang w:eastAsia="es-ES"/>
              </w:rPr>
              <w:t xml:space="preserve"> Castañeda</w:t>
            </w:r>
          </w:p>
          <w:p w14:paraId="35080F82" w14:textId="77777777" w:rsidR="008E53E8" w:rsidRPr="0025661F" w:rsidRDefault="008E53E8" w:rsidP="00517FDB">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D62D2E">
              <w:rPr>
                <w:rFonts w:ascii="Verdana" w:hAnsi="Verdana" w:cs="Arial"/>
                <w:color w:val="000000" w:themeColor="text1"/>
                <w:sz w:val="16"/>
                <w:szCs w:val="16"/>
                <w:lang w:eastAsia="es-ES"/>
              </w:rPr>
              <w:t>Contratista de la Subdirección de Gestión Contractual</w:t>
            </w:r>
          </w:p>
        </w:tc>
      </w:tr>
      <w:tr w:rsidR="008E53E8" w:rsidRPr="00F84F36" w14:paraId="471F1E59" w14:textId="77777777" w:rsidTr="00517FDB">
        <w:trPr>
          <w:trHeight w:val="300"/>
        </w:trPr>
        <w:tc>
          <w:tcPr>
            <w:tcW w:w="893" w:type="dxa"/>
            <w:vAlign w:val="center"/>
          </w:tcPr>
          <w:p w14:paraId="0A7C9E39" w14:textId="77777777" w:rsidR="008E53E8" w:rsidRPr="008278B1" w:rsidRDefault="008E53E8" w:rsidP="00517FDB">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9CE96C5" w14:textId="77777777" w:rsidR="008E53E8" w:rsidRPr="008278B1" w:rsidRDefault="008E53E8" w:rsidP="00517FDB">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357AE7E5" w14:textId="77777777" w:rsidR="008E53E8" w:rsidRPr="008278B1" w:rsidRDefault="008E53E8" w:rsidP="00517FDB">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12443EE0" w14:textId="1F855260" w:rsidR="00C15139" w:rsidRPr="008E53E8" w:rsidRDefault="00241959" w:rsidP="30821638">
      <w:pPr>
        <w:spacing w:after="0"/>
        <w:rPr>
          <w:rFonts w:ascii="Verdana" w:eastAsia="Verdana" w:hAnsi="Verdana" w:cs="Verdana"/>
          <w:lang w:val="es-ES"/>
        </w:rPr>
      </w:pPr>
      <w:r>
        <w:rPr>
          <w:noProof/>
        </w:rPr>
        <w:drawing>
          <wp:inline distT="0" distB="0" distL="0" distR="0" wp14:anchorId="58B5ECDD" wp14:editId="564CB8C5">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bookmarkEnd w:id="0"/>
    </w:p>
    <w:sectPr w:rsidR="00C15139" w:rsidRPr="008E53E8"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9BFA4A" w14:textId="77777777" w:rsidR="009E05F9" w:rsidRDefault="009E05F9" w:rsidP="004A1847">
      <w:pPr>
        <w:spacing w:after="0" w:line="240" w:lineRule="auto"/>
      </w:pPr>
      <w:r>
        <w:separator/>
      </w:r>
    </w:p>
  </w:endnote>
  <w:endnote w:type="continuationSeparator" w:id="0">
    <w:p w14:paraId="78E057C2" w14:textId="77777777" w:rsidR="009E05F9" w:rsidRDefault="009E05F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5B5F96" w14:textId="77777777" w:rsidR="009E05F9" w:rsidRDefault="009E05F9" w:rsidP="004A1847">
      <w:pPr>
        <w:spacing w:after="0" w:line="240" w:lineRule="auto"/>
      </w:pPr>
      <w:r>
        <w:separator/>
      </w:r>
    </w:p>
  </w:footnote>
  <w:footnote w:type="continuationSeparator" w:id="0">
    <w:p w14:paraId="21646842" w14:textId="77777777" w:rsidR="009E05F9" w:rsidRDefault="009E05F9" w:rsidP="004A1847">
      <w:pPr>
        <w:spacing w:after="0" w:line="240" w:lineRule="auto"/>
      </w:pPr>
      <w:r>
        <w:continuationSeparator/>
      </w:r>
    </w:p>
  </w:footnote>
  <w:footnote w:id="1">
    <w:p w14:paraId="797AA6DE" w14:textId="77777777" w:rsidR="0036476C" w:rsidRPr="00294702" w:rsidRDefault="0036476C" w:rsidP="0036476C">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Ello de conformidad con </w:t>
      </w:r>
      <w:r w:rsidRPr="00294702">
        <w:rPr>
          <w:rFonts w:ascii="Verdana" w:eastAsia="Calibri" w:hAnsi="Verdana" w:cs="Arial"/>
          <w:color w:val="000000" w:themeColor="text1"/>
          <w:sz w:val="16"/>
          <w:szCs w:val="16"/>
          <w:lang w:val="es-ES_tradnl"/>
        </w:rPr>
        <w:t>el numeral 8 del artículo 11 y el numeral 5 del artículo 3 del Decreto Ley 4170 de 2011.</w:t>
      </w:r>
    </w:p>
  </w:footnote>
  <w:footnote w:id="2">
    <w:p w14:paraId="716094CC" w14:textId="77777777" w:rsidR="0036476C" w:rsidRPr="00294702" w:rsidRDefault="0036476C" w:rsidP="0036476C">
      <w:pPr>
        <w:pStyle w:val="Textonotapie"/>
        <w:ind w:firstLine="709"/>
        <w:jc w:val="both"/>
        <w:rPr>
          <w:rFonts w:ascii="Verdana" w:hAnsi="Verdana" w:cs="Arial"/>
          <w:color w:val="000000" w:themeColor="text1"/>
          <w:sz w:val="16"/>
          <w:szCs w:val="16"/>
        </w:rPr>
      </w:pPr>
    </w:p>
    <w:p w14:paraId="213951F8" w14:textId="77777777" w:rsidR="0036476C" w:rsidRDefault="0036476C" w:rsidP="0036476C">
      <w:pPr>
        <w:pStyle w:val="Textonotapie"/>
        <w:ind w:firstLine="709"/>
        <w:jc w:val="both"/>
        <w:rPr>
          <w:rFonts w:ascii="Verdana" w:hAnsi="Verdana" w:cs="Arial"/>
          <w:color w:val="000000" w:themeColor="text1"/>
          <w:sz w:val="16"/>
          <w:szCs w:val="16"/>
          <w:lang w:val="es-ES"/>
        </w:rPr>
      </w:pPr>
      <w:r w:rsidRPr="00294702">
        <w:rPr>
          <w:rStyle w:val="Refdenotaalpie"/>
          <w:rFonts w:ascii="Verdana" w:hAnsi="Verdana"/>
          <w:sz w:val="16"/>
          <w:szCs w:val="16"/>
        </w:rPr>
        <w:footnoteRef/>
      </w:r>
      <w:r w:rsidRPr="00294702">
        <w:rPr>
          <w:rFonts w:ascii="Verdana" w:hAnsi="Verdana" w:cs="Arial"/>
          <w:color w:val="000000" w:themeColor="text1"/>
          <w:sz w:val="16"/>
          <w:szCs w:val="16"/>
        </w:rPr>
        <w:t xml:space="preserve"> </w:t>
      </w:r>
      <w:r w:rsidRPr="00294702">
        <w:rPr>
          <w:rFonts w:ascii="Verdana" w:hAnsi="Verdana" w:cs="Arial"/>
          <w:color w:val="000000" w:themeColor="text1"/>
          <w:sz w:val="16"/>
          <w:szCs w:val="16"/>
          <w:lang w:val="es-ES"/>
        </w:rPr>
        <w:t>Según García de Enterría, «Estos concepto jurídicos indeterminados, o que se contienen en lo que también se llaman las normas flexibles, son consustanciales a toda la técnica jurídica y no constituyen una particularidad del Derecho público […], son conceptos jurídicos indeterminados, en el sentido de que la medida concreta para la aplicación de los mismos en un caso particular no nos la resuelve o determina con exactitud la propia Ley que los ha creado y de cuya aplicación se trata» (GARCÍA DE ENTERRÍA, Eduardo. La lucha contra las inmunidades del poder en el derecho administrativo. 3ª ed. Madrid: Civitas, 1983. pp. 33-34).</w:t>
      </w:r>
    </w:p>
    <w:p w14:paraId="08A86335" w14:textId="77777777" w:rsidR="00CE01E2" w:rsidRPr="00294702" w:rsidRDefault="00CE01E2" w:rsidP="0036476C">
      <w:pPr>
        <w:pStyle w:val="Textonotapie"/>
        <w:ind w:firstLine="709"/>
        <w:jc w:val="both"/>
        <w:rPr>
          <w:rFonts w:ascii="Verdana" w:hAnsi="Verdana" w:cs="Arial"/>
          <w:color w:val="000000" w:themeColor="text1"/>
          <w:sz w:val="16"/>
          <w:szCs w:val="16"/>
        </w:rPr>
      </w:pPr>
    </w:p>
  </w:footnote>
  <w:footnote w:id="3">
    <w:p w14:paraId="2F0A5450" w14:textId="77777777" w:rsidR="0036476C" w:rsidRDefault="0036476C" w:rsidP="0036476C">
      <w:pPr>
        <w:pStyle w:val="Textonotapie"/>
        <w:ind w:firstLine="709"/>
        <w:jc w:val="both"/>
        <w:rPr>
          <w:rFonts w:ascii="Verdana" w:hAnsi="Verdana" w:cs="Arial"/>
          <w:color w:val="000000" w:themeColor="text1"/>
          <w:sz w:val="16"/>
          <w:szCs w:val="16"/>
        </w:rPr>
      </w:pPr>
      <w:r w:rsidRPr="00294702">
        <w:rPr>
          <w:rStyle w:val="Refdenotaalpie"/>
          <w:rFonts w:ascii="Verdana" w:hAnsi="Verdana"/>
          <w:sz w:val="16"/>
          <w:szCs w:val="16"/>
        </w:rPr>
        <w:footnoteRef/>
      </w:r>
      <w:r w:rsidRPr="00294702">
        <w:rPr>
          <w:rFonts w:ascii="Verdana" w:hAnsi="Verdana" w:cs="Arial"/>
          <w:color w:val="000000" w:themeColor="text1"/>
          <w:sz w:val="16"/>
          <w:szCs w:val="16"/>
        </w:rPr>
        <w:t xml:space="preserve"> Sentencia C-382 de 2019, M.P. Alejandro Linares Cantillo.</w:t>
      </w:r>
    </w:p>
    <w:p w14:paraId="37727EA0" w14:textId="77777777" w:rsidR="00CE01E2" w:rsidRPr="00294702" w:rsidRDefault="00CE01E2" w:rsidP="0036476C">
      <w:pPr>
        <w:pStyle w:val="Textonotapie"/>
        <w:ind w:firstLine="709"/>
        <w:jc w:val="both"/>
        <w:rPr>
          <w:rFonts w:ascii="Verdana" w:hAnsi="Verdana" w:cs="Arial"/>
          <w:color w:val="000000" w:themeColor="text1"/>
          <w:sz w:val="16"/>
          <w:szCs w:val="16"/>
        </w:rPr>
      </w:pPr>
    </w:p>
  </w:footnote>
  <w:footnote w:id="4">
    <w:p w14:paraId="5AA6A94B" w14:textId="77777777" w:rsidR="0036476C" w:rsidRDefault="0036476C" w:rsidP="0036476C">
      <w:pPr>
        <w:pStyle w:val="Textonotapie"/>
        <w:ind w:firstLine="709"/>
        <w:jc w:val="both"/>
        <w:rPr>
          <w:rStyle w:val="FontStyle23"/>
          <w:rFonts w:ascii="Verdana" w:hAnsi="Verdana" w:cs="Arial"/>
          <w:sz w:val="16"/>
          <w:szCs w:val="16"/>
          <w:lang w:val="es-ES_tradnl" w:eastAsia="es-ES_tradnl"/>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 xml:space="preserve">Consejo de Estado. Sala de Consulta y Servicio Civil. Concepto del 30 de enero de 1997. Consejero Ponente: Javier Henao Hidrón. Expediente: </w:t>
      </w:r>
      <w:r w:rsidRPr="00294702">
        <w:rPr>
          <w:rStyle w:val="FontStyle23"/>
          <w:rFonts w:ascii="Verdana" w:hAnsi="Verdana" w:cs="Arial"/>
          <w:sz w:val="16"/>
          <w:szCs w:val="16"/>
          <w:lang w:val="es-ES_tradnl" w:eastAsia="es-ES_tradnl"/>
        </w:rPr>
        <w:t>938.</w:t>
      </w:r>
    </w:p>
    <w:p w14:paraId="7B01B04E" w14:textId="77777777" w:rsidR="00CE01E2" w:rsidRPr="00294702" w:rsidRDefault="00CE01E2" w:rsidP="0036476C">
      <w:pPr>
        <w:pStyle w:val="Textonotapie"/>
        <w:ind w:firstLine="709"/>
        <w:jc w:val="both"/>
        <w:rPr>
          <w:rFonts w:ascii="Verdana" w:hAnsi="Verdana" w:cs="Arial"/>
          <w:sz w:val="16"/>
          <w:szCs w:val="16"/>
          <w:lang w:val="es-ES"/>
        </w:rPr>
      </w:pPr>
    </w:p>
  </w:footnote>
  <w:footnote w:id="5">
    <w:p w14:paraId="46B97AD0" w14:textId="77777777" w:rsidR="0036476C" w:rsidRDefault="0036476C" w:rsidP="0036476C">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Ibíd.</w:t>
      </w:r>
    </w:p>
    <w:p w14:paraId="574740DF" w14:textId="77777777" w:rsidR="00CE01E2" w:rsidRPr="00294702" w:rsidRDefault="00CE01E2" w:rsidP="0036476C">
      <w:pPr>
        <w:pStyle w:val="Textonotapie"/>
        <w:ind w:firstLine="709"/>
        <w:jc w:val="both"/>
        <w:rPr>
          <w:rFonts w:ascii="Verdana" w:hAnsi="Verdana" w:cs="Arial"/>
          <w:sz w:val="16"/>
          <w:szCs w:val="16"/>
          <w:lang w:val="es-ES"/>
        </w:rPr>
      </w:pPr>
    </w:p>
  </w:footnote>
  <w:footnote w:id="6">
    <w:p w14:paraId="54A94BDD" w14:textId="77777777" w:rsidR="0036476C" w:rsidRPr="00294702" w:rsidRDefault="0036476C" w:rsidP="0036476C">
      <w:pPr>
        <w:pStyle w:val="Textonotapie"/>
        <w:ind w:firstLine="709"/>
        <w:jc w:val="both"/>
        <w:rPr>
          <w:rFonts w:ascii="Verdana" w:hAnsi="Verdana" w:cs="Arial"/>
          <w:sz w:val="16"/>
          <w:szCs w:val="16"/>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 xml:space="preserve">Consejo de Estado. Sala de Consulta y Servicio Civil. Concepto del 15 de diciembre de 2005. Consejero Ponente: Gustavo Aponte Santos. Expediente: </w:t>
      </w:r>
      <w:r w:rsidRPr="00294702">
        <w:rPr>
          <w:rFonts w:ascii="Verdana" w:hAnsi="Verdana" w:cs="Arial"/>
          <w:sz w:val="16"/>
          <w:szCs w:val="16"/>
        </w:rPr>
        <w:t>1706.</w:t>
      </w:r>
    </w:p>
    <w:p w14:paraId="7DD03001" w14:textId="77777777" w:rsidR="0036476C" w:rsidRPr="00294702" w:rsidRDefault="0036476C" w:rsidP="0036476C">
      <w:pPr>
        <w:pStyle w:val="Textonotapie"/>
        <w:ind w:firstLine="709"/>
        <w:jc w:val="both"/>
        <w:rPr>
          <w:rFonts w:ascii="Verdana" w:hAnsi="Verdana" w:cs="Arial"/>
          <w:sz w:val="16"/>
          <w:szCs w:val="16"/>
          <w:lang w:val="es-ES"/>
        </w:rPr>
      </w:pPr>
    </w:p>
  </w:footnote>
  <w:footnote w:id="7">
    <w:p w14:paraId="36CE8495" w14:textId="77777777" w:rsidR="0036476C" w:rsidRPr="00294702" w:rsidRDefault="0036476C" w:rsidP="0036476C">
      <w:pPr>
        <w:pStyle w:val="Textonotapie"/>
        <w:ind w:firstLine="709"/>
        <w:jc w:val="both"/>
        <w:rPr>
          <w:rFonts w:ascii="Verdana" w:hAnsi="Verdana" w:cs="Arial"/>
          <w:sz w:val="16"/>
          <w:szCs w:val="16"/>
          <w:lang w:val="es-ES_tradnl"/>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 xml:space="preserve">Consejo de Estado. Sala de Consulta y Servicio Civil. Concepto del 17 de febrero de 2006. Consejero Ponente: Luis Fernando Álvarez Jaramillo. Expediente: </w:t>
      </w:r>
      <w:r w:rsidRPr="00294702">
        <w:rPr>
          <w:rFonts w:ascii="Verdana" w:hAnsi="Verdana" w:cs="Arial"/>
          <w:sz w:val="16"/>
          <w:szCs w:val="16"/>
          <w:lang w:val="es-ES_tradnl"/>
        </w:rPr>
        <w:t>1720.</w:t>
      </w:r>
    </w:p>
    <w:p w14:paraId="2BC12976" w14:textId="77777777" w:rsidR="0036476C" w:rsidRPr="00294702" w:rsidRDefault="0036476C" w:rsidP="0036476C">
      <w:pPr>
        <w:pStyle w:val="Textonotapie"/>
        <w:ind w:firstLine="709"/>
        <w:jc w:val="both"/>
        <w:rPr>
          <w:rFonts w:ascii="Verdana" w:hAnsi="Verdana" w:cs="Arial"/>
          <w:sz w:val="16"/>
          <w:szCs w:val="16"/>
          <w:lang w:val="es-ES"/>
        </w:rPr>
      </w:pPr>
    </w:p>
  </w:footnote>
  <w:footnote w:id="8">
    <w:p w14:paraId="2C606BD6" w14:textId="77777777" w:rsidR="0036476C" w:rsidRPr="00294702" w:rsidRDefault="0036476C" w:rsidP="0036476C">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Ibíd.</w:t>
      </w:r>
    </w:p>
  </w:footnote>
  <w:footnote w:id="9">
    <w:p w14:paraId="0A15ADAA" w14:textId="77777777" w:rsidR="0036476C" w:rsidRPr="00294702" w:rsidRDefault="0036476C" w:rsidP="0036476C">
      <w:pPr>
        <w:pStyle w:val="Textonotapie"/>
        <w:ind w:firstLine="709"/>
        <w:jc w:val="both"/>
        <w:rPr>
          <w:rFonts w:ascii="Verdana" w:hAnsi="Verdana" w:cs="Arial"/>
          <w:sz w:val="16"/>
          <w:szCs w:val="16"/>
        </w:rPr>
      </w:pPr>
    </w:p>
    <w:p w14:paraId="7CB3F9B8" w14:textId="77777777" w:rsidR="0036476C" w:rsidRPr="00294702" w:rsidRDefault="0036476C" w:rsidP="0036476C">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Consejo de Estado. Sala de Consulta y Servicio Civil. </w:t>
      </w:r>
      <w:r w:rsidRPr="00294702">
        <w:rPr>
          <w:rFonts w:ascii="Verdana" w:hAnsi="Verdana" w:cs="Arial"/>
          <w:sz w:val="16"/>
          <w:szCs w:val="16"/>
          <w:lang w:val="es-ES"/>
        </w:rPr>
        <w:t xml:space="preserve">Concepto del 25 de marzo de 2010. Consejero Ponente: William Zambrano Cetina. Expediente: </w:t>
      </w:r>
      <w:r w:rsidRPr="00294702">
        <w:rPr>
          <w:rFonts w:ascii="Verdana" w:hAnsi="Verdana" w:cs="Arial"/>
          <w:sz w:val="16"/>
          <w:szCs w:val="16"/>
        </w:rPr>
        <w:t>1993.</w:t>
      </w:r>
      <w:r w:rsidRPr="00294702">
        <w:rPr>
          <w:rFonts w:ascii="Verdana" w:hAnsi="Verdana" w:cs="Arial"/>
          <w:sz w:val="16"/>
          <w:szCs w:val="16"/>
          <w:lang w:val="es-ES"/>
        </w:rPr>
        <w:t xml:space="preserve"> </w:t>
      </w:r>
    </w:p>
    <w:p w14:paraId="1F7FF312" w14:textId="77777777" w:rsidR="0036476C" w:rsidRPr="00294702" w:rsidRDefault="0036476C" w:rsidP="0036476C">
      <w:pPr>
        <w:pStyle w:val="Textonotapie"/>
        <w:ind w:firstLine="709"/>
        <w:jc w:val="both"/>
        <w:rPr>
          <w:rFonts w:ascii="Verdana" w:hAnsi="Verdana" w:cs="Arial"/>
          <w:sz w:val="16"/>
          <w:szCs w:val="16"/>
          <w:lang w:val="es-ES"/>
        </w:rPr>
      </w:pPr>
    </w:p>
  </w:footnote>
  <w:footnote w:id="10">
    <w:p w14:paraId="0A9CAA52" w14:textId="77777777" w:rsidR="0036476C" w:rsidRPr="00294702" w:rsidRDefault="0036476C" w:rsidP="0036476C">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Ibíd.</w:t>
      </w:r>
    </w:p>
  </w:footnote>
  <w:footnote w:id="11">
    <w:p w14:paraId="373EC8C8" w14:textId="77777777" w:rsidR="0036476C" w:rsidRDefault="0036476C" w:rsidP="0036476C">
      <w:pPr>
        <w:pStyle w:val="Textonotapie"/>
        <w:ind w:firstLine="709"/>
        <w:jc w:val="both"/>
        <w:rPr>
          <w:rFonts w:ascii="Verdana" w:hAnsi="Verdana" w:cs="Arial"/>
          <w:sz w:val="16"/>
          <w:szCs w:val="16"/>
        </w:rPr>
      </w:pPr>
      <w:r w:rsidRPr="00294702">
        <w:rPr>
          <w:rStyle w:val="Refdenotaalpie"/>
          <w:rFonts w:ascii="Verdana" w:hAnsi="Verdana"/>
          <w:sz w:val="16"/>
          <w:szCs w:val="16"/>
        </w:rPr>
        <w:footnoteRef/>
      </w:r>
      <w:r w:rsidRPr="00294702">
        <w:rPr>
          <w:rFonts w:ascii="Verdana" w:hAnsi="Verdana" w:cs="Arial"/>
          <w:sz w:val="16"/>
          <w:szCs w:val="16"/>
        </w:rPr>
        <w:t xml:space="preserve"> Consejo de Estado. Sala de Consulta y Servicio Civil. </w:t>
      </w:r>
      <w:r w:rsidRPr="00294702">
        <w:rPr>
          <w:rFonts w:ascii="Verdana" w:hAnsi="Verdana" w:cs="Arial"/>
          <w:sz w:val="16"/>
          <w:szCs w:val="16"/>
          <w:lang w:val="es-ES"/>
        </w:rPr>
        <w:t xml:space="preserve">Concepto del 2 de septiembre de 2013. Consejero Ponente: Álvaro Namén Vargas. Expediente: </w:t>
      </w:r>
      <w:r w:rsidRPr="00294702">
        <w:rPr>
          <w:rFonts w:ascii="Verdana" w:hAnsi="Verdana" w:cs="Arial"/>
          <w:sz w:val="16"/>
          <w:szCs w:val="16"/>
          <w:lang w:val="es-ES_tradnl"/>
        </w:rPr>
        <w:t>2168</w:t>
      </w:r>
      <w:r w:rsidRPr="00294702">
        <w:rPr>
          <w:rFonts w:ascii="Verdana" w:hAnsi="Verdana" w:cs="Arial"/>
          <w:sz w:val="16"/>
          <w:szCs w:val="16"/>
        </w:rPr>
        <w:t>.</w:t>
      </w:r>
    </w:p>
    <w:p w14:paraId="7EA12812" w14:textId="77777777" w:rsidR="00CE01E2" w:rsidRPr="00294702" w:rsidRDefault="00CE01E2" w:rsidP="0036476C">
      <w:pPr>
        <w:pStyle w:val="Textonotapie"/>
        <w:ind w:firstLine="709"/>
        <w:jc w:val="both"/>
        <w:rPr>
          <w:rFonts w:ascii="Verdana" w:hAnsi="Verdana" w:cs="Arial"/>
          <w:sz w:val="16"/>
          <w:szCs w:val="16"/>
          <w:lang w:val="es-ES"/>
        </w:rPr>
      </w:pPr>
    </w:p>
  </w:footnote>
  <w:footnote w:id="12">
    <w:p w14:paraId="45F87561" w14:textId="77777777" w:rsidR="0036476C" w:rsidRDefault="0036476C" w:rsidP="0036476C">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Ibíd.</w:t>
      </w:r>
    </w:p>
    <w:p w14:paraId="609CC1A7" w14:textId="77777777" w:rsidR="00CE01E2" w:rsidRPr="00294702" w:rsidRDefault="00CE01E2" w:rsidP="0036476C">
      <w:pPr>
        <w:pStyle w:val="Textonotapie"/>
        <w:ind w:firstLine="709"/>
        <w:jc w:val="both"/>
        <w:rPr>
          <w:rFonts w:ascii="Verdana" w:hAnsi="Verdana" w:cs="Arial"/>
          <w:sz w:val="16"/>
          <w:szCs w:val="16"/>
          <w:lang w:val="es-ES"/>
        </w:rPr>
      </w:pPr>
    </w:p>
  </w:footnote>
  <w:footnote w:id="13">
    <w:p w14:paraId="67BBE1AD" w14:textId="77777777" w:rsidR="0036476C" w:rsidRDefault="0036476C" w:rsidP="0036476C">
      <w:pPr>
        <w:pStyle w:val="Textonotapie"/>
        <w:ind w:firstLine="709"/>
        <w:jc w:val="both"/>
        <w:rPr>
          <w:rFonts w:ascii="Verdana" w:hAnsi="Verdana" w:cs="Arial"/>
          <w:sz w:val="16"/>
          <w:szCs w:val="16"/>
        </w:rPr>
      </w:pPr>
      <w:r w:rsidRPr="00294702">
        <w:rPr>
          <w:rStyle w:val="Refdenotaalpie"/>
          <w:rFonts w:ascii="Verdana" w:hAnsi="Verdana"/>
          <w:sz w:val="16"/>
          <w:szCs w:val="16"/>
        </w:rPr>
        <w:footnoteRef/>
      </w:r>
      <w:r w:rsidRPr="00294702">
        <w:rPr>
          <w:rFonts w:ascii="Verdana" w:hAnsi="Verdana" w:cs="Arial"/>
          <w:sz w:val="16"/>
          <w:szCs w:val="16"/>
        </w:rPr>
        <w:t xml:space="preserve"> Consejo de Estado. Sección Tercera. Sentencia del 27 de marzo de 2008. Consejera Ponente: Ruth Stella Correa Palacio. Expediente: 29393. Esta tesis fue sostenida también en el auto del 16 de marzo de 2006, dentro del mismo proceso de la referencia. </w:t>
      </w:r>
    </w:p>
    <w:p w14:paraId="003B5AD4" w14:textId="77777777" w:rsidR="00CE01E2" w:rsidRPr="00294702" w:rsidRDefault="00CE01E2" w:rsidP="0036476C">
      <w:pPr>
        <w:pStyle w:val="Textonotapie"/>
        <w:ind w:firstLine="709"/>
        <w:jc w:val="both"/>
        <w:rPr>
          <w:rFonts w:ascii="Verdana" w:hAnsi="Verdana" w:cs="Arial"/>
          <w:sz w:val="16"/>
          <w:szCs w:val="16"/>
          <w:lang w:val="es-ES"/>
        </w:rPr>
      </w:pPr>
    </w:p>
  </w:footnote>
  <w:footnote w:id="14">
    <w:p w14:paraId="2DCDA914" w14:textId="77777777" w:rsidR="0036476C" w:rsidRPr="00294702" w:rsidRDefault="0036476C" w:rsidP="0036476C">
      <w:pPr>
        <w:pStyle w:val="Textonotapie"/>
        <w:ind w:firstLine="709"/>
        <w:jc w:val="both"/>
        <w:rPr>
          <w:rFonts w:ascii="Verdana" w:hAnsi="Verdana" w:cs="Arial"/>
          <w:sz w:val="16"/>
          <w:szCs w:val="16"/>
        </w:rPr>
      </w:pPr>
      <w:r w:rsidRPr="00294702">
        <w:rPr>
          <w:rStyle w:val="Refdenotaalpie"/>
          <w:rFonts w:ascii="Verdana" w:hAnsi="Verdana"/>
          <w:sz w:val="16"/>
          <w:szCs w:val="16"/>
        </w:rPr>
        <w:footnoteRef/>
      </w:r>
      <w:r w:rsidRPr="00294702">
        <w:rPr>
          <w:rFonts w:ascii="Verdana" w:hAnsi="Verdana" w:cs="Arial"/>
          <w:sz w:val="16"/>
          <w:szCs w:val="16"/>
        </w:rPr>
        <w:t xml:space="preserve"> Consejo de Estado. Sección Tercera. Subsección C. Sentencia del 26 de julio de 2011. Consejero Ponente: Enrique Gil Botero. Expediente: </w:t>
      </w:r>
      <w:r w:rsidRPr="00294702">
        <w:rPr>
          <w:rFonts w:ascii="Verdana" w:hAnsi="Verdana" w:cs="Arial"/>
          <w:iCs/>
          <w:sz w:val="16"/>
          <w:szCs w:val="16"/>
        </w:rPr>
        <w:t>17661.</w:t>
      </w:r>
      <w:r w:rsidRPr="00294702">
        <w:rPr>
          <w:rFonts w:ascii="Verdana" w:hAnsi="Verdana" w:cs="Arial"/>
          <w:sz w:val="16"/>
          <w:szCs w:val="16"/>
        </w:rPr>
        <w:t xml:space="preserve"> </w:t>
      </w:r>
    </w:p>
    <w:p w14:paraId="45DC2813" w14:textId="77777777" w:rsidR="0036476C" w:rsidRPr="00294702" w:rsidRDefault="0036476C" w:rsidP="0036476C">
      <w:pPr>
        <w:pStyle w:val="Textonotapie"/>
        <w:ind w:firstLine="709"/>
        <w:jc w:val="both"/>
        <w:rPr>
          <w:rFonts w:ascii="Verdana" w:hAnsi="Verdana" w:cs="Arial"/>
          <w:sz w:val="16"/>
          <w:szCs w:val="16"/>
          <w:lang w:val="es-ES"/>
        </w:rPr>
      </w:pPr>
    </w:p>
  </w:footnote>
  <w:footnote w:id="15">
    <w:p w14:paraId="29FA4981" w14:textId="77777777" w:rsidR="0036476C" w:rsidRDefault="0036476C" w:rsidP="0036476C">
      <w:pPr>
        <w:pStyle w:val="Textonotapie"/>
        <w:ind w:firstLine="709"/>
        <w:jc w:val="both"/>
        <w:rPr>
          <w:rFonts w:ascii="Verdana" w:hAnsi="Verdana" w:cs="Arial"/>
          <w:spacing w:val="4"/>
          <w:sz w:val="16"/>
          <w:szCs w:val="16"/>
          <w:lang w:val="es-ES_tradnl"/>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 xml:space="preserve">Consejo de Estado. Sección Tercera. Sala Plena. Sentencia del 23 de julio de 2015. Consejero Ponente: Hernán Andrade Rincón. Expediente: </w:t>
      </w:r>
      <w:r w:rsidRPr="00294702">
        <w:rPr>
          <w:rFonts w:ascii="Verdana" w:hAnsi="Verdana" w:cs="Arial"/>
          <w:spacing w:val="4"/>
          <w:sz w:val="16"/>
          <w:szCs w:val="16"/>
          <w:lang w:val="es-ES_tradnl"/>
        </w:rPr>
        <w:t>36805.</w:t>
      </w:r>
    </w:p>
    <w:p w14:paraId="6B927031" w14:textId="77777777" w:rsidR="00CE01E2" w:rsidRPr="00294702" w:rsidRDefault="00CE01E2" w:rsidP="0036476C">
      <w:pPr>
        <w:pStyle w:val="Textonotapie"/>
        <w:ind w:firstLine="709"/>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0F663280" w14:textId="77777777" w:rsidR="000A2EA8" w:rsidRPr="00C925AC" w:rsidRDefault="000A2EA8"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85pt;height:11.8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81A8A056"/>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5CBA"/>
    <w:rsid w:val="00030236"/>
    <w:rsid w:val="00033100"/>
    <w:rsid w:val="000459C3"/>
    <w:rsid w:val="00046945"/>
    <w:rsid w:val="00061B2A"/>
    <w:rsid w:val="00072845"/>
    <w:rsid w:val="00082362"/>
    <w:rsid w:val="000A2EA8"/>
    <w:rsid w:val="000A683E"/>
    <w:rsid w:val="000A6BE0"/>
    <w:rsid w:val="000B19B9"/>
    <w:rsid w:val="000D0334"/>
    <w:rsid w:val="000D50BA"/>
    <w:rsid w:val="000D5DA7"/>
    <w:rsid w:val="000F128F"/>
    <w:rsid w:val="000F6486"/>
    <w:rsid w:val="001105B2"/>
    <w:rsid w:val="00116940"/>
    <w:rsid w:val="00117528"/>
    <w:rsid w:val="00125105"/>
    <w:rsid w:val="00126863"/>
    <w:rsid w:val="00127233"/>
    <w:rsid w:val="00144EB3"/>
    <w:rsid w:val="0015699B"/>
    <w:rsid w:val="00161C66"/>
    <w:rsid w:val="001A33BF"/>
    <w:rsid w:val="001D20BC"/>
    <w:rsid w:val="001D2386"/>
    <w:rsid w:val="001E4177"/>
    <w:rsid w:val="001F0B24"/>
    <w:rsid w:val="001F7DC6"/>
    <w:rsid w:val="0022400B"/>
    <w:rsid w:val="00241959"/>
    <w:rsid w:val="002421BB"/>
    <w:rsid w:val="0025796E"/>
    <w:rsid w:val="002707A2"/>
    <w:rsid w:val="00294702"/>
    <w:rsid w:val="002951A0"/>
    <w:rsid w:val="002962BC"/>
    <w:rsid w:val="002A093D"/>
    <w:rsid w:val="002A0DD0"/>
    <w:rsid w:val="002A49AC"/>
    <w:rsid w:val="002A64FD"/>
    <w:rsid w:val="002C7A84"/>
    <w:rsid w:val="002E2BF8"/>
    <w:rsid w:val="002E4FD9"/>
    <w:rsid w:val="0030657A"/>
    <w:rsid w:val="00322A85"/>
    <w:rsid w:val="00324168"/>
    <w:rsid w:val="00330834"/>
    <w:rsid w:val="003377F2"/>
    <w:rsid w:val="0034005D"/>
    <w:rsid w:val="003448F4"/>
    <w:rsid w:val="0036476C"/>
    <w:rsid w:val="00374F5E"/>
    <w:rsid w:val="00377E3E"/>
    <w:rsid w:val="00390DBE"/>
    <w:rsid w:val="003A779E"/>
    <w:rsid w:val="003D0F4D"/>
    <w:rsid w:val="003D5B0D"/>
    <w:rsid w:val="003E0499"/>
    <w:rsid w:val="003E4F80"/>
    <w:rsid w:val="003E6439"/>
    <w:rsid w:val="003F3941"/>
    <w:rsid w:val="00406575"/>
    <w:rsid w:val="00414C74"/>
    <w:rsid w:val="0042722E"/>
    <w:rsid w:val="004337FD"/>
    <w:rsid w:val="0044528D"/>
    <w:rsid w:val="00466E39"/>
    <w:rsid w:val="00492790"/>
    <w:rsid w:val="0049458B"/>
    <w:rsid w:val="004A1847"/>
    <w:rsid w:val="004A305D"/>
    <w:rsid w:val="004C08B5"/>
    <w:rsid w:val="004C754F"/>
    <w:rsid w:val="004D76BD"/>
    <w:rsid w:val="004E21AF"/>
    <w:rsid w:val="004F21C4"/>
    <w:rsid w:val="004F685F"/>
    <w:rsid w:val="00502BEC"/>
    <w:rsid w:val="00515851"/>
    <w:rsid w:val="00524DB1"/>
    <w:rsid w:val="0054273A"/>
    <w:rsid w:val="0055150B"/>
    <w:rsid w:val="005566E8"/>
    <w:rsid w:val="005734B3"/>
    <w:rsid w:val="00574867"/>
    <w:rsid w:val="005751F2"/>
    <w:rsid w:val="00591460"/>
    <w:rsid w:val="005915B3"/>
    <w:rsid w:val="005976CF"/>
    <w:rsid w:val="005A65E0"/>
    <w:rsid w:val="005C3777"/>
    <w:rsid w:val="005C5CDC"/>
    <w:rsid w:val="005C62F0"/>
    <w:rsid w:val="005D2DFE"/>
    <w:rsid w:val="005D476C"/>
    <w:rsid w:val="005F5235"/>
    <w:rsid w:val="006200BF"/>
    <w:rsid w:val="006219F8"/>
    <w:rsid w:val="006302F7"/>
    <w:rsid w:val="00646B9F"/>
    <w:rsid w:val="006548ED"/>
    <w:rsid w:val="00665D70"/>
    <w:rsid w:val="006900D9"/>
    <w:rsid w:val="006917F6"/>
    <w:rsid w:val="006A3A90"/>
    <w:rsid w:val="006F0630"/>
    <w:rsid w:val="00706C16"/>
    <w:rsid w:val="007340C3"/>
    <w:rsid w:val="0075235A"/>
    <w:rsid w:val="00756841"/>
    <w:rsid w:val="007649AB"/>
    <w:rsid w:val="00771D0C"/>
    <w:rsid w:val="007833AC"/>
    <w:rsid w:val="007865E2"/>
    <w:rsid w:val="007B268C"/>
    <w:rsid w:val="007B5A7F"/>
    <w:rsid w:val="007B7171"/>
    <w:rsid w:val="007C0C0F"/>
    <w:rsid w:val="007C3DC2"/>
    <w:rsid w:val="007E5497"/>
    <w:rsid w:val="007E7CB9"/>
    <w:rsid w:val="00806F5F"/>
    <w:rsid w:val="00820278"/>
    <w:rsid w:val="008258C9"/>
    <w:rsid w:val="00825A02"/>
    <w:rsid w:val="00844AE9"/>
    <w:rsid w:val="00850AD7"/>
    <w:rsid w:val="00867F95"/>
    <w:rsid w:val="008843B6"/>
    <w:rsid w:val="00891928"/>
    <w:rsid w:val="008A446D"/>
    <w:rsid w:val="008B25F1"/>
    <w:rsid w:val="008D180B"/>
    <w:rsid w:val="008E3392"/>
    <w:rsid w:val="008E53E8"/>
    <w:rsid w:val="008F0EA7"/>
    <w:rsid w:val="00923EEF"/>
    <w:rsid w:val="009419F9"/>
    <w:rsid w:val="00947718"/>
    <w:rsid w:val="0095685E"/>
    <w:rsid w:val="00961B09"/>
    <w:rsid w:val="00965334"/>
    <w:rsid w:val="00967C24"/>
    <w:rsid w:val="0097093E"/>
    <w:rsid w:val="009735EA"/>
    <w:rsid w:val="00997FEE"/>
    <w:rsid w:val="009A0DFA"/>
    <w:rsid w:val="009A1C6F"/>
    <w:rsid w:val="009A5F3D"/>
    <w:rsid w:val="009B2D26"/>
    <w:rsid w:val="009C71FA"/>
    <w:rsid w:val="009C72E7"/>
    <w:rsid w:val="009C7F7E"/>
    <w:rsid w:val="009D3058"/>
    <w:rsid w:val="009D5D33"/>
    <w:rsid w:val="009E05F9"/>
    <w:rsid w:val="009F3A13"/>
    <w:rsid w:val="00A122D3"/>
    <w:rsid w:val="00A14468"/>
    <w:rsid w:val="00A14620"/>
    <w:rsid w:val="00A17F13"/>
    <w:rsid w:val="00A20739"/>
    <w:rsid w:val="00A23AF9"/>
    <w:rsid w:val="00A33C78"/>
    <w:rsid w:val="00A56C31"/>
    <w:rsid w:val="00A87CD8"/>
    <w:rsid w:val="00AA3DD1"/>
    <w:rsid w:val="00AA4DE4"/>
    <w:rsid w:val="00AA6873"/>
    <w:rsid w:val="00AB0ADB"/>
    <w:rsid w:val="00AB176F"/>
    <w:rsid w:val="00AC62E4"/>
    <w:rsid w:val="00B00C0E"/>
    <w:rsid w:val="00B01B1A"/>
    <w:rsid w:val="00B0381D"/>
    <w:rsid w:val="00B158FB"/>
    <w:rsid w:val="00B4163F"/>
    <w:rsid w:val="00B44A47"/>
    <w:rsid w:val="00B72CD3"/>
    <w:rsid w:val="00B72FFF"/>
    <w:rsid w:val="00BB0E9B"/>
    <w:rsid w:val="00BB6406"/>
    <w:rsid w:val="00BC3D36"/>
    <w:rsid w:val="00BD54A6"/>
    <w:rsid w:val="00BD7F72"/>
    <w:rsid w:val="00BE117F"/>
    <w:rsid w:val="00BF7425"/>
    <w:rsid w:val="00C04FB3"/>
    <w:rsid w:val="00C11D8B"/>
    <w:rsid w:val="00C15139"/>
    <w:rsid w:val="00C27838"/>
    <w:rsid w:val="00C330EB"/>
    <w:rsid w:val="00C412DA"/>
    <w:rsid w:val="00C50D69"/>
    <w:rsid w:val="00C5365C"/>
    <w:rsid w:val="00C754BE"/>
    <w:rsid w:val="00C76B1C"/>
    <w:rsid w:val="00C81186"/>
    <w:rsid w:val="00C925AC"/>
    <w:rsid w:val="00CA0F28"/>
    <w:rsid w:val="00CB6357"/>
    <w:rsid w:val="00CC1B26"/>
    <w:rsid w:val="00CC69D2"/>
    <w:rsid w:val="00CD0AD9"/>
    <w:rsid w:val="00CD20EB"/>
    <w:rsid w:val="00CE01E2"/>
    <w:rsid w:val="00D361FD"/>
    <w:rsid w:val="00D423A2"/>
    <w:rsid w:val="00D44E26"/>
    <w:rsid w:val="00D46734"/>
    <w:rsid w:val="00D46819"/>
    <w:rsid w:val="00D520D8"/>
    <w:rsid w:val="00D63AC2"/>
    <w:rsid w:val="00D7383B"/>
    <w:rsid w:val="00D7788A"/>
    <w:rsid w:val="00DA231B"/>
    <w:rsid w:val="00DB1EBD"/>
    <w:rsid w:val="00DC39FC"/>
    <w:rsid w:val="00DD5A68"/>
    <w:rsid w:val="00DF5254"/>
    <w:rsid w:val="00E02524"/>
    <w:rsid w:val="00E16408"/>
    <w:rsid w:val="00E20894"/>
    <w:rsid w:val="00E245AB"/>
    <w:rsid w:val="00E2764C"/>
    <w:rsid w:val="00E27F2E"/>
    <w:rsid w:val="00E45730"/>
    <w:rsid w:val="00E50AFE"/>
    <w:rsid w:val="00E75C92"/>
    <w:rsid w:val="00E771DC"/>
    <w:rsid w:val="00E8772A"/>
    <w:rsid w:val="00E90F6B"/>
    <w:rsid w:val="00E923B4"/>
    <w:rsid w:val="00E92C27"/>
    <w:rsid w:val="00EA0E3D"/>
    <w:rsid w:val="00EB7A94"/>
    <w:rsid w:val="00EC38A7"/>
    <w:rsid w:val="00ED7C05"/>
    <w:rsid w:val="00EE1AA8"/>
    <w:rsid w:val="00EF1CB8"/>
    <w:rsid w:val="00F23FEA"/>
    <w:rsid w:val="00F31EDC"/>
    <w:rsid w:val="00F42C1A"/>
    <w:rsid w:val="00F462B3"/>
    <w:rsid w:val="00F5664F"/>
    <w:rsid w:val="00F6152C"/>
    <w:rsid w:val="00F666C4"/>
    <w:rsid w:val="00F76AFC"/>
    <w:rsid w:val="00FA47C0"/>
    <w:rsid w:val="00FB32A6"/>
    <w:rsid w:val="00FB5DD1"/>
    <w:rsid w:val="00FC2B5D"/>
    <w:rsid w:val="00FD2B1F"/>
    <w:rsid w:val="00FF1449"/>
    <w:rsid w:val="00FF7963"/>
    <w:rsid w:val="071B8F93"/>
    <w:rsid w:val="07C73DD1"/>
    <w:rsid w:val="09908A09"/>
    <w:rsid w:val="0EFE6349"/>
    <w:rsid w:val="0FF4CCA8"/>
    <w:rsid w:val="122F1934"/>
    <w:rsid w:val="13CFC91B"/>
    <w:rsid w:val="19A2EC2C"/>
    <w:rsid w:val="21779BE6"/>
    <w:rsid w:val="2859CA1B"/>
    <w:rsid w:val="2C4D2425"/>
    <w:rsid w:val="2EE1E026"/>
    <w:rsid w:val="30821638"/>
    <w:rsid w:val="32A4F9CF"/>
    <w:rsid w:val="33A1FF93"/>
    <w:rsid w:val="356CEDFD"/>
    <w:rsid w:val="3C591AFD"/>
    <w:rsid w:val="42183F0A"/>
    <w:rsid w:val="545B112A"/>
    <w:rsid w:val="5BEB1497"/>
    <w:rsid w:val="61CFEC75"/>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Textoindependiente">
    <w:name w:val="Body Text"/>
    <w:basedOn w:val="Normal"/>
    <w:link w:val="TextoindependienteCar"/>
    <w:uiPriority w:val="1"/>
    <w:unhideWhenUsed/>
    <w:qFormat/>
    <w:rsid w:val="008E53E8"/>
    <w:pPr>
      <w:spacing w:after="120"/>
    </w:pPr>
  </w:style>
  <w:style w:type="character" w:customStyle="1" w:styleId="TextoindependienteCar">
    <w:name w:val="Texto independiente Car"/>
    <w:basedOn w:val="Fuentedeprrafopredeter"/>
    <w:link w:val="Textoindependiente"/>
    <w:uiPriority w:val="1"/>
    <w:rsid w:val="008E53E8"/>
  </w:style>
  <w:style w:type="character" w:customStyle="1" w:styleId="s15">
    <w:name w:val="s15"/>
    <w:basedOn w:val="Fuentedeprrafopredeter"/>
    <w:rsid w:val="008E53E8"/>
  </w:style>
  <w:style w:type="character" w:styleId="Refdecomentario">
    <w:name w:val="annotation reference"/>
    <w:basedOn w:val="Fuentedeprrafopredeter"/>
    <w:uiPriority w:val="99"/>
    <w:semiHidden/>
    <w:unhideWhenUsed/>
    <w:rsid w:val="0036476C"/>
    <w:rPr>
      <w:sz w:val="16"/>
      <w:szCs w:val="16"/>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6476C"/>
    <w:rPr>
      <w:rFonts w:ascii="Geomanist Light" w:hAnsi="Geomanist Light"/>
      <w:lang w:val="es-ES"/>
    </w:rPr>
  </w:style>
  <w:style w:type="paragraph" w:customStyle="1" w:styleId="Appelnotedebasde">
    <w:name w:val="Appel note de bas de..."/>
    <w:basedOn w:val="Normal"/>
    <w:link w:val="Refdenotaalpie"/>
    <w:uiPriority w:val="99"/>
    <w:rsid w:val="0036476C"/>
    <w:pPr>
      <w:spacing w:line="240" w:lineRule="exact"/>
    </w:pPr>
    <w:rPr>
      <w:vertAlign w:val="superscript"/>
    </w:rPr>
  </w:style>
  <w:style w:type="character" w:customStyle="1" w:styleId="FontStyle23">
    <w:name w:val="Font Style23"/>
    <w:basedOn w:val="Fuentedeprrafopredeter"/>
    <w:rsid w:val="0036476C"/>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aianotificaciones@dosquebradas.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jpe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63152B6-304F-47C5-BF0A-1F90E32E3F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22</TotalTime>
  <Pages>33</Pages>
  <Words>12116</Words>
  <Characters>66275</Characters>
  <Application>Microsoft Office Word</Application>
  <DocSecurity>0</DocSecurity>
  <Lines>1274</Lines>
  <Paragraphs>203</Paragraphs>
  <ScaleCrop>false</ScaleCrop>
  <Company/>
  <LinksUpToDate>false</LinksUpToDate>
  <CharactersWithSpaces>78188</CharactersWithSpaces>
  <SharedDoc>false</SharedDoc>
  <HLinks>
    <vt:vector size="36" baseType="variant">
      <vt:variant>
        <vt:i4>4456513</vt:i4>
      </vt:variant>
      <vt:variant>
        <vt:i4>15</vt:i4>
      </vt:variant>
      <vt:variant>
        <vt:i4>0</vt:i4>
      </vt:variant>
      <vt:variant>
        <vt:i4>5</vt:i4>
      </vt:variant>
      <vt:variant>
        <vt:lpwstr>https://forms.office.com/r/pPHyWVs2SZ</vt:lpwstr>
      </vt:variant>
      <vt:variant>
        <vt:lpwstr/>
      </vt: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2228319</vt:i4>
      </vt:variant>
      <vt:variant>
        <vt:i4>0</vt:i4>
      </vt:variant>
      <vt:variant>
        <vt:i4>0</vt:i4>
      </vt:variant>
      <vt:variant>
        <vt:i4>5</vt:i4>
      </vt:variant>
      <vt:variant>
        <vt:lpwstr>mailto:saianotificaciones@dosquebradas.gov.co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13</cp:revision>
  <cp:lastPrinted>2023-01-10T21:18:00Z</cp:lastPrinted>
  <dcterms:created xsi:type="dcterms:W3CDTF">2026-03-18T15:06:00Z</dcterms:created>
  <dcterms:modified xsi:type="dcterms:W3CDTF">2026-03-26T15:05:00Z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