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FCB22" w14:textId="09827E81" w:rsidR="008E53E8" w:rsidRDefault="00C15139" w:rsidP="00241959">
      <w:pPr>
        <w:spacing w:after="0"/>
        <w:rPr>
          <w:rFonts w:ascii="Verdana" w:eastAsia="Verdana" w:hAnsi="Verdana" w:cs="Verdana"/>
        </w:rPr>
      </w:pPr>
      <w:bookmarkStart w:id="0" w:name="_Hlk143780582"/>
      <w:r w:rsidRPr="30821638">
        <w:rPr>
          <w:rFonts w:ascii="Verdana" w:eastAsia="Verdana" w:hAnsi="Verdana" w:cs="Verdana"/>
        </w:rPr>
        <w:t>Bogotá D.C., [Día] [</w:t>
      </w:r>
      <w:proofErr w:type="spellStart"/>
      <w:r w:rsidRPr="30821638">
        <w:rPr>
          <w:rFonts w:ascii="Verdana" w:eastAsia="Verdana" w:hAnsi="Verdana" w:cs="Verdana"/>
        </w:rPr>
        <w:t>Mes.NombreCapitalizado</w:t>
      </w:r>
      <w:proofErr w:type="spellEnd"/>
      <w:r w:rsidRPr="30821638">
        <w:rPr>
          <w:rFonts w:ascii="Verdana" w:eastAsia="Verdana" w:hAnsi="Verdana" w:cs="Verdana"/>
        </w:rPr>
        <w:t>] [Año]</w:t>
      </w:r>
      <w:r>
        <w:tab/>
      </w:r>
      <w:r>
        <w:br/>
      </w:r>
      <w:r>
        <w:tab/>
      </w:r>
    </w:p>
    <w:p w14:paraId="0240E246" w14:textId="77777777" w:rsidR="008E53E8" w:rsidRDefault="008E53E8" w:rsidP="008E53E8">
      <w:pPr>
        <w:spacing w:after="0"/>
        <w:rPr>
          <w:rFonts w:ascii="Verdana" w:eastAsia="Verdana" w:hAnsi="Verdana" w:cs="Verdana"/>
        </w:rPr>
      </w:pPr>
    </w:p>
    <w:p w14:paraId="0E3541EB"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Finalidad </w:t>
      </w:r>
    </w:p>
    <w:p w14:paraId="2C2E877A" w14:textId="77777777" w:rsidR="008E53E8" w:rsidRDefault="008E53E8" w:rsidP="008E53E8">
      <w:pPr>
        <w:spacing w:after="0" w:line="240" w:lineRule="auto"/>
        <w:jc w:val="both"/>
        <w:rPr>
          <w:rFonts w:ascii="Verdana" w:eastAsia="Calibri" w:hAnsi="Verdana" w:cs="Arial"/>
          <w:b/>
          <w:lang w:val="es-ES" w:eastAsia="es-ES"/>
        </w:rPr>
      </w:pPr>
    </w:p>
    <w:p w14:paraId="10101928" w14:textId="77777777" w:rsidR="008E53E8" w:rsidRPr="00561B0A" w:rsidRDefault="008E53E8" w:rsidP="008E53E8">
      <w:pPr>
        <w:spacing w:after="0" w:line="240" w:lineRule="auto"/>
        <w:jc w:val="both"/>
        <w:rPr>
          <w:rFonts w:ascii="Verdana" w:eastAsia="Calibri" w:hAnsi="Verdana" w:cs="Arial"/>
          <w:sz w:val="20"/>
          <w:lang w:val="es-ES" w:eastAsia="es-ES"/>
        </w:rPr>
      </w:pPr>
      <w:r w:rsidRPr="00561B0A">
        <w:rPr>
          <w:rFonts w:ascii="Verdana" w:eastAsia="Calibri" w:hAnsi="Verdana" w:cs="Arial"/>
          <w:sz w:val="20"/>
          <w:lang w:val="es-MX" w:eastAsia="es-ES"/>
        </w:rPr>
        <w:t>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54A1D218" w14:textId="77777777" w:rsidR="008E53E8" w:rsidRPr="00561B0A" w:rsidRDefault="008E53E8" w:rsidP="008E53E8">
      <w:pPr>
        <w:spacing w:after="0" w:line="240" w:lineRule="auto"/>
        <w:jc w:val="both"/>
        <w:rPr>
          <w:rFonts w:ascii="Verdana" w:eastAsia="Calibri" w:hAnsi="Verdana" w:cs="Arial"/>
          <w:b/>
          <w:lang w:val="es-ES" w:eastAsia="es-ES"/>
        </w:rPr>
      </w:pPr>
    </w:p>
    <w:p w14:paraId="5F05D642"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Tipos de restricciones ‒ Ámbito temporal – </w:t>
      </w:r>
      <w:r>
        <w:rPr>
          <w:rFonts w:ascii="Verdana" w:eastAsia="Calibri" w:hAnsi="Verdana" w:cs="Arial"/>
          <w:b/>
          <w:lang w:val="es-ES" w:eastAsia="es-ES"/>
        </w:rPr>
        <w:t>C</w:t>
      </w:r>
      <w:r w:rsidRPr="00561B0A">
        <w:rPr>
          <w:rFonts w:ascii="Verdana" w:eastAsia="Calibri" w:hAnsi="Verdana" w:cs="Arial"/>
          <w:b/>
          <w:lang w:val="es-ES" w:eastAsia="es-ES"/>
        </w:rPr>
        <w:t>elebración</w:t>
      </w:r>
      <w:r>
        <w:rPr>
          <w:rFonts w:ascii="Verdana" w:eastAsia="Calibri" w:hAnsi="Verdana" w:cs="Arial"/>
          <w:b/>
          <w:lang w:val="es-ES" w:eastAsia="es-ES"/>
        </w:rPr>
        <w:t xml:space="preserve"> </w:t>
      </w:r>
      <w:r w:rsidRPr="00BE3D4E">
        <w:rPr>
          <w:rFonts w:ascii="Verdana" w:eastAsia="Calibri" w:hAnsi="Verdana" w:cs="Arial"/>
          <w:b/>
          <w:bCs/>
          <w:lang w:eastAsia="es-ES"/>
        </w:rPr>
        <w:t>–</w:t>
      </w:r>
      <w:r w:rsidRPr="00561B0A">
        <w:rPr>
          <w:rFonts w:ascii="Verdana" w:eastAsia="Calibri" w:hAnsi="Verdana" w:cs="Arial"/>
          <w:b/>
          <w:lang w:val="es-ES" w:eastAsia="es-ES"/>
        </w:rPr>
        <w:t xml:space="preserve"> </w:t>
      </w:r>
      <w:r>
        <w:rPr>
          <w:rFonts w:ascii="Verdana" w:eastAsia="Calibri" w:hAnsi="Verdana" w:cs="Arial"/>
          <w:b/>
          <w:lang w:val="es-ES" w:eastAsia="es-ES"/>
        </w:rPr>
        <w:t>L</w:t>
      </w:r>
      <w:r w:rsidRPr="00561B0A">
        <w:rPr>
          <w:rFonts w:ascii="Verdana" w:eastAsia="Calibri" w:hAnsi="Verdana" w:cs="Arial"/>
          <w:b/>
          <w:lang w:val="es-ES" w:eastAsia="es-ES"/>
        </w:rPr>
        <w:t>ímite</w:t>
      </w:r>
    </w:p>
    <w:p w14:paraId="7DF97F42" w14:textId="77777777" w:rsidR="008E53E8" w:rsidRDefault="008E53E8" w:rsidP="008E53E8">
      <w:pPr>
        <w:spacing w:after="0" w:line="240" w:lineRule="auto"/>
        <w:jc w:val="both"/>
        <w:rPr>
          <w:rFonts w:ascii="Verdana" w:eastAsia="Calibri" w:hAnsi="Verdana" w:cs="Arial"/>
          <w:b/>
          <w:lang w:val="es-ES" w:eastAsia="es-ES"/>
        </w:rPr>
      </w:pPr>
    </w:p>
    <w:p w14:paraId="67940CA6" w14:textId="77777777" w:rsidR="008E53E8"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i/>
          <w:iCs/>
          <w:sz w:val="20"/>
          <w:lang w:eastAsia="es-ES"/>
        </w:rPr>
        <w:t>Por un lado</w:t>
      </w:r>
      <w:r w:rsidRPr="00561B0A">
        <w:rPr>
          <w:rFonts w:ascii="Verdana" w:eastAsia="Calibri" w:hAnsi="Verdana" w:cs="Arial"/>
          <w:sz w:val="20"/>
          <w:lang w:eastAsia="es-ES"/>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5B617F1" w14:textId="77777777" w:rsidR="008E53E8" w:rsidRPr="00561B0A" w:rsidRDefault="008E53E8" w:rsidP="008E53E8">
      <w:pPr>
        <w:spacing w:after="0" w:line="240" w:lineRule="auto"/>
        <w:jc w:val="both"/>
        <w:rPr>
          <w:rFonts w:ascii="Verdana" w:eastAsia="Calibri" w:hAnsi="Verdana" w:cs="Arial"/>
          <w:sz w:val="20"/>
          <w:lang w:eastAsia="es-ES"/>
        </w:rPr>
      </w:pPr>
    </w:p>
    <w:p w14:paraId="25C15803" w14:textId="77777777" w:rsidR="008E53E8" w:rsidRPr="00561B0A" w:rsidRDefault="008E53E8" w:rsidP="008E53E8">
      <w:pPr>
        <w:spacing w:after="0" w:line="240" w:lineRule="auto"/>
        <w:jc w:val="both"/>
        <w:rPr>
          <w:rFonts w:ascii="Verdana" w:eastAsia="Calibri" w:hAnsi="Verdana" w:cs="Arial"/>
          <w:sz w:val="20"/>
          <w:lang w:val="es-ES" w:eastAsia="es-ES" w:bidi="es-ES"/>
        </w:rPr>
      </w:pPr>
      <w:r w:rsidRPr="00561B0A">
        <w:rPr>
          <w:rFonts w:ascii="Verdana" w:eastAsia="Calibri" w:hAnsi="Verdana" w:cs="Arial"/>
          <w:i/>
          <w:iCs/>
          <w:sz w:val="20"/>
          <w:lang w:eastAsia="es-ES"/>
        </w:rPr>
        <w:t>Por otro</w:t>
      </w:r>
      <w:r w:rsidRPr="00561B0A">
        <w:rPr>
          <w:rFonts w:ascii="Verdana" w:eastAsia="Calibri" w:hAnsi="Verdana" w:cs="Arial"/>
          <w:sz w:val="20"/>
          <w:lang w:eastAsia="es-ES"/>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561B0A">
        <w:rPr>
          <w:rFonts w:ascii="Verdana" w:eastAsia="Calibri" w:hAnsi="Verdana" w:cs="Arial"/>
          <w:sz w:val="20"/>
          <w:lang w:val="es-MX" w:eastAsia="es-ES"/>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61B0A">
        <w:rPr>
          <w:rFonts w:ascii="Verdana" w:eastAsia="Calibri" w:hAnsi="Verdana" w:cs="Arial"/>
          <w:sz w:val="20"/>
          <w:lang w:eastAsia="es-ES"/>
        </w:rPr>
        <w:t>”</w:t>
      </w:r>
      <w:r w:rsidRPr="00561B0A">
        <w:rPr>
          <w:rFonts w:ascii="Verdana" w:eastAsia="Calibri" w:hAnsi="Verdana" w:cs="Arial"/>
          <w:sz w:val="20"/>
          <w:lang w:val="es-MX" w:eastAsia="es-ES"/>
        </w:rPr>
        <w:t>.</w:t>
      </w:r>
      <w:r w:rsidRPr="00561B0A">
        <w:rPr>
          <w:rFonts w:ascii="Verdana" w:eastAsia="Calibri" w:hAnsi="Verdana" w:cs="Arial"/>
          <w:sz w:val="20"/>
          <w:lang w:val="es-ES" w:eastAsia="es-ES" w:bidi="es-ES"/>
        </w:rPr>
        <w:t xml:space="preserve"> La Sala de Consulta y Servicio Civil del Consejo de Estado ha aclarado la distinción en la aplicación de las prohibiciones de la Ley 996 de 2005, dependiendo del tipo de elección que se trate. </w:t>
      </w:r>
    </w:p>
    <w:p w14:paraId="055A2E4E" w14:textId="77777777" w:rsidR="008E53E8" w:rsidRPr="00561B0A" w:rsidRDefault="008E53E8" w:rsidP="008E53E8">
      <w:pPr>
        <w:spacing w:after="0" w:line="240" w:lineRule="auto"/>
        <w:jc w:val="both"/>
        <w:rPr>
          <w:rFonts w:ascii="Verdana" w:eastAsia="Calibri" w:hAnsi="Verdana" w:cs="Arial"/>
          <w:b/>
          <w:lang w:val="es-ES" w:eastAsia="es-ES"/>
        </w:rPr>
      </w:pPr>
    </w:p>
    <w:p w14:paraId="6FAF1730"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artículo 33 – Contratación directa – Alcance </w:t>
      </w:r>
    </w:p>
    <w:p w14:paraId="2B1976C3" w14:textId="77777777" w:rsidR="008E53E8" w:rsidRDefault="008E53E8" w:rsidP="008E53E8">
      <w:pPr>
        <w:spacing w:after="0" w:line="240" w:lineRule="auto"/>
        <w:jc w:val="both"/>
        <w:rPr>
          <w:rFonts w:ascii="Verdana" w:eastAsia="Calibri" w:hAnsi="Verdana" w:cs="Arial"/>
          <w:b/>
          <w:lang w:val="es-ES" w:eastAsia="es-ES"/>
        </w:rPr>
      </w:pPr>
    </w:p>
    <w:p w14:paraId="0AEDE717" w14:textId="77777777" w:rsidR="008E53E8" w:rsidRPr="00561B0A"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w:t>
      </w:r>
      <w:r w:rsidRPr="00561B0A">
        <w:rPr>
          <w:rFonts w:ascii="Verdana" w:eastAsia="Calibri" w:hAnsi="Verdana" w:cs="Arial"/>
          <w:sz w:val="20"/>
          <w:lang w:eastAsia="es-ES"/>
        </w:rPr>
        <w:lastRenderedPageBreak/>
        <w:t xml:space="preserve">introdujo la selección abreviada, rediseñó el concurso de méritos y sistematizó las causales de contratación directa. </w:t>
      </w:r>
    </w:p>
    <w:p w14:paraId="63C7256F" w14:textId="77777777" w:rsidR="008E53E8" w:rsidRPr="00561B0A" w:rsidRDefault="008E53E8" w:rsidP="008E53E8">
      <w:pPr>
        <w:spacing w:after="0" w:line="240" w:lineRule="auto"/>
        <w:jc w:val="both"/>
        <w:rPr>
          <w:rFonts w:ascii="Verdana" w:eastAsia="Calibri" w:hAnsi="Verdana" w:cs="Arial"/>
          <w:bCs/>
          <w:sz w:val="20"/>
          <w:lang w:eastAsia="es-ES"/>
        </w:rPr>
      </w:pPr>
    </w:p>
    <w:p w14:paraId="69F4097C" w14:textId="77777777" w:rsidR="008E53E8" w:rsidRPr="00561B0A"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t>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p>
    <w:p w14:paraId="521CC50B" w14:textId="77777777" w:rsidR="008E53E8" w:rsidRPr="00561B0A" w:rsidRDefault="008E53E8" w:rsidP="008E53E8">
      <w:pPr>
        <w:spacing w:after="0" w:line="240" w:lineRule="auto"/>
        <w:jc w:val="both"/>
        <w:rPr>
          <w:rFonts w:ascii="Verdana" w:eastAsia="Calibri" w:hAnsi="Verdana" w:cs="Arial"/>
          <w:b/>
          <w:lang w:val="es-ES" w:eastAsia="es-ES"/>
        </w:rPr>
      </w:pPr>
    </w:p>
    <w:p w14:paraId="34C01F86"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del artículo 33 – Destinatarios </w:t>
      </w:r>
    </w:p>
    <w:p w14:paraId="49861A11" w14:textId="77777777" w:rsidR="008E53E8" w:rsidRDefault="008E53E8" w:rsidP="008E53E8">
      <w:pPr>
        <w:spacing w:after="0" w:line="240" w:lineRule="auto"/>
        <w:jc w:val="both"/>
        <w:rPr>
          <w:rFonts w:ascii="Verdana" w:eastAsia="Calibri" w:hAnsi="Verdana" w:cs="Arial"/>
          <w:b/>
          <w:lang w:val="es-ES" w:eastAsia="es-ES"/>
        </w:rPr>
      </w:pPr>
    </w:p>
    <w:p w14:paraId="38A2D578" w14:textId="77777777" w:rsidR="008E53E8" w:rsidRPr="00561B0A" w:rsidRDefault="008E53E8" w:rsidP="008E53E8">
      <w:pPr>
        <w:spacing w:after="0" w:line="240" w:lineRule="auto"/>
        <w:jc w:val="both"/>
        <w:rPr>
          <w:rFonts w:ascii="Verdana" w:eastAsia="Calibri" w:hAnsi="Verdana" w:cs="Arial"/>
          <w:bCs/>
          <w:sz w:val="20"/>
          <w:lang w:val="es-MX" w:eastAsia="es-ES"/>
        </w:rPr>
      </w:pPr>
      <w:r w:rsidRPr="00561B0A">
        <w:rPr>
          <w:rFonts w:ascii="Verdana" w:eastAsia="Calibri" w:hAnsi="Verdana" w:cs="Arial"/>
          <w:bCs/>
          <w:sz w:val="20"/>
          <w:lang w:val="es-MX" w:eastAsia="es-ES"/>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En efecto, tal como lo ha sostenido el Consejo de Estado, el vocablo “todos” utilizado por el legislador comprende</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59E42785" w14:textId="77777777" w:rsidR="008E53E8" w:rsidRPr="00561B0A" w:rsidRDefault="008E53E8" w:rsidP="008E53E8">
      <w:pPr>
        <w:spacing w:after="0" w:line="240" w:lineRule="auto"/>
        <w:jc w:val="both"/>
        <w:rPr>
          <w:rFonts w:ascii="Verdana" w:eastAsia="Calibri" w:hAnsi="Verdana" w:cs="Arial"/>
          <w:b/>
          <w:lang w:val="es-ES" w:eastAsia="es-ES"/>
        </w:rPr>
      </w:pPr>
    </w:p>
    <w:p w14:paraId="20CD0BBC"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Condiciones de igualdad – Contratación directa </w:t>
      </w:r>
    </w:p>
    <w:p w14:paraId="7547ECC8" w14:textId="77777777" w:rsidR="008E53E8" w:rsidRDefault="008E53E8" w:rsidP="008E53E8">
      <w:pPr>
        <w:spacing w:after="0" w:line="240" w:lineRule="auto"/>
        <w:jc w:val="both"/>
        <w:rPr>
          <w:rFonts w:ascii="Verdana" w:eastAsia="Calibri" w:hAnsi="Verdana" w:cs="Arial"/>
          <w:b/>
          <w:lang w:val="es-ES" w:eastAsia="es-ES"/>
        </w:rPr>
      </w:pPr>
    </w:p>
    <w:p w14:paraId="6353AB6A" w14:textId="77777777" w:rsidR="008E53E8" w:rsidRPr="004D6761" w:rsidRDefault="008E53E8" w:rsidP="008E53E8">
      <w:pPr>
        <w:spacing w:after="0" w:line="240" w:lineRule="auto"/>
        <w:jc w:val="both"/>
        <w:rPr>
          <w:rFonts w:ascii="Verdana" w:eastAsia="Calibri" w:hAnsi="Verdana" w:cs="Arial"/>
          <w:bCs/>
          <w:sz w:val="20"/>
          <w:lang w:val="es-MX" w:eastAsia="es-ES"/>
        </w:rPr>
      </w:pPr>
      <w:r w:rsidRPr="004D6761">
        <w:rPr>
          <w:rFonts w:ascii="Verdana" w:eastAsia="Calibri" w:hAnsi="Verdana" w:cs="Arial"/>
          <w:sz w:val="20"/>
          <w:lang w:val="es-MX" w:eastAsia="es-ES"/>
        </w:rPr>
        <w:t xml:space="preserve">Por lo tanto, la restricción prevista en la Ley 996 de 2005, </w:t>
      </w:r>
      <w:r w:rsidRPr="004D6761">
        <w:rPr>
          <w:rFonts w:ascii="Verdana" w:eastAsia="Calibri" w:hAnsi="Verdana" w:cs="Arial"/>
          <w:bCs/>
          <w:sz w:val="20"/>
          <w:lang w:val="es-MX" w:eastAsia="es-ES"/>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BE3FDF7" w14:textId="77777777" w:rsidR="008E53E8" w:rsidRPr="004D6761" w:rsidRDefault="008E53E8" w:rsidP="008E53E8">
      <w:pPr>
        <w:spacing w:after="0" w:line="240" w:lineRule="auto"/>
        <w:jc w:val="both"/>
        <w:rPr>
          <w:rFonts w:ascii="Verdana" w:eastAsia="Calibri" w:hAnsi="Verdana" w:cs="Arial"/>
          <w:sz w:val="20"/>
          <w:lang w:val="es-MX" w:eastAsia="es-ES"/>
        </w:rPr>
      </w:pPr>
    </w:p>
    <w:p w14:paraId="1492BB42"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LEY DE GARANTÍAS ELECTORALES – Contratación Directa – Excepciones</w:t>
      </w:r>
    </w:p>
    <w:p w14:paraId="5C26943D" w14:textId="77777777" w:rsidR="008E53E8" w:rsidRDefault="008E53E8" w:rsidP="008E53E8">
      <w:pPr>
        <w:spacing w:after="0" w:line="240" w:lineRule="auto"/>
        <w:jc w:val="both"/>
        <w:rPr>
          <w:rFonts w:ascii="Verdana" w:eastAsia="Calibri" w:hAnsi="Verdana" w:cs="Arial"/>
          <w:b/>
          <w:lang w:val="es-ES" w:eastAsia="es-ES"/>
        </w:rPr>
      </w:pPr>
    </w:p>
    <w:p w14:paraId="4F11CA04" w14:textId="77777777" w:rsidR="008E53E8" w:rsidRDefault="008E53E8" w:rsidP="008E53E8">
      <w:pPr>
        <w:spacing w:after="0" w:line="240" w:lineRule="auto"/>
        <w:jc w:val="both"/>
        <w:rPr>
          <w:rFonts w:ascii="Verdana" w:eastAsia="Calibri" w:hAnsi="Verdana" w:cs="Arial"/>
          <w:iCs/>
          <w:sz w:val="20"/>
          <w:lang w:val="es-ES" w:eastAsia="es-ES"/>
        </w:rPr>
      </w:pPr>
      <w:r w:rsidRPr="004D6761">
        <w:rPr>
          <w:rFonts w:ascii="Verdana" w:eastAsia="Calibri" w:hAnsi="Verdana" w:cs="Arial"/>
          <w:iCs/>
          <w:sz w:val="20"/>
          <w:lang w:eastAsia="es-ES"/>
        </w:rPr>
        <w:t xml:space="preserve">Las excepciones están </w:t>
      </w:r>
      <w:r w:rsidRPr="004D6761">
        <w:rPr>
          <w:rFonts w:ascii="Verdana" w:eastAsia="Calibri" w:hAnsi="Verdana" w:cs="Arial"/>
          <w:bCs/>
          <w:sz w:val="20"/>
          <w:lang w:val="es-MX" w:eastAsia="es-ES"/>
        </w:rPr>
        <w:t xml:space="preserve">consagradas de forma expresa en el inciso final del citado artículo 33 de la Ley 996 de 2005 en lo referente a i) la defensa y seguridad del Estado; </w:t>
      </w:r>
      <w:proofErr w:type="spellStart"/>
      <w:r w:rsidRPr="004D6761">
        <w:rPr>
          <w:rFonts w:ascii="Verdana" w:eastAsia="Calibri" w:hAnsi="Verdana" w:cs="Arial"/>
          <w:bCs/>
          <w:sz w:val="20"/>
          <w:lang w:val="es-MX" w:eastAsia="es-ES"/>
        </w:rPr>
        <w:t>ii</w:t>
      </w:r>
      <w:proofErr w:type="spellEnd"/>
      <w:r w:rsidRPr="004D6761">
        <w:rPr>
          <w:rFonts w:ascii="Verdana" w:eastAsia="Calibri" w:hAnsi="Verdana" w:cs="Arial"/>
          <w:bCs/>
          <w:sz w:val="20"/>
          <w:lang w:val="es-MX" w:eastAsia="es-ES"/>
        </w:rPr>
        <w:t xml:space="preserve">) los contratos de crédito público; </w:t>
      </w:r>
      <w:proofErr w:type="spellStart"/>
      <w:r w:rsidRPr="004D6761">
        <w:rPr>
          <w:rFonts w:ascii="Verdana" w:eastAsia="Calibri" w:hAnsi="Verdana" w:cs="Arial"/>
          <w:bCs/>
          <w:sz w:val="20"/>
          <w:lang w:val="es-MX" w:eastAsia="es-ES"/>
        </w:rPr>
        <w:t>iii</w:t>
      </w:r>
      <w:proofErr w:type="spellEnd"/>
      <w:r w:rsidRPr="004D6761">
        <w:rPr>
          <w:rFonts w:ascii="Verdana" w:eastAsia="Calibri" w:hAnsi="Verdana" w:cs="Arial"/>
          <w:bCs/>
          <w:sz w:val="20"/>
          <w:lang w:val="es-MX" w:eastAsia="es-ES"/>
        </w:rPr>
        <w:t xml:space="preserve">) los requeridos para cubrir las emergencias educativas, sanitarias y desastres; </w:t>
      </w:r>
      <w:proofErr w:type="spellStart"/>
      <w:r w:rsidRPr="004D6761">
        <w:rPr>
          <w:rFonts w:ascii="Verdana" w:eastAsia="Calibri" w:hAnsi="Verdana" w:cs="Arial"/>
          <w:bCs/>
          <w:sz w:val="20"/>
          <w:lang w:val="es-MX" w:eastAsia="es-ES"/>
        </w:rPr>
        <w:t>iv</w:t>
      </w:r>
      <w:proofErr w:type="spellEnd"/>
      <w:r w:rsidRPr="004D6761">
        <w:rPr>
          <w:rFonts w:ascii="Verdana" w:eastAsia="Calibri" w:hAnsi="Verdana" w:cs="Arial"/>
          <w:bCs/>
          <w:sz w:val="20"/>
          <w:lang w:val="es-MX" w:eastAsia="es-ES"/>
        </w:rPr>
        <w:t xml:space="preserve">) los utilizados para la reconstrucción de vías, puentes, carreteras, infraestructura energética y de comunicaciones, en caso de que hayan sido </w:t>
      </w:r>
      <w:r w:rsidRPr="004D6761">
        <w:rPr>
          <w:rFonts w:ascii="Verdana" w:eastAsia="Calibri" w:hAnsi="Verdana" w:cs="Arial"/>
          <w:bCs/>
          <w:sz w:val="20"/>
          <w:lang w:val="es-MX" w:eastAsia="es-ES"/>
        </w:rPr>
        <w:lastRenderedPageBreak/>
        <w:t xml:space="preserve">objeto de atentados, acciones terroristas, desastres naturales o casos de fuerza mayor; y, v) los que deban realizar las entidades sanitarias y hospitalarias. Así mismo, la Corte Constitucional en la Sentencia C-1153 de 2005 señaló que la expresión </w:t>
      </w:r>
      <w:r w:rsidRPr="004D6761">
        <w:rPr>
          <w:rFonts w:ascii="Verdana" w:eastAsia="Calibri" w:hAnsi="Verdana" w:cs="Arial"/>
          <w:i/>
          <w:iCs/>
          <w:sz w:val="20"/>
          <w:lang w:val="es-ES" w:eastAsia="es-ES"/>
        </w:rPr>
        <w:t xml:space="preserve">“adicionalmente se exceptúan aquellos gastos inaplazables e imprescindibles que afecten el normal funcionamiento de la administración” </w:t>
      </w:r>
      <w:r w:rsidRPr="004D6761">
        <w:rPr>
          <w:rFonts w:ascii="Verdana" w:eastAsia="Calibri" w:hAnsi="Verdana" w:cs="Arial"/>
          <w:iCs/>
          <w:sz w:val="20"/>
          <w:lang w:val="es-ES" w:eastAsia="es-ES"/>
        </w:rPr>
        <w:t>regulada como excepción en el artículo 33</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Por tanto, dicha expresión fue declarada inexequible, razón por la cual no es posible que las entidades argumenten razones como esta para exceptuar la restricción del artículo 33.</w:t>
      </w:r>
    </w:p>
    <w:p w14:paraId="787FDDD5" w14:textId="77777777" w:rsidR="008E53E8" w:rsidRPr="004D6761" w:rsidRDefault="008E53E8" w:rsidP="008E53E8">
      <w:pPr>
        <w:spacing w:after="0" w:line="240" w:lineRule="auto"/>
        <w:jc w:val="both"/>
        <w:rPr>
          <w:rFonts w:ascii="Verdana" w:eastAsia="Calibri" w:hAnsi="Verdana" w:cs="Arial"/>
          <w:sz w:val="20"/>
          <w:lang w:val="es-ES" w:eastAsia="es-ES"/>
        </w:rPr>
      </w:pPr>
    </w:p>
    <w:p w14:paraId="5C6E212C" w14:textId="77777777" w:rsidR="008E53E8" w:rsidRPr="00CE10ED" w:rsidRDefault="008E53E8" w:rsidP="008E53E8">
      <w:pPr>
        <w:spacing w:after="0"/>
        <w:rPr>
          <w:rFonts w:ascii="Verdana" w:eastAsia="Verdana" w:hAnsi="Verdana" w:cs="Verdana"/>
          <w:lang w:val="es-ES"/>
        </w:rPr>
      </w:pPr>
    </w:p>
    <w:p w14:paraId="07FB8B4D" w14:textId="77777777" w:rsidR="008E53E8" w:rsidRDefault="008E53E8" w:rsidP="008E53E8">
      <w:pPr>
        <w:spacing w:after="0"/>
        <w:rPr>
          <w:rFonts w:ascii="Verdana" w:eastAsia="Verdana" w:hAnsi="Verdana" w:cs="Verdana"/>
        </w:rPr>
      </w:pPr>
    </w:p>
    <w:p w14:paraId="581BB52E" w14:textId="77777777" w:rsidR="008E53E8" w:rsidRDefault="008E53E8" w:rsidP="008E53E8">
      <w:pPr>
        <w:spacing w:after="0"/>
        <w:rPr>
          <w:rFonts w:ascii="Verdana" w:eastAsia="Verdana" w:hAnsi="Verdana" w:cs="Verdana"/>
        </w:rPr>
      </w:pPr>
    </w:p>
    <w:p w14:paraId="3A0285FF" w14:textId="77777777" w:rsidR="008E53E8" w:rsidRDefault="008E53E8" w:rsidP="008E53E8">
      <w:pPr>
        <w:spacing w:after="0"/>
        <w:rPr>
          <w:rFonts w:ascii="Verdana" w:eastAsia="Verdana" w:hAnsi="Verdana" w:cs="Verdana"/>
        </w:rPr>
      </w:pPr>
    </w:p>
    <w:p w14:paraId="0DDB4AC7" w14:textId="77777777" w:rsidR="008E53E8" w:rsidRDefault="008E53E8" w:rsidP="008E53E8">
      <w:pPr>
        <w:spacing w:after="0"/>
        <w:rPr>
          <w:rFonts w:ascii="Verdana" w:eastAsia="Verdana" w:hAnsi="Verdana" w:cs="Verdana"/>
        </w:rPr>
      </w:pPr>
    </w:p>
    <w:p w14:paraId="30D05E2E" w14:textId="77777777" w:rsidR="008E53E8" w:rsidRDefault="008E53E8" w:rsidP="008E53E8">
      <w:pPr>
        <w:spacing w:after="0"/>
        <w:rPr>
          <w:rFonts w:ascii="Verdana" w:eastAsia="Verdana" w:hAnsi="Verdana" w:cs="Verdana"/>
        </w:rPr>
      </w:pPr>
    </w:p>
    <w:p w14:paraId="44B9D2CB" w14:textId="77777777" w:rsidR="008E53E8" w:rsidRDefault="008E53E8" w:rsidP="008E53E8">
      <w:pPr>
        <w:spacing w:after="0"/>
        <w:rPr>
          <w:rFonts w:ascii="Verdana" w:eastAsia="Verdana" w:hAnsi="Verdana" w:cs="Verdana"/>
        </w:rPr>
      </w:pPr>
    </w:p>
    <w:p w14:paraId="27D8858C" w14:textId="77777777" w:rsidR="008E53E8" w:rsidRDefault="008E53E8" w:rsidP="008E53E8">
      <w:pPr>
        <w:spacing w:after="0"/>
        <w:rPr>
          <w:rFonts w:ascii="Verdana" w:eastAsia="Verdana" w:hAnsi="Verdana" w:cs="Verdana"/>
        </w:rPr>
      </w:pPr>
    </w:p>
    <w:p w14:paraId="3888107F" w14:textId="77777777" w:rsidR="008E53E8" w:rsidRDefault="008E53E8" w:rsidP="008E53E8">
      <w:pPr>
        <w:spacing w:after="0"/>
        <w:rPr>
          <w:rFonts w:ascii="Verdana" w:eastAsia="Verdana" w:hAnsi="Verdana" w:cs="Verdana"/>
        </w:rPr>
      </w:pPr>
    </w:p>
    <w:p w14:paraId="56ED9A4C" w14:textId="77777777" w:rsidR="008E53E8" w:rsidRDefault="008E53E8" w:rsidP="008E53E8">
      <w:pPr>
        <w:spacing w:after="0"/>
        <w:rPr>
          <w:rFonts w:ascii="Verdana" w:eastAsia="Verdana" w:hAnsi="Verdana" w:cs="Verdana"/>
        </w:rPr>
      </w:pPr>
    </w:p>
    <w:p w14:paraId="74453E5B" w14:textId="77777777" w:rsidR="008E53E8" w:rsidRDefault="008E53E8" w:rsidP="008E53E8">
      <w:pPr>
        <w:spacing w:after="0"/>
        <w:rPr>
          <w:rFonts w:ascii="Verdana" w:eastAsia="Verdana" w:hAnsi="Verdana" w:cs="Verdana"/>
        </w:rPr>
      </w:pPr>
    </w:p>
    <w:p w14:paraId="1F7626B7" w14:textId="77777777" w:rsidR="008E53E8" w:rsidRDefault="008E53E8" w:rsidP="008E53E8">
      <w:pPr>
        <w:spacing w:after="0"/>
        <w:rPr>
          <w:rFonts w:ascii="Verdana" w:eastAsia="Verdana" w:hAnsi="Verdana" w:cs="Verdana"/>
        </w:rPr>
      </w:pPr>
    </w:p>
    <w:p w14:paraId="12B8057D" w14:textId="77777777" w:rsidR="008E53E8" w:rsidRDefault="008E53E8" w:rsidP="008E53E8">
      <w:pPr>
        <w:spacing w:after="0"/>
        <w:rPr>
          <w:rFonts w:ascii="Verdana" w:eastAsia="Verdana" w:hAnsi="Verdana" w:cs="Verdana"/>
        </w:rPr>
      </w:pPr>
    </w:p>
    <w:p w14:paraId="38B73911" w14:textId="77777777" w:rsidR="008E53E8" w:rsidRDefault="008E53E8" w:rsidP="008E53E8">
      <w:pPr>
        <w:spacing w:after="0"/>
        <w:rPr>
          <w:rFonts w:ascii="Verdana" w:eastAsia="Verdana" w:hAnsi="Verdana" w:cs="Verdana"/>
        </w:rPr>
      </w:pPr>
    </w:p>
    <w:p w14:paraId="681524E7" w14:textId="77777777" w:rsidR="008E53E8" w:rsidRDefault="008E53E8" w:rsidP="008E53E8">
      <w:pPr>
        <w:spacing w:after="0"/>
        <w:rPr>
          <w:rFonts w:ascii="Verdana" w:eastAsia="Verdana" w:hAnsi="Verdana" w:cs="Verdana"/>
        </w:rPr>
      </w:pPr>
    </w:p>
    <w:p w14:paraId="0E35A90F" w14:textId="77777777" w:rsidR="008E53E8" w:rsidRDefault="008E53E8" w:rsidP="008E53E8">
      <w:pPr>
        <w:spacing w:after="0"/>
        <w:rPr>
          <w:rFonts w:ascii="Verdana" w:eastAsia="Verdana" w:hAnsi="Verdana" w:cs="Verdana"/>
        </w:rPr>
      </w:pPr>
    </w:p>
    <w:p w14:paraId="3BA35095" w14:textId="77777777" w:rsidR="008E53E8" w:rsidRDefault="008E53E8" w:rsidP="008E53E8">
      <w:pPr>
        <w:spacing w:after="0"/>
        <w:rPr>
          <w:rFonts w:ascii="Verdana" w:eastAsia="Verdana" w:hAnsi="Verdana" w:cs="Verdana"/>
        </w:rPr>
      </w:pPr>
    </w:p>
    <w:p w14:paraId="03573D73" w14:textId="77777777" w:rsidR="008E53E8" w:rsidRDefault="008E53E8" w:rsidP="008E53E8">
      <w:pPr>
        <w:spacing w:after="0"/>
        <w:rPr>
          <w:rFonts w:ascii="Verdana" w:eastAsia="Verdana" w:hAnsi="Verdana" w:cs="Verdana"/>
        </w:rPr>
      </w:pPr>
    </w:p>
    <w:p w14:paraId="44DD05AC" w14:textId="77777777" w:rsidR="008E53E8" w:rsidRDefault="008E53E8" w:rsidP="008E53E8">
      <w:pPr>
        <w:spacing w:after="0"/>
        <w:rPr>
          <w:rFonts w:ascii="Verdana" w:eastAsia="Verdana" w:hAnsi="Verdana" w:cs="Verdana"/>
        </w:rPr>
      </w:pPr>
    </w:p>
    <w:p w14:paraId="6E2F675B" w14:textId="77777777" w:rsidR="008E53E8" w:rsidRDefault="008E53E8" w:rsidP="008E53E8">
      <w:pPr>
        <w:spacing w:after="0"/>
        <w:rPr>
          <w:rFonts w:ascii="Verdana" w:eastAsia="Verdana" w:hAnsi="Verdana" w:cs="Verdana"/>
        </w:rPr>
      </w:pPr>
    </w:p>
    <w:p w14:paraId="2B9D0007" w14:textId="77777777" w:rsidR="008E53E8" w:rsidRDefault="008E53E8" w:rsidP="008E53E8">
      <w:pPr>
        <w:spacing w:after="0"/>
        <w:rPr>
          <w:rFonts w:ascii="Verdana" w:eastAsia="Verdana" w:hAnsi="Verdana" w:cs="Verdana"/>
        </w:rPr>
      </w:pPr>
    </w:p>
    <w:p w14:paraId="4116CAA9" w14:textId="77777777" w:rsidR="008E53E8" w:rsidRDefault="008E53E8" w:rsidP="008E53E8">
      <w:pPr>
        <w:spacing w:after="0"/>
        <w:rPr>
          <w:rFonts w:ascii="Verdana" w:eastAsia="Verdana" w:hAnsi="Verdana" w:cs="Verdana"/>
        </w:rPr>
      </w:pPr>
    </w:p>
    <w:p w14:paraId="22697F20" w14:textId="77777777" w:rsidR="008E53E8" w:rsidRDefault="008E53E8" w:rsidP="008E53E8">
      <w:pPr>
        <w:spacing w:after="0"/>
        <w:rPr>
          <w:rFonts w:ascii="Verdana" w:eastAsia="Verdana" w:hAnsi="Verdana" w:cs="Verdana"/>
        </w:rPr>
      </w:pPr>
    </w:p>
    <w:p w14:paraId="443EBE46" w14:textId="77777777" w:rsidR="008E53E8" w:rsidRDefault="008E53E8" w:rsidP="008E53E8">
      <w:pPr>
        <w:spacing w:after="0"/>
        <w:rPr>
          <w:rFonts w:ascii="Verdana" w:eastAsia="Verdana" w:hAnsi="Verdana" w:cs="Verdana"/>
        </w:rPr>
      </w:pPr>
    </w:p>
    <w:p w14:paraId="3616607E" w14:textId="77777777" w:rsidR="008E53E8" w:rsidRDefault="008E53E8" w:rsidP="008E53E8">
      <w:pPr>
        <w:spacing w:after="0"/>
        <w:rPr>
          <w:rFonts w:ascii="Verdana" w:eastAsia="Verdana" w:hAnsi="Verdana" w:cs="Verdana"/>
        </w:rPr>
      </w:pPr>
    </w:p>
    <w:p w14:paraId="13808C2E" w14:textId="77777777" w:rsidR="008E53E8" w:rsidRDefault="008E53E8" w:rsidP="008E53E8">
      <w:pPr>
        <w:spacing w:after="0"/>
        <w:rPr>
          <w:rFonts w:ascii="Verdana" w:eastAsia="Verdana" w:hAnsi="Verdana" w:cs="Verdana"/>
        </w:rPr>
      </w:pPr>
    </w:p>
    <w:p w14:paraId="458E8259" w14:textId="77777777" w:rsidR="008E53E8" w:rsidRDefault="008E53E8" w:rsidP="008E53E8">
      <w:pPr>
        <w:spacing w:after="0"/>
        <w:rPr>
          <w:rFonts w:ascii="Verdana" w:eastAsia="Verdana" w:hAnsi="Verdana" w:cs="Verdana"/>
        </w:rPr>
      </w:pPr>
    </w:p>
    <w:p w14:paraId="072B6EAC" w14:textId="77777777" w:rsidR="008E53E8" w:rsidRDefault="008E53E8" w:rsidP="008E53E8">
      <w:pPr>
        <w:spacing w:after="0"/>
        <w:rPr>
          <w:rFonts w:ascii="Verdana" w:eastAsia="Verdana" w:hAnsi="Verdana" w:cs="Verdana"/>
        </w:rPr>
      </w:pPr>
    </w:p>
    <w:p w14:paraId="284163E6" w14:textId="77777777" w:rsidR="008E53E8" w:rsidRDefault="008E53E8" w:rsidP="008E53E8">
      <w:pPr>
        <w:spacing w:after="0"/>
        <w:rPr>
          <w:rFonts w:ascii="Verdana" w:eastAsia="Verdana" w:hAnsi="Verdana" w:cs="Verdana"/>
        </w:rPr>
      </w:pPr>
    </w:p>
    <w:p w14:paraId="605BD917" w14:textId="06200006" w:rsidR="008E53E8" w:rsidRDefault="008E53E8" w:rsidP="00241959">
      <w:pPr>
        <w:tabs>
          <w:tab w:val="left" w:pos="2760"/>
        </w:tabs>
        <w:spacing w:after="0"/>
        <w:rPr>
          <w:rFonts w:ascii="Verdana" w:eastAsia="Verdana" w:hAnsi="Verdana" w:cs="Verdana"/>
        </w:rPr>
      </w:pPr>
    </w:p>
    <w:p w14:paraId="3EA425FE" w14:textId="39F4F43A" w:rsidR="008E53E8" w:rsidRDefault="008E53E8" w:rsidP="008E53E8">
      <w:pPr>
        <w:spacing w:after="0"/>
        <w:rPr>
          <w:rFonts w:ascii="Verdana" w:eastAsia="Verdana" w:hAnsi="Verdana" w:cs="Verdana"/>
        </w:rPr>
      </w:pPr>
    </w:p>
    <w:p w14:paraId="3A52448F" w14:textId="48956792" w:rsidR="008E53E8" w:rsidRDefault="008E53E8" w:rsidP="008E53E8">
      <w:pPr>
        <w:spacing w:after="0"/>
        <w:rPr>
          <w:rFonts w:ascii="Verdana" w:eastAsia="Verdana" w:hAnsi="Verdana" w:cs="Verdana"/>
        </w:rPr>
      </w:pPr>
    </w:p>
    <w:p w14:paraId="011D0023" w14:textId="0AD5D9A0" w:rsidR="008E53E8" w:rsidRDefault="004D76BD" w:rsidP="008E53E8">
      <w:pPr>
        <w:spacing w:after="0"/>
        <w:rPr>
          <w:rFonts w:ascii="Verdana" w:eastAsia="Verdana" w:hAnsi="Verdana" w:cs="Verdana"/>
        </w:rPr>
      </w:pPr>
      <w:r>
        <w:rPr>
          <w:noProof/>
        </w:rPr>
        <w:drawing>
          <wp:anchor distT="0" distB="0" distL="0" distR="0" simplePos="0" relativeHeight="251660288" behindDoc="0" locked="0" layoutInCell="1" allowOverlap="1" wp14:anchorId="6CE42498" wp14:editId="6D9E553B">
            <wp:simplePos x="0" y="0"/>
            <wp:positionH relativeFrom="page">
              <wp:posOffset>4635795</wp:posOffset>
            </wp:positionH>
            <wp:positionV relativeFrom="paragraph">
              <wp:posOffset>149063</wp:posOffset>
            </wp:positionV>
            <wp:extent cx="2509284" cy="691116"/>
            <wp:effectExtent l="0" t="0" r="5715"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2511470" cy="691718"/>
                    </a:xfrm>
                    <a:prstGeom prst="rect">
                      <a:avLst/>
                    </a:prstGeom>
                  </pic:spPr>
                </pic:pic>
              </a:graphicData>
            </a:graphic>
            <wp14:sizeRelH relativeFrom="margin">
              <wp14:pctWidth>0</wp14:pctWidth>
            </wp14:sizeRelH>
            <wp14:sizeRelV relativeFrom="margin">
              <wp14:pctHeight>0</wp14:pctHeight>
            </wp14:sizeRelV>
          </wp:anchor>
        </w:drawing>
      </w:r>
      <w:r w:rsidR="008E53E8" w:rsidRPr="30821638">
        <w:rPr>
          <w:rFonts w:ascii="Verdana" w:eastAsia="Verdana" w:hAnsi="Verdana" w:cs="Verdana"/>
        </w:rPr>
        <w:t xml:space="preserve">Bogotá D.C., </w:t>
      </w:r>
      <w:r w:rsidR="00524DB1">
        <w:rPr>
          <w:rFonts w:ascii="Verdana" w:eastAsia="Verdana" w:hAnsi="Verdana" w:cs="Verdana"/>
        </w:rPr>
        <w:t>17 Marzo 2026</w:t>
      </w:r>
    </w:p>
    <w:p w14:paraId="509AFE8E" w14:textId="195DE575" w:rsidR="008E53E8" w:rsidRPr="006733BD" w:rsidRDefault="008E53E8" w:rsidP="008E53E8">
      <w:pPr>
        <w:spacing w:after="0"/>
        <w:rPr>
          <w:rFonts w:ascii="Verdana" w:hAnsi="Verdana"/>
          <w:color w:val="ED7D31" w:themeColor="accent2"/>
          <w:lang w:val="es-ES"/>
        </w:rPr>
      </w:pPr>
    </w:p>
    <w:p w14:paraId="65245E22" w14:textId="3B85B3F3" w:rsidR="008E53E8" w:rsidRPr="00801A0F" w:rsidRDefault="008E53E8" w:rsidP="008E53E8">
      <w:pPr>
        <w:spacing w:after="0" w:line="240" w:lineRule="auto"/>
        <w:rPr>
          <w:rFonts w:ascii="Verdana" w:hAnsi="Verdana"/>
          <w:lang w:val="es-ES"/>
        </w:rPr>
      </w:pPr>
      <w:r w:rsidRPr="00801A0F">
        <w:rPr>
          <w:rFonts w:ascii="Verdana" w:eastAsia="Calibri" w:hAnsi="Verdana" w:cs="Arial"/>
          <w:lang w:val="es-ES" w:eastAsia="es-ES"/>
        </w:rPr>
        <w:t>Señor</w:t>
      </w:r>
      <w:r>
        <w:rPr>
          <w:rFonts w:ascii="Verdana" w:eastAsia="Calibri" w:hAnsi="Verdana" w:cs="Arial"/>
          <w:lang w:val="es-ES" w:eastAsia="es-ES"/>
        </w:rPr>
        <w:t>es</w:t>
      </w:r>
      <w:r w:rsidR="004D76BD">
        <w:rPr>
          <w:rFonts w:ascii="Verdana" w:eastAsia="Calibri" w:hAnsi="Verdana" w:cs="Arial"/>
          <w:lang w:val="es-ES" w:eastAsia="es-ES"/>
        </w:rPr>
        <w:t xml:space="preserve">                                                                                     </w:t>
      </w:r>
    </w:p>
    <w:p w14:paraId="3F3C2DC5" w14:textId="77777777" w:rsidR="008E53E8" w:rsidRPr="00D15BC0" w:rsidRDefault="008E53E8" w:rsidP="008E53E8">
      <w:pPr>
        <w:spacing w:after="0" w:line="240" w:lineRule="auto"/>
        <w:rPr>
          <w:rFonts w:ascii="Verdana" w:eastAsia="Verdana" w:hAnsi="Verdana" w:cs="Verdana"/>
          <w:b/>
          <w:bCs/>
          <w:lang w:val="es-MX"/>
        </w:rPr>
      </w:pPr>
      <w:r w:rsidRPr="00315F0D">
        <w:rPr>
          <w:rFonts w:ascii="Verdana" w:eastAsia="Verdana" w:hAnsi="Verdana" w:cs="Verdana"/>
          <w:b/>
          <w:bCs/>
          <w:lang w:val="es-MX"/>
        </w:rPr>
        <w:t>Municipio De Dosquebradas</w:t>
      </w:r>
    </w:p>
    <w:p w14:paraId="02B4BC3B" w14:textId="77777777" w:rsidR="008E53E8" w:rsidRPr="00265E4A" w:rsidRDefault="008E53E8" w:rsidP="008E53E8">
      <w:pPr>
        <w:spacing w:after="0" w:line="240" w:lineRule="auto"/>
        <w:rPr>
          <w:rStyle w:val="Hipervnculo"/>
          <w:rFonts w:ascii="Verdana" w:eastAsia="Verdana" w:hAnsi="Verdana" w:cs="Verdana"/>
          <w:color w:val="auto"/>
          <w:u w:val="none"/>
          <w:lang w:val="es-MX"/>
        </w:rPr>
      </w:pPr>
      <w:hyperlink r:id="rId11" w:history="1">
        <w:r w:rsidRPr="00326A68">
          <w:rPr>
            <w:rStyle w:val="Hipervnculo"/>
            <w:rFonts w:ascii="Verdana" w:eastAsia="Verdana" w:hAnsi="Verdana" w:cs="Verdana"/>
            <w:lang w:val="es-MX"/>
          </w:rPr>
          <w:t>saianotificaciones@dosquebradas.gov.co</w:t>
        </w:r>
      </w:hyperlink>
      <w:r>
        <w:rPr>
          <w:rFonts w:ascii="Verdana" w:eastAsia="Verdana" w:hAnsi="Verdana" w:cs="Verdana"/>
          <w:lang w:val="es-MX"/>
        </w:rPr>
        <w:t xml:space="preserve"> </w:t>
      </w:r>
    </w:p>
    <w:p w14:paraId="6AA5D8DB" w14:textId="77777777" w:rsidR="008E53E8" w:rsidRDefault="008E53E8" w:rsidP="008E53E8">
      <w:pPr>
        <w:spacing w:after="0" w:line="240" w:lineRule="auto"/>
        <w:rPr>
          <w:rFonts w:ascii="Verdana" w:eastAsia="Verdana" w:hAnsi="Verdana" w:cs="Verdana"/>
          <w:lang w:val="es-MX"/>
        </w:rPr>
      </w:pPr>
      <w:r>
        <w:rPr>
          <w:rFonts w:ascii="Verdana" w:eastAsia="Verdana" w:hAnsi="Verdana" w:cs="Verdana"/>
          <w:lang w:val="es-MX"/>
        </w:rPr>
        <w:t>Dosquebradas-Risaralda</w:t>
      </w:r>
    </w:p>
    <w:p w14:paraId="777D36F4" w14:textId="77777777" w:rsidR="008E53E8" w:rsidRPr="006209EF" w:rsidRDefault="008E53E8" w:rsidP="008E53E8">
      <w:pPr>
        <w:spacing w:after="0"/>
        <w:rPr>
          <w:rFonts w:ascii="Verdana" w:eastAsia="Calibri" w:hAnsi="Verdana" w:cs="Arial"/>
          <w:color w:val="ED7D31" w:themeColor="accent2"/>
          <w:lang w:val="es-MX" w:eastAsia="es-ES"/>
        </w:rPr>
      </w:pPr>
    </w:p>
    <w:p w14:paraId="19B226FA" w14:textId="77777777" w:rsidR="008E53E8" w:rsidRPr="006733BD" w:rsidRDefault="008E53E8" w:rsidP="008E53E8">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E53E8" w:rsidRPr="006733BD" w14:paraId="2145BFC8" w14:textId="77777777" w:rsidTr="00517FDB">
        <w:trPr>
          <w:trHeight w:val="300"/>
        </w:trPr>
        <w:tc>
          <w:tcPr>
            <w:tcW w:w="2410" w:type="dxa"/>
          </w:tcPr>
          <w:p w14:paraId="628E13DE" w14:textId="77777777" w:rsidR="008E53E8" w:rsidRPr="00A54BCB" w:rsidRDefault="008E53E8" w:rsidP="00517FDB">
            <w:pPr>
              <w:ind w:left="-142"/>
              <w:jc w:val="both"/>
              <w:rPr>
                <w:rFonts w:ascii="Verdana" w:eastAsia="Calibri" w:hAnsi="Verdana" w:cs="Arial"/>
                <w:b/>
                <w:bCs/>
                <w:lang w:val="es-ES" w:eastAsia="es-ES_tradnl"/>
              </w:rPr>
            </w:pPr>
          </w:p>
        </w:tc>
        <w:tc>
          <w:tcPr>
            <w:tcW w:w="6100" w:type="dxa"/>
          </w:tcPr>
          <w:p w14:paraId="7F9D1DB0" w14:textId="77777777" w:rsidR="008E53E8" w:rsidRPr="00A54BCB" w:rsidRDefault="008E53E8" w:rsidP="00517FDB">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163</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4988D44F" w14:textId="77777777" w:rsidR="008E53E8" w:rsidRPr="00A54BCB" w:rsidRDefault="008E53E8" w:rsidP="00517FDB">
            <w:pPr>
              <w:ind w:left="3"/>
              <w:jc w:val="both"/>
              <w:rPr>
                <w:rFonts w:ascii="Verdana" w:eastAsia="Calibri" w:hAnsi="Verdana" w:cs="Arial"/>
                <w:b/>
                <w:bCs/>
                <w:lang w:val="es-ES" w:eastAsia="es-ES"/>
              </w:rPr>
            </w:pPr>
          </w:p>
        </w:tc>
      </w:tr>
      <w:tr w:rsidR="008E53E8" w:rsidRPr="006733BD" w14:paraId="7E5E6ADC" w14:textId="77777777" w:rsidTr="00517FDB">
        <w:trPr>
          <w:trHeight w:val="300"/>
        </w:trPr>
        <w:tc>
          <w:tcPr>
            <w:tcW w:w="2410" w:type="dxa"/>
          </w:tcPr>
          <w:p w14:paraId="0BDB1069" w14:textId="77777777" w:rsidR="008E53E8" w:rsidRPr="006733BD" w:rsidRDefault="008E53E8" w:rsidP="00517FDB">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60966A7D" w14:textId="70A4488C" w:rsidR="00144EB3" w:rsidRDefault="008E53E8" w:rsidP="00517FDB">
            <w:pPr>
              <w:tabs>
                <w:tab w:val="left" w:pos="3374"/>
              </w:tabs>
              <w:jc w:val="both"/>
              <w:rPr>
                <w:rFonts w:ascii="Verdana" w:eastAsia="Calibri" w:hAnsi="Verdana" w:cs="Arial"/>
                <w:lang w:val="es-ES" w:eastAsia="es-ES"/>
              </w:rPr>
            </w:pPr>
            <w:r w:rsidRPr="00E631A9">
              <w:rPr>
                <w:rFonts w:ascii="Verdana" w:eastAsia="Calibri" w:hAnsi="Verdana" w:cs="Arial"/>
                <w:lang w:val="es-ES" w:eastAsia="es-ES"/>
              </w:rPr>
              <w:t xml:space="preserve">LEY DE GARANTÍAS ELECTORALES ─ Definición ─ Finalidad ─ Restricciones ─ Destinatarios / LEY DE GARANTÍAS ELECTORALES ─ Prohibición ─ Contratación Directa ─ Alcance ─ Excepciones / </w:t>
            </w:r>
            <w:r w:rsidR="00144EB3" w:rsidRPr="00E631A9">
              <w:rPr>
                <w:rFonts w:ascii="Verdana" w:eastAsia="Calibri" w:hAnsi="Verdana" w:cs="Arial"/>
                <w:lang w:val="es-ES" w:eastAsia="es-ES"/>
              </w:rPr>
              <w:t>LEY DE GARANTÍAS ELECTORALES ─ Prohibición ─</w:t>
            </w:r>
            <w:r w:rsidR="00144EB3">
              <w:rPr>
                <w:rFonts w:ascii="Verdana" w:eastAsia="Calibri" w:hAnsi="Verdana" w:cs="Arial"/>
                <w:lang w:val="es-ES" w:eastAsia="es-ES"/>
              </w:rPr>
              <w:t xml:space="preserve"> Convenios interadministrativos / </w:t>
            </w:r>
            <w:r w:rsidR="00A14620" w:rsidRPr="00E631A9">
              <w:rPr>
                <w:rFonts w:ascii="Verdana" w:eastAsia="Calibri" w:hAnsi="Verdana" w:cs="Arial"/>
                <w:lang w:val="es-ES" w:eastAsia="es-ES"/>
              </w:rPr>
              <w:t>LEY DE GARANTÍAS ELECTORALES ─ Prohibición ─</w:t>
            </w:r>
            <w:r w:rsidR="00A14620">
              <w:rPr>
                <w:rFonts w:ascii="Verdana" w:eastAsia="Calibri" w:hAnsi="Verdana" w:cs="Arial"/>
                <w:lang w:val="es-ES" w:eastAsia="es-ES"/>
              </w:rPr>
              <w:t xml:space="preserve"> Convenios y contratos interadministrativos – Distinción – Aplicación restricción / </w:t>
            </w:r>
            <w:r w:rsidR="00A14620" w:rsidRPr="00E631A9">
              <w:rPr>
                <w:rFonts w:ascii="Verdana" w:eastAsia="Calibri" w:hAnsi="Verdana" w:cs="Arial"/>
                <w:lang w:val="es-ES" w:eastAsia="es-ES"/>
              </w:rPr>
              <w:t>LEY DE GARANTÍAS ELECTORALES ─ Prohibición ─</w:t>
            </w:r>
            <w:r w:rsidR="00A14620">
              <w:rPr>
                <w:rFonts w:ascii="Verdana" w:eastAsia="Calibri" w:hAnsi="Verdana" w:cs="Arial"/>
                <w:lang w:val="es-ES" w:eastAsia="es-ES"/>
              </w:rPr>
              <w:t xml:space="preserve"> Convenios interadministrativos – no aplicación excepciones</w:t>
            </w:r>
          </w:p>
          <w:p w14:paraId="260A90B6" w14:textId="77777777" w:rsidR="008E53E8" w:rsidRPr="008F679F" w:rsidRDefault="008E53E8" w:rsidP="00A14620">
            <w:pPr>
              <w:tabs>
                <w:tab w:val="left" w:pos="3374"/>
              </w:tabs>
              <w:jc w:val="both"/>
              <w:rPr>
                <w:rFonts w:ascii="Verdana" w:eastAsia="Calibri" w:hAnsi="Verdana" w:cs="Arial"/>
                <w:color w:val="ED7D31" w:themeColor="accent2"/>
                <w:lang w:val="es-ES"/>
              </w:rPr>
            </w:pPr>
          </w:p>
        </w:tc>
      </w:tr>
      <w:tr w:rsidR="008E53E8" w:rsidRPr="00C5490E" w14:paraId="782C4556" w14:textId="77777777" w:rsidTr="00517FDB">
        <w:tc>
          <w:tcPr>
            <w:tcW w:w="2410" w:type="dxa"/>
          </w:tcPr>
          <w:p w14:paraId="07366479" w14:textId="77777777" w:rsidR="008E53E8" w:rsidRPr="006733BD" w:rsidRDefault="008E53E8" w:rsidP="00517FDB">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4CB934D2" w14:textId="77777777" w:rsidR="008E53E8" w:rsidRPr="00C5490E" w:rsidRDefault="008E53E8" w:rsidP="00517FDB">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1_2026_02_05_001477</w:t>
            </w:r>
          </w:p>
        </w:tc>
      </w:tr>
    </w:tbl>
    <w:p w14:paraId="556CE768" w14:textId="77777777" w:rsidR="008E53E8" w:rsidRPr="006733BD" w:rsidRDefault="008E53E8" w:rsidP="008E53E8">
      <w:pPr>
        <w:spacing w:after="0" w:line="276" w:lineRule="auto"/>
        <w:jc w:val="both"/>
        <w:rPr>
          <w:rFonts w:ascii="Verdana" w:eastAsia="Calibri" w:hAnsi="Verdana" w:cs="Arial"/>
          <w:color w:val="ED7D31" w:themeColor="accent2"/>
          <w:lang w:val="es-ES" w:eastAsia="es-ES"/>
        </w:rPr>
      </w:pPr>
    </w:p>
    <w:p w14:paraId="4DF661AA" w14:textId="77777777" w:rsidR="008E53E8" w:rsidRPr="006733BD" w:rsidRDefault="008E53E8" w:rsidP="008E53E8">
      <w:pPr>
        <w:spacing w:after="0" w:line="276" w:lineRule="auto"/>
        <w:jc w:val="both"/>
        <w:rPr>
          <w:rFonts w:ascii="Verdana" w:eastAsia="Calibri" w:hAnsi="Verdana" w:cs="Arial"/>
          <w:color w:val="ED7D31" w:themeColor="accent2"/>
          <w:lang w:val="es-ES" w:eastAsia="es-ES"/>
        </w:rPr>
      </w:pPr>
    </w:p>
    <w:p w14:paraId="000D8B48" w14:textId="77777777" w:rsidR="008E53E8" w:rsidRDefault="008E53E8" w:rsidP="008E53E8">
      <w:pPr>
        <w:spacing w:after="0" w:line="276" w:lineRule="auto"/>
        <w:jc w:val="both"/>
        <w:rPr>
          <w:rFonts w:ascii="Verdana" w:eastAsia="Calibri" w:hAnsi="Verdana" w:cs="Arial"/>
          <w:lang w:val="es-ES" w:eastAsia="es-ES"/>
        </w:rPr>
      </w:pPr>
    </w:p>
    <w:p w14:paraId="22A4F870" w14:textId="77777777" w:rsidR="008E53E8" w:rsidRPr="00C5490E" w:rsidRDefault="008E53E8" w:rsidP="008E53E8">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2DDBABC5" w14:textId="77777777" w:rsidR="008E53E8" w:rsidRPr="00C5490E" w:rsidRDefault="008E53E8" w:rsidP="008E53E8">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5F5965D4" w14:textId="77777777" w:rsidR="008E53E8" w:rsidRPr="00C5490E" w:rsidRDefault="008E53E8" w:rsidP="008E53E8">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05</w:t>
      </w:r>
      <w:r w:rsidRPr="00852F26">
        <w:rPr>
          <w:rFonts w:ascii="Verdana" w:eastAsia="Calibri" w:hAnsi="Verdana" w:cs="Arial"/>
          <w:lang w:val="es-ES" w:eastAsia="es-ES"/>
        </w:rPr>
        <w:t xml:space="preserve"> de febrero de 2026, en la cual manifiesta lo siguiente:</w:t>
      </w:r>
    </w:p>
    <w:p w14:paraId="03A457E0" w14:textId="77777777" w:rsidR="008E53E8" w:rsidRPr="006733BD" w:rsidRDefault="008E53E8" w:rsidP="008E53E8">
      <w:pPr>
        <w:tabs>
          <w:tab w:val="left" w:pos="142"/>
          <w:tab w:val="left" w:pos="284"/>
        </w:tabs>
        <w:spacing w:after="0" w:line="276" w:lineRule="auto"/>
        <w:contextualSpacing/>
        <w:jc w:val="both"/>
        <w:rPr>
          <w:rFonts w:ascii="Verdana" w:eastAsia="Century Gothic" w:hAnsi="Verdana" w:cs="Century Gothic"/>
          <w:b/>
          <w:bCs/>
          <w:color w:val="ED7D31" w:themeColor="accent2"/>
          <w:lang w:val="es-ES"/>
        </w:rPr>
      </w:pPr>
    </w:p>
    <w:p w14:paraId="4274B065" w14:textId="2D4A6BE6" w:rsidR="00BB6406" w:rsidRDefault="00BB6406" w:rsidP="00294702">
      <w:pPr>
        <w:spacing w:after="0" w:line="240" w:lineRule="auto"/>
        <w:ind w:left="709" w:right="709"/>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BB6406">
        <w:rPr>
          <w:rFonts w:ascii="Verdana" w:eastAsia="Century Gothic" w:hAnsi="Verdana" w:cs="Century Gothic"/>
          <w:i/>
          <w:iCs/>
          <w:sz w:val="20"/>
          <w:szCs w:val="20"/>
          <w:lang w:val="es-ES"/>
        </w:rPr>
        <w:t>Con fundamento en lo anterior, se solicita a esa Dirección Jurídica emitir concepto jurídico sobre la viabilidad de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celebrar convenios interadministrativos con el INPEC u otras entidades del Estado durante la vigencia de la Ley de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 xml:space="preserve">Garantías Electorales, cuando su objeto sea la </w:t>
      </w:r>
      <w:r w:rsidRPr="00BB6406">
        <w:rPr>
          <w:rFonts w:ascii="Verdana" w:eastAsia="Century Gothic" w:hAnsi="Verdana" w:cs="Century Gothic"/>
          <w:i/>
          <w:iCs/>
          <w:sz w:val="20"/>
          <w:szCs w:val="20"/>
          <w:lang w:val="es-ES"/>
        </w:rPr>
        <w:lastRenderedPageBreak/>
        <w:t>garantía de los derechos humanos y fundamentales de la población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privada de la libertad. Así mismo, se solicita pronunciamiento sobre si la no celebración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de dichos convenios, pese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a la existencia de un riesgo cierto y grave de vulneración de derechos fundamentales, podría derivar en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responsabilidades constitucionales, disciplinarias o administrativas para la entidad territorial por omisión en el</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cumplimiento de sus deberes, y cuál es el marco normativo aplicable para sustentar jurídicamente la procedencia</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de estos instrumentos de cooperación interadministrativa, a la luz de los principios de colaboración armónica,</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concurrencia, subsidiariedad, prevalencia del interés general y protección efectiva de los derechos humanos</w:t>
      </w:r>
      <w:r>
        <w:rPr>
          <w:rFonts w:ascii="Verdana" w:eastAsia="Century Gothic" w:hAnsi="Verdana" w:cs="Century Gothic"/>
          <w:i/>
          <w:iCs/>
          <w:sz w:val="20"/>
          <w:szCs w:val="20"/>
          <w:lang w:val="es-ES"/>
        </w:rPr>
        <w:t>”</w:t>
      </w:r>
      <w:r w:rsidRPr="00BB6406">
        <w:rPr>
          <w:rFonts w:ascii="Verdana" w:eastAsia="Century Gothic" w:hAnsi="Verdana" w:cs="Century Gothic"/>
          <w:i/>
          <w:iCs/>
          <w:sz w:val="20"/>
          <w:szCs w:val="20"/>
          <w:lang w:val="es-ES"/>
        </w:rPr>
        <w:t>.</w:t>
      </w:r>
      <w:r w:rsidRPr="00BB6406" w:rsidDel="00BB6406">
        <w:rPr>
          <w:rFonts w:ascii="Verdana" w:eastAsia="Century Gothic" w:hAnsi="Verdana" w:cs="Century Gothic"/>
          <w:i/>
          <w:iCs/>
          <w:sz w:val="20"/>
          <w:szCs w:val="20"/>
          <w:lang w:val="es-ES"/>
        </w:rPr>
        <w:t xml:space="preserve"> </w:t>
      </w:r>
    </w:p>
    <w:p w14:paraId="739F311F" w14:textId="77777777" w:rsidR="008E53E8" w:rsidRPr="00CD496A" w:rsidRDefault="008E53E8" w:rsidP="008E53E8">
      <w:pPr>
        <w:spacing w:before="120" w:after="120"/>
        <w:ind w:right="709"/>
        <w:contextualSpacing/>
        <w:jc w:val="both"/>
        <w:rPr>
          <w:rFonts w:ascii="Verdana" w:eastAsia="Century Gothic" w:hAnsi="Verdana" w:cs="Century Gothic"/>
          <w:i/>
          <w:iCs/>
          <w:sz w:val="20"/>
          <w:szCs w:val="20"/>
        </w:rPr>
      </w:pPr>
    </w:p>
    <w:p w14:paraId="3D2C6893" w14:textId="77777777" w:rsidR="008E53E8" w:rsidRPr="00CD496A" w:rsidRDefault="008E53E8" w:rsidP="008E53E8">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6BB4A20C" w14:textId="77777777" w:rsidR="008E53E8" w:rsidRPr="00CD496A" w:rsidRDefault="008E53E8" w:rsidP="008E53E8">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BB98D9D" w14:textId="77777777" w:rsidR="008E53E8" w:rsidRPr="00CD496A" w:rsidRDefault="008E53E8" w:rsidP="008E53E8">
      <w:pPr>
        <w:spacing w:after="0" w:line="276" w:lineRule="auto"/>
        <w:ind w:firstLine="709"/>
        <w:jc w:val="both"/>
        <w:rPr>
          <w:rFonts w:ascii="Verdana" w:eastAsia="Calibri" w:hAnsi="Verdana" w:cs="Arial"/>
          <w:lang w:val="es-ES" w:eastAsia="es-ES"/>
        </w:rPr>
      </w:pPr>
    </w:p>
    <w:p w14:paraId="687A7F33" w14:textId="77777777" w:rsidR="008E53E8" w:rsidRPr="00CD496A" w:rsidRDefault="008E53E8" w:rsidP="008E53E8">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3E6EA616" w14:textId="77777777" w:rsidR="008E53E8" w:rsidRPr="006733BD" w:rsidRDefault="008E53E8" w:rsidP="008E53E8">
      <w:pPr>
        <w:tabs>
          <w:tab w:val="left" w:pos="426"/>
        </w:tabs>
        <w:spacing w:after="0" w:line="276" w:lineRule="auto"/>
        <w:jc w:val="both"/>
        <w:rPr>
          <w:rFonts w:ascii="Verdana" w:eastAsia="Century Gothic" w:hAnsi="Verdana" w:cs="Century Gothic"/>
          <w:color w:val="ED7D31" w:themeColor="accent2"/>
          <w:lang w:val="es-ES"/>
        </w:rPr>
      </w:pPr>
    </w:p>
    <w:p w14:paraId="35E67CAC" w14:textId="77777777" w:rsidR="008E53E8" w:rsidRPr="008A568A" w:rsidRDefault="008E53E8" w:rsidP="008E53E8">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472774">
        <w:rPr>
          <w:rFonts w:ascii="Verdana" w:eastAsia="Century Gothic" w:hAnsi="Verdana" w:cs="Century Gothic"/>
        </w:rPr>
        <w:t>¿Es jurídicamente viable que una entidad territorial celebre un convenio interadministrativo con el Instituto Nacional Penitenciario y Carcelario –INPEC– para la ejecución de recursos públicos destinados a la garantía de los derechos fundamentales de la población privada de la libertad, durante el período de Ley de Garantías Electorales?</w:t>
      </w:r>
    </w:p>
    <w:p w14:paraId="6649B4CA" w14:textId="77777777" w:rsidR="008E53E8" w:rsidRPr="006733BD" w:rsidRDefault="008E53E8" w:rsidP="008E53E8">
      <w:pPr>
        <w:spacing w:after="0" w:line="276" w:lineRule="auto"/>
        <w:jc w:val="both"/>
        <w:rPr>
          <w:rFonts w:ascii="Verdana" w:eastAsia="Century Gothic" w:hAnsi="Verdana" w:cs="Century Gothic"/>
          <w:color w:val="ED7D31" w:themeColor="accent2"/>
        </w:rPr>
      </w:pPr>
    </w:p>
    <w:p w14:paraId="34A98F36" w14:textId="77777777" w:rsidR="008E53E8" w:rsidRPr="006733BD" w:rsidRDefault="008E53E8" w:rsidP="008E53E8">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lastRenderedPageBreak/>
        <w:t>2. Respuesta:</w:t>
      </w:r>
    </w:p>
    <w:p w14:paraId="67E7DEAF" w14:textId="77777777" w:rsidR="008E53E8" w:rsidRPr="006733BD" w:rsidRDefault="008E53E8" w:rsidP="008E53E8">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E53E8" w:rsidRPr="006733BD" w14:paraId="533F02EC" w14:textId="77777777" w:rsidTr="00517FDB">
        <w:tc>
          <w:tcPr>
            <w:tcW w:w="8828" w:type="dxa"/>
          </w:tcPr>
          <w:p w14:paraId="0D80049A" w14:textId="12133EB4" w:rsidR="00CD0AD9" w:rsidRPr="00CE01E2" w:rsidRDefault="008E53E8"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Para dar respuesta al problema jurídico planteado, resulta pertinente señalar que </w:t>
            </w:r>
            <w:r w:rsidR="00CD0AD9" w:rsidRPr="00CE01E2">
              <w:rPr>
                <w:rFonts w:ascii="Verdana" w:eastAsia="Calibri" w:hAnsi="Verdana" w:cs="Arial"/>
                <w:bCs/>
                <w:szCs w:val="24"/>
                <w:lang w:eastAsia="es-ES_tradnl"/>
              </w:rPr>
              <w:t xml:space="preserve">la Ley de Garantías Electorales </w:t>
            </w:r>
            <w:r w:rsidR="00CD0AD9" w:rsidRPr="00CE01E2">
              <w:rPr>
                <w:rFonts w:ascii="Verdana" w:hAnsi="Verdana" w:cs="Arial"/>
                <w:lang w:val="es-ES"/>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5CD422B2" w14:textId="77777777" w:rsidR="00CD0AD9" w:rsidRPr="00CE01E2" w:rsidRDefault="00CD0AD9"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un lado, </w:t>
            </w:r>
            <w:r w:rsidR="008E53E8" w:rsidRPr="00CE01E2">
              <w:rPr>
                <w:rFonts w:ascii="Verdana" w:eastAsia="Calibri" w:hAnsi="Verdana" w:cs="Arial"/>
                <w:bCs/>
                <w:szCs w:val="24"/>
                <w:lang w:eastAsia="es-ES_tradnl"/>
              </w:rPr>
              <w:t>el artículo 33 de la Ley 996 de 2005 establece que, durante los cuatro (4) meses anteriores a la elección presidencial y hasta la realización de la segunda vuelta, si fuere el caso, queda prohibida la contratación directa por parte de todos los entes del Estado. No obstante, la citada disposición prevé determinadas excepciones a dicha restricción, entre las cuales se encuentran los contratos relacionados con la defensa y seguridad del Estado, los contratos de crédito público, aquellos requeridos para atender emergencias educativas, sanitarias o desastres, así como los destinados a la reconstrucción de vías, puentes, carreteras, infraestructura energética y de comunicaciones cuando hayan sido afectados por atentados, acciones terroristas, desastres naturales o casos de fuerza mayor, y los que deban celebrar las entidades sanitarias y hospitalaria</w:t>
            </w:r>
            <w:r w:rsidRPr="00CE01E2">
              <w:rPr>
                <w:rFonts w:ascii="Verdana" w:eastAsia="Calibri" w:hAnsi="Verdana" w:cs="Arial"/>
                <w:bCs/>
                <w:szCs w:val="24"/>
                <w:lang w:eastAsia="es-ES_tradnl"/>
              </w:rPr>
              <w:t xml:space="preserve">. </w:t>
            </w:r>
          </w:p>
          <w:p w14:paraId="0483AA59" w14:textId="72A159D1" w:rsidR="000D50BA" w:rsidRPr="00CE01E2" w:rsidRDefault="000D50BA"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294702">
              <w:rPr>
                <w:rFonts w:ascii="Verdana" w:hAnsi="Verdana" w:cs="Arial"/>
                <w:color w:val="000000" w:themeColor="text1"/>
                <w:lang w:val="es-ES"/>
              </w:rPr>
              <w:t xml:space="preserve">Tal y como se </w:t>
            </w:r>
            <w:r w:rsidR="00CE01E2" w:rsidRPr="00CE01E2">
              <w:rPr>
                <w:rFonts w:ascii="Verdana" w:hAnsi="Verdana" w:cs="Arial"/>
                <w:color w:val="000000" w:themeColor="text1"/>
                <w:lang w:val="es-ES"/>
              </w:rPr>
              <w:t>analizará</w:t>
            </w:r>
            <w:r w:rsidRPr="00294702">
              <w:rPr>
                <w:rFonts w:ascii="Verdana" w:hAnsi="Verdana" w:cs="Arial"/>
                <w:color w:val="000000" w:themeColor="text1"/>
                <w:lang w:val="es-ES"/>
              </w:rPr>
              <w:t xml:space="preserve"> en el presente concepto, la expresión “defensa y seguridad del Estado”, empleada por el segundo inciso del artículo 33 de la Ley 996 de 2005 –y que se halla también en otras disposiciones normativas con la denominación de “defensa y seguridad nacional”–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de la sola adquisición de armamento o de los bienes y actividades requeridas para la “guerra”. Para el alto tribunal, aquel es un concepto que debe interpretarse bajo una comprensión sistemática del orden público. Por tanto, considerando estos criterios hermenéuticos, corresponde a la entidad que realiza la consulta interpretar el concepto jurídico “defensa y seguridad del Estado”, para determinar si se presenta la excepción a la contratación directa prevista en el segundo inciso del artículo 33 de la Ley 996 de 2005.    </w:t>
            </w:r>
          </w:p>
          <w:p w14:paraId="4556D822" w14:textId="3D42710A" w:rsidR="008E53E8" w:rsidRPr="00CE01E2" w:rsidRDefault="000D50BA"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otro lado, </w:t>
            </w:r>
            <w:r w:rsidR="008E53E8" w:rsidRPr="00CE01E2">
              <w:rPr>
                <w:rFonts w:ascii="Verdana" w:eastAsia="Calibri" w:hAnsi="Verdana" w:cs="Arial"/>
                <w:bCs/>
                <w:szCs w:val="24"/>
                <w:lang w:eastAsia="es-ES_tradnl"/>
              </w:rPr>
              <w:t xml:space="preserve">el parágrafo del artículo 38 de la misma </w:t>
            </w:r>
            <w:r w:rsidRPr="00CE01E2">
              <w:rPr>
                <w:rFonts w:ascii="Verdana" w:eastAsia="Calibri" w:hAnsi="Verdana" w:cs="Arial"/>
                <w:bCs/>
                <w:szCs w:val="24"/>
                <w:lang w:eastAsia="es-ES_tradnl"/>
              </w:rPr>
              <w:t>L</w:t>
            </w:r>
            <w:r w:rsidR="008E53E8" w:rsidRPr="00CE01E2">
              <w:rPr>
                <w:rFonts w:ascii="Verdana" w:eastAsia="Calibri" w:hAnsi="Verdana" w:cs="Arial"/>
                <w:bCs/>
                <w:szCs w:val="24"/>
                <w:lang w:eastAsia="es-ES_tradnl"/>
              </w:rPr>
              <w:t xml:space="preserve">ey establece una restricción específica dirigida a las autoridades del orden territorial, al disponer que los gobernadores, alcaldes, secretarios, gerentes y directores de </w:t>
            </w:r>
            <w:r w:rsidR="008E53E8" w:rsidRPr="00CE01E2">
              <w:rPr>
                <w:rFonts w:ascii="Verdana" w:eastAsia="Calibri" w:hAnsi="Verdana" w:cs="Arial"/>
                <w:bCs/>
                <w:szCs w:val="24"/>
                <w:lang w:eastAsia="es-ES_tradnl"/>
              </w:rPr>
              <w:lastRenderedPageBreak/>
              <w:t>las entidades del orden departamental, distrital o municipal no podrán celebrar convenios interadministrativos para la ejecución de recursos públicos dentro de los cuatro (4) meses anteriores a la respectiva jornada electoral.</w:t>
            </w:r>
          </w:p>
          <w:p w14:paraId="2FAE7428" w14:textId="4541E603" w:rsidR="008E53E8" w:rsidRPr="00CE01E2" w:rsidRDefault="008E53E8" w:rsidP="00CE01E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En ese sentido, cuando una o ambas partes de la relación contractual correspondan a alguna de las autoridades o entidades señaladas en el citado parágrafo</w:t>
            </w:r>
            <w:r w:rsidR="000D50BA" w:rsidRPr="00CE01E2">
              <w:rPr>
                <w:rFonts w:ascii="Verdana" w:eastAsia="Calibri" w:hAnsi="Verdana" w:cs="Arial"/>
                <w:bCs/>
                <w:szCs w:val="24"/>
                <w:lang w:eastAsia="es-ES_tradnl"/>
              </w:rPr>
              <w:t xml:space="preserve"> – como es el caso de los alcaldes municipales –</w:t>
            </w:r>
            <w:r w:rsidRPr="00CE01E2">
              <w:rPr>
                <w:rFonts w:ascii="Verdana" w:eastAsia="Calibri" w:hAnsi="Verdana" w:cs="Arial"/>
                <w:bCs/>
                <w:szCs w:val="24"/>
                <w:lang w:eastAsia="es-ES_tradnl"/>
              </w:rPr>
              <w:t>, no resultará jurídicamente viable la celebración de convenios interadministrativos durante el periodo de aplicación de la Ley de Garantías Electorales, en la medida en que la prohibición establecida por el legislador recae expresamente sobre dicha tipología contractual cuando implique la ejecución de recursos públicos.</w:t>
            </w:r>
          </w:p>
          <w:p w14:paraId="08168AA6" w14:textId="76C53531" w:rsidR="00B4163F" w:rsidRPr="00294702" w:rsidRDefault="00EB7A94" w:rsidP="00294702">
            <w:pPr>
              <w:spacing w:after="120"/>
              <w:ind w:firstLine="709"/>
              <w:jc w:val="both"/>
              <w:rPr>
                <w:rFonts w:ascii="Verdana" w:eastAsia="Century Gothic" w:hAnsi="Verdana" w:cs="Century Gothic"/>
                <w:lang w:val="es-ES"/>
              </w:rPr>
            </w:pPr>
            <w:r w:rsidRPr="00CE01E2">
              <w:rPr>
                <w:rFonts w:ascii="Verdana" w:eastAsia="Calibri" w:hAnsi="Verdana" w:cs="Arial"/>
                <w:bCs/>
                <w:szCs w:val="24"/>
                <w:lang w:eastAsia="es-ES_tradnl"/>
              </w:rPr>
              <w:t xml:space="preserve">En importante </w:t>
            </w:r>
            <w:proofErr w:type="gramStart"/>
            <w:r w:rsidRPr="00CE01E2">
              <w:rPr>
                <w:rFonts w:ascii="Verdana" w:eastAsia="Calibri" w:hAnsi="Verdana" w:cs="Arial"/>
                <w:bCs/>
                <w:szCs w:val="24"/>
                <w:lang w:eastAsia="es-ES_tradnl"/>
              </w:rPr>
              <w:t>precisar</w:t>
            </w:r>
            <w:proofErr w:type="gramEnd"/>
            <w:r w:rsidRPr="00CE01E2">
              <w:rPr>
                <w:rFonts w:ascii="Verdana" w:eastAsia="Calibri" w:hAnsi="Verdana" w:cs="Arial"/>
                <w:bCs/>
                <w:szCs w:val="24"/>
                <w:lang w:eastAsia="es-ES_tradnl"/>
              </w:rPr>
              <w:t xml:space="preserve"> que, </w:t>
            </w:r>
            <w:r w:rsidR="005751F2" w:rsidRPr="00CE01E2">
              <w:rPr>
                <w:rFonts w:ascii="Verdana" w:eastAsia="Century Gothic" w:hAnsi="Verdana" w:cs="Century Gothic"/>
                <w:lang w:val="es-ES"/>
              </w:rPr>
              <w:t>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w:t>
            </w:r>
            <w:r w:rsidR="00B4163F" w:rsidRPr="00CE01E2">
              <w:rPr>
                <w:rFonts w:ascii="Verdana" w:eastAsia="Century Gothic" w:hAnsi="Verdana" w:cs="Century Gothic"/>
                <w:lang w:val="es-ES"/>
              </w:rPr>
              <w:t xml:space="preserve"> </w:t>
            </w:r>
          </w:p>
          <w:p w14:paraId="22A29BC8" w14:textId="0FEB3765" w:rsidR="008E53E8" w:rsidRPr="001669C8" w:rsidRDefault="008E53E8" w:rsidP="00294702">
            <w:pPr>
              <w:spacing w:after="120"/>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Así las cosas, cuando una entidad territorial pretenda celebrar un convenio interadministrativo con el Instituto Nacional Penitenciario y Carcelario, en principio</w:t>
            </w:r>
            <w:r w:rsidR="00CE01E2" w:rsidRPr="00CE01E2">
              <w:rPr>
                <w:rFonts w:ascii="Verdana" w:eastAsia="Calibri" w:hAnsi="Verdana" w:cs="Arial"/>
                <w:bCs/>
                <w:szCs w:val="24"/>
                <w:lang w:eastAsia="es-ES_tradnl"/>
              </w:rPr>
              <w:t>,</w:t>
            </w:r>
            <w:r w:rsidRPr="00CE01E2">
              <w:rPr>
                <w:rFonts w:ascii="Verdana" w:eastAsia="Calibri" w:hAnsi="Verdana" w:cs="Arial"/>
                <w:bCs/>
                <w:szCs w:val="24"/>
                <w:lang w:eastAsia="es-ES_tradnl"/>
              </w:rPr>
              <w:t xml:space="preserve"> no resultaría jurídicamente viable su suscripción durante el periodo de aplicación de la Ley 996 de 2005 (Ley de Garantías Electorales)</w:t>
            </w:r>
            <w:r w:rsidR="00CE01E2" w:rsidRPr="00CE01E2">
              <w:rPr>
                <w:rFonts w:ascii="Verdana" w:eastAsia="Calibri" w:hAnsi="Verdana" w:cs="Arial"/>
                <w:bCs/>
                <w:szCs w:val="24"/>
                <w:lang w:eastAsia="es-ES_tradnl"/>
              </w:rPr>
              <w:t xml:space="preserve">. </w:t>
            </w:r>
            <w:r w:rsidRPr="00CE01E2">
              <w:rPr>
                <w:rFonts w:ascii="Verdana" w:eastAsia="Calibri" w:hAnsi="Verdana" w:cs="Arial"/>
                <w:bCs/>
                <w:szCs w:val="24"/>
                <w:lang w:eastAsia="es-ES_tradn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33600B93" w14:textId="77777777" w:rsidR="008E53E8" w:rsidRPr="00416686" w:rsidRDefault="008E53E8" w:rsidP="008E53E8">
      <w:pPr>
        <w:tabs>
          <w:tab w:val="left" w:pos="142"/>
          <w:tab w:val="left" w:pos="284"/>
        </w:tabs>
        <w:spacing w:after="0" w:line="276" w:lineRule="auto"/>
        <w:jc w:val="both"/>
        <w:rPr>
          <w:rFonts w:ascii="Verdana" w:eastAsia="Century Gothic" w:hAnsi="Verdana" w:cs="Century Gothic"/>
          <w:b/>
          <w:bCs/>
        </w:rPr>
      </w:pPr>
    </w:p>
    <w:p w14:paraId="06A8D934" w14:textId="77777777" w:rsidR="008E53E8" w:rsidRDefault="008E53E8" w:rsidP="008E53E8">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16A1485B" w14:textId="77777777" w:rsidR="008E53E8" w:rsidRDefault="008E53E8" w:rsidP="008E53E8">
      <w:pPr>
        <w:spacing w:after="0" w:line="276" w:lineRule="auto"/>
        <w:jc w:val="both"/>
        <w:rPr>
          <w:rFonts w:ascii="Verdana" w:eastAsia="Calibri" w:hAnsi="Verdana" w:cs="Arial"/>
          <w:lang w:val="es-ES"/>
        </w:rPr>
      </w:pPr>
    </w:p>
    <w:p w14:paraId="446181D5" w14:textId="77777777" w:rsidR="008E53E8" w:rsidRPr="00B52642" w:rsidRDefault="008E53E8" w:rsidP="008E53E8">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6BBE99C0" w14:textId="77777777" w:rsidR="008E53E8" w:rsidRPr="00CD496A" w:rsidRDefault="008E53E8" w:rsidP="008E53E8">
      <w:pPr>
        <w:tabs>
          <w:tab w:val="left" w:pos="142"/>
          <w:tab w:val="left" w:pos="284"/>
        </w:tabs>
        <w:spacing w:after="0" w:line="276" w:lineRule="auto"/>
        <w:jc w:val="both"/>
        <w:rPr>
          <w:rFonts w:ascii="Verdana" w:eastAsia="Century Gothic" w:hAnsi="Verdana" w:cs="Century Gothic"/>
          <w:b/>
          <w:lang w:val="es-ES"/>
        </w:rPr>
      </w:pPr>
    </w:p>
    <w:p w14:paraId="0A1D3EA2" w14:textId="77777777" w:rsidR="008E53E8" w:rsidRPr="00C13395" w:rsidRDefault="008E53E8" w:rsidP="008E53E8">
      <w:pPr>
        <w:spacing w:after="120" w:line="276" w:lineRule="auto"/>
        <w:jc w:val="both"/>
        <w:rPr>
          <w:rFonts w:ascii="Verdana" w:eastAsia="Century Gothic" w:hAnsi="Verdana" w:cs="Century Gothic"/>
          <w:bCs/>
          <w:lang w:val="es-ES_tradnl"/>
        </w:rPr>
      </w:pPr>
      <w:bookmarkStart w:id="1" w:name="_Hlk102983874"/>
      <w:bookmarkStart w:id="2" w:name="_Hlk102388095"/>
      <w:r w:rsidRPr="00CC581A">
        <w:rPr>
          <w:rFonts w:ascii="Verdana" w:hAnsi="Verdana" w:cs="Arial"/>
          <w:bCs/>
          <w:lang w:val="es-ES_tradnl" w:eastAsia="es-ES" w:bidi="es-ES"/>
        </w:rPr>
        <w:lastRenderedPageBreak/>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1EF8854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3F1D9FA7" w14:textId="77777777" w:rsidR="008E53E8" w:rsidRDefault="008E53E8" w:rsidP="00025CBA">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29E57BB8" w14:textId="77777777" w:rsidR="00025CBA" w:rsidRPr="00C13395" w:rsidRDefault="00025CBA" w:rsidP="00294702">
      <w:pPr>
        <w:spacing w:after="0" w:line="276" w:lineRule="auto"/>
        <w:ind w:firstLine="708"/>
        <w:jc w:val="both"/>
        <w:rPr>
          <w:rFonts w:ascii="Verdana" w:eastAsia="Century Gothic" w:hAnsi="Verdana" w:cs="Century Gothic"/>
          <w:bCs/>
          <w:lang w:val="es-ES_tradnl"/>
        </w:rPr>
      </w:pPr>
    </w:p>
    <w:p w14:paraId="6E829F9C"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24320AA0"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2ECE65C8" w14:textId="77777777" w:rsidR="008E53E8" w:rsidRDefault="008E53E8" w:rsidP="00997FEE">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44ACF8C6" w14:textId="77777777" w:rsidR="00997FEE" w:rsidRPr="00C13395" w:rsidRDefault="00997FEE" w:rsidP="00294702">
      <w:pPr>
        <w:spacing w:after="0" w:line="276" w:lineRule="auto"/>
        <w:ind w:left="709" w:right="709"/>
        <w:jc w:val="both"/>
        <w:rPr>
          <w:rFonts w:ascii="Verdana" w:eastAsia="Century Gothic" w:hAnsi="Verdana" w:cs="Century Gothic"/>
          <w:bCs/>
          <w:sz w:val="20"/>
          <w:szCs w:val="20"/>
          <w:lang w:val="es-ES_tradnl"/>
        </w:rPr>
      </w:pPr>
    </w:p>
    <w:p w14:paraId="3F237256" w14:textId="77777777" w:rsidR="008E53E8" w:rsidRDefault="008E53E8" w:rsidP="00997FEE">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w:t>
      </w:r>
      <w:r w:rsidRPr="00C13395">
        <w:rPr>
          <w:rFonts w:ascii="Verdana" w:eastAsia="Century Gothic" w:hAnsi="Verdana" w:cs="Century Gothic"/>
          <w:bCs/>
          <w:lang w:val="es-ES_tradnl"/>
        </w:rPr>
        <w:lastRenderedPageBreak/>
        <w:t>electorales. Por ello, varias disposiciones de la Ley 996 de 2005, al contener normas prohibitivas, deben interpretarse restrictivamente. En efecto, la Sala de Consulta y Servicio Civil del Consejo de Estado, precisó:</w:t>
      </w:r>
    </w:p>
    <w:p w14:paraId="256C4FB9" w14:textId="77777777" w:rsidR="00033100" w:rsidRPr="00C13395" w:rsidRDefault="00033100" w:rsidP="00294702">
      <w:pPr>
        <w:spacing w:after="0" w:line="276" w:lineRule="auto"/>
        <w:ind w:firstLine="708"/>
        <w:jc w:val="both"/>
        <w:rPr>
          <w:rFonts w:ascii="Verdana" w:eastAsia="Century Gothic" w:hAnsi="Verdana" w:cs="Century Gothic"/>
          <w:bCs/>
          <w:lang w:val="es-ES_tradnl"/>
        </w:rPr>
      </w:pPr>
    </w:p>
    <w:p w14:paraId="4DE62E6C" w14:textId="77777777" w:rsidR="008E53E8" w:rsidRDefault="008E53E8" w:rsidP="00CC69D2">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AF0782A" w14:textId="77777777" w:rsidR="00CC69D2" w:rsidRPr="00C13395" w:rsidRDefault="00CC69D2" w:rsidP="00294702">
      <w:pPr>
        <w:spacing w:after="0" w:line="240" w:lineRule="auto"/>
        <w:ind w:left="709" w:right="709"/>
        <w:jc w:val="both"/>
        <w:rPr>
          <w:rFonts w:ascii="Verdana" w:eastAsia="Century Gothic" w:hAnsi="Verdana" w:cs="Century Gothic"/>
          <w:sz w:val="20"/>
          <w:szCs w:val="20"/>
          <w:lang w:val="es-ES"/>
        </w:rPr>
      </w:pPr>
    </w:p>
    <w:p w14:paraId="128FD5A1" w14:textId="77777777" w:rsidR="008E53E8" w:rsidRDefault="008E53E8" w:rsidP="00CC69D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14986133" w14:textId="77777777" w:rsidR="00CC69D2" w:rsidRPr="00C13395" w:rsidRDefault="00CC69D2" w:rsidP="00294702">
      <w:pPr>
        <w:spacing w:after="0" w:line="276" w:lineRule="auto"/>
        <w:ind w:left="709" w:right="709"/>
        <w:jc w:val="both"/>
        <w:rPr>
          <w:rFonts w:ascii="Verdana" w:eastAsia="Century Gothic" w:hAnsi="Verdana" w:cs="Century Gothic"/>
          <w:bCs/>
          <w:sz w:val="20"/>
          <w:szCs w:val="20"/>
          <w:lang w:val="es-ES_tradnl"/>
        </w:rPr>
      </w:pPr>
    </w:p>
    <w:p w14:paraId="330346A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FBA1AE2" w14:textId="4BEADEBC"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Las restricciones </w:t>
      </w:r>
      <w:r w:rsidR="000459C3">
        <w:rPr>
          <w:rFonts w:ascii="Verdana" w:eastAsia="Century Gothic" w:hAnsi="Verdana" w:cs="Century Gothic"/>
          <w:bCs/>
          <w:lang w:val="es-ES_tradnl"/>
        </w:rPr>
        <w:t xml:space="preserve">en materia de contratación estatal </w:t>
      </w:r>
      <w:r w:rsidRPr="00C13395">
        <w:rPr>
          <w:rFonts w:ascii="Verdana" w:eastAsia="Century Gothic" w:hAnsi="Verdana" w:cs="Century Gothic"/>
          <w:bCs/>
          <w:lang w:val="es-ES_tradnl"/>
        </w:rPr>
        <w:t>consagradas en la Ley de Garantías Electorales se dirigen a dos (2) tipos de campañas electorales diferenciadas: las presidenciales y las que se adelanten para la elección de los demás cargos de elección popular, tanto a nivel nacional como territorial.</w:t>
      </w:r>
    </w:p>
    <w:p w14:paraId="41A61C01"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294702">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xml:space="preserve">, los contratos de crédito público, los requeridos para cubrir las emergencias educativas, sanitarias y desastres, así como también los utilizados </w:t>
      </w:r>
      <w:r w:rsidRPr="00C13395">
        <w:rPr>
          <w:rFonts w:ascii="Verdana" w:eastAsia="Century Gothic" w:hAnsi="Verdana" w:cs="Century Gothic"/>
          <w:bCs/>
          <w:lang w:val="es-ES_tradnl"/>
        </w:rPr>
        <w:lastRenderedPageBreak/>
        <w:t>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1C8D2C48"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6EE8786E" w14:textId="77777777" w:rsidR="008E53E8" w:rsidRDefault="008E53E8" w:rsidP="00C27838">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271EB927" w14:textId="77777777" w:rsidR="00C27838" w:rsidRPr="00C13395" w:rsidRDefault="00C27838" w:rsidP="00294702">
      <w:pPr>
        <w:spacing w:after="0" w:line="276" w:lineRule="auto"/>
        <w:ind w:firstLine="708"/>
        <w:jc w:val="both"/>
        <w:rPr>
          <w:rFonts w:ascii="Verdana" w:eastAsia="Century Gothic" w:hAnsi="Verdana" w:cs="Century Gothic"/>
          <w:bCs/>
          <w:lang w:val="es-ES_tradnl"/>
        </w:rPr>
      </w:pPr>
    </w:p>
    <w:p w14:paraId="67610F97" w14:textId="77777777" w:rsidR="008E53E8" w:rsidRDefault="008E53E8" w:rsidP="00C2783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2963FD7B" w14:textId="77777777" w:rsidR="00C27838" w:rsidRPr="00294702" w:rsidRDefault="00C27838" w:rsidP="00294702">
      <w:pPr>
        <w:spacing w:after="0" w:line="276" w:lineRule="auto"/>
        <w:ind w:left="709" w:right="709"/>
        <w:jc w:val="both"/>
        <w:rPr>
          <w:rFonts w:ascii="Verdana" w:eastAsia="Century Gothic" w:hAnsi="Verdana" w:cs="Century Gothic"/>
          <w:bCs/>
          <w:lang w:val="es-ES_tradnl"/>
        </w:rPr>
      </w:pPr>
    </w:p>
    <w:p w14:paraId="11A008F9" w14:textId="77777777" w:rsidR="008E53E8" w:rsidRPr="00C13395" w:rsidRDefault="008E53E8" w:rsidP="00294702">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122F1934">
        <w:rPr>
          <w:rFonts w:ascii="Verdana" w:eastAsia="Century Gothic" w:hAnsi="Verdana" w:cs="Century Gothic"/>
          <w:lang w:val="es-ES"/>
        </w:rPr>
        <w:lastRenderedPageBreak/>
        <w:t>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384E843" w14:textId="77777777" w:rsidR="008E53E8" w:rsidRPr="00C13395" w:rsidRDefault="008E53E8" w:rsidP="00294702">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CCF27D5" w14:textId="77777777" w:rsidR="008E53E8" w:rsidRDefault="008E53E8" w:rsidP="005734B3">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6B4F97C2" w14:textId="77777777" w:rsidR="005734B3" w:rsidRPr="00C13395" w:rsidRDefault="005734B3" w:rsidP="00294702">
      <w:pPr>
        <w:spacing w:after="0" w:line="276" w:lineRule="auto"/>
        <w:ind w:firstLine="708"/>
        <w:jc w:val="both"/>
        <w:rPr>
          <w:rFonts w:ascii="Verdana" w:eastAsia="Century Gothic" w:hAnsi="Verdana" w:cs="Century Gothic"/>
          <w:lang w:val="es-ES"/>
        </w:rPr>
      </w:pPr>
    </w:p>
    <w:p w14:paraId="1237F9E3" w14:textId="77777777" w:rsidR="008E53E8" w:rsidRPr="00C13395" w:rsidRDefault="008E53E8" w:rsidP="122F1934">
      <w:pPr>
        <w:spacing w:after="120" w:line="276" w:lineRule="auto"/>
        <w:jc w:val="both"/>
        <w:rPr>
          <w:rFonts w:ascii="Verdana" w:eastAsia="Century Gothic" w:hAnsi="Verdana" w:cs="Century Gothic"/>
          <w:lang w:val="es-ES"/>
        </w:rPr>
      </w:pP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w:t>
      </w:r>
      <w:r w:rsidRPr="122F1934">
        <w:rPr>
          <w:rFonts w:ascii="Verdana" w:eastAsia="Century Gothic" w:hAnsi="Verdana" w:cs="Century Gothic"/>
          <w:lang w:val="es-ES"/>
        </w:rPr>
        <w:lastRenderedPageBreak/>
        <w:t xml:space="preserve">la que se acerca a la expresión “celebrar” en el contexto de la Ley de Garantías Electorales es la primera, esto es, al perfeccionamiento del contrato. </w:t>
      </w:r>
    </w:p>
    <w:p w14:paraId="087A355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35CDCBD"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C8D16DA" w14:textId="77777777" w:rsidR="008E53E8" w:rsidRPr="00C13395" w:rsidRDefault="008E53E8" w:rsidP="00294702">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w:t>
      </w:r>
      <w:proofErr w:type="gramStart"/>
      <w:r w:rsidRPr="122F1934">
        <w:rPr>
          <w:rFonts w:ascii="Verdana" w:eastAsia="Century Gothic" w:hAnsi="Verdana" w:cs="Century Gothic"/>
          <w:lang w:val="es-ES"/>
        </w:rPr>
        <w:t>entrada en vigencia</w:t>
      </w:r>
      <w:proofErr w:type="gramEnd"/>
      <w:r w:rsidRPr="122F1934">
        <w:rPr>
          <w:rFonts w:ascii="Verdana" w:eastAsia="Century Gothic" w:hAnsi="Verdana" w:cs="Century Gothic"/>
          <w:lang w:val="es-ES"/>
        </w:rPr>
        <w:t xml:space="preserve"> de las prohibiciones anotadas, así como la cesión de </w:t>
      </w:r>
      <w:proofErr w:type="gramStart"/>
      <w:r w:rsidRPr="122F1934">
        <w:rPr>
          <w:rFonts w:ascii="Verdana" w:eastAsia="Century Gothic" w:hAnsi="Verdana" w:cs="Century Gothic"/>
          <w:lang w:val="es-ES"/>
        </w:rPr>
        <w:t>los mismos</w:t>
      </w:r>
      <w:proofErr w:type="gramEnd"/>
      <w:r w:rsidRPr="122F1934">
        <w:rPr>
          <w:rFonts w:ascii="Verdana" w:eastAsia="Century Gothic" w:hAnsi="Verdana" w:cs="Century Gothic"/>
          <w:lang w:val="es-ES"/>
        </w:rPr>
        <w:t xml:space="preserve">, pueden tener lugar en el período de aplicación de la Ley de Garantías Electorales, sin que ello haga nugatoria la restricción de la contratación directa y siempre que cumplan los principios de planeación, transparencia y responsabilidad. </w:t>
      </w:r>
    </w:p>
    <w:p w14:paraId="55252367" w14:textId="77777777" w:rsidR="00825A02" w:rsidRDefault="00825A02" w:rsidP="00294702">
      <w:pPr>
        <w:spacing w:after="0" w:line="276" w:lineRule="auto"/>
        <w:jc w:val="both"/>
        <w:rPr>
          <w:rFonts w:ascii="Verdana" w:eastAsia="Century Gothic" w:hAnsi="Verdana" w:cs="Century Gothic"/>
          <w:bCs/>
          <w:lang w:val="es-ES_tradnl"/>
        </w:rPr>
      </w:pPr>
    </w:p>
    <w:p w14:paraId="3BB27B05" w14:textId="69F8DA33" w:rsidR="008E53E8" w:rsidRPr="00C13395" w:rsidRDefault="00825A02" w:rsidP="00294702">
      <w:pPr>
        <w:spacing w:after="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iii</w:t>
      </w:r>
      <w:proofErr w:type="spellEnd"/>
      <w:r w:rsidRPr="61CFEC75">
        <w:rPr>
          <w:rFonts w:ascii="Verdana" w:eastAsia="Century Gothic" w:hAnsi="Verdana" w:cs="Century Gothic"/>
          <w:lang w:val="es-ES"/>
        </w:rPr>
        <w:t>)</w:t>
      </w:r>
      <w:r w:rsidR="00AB176F" w:rsidRPr="61CFEC75">
        <w:rPr>
          <w:rFonts w:ascii="Verdana" w:eastAsia="Century Gothic" w:hAnsi="Verdana" w:cs="Century Gothic"/>
          <w:lang w:val="es-ES"/>
        </w:rPr>
        <w:t xml:space="preserve"> Teniendo en cuenta el contenido de su consulta, es imperioso analizar los dos tipos de restricciones. En primer lugar,</w:t>
      </w:r>
      <w:r w:rsidRPr="61CFEC75">
        <w:rPr>
          <w:rFonts w:ascii="Verdana" w:eastAsia="Century Gothic" w:hAnsi="Verdana" w:cs="Century Gothic"/>
          <w:lang w:val="es-ES"/>
        </w:rPr>
        <w:t xml:space="preserve"> </w:t>
      </w:r>
      <w:r w:rsidR="00AB176F" w:rsidRPr="61CFEC75">
        <w:rPr>
          <w:rFonts w:ascii="Verdana" w:eastAsia="Century Gothic" w:hAnsi="Verdana" w:cs="Century Gothic"/>
          <w:lang w:val="es-ES"/>
        </w:rPr>
        <w:t xml:space="preserve">el </w:t>
      </w:r>
      <w:r w:rsidR="008E53E8" w:rsidRPr="61CFEC75">
        <w:rPr>
          <w:rFonts w:ascii="Verdana" w:eastAsia="Century Gothic" w:hAnsi="Verdana" w:cs="Century Gothic"/>
          <w:lang w:val="es-ES"/>
        </w:rPr>
        <w:t xml:space="preserve">ámbito material de la prohibición contenida en el artículo 33 de la Ley 996 de 2005 está delimitado por la expresión “queda prohibida la contratación directa”. A propósito de esta </w:t>
      </w:r>
      <w:r w:rsidR="008E53E8" w:rsidRPr="61CFEC75">
        <w:rPr>
          <w:rFonts w:ascii="Verdana" w:eastAsia="Century Gothic" w:hAnsi="Verdana" w:cs="Century Gothic"/>
          <w:lang w:val="es-ES"/>
        </w:rPr>
        <w:lastRenderedPageBreak/>
        <w:t>restricción de la Ley de Garantías Electorales, la Sala de Consulta y Servicio Civil del Consejo de Estado ha considerado que:</w:t>
      </w:r>
    </w:p>
    <w:p w14:paraId="49262FC7" w14:textId="77777777" w:rsidR="008E53E8" w:rsidRPr="00C13395" w:rsidRDefault="008E53E8" w:rsidP="00294702">
      <w:pPr>
        <w:spacing w:after="0" w:line="276" w:lineRule="auto"/>
        <w:jc w:val="both"/>
        <w:rPr>
          <w:rFonts w:ascii="Verdana" w:eastAsia="Century Gothic" w:hAnsi="Verdana" w:cs="Century Gothic"/>
          <w:bCs/>
          <w:lang w:val="es-ES_tradnl"/>
        </w:rPr>
      </w:pPr>
    </w:p>
    <w:p w14:paraId="5903D1A3"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028E4D16"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p>
    <w:p w14:paraId="282FE391"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59FE831D" w14:textId="77777777" w:rsidR="00AB176F" w:rsidRDefault="00AB176F" w:rsidP="00294702">
      <w:pPr>
        <w:spacing w:after="0" w:line="276" w:lineRule="auto"/>
        <w:ind w:firstLine="708"/>
        <w:jc w:val="both"/>
        <w:rPr>
          <w:rFonts w:ascii="Verdana" w:eastAsia="Century Gothic" w:hAnsi="Verdana" w:cs="Century Gothic"/>
          <w:bCs/>
          <w:lang w:val="es-ES_tradnl"/>
        </w:rPr>
      </w:pPr>
    </w:p>
    <w:p w14:paraId="5039E959" w14:textId="76774E29"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58B9EA99"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w:t>
      </w:r>
      <w:r w:rsidRPr="00C13395">
        <w:rPr>
          <w:rFonts w:ascii="Verdana" w:eastAsia="Century Gothic" w:hAnsi="Verdana" w:cs="Century Gothic"/>
          <w:bCs/>
          <w:lang w:val="es-ES_tradnl"/>
        </w:rPr>
        <w:lastRenderedPageBreak/>
        <w:t xml:space="preserve">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6F69E5AB"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4C9CB526" w14:textId="77777777" w:rsidR="008E53E8" w:rsidRPr="00C13395" w:rsidRDefault="008E53E8" w:rsidP="00072845">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2DE5F87"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18038707" w14:textId="24D8AFD9" w:rsidR="008E53E8" w:rsidRPr="00C13395" w:rsidRDefault="008E53E8" w:rsidP="61CFEC75">
      <w:pPr>
        <w:spacing w:after="120" w:line="276" w:lineRule="auto"/>
        <w:ind w:firstLine="708"/>
        <w:jc w:val="both"/>
        <w:rPr>
          <w:rFonts w:ascii="Verdana" w:eastAsia="Century Gothic" w:hAnsi="Verdana" w:cs="Century Gothic"/>
          <w:lang w:val="es-ES"/>
        </w:rPr>
      </w:pPr>
      <w:r w:rsidRPr="61CFEC75">
        <w:rPr>
          <w:rFonts w:ascii="Verdana" w:eastAsia="Century Gothic" w:hAnsi="Verdana" w:cs="Century Gothic"/>
          <w:lang w:val="es-ES"/>
        </w:rPr>
        <w:t>De lo anterior se desprende que la restricción aplica, sin perjuicio de las excepciones establecidas en la misma Ley,</w:t>
      </w:r>
      <w:r w:rsidR="0034005D" w:rsidRPr="61CFEC75">
        <w:rPr>
          <w:rFonts w:ascii="Verdana" w:eastAsia="Century Gothic" w:hAnsi="Verdana" w:cs="Century Gothic"/>
          <w:lang w:val="es-ES"/>
        </w:rPr>
        <w:t xml:space="preserve"> a las cuales se hará referencia más adelante,</w:t>
      </w:r>
      <w:r w:rsidRPr="61CFEC75">
        <w:rPr>
          <w:rFonts w:ascii="Verdana" w:eastAsia="Century Gothic" w:hAnsi="Verdana" w:cs="Century Gothic"/>
          <w:lang w:val="es-ES"/>
        </w:rPr>
        <w:t xml:space="preserv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w:t>
      </w:r>
      <w:r w:rsidRPr="61CFEC75">
        <w:rPr>
          <w:rFonts w:ascii="Verdana" w:eastAsia="Century Gothic" w:hAnsi="Verdana" w:cs="Century Gothic"/>
          <w:lang w:val="es-ES"/>
        </w:rPr>
        <w:lastRenderedPageBreak/>
        <w:t xml:space="preserve">que trata la disposición las entidades públicas pueden seguir contratando bajo estos sistemas. </w:t>
      </w:r>
    </w:p>
    <w:p w14:paraId="1B74122D" w14:textId="116A62BE" w:rsidR="000F128F" w:rsidRDefault="00390DBE" w:rsidP="00072845">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Ahora bien</w:t>
      </w:r>
      <w:r w:rsidR="008E53E8" w:rsidRPr="122F1934">
        <w:rPr>
          <w:rFonts w:ascii="Verdana" w:eastAsia="Century Gothic" w:hAnsi="Verdana" w:cs="Century Gothic"/>
          <w:lang w:val="es-ES"/>
        </w:rPr>
        <w:t>, las excepciones a la restricción prevista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008E53E8" w:rsidRPr="00294702">
        <w:rPr>
          <w:rFonts w:ascii="Verdana" w:eastAsia="Century Gothic" w:hAnsi="Verdana" w:cs="Century Gothic"/>
          <w:i/>
          <w:iCs/>
          <w:lang w:val="es-ES"/>
        </w:rPr>
        <w:t>) la defensa y seguridad del Estado;</w:t>
      </w:r>
      <w:r w:rsidR="008E53E8" w:rsidRPr="122F1934">
        <w:rPr>
          <w:rFonts w:ascii="Verdana" w:eastAsia="Century Gothic" w:hAnsi="Verdana" w:cs="Century Gothic"/>
          <w:lang w:val="es-ES"/>
        </w:rPr>
        <w:t xml:space="preserve"> </w:t>
      </w:r>
      <w:proofErr w:type="spellStart"/>
      <w:r w:rsidR="008E53E8" w:rsidRPr="122F1934">
        <w:rPr>
          <w:rFonts w:ascii="Verdana" w:eastAsia="Century Gothic" w:hAnsi="Verdana" w:cs="Century Gothic"/>
          <w:lang w:val="es-ES"/>
        </w:rPr>
        <w:t>ii</w:t>
      </w:r>
      <w:proofErr w:type="spellEnd"/>
      <w:r w:rsidR="008E53E8" w:rsidRPr="122F1934">
        <w:rPr>
          <w:rFonts w:ascii="Verdana" w:eastAsia="Century Gothic" w:hAnsi="Verdana" w:cs="Century Gothic"/>
          <w:lang w:val="es-ES"/>
        </w:rPr>
        <w:t xml:space="preserve">) los contratos de crédito público; </w:t>
      </w:r>
      <w:proofErr w:type="spellStart"/>
      <w:r w:rsidR="008E53E8" w:rsidRPr="122F1934">
        <w:rPr>
          <w:rFonts w:ascii="Verdana" w:eastAsia="Century Gothic" w:hAnsi="Verdana" w:cs="Century Gothic"/>
          <w:lang w:val="es-ES"/>
        </w:rPr>
        <w:t>iii</w:t>
      </w:r>
      <w:proofErr w:type="spellEnd"/>
      <w:r w:rsidR="008E53E8" w:rsidRPr="122F1934">
        <w:rPr>
          <w:rFonts w:ascii="Verdana" w:eastAsia="Century Gothic" w:hAnsi="Verdana" w:cs="Century Gothic"/>
          <w:lang w:val="es-ES"/>
        </w:rPr>
        <w:t xml:space="preserve">) los requeridos para cubrir las emergencias educativas, sanitarias y desastres; </w:t>
      </w:r>
      <w:proofErr w:type="spellStart"/>
      <w:r w:rsidR="008E53E8" w:rsidRPr="122F1934">
        <w:rPr>
          <w:rFonts w:ascii="Verdana" w:eastAsia="Century Gothic" w:hAnsi="Verdana" w:cs="Century Gothic"/>
          <w:lang w:val="es-ES"/>
        </w:rPr>
        <w:t>iv</w:t>
      </w:r>
      <w:proofErr w:type="spellEnd"/>
      <w:r w:rsidR="008E53E8"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5A5FC7DF" w14:textId="395AD8DB" w:rsidR="008E53E8" w:rsidRPr="00C13395" w:rsidRDefault="000F128F" w:rsidP="00072845">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Conforme a las anteriores causales de excepción</w:t>
      </w:r>
      <w:r w:rsidR="00DB1EBD">
        <w:rPr>
          <w:rFonts w:ascii="Verdana" w:eastAsia="Century Gothic" w:hAnsi="Verdana" w:cs="Century Gothic"/>
          <w:lang w:val="es-ES"/>
        </w:rPr>
        <w:t>, e</w:t>
      </w:r>
      <w:r w:rsidR="008E53E8" w:rsidRPr="122F1934">
        <w:rPr>
          <w:rFonts w:ascii="Verdana" w:eastAsia="Century Gothic" w:hAnsi="Verdana" w:cs="Century Gothic"/>
          <w:lang w:val="es-ES"/>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78395EC"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1FB1543" w14:textId="5C1308A6" w:rsidR="00AA6873" w:rsidRPr="00DB1EBD" w:rsidRDefault="00AA6873" w:rsidP="00294702">
      <w:pPr>
        <w:spacing w:after="120" w:line="276" w:lineRule="auto"/>
        <w:ind w:firstLine="708"/>
        <w:jc w:val="both"/>
        <w:rPr>
          <w:rFonts w:ascii="Verdana" w:eastAsia="Century Gothic" w:hAnsi="Verdana" w:cs="Century Gothic"/>
          <w:bCs/>
          <w:lang w:val="es-ES_tradnl"/>
        </w:rPr>
      </w:pPr>
      <w:r w:rsidRPr="00294702">
        <w:rPr>
          <w:rFonts w:ascii="Verdana" w:hAnsi="Verdana" w:cs="Arial"/>
          <w:color w:val="000000" w:themeColor="text1"/>
          <w:lang w:val="es-ES"/>
        </w:rPr>
        <w:t xml:space="preserve">Precisamente, en lo que respecta a estas excepciones, el segundo inciso del artículo 33 de la Ley 996 de 2005, como acaba de plantearse, establece que la prohibición de la contratación directa no se aplicará en lo referente a la </w:t>
      </w:r>
      <w:r w:rsidR="00DB1EBD" w:rsidRPr="00294702">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DB1EBD" w:rsidRPr="00294702">
        <w:rPr>
          <w:rFonts w:ascii="Verdana" w:hAnsi="Verdana" w:cs="Arial"/>
          <w:color w:val="000000" w:themeColor="text1"/>
          <w:lang w:val="es-ES"/>
        </w:rPr>
        <w:t>2</w:t>
      </w:r>
      <w:r w:rsidRPr="00294702">
        <w:rPr>
          <w:rFonts w:ascii="Verdana" w:hAnsi="Verdana" w:cs="Arial"/>
          <w:color w:val="000000" w:themeColor="text1"/>
          <w:lang w:val="es-ES"/>
        </w:rPr>
        <w:t xml:space="preserve">; expresión que </w:t>
      </w:r>
      <w:r w:rsidR="00DB1EBD" w:rsidRPr="00294702">
        <w:rPr>
          <w:rFonts w:ascii="Verdana" w:hAnsi="Verdana" w:cs="Arial"/>
          <w:color w:val="000000" w:themeColor="text1"/>
          <w:lang w:val="es-ES"/>
        </w:rPr>
        <w:t xml:space="preserve">puede relacionarse con </w:t>
      </w:r>
      <w:r w:rsidRPr="00294702">
        <w:rPr>
          <w:rFonts w:ascii="Verdana" w:hAnsi="Verdana" w:cs="Arial"/>
          <w:color w:val="000000" w:themeColor="text1"/>
          <w:lang w:val="es-ES"/>
        </w:rPr>
        <w:t>la consulta bajo análisis.</w:t>
      </w:r>
    </w:p>
    <w:p w14:paraId="16E70431" w14:textId="629D7991" w:rsidR="0036476C" w:rsidRPr="00294702" w:rsidRDefault="0036476C" w:rsidP="00294702">
      <w:pPr>
        <w:spacing w:after="120" w:line="276" w:lineRule="auto"/>
        <w:ind w:firstLine="709"/>
        <w:jc w:val="both"/>
        <w:rPr>
          <w:rFonts w:ascii="Verdana" w:eastAsia="Arial" w:hAnsi="Verdana" w:cs="Arial"/>
          <w:color w:val="000000" w:themeColor="text1"/>
          <w:lang w:val="es-ES_tradnl"/>
        </w:rPr>
      </w:pPr>
      <w:r w:rsidRPr="00294702">
        <w:rPr>
          <w:rFonts w:ascii="Verdana" w:hAnsi="Verdana" w:cs="Arial"/>
          <w:color w:val="000000" w:themeColor="text1"/>
          <w:lang w:val="es-ES_tradnl"/>
        </w:rPr>
        <w:lastRenderedPageBreak/>
        <w:t>Haciendo, previamente, la salvedad, de que la competencia consultiva de la Agencia Nacional de Contratación Pública – Colombia Compra Eficiente se circunscribe a la interpretación, en abstracto, de normas de alcance general que hagan parte del Sistema de Compras y Contratación Pública</w:t>
      </w:r>
      <w:r w:rsidRPr="00294702">
        <w:rPr>
          <w:rStyle w:val="Refdenotaalpie"/>
          <w:rFonts w:ascii="Verdana" w:hAnsi="Verdana"/>
        </w:rPr>
        <w:footnoteReference w:id="1"/>
      </w:r>
      <w:r w:rsidRPr="00294702">
        <w:rPr>
          <w:rFonts w:ascii="Verdana" w:hAnsi="Verdana" w:cs="Arial"/>
          <w:color w:val="000000" w:themeColor="text1"/>
          <w:lang w:val="es-ES_tradnl"/>
        </w:rPr>
        <w:t xml:space="preserve">, y que, por tanto, no puede asesorar a las entidades estatales en decisiones contractuales particulares, se aclara que la expresión </w:t>
      </w:r>
      <w:r w:rsidR="005F5235">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5F5235">
        <w:rPr>
          <w:rFonts w:ascii="Verdana" w:hAnsi="Verdana" w:cs="Arial"/>
          <w:color w:val="000000" w:themeColor="text1"/>
          <w:lang w:val="es-ES_tradnl"/>
        </w:rPr>
        <w:t>”</w:t>
      </w:r>
      <w:r w:rsidRPr="00294702">
        <w:rPr>
          <w:rFonts w:ascii="Verdana" w:hAnsi="Verdana" w:cs="Arial"/>
          <w:color w:val="000000" w:themeColor="text1"/>
          <w:lang w:val="es-ES_tradnl"/>
        </w:rPr>
        <w:t xml:space="preserve">, contenida en el segundo inciso del artículo 33 de la Ley 996 de 2005, es un </w:t>
      </w:r>
      <w:r w:rsidRPr="00294702">
        <w:rPr>
          <w:rFonts w:ascii="Verdana" w:hAnsi="Verdana" w:cs="Arial"/>
          <w:i/>
          <w:iCs/>
          <w:color w:val="000000" w:themeColor="text1"/>
          <w:lang w:val="es-ES_tradnl"/>
        </w:rPr>
        <w:t>concepto jurídico indeterminado</w:t>
      </w:r>
      <w:r w:rsidRPr="00294702">
        <w:rPr>
          <w:rStyle w:val="Refdenotaalpie"/>
          <w:rFonts w:ascii="Verdana" w:eastAsia="Calibri" w:hAnsi="Verdana"/>
        </w:rPr>
        <w:footnoteReference w:id="2"/>
      </w:r>
      <w:r w:rsidRPr="00294702">
        <w:rPr>
          <w:rFonts w:ascii="Verdana" w:eastAsia="Calibri" w:hAnsi="Verdana" w:cs="Arial"/>
          <w:bCs/>
          <w:color w:val="000000" w:themeColor="text1"/>
          <w:lang w:val="es-ES_tradnl"/>
        </w:rPr>
        <w:t xml:space="preserve">. </w:t>
      </w:r>
      <w:r w:rsidRPr="00294702">
        <w:rPr>
          <w:rFonts w:ascii="Verdana" w:eastAsia="Arial" w:hAnsi="Verdana" w:cs="Arial"/>
          <w:color w:val="000000" w:themeColor="text1"/>
          <w:lang w:val="es-ES_tradnl"/>
        </w:rPr>
        <w:t xml:space="preserve">Un concepto adquiere </w:t>
      </w:r>
      <w:r w:rsidR="00072845">
        <w:rPr>
          <w:rFonts w:ascii="Verdana" w:eastAsia="Arial" w:hAnsi="Verdana" w:cs="Arial"/>
          <w:color w:val="000000" w:themeColor="text1"/>
          <w:lang w:val="es-ES_tradnl"/>
        </w:rPr>
        <w:t>l</w:t>
      </w:r>
      <w:r w:rsidRPr="00294702">
        <w:rPr>
          <w:rFonts w:ascii="Verdana" w:eastAsia="Arial" w:hAnsi="Verdana" w:cs="Arial"/>
          <w:color w:val="000000" w:themeColor="text1"/>
          <w:lang w:val="es-ES_tradnl"/>
        </w:rPr>
        <w:t xml:space="preserve">a denominación </w:t>
      </w:r>
      <w:r w:rsidR="00072845">
        <w:rPr>
          <w:rFonts w:ascii="Verdana" w:eastAsia="Arial" w:hAnsi="Verdana" w:cs="Arial"/>
          <w:color w:val="000000" w:themeColor="text1"/>
          <w:lang w:val="es-ES_tradnl"/>
        </w:rPr>
        <w:t xml:space="preserve">de indeterminado </w:t>
      </w:r>
      <w:r w:rsidRPr="00294702">
        <w:rPr>
          <w:rFonts w:ascii="Verdana" w:eastAsia="Arial" w:hAnsi="Verdana" w:cs="Arial"/>
          <w:color w:val="000000" w:themeColor="text1"/>
          <w:lang w:val="es-ES_tradnl"/>
        </w:rPr>
        <w:t>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La Corte Constitucional</w:t>
      </w:r>
      <w:r w:rsidRPr="00294702">
        <w:rPr>
          <w:rStyle w:val="Refdenotaalpie"/>
          <w:rFonts w:ascii="Verdana" w:eastAsia="Arial" w:hAnsi="Verdana"/>
        </w:rPr>
        <w:footnoteReference w:id="3"/>
      </w:r>
      <w:r w:rsidRPr="00294702">
        <w:rPr>
          <w:rFonts w:ascii="Verdana" w:eastAsia="Arial" w:hAnsi="Verdana" w:cs="Arial"/>
          <w:color w:val="000000" w:themeColor="text1"/>
          <w:lang w:val="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p>
    <w:p w14:paraId="37987A7B" w14:textId="310156BD" w:rsidR="0036476C" w:rsidRPr="00294702" w:rsidRDefault="0036476C" w:rsidP="00294702">
      <w:pPr>
        <w:spacing w:after="120" w:line="276" w:lineRule="auto"/>
        <w:ind w:firstLine="709"/>
        <w:jc w:val="both"/>
        <w:rPr>
          <w:rFonts w:ascii="Verdana" w:hAnsi="Verdana" w:cs="Arial"/>
          <w:color w:val="000000" w:themeColor="text1"/>
          <w:lang w:val="es-ES_tradnl"/>
        </w:rPr>
      </w:pPr>
      <w:r w:rsidRPr="00294702">
        <w:rPr>
          <w:rFonts w:ascii="Verdana" w:eastAsia="Arial" w:hAnsi="Verdana" w:cs="Arial"/>
          <w:color w:val="000000" w:themeColor="text1"/>
          <w:lang w:val="es-ES_tradnl"/>
        </w:rPr>
        <w:t xml:space="preserve">El Consejo de Estado, en varios pronunciamientos, ha admitido el carácter indeterminado de los conceptos </w:t>
      </w:r>
      <w:r w:rsidR="006A3A90">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6A3A90">
        <w:rPr>
          <w:rFonts w:ascii="Verdana" w:hAnsi="Verdana" w:cs="Arial"/>
          <w:color w:val="000000" w:themeColor="text1"/>
          <w:lang w:val="es-ES_tradnl"/>
        </w:rPr>
        <w:t>”</w:t>
      </w:r>
      <w:r w:rsidRPr="00294702">
        <w:rPr>
          <w:rFonts w:ascii="Verdana" w:hAnsi="Verdana" w:cs="Arial"/>
          <w:color w:val="000000" w:themeColor="text1"/>
          <w:lang w:val="es-ES_tradnl"/>
        </w:rPr>
        <w:t xml:space="preserve"> y </w:t>
      </w:r>
      <w:r w:rsidR="006A3A90">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sidR="006A3A90">
        <w:rPr>
          <w:rFonts w:ascii="Verdana" w:hAnsi="Verdana" w:cs="Arial"/>
          <w:color w:val="000000" w:themeColor="text1"/>
          <w:lang w:val="es-ES_tradnl"/>
        </w:rPr>
        <w:t>”</w:t>
      </w:r>
      <w:r w:rsidRPr="00294702">
        <w:rPr>
          <w:rFonts w:ascii="Verdana" w:hAnsi="Verdana" w:cs="Arial"/>
          <w:color w:val="000000" w:themeColor="text1"/>
          <w:lang w:val="es-ES_tradnl"/>
        </w:rPr>
        <w:t>, en las normas de contratación pública que se refieren a aquellos, incluida la del artículo 33 de la Ley 996 de 2005. A modo enunciativo, conviene referirse a algunas de dichas providencias:</w:t>
      </w:r>
    </w:p>
    <w:p w14:paraId="6F9FA0BD" w14:textId="3374376F" w:rsidR="0036476C" w:rsidRPr="00294702" w:rsidRDefault="0036476C" w:rsidP="00294702">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En concepto del 30 de enero de 1997, la Sala de Consulta y Servicio Civil indicó que</w:t>
      </w:r>
      <w:r w:rsidR="004C08B5">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sidR="004C08B5">
        <w:rPr>
          <w:rFonts w:ascii="Verdana" w:hAnsi="Verdana" w:cs="Arial"/>
          <w:color w:val="000000" w:themeColor="text1"/>
          <w:lang w:val="es-ES_tradnl"/>
        </w:rPr>
        <w:t>“</w:t>
      </w:r>
      <w:r w:rsidRPr="00294702">
        <w:rPr>
          <w:rFonts w:ascii="Verdana" w:hAnsi="Verdana" w:cs="Arial"/>
          <w:color w:val="000000" w:themeColor="text1"/>
          <w:lang w:val="es-ES_tradnl"/>
        </w:rPr>
        <w:t xml:space="preserve">El ramo de seguridad, perteneciente a la administración pública, comprende las actividades que velan por la seguridad de los habitantes del territorio del Estado. Su finalidad es la detectar las amenazas que puedan perturbar el orden público, afectar intereses nacionales o desestabilizar las </w:t>
      </w:r>
      <w:r w:rsidRPr="00294702">
        <w:rPr>
          <w:rFonts w:ascii="Verdana" w:hAnsi="Verdana" w:cs="Arial"/>
          <w:color w:val="000000" w:themeColor="text1"/>
          <w:lang w:val="es-ES_tradnl"/>
        </w:rPr>
        <w:lastRenderedPageBreak/>
        <w:t>instituciones políticas vigentes. Por tanto, tiene un carácter eminentemente preventivo</w:t>
      </w:r>
      <w:r w:rsidR="004C08B5">
        <w:rPr>
          <w:rFonts w:ascii="Verdana" w:hAnsi="Verdana" w:cs="Arial"/>
          <w:color w:val="000000" w:themeColor="text1"/>
          <w:lang w:val="es-ES_tradnl"/>
        </w:rPr>
        <w:t>”</w:t>
      </w:r>
      <w:r w:rsidRPr="00294702">
        <w:rPr>
          <w:rStyle w:val="Refdenotaalpie"/>
          <w:rFonts w:ascii="Verdana" w:hAnsi="Verdana"/>
        </w:rPr>
        <w:footnoteReference w:id="4"/>
      </w:r>
      <w:r w:rsidRPr="00294702">
        <w:rPr>
          <w:rFonts w:ascii="Verdana" w:hAnsi="Verdana" w:cs="Arial"/>
          <w:color w:val="000000" w:themeColor="text1"/>
          <w:lang w:val="es-ES_tradnl"/>
        </w:rPr>
        <w:t>. Y agregó:</w:t>
      </w:r>
    </w:p>
    <w:p w14:paraId="59E66D9E" w14:textId="77777777" w:rsidR="0036476C" w:rsidRPr="00294702" w:rsidRDefault="0036476C" w:rsidP="00294702">
      <w:pPr>
        <w:spacing w:after="0"/>
        <w:ind w:left="709" w:right="709"/>
        <w:jc w:val="both"/>
        <w:rPr>
          <w:rFonts w:ascii="Verdana" w:hAnsi="Verdana" w:cs="Arial"/>
          <w:color w:val="000000" w:themeColor="text1"/>
          <w:lang w:val="es-ES_tradnl"/>
        </w:rPr>
      </w:pPr>
    </w:p>
    <w:p w14:paraId="78082315" w14:textId="77777777" w:rsidR="0036476C" w:rsidRPr="00294702" w:rsidRDefault="0036476C" w:rsidP="00294702">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De manera que, aunque disímiles, los conceptos de seguridad y de defensa nacional se complementan para el cumplimiento de fines esenciales del Estado, como que ambos conforman sectores de la administración pública íntimamente relacionados. Al sector seguridad corresponde "asegurar la convivencia pacífica y la vigencia de un orden justo", mientras que al sector defensa compete "defender la independencia nacional y mantener la integridad territorial", para utilizar expresiones que pertenecen a la terminología empleada por el artículo 2</w:t>
      </w:r>
      <w:r w:rsidRPr="00294702">
        <w:rPr>
          <w:rFonts w:ascii="Verdana" w:hAnsi="Verdana" w:cs="Arial"/>
          <w:color w:val="000000" w:themeColor="text1"/>
          <w:sz w:val="20"/>
          <w:szCs w:val="20"/>
          <w:vertAlign w:val="superscript"/>
          <w:lang w:val="es-ES_tradnl"/>
        </w:rPr>
        <w:t>o</w:t>
      </w:r>
      <w:r w:rsidRPr="00294702">
        <w:rPr>
          <w:rFonts w:ascii="Verdana" w:hAnsi="Verdana" w:cs="Arial"/>
          <w:color w:val="000000" w:themeColor="text1"/>
          <w:sz w:val="20"/>
          <w:szCs w:val="20"/>
          <w:lang w:val="es-ES_tradnl"/>
        </w:rPr>
        <w:t>. de la Constitución. Por lo demás, la primera noción implica un campo de acción de naturaleza preventivo, encomendado a instituciones y cuerpos de naturaleza civil. La segunda requiere de medidas de protección e inclusive acciones de carácter bélico, para lo cual se han organizado instituciones y cuerpos de naturaleza militar</w:t>
      </w:r>
      <w:r w:rsidRPr="00294702">
        <w:rPr>
          <w:rStyle w:val="Refdenotaalpie"/>
          <w:rFonts w:ascii="Verdana" w:hAnsi="Verdana"/>
          <w:sz w:val="20"/>
          <w:szCs w:val="20"/>
        </w:rPr>
        <w:footnoteReference w:id="5"/>
      </w:r>
      <w:r w:rsidRPr="00294702">
        <w:rPr>
          <w:rFonts w:ascii="Verdana" w:hAnsi="Verdana" w:cs="Arial"/>
          <w:color w:val="000000" w:themeColor="text1"/>
          <w:sz w:val="20"/>
          <w:szCs w:val="20"/>
          <w:lang w:val="es-ES_tradnl"/>
        </w:rPr>
        <w:t>.</w:t>
      </w:r>
    </w:p>
    <w:p w14:paraId="6B36D0E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30F99D9D" w14:textId="2A709FA2" w:rsidR="0036476C" w:rsidRPr="00294702" w:rsidRDefault="0036476C" w:rsidP="0036476C">
      <w:pPr>
        <w:spacing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_tradnl"/>
        </w:rPr>
        <w:t>En concepto del 15 de diciembre de 2005, la Sala de Consulta y Servicio Civil señaló que</w:t>
      </w:r>
      <w:r w:rsidR="006A3A90">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sidR="006A3A90">
        <w:rPr>
          <w:rFonts w:ascii="Verdana" w:hAnsi="Verdana" w:cs="Arial"/>
          <w:color w:val="000000" w:themeColor="text1"/>
          <w:lang w:val="es-ES_tradnl"/>
        </w:rPr>
        <w:t>“</w:t>
      </w:r>
      <w:r w:rsidRPr="00294702">
        <w:rPr>
          <w:rFonts w:ascii="Verdana" w:hAnsi="Verdana" w:cs="Arial"/>
          <w:lang w:val="es-ES" w:eastAsia="es-ES"/>
        </w:rPr>
        <w:t xml:space="preserve">[…] </w:t>
      </w:r>
      <w:r w:rsidRPr="00294702">
        <w:rPr>
          <w:rFonts w:ascii="Verdana" w:hAnsi="Verdana" w:cs="Arial"/>
          <w:color w:val="000000" w:themeColor="text1"/>
          <w:lang w:val="es-ES"/>
        </w:rPr>
        <w:t>la creación de los cargos de Inspector de Seguridad Aérea en la Unidad Administrativa Especial de la Aeronáutica Civil, y su posterior provisión, por relacionarse con la incorporación de un personal necesario para la seguridad aérea, la cual constituye un aspecto de la seguridad del Estado, se encuentra dentro de la excepción mencionada por el artículo 33 de la ley 996 de 2005, y en consecuencia, resulta viable la expedición del decreto de creación de dichos cargos en la planta de personal de la entidad</w:t>
      </w:r>
      <w:r w:rsidR="00A56C31">
        <w:rPr>
          <w:rFonts w:ascii="Verdana" w:hAnsi="Verdana" w:cs="Arial"/>
          <w:color w:val="000000" w:themeColor="text1"/>
          <w:lang w:val="es-ES"/>
        </w:rPr>
        <w:t>”</w:t>
      </w:r>
      <w:r w:rsidRPr="00294702">
        <w:rPr>
          <w:rStyle w:val="Refdenotaalpie"/>
          <w:rFonts w:ascii="Verdana" w:hAnsi="Verdana"/>
        </w:rPr>
        <w:footnoteReference w:id="6"/>
      </w:r>
      <w:r w:rsidRPr="00294702">
        <w:rPr>
          <w:rFonts w:ascii="Verdana" w:hAnsi="Verdana" w:cs="Arial"/>
          <w:color w:val="000000" w:themeColor="text1"/>
          <w:lang w:val="es-ES"/>
        </w:rPr>
        <w:t>.</w:t>
      </w:r>
    </w:p>
    <w:p w14:paraId="73206C92" w14:textId="7D04D69A" w:rsidR="0036476C" w:rsidRPr="00294702" w:rsidRDefault="0036476C" w:rsidP="00294702">
      <w:pPr>
        <w:spacing w:before="120" w:after="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En concepto del 17 de febrero de 2006, la Sala de Consulta y Servicio Civil, al interpretar la excepción de </w:t>
      </w:r>
      <w:r w:rsidR="00A56C31">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A56C31">
        <w:rPr>
          <w:rFonts w:ascii="Verdana" w:hAnsi="Verdana" w:cs="Arial"/>
          <w:color w:val="000000" w:themeColor="text1"/>
          <w:lang w:val="es-ES"/>
        </w:rPr>
        <w:t>”</w:t>
      </w:r>
      <w:r w:rsidRPr="00294702">
        <w:rPr>
          <w:rFonts w:ascii="Verdana" w:hAnsi="Verdana" w:cs="Arial"/>
          <w:color w:val="000000" w:themeColor="text1"/>
          <w:lang w:val="es-ES"/>
        </w:rPr>
        <w:t xml:space="preserve"> del segundo inciso del artículo 33 de la Ley 996 de 2005, sostuvo que </w:t>
      </w:r>
      <w:r w:rsidR="00A56C31">
        <w:rPr>
          <w:rFonts w:ascii="Verdana" w:hAnsi="Verdana" w:cs="Arial"/>
          <w:color w:val="000000" w:themeColor="text1"/>
          <w:lang w:val="es-ES"/>
        </w:rPr>
        <w:t>“</w:t>
      </w:r>
      <w:r w:rsidRPr="00294702">
        <w:rPr>
          <w:rFonts w:ascii="Verdana" w:hAnsi="Verdana" w:cs="Arial"/>
          <w:color w:val="000000" w:themeColor="text1"/>
          <w:lang w:val="es-ES"/>
        </w:rPr>
        <w:t>Seguridad y defensa del Estado, significan respeto del orden instituido</w:t>
      </w:r>
      <w:r w:rsidR="00A56C31">
        <w:rPr>
          <w:rFonts w:ascii="Verdana" w:hAnsi="Verdana" w:cs="Arial"/>
          <w:color w:val="000000" w:themeColor="text1"/>
          <w:lang w:val="es-ES"/>
        </w:rPr>
        <w:t>”</w:t>
      </w:r>
      <w:r w:rsidRPr="00294702">
        <w:rPr>
          <w:rStyle w:val="Refdenotaalpie"/>
          <w:rFonts w:ascii="Verdana" w:hAnsi="Verdana"/>
        </w:rPr>
        <w:footnoteReference w:id="7"/>
      </w:r>
      <w:r w:rsidRPr="00294702">
        <w:rPr>
          <w:rFonts w:ascii="Verdana" w:hAnsi="Verdana" w:cs="Arial"/>
          <w:color w:val="000000" w:themeColor="text1"/>
          <w:lang w:val="es-ES"/>
        </w:rPr>
        <w:t>, añadiendo, por tanto, que:</w:t>
      </w:r>
    </w:p>
    <w:p w14:paraId="3DF20364" w14:textId="77777777" w:rsidR="0036476C" w:rsidRPr="00294702" w:rsidRDefault="0036476C" w:rsidP="00294702">
      <w:pPr>
        <w:spacing w:after="0"/>
        <w:ind w:left="709" w:right="709"/>
        <w:jc w:val="both"/>
        <w:rPr>
          <w:rFonts w:ascii="Verdana" w:hAnsi="Verdana" w:cs="Arial"/>
          <w:color w:val="000000" w:themeColor="text1"/>
          <w:sz w:val="21"/>
          <w:szCs w:val="21"/>
          <w:lang w:val="es-ES"/>
        </w:rPr>
      </w:pPr>
    </w:p>
    <w:p w14:paraId="0878F1F7" w14:textId="77777777" w:rsidR="0036476C" w:rsidRPr="00294702" w:rsidRDefault="0036476C" w:rsidP="00294702">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 xml:space="preserve">Por su relación directa, necesaria e inmediata con la realización del derecho constitucional a la participación democrática y la defensa del </w:t>
      </w:r>
      <w:r w:rsidRPr="00294702">
        <w:rPr>
          <w:rFonts w:ascii="Verdana" w:hAnsi="Verdana" w:cs="Arial"/>
          <w:color w:val="000000" w:themeColor="text1"/>
          <w:sz w:val="20"/>
          <w:szCs w:val="20"/>
          <w:lang w:val="es-ES_tradnl"/>
        </w:rPr>
        <w:lastRenderedPageBreak/>
        <w:t>orden institucional, los procesos de contratación para la adquisición de bienes y servicios necesarios para adelantar los procesos electorales  para elección de Congreso y Presidente de la República, hacen parte de la defensa y seguridad del Estado, y por consiguiente se pueden incluir en la excepción a la prohibición de contratación directa establecida por el artículo 33 de la ley 996 de 2.005, razón por la cual las gobernaciones y alcaldías, en su labor de colaboración, de acuerdo con el marco establecido por el Plan Nacional de Garantías, pueden contratar en forma directa en aquellos casos que no superen las cuantías para hacer licitación pública, durante los cuatro meses anteriores a las elecciones presidenciales, salvo que se trate de convenios interadministrativos para la ejecución de recursos públicos, en cuyo caso no cabría la excepción a la prohibición</w:t>
      </w:r>
      <w:r w:rsidRPr="00294702">
        <w:rPr>
          <w:rStyle w:val="Refdenotaalpie"/>
          <w:rFonts w:ascii="Verdana" w:hAnsi="Verdana"/>
          <w:sz w:val="20"/>
          <w:szCs w:val="20"/>
        </w:rPr>
        <w:footnoteReference w:id="8"/>
      </w:r>
      <w:r w:rsidRPr="00294702">
        <w:rPr>
          <w:rFonts w:ascii="Verdana" w:hAnsi="Verdana" w:cs="Arial"/>
          <w:color w:val="000000" w:themeColor="text1"/>
          <w:sz w:val="20"/>
          <w:szCs w:val="20"/>
          <w:lang w:val="es-ES_tradnl"/>
        </w:rPr>
        <w:t>.</w:t>
      </w:r>
    </w:p>
    <w:p w14:paraId="22E75405"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F8EFBA4" w14:textId="543748CC" w:rsidR="0036476C" w:rsidRPr="00294702" w:rsidRDefault="0036476C" w:rsidP="00294702">
      <w:pPr>
        <w:spacing w:after="12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En concepto del 25 de marzo de 2010, la Sala de Consulta y Servicio Civil acoge la interpretación prohijada en el concepto del 20 de febrero de 2006, indicando que el concepto </w:t>
      </w:r>
      <w:r w:rsidR="00AC62E4">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AC62E4">
        <w:rPr>
          <w:rFonts w:ascii="Verdana" w:hAnsi="Verdana" w:cs="Arial"/>
          <w:color w:val="000000" w:themeColor="text1"/>
          <w:lang w:val="es-ES_tradnl"/>
        </w:rPr>
        <w:t>”</w:t>
      </w:r>
      <w:r w:rsidRPr="00294702">
        <w:rPr>
          <w:rFonts w:ascii="Verdana" w:hAnsi="Verdana" w:cs="Arial"/>
          <w:color w:val="000000" w:themeColor="text1"/>
          <w:lang w:val="es-ES_tradnl"/>
        </w:rPr>
        <w:t xml:space="preserve"> debe interpretarse </w:t>
      </w:r>
      <w:r w:rsidR="00AC62E4">
        <w:rPr>
          <w:rFonts w:ascii="Verdana" w:hAnsi="Verdana" w:cs="Arial"/>
          <w:color w:val="000000" w:themeColor="text1"/>
          <w:lang w:val="es-ES_tradnl"/>
        </w:rPr>
        <w:t>“</w:t>
      </w:r>
      <w:r w:rsidRPr="00294702">
        <w:rPr>
          <w:rFonts w:ascii="Verdana" w:hAnsi="Verdana" w:cs="Arial"/>
          <w:color w:val="000000" w:themeColor="text1"/>
          <w:lang w:val="es-ES_tradnl"/>
        </w:rPr>
        <w:t xml:space="preserve">como aquellas actividades necesarias para la estabilidad </w:t>
      </w:r>
      <w:proofErr w:type="gramStart"/>
      <w:r w:rsidRPr="00294702">
        <w:rPr>
          <w:rFonts w:ascii="Verdana" w:hAnsi="Verdana" w:cs="Arial"/>
          <w:color w:val="000000" w:themeColor="text1"/>
          <w:lang w:val="es-ES_tradnl"/>
        </w:rPr>
        <w:t>del mismo</w:t>
      </w:r>
      <w:proofErr w:type="gramEnd"/>
      <w:r w:rsidRPr="00294702">
        <w:rPr>
          <w:rFonts w:ascii="Verdana" w:hAnsi="Verdana" w:cs="Arial"/>
          <w:color w:val="000000" w:themeColor="text1"/>
          <w:lang w:val="es-ES_tradnl"/>
        </w:rPr>
        <w:t>, pues está de por medio el mantenimiento del orden público</w:t>
      </w:r>
      <w:r w:rsidR="00AC62E4">
        <w:rPr>
          <w:rFonts w:ascii="Verdana" w:hAnsi="Verdana" w:cs="Arial"/>
          <w:color w:val="000000" w:themeColor="text1"/>
          <w:lang w:val="es-ES_tradnl"/>
        </w:rPr>
        <w:t>”</w:t>
      </w:r>
      <w:r w:rsidRPr="00294702">
        <w:rPr>
          <w:rStyle w:val="Refdenotaalpie"/>
          <w:rFonts w:ascii="Verdana" w:hAnsi="Verdana"/>
        </w:rPr>
        <w:footnoteReference w:id="9"/>
      </w:r>
      <w:r w:rsidRPr="00294702">
        <w:rPr>
          <w:rFonts w:ascii="Verdana" w:hAnsi="Verdana" w:cs="Arial"/>
          <w:color w:val="000000" w:themeColor="text1"/>
          <w:lang w:val="es-ES_tradnl"/>
        </w:rPr>
        <w:t xml:space="preserve">. En tal sentido, concluyó que </w:t>
      </w:r>
      <w:r w:rsidR="00AC62E4">
        <w:rPr>
          <w:rFonts w:ascii="Verdana" w:hAnsi="Verdana" w:cs="Arial"/>
          <w:color w:val="000000" w:themeColor="text1"/>
          <w:lang w:val="es-ES_tradnl"/>
        </w:rPr>
        <w:t>“</w:t>
      </w:r>
      <w:r w:rsidRPr="00294702">
        <w:rPr>
          <w:rFonts w:ascii="Verdana" w:hAnsi="Verdana" w:cs="Arial"/>
          <w:color w:val="000000" w:themeColor="text1"/>
          <w:lang w:val="es-ES_tradnl"/>
        </w:rPr>
        <w:t xml:space="preserve">Las funciones confiadas al Director General del INPEC están directamente relacionadas con la seguridad del Estado, y por lo mismo, su desvinculación mediante declaratoria de insubsistencia y la posterior provisión del cargo, dentro del ámbito temporal previsto en el artículo 32 de la ley 996 de 2005, no conlleva transgresión de las prohibiciones contenidas en los artículos 32 y 33 </w:t>
      </w:r>
      <w:proofErr w:type="spellStart"/>
      <w:r w:rsidRPr="00294702">
        <w:rPr>
          <w:rFonts w:ascii="Verdana" w:hAnsi="Verdana" w:cs="Arial"/>
          <w:color w:val="000000" w:themeColor="text1"/>
          <w:lang w:val="es-ES_tradnl"/>
        </w:rPr>
        <w:t>ibídem</w:t>
      </w:r>
      <w:proofErr w:type="spellEnd"/>
      <w:r w:rsidR="00AC62E4">
        <w:rPr>
          <w:rFonts w:ascii="Verdana" w:hAnsi="Verdana" w:cs="Arial"/>
          <w:color w:val="000000" w:themeColor="text1"/>
          <w:lang w:val="es-ES_tradnl"/>
        </w:rPr>
        <w:t>”</w:t>
      </w:r>
      <w:r w:rsidRPr="00294702">
        <w:rPr>
          <w:rStyle w:val="Refdenotaalpie"/>
          <w:rFonts w:ascii="Verdana" w:hAnsi="Verdana"/>
        </w:rPr>
        <w:footnoteReference w:id="10"/>
      </w:r>
      <w:r w:rsidRPr="00294702">
        <w:rPr>
          <w:rFonts w:ascii="Verdana" w:hAnsi="Verdana" w:cs="Arial"/>
          <w:color w:val="000000" w:themeColor="text1"/>
          <w:lang w:val="es-ES_tradnl"/>
        </w:rPr>
        <w:t>.</w:t>
      </w:r>
    </w:p>
    <w:p w14:paraId="4B58826B" w14:textId="1E19E03A" w:rsidR="0036476C" w:rsidRPr="00294702" w:rsidRDefault="0036476C" w:rsidP="00294702">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En concepto del 2 de septiembre de 2013, la Sala de Consulta y Servicio Civil se pronunció sobre el alcance de la expresión </w:t>
      </w:r>
      <w:r w:rsidR="00BE117F">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BE117F">
        <w:rPr>
          <w:rFonts w:ascii="Verdana" w:hAnsi="Verdana" w:cs="Arial"/>
          <w:color w:val="000000" w:themeColor="text1"/>
          <w:lang w:val="es-ES_tradnl"/>
        </w:rPr>
        <w:t>”</w:t>
      </w:r>
      <w:r w:rsidRPr="00294702">
        <w:rPr>
          <w:rFonts w:ascii="Verdana" w:hAnsi="Verdana" w:cs="Arial"/>
          <w:color w:val="000000" w:themeColor="text1"/>
          <w:lang w:val="es-ES_tradnl"/>
        </w:rPr>
        <w:t>, como excepción a la prohibición del artículo 33 de la Ley 996 de 2005, en el marco de la contratación relacionada con los compromisos derivados del acuerdo de paz con las FARC, señalando lo siguiente:</w:t>
      </w:r>
    </w:p>
    <w:p w14:paraId="1D90136C" w14:textId="77777777" w:rsidR="0036476C" w:rsidRPr="00294702" w:rsidRDefault="0036476C" w:rsidP="00294702">
      <w:pPr>
        <w:spacing w:after="0"/>
        <w:ind w:left="709" w:right="709"/>
        <w:jc w:val="both"/>
        <w:rPr>
          <w:rFonts w:ascii="Verdana" w:hAnsi="Verdana" w:cs="Arial"/>
          <w:i/>
          <w:sz w:val="21"/>
          <w:szCs w:val="21"/>
        </w:rPr>
      </w:pPr>
    </w:p>
    <w:p w14:paraId="3B45D3D3"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(i)</w:t>
      </w:r>
      <w:r w:rsidRPr="00294702">
        <w:rPr>
          <w:rFonts w:ascii="Verdana" w:hAnsi="Verdana" w:cs="Arial"/>
          <w:sz w:val="20"/>
          <w:szCs w:val="20"/>
        </w:rPr>
        <w:t xml:space="preserve"> La seguridad y la defensa nacionales son presupuestos materiales de la soberanía nacional, la independencia, la integridad territorial y el orden constitucional, y contribuyen a garantizar las condiciones necesarias para el ejercicio de los derechos, obligaciones y libertades públicas.</w:t>
      </w:r>
    </w:p>
    <w:p w14:paraId="00DC2B56" w14:textId="77777777" w:rsidR="0036476C" w:rsidRPr="00294702" w:rsidRDefault="0036476C" w:rsidP="00294702">
      <w:pPr>
        <w:spacing w:after="0" w:line="240" w:lineRule="auto"/>
        <w:ind w:left="709" w:right="709"/>
        <w:jc w:val="both"/>
        <w:rPr>
          <w:rFonts w:ascii="Verdana" w:hAnsi="Verdana" w:cs="Arial"/>
          <w:sz w:val="20"/>
          <w:szCs w:val="20"/>
        </w:rPr>
      </w:pPr>
    </w:p>
    <w:p w14:paraId="19772204"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ii</w:t>
      </w:r>
      <w:proofErr w:type="spellEnd"/>
      <w:r w:rsidRPr="00294702">
        <w:rPr>
          <w:rFonts w:ascii="Verdana" w:hAnsi="Verdana" w:cs="Arial"/>
          <w:i/>
          <w:sz w:val="20"/>
          <w:szCs w:val="20"/>
        </w:rPr>
        <w:t>)</w:t>
      </w:r>
      <w:r w:rsidRPr="00294702">
        <w:rPr>
          <w:rFonts w:ascii="Verdana" w:hAnsi="Verdana" w:cs="Arial"/>
          <w:sz w:val="20"/>
          <w:szCs w:val="20"/>
        </w:rPr>
        <w:t xml:space="preserve"> Se trata de conceptos amplios, relativos y dinámicos, cuya concreción depende de los objetivos que se propone alcanzar el Estado en una época </w:t>
      </w:r>
      <w:r w:rsidRPr="00294702">
        <w:rPr>
          <w:rFonts w:ascii="Verdana" w:hAnsi="Verdana" w:cs="Arial"/>
          <w:sz w:val="20"/>
          <w:szCs w:val="20"/>
        </w:rPr>
        <w:lastRenderedPageBreak/>
        <w:t>determinada, de manera que son susceptibles de actualización y sufren constantes transformaciones y cambios.</w:t>
      </w:r>
    </w:p>
    <w:p w14:paraId="0A60A788" w14:textId="77777777" w:rsidR="0036476C" w:rsidRPr="00294702" w:rsidRDefault="0036476C" w:rsidP="00294702">
      <w:pPr>
        <w:spacing w:after="0" w:line="240" w:lineRule="auto"/>
        <w:ind w:left="709" w:right="709"/>
        <w:jc w:val="both"/>
        <w:rPr>
          <w:rFonts w:ascii="Verdana" w:hAnsi="Verdana" w:cs="Arial"/>
          <w:sz w:val="20"/>
          <w:szCs w:val="20"/>
        </w:rPr>
      </w:pPr>
    </w:p>
    <w:p w14:paraId="3907D49A"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iii</w:t>
      </w:r>
      <w:proofErr w:type="spellEnd"/>
      <w:r w:rsidRPr="00294702">
        <w:rPr>
          <w:rFonts w:ascii="Verdana" w:hAnsi="Verdana" w:cs="Arial"/>
          <w:i/>
          <w:sz w:val="20"/>
          <w:szCs w:val="20"/>
        </w:rPr>
        <w:t>)</w:t>
      </w:r>
      <w:r w:rsidRPr="00294702">
        <w:rPr>
          <w:rFonts w:ascii="Verdana" w:hAnsi="Verdana" w:cs="Arial"/>
          <w:sz w:val="20"/>
          <w:szCs w:val="20"/>
        </w:rPr>
        <w:t xml:space="preserve"> La conservación y mantenimiento del orden público es la finalidad misma de la “seguridad” y encuentra en el Gobierno Nacional (art. 189.4 CP) su principal responsable y garante, razón por la cual puede</w:t>
      </w:r>
      <w:r w:rsidRPr="00294702">
        <w:rPr>
          <w:rStyle w:val="Refdecomentario"/>
          <w:rFonts w:ascii="Verdana" w:hAnsi="Verdana"/>
          <w:sz w:val="20"/>
          <w:szCs w:val="20"/>
        </w:rPr>
        <w:t xml:space="preserve"> </w:t>
      </w:r>
      <w:r w:rsidRPr="00294702">
        <w:rPr>
          <w:rFonts w:ascii="Verdana" w:hAnsi="Verdana" w:cs="Arial"/>
          <w:sz w:val="20"/>
          <w:szCs w:val="20"/>
        </w:rPr>
        <w:t>adoptar medidas y  adelantar acciones coercitivas o militares y soluciones no armamentistas sino políticas negociadas (por ejemplo desmovilización y reinserción), para alcanzar la paz, que es un valor (preámbulo constitucional), un fin esencial del Estado (art. 2 CP), un derecho (art. 22 CP) y un deber social (95.6 CP).</w:t>
      </w:r>
    </w:p>
    <w:p w14:paraId="7C73DF03" w14:textId="77777777" w:rsidR="0036476C" w:rsidRPr="00294702" w:rsidRDefault="0036476C" w:rsidP="00294702">
      <w:pPr>
        <w:spacing w:after="0" w:line="240" w:lineRule="auto"/>
        <w:ind w:left="709" w:right="709"/>
        <w:jc w:val="both"/>
        <w:rPr>
          <w:rFonts w:ascii="Verdana" w:hAnsi="Verdana" w:cs="Arial"/>
          <w:sz w:val="20"/>
          <w:szCs w:val="20"/>
        </w:rPr>
      </w:pPr>
    </w:p>
    <w:p w14:paraId="043F6E21"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iv</w:t>
      </w:r>
      <w:proofErr w:type="spellEnd"/>
      <w:r w:rsidRPr="00294702">
        <w:rPr>
          <w:rFonts w:ascii="Verdana" w:hAnsi="Verdana" w:cs="Arial"/>
          <w:i/>
          <w:sz w:val="20"/>
          <w:szCs w:val="20"/>
        </w:rPr>
        <w:t>)</w:t>
      </w:r>
      <w:r w:rsidRPr="00294702">
        <w:rPr>
          <w:rFonts w:ascii="Verdana" w:hAnsi="Verdana" w:cs="Arial"/>
          <w:sz w:val="20"/>
          <w:szCs w:val="20"/>
        </w:rPr>
        <w:t xml:space="preserve"> Estos conceptos no están relacionados únicamente con los dispositivos o actividades bélicas o armamentistas, sino que abarcan todas aquellas estrategias y acciones que permitan la garantía de los derechos y libertades y, por ende, la coexistencia pacífica de los habitantes de la Nación, inclusive aquellas que permitan que los infractores de la ley se reincorporen a la vida civil.</w:t>
      </w:r>
    </w:p>
    <w:p w14:paraId="10709B2B" w14:textId="77777777" w:rsidR="0036476C" w:rsidRPr="00294702" w:rsidRDefault="0036476C" w:rsidP="00294702">
      <w:pPr>
        <w:spacing w:after="0" w:line="240" w:lineRule="auto"/>
        <w:ind w:left="709" w:right="709"/>
        <w:jc w:val="both"/>
        <w:rPr>
          <w:rFonts w:ascii="Verdana" w:hAnsi="Verdana" w:cs="Arial"/>
          <w:sz w:val="20"/>
          <w:szCs w:val="20"/>
        </w:rPr>
      </w:pPr>
    </w:p>
    <w:p w14:paraId="4AFD766B"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(v)</w:t>
      </w:r>
      <w:r w:rsidRPr="00294702">
        <w:rPr>
          <w:rFonts w:ascii="Verdana" w:hAnsi="Verdana" w:cs="Arial"/>
          <w:sz w:val="20"/>
          <w:szCs w:val="20"/>
        </w:rPr>
        <w:t xml:space="preserve"> La política de seguridad y defensa nacionales, supone para el Estado no solo la adopción de estrategias y acciones militares directas, sino también soluciones negociadas y, por tanto, estas últimas y todas las acciones y actividades que requieran, también configuran evidentes manifestaciones de la defensa y la seguridad nacionales.</w:t>
      </w:r>
    </w:p>
    <w:p w14:paraId="78B4D0BE" w14:textId="77777777" w:rsidR="0036476C" w:rsidRPr="00294702" w:rsidRDefault="0036476C" w:rsidP="00294702">
      <w:pPr>
        <w:tabs>
          <w:tab w:val="left" w:pos="8222"/>
        </w:tabs>
        <w:spacing w:after="0" w:line="240" w:lineRule="auto"/>
        <w:ind w:left="709" w:right="709"/>
        <w:jc w:val="both"/>
        <w:rPr>
          <w:rFonts w:ascii="Verdana" w:hAnsi="Verdana" w:cs="Arial"/>
          <w:sz w:val="20"/>
          <w:szCs w:val="20"/>
        </w:rPr>
      </w:pPr>
    </w:p>
    <w:p w14:paraId="4BB8FC1D"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r w:rsidRPr="00294702">
        <w:rPr>
          <w:rFonts w:ascii="Verdana" w:hAnsi="Verdana" w:cs="Arial"/>
          <w:sz w:val="20"/>
          <w:szCs w:val="20"/>
          <w:lang w:val="es-ES_tradnl"/>
        </w:rPr>
        <w:t xml:space="preserve">Como se puede concluir de este análisis, </w:t>
      </w:r>
      <w:r w:rsidRPr="00294702">
        <w:rPr>
          <w:rFonts w:ascii="Verdana" w:hAnsi="Verdana" w:cs="Arial"/>
          <w:sz w:val="20"/>
          <w:szCs w:val="20"/>
        </w:rPr>
        <w:t xml:space="preserve">los conceptos de seguridad y defensa nacionales son conceptos jurídicos indeterminados, su alcance no se limita al campo de lo </w:t>
      </w:r>
      <w:proofErr w:type="gramStart"/>
      <w:r w:rsidRPr="00294702">
        <w:rPr>
          <w:rFonts w:ascii="Verdana" w:hAnsi="Verdana" w:cs="Arial"/>
          <w:sz w:val="20"/>
          <w:szCs w:val="20"/>
        </w:rPr>
        <w:t>bélico</w:t>
      </w:r>
      <w:proofErr w:type="gramEnd"/>
      <w:r w:rsidRPr="00294702">
        <w:rPr>
          <w:rFonts w:ascii="Verdana" w:hAnsi="Verdana" w:cs="Arial"/>
          <w:sz w:val="20"/>
          <w:szCs w:val="20"/>
        </w:rPr>
        <w:t xml:space="preserve"> sino que </w:t>
      </w:r>
      <w:r w:rsidRPr="00294702">
        <w:rPr>
          <w:rFonts w:ascii="Verdana" w:hAnsi="Verdana" w:cs="Arial"/>
          <w:bCs/>
          <w:sz w:val="20"/>
          <w:szCs w:val="20"/>
        </w:rPr>
        <w:t>incluye asuntos encaminados, directamente o por conexidad, al mantenimiento del orden público, la convivencia pacífica de la comunidad y la vigencia de los derechos y libertades de las personas.</w:t>
      </w:r>
    </w:p>
    <w:p w14:paraId="12ACBE61"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p>
    <w:p w14:paraId="08103A8D"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r w:rsidRPr="00294702">
        <w:rPr>
          <w:rFonts w:ascii="Verdana" w:hAnsi="Verdana" w:cs="Arial"/>
          <w:bCs/>
          <w:sz w:val="20"/>
          <w:szCs w:val="20"/>
        </w:rPr>
        <w:t xml:space="preserve">Dentro del marco conceptual expuesto, resulta relevante revisar la naturaleza y objeto </w:t>
      </w:r>
      <w:r w:rsidRPr="00294702">
        <w:rPr>
          <w:rFonts w:ascii="Verdana" w:hAnsi="Verdana" w:cs="Arial"/>
          <w:sz w:val="20"/>
          <w:szCs w:val="20"/>
        </w:rPr>
        <w:t>del Fondo de Programas para la Paz y de la Agencia Colombiana para la Reintegración de Personas y Grupos Alzados en Armas, con el objeto de determinar si la gestión administrativa que dichas entidades realizan en ejercicio de sus funciones encajan en el objetivo de procurar la materialización de la convivencia pacífica y en esa medida se ajustan a la excepción de defensa y seguridad del Estado que contempla el artículo 33 de la ley 996 de 2005</w:t>
      </w:r>
      <w:r w:rsidRPr="00294702">
        <w:rPr>
          <w:rStyle w:val="Refdenotaalpie"/>
          <w:rFonts w:ascii="Verdana" w:hAnsi="Verdana"/>
          <w:sz w:val="20"/>
          <w:szCs w:val="20"/>
        </w:rPr>
        <w:footnoteReference w:id="11"/>
      </w:r>
      <w:r w:rsidRPr="00294702">
        <w:rPr>
          <w:rFonts w:ascii="Verdana" w:hAnsi="Verdana" w:cs="Arial"/>
          <w:sz w:val="20"/>
          <w:szCs w:val="20"/>
        </w:rPr>
        <w:t>.</w:t>
      </w:r>
    </w:p>
    <w:p w14:paraId="71A2E63F"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167F37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De este modo, concluyó que:  </w:t>
      </w:r>
    </w:p>
    <w:p w14:paraId="5BF45B12" w14:textId="77777777" w:rsidR="0036476C" w:rsidRPr="00294702" w:rsidRDefault="0036476C" w:rsidP="00294702">
      <w:pPr>
        <w:spacing w:after="0" w:line="276" w:lineRule="auto"/>
        <w:ind w:left="709" w:right="709"/>
        <w:jc w:val="both"/>
        <w:rPr>
          <w:rFonts w:ascii="Verdana" w:hAnsi="Verdana" w:cs="Arial"/>
          <w:sz w:val="21"/>
          <w:szCs w:val="21"/>
        </w:rPr>
      </w:pPr>
    </w:p>
    <w:p w14:paraId="4856B3E1" w14:textId="560537F3" w:rsidR="0036476C" w:rsidRPr="00294702" w:rsidRDefault="00FB32A6"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lastRenderedPageBreak/>
        <w:t>“</w:t>
      </w:r>
      <w:r w:rsidR="0036476C" w:rsidRPr="00294702">
        <w:rPr>
          <w:rFonts w:ascii="Verdana" w:hAnsi="Verdana" w:cs="Arial"/>
          <w:sz w:val="20"/>
          <w:szCs w:val="20"/>
        </w:rPr>
        <w:t xml:space="preserve">La ejecución de los programas a cargo del Fondo de Programas para la Paz están encaminados directamente al restablecimiento del orden público, a la construcción de una política de paz y a la búsqueda del logro y mantenimiento de </w:t>
      </w:r>
      <w:proofErr w:type="gramStart"/>
      <w:r w:rsidR="0036476C" w:rsidRPr="00294702">
        <w:rPr>
          <w:rFonts w:ascii="Verdana" w:hAnsi="Verdana" w:cs="Arial"/>
          <w:sz w:val="20"/>
          <w:szCs w:val="20"/>
        </w:rPr>
        <w:t>la misma</w:t>
      </w:r>
      <w:proofErr w:type="gramEnd"/>
      <w:r w:rsidR="0036476C" w:rsidRPr="00294702">
        <w:rPr>
          <w:rFonts w:ascii="Verdana" w:hAnsi="Verdana" w:cs="Arial"/>
          <w:sz w:val="20"/>
          <w:szCs w:val="20"/>
        </w:rPr>
        <w:t>, en atención a uno de los fines estatales consagrados en el preámbulo y en el artículo 2 de la Constitución Política. Por esta razón, es claro que llevar a cabo la contratación directa, en lo que corresponda contratar bajo esta modalidad de selección, para la continuidad de estos programas, encaja dentro de la noción de “</w:t>
      </w:r>
      <w:r w:rsidR="0036476C" w:rsidRPr="00294702">
        <w:rPr>
          <w:rFonts w:ascii="Verdana" w:hAnsi="Verdana" w:cs="Arial"/>
          <w:i/>
          <w:sz w:val="20"/>
          <w:szCs w:val="20"/>
        </w:rPr>
        <w:t>defensa y seguridad del Estado”</w:t>
      </w:r>
      <w:r w:rsidR="0036476C" w:rsidRPr="00294702">
        <w:rPr>
          <w:rFonts w:ascii="Verdana" w:hAnsi="Verdana" w:cs="Arial"/>
          <w:sz w:val="20"/>
          <w:szCs w:val="20"/>
        </w:rPr>
        <w:t xml:space="preserve"> de la excepción a que se refiere el artículo 33 de la ley 996 de 2005, Estatutaria de la Ley de Garantías Electorales.</w:t>
      </w:r>
    </w:p>
    <w:p w14:paraId="413F9F9F" w14:textId="77777777" w:rsidR="0036476C" w:rsidRPr="00294702" w:rsidRDefault="0036476C" w:rsidP="00294702">
      <w:pPr>
        <w:spacing w:after="0" w:line="240" w:lineRule="auto"/>
        <w:ind w:left="709" w:right="709"/>
        <w:jc w:val="both"/>
        <w:rPr>
          <w:rFonts w:ascii="Verdana" w:hAnsi="Verdana" w:cs="Arial"/>
          <w:sz w:val="20"/>
          <w:szCs w:val="20"/>
        </w:rPr>
      </w:pPr>
    </w:p>
    <w:p w14:paraId="683E054A"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En consecuencia, en caso de que el Presidente de la República en ejercicio manifieste su interés en participar como candidato en las próximas elecciones presidenciales, el Fondo de Programas para la Paz puede continuar contratando directamente los programas cuya financiación esté a su cargo relacionados con la construcción de la paz, el restablecimiento del orden público y la vigencia de los derechos y libertades de las personas, en cumplimiento de las normas que rigen su actividad y al amparo de la excepción a la que se refiere el artículo 33 de la citada ley.</w:t>
      </w:r>
    </w:p>
    <w:p w14:paraId="3CAF7ECD" w14:textId="77777777" w:rsidR="0036476C" w:rsidRPr="00294702" w:rsidRDefault="0036476C" w:rsidP="00294702">
      <w:pPr>
        <w:spacing w:after="0" w:line="240" w:lineRule="auto"/>
        <w:ind w:left="709" w:right="709"/>
        <w:jc w:val="both"/>
        <w:rPr>
          <w:rFonts w:ascii="Verdana" w:hAnsi="Verdana" w:cs="Arial"/>
          <w:sz w:val="20"/>
          <w:szCs w:val="20"/>
        </w:rPr>
      </w:pPr>
    </w:p>
    <w:p w14:paraId="33A0498D"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w:t>
      </w:r>
    </w:p>
    <w:p w14:paraId="27328037" w14:textId="77777777" w:rsidR="0036476C" w:rsidRPr="00294702" w:rsidRDefault="0036476C" w:rsidP="00294702">
      <w:pPr>
        <w:spacing w:after="0" w:line="240" w:lineRule="auto"/>
        <w:ind w:left="709" w:right="709"/>
        <w:jc w:val="both"/>
        <w:rPr>
          <w:rFonts w:ascii="Verdana" w:hAnsi="Verdana" w:cs="Arial"/>
          <w:sz w:val="20"/>
          <w:szCs w:val="20"/>
        </w:rPr>
      </w:pPr>
    </w:p>
    <w:p w14:paraId="576D7739" w14:textId="06AD378F" w:rsidR="0036476C" w:rsidRPr="00294702" w:rsidRDefault="0036476C" w:rsidP="00294702">
      <w:pPr>
        <w:pStyle w:val="Prrafodelista"/>
        <w:spacing w:after="0" w:line="240" w:lineRule="auto"/>
        <w:ind w:left="709" w:right="709"/>
        <w:jc w:val="both"/>
        <w:rPr>
          <w:rFonts w:ascii="Verdana" w:hAnsi="Verdana" w:cs="Arial"/>
          <w:i/>
          <w:sz w:val="20"/>
          <w:szCs w:val="20"/>
        </w:rPr>
      </w:pPr>
      <w:r w:rsidRPr="00294702">
        <w:rPr>
          <w:rFonts w:ascii="Verdana" w:hAnsi="Verdana" w:cs="Arial"/>
          <w:iCs/>
          <w:sz w:val="20"/>
          <w:szCs w:val="20"/>
        </w:rPr>
        <w:t>La excepción a la prohibición a la contratación directa prevista en el artículo 33 de la ley 996 de 2005, en “</w:t>
      </w:r>
      <w:r w:rsidRPr="00294702">
        <w:rPr>
          <w:rFonts w:ascii="Verdana" w:hAnsi="Verdana" w:cs="Arial"/>
          <w:i/>
          <w:iCs/>
          <w:sz w:val="20"/>
          <w:szCs w:val="20"/>
        </w:rPr>
        <w:t>lo referente a la defensa y seguridad del Estado”,</w:t>
      </w:r>
      <w:r w:rsidRPr="00294702">
        <w:rPr>
          <w:rFonts w:ascii="Verdana" w:hAnsi="Verdana" w:cs="Arial"/>
          <w:iCs/>
          <w:sz w:val="20"/>
          <w:szCs w:val="20"/>
        </w:rPr>
        <w:t xml:space="preserve"> es aplicable a la adquisición de bienes y servicios para atender los programas de desmovilización y reincorporación a la vida civil de grupos alzados en armas al margen de la ley y de los miembros de los mismos, que se manejan a través de la </w:t>
      </w:r>
      <w:r w:rsidRPr="00294702">
        <w:rPr>
          <w:rFonts w:ascii="Verdana" w:hAnsi="Verdana" w:cs="Arial"/>
          <w:sz w:val="20"/>
          <w:szCs w:val="20"/>
        </w:rPr>
        <w:t>Agencia Colombiana para la Reintegración de Personas y Grupos Alzados en Armas, de conformidad</w:t>
      </w:r>
      <w:r w:rsidRPr="00294702">
        <w:rPr>
          <w:rFonts w:ascii="Verdana" w:hAnsi="Verdana"/>
          <w:sz w:val="20"/>
          <w:szCs w:val="20"/>
        </w:rPr>
        <w:t xml:space="preserve"> </w:t>
      </w:r>
      <w:r w:rsidRPr="00294702">
        <w:rPr>
          <w:rFonts w:ascii="Verdana" w:hAnsi="Verdana" w:cs="Arial"/>
          <w:sz w:val="20"/>
          <w:szCs w:val="20"/>
        </w:rPr>
        <w:t>con las causales de contratación directa previstas en el Estatuto General de Contratación de la Administración Pública (leyes 80 de 1993 y 1150 de 2007) y su decreto reglamentario 1510 del 17 de julio de 2013</w:t>
      </w:r>
      <w:r w:rsidR="00FB32A6">
        <w:rPr>
          <w:rFonts w:ascii="Verdana" w:hAnsi="Verdana" w:cs="Arial"/>
          <w:sz w:val="20"/>
          <w:szCs w:val="20"/>
        </w:rPr>
        <w:t>”</w:t>
      </w:r>
      <w:r w:rsidRPr="00294702">
        <w:rPr>
          <w:rStyle w:val="Refdenotaalpie"/>
          <w:rFonts w:ascii="Verdana" w:hAnsi="Verdana"/>
          <w:sz w:val="20"/>
          <w:szCs w:val="20"/>
        </w:rPr>
        <w:footnoteReference w:id="12"/>
      </w:r>
      <w:r w:rsidRPr="00294702">
        <w:rPr>
          <w:rFonts w:ascii="Verdana" w:hAnsi="Verdana" w:cs="Arial"/>
          <w:sz w:val="20"/>
          <w:szCs w:val="20"/>
        </w:rPr>
        <w:t xml:space="preserve">. </w:t>
      </w:r>
    </w:p>
    <w:p w14:paraId="1D83BD38" w14:textId="77777777" w:rsidR="0036476C" w:rsidRPr="00294702" w:rsidRDefault="0036476C" w:rsidP="00294702">
      <w:pPr>
        <w:spacing w:after="0" w:line="276" w:lineRule="auto"/>
        <w:ind w:firstLine="709"/>
        <w:jc w:val="both"/>
        <w:rPr>
          <w:rFonts w:ascii="Verdana" w:hAnsi="Verdana" w:cs="Arial"/>
          <w:color w:val="000000" w:themeColor="text1"/>
          <w:lang w:val="es-ES"/>
        </w:rPr>
      </w:pPr>
    </w:p>
    <w:p w14:paraId="61FEDC51" w14:textId="2476E26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Por su parte, la Sección Tercera del Consejo de Estado, al resolver la acción de nulidad contra el artículo 1 del Decreto 3740 de 2004, en sentencia del 27 de marzo de 2008, interpretó el concepto de </w:t>
      </w:r>
      <w:r w:rsidR="00FB32A6">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sidR="00FB32A6">
        <w:rPr>
          <w:rFonts w:ascii="Verdana" w:hAnsi="Verdana" w:cs="Arial"/>
          <w:color w:val="000000" w:themeColor="text1"/>
          <w:lang w:val="es-ES_tradnl"/>
        </w:rPr>
        <w:t>”</w:t>
      </w:r>
      <w:r w:rsidRPr="00294702">
        <w:rPr>
          <w:rFonts w:ascii="Verdana" w:hAnsi="Verdana" w:cs="Arial"/>
          <w:color w:val="000000" w:themeColor="text1"/>
          <w:lang w:val="es-ES_tradnl"/>
        </w:rPr>
        <w:t xml:space="preserve"> de la siguiente manera: </w:t>
      </w:r>
    </w:p>
    <w:p w14:paraId="0956FA81"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2E5DD820" w14:textId="77777777" w:rsidR="0036476C" w:rsidRPr="00294702" w:rsidRDefault="00FB32A6" w:rsidP="00294702">
      <w:pPr>
        <w:spacing w:after="0" w:line="240" w:lineRule="auto"/>
        <w:ind w:left="709" w:right="709"/>
        <w:jc w:val="both"/>
        <w:rPr>
          <w:rFonts w:ascii="Verdana" w:hAnsi="Verdana" w:cs="Arial"/>
          <w:sz w:val="20"/>
          <w:szCs w:val="20"/>
        </w:rPr>
      </w:pPr>
      <w:r w:rsidRPr="00294702">
        <w:rPr>
          <w:rFonts w:ascii="Verdana" w:hAnsi="Verdana" w:cs="Arial"/>
          <w:sz w:val="20"/>
          <w:szCs w:val="20"/>
          <w:lang w:val="es-ES_tradnl"/>
        </w:rPr>
        <w:t>“</w:t>
      </w:r>
      <w:r w:rsidR="0036476C" w:rsidRPr="00294702">
        <w:rPr>
          <w:rFonts w:ascii="Verdana" w:hAnsi="Verdana" w:cs="Arial"/>
          <w:sz w:val="20"/>
          <w:szCs w:val="20"/>
        </w:rPr>
        <w:t xml:space="preserve">[…] una visión sistémica de la seguridad y defensa nacionales impone la articulación dinámica de diversos elementos (no sólo bélicos) con el entorno de violencia que agobia a la sociedad colombiana desde hace mucho tiempo. Asegurar la convivencia pacífica, base y razón de ser de la defensa y seguridad nacional, supone para el Estado la adopción de </w:t>
      </w:r>
      <w:r w:rsidR="0036476C" w:rsidRPr="00294702">
        <w:rPr>
          <w:rFonts w:ascii="Verdana" w:hAnsi="Verdana" w:cs="Arial"/>
          <w:sz w:val="20"/>
          <w:szCs w:val="20"/>
        </w:rPr>
        <w:lastRenderedPageBreak/>
        <w:t xml:space="preserve">medidas que no siempre comportan la acción militar directa. En otros términos, la acción estatal en punto de seguridad no tiene que forzosa e ineludiblemente recaer en el empleo de las armas, ni en la estrategia militar o en el despliegue de fuerzas combatientes, sino que también puede haber otros medios eficaces para garantizar la defensa y seguridad nacionales. La prerrogativa legítima del ejercicio de la coacción exige la utilización de varios instrumentos, que no se reducen necesariamente al uso de las armas. La seguridad no sólo se </w:t>
      </w:r>
      <w:proofErr w:type="gramStart"/>
      <w:r w:rsidR="0036476C" w:rsidRPr="00294702">
        <w:rPr>
          <w:rFonts w:ascii="Verdana" w:hAnsi="Verdana" w:cs="Arial"/>
          <w:sz w:val="20"/>
          <w:szCs w:val="20"/>
        </w:rPr>
        <w:t>defiende</w:t>
      </w:r>
      <w:proofErr w:type="gramEnd"/>
      <w:r w:rsidR="0036476C" w:rsidRPr="00294702">
        <w:rPr>
          <w:rFonts w:ascii="Verdana" w:hAnsi="Verdana" w:cs="Arial"/>
          <w:sz w:val="20"/>
          <w:szCs w:val="20"/>
        </w:rPr>
        <w:t xml:space="preserve"> sino que se robustece si, por ejemplo, se materializa efectivamente una política de sometimiento de grupos que pretenden hacer de la seguridad un fin ilegítimo de su accionar delincuencial. </w:t>
      </w:r>
      <w:proofErr w:type="gramStart"/>
      <w:r w:rsidR="0036476C" w:rsidRPr="00294702">
        <w:rPr>
          <w:rFonts w:ascii="Verdana" w:hAnsi="Verdana" w:cs="Arial"/>
          <w:sz w:val="20"/>
          <w:szCs w:val="20"/>
        </w:rPr>
        <w:t>Un conclusión</w:t>
      </w:r>
      <w:proofErr w:type="gramEnd"/>
      <w:r w:rsidR="0036476C" w:rsidRPr="00294702">
        <w:rPr>
          <w:rFonts w:ascii="Verdana" w:hAnsi="Verdana" w:cs="Arial"/>
          <w:sz w:val="20"/>
          <w:szCs w:val="20"/>
        </w:rPr>
        <w:t xml:space="preserve"> se impone: la seguridad no es sólo una cuestión de medios bélicos, sino que ante todo es un asunto político, de ahí su lugar privilegiado en el texto político fundamental: la Constitución. </w:t>
      </w:r>
    </w:p>
    <w:p w14:paraId="46480A1E" w14:textId="77777777" w:rsidR="0036476C" w:rsidRPr="00294702" w:rsidRDefault="0036476C" w:rsidP="00294702">
      <w:pPr>
        <w:spacing w:after="0" w:line="240" w:lineRule="auto"/>
        <w:ind w:left="709" w:right="709"/>
        <w:jc w:val="both"/>
        <w:rPr>
          <w:rFonts w:ascii="Verdana" w:hAnsi="Verdana" w:cs="Arial"/>
          <w:sz w:val="20"/>
          <w:szCs w:val="20"/>
        </w:rPr>
      </w:pPr>
    </w:p>
    <w:p w14:paraId="54B8F890"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Dicho de otra manera, el diseño de estrategias de seguridad y defensa nacional en un entorno signado por convivencia pacífica evidentemente amenazada y perturbada por la acción de grupos ilegales, supone recurrir no solamente a estrategias estrictamente armamentistas, sino que también impone la formulación de ciertas políticas que constituyen del mismo modo manifestación de la seguridad y defensa nacionales. Las difíciles circunstancias de orden público y la complejidad que reviste el conflicto </w:t>
      </w:r>
      <w:proofErr w:type="gramStart"/>
      <w:r w:rsidRPr="00294702">
        <w:rPr>
          <w:rFonts w:ascii="Verdana" w:hAnsi="Verdana" w:cs="Arial"/>
          <w:sz w:val="20"/>
          <w:szCs w:val="20"/>
        </w:rPr>
        <w:t>interno,</w:t>
      </w:r>
      <w:proofErr w:type="gramEnd"/>
      <w:r w:rsidRPr="00294702">
        <w:rPr>
          <w:rFonts w:ascii="Verdana" w:hAnsi="Verdana" w:cs="Arial"/>
          <w:sz w:val="20"/>
          <w:szCs w:val="20"/>
        </w:rPr>
        <w:t xml:space="preserve"> hacen necesaria la adopción de medidas de acercamiento con los grupos armados actores de la violencia, para </w:t>
      </w:r>
      <w:r w:rsidRPr="00294702">
        <w:rPr>
          <w:rFonts w:ascii="Verdana" w:hAnsi="Verdana" w:cs="Arial"/>
          <w:i/>
          <w:sz w:val="20"/>
          <w:szCs w:val="20"/>
        </w:rPr>
        <w:t>“restablecer la tranquilidad pública y en aras de abordar el fenómeno de la violencia, se hacen necesarios mecanismos que faciliten un acercamiento con los diferentes grupos armados actores de la violencia”</w:t>
      </w:r>
      <w:r w:rsidRPr="00294702">
        <w:rPr>
          <w:rFonts w:ascii="Verdana" w:hAnsi="Verdana" w:cs="Arial"/>
          <w:sz w:val="20"/>
          <w:szCs w:val="20"/>
        </w:rPr>
        <w:t>, como señaló la exposición de motivos de la ley 418.</w:t>
      </w:r>
    </w:p>
    <w:p w14:paraId="57249A15" w14:textId="77777777" w:rsidR="0036476C" w:rsidRPr="00294702" w:rsidRDefault="0036476C" w:rsidP="00294702">
      <w:pPr>
        <w:spacing w:after="0" w:line="240" w:lineRule="auto"/>
        <w:ind w:left="709" w:right="709"/>
        <w:jc w:val="both"/>
        <w:rPr>
          <w:rFonts w:ascii="Verdana" w:hAnsi="Verdana" w:cs="Arial"/>
          <w:sz w:val="20"/>
          <w:szCs w:val="20"/>
        </w:rPr>
      </w:pPr>
    </w:p>
    <w:p w14:paraId="3237F571" w14:textId="42F44736"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En definitiva, en materia de seguridad, la consecución de objetivos de defensa y seguridad no autoriza sólo la compra de armamento como </w:t>
      </w:r>
      <w:r w:rsidRPr="00294702">
        <w:rPr>
          <w:rFonts w:ascii="Verdana" w:hAnsi="Verdana" w:cs="Arial"/>
          <w:i/>
          <w:sz w:val="20"/>
          <w:szCs w:val="20"/>
        </w:rPr>
        <w:t>prima facie</w:t>
      </w:r>
      <w:r w:rsidRPr="00294702">
        <w:rPr>
          <w:rFonts w:ascii="Verdana" w:hAnsi="Verdana" w:cs="Arial"/>
          <w:sz w:val="20"/>
          <w:szCs w:val="20"/>
        </w:rPr>
        <w:t xml:space="preserve"> parecería, sino que autoriza la adopción de medidas proporcionadas y razonables al logro de ese objetivo, medidas que serán evaluadas caso por caso para determinar si realmente guardan relación y conexidad</w:t>
      </w:r>
      <w:r w:rsidR="00FB32A6">
        <w:rPr>
          <w:rFonts w:ascii="Verdana" w:hAnsi="Verdana" w:cs="Arial"/>
          <w:sz w:val="20"/>
          <w:szCs w:val="20"/>
        </w:rPr>
        <w:t>”</w:t>
      </w:r>
      <w:r w:rsidRPr="00294702">
        <w:rPr>
          <w:rStyle w:val="Refdenotaalpie"/>
          <w:rFonts w:ascii="Verdana" w:hAnsi="Verdana"/>
          <w:sz w:val="20"/>
          <w:szCs w:val="20"/>
        </w:rPr>
        <w:footnoteReference w:id="13"/>
      </w:r>
      <w:r w:rsidRPr="00294702">
        <w:rPr>
          <w:rFonts w:ascii="Verdana" w:hAnsi="Verdana" w:cs="Arial"/>
          <w:sz w:val="20"/>
          <w:szCs w:val="20"/>
        </w:rPr>
        <w:t xml:space="preserve">. </w:t>
      </w:r>
      <w:r w:rsidRPr="00294702">
        <w:rPr>
          <w:rFonts w:ascii="Verdana" w:hAnsi="Verdana" w:cs="Arial"/>
          <w:color w:val="000000" w:themeColor="text1"/>
          <w:sz w:val="20"/>
          <w:szCs w:val="20"/>
          <w:lang w:val="es-ES_tradnl"/>
        </w:rPr>
        <w:t xml:space="preserve">  </w:t>
      </w:r>
    </w:p>
    <w:p w14:paraId="27CFB36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6622A84C"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Así mismo, en sentencia del 26 de julio de 2011, la Sección Tercera sostuvo:</w:t>
      </w:r>
    </w:p>
    <w:p w14:paraId="5A9F4DB0"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2C74503A" w14:textId="687CC4B4" w:rsidR="0036476C" w:rsidRPr="00294702" w:rsidRDefault="00FB32A6" w:rsidP="00294702">
      <w:pPr>
        <w:spacing w:after="0"/>
        <w:ind w:left="709" w:right="709"/>
        <w:jc w:val="both"/>
        <w:rPr>
          <w:rFonts w:ascii="Verdana" w:hAnsi="Verdana" w:cs="Arial"/>
          <w:bCs/>
          <w:sz w:val="20"/>
          <w:szCs w:val="20"/>
        </w:rPr>
      </w:pPr>
      <w:r w:rsidRPr="00294702">
        <w:rPr>
          <w:rFonts w:ascii="Verdana" w:hAnsi="Verdana" w:cs="Arial"/>
          <w:bCs/>
          <w:sz w:val="20"/>
          <w:szCs w:val="20"/>
        </w:rPr>
        <w:t>“</w:t>
      </w:r>
      <w:r w:rsidR="0036476C" w:rsidRPr="00294702">
        <w:rPr>
          <w:rFonts w:ascii="Verdana" w:hAnsi="Verdana" w:cs="Arial"/>
          <w:bCs/>
          <w:sz w:val="20"/>
          <w:szCs w:val="20"/>
        </w:rPr>
        <w:t xml:space="preserve">[…] en vigencia de la ley 80 original –que rigió el proceso de selección </w:t>
      </w:r>
      <w:r w:rsidR="0036476C" w:rsidRPr="00294702">
        <w:rPr>
          <w:rFonts w:ascii="Verdana" w:hAnsi="Verdana" w:cs="Arial"/>
          <w:bCs/>
          <w:i/>
          <w:sz w:val="20"/>
          <w:szCs w:val="20"/>
        </w:rPr>
        <w:t>sub iudice</w:t>
      </w:r>
      <w:r w:rsidR="0036476C" w:rsidRPr="00294702">
        <w:rPr>
          <w:rFonts w:ascii="Verdana" w:hAnsi="Verdana" w:cs="Arial"/>
          <w:bCs/>
          <w:sz w:val="20"/>
          <w:szCs w:val="20"/>
        </w:rPr>
        <w:t xml:space="preserve">- la noción de bienes para la defensa y seguridad nacional fue un concepto jurídico indeterminado, cuyo alcance, como acontece </w:t>
      </w:r>
      <w:r w:rsidR="0036476C" w:rsidRPr="00294702">
        <w:rPr>
          <w:rFonts w:ascii="Verdana" w:hAnsi="Verdana" w:cs="Arial"/>
          <w:bCs/>
          <w:sz w:val="20"/>
          <w:szCs w:val="20"/>
        </w:rPr>
        <w:lastRenderedPageBreak/>
        <w:t>normalmente con estas nociones vagas y amplias, suele quedar en manos del operador jurídico del caso, que tiene el deber de precisar su contenido para aplicarlo al asunto concreto. Claro está que luego procede el control judicial sobre los actos que definen el tema, y será el juez quien determinará la corrección o incorrección que la administración hace de su alcance</w:t>
      </w:r>
      <w:r w:rsidRPr="00294702">
        <w:rPr>
          <w:rFonts w:ascii="Verdana" w:hAnsi="Verdana" w:cs="Arial"/>
          <w:bCs/>
          <w:sz w:val="20"/>
          <w:szCs w:val="20"/>
        </w:rPr>
        <w:t>”</w:t>
      </w:r>
      <w:r w:rsidR="0036476C" w:rsidRPr="00294702">
        <w:rPr>
          <w:rStyle w:val="Refdenotaalpie"/>
          <w:rFonts w:ascii="Verdana" w:hAnsi="Verdana"/>
          <w:sz w:val="20"/>
          <w:szCs w:val="20"/>
        </w:rPr>
        <w:footnoteReference w:id="14"/>
      </w:r>
      <w:r w:rsidR="0036476C" w:rsidRPr="00294702">
        <w:rPr>
          <w:rFonts w:ascii="Verdana" w:hAnsi="Verdana" w:cs="Arial"/>
          <w:bCs/>
          <w:sz w:val="20"/>
          <w:szCs w:val="20"/>
        </w:rPr>
        <w:t>.</w:t>
      </w:r>
    </w:p>
    <w:p w14:paraId="05367B25" w14:textId="77777777" w:rsidR="0036476C" w:rsidRPr="00294702" w:rsidRDefault="0036476C" w:rsidP="00294702">
      <w:pPr>
        <w:spacing w:after="0" w:line="276" w:lineRule="auto"/>
        <w:jc w:val="both"/>
        <w:rPr>
          <w:rFonts w:ascii="Verdana" w:hAnsi="Verdana" w:cs="Arial"/>
          <w:color w:val="000000" w:themeColor="text1"/>
        </w:rPr>
      </w:pPr>
    </w:p>
    <w:p w14:paraId="161EE527"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Finalmente, en la sentencia del 23 de julio de 2015, la Sección Tercera indicó:</w:t>
      </w:r>
    </w:p>
    <w:p w14:paraId="3A49D12D"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61392135" w14:textId="77777777" w:rsidR="0036476C" w:rsidRPr="00294702" w:rsidRDefault="00FB32A6" w:rsidP="00294702">
      <w:pPr>
        <w:spacing w:after="0" w:line="240" w:lineRule="auto"/>
        <w:ind w:left="709" w:right="709"/>
        <w:jc w:val="both"/>
        <w:rPr>
          <w:rFonts w:ascii="Verdana" w:hAnsi="Verdana" w:cs="Arial"/>
          <w:sz w:val="20"/>
          <w:szCs w:val="20"/>
          <w:lang w:val="es-ES" w:eastAsia="es-ES"/>
        </w:rPr>
      </w:pPr>
      <w:r w:rsidRPr="00294702">
        <w:rPr>
          <w:rFonts w:ascii="Verdana" w:hAnsi="Verdana" w:cs="Arial"/>
          <w:sz w:val="20"/>
          <w:szCs w:val="20"/>
          <w:lang w:val="es-ES" w:eastAsia="es-ES"/>
        </w:rPr>
        <w:t>“</w:t>
      </w:r>
      <w:r w:rsidR="0036476C" w:rsidRPr="00294702">
        <w:rPr>
          <w:rFonts w:ascii="Verdana" w:hAnsi="Verdana" w:cs="Arial"/>
          <w:sz w:val="20"/>
          <w:szCs w:val="20"/>
          <w:lang w:val="es-ES" w:eastAsia="es-ES"/>
        </w:rPr>
        <w:t xml:space="preserve">La defensa y seguridad nacional son </w:t>
      </w:r>
      <w:r w:rsidR="0036476C" w:rsidRPr="00294702">
        <w:rPr>
          <w:rFonts w:ascii="Verdana" w:hAnsi="Verdana" w:cs="Arial"/>
          <w:i/>
          <w:iCs/>
          <w:sz w:val="20"/>
          <w:szCs w:val="20"/>
          <w:lang w:val="es-ES" w:eastAsia="es-ES"/>
        </w:rPr>
        <w:t>conceptos normativos indeterminados</w:t>
      </w:r>
      <w:r w:rsidR="0036476C" w:rsidRPr="00294702">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w:t>
      </w:r>
      <w:proofErr w:type="gramStart"/>
      <w:r w:rsidR="0036476C" w:rsidRPr="00294702">
        <w:rPr>
          <w:rFonts w:ascii="Verdana" w:hAnsi="Verdana" w:cs="Arial"/>
          <w:sz w:val="20"/>
          <w:szCs w:val="20"/>
          <w:lang w:val="es-ES" w:eastAsia="es-ES"/>
        </w:rPr>
        <w:t>espacio-temporal</w:t>
      </w:r>
      <w:proofErr w:type="gramEnd"/>
      <w:r w:rsidR="0036476C" w:rsidRPr="00294702">
        <w:rPr>
          <w:rFonts w:ascii="Verdana" w:hAnsi="Verdana" w:cs="Arial"/>
          <w:sz w:val="20"/>
          <w:szCs w:val="20"/>
          <w:lang w:val="es-ES" w:eastAsia="es-ES"/>
        </w:rPr>
        <w:t xml:space="preserve">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0977D178" w14:textId="77777777" w:rsidR="0036476C" w:rsidRPr="00294702" w:rsidRDefault="0036476C" w:rsidP="00294702">
      <w:pPr>
        <w:spacing w:after="0" w:line="240" w:lineRule="auto"/>
        <w:ind w:left="709" w:right="709"/>
        <w:jc w:val="both"/>
        <w:rPr>
          <w:rFonts w:ascii="Verdana" w:hAnsi="Verdana" w:cs="Arial"/>
          <w:sz w:val="20"/>
          <w:szCs w:val="20"/>
          <w:lang w:val="es-ES_tradnl" w:eastAsia="es-ES"/>
        </w:rPr>
      </w:pPr>
    </w:p>
    <w:p w14:paraId="54ABAA61" w14:textId="3F3E6775" w:rsidR="0036476C" w:rsidRPr="00294702" w:rsidRDefault="0036476C" w:rsidP="00294702">
      <w:pPr>
        <w:spacing w:after="0" w:line="240" w:lineRule="auto"/>
        <w:ind w:left="709" w:right="709"/>
        <w:jc w:val="both"/>
        <w:rPr>
          <w:rFonts w:ascii="Verdana" w:hAnsi="Verdana" w:cs="Arial"/>
          <w:sz w:val="20"/>
          <w:szCs w:val="20"/>
          <w:lang w:val="es-ES_tradnl" w:eastAsia="es-ES"/>
        </w:rPr>
      </w:pPr>
      <w:r w:rsidRPr="00294702">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294702">
        <w:rPr>
          <w:rFonts w:ascii="Verdana" w:hAnsi="Verdana" w:cs="Arial"/>
          <w:i/>
          <w:sz w:val="20"/>
          <w:szCs w:val="20"/>
          <w:lang w:val="es-ES_tradnl" w:eastAsia="es-ES"/>
        </w:rPr>
        <w:t>el criterio conforme al cual la seguridad es apenas un conjunto de dispositivos para la guerra</w:t>
      </w:r>
      <w:r w:rsidRPr="00294702">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sidR="00FB32A6" w:rsidRPr="00294702">
        <w:rPr>
          <w:rFonts w:ascii="Verdana" w:hAnsi="Verdana" w:cs="Arial"/>
          <w:sz w:val="20"/>
          <w:szCs w:val="20"/>
          <w:lang w:val="es-ES_tradnl" w:eastAsia="es-ES"/>
        </w:rPr>
        <w:t>”</w:t>
      </w:r>
      <w:r w:rsidRPr="00294702">
        <w:rPr>
          <w:rStyle w:val="Refdenotaalpie"/>
          <w:rFonts w:ascii="Verdana" w:hAnsi="Verdana"/>
          <w:sz w:val="20"/>
          <w:szCs w:val="20"/>
        </w:rPr>
        <w:footnoteReference w:id="15"/>
      </w:r>
      <w:r w:rsidRPr="00294702">
        <w:rPr>
          <w:rFonts w:ascii="Verdana" w:hAnsi="Verdana" w:cs="Arial"/>
          <w:sz w:val="20"/>
          <w:szCs w:val="20"/>
          <w:lang w:val="es-ES_tradnl" w:eastAsia="es-ES"/>
        </w:rPr>
        <w:t>.</w:t>
      </w:r>
    </w:p>
    <w:p w14:paraId="58B43782"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5FEBD77" w14:textId="77777777" w:rsidR="00117528" w:rsidRDefault="0036476C" w:rsidP="00294702">
      <w:pPr>
        <w:spacing w:after="12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Del anterior recuento doctrinario y jurisprudencial se concluye que la expresión </w:t>
      </w:r>
      <w:r w:rsidR="00FB32A6">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FB32A6">
        <w:rPr>
          <w:rFonts w:ascii="Verdana" w:hAnsi="Verdana" w:cs="Arial"/>
          <w:color w:val="000000" w:themeColor="text1"/>
          <w:lang w:val="es-ES"/>
        </w:rPr>
        <w:t>”</w:t>
      </w:r>
      <w:r w:rsidRPr="00294702">
        <w:rPr>
          <w:rFonts w:ascii="Verdana" w:hAnsi="Verdana" w:cs="Arial"/>
          <w:color w:val="000000" w:themeColor="text1"/>
          <w:lang w:val="es-ES"/>
        </w:rPr>
        <w:t xml:space="preserve">, empleada por el segundo inciso del artículo 33 de la Ley 996 de 2005 –y que se halla también en otras disposiciones normativas con la denominación de </w:t>
      </w:r>
      <w:r w:rsidR="00FB32A6">
        <w:rPr>
          <w:rFonts w:ascii="Verdana" w:hAnsi="Verdana" w:cs="Arial"/>
          <w:color w:val="000000" w:themeColor="text1"/>
          <w:lang w:val="es-ES"/>
        </w:rPr>
        <w:t>“</w:t>
      </w:r>
      <w:r w:rsidRPr="00294702">
        <w:rPr>
          <w:rFonts w:ascii="Verdana" w:hAnsi="Verdana" w:cs="Arial"/>
          <w:color w:val="000000" w:themeColor="text1"/>
          <w:lang w:val="es-ES"/>
        </w:rPr>
        <w:t>defensa y seguridad nacional</w:t>
      </w:r>
      <w:r w:rsidR="00FB32A6">
        <w:rPr>
          <w:rFonts w:ascii="Verdana" w:hAnsi="Verdana" w:cs="Arial"/>
          <w:color w:val="000000" w:themeColor="text1"/>
          <w:lang w:val="es-ES"/>
        </w:rPr>
        <w:t>”</w:t>
      </w:r>
      <w:r w:rsidRPr="00294702">
        <w:rPr>
          <w:rFonts w:ascii="Verdana" w:hAnsi="Verdana" w:cs="Arial"/>
          <w:color w:val="000000" w:themeColor="text1"/>
          <w:lang w:val="es-ES"/>
        </w:rPr>
        <w:t xml:space="preserve">–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w:t>
      </w:r>
      <w:r w:rsidRPr="00294702">
        <w:rPr>
          <w:rFonts w:ascii="Verdana" w:hAnsi="Verdana" w:cs="Arial"/>
          <w:color w:val="000000" w:themeColor="text1"/>
          <w:lang w:val="es-ES"/>
        </w:rPr>
        <w:lastRenderedPageBreak/>
        <w:t xml:space="preserve">de la sola adquisición de armamento o de los bienes y actividades requeridas para la </w:t>
      </w:r>
      <w:r w:rsidR="00117528">
        <w:rPr>
          <w:rFonts w:ascii="Verdana" w:hAnsi="Verdana" w:cs="Arial"/>
          <w:color w:val="000000" w:themeColor="text1"/>
          <w:lang w:val="es-ES"/>
        </w:rPr>
        <w:t>“</w:t>
      </w:r>
      <w:r w:rsidRPr="00294702">
        <w:rPr>
          <w:rFonts w:ascii="Verdana" w:hAnsi="Verdana" w:cs="Arial"/>
          <w:color w:val="000000" w:themeColor="text1"/>
          <w:lang w:val="es-ES"/>
        </w:rPr>
        <w:t>guerra</w:t>
      </w:r>
      <w:r w:rsidR="00117528">
        <w:rPr>
          <w:rFonts w:ascii="Verdana" w:hAnsi="Verdana" w:cs="Arial"/>
          <w:color w:val="000000" w:themeColor="text1"/>
          <w:lang w:val="es-ES"/>
        </w:rPr>
        <w:t>”</w:t>
      </w:r>
      <w:r w:rsidRPr="00294702">
        <w:rPr>
          <w:rFonts w:ascii="Verdana" w:hAnsi="Verdana" w:cs="Arial"/>
          <w:color w:val="000000" w:themeColor="text1"/>
          <w:lang w:val="es-ES"/>
        </w:rPr>
        <w:t xml:space="preserve">. Para el alto tribunal, aquel es un concepto que debe interpretarse bajo una comprensión sistemática del orden público. </w:t>
      </w:r>
    </w:p>
    <w:p w14:paraId="14C26220" w14:textId="7A72CBDA" w:rsidR="0036476C" w:rsidRPr="00294702" w:rsidRDefault="00117528" w:rsidP="00294702">
      <w:pPr>
        <w:spacing w:after="0" w:line="276" w:lineRule="auto"/>
        <w:ind w:firstLine="709"/>
        <w:jc w:val="both"/>
        <w:rPr>
          <w:rFonts w:ascii="Verdana" w:hAnsi="Verdana" w:cs="Arial"/>
          <w:color w:val="000000" w:themeColor="text1"/>
          <w:lang w:val="es-ES"/>
        </w:rPr>
      </w:pPr>
      <w:r>
        <w:rPr>
          <w:rFonts w:ascii="Verdana" w:hAnsi="Verdana" w:cs="Arial"/>
          <w:color w:val="000000" w:themeColor="text1"/>
          <w:lang w:val="es-ES"/>
        </w:rPr>
        <w:t>En virtud de lo anterior</w:t>
      </w:r>
      <w:r w:rsidR="0036476C" w:rsidRPr="00294702">
        <w:rPr>
          <w:rFonts w:ascii="Verdana" w:hAnsi="Verdana" w:cs="Arial"/>
          <w:color w:val="000000" w:themeColor="text1"/>
          <w:lang w:val="es-ES"/>
        </w:rPr>
        <w:t xml:space="preserve">, considerando estos criterios hermenéuticos, corresponde a la entidad que realiza la consulta interpretar el concepto jurídico </w:t>
      </w:r>
      <w:r w:rsidR="00D46819">
        <w:rPr>
          <w:rFonts w:ascii="Verdana" w:hAnsi="Verdana" w:cs="Arial"/>
          <w:color w:val="000000" w:themeColor="text1"/>
          <w:lang w:val="es-ES"/>
        </w:rPr>
        <w:t>“</w:t>
      </w:r>
      <w:r w:rsidR="0036476C" w:rsidRPr="00294702">
        <w:rPr>
          <w:rFonts w:ascii="Verdana" w:hAnsi="Verdana" w:cs="Arial"/>
          <w:color w:val="000000" w:themeColor="text1"/>
          <w:lang w:val="es-ES"/>
        </w:rPr>
        <w:t>defensa y seguridad del Estado</w:t>
      </w:r>
      <w:r w:rsidR="00D46819">
        <w:rPr>
          <w:rFonts w:ascii="Verdana" w:hAnsi="Verdana" w:cs="Arial"/>
          <w:color w:val="000000" w:themeColor="text1"/>
          <w:lang w:val="es-ES"/>
        </w:rPr>
        <w:t>”</w:t>
      </w:r>
      <w:r w:rsidR="0036476C" w:rsidRPr="00294702">
        <w:rPr>
          <w:rFonts w:ascii="Verdana" w:hAnsi="Verdana" w:cs="Arial"/>
          <w:color w:val="000000" w:themeColor="text1"/>
          <w:lang w:val="es-ES"/>
        </w:rPr>
        <w:t xml:space="preserve">, para determinar si se presenta la excepción a la contratación directa prevista en el segundo inciso del artículo 33 de la Ley 996 de 2005.    </w:t>
      </w:r>
    </w:p>
    <w:p w14:paraId="22DA0FE1" w14:textId="77777777" w:rsidR="00AA6873" w:rsidRPr="00294702" w:rsidRDefault="00AA6873" w:rsidP="00294702">
      <w:pPr>
        <w:spacing w:after="0" w:line="276" w:lineRule="auto"/>
        <w:jc w:val="both"/>
        <w:rPr>
          <w:rFonts w:ascii="Verdana" w:eastAsia="Century Gothic" w:hAnsi="Verdana" w:cs="Century Gothic"/>
          <w:bCs/>
          <w:lang w:val="es-ES"/>
        </w:rPr>
      </w:pPr>
    </w:p>
    <w:p w14:paraId="7E1B4563" w14:textId="4C2BC39C" w:rsidR="008E53E8" w:rsidRPr="00C13395" w:rsidRDefault="00DB1EBD" w:rsidP="00294702">
      <w:pPr>
        <w:spacing w:after="12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iv</w:t>
      </w:r>
      <w:proofErr w:type="spellEnd"/>
      <w:r w:rsidRPr="61CFEC75">
        <w:rPr>
          <w:rFonts w:ascii="Verdana" w:eastAsia="Century Gothic" w:hAnsi="Verdana" w:cs="Century Gothic"/>
          <w:lang w:val="es-ES"/>
        </w:rPr>
        <w:t xml:space="preserve">. </w:t>
      </w:r>
      <w:r w:rsidR="008E53E8" w:rsidRPr="61CFEC75">
        <w:rPr>
          <w:rFonts w:ascii="Verdana" w:eastAsia="Century Gothic" w:hAnsi="Verdana" w:cs="Century Gothic"/>
          <w:lang w:val="es-ES"/>
        </w:rPr>
        <w:t xml:space="preserve">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741F22E" w14:textId="77777777" w:rsidR="008E53E8" w:rsidRPr="00C13395" w:rsidRDefault="008E53E8" w:rsidP="0029470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Respecto de lo anterior, la Sala de Consulta y Servicio Civil del Consejo de Estado, en Concepto 1727 de fecha 20 de febrero de 2006, consideró que: </w:t>
      </w:r>
    </w:p>
    <w:p w14:paraId="37F4BB6F" w14:textId="77777777" w:rsidR="008E53E8" w:rsidRPr="00C13395" w:rsidRDefault="008E53E8" w:rsidP="00294702">
      <w:pPr>
        <w:spacing w:after="0" w:line="276" w:lineRule="auto"/>
        <w:jc w:val="both"/>
        <w:rPr>
          <w:rFonts w:ascii="Verdana" w:eastAsia="Century Gothic" w:hAnsi="Verdana" w:cs="Century Gothic"/>
          <w:bCs/>
          <w:lang w:val="es-ES_tradnl"/>
        </w:rPr>
      </w:pPr>
    </w:p>
    <w:p w14:paraId="42C75A61" w14:textId="77777777" w:rsidR="008E53E8" w:rsidRDefault="008E53E8" w:rsidP="005C62F0">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 . </w:t>
      </w:r>
    </w:p>
    <w:p w14:paraId="62F53322" w14:textId="77777777" w:rsidR="00492790" w:rsidRPr="00C13395" w:rsidRDefault="00492790" w:rsidP="00294702">
      <w:pPr>
        <w:spacing w:after="0" w:line="276" w:lineRule="auto"/>
        <w:ind w:left="709" w:right="709"/>
        <w:jc w:val="both"/>
        <w:rPr>
          <w:rFonts w:ascii="Verdana" w:eastAsia="Century Gothic" w:hAnsi="Verdana" w:cs="Century Gothic"/>
          <w:bCs/>
          <w:sz w:val="20"/>
          <w:szCs w:val="20"/>
          <w:lang w:val="es-ES_tradnl"/>
        </w:rPr>
      </w:pPr>
    </w:p>
    <w:p w14:paraId="74E318E5" w14:textId="77777777" w:rsidR="008E53E8" w:rsidRDefault="008E53E8" w:rsidP="00492790">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 Además, la Sala de Consulta y Servicio Civil del Consejo de Estado </w:t>
      </w:r>
      <w:r w:rsidRPr="00C13395">
        <w:rPr>
          <w:rFonts w:ascii="Verdana" w:eastAsia="Century Gothic" w:hAnsi="Verdana" w:cs="Century Gothic"/>
          <w:bCs/>
          <w:lang w:val="es-ES_tradnl"/>
        </w:rPr>
        <w:lastRenderedPageBreak/>
        <w:t>realizó la siguiente distinción, retomando el pronunciamiento de la misma sala del 20 de febrero de 2006, citado anteriormente:</w:t>
      </w:r>
    </w:p>
    <w:p w14:paraId="71F315A7" w14:textId="77777777" w:rsidR="00492790" w:rsidRPr="00C13395" w:rsidRDefault="00492790" w:rsidP="00294702">
      <w:pPr>
        <w:spacing w:after="0" w:line="276" w:lineRule="auto"/>
        <w:ind w:firstLine="708"/>
        <w:jc w:val="both"/>
        <w:rPr>
          <w:rFonts w:ascii="Verdana" w:eastAsia="Century Gothic" w:hAnsi="Verdana" w:cs="Century Gothic"/>
          <w:bCs/>
          <w:lang w:val="es-ES_tradnl"/>
        </w:rPr>
      </w:pPr>
    </w:p>
    <w:p w14:paraId="473F0B57" w14:textId="77777777" w:rsidR="008E53E8" w:rsidRDefault="008E53E8" w:rsidP="00492790">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E2FC259" w14:textId="77777777" w:rsidR="00492790" w:rsidRPr="00C13395" w:rsidRDefault="00492790" w:rsidP="00294702">
      <w:pPr>
        <w:spacing w:after="0" w:line="240" w:lineRule="auto"/>
        <w:ind w:left="709" w:right="709"/>
        <w:jc w:val="both"/>
        <w:rPr>
          <w:rFonts w:ascii="Verdana" w:eastAsia="Century Gothic" w:hAnsi="Verdana" w:cs="Century Gothic"/>
          <w:bCs/>
          <w:sz w:val="20"/>
          <w:szCs w:val="20"/>
          <w:lang w:val="es-ES_tradnl"/>
        </w:rPr>
      </w:pPr>
    </w:p>
    <w:p w14:paraId="58A2F613"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p>
    <w:p w14:paraId="53252603" w14:textId="77777777" w:rsidR="00492790" w:rsidRDefault="00492790" w:rsidP="00294702">
      <w:pPr>
        <w:spacing w:after="0" w:line="276" w:lineRule="auto"/>
        <w:ind w:firstLine="708"/>
        <w:jc w:val="both"/>
        <w:rPr>
          <w:rFonts w:ascii="Verdana" w:eastAsia="Century Gothic" w:hAnsi="Verdana" w:cs="Century Gothic"/>
          <w:bCs/>
          <w:lang w:val="es-ES_tradnl"/>
        </w:rPr>
      </w:pPr>
    </w:p>
    <w:p w14:paraId="7EC71F33" w14:textId="555FB164"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w:t>
      </w:r>
      <w:r w:rsidRPr="00C13395">
        <w:rPr>
          <w:rFonts w:ascii="Verdana" w:eastAsia="Century Gothic" w:hAnsi="Verdana" w:cs="Century Gothic"/>
          <w:bCs/>
          <w:lang w:val="es-ES_tradnl"/>
        </w:rPr>
        <w:lastRenderedPageBreak/>
        <w:t xml:space="preserve">parálisis de una actividad propia de la administración, que incluso podría desconocer los derechos fundamentales” . </w:t>
      </w:r>
    </w:p>
    <w:p w14:paraId="3804E1BC" w14:textId="77777777" w:rsidR="008E53E8" w:rsidRDefault="008E53E8" w:rsidP="00B158FB">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Conforme a los expuesto,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78803A1" w14:textId="77777777" w:rsidR="00B158FB" w:rsidRPr="00C13395" w:rsidRDefault="00B158FB" w:rsidP="00294702">
      <w:pPr>
        <w:spacing w:after="0" w:line="276" w:lineRule="auto"/>
        <w:ind w:firstLine="708"/>
        <w:jc w:val="both"/>
        <w:rPr>
          <w:rFonts w:ascii="Verdana" w:eastAsia="Century Gothic" w:hAnsi="Verdana" w:cs="Century Gothic"/>
          <w:bCs/>
          <w:lang w:val="es-ES_tradnl"/>
        </w:rPr>
      </w:pPr>
    </w:p>
    <w:p w14:paraId="2E54CD07" w14:textId="6D3E2E7C" w:rsidR="008E53E8" w:rsidRPr="00C13395" w:rsidRDefault="00B158FB" w:rsidP="122F1934">
      <w:pPr>
        <w:spacing w:after="120" w:line="276" w:lineRule="auto"/>
        <w:jc w:val="both"/>
        <w:rPr>
          <w:rFonts w:ascii="Verdana" w:eastAsia="Century Gothic" w:hAnsi="Verdana" w:cs="Century Gothic"/>
          <w:lang w:val="es-ES"/>
        </w:rPr>
      </w:pPr>
      <w:r>
        <w:rPr>
          <w:rFonts w:ascii="Verdana" w:eastAsia="Century Gothic" w:hAnsi="Verdana" w:cs="Century Gothic"/>
          <w:lang w:val="es-ES"/>
        </w:rPr>
        <w:t>v</w:t>
      </w:r>
      <w:r w:rsidR="008E53E8" w:rsidRPr="122F1934">
        <w:rPr>
          <w:rFonts w:ascii="Verdana" w:eastAsia="Century Gothic" w:hAnsi="Verdana" w:cs="Century Gothic"/>
          <w:lang w:val="es-ES"/>
        </w:rPr>
        <w:t xml:space="preserve">) Ahora bien, respecto del alcance del parágrafo 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w:t>
      </w:r>
    </w:p>
    <w:p w14:paraId="064A5652" w14:textId="058A3E9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Para tales efectos, debe precisarse que los contratos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6CDE33EB"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37ABE0D" w14:textId="238FDDEE"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Un convenio interadministrativo no está determinado por la modalidad de selección utilizada para celebrarlo. La Ley 1150 de 2007 establece que pueden celebrarse directamente, siempre que las obligaciones derivadas del mismo </w:t>
      </w:r>
      <w:r w:rsidRPr="00C13395">
        <w:rPr>
          <w:rFonts w:ascii="Verdana" w:eastAsia="Century Gothic" w:hAnsi="Verdana" w:cs="Century Gothic"/>
          <w:bCs/>
          <w:lang w:val="es-ES_tradnl"/>
        </w:rPr>
        <w:lastRenderedPageBreak/>
        <w:t>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36D9BFFB" w14:textId="6141BA5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Además, es necesario tener en cuenta que para que un convenio interadministrativo exista debe cumplir con los siguientes elementos: acuerdo sobre el objeto y la contraprestación y que conste por escrito.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AA6D00E"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w:t>
      </w:r>
      <w:proofErr w:type="gramStart"/>
      <w:r w:rsidRPr="122F1934">
        <w:rPr>
          <w:rFonts w:ascii="Verdana" w:eastAsia="Century Gothic" w:hAnsi="Verdana" w:cs="Century Gothic"/>
          <w:lang w:val="es-ES"/>
        </w:rPr>
        <w:t>diferente ,</w:t>
      </w:r>
      <w:proofErr w:type="gramEnd"/>
      <w:r w:rsidRPr="122F1934">
        <w:rPr>
          <w:rFonts w:ascii="Verdana" w:eastAsia="Century Gothic" w:hAnsi="Verdana" w:cs="Century Gothic"/>
          <w:lang w:val="es-ES"/>
        </w:rPr>
        <w:t xml:space="preserve"> pues, de acuerdo con lo anotado, esta clase de acuerdos de voluntades se definen por un criterio orgánico, por lo que uno de sus elementos esenciales es que en los extremos de la relación jurídico negocial concurran personas de derecho público.</w:t>
      </w:r>
    </w:p>
    <w:p w14:paraId="4C889B0D"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esta manera, se observa entonces que el parágrafo del artículo 38 de la Ley 996 de 2005 prohíbe a los Alcaldes, Gobernadores, Secretarios, Gerentes y Directores de las entidades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2FB12621"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Respecto del alcance de esta prohibición la Circular Externa No. 006 de 2025 expedida por la Agencia Nacional de Contratación Pública – Colombia Compra Eficiente, en los literales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y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del numeral 2, indica que el parágrafo del artículo 38 de la Ley 996 de 2005 cobija expresamente a los convenios interadministrativos en los que se contemple la ejecución de recursos públicos. </w:t>
      </w:r>
      <w:r w:rsidRPr="122F1934">
        <w:rPr>
          <w:rFonts w:ascii="Verdana" w:eastAsia="Century Gothic" w:hAnsi="Verdana" w:cs="Century Gothic"/>
          <w:lang w:val="es-ES"/>
        </w:rPr>
        <w:lastRenderedPageBreak/>
        <w:t xml:space="preserve">Además, precisa que 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 </w:t>
      </w:r>
    </w:p>
    <w:p w14:paraId="3A1082C0" w14:textId="34E622CE" w:rsidR="008E53E8" w:rsidRPr="00C13395" w:rsidRDefault="00967C24" w:rsidP="122F1934">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w:t>
      </w:r>
      <w:r w:rsidR="008E53E8" w:rsidRPr="122F1934">
        <w:rPr>
          <w:rFonts w:ascii="Verdana" w:eastAsia="Century Gothic" w:hAnsi="Verdana" w:cs="Century Gothic"/>
          <w:lang w:val="es-ES"/>
        </w:rPr>
        <w:t xml:space="preserve">onforme a lo dispuesto en la Circular referida, </w:t>
      </w:r>
      <w:r>
        <w:rPr>
          <w:rFonts w:ascii="Verdana" w:eastAsia="Century Gothic" w:hAnsi="Verdana" w:cs="Century Gothic"/>
          <w:lang w:val="es-ES"/>
        </w:rPr>
        <w:t>se prohíben</w:t>
      </w:r>
      <w:r w:rsidR="008E53E8" w:rsidRPr="122F1934">
        <w:rPr>
          <w:rFonts w:ascii="Verdana" w:eastAsia="Century Gothic" w:hAnsi="Verdana" w:cs="Century Gothic"/>
          <w:lang w:val="es-ES"/>
        </w:rPr>
        <w:t xml:space="preserve"> convenios interadministrativos para la ejecución de recursos públicos por los alcaldes, gobernadores, secretarios, gerentes y directores de las entidades del orden municipal, departamental o distrital, aplicará la prohibición del parágrafo del artículo 38 ibidem, independientemente de que se configure alguno de los supuestos de excepción que señaló el inciso final del artículo 33, es decir, que se trate de: i) la defensa y seguridad del Estado; </w:t>
      </w:r>
      <w:proofErr w:type="spellStart"/>
      <w:r w:rsidR="008E53E8" w:rsidRPr="122F1934">
        <w:rPr>
          <w:rFonts w:ascii="Verdana" w:eastAsia="Century Gothic" w:hAnsi="Verdana" w:cs="Century Gothic"/>
          <w:lang w:val="es-ES"/>
        </w:rPr>
        <w:t>ii</w:t>
      </w:r>
      <w:proofErr w:type="spellEnd"/>
      <w:r w:rsidR="008E53E8" w:rsidRPr="122F1934">
        <w:rPr>
          <w:rFonts w:ascii="Verdana" w:eastAsia="Century Gothic" w:hAnsi="Verdana" w:cs="Century Gothic"/>
          <w:lang w:val="es-ES"/>
        </w:rPr>
        <w:t xml:space="preserve">) los contratos de crédito público; </w:t>
      </w:r>
      <w:proofErr w:type="spellStart"/>
      <w:r w:rsidR="008E53E8" w:rsidRPr="122F1934">
        <w:rPr>
          <w:rFonts w:ascii="Verdana" w:eastAsia="Century Gothic" w:hAnsi="Verdana" w:cs="Century Gothic"/>
          <w:lang w:val="es-ES"/>
        </w:rPr>
        <w:t>iii</w:t>
      </w:r>
      <w:proofErr w:type="spellEnd"/>
      <w:r w:rsidR="008E53E8" w:rsidRPr="122F1934">
        <w:rPr>
          <w:rFonts w:ascii="Verdana" w:eastAsia="Century Gothic" w:hAnsi="Verdana" w:cs="Century Gothic"/>
          <w:lang w:val="es-ES"/>
        </w:rPr>
        <w:t xml:space="preserve">) los requeridos para cubrir las emergencias educativas, sanitarias y desastres; </w:t>
      </w:r>
      <w:proofErr w:type="spellStart"/>
      <w:r w:rsidR="008E53E8" w:rsidRPr="122F1934">
        <w:rPr>
          <w:rFonts w:ascii="Verdana" w:eastAsia="Century Gothic" w:hAnsi="Verdana" w:cs="Century Gothic"/>
          <w:lang w:val="es-ES"/>
        </w:rPr>
        <w:t>iv</w:t>
      </w:r>
      <w:proofErr w:type="spellEnd"/>
      <w:r w:rsidR="008E53E8"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2674D386" w14:textId="77777777" w:rsidR="008E53E8" w:rsidRDefault="008E53E8" w:rsidP="004337F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punto, teniendo en cuenta lo señalado en el contenido de su petición, vale la pena destacar que, mediante auto de 4 de octubre del 2024, el Consejo de Estado, Subsección C de la Sección Tercera, decretó medida de suspensión provisional parcial del numeral 16.2 de la Circular Externa Única de 2022 expedida por la Agencia Nacional de Contratación Pública – Colombia Compra Eficiente, concretamente, respecto de los siguientes apartes normativos: </w:t>
      </w:r>
    </w:p>
    <w:p w14:paraId="657DFCAE" w14:textId="77777777" w:rsidR="004337FD" w:rsidRPr="00C13395" w:rsidRDefault="004337FD" w:rsidP="00294702">
      <w:pPr>
        <w:spacing w:after="0" w:line="276" w:lineRule="auto"/>
        <w:ind w:firstLine="708"/>
        <w:jc w:val="both"/>
        <w:rPr>
          <w:rFonts w:ascii="Verdana" w:eastAsia="Century Gothic" w:hAnsi="Verdana" w:cs="Century Gothic"/>
          <w:bCs/>
          <w:lang w:val="es-ES_tradnl"/>
        </w:rPr>
      </w:pPr>
    </w:p>
    <w:p w14:paraId="6AE37200" w14:textId="77777777" w:rsidR="008E53E8" w:rsidRDefault="008E53E8" w:rsidP="004337FD">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“i)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62B456D" w14:textId="77777777" w:rsidR="004337FD" w:rsidRPr="00C13395" w:rsidRDefault="004337FD" w:rsidP="00294702">
      <w:pPr>
        <w:spacing w:after="0" w:line="240" w:lineRule="auto"/>
        <w:ind w:left="709" w:right="709"/>
        <w:jc w:val="both"/>
        <w:rPr>
          <w:rFonts w:ascii="Verdana" w:eastAsia="Century Gothic" w:hAnsi="Verdana" w:cs="Century Gothic"/>
          <w:sz w:val="20"/>
          <w:szCs w:val="20"/>
          <w:lang w:val="es-ES"/>
        </w:rPr>
      </w:pPr>
    </w:p>
    <w:p w14:paraId="32995E4A" w14:textId="77777777" w:rsidR="008E53E8" w:rsidRPr="00C13395" w:rsidRDefault="008E53E8" w:rsidP="00294702">
      <w:pPr>
        <w:spacing w:after="0" w:line="240" w:lineRule="auto"/>
        <w:ind w:left="709" w:right="709"/>
        <w:jc w:val="both"/>
        <w:rPr>
          <w:rFonts w:ascii="Verdana" w:eastAsia="Century Gothic" w:hAnsi="Verdana" w:cs="Century Gothic"/>
          <w:sz w:val="20"/>
          <w:szCs w:val="20"/>
          <w:lang w:val="es-ES"/>
        </w:rPr>
      </w:pPr>
      <w:proofErr w:type="spellStart"/>
      <w:r w:rsidRPr="122F1934">
        <w:rPr>
          <w:rFonts w:ascii="Verdana" w:eastAsia="Century Gothic" w:hAnsi="Verdana" w:cs="Century Gothic"/>
          <w:sz w:val="20"/>
          <w:szCs w:val="20"/>
          <w:lang w:val="es-ES"/>
        </w:rPr>
        <w:t>ii</w:t>
      </w:r>
      <w:proofErr w:type="spellEnd"/>
      <w:r w:rsidRPr="122F1934">
        <w:rPr>
          <w:rFonts w:ascii="Verdana" w:eastAsia="Century Gothic" w:hAnsi="Verdana" w:cs="Century Gothic"/>
          <w:sz w:val="20"/>
          <w:szCs w:val="20"/>
          <w:lang w:val="es-ES"/>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w:t>
      </w:r>
      <w:r w:rsidRPr="122F1934">
        <w:rPr>
          <w:rFonts w:ascii="Verdana" w:eastAsia="Century Gothic" w:hAnsi="Verdana" w:cs="Century Gothic"/>
          <w:sz w:val="20"/>
          <w:szCs w:val="20"/>
          <w:lang w:val="es-ES"/>
        </w:rPr>
        <w:lastRenderedPageBreak/>
        <w:t xml:space="preserve">de contratos y/o convenios, que, para efectos de la Ley de Garantías, tienen la misma connotación y propósito’”. </w:t>
      </w:r>
    </w:p>
    <w:p w14:paraId="3C25F52D" w14:textId="77777777" w:rsidR="004337FD" w:rsidRDefault="004337FD" w:rsidP="008E53E8">
      <w:pPr>
        <w:spacing w:after="120" w:line="276" w:lineRule="auto"/>
        <w:ind w:firstLine="708"/>
        <w:jc w:val="both"/>
        <w:rPr>
          <w:rFonts w:ascii="Verdana" w:eastAsia="Century Gothic" w:hAnsi="Verdana" w:cs="Century Gothic"/>
          <w:bCs/>
          <w:lang w:val="es-ES_tradnl"/>
        </w:rPr>
      </w:pPr>
    </w:p>
    <w:p w14:paraId="40C31320" w14:textId="56029549"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w:t>
      </w:r>
    </w:p>
    <w:p w14:paraId="16C18F17"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sentido, en relación con el parágrafo del artículo 38 de la Ley 996 de 2005 concluyó que “si el legislador no diferenció al establecer la prohibición o la restricción, mal haría el reglamento en aplicar un efecto expansivo o extensivo para incluir una categoría no cobijada con la limitación, (…)”. Por tal motivo, para efectos de decretar la medida de suspensión provisional de los apartes señalados del numeral 16.2 de la Circular Externa Única, argumentó que “con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A9B1E61"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igual manera, mediante auto del 6 de noviembre de 2025, el Consejo de Estado, Subsección A de la Sección Tercera, decretó 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4BE92B7B" w14:textId="7BD20D4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w:t>
      </w:r>
      <w:r w:rsidR="007865E2">
        <w:rPr>
          <w:rFonts w:ascii="Verdana" w:eastAsia="Century Gothic" w:hAnsi="Verdana" w:cs="Century Gothic"/>
          <w:bCs/>
          <w:lang w:val="es-ES_tradnl"/>
        </w:rPr>
        <w:t>–</w:t>
      </w:r>
      <w:r w:rsidRPr="00C13395">
        <w:rPr>
          <w:rFonts w:ascii="Verdana" w:eastAsia="Century Gothic" w:hAnsi="Verdana" w:cs="Century Gothic"/>
          <w:bCs/>
          <w:lang w:val="es-ES_tradnl"/>
        </w:rPr>
        <w:t xml:space="preserve"> Colombia Compra Eficiente que indicaba: </w:t>
      </w:r>
      <w:r w:rsidRPr="00C13395">
        <w:rPr>
          <w:rFonts w:ascii="Verdana" w:eastAsia="Century Gothic" w:hAnsi="Verdana" w:cs="Century Gothic"/>
          <w:bCs/>
          <w:lang w:val="es-ES_tradnl"/>
        </w:rPr>
        <w:lastRenderedPageBreak/>
        <w:t xml:space="preserve">“Esta restricción es aplicable tanto a los convenios como a los contratos interadministrativos…”. </w:t>
      </w:r>
    </w:p>
    <w:p w14:paraId="4B35E905"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E394EC3"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 .</w:t>
      </w:r>
    </w:p>
    <w:p w14:paraId="278F88E6" w14:textId="77777777" w:rsidR="008E53E8" w:rsidRDefault="008E53E8" w:rsidP="007865E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60173024" w14:textId="77777777" w:rsidR="007865E2" w:rsidRPr="00C13395" w:rsidRDefault="007865E2" w:rsidP="00294702">
      <w:pPr>
        <w:spacing w:after="0" w:line="276" w:lineRule="auto"/>
        <w:ind w:firstLine="708"/>
        <w:jc w:val="both"/>
        <w:rPr>
          <w:rFonts w:ascii="Verdana" w:eastAsia="Century Gothic" w:hAnsi="Verdana" w:cs="Century Gothic"/>
          <w:bCs/>
          <w:lang w:val="es-ES_tradnl"/>
        </w:rPr>
      </w:pPr>
    </w:p>
    <w:p w14:paraId="01BCD7B4" w14:textId="73C3ECEB" w:rsidR="008E53E8" w:rsidRPr="00C13395" w:rsidRDefault="008E53E8" w:rsidP="008E53E8">
      <w:pPr>
        <w:spacing w:after="120" w:line="276" w:lineRule="auto"/>
        <w:jc w:val="both"/>
        <w:rPr>
          <w:rFonts w:ascii="Verdana" w:eastAsia="Century Gothic" w:hAnsi="Verdana" w:cs="Century Gothic"/>
          <w:bCs/>
          <w:lang w:val="es-ES_tradnl"/>
        </w:rPr>
      </w:pPr>
      <w:r w:rsidRPr="122F1934">
        <w:rPr>
          <w:rFonts w:ascii="Verdana" w:eastAsia="Century Gothic" w:hAnsi="Verdana" w:cs="Century Gothic"/>
          <w:lang w:val="es-ES"/>
        </w:rPr>
        <w:t>v</w:t>
      </w:r>
      <w:r w:rsidR="007865E2">
        <w:rPr>
          <w:rFonts w:ascii="Verdana" w:eastAsia="Century Gothic" w:hAnsi="Verdana" w:cs="Century Gothic"/>
          <w:lang w:val="es-ES"/>
        </w:rPr>
        <w:t>i</w:t>
      </w:r>
      <w:r w:rsidRPr="122F1934">
        <w:rPr>
          <w:rFonts w:ascii="Verdana" w:eastAsia="Century Gothic" w:hAnsi="Verdana" w:cs="Century Gothic"/>
          <w:lang w:val="es-ES"/>
        </w:rPr>
        <w:t xml:space="preserve">) </w:t>
      </w:r>
      <w:r w:rsidRPr="00C13395">
        <w:rPr>
          <w:rFonts w:ascii="Verdana" w:eastAsia="Century Gothic" w:hAnsi="Verdana" w:cs="Century Gothic"/>
          <w:bCs/>
          <w:lang w:val="es-ES_tradnl"/>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C13395">
        <w:rPr>
          <w:rFonts w:ascii="Verdana" w:eastAsia="Century Gothic" w:hAnsi="Verdana" w:cs="Century Gothic"/>
          <w:bCs/>
          <w:lang w:val="es-ES_tradnl"/>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4ABBF1A" w14:textId="77777777" w:rsidR="008E53E8" w:rsidRPr="00C13395" w:rsidRDefault="008E53E8" w:rsidP="0029470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1B711FA" w14:textId="25046EE7" w:rsidR="008E53E8" w:rsidRPr="00144EB3" w:rsidRDefault="008E53E8" w:rsidP="00294702">
      <w:pPr>
        <w:tabs>
          <w:tab w:val="left" w:pos="709"/>
        </w:tabs>
        <w:spacing w:after="0" w:line="276" w:lineRule="auto"/>
        <w:jc w:val="both"/>
        <w:rPr>
          <w:rFonts w:ascii="Verdana" w:eastAsia="Calibri" w:hAnsi="Verdana" w:cs="Arial"/>
          <w:bCs/>
        </w:rPr>
      </w:pPr>
      <w:r w:rsidRPr="0026138F">
        <w:rPr>
          <w:rFonts w:ascii="Verdana" w:eastAsia="Calibri" w:hAnsi="Verdana" w:cs="Arial"/>
          <w:lang w:eastAsia="es-ES"/>
        </w:rPr>
        <w:tab/>
      </w:r>
    </w:p>
    <w:bookmarkEnd w:id="1"/>
    <w:bookmarkEnd w:id="2"/>
    <w:p w14:paraId="07396383" w14:textId="77777777" w:rsidR="008E53E8" w:rsidRDefault="008E53E8" w:rsidP="00144EB3">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1591ED80" w14:textId="77777777" w:rsidR="00CE01E2" w:rsidRPr="00144EB3" w:rsidRDefault="00CE01E2" w:rsidP="00294702">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E53E8" w:rsidRPr="00144EB3" w14:paraId="6FF9B148" w14:textId="77777777" w:rsidTr="00517FDB">
        <w:trPr>
          <w:trHeight w:val="870"/>
        </w:trPr>
        <w:tc>
          <w:tcPr>
            <w:tcW w:w="8647" w:type="dxa"/>
          </w:tcPr>
          <w:p w14:paraId="3FAB5B34"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 de 1989, artículo 38.</w:t>
            </w:r>
          </w:p>
          <w:p w14:paraId="2BD69FBA"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80 de 1993, artículos 13, 32 y 40.</w:t>
            </w:r>
          </w:p>
          <w:p w14:paraId="63BA6122"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136 de 1994, artículo 32.</w:t>
            </w:r>
          </w:p>
          <w:p w14:paraId="002D48E5"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 xml:space="preserve">Ley 489 de 1998, artículo 96. </w:t>
            </w:r>
          </w:p>
          <w:p w14:paraId="6452301D"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996 de 2005, artículos 33 y 38.</w:t>
            </w:r>
          </w:p>
          <w:p w14:paraId="400CA7D9"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Decreto 1333 de 1986, artículo 167.</w:t>
            </w:r>
          </w:p>
          <w:p w14:paraId="408FF37E" w14:textId="77777777" w:rsidR="008E53E8" w:rsidRPr="00144EB3" w:rsidRDefault="008E53E8" w:rsidP="00294702">
            <w:pPr>
              <w:numPr>
                <w:ilvl w:val="0"/>
                <w:numId w:val="16"/>
              </w:numPr>
              <w:spacing w:line="276" w:lineRule="auto"/>
              <w:jc w:val="both"/>
              <w:rPr>
                <w:rFonts w:ascii="Verdana" w:eastAsia="Calibri" w:hAnsi="Verdana" w:cs="Arial"/>
                <w:lang w:val="es-MX" w:bidi="es-ES"/>
              </w:rPr>
            </w:pPr>
            <w:r w:rsidRPr="00144EB3">
              <w:rPr>
                <w:rFonts w:ascii="Verdana" w:eastAsia="Calibri" w:hAnsi="Verdana" w:cs="Arial"/>
                <w:lang w:val="es-MX"/>
              </w:rPr>
              <w:t xml:space="preserve">Consejo de Estado. Sala de Consulta y del Servicio Civil. Concepto del 9 de octubre de 2014. </w:t>
            </w:r>
          </w:p>
          <w:p w14:paraId="6D7D036F" w14:textId="77777777" w:rsidR="008E53E8" w:rsidRPr="00144EB3" w:rsidRDefault="008E53E8" w:rsidP="00144EB3">
            <w:pPr>
              <w:widowControl w:val="0"/>
              <w:numPr>
                <w:ilvl w:val="0"/>
                <w:numId w:val="16"/>
              </w:numPr>
              <w:autoSpaceDE w:val="0"/>
              <w:autoSpaceDN w:val="0"/>
              <w:spacing w:line="276" w:lineRule="auto"/>
              <w:jc w:val="both"/>
              <w:rPr>
                <w:rFonts w:ascii="Verdana" w:eastAsia="Arial MT" w:hAnsi="Verdana" w:cs="Arial"/>
                <w:color w:val="ED7D31" w:themeColor="accent2"/>
                <w:lang w:eastAsia="es-ES" w:bidi="es-ES"/>
              </w:rPr>
            </w:pPr>
            <w:r w:rsidRPr="00144EB3">
              <w:rPr>
                <w:rFonts w:ascii="Verdana" w:eastAsia="Calibri" w:hAnsi="Verdana" w:cs="Arial"/>
              </w:rPr>
              <w:t>Consejo de Estado. Sala de lo Contencioso Administrativo. Sección Primera. Radicación número: 50001-23-31-000-2010-00548-01. 19 de septiembre de 2019. Consejera Ponente: Nubia Margoth Peña Garzón.</w:t>
            </w:r>
          </w:p>
        </w:tc>
      </w:tr>
    </w:tbl>
    <w:p w14:paraId="59131004" w14:textId="77777777" w:rsidR="008E53E8" w:rsidRPr="00144EB3" w:rsidRDefault="008E53E8" w:rsidP="00144EB3">
      <w:pPr>
        <w:widowControl w:val="0"/>
        <w:autoSpaceDE w:val="0"/>
        <w:autoSpaceDN w:val="0"/>
        <w:spacing w:after="0" w:line="276" w:lineRule="auto"/>
        <w:jc w:val="both"/>
        <w:rPr>
          <w:rFonts w:ascii="Verdana" w:hAnsi="Verdana" w:cs="Arial"/>
          <w:color w:val="ED7D31" w:themeColor="accent2"/>
          <w:lang w:val="es-ES"/>
        </w:rPr>
      </w:pPr>
    </w:p>
    <w:p w14:paraId="4B5A42D8" w14:textId="77777777" w:rsidR="008E53E8" w:rsidRPr="00144EB3" w:rsidRDefault="008E53E8" w:rsidP="00144EB3">
      <w:pPr>
        <w:spacing w:after="0" w:line="276" w:lineRule="auto"/>
        <w:jc w:val="both"/>
        <w:rPr>
          <w:rFonts w:ascii="Verdana" w:eastAsia="Aptos" w:hAnsi="Verdana" w:cs="Arial"/>
          <w:b/>
          <w:bCs/>
          <w:shd w:val="clear" w:color="auto" w:fill="FFFFFF"/>
        </w:rPr>
      </w:pPr>
    </w:p>
    <w:p w14:paraId="60C326B1" w14:textId="77777777" w:rsidR="008E53E8" w:rsidRPr="00144EB3" w:rsidRDefault="008E53E8" w:rsidP="00144EB3">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39B0466B" w14:textId="77777777" w:rsidR="008E53E8" w:rsidRPr="00144EB3" w:rsidRDefault="008E53E8" w:rsidP="00144EB3">
      <w:pPr>
        <w:spacing w:after="0" w:line="276" w:lineRule="auto"/>
        <w:jc w:val="both"/>
        <w:rPr>
          <w:rFonts w:ascii="Verdana" w:eastAsia="Aptos" w:hAnsi="Verdana" w:cs="Arial"/>
          <w:b/>
          <w:bCs/>
          <w:shd w:val="clear" w:color="auto" w:fill="FFFFFF"/>
        </w:rPr>
      </w:pPr>
    </w:p>
    <w:p w14:paraId="3A8A42D9" w14:textId="77777777" w:rsidR="008E53E8" w:rsidRPr="00144EB3" w:rsidRDefault="008E53E8" w:rsidP="00144EB3">
      <w:pPr>
        <w:spacing w:after="0" w:line="276" w:lineRule="auto"/>
        <w:jc w:val="both"/>
        <w:rPr>
          <w:rFonts w:ascii="Verdana" w:eastAsia="Aptos" w:hAnsi="Verdana" w:cs="Arial"/>
          <w:shd w:val="clear" w:color="auto" w:fill="FFFFFF"/>
        </w:rPr>
      </w:pPr>
      <w:r w:rsidRPr="00144EB3">
        <w:rPr>
          <w:rFonts w:ascii="Verdana" w:hAnsi="Verdana" w:cs="Arial"/>
          <w:bCs/>
          <w:shd w:val="clear" w:color="auto" w:fill="FFFFFF"/>
        </w:rPr>
        <w:t xml:space="preserve">La Agencia Nacional de Contratación Pública – Colombia Compra Eficiente ha expedido </w:t>
      </w:r>
      <w:r w:rsidRPr="00144EB3">
        <w:rPr>
          <w:rFonts w:ascii="Verdana" w:eastAsia="Calibri" w:hAnsi="Verdana" w:cs="Arial"/>
          <w:lang w:val="es-ES_tradnl"/>
        </w:rPr>
        <w:t>conceptos sobre</w:t>
      </w:r>
      <w:r w:rsidRPr="00144EB3">
        <w:rPr>
          <w:rFonts w:ascii="Verdana" w:eastAsia="Aptos" w:hAnsi="Verdana" w:cs="Arial"/>
          <w:shd w:val="clear" w:color="auto" w:fill="FFFFFF"/>
        </w:rPr>
        <w:t xml:space="preserve"> </w:t>
      </w:r>
      <w:r w:rsidRPr="00144EB3">
        <w:rPr>
          <w:rFonts w:ascii="Verdana" w:eastAsia="Calibri" w:hAnsi="Verdana" w:cs="Arial"/>
          <w:shd w:val="clear" w:color="auto" w:fill="FFFFFF"/>
        </w:rPr>
        <w:t xml:space="preserve"> la finalidad y propósito de la Ley de Garantías Electorales, la ANCP- CCE se ha pronunciado en los Conceptos </w:t>
      </w:r>
      <w:r w:rsidRPr="00144EB3">
        <w:rPr>
          <w:rFonts w:ascii="Verdana" w:eastAsia="Calibri" w:hAnsi="Verdana" w:cs="Arial"/>
          <w:shd w:val="clear" w:color="auto" w:fill="FFFFFF"/>
        </w:rPr>
        <w:lastRenderedPageBreak/>
        <w:t>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144EB3">
        <w:rPr>
          <w:rFonts w:ascii="Verdana" w:eastAsia="Aptos" w:hAnsi="Verdana" w:cs="Arial"/>
          <w:shd w:val="clear" w:color="auto" w:fill="FFFFFF"/>
          <w:lang w:val="es-ES"/>
        </w:rPr>
        <w:t xml:space="preserve">. </w:t>
      </w:r>
    </w:p>
    <w:p w14:paraId="65335FB6" w14:textId="77777777" w:rsidR="008E53E8" w:rsidRPr="00144EB3" w:rsidRDefault="008E53E8" w:rsidP="00144EB3">
      <w:pPr>
        <w:spacing w:after="0" w:line="276" w:lineRule="auto"/>
        <w:jc w:val="both"/>
        <w:rPr>
          <w:rFonts w:ascii="Verdana" w:hAnsi="Verdana"/>
          <w:lang w:val="es-ES"/>
        </w:rPr>
      </w:pPr>
      <w:r w:rsidRPr="00144EB3">
        <w:rPr>
          <w:rFonts w:ascii="Verdana" w:hAnsi="Verdana" w:cs="Arial"/>
          <w:shd w:val="clear" w:color="auto" w:fill="FFFFFF"/>
          <w:lang w:val="es-ES"/>
        </w:rPr>
        <w:t>Estos</w:t>
      </w:r>
      <w:r w:rsidRPr="00144EB3">
        <w:rPr>
          <w:rFonts w:ascii="Verdana" w:hAnsi="Verdana"/>
          <w:lang w:val="es-ES"/>
        </w:rPr>
        <w:t xml:space="preserve"> y otros se encuentran disponibles para consulta en el Sistema de relatoría de la Agencia, al cual se puede acceder a través del siguiente enlace:</w:t>
      </w:r>
      <w:r w:rsidRPr="00144EB3">
        <w:rPr>
          <w:rFonts w:ascii="Verdana" w:hAnsi="Verdana" w:cs="Arial"/>
          <w:shd w:val="clear" w:color="auto" w:fill="FFFFFF"/>
          <w:lang w:val="es-ES"/>
        </w:rPr>
        <w:t xml:space="preserve"> </w:t>
      </w:r>
      <w:hyperlink r:id="rId12" w:history="1">
        <w:r w:rsidRPr="00144EB3">
          <w:rPr>
            <w:rStyle w:val="Hipervnculo"/>
            <w:rFonts w:ascii="Verdana" w:hAnsi="Verdana" w:cs="Arial"/>
            <w:shd w:val="clear" w:color="auto" w:fill="FFFFFF"/>
            <w:lang w:val="es-ES"/>
          </w:rPr>
          <w:t>https://relatoria.colombiacompra.gov.co/busqueda/conceptos</w:t>
        </w:r>
      </w:hyperlink>
    </w:p>
    <w:p w14:paraId="7EEBC3FF" w14:textId="77777777" w:rsidR="008E53E8" w:rsidRPr="00144EB3" w:rsidRDefault="008E53E8" w:rsidP="00144EB3">
      <w:pPr>
        <w:spacing w:after="0" w:line="276" w:lineRule="auto"/>
        <w:jc w:val="both"/>
        <w:rPr>
          <w:rFonts w:ascii="Verdana" w:hAnsi="Verdana" w:cs="Arial"/>
          <w:shd w:val="clear" w:color="auto" w:fill="FFFFFF"/>
          <w:lang w:val="es-ES"/>
        </w:rPr>
      </w:pPr>
    </w:p>
    <w:p w14:paraId="35CB09A5"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7E2B0F1E" w14:textId="77777777" w:rsidR="00144EB3" w:rsidRDefault="00144EB3" w:rsidP="00144EB3">
      <w:pPr>
        <w:spacing w:after="0" w:line="276" w:lineRule="auto"/>
        <w:jc w:val="both"/>
        <w:rPr>
          <w:rFonts w:ascii="Verdana" w:eastAsia="Calibri" w:hAnsi="Verdana" w:cs="Arial"/>
        </w:rPr>
      </w:pPr>
    </w:p>
    <w:p w14:paraId="493DCA18" w14:textId="7793DA4F"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w:t>
      </w:r>
      <w:r w:rsidRPr="00144EB3">
        <w:rPr>
          <w:rFonts w:ascii="Verdana" w:eastAsia="Calibri" w:hAnsi="Verdana" w:cs="Arial"/>
          <w:b/>
          <w:bCs/>
        </w:rPr>
        <w:lastRenderedPageBreak/>
        <w:t>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627EDBAD" w14:textId="77777777" w:rsidR="008E53E8" w:rsidRPr="00144EB3" w:rsidRDefault="008E53E8" w:rsidP="00144EB3">
      <w:pPr>
        <w:spacing w:after="0" w:line="276" w:lineRule="auto"/>
        <w:jc w:val="both"/>
        <w:rPr>
          <w:rFonts w:ascii="Verdana" w:eastAsia="Calibri" w:hAnsi="Verdana" w:cs="Arial"/>
        </w:rPr>
      </w:pPr>
    </w:p>
    <w:p w14:paraId="37BE5756"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1C294FC4"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77E5DDA7" w14:textId="77777777" w:rsidR="008E53E8" w:rsidRPr="00144EB3" w:rsidRDefault="008E53E8" w:rsidP="00144EB3">
      <w:pPr>
        <w:spacing w:after="0" w:line="276" w:lineRule="auto"/>
        <w:jc w:val="both"/>
        <w:rPr>
          <w:rFonts w:ascii="Verdana" w:eastAsia="Calibri" w:hAnsi="Verdana" w:cs="Arial"/>
          <w:shd w:val="clear" w:color="auto" w:fill="FFFFFF"/>
        </w:rPr>
      </w:pPr>
    </w:p>
    <w:p w14:paraId="48754C80"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570495A7"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65EE08A0" w14:textId="77777777" w:rsidR="008E53E8" w:rsidRPr="00144EB3" w:rsidRDefault="008E53E8" w:rsidP="00144EB3">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77CDBD9C"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2AF0018F" w14:textId="77777777" w:rsidR="008E53E8" w:rsidRPr="00144EB3" w:rsidRDefault="008E53E8" w:rsidP="00144EB3">
      <w:pPr>
        <w:widowControl w:val="0"/>
        <w:autoSpaceDE w:val="0"/>
        <w:autoSpaceDN w:val="0"/>
        <w:spacing w:after="0" w:line="276" w:lineRule="auto"/>
        <w:jc w:val="both"/>
        <w:rPr>
          <w:rFonts w:ascii="Verdana" w:eastAsia="Calibri" w:hAnsi="Verdana" w:cs="Arial"/>
          <w:lang w:val="es-ES"/>
        </w:rPr>
      </w:pPr>
    </w:p>
    <w:p w14:paraId="54789667" w14:textId="77777777" w:rsidR="008E53E8" w:rsidRPr="00144EB3" w:rsidRDefault="008E53E8" w:rsidP="00144EB3">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12EC3E3" w14:textId="77777777" w:rsidR="008E53E8" w:rsidRPr="00144EB3" w:rsidRDefault="008E53E8" w:rsidP="00144EB3">
      <w:pPr>
        <w:spacing w:after="0" w:line="276" w:lineRule="auto"/>
        <w:jc w:val="both"/>
        <w:rPr>
          <w:rFonts w:ascii="Verdana" w:eastAsia="Verdana" w:hAnsi="Verdana" w:cs="Verdana"/>
        </w:rPr>
      </w:pPr>
    </w:p>
    <w:p w14:paraId="6A1DA677" w14:textId="77777777" w:rsidR="008E53E8" w:rsidRPr="00144EB3" w:rsidRDefault="008E53E8" w:rsidP="00144EB3">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0E881C9E" w14:textId="77777777" w:rsidR="008E53E8" w:rsidRPr="00144EB3" w:rsidRDefault="008E53E8" w:rsidP="00144EB3">
      <w:pPr>
        <w:spacing w:after="0" w:line="276" w:lineRule="auto"/>
        <w:rPr>
          <w:rFonts w:ascii="Verdana" w:eastAsia="Verdana" w:hAnsi="Verdana" w:cs="Verdana"/>
        </w:rPr>
      </w:pPr>
    </w:p>
    <w:p w14:paraId="16BE96C4" w14:textId="77777777" w:rsidR="008E53E8" w:rsidRPr="00144EB3" w:rsidRDefault="008E53E8" w:rsidP="00144EB3">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53827E48" w14:textId="1CE5360C" w:rsidR="008E53E8" w:rsidRPr="00182F6A" w:rsidRDefault="00F42C1A" w:rsidP="00F42C1A">
      <w:pPr>
        <w:spacing w:after="120" w:line="276" w:lineRule="auto"/>
        <w:contextualSpacing/>
        <w:jc w:val="center"/>
        <w:rPr>
          <w:rFonts w:ascii="Verdana" w:eastAsia="Aptos" w:hAnsi="Verdana" w:cs="Arial"/>
          <w:shd w:val="clear" w:color="auto" w:fill="FFFFFF"/>
          <w:lang w:val="es-ES"/>
        </w:rPr>
      </w:pPr>
      <w:r>
        <w:rPr>
          <w:noProof/>
        </w:rPr>
        <w:lastRenderedPageBreak/>
        <w:drawing>
          <wp:inline distT="0" distB="0" distL="0" distR="0" wp14:anchorId="351385DD" wp14:editId="49034C1F">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p w14:paraId="5033601B" w14:textId="77777777" w:rsidR="008E53E8" w:rsidRPr="00182F6A" w:rsidRDefault="008E53E8" w:rsidP="008E53E8">
      <w:pPr>
        <w:spacing w:after="120" w:line="276" w:lineRule="auto"/>
        <w:contextualSpacing/>
        <w:jc w:val="both"/>
        <w:rPr>
          <w:rFonts w:ascii="Verdana" w:eastAsia="Aptos" w:hAnsi="Verdana" w:cs="Arial"/>
          <w:shd w:val="clear" w:color="auto" w:fill="FFFFFF"/>
          <w:lang w:val="es-ES"/>
        </w:rPr>
      </w:pPr>
    </w:p>
    <w:p w14:paraId="5DFABE61" w14:textId="77777777" w:rsidR="008E53E8" w:rsidRDefault="008E53E8" w:rsidP="008E53E8">
      <w:pPr>
        <w:spacing w:after="0" w:line="276" w:lineRule="auto"/>
        <w:jc w:val="center"/>
        <w:rPr>
          <w:rFonts w:ascii="Verdana" w:hAnsi="Verdana" w:cs="Arial"/>
          <w:lang w:val="es-ES" w:eastAsia="es-CO"/>
        </w:rPr>
      </w:pPr>
    </w:p>
    <w:p w14:paraId="77666F85" w14:textId="77777777" w:rsidR="008E53E8" w:rsidRPr="008278B1" w:rsidRDefault="008E53E8" w:rsidP="008E53E8">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E53E8" w:rsidRPr="008278B1" w14:paraId="15BF7DC3" w14:textId="77777777" w:rsidTr="00517FDB">
        <w:trPr>
          <w:trHeight w:val="315"/>
        </w:trPr>
        <w:tc>
          <w:tcPr>
            <w:tcW w:w="893" w:type="dxa"/>
            <w:vAlign w:val="center"/>
            <w:hideMark/>
          </w:tcPr>
          <w:p w14:paraId="2FD12AD1" w14:textId="77777777" w:rsidR="008E53E8" w:rsidRPr="008278B1" w:rsidRDefault="008E53E8" w:rsidP="00517FDB">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664642E" w14:textId="77777777" w:rsidR="008E53E8" w:rsidRPr="00860461" w:rsidRDefault="008E53E8" w:rsidP="00517FD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463DA6E" w14:textId="77777777" w:rsidR="008E53E8" w:rsidRPr="00860461" w:rsidRDefault="008E53E8" w:rsidP="00517FD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8E53E8" w:rsidRPr="00F84F36" w14:paraId="1147CC7D" w14:textId="77777777" w:rsidTr="00517FDB">
        <w:trPr>
          <w:trHeight w:val="330"/>
        </w:trPr>
        <w:tc>
          <w:tcPr>
            <w:tcW w:w="893" w:type="dxa"/>
            <w:vAlign w:val="center"/>
            <w:hideMark/>
          </w:tcPr>
          <w:p w14:paraId="6E486679" w14:textId="77777777" w:rsidR="008E53E8" w:rsidRPr="0025661F" w:rsidRDefault="008E53E8" w:rsidP="00517FDB">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A90187B" w14:textId="77777777" w:rsidR="008E53E8" w:rsidRPr="00D62D2E" w:rsidRDefault="008E53E8" w:rsidP="00517FDB">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35080F82" w14:textId="77777777" w:rsidR="008E53E8" w:rsidRPr="0025661F" w:rsidRDefault="008E53E8" w:rsidP="00517FDB">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8E53E8" w:rsidRPr="00F84F36" w14:paraId="471F1E59" w14:textId="77777777" w:rsidTr="00517FDB">
        <w:trPr>
          <w:trHeight w:val="300"/>
        </w:trPr>
        <w:tc>
          <w:tcPr>
            <w:tcW w:w="893" w:type="dxa"/>
            <w:vAlign w:val="center"/>
          </w:tcPr>
          <w:p w14:paraId="0A7C9E39" w14:textId="77777777" w:rsidR="008E53E8" w:rsidRPr="008278B1" w:rsidRDefault="008E53E8" w:rsidP="00517FDB">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CE96C5" w14:textId="77777777" w:rsidR="008E53E8" w:rsidRPr="008278B1" w:rsidRDefault="008E53E8" w:rsidP="00517FD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357AE7E5" w14:textId="77777777" w:rsidR="008E53E8" w:rsidRPr="008278B1" w:rsidRDefault="008E53E8" w:rsidP="00517FD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12443EE0" w14:textId="1F855260" w:rsidR="00C15139" w:rsidRPr="008E53E8" w:rsidRDefault="00241959" w:rsidP="30821638">
      <w:pPr>
        <w:spacing w:after="0"/>
        <w:rPr>
          <w:rFonts w:ascii="Verdana" w:eastAsia="Verdana" w:hAnsi="Verdana" w:cs="Verdana"/>
          <w:lang w:val="es-ES"/>
        </w:rPr>
      </w:pPr>
      <w:r>
        <w:rPr>
          <w:noProof/>
        </w:rPr>
        <w:drawing>
          <wp:inline distT="0" distB="0" distL="0" distR="0" wp14:anchorId="58B5ECDD" wp14:editId="564CB8C5">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bookmarkEnd w:id="0"/>
    </w:p>
    <w:sectPr w:rsidR="00C15139" w:rsidRPr="008E53E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63112" w14:textId="77777777" w:rsidR="001422BD" w:rsidRDefault="001422BD" w:rsidP="004A1847">
      <w:pPr>
        <w:spacing w:after="0" w:line="240" w:lineRule="auto"/>
      </w:pPr>
      <w:r>
        <w:separator/>
      </w:r>
    </w:p>
  </w:endnote>
  <w:endnote w:type="continuationSeparator" w:id="0">
    <w:p w14:paraId="7273981D" w14:textId="77777777" w:rsidR="001422BD" w:rsidRDefault="001422B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6C8CD" w14:textId="77777777" w:rsidR="001422BD" w:rsidRDefault="001422BD" w:rsidP="004A1847">
      <w:pPr>
        <w:spacing w:after="0" w:line="240" w:lineRule="auto"/>
      </w:pPr>
      <w:r>
        <w:separator/>
      </w:r>
    </w:p>
  </w:footnote>
  <w:footnote w:type="continuationSeparator" w:id="0">
    <w:p w14:paraId="1E8D0735" w14:textId="77777777" w:rsidR="001422BD" w:rsidRDefault="001422BD" w:rsidP="004A1847">
      <w:pPr>
        <w:spacing w:after="0" w:line="240" w:lineRule="auto"/>
      </w:pPr>
      <w:r>
        <w:continuationSeparator/>
      </w:r>
    </w:p>
  </w:footnote>
  <w:footnote w:id="1">
    <w:p w14:paraId="797AA6DE"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Ello de conformidad con </w:t>
      </w:r>
      <w:r w:rsidRPr="00294702">
        <w:rPr>
          <w:rFonts w:ascii="Verdana" w:eastAsia="Calibri" w:hAnsi="Verdana" w:cs="Arial"/>
          <w:color w:val="000000" w:themeColor="text1"/>
          <w:sz w:val="16"/>
          <w:szCs w:val="16"/>
          <w:lang w:val="es-ES_tradnl"/>
        </w:rPr>
        <w:t>el numeral 8 del artículo 11 y el numeral 5 del artículo 3 del Decreto Ley 4170 de 2011.</w:t>
      </w:r>
    </w:p>
  </w:footnote>
  <w:footnote w:id="2">
    <w:p w14:paraId="716094CC" w14:textId="77777777" w:rsidR="0036476C" w:rsidRPr="00294702" w:rsidRDefault="0036476C" w:rsidP="0036476C">
      <w:pPr>
        <w:pStyle w:val="Textonotapie"/>
        <w:ind w:firstLine="709"/>
        <w:jc w:val="both"/>
        <w:rPr>
          <w:rFonts w:ascii="Verdana" w:hAnsi="Verdana" w:cs="Arial"/>
          <w:color w:val="000000" w:themeColor="text1"/>
          <w:sz w:val="16"/>
          <w:szCs w:val="16"/>
        </w:rPr>
      </w:pPr>
    </w:p>
    <w:p w14:paraId="213951F8" w14:textId="77777777" w:rsidR="0036476C" w:rsidRDefault="0036476C" w:rsidP="0036476C">
      <w:pPr>
        <w:pStyle w:val="Textonotapie"/>
        <w:ind w:firstLine="709"/>
        <w:jc w:val="both"/>
        <w:rPr>
          <w:rFonts w:ascii="Verdana" w:hAnsi="Verdana" w:cs="Arial"/>
          <w:color w:val="000000" w:themeColor="text1"/>
          <w:sz w:val="16"/>
          <w:szCs w:val="16"/>
          <w:lang w:val="es-ES"/>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w:t>
      </w:r>
      <w:r w:rsidRPr="00294702">
        <w:rPr>
          <w:rFonts w:ascii="Verdana" w:hAnsi="Verdana" w:cs="Arial"/>
          <w:color w:val="000000" w:themeColor="text1"/>
          <w:sz w:val="16"/>
          <w:szCs w:val="16"/>
          <w:lang w:val="es-ES"/>
        </w:rPr>
        <w:t>Según García de Enterría, «Estos concepto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p w14:paraId="08A86335" w14:textId="77777777" w:rsidR="00CE01E2" w:rsidRPr="00294702" w:rsidRDefault="00CE01E2" w:rsidP="0036476C">
      <w:pPr>
        <w:pStyle w:val="Textonotapie"/>
        <w:ind w:firstLine="709"/>
        <w:jc w:val="both"/>
        <w:rPr>
          <w:rFonts w:ascii="Verdana" w:hAnsi="Verdana" w:cs="Arial"/>
          <w:color w:val="000000" w:themeColor="text1"/>
          <w:sz w:val="16"/>
          <w:szCs w:val="16"/>
        </w:rPr>
      </w:pPr>
    </w:p>
  </w:footnote>
  <w:footnote w:id="3">
    <w:p w14:paraId="2F0A5450" w14:textId="77777777" w:rsidR="0036476C" w:rsidRDefault="0036476C" w:rsidP="0036476C">
      <w:pPr>
        <w:pStyle w:val="Textonotapie"/>
        <w:ind w:firstLine="709"/>
        <w:jc w:val="both"/>
        <w:rPr>
          <w:rFonts w:ascii="Verdana" w:hAnsi="Verdana" w:cs="Arial"/>
          <w:color w:val="000000" w:themeColor="text1"/>
          <w:sz w:val="16"/>
          <w:szCs w:val="16"/>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Sentencia C-382 de 2019, M.P. Alejandro Linares Cantillo.</w:t>
      </w:r>
    </w:p>
    <w:p w14:paraId="37727EA0" w14:textId="77777777" w:rsidR="00CE01E2" w:rsidRPr="00294702" w:rsidRDefault="00CE01E2" w:rsidP="0036476C">
      <w:pPr>
        <w:pStyle w:val="Textonotapie"/>
        <w:ind w:firstLine="709"/>
        <w:jc w:val="both"/>
        <w:rPr>
          <w:rFonts w:ascii="Verdana" w:hAnsi="Verdana" w:cs="Arial"/>
          <w:color w:val="000000" w:themeColor="text1"/>
          <w:sz w:val="16"/>
          <w:szCs w:val="16"/>
        </w:rPr>
      </w:pPr>
    </w:p>
  </w:footnote>
  <w:footnote w:id="4">
    <w:p w14:paraId="5AA6A94B" w14:textId="77777777" w:rsidR="0036476C" w:rsidRDefault="0036476C" w:rsidP="0036476C">
      <w:pPr>
        <w:pStyle w:val="Textonotapie"/>
        <w:ind w:firstLine="709"/>
        <w:jc w:val="both"/>
        <w:rPr>
          <w:rStyle w:val="FontStyle23"/>
          <w:rFonts w:ascii="Verdana" w:hAnsi="Verdana" w:cs="Arial"/>
          <w:sz w:val="16"/>
          <w:szCs w:val="16"/>
          <w:lang w:val="es-ES_tradnl" w:eastAsia="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30 de enero de 1997. Consejero Ponente: Javier Henao Hidrón. Expediente: </w:t>
      </w:r>
      <w:r w:rsidRPr="00294702">
        <w:rPr>
          <w:rStyle w:val="FontStyle23"/>
          <w:rFonts w:ascii="Verdana" w:hAnsi="Verdana" w:cs="Arial"/>
          <w:sz w:val="16"/>
          <w:szCs w:val="16"/>
          <w:lang w:val="es-ES_tradnl" w:eastAsia="es-ES_tradnl"/>
        </w:rPr>
        <w:t>938.</w:t>
      </w:r>
    </w:p>
    <w:p w14:paraId="7B01B04E" w14:textId="77777777" w:rsidR="00CE01E2" w:rsidRPr="00294702" w:rsidRDefault="00CE01E2" w:rsidP="0036476C">
      <w:pPr>
        <w:pStyle w:val="Textonotapie"/>
        <w:ind w:firstLine="709"/>
        <w:jc w:val="both"/>
        <w:rPr>
          <w:rFonts w:ascii="Verdana" w:hAnsi="Verdana" w:cs="Arial"/>
          <w:sz w:val="16"/>
          <w:szCs w:val="16"/>
          <w:lang w:val="es-ES"/>
        </w:rPr>
      </w:pPr>
    </w:p>
  </w:footnote>
  <w:footnote w:id="5">
    <w:p w14:paraId="46B97AD0" w14:textId="77777777" w:rsidR="0036476C"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574740DF" w14:textId="77777777" w:rsidR="00CE01E2" w:rsidRPr="00294702" w:rsidRDefault="00CE01E2" w:rsidP="0036476C">
      <w:pPr>
        <w:pStyle w:val="Textonotapie"/>
        <w:ind w:firstLine="709"/>
        <w:jc w:val="both"/>
        <w:rPr>
          <w:rFonts w:ascii="Verdana" w:hAnsi="Verdana" w:cs="Arial"/>
          <w:sz w:val="16"/>
          <w:szCs w:val="16"/>
          <w:lang w:val="es-ES"/>
        </w:rPr>
      </w:pPr>
    </w:p>
  </w:footnote>
  <w:footnote w:id="6">
    <w:p w14:paraId="54A94BDD" w14:textId="77777777" w:rsidR="0036476C" w:rsidRPr="00294702"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15 de diciembre de 2005. Consejero Ponente: Gustavo Aponte Santos. Expediente: </w:t>
      </w:r>
      <w:r w:rsidRPr="00294702">
        <w:rPr>
          <w:rFonts w:ascii="Verdana" w:hAnsi="Verdana" w:cs="Arial"/>
          <w:sz w:val="16"/>
          <w:szCs w:val="16"/>
        </w:rPr>
        <w:t>1706.</w:t>
      </w:r>
    </w:p>
    <w:p w14:paraId="7DD03001" w14:textId="77777777" w:rsidR="0036476C" w:rsidRPr="00294702" w:rsidRDefault="0036476C" w:rsidP="0036476C">
      <w:pPr>
        <w:pStyle w:val="Textonotapie"/>
        <w:ind w:firstLine="709"/>
        <w:jc w:val="both"/>
        <w:rPr>
          <w:rFonts w:ascii="Verdana" w:hAnsi="Verdana" w:cs="Arial"/>
          <w:sz w:val="16"/>
          <w:szCs w:val="16"/>
          <w:lang w:val="es-ES"/>
        </w:rPr>
      </w:pPr>
    </w:p>
  </w:footnote>
  <w:footnote w:id="7">
    <w:p w14:paraId="36CE8495" w14:textId="77777777" w:rsidR="0036476C" w:rsidRPr="00294702" w:rsidRDefault="0036476C" w:rsidP="0036476C">
      <w:pPr>
        <w:pStyle w:val="Textonotapie"/>
        <w:ind w:firstLine="709"/>
        <w:jc w:val="both"/>
        <w:rPr>
          <w:rFonts w:ascii="Verdana" w:hAnsi="Verdana" w:cs="Arial"/>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17 de febrero de 2006. Consejero Ponente: Luis Fernando Álvarez Jaramillo. Expediente: </w:t>
      </w:r>
      <w:r w:rsidRPr="00294702">
        <w:rPr>
          <w:rFonts w:ascii="Verdana" w:hAnsi="Verdana" w:cs="Arial"/>
          <w:sz w:val="16"/>
          <w:szCs w:val="16"/>
          <w:lang w:val="es-ES_tradnl"/>
        </w:rPr>
        <w:t>1720.</w:t>
      </w:r>
    </w:p>
    <w:p w14:paraId="2BC12976" w14:textId="77777777" w:rsidR="0036476C" w:rsidRPr="00294702" w:rsidRDefault="0036476C" w:rsidP="0036476C">
      <w:pPr>
        <w:pStyle w:val="Textonotapie"/>
        <w:ind w:firstLine="709"/>
        <w:jc w:val="both"/>
        <w:rPr>
          <w:rFonts w:ascii="Verdana" w:hAnsi="Verdana" w:cs="Arial"/>
          <w:sz w:val="16"/>
          <w:szCs w:val="16"/>
          <w:lang w:val="es-ES"/>
        </w:rPr>
      </w:pPr>
    </w:p>
  </w:footnote>
  <w:footnote w:id="8">
    <w:p w14:paraId="2C606BD6"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footnote>
  <w:footnote w:id="9">
    <w:p w14:paraId="0A15ADAA" w14:textId="77777777" w:rsidR="0036476C" w:rsidRPr="00294702" w:rsidRDefault="0036476C" w:rsidP="0036476C">
      <w:pPr>
        <w:pStyle w:val="Textonotapie"/>
        <w:ind w:firstLine="709"/>
        <w:jc w:val="both"/>
        <w:rPr>
          <w:rFonts w:ascii="Verdana" w:hAnsi="Verdana" w:cs="Arial"/>
          <w:sz w:val="16"/>
          <w:szCs w:val="16"/>
        </w:rPr>
      </w:pPr>
    </w:p>
    <w:p w14:paraId="7CB3F9B8"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Sala de Consulta y Servicio Civil. </w:t>
      </w:r>
      <w:r w:rsidRPr="00294702">
        <w:rPr>
          <w:rFonts w:ascii="Verdana" w:hAnsi="Verdana" w:cs="Arial"/>
          <w:sz w:val="16"/>
          <w:szCs w:val="16"/>
          <w:lang w:val="es-ES"/>
        </w:rPr>
        <w:t xml:space="preserve">Concepto del 25 de marzo de 2010. Consejero Ponente: William Zambrano Cetina. Expediente: </w:t>
      </w:r>
      <w:r w:rsidRPr="00294702">
        <w:rPr>
          <w:rFonts w:ascii="Verdana" w:hAnsi="Verdana" w:cs="Arial"/>
          <w:sz w:val="16"/>
          <w:szCs w:val="16"/>
        </w:rPr>
        <w:t>1993.</w:t>
      </w:r>
      <w:r w:rsidRPr="00294702">
        <w:rPr>
          <w:rFonts w:ascii="Verdana" w:hAnsi="Verdana" w:cs="Arial"/>
          <w:sz w:val="16"/>
          <w:szCs w:val="16"/>
          <w:lang w:val="es-ES"/>
        </w:rPr>
        <w:t xml:space="preserve"> </w:t>
      </w:r>
    </w:p>
    <w:p w14:paraId="1F7FF312" w14:textId="77777777" w:rsidR="0036476C" w:rsidRPr="00294702" w:rsidRDefault="0036476C" w:rsidP="0036476C">
      <w:pPr>
        <w:pStyle w:val="Textonotapie"/>
        <w:ind w:firstLine="709"/>
        <w:jc w:val="both"/>
        <w:rPr>
          <w:rFonts w:ascii="Verdana" w:hAnsi="Verdana" w:cs="Arial"/>
          <w:sz w:val="16"/>
          <w:szCs w:val="16"/>
          <w:lang w:val="es-ES"/>
        </w:rPr>
      </w:pPr>
    </w:p>
  </w:footnote>
  <w:footnote w:id="10">
    <w:p w14:paraId="0A9CAA52"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footnote>
  <w:footnote w:id="11">
    <w:p w14:paraId="373EC8C8" w14:textId="77777777" w:rsidR="0036476C"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Sala de Consulta y Servicio Civil. </w:t>
      </w:r>
      <w:r w:rsidRPr="00294702">
        <w:rPr>
          <w:rFonts w:ascii="Verdana" w:hAnsi="Verdana" w:cs="Arial"/>
          <w:sz w:val="16"/>
          <w:szCs w:val="16"/>
          <w:lang w:val="es-ES"/>
        </w:rPr>
        <w:t xml:space="preserve">Concepto del 2 de septiembre de 2013. Consejero Ponente: Álvaro Namén Vargas. Expediente: </w:t>
      </w:r>
      <w:r w:rsidRPr="00294702">
        <w:rPr>
          <w:rFonts w:ascii="Verdana" w:hAnsi="Verdana" w:cs="Arial"/>
          <w:sz w:val="16"/>
          <w:szCs w:val="16"/>
          <w:lang w:val="es-ES_tradnl"/>
        </w:rPr>
        <w:t>2168</w:t>
      </w:r>
      <w:r w:rsidRPr="00294702">
        <w:rPr>
          <w:rFonts w:ascii="Verdana" w:hAnsi="Verdana" w:cs="Arial"/>
          <w:sz w:val="16"/>
          <w:szCs w:val="16"/>
        </w:rPr>
        <w:t>.</w:t>
      </w:r>
    </w:p>
    <w:p w14:paraId="7EA12812" w14:textId="77777777" w:rsidR="00CE01E2" w:rsidRPr="00294702" w:rsidRDefault="00CE01E2" w:rsidP="0036476C">
      <w:pPr>
        <w:pStyle w:val="Textonotapie"/>
        <w:ind w:firstLine="709"/>
        <w:jc w:val="both"/>
        <w:rPr>
          <w:rFonts w:ascii="Verdana" w:hAnsi="Verdana" w:cs="Arial"/>
          <w:sz w:val="16"/>
          <w:szCs w:val="16"/>
          <w:lang w:val="es-ES"/>
        </w:rPr>
      </w:pPr>
    </w:p>
  </w:footnote>
  <w:footnote w:id="12">
    <w:p w14:paraId="45F87561" w14:textId="77777777" w:rsidR="0036476C"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609CC1A7" w14:textId="77777777" w:rsidR="00CE01E2" w:rsidRPr="00294702" w:rsidRDefault="00CE01E2" w:rsidP="0036476C">
      <w:pPr>
        <w:pStyle w:val="Textonotapie"/>
        <w:ind w:firstLine="709"/>
        <w:jc w:val="both"/>
        <w:rPr>
          <w:rFonts w:ascii="Verdana" w:hAnsi="Verdana" w:cs="Arial"/>
          <w:sz w:val="16"/>
          <w:szCs w:val="16"/>
          <w:lang w:val="es-ES"/>
        </w:rPr>
      </w:pPr>
    </w:p>
  </w:footnote>
  <w:footnote w:id="13">
    <w:p w14:paraId="67BBE1AD" w14:textId="77777777" w:rsidR="0036476C"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Sentencia del 27 de marzo de 2008. Consejera Ponente: Ruth Stella Correa Palacio. Expediente: 29393. Esta tesis fue sostenida también en el auto del 16 de marzo de 2006, dentro del mismo proceso de la referencia. </w:t>
      </w:r>
    </w:p>
    <w:p w14:paraId="003B5AD4" w14:textId="77777777" w:rsidR="00CE01E2" w:rsidRPr="00294702" w:rsidRDefault="00CE01E2" w:rsidP="0036476C">
      <w:pPr>
        <w:pStyle w:val="Textonotapie"/>
        <w:ind w:firstLine="709"/>
        <w:jc w:val="both"/>
        <w:rPr>
          <w:rFonts w:ascii="Verdana" w:hAnsi="Verdana" w:cs="Arial"/>
          <w:sz w:val="16"/>
          <w:szCs w:val="16"/>
          <w:lang w:val="es-ES"/>
        </w:rPr>
      </w:pPr>
    </w:p>
  </w:footnote>
  <w:footnote w:id="14">
    <w:p w14:paraId="2DCDA914" w14:textId="77777777" w:rsidR="0036476C" w:rsidRPr="00294702"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Subsección C. Sentencia del 26 de julio de 2011. Consejero Ponente: Enrique Gil Botero. Expediente: </w:t>
      </w:r>
      <w:r w:rsidRPr="00294702">
        <w:rPr>
          <w:rFonts w:ascii="Verdana" w:hAnsi="Verdana" w:cs="Arial"/>
          <w:iCs/>
          <w:sz w:val="16"/>
          <w:szCs w:val="16"/>
        </w:rPr>
        <w:t>17661.</w:t>
      </w:r>
      <w:r w:rsidRPr="00294702">
        <w:rPr>
          <w:rFonts w:ascii="Verdana" w:hAnsi="Verdana" w:cs="Arial"/>
          <w:sz w:val="16"/>
          <w:szCs w:val="16"/>
        </w:rPr>
        <w:t xml:space="preserve"> </w:t>
      </w:r>
    </w:p>
    <w:p w14:paraId="45DC2813" w14:textId="77777777" w:rsidR="0036476C" w:rsidRPr="00294702" w:rsidRDefault="0036476C" w:rsidP="0036476C">
      <w:pPr>
        <w:pStyle w:val="Textonotapie"/>
        <w:ind w:firstLine="709"/>
        <w:jc w:val="both"/>
        <w:rPr>
          <w:rFonts w:ascii="Verdana" w:hAnsi="Verdana" w:cs="Arial"/>
          <w:sz w:val="16"/>
          <w:szCs w:val="16"/>
          <w:lang w:val="es-ES"/>
        </w:rPr>
      </w:pPr>
    </w:p>
  </w:footnote>
  <w:footnote w:id="15">
    <w:p w14:paraId="29FA4981" w14:textId="77777777" w:rsidR="0036476C" w:rsidRDefault="0036476C" w:rsidP="0036476C">
      <w:pPr>
        <w:pStyle w:val="Textonotapie"/>
        <w:ind w:firstLine="709"/>
        <w:jc w:val="both"/>
        <w:rPr>
          <w:rFonts w:ascii="Verdana" w:hAnsi="Verdana" w:cs="Arial"/>
          <w:spacing w:val="4"/>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Sección Tercera. Sala Plena. Sentencia del 23 de julio de 2015. Consejero Ponente: Hernán Andrade Rincón. Expediente: </w:t>
      </w:r>
      <w:r w:rsidRPr="00294702">
        <w:rPr>
          <w:rFonts w:ascii="Verdana" w:hAnsi="Verdana" w:cs="Arial"/>
          <w:spacing w:val="4"/>
          <w:sz w:val="16"/>
          <w:szCs w:val="16"/>
          <w:lang w:val="es-ES_tradnl"/>
        </w:rPr>
        <w:t>36805.</w:t>
      </w:r>
    </w:p>
    <w:p w14:paraId="6B927031" w14:textId="77777777" w:rsidR="00CE01E2" w:rsidRPr="00294702" w:rsidRDefault="00CE01E2" w:rsidP="0036476C">
      <w:pPr>
        <w:pStyle w:val="Textonotapie"/>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0F663280" w14:textId="77777777" w:rsidR="000A2EA8" w:rsidRPr="00C925AC" w:rsidRDefault="000A2EA8"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CBA"/>
    <w:rsid w:val="00030236"/>
    <w:rsid w:val="00033100"/>
    <w:rsid w:val="000459C3"/>
    <w:rsid w:val="00046945"/>
    <w:rsid w:val="00061B2A"/>
    <w:rsid w:val="00072845"/>
    <w:rsid w:val="00082362"/>
    <w:rsid w:val="000A2EA8"/>
    <w:rsid w:val="000A683E"/>
    <w:rsid w:val="000A6BE0"/>
    <w:rsid w:val="000B19B9"/>
    <w:rsid w:val="000D0334"/>
    <w:rsid w:val="000D50BA"/>
    <w:rsid w:val="000D5DA7"/>
    <w:rsid w:val="000F128F"/>
    <w:rsid w:val="000F6486"/>
    <w:rsid w:val="00116940"/>
    <w:rsid w:val="00117528"/>
    <w:rsid w:val="00125105"/>
    <w:rsid w:val="00126863"/>
    <w:rsid w:val="00127233"/>
    <w:rsid w:val="001422BD"/>
    <w:rsid w:val="00144EB3"/>
    <w:rsid w:val="0015699B"/>
    <w:rsid w:val="00161C66"/>
    <w:rsid w:val="001A33BF"/>
    <w:rsid w:val="001D20BC"/>
    <w:rsid w:val="001D2386"/>
    <w:rsid w:val="001E4177"/>
    <w:rsid w:val="001F0B24"/>
    <w:rsid w:val="001F7DC6"/>
    <w:rsid w:val="0022400B"/>
    <w:rsid w:val="00241959"/>
    <w:rsid w:val="002421BB"/>
    <w:rsid w:val="0025796E"/>
    <w:rsid w:val="002707A2"/>
    <w:rsid w:val="00294702"/>
    <w:rsid w:val="002951A0"/>
    <w:rsid w:val="002962BC"/>
    <w:rsid w:val="002A093D"/>
    <w:rsid w:val="002A0DD0"/>
    <w:rsid w:val="002A49AC"/>
    <w:rsid w:val="002A64FD"/>
    <w:rsid w:val="002C7A84"/>
    <w:rsid w:val="002E2BF8"/>
    <w:rsid w:val="002E4FD9"/>
    <w:rsid w:val="0030657A"/>
    <w:rsid w:val="00322A85"/>
    <w:rsid w:val="00324168"/>
    <w:rsid w:val="00330834"/>
    <w:rsid w:val="003377F2"/>
    <w:rsid w:val="0034005D"/>
    <w:rsid w:val="003448F4"/>
    <w:rsid w:val="0036476C"/>
    <w:rsid w:val="00374F5E"/>
    <w:rsid w:val="00377E3E"/>
    <w:rsid w:val="00390DBE"/>
    <w:rsid w:val="003A779E"/>
    <w:rsid w:val="003D0F4D"/>
    <w:rsid w:val="003D5B0D"/>
    <w:rsid w:val="003E0499"/>
    <w:rsid w:val="003E4F80"/>
    <w:rsid w:val="003E6439"/>
    <w:rsid w:val="003F3941"/>
    <w:rsid w:val="00406575"/>
    <w:rsid w:val="00414C74"/>
    <w:rsid w:val="0042722E"/>
    <w:rsid w:val="004337FD"/>
    <w:rsid w:val="0044528D"/>
    <w:rsid w:val="00466E39"/>
    <w:rsid w:val="00492790"/>
    <w:rsid w:val="0049458B"/>
    <w:rsid w:val="004A1847"/>
    <w:rsid w:val="004A305D"/>
    <w:rsid w:val="004C08B5"/>
    <w:rsid w:val="004C754F"/>
    <w:rsid w:val="004D76BD"/>
    <w:rsid w:val="004E21AF"/>
    <w:rsid w:val="004F21C4"/>
    <w:rsid w:val="004F685F"/>
    <w:rsid w:val="00502BEC"/>
    <w:rsid w:val="00515851"/>
    <w:rsid w:val="00524DB1"/>
    <w:rsid w:val="0054273A"/>
    <w:rsid w:val="0055150B"/>
    <w:rsid w:val="005566E8"/>
    <w:rsid w:val="005734B3"/>
    <w:rsid w:val="00574867"/>
    <w:rsid w:val="005751F2"/>
    <w:rsid w:val="00591460"/>
    <w:rsid w:val="005915B3"/>
    <w:rsid w:val="005976CF"/>
    <w:rsid w:val="005A65E0"/>
    <w:rsid w:val="005C3777"/>
    <w:rsid w:val="005C5CDC"/>
    <w:rsid w:val="005C62F0"/>
    <w:rsid w:val="005D2DFE"/>
    <w:rsid w:val="005D476C"/>
    <w:rsid w:val="005F5235"/>
    <w:rsid w:val="006200BF"/>
    <w:rsid w:val="006219F8"/>
    <w:rsid w:val="006302F7"/>
    <w:rsid w:val="00646B9F"/>
    <w:rsid w:val="006548ED"/>
    <w:rsid w:val="00665D70"/>
    <w:rsid w:val="006900D9"/>
    <w:rsid w:val="006917F6"/>
    <w:rsid w:val="006A3A90"/>
    <w:rsid w:val="006F0630"/>
    <w:rsid w:val="00706C16"/>
    <w:rsid w:val="007340C3"/>
    <w:rsid w:val="0075235A"/>
    <w:rsid w:val="00756841"/>
    <w:rsid w:val="007649AB"/>
    <w:rsid w:val="00771D0C"/>
    <w:rsid w:val="007833AC"/>
    <w:rsid w:val="007865E2"/>
    <w:rsid w:val="007B268C"/>
    <w:rsid w:val="007B5A7F"/>
    <w:rsid w:val="007B7171"/>
    <w:rsid w:val="007C0C0F"/>
    <w:rsid w:val="007C3DC2"/>
    <w:rsid w:val="007E5497"/>
    <w:rsid w:val="00806F5F"/>
    <w:rsid w:val="00820278"/>
    <w:rsid w:val="008258C9"/>
    <w:rsid w:val="00825A02"/>
    <w:rsid w:val="00844AE9"/>
    <w:rsid w:val="00867F95"/>
    <w:rsid w:val="008843B6"/>
    <w:rsid w:val="00891928"/>
    <w:rsid w:val="008A446D"/>
    <w:rsid w:val="008B25F1"/>
    <w:rsid w:val="008D180B"/>
    <w:rsid w:val="008E3392"/>
    <w:rsid w:val="008E53E8"/>
    <w:rsid w:val="008F0EA7"/>
    <w:rsid w:val="00923EEF"/>
    <w:rsid w:val="009419F9"/>
    <w:rsid w:val="00947718"/>
    <w:rsid w:val="0095685E"/>
    <w:rsid w:val="00961B09"/>
    <w:rsid w:val="00965334"/>
    <w:rsid w:val="00967C24"/>
    <w:rsid w:val="0097093E"/>
    <w:rsid w:val="009735EA"/>
    <w:rsid w:val="00997FEE"/>
    <w:rsid w:val="009A0DFA"/>
    <w:rsid w:val="009A1C6F"/>
    <w:rsid w:val="009A5F3D"/>
    <w:rsid w:val="009B2D26"/>
    <w:rsid w:val="009C71FA"/>
    <w:rsid w:val="009C72E7"/>
    <w:rsid w:val="009C7F7E"/>
    <w:rsid w:val="009D3058"/>
    <w:rsid w:val="009D5D33"/>
    <w:rsid w:val="009F3A13"/>
    <w:rsid w:val="00A122D3"/>
    <w:rsid w:val="00A14468"/>
    <w:rsid w:val="00A14620"/>
    <w:rsid w:val="00A17F13"/>
    <w:rsid w:val="00A20739"/>
    <w:rsid w:val="00A23AF9"/>
    <w:rsid w:val="00A33C78"/>
    <w:rsid w:val="00A56C31"/>
    <w:rsid w:val="00A67788"/>
    <w:rsid w:val="00A87CD8"/>
    <w:rsid w:val="00AA3DD1"/>
    <w:rsid w:val="00AA4DE4"/>
    <w:rsid w:val="00AA6873"/>
    <w:rsid w:val="00AB0ADB"/>
    <w:rsid w:val="00AB176F"/>
    <w:rsid w:val="00AC62E4"/>
    <w:rsid w:val="00B00C0E"/>
    <w:rsid w:val="00B01B1A"/>
    <w:rsid w:val="00B0381D"/>
    <w:rsid w:val="00B158FB"/>
    <w:rsid w:val="00B4163F"/>
    <w:rsid w:val="00B44A47"/>
    <w:rsid w:val="00B72CD3"/>
    <w:rsid w:val="00B72FFF"/>
    <w:rsid w:val="00BB0E9B"/>
    <w:rsid w:val="00BB6406"/>
    <w:rsid w:val="00BC3D36"/>
    <w:rsid w:val="00BD54A6"/>
    <w:rsid w:val="00BD7F72"/>
    <w:rsid w:val="00BE117F"/>
    <w:rsid w:val="00BF7425"/>
    <w:rsid w:val="00C04FB3"/>
    <w:rsid w:val="00C11D8B"/>
    <w:rsid w:val="00C15139"/>
    <w:rsid w:val="00C27838"/>
    <w:rsid w:val="00C330EB"/>
    <w:rsid w:val="00C412DA"/>
    <w:rsid w:val="00C50D69"/>
    <w:rsid w:val="00C5365C"/>
    <w:rsid w:val="00C754BE"/>
    <w:rsid w:val="00C76B1C"/>
    <w:rsid w:val="00C81186"/>
    <w:rsid w:val="00C925AC"/>
    <w:rsid w:val="00CA0F28"/>
    <w:rsid w:val="00CB6357"/>
    <w:rsid w:val="00CC1B26"/>
    <w:rsid w:val="00CC69D2"/>
    <w:rsid w:val="00CD0AD9"/>
    <w:rsid w:val="00CD20EB"/>
    <w:rsid w:val="00CE01E2"/>
    <w:rsid w:val="00D361FD"/>
    <w:rsid w:val="00D423A2"/>
    <w:rsid w:val="00D44E26"/>
    <w:rsid w:val="00D46734"/>
    <w:rsid w:val="00D46819"/>
    <w:rsid w:val="00D520D8"/>
    <w:rsid w:val="00D63AC2"/>
    <w:rsid w:val="00D7383B"/>
    <w:rsid w:val="00D7788A"/>
    <w:rsid w:val="00DA231B"/>
    <w:rsid w:val="00DB1EBD"/>
    <w:rsid w:val="00DC39FC"/>
    <w:rsid w:val="00DD5A68"/>
    <w:rsid w:val="00DF5254"/>
    <w:rsid w:val="00E02524"/>
    <w:rsid w:val="00E16408"/>
    <w:rsid w:val="00E20894"/>
    <w:rsid w:val="00E245AB"/>
    <w:rsid w:val="00E2764C"/>
    <w:rsid w:val="00E27F2E"/>
    <w:rsid w:val="00E45730"/>
    <w:rsid w:val="00E50AFE"/>
    <w:rsid w:val="00E75C92"/>
    <w:rsid w:val="00E771DC"/>
    <w:rsid w:val="00E8772A"/>
    <w:rsid w:val="00E90F6B"/>
    <w:rsid w:val="00E923B4"/>
    <w:rsid w:val="00E92C27"/>
    <w:rsid w:val="00EA0E3D"/>
    <w:rsid w:val="00EB7A94"/>
    <w:rsid w:val="00EC38A7"/>
    <w:rsid w:val="00ED7C05"/>
    <w:rsid w:val="00EE1AA8"/>
    <w:rsid w:val="00EF1CB8"/>
    <w:rsid w:val="00F23FEA"/>
    <w:rsid w:val="00F31EDC"/>
    <w:rsid w:val="00F42C1A"/>
    <w:rsid w:val="00F462B3"/>
    <w:rsid w:val="00F5664F"/>
    <w:rsid w:val="00F6152C"/>
    <w:rsid w:val="00F666C4"/>
    <w:rsid w:val="00F76AFC"/>
    <w:rsid w:val="00FA47C0"/>
    <w:rsid w:val="00FB32A6"/>
    <w:rsid w:val="00FB5DD1"/>
    <w:rsid w:val="00FC2B5D"/>
    <w:rsid w:val="00FD2B1F"/>
    <w:rsid w:val="00FF1449"/>
    <w:rsid w:val="00FF7963"/>
    <w:rsid w:val="071B8F93"/>
    <w:rsid w:val="07C73DD1"/>
    <w:rsid w:val="09908A09"/>
    <w:rsid w:val="0EFE6349"/>
    <w:rsid w:val="0FF4CCA8"/>
    <w:rsid w:val="122F1934"/>
    <w:rsid w:val="13CFC91B"/>
    <w:rsid w:val="19A2EC2C"/>
    <w:rsid w:val="21779BE6"/>
    <w:rsid w:val="2859CA1B"/>
    <w:rsid w:val="2C4D2425"/>
    <w:rsid w:val="2EE1E026"/>
    <w:rsid w:val="30821638"/>
    <w:rsid w:val="32A4F9CF"/>
    <w:rsid w:val="33A1FF93"/>
    <w:rsid w:val="356CEDFD"/>
    <w:rsid w:val="3C591AFD"/>
    <w:rsid w:val="42183F0A"/>
    <w:rsid w:val="545B112A"/>
    <w:rsid w:val="5BEB1497"/>
    <w:rsid w:val="61CFEC75"/>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8E53E8"/>
    <w:pPr>
      <w:spacing w:after="120"/>
    </w:pPr>
  </w:style>
  <w:style w:type="character" w:customStyle="1" w:styleId="TextoindependienteCar">
    <w:name w:val="Texto independiente Car"/>
    <w:basedOn w:val="Fuentedeprrafopredeter"/>
    <w:link w:val="Textoindependiente"/>
    <w:uiPriority w:val="1"/>
    <w:rsid w:val="008E53E8"/>
  </w:style>
  <w:style w:type="character" w:customStyle="1" w:styleId="s15">
    <w:name w:val="s15"/>
    <w:basedOn w:val="Fuentedeprrafopredeter"/>
    <w:rsid w:val="008E53E8"/>
  </w:style>
  <w:style w:type="character" w:styleId="Refdecomentario">
    <w:name w:val="annotation reference"/>
    <w:basedOn w:val="Fuentedeprrafopredeter"/>
    <w:uiPriority w:val="99"/>
    <w:semiHidden/>
    <w:unhideWhenUsed/>
    <w:rsid w:val="0036476C"/>
    <w:rPr>
      <w:sz w:val="16"/>
      <w:szCs w:val="16"/>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6476C"/>
    <w:rPr>
      <w:rFonts w:ascii="Geomanist Light" w:hAnsi="Geomanist Light"/>
      <w:lang w:val="es-ES"/>
    </w:rPr>
  </w:style>
  <w:style w:type="paragraph" w:customStyle="1" w:styleId="Appelnotedebasde">
    <w:name w:val="Appel note de bas de..."/>
    <w:basedOn w:val="Normal"/>
    <w:link w:val="Refdenotaalpie"/>
    <w:uiPriority w:val="99"/>
    <w:rsid w:val="0036476C"/>
    <w:pPr>
      <w:spacing w:line="240" w:lineRule="exact"/>
    </w:pPr>
    <w:rPr>
      <w:vertAlign w:val="superscript"/>
    </w:rPr>
  </w:style>
  <w:style w:type="character" w:customStyle="1" w:styleId="FontStyle23">
    <w:name w:val="Font Style23"/>
    <w:basedOn w:val="Fuentedeprrafopredeter"/>
    <w:rsid w:val="0036476C"/>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ianotificaciones@dosquebradas.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5aee4673a6af19db486efc01e2470a0b">
  <xsd:schema xmlns:xsd="http://www.w3.org/2001/XMLSchema" xmlns:xs="http://www.w3.org/2001/XMLSchema" xmlns:p="http://schemas.microsoft.com/office/2006/metadata/properties" xmlns:ns2="fb02ccb1-9bfe-43f1-9075-a12505bf7b0f" targetNamespace="http://schemas.microsoft.com/office/2006/metadata/properties" ma:root="true" ma:fieldsID="81b93032960c52a90666a46829b59c5a"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64F17C0-8241-4F1B-9ABA-9945665CEE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33</Pages>
  <Words>12124</Words>
  <Characters>66321</Characters>
  <Application>Microsoft Office Word</Application>
  <DocSecurity>0</DocSecurity>
  <Lines>1275</Lines>
  <Paragraphs>203</Paragraphs>
  <ScaleCrop>false</ScaleCrop>
  <Company/>
  <LinksUpToDate>false</LinksUpToDate>
  <CharactersWithSpaces>78242</CharactersWithSpaces>
  <SharedDoc>false</SharedDoc>
  <HLinks>
    <vt:vector size="36" baseType="variant">
      <vt:variant>
        <vt:i4>4456513</vt:i4>
      </vt:variant>
      <vt:variant>
        <vt:i4>15</vt:i4>
      </vt:variant>
      <vt:variant>
        <vt:i4>0</vt:i4>
      </vt:variant>
      <vt:variant>
        <vt:i4>5</vt:i4>
      </vt:variant>
      <vt:variant>
        <vt:lpwstr>https://forms.office.com/r/pPHyWVs2SZ</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2228319</vt:i4>
      </vt:variant>
      <vt:variant>
        <vt:i4>0</vt:i4>
      </vt:variant>
      <vt:variant>
        <vt:i4>0</vt:i4>
      </vt:variant>
      <vt:variant>
        <vt:i4>5</vt:i4>
      </vt:variant>
      <vt:variant>
        <vt:lpwstr>mailto:saianotificaciones@dosquebradas.gov.co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10</cp:revision>
  <cp:lastPrinted>2023-01-10T21:18:00Z</cp:lastPrinted>
  <dcterms:created xsi:type="dcterms:W3CDTF">2026-03-18T15:06:00Z</dcterms:created>
  <dcterms:modified xsi:type="dcterms:W3CDTF">2026-03-25T21:27:00Z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