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9F90F" w14:textId="77777777" w:rsidR="003133F6" w:rsidRPr="00436042" w:rsidRDefault="003133F6" w:rsidP="003133F6">
      <w:pPr>
        <w:spacing w:after="0" w:line="276" w:lineRule="auto"/>
        <w:jc w:val="both"/>
        <w:rPr>
          <w:rFonts w:ascii="Verdana" w:eastAsia="Aptos" w:hAnsi="Verdana" w:cs="Arial"/>
          <w:b/>
          <w:bCs/>
        </w:rPr>
      </w:pPr>
      <w:bookmarkStart w:id="0" w:name="_Hlk143780582"/>
      <w:r w:rsidRPr="00436042">
        <w:rPr>
          <w:rFonts w:ascii="Verdana" w:eastAsia="Aptos" w:hAnsi="Verdana" w:cs="Arial"/>
          <w:b/>
          <w:bCs/>
        </w:rPr>
        <w:t xml:space="preserve">UNIVERSIDADES PÚBLICAS – Naturaleza jurídica – Régimen de contratación aplicable </w:t>
      </w:r>
    </w:p>
    <w:p w14:paraId="7E247DBA" w14:textId="77777777" w:rsidR="003133F6" w:rsidRPr="00436042" w:rsidRDefault="003133F6" w:rsidP="003133F6">
      <w:pPr>
        <w:spacing w:after="0" w:line="276" w:lineRule="auto"/>
        <w:jc w:val="both"/>
        <w:rPr>
          <w:rFonts w:ascii="Verdana" w:eastAsia="Aptos" w:hAnsi="Verdana" w:cs="Arial"/>
          <w:b/>
          <w:bCs/>
        </w:rPr>
      </w:pPr>
    </w:p>
    <w:p w14:paraId="58F83B22"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 la Constitución Política de Colombia en su artículo 69, establece por una parte, una garantía de autonomía para que las universidades establezcan sus directivas y sus estatutos de acuerdo con la ley; y por la otra, la posibilidad de que cuenten con un régimen especial que corresponde dictar al Congreso. En desarrollo de lo anterior, se expidió la Ley 30 de 1992, mediante la cual se regularon aspectos como la naturaleza jurídica de las universidades estatales y oficiales, la forma de organizarse y el régimen de contratación aplicable. Asimismo, en el artículo 57 ibidem se consignó que el carácter especial del régimen de las universidades estatales u oficiales comprende, entre otros aspectos, el régimen de contratación.</w:t>
      </w:r>
    </w:p>
    <w:p w14:paraId="46017D37" w14:textId="77777777" w:rsidR="003133F6" w:rsidRPr="00436042" w:rsidRDefault="003133F6" w:rsidP="003133F6">
      <w:pPr>
        <w:spacing w:after="0" w:line="240" w:lineRule="auto"/>
        <w:jc w:val="both"/>
        <w:rPr>
          <w:rFonts w:ascii="Verdana" w:eastAsia="Aptos" w:hAnsi="Verdana" w:cs="Arial"/>
          <w:sz w:val="20"/>
          <w:szCs w:val="20"/>
        </w:rPr>
      </w:pPr>
    </w:p>
    <w:p w14:paraId="422D761B"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 la Ley 489 de 1998, al desarrollar la estructura y organización de la Administración Pública, establece que los entes universitarios hacen parte integral de esta, catalogándolos como entidades públicas de carácter autónomo a las que aplica un régimen especial. […].</w:t>
      </w:r>
    </w:p>
    <w:p w14:paraId="6518BC74"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w:t>
      </w:r>
    </w:p>
    <w:p w14:paraId="01029565"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 se ha considerado que los entes universitarios no son entidades que hagan parte de la rama ejecutiva, ni pueden, por tanto, considerarse entidades descentralizadas, sino que gozan de un régimen especial.</w:t>
      </w:r>
    </w:p>
    <w:p w14:paraId="5B2A02B4"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w:t>
      </w:r>
    </w:p>
    <w:p w14:paraId="75B6AA60"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artículo 93 de la Ley 30 de 1992 estableció condicionadamente, que será el derecho privado, rigiéndose, por ende, por las normas civiles y comerciales […].</w:t>
      </w:r>
    </w:p>
    <w:p w14:paraId="7BB31B42" w14:textId="77777777" w:rsidR="003133F6" w:rsidRPr="00436042" w:rsidRDefault="003133F6" w:rsidP="003133F6">
      <w:pPr>
        <w:spacing w:after="0" w:line="240" w:lineRule="auto"/>
        <w:jc w:val="both"/>
        <w:rPr>
          <w:rFonts w:ascii="Verdana" w:eastAsia="Aptos" w:hAnsi="Verdana" w:cs="Arial"/>
          <w:sz w:val="20"/>
          <w:szCs w:val="20"/>
        </w:rPr>
      </w:pPr>
    </w:p>
    <w:p w14:paraId="2129B2E2" w14:textId="77777777" w:rsidR="003133F6" w:rsidRPr="00436042" w:rsidRDefault="003133F6" w:rsidP="003133F6">
      <w:pPr>
        <w:spacing w:after="0" w:line="240" w:lineRule="auto"/>
        <w:jc w:val="both"/>
        <w:rPr>
          <w:rFonts w:ascii="Verdana" w:eastAsia="Aptos" w:hAnsi="Verdana" w:cs="Arial"/>
          <w:b/>
          <w:bCs/>
        </w:rPr>
      </w:pPr>
      <w:r w:rsidRPr="00436042">
        <w:rPr>
          <w:rFonts w:ascii="Verdana" w:eastAsia="Aptos" w:hAnsi="Verdana" w:cs="Arial"/>
          <w:b/>
          <w:bCs/>
        </w:rPr>
        <w:t>UNIVERSIDADES PÚBLICAS – Aplicación del estatuto general – Obligaciones transversales - Limitaciones</w:t>
      </w:r>
    </w:p>
    <w:p w14:paraId="57C03DF9" w14:textId="77777777" w:rsidR="003133F6" w:rsidRPr="00436042" w:rsidRDefault="003133F6" w:rsidP="003133F6">
      <w:pPr>
        <w:spacing w:after="0" w:line="240" w:lineRule="auto"/>
        <w:jc w:val="both"/>
        <w:rPr>
          <w:rFonts w:ascii="Verdana" w:eastAsia="Aptos" w:hAnsi="Verdana" w:cs="Arial"/>
          <w:sz w:val="20"/>
          <w:szCs w:val="20"/>
        </w:rPr>
      </w:pPr>
    </w:p>
    <w:p w14:paraId="05166A4E"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 podría colegirse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Estatuto General de Contratación de la Administración Pública –Ley 80 de 1993, Ley 1150 de 2007, Decreto 1082 de 2015 y demás normas que lo modifiquen o complementen–, estarán sujetas, sin que ello afecte su economía, a las reglas y restricciones que dicho estatuto contenga para ese tipo de situaciones.</w:t>
      </w:r>
    </w:p>
    <w:p w14:paraId="47F8D494"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w:t>
      </w:r>
    </w:p>
    <w:p w14:paraId="30000BFB"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 xml:space="preserve">[…] deberán cumplir unas obligaciones transversales al Sistema de Compra y Contratación Pública, entre ellas la elaboración del Plan Anual de Adquisiciones, la publicación de sus procedimientos de selección a través de la herramienta SECOP –en la </w:t>
      </w:r>
      <w:r w:rsidRPr="00436042">
        <w:rPr>
          <w:rFonts w:ascii="Verdana" w:eastAsia="Aptos" w:hAnsi="Verdana" w:cs="Arial"/>
          <w:sz w:val="20"/>
          <w:szCs w:val="20"/>
        </w:rPr>
        <w:lastRenderedPageBreak/>
        <w:t>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w:t>
      </w:r>
    </w:p>
    <w:p w14:paraId="0CD86A56"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w:t>
      </w:r>
    </w:p>
    <w:p w14:paraId="65742A06"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 xml:space="preserve">[…]es importante precisar que la libertad reglamentaria de la actividad contractual a través de los manuales de contratación, no es absoluta, toda vez que, las entidades con un régimen especial deben hacerlo respetado la reserva legal de la que gozan ciertas materias. En tal sentido, asuntos como: i) los requisitos de existencia y validez del contrato, </w:t>
      </w:r>
      <w:proofErr w:type="spellStart"/>
      <w:r w:rsidRPr="00436042">
        <w:rPr>
          <w:rFonts w:ascii="Verdana" w:eastAsia="Aptos" w:hAnsi="Verdana" w:cs="Arial"/>
          <w:sz w:val="20"/>
          <w:szCs w:val="20"/>
        </w:rPr>
        <w:t>ii</w:t>
      </w:r>
      <w:proofErr w:type="spellEnd"/>
      <w:r w:rsidRPr="00436042">
        <w:rPr>
          <w:rFonts w:ascii="Verdana" w:eastAsia="Aptos" w:hAnsi="Verdana" w:cs="Arial"/>
          <w:sz w:val="20"/>
          <w:szCs w:val="20"/>
        </w:rPr>
        <w:t xml:space="preserve">) causales de inhabilidad e incompatibilidad, </w:t>
      </w:r>
      <w:proofErr w:type="spellStart"/>
      <w:r w:rsidRPr="00436042">
        <w:rPr>
          <w:rFonts w:ascii="Verdana" w:eastAsia="Aptos" w:hAnsi="Verdana" w:cs="Arial"/>
          <w:sz w:val="20"/>
          <w:szCs w:val="20"/>
        </w:rPr>
        <w:t>iii</w:t>
      </w:r>
      <w:proofErr w:type="spellEnd"/>
      <w:r w:rsidRPr="00436042">
        <w:rPr>
          <w:rFonts w:ascii="Verdana" w:eastAsia="Aptos" w:hAnsi="Verdana" w:cs="Arial"/>
          <w:sz w:val="20"/>
          <w:szCs w:val="20"/>
        </w:rPr>
        <w:t xml:space="preserve">) el principio de anualidad del gasto, y </w:t>
      </w:r>
      <w:proofErr w:type="spellStart"/>
      <w:r w:rsidRPr="00436042">
        <w:rPr>
          <w:rFonts w:ascii="Verdana" w:eastAsia="Aptos" w:hAnsi="Verdana" w:cs="Arial"/>
          <w:sz w:val="20"/>
          <w:szCs w:val="20"/>
        </w:rPr>
        <w:t>iv</w:t>
      </w:r>
      <w:proofErr w:type="spellEnd"/>
      <w:r w:rsidRPr="00436042">
        <w:rPr>
          <w:rFonts w:ascii="Verdana" w:eastAsia="Aptos" w:hAnsi="Verdana" w:cs="Arial"/>
          <w:sz w:val="20"/>
          <w:szCs w:val="20"/>
        </w:rPr>
        <w:t>) restricciones al acceso a la administración de justicia para discutir las controversias contractuales, son, entre otros, temas cuya regulación está reservada al legislador y que, por tanto, no pueden reglamentar en su manual de contratación.</w:t>
      </w:r>
    </w:p>
    <w:p w14:paraId="347D1EA4" w14:textId="77777777" w:rsidR="003133F6" w:rsidRPr="00436042" w:rsidRDefault="003133F6" w:rsidP="003133F6">
      <w:pPr>
        <w:spacing w:after="0" w:line="240" w:lineRule="auto"/>
        <w:jc w:val="both"/>
        <w:rPr>
          <w:rFonts w:ascii="Verdana" w:eastAsia="Aptos" w:hAnsi="Verdana" w:cs="Arial"/>
          <w:sz w:val="20"/>
          <w:szCs w:val="20"/>
        </w:rPr>
      </w:pPr>
    </w:p>
    <w:p w14:paraId="3F0D5A16" w14:textId="77777777" w:rsidR="003133F6" w:rsidRPr="00436042" w:rsidRDefault="003133F6" w:rsidP="003133F6">
      <w:pPr>
        <w:spacing w:after="0" w:line="240" w:lineRule="auto"/>
        <w:jc w:val="both"/>
        <w:rPr>
          <w:rFonts w:ascii="Verdana" w:eastAsia="Aptos" w:hAnsi="Verdana" w:cs="Arial"/>
          <w:b/>
          <w:bCs/>
        </w:rPr>
      </w:pPr>
      <w:r w:rsidRPr="00436042">
        <w:rPr>
          <w:rFonts w:ascii="Verdana" w:eastAsia="Aptos" w:hAnsi="Verdana" w:cs="Arial"/>
          <w:b/>
          <w:bCs/>
        </w:rPr>
        <w:t>MANUALES DE CONTRATACIÓN – Método interpretativo – Vacíos normativos – Ausencia de regulación</w:t>
      </w:r>
    </w:p>
    <w:p w14:paraId="7E45D608" w14:textId="77777777" w:rsidR="003133F6" w:rsidRPr="00436042" w:rsidRDefault="003133F6" w:rsidP="003133F6">
      <w:pPr>
        <w:spacing w:after="0" w:line="240" w:lineRule="auto"/>
        <w:jc w:val="both"/>
        <w:rPr>
          <w:rFonts w:ascii="Verdana" w:eastAsia="Aptos" w:hAnsi="Verdana" w:cs="Arial"/>
          <w:b/>
          <w:bCs/>
        </w:rPr>
      </w:pPr>
    </w:p>
    <w:p w14:paraId="5830DB27"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 los vacíos de los manuales de contratación de las entidades con régimen especial no siempre se llenan de la misma manera, pues ello depende de las materias sobre las cuales exista ausencia de regulación en dicho reglamento y la ley que crea el régimen especial. En tal sentido, sin perjuicio del deber de cumplir ciertas obligaciones transversales a la contratación pública, los vacíos en los aspectos sustantivos y en la regulación del contrato se deben llenar con las normas civiles y comerciales, según el caso; los que tengan que ver con asuntos relacionados con el procedimiento administrativo se deben integrar con las normas de la primera parte del Código de Procedimiento Administrativo y de lo Contencioso Administrativo; los relacionados con las normas sobre inhabilidades e incompatibilidades, con las disposiciones que las regulen, contenidas bien sea en el Estatuto General de Contratación de la Administración Pública o en leyes complementarias.</w:t>
      </w:r>
    </w:p>
    <w:p w14:paraId="655456E2" w14:textId="77777777" w:rsidR="003133F6" w:rsidRPr="00436042" w:rsidRDefault="003133F6" w:rsidP="003133F6">
      <w:pPr>
        <w:spacing w:after="0" w:line="240" w:lineRule="auto"/>
        <w:jc w:val="both"/>
        <w:rPr>
          <w:rFonts w:ascii="Verdana" w:eastAsia="Aptos" w:hAnsi="Verdana" w:cs="Arial"/>
          <w:sz w:val="20"/>
          <w:szCs w:val="20"/>
        </w:rPr>
      </w:pPr>
    </w:p>
    <w:p w14:paraId="6F9615A2" w14:textId="77777777" w:rsidR="003133F6" w:rsidRPr="00436042" w:rsidRDefault="003133F6" w:rsidP="003133F6">
      <w:pPr>
        <w:spacing w:after="0" w:line="240" w:lineRule="auto"/>
        <w:jc w:val="both"/>
        <w:rPr>
          <w:rFonts w:ascii="Verdana" w:eastAsia="Aptos" w:hAnsi="Verdana" w:cs="Arial"/>
          <w:sz w:val="20"/>
          <w:szCs w:val="20"/>
        </w:rPr>
      </w:pPr>
      <w:r w:rsidRPr="00436042">
        <w:rPr>
          <w:rFonts w:ascii="Verdana" w:eastAsia="Aptos" w:hAnsi="Verdana" w:cs="Arial"/>
          <w:sz w:val="20"/>
          <w:szCs w:val="20"/>
        </w:rPr>
        <w:t>[…] los vacíos en la definición o alcance de los principios de la función administrativa y de la gestión fiscal –a los que aluden los artículos 209 y 267 de la Constitución– deben llenarse con una interpretación integral de la carta política, así como con la jurisprudencia constitucional que exista sobre la materia, emanada de la Corte Constitucional o del Consejo de Estado –cuando actúe como tribunal constitucional–.</w:t>
      </w:r>
    </w:p>
    <w:p w14:paraId="6BC8D984" w14:textId="77777777" w:rsidR="003133F6" w:rsidRPr="00436042" w:rsidRDefault="003133F6" w:rsidP="003133F6">
      <w:pPr>
        <w:spacing w:after="0" w:line="276" w:lineRule="auto"/>
        <w:jc w:val="both"/>
        <w:rPr>
          <w:rFonts w:ascii="Verdana" w:eastAsia="Aptos" w:hAnsi="Verdana" w:cs="Arial"/>
        </w:rPr>
      </w:pPr>
    </w:p>
    <w:p w14:paraId="134D8BED" w14:textId="77777777" w:rsidR="003133F6" w:rsidRPr="00436042" w:rsidRDefault="003133F6" w:rsidP="003133F6">
      <w:pPr>
        <w:spacing w:after="0" w:line="276" w:lineRule="auto"/>
        <w:jc w:val="both"/>
        <w:rPr>
          <w:rFonts w:ascii="Verdana" w:eastAsia="Aptos" w:hAnsi="Verdana" w:cs="Arial"/>
        </w:rPr>
      </w:pPr>
    </w:p>
    <w:p w14:paraId="20FDB706" w14:textId="77777777" w:rsidR="003133F6" w:rsidRPr="00436042" w:rsidRDefault="003133F6" w:rsidP="003133F6">
      <w:pPr>
        <w:spacing w:after="0" w:line="276" w:lineRule="auto"/>
        <w:jc w:val="both"/>
        <w:rPr>
          <w:rFonts w:ascii="Verdana" w:eastAsia="Aptos" w:hAnsi="Verdana" w:cs="Arial"/>
        </w:rPr>
      </w:pPr>
    </w:p>
    <w:p w14:paraId="4063364C" w14:textId="77777777" w:rsidR="003133F6" w:rsidRPr="00436042" w:rsidRDefault="003133F6" w:rsidP="003133F6">
      <w:pPr>
        <w:spacing w:after="0" w:line="276" w:lineRule="auto"/>
        <w:jc w:val="both"/>
        <w:rPr>
          <w:rFonts w:ascii="Verdana" w:eastAsia="Aptos" w:hAnsi="Verdana" w:cs="Arial"/>
        </w:rPr>
      </w:pPr>
    </w:p>
    <w:p w14:paraId="3926E8A3" w14:textId="77777777" w:rsidR="003133F6" w:rsidRPr="00436042" w:rsidRDefault="003133F6" w:rsidP="003133F6">
      <w:pPr>
        <w:spacing w:after="0" w:line="276" w:lineRule="auto"/>
        <w:jc w:val="both"/>
        <w:rPr>
          <w:rFonts w:ascii="Verdana" w:eastAsia="Aptos" w:hAnsi="Verdana" w:cs="Arial"/>
        </w:rPr>
      </w:pPr>
    </w:p>
    <w:p w14:paraId="24B785B1" w14:textId="77777777" w:rsidR="003133F6" w:rsidRPr="00436042" w:rsidRDefault="003133F6" w:rsidP="003133F6">
      <w:pPr>
        <w:spacing w:after="0" w:line="276" w:lineRule="auto"/>
        <w:jc w:val="both"/>
        <w:rPr>
          <w:rFonts w:ascii="Verdana" w:eastAsia="Aptos" w:hAnsi="Verdana" w:cs="Arial"/>
        </w:rPr>
      </w:pPr>
    </w:p>
    <w:p w14:paraId="2F908DED" w14:textId="77777777" w:rsidR="003133F6" w:rsidRPr="00436042" w:rsidRDefault="003133F6" w:rsidP="003133F6">
      <w:pPr>
        <w:spacing w:after="0" w:line="276" w:lineRule="auto"/>
        <w:jc w:val="both"/>
        <w:rPr>
          <w:rFonts w:ascii="Verdana" w:eastAsia="Aptos" w:hAnsi="Verdana" w:cs="Arial"/>
        </w:rPr>
      </w:pPr>
    </w:p>
    <w:p w14:paraId="57A18088" w14:textId="77777777" w:rsidR="003133F6" w:rsidRPr="00436042" w:rsidRDefault="003133F6" w:rsidP="003133F6">
      <w:pPr>
        <w:spacing w:after="0" w:line="240" w:lineRule="auto"/>
        <w:rPr>
          <w:rFonts w:ascii="Verdana" w:eastAsia="Aptos" w:hAnsi="Verdana" w:cs="Times New Roman"/>
          <w:sz w:val="20"/>
          <w:szCs w:val="20"/>
        </w:rPr>
      </w:pPr>
    </w:p>
    <w:p w14:paraId="69CCCD87" w14:textId="5DD650EA" w:rsidR="003133F6" w:rsidRPr="009971C4" w:rsidRDefault="003133F6" w:rsidP="003133F6">
      <w:pPr>
        <w:spacing w:after="0" w:line="240" w:lineRule="auto"/>
        <w:rPr>
          <w:rFonts w:ascii="Verdana" w:eastAsia="Geomanist Light" w:hAnsi="Verdana" w:cs="Arial"/>
          <w:lang w:val="es-MX"/>
        </w:rPr>
      </w:pPr>
      <w:r w:rsidRPr="009971C4">
        <w:rPr>
          <w:rFonts w:ascii="Verdana" w:eastAsia="Geomanist Light" w:hAnsi="Verdana" w:cs="Arial"/>
          <w:lang w:val="es-MX"/>
        </w:rPr>
        <w:lastRenderedPageBreak/>
        <w:t>Bogotá D.C., </w:t>
      </w:r>
      <w:r w:rsidR="006D7F80">
        <w:rPr>
          <w:rFonts w:ascii="Verdana" w:eastAsia="Geomanist Light" w:hAnsi="Verdana" w:cs="Arial"/>
          <w:lang w:val="es-MX"/>
        </w:rPr>
        <w:t>17 de marzo de 2026</w:t>
      </w:r>
    </w:p>
    <w:p w14:paraId="70F59200" w14:textId="77777777" w:rsidR="003133F6" w:rsidRPr="009971C4" w:rsidRDefault="003133F6" w:rsidP="003133F6">
      <w:pPr>
        <w:spacing w:after="0" w:line="240" w:lineRule="auto"/>
        <w:jc w:val="both"/>
        <w:rPr>
          <w:rFonts w:ascii="Verdana" w:eastAsia="Calibri" w:hAnsi="Verdana" w:cs="Arial"/>
          <w:lang w:val="es-ES"/>
        </w:rPr>
      </w:pPr>
    </w:p>
    <w:p w14:paraId="17EF01AA" w14:textId="6BD49ACA" w:rsidR="003133F6" w:rsidRPr="009971C4" w:rsidRDefault="00CF1F50" w:rsidP="003133F6">
      <w:pPr>
        <w:spacing w:after="0" w:line="240" w:lineRule="auto"/>
        <w:jc w:val="right"/>
        <w:rPr>
          <w:rFonts w:ascii="Verdana" w:eastAsia="Calibri" w:hAnsi="Verdana" w:cs="Arial"/>
          <w:lang w:val="es-ES"/>
        </w:rPr>
      </w:pPr>
      <w:r w:rsidRPr="00CF1F50">
        <w:rPr>
          <w:rFonts w:ascii="Verdana" w:eastAsia="Calibri" w:hAnsi="Verdana" w:cs="Arial"/>
          <w:lang w:val="es-ES"/>
        </w:rPr>
        <w:drawing>
          <wp:inline distT="0" distB="0" distL="0" distR="0" wp14:anchorId="564324DA" wp14:editId="68E9A791">
            <wp:extent cx="2705478" cy="724001"/>
            <wp:effectExtent l="0" t="0" r="0" b="0"/>
            <wp:docPr id="13965415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541578" name=""/>
                    <pic:cNvPicPr/>
                  </pic:nvPicPr>
                  <pic:blipFill>
                    <a:blip r:embed="rId7"/>
                    <a:stretch>
                      <a:fillRect/>
                    </a:stretch>
                  </pic:blipFill>
                  <pic:spPr>
                    <a:xfrm>
                      <a:off x="0" y="0"/>
                      <a:ext cx="2705478" cy="724001"/>
                    </a:xfrm>
                    <a:prstGeom prst="rect">
                      <a:avLst/>
                    </a:prstGeom>
                  </pic:spPr>
                </pic:pic>
              </a:graphicData>
            </a:graphic>
          </wp:inline>
        </w:drawing>
      </w:r>
    </w:p>
    <w:p w14:paraId="471F8D61" w14:textId="77777777" w:rsidR="003133F6" w:rsidRPr="009971C4" w:rsidRDefault="003133F6" w:rsidP="003133F6">
      <w:pPr>
        <w:spacing w:after="0" w:line="240" w:lineRule="auto"/>
        <w:jc w:val="both"/>
        <w:rPr>
          <w:rFonts w:ascii="Verdana" w:eastAsia="Calibri" w:hAnsi="Verdana" w:cs="Arial"/>
          <w:lang w:val="es-ES" w:eastAsia="es-ES"/>
        </w:rPr>
      </w:pPr>
      <w:r w:rsidRPr="009971C4">
        <w:rPr>
          <w:rFonts w:ascii="Verdana" w:eastAsia="Calibri" w:hAnsi="Verdana" w:cs="Arial"/>
          <w:lang w:val="es-ES" w:eastAsia="es-ES"/>
        </w:rPr>
        <w:t>Señor</w:t>
      </w:r>
    </w:p>
    <w:p w14:paraId="207FAC0A" w14:textId="77777777" w:rsidR="003133F6" w:rsidRPr="009971C4" w:rsidRDefault="003133F6" w:rsidP="003133F6">
      <w:pPr>
        <w:spacing w:after="0" w:line="240" w:lineRule="auto"/>
        <w:rPr>
          <w:rFonts w:ascii="Verdana" w:eastAsia="Calibri" w:hAnsi="Verdana" w:cs="Arial"/>
          <w:b/>
          <w:lang w:val="es-ES" w:eastAsia="es-ES"/>
        </w:rPr>
      </w:pPr>
      <w:r w:rsidRPr="009971C4">
        <w:rPr>
          <w:rFonts w:ascii="Verdana" w:eastAsia="Calibri" w:hAnsi="Verdana" w:cs="Arial"/>
          <w:b/>
          <w:lang w:val="es-ES" w:eastAsia="es-ES"/>
        </w:rPr>
        <w:t>Eliecer Candelo Viafara</w:t>
      </w:r>
    </w:p>
    <w:p w14:paraId="5CF7C164" w14:textId="77777777" w:rsidR="003133F6" w:rsidRPr="009971C4" w:rsidRDefault="003133F6" w:rsidP="003133F6">
      <w:pPr>
        <w:spacing w:after="0" w:line="240" w:lineRule="auto"/>
        <w:rPr>
          <w:rFonts w:ascii="Verdana" w:eastAsia="Aptos" w:hAnsi="Verdana" w:cs="Times New Roman"/>
        </w:rPr>
      </w:pPr>
      <w:hyperlink r:id="rId8" w:history="1">
        <w:r w:rsidRPr="009971C4">
          <w:rPr>
            <w:rFonts w:ascii="Verdana" w:eastAsia="Aptos" w:hAnsi="Verdana" w:cs="Arial"/>
            <w:color w:val="467886"/>
            <w:u w:val="single"/>
          </w:rPr>
          <w:t>rectoria@unipacifico.edu.co</w:t>
        </w:r>
      </w:hyperlink>
      <w:r w:rsidRPr="009971C4">
        <w:rPr>
          <w:rFonts w:ascii="Verdana" w:eastAsia="Aptos" w:hAnsi="Verdana" w:cs="Times New Roman"/>
        </w:rPr>
        <w:t xml:space="preserve"> </w:t>
      </w:r>
    </w:p>
    <w:p w14:paraId="27C2F74A" w14:textId="77777777" w:rsidR="003133F6" w:rsidRPr="009971C4" w:rsidRDefault="003133F6" w:rsidP="003133F6">
      <w:pPr>
        <w:spacing w:after="0" w:line="240" w:lineRule="auto"/>
        <w:rPr>
          <w:rFonts w:ascii="Verdana" w:eastAsia="Calibri" w:hAnsi="Verdana" w:cs="Arial"/>
          <w:b/>
          <w:bCs/>
          <w:lang w:val="es-ES" w:eastAsia="es-ES"/>
        </w:rPr>
      </w:pPr>
      <w:r w:rsidRPr="009971C4">
        <w:rPr>
          <w:rFonts w:ascii="Verdana" w:eastAsia="Calibri" w:hAnsi="Verdana" w:cs="Arial"/>
          <w:lang w:val="es-ES" w:eastAsia="es-ES"/>
        </w:rPr>
        <w:t>Buenaventura, Valle del Cauca</w:t>
      </w:r>
    </w:p>
    <w:p w14:paraId="7D95A32D" w14:textId="77777777" w:rsidR="003133F6" w:rsidRPr="009971C4" w:rsidRDefault="003133F6" w:rsidP="003133F6">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133F6" w:rsidRPr="009971C4" w14:paraId="75C1672C" w14:textId="77777777" w:rsidTr="003B4AE3">
        <w:trPr>
          <w:trHeight w:val="884"/>
        </w:trPr>
        <w:tc>
          <w:tcPr>
            <w:tcW w:w="2689" w:type="dxa"/>
          </w:tcPr>
          <w:p w14:paraId="70A1F89F" w14:textId="77777777" w:rsidR="003133F6" w:rsidRPr="009971C4" w:rsidRDefault="003133F6" w:rsidP="003B4AE3">
            <w:pPr>
              <w:jc w:val="both"/>
              <w:rPr>
                <w:rFonts w:ascii="Verdana" w:eastAsia="Calibri" w:hAnsi="Verdana" w:cs="Arial"/>
                <w:b/>
                <w:bCs/>
                <w:lang w:val="es-ES_tradnl" w:eastAsia="es-ES_tradnl"/>
              </w:rPr>
            </w:pPr>
          </w:p>
        </w:tc>
        <w:tc>
          <w:tcPr>
            <w:tcW w:w="6100" w:type="dxa"/>
          </w:tcPr>
          <w:p w14:paraId="10CBCE98" w14:textId="77777777" w:rsidR="003133F6" w:rsidRPr="009971C4" w:rsidRDefault="003133F6" w:rsidP="003B4AE3">
            <w:pPr>
              <w:jc w:val="both"/>
              <w:rPr>
                <w:rFonts w:ascii="Verdana" w:eastAsia="Calibri" w:hAnsi="Verdana" w:cs="Arial"/>
                <w:b/>
                <w:bCs/>
                <w:lang w:val="es-ES" w:eastAsia="es-ES"/>
              </w:rPr>
            </w:pPr>
            <w:r w:rsidRPr="009971C4">
              <w:rPr>
                <w:rFonts w:ascii="Verdana" w:eastAsia="Calibri" w:hAnsi="Verdana" w:cs="Arial"/>
                <w:b/>
                <w:bCs/>
                <w:lang w:val="es-ES" w:eastAsia="es-ES"/>
              </w:rPr>
              <w:t>Concepto C-166 de 2026</w:t>
            </w:r>
          </w:p>
        </w:tc>
      </w:tr>
      <w:tr w:rsidR="003133F6" w:rsidRPr="009971C4" w14:paraId="62289BA5" w14:textId="77777777" w:rsidTr="003B4AE3">
        <w:trPr>
          <w:trHeight w:val="884"/>
        </w:trPr>
        <w:tc>
          <w:tcPr>
            <w:tcW w:w="2689" w:type="dxa"/>
          </w:tcPr>
          <w:p w14:paraId="179FE78A" w14:textId="77777777" w:rsidR="003133F6" w:rsidRPr="009971C4" w:rsidRDefault="003133F6" w:rsidP="003B4AE3">
            <w:pPr>
              <w:jc w:val="both"/>
              <w:rPr>
                <w:rFonts w:ascii="Verdana" w:eastAsia="Calibri" w:hAnsi="Verdana" w:cs="Arial"/>
                <w:lang w:val="es-ES_tradnl" w:eastAsia="es-ES_tradnl"/>
              </w:rPr>
            </w:pPr>
            <w:r w:rsidRPr="009971C4">
              <w:rPr>
                <w:rFonts w:ascii="Verdana" w:eastAsia="Calibri" w:hAnsi="Verdana" w:cs="Arial"/>
                <w:b/>
                <w:lang w:val="es-ES_tradnl" w:eastAsia="es-ES_tradnl"/>
              </w:rPr>
              <w:t>Temas:</w:t>
            </w:r>
            <w:r w:rsidRPr="009971C4">
              <w:rPr>
                <w:rFonts w:ascii="Verdana" w:eastAsia="Calibri" w:hAnsi="Verdana" w:cs="Arial"/>
                <w:lang w:val="es-ES_tradnl" w:eastAsia="es-ES_tradnl"/>
              </w:rPr>
              <w:t xml:space="preserve">                   </w:t>
            </w:r>
          </w:p>
        </w:tc>
        <w:tc>
          <w:tcPr>
            <w:tcW w:w="6100" w:type="dxa"/>
          </w:tcPr>
          <w:p w14:paraId="6C8269FA" w14:textId="77777777" w:rsidR="003133F6" w:rsidRPr="009971C4" w:rsidRDefault="003133F6" w:rsidP="003B4AE3">
            <w:pPr>
              <w:spacing w:line="240" w:lineRule="auto"/>
              <w:jc w:val="both"/>
              <w:rPr>
                <w:rFonts w:ascii="Verdana" w:eastAsia="Calibri" w:hAnsi="Verdana" w:cs="Arial"/>
                <w:lang w:val="es-ES" w:eastAsia="es-ES"/>
              </w:rPr>
            </w:pPr>
            <w:r w:rsidRPr="009971C4">
              <w:rPr>
                <w:rFonts w:ascii="Verdana" w:eastAsia="Calibri" w:hAnsi="Verdana" w:cs="Arial"/>
                <w:lang w:val="es-ES" w:eastAsia="es-ES"/>
              </w:rPr>
              <w:t>UNIVERSIDADES PÚBLICAS – Naturaleza jurídica – Régimen de contratación aplicable / UNIVERSIDADES PÚBLICAS – Aplicación del estatuto general – Obligaciones transversales – Limitaciones / MANUALES DE CONTRATACIÓN – Método interpretativo – Vacíos normativos – Ausencia de regulación</w:t>
            </w:r>
          </w:p>
        </w:tc>
      </w:tr>
    </w:tbl>
    <w:p w14:paraId="4AE804A6" w14:textId="77777777" w:rsidR="003133F6" w:rsidRPr="009971C4" w:rsidRDefault="003133F6" w:rsidP="003133F6">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133F6" w:rsidRPr="009971C4" w14:paraId="13768529" w14:textId="77777777" w:rsidTr="003B4AE3">
        <w:tc>
          <w:tcPr>
            <w:tcW w:w="2689" w:type="dxa"/>
          </w:tcPr>
          <w:p w14:paraId="420729DF" w14:textId="77777777" w:rsidR="003133F6" w:rsidRPr="009971C4" w:rsidRDefault="003133F6" w:rsidP="003B4AE3">
            <w:pPr>
              <w:jc w:val="both"/>
              <w:rPr>
                <w:rFonts w:ascii="Verdana" w:eastAsia="Calibri" w:hAnsi="Verdana" w:cs="Arial"/>
                <w:b/>
                <w:lang w:val="es-ES_tradnl" w:eastAsia="es-ES_tradnl"/>
              </w:rPr>
            </w:pPr>
            <w:r w:rsidRPr="009971C4">
              <w:rPr>
                <w:rFonts w:ascii="Verdana" w:eastAsia="Calibri" w:hAnsi="Verdana" w:cs="Arial"/>
                <w:b/>
                <w:lang w:val="es-ES_tradnl" w:eastAsia="es-ES_tradnl"/>
              </w:rPr>
              <w:t>Radicación:</w:t>
            </w:r>
            <w:r w:rsidRPr="009971C4">
              <w:rPr>
                <w:rFonts w:ascii="Verdana" w:eastAsia="Calibri" w:hAnsi="Verdana" w:cs="Arial"/>
                <w:lang w:val="es-ES_tradnl" w:eastAsia="es-ES_tradnl"/>
              </w:rPr>
              <w:t xml:space="preserve">               </w:t>
            </w:r>
          </w:p>
        </w:tc>
        <w:tc>
          <w:tcPr>
            <w:tcW w:w="6100" w:type="dxa"/>
          </w:tcPr>
          <w:p w14:paraId="27DE3A7D" w14:textId="77777777" w:rsidR="003133F6" w:rsidRPr="009971C4" w:rsidRDefault="003133F6" w:rsidP="003B4AE3">
            <w:pPr>
              <w:jc w:val="both"/>
              <w:rPr>
                <w:rFonts w:ascii="Verdana" w:eastAsia="Calibri" w:hAnsi="Verdana" w:cs="Arial"/>
                <w:lang w:val="es-ES_tradnl" w:eastAsia="es-ES_tradnl"/>
              </w:rPr>
            </w:pPr>
            <w:r w:rsidRPr="009971C4">
              <w:rPr>
                <w:rFonts w:ascii="Verdana" w:eastAsia="Calibri" w:hAnsi="Verdana" w:cs="Arial"/>
                <w:lang w:val="es-ES_tradnl" w:eastAsia="es-ES_tradnl"/>
              </w:rPr>
              <w:t>Respuesta a consultas acumuladas con radicados Nos. 1_2026_02_06_001487 y 1_2026_02_06_001489</w:t>
            </w:r>
          </w:p>
        </w:tc>
      </w:tr>
    </w:tbl>
    <w:p w14:paraId="44DF2EC4" w14:textId="77777777" w:rsidR="003133F6" w:rsidRPr="00436042" w:rsidRDefault="003133F6" w:rsidP="003133F6">
      <w:pPr>
        <w:spacing w:after="0" w:line="240" w:lineRule="auto"/>
        <w:jc w:val="both"/>
        <w:rPr>
          <w:rFonts w:ascii="Verdana" w:eastAsia="Calibri" w:hAnsi="Verdana" w:cs="Arial"/>
          <w:lang w:val="es-ES_tradnl" w:eastAsia="es-ES_tradnl"/>
        </w:rPr>
      </w:pPr>
    </w:p>
    <w:p w14:paraId="4111E9DF" w14:textId="77777777" w:rsidR="003133F6" w:rsidRPr="00436042" w:rsidRDefault="003133F6" w:rsidP="003133F6">
      <w:pPr>
        <w:spacing w:after="0" w:line="240" w:lineRule="auto"/>
        <w:jc w:val="both"/>
        <w:rPr>
          <w:rFonts w:ascii="Verdana" w:eastAsia="Calibri" w:hAnsi="Verdana" w:cs="Arial"/>
          <w:lang w:val="es-ES_tradnl" w:eastAsia="es-ES_tradnl"/>
        </w:rPr>
      </w:pPr>
    </w:p>
    <w:p w14:paraId="6745F397" w14:textId="77777777" w:rsidR="003133F6" w:rsidRPr="00436042" w:rsidRDefault="003133F6" w:rsidP="003133F6">
      <w:pPr>
        <w:spacing w:after="0" w:line="276" w:lineRule="auto"/>
        <w:jc w:val="both"/>
        <w:rPr>
          <w:rFonts w:ascii="Verdana" w:eastAsia="Calibri" w:hAnsi="Verdana" w:cs="Arial"/>
          <w:lang w:val="es-ES" w:eastAsia="es-ES"/>
        </w:rPr>
      </w:pPr>
      <w:r w:rsidRPr="00436042">
        <w:rPr>
          <w:rFonts w:ascii="Verdana" w:eastAsia="Calibri" w:hAnsi="Verdana" w:cs="Arial"/>
          <w:lang w:val="es-ES" w:eastAsia="es-ES"/>
        </w:rPr>
        <w:t xml:space="preserve">Estimando Señor Candelo: </w:t>
      </w:r>
    </w:p>
    <w:p w14:paraId="019ED10F" w14:textId="77777777" w:rsidR="003133F6" w:rsidRPr="00436042" w:rsidRDefault="003133F6" w:rsidP="003133F6">
      <w:pPr>
        <w:tabs>
          <w:tab w:val="left" w:pos="3768"/>
        </w:tabs>
        <w:spacing w:after="0" w:line="276" w:lineRule="auto"/>
        <w:jc w:val="both"/>
        <w:rPr>
          <w:rFonts w:ascii="Verdana" w:eastAsia="Calibri" w:hAnsi="Verdana" w:cs="Arial"/>
          <w:lang w:val="es-ES" w:eastAsia="es-ES"/>
        </w:rPr>
      </w:pPr>
    </w:p>
    <w:p w14:paraId="44C6E0D3" w14:textId="77777777" w:rsidR="003133F6" w:rsidRPr="00436042" w:rsidRDefault="003133F6" w:rsidP="003133F6">
      <w:pPr>
        <w:spacing w:after="0" w:line="276" w:lineRule="auto"/>
        <w:jc w:val="both"/>
        <w:rPr>
          <w:rFonts w:ascii="Verdana" w:eastAsia="Calibri" w:hAnsi="Verdana" w:cs="Arial"/>
          <w:lang w:val="es-ES" w:eastAsia="es-ES"/>
        </w:rPr>
      </w:pPr>
      <w:r w:rsidRPr="00436042">
        <w:rPr>
          <w:rFonts w:ascii="Verdana" w:eastAsia="Calibri" w:hAnsi="Verdana" w:cs="Arial"/>
          <w:lang w:val="es-ES" w:eastAsia="es-ES"/>
        </w:rPr>
        <w:t>En ejercicio de la competencia otorgada por los artículos 3, numeral 5º, y 11, numeral 8º, del Decreto Ley 4170 de 2011,</w:t>
      </w:r>
      <w:r w:rsidRPr="00436042">
        <w:rPr>
          <w:rFonts w:ascii="Verdana" w:eastAsia="Arial MT" w:hAnsi="Verdana" w:cs="Arial MT"/>
          <w:lang w:val="es-ES" w:eastAsia="es-ES"/>
        </w:rPr>
        <w:t xml:space="preserve"> </w:t>
      </w:r>
      <w:r w:rsidRPr="00436042">
        <w:rPr>
          <w:rFonts w:ascii="Verdana" w:eastAsia="Aptos" w:hAnsi="Verdana" w:cs="Arial"/>
        </w:rPr>
        <w:t xml:space="preserve">así como lo establecido en el artículo 4 de la Resolución 1707 de 2018 expedida por esta Entidad, </w:t>
      </w:r>
      <w:r w:rsidRPr="00436042">
        <w:rPr>
          <w:rFonts w:ascii="Verdana" w:eastAsia="Calibri" w:hAnsi="Verdana" w:cs="Arial"/>
          <w:lang w:val="es-ES" w:eastAsia="es-ES"/>
        </w:rPr>
        <w:t xml:space="preserve">la Agencia Nacional de Contratación Pública – Colombia Compra Eficiente– responde sus peticiones acumuladas del 06 de febrero de 2026, que fueron remitidas por la Procuraduría General de la Nación mediante Oficio con Radicado No. R-2026-100-10043-01 del mismo mes y año. En dichas solicitudes, usted realiza la siguiente consulta: </w:t>
      </w:r>
    </w:p>
    <w:p w14:paraId="1CABD739" w14:textId="77777777" w:rsidR="003133F6" w:rsidRPr="00436042" w:rsidRDefault="003133F6" w:rsidP="003133F6">
      <w:pPr>
        <w:spacing w:after="0" w:line="276" w:lineRule="auto"/>
        <w:jc w:val="both"/>
        <w:rPr>
          <w:rFonts w:ascii="Verdana" w:eastAsia="Calibri" w:hAnsi="Verdana" w:cs="Arial"/>
          <w:lang w:val="es-ES" w:eastAsia="es-ES"/>
        </w:rPr>
      </w:pPr>
    </w:p>
    <w:p w14:paraId="076C591D" w14:textId="77777777" w:rsidR="003133F6" w:rsidRPr="00436042" w:rsidRDefault="003133F6" w:rsidP="003133F6">
      <w:pPr>
        <w:spacing w:after="0" w:line="240" w:lineRule="auto"/>
        <w:ind w:left="709" w:right="709"/>
        <w:jc w:val="both"/>
        <w:rPr>
          <w:rFonts w:ascii="Verdana" w:eastAsia="Calibri" w:hAnsi="Verdana" w:cs="Arial"/>
          <w:sz w:val="20"/>
          <w:szCs w:val="20"/>
          <w:lang w:val="es-MX"/>
        </w:rPr>
      </w:pPr>
      <w:r w:rsidRPr="00436042">
        <w:rPr>
          <w:rFonts w:ascii="Verdana" w:eastAsia="Calibri" w:hAnsi="Verdana" w:cs="Arial"/>
          <w:sz w:val="20"/>
          <w:szCs w:val="20"/>
          <w:lang w:val="es-MX"/>
        </w:rPr>
        <w:t>“Teniendo en cuenta que la Universidad del Pacífico es una entidad pública sujeta al régimen de autonomía universitaria (Ley 30 de 1992) pero vinculada a los fines del Estado, solicito se me informe de manera detallada:</w:t>
      </w:r>
    </w:p>
    <w:p w14:paraId="62A351E0" w14:textId="77777777" w:rsidR="003133F6" w:rsidRPr="00436042" w:rsidRDefault="003133F6" w:rsidP="003133F6">
      <w:pPr>
        <w:spacing w:after="0" w:line="240" w:lineRule="auto"/>
        <w:ind w:left="709" w:right="709"/>
        <w:jc w:val="both"/>
        <w:rPr>
          <w:rFonts w:ascii="Verdana" w:eastAsia="Calibri" w:hAnsi="Verdana" w:cs="Arial"/>
          <w:sz w:val="20"/>
          <w:szCs w:val="20"/>
          <w:lang w:val="es-MX"/>
        </w:rPr>
      </w:pPr>
    </w:p>
    <w:p w14:paraId="2E88DBE3" w14:textId="77777777" w:rsidR="003133F6" w:rsidRPr="00436042" w:rsidRDefault="003133F6" w:rsidP="003133F6">
      <w:pPr>
        <w:numPr>
          <w:ilvl w:val="0"/>
          <w:numId w:val="2"/>
        </w:numPr>
        <w:spacing w:after="0" w:line="240" w:lineRule="auto"/>
        <w:ind w:right="709"/>
        <w:contextualSpacing/>
        <w:jc w:val="both"/>
        <w:rPr>
          <w:rFonts w:ascii="Verdana" w:eastAsia="Calibri" w:hAnsi="Verdana" w:cs="Arial"/>
          <w:sz w:val="20"/>
          <w:szCs w:val="20"/>
          <w:lang w:val="es-MX"/>
        </w:rPr>
      </w:pPr>
      <w:r w:rsidRPr="00436042">
        <w:rPr>
          <w:rFonts w:ascii="Verdana" w:eastAsia="Calibri" w:hAnsi="Verdana" w:cs="Arial"/>
          <w:sz w:val="20"/>
          <w:szCs w:val="20"/>
          <w:lang w:val="es-MX"/>
        </w:rPr>
        <w:lastRenderedPageBreak/>
        <w:t>Limitaciones al Régimen Privado: Si bien la universidad se rige por su propio Estatuto de Contratación (basado en el derecho privado), ¿qué principios de la Ley 80 de 1993 y la Ley 1150 de 2007 son de obligatorio cumplimiento y, por ende, qué conductas tiene prohibido omitir en sus procesos contractuales?</w:t>
      </w:r>
    </w:p>
    <w:p w14:paraId="53686151" w14:textId="77777777" w:rsidR="003133F6" w:rsidRPr="00436042" w:rsidRDefault="003133F6" w:rsidP="003133F6">
      <w:pPr>
        <w:numPr>
          <w:ilvl w:val="0"/>
          <w:numId w:val="2"/>
        </w:numPr>
        <w:spacing w:after="0" w:line="240" w:lineRule="auto"/>
        <w:ind w:right="709"/>
        <w:contextualSpacing/>
        <w:jc w:val="both"/>
        <w:rPr>
          <w:rFonts w:ascii="Verdana" w:eastAsia="Calibri" w:hAnsi="Verdana" w:cs="Arial"/>
          <w:sz w:val="20"/>
          <w:szCs w:val="20"/>
          <w:lang w:val="es-MX"/>
        </w:rPr>
      </w:pPr>
      <w:r w:rsidRPr="00436042">
        <w:rPr>
          <w:rFonts w:ascii="Verdana" w:eastAsia="Calibri" w:hAnsi="Verdana" w:cs="Arial"/>
          <w:sz w:val="20"/>
          <w:szCs w:val="20"/>
          <w:lang w:val="es-MX"/>
        </w:rPr>
        <w:t>Prohibiciones Expresas: ¿Qué actos contractuales tiene estrictamente prohibido realizar la universidad según el régimen de inhabilidades e incompatibilidades aplicable a los servidores públicos y las entidades estatales?</w:t>
      </w:r>
    </w:p>
    <w:p w14:paraId="666A2FB3" w14:textId="77777777" w:rsidR="003133F6" w:rsidRPr="00436042" w:rsidRDefault="003133F6" w:rsidP="003133F6">
      <w:pPr>
        <w:numPr>
          <w:ilvl w:val="0"/>
          <w:numId w:val="2"/>
        </w:numPr>
        <w:spacing w:after="0" w:line="240" w:lineRule="auto"/>
        <w:ind w:right="709"/>
        <w:contextualSpacing/>
        <w:jc w:val="both"/>
        <w:rPr>
          <w:rFonts w:ascii="Verdana" w:eastAsia="Calibri" w:hAnsi="Verdana" w:cs="Arial"/>
          <w:sz w:val="20"/>
          <w:szCs w:val="20"/>
          <w:lang w:val="es-MX"/>
        </w:rPr>
      </w:pPr>
      <w:r w:rsidRPr="00436042">
        <w:rPr>
          <w:rFonts w:ascii="Verdana" w:eastAsia="Calibri" w:hAnsi="Verdana" w:cs="Arial"/>
          <w:sz w:val="20"/>
          <w:szCs w:val="20"/>
          <w:lang w:val="es-MX"/>
        </w:rPr>
        <w:t>Uso de Recursos Públicos: ¿Qué restricciones existen para la Universidad del Pacífico respecto a la suscripción de convenios interadministrativos y la subcontratación de actividades que deben ser ejecutadas directamente por la entidad?</w:t>
      </w:r>
    </w:p>
    <w:p w14:paraId="12B4C69D" w14:textId="77777777" w:rsidR="003133F6" w:rsidRPr="00436042" w:rsidRDefault="003133F6" w:rsidP="003133F6">
      <w:pPr>
        <w:spacing w:before="120" w:after="0" w:line="240" w:lineRule="auto"/>
        <w:ind w:left="709" w:right="709"/>
        <w:jc w:val="both"/>
        <w:rPr>
          <w:rFonts w:ascii="Verdana" w:eastAsia="Calibri" w:hAnsi="Verdana" w:cs="Arial"/>
          <w:sz w:val="20"/>
          <w:szCs w:val="20"/>
          <w:lang w:val="es-MX"/>
        </w:rPr>
      </w:pPr>
      <w:r w:rsidRPr="00436042">
        <w:rPr>
          <w:rFonts w:ascii="Verdana" w:eastAsia="Calibri" w:hAnsi="Verdana" w:cs="Arial"/>
          <w:sz w:val="20"/>
          <w:szCs w:val="20"/>
          <w:lang w:val="es-MX"/>
        </w:rPr>
        <w:t xml:space="preserve">[…]”. [sic] </w:t>
      </w:r>
    </w:p>
    <w:p w14:paraId="3C342DAE" w14:textId="77777777" w:rsidR="003133F6" w:rsidRPr="00436042" w:rsidRDefault="003133F6" w:rsidP="003133F6">
      <w:pPr>
        <w:spacing w:after="0" w:line="276" w:lineRule="auto"/>
        <w:jc w:val="both"/>
        <w:rPr>
          <w:rFonts w:ascii="Verdana" w:eastAsia="Calibri" w:hAnsi="Verdana" w:cs="Arial"/>
          <w:lang w:val="es-ES" w:eastAsia="es-ES"/>
        </w:rPr>
      </w:pPr>
    </w:p>
    <w:p w14:paraId="38C95257" w14:textId="77777777" w:rsidR="003133F6" w:rsidRPr="00436042" w:rsidRDefault="003133F6" w:rsidP="003133F6">
      <w:pPr>
        <w:spacing w:after="120" w:line="276" w:lineRule="auto"/>
        <w:jc w:val="both"/>
        <w:rPr>
          <w:rFonts w:ascii="Verdana" w:eastAsia="Calibri" w:hAnsi="Verdana" w:cs="Arial"/>
          <w:szCs w:val="24"/>
          <w:lang w:val="es-ES_tradnl" w:eastAsia="es-ES_tradnl"/>
        </w:rPr>
      </w:pPr>
      <w:r w:rsidRPr="00436042">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436042">
        <w:rPr>
          <w:rFonts w:ascii="Verdana" w:eastAsia="Calibri" w:hAnsi="Verdana"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E689D30" w14:textId="77777777" w:rsidR="003133F6" w:rsidRPr="00436042" w:rsidRDefault="003133F6" w:rsidP="003133F6">
      <w:pPr>
        <w:spacing w:after="0" w:line="276" w:lineRule="auto"/>
        <w:ind w:firstLine="709"/>
        <w:jc w:val="both"/>
        <w:rPr>
          <w:rFonts w:ascii="Verdana" w:eastAsia="Calibri" w:hAnsi="Verdana" w:cs="Arial"/>
          <w:lang w:val="es-ES" w:eastAsia="es-ES"/>
        </w:rPr>
      </w:pPr>
      <w:r w:rsidRPr="00436042">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señalando</w:t>
      </w:r>
      <w:r w:rsidRPr="00436042">
        <w:rPr>
          <w:rFonts w:ascii="Verdana" w:eastAsia="Calibri" w:hAnsi="Verdana" w:cs="Arial"/>
          <w:lang w:val="es-ES" w:eastAsia="es-ES"/>
        </w:rPr>
        <w:t xml:space="preserve"> </w:t>
      </w:r>
      <w:r>
        <w:rPr>
          <w:rFonts w:ascii="Verdana" w:eastAsia="Calibri" w:hAnsi="Verdana" w:cs="Arial"/>
          <w:lang w:val="es-ES" w:eastAsia="es-ES"/>
        </w:rPr>
        <w:t>alg</w:t>
      </w:r>
      <w:r w:rsidRPr="00436042">
        <w:rPr>
          <w:rFonts w:ascii="Verdana" w:eastAsia="Calibri" w:hAnsi="Verdana" w:cs="Arial"/>
          <w:lang w:val="es-ES" w:eastAsia="es-ES"/>
        </w:rPr>
        <w:t xml:space="preserve">unas consideraciones sobre las normas generales relacionadas con los problemas jurídicos de su consulta. </w:t>
      </w:r>
    </w:p>
    <w:p w14:paraId="2E62FC27" w14:textId="77777777" w:rsidR="003133F6" w:rsidRPr="00436042" w:rsidRDefault="003133F6" w:rsidP="003133F6">
      <w:pPr>
        <w:spacing w:after="0" w:line="276" w:lineRule="auto"/>
        <w:ind w:firstLine="709"/>
        <w:jc w:val="both"/>
        <w:rPr>
          <w:rFonts w:ascii="Verdana" w:eastAsia="Calibri" w:hAnsi="Verdana" w:cs="Arial"/>
          <w:lang w:val="es-ES" w:eastAsia="es-ES"/>
        </w:rPr>
      </w:pPr>
    </w:p>
    <w:p w14:paraId="2670231C" w14:textId="77777777" w:rsidR="003133F6" w:rsidRPr="00436042" w:rsidRDefault="003133F6" w:rsidP="003133F6">
      <w:pPr>
        <w:widowControl w:val="0"/>
        <w:autoSpaceDE w:val="0"/>
        <w:autoSpaceDN w:val="0"/>
        <w:spacing w:after="0" w:line="276" w:lineRule="auto"/>
        <w:ind w:left="360" w:hanging="360"/>
        <w:jc w:val="both"/>
        <w:outlineLvl w:val="0"/>
        <w:rPr>
          <w:rFonts w:ascii="Verdana" w:eastAsia="Arial" w:hAnsi="Verdana" w:cs="Arial"/>
          <w:b/>
          <w:bCs/>
          <w:lang w:val="es-ES"/>
        </w:rPr>
      </w:pPr>
      <w:r w:rsidRPr="00436042">
        <w:rPr>
          <w:rFonts w:ascii="Verdana" w:eastAsia="Arial" w:hAnsi="Verdana" w:cs="Arial"/>
          <w:b/>
          <w:bCs/>
          <w:lang w:val="es-ES"/>
        </w:rPr>
        <w:t>1. Problema planteado:</w:t>
      </w:r>
    </w:p>
    <w:p w14:paraId="36FFB2D4" w14:textId="77777777" w:rsidR="003133F6" w:rsidRPr="00436042" w:rsidRDefault="003133F6" w:rsidP="003133F6">
      <w:pPr>
        <w:tabs>
          <w:tab w:val="left" w:pos="426"/>
        </w:tabs>
        <w:spacing w:after="0" w:line="276" w:lineRule="auto"/>
        <w:jc w:val="both"/>
        <w:rPr>
          <w:rFonts w:ascii="Verdana" w:eastAsia="Century Gothic" w:hAnsi="Verdana" w:cs="Century Gothic"/>
          <w:lang w:val="es-ES"/>
        </w:rPr>
      </w:pPr>
    </w:p>
    <w:p w14:paraId="0A7C37B3" w14:textId="77777777" w:rsidR="003133F6" w:rsidRPr="00436042" w:rsidRDefault="003133F6" w:rsidP="003133F6">
      <w:pPr>
        <w:spacing w:after="0" w:line="276" w:lineRule="auto"/>
        <w:jc w:val="both"/>
        <w:rPr>
          <w:rFonts w:ascii="Verdana" w:eastAsia="Century Gothic" w:hAnsi="Verdana" w:cs="Century Gothic"/>
        </w:rPr>
      </w:pPr>
      <w:r w:rsidRPr="00436042">
        <w:rPr>
          <w:rFonts w:ascii="Verdana" w:eastAsia="Century Gothic" w:hAnsi="Verdana" w:cs="Century Gothic"/>
        </w:rPr>
        <w:lastRenderedPageBreak/>
        <w:t xml:space="preserve">De acuerdo con el contenido de su solicitud, le informamos que la misma se resolverá desde los siguientes </w:t>
      </w:r>
      <w:bookmarkStart w:id="1" w:name="_Hlk171070029"/>
      <w:r w:rsidRPr="00436042">
        <w:rPr>
          <w:rFonts w:ascii="Verdana" w:eastAsia="Century Gothic" w:hAnsi="Verdana" w:cs="Century Gothic"/>
        </w:rPr>
        <w:t xml:space="preserve">interrogantes: i) ¿Qué disposiciones del Sistema de Compra y Contratación Pública deben observar las universidades públicas?; </w:t>
      </w:r>
      <w:proofErr w:type="spellStart"/>
      <w:r w:rsidRPr="00436042">
        <w:rPr>
          <w:rFonts w:ascii="Verdana" w:eastAsia="Century Gothic" w:hAnsi="Verdana" w:cs="Century Gothic"/>
        </w:rPr>
        <w:t>ii</w:t>
      </w:r>
      <w:proofErr w:type="spellEnd"/>
      <w:r w:rsidRPr="00436042">
        <w:rPr>
          <w:rFonts w:ascii="Verdana" w:eastAsia="Century Gothic" w:hAnsi="Verdana" w:cs="Century Gothic"/>
        </w:rPr>
        <w:t xml:space="preserve">) ¿Qué aspectos no pueden regular las universidades públicas en sus manuales de contratación? y, </w:t>
      </w:r>
      <w:proofErr w:type="spellStart"/>
      <w:r w:rsidRPr="00436042">
        <w:rPr>
          <w:rFonts w:ascii="Verdana" w:eastAsia="Century Gothic" w:hAnsi="Verdana" w:cs="Century Gothic"/>
        </w:rPr>
        <w:t>iii</w:t>
      </w:r>
      <w:proofErr w:type="spellEnd"/>
      <w:r w:rsidRPr="00436042">
        <w:rPr>
          <w:rFonts w:ascii="Verdana" w:eastAsia="Century Gothic" w:hAnsi="Verdana" w:cs="Century Gothic"/>
        </w:rPr>
        <w:t>) ¿A qué método de interpretación pueden acudir las universidades públicas</w:t>
      </w:r>
      <w:r w:rsidRPr="00436042">
        <w:rPr>
          <w:rFonts w:ascii="Verdana" w:eastAsia="Calibri" w:hAnsi="Verdana" w:cs="Arial"/>
          <w:color w:val="000000"/>
          <w:lang w:val="es-ES_tradnl"/>
        </w:rPr>
        <w:t>, cuando presenten vacíos normativos o ausencia de regulación de ciertos temas en sus manuales de contratación?</w:t>
      </w:r>
    </w:p>
    <w:p w14:paraId="5A7188D8" w14:textId="77777777" w:rsidR="003133F6" w:rsidRPr="00436042" w:rsidRDefault="003133F6" w:rsidP="003133F6">
      <w:pPr>
        <w:spacing w:after="0" w:line="276" w:lineRule="auto"/>
        <w:jc w:val="both"/>
        <w:rPr>
          <w:rFonts w:ascii="Verdana" w:eastAsia="Calibri" w:hAnsi="Verdana" w:cs="Arial"/>
          <w:lang w:val="es-ES"/>
        </w:rPr>
      </w:pPr>
    </w:p>
    <w:bookmarkEnd w:id="1"/>
    <w:p w14:paraId="509BB6DC" w14:textId="77777777" w:rsidR="003133F6" w:rsidRPr="00436042" w:rsidRDefault="003133F6" w:rsidP="003133F6">
      <w:pPr>
        <w:widowControl w:val="0"/>
        <w:autoSpaceDE w:val="0"/>
        <w:autoSpaceDN w:val="0"/>
        <w:spacing w:after="0" w:line="276" w:lineRule="auto"/>
        <w:jc w:val="both"/>
        <w:outlineLvl w:val="0"/>
        <w:rPr>
          <w:rFonts w:ascii="Verdana" w:eastAsia="Arial" w:hAnsi="Verdana" w:cs="Arial"/>
          <w:b/>
          <w:bCs/>
          <w:lang w:val="es-ES"/>
        </w:rPr>
      </w:pPr>
      <w:r w:rsidRPr="00436042">
        <w:rPr>
          <w:rFonts w:ascii="Verdana" w:eastAsia="Arial" w:hAnsi="Verdana" w:cs="Arial"/>
          <w:b/>
          <w:bCs/>
          <w:lang w:val="es-ES"/>
        </w:rPr>
        <w:t>2. Respuesta:</w:t>
      </w:r>
    </w:p>
    <w:p w14:paraId="00C30173" w14:textId="77777777" w:rsidR="003133F6" w:rsidRPr="00436042" w:rsidRDefault="003133F6" w:rsidP="003133F6">
      <w:pPr>
        <w:spacing w:after="0" w:line="276" w:lineRule="auto"/>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133F6" w:rsidRPr="00436042" w14:paraId="779DD6EB" w14:textId="77777777" w:rsidTr="003B4AE3">
        <w:tc>
          <w:tcPr>
            <w:tcW w:w="8828" w:type="dxa"/>
          </w:tcPr>
          <w:p w14:paraId="541B3EFD" w14:textId="77777777" w:rsidR="003133F6" w:rsidRPr="00436042" w:rsidRDefault="003133F6" w:rsidP="003B4AE3">
            <w:pPr>
              <w:spacing w:before="120" w:line="276" w:lineRule="auto"/>
              <w:jc w:val="both"/>
              <w:rPr>
                <w:rFonts w:ascii="Verdana" w:eastAsia="Calibri" w:hAnsi="Verdana" w:cs="Arial"/>
                <w:lang w:val="es-ES"/>
              </w:rPr>
            </w:pPr>
            <w:bookmarkStart w:id="2" w:name="_Hlk171067516"/>
            <w:r w:rsidRPr="00436042">
              <w:rPr>
                <w:rFonts w:ascii="Verdana" w:eastAsia="Calibri" w:hAnsi="Verdana" w:cs="Arial"/>
                <w:lang w:val="es-ES"/>
              </w:rPr>
              <w:t>i) Inicialmente debe precisarse, que al regirse los procesos de contratación que adelanten las universidades públicas por el derecho privado, según lo condicionado en el artículo 93 de la Ley 30 de 1993, en el respectivo manual de contratación, estas desarrollarán las formas en la que adelantarán sus gestiones contractuales y garantizarán el cumplimiento de los principios de la función pública, el control fiscal y los principios rectores de la contratación estatal. De igual forma, tendrán la obligación tanto de indicar el contenido de las propuestas y los procedimientos de selección, como de realizar una descripción precisa del procedimiento, los plazos de las etapas y los criterios de evaluación y desempate, así como todos los criterios necesarios para garantizar la selección objetiva y la protección del interés general. Lo anterior, sin perjuicio de que algunas de estas reglas se establezcan, complementen o detallen en los documentos que se expidan en desarrollo de sus procedimientos contractuales.</w:t>
            </w:r>
          </w:p>
          <w:p w14:paraId="344C622E" w14:textId="77777777" w:rsidR="003133F6" w:rsidRPr="00436042" w:rsidRDefault="003133F6" w:rsidP="003B4AE3">
            <w:pPr>
              <w:spacing w:before="120" w:line="276" w:lineRule="auto"/>
              <w:ind w:firstLine="709"/>
              <w:jc w:val="both"/>
              <w:rPr>
                <w:rFonts w:ascii="Verdana" w:eastAsia="Calibri" w:hAnsi="Verdana" w:cs="Arial"/>
                <w:lang w:val="es-ES"/>
              </w:rPr>
            </w:pPr>
            <w:r w:rsidRPr="00436042">
              <w:rPr>
                <w:rFonts w:ascii="Verdana" w:eastAsia="Calibri" w:hAnsi="Verdana" w:cs="Arial"/>
                <w:lang w:val="es-ES"/>
              </w:rPr>
              <w:t xml:space="preserve">En ese sentido, deberán cumplir unas obligaciones transversales al Sistema de Compra y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 </w:t>
            </w:r>
          </w:p>
          <w:p w14:paraId="715F3DB9" w14:textId="77777777" w:rsidR="003133F6" w:rsidRPr="00436042" w:rsidRDefault="003133F6" w:rsidP="003B4AE3">
            <w:pPr>
              <w:spacing w:before="120" w:line="276" w:lineRule="auto"/>
              <w:ind w:firstLine="709"/>
              <w:jc w:val="both"/>
              <w:rPr>
                <w:rFonts w:ascii="Verdana" w:eastAsia="Calibri" w:hAnsi="Verdana" w:cs="Arial"/>
                <w:lang w:val="es-ES"/>
              </w:rPr>
            </w:pPr>
            <w:r w:rsidRPr="00436042">
              <w:rPr>
                <w:rFonts w:ascii="Verdana" w:eastAsia="Calibri" w:hAnsi="Verdana" w:cs="Arial"/>
                <w:lang w:val="es-ES"/>
              </w:rPr>
              <w:t xml:space="preserve">Sin embargo, sobre esta última obligación, resulta a bien aclarar que, al encontrarse actualmente vigente la restricción contractual dispuesta en el </w:t>
            </w:r>
            <w:r w:rsidRPr="00436042">
              <w:rPr>
                <w:rFonts w:ascii="Verdana" w:eastAsia="Calibri" w:hAnsi="Verdana" w:cs="Arial"/>
                <w:lang w:val="es-ES"/>
              </w:rPr>
              <w:lastRenderedPageBreak/>
              <w:t>artículo 33 de la referida ley, tal y como lo indicó esta Agencia en la “Guía para la Gestión Contractual de Entidades Estatales con Régimen Especial”, “[…] todos los entes del Estado no podrán contratar de manera directa durante los cuatro (4) meses anteriores a la elección presidencial, hasta la realización de la segunda vuelta si fuere el caso, esto incluye tanto a las entidades públicas sometidas al Estatuto General de Contratación de la Administración Pública, como aquellas entidades exceptuadas de la aplicación de ese régimen contractual[…]”. Estos temas, fueron desarrollados por esta Agencia en la referida guía.</w:t>
            </w:r>
          </w:p>
          <w:p w14:paraId="6DCFD931" w14:textId="77777777" w:rsidR="003133F6" w:rsidRPr="00436042" w:rsidRDefault="003133F6" w:rsidP="003B4AE3">
            <w:pPr>
              <w:spacing w:line="276" w:lineRule="auto"/>
              <w:ind w:firstLine="709"/>
              <w:jc w:val="both"/>
              <w:rPr>
                <w:rFonts w:ascii="Verdana" w:eastAsia="Calibri" w:hAnsi="Verdana" w:cs="Arial"/>
                <w:lang w:val="es-ES"/>
              </w:rPr>
            </w:pPr>
          </w:p>
          <w:p w14:paraId="59CC17B9" w14:textId="77777777" w:rsidR="003133F6" w:rsidRPr="00436042" w:rsidRDefault="003133F6" w:rsidP="003B4AE3">
            <w:pPr>
              <w:spacing w:line="276" w:lineRule="auto"/>
              <w:jc w:val="both"/>
              <w:rPr>
                <w:rFonts w:ascii="Verdana" w:eastAsia="Calibri" w:hAnsi="Verdana" w:cs="Arial"/>
                <w:lang w:val="es-ES"/>
              </w:rPr>
            </w:pPr>
            <w:proofErr w:type="spellStart"/>
            <w:r w:rsidRPr="00436042">
              <w:rPr>
                <w:rFonts w:ascii="Verdana" w:eastAsia="Calibri" w:hAnsi="Verdana" w:cs="Arial"/>
                <w:lang w:val="es-ES"/>
              </w:rPr>
              <w:t>ii</w:t>
            </w:r>
            <w:proofErr w:type="spellEnd"/>
            <w:r w:rsidRPr="00436042">
              <w:rPr>
                <w:rFonts w:ascii="Verdana" w:eastAsia="Calibri" w:hAnsi="Verdana" w:cs="Arial"/>
                <w:lang w:val="es-ES"/>
              </w:rPr>
              <w:t xml:space="preserve">) En lo concerniente a este aspecto, es importante precisar que la libertad reglamentaria de la actividad contractual a través de los manuales de contratación, no es absoluta, toda vez que, las entidades con un régimen especial, como es el caso de las universidades estatales, deben hacerlo respetado la reserva legal de la que gozan ciertas materias. En tal sentido, asuntos como: i) los requisitos de existencia y validez del contrato, </w:t>
            </w:r>
            <w:proofErr w:type="spellStart"/>
            <w:r w:rsidRPr="00436042">
              <w:rPr>
                <w:rFonts w:ascii="Verdana" w:eastAsia="Calibri" w:hAnsi="Verdana" w:cs="Arial"/>
                <w:lang w:val="es-ES"/>
              </w:rPr>
              <w:t>ii</w:t>
            </w:r>
            <w:proofErr w:type="spellEnd"/>
            <w:r w:rsidRPr="00436042">
              <w:rPr>
                <w:rFonts w:ascii="Verdana" w:eastAsia="Calibri" w:hAnsi="Verdana" w:cs="Arial"/>
                <w:lang w:val="es-ES"/>
              </w:rPr>
              <w:t xml:space="preserve">) causales de inhabilidad e incompatibilidad, </w:t>
            </w:r>
            <w:proofErr w:type="spellStart"/>
            <w:r w:rsidRPr="00436042">
              <w:rPr>
                <w:rFonts w:ascii="Verdana" w:eastAsia="Calibri" w:hAnsi="Verdana" w:cs="Arial"/>
                <w:lang w:val="es-ES"/>
              </w:rPr>
              <w:t>iii</w:t>
            </w:r>
            <w:proofErr w:type="spellEnd"/>
            <w:r w:rsidRPr="00436042">
              <w:rPr>
                <w:rFonts w:ascii="Verdana" w:eastAsia="Calibri" w:hAnsi="Verdana" w:cs="Arial"/>
                <w:lang w:val="es-ES"/>
              </w:rPr>
              <w:t xml:space="preserve">) el principio de anualidad del gasto, y </w:t>
            </w:r>
            <w:proofErr w:type="spellStart"/>
            <w:r w:rsidRPr="00436042">
              <w:rPr>
                <w:rFonts w:ascii="Verdana" w:eastAsia="Calibri" w:hAnsi="Verdana" w:cs="Arial"/>
                <w:lang w:val="es-ES"/>
              </w:rPr>
              <w:t>iv</w:t>
            </w:r>
            <w:proofErr w:type="spellEnd"/>
            <w:r w:rsidRPr="00436042">
              <w:rPr>
                <w:rFonts w:ascii="Verdana" w:eastAsia="Calibri" w:hAnsi="Verdana" w:cs="Arial"/>
                <w:lang w:val="es-ES"/>
              </w:rPr>
              <w:t>) restricciones al acceso a la administración de justicia para discutir las controversias contractuales, son, entre otros, temas cuya regulación está reservada al legislador y que, por tanto, no pueden reglamentar en su manual de contratación.</w:t>
            </w:r>
          </w:p>
          <w:p w14:paraId="05B6F5D8" w14:textId="77777777" w:rsidR="003133F6" w:rsidRPr="00436042" w:rsidRDefault="003133F6" w:rsidP="003B4AE3">
            <w:pPr>
              <w:spacing w:line="276" w:lineRule="auto"/>
              <w:ind w:firstLine="709"/>
              <w:jc w:val="both"/>
              <w:rPr>
                <w:rFonts w:ascii="Verdana" w:eastAsia="Calibri" w:hAnsi="Verdana" w:cs="Arial"/>
                <w:lang w:val="es-ES"/>
              </w:rPr>
            </w:pPr>
          </w:p>
          <w:p w14:paraId="57020695" w14:textId="77777777" w:rsidR="003133F6" w:rsidRPr="00436042" w:rsidRDefault="003133F6" w:rsidP="003B4AE3">
            <w:pPr>
              <w:spacing w:after="120" w:line="276" w:lineRule="auto"/>
              <w:jc w:val="both"/>
              <w:rPr>
                <w:rFonts w:ascii="Verdana" w:eastAsia="Calibri" w:hAnsi="Verdana" w:cs="Arial"/>
                <w:highlight w:val="yellow"/>
              </w:rPr>
            </w:pPr>
            <w:proofErr w:type="spellStart"/>
            <w:r w:rsidRPr="00436042">
              <w:rPr>
                <w:rFonts w:ascii="Verdana" w:eastAsia="Calibri" w:hAnsi="Verdana" w:cs="Arial"/>
              </w:rPr>
              <w:t>ii</w:t>
            </w:r>
            <w:proofErr w:type="spellEnd"/>
            <w:r w:rsidRPr="00436042">
              <w:rPr>
                <w:rFonts w:ascii="Verdana" w:eastAsia="Calibri" w:hAnsi="Verdana" w:cs="Arial"/>
              </w:rPr>
              <w:t>) P</w:t>
            </w:r>
            <w:r w:rsidRPr="00436042">
              <w:rPr>
                <w:rFonts w:ascii="Verdana" w:eastAsia="Aptos" w:hAnsi="Verdana" w:cs="Times New Roman"/>
                <w:kern w:val="2"/>
                <w14:ligatures w14:val="standardContextual"/>
              </w:rPr>
              <w:t xml:space="preserve">ara determinar el método interpretativo aplicable para llenar un vacío normativo o de regulación respecto de los manuales de contratación de los entes con un régimen especial de contratación –donde se encuentran las universidades públicas–, se precisa que existen </w:t>
            </w:r>
            <w:r w:rsidRPr="00436042">
              <w:rPr>
                <w:rFonts w:ascii="Verdana" w:eastAsia="Calibri" w:hAnsi="Verdana" w:cs="Arial"/>
                <w:i/>
                <w:color w:val="000000"/>
                <w:lang w:val="es-ES_tradnl"/>
              </w:rPr>
              <w:t>tres</w:t>
            </w:r>
            <w:r w:rsidRPr="00436042">
              <w:rPr>
                <w:rFonts w:ascii="Verdana" w:eastAsia="Calibri" w:hAnsi="Verdana" w:cs="Arial"/>
                <w:color w:val="000000"/>
                <w:lang w:val="es-ES_tradnl"/>
              </w:rPr>
              <w:t xml:space="preserve"> –eventualmente </w:t>
            </w:r>
            <w:r w:rsidRPr="00436042">
              <w:rPr>
                <w:rFonts w:ascii="Verdana" w:eastAsia="Calibri" w:hAnsi="Verdana" w:cs="Arial"/>
                <w:i/>
                <w:iCs/>
                <w:color w:val="000000"/>
                <w:lang w:val="es-ES_tradnl"/>
              </w:rPr>
              <w:t>cuatro</w:t>
            </w:r>
            <w:r w:rsidRPr="00436042">
              <w:rPr>
                <w:rFonts w:ascii="Verdana" w:eastAsia="Calibri" w:hAnsi="Verdana" w:cs="Arial"/>
                <w:color w:val="000000"/>
                <w:lang w:val="es-ES_tradnl"/>
              </w:rPr>
              <w:t xml:space="preserve">– remisiones legales, que deben interpretarse sistemáticamente: i) la que se efectúa hacia el derecho privado la norma legal que constituye el régimen especial de la entidad correspondiente –por ejemplo, el artículo 31 de la Ley 142 de 1994, el artículo 195, numeral 6, de la Ley 100 de 1993, el artículo 93 de la Ley 30 de 1992 o el artículo 19 de la Ley 805 de 2003, por mencionar algunos casos–; </w:t>
            </w:r>
            <w:proofErr w:type="spellStart"/>
            <w:r w:rsidRPr="00436042">
              <w:rPr>
                <w:rFonts w:ascii="Verdana" w:eastAsia="Calibri" w:hAnsi="Verdana" w:cs="Arial"/>
                <w:color w:val="000000"/>
                <w:lang w:val="es-ES_tradnl"/>
              </w:rPr>
              <w:t>ii</w:t>
            </w:r>
            <w:proofErr w:type="spellEnd"/>
            <w:r w:rsidRPr="00436042">
              <w:rPr>
                <w:rFonts w:ascii="Verdana" w:eastAsia="Calibri" w:hAnsi="Verdana" w:cs="Arial"/>
                <w:color w:val="000000"/>
                <w:lang w:val="es-ES_tradnl"/>
              </w:rPr>
              <w:t xml:space="preserve">) la que prevén los artículos 2, 34 y 47 de la Ley 1437 de 2011, los cuales disponen que las normas de la primera parte del Código de Procedimiento Administrativo y de lo Contencioso Administrativo –CPACA– deben aplicarse en ausencia de lo establecido en leyes especiales; y </w:t>
            </w:r>
            <w:proofErr w:type="spellStart"/>
            <w:r w:rsidRPr="00436042">
              <w:rPr>
                <w:rFonts w:ascii="Verdana" w:eastAsia="Calibri" w:hAnsi="Verdana" w:cs="Arial"/>
                <w:color w:val="000000"/>
                <w:lang w:val="es-ES_tradnl"/>
              </w:rPr>
              <w:t>iii</w:t>
            </w:r>
            <w:proofErr w:type="spellEnd"/>
            <w:r w:rsidRPr="00436042">
              <w:rPr>
                <w:rFonts w:ascii="Verdana" w:eastAsia="Calibri" w:hAnsi="Verdana" w:cs="Arial"/>
                <w:color w:val="000000"/>
                <w:lang w:val="es-ES_tradnl"/>
              </w:rPr>
              <w:t xml:space="preserve">) la que establece el artículo 13 de la Ley 1150 de 2007 respecto de la aplicación de </w:t>
            </w:r>
            <w:r w:rsidRPr="00436042">
              <w:rPr>
                <w:rFonts w:ascii="Verdana" w:eastAsia="Calibri" w:hAnsi="Verdana" w:cs="Arial"/>
                <w:color w:val="000000"/>
                <w:lang w:val="es-ES_tradnl"/>
              </w:rPr>
              <w:lastRenderedPageBreak/>
              <w:t xml:space="preserve">los principios de la función administrativa –artículo 209 C.P.– y de la gestión fiscal –artículo 267 C.P.–, así como del régimen de inhabilidades e incompatibilidades previsto para la contratación estatal. </w:t>
            </w:r>
            <w:proofErr w:type="spellStart"/>
            <w:r w:rsidRPr="00436042">
              <w:rPr>
                <w:rFonts w:ascii="Verdana" w:eastAsia="Calibri" w:hAnsi="Verdana" w:cs="Arial"/>
                <w:color w:val="000000"/>
                <w:lang w:val="es-ES_tradnl"/>
              </w:rPr>
              <w:t>iv</w:t>
            </w:r>
            <w:proofErr w:type="spellEnd"/>
            <w:r w:rsidRPr="00436042">
              <w:rPr>
                <w:rFonts w:ascii="Verdana" w:eastAsia="Calibri" w:hAnsi="Verdana" w:cs="Arial"/>
                <w:color w:val="000000"/>
                <w:lang w:val="es-ES_tradnl"/>
              </w:rPr>
              <w:t>) Ahora bien, excepcionalmente a algunas entidades de régimen especial de contratación se les faculta para hacer uso de ciertos contenidos propios de los contratos regidos por el Estatuto General de Contratación de la Administración Pública, caso en el cual, salvo que la norma que atribuya la facultad permita variar dichos contenidos, estos aspectos se regulan por las disposiciones del referido estatuto, sin que la entidad de régimen especial pueda modificar el alcance de dichas facultades.</w:t>
            </w:r>
          </w:p>
          <w:p w14:paraId="03C354EE" w14:textId="77777777" w:rsidR="003133F6" w:rsidRPr="00436042" w:rsidRDefault="003133F6" w:rsidP="003B4AE3">
            <w:pPr>
              <w:spacing w:line="276" w:lineRule="auto"/>
              <w:ind w:firstLine="709"/>
              <w:jc w:val="both"/>
              <w:rPr>
                <w:rFonts w:ascii="Verdana" w:eastAsia="Calibri" w:hAnsi="Verdana" w:cs="Arial"/>
              </w:rPr>
            </w:pPr>
            <w:r w:rsidRPr="00436042">
              <w:rPr>
                <w:rFonts w:ascii="Verdana" w:eastAsia="Calibri" w:hAnsi="Verdana" w:cs="Arial"/>
              </w:rPr>
              <w:t xml:space="preserve">Finalmente debe advertirse que el análisis requerido para resolver problemas específicos en torno a la gestión contractual de las universidades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tc>
      </w:tr>
      <w:bookmarkEnd w:id="2"/>
    </w:tbl>
    <w:p w14:paraId="7D4AF8DE" w14:textId="77777777" w:rsidR="003133F6" w:rsidRPr="00436042" w:rsidRDefault="003133F6" w:rsidP="003133F6">
      <w:pPr>
        <w:widowControl w:val="0"/>
        <w:autoSpaceDE w:val="0"/>
        <w:autoSpaceDN w:val="0"/>
        <w:spacing w:after="0" w:line="276" w:lineRule="auto"/>
        <w:ind w:left="360" w:hanging="360"/>
        <w:outlineLvl w:val="0"/>
        <w:rPr>
          <w:rFonts w:ascii="Verdana" w:eastAsia="Arial" w:hAnsi="Verdana" w:cs="Arial"/>
          <w:b/>
        </w:rPr>
      </w:pPr>
    </w:p>
    <w:p w14:paraId="403A5476" w14:textId="77777777" w:rsidR="003133F6" w:rsidRPr="00436042" w:rsidRDefault="003133F6" w:rsidP="003133F6">
      <w:pPr>
        <w:widowControl w:val="0"/>
        <w:autoSpaceDE w:val="0"/>
        <w:autoSpaceDN w:val="0"/>
        <w:spacing w:after="0" w:line="276" w:lineRule="auto"/>
        <w:ind w:left="360" w:hanging="360"/>
        <w:outlineLvl w:val="0"/>
        <w:rPr>
          <w:rFonts w:ascii="Verdana" w:eastAsia="Arial" w:hAnsi="Verdana" w:cs="Arial"/>
          <w:b/>
          <w:bCs/>
          <w:lang w:val="es-ES"/>
        </w:rPr>
      </w:pPr>
      <w:r w:rsidRPr="00436042">
        <w:rPr>
          <w:rFonts w:ascii="Verdana" w:eastAsia="Arial" w:hAnsi="Verdana" w:cs="Arial"/>
          <w:b/>
          <w:bCs/>
          <w:lang w:val="es-ES"/>
        </w:rPr>
        <w:t>3. Razones de la respuesta</w:t>
      </w:r>
    </w:p>
    <w:p w14:paraId="18C6F76E" w14:textId="77777777" w:rsidR="003133F6" w:rsidRPr="00436042" w:rsidRDefault="003133F6" w:rsidP="003133F6">
      <w:pPr>
        <w:spacing w:after="0" w:line="276" w:lineRule="auto"/>
        <w:jc w:val="both"/>
        <w:rPr>
          <w:rFonts w:ascii="Verdana" w:eastAsia="Calibri" w:hAnsi="Verdana" w:cs="Arial"/>
          <w:lang w:val="es-ES"/>
        </w:rPr>
      </w:pPr>
    </w:p>
    <w:p w14:paraId="240EF228" w14:textId="77777777" w:rsidR="003133F6" w:rsidRPr="00436042" w:rsidRDefault="003133F6" w:rsidP="003133F6">
      <w:pPr>
        <w:spacing w:after="0" w:line="276" w:lineRule="auto"/>
        <w:jc w:val="both"/>
        <w:rPr>
          <w:rFonts w:ascii="Verdana" w:eastAsia="Calibri" w:hAnsi="Verdana" w:cs="Arial"/>
          <w:lang w:val="es-ES"/>
        </w:rPr>
      </w:pPr>
      <w:r w:rsidRPr="00436042">
        <w:rPr>
          <w:rFonts w:ascii="Verdana" w:eastAsia="Calibri" w:hAnsi="Verdana" w:cs="Arial"/>
          <w:lang w:val="es-ES"/>
        </w:rPr>
        <w:t xml:space="preserve">Las respuestas anteriores se sustentan en las siguientes consideraciones: </w:t>
      </w:r>
    </w:p>
    <w:p w14:paraId="6C6CAF09" w14:textId="77777777" w:rsidR="003133F6" w:rsidRPr="00436042" w:rsidRDefault="003133F6" w:rsidP="003133F6">
      <w:pPr>
        <w:spacing w:after="0" w:line="276" w:lineRule="auto"/>
        <w:jc w:val="both"/>
        <w:rPr>
          <w:rFonts w:ascii="Verdana" w:eastAsia="Calibri" w:hAnsi="Verdana" w:cs="Arial"/>
          <w:lang w:val="es-ES"/>
        </w:rPr>
      </w:pPr>
    </w:p>
    <w:p w14:paraId="2083E98D" w14:textId="77777777" w:rsidR="003133F6" w:rsidRPr="00436042" w:rsidRDefault="003133F6" w:rsidP="003133F6">
      <w:pPr>
        <w:spacing w:after="120" w:line="276" w:lineRule="auto"/>
        <w:jc w:val="both"/>
        <w:rPr>
          <w:rFonts w:ascii="Verdana" w:eastAsia="Calibri" w:hAnsi="Verdana" w:cs="Arial"/>
        </w:rPr>
      </w:pPr>
      <w:r w:rsidRPr="00436042">
        <w:rPr>
          <w:rFonts w:ascii="Verdana" w:eastAsia="Calibri" w:hAnsi="Verdana" w:cs="Arial"/>
          <w:lang w:val="es-ES"/>
        </w:rPr>
        <w:t xml:space="preserve">De manera preliminar, debe precisarse que la </w:t>
      </w:r>
      <w:r w:rsidRPr="00436042">
        <w:rPr>
          <w:rFonts w:ascii="Verdana" w:eastAsia="Calibri" w:hAnsi="Verdana" w:cs="Arial"/>
          <w:lang w:val="es-MX" w:eastAsia="x-none"/>
        </w:rPr>
        <w:t>Constitución Política de Colombia</w:t>
      </w:r>
      <w:r>
        <w:rPr>
          <w:rFonts w:ascii="Verdana" w:eastAsia="Calibri" w:hAnsi="Verdana" w:cs="Arial"/>
          <w:lang w:val="es-MX" w:eastAsia="x-none"/>
        </w:rPr>
        <w:t>,</w:t>
      </w:r>
      <w:r w:rsidRPr="00436042">
        <w:rPr>
          <w:rFonts w:ascii="Verdana" w:eastAsia="Calibri" w:hAnsi="Verdana" w:cs="Arial"/>
          <w:lang w:val="es-MX" w:eastAsia="x-none"/>
        </w:rPr>
        <w:t xml:space="preserve"> en su artículo 69, establece, por una parte, una garantía de autonomía para que las universidades establezcan sus directivas y sus estatutos de acuerdo con la ley; y por la otra, la posibilidad de que cuenten con un régimen especial que corresponde dictar al Congreso</w:t>
      </w:r>
      <w:r w:rsidRPr="00436042">
        <w:rPr>
          <w:rFonts w:ascii="Verdana" w:eastAsia="Calibri" w:hAnsi="Verdana" w:cs="Arial"/>
          <w:vertAlign w:val="superscript"/>
        </w:rPr>
        <w:footnoteReference w:id="1"/>
      </w:r>
      <w:r w:rsidRPr="00436042">
        <w:rPr>
          <w:rFonts w:ascii="Verdana" w:eastAsia="Calibri" w:hAnsi="Verdana" w:cs="Arial"/>
          <w:vertAlign w:val="subscript"/>
        </w:rPr>
        <w:t>.</w:t>
      </w:r>
      <w:r w:rsidRPr="00436042">
        <w:rPr>
          <w:rFonts w:ascii="Verdana" w:eastAsia="Calibri" w:hAnsi="Verdana" w:cs="Arial"/>
        </w:rPr>
        <w:t xml:space="preserve"> En desarrollo de lo anterior, se expidió la Ley 30 de</w:t>
      </w:r>
      <w:r>
        <w:rPr>
          <w:rFonts w:ascii="Verdana" w:eastAsia="Calibri" w:hAnsi="Verdana" w:cs="Arial"/>
        </w:rPr>
        <w:t xml:space="preserve"> </w:t>
      </w:r>
      <w:r w:rsidRPr="00436042">
        <w:rPr>
          <w:rFonts w:ascii="Verdana" w:eastAsia="Calibri" w:hAnsi="Verdana" w:cs="Arial"/>
        </w:rPr>
        <w:t xml:space="preserve">1992, mediante la cual se regularon aspectos como la naturaleza jurídica de las universidades estatales y oficiales, la forma de organizarse y el régimen de contratación aplicable. Asimismo, en el artículo 57 ibidem se consignó que el </w:t>
      </w:r>
      <w:r w:rsidRPr="00436042">
        <w:rPr>
          <w:rFonts w:ascii="Verdana" w:eastAsia="Calibri" w:hAnsi="Verdana" w:cs="Arial"/>
        </w:rPr>
        <w:lastRenderedPageBreak/>
        <w:t>carácter especial del régimen de las universidades estatales u oficiales comprende, entre otros aspectos, el régimen de contratación</w:t>
      </w:r>
      <w:r w:rsidRPr="00436042">
        <w:rPr>
          <w:rFonts w:ascii="Verdana" w:eastAsia="Calibri" w:hAnsi="Verdana" w:cs="Arial"/>
          <w:vertAlign w:val="superscript"/>
        </w:rPr>
        <w:footnoteReference w:id="2"/>
      </w:r>
      <w:r w:rsidRPr="00436042">
        <w:rPr>
          <w:rFonts w:ascii="Verdana" w:eastAsia="Calibri" w:hAnsi="Verdana" w:cs="Arial"/>
        </w:rPr>
        <w:t xml:space="preserve">. </w:t>
      </w:r>
    </w:p>
    <w:p w14:paraId="7FA394AB" w14:textId="77777777" w:rsidR="003133F6" w:rsidRPr="00436042" w:rsidRDefault="003133F6" w:rsidP="003133F6">
      <w:pPr>
        <w:tabs>
          <w:tab w:val="left" w:pos="709"/>
        </w:tabs>
        <w:spacing w:before="120" w:after="0" w:line="276" w:lineRule="auto"/>
        <w:jc w:val="both"/>
        <w:rPr>
          <w:rFonts w:ascii="Verdana" w:eastAsia="Calibri" w:hAnsi="Verdana" w:cs="Arial"/>
          <w:lang w:val="es-ES"/>
        </w:rPr>
      </w:pPr>
      <w:r w:rsidRPr="00436042">
        <w:rPr>
          <w:rFonts w:ascii="Verdana" w:eastAsia="Calibri" w:hAnsi="Verdana" w:cs="Arial"/>
          <w:lang w:val="es-ES"/>
        </w:rPr>
        <w:tab/>
      </w:r>
      <w:r w:rsidRPr="00436042">
        <w:rPr>
          <w:rFonts w:ascii="Verdana" w:eastAsia="Calibri" w:hAnsi="Verdana" w:cs="Arial"/>
        </w:rPr>
        <w:t>De otro lado, la Ley 489 de 1998, al desarrollar la estructura y organización de la Administración Pública, establece que los entes universitarios hacen parte integral de esta</w:t>
      </w:r>
      <w:r w:rsidRPr="00436042">
        <w:rPr>
          <w:rFonts w:ascii="Verdana" w:eastAsia="Calibri" w:hAnsi="Verdana" w:cs="Arial"/>
          <w:vertAlign w:val="superscript"/>
        </w:rPr>
        <w:footnoteReference w:id="3"/>
      </w:r>
      <w:r w:rsidRPr="00436042">
        <w:rPr>
          <w:rFonts w:ascii="Verdana" w:eastAsia="Calibri" w:hAnsi="Verdana" w:cs="Arial"/>
        </w:rPr>
        <w:t>, catalogándolos como entidades públicas de carácter autónomo a las que aplica un régimen especial</w:t>
      </w:r>
      <w:r w:rsidRPr="00436042">
        <w:rPr>
          <w:rFonts w:ascii="Verdana" w:eastAsia="Calibri" w:hAnsi="Verdana" w:cs="Times New Roman"/>
          <w:vertAlign w:val="superscript"/>
        </w:rPr>
        <w:footnoteReference w:id="4"/>
      </w:r>
      <w:r w:rsidRPr="00436042">
        <w:rPr>
          <w:rFonts w:ascii="Verdana" w:eastAsia="Calibri" w:hAnsi="Verdana" w:cs="Times New Roman"/>
        </w:rPr>
        <w:t xml:space="preserve">. </w:t>
      </w:r>
      <w:r w:rsidRPr="00436042">
        <w:rPr>
          <w:rFonts w:ascii="Verdana" w:eastAsia="Calibri" w:hAnsi="Verdana" w:cs="Arial"/>
        </w:rPr>
        <w:t>Al respecto, en la Sentencia C-1019 de 2012, la Corte Constitucional señaló:</w:t>
      </w:r>
    </w:p>
    <w:p w14:paraId="418B6B24" w14:textId="77777777" w:rsidR="003133F6" w:rsidRPr="00436042" w:rsidRDefault="003133F6" w:rsidP="003133F6">
      <w:pPr>
        <w:spacing w:after="0" w:line="276" w:lineRule="auto"/>
        <w:jc w:val="both"/>
        <w:rPr>
          <w:rFonts w:ascii="Verdana" w:eastAsia="Calibri" w:hAnsi="Verdana" w:cs="Arial"/>
          <w:lang w:val="es-MX" w:eastAsia="x-none"/>
        </w:rPr>
      </w:pPr>
    </w:p>
    <w:p w14:paraId="1C9A2A35" w14:textId="77777777" w:rsidR="003133F6" w:rsidRDefault="003133F6" w:rsidP="003133F6">
      <w:pPr>
        <w:widowControl w:val="0"/>
        <w:autoSpaceDE w:val="0"/>
        <w:autoSpaceDN w:val="0"/>
        <w:spacing w:after="0" w:line="240" w:lineRule="auto"/>
        <w:ind w:left="709" w:right="709"/>
        <w:jc w:val="both"/>
        <w:rPr>
          <w:rFonts w:ascii="Verdana" w:eastAsia="Arial" w:hAnsi="Verdana" w:cs="Arial"/>
          <w:sz w:val="20"/>
          <w:szCs w:val="20"/>
          <w:lang w:val="es-ES"/>
        </w:rPr>
      </w:pPr>
      <w:r w:rsidRPr="00436042">
        <w:rPr>
          <w:rFonts w:ascii="Verdana" w:eastAsia="Arial" w:hAnsi="Verdana" w:cs="Arial"/>
          <w:sz w:val="20"/>
          <w:szCs w:val="20"/>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436042">
        <w:rPr>
          <w:rFonts w:ascii="Verdana" w:eastAsia="Arial" w:hAnsi="Verdana" w:cs="Arial"/>
          <w:spacing w:val="49"/>
          <w:sz w:val="20"/>
          <w:szCs w:val="20"/>
          <w:lang w:val="es-ES"/>
        </w:rPr>
        <w:t xml:space="preserve"> </w:t>
      </w:r>
      <w:r w:rsidRPr="00436042">
        <w:rPr>
          <w:rFonts w:ascii="Verdana" w:eastAsia="Arial" w:hAnsi="Verdana" w:cs="Arial"/>
          <w:sz w:val="20"/>
          <w:szCs w:val="20"/>
          <w:lang w:val="es-ES"/>
        </w:rPr>
        <w:t>exige el cumplimiento de la obligación de colaboración armónica consagrado en el artículo 113 de la C.P. para el cumplimiento de las funciones del Estado.</w:t>
      </w:r>
    </w:p>
    <w:p w14:paraId="6151FCD5" w14:textId="77777777" w:rsidR="003133F6" w:rsidRPr="00436042" w:rsidRDefault="003133F6" w:rsidP="003133F6">
      <w:pPr>
        <w:widowControl w:val="0"/>
        <w:autoSpaceDE w:val="0"/>
        <w:autoSpaceDN w:val="0"/>
        <w:spacing w:after="0" w:line="240" w:lineRule="auto"/>
        <w:ind w:left="709" w:right="709"/>
        <w:jc w:val="both"/>
        <w:rPr>
          <w:rFonts w:ascii="Verdana" w:eastAsia="Arial" w:hAnsi="Verdana" w:cs="Arial"/>
          <w:sz w:val="20"/>
          <w:szCs w:val="20"/>
          <w:lang w:val="es-ES"/>
        </w:rPr>
      </w:pPr>
    </w:p>
    <w:p w14:paraId="215D5F75" w14:textId="77777777" w:rsidR="003133F6" w:rsidRPr="00436042" w:rsidRDefault="003133F6" w:rsidP="003133F6">
      <w:pPr>
        <w:widowControl w:val="0"/>
        <w:autoSpaceDE w:val="0"/>
        <w:autoSpaceDN w:val="0"/>
        <w:spacing w:after="0" w:line="240" w:lineRule="auto"/>
        <w:ind w:left="709" w:right="709"/>
        <w:jc w:val="both"/>
        <w:rPr>
          <w:rFonts w:ascii="Verdana" w:eastAsia="Arial" w:hAnsi="Verdana" w:cs="Arial"/>
          <w:sz w:val="20"/>
          <w:szCs w:val="20"/>
          <w:lang w:val="es-ES"/>
        </w:rPr>
      </w:pPr>
      <w:r w:rsidRPr="00436042">
        <w:rPr>
          <w:rFonts w:ascii="Verdana" w:eastAsia="Arial" w:hAnsi="Verdana" w:cs="Arial"/>
          <w:sz w:val="20"/>
          <w:szCs w:val="20"/>
          <w:lang w:val="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436042">
        <w:rPr>
          <w:rFonts w:ascii="Verdana" w:eastAsia="Arial" w:hAnsi="Verdana" w:cs="Arial"/>
          <w:sz w:val="20"/>
          <w:szCs w:val="20"/>
          <w:vertAlign w:val="superscript"/>
          <w:lang w:val="es-ES"/>
        </w:rPr>
        <w:footnoteReference w:id="5"/>
      </w:r>
      <w:r w:rsidRPr="00436042">
        <w:rPr>
          <w:rFonts w:ascii="Verdana" w:eastAsia="Arial" w:hAnsi="Verdana" w:cs="Arial"/>
          <w:sz w:val="20"/>
          <w:szCs w:val="20"/>
          <w:lang w:val="es-ES"/>
        </w:rPr>
        <w:t xml:space="preserve">. De esta manera se pretende preservar a las universidades públicas y oficiales, de las injerencias e interferencias </w:t>
      </w:r>
      <w:r w:rsidRPr="00436042">
        <w:rPr>
          <w:rFonts w:ascii="Verdana" w:eastAsia="Arial" w:hAnsi="Verdana" w:cs="Arial"/>
          <w:sz w:val="20"/>
          <w:szCs w:val="20"/>
          <w:lang w:val="es-ES"/>
        </w:rPr>
        <w:lastRenderedPageBreak/>
        <w:t>arbitrarias e indebidas del poder</w:t>
      </w:r>
      <w:r w:rsidRPr="00436042">
        <w:rPr>
          <w:rFonts w:ascii="Verdana" w:eastAsia="Arial" w:hAnsi="Verdana" w:cs="Arial"/>
          <w:spacing w:val="-6"/>
          <w:sz w:val="20"/>
          <w:szCs w:val="20"/>
          <w:lang w:val="es-ES"/>
        </w:rPr>
        <w:t xml:space="preserve"> </w:t>
      </w:r>
      <w:r w:rsidRPr="00436042">
        <w:rPr>
          <w:rFonts w:ascii="Verdana" w:eastAsia="Arial" w:hAnsi="Verdana" w:cs="Arial"/>
          <w:sz w:val="20"/>
          <w:szCs w:val="20"/>
          <w:lang w:val="es-ES"/>
        </w:rPr>
        <w:t>político”</w:t>
      </w:r>
      <w:r w:rsidRPr="00436042">
        <w:rPr>
          <w:rFonts w:ascii="Verdana" w:eastAsia="Arial" w:hAnsi="Verdana" w:cs="Arial"/>
          <w:sz w:val="20"/>
          <w:szCs w:val="20"/>
          <w:vertAlign w:val="superscript"/>
          <w:lang w:val="es-ES"/>
        </w:rPr>
        <w:footnoteReference w:id="6"/>
      </w:r>
      <w:r w:rsidRPr="00436042">
        <w:rPr>
          <w:rFonts w:ascii="Verdana" w:eastAsia="Arial" w:hAnsi="Verdana" w:cs="Arial"/>
          <w:sz w:val="20"/>
          <w:szCs w:val="20"/>
          <w:lang w:val="es-ES"/>
        </w:rPr>
        <w:t>.</w:t>
      </w:r>
    </w:p>
    <w:p w14:paraId="1623CA72" w14:textId="77777777" w:rsidR="003133F6" w:rsidRPr="00436042" w:rsidRDefault="003133F6" w:rsidP="003133F6">
      <w:pPr>
        <w:spacing w:after="0" w:line="276" w:lineRule="auto"/>
        <w:jc w:val="both"/>
        <w:rPr>
          <w:rFonts w:ascii="Verdana" w:eastAsia="Calibri" w:hAnsi="Verdana" w:cs="Arial"/>
          <w:lang w:val="es-MX" w:eastAsia="x-none"/>
        </w:rPr>
      </w:pPr>
    </w:p>
    <w:p w14:paraId="761A4111" w14:textId="77777777" w:rsidR="003133F6" w:rsidRPr="00436042" w:rsidRDefault="003133F6" w:rsidP="003133F6">
      <w:pPr>
        <w:spacing w:after="0" w:line="276" w:lineRule="auto"/>
        <w:ind w:firstLine="708"/>
        <w:jc w:val="both"/>
        <w:rPr>
          <w:rFonts w:ascii="Verdana" w:eastAsia="Calibri" w:hAnsi="Verdana" w:cs="Times New Roman"/>
        </w:rPr>
      </w:pPr>
      <w:r w:rsidRPr="00436042">
        <w:rPr>
          <w:rFonts w:ascii="Verdana" w:eastAsia="Calibri" w:hAnsi="Verdana" w:cs="Arial"/>
          <w:lang w:val="es-MX" w:eastAsia="x-none"/>
        </w:rPr>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sidRPr="00436042">
        <w:rPr>
          <w:rFonts w:ascii="Verdana" w:eastAsia="Calibri" w:hAnsi="Verdana" w:cs="Times New Roman"/>
          <w:vertAlign w:val="superscript"/>
        </w:rPr>
        <w:footnoteReference w:id="7"/>
      </w:r>
      <w:r w:rsidRPr="00436042">
        <w:rPr>
          <w:rFonts w:ascii="Verdana" w:eastAsia="Calibri" w:hAnsi="Verdana" w:cs="Times New Roman"/>
        </w:rPr>
        <w:t>:</w:t>
      </w:r>
    </w:p>
    <w:p w14:paraId="683F1838" w14:textId="77777777" w:rsidR="003133F6" w:rsidRPr="00436042" w:rsidRDefault="003133F6" w:rsidP="003133F6">
      <w:pPr>
        <w:spacing w:after="0" w:line="276" w:lineRule="auto"/>
        <w:jc w:val="both"/>
        <w:rPr>
          <w:rFonts w:ascii="Verdana" w:eastAsia="Calibri" w:hAnsi="Verdana" w:cs="Times New Roman"/>
        </w:rPr>
      </w:pPr>
    </w:p>
    <w:p w14:paraId="5790FDAD" w14:textId="77777777" w:rsidR="003133F6" w:rsidRPr="0075288A" w:rsidRDefault="003133F6" w:rsidP="003133F6">
      <w:pPr>
        <w:widowControl w:val="0"/>
        <w:autoSpaceDE w:val="0"/>
        <w:autoSpaceDN w:val="0"/>
        <w:spacing w:after="0" w:line="240" w:lineRule="auto"/>
        <w:ind w:left="709" w:right="709"/>
        <w:jc w:val="both"/>
        <w:rPr>
          <w:rFonts w:ascii="Verdana" w:eastAsia="Arial" w:hAnsi="Verdana" w:cs="Arial"/>
          <w:sz w:val="20"/>
          <w:szCs w:val="20"/>
          <w:lang w:val="es-ES"/>
        </w:rPr>
      </w:pPr>
      <w:r w:rsidRPr="003B4AE3">
        <w:rPr>
          <w:rFonts w:ascii="Verdana" w:eastAsia="Arial" w:hAnsi="Verdana" w:cs="Arial"/>
          <w:sz w:val="20"/>
          <w:szCs w:val="20"/>
          <w:lang w:val="es-ES"/>
        </w:rPr>
        <w:t>“</w:t>
      </w:r>
      <w:r w:rsidRPr="0075288A">
        <w:rPr>
          <w:rFonts w:ascii="Verdana" w:eastAsia="Arial" w:hAnsi="Verdana" w:cs="Arial"/>
          <w:sz w:val="20"/>
          <w:szCs w:val="20"/>
          <w:lang w:val="es-ES"/>
        </w:rPr>
        <w:t>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7060ADD0" w14:textId="77777777" w:rsidR="003133F6" w:rsidRDefault="003133F6" w:rsidP="003133F6">
      <w:pPr>
        <w:widowControl w:val="0"/>
        <w:autoSpaceDE w:val="0"/>
        <w:autoSpaceDN w:val="0"/>
        <w:spacing w:after="0" w:line="240" w:lineRule="auto"/>
        <w:ind w:left="709" w:right="709"/>
        <w:jc w:val="both"/>
        <w:rPr>
          <w:rFonts w:ascii="Verdana" w:eastAsia="Arial" w:hAnsi="Verdana" w:cs="Arial"/>
          <w:sz w:val="20"/>
          <w:szCs w:val="20"/>
          <w:lang w:val="es-ES"/>
        </w:rPr>
      </w:pPr>
    </w:p>
    <w:p w14:paraId="47F8E7D8" w14:textId="77777777" w:rsidR="003133F6" w:rsidRPr="0075288A" w:rsidRDefault="003133F6" w:rsidP="003133F6">
      <w:pPr>
        <w:widowControl w:val="0"/>
        <w:autoSpaceDE w:val="0"/>
        <w:autoSpaceDN w:val="0"/>
        <w:spacing w:after="0" w:line="240" w:lineRule="auto"/>
        <w:ind w:left="709" w:right="709"/>
        <w:jc w:val="both"/>
        <w:rPr>
          <w:rFonts w:ascii="Verdana" w:eastAsia="Arial" w:hAnsi="Verdana" w:cs="Arial"/>
          <w:sz w:val="20"/>
          <w:szCs w:val="20"/>
          <w:lang w:val="es-ES"/>
        </w:rPr>
      </w:pPr>
      <w:r w:rsidRPr="0075288A">
        <w:rPr>
          <w:rFonts w:ascii="Verdana" w:eastAsia="Arial" w:hAnsi="Verdana" w:cs="Arial"/>
          <w:sz w:val="20"/>
          <w:szCs w:val="20"/>
          <w:lang w:val="es-ES"/>
        </w:rPr>
        <w:t>[…]</w:t>
      </w:r>
    </w:p>
    <w:p w14:paraId="32E316DF" w14:textId="77777777" w:rsidR="003133F6" w:rsidRDefault="003133F6" w:rsidP="003133F6">
      <w:pPr>
        <w:widowControl w:val="0"/>
        <w:autoSpaceDE w:val="0"/>
        <w:autoSpaceDN w:val="0"/>
        <w:spacing w:after="0" w:line="240" w:lineRule="auto"/>
        <w:ind w:left="709" w:right="709"/>
        <w:jc w:val="both"/>
        <w:rPr>
          <w:rFonts w:ascii="Verdana" w:eastAsia="Arial" w:hAnsi="Verdana" w:cs="Arial"/>
          <w:sz w:val="20"/>
          <w:szCs w:val="20"/>
          <w:lang w:val="es-ES"/>
        </w:rPr>
      </w:pPr>
    </w:p>
    <w:p w14:paraId="4CF134D7" w14:textId="77777777" w:rsidR="003133F6" w:rsidRPr="0075288A" w:rsidRDefault="003133F6" w:rsidP="003133F6">
      <w:pPr>
        <w:widowControl w:val="0"/>
        <w:autoSpaceDE w:val="0"/>
        <w:autoSpaceDN w:val="0"/>
        <w:spacing w:after="0" w:line="240" w:lineRule="auto"/>
        <w:ind w:left="709" w:right="709"/>
        <w:jc w:val="both"/>
        <w:rPr>
          <w:rFonts w:ascii="Verdana" w:eastAsia="Arial" w:hAnsi="Verdana" w:cs="Arial"/>
          <w:sz w:val="20"/>
          <w:szCs w:val="20"/>
          <w:lang w:val="es-ES"/>
        </w:rPr>
      </w:pPr>
      <w:r w:rsidRPr="0075288A">
        <w:rPr>
          <w:rFonts w:ascii="Verdana" w:eastAsia="Arial" w:hAnsi="Verdana" w:cs="Arial"/>
          <w:sz w:val="20"/>
          <w:szCs w:val="20"/>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5C84EF0D" w14:textId="77777777" w:rsidR="003133F6" w:rsidRPr="0075288A" w:rsidRDefault="003133F6" w:rsidP="003133F6">
      <w:pPr>
        <w:widowControl w:val="0"/>
        <w:autoSpaceDE w:val="0"/>
        <w:autoSpaceDN w:val="0"/>
        <w:spacing w:after="0" w:line="240" w:lineRule="auto"/>
        <w:ind w:left="709" w:right="709"/>
        <w:jc w:val="both"/>
        <w:rPr>
          <w:rFonts w:ascii="Verdana" w:eastAsia="Arial" w:hAnsi="Verdana" w:cs="Arial"/>
          <w:sz w:val="20"/>
          <w:szCs w:val="20"/>
          <w:lang w:val="es-ES"/>
        </w:rPr>
      </w:pPr>
      <w:r w:rsidRPr="0075288A">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r w:rsidRPr="0075288A">
        <w:rPr>
          <w:rFonts w:ascii="Verdana" w:eastAsia="Arial" w:hAnsi="Verdana" w:cs="Arial"/>
          <w:sz w:val="20"/>
          <w:szCs w:val="20"/>
          <w:vertAlign w:val="superscript"/>
          <w:lang w:val="es-ES"/>
        </w:rPr>
        <w:footnoteReference w:id="8"/>
      </w:r>
      <w:r w:rsidRPr="0075288A">
        <w:rPr>
          <w:rFonts w:ascii="Verdana" w:eastAsia="Arial" w:hAnsi="Verdana" w:cs="Arial"/>
          <w:sz w:val="20"/>
          <w:szCs w:val="20"/>
          <w:lang w:val="es-ES"/>
        </w:rPr>
        <w:t>.</w:t>
      </w:r>
    </w:p>
    <w:p w14:paraId="72D3A27B" w14:textId="77777777" w:rsidR="003133F6" w:rsidRPr="00436042" w:rsidRDefault="003133F6" w:rsidP="003133F6">
      <w:pPr>
        <w:spacing w:after="0" w:line="276" w:lineRule="auto"/>
        <w:jc w:val="both"/>
        <w:rPr>
          <w:rFonts w:ascii="Verdana" w:eastAsia="Calibri" w:hAnsi="Verdana" w:cs="Times New Roman"/>
        </w:rPr>
      </w:pPr>
    </w:p>
    <w:p w14:paraId="3C0D43F1" w14:textId="77777777" w:rsidR="003133F6" w:rsidRPr="00436042" w:rsidRDefault="003133F6" w:rsidP="003133F6">
      <w:pPr>
        <w:spacing w:after="0" w:line="276" w:lineRule="auto"/>
        <w:ind w:firstLine="708"/>
        <w:jc w:val="both"/>
        <w:rPr>
          <w:rFonts w:ascii="Verdana" w:eastAsia="Calibri" w:hAnsi="Verdana" w:cs="Arial"/>
          <w:lang w:val="es-MX" w:eastAsia="x-none"/>
        </w:rPr>
      </w:pPr>
      <w:r w:rsidRPr="00436042">
        <w:rPr>
          <w:rFonts w:ascii="Verdana" w:eastAsia="Calibri" w:hAnsi="Verdana" w:cs="Times New Roman"/>
        </w:rPr>
        <w:t>De este modo,</w:t>
      </w:r>
      <w:r w:rsidRPr="00436042">
        <w:rPr>
          <w:rFonts w:ascii="Verdana" w:eastAsia="Calibri" w:hAnsi="Verdana" w:cs="Arial"/>
          <w:lang w:val="es-MX" w:eastAsia="x-none"/>
        </w:rPr>
        <w:t xml:space="preserve"> la diferenciación entre universidades públicas y entidades descentralizadas radica, entre otras cosas, en la autonomía de la que aquellas gozan. Esto, en la medida en que a las universidades públicas no les aplica un elemento característico de la descentralización denominado control de tutela, sobre el cual, en Sentencia C-727 del 21 de junio de 2000, la Corte Constitucional señaló:</w:t>
      </w:r>
    </w:p>
    <w:p w14:paraId="63F446BF" w14:textId="77777777" w:rsidR="003133F6" w:rsidRPr="00436042" w:rsidRDefault="003133F6" w:rsidP="003133F6">
      <w:pPr>
        <w:spacing w:after="0" w:line="276" w:lineRule="auto"/>
        <w:jc w:val="both"/>
        <w:rPr>
          <w:rFonts w:ascii="Verdana" w:eastAsia="Calibri" w:hAnsi="Verdana" w:cs="Arial"/>
          <w:lang w:val="es-MX" w:eastAsia="x-none"/>
        </w:rPr>
      </w:pPr>
    </w:p>
    <w:p w14:paraId="2D4AF131" w14:textId="77777777" w:rsidR="003133F6" w:rsidRPr="00436042" w:rsidRDefault="003133F6" w:rsidP="003133F6">
      <w:pPr>
        <w:widowControl w:val="0"/>
        <w:autoSpaceDE w:val="0"/>
        <w:autoSpaceDN w:val="0"/>
        <w:spacing w:after="0" w:line="240" w:lineRule="auto"/>
        <w:ind w:left="709" w:right="709"/>
        <w:jc w:val="both"/>
        <w:rPr>
          <w:rFonts w:ascii="Verdana" w:eastAsia="Arial" w:hAnsi="Verdana" w:cs="Arial"/>
          <w:sz w:val="20"/>
          <w:szCs w:val="20"/>
          <w:lang w:val="es-ES"/>
        </w:rPr>
      </w:pPr>
      <w:r w:rsidRPr="00436042">
        <w:rPr>
          <w:rFonts w:ascii="Verdana" w:eastAsia="Arial" w:hAnsi="Verdana" w:cs="Arial"/>
          <w:sz w:val="20"/>
          <w:szCs w:val="20"/>
          <w:lang w:val="es-ES"/>
        </w:rPr>
        <w:t>“La descentralización es una forma de organización administrativa propia de los Estados de forma unitaria, que atenúa la centralización permitiendo la transferencia de competencias a organismos distintos del poder central, que adquieren autonomía en la gestión de las respectivas funciones. No obstante, esta transferencia no implica la ruptura total del vínculo entre el poder central y la entidad descentralizada, sino que, en aras de garantizar el principio de coordinación que gobierna la función administrativa, dicho vínculo permanece vigente a través del llamado control de tutela, existente en nuestra organización administrativa respecto de los entes funcionalmente descentralizados, con definidos perfiles jurídicos, desde la reforma constitucional y administrativa operada en</w:t>
      </w:r>
      <w:r w:rsidRPr="00436042">
        <w:rPr>
          <w:rFonts w:ascii="Verdana" w:eastAsia="Arial" w:hAnsi="Verdana" w:cs="Arial"/>
          <w:spacing w:val="-4"/>
          <w:sz w:val="20"/>
          <w:szCs w:val="20"/>
          <w:lang w:val="es-ES"/>
        </w:rPr>
        <w:t xml:space="preserve"> </w:t>
      </w:r>
      <w:r w:rsidRPr="00436042">
        <w:rPr>
          <w:rFonts w:ascii="Verdana" w:eastAsia="Arial" w:hAnsi="Verdana" w:cs="Arial"/>
          <w:sz w:val="20"/>
          <w:szCs w:val="20"/>
          <w:lang w:val="es-ES"/>
        </w:rPr>
        <w:t>1968”.</w:t>
      </w:r>
    </w:p>
    <w:p w14:paraId="2F13BC8B" w14:textId="77777777" w:rsidR="003133F6" w:rsidRPr="00436042" w:rsidRDefault="003133F6" w:rsidP="003133F6">
      <w:pPr>
        <w:spacing w:after="0" w:line="276" w:lineRule="auto"/>
        <w:jc w:val="both"/>
        <w:rPr>
          <w:rFonts w:ascii="Verdana" w:eastAsia="Calibri" w:hAnsi="Verdana" w:cs="Arial"/>
          <w:lang w:val="es-MX" w:eastAsia="x-none"/>
        </w:rPr>
      </w:pPr>
    </w:p>
    <w:p w14:paraId="2334EEE0" w14:textId="77777777" w:rsidR="003133F6" w:rsidRPr="00436042" w:rsidRDefault="003133F6" w:rsidP="003133F6">
      <w:pPr>
        <w:spacing w:after="0" w:line="276" w:lineRule="auto"/>
        <w:ind w:firstLine="708"/>
        <w:jc w:val="both"/>
        <w:rPr>
          <w:rFonts w:ascii="Verdana" w:eastAsia="Calibri" w:hAnsi="Verdana" w:cs="Arial"/>
          <w:lang w:val="es-MX" w:eastAsia="x-none"/>
        </w:rPr>
      </w:pPr>
      <w:r w:rsidRPr="00436042">
        <w:rPr>
          <w:rFonts w:ascii="Verdana" w:eastAsia="Calibri" w:hAnsi="Verdana" w:cs="Arial"/>
          <w:lang w:val="es-MX" w:eastAsia="x-none"/>
        </w:rPr>
        <w:t xml:space="preserve">En suma,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artículo 93 de la Ley 30 de 1992 estableció </w:t>
      </w:r>
      <w:r w:rsidRPr="00436042">
        <w:rPr>
          <w:rFonts w:ascii="Verdana" w:eastAsia="Calibri" w:hAnsi="Verdana" w:cs="Arial"/>
          <w:i/>
          <w:iCs/>
          <w:lang w:val="es-MX" w:eastAsia="x-none"/>
        </w:rPr>
        <w:t>condicionadamente</w:t>
      </w:r>
      <w:r w:rsidRPr="00436042">
        <w:rPr>
          <w:rFonts w:ascii="Verdana" w:eastAsia="Calibri" w:hAnsi="Verdana" w:cs="Arial"/>
          <w:lang w:val="es-MX" w:eastAsia="x-none"/>
        </w:rPr>
        <w:t xml:space="preserve">, que será el derecho privado, rigiéndose, por ende, por las normas civiles y comerciales, así: </w:t>
      </w:r>
    </w:p>
    <w:p w14:paraId="40BCBAB3" w14:textId="77777777" w:rsidR="003133F6" w:rsidRPr="00436042" w:rsidRDefault="003133F6" w:rsidP="003133F6">
      <w:pPr>
        <w:spacing w:after="0" w:line="276" w:lineRule="auto"/>
        <w:jc w:val="both"/>
        <w:rPr>
          <w:rFonts w:ascii="Verdana" w:eastAsia="Calibri" w:hAnsi="Verdana" w:cs="Arial"/>
          <w:lang w:val="es-MX" w:eastAsia="x-none"/>
        </w:rPr>
      </w:pPr>
    </w:p>
    <w:p w14:paraId="23534F21" w14:textId="77777777" w:rsidR="003133F6" w:rsidRDefault="003133F6" w:rsidP="003133F6">
      <w:pPr>
        <w:spacing w:after="0" w:line="240" w:lineRule="auto"/>
        <w:ind w:left="709" w:right="709"/>
        <w:jc w:val="both"/>
        <w:rPr>
          <w:rFonts w:ascii="Verdana" w:eastAsia="Calibri" w:hAnsi="Verdana" w:cs="Arial"/>
          <w:sz w:val="20"/>
          <w:szCs w:val="20"/>
          <w:lang w:val="es-MX" w:eastAsia="x-none"/>
        </w:rPr>
      </w:pPr>
      <w:r w:rsidRPr="00436042">
        <w:rPr>
          <w:rFonts w:ascii="Verdana" w:eastAsia="Calibri" w:hAnsi="Verdana" w:cs="Arial"/>
          <w:sz w:val="20"/>
          <w:szCs w:val="20"/>
          <w:lang w:val="es-MX" w:eastAsia="x-none"/>
        </w:rPr>
        <w:t xml:space="preserve">“Artículo 93. Salvo las excepciones consagradas en la presente ley, </w:t>
      </w:r>
      <w:r w:rsidRPr="00436042">
        <w:rPr>
          <w:rFonts w:ascii="Verdana" w:eastAsia="Calibri" w:hAnsi="Verdana" w:cs="Arial"/>
          <w:sz w:val="20"/>
          <w:szCs w:val="20"/>
          <w:u w:val="single"/>
          <w:lang w:val="es-MX" w:eastAsia="x-none"/>
        </w:rPr>
        <w:t>los contratos que para el cumplimiento de sus funciones celebren las universidades estatales u oficiales,</w:t>
      </w:r>
      <w:r w:rsidRPr="00436042">
        <w:rPr>
          <w:rFonts w:ascii="Verdana" w:eastAsia="Calibri" w:hAnsi="Verdana" w:cs="Arial"/>
          <w:sz w:val="20"/>
          <w:szCs w:val="20"/>
          <w:lang w:val="es-MX" w:eastAsia="x-none"/>
        </w:rPr>
        <w:t xml:space="preserve"> </w:t>
      </w:r>
      <w:r w:rsidRPr="00436042">
        <w:rPr>
          <w:rFonts w:ascii="Verdana" w:eastAsia="Calibri" w:hAnsi="Verdana" w:cs="Arial"/>
          <w:i/>
          <w:iCs/>
          <w:sz w:val="20"/>
          <w:szCs w:val="20"/>
          <w:u w:val="single"/>
          <w:lang w:val="es-MX" w:eastAsia="x-none"/>
        </w:rPr>
        <w:t>se regirán por las normas del derecho privado y sus efectos estarán sujetos a las normas civiles y comerciales</w:t>
      </w:r>
      <w:r w:rsidRPr="00436042">
        <w:rPr>
          <w:rFonts w:ascii="Verdana" w:eastAsia="Calibri" w:hAnsi="Verdana" w:cs="Arial"/>
          <w:sz w:val="20"/>
          <w:szCs w:val="20"/>
          <w:lang w:val="es-MX" w:eastAsia="x-none"/>
        </w:rPr>
        <w:t xml:space="preserve">, según la naturaleza de los contratos. </w:t>
      </w:r>
    </w:p>
    <w:p w14:paraId="4E0F6042" w14:textId="77777777" w:rsidR="003133F6" w:rsidRPr="00436042" w:rsidRDefault="003133F6" w:rsidP="003133F6">
      <w:pPr>
        <w:spacing w:after="0" w:line="240" w:lineRule="auto"/>
        <w:ind w:left="709" w:right="709"/>
        <w:jc w:val="both"/>
        <w:rPr>
          <w:rFonts w:ascii="Verdana" w:eastAsia="Calibri" w:hAnsi="Verdana" w:cs="Arial"/>
          <w:sz w:val="20"/>
          <w:szCs w:val="20"/>
          <w:lang w:val="es-MX" w:eastAsia="x-none"/>
        </w:rPr>
      </w:pPr>
    </w:p>
    <w:p w14:paraId="3EEC9174" w14:textId="77777777" w:rsidR="003133F6" w:rsidRPr="00436042" w:rsidRDefault="003133F6" w:rsidP="003133F6">
      <w:pPr>
        <w:spacing w:after="0" w:line="240" w:lineRule="auto"/>
        <w:ind w:left="709" w:right="709"/>
        <w:jc w:val="both"/>
        <w:rPr>
          <w:rFonts w:ascii="Verdana" w:eastAsia="Calibri" w:hAnsi="Verdana" w:cs="Arial"/>
          <w:sz w:val="20"/>
          <w:szCs w:val="20"/>
          <w:lang w:val="es-MX" w:eastAsia="x-none"/>
        </w:rPr>
      </w:pPr>
      <w:r w:rsidRPr="00436042">
        <w:rPr>
          <w:rFonts w:ascii="Verdana" w:eastAsia="Calibri" w:hAnsi="Verdana" w:cs="Arial"/>
          <w:sz w:val="20"/>
          <w:szCs w:val="20"/>
          <w:lang w:val="es-MX" w:eastAsia="x-none"/>
        </w:rPr>
        <w:t>Parágrafo. Se exceptúan de lo anterior los contratos de empréstito, los cuales se someterán a las reglas previstas para ellos por el Decreto 222 de 1983 y demás disposiciones que lo modifiquen, complementen o sustituyan”. [Énfasis fuera de texto]</w:t>
      </w:r>
    </w:p>
    <w:p w14:paraId="1494E1F0" w14:textId="77777777" w:rsidR="003133F6" w:rsidRPr="00436042" w:rsidRDefault="003133F6" w:rsidP="003133F6">
      <w:pPr>
        <w:spacing w:after="0" w:line="276" w:lineRule="auto"/>
        <w:ind w:right="709"/>
        <w:jc w:val="both"/>
        <w:rPr>
          <w:rFonts w:ascii="Verdana" w:eastAsia="Calibri" w:hAnsi="Verdana" w:cs="Arial"/>
          <w:sz w:val="21"/>
          <w:szCs w:val="21"/>
          <w:lang w:val="es-MX" w:eastAsia="x-none"/>
        </w:rPr>
      </w:pPr>
    </w:p>
    <w:p w14:paraId="2EAC8303" w14:textId="77777777" w:rsidR="003133F6" w:rsidRPr="00436042" w:rsidRDefault="003133F6" w:rsidP="003133F6">
      <w:pPr>
        <w:spacing w:after="120" w:line="276" w:lineRule="auto"/>
        <w:ind w:firstLine="708"/>
        <w:jc w:val="both"/>
        <w:rPr>
          <w:rFonts w:ascii="Verdana" w:eastAsia="Calibri" w:hAnsi="Verdana" w:cs="Arial"/>
          <w:lang w:val="es-MX" w:eastAsia="x-none"/>
        </w:rPr>
      </w:pPr>
      <w:r w:rsidRPr="00436042">
        <w:rPr>
          <w:rFonts w:ascii="Verdana" w:eastAsia="Calibri" w:hAnsi="Verdana" w:cs="Arial"/>
          <w:lang w:val="es-MX" w:eastAsia="x-none"/>
        </w:rPr>
        <w:t xml:space="preserve">De lo anterior podría colegirse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Estatuto General de Contratación de la Administración Pública –Ley 80 de 1993, Ley 1150 de 2007, Decreto 1082 de 2015 y demás normas que lo modifiquen o complementen–, estarán sujetas, sin que ello afecte su </w:t>
      </w:r>
      <w:r w:rsidRPr="00436042">
        <w:rPr>
          <w:rFonts w:ascii="Verdana" w:eastAsia="Calibri" w:hAnsi="Verdana" w:cs="Arial"/>
          <w:lang w:val="es-MX" w:eastAsia="x-none"/>
        </w:rPr>
        <w:lastRenderedPageBreak/>
        <w:t>economía, a las reglas y restricciones que dicho estatuto contenga para ese tipo de situaciones</w:t>
      </w:r>
      <w:r w:rsidRPr="00436042">
        <w:rPr>
          <w:rFonts w:ascii="Verdana" w:eastAsia="Calibri" w:hAnsi="Verdana" w:cs="Arial"/>
          <w:vertAlign w:val="superscript"/>
          <w:lang w:val="es-MX" w:eastAsia="x-none"/>
        </w:rPr>
        <w:footnoteReference w:id="9"/>
      </w:r>
      <w:r w:rsidRPr="00436042">
        <w:rPr>
          <w:rFonts w:ascii="Verdana" w:eastAsia="Calibri" w:hAnsi="Verdana" w:cs="Arial"/>
          <w:lang w:val="es-MX" w:eastAsia="x-none"/>
        </w:rPr>
        <w:t>.</w:t>
      </w:r>
    </w:p>
    <w:p w14:paraId="2B2AE73A" w14:textId="77777777" w:rsidR="003133F6" w:rsidRPr="00436042" w:rsidRDefault="003133F6" w:rsidP="003133F6">
      <w:pPr>
        <w:tabs>
          <w:tab w:val="left" w:pos="709"/>
        </w:tabs>
        <w:spacing w:after="120" w:line="276" w:lineRule="auto"/>
        <w:jc w:val="both"/>
        <w:rPr>
          <w:rFonts w:ascii="Verdana" w:eastAsia="Calibri" w:hAnsi="Verdana" w:cs="Arial"/>
          <w:lang w:val="es-ES"/>
        </w:rPr>
      </w:pPr>
      <w:r w:rsidRPr="00436042">
        <w:rPr>
          <w:rFonts w:ascii="Verdana" w:eastAsia="Calibri" w:hAnsi="Verdana" w:cs="Arial"/>
          <w:lang w:val="es-ES"/>
        </w:rPr>
        <w:tab/>
        <w:t>Ahora bien, en el respectivo manual de contratación, las universidades públicas desarrollarán las formas en la que adelantarán sus gestiones contractuales y garantizarán el cumplimiento de los principios de la función pública, el control fiscal y los principios rectores de la contratación estatal. De igual forma, tendrán la obligación tanto de indicar el contenido de las propuestas y los procedimientos de selección, como de realizar una descripción precisa del procedimiento, los plazos de las etapas y los criterios de evaluación y desempate, así como todos los criterios necesarios para garantizar la selección objetiva y la protección del interés general. Lo anterior, sin perjuicio de que algunas de estas reglas se establezcan, complementen o detallen en los documentos que se expidan en desarrollo de sus procedimientos contractuales.</w:t>
      </w:r>
    </w:p>
    <w:p w14:paraId="27F56D72" w14:textId="77777777" w:rsidR="003133F6" w:rsidRPr="00436042" w:rsidRDefault="003133F6" w:rsidP="003133F6">
      <w:pPr>
        <w:spacing w:after="120" w:line="276" w:lineRule="auto"/>
        <w:ind w:firstLine="709"/>
        <w:jc w:val="both"/>
        <w:rPr>
          <w:rFonts w:ascii="Verdana" w:eastAsia="Calibri" w:hAnsi="Verdana" w:cs="Arial"/>
          <w:lang w:val="es-ES"/>
        </w:rPr>
      </w:pPr>
      <w:r w:rsidRPr="00436042">
        <w:rPr>
          <w:rFonts w:ascii="Verdana" w:eastAsia="Calibri" w:hAnsi="Verdana" w:cs="Arial"/>
          <w:lang w:val="es-ES"/>
        </w:rPr>
        <w:t xml:space="preserve">En ese sentido, deberán cumplir unas obligaciones transversales al Sistema de Compra y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 </w:t>
      </w:r>
    </w:p>
    <w:p w14:paraId="0D746BEF" w14:textId="77777777" w:rsidR="003133F6" w:rsidRPr="00436042" w:rsidRDefault="003133F6" w:rsidP="003133F6">
      <w:pPr>
        <w:spacing w:after="120" w:line="276" w:lineRule="auto"/>
        <w:ind w:firstLine="709"/>
        <w:jc w:val="both"/>
        <w:rPr>
          <w:rFonts w:ascii="Verdana" w:eastAsia="Calibri" w:hAnsi="Verdana" w:cs="Arial"/>
          <w:lang w:val="es-ES"/>
        </w:rPr>
      </w:pPr>
      <w:r w:rsidRPr="00436042">
        <w:rPr>
          <w:rFonts w:ascii="Verdana" w:eastAsia="Calibri" w:hAnsi="Verdana" w:cs="Arial"/>
          <w:lang w:val="es-ES"/>
        </w:rPr>
        <w:t>Sin embargo, sobre esta última obligación, resulta a bien aclarar que, al encontrarse actualmente vigente la restricción contractual dispuesta en el artículo 33 de la referida ley, tal y como lo indicó esta Agencia en la “Guía para la Gestión Contractual de Entidades Estatales con Régimen Especial”, “[…] todos los entes del Estado no podrán contratar de manera directa durante los cuatro (4) meses anteriores a la elección presidencial, hasta la realización de la segunda vuelta si fuere el caso, esto incluye tanto a las entidades públicas sometidas al Estatuto General de Contratación de la Administración Pública, como aquellas entidades exceptuadas de la aplicación de ese régimen contractual[…]”. Estos temas, fueron desarrollados por esta Agencia en la referida guía</w:t>
      </w:r>
      <w:r w:rsidRPr="00436042">
        <w:rPr>
          <w:rFonts w:ascii="Verdana" w:eastAsia="Calibri" w:hAnsi="Verdana" w:cs="Arial"/>
          <w:vertAlign w:val="superscript"/>
          <w:lang w:val="es-ES"/>
        </w:rPr>
        <w:footnoteReference w:id="10"/>
      </w:r>
      <w:r w:rsidRPr="00436042">
        <w:rPr>
          <w:rFonts w:ascii="Verdana" w:eastAsia="Calibri" w:hAnsi="Verdana" w:cs="Arial"/>
          <w:lang w:val="es-ES"/>
        </w:rPr>
        <w:t xml:space="preserve">. </w:t>
      </w:r>
    </w:p>
    <w:p w14:paraId="465D682C" w14:textId="77777777" w:rsidR="003133F6" w:rsidRPr="00436042" w:rsidRDefault="003133F6" w:rsidP="003133F6">
      <w:pPr>
        <w:tabs>
          <w:tab w:val="left" w:pos="709"/>
        </w:tabs>
        <w:spacing w:after="120" w:line="276" w:lineRule="auto"/>
        <w:jc w:val="both"/>
        <w:rPr>
          <w:rFonts w:ascii="Verdana" w:eastAsia="Calibri" w:hAnsi="Verdana" w:cs="Arial"/>
          <w:color w:val="000000"/>
          <w:lang w:val="es-ES"/>
        </w:rPr>
      </w:pPr>
      <w:r w:rsidRPr="00436042">
        <w:rPr>
          <w:rFonts w:ascii="Verdana" w:eastAsia="Calibri" w:hAnsi="Verdana" w:cs="Arial"/>
          <w:color w:val="000000"/>
          <w:lang w:val="es-ES_tradnl"/>
        </w:rPr>
        <w:lastRenderedPageBreak/>
        <w:tab/>
      </w:r>
      <w:r w:rsidRPr="0CB9E26C">
        <w:rPr>
          <w:rFonts w:ascii="Verdana" w:eastAsia="Calibri" w:hAnsi="Verdana" w:cs="Arial"/>
          <w:color w:val="000000"/>
          <w:lang w:val="es-ES"/>
        </w:rPr>
        <w:t xml:space="preserve">Por otra parte, es importante precisar que la libertad reglamentaria de la actividad contractual a través de los manuales de contratación, no es absoluta, toda vez que, las entidades con un régimen especial deben hacerlo respetado la reserva legal de la que gozan ciertas materias. En tal sentido, asuntos como: i) los requisitos de existencia y validez del contrato, </w:t>
      </w:r>
      <w:proofErr w:type="spellStart"/>
      <w:r w:rsidRPr="0CB9E26C">
        <w:rPr>
          <w:rFonts w:ascii="Verdana" w:eastAsia="Calibri" w:hAnsi="Verdana" w:cs="Arial"/>
          <w:color w:val="000000"/>
          <w:lang w:val="es-ES"/>
        </w:rPr>
        <w:t>ii</w:t>
      </w:r>
      <w:proofErr w:type="spellEnd"/>
      <w:r w:rsidRPr="0CB9E26C">
        <w:rPr>
          <w:rFonts w:ascii="Verdana" w:eastAsia="Calibri" w:hAnsi="Verdana" w:cs="Arial"/>
          <w:color w:val="000000"/>
          <w:lang w:val="es-ES"/>
        </w:rPr>
        <w:t xml:space="preserve">) causales de inhabilidad e incompatibilidad, </w:t>
      </w:r>
      <w:proofErr w:type="spellStart"/>
      <w:r w:rsidRPr="0CB9E26C">
        <w:rPr>
          <w:rFonts w:ascii="Verdana" w:eastAsia="Calibri" w:hAnsi="Verdana" w:cs="Arial"/>
          <w:color w:val="000000"/>
          <w:lang w:val="es-ES"/>
        </w:rPr>
        <w:t>iii</w:t>
      </w:r>
      <w:proofErr w:type="spellEnd"/>
      <w:r w:rsidRPr="0CB9E26C">
        <w:rPr>
          <w:rFonts w:ascii="Verdana" w:eastAsia="Calibri" w:hAnsi="Verdana" w:cs="Arial"/>
          <w:color w:val="000000"/>
          <w:lang w:val="es-ES"/>
        </w:rPr>
        <w:t xml:space="preserve">) el principio de anualidad del gasto, y </w:t>
      </w:r>
      <w:proofErr w:type="spellStart"/>
      <w:r w:rsidRPr="0CB9E26C">
        <w:rPr>
          <w:rFonts w:ascii="Verdana" w:eastAsia="Calibri" w:hAnsi="Verdana" w:cs="Arial"/>
          <w:color w:val="000000"/>
          <w:lang w:val="es-ES"/>
        </w:rPr>
        <w:t>iv</w:t>
      </w:r>
      <w:proofErr w:type="spellEnd"/>
      <w:r w:rsidRPr="0CB9E26C">
        <w:rPr>
          <w:rFonts w:ascii="Verdana" w:eastAsia="Calibri" w:hAnsi="Verdana" w:cs="Arial"/>
          <w:color w:val="000000"/>
          <w:lang w:val="es-ES"/>
        </w:rPr>
        <w:t>) restricciones al acceso a la administración de justicia para discutir las controversias contractuales, son, entre otros, temas cuya regulación está reservada al legislador y que, por tanto, no pueden reglamentar en su manual de contratación</w:t>
      </w:r>
      <w:r w:rsidRPr="0CB9E26C">
        <w:rPr>
          <w:rFonts w:ascii="Verdana" w:eastAsia="Calibri" w:hAnsi="Verdana" w:cs="Arial"/>
          <w:color w:val="000000"/>
          <w:vertAlign w:val="superscript"/>
          <w:lang w:val="es-ES"/>
        </w:rPr>
        <w:footnoteReference w:id="11"/>
      </w:r>
      <w:r w:rsidRPr="0CB9E26C">
        <w:rPr>
          <w:rFonts w:ascii="Verdana" w:eastAsia="Calibri" w:hAnsi="Verdana" w:cs="Arial"/>
          <w:color w:val="000000"/>
          <w:lang w:val="es-ES"/>
        </w:rPr>
        <w:t xml:space="preserve">. </w:t>
      </w:r>
    </w:p>
    <w:p w14:paraId="08722A3E" w14:textId="77777777" w:rsidR="003133F6" w:rsidRPr="00436042" w:rsidRDefault="003133F6" w:rsidP="003133F6">
      <w:pPr>
        <w:spacing w:after="120" w:line="276" w:lineRule="auto"/>
        <w:ind w:firstLine="709"/>
        <w:jc w:val="both"/>
        <w:rPr>
          <w:rFonts w:ascii="Verdana" w:eastAsia="Calibri" w:hAnsi="Verdana" w:cs="Arial"/>
          <w:color w:val="000000"/>
          <w:lang w:val="es-ES"/>
        </w:rPr>
      </w:pPr>
      <w:r w:rsidRPr="0CB9E26C">
        <w:rPr>
          <w:rFonts w:ascii="Verdana" w:eastAsia="Calibri" w:hAnsi="Verdana" w:cs="Arial"/>
          <w:color w:val="000000"/>
          <w:lang w:val="es-ES"/>
        </w:rPr>
        <w:t>En todo caso, se reitera que las reglas establecidas en los manuales o reglamentos internos de contratación son muy importantes, toda vez que las entidades se obligan a cumplir su contenido. Además, tratándose de un acto administrativo, concretamente de un reglamento, le aplican los atributos propios de estos tipos de actos, entre otras cosas, la presunción de legalidad y la regla de inderogabilidad singular del reglamento</w:t>
      </w:r>
      <w:r w:rsidRPr="0CB9E26C">
        <w:rPr>
          <w:rFonts w:ascii="Verdana" w:eastAsia="Calibri" w:hAnsi="Verdana" w:cs="Arial"/>
          <w:color w:val="000000"/>
          <w:vertAlign w:val="superscript"/>
          <w:lang w:val="es-ES"/>
        </w:rPr>
        <w:footnoteReference w:id="12"/>
      </w:r>
      <w:r w:rsidRPr="0CB9E26C">
        <w:rPr>
          <w:rFonts w:ascii="Verdana" w:eastAsia="Calibri" w:hAnsi="Verdana" w:cs="Arial"/>
          <w:color w:val="000000"/>
          <w:lang w:val="es-ES"/>
        </w:rPr>
        <w:t xml:space="preserve">. En tal sentido, su contenido vincula </w:t>
      </w:r>
      <w:r w:rsidRPr="0CB9E26C">
        <w:rPr>
          <w:rFonts w:ascii="Verdana" w:eastAsia="Calibri" w:hAnsi="Verdana" w:cs="Arial"/>
          <w:color w:val="000000"/>
          <w:lang w:val="es-ES"/>
        </w:rPr>
        <w:lastRenderedPageBreak/>
        <w:t>a la propia entidad que lo expidió y no puede desconocerlo a su capricho en casos específicos. Ello sin perjuicio de la posibilidad de expedir un nuevo manual o de modificar el existente.</w:t>
      </w:r>
    </w:p>
    <w:p w14:paraId="1ECB403A" w14:textId="77777777" w:rsidR="003133F6" w:rsidRPr="00436042" w:rsidRDefault="003133F6" w:rsidP="003133F6">
      <w:pPr>
        <w:spacing w:after="120" w:line="276" w:lineRule="auto"/>
        <w:ind w:firstLine="709"/>
        <w:jc w:val="both"/>
        <w:rPr>
          <w:rFonts w:ascii="Verdana" w:eastAsia="Calibri" w:hAnsi="Verdana" w:cs="Arial"/>
          <w:color w:val="000000"/>
          <w:lang w:val="es-ES"/>
        </w:rPr>
      </w:pPr>
      <w:r w:rsidRPr="0CB9E26C">
        <w:rPr>
          <w:rFonts w:ascii="Verdana" w:eastAsia="Calibri" w:hAnsi="Verdana" w:cs="Arial"/>
          <w:color w:val="000000" w:themeColor="text1"/>
          <w:lang w:val="es-ES"/>
        </w:rPr>
        <w:t xml:space="preserve">De otro lado y por resultar conveniente para el tema objeto de consulta, se aclara que para determinar el método interpretativo aplicable para llenar un vacío normativo o de regulación respecto de los manuales de contratación de los entes con un régimen especial de contratación –donde se encuentran las universidades públicas–, se precisa que existen tres –eventualmente cuatro– remisiones legales, que deben interpretarse sistemáticamente: i) la que se efectúa hacia el derecho privado la norma legal que constituye el régimen especial de la entidad correspondiente –por ejemplo, el artículo 31 de la Ley 142 de 1994, el artículo 195, numeral 6, de la Ley 100 de 1993, el artículo 93 de la Ley 30 de 1992 o el artículo 19 de la Ley 805 de 2003, por mencionar algunos casos–; </w:t>
      </w:r>
      <w:proofErr w:type="spellStart"/>
      <w:r w:rsidRPr="0CB9E26C">
        <w:rPr>
          <w:rFonts w:ascii="Verdana" w:eastAsia="Calibri" w:hAnsi="Verdana" w:cs="Arial"/>
          <w:color w:val="000000" w:themeColor="text1"/>
          <w:lang w:val="es-ES"/>
        </w:rPr>
        <w:t>ii</w:t>
      </w:r>
      <w:proofErr w:type="spellEnd"/>
      <w:r w:rsidRPr="0CB9E26C">
        <w:rPr>
          <w:rFonts w:ascii="Verdana" w:eastAsia="Calibri" w:hAnsi="Verdana" w:cs="Arial"/>
          <w:color w:val="000000" w:themeColor="text1"/>
          <w:lang w:val="es-ES"/>
        </w:rPr>
        <w:t xml:space="preserve">) la que prevén los artículos 2, 34 y 47 de la Ley 1437 de 2011, los cuales disponen que las normas de la primera parte del Código de Procedimiento Administrativo y de lo Contencioso Administrativo –CPACA– deben aplicarse en ausencia de lo establecido en leyes especiales; y </w:t>
      </w:r>
      <w:proofErr w:type="spellStart"/>
      <w:r w:rsidRPr="0CB9E26C">
        <w:rPr>
          <w:rFonts w:ascii="Verdana" w:eastAsia="Calibri" w:hAnsi="Verdana" w:cs="Arial"/>
          <w:color w:val="000000" w:themeColor="text1"/>
          <w:lang w:val="es-ES"/>
        </w:rPr>
        <w:t>iii</w:t>
      </w:r>
      <w:proofErr w:type="spellEnd"/>
      <w:r w:rsidRPr="0CB9E26C">
        <w:rPr>
          <w:rFonts w:ascii="Verdana" w:eastAsia="Calibri" w:hAnsi="Verdana" w:cs="Arial"/>
          <w:color w:val="000000" w:themeColor="text1"/>
          <w:lang w:val="es-ES"/>
        </w:rPr>
        <w:t xml:space="preserve">) la que establece el artículo 13 de la Ley 1150 de 2007 respecto de la aplicación de los principios de la función administrativa –artículo 209 C.P.– y de la gestión fiscal –artículo 267 C.P.–, así como del régimen de inhabilidades e incompatibilidades previsto para la contratación estatal. </w:t>
      </w:r>
      <w:proofErr w:type="spellStart"/>
      <w:r w:rsidRPr="0CB9E26C">
        <w:rPr>
          <w:rFonts w:ascii="Verdana" w:eastAsia="Calibri" w:hAnsi="Verdana" w:cs="Arial"/>
          <w:color w:val="000000" w:themeColor="text1"/>
          <w:lang w:val="es-ES"/>
        </w:rPr>
        <w:t>iv</w:t>
      </w:r>
      <w:proofErr w:type="spellEnd"/>
      <w:r w:rsidRPr="0CB9E26C">
        <w:rPr>
          <w:rFonts w:ascii="Verdana" w:eastAsia="Calibri" w:hAnsi="Verdana" w:cs="Arial"/>
          <w:color w:val="000000" w:themeColor="text1"/>
          <w:lang w:val="es-ES"/>
        </w:rPr>
        <w:t>) Ahora bien, excepcionalmente a algunas entidades de régimen especial de contratación se les faculta para hacer uso de ciertos contenidos propios de los contratos regidos por el Estatuto General de Contratación de la Administración Pública, caso en el cual, salvo que la norma que atribuya la facultad permita variar dichos contenidos, estos aspectos se regulan por las disposiciones del referido estatuto, sin que la entidad de régimen especial pueda modificar el alcance de dichas facultades.</w:t>
      </w:r>
    </w:p>
    <w:p w14:paraId="766BB148" w14:textId="77777777" w:rsidR="003133F6" w:rsidRPr="00436042" w:rsidRDefault="003133F6" w:rsidP="003133F6">
      <w:pPr>
        <w:spacing w:after="120" w:line="276" w:lineRule="auto"/>
        <w:ind w:firstLine="709"/>
        <w:jc w:val="both"/>
        <w:rPr>
          <w:rFonts w:ascii="Verdana" w:eastAsia="Calibri" w:hAnsi="Verdana" w:cs="Arial"/>
          <w:color w:val="000000"/>
          <w:lang w:val="es-ES"/>
        </w:rPr>
      </w:pPr>
      <w:r w:rsidRPr="0CB9E26C">
        <w:rPr>
          <w:rFonts w:ascii="Verdana" w:eastAsia="Calibri" w:hAnsi="Verdana" w:cs="Arial"/>
          <w:color w:val="000000"/>
          <w:lang w:val="es-ES"/>
        </w:rPr>
        <w:t>En consecuencia, si el manual de contratación de la entidad de régimen especial no prevé normas –es decir, si tiene vacíos–</w:t>
      </w:r>
      <w:r w:rsidRPr="0CB9E26C">
        <w:rPr>
          <w:rFonts w:ascii="Verdana" w:eastAsia="Calibri" w:hAnsi="Verdana" w:cs="Arial"/>
          <w:color w:val="000000"/>
          <w:vertAlign w:val="superscript"/>
          <w:lang w:val="es-ES"/>
        </w:rPr>
        <w:footnoteReference w:id="13"/>
      </w:r>
      <w:r w:rsidRPr="0CB9E26C">
        <w:rPr>
          <w:rFonts w:ascii="Verdana" w:eastAsia="Calibri" w:hAnsi="Verdana" w:cs="Arial"/>
          <w:color w:val="000000"/>
          <w:lang w:val="es-ES"/>
        </w:rPr>
        <w:t xml:space="preserve"> sobre: i) los elementos de existencia y validez del contrato, </w:t>
      </w:r>
      <w:proofErr w:type="spellStart"/>
      <w:r w:rsidRPr="0CB9E26C">
        <w:rPr>
          <w:rFonts w:ascii="Verdana" w:eastAsia="Calibri" w:hAnsi="Verdana" w:cs="Arial"/>
          <w:color w:val="000000"/>
          <w:lang w:val="es-ES"/>
        </w:rPr>
        <w:t>ii</w:t>
      </w:r>
      <w:proofErr w:type="spellEnd"/>
      <w:r w:rsidRPr="0CB9E26C">
        <w:rPr>
          <w:rFonts w:ascii="Verdana" w:eastAsia="Calibri" w:hAnsi="Verdana" w:cs="Arial"/>
          <w:color w:val="000000"/>
          <w:lang w:val="es-ES"/>
        </w:rPr>
        <w:t xml:space="preserve">) los vicios que pueden generar su anulación, </w:t>
      </w:r>
      <w:proofErr w:type="spellStart"/>
      <w:r w:rsidRPr="0CB9E26C">
        <w:rPr>
          <w:rFonts w:ascii="Verdana" w:eastAsia="Calibri" w:hAnsi="Verdana" w:cs="Arial"/>
          <w:color w:val="000000"/>
          <w:lang w:val="es-ES"/>
        </w:rPr>
        <w:t>iii</w:t>
      </w:r>
      <w:proofErr w:type="spellEnd"/>
      <w:r w:rsidRPr="0CB9E26C">
        <w:rPr>
          <w:rFonts w:ascii="Verdana" w:eastAsia="Calibri" w:hAnsi="Verdana" w:cs="Arial"/>
          <w:color w:val="000000"/>
          <w:lang w:val="es-ES"/>
        </w:rPr>
        <w:t xml:space="preserve">) la tipología de los negocios jurídicos, </w:t>
      </w:r>
      <w:proofErr w:type="spellStart"/>
      <w:r w:rsidRPr="0CB9E26C">
        <w:rPr>
          <w:rFonts w:ascii="Verdana" w:eastAsia="Calibri" w:hAnsi="Verdana" w:cs="Arial"/>
          <w:color w:val="000000"/>
          <w:lang w:val="es-ES"/>
        </w:rPr>
        <w:t>iv</w:t>
      </w:r>
      <w:proofErr w:type="spellEnd"/>
      <w:r w:rsidRPr="0CB9E26C">
        <w:rPr>
          <w:rFonts w:ascii="Verdana" w:eastAsia="Calibri" w:hAnsi="Verdana" w:cs="Arial"/>
          <w:color w:val="000000"/>
          <w:lang w:val="es-ES"/>
        </w:rPr>
        <w:t xml:space="preserve">) los criterios de interpretación de las estipulaciones contractuales, v) el concepto y los requisitos de la oferta, vi) las </w:t>
      </w:r>
      <w:r w:rsidRPr="0CB9E26C">
        <w:rPr>
          <w:rFonts w:ascii="Verdana" w:eastAsia="Calibri" w:hAnsi="Verdana" w:cs="Arial"/>
          <w:color w:val="000000"/>
          <w:lang w:val="es-ES"/>
        </w:rPr>
        <w:lastRenderedPageBreak/>
        <w:t xml:space="preserve">formas de extinción de las obligaciones, </w:t>
      </w:r>
      <w:proofErr w:type="spellStart"/>
      <w:r w:rsidRPr="0CB9E26C">
        <w:rPr>
          <w:rFonts w:ascii="Verdana" w:eastAsia="Calibri" w:hAnsi="Verdana" w:cs="Arial"/>
          <w:color w:val="000000"/>
          <w:lang w:val="es-ES"/>
        </w:rPr>
        <w:t>vii</w:t>
      </w:r>
      <w:proofErr w:type="spellEnd"/>
      <w:r w:rsidRPr="0CB9E26C">
        <w:rPr>
          <w:rFonts w:ascii="Verdana" w:eastAsia="Calibri" w:hAnsi="Verdana" w:cs="Arial"/>
          <w:color w:val="000000"/>
          <w:lang w:val="es-ES"/>
        </w:rPr>
        <w:t>) la responsabilidad contractual, y otras materias similares relacionadas con el régimen sustantivo del contrato, la ausencia de tales disposiciones en el reglamento interno de contratación de la entidad exceptuada debe suplirse con las normas del Código Civil y del Código de Comercio</w:t>
      </w:r>
      <w:r w:rsidRPr="0CB9E26C">
        <w:rPr>
          <w:rFonts w:ascii="Verdana" w:eastAsia="Calibri" w:hAnsi="Verdana" w:cs="Arial"/>
          <w:color w:val="000000"/>
          <w:vertAlign w:val="superscript"/>
          <w:lang w:val="es-ES"/>
        </w:rPr>
        <w:footnoteReference w:id="14"/>
      </w:r>
      <w:r w:rsidRPr="0CB9E26C">
        <w:rPr>
          <w:rFonts w:ascii="Verdana" w:eastAsia="Calibri" w:hAnsi="Verdana" w:cs="Arial"/>
          <w:color w:val="000000"/>
          <w:lang w:val="es-ES"/>
        </w:rPr>
        <w:t>, con la costumbre mercantil</w:t>
      </w:r>
      <w:r w:rsidRPr="0CB9E26C">
        <w:rPr>
          <w:rFonts w:ascii="Verdana" w:eastAsia="Calibri" w:hAnsi="Verdana" w:cs="Arial"/>
          <w:color w:val="000000"/>
          <w:vertAlign w:val="superscript"/>
          <w:lang w:val="es-ES"/>
        </w:rPr>
        <w:footnoteReference w:id="15"/>
      </w:r>
      <w:r w:rsidRPr="0CB9E26C">
        <w:rPr>
          <w:rFonts w:ascii="Verdana" w:eastAsia="Calibri" w:hAnsi="Verdana" w:cs="Arial"/>
          <w:color w:val="000000"/>
          <w:lang w:val="es-ES"/>
        </w:rPr>
        <w:t xml:space="preserve"> y con los principios generales que rigen las relaciones contractuales de los particulares, que ingresan dentro de la categoría de la </w:t>
      </w:r>
      <w:r w:rsidRPr="0CB9E26C">
        <w:rPr>
          <w:rFonts w:ascii="Verdana" w:eastAsia="Calibri" w:hAnsi="Verdana" w:cs="Arial"/>
          <w:i/>
          <w:iCs/>
          <w:color w:val="000000"/>
          <w:lang w:val="es-ES"/>
        </w:rPr>
        <w:t xml:space="preserve">lex </w:t>
      </w:r>
      <w:proofErr w:type="spellStart"/>
      <w:r w:rsidRPr="0CB9E26C">
        <w:rPr>
          <w:rFonts w:ascii="Verdana" w:eastAsia="Calibri" w:hAnsi="Verdana" w:cs="Arial"/>
          <w:i/>
          <w:iCs/>
          <w:color w:val="000000"/>
          <w:lang w:val="es-ES"/>
        </w:rPr>
        <w:t>mercatoria</w:t>
      </w:r>
      <w:proofErr w:type="spellEnd"/>
      <w:r w:rsidRPr="0CB9E26C">
        <w:rPr>
          <w:rFonts w:ascii="Verdana" w:eastAsia="Calibri" w:hAnsi="Verdana" w:cs="Arial"/>
          <w:color w:val="000000"/>
          <w:vertAlign w:val="superscript"/>
          <w:lang w:val="es-ES"/>
        </w:rPr>
        <w:footnoteReference w:id="16"/>
      </w:r>
      <w:r w:rsidRPr="0CB9E26C">
        <w:rPr>
          <w:rFonts w:ascii="Verdana" w:eastAsia="Calibri" w:hAnsi="Verdana" w:cs="Arial"/>
          <w:color w:val="000000"/>
          <w:lang w:val="es-ES"/>
        </w:rPr>
        <w:t>.</w:t>
      </w:r>
    </w:p>
    <w:p w14:paraId="1C7D0A8C" w14:textId="77777777" w:rsidR="003133F6" w:rsidRPr="00436042" w:rsidRDefault="003133F6" w:rsidP="003133F6">
      <w:pPr>
        <w:spacing w:after="120" w:line="276" w:lineRule="auto"/>
        <w:ind w:firstLine="709"/>
        <w:jc w:val="both"/>
        <w:rPr>
          <w:rFonts w:ascii="Verdana" w:eastAsia="Calibri" w:hAnsi="Verdana" w:cs="Arial"/>
          <w:color w:val="000000"/>
          <w:lang w:val="es-ES"/>
        </w:rPr>
      </w:pPr>
      <w:r w:rsidRPr="0CB9E26C">
        <w:rPr>
          <w:rFonts w:ascii="Verdana" w:eastAsia="Calibri" w:hAnsi="Verdana" w:cs="Arial"/>
          <w:color w:val="000000" w:themeColor="text1"/>
          <w:lang w:val="es-ES"/>
        </w:rPr>
        <w:t xml:space="preserve">Por el contrario, si el vacío del manual de contratación tiene que ver con asuntos asociados a los procedimientos administrativos, como: i) la forma de iniciar la actuación administrativa, </w:t>
      </w:r>
      <w:proofErr w:type="spellStart"/>
      <w:r w:rsidRPr="0CB9E26C">
        <w:rPr>
          <w:rFonts w:ascii="Verdana" w:eastAsia="Calibri" w:hAnsi="Verdana" w:cs="Arial"/>
          <w:color w:val="000000" w:themeColor="text1"/>
          <w:lang w:val="es-ES"/>
        </w:rPr>
        <w:t>ii</w:t>
      </w:r>
      <w:proofErr w:type="spellEnd"/>
      <w:r w:rsidRPr="0CB9E26C">
        <w:rPr>
          <w:rFonts w:ascii="Verdana" w:eastAsia="Calibri" w:hAnsi="Verdana" w:cs="Arial"/>
          <w:color w:val="000000" w:themeColor="text1"/>
          <w:lang w:val="es-ES"/>
        </w:rPr>
        <w:t xml:space="preserve">) los derechos y deberes de las entidades y de los particulares en los procedimientos administrativos, </w:t>
      </w:r>
      <w:proofErr w:type="spellStart"/>
      <w:r w:rsidRPr="0CB9E26C">
        <w:rPr>
          <w:rFonts w:ascii="Verdana" w:eastAsia="Calibri" w:hAnsi="Verdana" w:cs="Arial"/>
          <w:color w:val="000000" w:themeColor="text1"/>
          <w:lang w:val="es-ES"/>
        </w:rPr>
        <w:t>iii</w:t>
      </w:r>
      <w:proofErr w:type="spellEnd"/>
      <w:r w:rsidRPr="0CB9E26C">
        <w:rPr>
          <w:rFonts w:ascii="Verdana" w:eastAsia="Calibri" w:hAnsi="Verdana" w:cs="Arial"/>
          <w:color w:val="000000" w:themeColor="text1"/>
          <w:lang w:val="es-ES"/>
        </w:rPr>
        <w:t xml:space="preserve">) el trámite de las peticiones, </w:t>
      </w:r>
      <w:proofErr w:type="spellStart"/>
      <w:r w:rsidRPr="0CB9E26C">
        <w:rPr>
          <w:rFonts w:ascii="Verdana" w:eastAsia="Calibri" w:hAnsi="Verdana" w:cs="Arial"/>
          <w:color w:val="000000" w:themeColor="text1"/>
          <w:lang w:val="es-ES"/>
        </w:rPr>
        <w:t>iv</w:t>
      </w:r>
      <w:proofErr w:type="spellEnd"/>
      <w:r w:rsidRPr="0CB9E26C">
        <w:rPr>
          <w:rFonts w:ascii="Verdana" w:eastAsia="Calibri" w:hAnsi="Verdana" w:cs="Arial"/>
          <w:color w:val="000000" w:themeColor="text1"/>
          <w:lang w:val="es-ES"/>
        </w:rPr>
        <w:t>) la notificación, comunicación o publicación de los actos administrativos, v) la presunción de legalidad, firmeza y ejecutoriedad de los actos administrativos, vi) los recursos contra los actos administrativos, etc. –asuntos que, como se dijo, gozan de reserva de ley–, la entidad de régimen especial debe aplicar el principio de subsidiariedad previsto en los artículos 2, 34 y 47 de la Ley 1437 de 2011, es decir, debe llenar tales lagunas con las normas de la primera parte del Código de Procedimiento Administrativo y de lo Contencioso Administrativo.</w:t>
      </w:r>
    </w:p>
    <w:p w14:paraId="040A6C36" w14:textId="77777777" w:rsidR="003133F6" w:rsidRPr="00436042" w:rsidRDefault="003133F6" w:rsidP="003133F6">
      <w:pPr>
        <w:spacing w:after="120" w:line="276" w:lineRule="auto"/>
        <w:ind w:firstLine="709"/>
        <w:jc w:val="both"/>
        <w:rPr>
          <w:rFonts w:ascii="Verdana" w:eastAsia="Calibri" w:hAnsi="Verdana" w:cs="Arial"/>
          <w:color w:val="000000"/>
          <w:lang w:val="es-ES_tradnl"/>
        </w:rPr>
      </w:pPr>
      <w:r w:rsidRPr="00436042">
        <w:rPr>
          <w:rFonts w:ascii="Verdana" w:eastAsia="Calibri" w:hAnsi="Verdana" w:cs="Arial"/>
          <w:color w:val="000000"/>
          <w:lang w:val="es-ES_tradnl"/>
        </w:rPr>
        <w:t xml:space="preserve">De otro lado, si lo que falta en el manual –precisamente porque está reservado a la ley– son normas que regulen las inhabilidades e incompatibilidades, en este caso sí se debe acudir a las disposiciones que las consagran y que establecen sus consecuencias, tanto en el Estatuto General de Contratación de la Administración Pública, como en leyes complementarias. Por último, si excepcionalmente a la entidad de régimen especial se le habilita o faculta para hacer uso de disposiciones o prerrogativas establecidas en el </w:t>
      </w:r>
      <w:r w:rsidRPr="00436042">
        <w:rPr>
          <w:rFonts w:ascii="Verdana" w:eastAsia="Calibri" w:hAnsi="Verdana" w:cs="Arial"/>
          <w:color w:val="000000"/>
          <w:lang w:val="es-ES_tradnl"/>
        </w:rPr>
        <w:lastRenderedPageBreak/>
        <w:t>referido estatuto, los vacíos respecto a su ejercicio se llenan con las disposiciones allí consagradas.</w:t>
      </w:r>
    </w:p>
    <w:p w14:paraId="1EE614CF" w14:textId="77777777" w:rsidR="003133F6" w:rsidRPr="00436042" w:rsidRDefault="003133F6" w:rsidP="003133F6">
      <w:pPr>
        <w:spacing w:after="120" w:line="276" w:lineRule="auto"/>
        <w:ind w:firstLine="709"/>
        <w:jc w:val="both"/>
        <w:rPr>
          <w:rFonts w:ascii="Verdana" w:eastAsia="Calibri" w:hAnsi="Verdana" w:cs="Arial"/>
          <w:color w:val="000000"/>
          <w:lang w:val="es-ES_tradnl"/>
        </w:rPr>
      </w:pPr>
      <w:r w:rsidRPr="00436042">
        <w:rPr>
          <w:rFonts w:ascii="Verdana" w:eastAsia="Calibri" w:hAnsi="Verdana" w:cs="Arial"/>
          <w:color w:val="000000"/>
          <w:lang w:val="es-ES_tradnl"/>
        </w:rPr>
        <w:t xml:space="preserve">En síntesis, </w:t>
      </w:r>
      <w:bookmarkStart w:id="3" w:name="_Hlk96454556"/>
      <w:r w:rsidRPr="00436042">
        <w:rPr>
          <w:rFonts w:ascii="Verdana" w:eastAsia="Calibri" w:hAnsi="Verdana" w:cs="Arial"/>
          <w:color w:val="000000"/>
          <w:lang w:val="es-ES_tradnl"/>
        </w:rPr>
        <w:t xml:space="preserve">los vacíos de los manuales de contratación de las entidades con régimen especial no siempre se llenan de la misma manera, pues ello depende de las materias sobre las cuales exista ausencia de regulación en dicho reglamento y la ley que crea el régimen especial. En tal sentido, sin perjuicio del deber de cumplir ciertas obligaciones transversales a la contratación pública, los vacíos en los aspectos sustantivos y en la regulación del contrato se deben llenar con las normas civiles y comerciales, según el caso; los que tengan que ver con asuntos relacionados con el procedimiento administrativo se deben integrar con las normas de la primera parte del Código de Procedimiento Administrativo y de lo Contencioso Administrativo; los relacionados con las normas sobre inhabilidades e incompatibilidades, con las disposiciones que las regulen, contenidas bien sea en el Estatuto General de Contratación de la Administración Pública o en leyes complementarias. </w:t>
      </w:r>
    </w:p>
    <w:p w14:paraId="7BB8FDB8" w14:textId="77777777" w:rsidR="003133F6" w:rsidRPr="00436042" w:rsidRDefault="003133F6" w:rsidP="003133F6">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Ahora bien</w:t>
      </w:r>
      <w:r w:rsidRPr="00436042">
        <w:rPr>
          <w:rFonts w:ascii="Verdana" w:eastAsia="Calibri" w:hAnsi="Verdana" w:cs="Arial"/>
          <w:color w:val="000000"/>
          <w:lang w:val="es-ES_tradnl"/>
        </w:rPr>
        <w:t xml:space="preserve">, los vacíos en la definición o alcance de los principios de la función administrativa y de la gestión fiscal –a los que aluden los artículos 209 y 267 de la Constitución– deben llenarse con una interpretación integral de la carta política, así como con la jurisprudencia constitucional que exista sobre la materia, emanada de la Corte Constitucional o del Consejo de Estado –cuando actúe como tribunal constitucional–. </w:t>
      </w:r>
    </w:p>
    <w:bookmarkEnd w:id="3"/>
    <w:p w14:paraId="02EA88B7" w14:textId="77777777" w:rsidR="003133F6" w:rsidRPr="00436042" w:rsidRDefault="003133F6" w:rsidP="003133F6">
      <w:pPr>
        <w:spacing w:after="120" w:line="276" w:lineRule="auto"/>
        <w:ind w:firstLine="708"/>
        <w:jc w:val="both"/>
        <w:rPr>
          <w:rFonts w:ascii="Verdana" w:eastAsia="Calibri" w:hAnsi="Verdana" w:cs="Arial"/>
        </w:rPr>
      </w:pPr>
      <w:r w:rsidRPr="00436042">
        <w:rPr>
          <w:rFonts w:ascii="Verdana" w:eastAsia="Calibri" w:hAnsi="Verdana" w:cs="Arial"/>
        </w:rPr>
        <w:t xml:space="preserve">Finalmente debe advertirse que el análisis requerido para resolver problemas específicos en torno a la gestión contractual de las universidades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7A8B742C" w14:textId="77777777" w:rsidR="003133F6" w:rsidRPr="00436042" w:rsidRDefault="003133F6" w:rsidP="003133F6">
      <w:pPr>
        <w:spacing w:before="120" w:after="0" w:line="276" w:lineRule="auto"/>
        <w:ind w:firstLine="708"/>
        <w:jc w:val="both"/>
        <w:rPr>
          <w:rFonts w:ascii="Verdana" w:eastAsia="Calibri" w:hAnsi="Verdana" w:cs="Arial"/>
        </w:rPr>
      </w:pPr>
      <w:r w:rsidRPr="00436042">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w:t>
      </w:r>
      <w:r w:rsidRPr="00436042">
        <w:rPr>
          <w:rFonts w:ascii="Verdana" w:eastAsia="Calibri" w:hAnsi="Verdana" w:cs="Arial"/>
        </w:rPr>
        <w:lastRenderedPageBreak/>
        <w:t xml:space="preserve">con el principio de juridicidad. Así, cada Entidad definirá la forma de adelantar su gestión contractual, sin que sea atribución de la Agencia Nacional de Contratación Pública - Colombia Compra Eficiente validar sus actuaciones.  </w:t>
      </w:r>
    </w:p>
    <w:p w14:paraId="52F4B5D2" w14:textId="77777777" w:rsidR="003133F6" w:rsidRPr="006E3AB0" w:rsidRDefault="003133F6" w:rsidP="003133F6">
      <w:pPr>
        <w:spacing w:after="0" w:line="276" w:lineRule="auto"/>
        <w:ind w:firstLine="709"/>
        <w:jc w:val="both"/>
        <w:rPr>
          <w:rFonts w:ascii="Verdana" w:eastAsia="Calibri" w:hAnsi="Verdana" w:cs="Arial"/>
        </w:rPr>
      </w:pPr>
    </w:p>
    <w:p w14:paraId="10F0112F" w14:textId="77777777" w:rsidR="003133F6" w:rsidRPr="006E3AB0" w:rsidRDefault="003133F6" w:rsidP="003133F6">
      <w:pPr>
        <w:widowControl w:val="0"/>
        <w:autoSpaceDE w:val="0"/>
        <w:autoSpaceDN w:val="0"/>
        <w:spacing w:after="0" w:line="276" w:lineRule="auto"/>
        <w:outlineLvl w:val="0"/>
        <w:rPr>
          <w:rFonts w:ascii="Verdana" w:eastAsia="Arial" w:hAnsi="Verdana" w:cs="Arial"/>
          <w:b/>
          <w:bCs/>
          <w:lang w:val="es-ES"/>
        </w:rPr>
      </w:pPr>
      <w:r w:rsidRPr="006E3AB0">
        <w:rPr>
          <w:rFonts w:ascii="Verdana" w:eastAsia="Arial" w:hAnsi="Verdana" w:cs="Arial"/>
          <w:b/>
          <w:bCs/>
          <w:lang w:val="es-ES"/>
        </w:rPr>
        <w:t>4.Referencias normativas, jurisprudenciales y otras fuentes:</w:t>
      </w:r>
    </w:p>
    <w:p w14:paraId="64CFEE05" w14:textId="77777777" w:rsidR="003133F6" w:rsidRPr="006E3AB0" w:rsidRDefault="003133F6" w:rsidP="003133F6">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133F6" w:rsidRPr="006E3AB0" w14:paraId="59C81312" w14:textId="77777777" w:rsidTr="003B4AE3">
        <w:trPr>
          <w:trHeight w:val="870"/>
        </w:trPr>
        <w:tc>
          <w:tcPr>
            <w:tcW w:w="8647" w:type="dxa"/>
          </w:tcPr>
          <w:p w14:paraId="17EB2DA1"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Constitución Política: Artículo 69</w:t>
            </w:r>
          </w:p>
          <w:p w14:paraId="34423DF9"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Ley 30 de 1992. Artículo 57 y 93.</w:t>
            </w:r>
          </w:p>
          <w:p w14:paraId="6C50540B"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Ley 489 de 1998. Artículo 39 y 40.</w:t>
            </w:r>
          </w:p>
          <w:p w14:paraId="60B51AFC"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Ley 996 de 2005. Artículo 33 y 38.</w:t>
            </w:r>
          </w:p>
          <w:p w14:paraId="1ED93274"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 xml:space="preserve">Corte Constitucional. Sentencia C-727 del 21 de junio de 2000. </w:t>
            </w:r>
          </w:p>
          <w:p w14:paraId="0D715E1E"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Corte Constitucional. Sentencia C-121 de 2003. M.P. Clara Inés Vargas Hernández.</w:t>
            </w:r>
          </w:p>
          <w:p w14:paraId="51344D6F"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Corte Constitucional. Sentencia C-1019 del 28 de noviembre de 2012.  M.P. Mauricio González.</w:t>
            </w:r>
          </w:p>
          <w:p w14:paraId="5E8B7F6D"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 xml:space="preserve">Consejo de Estado. Sección Cuarta. Sentencia del 16 de diciembre de 2008. </w:t>
            </w:r>
            <w:proofErr w:type="spellStart"/>
            <w:r w:rsidRPr="006E3AB0">
              <w:rPr>
                <w:rFonts w:ascii="Verdana" w:eastAsia="Calibri" w:hAnsi="Verdana" w:cs="Arial"/>
                <w:lang w:val="es-ES"/>
              </w:rPr>
              <w:t>Exp</w:t>
            </w:r>
            <w:proofErr w:type="spellEnd"/>
            <w:r w:rsidRPr="006E3AB0">
              <w:rPr>
                <w:rFonts w:ascii="Verdana" w:eastAsia="Calibri" w:hAnsi="Verdana" w:cs="Arial"/>
                <w:lang w:val="es-ES"/>
              </w:rPr>
              <w:t>. 16.297. C.P. Martha Teresa Briceño de Valencia.</w:t>
            </w:r>
          </w:p>
          <w:p w14:paraId="28A46C37"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Consejo de Estado. Sala de consulta y Servicio Civil. Sentencia del 28 de junio de 2012 con Radicado No. 11001-03-06-000-2012-00016-00(2092), M.P. William Zambrano Cetina.</w:t>
            </w:r>
          </w:p>
          <w:p w14:paraId="46D837DF"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 xml:space="preserve">Consejo de Estado. Sección Tercera. Subsección C. Sentencia del 8 de abril de 2014. </w:t>
            </w:r>
            <w:proofErr w:type="spellStart"/>
            <w:r w:rsidRPr="006E3AB0">
              <w:rPr>
                <w:rFonts w:ascii="Verdana" w:eastAsia="Calibri" w:hAnsi="Verdana" w:cs="Arial"/>
                <w:lang w:val="es-ES"/>
              </w:rPr>
              <w:t>Exp</w:t>
            </w:r>
            <w:proofErr w:type="spellEnd"/>
            <w:r w:rsidRPr="006E3AB0">
              <w:rPr>
                <w:rFonts w:ascii="Verdana" w:eastAsia="Calibri" w:hAnsi="Verdana" w:cs="Arial"/>
                <w:lang w:val="es-ES"/>
              </w:rPr>
              <w:t>. 25.801 C.P. Enrique Gil Botero.</w:t>
            </w:r>
          </w:p>
          <w:p w14:paraId="6FE44132"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Colombia Compra Eficiente. Guía para la Gestión Contractual de Entidades Estatales con Régimen Especial.</w:t>
            </w:r>
          </w:p>
          <w:p w14:paraId="22A61D8B" w14:textId="77777777" w:rsidR="003133F6" w:rsidRPr="006E3AB0" w:rsidRDefault="003133F6" w:rsidP="003133F6">
            <w:pPr>
              <w:widowControl w:val="0"/>
              <w:numPr>
                <w:ilvl w:val="0"/>
                <w:numId w:val="1"/>
              </w:numPr>
              <w:autoSpaceDE w:val="0"/>
              <w:autoSpaceDN w:val="0"/>
              <w:spacing w:line="276" w:lineRule="auto"/>
              <w:contextualSpacing/>
              <w:jc w:val="both"/>
              <w:rPr>
                <w:rFonts w:ascii="Verdana" w:eastAsia="Calibri" w:hAnsi="Verdana" w:cs="Arial"/>
                <w:lang w:val="es-ES"/>
              </w:rPr>
            </w:pPr>
            <w:r w:rsidRPr="006E3AB0">
              <w:rPr>
                <w:rFonts w:ascii="Verdana" w:eastAsia="Calibri" w:hAnsi="Verdana" w:cs="Arial"/>
                <w:lang w:val="es-ES"/>
              </w:rPr>
              <w:t>MARÍN CORTÉS, Fabián G. El reglamento como fuente del derecho administrativo. En: Las fuentes del derecho administrativo. Texto inédito. 2010. pp. 200-201.</w:t>
            </w:r>
          </w:p>
        </w:tc>
      </w:tr>
    </w:tbl>
    <w:p w14:paraId="6B906E81" w14:textId="77777777" w:rsidR="003133F6" w:rsidRPr="006E3AB0" w:rsidRDefault="003133F6" w:rsidP="003133F6">
      <w:pPr>
        <w:widowControl w:val="0"/>
        <w:autoSpaceDE w:val="0"/>
        <w:autoSpaceDN w:val="0"/>
        <w:spacing w:after="0" w:line="276" w:lineRule="auto"/>
        <w:jc w:val="both"/>
        <w:rPr>
          <w:rFonts w:ascii="Verdana" w:eastAsia="Aptos" w:hAnsi="Verdana" w:cs="Arial"/>
        </w:rPr>
      </w:pPr>
    </w:p>
    <w:p w14:paraId="1EEC4A52" w14:textId="77777777" w:rsidR="003133F6" w:rsidRPr="006E3AB0" w:rsidRDefault="003133F6" w:rsidP="003133F6">
      <w:pPr>
        <w:widowControl w:val="0"/>
        <w:autoSpaceDE w:val="0"/>
        <w:autoSpaceDN w:val="0"/>
        <w:spacing w:after="0" w:line="276" w:lineRule="auto"/>
        <w:outlineLvl w:val="0"/>
        <w:rPr>
          <w:rFonts w:ascii="Verdana" w:eastAsia="Arial" w:hAnsi="Verdana" w:cs="Arial"/>
          <w:b/>
          <w:bCs/>
          <w:lang w:val="es-ES"/>
        </w:rPr>
      </w:pPr>
      <w:r w:rsidRPr="006E3AB0">
        <w:rPr>
          <w:rFonts w:ascii="Verdana" w:eastAsia="Arial" w:hAnsi="Verdana" w:cs="Arial"/>
          <w:b/>
          <w:bCs/>
          <w:lang w:val="es-ES"/>
        </w:rPr>
        <w:t>5. Doctrina de la Agencia Nacional de Contratación Pública:</w:t>
      </w:r>
    </w:p>
    <w:p w14:paraId="69EBDE37" w14:textId="77777777" w:rsidR="003133F6" w:rsidRPr="006E3AB0" w:rsidRDefault="003133F6" w:rsidP="003133F6">
      <w:pPr>
        <w:widowControl w:val="0"/>
        <w:autoSpaceDE w:val="0"/>
        <w:autoSpaceDN w:val="0"/>
        <w:spacing w:after="0" w:line="276" w:lineRule="auto"/>
        <w:jc w:val="both"/>
        <w:rPr>
          <w:rFonts w:ascii="Verdana" w:eastAsia="Aptos" w:hAnsi="Verdana" w:cs="Arial"/>
        </w:rPr>
      </w:pPr>
    </w:p>
    <w:p w14:paraId="18B8C730" w14:textId="77777777" w:rsidR="003133F6" w:rsidRPr="006E3AB0" w:rsidRDefault="003133F6" w:rsidP="003133F6">
      <w:pPr>
        <w:widowControl w:val="0"/>
        <w:autoSpaceDE w:val="0"/>
        <w:autoSpaceDN w:val="0"/>
        <w:spacing w:after="0" w:line="276" w:lineRule="auto"/>
        <w:jc w:val="both"/>
        <w:rPr>
          <w:rFonts w:ascii="Verdana" w:eastAsia="Calibri" w:hAnsi="Verdana" w:cs="Arial"/>
          <w:bCs/>
          <w:shd w:val="clear" w:color="auto" w:fill="FFFFFF"/>
        </w:rPr>
      </w:pPr>
      <w:r w:rsidRPr="006E3AB0">
        <w:rPr>
          <w:rFonts w:ascii="Verdana" w:eastAsia="Calibri" w:hAnsi="Verdana" w:cs="Arial"/>
          <w:bCs/>
          <w:shd w:val="clear" w:color="auto" w:fill="FFFFFF"/>
        </w:rPr>
        <w:t xml:space="preserve">La Agencia Nacional de Contratación Pública – Colombia Compra Eficiente estudió el régimen de las universidades públicas, entre otros, en los conceptos C-481 de 9 de septiembre de 2021, C-204 del 12 de abril de 2022, C-675 de 6 de enero de 2022, C-759 de 22 de febrero de 2022, C-815 del 26 de noviembre de 2022, C-492 del 01 de octubre de 2024 Y C-1864 del 23 de diciembre de 2025. </w:t>
      </w:r>
      <w:r w:rsidRPr="006E3AB0">
        <w:rPr>
          <w:rFonts w:ascii="Verdana" w:eastAsia="Aptos" w:hAnsi="Verdana" w:cs="Arial"/>
          <w:shd w:val="clear" w:color="auto" w:fill="FFFFFF"/>
          <w:lang w:val="es-ES"/>
        </w:rPr>
        <w:t xml:space="preserve">Estos y otros conceptos se encuentran disponibles para consulta en el </w:t>
      </w:r>
      <w:r w:rsidRPr="006E3AB0">
        <w:rPr>
          <w:rFonts w:ascii="Verdana" w:eastAsia="Aptos" w:hAnsi="Verdana" w:cs="Arial"/>
          <w:shd w:val="clear" w:color="auto" w:fill="FFFFFF"/>
          <w:lang w:val="es-ES"/>
        </w:rPr>
        <w:lastRenderedPageBreak/>
        <w:t xml:space="preserve">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9" w:history="1">
        <w:r w:rsidRPr="006E3AB0">
          <w:rPr>
            <w:rFonts w:ascii="Verdana" w:eastAsia="Aptos" w:hAnsi="Verdana" w:cs="Arial"/>
            <w:color w:val="0000FF"/>
            <w:u w:val="single"/>
            <w:shd w:val="clear" w:color="auto" w:fill="FFFFFF"/>
            <w:lang w:val="es-ES"/>
          </w:rPr>
          <w:t>https://relatoria.colombiacompra.gov.co/</w:t>
        </w:r>
      </w:hyperlink>
      <w:r w:rsidRPr="006E3AB0">
        <w:rPr>
          <w:rFonts w:ascii="Verdana" w:eastAsia="Aptos" w:hAnsi="Verdana" w:cs="Arial"/>
          <w:shd w:val="clear" w:color="auto" w:fill="FFFFFF"/>
          <w:lang w:val="es-ES"/>
        </w:rPr>
        <w:t xml:space="preserve">. </w:t>
      </w:r>
    </w:p>
    <w:p w14:paraId="03BE42CD" w14:textId="77777777" w:rsidR="003133F6" w:rsidRDefault="003133F6" w:rsidP="003133F6">
      <w:pPr>
        <w:spacing w:after="0" w:line="276" w:lineRule="auto"/>
        <w:jc w:val="both"/>
        <w:rPr>
          <w:rFonts w:ascii="Verdana" w:eastAsia="Aptos" w:hAnsi="Verdana" w:cs="Times New Roman"/>
        </w:rPr>
      </w:pPr>
    </w:p>
    <w:p w14:paraId="35155517" w14:textId="77777777" w:rsidR="003133F6" w:rsidRPr="006E3AB0" w:rsidRDefault="003133F6" w:rsidP="003133F6">
      <w:pPr>
        <w:spacing w:after="0" w:line="276" w:lineRule="auto"/>
        <w:jc w:val="both"/>
        <w:rPr>
          <w:rFonts w:ascii="Verdana" w:eastAsia="Aptos" w:hAnsi="Verdana" w:cs="Times New Roman"/>
        </w:rPr>
      </w:pPr>
      <w:r w:rsidRPr="006E3AB0">
        <w:rPr>
          <w:rFonts w:ascii="Verdana" w:eastAsia="Aptos" w:hAnsi="Verdana" w:cs="Times New Roman"/>
        </w:rPr>
        <w:t xml:space="preserve">La sostenibilidad no es una opción, es una obligación. Por ello, la Agencia Nacional de Contratación Pública –Colombia Compra Eficiente– te invita a realizar el </w:t>
      </w:r>
      <w:r w:rsidRPr="006E3AB0">
        <w:rPr>
          <w:rFonts w:ascii="Verdana" w:eastAsia="Aptos" w:hAnsi="Verdana" w:cs="Times New Roman"/>
          <w:b/>
          <w:bCs/>
        </w:rPr>
        <w:t>Curso de Contratación Pública Sostenible y Socialmente Responsable</w:t>
      </w:r>
      <w:r w:rsidRPr="006E3AB0">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E3AB0">
        <w:rPr>
          <w:rFonts w:ascii="Verdana" w:eastAsia="Aptos" w:hAnsi="Verdana" w:cs="Times New Roman"/>
        </w:rPr>
        <w:br/>
      </w:r>
      <w:hyperlink r:id="rId10" w:tgtFrame="_new" w:history="1">
        <w:r w:rsidRPr="006E3AB0">
          <w:rPr>
            <w:rFonts w:ascii="Verdana" w:eastAsia="Aptos" w:hAnsi="Verdana" w:cs="Times New Roman"/>
            <w:color w:val="0000FF"/>
            <w:u w:val="single"/>
          </w:rPr>
          <w:t>https://formacionvirtual.colombiacompra.gov.co/mod/page/view.php?id=3718</w:t>
        </w:r>
      </w:hyperlink>
    </w:p>
    <w:p w14:paraId="0E6E2A0D" w14:textId="77777777" w:rsidR="003133F6" w:rsidRDefault="003133F6" w:rsidP="003133F6">
      <w:pPr>
        <w:spacing w:after="0" w:line="276" w:lineRule="auto"/>
        <w:jc w:val="both"/>
        <w:rPr>
          <w:rFonts w:ascii="Verdana" w:eastAsia="Aptos" w:hAnsi="Verdana" w:cs="Times New Roman"/>
        </w:rPr>
      </w:pPr>
    </w:p>
    <w:p w14:paraId="334FEE45" w14:textId="77777777" w:rsidR="003133F6" w:rsidRPr="006E3AB0" w:rsidRDefault="003133F6" w:rsidP="003133F6">
      <w:pPr>
        <w:spacing w:after="0" w:line="276" w:lineRule="auto"/>
        <w:jc w:val="both"/>
        <w:rPr>
          <w:rFonts w:ascii="Verdana" w:eastAsia="Aptos" w:hAnsi="Verdana" w:cs="Times New Roman"/>
        </w:rPr>
      </w:pPr>
      <w:r w:rsidRPr="006E3AB0">
        <w:rPr>
          <w:rFonts w:ascii="Verdana" w:eastAsia="Aptos" w:hAnsi="Verdana" w:cs="Times New Roman"/>
        </w:rPr>
        <w:t xml:space="preserve">De otro lado, te contamos que esta Agencia ha da un paso decisivo en la estandarización y modernización del </w:t>
      </w:r>
      <w:r w:rsidRPr="006E3AB0">
        <w:rPr>
          <w:rFonts w:ascii="Verdana" w:eastAsia="Aptos" w:hAnsi="Verdana" w:cs="Times New Roman"/>
          <w:b/>
          <w:bCs/>
        </w:rPr>
        <w:t>sector  social</w:t>
      </w:r>
      <w:r w:rsidRPr="006E3AB0">
        <w:rPr>
          <w:rFonts w:ascii="Verdana" w:eastAsia="Aptos" w:hAnsi="Verdana" w:cs="Times New Roman"/>
        </w:rPr>
        <w:t xml:space="preserve"> con la expedición de las </w:t>
      </w:r>
      <w:r w:rsidRPr="006E3AB0">
        <w:rPr>
          <w:rFonts w:ascii="Verdana" w:eastAsia="Aptos" w:hAnsi="Verdana" w:cs="Times New Roman"/>
          <w:b/>
          <w:bCs/>
        </w:rPr>
        <w:t>Resoluciones 539, 540, 541, 952 y 953 de 2025</w:t>
      </w:r>
      <w:r w:rsidRPr="006E3AB0">
        <w:rPr>
          <w:rFonts w:ascii="Verdana" w:eastAsia="Aptos" w:hAnsi="Verdana" w:cs="Times New Roman"/>
        </w:rPr>
        <w:t xml:space="preserve">, </w:t>
      </w:r>
      <w:r w:rsidRPr="006E3AB0">
        <w:rPr>
          <w:rFonts w:ascii="Verdana" w:eastAsia="Aptos" w:hAnsi="Verdana" w:cs="Times New Roman"/>
          <w:b/>
          <w:bCs/>
        </w:rPr>
        <w:t>mediante las cuales adoptó Documentos Tipo</w:t>
      </w:r>
      <w:r w:rsidRPr="006E3AB0">
        <w:rPr>
          <w:rFonts w:ascii="Verdana" w:eastAsia="Aptos" w:hAnsi="Verdana" w:cs="Times New Roman"/>
        </w:rPr>
        <w:t xml:space="preserve"> para las modalidades de selección de</w:t>
      </w:r>
      <w:r w:rsidRPr="006E3AB0">
        <w:rPr>
          <w:rFonts w:ascii="Verdana" w:eastAsia="Aptos" w:hAnsi="Verdana" w:cs="Times New Roman"/>
          <w:b/>
          <w:bCs/>
        </w:rPr>
        <w:t xml:space="preserve"> licitación pública (versión 2), selección abreviada de menor cuantía, mínima cuantía, consultoría e interventoría</w:t>
      </w:r>
      <w:r w:rsidRPr="006E3AB0">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1" w:tgtFrame="_new" w:history="1">
        <w:r w:rsidRPr="006E3AB0">
          <w:rPr>
            <w:rFonts w:ascii="Verdana" w:eastAsia="Aptos" w:hAnsi="Verdana" w:cs="Times New Roman"/>
            <w:color w:val="0000FF"/>
            <w:u w:val="single"/>
          </w:rPr>
          <w:t>https://www.colombiacompra.gov.co/normativa-y-relatoria/documentos-tipo</w:t>
        </w:r>
      </w:hyperlink>
    </w:p>
    <w:p w14:paraId="1C7493BA" w14:textId="77777777" w:rsidR="003133F6" w:rsidRDefault="003133F6" w:rsidP="003133F6">
      <w:pPr>
        <w:spacing w:after="0" w:line="276" w:lineRule="auto"/>
        <w:jc w:val="both"/>
        <w:rPr>
          <w:rFonts w:ascii="Verdana" w:eastAsia="Aptos" w:hAnsi="Verdana" w:cs="Times New Roman"/>
        </w:rPr>
      </w:pPr>
    </w:p>
    <w:p w14:paraId="3F540510" w14:textId="77777777" w:rsidR="003133F6" w:rsidRPr="006E3AB0" w:rsidRDefault="003133F6" w:rsidP="003133F6">
      <w:pPr>
        <w:spacing w:after="0" w:line="276" w:lineRule="auto"/>
        <w:jc w:val="both"/>
        <w:rPr>
          <w:rFonts w:ascii="Verdana" w:eastAsia="Aptos" w:hAnsi="Verdana" w:cs="Times New Roman"/>
        </w:rPr>
      </w:pPr>
      <w:r w:rsidRPr="006E3AB0">
        <w:rPr>
          <w:rFonts w:ascii="Verdana" w:eastAsia="Aptos" w:hAnsi="Verdana" w:cs="Times New Roman"/>
        </w:rPr>
        <w:t xml:space="preserve">Si quieres conocer más sobre la aplicación de Documentos Tipo puedes consultar la última versión de la </w:t>
      </w:r>
      <w:r w:rsidRPr="006E3AB0">
        <w:rPr>
          <w:rFonts w:ascii="Verdana" w:eastAsia="Aptos" w:hAnsi="Verdana" w:cs="Times New Roman"/>
          <w:b/>
          <w:bCs/>
        </w:rPr>
        <w:t>Guía para la comprensión e implementación de los Documentos Tipo de obra pública de infraestructura de transporte</w:t>
      </w:r>
      <w:r w:rsidRPr="006E3AB0">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E3AB0">
        <w:rPr>
          <w:rFonts w:ascii="Verdana" w:eastAsia="Aptos" w:hAnsi="Verdana" w:cs="Times New Roman"/>
        </w:rPr>
        <w:br/>
      </w:r>
      <w:hyperlink r:id="rId12" w:tgtFrame="_new" w:history="1">
        <w:r w:rsidRPr="006E3AB0">
          <w:rPr>
            <w:rFonts w:ascii="Verdana" w:eastAsia="Aptos" w:hAnsi="Verdana" w:cs="Times New Roman"/>
            <w:color w:val="0000FF"/>
            <w:u w:val="single"/>
          </w:rPr>
          <w:t>https://www.colombiacompra.gov.co/archivos/manual/guia-para-la-</w:t>
        </w:r>
        <w:r w:rsidRPr="006E3AB0">
          <w:rPr>
            <w:rFonts w:ascii="Verdana" w:eastAsia="Aptos" w:hAnsi="Verdana" w:cs="Times New Roman"/>
            <w:color w:val="0000FF"/>
            <w:u w:val="single"/>
          </w:rPr>
          <w:lastRenderedPageBreak/>
          <w:t>comprension-e-implementacion-de-los-documentos-tipo-de-obra-publica-de-infraestructura-de-transporte-bajo-las-diferentes-modalidades-de-contratacion-vigentes</w:t>
        </w:r>
      </w:hyperlink>
    </w:p>
    <w:p w14:paraId="1552FD06" w14:textId="77777777" w:rsidR="003133F6" w:rsidRPr="006E3AB0" w:rsidRDefault="003133F6" w:rsidP="003133F6">
      <w:pPr>
        <w:widowControl w:val="0"/>
        <w:autoSpaceDE w:val="0"/>
        <w:autoSpaceDN w:val="0"/>
        <w:spacing w:after="0" w:line="276" w:lineRule="auto"/>
        <w:jc w:val="both"/>
        <w:rPr>
          <w:rFonts w:ascii="Verdana" w:eastAsia="Aptos" w:hAnsi="Verdana" w:cs="Arial"/>
          <w:shd w:val="clear" w:color="auto" w:fill="FFFFFF"/>
          <w:lang w:val="es-ES"/>
        </w:rPr>
      </w:pPr>
    </w:p>
    <w:p w14:paraId="2BC18A3A" w14:textId="77777777" w:rsidR="003133F6" w:rsidRPr="006E3AB0" w:rsidRDefault="003133F6" w:rsidP="003133F6">
      <w:pPr>
        <w:spacing w:after="0" w:line="276" w:lineRule="auto"/>
        <w:jc w:val="both"/>
        <w:rPr>
          <w:rFonts w:ascii="Verdana" w:eastAsia="Aptos" w:hAnsi="Verdana" w:cs="Times New Roman"/>
        </w:rPr>
      </w:pPr>
      <w:r w:rsidRPr="006E3AB0">
        <w:rPr>
          <w:rFonts w:ascii="Verdana" w:eastAsia="Aptos" w:hAnsi="Verdana" w:cs="Times New Roman"/>
        </w:rPr>
        <w:t xml:space="preserve">Por último, lo invitamos a seguirnos en las redes sociales en las cuales se difunde información institucional: </w:t>
      </w:r>
    </w:p>
    <w:p w14:paraId="3AE08BA4" w14:textId="77777777" w:rsidR="003133F6" w:rsidRPr="006E3AB0" w:rsidRDefault="003133F6" w:rsidP="003133F6">
      <w:pPr>
        <w:spacing w:after="0" w:line="276" w:lineRule="auto"/>
        <w:jc w:val="both"/>
        <w:rPr>
          <w:rFonts w:ascii="Verdana" w:eastAsia="Aptos" w:hAnsi="Verdana" w:cs="Times New Roman"/>
        </w:rPr>
      </w:pPr>
    </w:p>
    <w:p w14:paraId="5359F1BC" w14:textId="77777777" w:rsidR="003133F6" w:rsidRPr="006E3AB0" w:rsidRDefault="003133F6" w:rsidP="003133F6">
      <w:pPr>
        <w:spacing w:after="0" w:line="276" w:lineRule="auto"/>
        <w:jc w:val="both"/>
        <w:rPr>
          <w:rFonts w:ascii="Verdana" w:eastAsia="Aptos" w:hAnsi="Verdana" w:cs="Times New Roman"/>
        </w:rPr>
      </w:pPr>
      <w:r w:rsidRPr="006E3AB0">
        <w:rPr>
          <w:rFonts w:ascii="Verdana" w:eastAsia="Aptos" w:hAnsi="Verdana" w:cs="Times New Roman"/>
        </w:rPr>
        <w:t xml:space="preserve">Twitter: </w:t>
      </w:r>
      <w:r w:rsidRPr="006E3AB0">
        <w:rPr>
          <w:rFonts w:ascii="Verdana" w:eastAsia="Aptos" w:hAnsi="Verdana" w:cs="Arial"/>
          <w:color w:val="0000FF"/>
          <w:u w:val="single"/>
          <w:shd w:val="clear" w:color="auto" w:fill="FFFFFF"/>
          <w:lang w:val="es-ES"/>
        </w:rPr>
        <w:t>@colombiacompra</w:t>
      </w:r>
      <w:r w:rsidRPr="006E3AB0">
        <w:rPr>
          <w:rFonts w:ascii="Verdana" w:eastAsia="Aptos" w:hAnsi="Verdana" w:cs="Times New Roman"/>
          <w:color w:val="156082"/>
        </w:rPr>
        <w:t xml:space="preserve"> </w:t>
      </w:r>
    </w:p>
    <w:p w14:paraId="3C9BAD5D" w14:textId="77777777" w:rsidR="003133F6" w:rsidRPr="006E3AB0" w:rsidRDefault="003133F6" w:rsidP="003133F6">
      <w:pPr>
        <w:spacing w:after="0" w:line="276" w:lineRule="auto"/>
        <w:jc w:val="both"/>
        <w:rPr>
          <w:rFonts w:ascii="Verdana" w:eastAsia="Aptos" w:hAnsi="Verdana" w:cs="Times New Roman"/>
        </w:rPr>
      </w:pPr>
      <w:r w:rsidRPr="006E3AB0">
        <w:rPr>
          <w:rFonts w:ascii="Verdana" w:eastAsia="Aptos" w:hAnsi="Verdana" w:cs="Times New Roman"/>
        </w:rPr>
        <w:t xml:space="preserve">Facebook: </w:t>
      </w:r>
      <w:proofErr w:type="spellStart"/>
      <w:r w:rsidRPr="006E3AB0">
        <w:rPr>
          <w:rFonts w:ascii="Verdana" w:eastAsia="Aptos" w:hAnsi="Verdana" w:cs="Arial"/>
          <w:color w:val="0000FF"/>
          <w:u w:val="single"/>
          <w:shd w:val="clear" w:color="auto" w:fill="FFFFFF"/>
          <w:lang w:val="es-ES"/>
        </w:rPr>
        <w:t>ColombiaCompraEficiente</w:t>
      </w:r>
      <w:proofErr w:type="spellEnd"/>
    </w:p>
    <w:p w14:paraId="3B568A20" w14:textId="77777777" w:rsidR="003133F6" w:rsidRPr="006E3AB0" w:rsidRDefault="003133F6" w:rsidP="003133F6">
      <w:pPr>
        <w:spacing w:after="0" w:line="276" w:lineRule="auto"/>
        <w:jc w:val="both"/>
        <w:rPr>
          <w:rFonts w:ascii="Verdana" w:eastAsia="Aptos" w:hAnsi="Verdana" w:cs="Times New Roman"/>
        </w:rPr>
      </w:pPr>
      <w:r w:rsidRPr="006E3AB0">
        <w:rPr>
          <w:rFonts w:ascii="Verdana" w:eastAsia="Aptos" w:hAnsi="Verdana" w:cs="Times New Roman"/>
        </w:rPr>
        <w:t xml:space="preserve">LinkedIn: </w:t>
      </w:r>
      <w:r w:rsidRPr="006E3AB0">
        <w:rPr>
          <w:rFonts w:ascii="Verdana" w:eastAsia="Aptos" w:hAnsi="Verdana" w:cs="Arial"/>
          <w:color w:val="0000FF"/>
          <w:u w:val="single"/>
          <w:shd w:val="clear" w:color="auto" w:fill="FFFFFF"/>
          <w:lang w:val="es-ES"/>
        </w:rPr>
        <w:t>Agencia Nacional de Contratación Pública - Colombia Compra Eficiente</w:t>
      </w:r>
      <w:r w:rsidRPr="006E3AB0">
        <w:rPr>
          <w:rFonts w:ascii="Verdana" w:eastAsia="Aptos" w:hAnsi="Verdana" w:cs="Times New Roman"/>
          <w:color w:val="156082"/>
        </w:rPr>
        <w:t xml:space="preserve"> </w:t>
      </w:r>
      <w:r w:rsidRPr="006E3AB0">
        <w:rPr>
          <w:rFonts w:ascii="Verdana" w:eastAsia="Aptos" w:hAnsi="Verdana" w:cs="Times New Roman"/>
        </w:rPr>
        <w:t xml:space="preserve">Instagram: </w:t>
      </w:r>
      <w:r w:rsidRPr="006E3AB0">
        <w:rPr>
          <w:rFonts w:ascii="Verdana" w:eastAsia="Aptos" w:hAnsi="Verdana" w:cs="Arial"/>
          <w:color w:val="0000FF"/>
          <w:u w:val="single"/>
          <w:shd w:val="clear" w:color="auto" w:fill="FFFFFF"/>
          <w:lang w:val="es-ES"/>
        </w:rPr>
        <w:t>@colombiacompraeficiente_cce</w:t>
      </w:r>
    </w:p>
    <w:p w14:paraId="01FDB017" w14:textId="77777777" w:rsidR="003133F6" w:rsidRPr="006E3AB0" w:rsidRDefault="003133F6" w:rsidP="003133F6">
      <w:pPr>
        <w:widowControl w:val="0"/>
        <w:autoSpaceDE w:val="0"/>
        <w:autoSpaceDN w:val="0"/>
        <w:spacing w:after="0" w:line="276" w:lineRule="auto"/>
        <w:jc w:val="both"/>
        <w:rPr>
          <w:rFonts w:ascii="Verdana" w:eastAsia="Aptos" w:hAnsi="Verdana" w:cs="Arial"/>
        </w:rPr>
      </w:pPr>
    </w:p>
    <w:p w14:paraId="7C591A40" w14:textId="77777777" w:rsidR="003133F6" w:rsidRPr="006E3AB0" w:rsidRDefault="003133F6" w:rsidP="003133F6">
      <w:pPr>
        <w:widowControl w:val="0"/>
        <w:autoSpaceDE w:val="0"/>
        <w:autoSpaceDN w:val="0"/>
        <w:spacing w:after="0" w:line="276" w:lineRule="auto"/>
        <w:jc w:val="both"/>
        <w:rPr>
          <w:rFonts w:ascii="Verdana" w:eastAsia="Aptos" w:hAnsi="Verdana" w:cs="Arial"/>
          <w:lang w:val="es-ES_tradnl"/>
        </w:rPr>
      </w:pPr>
      <w:r w:rsidRPr="006E3AB0">
        <w:rPr>
          <w:rFonts w:ascii="Verdana" w:eastAsia="Aptos" w:hAnsi="Verdana" w:cs="Arial"/>
        </w:rPr>
        <w:t xml:space="preserve">Este concepto tiene el alcance previsto en el artículo 28 del Código de Procedimiento Administrativo y de lo Contencioso Administrativo </w:t>
      </w:r>
      <w:r w:rsidRPr="006E3AB0">
        <w:rPr>
          <w:rFonts w:ascii="Verdana" w:eastAsia="Aptos" w:hAnsi="Verdana" w:cs="Arial"/>
          <w:lang w:val="es-ES_tradnl"/>
        </w:rPr>
        <w:t>y las expresiones aquí utilizadas con mayúscula inicial deben ser entendidas con el significado que les otorga el artículo 2.2.1.1.1.3.1. del Decreto 1082 de 2015.</w:t>
      </w:r>
    </w:p>
    <w:p w14:paraId="0150F66D" w14:textId="77777777" w:rsidR="003133F6" w:rsidRPr="006E3AB0" w:rsidRDefault="003133F6" w:rsidP="003133F6">
      <w:pPr>
        <w:widowControl w:val="0"/>
        <w:autoSpaceDE w:val="0"/>
        <w:autoSpaceDN w:val="0"/>
        <w:spacing w:after="0" w:line="276" w:lineRule="auto"/>
        <w:jc w:val="both"/>
        <w:rPr>
          <w:rFonts w:ascii="Verdana" w:eastAsia="Aptos" w:hAnsi="Verdana" w:cs="Arial"/>
        </w:rPr>
      </w:pPr>
    </w:p>
    <w:p w14:paraId="1A0A70AB" w14:textId="77777777" w:rsidR="003133F6" w:rsidRPr="00436042" w:rsidRDefault="003133F6" w:rsidP="003133F6">
      <w:pPr>
        <w:spacing w:after="0" w:line="276" w:lineRule="auto"/>
        <w:rPr>
          <w:rFonts w:ascii="Verdana" w:eastAsia="Aptos" w:hAnsi="Verdana" w:cs="Arial"/>
          <w:lang w:val="es-ES_tradnl" w:eastAsia="es-CO"/>
        </w:rPr>
      </w:pPr>
      <w:r w:rsidRPr="006E3AB0">
        <w:rPr>
          <w:rFonts w:ascii="Verdana" w:eastAsia="Times New Roman" w:hAnsi="Verdana" w:cs="Arial"/>
          <w:lang w:eastAsia="es-CO"/>
        </w:rPr>
        <w:t>Atentamente,</w:t>
      </w:r>
      <w:r w:rsidRPr="006E3AB0">
        <w:rPr>
          <w:rFonts w:ascii="Verdana" w:eastAsia="Aptos" w:hAnsi="Verdana" w:cs="Arial"/>
          <w:lang w:eastAsia="es-CO"/>
        </w:rPr>
        <w:t xml:space="preserve"> </w:t>
      </w:r>
    </w:p>
    <w:p w14:paraId="1D910506" w14:textId="69979E46" w:rsidR="003133F6" w:rsidRPr="00436042" w:rsidRDefault="006D7F80" w:rsidP="003133F6">
      <w:pPr>
        <w:spacing w:after="0" w:line="276" w:lineRule="auto"/>
        <w:jc w:val="center"/>
        <w:rPr>
          <w:rFonts w:ascii="Verdana" w:eastAsia="Aptos" w:hAnsi="Verdana" w:cs="Arial"/>
          <w:lang w:val="es-ES_tradnl" w:eastAsia="es-CO"/>
        </w:rPr>
      </w:pPr>
      <w:r>
        <w:rPr>
          <w:noProof/>
        </w:rPr>
        <w:drawing>
          <wp:inline distT="0" distB="0" distL="0" distR="0" wp14:anchorId="13452605" wp14:editId="38A9EA8B">
            <wp:extent cx="3774440" cy="1411605"/>
            <wp:effectExtent l="0" t="0" r="0" b="0"/>
            <wp:docPr id="81924613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74440" cy="141160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3133F6" w:rsidRPr="00436042" w14:paraId="6BFB70CE" w14:textId="77777777" w:rsidTr="003B4AE3">
        <w:trPr>
          <w:trHeight w:val="286"/>
        </w:trPr>
        <w:tc>
          <w:tcPr>
            <w:tcW w:w="901" w:type="dxa"/>
            <w:vAlign w:val="center"/>
            <w:hideMark/>
          </w:tcPr>
          <w:p w14:paraId="5F7A7F4C" w14:textId="77777777" w:rsidR="003133F6" w:rsidRPr="00436042" w:rsidRDefault="003133F6" w:rsidP="003B4AE3">
            <w:pPr>
              <w:rPr>
                <w:rFonts w:ascii="Verdana" w:eastAsia="Aptos" w:hAnsi="Verdana" w:cs="Arial"/>
                <w:sz w:val="14"/>
                <w:szCs w:val="14"/>
                <w:lang w:eastAsia="es-ES"/>
              </w:rPr>
            </w:pPr>
            <w:r w:rsidRPr="00436042">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79726D12" w14:textId="77777777" w:rsidR="003133F6" w:rsidRPr="00436042" w:rsidRDefault="003133F6" w:rsidP="003B4AE3">
            <w:pPr>
              <w:rPr>
                <w:rFonts w:ascii="Verdana" w:eastAsia="Aptos" w:hAnsi="Verdana" w:cs="Arial"/>
                <w:sz w:val="14"/>
                <w:szCs w:val="14"/>
                <w:lang w:eastAsia="es-ES"/>
              </w:rPr>
            </w:pPr>
            <w:r w:rsidRPr="00436042">
              <w:rPr>
                <w:rFonts w:ascii="Verdana" w:eastAsia="Aptos" w:hAnsi="Verdana" w:cs="Arial"/>
                <w:sz w:val="14"/>
                <w:szCs w:val="14"/>
                <w:lang w:eastAsia="es-ES"/>
              </w:rPr>
              <w:t>Nasly Yeana Mosquera Rivas</w:t>
            </w:r>
          </w:p>
          <w:p w14:paraId="35CF479F" w14:textId="77777777" w:rsidR="003133F6" w:rsidRPr="00436042" w:rsidRDefault="003133F6" w:rsidP="003B4AE3">
            <w:pPr>
              <w:rPr>
                <w:rFonts w:ascii="Verdana" w:eastAsia="Aptos" w:hAnsi="Verdana" w:cs="Arial"/>
                <w:sz w:val="14"/>
                <w:szCs w:val="14"/>
                <w:lang w:eastAsia="es-ES"/>
              </w:rPr>
            </w:pPr>
            <w:r w:rsidRPr="00436042">
              <w:rPr>
                <w:rFonts w:ascii="Verdana" w:eastAsia="Aptos" w:hAnsi="Verdana" w:cs="Arial"/>
                <w:sz w:val="14"/>
                <w:szCs w:val="14"/>
                <w:lang w:eastAsia="es-ES"/>
              </w:rPr>
              <w:t>Analista T2–06 de la Subdirección de Gestión Contractual</w:t>
            </w:r>
          </w:p>
        </w:tc>
      </w:tr>
      <w:tr w:rsidR="003133F6" w:rsidRPr="00436042" w14:paraId="719D0FFA" w14:textId="77777777" w:rsidTr="003B4AE3">
        <w:trPr>
          <w:trHeight w:val="299"/>
        </w:trPr>
        <w:tc>
          <w:tcPr>
            <w:tcW w:w="901" w:type="dxa"/>
            <w:vAlign w:val="center"/>
          </w:tcPr>
          <w:p w14:paraId="28238B12" w14:textId="77777777" w:rsidR="003133F6" w:rsidRPr="00436042" w:rsidRDefault="003133F6" w:rsidP="003B4AE3">
            <w:pPr>
              <w:rPr>
                <w:rFonts w:ascii="Verdana" w:eastAsia="Aptos" w:hAnsi="Verdana" w:cs="Arial"/>
                <w:sz w:val="14"/>
                <w:szCs w:val="14"/>
                <w:lang w:eastAsia="es-ES"/>
              </w:rPr>
            </w:pPr>
            <w:r w:rsidRPr="00436042">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769AEB4E" w14:textId="77777777" w:rsidR="003133F6" w:rsidRPr="00436042" w:rsidRDefault="003133F6" w:rsidP="003B4AE3">
            <w:pPr>
              <w:rPr>
                <w:rFonts w:ascii="Verdana" w:eastAsia="Aptos" w:hAnsi="Verdana" w:cs="Arial"/>
                <w:sz w:val="14"/>
                <w:szCs w:val="14"/>
                <w:lang w:eastAsia="es-ES"/>
              </w:rPr>
            </w:pPr>
            <w:r w:rsidRPr="00436042">
              <w:rPr>
                <w:rFonts w:ascii="Verdana" w:eastAsia="Aptos" w:hAnsi="Verdana" w:cs="Arial"/>
                <w:sz w:val="14"/>
                <w:szCs w:val="14"/>
                <w:lang w:eastAsia="es-ES"/>
              </w:rPr>
              <w:t>Diana Lucía Saavedra</w:t>
            </w:r>
          </w:p>
          <w:p w14:paraId="30421143" w14:textId="77777777" w:rsidR="003133F6" w:rsidRPr="00436042" w:rsidRDefault="003133F6" w:rsidP="003B4AE3">
            <w:pPr>
              <w:rPr>
                <w:rFonts w:ascii="Verdana" w:eastAsia="Aptos" w:hAnsi="Verdana" w:cs="Arial"/>
                <w:sz w:val="14"/>
                <w:szCs w:val="14"/>
                <w:lang w:eastAsia="es-ES"/>
              </w:rPr>
            </w:pPr>
            <w:r w:rsidRPr="00436042">
              <w:rPr>
                <w:rFonts w:ascii="Verdana" w:eastAsia="Aptos" w:hAnsi="Verdana" w:cs="Arial"/>
                <w:sz w:val="14"/>
                <w:szCs w:val="14"/>
                <w:lang w:eastAsia="es-ES"/>
              </w:rPr>
              <w:t>Contratista de la Subdirección de Gestión Contractual</w:t>
            </w:r>
          </w:p>
        </w:tc>
      </w:tr>
      <w:tr w:rsidR="003133F6" w:rsidRPr="00436042" w14:paraId="12B83522" w14:textId="77777777" w:rsidTr="003B4AE3">
        <w:trPr>
          <w:trHeight w:val="272"/>
        </w:trPr>
        <w:tc>
          <w:tcPr>
            <w:tcW w:w="901" w:type="dxa"/>
            <w:vAlign w:val="center"/>
            <w:hideMark/>
          </w:tcPr>
          <w:p w14:paraId="317AE574" w14:textId="77777777" w:rsidR="003133F6" w:rsidRPr="00436042" w:rsidRDefault="003133F6" w:rsidP="003B4AE3">
            <w:pPr>
              <w:rPr>
                <w:rFonts w:ascii="Verdana" w:eastAsia="Aptos" w:hAnsi="Verdana" w:cs="Arial"/>
                <w:sz w:val="14"/>
                <w:szCs w:val="14"/>
                <w:lang w:eastAsia="es-ES"/>
              </w:rPr>
            </w:pPr>
            <w:r w:rsidRPr="00436042">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52C161E4" w14:textId="77777777" w:rsidR="003133F6" w:rsidRPr="00436042" w:rsidRDefault="003133F6" w:rsidP="003B4AE3">
            <w:pPr>
              <w:rPr>
                <w:rFonts w:ascii="Verdana" w:eastAsia="Aptos" w:hAnsi="Verdana" w:cs="Arial"/>
                <w:sz w:val="14"/>
                <w:szCs w:val="14"/>
                <w:lang w:eastAsia="es-ES"/>
              </w:rPr>
            </w:pPr>
            <w:r w:rsidRPr="00436042">
              <w:rPr>
                <w:rFonts w:ascii="Verdana" w:eastAsia="Aptos" w:hAnsi="Verdana" w:cs="Arial"/>
                <w:sz w:val="14"/>
                <w:szCs w:val="14"/>
                <w:lang w:eastAsia="es-ES"/>
              </w:rPr>
              <w:t>Carolina Quintero Gacharná</w:t>
            </w:r>
          </w:p>
          <w:p w14:paraId="5FD53DFE" w14:textId="77777777" w:rsidR="003133F6" w:rsidRPr="00436042" w:rsidRDefault="003133F6" w:rsidP="003B4AE3">
            <w:pPr>
              <w:rPr>
                <w:rFonts w:ascii="Verdana" w:eastAsia="Aptos" w:hAnsi="Verdana" w:cs="Arial"/>
                <w:sz w:val="14"/>
                <w:szCs w:val="14"/>
                <w:lang w:eastAsia="es-ES"/>
              </w:rPr>
            </w:pPr>
            <w:r w:rsidRPr="00436042">
              <w:rPr>
                <w:rFonts w:ascii="Verdana" w:eastAsia="Aptos" w:hAnsi="Verdana" w:cs="Arial"/>
                <w:sz w:val="14"/>
                <w:szCs w:val="14"/>
                <w:lang w:eastAsia="es-ES"/>
              </w:rPr>
              <w:t>Subdirectora de Gestión Contractual ANCP – CCE</w:t>
            </w:r>
          </w:p>
        </w:tc>
      </w:tr>
    </w:tbl>
    <w:p w14:paraId="3FDB167E" w14:textId="77777777" w:rsidR="003133F6" w:rsidRPr="00436042" w:rsidRDefault="003133F6" w:rsidP="003133F6">
      <w:pPr>
        <w:spacing w:after="0" w:line="240" w:lineRule="auto"/>
        <w:rPr>
          <w:rFonts w:ascii="Verdana" w:eastAsia="Times New Roman" w:hAnsi="Verdana" w:cs="Arial"/>
          <w:sz w:val="24"/>
          <w:szCs w:val="24"/>
          <w:lang w:eastAsia="es-ES"/>
        </w:rPr>
      </w:pPr>
    </w:p>
    <w:p w14:paraId="52FAC201" w14:textId="77777777" w:rsidR="003133F6" w:rsidRPr="00436042" w:rsidRDefault="003133F6" w:rsidP="003133F6">
      <w:pPr>
        <w:rPr>
          <w:rFonts w:ascii="Verdana" w:eastAsia="Aptos" w:hAnsi="Verdana" w:cs="Times New Roman"/>
        </w:rPr>
      </w:pPr>
    </w:p>
    <w:p w14:paraId="78F17F38" w14:textId="77777777" w:rsidR="003133F6" w:rsidRPr="00436042" w:rsidRDefault="003133F6" w:rsidP="003133F6">
      <w:pPr>
        <w:rPr>
          <w:rFonts w:ascii="Verdana" w:eastAsia="Aptos" w:hAnsi="Verdana" w:cs="Times New Roman"/>
        </w:rPr>
      </w:pPr>
    </w:p>
    <w:p w14:paraId="63AA85E5" w14:textId="77777777" w:rsidR="003133F6" w:rsidRPr="000E2B93" w:rsidRDefault="003133F6" w:rsidP="003133F6">
      <w:pPr>
        <w:spacing w:after="0" w:line="240" w:lineRule="auto"/>
        <w:jc w:val="both"/>
        <w:textAlignment w:val="baseline"/>
        <w:rPr>
          <w:rFonts w:ascii="Verdana" w:eastAsia="Verdana" w:hAnsi="Verdana" w:cs="Verdana"/>
          <w:lang w:eastAsia="es-CO"/>
        </w:rPr>
      </w:pPr>
    </w:p>
    <w:p w14:paraId="1FDF9A74" w14:textId="17B5E543" w:rsidR="003133F6" w:rsidRPr="000E2B93" w:rsidRDefault="003133F6" w:rsidP="003133F6">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60351C12" w14:textId="77777777" w:rsidR="003133F6" w:rsidRPr="0015699B" w:rsidRDefault="003133F6" w:rsidP="003133F6">
      <w:pPr>
        <w:spacing w:after="0" w:line="240" w:lineRule="auto"/>
        <w:jc w:val="both"/>
        <w:textAlignment w:val="baseline"/>
        <w:rPr>
          <w:rFonts w:ascii="Verdana" w:eastAsia="Verdana" w:hAnsi="Verdana" w:cs="Verdana"/>
          <w:lang w:eastAsia="es-CO"/>
        </w:rPr>
      </w:pPr>
    </w:p>
    <w:p w14:paraId="168C1676" w14:textId="77777777" w:rsidR="003133F6" w:rsidRDefault="003133F6"/>
    <w:sectPr w:rsidR="003133F6" w:rsidSect="003133F6">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CB131" w14:textId="77777777" w:rsidR="00882330" w:rsidRDefault="00882330" w:rsidP="003133F6">
      <w:pPr>
        <w:spacing w:after="0" w:line="240" w:lineRule="auto"/>
      </w:pPr>
      <w:r>
        <w:separator/>
      </w:r>
    </w:p>
  </w:endnote>
  <w:endnote w:type="continuationSeparator" w:id="0">
    <w:p w14:paraId="42E58245" w14:textId="77777777" w:rsidR="00882330" w:rsidRDefault="00882330" w:rsidP="003133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49E25" w14:textId="77777777" w:rsidR="003133F6" w:rsidRDefault="003133F6">
    <w:pPr>
      <w:pStyle w:val="Piedepgina"/>
    </w:pPr>
  </w:p>
  <w:p w14:paraId="0A93ABF7" w14:textId="77777777" w:rsidR="003133F6" w:rsidRPr="00174B77" w:rsidRDefault="003133F6"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5E38D0E3" w14:textId="77777777" w:rsidR="003133F6" w:rsidRDefault="003133F6"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44B26A1C" w14:textId="77777777" w:rsidR="003133F6" w:rsidRPr="00E41027" w:rsidRDefault="003133F6"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0B9D7F41" w14:textId="77777777" w:rsidR="003133F6" w:rsidRDefault="003133F6"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436042">
      <w:rPr>
        <w:rFonts w:ascii="Verdana" w:eastAsia="Verdana" w:hAnsi="Verdana" w:cs="Verdana"/>
        <w:b/>
        <w:bCs/>
        <w:color w:val="000000"/>
        <w:sz w:val="18"/>
        <w:szCs w:val="18"/>
        <w:lang w:eastAsia="es-CO"/>
      </w:rPr>
      <w:t xml:space="preserve">Código: </w:t>
    </w:r>
    <w:r w:rsidRPr="00436042">
      <w:rPr>
        <w:rFonts w:ascii="Verdana" w:eastAsia="Verdana" w:hAnsi="Verdana" w:cs="Verdana"/>
        <w:color w:val="000000"/>
        <w:sz w:val="18"/>
        <w:szCs w:val="18"/>
        <w:lang w:eastAsia="es-CO"/>
      </w:rPr>
      <w:t xml:space="preserve">CCE-REC-FM-17 </w:t>
    </w:r>
    <w:r w:rsidRPr="00436042">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1C212" w14:textId="77777777" w:rsidR="00882330" w:rsidRDefault="00882330" w:rsidP="003133F6">
      <w:pPr>
        <w:spacing w:after="0" w:line="240" w:lineRule="auto"/>
      </w:pPr>
      <w:r>
        <w:separator/>
      </w:r>
    </w:p>
  </w:footnote>
  <w:footnote w:type="continuationSeparator" w:id="0">
    <w:p w14:paraId="48689333" w14:textId="77777777" w:rsidR="00882330" w:rsidRDefault="00882330" w:rsidP="003133F6">
      <w:pPr>
        <w:spacing w:after="0" w:line="240" w:lineRule="auto"/>
      </w:pPr>
      <w:r>
        <w:continuationSeparator/>
      </w:r>
    </w:p>
  </w:footnote>
  <w:footnote w:id="1">
    <w:p w14:paraId="3D0A3785" w14:textId="77777777" w:rsidR="003133F6" w:rsidRPr="003B4AE3" w:rsidRDefault="003133F6" w:rsidP="003133F6">
      <w:pPr>
        <w:spacing w:after="0" w:line="240" w:lineRule="auto"/>
        <w:ind w:firstLine="708"/>
        <w:jc w:val="both"/>
        <w:rPr>
          <w:rFonts w:ascii="Verdana" w:hAnsi="Verdana" w:cs="Arial"/>
          <w:sz w:val="14"/>
          <w:szCs w:val="14"/>
        </w:rPr>
      </w:pPr>
      <w:r w:rsidRPr="003B4AE3">
        <w:rPr>
          <w:rStyle w:val="Refdenotaalpie"/>
          <w:rFonts w:ascii="Verdana" w:hAnsi="Verdana" w:cs="Arial"/>
          <w:sz w:val="14"/>
          <w:szCs w:val="14"/>
        </w:rPr>
        <w:footnoteRef/>
      </w:r>
      <w:r w:rsidRPr="003B4AE3">
        <w:rPr>
          <w:rFonts w:ascii="Verdana" w:hAnsi="Verdana" w:cs="Arial"/>
          <w:sz w:val="14"/>
          <w:szCs w:val="14"/>
        </w:rPr>
        <w:t xml:space="preserve"> “Artículo 69. Se garantiza la autonomía universitaria. Las universidades podrán darse sus directivas y regirse por sus</w:t>
      </w:r>
      <w:r w:rsidRPr="003B4AE3">
        <w:rPr>
          <w:rFonts w:ascii="Verdana" w:hAnsi="Verdana" w:cs="Arial"/>
          <w:spacing w:val="-2"/>
          <w:sz w:val="14"/>
          <w:szCs w:val="14"/>
        </w:rPr>
        <w:t xml:space="preserve"> </w:t>
      </w:r>
      <w:r w:rsidRPr="003B4AE3">
        <w:rPr>
          <w:rFonts w:ascii="Verdana" w:hAnsi="Verdana" w:cs="Arial"/>
          <w:sz w:val="14"/>
          <w:szCs w:val="14"/>
        </w:rPr>
        <w:t>propios</w:t>
      </w:r>
      <w:r w:rsidRPr="003B4AE3">
        <w:rPr>
          <w:rFonts w:ascii="Verdana" w:hAnsi="Verdana" w:cs="Arial"/>
          <w:spacing w:val="-2"/>
          <w:sz w:val="14"/>
          <w:szCs w:val="14"/>
        </w:rPr>
        <w:t xml:space="preserve"> </w:t>
      </w:r>
      <w:r w:rsidRPr="003B4AE3">
        <w:rPr>
          <w:rFonts w:ascii="Verdana" w:hAnsi="Verdana" w:cs="Arial"/>
          <w:sz w:val="14"/>
          <w:szCs w:val="14"/>
        </w:rPr>
        <w:t>estatutos,</w:t>
      </w:r>
      <w:r w:rsidRPr="003B4AE3">
        <w:rPr>
          <w:rFonts w:ascii="Verdana" w:hAnsi="Verdana" w:cs="Arial"/>
          <w:spacing w:val="-4"/>
          <w:sz w:val="14"/>
          <w:szCs w:val="14"/>
        </w:rPr>
        <w:t xml:space="preserve"> </w:t>
      </w:r>
      <w:r w:rsidRPr="003B4AE3">
        <w:rPr>
          <w:rFonts w:ascii="Verdana" w:hAnsi="Verdana" w:cs="Arial"/>
          <w:sz w:val="14"/>
          <w:szCs w:val="14"/>
        </w:rPr>
        <w:t>de</w:t>
      </w:r>
      <w:r w:rsidRPr="003B4AE3">
        <w:rPr>
          <w:rFonts w:ascii="Verdana" w:hAnsi="Verdana" w:cs="Arial"/>
          <w:spacing w:val="-4"/>
          <w:sz w:val="14"/>
          <w:szCs w:val="14"/>
        </w:rPr>
        <w:t xml:space="preserve"> </w:t>
      </w:r>
      <w:r w:rsidRPr="003B4AE3">
        <w:rPr>
          <w:rFonts w:ascii="Verdana" w:hAnsi="Verdana" w:cs="Arial"/>
          <w:sz w:val="14"/>
          <w:szCs w:val="14"/>
        </w:rPr>
        <w:t>acuerdo</w:t>
      </w:r>
      <w:r w:rsidRPr="003B4AE3">
        <w:rPr>
          <w:rFonts w:ascii="Verdana" w:hAnsi="Verdana" w:cs="Arial"/>
          <w:spacing w:val="-4"/>
          <w:sz w:val="14"/>
          <w:szCs w:val="14"/>
        </w:rPr>
        <w:t xml:space="preserve"> </w:t>
      </w:r>
      <w:r w:rsidRPr="003B4AE3">
        <w:rPr>
          <w:rFonts w:ascii="Verdana" w:hAnsi="Verdana" w:cs="Arial"/>
          <w:sz w:val="14"/>
          <w:szCs w:val="14"/>
        </w:rPr>
        <w:t>con</w:t>
      </w:r>
      <w:r w:rsidRPr="003B4AE3">
        <w:rPr>
          <w:rFonts w:ascii="Verdana" w:hAnsi="Verdana" w:cs="Arial"/>
          <w:spacing w:val="-1"/>
          <w:sz w:val="14"/>
          <w:szCs w:val="14"/>
        </w:rPr>
        <w:t xml:space="preserve"> </w:t>
      </w:r>
      <w:r w:rsidRPr="003B4AE3">
        <w:rPr>
          <w:rFonts w:ascii="Verdana" w:hAnsi="Verdana" w:cs="Arial"/>
          <w:sz w:val="14"/>
          <w:szCs w:val="14"/>
        </w:rPr>
        <w:t>la</w:t>
      </w:r>
      <w:r w:rsidRPr="003B4AE3">
        <w:rPr>
          <w:rFonts w:ascii="Verdana" w:hAnsi="Verdana" w:cs="Arial"/>
          <w:spacing w:val="-1"/>
          <w:sz w:val="14"/>
          <w:szCs w:val="14"/>
        </w:rPr>
        <w:t xml:space="preserve"> </w:t>
      </w:r>
      <w:r w:rsidRPr="003B4AE3">
        <w:rPr>
          <w:rFonts w:ascii="Verdana" w:hAnsi="Verdana" w:cs="Arial"/>
          <w:sz w:val="14"/>
          <w:szCs w:val="14"/>
        </w:rPr>
        <w:t>ley.</w:t>
      </w:r>
      <w:r w:rsidRPr="003B4AE3">
        <w:rPr>
          <w:rFonts w:ascii="Verdana" w:hAnsi="Verdana" w:cs="Arial"/>
          <w:spacing w:val="-2"/>
          <w:sz w:val="14"/>
          <w:szCs w:val="14"/>
        </w:rPr>
        <w:t xml:space="preserve"> </w:t>
      </w:r>
      <w:r w:rsidRPr="003B4AE3">
        <w:rPr>
          <w:rFonts w:ascii="Verdana" w:hAnsi="Verdana" w:cs="Arial"/>
          <w:sz w:val="14"/>
          <w:szCs w:val="14"/>
        </w:rPr>
        <w:t>La</w:t>
      </w:r>
      <w:r w:rsidRPr="003B4AE3">
        <w:rPr>
          <w:rFonts w:ascii="Verdana" w:hAnsi="Verdana" w:cs="Arial"/>
          <w:spacing w:val="-1"/>
          <w:sz w:val="14"/>
          <w:szCs w:val="14"/>
        </w:rPr>
        <w:t xml:space="preserve"> </w:t>
      </w:r>
      <w:r w:rsidRPr="003B4AE3">
        <w:rPr>
          <w:rFonts w:ascii="Verdana" w:hAnsi="Verdana" w:cs="Arial"/>
          <w:sz w:val="14"/>
          <w:szCs w:val="14"/>
        </w:rPr>
        <w:t>ley</w:t>
      </w:r>
      <w:r w:rsidRPr="003B4AE3">
        <w:rPr>
          <w:rFonts w:ascii="Verdana" w:hAnsi="Verdana" w:cs="Arial"/>
          <w:spacing w:val="-5"/>
          <w:sz w:val="14"/>
          <w:szCs w:val="14"/>
        </w:rPr>
        <w:t xml:space="preserve"> </w:t>
      </w:r>
      <w:r w:rsidRPr="003B4AE3">
        <w:rPr>
          <w:rFonts w:ascii="Verdana" w:hAnsi="Verdana" w:cs="Arial"/>
          <w:sz w:val="14"/>
          <w:szCs w:val="14"/>
        </w:rPr>
        <w:t>establecerá</w:t>
      </w:r>
      <w:r w:rsidRPr="003B4AE3">
        <w:rPr>
          <w:rFonts w:ascii="Verdana" w:hAnsi="Verdana" w:cs="Arial"/>
          <w:spacing w:val="-1"/>
          <w:sz w:val="14"/>
          <w:szCs w:val="14"/>
        </w:rPr>
        <w:t xml:space="preserve"> </w:t>
      </w:r>
      <w:r w:rsidRPr="003B4AE3">
        <w:rPr>
          <w:rFonts w:ascii="Verdana" w:hAnsi="Verdana" w:cs="Arial"/>
          <w:sz w:val="14"/>
          <w:szCs w:val="14"/>
        </w:rPr>
        <w:t>un</w:t>
      </w:r>
      <w:r w:rsidRPr="003B4AE3">
        <w:rPr>
          <w:rFonts w:ascii="Verdana" w:hAnsi="Verdana" w:cs="Arial"/>
          <w:spacing w:val="-1"/>
          <w:sz w:val="14"/>
          <w:szCs w:val="14"/>
        </w:rPr>
        <w:t xml:space="preserve"> </w:t>
      </w:r>
      <w:r w:rsidRPr="003B4AE3">
        <w:rPr>
          <w:rFonts w:ascii="Verdana" w:hAnsi="Verdana" w:cs="Arial"/>
          <w:sz w:val="14"/>
          <w:szCs w:val="14"/>
        </w:rPr>
        <w:t>régimen</w:t>
      </w:r>
      <w:r w:rsidRPr="003B4AE3">
        <w:rPr>
          <w:rFonts w:ascii="Verdana" w:hAnsi="Verdana" w:cs="Arial"/>
          <w:spacing w:val="-4"/>
          <w:sz w:val="14"/>
          <w:szCs w:val="14"/>
        </w:rPr>
        <w:t xml:space="preserve"> </w:t>
      </w:r>
      <w:r w:rsidRPr="003B4AE3">
        <w:rPr>
          <w:rFonts w:ascii="Verdana" w:hAnsi="Verdana" w:cs="Arial"/>
          <w:sz w:val="14"/>
          <w:szCs w:val="14"/>
        </w:rPr>
        <w:t>especial</w:t>
      </w:r>
      <w:r w:rsidRPr="003B4AE3">
        <w:rPr>
          <w:rFonts w:ascii="Verdana" w:hAnsi="Verdana" w:cs="Arial"/>
          <w:spacing w:val="-5"/>
          <w:sz w:val="14"/>
          <w:szCs w:val="14"/>
        </w:rPr>
        <w:t xml:space="preserve"> </w:t>
      </w:r>
      <w:r w:rsidRPr="003B4AE3">
        <w:rPr>
          <w:rFonts w:ascii="Verdana" w:hAnsi="Verdana" w:cs="Arial"/>
          <w:sz w:val="14"/>
          <w:szCs w:val="14"/>
        </w:rPr>
        <w:t>para</w:t>
      </w:r>
      <w:r w:rsidRPr="003B4AE3">
        <w:rPr>
          <w:rFonts w:ascii="Verdana" w:hAnsi="Verdana" w:cs="Arial"/>
          <w:spacing w:val="-1"/>
          <w:sz w:val="14"/>
          <w:szCs w:val="14"/>
        </w:rPr>
        <w:t xml:space="preserve"> </w:t>
      </w:r>
      <w:r w:rsidRPr="003B4AE3">
        <w:rPr>
          <w:rFonts w:ascii="Verdana" w:hAnsi="Verdana" w:cs="Arial"/>
          <w:sz w:val="14"/>
          <w:szCs w:val="14"/>
        </w:rPr>
        <w:t>las</w:t>
      </w:r>
      <w:r w:rsidRPr="003B4AE3">
        <w:rPr>
          <w:rFonts w:ascii="Verdana" w:hAnsi="Verdana" w:cs="Arial"/>
          <w:spacing w:val="-5"/>
          <w:sz w:val="14"/>
          <w:szCs w:val="14"/>
        </w:rPr>
        <w:t xml:space="preserve"> </w:t>
      </w:r>
      <w:r w:rsidRPr="003B4AE3">
        <w:rPr>
          <w:rFonts w:ascii="Verdana" w:hAnsi="Verdana" w:cs="Arial"/>
          <w:sz w:val="14"/>
          <w:szCs w:val="14"/>
        </w:rPr>
        <w:t>universidades</w:t>
      </w:r>
      <w:r w:rsidRPr="003B4AE3">
        <w:rPr>
          <w:rFonts w:ascii="Verdana" w:hAnsi="Verdana" w:cs="Arial"/>
          <w:spacing w:val="-2"/>
          <w:sz w:val="14"/>
          <w:szCs w:val="14"/>
        </w:rPr>
        <w:t xml:space="preserve"> </w:t>
      </w:r>
      <w:r w:rsidRPr="003B4AE3">
        <w:rPr>
          <w:rFonts w:ascii="Verdana" w:hAnsi="Verdana" w:cs="Arial"/>
          <w:sz w:val="14"/>
          <w:szCs w:val="14"/>
        </w:rPr>
        <w:t>del</w:t>
      </w:r>
      <w:r w:rsidRPr="003B4AE3">
        <w:rPr>
          <w:rFonts w:ascii="Verdana" w:hAnsi="Verdana" w:cs="Arial"/>
          <w:spacing w:val="-3"/>
          <w:sz w:val="14"/>
          <w:szCs w:val="14"/>
        </w:rPr>
        <w:t xml:space="preserve"> </w:t>
      </w:r>
      <w:r w:rsidRPr="003B4AE3">
        <w:rPr>
          <w:rFonts w:ascii="Verdana" w:hAnsi="Verdana" w:cs="Arial"/>
          <w:sz w:val="14"/>
          <w:szCs w:val="14"/>
        </w:rPr>
        <w:t>Estado”.</w:t>
      </w:r>
    </w:p>
    <w:p w14:paraId="4C00B13F" w14:textId="77777777" w:rsidR="003133F6" w:rsidRPr="003B4AE3" w:rsidRDefault="003133F6" w:rsidP="003133F6">
      <w:pPr>
        <w:pStyle w:val="Textonotapie"/>
        <w:jc w:val="both"/>
        <w:rPr>
          <w:rFonts w:ascii="Verdana" w:hAnsi="Verdana" w:cs="Arial"/>
          <w:sz w:val="14"/>
          <w:szCs w:val="14"/>
        </w:rPr>
      </w:pPr>
      <w:r w:rsidRPr="003B4AE3">
        <w:rPr>
          <w:rFonts w:ascii="Verdana" w:hAnsi="Verdana" w:cs="Arial"/>
          <w:sz w:val="14"/>
          <w:szCs w:val="14"/>
        </w:rPr>
        <w:tab/>
      </w:r>
    </w:p>
  </w:footnote>
  <w:footnote w:id="2">
    <w:p w14:paraId="519CA61C" w14:textId="77777777" w:rsidR="003133F6" w:rsidRPr="003B4AE3" w:rsidRDefault="003133F6" w:rsidP="003133F6">
      <w:pPr>
        <w:pStyle w:val="Textonotapie"/>
        <w:ind w:firstLine="708"/>
        <w:jc w:val="both"/>
        <w:rPr>
          <w:rFonts w:ascii="Verdana" w:hAnsi="Verdana" w:cs="Arial"/>
          <w:sz w:val="14"/>
          <w:szCs w:val="14"/>
        </w:rPr>
      </w:pPr>
      <w:r w:rsidRPr="003B4AE3">
        <w:rPr>
          <w:rStyle w:val="Refdenotaalpie"/>
          <w:rFonts w:ascii="Verdana" w:hAnsi="Verdana" w:cs="Arial"/>
          <w:sz w:val="14"/>
          <w:szCs w:val="14"/>
        </w:rPr>
        <w:footnoteRef/>
      </w:r>
      <w:r w:rsidRPr="003B4AE3">
        <w:rPr>
          <w:rFonts w:ascii="Verdana" w:hAnsi="Verdana" w:cs="Arial"/>
          <w:sz w:val="14"/>
          <w:szCs w:val="14"/>
        </w:rPr>
        <w:t xml:space="preserve"> “Artículo 57. Las universidades estatales u oficiales deben organizarse como entes universitarios autónomos, con régimen especial y vinculados al Ministerio de Educación Nacional en lo que se refiere a las políticas y la planeación del sector educativo.</w:t>
      </w:r>
    </w:p>
    <w:p w14:paraId="019D736A" w14:textId="77777777" w:rsidR="003133F6" w:rsidRPr="003B4AE3" w:rsidRDefault="003133F6" w:rsidP="003133F6">
      <w:pPr>
        <w:pStyle w:val="Textonotapie"/>
        <w:ind w:firstLine="708"/>
        <w:jc w:val="both"/>
        <w:rPr>
          <w:rFonts w:ascii="Verdana" w:hAnsi="Verdana" w:cs="Arial"/>
          <w:sz w:val="14"/>
          <w:szCs w:val="14"/>
        </w:rPr>
      </w:pPr>
      <w:r w:rsidRPr="003B4AE3">
        <w:rPr>
          <w:rFonts w:ascii="Verdana" w:hAnsi="Verdana" w:cs="Arial"/>
          <w:sz w:val="14"/>
          <w:szCs w:val="14"/>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10616AEC" w14:textId="77777777" w:rsidR="003133F6" w:rsidRPr="003B4AE3" w:rsidRDefault="003133F6" w:rsidP="003133F6">
      <w:pPr>
        <w:pStyle w:val="Textonotapie"/>
        <w:jc w:val="both"/>
        <w:rPr>
          <w:rFonts w:ascii="Verdana" w:hAnsi="Verdana" w:cs="Arial"/>
          <w:sz w:val="14"/>
          <w:szCs w:val="14"/>
          <w:lang w:val="es-CO"/>
        </w:rPr>
      </w:pPr>
      <w:r w:rsidRPr="003B4AE3">
        <w:rPr>
          <w:rFonts w:ascii="Verdana" w:hAnsi="Verdana" w:cs="Arial"/>
          <w:sz w:val="14"/>
          <w:szCs w:val="14"/>
        </w:rPr>
        <w:tab/>
      </w:r>
      <w:r w:rsidRPr="003B4AE3">
        <w:rPr>
          <w:rFonts w:ascii="Verdana" w:hAnsi="Verdana" w:cs="Arial"/>
          <w:sz w:val="14"/>
          <w:szCs w:val="14"/>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p>
    <w:p w14:paraId="044FA92B" w14:textId="77777777" w:rsidR="003133F6" w:rsidRPr="003B4AE3" w:rsidRDefault="003133F6" w:rsidP="003133F6">
      <w:pPr>
        <w:pStyle w:val="Textonotapie"/>
        <w:jc w:val="both"/>
        <w:rPr>
          <w:rFonts w:ascii="Verdana" w:hAnsi="Verdana" w:cs="Arial"/>
          <w:sz w:val="14"/>
          <w:szCs w:val="14"/>
          <w:lang w:val="es-ES"/>
        </w:rPr>
      </w:pPr>
      <w:r w:rsidRPr="003B4AE3">
        <w:rPr>
          <w:rFonts w:ascii="Verdana" w:hAnsi="Verdana" w:cs="Arial"/>
          <w:sz w:val="14"/>
          <w:szCs w:val="14"/>
          <w:lang w:val="es-ES"/>
        </w:rPr>
        <w:tab/>
      </w:r>
    </w:p>
  </w:footnote>
  <w:footnote w:id="3">
    <w:p w14:paraId="7F1995E5" w14:textId="77777777" w:rsidR="003133F6" w:rsidRPr="003B4AE3" w:rsidRDefault="003133F6" w:rsidP="003133F6">
      <w:pPr>
        <w:spacing w:after="0" w:line="240" w:lineRule="auto"/>
        <w:ind w:firstLine="708"/>
        <w:jc w:val="both"/>
        <w:rPr>
          <w:rFonts w:ascii="Verdana" w:hAnsi="Verdana" w:cs="Arial"/>
          <w:sz w:val="14"/>
          <w:szCs w:val="14"/>
        </w:rPr>
      </w:pPr>
      <w:r w:rsidRPr="003B4AE3">
        <w:rPr>
          <w:rStyle w:val="Refdenotaalpie"/>
          <w:rFonts w:ascii="Verdana" w:hAnsi="Verdana" w:cs="Arial"/>
          <w:sz w:val="14"/>
          <w:szCs w:val="14"/>
        </w:rPr>
        <w:footnoteRef/>
      </w:r>
      <w:r w:rsidRPr="003B4AE3">
        <w:rPr>
          <w:rFonts w:ascii="Verdana" w:hAnsi="Verdana" w:cs="Arial"/>
          <w:sz w:val="14"/>
          <w:szCs w:val="14"/>
        </w:rPr>
        <w:t xml:space="preserve"> “Artículo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13986E63" w14:textId="77777777" w:rsidR="003133F6" w:rsidRPr="003B4AE3" w:rsidRDefault="003133F6" w:rsidP="003133F6">
      <w:pPr>
        <w:spacing w:after="0" w:line="240" w:lineRule="auto"/>
        <w:ind w:firstLine="708"/>
        <w:jc w:val="both"/>
        <w:rPr>
          <w:rFonts w:ascii="Verdana" w:hAnsi="Verdana" w:cs="Arial"/>
          <w:sz w:val="14"/>
          <w:szCs w:val="14"/>
        </w:rPr>
      </w:pPr>
    </w:p>
  </w:footnote>
  <w:footnote w:id="4">
    <w:p w14:paraId="59CF9552" w14:textId="77777777" w:rsidR="003133F6" w:rsidRPr="003B4AE3" w:rsidRDefault="003133F6" w:rsidP="003133F6">
      <w:pPr>
        <w:spacing w:after="0" w:line="240" w:lineRule="auto"/>
        <w:ind w:firstLine="708"/>
        <w:jc w:val="both"/>
        <w:rPr>
          <w:rFonts w:ascii="Verdana" w:hAnsi="Verdana" w:cs="Arial"/>
          <w:sz w:val="14"/>
          <w:szCs w:val="14"/>
        </w:rPr>
      </w:pPr>
      <w:r w:rsidRPr="003B4AE3">
        <w:rPr>
          <w:rStyle w:val="Refdenotaalpie"/>
          <w:rFonts w:ascii="Verdana" w:hAnsi="Verdana" w:cs="Arial"/>
          <w:sz w:val="14"/>
          <w:szCs w:val="14"/>
        </w:rPr>
        <w:footnoteRef/>
      </w:r>
      <w:r w:rsidRPr="003B4AE3">
        <w:rPr>
          <w:rFonts w:ascii="Verdana" w:hAnsi="Verdana" w:cs="Arial"/>
          <w:sz w:val="14"/>
          <w:szCs w:val="14"/>
        </w:rPr>
        <w:t xml:space="preserve"> “Artículo 40.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0BA03DF7" w14:textId="77777777" w:rsidR="003133F6" w:rsidRPr="003B4AE3" w:rsidRDefault="003133F6" w:rsidP="003133F6">
      <w:pPr>
        <w:spacing w:after="0" w:line="240" w:lineRule="auto"/>
        <w:ind w:firstLine="708"/>
        <w:jc w:val="both"/>
        <w:rPr>
          <w:rFonts w:ascii="Verdana" w:hAnsi="Verdana" w:cs="Arial"/>
          <w:sz w:val="14"/>
          <w:szCs w:val="14"/>
        </w:rPr>
      </w:pPr>
    </w:p>
  </w:footnote>
  <w:footnote w:id="5">
    <w:p w14:paraId="1D75D1AC" w14:textId="77777777" w:rsidR="003133F6" w:rsidRPr="003B4AE3" w:rsidRDefault="003133F6" w:rsidP="003133F6">
      <w:pPr>
        <w:spacing w:after="0" w:line="240" w:lineRule="auto"/>
        <w:ind w:firstLine="708"/>
        <w:jc w:val="both"/>
        <w:rPr>
          <w:rFonts w:ascii="Verdana" w:hAnsi="Verdana" w:cs="Arial"/>
          <w:sz w:val="14"/>
          <w:szCs w:val="14"/>
        </w:rPr>
      </w:pPr>
      <w:r w:rsidRPr="003B4AE3">
        <w:rPr>
          <w:rStyle w:val="Refdenotaalpie"/>
          <w:rFonts w:ascii="Verdana" w:hAnsi="Verdana" w:cs="Arial"/>
          <w:sz w:val="14"/>
          <w:szCs w:val="14"/>
        </w:rPr>
        <w:footnoteRef/>
      </w:r>
      <w:r w:rsidRPr="003B4AE3">
        <w:rPr>
          <w:rFonts w:ascii="Verdana" w:hAnsi="Verdana" w:cs="Arial"/>
          <w:sz w:val="14"/>
          <w:szCs w:val="14"/>
        </w:rPr>
        <w:t xml:space="preserve"> Corte Constitucional. Sentencia C-121 de 2003. M.P. Clara Inés Vargas Hernández.</w:t>
      </w:r>
    </w:p>
    <w:p w14:paraId="4BF97C04" w14:textId="77777777" w:rsidR="003133F6" w:rsidRPr="003B4AE3" w:rsidRDefault="003133F6" w:rsidP="003133F6">
      <w:pPr>
        <w:spacing w:after="0" w:line="240" w:lineRule="auto"/>
        <w:jc w:val="both"/>
        <w:rPr>
          <w:rFonts w:ascii="Verdana" w:hAnsi="Verdana" w:cs="Arial"/>
          <w:sz w:val="14"/>
          <w:szCs w:val="14"/>
        </w:rPr>
      </w:pPr>
      <w:r w:rsidRPr="003B4AE3">
        <w:rPr>
          <w:rFonts w:ascii="Verdana" w:hAnsi="Verdana" w:cs="Arial"/>
          <w:sz w:val="14"/>
          <w:szCs w:val="14"/>
        </w:rPr>
        <w:tab/>
      </w:r>
    </w:p>
  </w:footnote>
  <w:footnote w:id="6">
    <w:p w14:paraId="3D1778B3" w14:textId="77777777" w:rsidR="003133F6" w:rsidRPr="003B4AE3" w:rsidRDefault="003133F6" w:rsidP="003133F6">
      <w:pPr>
        <w:spacing w:after="0" w:line="240" w:lineRule="auto"/>
        <w:ind w:firstLine="709"/>
        <w:jc w:val="both"/>
        <w:rPr>
          <w:rFonts w:ascii="Verdana" w:hAnsi="Verdana" w:cs="Arial"/>
          <w:sz w:val="14"/>
          <w:szCs w:val="14"/>
        </w:rPr>
      </w:pPr>
      <w:r w:rsidRPr="003B4AE3">
        <w:rPr>
          <w:rStyle w:val="Refdenotaalpie"/>
          <w:rFonts w:ascii="Verdana" w:hAnsi="Verdana" w:cs="Arial"/>
          <w:sz w:val="14"/>
          <w:szCs w:val="14"/>
        </w:rPr>
        <w:footnoteRef/>
      </w:r>
      <w:r w:rsidRPr="003B4AE3">
        <w:rPr>
          <w:rFonts w:ascii="Verdana" w:hAnsi="Verdana" w:cs="Arial"/>
          <w:sz w:val="14"/>
          <w:szCs w:val="14"/>
        </w:rPr>
        <w:t xml:space="preserve"> Corte</w:t>
      </w:r>
      <w:r w:rsidRPr="003B4AE3">
        <w:rPr>
          <w:rFonts w:ascii="Verdana" w:hAnsi="Verdana" w:cs="Arial"/>
          <w:spacing w:val="10"/>
          <w:sz w:val="14"/>
          <w:szCs w:val="14"/>
        </w:rPr>
        <w:t xml:space="preserve"> </w:t>
      </w:r>
      <w:r w:rsidRPr="003B4AE3">
        <w:rPr>
          <w:rFonts w:ascii="Verdana" w:hAnsi="Verdana" w:cs="Arial"/>
          <w:sz w:val="14"/>
          <w:szCs w:val="14"/>
        </w:rPr>
        <w:t>Constitucional.</w:t>
      </w:r>
      <w:r w:rsidRPr="003B4AE3">
        <w:rPr>
          <w:rFonts w:ascii="Verdana" w:hAnsi="Verdana" w:cs="Arial"/>
          <w:spacing w:val="11"/>
          <w:sz w:val="14"/>
          <w:szCs w:val="14"/>
        </w:rPr>
        <w:t xml:space="preserve"> </w:t>
      </w:r>
      <w:r w:rsidRPr="003B4AE3">
        <w:rPr>
          <w:rFonts w:ascii="Verdana" w:hAnsi="Verdana" w:cs="Arial"/>
          <w:sz w:val="14"/>
          <w:szCs w:val="14"/>
        </w:rPr>
        <w:t>Sentencia</w:t>
      </w:r>
      <w:r w:rsidRPr="003B4AE3">
        <w:rPr>
          <w:rFonts w:ascii="Verdana" w:hAnsi="Verdana" w:cs="Arial"/>
          <w:spacing w:val="10"/>
          <w:sz w:val="14"/>
          <w:szCs w:val="14"/>
        </w:rPr>
        <w:t xml:space="preserve"> </w:t>
      </w:r>
      <w:r w:rsidRPr="003B4AE3">
        <w:rPr>
          <w:rFonts w:ascii="Verdana" w:hAnsi="Verdana" w:cs="Arial"/>
          <w:sz w:val="14"/>
          <w:szCs w:val="14"/>
        </w:rPr>
        <w:t>C-1019</w:t>
      </w:r>
      <w:r w:rsidRPr="003B4AE3">
        <w:rPr>
          <w:rFonts w:ascii="Verdana" w:hAnsi="Verdana" w:cs="Arial"/>
          <w:spacing w:val="10"/>
          <w:sz w:val="14"/>
          <w:szCs w:val="14"/>
        </w:rPr>
        <w:t xml:space="preserve"> </w:t>
      </w:r>
      <w:r w:rsidRPr="003B4AE3">
        <w:rPr>
          <w:rFonts w:ascii="Verdana" w:hAnsi="Verdana" w:cs="Arial"/>
          <w:sz w:val="14"/>
          <w:szCs w:val="14"/>
        </w:rPr>
        <w:t>del</w:t>
      </w:r>
      <w:r w:rsidRPr="003B4AE3">
        <w:rPr>
          <w:rFonts w:ascii="Verdana" w:hAnsi="Verdana" w:cs="Arial"/>
          <w:spacing w:val="9"/>
          <w:sz w:val="14"/>
          <w:szCs w:val="14"/>
        </w:rPr>
        <w:t xml:space="preserve"> </w:t>
      </w:r>
      <w:r w:rsidRPr="003B4AE3">
        <w:rPr>
          <w:rFonts w:ascii="Verdana" w:hAnsi="Verdana" w:cs="Arial"/>
          <w:sz w:val="14"/>
          <w:szCs w:val="14"/>
        </w:rPr>
        <w:t>28</w:t>
      </w:r>
      <w:r w:rsidRPr="003B4AE3">
        <w:rPr>
          <w:rFonts w:ascii="Verdana" w:hAnsi="Verdana" w:cs="Arial"/>
          <w:spacing w:val="10"/>
          <w:sz w:val="14"/>
          <w:szCs w:val="14"/>
        </w:rPr>
        <w:t xml:space="preserve"> </w:t>
      </w:r>
      <w:r w:rsidRPr="003B4AE3">
        <w:rPr>
          <w:rFonts w:ascii="Verdana" w:hAnsi="Verdana" w:cs="Arial"/>
          <w:sz w:val="14"/>
          <w:szCs w:val="14"/>
        </w:rPr>
        <w:t>de</w:t>
      </w:r>
      <w:r w:rsidRPr="003B4AE3">
        <w:rPr>
          <w:rFonts w:ascii="Verdana" w:hAnsi="Verdana" w:cs="Arial"/>
          <w:spacing w:val="10"/>
          <w:sz w:val="14"/>
          <w:szCs w:val="14"/>
        </w:rPr>
        <w:t xml:space="preserve"> </w:t>
      </w:r>
      <w:r w:rsidRPr="003B4AE3">
        <w:rPr>
          <w:rFonts w:ascii="Verdana" w:hAnsi="Verdana" w:cs="Arial"/>
          <w:sz w:val="14"/>
          <w:szCs w:val="14"/>
        </w:rPr>
        <w:t>noviembre</w:t>
      </w:r>
      <w:r w:rsidRPr="003B4AE3">
        <w:rPr>
          <w:rFonts w:ascii="Verdana" w:hAnsi="Verdana" w:cs="Arial"/>
          <w:spacing w:val="10"/>
          <w:sz w:val="14"/>
          <w:szCs w:val="14"/>
        </w:rPr>
        <w:t xml:space="preserve"> </w:t>
      </w:r>
      <w:r w:rsidRPr="003B4AE3">
        <w:rPr>
          <w:rFonts w:ascii="Verdana" w:hAnsi="Verdana" w:cs="Arial"/>
          <w:sz w:val="14"/>
          <w:szCs w:val="14"/>
        </w:rPr>
        <w:t>de</w:t>
      </w:r>
      <w:r w:rsidRPr="003B4AE3">
        <w:rPr>
          <w:rFonts w:ascii="Verdana" w:hAnsi="Verdana" w:cs="Arial"/>
          <w:spacing w:val="10"/>
          <w:sz w:val="14"/>
          <w:szCs w:val="14"/>
        </w:rPr>
        <w:t xml:space="preserve"> </w:t>
      </w:r>
      <w:r w:rsidRPr="003B4AE3">
        <w:rPr>
          <w:rFonts w:ascii="Verdana" w:hAnsi="Verdana" w:cs="Arial"/>
          <w:sz w:val="14"/>
          <w:szCs w:val="14"/>
        </w:rPr>
        <w:t>2012.</w:t>
      </w:r>
      <w:r w:rsidRPr="003B4AE3">
        <w:rPr>
          <w:rFonts w:ascii="Verdana" w:hAnsi="Verdana" w:cs="Arial"/>
          <w:spacing w:val="10"/>
          <w:sz w:val="14"/>
          <w:szCs w:val="14"/>
        </w:rPr>
        <w:t xml:space="preserve"> </w:t>
      </w:r>
      <w:r w:rsidRPr="003B4AE3">
        <w:rPr>
          <w:rFonts w:ascii="Verdana" w:hAnsi="Verdana" w:cs="Arial"/>
          <w:sz w:val="14"/>
          <w:szCs w:val="14"/>
        </w:rPr>
        <w:t>M.P.</w:t>
      </w:r>
      <w:r w:rsidRPr="003B4AE3">
        <w:rPr>
          <w:rFonts w:ascii="Verdana" w:hAnsi="Verdana" w:cs="Arial"/>
          <w:spacing w:val="10"/>
          <w:sz w:val="14"/>
          <w:szCs w:val="14"/>
        </w:rPr>
        <w:t xml:space="preserve"> </w:t>
      </w:r>
      <w:r w:rsidRPr="003B4AE3">
        <w:rPr>
          <w:rFonts w:ascii="Verdana" w:hAnsi="Verdana" w:cs="Arial"/>
          <w:sz w:val="14"/>
          <w:szCs w:val="14"/>
        </w:rPr>
        <w:t>Mauricio</w:t>
      </w:r>
      <w:r w:rsidRPr="003B4AE3">
        <w:rPr>
          <w:rFonts w:ascii="Verdana" w:hAnsi="Verdana" w:cs="Arial"/>
          <w:spacing w:val="8"/>
          <w:sz w:val="14"/>
          <w:szCs w:val="14"/>
        </w:rPr>
        <w:t xml:space="preserve"> </w:t>
      </w:r>
      <w:r w:rsidRPr="003B4AE3">
        <w:rPr>
          <w:rFonts w:ascii="Verdana" w:hAnsi="Verdana" w:cs="Arial"/>
          <w:sz w:val="14"/>
          <w:szCs w:val="14"/>
        </w:rPr>
        <w:t>González.</w:t>
      </w:r>
    </w:p>
    <w:p w14:paraId="487E3D4C" w14:textId="77777777" w:rsidR="003133F6" w:rsidRPr="003B4AE3" w:rsidRDefault="003133F6" w:rsidP="003133F6">
      <w:pPr>
        <w:pStyle w:val="Textonotapie"/>
        <w:jc w:val="both"/>
        <w:rPr>
          <w:rFonts w:ascii="Verdana" w:hAnsi="Verdana" w:cs="Arial"/>
          <w:sz w:val="14"/>
          <w:szCs w:val="14"/>
        </w:rPr>
      </w:pPr>
    </w:p>
  </w:footnote>
  <w:footnote w:id="7">
    <w:p w14:paraId="2E027762" w14:textId="77777777" w:rsidR="003133F6" w:rsidRPr="003B4AE3" w:rsidRDefault="003133F6" w:rsidP="003133F6">
      <w:pPr>
        <w:pStyle w:val="Textonotapie"/>
        <w:ind w:firstLine="708"/>
        <w:jc w:val="both"/>
        <w:rPr>
          <w:rFonts w:ascii="Verdana" w:hAnsi="Verdana" w:cs="Arial"/>
          <w:sz w:val="14"/>
          <w:szCs w:val="14"/>
          <w:lang w:val="es-ES_tradnl"/>
        </w:rPr>
      </w:pPr>
      <w:r w:rsidRPr="003B4AE3">
        <w:rPr>
          <w:rStyle w:val="Refdenotaalpie"/>
          <w:rFonts w:ascii="Verdana" w:hAnsi="Verdana" w:cs="Arial"/>
          <w:sz w:val="14"/>
          <w:szCs w:val="14"/>
        </w:rPr>
        <w:footnoteRef/>
      </w:r>
      <w:r w:rsidRPr="003B4AE3">
        <w:rPr>
          <w:rFonts w:ascii="Verdana" w:hAnsi="Verdana" w:cs="Arial"/>
          <w:sz w:val="14"/>
          <w:szCs w:val="14"/>
        </w:rPr>
        <w:t xml:space="preserve"> CONSEJO DE ESTADO. Sección Cuarta. Sentencia del 16 de diciembre de 2008. Exp. 16.297. C.P. Martha Teresa Briceño de Valencia</w:t>
      </w:r>
    </w:p>
  </w:footnote>
  <w:footnote w:id="8">
    <w:p w14:paraId="2FAABE39" w14:textId="77777777" w:rsidR="003133F6" w:rsidRPr="003B4AE3" w:rsidRDefault="003133F6" w:rsidP="003133F6">
      <w:pPr>
        <w:pStyle w:val="Textonotapie"/>
        <w:jc w:val="both"/>
        <w:rPr>
          <w:rFonts w:ascii="Verdana" w:hAnsi="Verdana" w:cs="Arial"/>
          <w:sz w:val="14"/>
          <w:szCs w:val="14"/>
        </w:rPr>
      </w:pPr>
    </w:p>
  </w:footnote>
  <w:footnote w:id="9">
    <w:p w14:paraId="44505F75" w14:textId="77777777" w:rsidR="003133F6" w:rsidRPr="003B4AE3" w:rsidRDefault="003133F6" w:rsidP="003133F6">
      <w:pPr>
        <w:pStyle w:val="Textonotapie"/>
        <w:ind w:firstLine="708"/>
        <w:jc w:val="both"/>
        <w:rPr>
          <w:rFonts w:ascii="Verdana" w:hAnsi="Verdana" w:cs="Arial"/>
          <w:sz w:val="14"/>
          <w:szCs w:val="14"/>
          <w:lang w:val="es-CO"/>
        </w:rPr>
      </w:pPr>
      <w:r w:rsidRPr="003B4AE3">
        <w:rPr>
          <w:rStyle w:val="Refdenotaalpie"/>
          <w:rFonts w:ascii="Verdana" w:hAnsi="Verdana" w:cs="Arial"/>
          <w:sz w:val="14"/>
          <w:szCs w:val="14"/>
        </w:rPr>
        <w:footnoteRef/>
      </w:r>
      <w:r w:rsidRPr="003B4AE3">
        <w:rPr>
          <w:rFonts w:ascii="Verdana" w:hAnsi="Verdana" w:cs="Arial"/>
          <w:sz w:val="14"/>
          <w:szCs w:val="14"/>
        </w:rPr>
        <w:t xml:space="preserve"> Sala de consulta y Servicio Civil del </w:t>
      </w:r>
      <w:r w:rsidRPr="003B4AE3">
        <w:rPr>
          <w:rFonts w:ascii="Verdana" w:hAnsi="Verdana" w:cs="Arial"/>
          <w:sz w:val="14"/>
          <w:szCs w:val="14"/>
          <w:lang w:val="es-CO"/>
        </w:rPr>
        <w:t>Consejo de Estado, Sentencia del 28 de junio de 2012 con Radicado No. 11001-03-06-000-2012-00016-00(2092), M.P. William Zambrano Cetina.</w:t>
      </w:r>
    </w:p>
    <w:p w14:paraId="5A6AE1AC" w14:textId="77777777" w:rsidR="003133F6" w:rsidRPr="003B4AE3" w:rsidRDefault="003133F6" w:rsidP="003133F6">
      <w:pPr>
        <w:pStyle w:val="Textonotapie"/>
        <w:ind w:firstLine="708"/>
        <w:jc w:val="both"/>
        <w:rPr>
          <w:rFonts w:ascii="Verdana" w:hAnsi="Verdana" w:cs="Arial"/>
          <w:sz w:val="14"/>
          <w:szCs w:val="14"/>
          <w:lang w:val="es-CO"/>
        </w:rPr>
      </w:pPr>
    </w:p>
  </w:footnote>
  <w:footnote w:id="10">
    <w:p w14:paraId="516058FA" w14:textId="77777777" w:rsidR="003133F6" w:rsidRPr="003B4AE3" w:rsidRDefault="003133F6" w:rsidP="003133F6">
      <w:pPr>
        <w:pStyle w:val="Textonotapie"/>
        <w:ind w:firstLine="708"/>
        <w:jc w:val="both"/>
        <w:rPr>
          <w:rFonts w:ascii="Verdana" w:eastAsia="Calibri" w:hAnsi="Verdana" w:cs="Arial"/>
          <w:sz w:val="14"/>
          <w:szCs w:val="14"/>
          <w:lang w:val="es-ES"/>
        </w:rPr>
      </w:pPr>
      <w:r w:rsidRPr="003B4AE3">
        <w:rPr>
          <w:rStyle w:val="Refdenotaalpie"/>
          <w:rFonts w:ascii="Verdana" w:hAnsi="Verdana"/>
          <w:sz w:val="14"/>
          <w:szCs w:val="14"/>
        </w:rPr>
        <w:footnoteRef/>
      </w:r>
      <w:r w:rsidRPr="003B4AE3">
        <w:rPr>
          <w:rFonts w:ascii="Verdana" w:hAnsi="Verdana"/>
          <w:sz w:val="14"/>
          <w:szCs w:val="14"/>
        </w:rPr>
        <w:t xml:space="preserve"> </w:t>
      </w:r>
      <w:r w:rsidRPr="003B4AE3">
        <w:rPr>
          <w:rFonts w:ascii="Verdana" w:eastAsia="Calibri" w:hAnsi="Verdana" w:cs="Arial"/>
          <w:sz w:val="14"/>
          <w:szCs w:val="14"/>
          <w:lang w:val="es-ES"/>
        </w:rPr>
        <w:t xml:space="preserve">Este documento se encuentra disponible para su consulta </w:t>
      </w:r>
      <w:hyperlink r:id="rId1" w:history="1">
        <w:r w:rsidRPr="003B4AE3">
          <w:rPr>
            <w:rStyle w:val="Hipervnculo"/>
            <w:rFonts w:ascii="Verdana" w:eastAsia="Calibri" w:hAnsi="Verdana" w:cs="Arial"/>
            <w:sz w:val="14"/>
            <w:szCs w:val="14"/>
            <w:lang w:val="es-ES"/>
          </w:rPr>
          <w:t>aquí</w:t>
        </w:r>
      </w:hyperlink>
      <w:r w:rsidRPr="003B4AE3">
        <w:rPr>
          <w:rFonts w:ascii="Verdana" w:eastAsia="Calibri" w:hAnsi="Verdana" w:cs="Arial"/>
          <w:sz w:val="14"/>
          <w:szCs w:val="14"/>
          <w:lang w:val="es-ES"/>
        </w:rPr>
        <w:t>.</w:t>
      </w:r>
    </w:p>
    <w:p w14:paraId="78425252" w14:textId="77777777" w:rsidR="003133F6" w:rsidRPr="003B4AE3" w:rsidRDefault="003133F6" w:rsidP="003133F6">
      <w:pPr>
        <w:pStyle w:val="Textonotapie"/>
        <w:ind w:firstLine="708"/>
        <w:jc w:val="both"/>
        <w:rPr>
          <w:rFonts w:ascii="Verdana" w:hAnsi="Verdana"/>
          <w:sz w:val="14"/>
          <w:szCs w:val="14"/>
          <w:lang w:val="es-CO"/>
        </w:rPr>
      </w:pPr>
    </w:p>
  </w:footnote>
  <w:footnote w:id="11">
    <w:p w14:paraId="235D1C63" w14:textId="77777777" w:rsidR="003133F6" w:rsidRPr="003B4AE3" w:rsidRDefault="003133F6" w:rsidP="003133F6">
      <w:pPr>
        <w:pStyle w:val="Textonotapie"/>
        <w:ind w:firstLine="709"/>
        <w:jc w:val="both"/>
        <w:rPr>
          <w:rFonts w:ascii="Verdana" w:hAnsi="Verdana" w:cs="Arial"/>
          <w:color w:val="000000"/>
          <w:sz w:val="14"/>
          <w:szCs w:val="14"/>
        </w:rPr>
      </w:pPr>
      <w:r w:rsidRPr="003B4AE3">
        <w:rPr>
          <w:rStyle w:val="Refdenotaalpie"/>
          <w:rFonts w:ascii="Verdana" w:hAnsi="Verdana" w:cs="Arial"/>
          <w:color w:val="000000"/>
          <w:sz w:val="14"/>
          <w:szCs w:val="14"/>
        </w:rPr>
        <w:footnoteRef/>
      </w:r>
      <w:r w:rsidRPr="003B4AE3">
        <w:rPr>
          <w:rFonts w:ascii="Verdana" w:hAnsi="Verdana" w:cs="Arial"/>
          <w:color w:val="000000"/>
          <w:sz w:val="14"/>
          <w:szCs w:val="14"/>
        </w:rPr>
        <w:t xml:space="preserve"> Así lo sostuvo el Consejo de Estado: “Esta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14:paraId="4616BA89" w14:textId="77777777" w:rsidR="003133F6" w:rsidRPr="003B4AE3" w:rsidRDefault="003133F6" w:rsidP="003133F6">
      <w:pPr>
        <w:pStyle w:val="Textonotapie"/>
        <w:ind w:firstLine="709"/>
        <w:jc w:val="both"/>
        <w:rPr>
          <w:rFonts w:ascii="Verdana" w:hAnsi="Verdana" w:cs="Arial"/>
          <w:color w:val="000000"/>
          <w:sz w:val="14"/>
          <w:szCs w:val="14"/>
        </w:rPr>
      </w:pPr>
      <w:r w:rsidRPr="003B4AE3">
        <w:rPr>
          <w:rFonts w:ascii="Verdana" w:hAnsi="Verdana" w:cs="Arial"/>
          <w:color w:val="000000"/>
          <w:sz w:val="14"/>
          <w:szCs w:val="14"/>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14:paraId="70FEF8ED" w14:textId="77777777" w:rsidR="003133F6" w:rsidRPr="003B4AE3" w:rsidRDefault="003133F6" w:rsidP="003133F6">
      <w:pPr>
        <w:pStyle w:val="Textonotapie"/>
        <w:ind w:firstLine="709"/>
        <w:jc w:val="both"/>
        <w:rPr>
          <w:rFonts w:ascii="Verdana" w:hAnsi="Verdana" w:cs="Arial"/>
          <w:color w:val="000000"/>
          <w:sz w:val="14"/>
          <w:szCs w:val="14"/>
        </w:rPr>
      </w:pPr>
      <w:r w:rsidRPr="003B4AE3">
        <w:rPr>
          <w:rFonts w:ascii="Verdana" w:hAnsi="Verdana" w:cs="Arial"/>
          <w:color w:val="000000"/>
          <w:sz w:val="14"/>
          <w:szCs w:val="14"/>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14:paraId="00A0902A" w14:textId="77777777" w:rsidR="003133F6" w:rsidRPr="003B4AE3" w:rsidRDefault="003133F6" w:rsidP="003133F6">
      <w:pPr>
        <w:pStyle w:val="Textonotapie"/>
        <w:ind w:firstLine="709"/>
        <w:jc w:val="both"/>
        <w:rPr>
          <w:rFonts w:ascii="Verdana" w:hAnsi="Verdana" w:cs="Arial"/>
          <w:color w:val="000000"/>
          <w:sz w:val="14"/>
          <w:szCs w:val="14"/>
        </w:rPr>
      </w:pPr>
      <w:r w:rsidRPr="003B4AE3">
        <w:rPr>
          <w:rFonts w:ascii="Verdana" w:hAnsi="Verdana" w:cs="Arial"/>
          <w:color w:val="000000"/>
          <w:sz w:val="14"/>
          <w:szCs w:val="14"/>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14:paraId="2AC75CAC" w14:textId="77777777" w:rsidR="003133F6" w:rsidRPr="003B4AE3" w:rsidRDefault="003133F6" w:rsidP="003133F6">
      <w:pPr>
        <w:pStyle w:val="Textonotapie"/>
        <w:ind w:firstLine="709"/>
        <w:jc w:val="both"/>
        <w:rPr>
          <w:rFonts w:ascii="Verdana" w:hAnsi="Verdana" w:cs="Arial"/>
          <w:color w:val="000000"/>
          <w:sz w:val="14"/>
          <w:szCs w:val="14"/>
          <w:lang w:val="es-ES"/>
        </w:rPr>
      </w:pPr>
      <w:r w:rsidRPr="003B4AE3">
        <w:rPr>
          <w:rFonts w:ascii="Verdana" w:hAnsi="Verdana" w:cs="Arial"/>
          <w:color w:val="000000"/>
          <w:sz w:val="14"/>
          <w:szCs w:val="14"/>
        </w:rPr>
        <w:t xml:space="preserve">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 (Consejo de Estado. Sección Tercera. Subsección C. Sentencia del 8 de abril de 2014. Exp. 25.801 C.P. Enrique Gil Botero). </w:t>
      </w:r>
    </w:p>
  </w:footnote>
  <w:footnote w:id="12">
    <w:p w14:paraId="3D3AFBEA" w14:textId="77777777" w:rsidR="003133F6" w:rsidRPr="003B4AE3" w:rsidRDefault="003133F6" w:rsidP="003133F6">
      <w:pPr>
        <w:pStyle w:val="Textonotapie"/>
        <w:ind w:firstLine="709"/>
        <w:jc w:val="both"/>
        <w:rPr>
          <w:rFonts w:ascii="Verdana" w:hAnsi="Verdana" w:cs="Arial"/>
          <w:color w:val="000000"/>
          <w:sz w:val="14"/>
          <w:szCs w:val="14"/>
        </w:rPr>
      </w:pPr>
      <w:r w:rsidRPr="003B4AE3">
        <w:rPr>
          <w:rStyle w:val="Refdenotaalpie"/>
          <w:rFonts w:ascii="Verdana" w:hAnsi="Verdana" w:cs="Arial"/>
          <w:color w:val="000000"/>
          <w:sz w:val="14"/>
          <w:szCs w:val="14"/>
        </w:rPr>
        <w:footnoteRef/>
      </w:r>
      <w:r w:rsidRPr="003B4AE3">
        <w:rPr>
          <w:rFonts w:ascii="Verdana" w:hAnsi="Verdana" w:cs="Arial"/>
          <w:color w:val="000000"/>
          <w:sz w:val="14"/>
          <w:szCs w:val="14"/>
        </w:rPr>
        <w:t xml:space="preserve"> “La fuerza vinculante de los reglamentos –tanto para los administrados como para la propia administración– surge del hecho de ser una norma jurídica, y de compartir la naturaleza del acto administrativo, luego, de allí también se desprende que se presuman legales y sean ejecutorios. </w:t>
      </w:r>
    </w:p>
    <w:p w14:paraId="1ADF25A7" w14:textId="77777777" w:rsidR="003133F6" w:rsidRPr="003B4AE3" w:rsidRDefault="003133F6" w:rsidP="003133F6">
      <w:pPr>
        <w:pStyle w:val="Textonotapie"/>
        <w:ind w:firstLine="709"/>
        <w:jc w:val="both"/>
        <w:rPr>
          <w:rFonts w:ascii="Verdana" w:hAnsi="Verdana" w:cs="Arial"/>
          <w:color w:val="000000"/>
          <w:sz w:val="14"/>
          <w:szCs w:val="14"/>
        </w:rPr>
      </w:pPr>
      <w:r w:rsidRPr="003B4AE3">
        <w:rPr>
          <w:rFonts w:ascii="Verdana" w:hAnsi="Verdana" w:cs="Arial"/>
          <w:color w:val="000000"/>
          <w:sz w:val="14"/>
          <w:szCs w:val="14"/>
        </w:rPr>
        <w:t xml:space="preserve">Por esta misma razón, la doctrina española –con especial fuerza– ha señalado que su observancia no queda al capricho del órgano que la expidió, pues si quisiera él lo puede desconocer. De algún modo, como acontece con todo acto administrativo, el acto cobra vida propia, y autonomía en relación con su propio creador. A este último evento se le denomina la inderogabilidad singular del reglamento, que no es otra cosa que la prohibición de insertarlo en un caso particular. </w:t>
      </w:r>
    </w:p>
    <w:p w14:paraId="7DB4272B" w14:textId="77777777" w:rsidR="003133F6" w:rsidRPr="003B4AE3" w:rsidRDefault="003133F6" w:rsidP="003133F6">
      <w:pPr>
        <w:pStyle w:val="Textonotapie"/>
        <w:ind w:firstLine="709"/>
        <w:jc w:val="both"/>
        <w:rPr>
          <w:rFonts w:ascii="Verdana" w:hAnsi="Verdana" w:cs="Arial"/>
          <w:color w:val="000000"/>
          <w:sz w:val="14"/>
          <w:szCs w:val="14"/>
          <w:lang w:val="es-CO"/>
        </w:rPr>
      </w:pPr>
      <w:r w:rsidRPr="003B4AE3">
        <w:rPr>
          <w:rFonts w:ascii="Verdana" w:hAnsi="Verdana" w:cs="Arial"/>
          <w:color w:val="000000"/>
          <w:sz w:val="14"/>
          <w:szCs w:val="14"/>
        </w:rPr>
        <w:t>Esta tesis –de absoluta razonabilidad–, protege tanto al ciudadano como al ordenamiento jurídico en general, de la arbitrariedad de la administración, pues si se admitiera que pese a estar en vigencia un reglamento la propia administración que lo dictó lo pudiera inaplicar, aduciendo que si ella lo produjo entonces cuenta con la autoridad para desconocerlo, los abusos y la violación a sus propias reglas propiciaría el atropello y la corrupción”. (MARÍN CORTÉS, Fabián G. El reglamento como fuente del derecho administrativo. En: Las fuentes del derecho administrativo. Texto inédito. 2010. pp. 200-201).</w:t>
      </w:r>
    </w:p>
  </w:footnote>
  <w:footnote w:id="13">
    <w:p w14:paraId="034FA2F9" w14:textId="77777777" w:rsidR="003133F6" w:rsidRPr="003B4AE3" w:rsidRDefault="003133F6" w:rsidP="003133F6">
      <w:pPr>
        <w:pStyle w:val="Textonotapie"/>
        <w:ind w:firstLine="709"/>
        <w:jc w:val="both"/>
        <w:rPr>
          <w:rFonts w:ascii="Verdana" w:eastAsia="Calibri" w:hAnsi="Verdana" w:cs="Arial"/>
          <w:color w:val="000000"/>
          <w:sz w:val="14"/>
          <w:szCs w:val="14"/>
          <w:lang w:val="es-ES_tradnl"/>
        </w:rPr>
      </w:pPr>
      <w:r w:rsidRPr="003B4AE3">
        <w:rPr>
          <w:rStyle w:val="Refdenotaalpie"/>
          <w:rFonts w:ascii="Verdana" w:hAnsi="Verdana" w:cs="Arial"/>
          <w:color w:val="000000"/>
          <w:sz w:val="14"/>
          <w:szCs w:val="14"/>
        </w:rPr>
        <w:footnoteRef/>
      </w:r>
      <w:r w:rsidRPr="003B4AE3">
        <w:rPr>
          <w:rFonts w:ascii="Verdana" w:hAnsi="Verdana" w:cs="Arial"/>
          <w:color w:val="000000"/>
          <w:sz w:val="14"/>
          <w:szCs w:val="14"/>
        </w:rPr>
        <w:t xml:space="preserve"> </w:t>
      </w:r>
      <w:r w:rsidRPr="003B4AE3">
        <w:rPr>
          <w:rFonts w:ascii="Verdana" w:eastAsia="Calibri" w:hAnsi="Verdana" w:cs="Arial"/>
          <w:color w:val="000000"/>
          <w:sz w:val="14"/>
          <w:szCs w:val="14"/>
          <w:lang w:val="es-ES_tradnl"/>
        </w:rPr>
        <w:t>Bien por la reserva legal de las materias o porque no las reguló.</w:t>
      </w:r>
    </w:p>
    <w:p w14:paraId="212BD1CC" w14:textId="77777777" w:rsidR="003133F6" w:rsidRPr="003B4AE3" w:rsidRDefault="003133F6" w:rsidP="003133F6">
      <w:pPr>
        <w:pStyle w:val="Textonotapie"/>
        <w:ind w:firstLine="709"/>
        <w:jc w:val="both"/>
        <w:rPr>
          <w:rFonts w:ascii="Verdana" w:hAnsi="Verdana" w:cs="Arial"/>
          <w:color w:val="000000"/>
          <w:sz w:val="14"/>
          <w:szCs w:val="14"/>
          <w:lang w:val="es-ES_tradnl"/>
        </w:rPr>
      </w:pPr>
    </w:p>
  </w:footnote>
  <w:footnote w:id="14">
    <w:p w14:paraId="291C4073" w14:textId="77777777" w:rsidR="003133F6" w:rsidRPr="003B4AE3" w:rsidRDefault="003133F6" w:rsidP="003133F6">
      <w:pPr>
        <w:pStyle w:val="Textonotapie"/>
        <w:ind w:firstLine="709"/>
        <w:jc w:val="both"/>
        <w:rPr>
          <w:rFonts w:ascii="Verdana" w:hAnsi="Verdana" w:cs="Arial"/>
          <w:color w:val="000000"/>
          <w:sz w:val="14"/>
          <w:szCs w:val="14"/>
          <w:lang w:val="es-ES"/>
        </w:rPr>
      </w:pPr>
      <w:r w:rsidRPr="003B4AE3">
        <w:rPr>
          <w:rStyle w:val="Refdenotaalpie"/>
          <w:rFonts w:ascii="Verdana" w:hAnsi="Verdana" w:cs="Arial"/>
          <w:color w:val="000000"/>
          <w:sz w:val="14"/>
          <w:szCs w:val="14"/>
        </w:rPr>
        <w:footnoteRef/>
      </w:r>
      <w:r w:rsidRPr="003B4AE3">
        <w:rPr>
          <w:rFonts w:ascii="Verdana" w:hAnsi="Verdana" w:cs="Arial"/>
          <w:color w:val="000000"/>
          <w:sz w:val="14"/>
          <w:szCs w:val="14"/>
        </w:rPr>
        <w:t xml:space="preserve"> </w:t>
      </w:r>
      <w:r w:rsidRPr="003B4AE3">
        <w:rPr>
          <w:rFonts w:ascii="Verdana" w:hAnsi="Verdana" w:cs="Arial"/>
          <w:color w:val="000000"/>
          <w:sz w:val="14"/>
          <w:szCs w:val="14"/>
          <w:lang w:val="es-ES"/>
        </w:rPr>
        <w:t>El artículo 1º del Código de Comercio establece que: “Los comerciantes y los asuntos mercantiles se regirán por las disposiciones de la ley comercial, y los casos no regulados expresamente en ella serán decididos por analogía de sus normas”; mientras que el artículo 2º señala que: “En las cuestiones comerciales que no pudieren regularse conforme a la regla anterior, se aplicarán las disposiciones de la legislación civil». Esto significa que en el derecho privado las normas comerciales prevalecen sobre las civiles en asuntos mercantiles.</w:t>
      </w:r>
    </w:p>
  </w:footnote>
  <w:footnote w:id="15">
    <w:p w14:paraId="3BE1553E" w14:textId="77777777" w:rsidR="003133F6" w:rsidRPr="003B4AE3" w:rsidRDefault="003133F6" w:rsidP="003133F6">
      <w:pPr>
        <w:pStyle w:val="Textonotapie"/>
        <w:ind w:firstLine="709"/>
        <w:jc w:val="both"/>
        <w:rPr>
          <w:rFonts w:ascii="Verdana" w:hAnsi="Verdana" w:cs="Arial"/>
          <w:color w:val="000000"/>
          <w:sz w:val="14"/>
          <w:szCs w:val="14"/>
          <w:lang w:val="es-ES"/>
        </w:rPr>
      </w:pPr>
      <w:r w:rsidRPr="003B4AE3">
        <w:rPr>
          <w:rStyle w:val="Refdenotaalpie"/>
          <w:rFonts w:ascii="Verdana" w:hAnsi="Verdana" w:cs="Arial"/>
          <w:color w:val="000000"/>
          <w:sz w:val="14"/>
          <w:szCs w:val="14"/>
        </w:rPr>
        <w:footnoteRef/>
      </w:r>
      <w:r w:rsidRPr="003B4AE3">
        <w:rPr>
          <w:rFonts w:ascii="Verdana" w:hAnsi="Verdana" w:cs="Arial"/>
          <w:color w:val="000000"/>
          <w:sz w:val="14"/>
          <w:szCs w:val="14"/>
        </w:rPr>
        <w:t xml:space="preserve"> </w:t>
      </w:r>
      <w:r w:rsidRPr="003B4AE3">
        <w:rPr>
          <w:rFonts w:ascii="Verdana" w:hAnsi="Verdana" w:cs="Arial"/>
          <w:color w:val="000000"/>
          <w:sz w:val="14"/>
          <w:szCs w:val="14"/>
          <w:lang w:val="es-ES"/>
        </w:rPr>
        <w:t>La costumbre mercantil tendrá la misma autoridad que la ley comercial, siempre que no la contraríe manifiesta o tácitamente y que los hechos constitutivos de la misma sean públicos, uniformes y reiterados en el lugar donde hayan de cumplirse las prestaciones o surgido las relaciones que deban regularse por ella.</w:t>
      </w:r>
    </w:p>
    <w:p w14:paraId="4E9000B7" w14:textId="77777777" w:rsidR="003133F6" w:rsidRPr="003B4AE3" w:rsidRDefault="003133F6" w:rsidP="003133F6">
      <w:pPr>
        <w:pStyle w:val="Textonotapie"/>
        <w:ind w:firstLine="709"/>
        <w:jc w:val="both"/>
        <w:rPr>
          <w:rFonts w:ascii="Verdana" w:hAnsi="Verdana" w:cs="Arial"/>
          <w:color w:val="000000"/>
          <w:sz w:val="14"/>
          <w:szCs w:val="14"/>
          <w:lang w:val="es-ES"/>
        </w:rPr>
      </w:pPr>
      <w:r w:rsidRPr="003B4AE3">
        <w:rPr>
          <w:rFonts w:ascii="Verdana" w:hAnsi="Verdana" w:cs="Arial"/>
          <w:color w:val="000000"/>
          <w:sz w:val="14"/>
          <w:szCs w:val="14"/>
          <w:lang w:val="es-ES"/>
        </w:rPr>
        <w:t>En defecto de costumbre local se tendrá en cuenta la general del país, siempre que reúna los requisitos exigidos en el inciso anterior” (art. 3 del Código de Comercio).</w:t>
      </w:r>
    </w:p>
    <w:p w14:paraId="05785A7B" w14:textId="77777777" w:rsidR="003133F6" w:rsidRPr="003B4AE3" w:rsidRDefault="003133F6" w:rsidP="003133F6">
      <w:pPr>
        <w:pStyle w:val="Textonotapie"/>
        <w:ind w:firstLine="709"/>
        <w:jc w:val="both"/>
        <w:rPr>
          <w:rFonts w:ascii="Verdana" w:hAnsi="Verdana" w:cs="Arial"/>
          <w:color w:val="000000"/>
          <w:sz w:val="14"/>
          <w:szCs w:val="14"/>
          <w:lang w:val="es-ES"/>
        </w:rPr>
      </w:pPr>
    </w:p>
  </w:footnote>
  <w:footnote w:id="16">
    <w:p w14:paraId="7533C6AB" w14:textId="77777777" w:rsidR="003133F6" w:rsidRPr="003B4AE3" w:rsidRDefault="003133F6" w:rsidP="003133F6">
      <w:pPr>
        <w:pStyle w:val="Textonotapie"/>
        <w:ind w:firstLine="709"/>
        <w:jc w:val="both"/>
        <w:rPr>
          <w:rFonts w:ascii="Verdana" w:hAnsi="Verdana" w:cs="Arial"/>
          <w:b/>
          <w:color w:val="000000"/>
          <w:sz w:val="14"/>
          <w:szCs w:val="14"/>
          <w:lang w:val="es-ES"/>
        </w:rPr>
      </w:pPr>
      <w:r w:rsidRPr="003B4AE3">
        <w:rPr>
          <w:rStyle w:val="Refdenotaalpie"/>
          <w:rFonts w:ascii="Verdana" w:hAnsi="Verdana" w:cs="Arial"/>
          <w:color w:val="000000"/>
          <w:sz w:val="14"/>
          <w:szCs w:val="14"/>
        </w:rPr>
        <w:footnoteRef/>
      </w:r>
      <w:r w:rsidRPr="003B4AE3">
        <w:rPr>
          <w:rFonts w:ascii="Verdana" w:hAnsi="Verdana" w:cs="Arial"/>
          <w:color w:val="000000"/>
          <w:sz w:val="14"/>
          <w:szCs w:val="14"/>
        </w:rPr>
        <w:t xml:space="preserve"> </w:t>
      </w:r>
      <w:r w:rsidRPr="003B4AE3">
        <w:rPr>
          <w:rFonts w:ascii="Verdana" w:hAnsi="Verdana" w:cs="Arial"/>
          <w:color w:val="000000"/>
          <w:sz w:val="14"/>
          <w:szCs w:val="14"/>
          <w:lang w:val="es-ES"/>
        </w:rPr>
        <w:t xml:space="preserve">Dentro de tales principios se encuentran, por ejemplo, los principios UNIDROIT sobre los contratos comerciales internacionales. Ver: </w:t>
      </w:r>
      <w:hyperlink r:id="rId2" w:history="1">
        <w:r w:rsidRPr="003B4AE3">
          <w:rPr>
            <w:rStyle w:val="Hipervnculo"/>
            <w:rFonts w:ascii="Verdana" w:hAnsi="Verdana" w:cs="Arial"/>
            <w:sz w:val="14"/>
            <w:szCs w:val="14"/>
            <w:lang w:val="es-ES"/>
          </w:rPr>
          <w:t>https://www.unidroit.org/spanish/principles/contracts/principles2010/blackletter2010-spanish.pdf</w:t>
        </w:r>
      </w:hyperlink>
      <w:r w:rsidRPr="003B4AE3">
        <w:rPr>
          <w:rFonts w:ascii="Verdana" w:hAnsi="Verdana" w:cs="Arial"/>
          <w:color w:val="000000"/>
          <w:sz w:val="14"/>
          <w:szCs w:val="14"/>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991D8" w14:textId="77777777" w:rsidR="003133F6" w:rsidRDefault="003133F6"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CBEB6E8" wp14:editId="6B7BD8F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93F7126" wp14:editId="61E4643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D3CF1E6" w14:textId="77777777" w:rsidR="003133F6" w:rsidRDefault="003133F6">
    <w:pPr>
      <w:pStyle w:val="Encabezado"/>
    </w:pPr>
  </w:p>
  <w:p w14:paraId="1618C3A6" w14:textId="77777777" w:rsidR="003133F6" w:rsidRPr="004A305D" w:rsidRDefault="003133F6" w:rsidP="00B01B1A">
    <w:pPr>
      <w:spacing w:after="0" w:line="120" w:lineRule="auto"/>
      <w:rPr>
        <w:rFonts w:ascii="Century Gothic" w:eastAsia="Geo" w:hAnsi="Century Gothic" w:cs="Geo"/>
        <w:sz w:val="16"/>
        <w:szCs w:val="16"/>
        <w:lang w:eastAsia="es-CO"/>
      </w:rPr>
    </w:pPr>
  </w:p>
  <w:p w14:paraId="4F166888" w14:textId="77777777" w:rsidR="003133F6" w:rsidRDefault="003133F6" w:rsidP="00844AE9">
    <w:pPr>
      <w:spacing w:after="0" w:line="240" w:lineRule="auto"/>
      <w:rPr>
        <w:rFonts w:ascii="Verdana" w:hAnsi="Verdana"/>
        <w:sz w:val="24"/>
        <w:szCs w:val="24"/>
      </w:rPr>
    </w:pPr>
  </w:p>
  <w:p w14:paraId="29B51036" w14:textId="77777777" w:rsidR="003133F6" w:rsidRPr="00C925AC" w:rsidRDefault="003133F6" w:rsidP="00844AE9">
    <w:pPr>
      <w:spacing w:after="0" w:line="240" w:lineRule="auto"/>
      <w:rPr>
        <w:rFonts w:ascii="Verdana" w:hAnsi="Verdana"/>
        <w:sz w:val="24"/>
        <w:szCs w:val="24"/>
      </w:rPr>
    </w:pPr>
  </w:p>
  <w:p w14:paraId="223BA330" w14:textId="77777777" w:rsidR="003133F6" w:rsidRPr="00C925AC" w:rsidRDefault="003133F6"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79D64F20"/>
    <w:multiLevelType w:val="hybridMultilevel"/>
    <w:tmpl w:val="25D01C6A"/>
    <w:lvl w:ilvl="0" w:tplc="E24E613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2804919">
    <w:abstractNumId w:val="0"/>
  </w:num>
  <w:num w:numId="2" w16cid:durableId="3071337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3F6"/>
    <w:rsid w:val="003133F6"/>
    <w:rsid w:val="006D7F80"/>
    <w:rsid w:val="007F57D1"/>
    <w:rsid w:val="00882330"/>
    <w:rsid w:val="009C5715"/>
    <w:rsid w:val="00CF1F5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046A6"/>
  <w15:chartTrackingRefBased/>
  <w15:docId w15:val="{4548FBEE-452A-438F-B046-FB1AD9341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3F6"/>
    <w:pPr>
      <w:spacing w:line="259" w:lineRule="auto"/>
    </w:pPr>
    <w:rPr>
      <w:kern w:val="0"/>
      <w:sz w:val="22"/>
      <w:szCs w:val="22"/>
      <w14:ligatures w14:val="none"/>
    </w:rPr>
  </w:style>
  <w:style w:type="paragraph" w:styleId="Ttulo1">
    <w:name w:val="heading 1"/>
    <w:basedOn w:val="Normal"/>
    <w:next w:val="Normal"/>
    <w:link w:val="Ttulo1Car"/>
    <w:uiPriority w:val="9"/>
    <w:qFormat/>
    <w:rsid w:val="003133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133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133F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133F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133F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133F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133F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133F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133F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133F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133F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133F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133F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133F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133F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133F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133F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133F6"/>
    <w:rPr>
      <w:rFonts w:eastAsiaTheme="majorEastAsia" w:cstheme="majorBidi"/>
      <w:color w:val="272727" w:themeColor="text1" w:themeTint="D8"/>
    </w:rPr>
  </w:style>
  <w:style w:type="paragraph" w:styleId="Ttulo">
    <w:name w:val="Title"/>
    <w:basedOn w:val="Normal"/>
    <w:next w:val="Normal"/>
    <w:link w:val="TtuloCar"/>
    <w:uiPriority w:val="10"/>
    <w:qFormat/>
    <w:rsid w:val="003133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133F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133F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133F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133F6"/>
    <w:pPr>
      <w:spacing w:before="160"/>
      <w:jc w:val="center"/>
    </w:pPr>
    <w:rPr>
      <w:i/>
      <w:iCs/>
      <w:color w:val="404040" w:themeColor="text1" w:themeTint="BF"/>
    </w:rPr>
  </w:style>
  <w:style w:type="character" w:customStyle="1" w:styleId="CitaCar">
    <w:name w:val="Cita Car"/>
    <w:basedOn w:val="Fuentedeprrafopredeter"/>
    <w:link w:val="Cita"/>
    <w:uiPriority w:val="29"/>
    <w:rsid w:val="003133F6"/>
    <w:rPr>
      <w:i/>
      <w:iCs/>
      <w:color w:val="404040" w:themeColor="text1" w:themeTint="BF"/>
    </w:rPr>
  </w:style>
  <w:style w:type="paragraph" w:styleId="Prrafodelista">
    <w:name w:val="List Paragraph"/>
    <w:basedOn w:val="Normal"/>
    <w:uiPriority w:val="34"/>
    <w:qFormat/>
    <w:rsid w:val="003133F6"/>
    <w:pPr>
      <w:ind w:left="720"/>
      <w:contextualSpacing/>
    </w:pPr>
  </w:style>
  <w:style w:type="character" w:styleId="nfasisintenso">
    <w:name w:val="Intense Emphasis"/>
    <w:basedOn w:val="Fuentedeprrafopredeter"/>
    <w:uiPriority w:val="21"/>
    <w:qFormat/>
    <w:rsid w:val="003133F6"/>
    <w:rPr>
      <w:i/>
      <w:iCs/>
      <w:color w:val="0F4761" w:themeColor="accent1" w:themeShade="BF"/>
    </w:rPr>
  </w:style>
  <w:style w:type="paragraph" w:styleId="Citadestacada">
    <w:name w:val="Intense Quote"/>
    <w:basedOn w:val="Normal"/>
    <w:next w:val="Normal"/>
    <w:link w:val="CitadestacadaCar"/>
    <w:uiPriority w:val="30"/>
    <w:qFormat/>
    <w:rsid w:val="003133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133F6"/>
    <w:rPr>
      <w:i/>
      <w:iCs/>
      <w:color w:val="0F4761" w:themeColor="accent1" w:themeShade="BF"/>
    </w:rPr>
  </w:style>
  <w:style w:type="character" w:styleId="Referenciaintensa">
    <w:name w:val="Intense Reference"/>
    <w:basedOn w:val="Fuentedeprrafopredeter"/>
    <w:uiPriority w:val="32"/>
    <w:qFormat/>
    <w:rsid w:val="003133F6"/>
    <w:rPr>
      <w:b/>
      <w:bCs/>
      <w:smallCaps/>
      <w:color w:val="0F4761" w:themeColor="accent1" w:themeShade="BF"/>
      <w:spacing w:val="5"/>
    </w:rPr>
  </w:style>
  <w:style w:type="paragraph" w:styleId="Encabezado">
    <w:name w:val="header"/>
    <w:basedOn w:val="Normal"/>
    <w:link w:val="EncabezadoCar"/>
    <w:uiPriority w:val="99"/>
    <w:unhideWhenUsed/>
    <w:rsid w:val="003133F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133F6"/>
    <w:rPr>
      <w:kern w:val="0"/>
      <w:sz w:val="22"/>
      <w:szCs w:val="22"/>
      <w14:ligatures w14:val="none"/>
    </w:rPr>
  </w:style>
  <w:style w:type="paragraph" w:styleId="Piedepgina">
    <w:name w:val="footer"/>
    <w:basedOn w:val="Normal"/>
    <w:link w:val="PiedepginaCar"/>
    <w:uiPriority w:val="99"/>
    <w:unhideWhenUsed/>
    <w:rsid w:val="003133F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133F6"/>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133F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3133F6"/>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3133F6"/>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3133F6"/>
    <w:rPr>
      <w:vertAlign w:val="superscript"/>
    </w:rPr>
  </w:style>
  <w:style w:type="table" w:styleId="Tablaconcuadrcula">
    <w:name w:val="Table Grid"/>
    <w:basedOn w:val="Tablanormal"/>
    <w:uiPriority w:val="39"/>
    <w:qFormat/>
    <w:rsid w:val="003133F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133F6"/>
    <w:rPr>
      <w:color w:val="0000FF"/>
      <w:u w:val="single"/>
    </w:rPr>
  </w:style>
  <w:style w:type="paragraph" w:customStyle="1" w:styleId="Appelnotedebasde">
    <w:name w:val="Appel note de bas de..."/>
    <w:basedOn w:val="Normal"/>
    <w:link w:val="Refdenotaalpie"/>
    <w:rsid w:val="003133F6"/>
    <w:pPr>
      <w:spacing w:line="240" w:lineRule="exact"/>
    </w:pPr>
    <w:rPr>
      <w:kern w:val="2"/>
      <w:sz w:val="24"/>
      <w:szCs w:val="24"/>
      <w:vertAlign w:val="superscript"/>
      <w14:ligatures w14:val="standardContextual"/>
    </w:rPr>
  </w:style>
  <w:style w:type="table" w:customStyle="1" w:styleId="Tablaconcuadrcula11">
    <w:name w:val="Tabla con cuadrícula11"/>
    <w:basedOn w:val="Tablanormal"/>
    <w:next w:val="Tablaconcuadrcula"/>
    <w:uiPriority w:val="59"/>
    <w:qFormat/>
    <w:rsid w:val="003133F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toria@unipacifico.edu.com" TargetMode="External"/><Relationship Id="rId13" Type="http://schemas.openxmlformats.org/officeDocument/2006/relationships/image" Target="media/image2.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normativa-y-relatoria/documentos-tipo"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formacionvirtual.colombiacompra.gov.co/mod/page/view.php?id=3718"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relatoria.colombiacompra.gov.co/" TargetMode="Externa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unidroit.org/spanish/principles/contracts/principles2010/blackletter2010-spanish.pdf" TargetMode="External"/><Relationship Id="rId1" Type="http://schemas.openxmlformats.org/officeDocument/2006/relationships/hyperlink" Target="https://www.colombiacompra.gov.co/wp-content/uploads/2025/09/Guia-para-la-gestion-contractual-de-Entidades-Estatales-con-Regimen-Especial-VF-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C7F55A3-79A5-4D91-94E6-4F342C1B1888}"/>
</file>

<file path=customXml/itemProps2.xml><?xml version="1.0" encoding="utf-8"?>
<ds:datastoreItem xmlns:ds="http://schemas.openxmlformats.org/officeDocument/2006/customXml" ds:itemID="{79D59700-AFF7-47C1-8C01-29480E347E8F}"/>
</file>

<file path=customXml/itemProps3.xml><?xml version="1.0" encoding="utf-8"?>
<ds:datastoreItem xmlns:ds="http://schemas.openxmlformats.org/officeDocument/2006/customXml" ds:itemID="{8BF11862-98FA-401D-9F7C-74B3CDE929AC}"/>
</file>

<file path=docProps/app.xml><?xml version="1.0" encoding="utf-8"?>
<Properties xmlns="http://schemas.openxmlformats.org/officeDocument/2006/extended-properties" xmlns:vt="http://schemas.openxmlformats.org/officeDocument/2006/docPropsVTypes">
  <Template>Normal</Template>
  <TotalTime>3</TotalTime>
  <Pages>18</Pages>
  <Words>5965</Words>
  <Characters>32393</Characters>
  <Application>Microsoft Office Word</Application>
  <DocSecurity>0</DocSecurity>
  <Lines>771</Lines>
  <Paragraphs>201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2026-03-17T13:53:00Z</dcterms:created>
  <dcterms:modified xsi:type="dcterms:W3CDTF">2026-03-17T13:53:00Z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