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E99FC" w14:textId="77F3F182" w:rsidR="002C0B98" w:rsidRDefault="002C0B98" w:rsidP="002C0B98">
      <w:pPr>
        <w:jc w:val="both"/>
        <w:rPr>
          <w:rFonts w:ascii="Verdana" w:hAnsi="Verdana" w:cs="Arial"/>
          <w:b/>
          <w:bCs/>
          <w:lang w:val="es-MX" w:eastAsia="es-ES"/>
        </w:rPr>
      </w:pPr>
      <w:bookmarkStart w:id="0" w:name="_Hlk143780582"/>
      <w:r w:rsidRPr="002C0B98">
        <w:rPr>
          <w:rFonts w:ascii="Verdana" w:hAnsi="Verdana" w:cs="Arial"/>
          <w:b/>
          <w:bCs/>
          <w:lang w:val="es-MX" w:eastAsia="es-ES"/>
        </w:rPr>
        <w:t>LEY DE GARANTÍAS ELECTORALES ‒ Finalidad</w:t>
      </w:r>
    </w:p>
    <w:p w14:paraId="088C9CF8" w14:textId="77777777" w:rsidR="00CB1755" w:rsidRPr="00A31E20" w:rsidRDefault="00CB1755" w:rsidP="00CB1755">
      <w:pPr>
        <w:tabs>
          <w:tab w:val="left" w:pos="426"/>
        </w:tabs>
        <w:spacing w:after="120" w:line="240" w:lineRule="auto"/>
        <w:jc w:val="both"/>
        <w:rPr>
          <w:rFonts w:ascii="Verdana" w:eastAsia="Times New Roman" w:hAnsi="Verdana" w:cs="Arial"/>
          <w:sz w:val="20"/>
          <w:szCs w:val="20"/>
          <w:lang w:eastAsia="es-CO"/>
        </w:rPr>
      </w:pPr>
      <w:r w:rsidRPr="00A31E20">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A31E20">
        <w:rPr>
          <w:rFonts w:ascii="Verdana" w:eastAsia="Calibri" w:hAnsi="Verdana" w:cs="Arial"/>
          <w:i/>
          <w:sz w:val="20"/>
          <w:szCs w:val="20"/>
        </w:rPr>
        <w:t xml:space="preserve">. </w:t>
      </w:r>
      <w:r w:rsidRPr="00A31E20">
        <w:rPr>
          <w:rFonts w:ascii="Verdana" w:eastAsia="Calibri" w:hAnsi="Verdana" w:cs="Arial"/>
          <w:sz w:val="20"/>
          <w:szCs w:val="20"/>
        </w:rPr>
        <w:t>Por ejemplo, el artículo 127 de la Constitución Política establece una prohibición contractual a los servidores públicos y, en cuanto a aspectos políticos, establece restricciones a ciertos empleados del Estado, incluso en época no electoral.</w:t>
      </w:r>
    </w:p>
    <w:p w14:paraId="21244C37" w14:textId="52FA2AD8" w:rsidR="00CB1755" w:rsidRPr="002C0B98" w:rsidRDefault="00CB1755" w:rsidP="00CB1755">
      <w:pPr>
        <w:tabs>
          <w:tab w:val="left" w:pos="426"/>
        </w:tabs>
        <w:spacing w:line="240" w:lineRule="auto"/>
        <w:jc w:val="both"/>
        <w:rPr>
          <w:rFonts w:ascii="Verdana" w:hAnsi="Verdana" w:cs="Arial"/>
          <w:b/>
          <w:bCs/>
          <w:lang w:val="es-MX" w:eastAsia="es-ES"/>
        </w:rPr>
      </w:pPr>
      <w:r w:rsidRPr="00A31E20">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w:t>
      </w:r>
      <w:r>
        <w:rPr>
          <w:rFonts w:ascii="Verdana" w:eastAsia="Times New Roman" w:hAnsi="Verdana" w:cs="Arial"/>
          <w:sz w:val="20"/>
          <w:szCs w:val="20"/>
          <w:lang w:val="es-MX" w:eastAsia="es-CO"/>
        </w:rPr>
        <w:t>l.</w:t>
      </w:r>
      <w:r w:rsidRPr="00A31E20">
        <w:rPr>
          <w:rFonts w:ascii="Verdana" w:eastAsia="Times New Roman" w:hAnsi="Verdana" w:cs="Arial"/>
          <w:sz w:val="20"/>
          <w:szCs w:val="20"/>
          <w:lang w:val="es-MX" w:eastAsia="es-CO"/>
        </w:rPr>
        <w:t xml:space="preserve"> En esta medida, introduce limitaciones para realizar nombramientos, postulaciones, contrataciones o cualquier otro tipo de actividad que implique destinación de recursos públicos bajo el devenir propio de las Entidades Estatales.</w:t>
      </w:r>
      <w:r w:rsidRPr="00A31E20">
        <w:rPr>
          <w:rFonts w:ascii="Verdana" w:eastAsia="Calibri" w:hAnsi="Verdana" w:cs="Arial"/>
          <w:sz w:val="20"/>
          <w:szCs w:val="20"/>
          <w:lang w:val="es-ES"/>
        </w:rPr>
        <w:t xml:space="preserve"> </w:t>
      </w:r>
    </w:p>
    <w:p w14:paraId="5723D9CD" w14:textId="1E13D6A0" w:rsidR="002C0B98" w:rsidRDefault="002C0B98" w:rsidP="002C0B98">
      <w:pPr>
        <w:jc w:val="both"/>
        <w:rPr>
          <w:rFonts w:ascii="Verdana" w:eastAsia="Calibri" w:hAnsi="Verdana" w:cs="Arial"/>
          <w:b/>
          <w:bCs/>
          <w:lang w:val="es-ES" w:eastAsia="es-ES"/>
        </w:rPr>
      </w:pPr>
      <w:r w:rsidRPr="002C0B98">
        <w:rPr>
          <w:rFonts w:ascii="Verdana" w:eastAsia="Calibri" w:hAnsi="Verdana" w:cs="Arial"/>
          <w:b/>
          <w:bCs/>
          <w:lang w:val="es-ES" w:eastAsia="es-ES"/>
        </w:rPr>
        <w:t>LEY DE GARANTÍAS ELECTORALES – Contratación directa – Alcance material – Interpretación restrictiva</w:t>
      </w:r>
    </w:p>
    <w:p w14:paraId="7F4ED4E7" w14:textId="0BB697D0" w:rsidR="00246C64" w:rsidRPr="00B62B7E" w:rsidRDefault="00B62B7E" w:rsidP="00B62B7E">
      <w:pPr>
        <w:spacing w:after="120" w:line="240" w:lineRule="auto"/>
        <w:jc w:val="both"/>
        <w:rPr>
          <w:rFonts w:ascii="Verdana" w:eastAsia="Arial" w:hAnsi="Verdana" w:cs="Arial"/>
          <w:sz w:val="20"/>
          <w:szCs w:val="20"/>
          <w:lang w:val="es-ES" w:eastAsia="es-ES" w:bidi="es-ES"/>
        </w:rPr>
      </w:pPr>
      <w:r w:rsidRPr="00B62B7E">
        <w:rPr>
          <w:rFonts w:ascii="Verdana" w:eastAsia="Arial" w:hAnsi="Verdana" w:cs="Arial"/>
          <w:sz w:val="20"/>
          <w:szCs w:val="20"/>
          <w:lang w:val="es-ES" w:eastAsia="es-ES" w:bidi="es-ES"/>
        </w:rPr>
        <w:t xml:space="preserve">[…] </w:t>
      </w:r>
      <w:r w:rsidR="00246C64" w:rsidRPr="00B62B7E">
        <w:rPr>
          <w:rFonts w:ascii="Verdana" w:eastAsia="Arial" w:hAnsi="Verdana" w:cs="Arial"/>
          <w:sz w:val="20"/>
          <w:szCs w:val="20"/>
          <w:lang w:val="es-ES" w:eastAsia="es-ES" w:bidi="es-ES"/>
        </w:rPr>
        <w:t xml:space="preserve">la Ley 996 de 2005 establece dos (2) tipos de restricciones en materia de contratación, las cuales coinciden parcialmente. </w:t>
      </w:r>
      <w:r w:rsidR="00246C64" w:rsidRPr="00B62B7E">
        <w:rPr>
          <w:rFonts w:ascii="Verdana" w:eastAsia="Arial" w:hAnsi="Verdana" w:cs="Arial"/>
          <w:i/>
          <w:iCs/>
          <w:sz w:val="20"/>
          <w:szCs w:val="20"/>
          <w:lang w:val="es-ES" w:eastAsia="es-ES" w:bidi="es-ES"/>
        </w:rPr>
        <w:t>En primer lugar</w:t>
      </w:r>
      <w:r w:rsidR="00246C64" w:rsidRPr="00B62B7E">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00246C64" w:rsidRPr="00B62B7E">
        <w:rPr>
          <w:rFonts w:ascii="Verdana" w:eastAsia="Arial" w:hAnsi="Verdana" w:cs="Arial"/>
          <w:i/>
          <w:iCs/>
          <w:sz w:val="20"/>
          <w:szCs w:val="20"/>
          <w:lang w:val="es-ES" w:eastAsia="es-ES" w:bidi="es-ES"/>
        </w:rPr>
        <w:t>En segundo lugar</w:t>
      </w:r>
      <w:r w:rsidR="00246C64" w:rsidRPr="00B62B7E">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E4A9E87" w14:textId="77777777" w:rsidR="00246C64" w:rsidRPr="00B62B7E" w:rsidRDefault="00246C64" w:rsidP="00B62B7E">
      <w:pPr>
        <w:spacing w:after="120" w:line="240" w:lineRule="auto"/>
        <w:jc w:val="both"/>
        <w:rPr>
          <w:rFonts w:ascii="Verdana" w:eastAsia="Arial" w:hAnsi="Verdana" w:cs="Arial"/>
          <w:sz w:val="20"/>
          <w:szCs w:val="20"/>
          <w:lang w:val="es-ES" w:eastAsia="es-ES" w:bidi="es-ES"/>
        </w:rPr>
      </w:pPr>
      <w:r w:rsidRPr="00B62B7E">
        <w:rPr>
          <w:rFonts w:ascii="Verdana" w:eastAsia="Arial" w:hAnsi="Verdana" w:cs="Arial"/>
          <w:sz w:val="20"/>
          <w:szCs w:val="20"/>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0BD61986" w14:textId="1D260894" w:rsidR="002C0B98" w:rsidRDefault="002C0B98" w:rsidP="002C0B98">
      <w:pPr>
        <w:jc w:val="both"/>
        <w:rPr>
          <w:rFonts w:ascii="Verdana" w:eastAsiaTheme="minorEastAsia" w:hAnsi="Verdana" w:cs="Arial"/>
          <w:b/>
          <w:bCs/>
          <w:color w:val="000000" w:themeColor="text1"/>
          <w:lang w:val="es-ES"/>
        </w:rPr>
      </w:pPr>
      <w:r w:rsidRPr="002C0B98">
        <w:rPr>
          <w:rFonts w:ascii="Verdana" w:hAnsi="Verdana"/>
          <w:b/>
          <w:bCs/>
        </w:rPr>
        <w:t>LEY DE GARANTÍAS ELECTORALES – Destinatarios – Entes del Estado – Régimen especial</w:t>
      </w:r>
      <w:r w:rsidRPr="002C0B98">
        <w:rPr>
          <w:rFonts w:ascii="Verdana" w:eastAsiaTheme="minorEastAsia" w:hAnsi="Verdana" w:cs="Arial"/>
          <w:b/>
          <w:bCs/>
          <w:color w:val="000000" w:themeColor="text1"/>
          <w:lang w:val="es-ES"/>
        </w:rPr>
        <w:t xml:space="preserve"> </w:t>
      </w:r>
    </w:p>
    <w:p w14:paraId="0864443D" w14:textId="099A9D8C" w:rsidR="00054E00" w:rsidRPr="00054E00" w:rsidRDefault="00054E00" w:rsidP="00054E00">
      <w:pPr>
        <w:spacing w:line="240" w:lineRule="auto"/>
        <w:jc w:val="both"/>
        <w:rPr>
          <w:rFonts w:ascii="Verdana" w:eastAsiaTheme="minorEastAsia" w:hAnsi="Verdana" w:cs="Arial"/>
          <w:b/>
          <w:bCs/>
          <w:color w:val="000000" w:themeColor="text1"/>
          <w:sz w:val="20"/>
          <w:szCs w:val="20"/>
          <w:lang w:val="es-ES"/>
        </w:rPr>
      </w:pPr>
      <w:r w:rsidRPr="00054E00">
        <w:rPr>
          <w:rFonts w:ascii="Verdana" w:hAnsi="Verdana" w:cs="Arial"/>
          <w:bCs/>
          <w:sz w:val="20"/>
          <w:szCs w:val="20"/>
          <w:lang w:val="es-MX" w:eastAsia="x-none"/>
        </w:rPr>
        <w:t xml:space="preserve">El artículo 33 de la Ley 996 de 2005 señala expresamente a los destinatarios de la prohibición, en el sentido de que son “todos los entes del Estado”, expresión que </w:t>
      </w:r>
      <w:r w:rsidRPr="00054E00">
        <w:rPr>
          <w:rFonts w:ascii="Verdana" w:hAnsi="Verdana" w:cs="Arial"/>
          <w:bCs/>
          <w:sz w:val="20"/>
          <w:szCs w:val="20"/>
          <w:lang w:val="es-MX" w:eastAsia="x-none"/>
        </w:rPr>
        <w:lastRenderedPageBreak/>
        <w:t>contempla a los diferentes organismos o entidades autorizadas por la ley para suscribir contratos.</w:t>
      </w:r>
      <w:r w:rsidRPr="00054E00">
        <w:rPr>
          <w:rFonts w:ascii="Verdana" w:hAnsi="Verdana" w:cs="Arial"/>
          <w:sz w:val="20"/>
          <w:szCs w:val="20"/>
          <w:lang w:val="es-MX"/>
        </w:rPr>
        <w:t xml:space="preserve"> </w:t>
      </w:r>
      <w:r w:rsidRPr="00054E00">
        <w:rPr>
          <w:rFonts w:ascii="Verdana" w:hAnsi="Verdana" w:cs="Arial"/>
          <w:bCs/>
          <w:sz w:val="20"/>
          <w:szCs w:val="20"/>
          <w:lang w:val="es-MX" w:eastAsia="x-none"/>
        </w:rPr>
        <w:t>En efecto, tal como lo ha sostenido el Consejo de Estado, el vocablo “todos” utilizado por el legislador comprende</w:t>
      </w:r>
      <w:r w:rsidRPr="00054E00">
        <w:rPr>
          <w:rFonts w:ascii="Verdana" w:hAnsi="Verdana" w:cs="Arial"/>
          <w:sz w:val="20"/>
          <w:szCs w:val="20"/>
          <w:lang w:val="es-MX"/>
        </w:rPr>
        <w:t xml:space="preserve"> </w:t>
      </w:r>
      <w:r w:rsidRPr="00054E00">
        <w:rPr>
          <w:rFonts w:ascii="Verdana" w:hAnsi="Verdana" w:cs="Arial"/>
          <w:bCs/>
          <w:sz w:val="20"/>
          <w:szCs w:val="20"/>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09458FF5" w14:textId="77777777" w:rsidR="002C0B98" w:rsidRDefault="002C0B98">
      <w:pPr>
        <w:rPr>
          <w:rFonts w:ascii="Verdana" w:eastAsiaTheme="minorEastAsia" w:hAnsi="Verdana" w:cs="Arial"/>
          <w:color w:val="000000" w:themeColor="text1"/>
          <w:lang w:val="es-ES"/>
        </w:rPr>
      </w:pPr>
      <w:r>
        <w:rPr>
          <w:rFonts w:ascii="Verdana" w:eastAsiaTheme="minorEastAsia" w:hAnsi="Verdana" w:cs="Arial"/>
          <w:color w:val="000000" w:themeColor="text1"/>
          <w:lang w:val="es-ES"/>
        </w:rPr>
        <w:br w:type="page"/>
      </w:r>
    </w:p>
    <w:p w14:paraId="1468C46D" w14:textId="1685B36A" w:rsidR="00C15139" w:rsidRPr="0024624F" w:rsidRDefault="007E3BAC" w:rsidP="005B50D3">
      <w:pPr>
        <w:rPr>
          <w:rFonts w:ascii="Verdana" w:eastAsia="Verdana" w:hAnsi="Verdana" w:cs="Verdana"/>
        </w:rPr>
      </w:pPr>
      <w:r w:rsidRPr="007E3BAC">
        <w:rPr>
          <w:rFonts w:ascii="Verdana" w:eastAsia="Calibri" w:hAnsi="Verdana" w:cs="Arial"/>
          <w:b/>
          <w:bCs/>
          <w:noProof/>
          <w:color w:val="000000"/>
          <w:lang w:eastAsia="es-ES_tradnl"/>
        </w:rPr>
        <w:lastRenderedPageBreak/>
        <w:drawing>
          <wp:anchor distT="0" distB="0" distL="114300" distR="114300" simplePos="0" relativeHeight="251660288" behindDoc="1" locked="0" layoutInCell="1" allowOverlap="1" wp14:anchorId="14968E5E" wp14:editId="6BCD8166">
            <wp:simplePos x="0" y="0"/>
            <wp:positionH relativeFrom="margin">
              <wp:align>right</wp:align>
            </wp:positionH>
            <wp:positionV relativeFrom="paragraph">
              <wp:posOffset>8483</wp:posOffset>
            </wp:positionV>
            <wp:extent cx="2448267" cy="676369"/>
            <wp:effectExtent l="0" t="0" r="9525" b="9525"/>
            <wp:wrapNone/>
            <wp:docPr id="1636625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625072" name=""/>
                    <pic:cNvPicPr/>
                  </pic:nvPicPr>
                  <pic:blipFill>
                    <a:blip r:embed="rId11">
                      <a:extLst>
                        <a:ext uri="{28A0092B-C50C-407E-A947-70E740481C1C}">
                          <a14:useLocalDpi xmlns:a14="http://schemas.microsoft.com/office/drawing/2010/main" val="0"/>
                        </a:ext>
                      </a:extLst>
                    </a:blip>
                    <a:stretch>
                      <a:fillRect/>
                    </a:stretch>
                  </pic:blipFill>
                  <pic:spPr>
                    <a:xfrm>
                      <a:off x="0" y="0"/>
                      <a:ext cx="2448267" cy="676369"/>
                    </a:xfrm>
                    <a:prstGeom prst="rect">
                      <a:avLst/>
                    </a:prstGeom>
                  </pic:spPr>
                </pic:pic>
              </a:graphicData>
            </a:graphic>
          </wp:anchor>
        </w:drawing>
      </w:r>
      <w:r w:rsidR="00C15139" w:rsidRPr="30821638">
        <w:rPr>
          <w:rFonts w:ascii="Verdana" w:eastAsia="Verdana" w:hAnsi="Verdana" w:cs="Verdana"/>
        </w:rPr>
        <w:t xml:space="preserve">Bogotá D.C., </w:t>
      </w:r>
      <w:r w:rsidR="005B50D3" w:rsidRPr="005B50D3">
        <w:rPr>
          <w:rFonts w:ascii="Verdana" w:eastAsia="Verdana" w:hAnsi="Verdana" w:cs="Verdana"/>
        </w:rPr>
        <w:t>17 Marzo 2026</w:t>
      </w:r>
    </w:p>
    <w:p w14:paraId="551BDB2B" w14:textId="7B68D88A" w:rsidR="002F7B69" w:rsidRPr="006F1FC0" w:rsidRDefault="002F7B69" w:rsidP="002F7B69">
      <w:pPr>
        <w:pStyle w:val="Sinespaciado"/>
        <w:rPr>
          <w:rFonts w:ascii="Verdana" w:hAnsi="Verdana"/>
          <w:lang w:eastAsia="es-ES"/>
        </w:rPr>
      </w:pPr>
      <w:bookmarkStart w:id="1" w:name="_Hlk186494164"/>
      <w:r w:rsidRPr="006F1FC0">
        <w:rPr>
          <w:rFonts w:ascii="Verdana" w:hAnsi="Verdana"/>
          <w:lang w:eastAsia="es-ES"/>
        </w:rPr>
        <w:t>Señor</w:t>
      </w:r>
    </w:p>
    <w:p w14:paraId="6699B4DF" w14:textId="77777777" w:rsidR="007667DD" w:rsidRDefault="007667DD" w:rsidP="002F7B69">
      <w:pPr>
        <w:pStyle w:val="Sinespaciado"/>
        <w:rPr>
          <w:rFonts w:ascii="Verdana" w:hAnsi="Verdana" w:cs="Times New Roman"/>
          <w:b/>
          <w:bCs/>
        </w:rPr>
      </w:pPr>
      <w:r w:rsidRPr="007667DD">
        <w:rPr>
          <w:rFonts w:ascii="Verdana" w:hAnsi="Verdana" w:cs="Times New Roman"/>
          <w:b/>
          <w:bCs/>
        </w:rPr>
        <w:t>Sandra Inirida Tellez Urbina</w:t>
      </w:r>
    </w:p>
    <w:p w14:paraId="134C6603" w14:textId="5158C51C" w:rsidR="00F314A0" w:rsidRDefault="00F314A0" w:rsidP="002F7B69">
      <w:pPr>
        <w:pStyle w:val="Sinespaciado"/>
        <w:rPr>
          <w:rFonts w:ascii="Verdana" w:hAnsi="Verdana" w:cs="Times New Roman"/>
        </w:rPr>
      </w:pPr>
      <w:hyperlink r:id="rId12" w:history="1">
        <w:r w:rsidRPr="00D422C9">
          <w:rPr>
            <w:rStyle w:val="Hipervnculo"/>
            <w:rFonts w:ascii="Verdana" w:hAnsi="Verdana" w:cs="Times New Roman"/>
          </w:rPr>
          <w:t>rectoria@josejoaquincasaschia.edu.co</w:t>
        </w:r>
      </w:hyperlink>
    </w:p>
    <w:p w14:paraId="43A5B2AB" w14:textId="4BCE0231" w:rsidR="002F7B69" w:rsidRPr="006F1FC0" w:rsidRDefault="00F314A0" w:rsidP="002F7B69">
      <w:pPr>
        <w:pStyle w:val="Sinespaciado"/>
        <w:rPr>
          <w:rFonts w:ascii="Verdana" w:hAnsi="Verdana" w:cs="Times New Roman"/>
        </w:rPr>
      </w:pPr>
      <w:r>
        <w:rPr>
          <w:rFonts w:ascii="Verdana" w:hAnsi="Verdana" w:cs="Times New Roman"/>
        </w:rPr>
        <w:t>Chía – Cundinamarca, Colombia</w:t>
      </w:r>
    </w:p>
    <w:p w14:paraId="46C41054" w14:textId="33704E00" w:rsidR="002F7B69" w:rsidRPr="00D22F9B" w:rsidRDefault="002F7B69" w:rsidP="002F7B69">
      <w:pPr>
        <w:spacing w:after="0" w:line="276" w:lineRule="auto"/>
        <w:rPr>
          <w:rFonts w:ascii="Verdana" w:eastAsia="Calibri" w:hAnsi="Verdana" w:cs="Arial"/>
          <w:lang w:eastAsia="es-ES"/>
        </w:rPr>
      </w:pPr>
    </w:p>
    <w:p w14:paraId="6AB347EC" w14:textId="5FA41F08" w:rsidR="002F7B69" w:rsidRPr="00D22F9B" w:rsidRDefault="002F7B69" w:rsidP="002F7B69">
      <w:pPr>
        <w:spacing w:after="0" w:line="276" w:lineRule="auto"/>
        <w:ind w:left="2124" w:firstLine="708"/>
        <w:rPr>
          <w:rFonts w:ascii="Verdana" w:eastAsia="Calibri" w:hAnsi="Verdana" w:cs="Arial"/>
          <w:b/>
          <w:bCs/>
          <w:color w:val="000000"/>
          <w:lang w:eastAsia="es-ES_tradnl"/>
        </w:rPr>
      </w:pPr>
    </w:p>
    <w:p w14:paraId="7ADB07AA" w14:textId="46C4D817" w:rsidR="002F7B69" w:rsidRPr="00D22F9B" w:rsidRDefault="002F7B69" w:rsidP="002F7B69">
      <w:pPr>
        <w:spacing w:after="0" w:line="276" w:lineRule="auto"/>
        <w:rPr>
          <w:rFonts w:ascii="Verdana" w:eastAsia="Calibri" w:hAnsi="Verdana" w:cs="Arial"/>
          <w:b/>
          <w:bCs/>
          <w:lang w:eastAsia="es-ES"/>
        </w:rPr>
      </w:pPr>
      <w:r>
        <w:rPr>
          <w:rFonts w:ascii="Verdana" w:eastAsia="Calibri" w:hAnsi="Verdana" w:cs="Arial"/>
          <w:b/>
          <w:bCs/>
          <w:lang w:eastAsia="es-ES"/>
        </w:rPr>
        <w:t xml:space="preserve">                                    </w:t>
      </w:r>
      <w:r w:rsidRPr="00D22F9B">
        <w:rPr>
          <w:rFonts w:ascii="Verdana" w:eastAsia="Calibri" w:hAnsi="Verdana" w:cs="Arial"/>
          <w:b/>
          <w:bCs/>
          <w:lang w:eastAsia="es-ES"/>
        </w:rPr>
        <w:t xml:space="preserve">Concepto </w:t>
      </w:r>
      <w:r w:rsidR="00272445" w:rsidRPr="00272445">
        <w:rPr>
          <w:rFonts w:ascii="Verdana" w:eastAsia="Calibri" w:hAnsi="Verdana" w:cs="Arial"/>
          <w:b/>
          <w:bCs/>
          <w:lang w:eastAsia="es-ES"/>
        </w:rPr>
        <w:t>C-173</w:t>
      </w:r>
      <w:r w:rsidR="00272445">
        <w:rPr>
          <w:rFonts w:ascii="Verdana" w:eastAsia="Calibri" w:hAnsi="Verdana" w:cs="Arial"/>
          <w:b/>
          <w:bCs/>
          <w:lang w:eastAsia="es-ES"/>
        </w:rPr>
        <w:t xml:space="preserve"> </w:t>
      </w:r>
      <w:r w:rsidRPr="00D22F9B">
        <w:rPr>
          <w:rFonts w:ascii="Verdana" w:eastAsia="Calibri" w:hAnsi="Verdana" w:cs="Arial"/>
          <w:b/>
          <w:bCs/>
          <w:lang w:eastAsia="es-ES"/>
        </w:rPr>
        <w:t>de 202</w:t>
      </w:r>
      <w:r>
        <w:rPr>
          <w:rFonts w:ascii="Verdana" w:eastAsia="Calibri" w:hAnsi="Verdana" w:cs="Arial"/>
          <w:b/>
          <w:bCs/>
          <w:lang w:eastAsia="es-ES"/>
        </w:rPr>
        <w:t>6</w:t>
      </w:r>
    </w:p>
    <w:p w14:paraId="3FC20A48" w14:textId="77777777" w:rsidR="002F7B69" w:rsidRPr="00D22F9B" w:rsidRDefault="002F7B69" w:rsidP="002F7B69">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53FE4" w:rsidRPr="00D22F9B" w14:paraId="44ADB123" w14:textId="77777777" w:rsidTr="00922CC3">
        <w:trPr>
          <w:trHeight w:val="884"/>
        </w:trPr>
        <w:tc>
          <w:tcPr>
            <w:tcW w:w="2689" w:type="dxa"/>
          </w:tcPr>
          <w:p w14:paraId="12113A03" w14:textId="77777777" w:rsidR="00F53FE4" w:rsidRPr="00D22F9B" w:rsidRDefault="00F53FE4" w:rsidP="00F53FE4">
            <w:pPr>
              <w:spacing w:line="276" w:lineRule="auto"/>
              <w:jc w:val="both"/>
              <w:rPr>
                <w:rFonts w:ascii="Verdana" w:eastAsia="Calibri" w:hAnsi="Verdana" w:cs="Arial"/>
                <w:color w:val="000000"/>
                <w:lang w:eastAsia="es-ES_tradnl"/>
              </w:rPr>
            </w:pPr>
            <w:r w:rsidRPr="00D22F9B">
              <w:rPr>
                <w:rFonts w:ascii="Verdana" w:eastAsia="Calibri" w:hAnsi="Verdana" w:cs="Arial"/>
                <w:b/>
                <w:color w:val="000000"/>
                <w:lang w:eastAsia="es-ES_tradnl"/>
              </w:rPr>
              <w:t>Temas:</w:t>
            </w:r>
            <w:r w:rsidRPr="00D22F9B">
              <w:rPr>
                <w:rFonts w:ascii="Verdana" w:eastAsia="Calibri" w:hAnsi="Verdana" w:cs="Arial"/>
                <w:color w:val="000000"/>
                <w:lang w:eastAsia="es-ES_tradnl"/>
              </w:rPr>
              <w:t xml:space="preserve">                   </w:t>
            </w:r>
          </w:p>
        </w:tc>
        <w:tc>
          <w:tcPr>
            <w:tcW w:w="6100" w:type="dxa"/>
          </w:tcPr>
          <w:p w14:paraId="2E188F84" w14:textId="77777777" w:rsidR="00F53FE4" w:rsidRDefault="00F53FE4" w:rsidP="00F53FE4">
            <w:pPr>
              <w:jc w:val="both"/>
              <w:rPr>
                <w:rFonts w:ascii="Verdana" w:eastAsiaTheme="minorEastAsia" w:hAnsi="Verdana" w:cs="Arial"/>
                <w:color w:val="000000" w:themeColor="text1"/>
                <w:lang w:val="es-ES"/>
              </w:rPr>
            </w:pPr>
            <w:r w:rsidRPr="3A5322BA">
              <w:rPr>
                <w:rFonts w:ascii="Verdana" w:hAnsi="Verdana" w:cs="Arial"/>
                <w:lang w:val="es-MX" w:eastAsia="es-ES"/>
              </w:rPr>
              <w:t xml:space="preserve">LEY DE GARANTÍAS ELECTORALES ‒ Finalidad / </w:t>
            </w:r>
            <w:r w:rsidRPr="003C46CE">
              <w:rPr>
                <w:rFonts w:ascii="Verdana" w:eastAsia="Calibri" w:hAnsi="Verdana" w:cs="Arial"/>
                <w:lang w:val="es-ES" w:eastAsia="es-ES"/>
              </w:rPr>
              <w:t>LEY DE GARANTÍAS ELECTORALES – Contratación directa – Alcance material – Interpretación restrictiva</w:t>
            </w:r>
            <w:r>
              <w:rPr>
                <w:rFonts w:ascii="Verdana" w:hAnsi="Verdana" w:cs="Arial"/>
                <w:lang w:val="es-MX" w:eastAsia="es-ES"/>
              </w:rPr>
              <w:t xml:space="preserve"> / </w:t>
            </w:r>
            <w:r w:rsidRPr="00947318">
              <w:rPr>
                <w:rFonts w:ascii="Verdana" w:hAnsi="Verdana"/>
              </w:rPr>
              <w:t>LEY DE GARANTÍAS ELECTORALES – Destinatarios – Entes del Estado – Régimen especial</w:t>
            </w:r>
            <w:r w:rsidRPr="3A5322BA">
              <w:rPr>
                <w:rFonts w:ascii="Verdana" w:eastAsiaTheme="minorEastAsia" w:hAnsi="Verdana" w:cs="Arial"/>
                <w:color w:val="000000" w:themeColor="text1"/>
                <w:lang w:val="es-ES"/>
              </w:rPr>
              <w:t xml:space="preserve"> </w:t>
            </w:r>
          </w:p>
          <w:p w14:paraId="0E509696" w14:textId="77777777" w:rsidR="00F53FE4" w:rsidRPr="00D22F9B" w:rsidRDefault="00F53FE4" w:rsidP="00F53FE4">
            <w:pPr>
              <w:spacing w:line="276" w:lineRule="auto"/>
              <w:jc w:val="both"/>
              <w:rPr>
                <w:rFonts w:ascii="Verdana" w:eastAsia="Calibri" w:hAnsi="Verdana" w:cs="Arial"/>
                <w:lang w:eastAsia="es-ES"/>
              </w:rPr>
            </w:pPr>
          </w:p>
        </w:tc>
      </w:tr>
      <w:tr w:rsidR="00F53FE4" w:rsidRPr="00D22F9B" w14:paraId="1CE4F570" w14:textId="77777777" w:rsidTr="00922CC3">
        <w:tc>
          <w:tcPr>
            <w:tcW w:w="2689" w:type="dxa"/>
          </w:tcPr>
          <w:p w14:paraId="567171D7" w14:textId="77777777" w:rsidR="00F53FE4" w:rsidRPr="00D22F9B" w:rsidRDefault="00F53FE4" w:rsidP="00F53FE4">
            <w:pPr>
              <w:spacing w:line="276" w:lineRule="auto"/>
              <w:jc w:val="both"/>
              <w:rPr>
                <w:rFonts w:ascii="Verdana" w:eastAsia="Calibri" w:hAnsi="Verdana" w:cs="Arial"/>
                <w:b/>
                <w:lang w:eastAsia="es-ES_tradnl"/>
              </w:rPr>
            </w:pPr>
            <w:r w:rsidRPr="00D22F9B">
              <w:rPr>
                <w:rFonts w:ascii="Verdana" w:eastAsia="Calibri" w:hAnsi="Verdana" w:cs="Arial"/>
                <w:b/>
                <w:lang w:eastAsia="es-ES_tradnl"/>
              </w:rPr>
              <w:t xml:space="preserve"> Radicación:</w:t>
            </w:r>
            <w:r w:rsidRPr="00D22F9B">
              <w:rPr>
                <w:rFonts w:ascii="Verdana" w:eastAsia="Calibri" w:hAnsi="Verdana" w:cs="Arial"/>
                <w:lang w:eastAsia="es-ES_tradnl"/>
              </w:rPr>
              <w:t xml:space="preserve">               </w:t>
            </w:r>
          </w:p>
        </w:tc>
        <w:tc>
          <w:tcPr>
            <w:tcW w:w="6100" w:type="dxa"/>
          </w:tcPr>
          <w:p w14:paraId="5929350C" w14:textId="5F7C2116" w:rsidR="00F53FE4" w:rsidRPr="00D22F9B" w:rsidRDefault="00F53FE4" w:rsidP="00F53FE4">
            <w:pPr>
              <w:spacing w:line="276" w:lineRule="auto"/>
              <w:jc w:val="both"/>
              <w:rPr>
                <w:rFonts w:ascii="Verdana" w:eastAsia="Calibri" w:hAnsi="Verdana" w:cs="Arial"/>
                <w:lang w:eastAsia="es-ES_tradnl"/>
              </w:rPr>
            </w:pPr>
            <w:r w:rsidRPr="00D22F9B">
              <w:rPr>
                <w:rFonts w:ascii="Verdana" w:eastAsia="Calibri" w:hAnsi="Verdana" w:cs="Arial"/>
                <w:lang w:eastAsia="es-ES_tradnl"/>
              </w:rPr>
              <w:t xml:space="preserve">Respuesta a consultas con radicado No. </w:t>
            </w:r>
            <w:r w:rsidRPr="00272445">
              <w:rPr>
                <w:rFonts w:ascii="Verdana" w:eastAsia="Calibri" w:hAnsi="Verdana" w:cs="Arial"/>
                <w:lang w:eastAsia="es-ES_tradnl"/>
              </w:rPr>
              <w:t>1_2026_02_06_001544</w:t>
            </w:r>
          </w:p>
        </w:tc>
      </w:tr>
    </w:tbl>
    <w:p w14:paraId="16A888A1" w14:textId="77777777" w:rsidR="002F7B69" w:rsidRPr="00D22F9B" w:rsidRDefault="002F7B69" w:rsidP="002F7B69">
      <w:pPr>
        <w:spacing w:after="0" w:line="276" w:lineRule="auto"/>
        <w:jc w:val="both"/>
        <w:rPr>
          <w:rFonts w:ascii="Verdana" w:eastAsia="Calibri" w:hAnsi="Verdana" w:cs="Arial"/>
          <w:color w:val="000000"/>
          <w:lang w:eastAsia="es-ES_tradnl"/>
        </w:rPr>
      </w:pPr>
    </w:p>
    <w:p w14:paraId="5A8E5224" w14:textId="77777777" w:rsidR="002F7B69" w:rsidRPr="00D22F9B" w:rsidRDefault="002F7B69" w:rsidP="002F7B69">
      <w:pPr>
        <w:spacing w:after="0" w:line="276" w:lineRule="auto"/>
        <w:jc w:val="both"/>
        <w:rPr>
          <w:rFonts w:ascii="Verdana" w:eastAsia="Calibri" w:hAnsi="Verdana" w:cs="Arial"/>
          <w:color w:val="000000"/>
          <w:lang w:eastAsia="es-ES_tradnl"/>
        </w:rPr>
      </w:pPr>
    </w:p>
    <w:p w14:paraId="20F21E20" w14:textId="18D4791D" w:rsidR="002F7B69" w:rsidRPr="00D22F9B" w:rsidRDefault="002F7B69" w:rsidP="002F7B69">
      <w:pPr>
        <w:spacing w:after="0" w:line="276" w:lineRule="auto"/>
        <w:jc w:val="both"/>
        <w:rPr>
          <w:rFonts w:ascii="Verdana" w:eastAsia="Calibri" w:hAnsi="Verdana" w:cs="Arial"/>
          <w:lang w:eastAsia="es-ES"/>
        </w:rPr>
      </w:pPr>
      <w:r w:rsidRPr="00D22F9B">
        <w:rPr>
          <w:rFonts w:ascii="Verdana" w:eastAsia="Calibri" w:hAnsi="Verdana" w:cs="Arial"/>
          <w:lang w:eastAsia="es-ES"/>
        </w:rPr>
        <w:t>Estimad</w:t>
      </w:r>
      <w:r w:rsidR="00F46A7F">
        <w:rPr>
          <w:rFonts w:ascii="Verdana" w:eastAsia="Calibri" w:hAnsi="Verdana" w:cs="Arial"/>
          <w:lang w:eastAsia="es-ES"/>
        </w:rPr>
        <w:t>a</w:t>
      </w:r>
      <w:r>
        <w:rPr>
          <w:rFonts w:ascii="Verdana" w:eastAsia="Calibri" w:hAnsi="Verdana" w:cs="Arial"/>
          <w:lang w:eastAsia="es-ES"/>
        </w:rPr>
        <w:t xml:space="preserve"> señor</w:t>
      </w:r>
      <w:r w:rsidR="00F46A7F">
        <w:rPr>
          <w:rFonts w:ascii="Verdana" w:eastAsia="Calibri" w:hAnsi="Verdana" w:cs="Arial"/>
          <w:lang w:eastAsia="es-ES"/>
        </w:rPr>
        <w:t>a</w:t>
      </w:r>
      <w:r>
        <w:rPr>
          <w:rFonts w:ascii="Verdana" w:eastAsia="Calibri" w:hAnsi="Verdana" w:cs="Arial"/>
          <w:lang w:eastAsia="es-ES"/>
        </w:rPr>
        <w:t xml:space="preserve"> </w:t>
      </w:r>
      <w:r w:rsidR="00F46A7F">
        <w:rPr>
          <w:rFonts w:ascii="Verdana" w:eastAsia="Calibri" w:hAnsi="Verdana" w:cs="Arial"/>
          <w:lang w:eastAsia="es-ES"/>
        </w:rPr>
        <w:t>Telle</w:t>
      </w:r>
      <w:r>
        <w:rPr>
          <w:rFonts w:ascii="Verdana" w:eastAsia="Calibri" w:hAnsi="Verdana" w:cs="Arial"/>
          <w:lang w:eastAsia="es-ES"/>
        </w:rPr>
        <w:t>z, cordial saludo</w:t>
      </w:r>
    </w:p>
    <w:p w14:paraId="037A6C73" w14:textId="77777777" w:rsidR="002F7B69" w:rsidRPr="00D22F9B" w:rsidRDefault="002F7B69" w:rsidP="002F7B69">
      <w:pPr>
        <w:tabs>
          <w:tab w:val="left" w:pos="3768"/>
        </w:tabs>
        <w:spacing w:after="0" w:line="276" w:lineRule="auto"/>
        <w:jc w:val="both"/>
        <w:rPr>
          <w:rFonts w:ascii="Verdana" w:eastAsia="Calibri" w:hAnsi="Verdana" w:cs="Arial"/>
          <w:color w:val="000000"/>
          <w:lang w:eastAsia="es-ES"/>
        </w:rPr>
      </w:pPr>
      <w:r w:rsidRPr="00D22F9B">
        <w:rPr>
          <w:rFonts w:ascii="Verdana" w:eastAsia="Calibri" w:hAnsi="Verdana" w:cs="Arial"/>
          <w:color w:val="000000"/>
          <w:lang w:eastAsia="es-ES"/>
        </w:rPr>
        <w:tab/>
      </w:r>
    </w:p>
    <w:p w14:paraId="0A9F1B72" w14:textId="598D5FE7" w:rsidR="002F7B69" w:rsidRPr="00D22F9B" w:rsidRDefault="002F7B69" w:rsidP="002F7B69">
      <w:pPr>
        <w:spacing w:line="276" w:lineRule="auto"/>
        <w:jc w:val="both"/>
        <w:rPr>
          <w:rFonts w:ascii="Verdana" w:eastAsia="Calibri" w:hAnsi="Verdana" w:cs="Arial"/>
          <w:i/>
          <w:iCs/>
          <w:lang w:eastAsia="es-ES"/>
        </w:rPr>
      </w:pPr>
      <w:r w:rsidRPr="00D22F9B">
        <w:rPr>
          <w:rFonts w:ascii="Verdana" w:eastAsia="Calibri" w:hAnsi="Verdana" w:cs="Arial"/>
          <w:color w:val="000000"/>
          <w:lang w:eastAsia="es-ES"/>
        </w:rPr>
        <w:t>En ejercicio de la competencia otorgada por los artículos 3, numeral 5º, y 11, numeral 8º, del Decreto Ley 4170 de 2011,</w:t>
      </w:r>
      <w:r w:rsidRPr="00D22F9B">
        <w:rPr>
          <w:rFonts w:ascii="Verdana" w:eastAsia="Arial MT" w:hAnsi="Verdana" w:cs="Arial MT"/>
          <w:lang w:eastAsia="es-ES"/>
        </w:rPr>
        <w:t xml:space="preserve"> </w:t>
      </w:r>
      <w:r w:rsidRPr="00D22F9B">
        <w:rPr>
          <w:rFonts w:ascii="Verdana" w:eastAsia="Calibri" w:hAnsi="Verdana" w:cs="Arial"/>
        </w:rPr>
        <w:t xml:space="preserve">así como lo establecido en el artículo 4 de la Resolución 1707 de 2018 expedida por esta Entidad, </w:t>
      </w:r>
      <w:r w:rsidRPr="00D22F9B">
        <w:rPr>
          <w:rFonts w:ascii="Verdana" w:eastAsia="Calibri" w:hAnsi="Verdana" w:cs="Arial"/>
          <w:color w:val="000000"/>
          <w:lang w:eastAsia="es-ES"/>
        </w:rPr>
        <w:t xml:space="preserve">la Agencia Nacional de Contratación Pública – Colombia Compra Eficiente responde su solicitud de concepto del </w:t>
      </w:r>
      <w:r>
        <w:rPr>
          <w:rFonts w:ascii="Verdana" w:eastAsia="Calibri" w:hAnsi="Verdana" w:cs="Arial"/>
          <w:color w:val="000000"/>
          <w:lang w:eastAsia="es-ES"/>
        </w:rPr>
        <w:t>0</w:t>
      </w:r>
      <w:r w:rsidR="004A309C">
        <w:rPr>
          <w:rFonts w:ascii="Verdana" w:eastAsia="Calibri" w:hAnsi="Verdana" w:cs="Arial"/>
          <w:color w:val="000000"/>
          <w:lang w:eastAsia="es-ES"/>
        </w:rPr>
        <w:t>6</w:t>
      </w:r>
      <w:r w:rsidRPr="00D22F9B">
        <w:rPr>
          <w:rFonts w:ascii="Verdana" w:eastAsia="Calibri" w:hAnsi="Verdana" w:cs="Arial"/>
          <w:color w:val="000000"/>
          <w:lang w:eastAsia="es-ES"/>
        </w:rPr>
        <w:t xml:space="preserve"> de </w:t>
      </w:r>
      <w:r>
        <w:rPr>
          <w:rFonts w:ascii="Verdana" w:eastAsia="Calibri" w:hAnsi="Verdana" w:cs="Arial"/>
          <w:color w:val="000000"/>
          <w:lang w:eastAsia="es-ES"/>
        </w:rPr>
        <w:t>febrero</w:t>
      </w:r>
      <w:r w:rsidRPr="00D22F9B">
        <w:rPr>
          <w:rFonts w:ascii="Verdana" w:eastAsia="Calibri" w:hAnsi="Verdana" w:cs="Arial"/>
          <w:color w:val="000000"/>
          <w:lang w:eastAsia="es-ES"/>
        </w:rPr>
        <w:t xml:space="preserve"> de 202</w:t>
      </w:r>
      <w:r>
        <w:rPr>
          <w:rFonts w:ascii="Verdana" w:eastAsia="Calibri" w:hAnsi="Verdana" w:cs="Arial"/>
          <w:color w:val="000000"/>
          <w:lang w:eastAsia="es-ES"/>
        </w:rPr>
        <w:t>6</w:t>
      </w:r>
      <w:r w:rsidRPr="00D22F9B">
        <w:rPr>
          <w:rFonts w:ascii="Verdana" w:eastAsia="Calibri" w:hAnsi="Verdana" w:cs="Arial"/>
          <w:color w:val="000000"/>
          <w:lang w:eastAsia="es-ES"/>
        </w:rPr>
        <w:t>,</w:t>
      </w:r>
      <w:r w:rsidRPr="00D22F9B">
        <w:rPr>
          <w:rFonts w:ascii="Verdana" w:eastAsia="Calibri" w:hAnsi="Verdana" w:cs="Arial"/>
          <w:lang w:eastAsia="es-ES"/>
        </w:rPr>
        <w:t xml:space="preserve"> en la que manifiesta lo siguiente:</w:t>
      </w:r>
      <w:r w:rsidRPr="00D22F9B">
        <w:rPr>
          <w:rFonts w:ascii="Verdana" w:eastAsia="Calibri" w:hAnsi="Verdana" w:cs="Arial"/>
          <w:i/>
          <w:iCs/>
          <w:lang w:eastAsia="es-ES"/>
        </w:rPr>
        <w:t xml:space="preserve"> </w:t>
      </w:r>
      <w:bookmarkStart w:id="2" w:name="_Hlk95313578"/>
    </w:p>
    <w:bookmarkEnd w:id="2"/>
    <w:p w14:paraId="00BC42E9" w14:textId="3E637367" w:rsidR="002F7B69" w:rsidRDefault="00E53686" w:rsidP="00E53686">
      <w:pPr>
        <w:spacing w:after="0" w:line="240" w:lineRule="auto"/>
        <w:ind w:left="709" w:right="709"/>
        <w:jc w:val="both"/>
        <w:rPr>
          <w:rFonts w:ascii="Verdana" w:eastAsia="Arial" w:hAnsi="Verdana" w:cs="Arial"/>
          <w:i/>
          <w:color w:val="000000"/>
          <w:sz w:val="20"/>
          <w:szCs w:val="20"/>
        </w:rPr>
      </w:pPr>
      <w:r>
        <w:rPr>
          <w:rFonts w:ascii="Verdana" w:eastAsia="Arial" w:hAnsi="Verdana" w:cs="Arial"/>
          <w:i/>
          <w:color w:val="000000"/>
          <w:sz w:val="20"/>
          <w:szCs w:val="20"/>
        </w:rPr>
        <w:t>“Buenas</w:t>
      </w:r>
      <w:r w:rsidRPr="00E53686">
        <w:rPr>
          <w:rFonts w:ascii="Verdana" w:eastAsia="Arial" w:hAnsi="Verdana" w:cs="Arial"/>
          <w:i/>
          <w:color w:val="000000"/>
          <w:sz w:val="20"/>
          <w:szCs w:val="20"/>
        </w:rPr>
        <w:t xml:space="preserve"> tardes, solicito concepto sobre contratar en vigencia ley de garantías</w:t>
      </w:r>
      <w:r>
        <w:rPr>
          <w:rFonts w:ascii="Verdana" w:eastAsia="Arial" w:hAnsi="Verdana" w:cs="Arial"/>
          <w:i/>
          <w:color w:val="000000"/>
          <w:sz w:val="20"/>
          <w:szCs w:val="20"/>
        </w:rPr>
        <w:t xml:space="preserve"> </w:t>
      </w:r>
      <w:r w:rsidRPr="00E53686">
        <w:rPr>
          <w:rFonts w:ascii="Verdana" w:eastAsia="Arial" w:hAnsi="Verdana" w:cs="Arial"/>
          <w:i/>
          <w:color w:val="000000"/>
          <w:sz w:val="20"/>
          <w:szCs w:val="20"/>
        </w:rPr>
        <w:t>régimen especial sin oferta, contrato de carácter urgente, como puedo contratar en</w:t>
      </w:r>
      <w:r>
        <w:rPr>
          <w:rFonts w:ascii="Verdana" w:eastAsia="Arial" w:hAnsi="Verdana" w:cs="Arial"/>
          <w:i/>
          <w:color w:val="000000"/>
          <w:sz w:val="20"/>
          <w:szCs w:val="20"/>
        </w:rPr>
        <w:t xml:space="preserve"> </w:t>
      </w:r>
      <w:r w:rsidRPr="00E53686">
        <w:rPr>
          <w:rFonts w:ascii="Verdana" w:eastAsia="Arial" w:hAnsi="Verdana" w:cs="Arial"/>
          <w:i/>
          <w:color w:val="000000"/>
          <w:sz w:val="20"/>
          <w:szCs w:val="20"/>
        </w:rPr>
        <w:t>plena ley de garantias, cuantia minima?</w:t>
      </w:r>
      <w:r>
        <w:rPr>
          <w:rFonts w:ascii="Verdana" w:eastAsia="Arial" w:hAnsi="Verdana" w:cs="Arial"/>
          <w:i/>
          <w:color w:val="000000"/>
          <w:sz w:val="20"/>
          <w:szCs w:val="20"/>
        </w:rPr>
        <w:t>”</w:t>
      </w:r>
    </w:p>
    <w:p w14:paraId="5E23AF25" w14:textId="77777777" w:rsidR="00E53686" w:rsidRPr="00E53686" w:rsidRDefault="00E53686" w:rsidP="00E53686">
      <w:pPr>
        <w:spacing w:after="0" w:line="240" w:lineRule="auto"/>
        <w:ind w:left="709" w:right="709"/>
        <w:jc w:val="both"/>
        <w:rPr>
          <w:rFonts w:ascii="Verdana" w:eastAsia="Arial" w:hAnsi="Verdana" w:cs="Arial"/>
          <w:i/>
          <w:color w:val="000000"/>
          <w:sz w:val="20"/>
          <w:szCs w:val="20"/>
        </w:rPr>
      </w:pPr>
    </w:p>
    <w:p w14:paraId="515F96EC" w14:textId="77777777" w:rsidR="002F7B69" w:rsidRPr="00D22F9B" w:rsidRDefault="002F7B69" w:rsidP="002F7B69">
      <w:pPr>
        <w:spacing w:after="120" w:line="276" w:lineRule="auto"/>
        <w:jc w:val="both"/>
        <w:rPr>
          <w:rFonts w:ascii="Verdana" w:eastAsia="Calibri" w:hAnsi="Verdana" w:cs="Arial"/>
          <w:color w:val="000000"/>
          <w:lang w:eastAsia="es-ES"/>
        </w:rPr>
      </w:pPr>
      <w:r w:rsidRPr="00D22F9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D22F9B">
        <w:rPr>
          <w:rFonts w:ascii="Verdana" w:eastAsia="Calibri" w:hAnsi="Verdana" w:cs="Arial"/>
          <w:color w:val="000000"/>
          <w:lang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22F9B">
        <w:rPr>
          <w:rFonts w:ascii="Verdana" w:eastAsia="Calibri" w:hAnsi="Verdana" w:cs="Arial"/>
          <w:color w:val="000000"/>
          <w:lang w:eastAsia="es-ES_tradnl"/>
        </w:rPr>
        <w:tab/>
      </w:r>
    </w:p>
    <w:p w14:paraId="5B2DB101" w14:textId="77777777" w:rsidR="002F7B69" w:rsidRPr="002A396D" w:rsidRDefault="002F7B69" w:rsidP="002F7B69">
      <w:pPr>
        <w:spacing w:line="276" w:lineRule="auto"/>
        <w:jc w:val="both"/>
        <w:rPr>
          <w:rFonts w:ascii="Verdana" w:eastAsia="Calibri" w:hAnsi="Verdana" w:cs="Arial"/>
          <w:b/>
          <w:bCs/>
          <w:color w:val="000000"/>
          <w:lang w:eastAsia="es-ES"/>
        </w:rPr>
      </w:pPr>
      <w:r w:rsidRPr="00D22F9B">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problemas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jurídicos</w:t>
      </w:r>
      <w:r w:rsidRPr="00D22F9B">
        <w:rPr>
          <w:rFonts w:ascii="Verdana" w:eastAsia="Calibri" w:hAnsi="Verdana" w:cs="Arial"/>
          <w:color w:val="7030A0"/>
          <w:lang w:eastAsia="es-ES"/>
        </w:rPr>
        <w:t xml:space="preserve"> </w:t>
      </w:r>
      <w:r w:rsidRPr="00D22F9B">
        <w:rPr>
          <w:rFonts w:ascii="Verdana" w:eastAsia="Calibri" w:hAnsi="Verdana" w:cs="Arial"/>
          <w:color w:val="000000"/>
          <w:lang w:eastAsia="es-ES"/>
        </w:rPr>
        <w:t>de su consulta.</w:t>
      </w:r>
      <w:r w:rsidRPr="002A396D">
        <w:rPr>
          <w:rFonts w:ascii="Verdana" w:eastAsia="Calibri" w:hAnsi="Verdana" w:cs="Arial"/>
          <w:b/>
          <w:bCs/>
          <w:color w:val="000000"/>
          <w:lang w:eastAsia="es-ES"/>
        </w:rPr>
        <w:t xml:space="preserve"> </w:t>
      </w:r>
    </w:p>
    <w:p w14:paraId="02EC4D6E" w14:textId="77777777" w:rsidR="002F7B69" w:rsidRPr="002A396D" w:rsidRDefault="002F7B69" w:rsidP="002F7B69">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2A396D">
        <w:rPr>
          <w:rFonts w:ascii="Verdana" w:eastAsia="Century Gothic" w:hAnsi="Verdana" w:cs="Century Gothic"/>
          <w:b/>
          <w:bCs/>
        </w:rPr>
        <w:t>Problema planteado:</w:t>
      </w:r>
    </w:p>
    <w:p w14:paraId="3E63352D" w14:textId="77777777" w:rsidR="002F7B69" w:rsidRPr="002A396D" w:rsidRDefault="002F7B69" w:rsidP="002F7B69">
      <w:pPr>
        <w:tabs>
          <w:tab w:val="left" w:pos="142"/>
          <w:tab w:val="left" w:pos="284"/>
        </w:tabs>
        <w:spacing w:after="0" w:line="276" w:lineRule="auto"/>
        <w:ind w:left="360"/>
        <w:contextualSpacing/>
        <w:jc w:val="both"/>
        <w:rPr>
          <w:rFonts w:ascii="Verdana" w:eastAsia="Century Gothic" w:hAnsi="Verdana" w:cs="Century Gothic"/>
        </w:rPr>
      </w:pPr>
    </w:p>
    <w:p w14:paraId="48C03ADA" w14:textId="056DB0DF" w:rsidR="009225BA" w:rsidRDefault="009225BA" w:rsidP="009225BA">
      <w:pPr>
        <w:spacing w:line="276" w:lineRule="auto"/>
        <w:jc w:val="both"/>
        <w:rPr>
          <w:rFonts w:ascii="Verdana" w:eastAsia="Century Gothic" w:hAnsi="Verdana" w:cs="Century Gothic"/>
        </w:rPr>
      </w:pPr>
      <w:r w:rsidRPr="00D22F9B">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D22F9B">
        <w:rPr>
          <w:rFonts w:ascii="Verdana" w:eastAsia="Century Gothic" w:hAnsi="Verdana" w:cs="Century Gothic"/>
        </w:rPr>
        <w:t xml:space="preserve"> siguiente problema jurídico</w:t>
      </w:r>
      <w:r>
        <w:rPr>
          <w:rFonts w:ascii="Verdana" w:eastAsia="Century Gothic" w:hAnsi="Verdana" w:cs="Century Gothic"/>
        </w:rPr>
        <w:t xml:space="preserve">: </w:t>
      </w:r>
      <w:r w:rsidRPr="00DD1357">
        <w:rPr>
          <w:rFonts w:ascii="Verdana" w:eastAsia="Century Gothic" w:hAnsi="Verdana" w:cs="Century Gothic"/>
        </w:rPr>
        <w:t>¿Resultan aplicables, durante el período preelectoral, las prohibiciones previstas en la Ley de Garantías Electorales a todos los entes del Estado, incluidas las entidades sometidas a regímenes especiales</w:t>
      </w:r>
      <w:r w:rsidR="006D2451">
        <w:rPr>
          <w:rFonts w:ascii="Verdana" w:eastAsia="Century Gothic" w:hAnsi="Verdana" w:cs="Century Gothic"/>
        </w:rPr>
        <w:t xml:space="preserve"> de contratación</w:t>
      </w:r>
      <w:r w:rsidRPr="00DD1357">
        <w:rPr>
          <w:rFonts w:ascii="Verdana" w:eastAsia="Century Gothic" w:hAnsi="Verdana" w:cs="Century Gothic"/>
        </w:rPr>
        <w:t>?</w:t>
      </w:r>
    </w:p>
    <w:bookmarkEnd w:id="1"/>
    <w:p w14:paraId="5899BBB2" w14:textId="77777777" w:rsidR="00CF2053" w:rsidRPr="00D22F9B" w:rsidRDefault="00CF2053" w:rsidP="00CF2053">
      <w:pPr>
        <w:spacing w:after="0" w:line="276" w:lineRule="auto"/>
        <w:jc w:val="both"/>
        <w:rPr>
          <w:rFonts w:ascii="Verdana" w:eastAsia="Century Gothic" w:hAnsi="Verdana" w:cs="Century Gothic"/>
          <w:b/>
          <w:bCs/>
        </w:rPr>
      </w:pPr>
      <w:r w:rsidRPr="00D22F9B">
        <w:rPr>
          <w:rFonts w:ascii="Verdana" w:eastAsia="Century Gothic" w:hAnsi="Verdana" w:cs="Century Gothic"/>
          <w:b/>
          <w:bCs/>
        </w:rPr>
        <w:t>Respuesta:</w:t>
      </w:r>
    </w:p>
    <w:p w14:paraId="1CC271C2" w14:textId="77777777" w:rsidR="00CF2053" w:rsidRPr="00D22F9B" w:rsidRDefault="00CF2053" w:rsidP="00CF205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2053" w:rsidRPr="00D22F9B" w14:paraId="4840CA1F" w14:textId="77777777" w:rsidTr="001370D4">
        <w:trPr>
          <w:jc w:val="center"/>
        </w:trPr>
        <w:tc>
          <w:tcPr>
            <w:tcW w:w="8828" w:type="dxa"/>
          </w:tcPr>
          <w:p w14:paraId="6A92EE00" w14:textId="027AE0C5" w:rsidR="00CF2053" w:rsidRPr="004C79C3" w:rsidRDefault="00CF2053" w:rsidP="001370D4">
            <w:pPr>
              <w:spacing w:after="120" w:line="276" w:lineRule="auto"/>
              <w:jc w:val="both"/>
              <w:rPr>
                <w:rFonts w:ascii="Verdana" w:eastAsia="Calibri" w:hAnsi="Verdana" w:cs="Arial"/>
              </w:rPr>
            </w:pPr>
            <w:bookmarkStart w:id="3" w:name="_Hlk171694685"/>
            <w:r w:rsidRPr="001F1A8B">
              <w:rPr>
                <w:rFonts w:ascii="Verdana" w:eastAsia="Calibri" w:hAnsi="Verdana" w:cs="Arial"/>
              </w:rPr>
              <w:t xml:space="preserve">En relación con el problema jurídico formulado y conforme a lo previsto en el artículo 33 de la Ley 996 de 2005, </w:t>
            </w:r>
            <w:r w:rsidRPr="004C79C3">
              <w:rPr>
                <w:rFonts w:ascii="Verdana" w:eastAsia="Calibri" w:hAnsi="Verdana" w:cs="Arial"/>
              </w:rPr>
              <w:t xml:space="preserve">resultan aplicables </w:t>
            </w:r>
            <w:r w:rsidR="00A55E41" w:rsidRPr="00DD1357">
              <w:rPr>
                <w:rFonts w:ascii="Verdana" w:eastAsia="Century Gothic" w:hAnsi="Verdana" w:cs="Century Gothic"/>
              </w:rPr>
              <w:t xml:space="preserve">las prohibiciones previstas en la Ley de Garantías Electorales </w:t>
            </w:r>
            <w:r w:rsidRPr="004C79C3">
              <w:rPr>
                <w:rFonts w:ascii="Verdana" w:eastAsia="Calibri" w:hAnsi="Verdana" w:cs="Arial"/>
              </w:rPr>
              <w:t xml:space="preserve">a todos los entes del Estado durante el período preelectoral, incluidas las entidades </w:t>
            </w:r>
            <w:r w:rsidR="00733DE1" w:rsidRPr="00733DE1">
              <w:rPr>
                <w:rFonts w:ascii="Verdana" w:eastAsia="Calibri" w:hAnsi="Verdana" w:cs="Arial"/>
              </w:rPr>
              <w:t>con régimen especial de contratación y que están exceptuadas del ámbito de aplicación del Estatuto General de Contratación de la Administración Pública</w:t>
            </w:r>
            <w:r w:rsidRPr="004C79C3">
              <w:rPr>
                <w:rFonts w:ascii="Verdana" w:eastAsia="Calibri" w:hAnsi="Verdana" w:cs="Arial"/>
              </w:rPr>
              <w:t xml:space="preserve">, en la medida en que el legislador empleó una fórmula amplia e incluyente al referirse a “todos los entes del Estado”, sin distinguir por su naturaleza jurídica, régimen de contratación o grado de autonomía. Esta amplitud responde a la finalidad </w:t>
            </w:r>
            <w:r w:rsidR="008417A2">
              <w:rPr>
                <w:rFonts w:ascii="Verdana" w:eastAsia="Calibri" w:hAnsi="Verdana" w:cs="Arial"/>
              </w:rPr>
              <w:t>de esta norma</w:t>
            </w:r>
            <w:r w:rsidR="005279B4">
              <w:rPr>
                <w:rFonts w:ascii="Verdana" w:eastAsia="Calibri" w:hAnsi="Verdana" w:cs="Arial"/>
              </w:rPr>
              <w:t>,</w:t>
            </w:r>
            <w:r w:rsidRPr="004C79C3">
              <w:rPr>
                <w:rFonts w:ascii="Verdana" w:eastAsia="Calibri" w:hAnsi="Verdana" w:cs="Arial"/>
              </w:rPr>
              <w:t xml:space="preserve"> orientada a evitar la utilización de la función pública y de los recursos estatales como instrumentos de ventaja en la contienda electoral.</w:t>
            </w:r>
          </w:p>
          <w:p w14:paraId="21C15DA1" w14:textId="77777777" w:rsidR="00CF2053" w:rsidRPr="004C79C3" w:rsidRDefault="00CF2053" w:rsidP="001370D4">
            <w:pPr>
              <w:spacing w:after="120" w:line="276" w:lineRule="auto"/>
              <w:jc w:val="both"/>
              <w:rPr>
                <w:rFonts w:ascii="Verdana" w:eastAsia="Calibri" w:hAnsi="Verdana" w:cs="Arial"/>
              </w:rPr>
            </w:pPr>
            <w:r w:rsidRPr="004C79C3">
              <w:rPr>
                <w:rFonts w:ascii="Verdana" w:eastAsia="Calibri" w:hAnsi="Verdana" w:cs="Arial"/>
              </w:rPr>
              <w:t xml:space="preserve">En ese sentido, la circunstancia de que una entidad pública se rija por un régimen especial de contratación o por normas de derecho privado no la excluye, por sí misma, del ámbito de aplicación de las restricciones </w:t>
            </w:r>
            <w:r w:rsidRPr="004C79C3">
              <w:rPr>
                <w:rFonts w:ascii="Verdana" w:eastAsia="Calibri" w:hAnsi="Verdana" w:cs="Arial"/>
              </w:rPr>
              <w:lastRenderedPageBreak/>
              <w:t>establecidas en la Ley 996 de 2005, pues el riesgo de interferencia indebida en los procesos electorales puede presentarse con independencia del régimen jurídico aplicable a sus actos contractuales.</w:t>
            </w:r>
          </w:p>
          <w:p w14:paraId="1231A4FC" w14:textId="67BEE48B" w:rsidR="00CF2053" w:rsidRPr="004C79C3" w:rsidRDefault="000C7AE2" w:rsidP="001370D4">
            <w:pPr>
              <w:spacing w:after="120" w:line="276" w:lineRule="auto"/>
              <w:jc w:val="both"/>
              <w:rPr>
                <w:rFonts w:ascii="Verdana" w:eastAsia="Calibri" w:hAnsi="Verdana" w:cs="Arial"/>
              </w:rPr>
            </w:pPr>
            <w:r>
              <w:rPr>
                <w:rFonts w:ascii="Verdana" w:eastAsia="Calibri" w:hAnsi="Verdana" w:cs="Arial"/>
              </w:rPr>
              <w:t>Dado</w:t>
            </w:r>
            <w:r w:rsidR="00CF2053" w:rsidRPr="004C79C3">
              <w:rPr>
                <w:rFonts w:ascii="Verdana" w:eastAsia="Calibri" w:hAnsi="Verdana" w:cs="Arial"/>
              </w:rPr>
              <w:t xml:space="preserve"> que las disposiciones de la Ley de Garantías tienen naturaleza restrictiva, su interpretación debe ser estricta y ceñida a los supuestos expresamente previstos por el legislador, sin admitir extensiones analógicas. Así, la prohibición contenida en el artículo 33 de la Ley 996 de 2005 se circunscribe a la contratación directa, entendida como cualquier mecanismo de selección que prescinda de una convocatoria pública y de la posibilidad real de concurrencia de una pluralidad de oferentes, con independencia de la denominación formal del procedimiento o del régimen contractual aplicable a la entidad.</w:t>
            </w:r>
          </w:p>
          <w:p w14:paraId="15931391" w14:textId="77777777" w:rsidR="00CF2053" w:rsidRDefault="00CF2053" w:rsidP="001370D4">
            <w:pPr>
              <w:spacing w:after="120" w:line="276" w:lineRule="auto"/>
              <w:jc w:val="both"/>
              <w:rPr>
                <w:rFonts w:ascii="Verdana" w:eastAsia="Calibri" w:hAnsi="Verdana" w:cs="Arial"/>
              </w:rPr>
            </w:pPr>
            <w:r w:rsidRPr="005E6C8F">
              <w:rPr>
                <w:rFonts w:ascii="Verdana" w:eastAsia="Calibri" w:hAnsi="Verdana" w:cs="Arial"/>
              </w:rPr>
              <w:t xml:space="preserve">Por consiguiente, durante el período preelectoral correspondiente a las elecciones presidenciales, los entes del Estado no pueden celebrar contratos mediante esquemas de contratación directa, salvo en los eventos expresamente exceptuados por la ley, orientados a atender urgencias en materia de </w:t>
            </w:r>
            <w:r w:rsidRPr="3A5322BA">
              <w:rPr>
                <w:rFonts w:ascii="Verdana" w:eastAsia="Times New Roman" w:hAnsi="Verdana" w:cs="Arial"/>
                <w:lang w:val="es-MX"/>
              </w:rPr>
              <w:t>defensa, salud, educación, infraestructura vial y de servicios públicos y ecológicas</w:t>
            </w:r>
            <w:r w:rsidRPr="005E6C8F">
              <w:rPr>
                <w:rFonts w:ascii="Verdana" w:eastAsia="Calibri" w:hAnsi="Verdana" w:cs="Arial"/>
              </w:rPr>
              <w:t>, de manera que no se limite de forma desproporcionada la acción estatal en el cumplimiento de sus fines; en contraste, las modalidades de selección que garantizan publicidad, concurrencia y competencia no se encuentran comprendidas dentro de dicha prohibición.</w:t>
            </w:r>
          </w:p>
          <w:p w14:paraId="4662681C" w14:textId="77777777" w:rsidR="00CF2053" w:rsidRPr="001F1A8B" w:rsidRDefault="00CF2053" w:rsidP="001370D4">
            <w:pPr>
              <w:spacing w:after="120" w:line="276" w:lineRule="auto"/>
              <w:jc w:val="both"/>
              <w:rPr>
                <w:rFonts w:ascii="Verdana" w:eastAsia="Calibri" w:hAnsi="Verdana" w:cs="Arial"/>
              </w:rPr>
            </w:pPr>
            <w:r w:rsidRPr="00266FDC">
              <w:rPr>
                <w:rFonts w:ascii="Verdana" w:eastAsia="Calibri" w:hAnsi="Verdana" w:cs="Arial"/>
              </w:rPr>
              <w:t>En conclusión, la Ley de Garantías Electorales impone restricciones contractuales de aplicación general a los entes del Estado, incluidas las entidades con regímenes especiales</w:t>
            </w:r>
            <w:r>
              <w:rPr>
                <w:rFonts w:ascii="Verdana" w:eastAsia="Calibri" w:hAnsi="Verdana" w:cs="Arial"/>
              </w:rPr>
              <w:t xml:space="preserve">. </w:t>
            </w:r>
            <w:r w:rsidRPr="00D91B7A">
              <w:rPr>
                <w:rFonts w:ascii="Verdana" w:eastAsia="Calibri" w:hAnsi="Verdana" w:cs="Arial"/>
              </w:rPr>
              <w:t xml:space="preserve">Sin perjuicio de ello, corresponde a cada entidad verificar, de manera motivada, </w:t>
            </w:r>
            <w:r>
              <w:rPr>
                <w:rFonts w:ascii="Verdana" w:eastAsia="Calibri" w:hAnsi="Verdana" w:cs="Arial"/>
              </w:rPr>
              <w:t xml:space="preserve">que, </w:t>
            </w:r>
            <w:r w:rsidRPr="00E81B5A">
              <w:rPr>
                <w:rFonts w:ascii="Verdana" w:eastAsia="Calibri" w:hAnsi="Verdana" w:cs="Arial"/>
              </w:rPr>
              <w:t>en caso de presentarse la necesidad de adelantar una contratación directa</w:t>
            </w:r>
            <w:r>
              <w:rPr>
                <w:rFonts w:ascii="Verdana" w:eastAsia="Calibri" w:hAnsi="Verdana" w:cs="Arial"/>
              </w:rPr>
              <w:t xml:space="preserve">, esta </w:t>
            </w:r>
            <w:r w:rsidRPr="00D91B7A">
              <w:rPr>
                <w:rFonts w:ascii="Verdana" w:eastAsia="Calibri" w:hAnsi="Verdana" w:cs="Arial"/>
              </w:rPr>
              <w:t>se enmarque efectivamente dentro de las excepciones previstas por el legislador.</w:t>
            </w:r>
          </w:p>
        </w:tc>
      </w:tr>
    </w:tbl>
    <w:p w14:paraId="7896D9D4" w14:textId="77777777" w:rsidR="00CF2053" w:rsidRPr="00D22F9B" w:rsidRDefault="00CF2053" w:rsidP="00CF2053">
      <w:pPr>
        <w:tabs>
          <w:tab w:val="left" w:pos="142"/>
          <w:tab w:val="left" w:pos="284"/>
        </w:tabs>
        <w:spacing w:after="0" w:line="276" w:lineRule="auto"/>
        <w:jc w:val="both"/>
        <w:rPr>
          <w:rFonts w:ascii="Verdana" w:eastAsia="Century Gothic" w:hAnsi="Verdana" w:cs="Century Gothic"/>
          <w:b/>
          <w:bCs/>
        </w:rPr>
      </w:pPr>
    </w:p>
    <w:bookmarkEnd w:id="3"/>
    <w:p w14:paraId="4E2FA0A9" w14:textId="77777777" w:rsidR="00CF2053" w:rsidRDefault="00CF2053" w:rsidP="00CF2053">
      <w:pPr>
        <w:numPr>
          <w:ilvl w:val="0"/>
          <w:numId w:val="16"/>
        </w:numPr>
        <w:tabs>
          <w:tab w:val="left" w:pos="142"/>
          <w:tab w:val="left" w:pos="284"/>
        </w:tabs>
        <w:spacing w:line="276" w:lineRule="auto"/>
        <w:jc w:val="both"/>
        <w:rPr>
          <w:rFonts w:ascii="Verdana" w:eastAsia="Century Gothic" w:hAnsi="Verdana" w:cs="Century Gothic"/>
          <w:b/>
          <w:bCs/>
        </w:rPr>
      </w:pPr>
      <w:r w:rsidRPr="00D22F9B">
        <w:rPr>
          <w:rFonts w:ascii="Verdana" w:eastAsia="Century Gothic" w:hAnsi="Verdana" w:cs="Century Gothic"/>
          <w:b/>
          <w:bCs/>
        </w:rPr>
        <w:t>Razones de las respuestas:</w:t>
      </w:r>
    </w:p>
    <w:p w14:paraId="14335CF9" w14:textId="77777777" w:rsidR="00CF2053" w:rsidRDefault="00CF2053" w:rsidP="00CF2053">
      <w:pPr>
        <w:pStyle w:val="Prrafodelista"/>
        <w:spacing w:line="276" w:lineRule="auto"/>
        <w:ind w:left="360"/>
        <w:jc w:val="both"/>
        <w:rPr>
          <w:rFonts w:ascii="Verdana" w:eastAsia="Calibri" w:hAnsi="Verdana" w:cs="Arial"/>
        </w:rPr>
      </w:pPr>
      <w:r w:rsidRPr="003617AF">
        <w:rPr>
          <w:rFonts w:ascii="Verdana" w:eastAsia="Calibri" w:hAnsi="Verdana" w:cs="Arial"/>
        </w:rPr>
        <w:t xml:space="preserve">Lo anterior se sustenta en las siguientes consideraciones: </w:t>
      </w:r>
    </w:p>
    <w:p w14:paraId="11826D50" w14:textId="77777777" w:rsidR="00CF2053" w:rsidRPr="002D6B43" w:rsidRDefault="00CF2053" w:rsidP="00CF2053">
      <w:pPr>
        <w:tabs>
          <w:tab w:val="left" w:pos="426"/>
        </w:tabs>
        <w:spacing w:after="120" w:line="276" w:lineRule="auto"/>
        <w:ind w:firstLine="709"/>
        <w:jc w:val="both"/>
        <w:rPr>
          <w:rFonts w:ascii="Verdana" w:eastAsia="Times New Roman" w:hAnsi="Verdana" w:cs="Arial"/>
          <w:lang w:eastAsia="es-CO"/>
        </w:rPr>
      </w:pPr>
      <w:r>
        <w:rPr>
          <w:rFonts w:ascii="Verdana" w:eastAsia="Calibri" w:hAnsi="Verdana" w:cs="Arial"/>
        </w:rPr>
        <w:t xml:space="preserve">El </w:t>
      </w:r>
      <w:r w:rsidRPr="002D6B43">
        <w:rPr>
          <w:rFonts w:ascii="Verdana" w:eastAsia="Calibri" w:hAnsi="Verdana" w:cs="Arial"/>
        </w:rPr>
        <w:t>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 xml:space="preserve">Por ejemplo, el artículo 127 de la Constitución Política establece una prohibición contractual a los servidores públicos y, en cuanto a </w:t>
      </w:r>
      <w:r w:rsidRPr="002D6B43">
        <w:rPr>
          <w:rFonts w:ascii="Verdana" w:eastAsia="Calibri" w:hAnsi="Verdana" w:cs="Arial"/>
        </w:rPr>
        <w:lastRenderedPageBreak/>
        <w:t>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53A85A06" w14:textId="77777777" w:rsidR="00CF2053" w:rsidRDefault="00CF2053" w:rsidP="00CF2053">
      <w:pPr>
        <w:tabs>
          <w:tab w:val="left" w:pos="426"/>
        </w:tabs>
        <w:spacing w:after="120" w:line="276" w:lineRule="auto"/>
        <w:ind w:firstLine="709"/>
        <w:jc w:val="both"/>
        <w:rPr>
          <w:rFonts w:ascii="Verdana" w:eastAsia="Calibri" w:hAnsi="Verdana" w:cs="Arial"/>
          <w:lang w:val="es-ES"/>
        </w:rPr>
      </w:pPr>
      <w:bookmarkStart w:id="4" w:name="_Hlk99576829"/>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3A5322BA">
        <w:rPr>
          <w:rFonts w:ascii="Verdana" w:eastAsia="Calibri" w:hAnsi="Verdana" w:cs="Arial"/>
          <w:lang w:val="es-ES"/>
        </w:rPr>
        <w:t xml:space="preserve"> </w:t>
      </w:r>
      <w:bookmarkEnd w:id="4"/>
    </w:p>
    <w:p w14:paraId="7C926859" w14:textId="77777777" w:rsidR="00CF2053" w:rsidRPr="006B14B5" w:rsidRDefault="00CF2053" w:rsidP="00CF2053">
      <w:pPr>
        <w:tabs>
          <w:tab w:val="left" w:pos="426"/>
        </w:tabs>
        <w:spacing w:after="0" w:line="276" w:lineRule="auto"/>
        <w:ind w:firstLine="709"/>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Corte Constitucional ha abordado la definición de la Ley de Garantías Electorales. De esta manera, explica que tiene como propósito:</w:t>
      </w:r>
    </w:p>
    <w:p w14:paraId="17BA2C2D" w14:textId="77777777" w:rsidR="00CF2053" w:rsidRPr="00E2397D" w:rsidRDefault="00CF2053" w:rsidP="00CF2053">
      <w:pPr>
        <w:spacing w:after="0" w:line="276" w:lineRule="auto"/>
        <w:ind w:right="709"/>
        <w:contextualSpacing/>
        <w:jc w:val="both"/>
        <w:rPr>
          <w:rFonts w:ascii="Verdana" w:eastAsia="Times New Roman" w:hAnsi="Verdana" w:cs="Arial"/>
          <w:lang w:val="es-ES" w:eastAsia="es-CO"/>
        </w:rPr>
      </w:pPr>
    </w:p>
    <w:p w14:paraId="5C3D67FA" w14:textId="77777777" w:rsidR="00CF2053" w:rsidRPr="00E2397D" w:rsidRDefault="00CF2053" w:rsidP="00CF2053">
      <w:pPr>
        <w:spacing w:line="240" w:lineRule="auto"/>
        <w:ind w:left="709" w:right="709"/>
        <w:contextualSpacing/>
        <w:jc w:val="both"/>
        <w:rPr>
          <w:rFonts w:ascii="Verdana" w:eastAsia="Times New Roman" w:hAnsi="Verdana" w:cs="Arial"/>
          <w:sz w:val="20"/>
          <w:szCs w:val="20"/>
          <w:lang w:val="es-MX" w:eastAsia="es-CO"/>
        </w:rPr>
      </w:pPr>
      <w:r w:rsidRPr="005F0BEC">
        <w:rPr>
          <w:rFonts w:ascii="Verdana" w:eastAsia="Times New Roman" w:hAnsi="Verdana" w:cs="Arial"/>
          <w:sz w:val="20"/>
          <w:szCs w:val="20"/>
          <w:lang w:val="es-MX"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3ACAD36A" w14:textId="77777777" w:rsidR="00CF2053" w:rsidRPr="00E2397D" w:rsidRDefault="00CF2053" w:rsidP="00CF2053">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21D4B13" w14:textId="77777777" w:rsidR="00CF2053" w:rsidRDefault="00CF2053" w:rsidP="00CF2053">
      <w:pPr>
        <w:tabs>
          <w:tab w:val="left" w:pos="426"/>
        </w:tabs>
        <w:spacing w:after="0" w:line="240" w:lineRule="auto"/>
        <w:ind w:left="709" w:right="758"/>
        <w:jc w:val="both"/>
        <w:rPr>
          <w:rFonts w:ascii="Verdana" w:eastAsia="Times New Roman" w:hAnsi="Verdana" w:cs="Arial"/>
          <w:sz w:val="20"/>
          <w:szCs w:val="20"/>
          <w:lang w:val="es-MX" w:eastAsia="es-CO"/>
        </w:rPr>
      </w:pPr>
      <w:bookmarkStart w:id="5" w:name="_Hlk78818186"/>
      <w:r w:rsidRPr="005F0BE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F0BEC">
        <w:rPr>
          <w:rFonts w:ascii="Verdana" w:eastAsia="Times New Roman" w:hAnsi="Verdana" w:cs="Arial"/>
          <w:sz w:val="20"/>
          <w:szCs w:val="20"/>
          <w:vertAlign w:val="superscript"/>
          <w:lang w:val="es-MX" w:eastAsia="es-CO"/>
        </w:rPr>
        <w:footnoteReference w:id="3"/>
      </w:r>
    </w:p>
    <w:p w14:paraId="08D5C8E9" w14:textId="77777777" w:rsidR="00CF2053" w:rsidRDefault="00CF2053" w:rsidP="00CF2053">
      <w:pPr>
        <w:tabs>
          <w:tab w:val="left" w:pos="426"/>
        </w:tabs>
        <w:spacing w:after="0" w:line="240" w:lineRule="auto"/>
        <w:ind w:left="709" w:right="758"/>
        <w:jc w:val="both"/>
        <w:rPr>
          <w:rFonts w:ascii="Verdana" w:eastAsia="Times New Roman" w:hAnsi="Verdana" w:cs="Arial"/>
          <w:lang w:val="es-MX" w:eastAsia="es-CO"/>
        </w:rPr>
      </w:pPr>
    </w:p>
    <w:p w14:paraId="0C893E2E" w14:textId="77777777" w:rsidR="00CF2053" w:rsidRDefault="00CF2053" w:rsidP="00CF2053">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w:t>
      </w:r>
      <w:r w:rsidRPr="00E2397D">
        <w:rPr>
          <w:rFonts w:ascii="Verdana" w:eastAsia="Times New Roman" w:hAnsi="Verdana" w:cs="Arial"/>
          <w:lang w:val="es-MX" w:eastAsia="es-CO"/>
        </w:rPr>
        <w:lastRenderedPageBreak/>
        <w:t>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5"/>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082332A5" w14:textId="77777777" w:rsidR="00CF2053" w:rsidRPr="00886C02" w:rsidRDefault="00CF2053" w:rsidP="00CF2053">
      <w:pPr>
        <w:spacing w:after="0" w:line="276" w:lineRule="auto"/>
        <w:ind w:firstLine="709"/>
        <w:jc w:val="both"/>
        <w:rPr>
          <w:rFonts w:ascii="Verdana" w:eastAsia="Times New Roman" w:hAnsi="Verdana" w:cs="Arial"/>
          <w:lang w:val="es-MX" w:eastAsia="es-CO"/>
        </w:rPr>
      </w:pPr>
    </w:p>
    <w:p w14:paraId="495AA5CE" w14:textId="77777777" w:rsidR="00CF2053" w:rsidRPr="00E2397D" w:rsidRDefault="00CF2053" w:rsidP="00CF205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5979CB7" w14:textId="77777777" w:rsidR="00CF2053" w:rsidRPr="00E2397D" w:rsidRDefault="00CF2053" w:rsidP="00CF2053">
      <w:pPr>
        <w:spacing w:after="0" w:line="240" w:lineRule="auto"/>
        <w:ind w:right="709"/>
        <w:contextualSpacing/>
        <w:jc w:val="both"/>
        <w:rPr>
          <w:rFonts w:ascii="Verdana" w:eastAsia="Times New Roman" w:hAnsi="Verdana" w:cs="Arial"/>
          <w:lang w:val="es-MX" w:eastAsia="es-CO"/>
        </w:rPr>
      </w:pPr>
    </w:p>
    <w:p w14:paraId="1463D9E5" w14:textId="77777777" w:rsidR="00CF2053" w:rsidRDefault="00CF2053" w:rsidP="00CF2053">
      <w:pPr>
        <w:spacing w:after="0" w:line="240" w:lineRule="auto"/>
        <w:ind w:left="709" w:right="618"/>
        <w:jc w:val="both"/>
        <w:rPr>
          <w:rFonts w:ascii="Verdana" w:eastAsia="Times New Roman" w:hAnsi="Verdana" w:cs="Arial"/>
          <w:sz w:val="20"/>
          <w:szCs w:val="20"/>
          <w:lang w:val="es-MX" w:eastAsia="es-CO"/>
        </w:rPr>
      </w:pPr>
      <w:r w:rsidRPr="00850B54">
        <w:rPr>
          <w:rFonts w:ascii="Verdana" w:eastAsia="Times New Roman" w:hAnsi="Verdana" w:cs="Arial"/>
          <w:sz w:val="20"/>
          <w:szCs w:val="20"/>
          <w:lang w:val="es-MX" w:eastAsia="es-CO"/>
        </w:rPr>
        <w:t>La jurisprudencia de la Corte Constitucional</w:t>
      </w:r>
      <w:r w:rsidRPr="00850B54">
        <w:rPr>
          <w:rFonts w:ascii="Verdana" w:eastAsia="Times New Roman" w:hAnsi="Verdana" w:cs="Arial"/>
          <w:sz w:val="20"/>
          <w:szCs w:val="20"/>
          <w:lang w:val="es-MX" w:eastAsia="es-CO"/>
        </w:rPr>
        <w:footnoteReference w:id="4"/>
      </w:r>
      <w:r w:rsidRPr="00850B54">
        <w:rPr>
          <w:rFonts w:ascii="Verdana" w:eastAsia="Times New Roman" w:hAnsi="Verdana" w:cs="Arial"/>
          <w:sz w:val="20"/>
          <w:szCs w:val="20"/>
          <w:lang w:val="es-MX" w:eastAsia="es-CO"/>
        </w:rPr>
        <w:t> y del Consejo de Estado</w:t>
      </w:r>
      <w:r w:rsidRPr="00850B54">
        <w:rPr>
          <w:rFonts w:ascii="Verdana" w:eastAsia="Times New Roman" w:hAnsi="Verdana" w:cs="Arial"/>
          <w:sz w:val="20"/>
          <w:szCs w:val="20"/>
          <w:lang w:val="es-MX" w:eastAsia="es-CO"/>
        </w:rPr>
        <w:footnoteReference w:id="5"/>
      </w:r>
      <w:r w:rsidRPr="00850B54">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850B54">
        <w:rPr>
          <w:rFonts w:ascii="Verdana" w:eastAsia="Times New Roman" w:hAnsi="Verdana" w:cs="Arial"/>
          <w:sz w:val="20"/>
          <w:szCs w:val="20"/>
          <w:vertAlign w:val="superscript"/>
          <w:lang w:val="es-MX" w:eastAsia="es-CO"/>
        </w:rPr>
        <w:footnoteReference w:id="6"/>
      </w:r>
      <w:r w:rsidRPr="00850B54">
        <w:rPr>
          <w:rFonts w:ascii="Verdana" w:eastAsia="Times New Roman" w:hAnsi="Verdana" w:cs="Arial"/>
          <w:sz w:val="20"/>
          <w:szCs w:val="20"/>
          <w:lang w:val="es-MX" w:eastAsia="es-CO"/>
        </w:rPr>
        <w:t>.</w:t>
      </w:r>
    </w:p>
    <w:p w14:paraId="55AAEF9F" w14:textId="77777777" w:rsidR="00CF2053" w:rsidRPr="00850B54" w:rsidRDefault="00CF2053" w:rsidP="00CF2053">
      <w:pPr>
        <w:spacing w:after="0" w:line="240" w:lineRule="auto"/>
        <w:ind w:left="709" w:right="618"/>
        <w:jc w:val="both"/>
        <w:rPr>
          <w:rFonts w:ascii="Verdana" w:eastAsia="Times New Roman" w:hAnsi="Verdana" w:cs="Arial"/>
          <w:sz w:val="20"/>
          <w:szCs w:val="20"/>
          <w:lang w:val="es-MX" w:eastAsia="es-CO"/>
        </w:rPr>
      </w:pPr>
    </w:p>
    <w:p w14:paraId="19B780E7" w14:textId="77777777" w:rsidR="00CF2053" w:rsidRPr="00E2397D" w:rsidRDefault="00CF2053" w:rsidP="00CF2053">
      <w:pPr>
        <w:spacing w:line="276" w:lineRule="auto"/>
        <w:ind w:firstLine="709"/>
        <w:jc w:val="both"/>
        <w:rPr>
          <w:rFonts w:ascii="Verdana" w:eastAsia="Arial" w:hAnsi="Verdana" w:cs="Arial"/>
          <w:lang w:val="es-ES" w:eastAsia="es-ES" w:bidi="es-ES"/>
        </w:rPr>
      </w:pPr>
      <w:r w:rsidRPr="00850B54">
        <w:rPr>
          <w:rFonts w:ascii="Verdana" w:eastAsia="Arial" w:hAnsi="Verdana" w:cs="Arial"/>
          <w:lang w:val="es-ES" w:eastAsia="es-ES" w:bidi="es-ES"/>
        </w:rPr>
        <w:t>De</w:t>
      </w:r>
      <w:r w:rsidRPr="00E2397D">
        <w:rPr>
          <w:rFonts w:ascii="Verdana" w:eastAsia="Arial" w:hAnsi="Verdana" w:cs="Arial"/>
          <w:lang w:val="es-ES" w:eastAsia="es-ES" w:bidi="es-ES"/>
        </w:rPr>
        <w:t xml:space="preserve"> conformidad con lo anterior, </w:t>
      </w:r>
      <w:bookmarkStart w:id="6" w:name="_Hlk77236098"/>
      <w:bookmarkStart w:id="7"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w:t>
      </w:r>
      <w:r w:rsidRPr="00E2397D">
        <w:rPr>
          <w:rFonts w:ascii="Verdana" w:eastAsia="Arial" w:hAnsi="Verdana" w:cs="Arial"/>
          <w:lang w:val="es-ES" w:eastAsia="es-ES" w:bidi="es-ES"/>
        </w:rPr>
        <w:lastRenderedPageBreak/>
        <w:t xml:space="preserve">siquiera sospecha de que, por ese medio, en los periodos previos a la contienda electoral, se altere las condiciones de igualdad entre los candidatos. </w:t>
      </w:r>
    </w:p>
    <w:p w14:paraId="2FD8E51A" w14:textId="77777777" w:rsidR="00CF2053" w:rsidRDefault="00CF2053" w:rsidP="00CF2053">
      <w:pPr>
        <w:spacing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6"/>
    </w:p>
    <w:p w14:paraId="2ED9DF5A" w14:textId="77777777" w:rsidR="00CF2053" w:rsidRPr="00E2397D" w:rsidRDefault="00CF2053" w:rsidP="00CF2053">
      <w:pPr>
        <w:spacing w:line="276" w:lineRule="auto"/>
        <w:ind w:firstLine="709"/>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775A4F6A" w14:textId="77777777" w:rsidR="00CF2053" w:rsidRDefault="00CF2053" w:rsidP="00CF2053">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7"/>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5EA59FE6" w14:textId="77777777" w:rsidR="00CF2053" w:rsidRPr="00E2397D" w:rsidRDefault="00CF2053" w:rsidP="00CF205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3A5322BA">
        <w:rPr>
          <w:rFonts w:ascii="Verdana" w:eastAsia="Arial" w:hAnsi="Verdana" w:cs="Arial"/>
          <w:lang w:val="es-ES" w:eastAsia="es-ES" w:bidi="es-ES"/>
        </w:rPr>
        <w:t xml:space="preserve">La Sala de Consulta y Servicio Civil del Consejo de Estado ha aclarado la </w:t>
      </w:r>
      <w:r w:rsidRPr="3A5322BA">
        <w:rPr>
          <w:rFonts w:ascii="Verdana" w:eastAsia="Arial" w:hAnsi="Verdana" w:cs="Arial"/>
          <w:lang w:val="es-ES" w:eastAsia="es-ES" w:bidi="es-ES"/>
        </w:rPr>
        <w:lastRenderedPageBreak/>
        <w:t>distinción en la aplicación de las prohibiciones de la Ley 996 de 2005, dependiendo del tipo de elección que se trate. Al respecto, considera:</w:t>
      </w:r>
    </w:p>
    <w:p w14:paraId="12F42747" w14:textId="77777777" w:rsidR="00CF2053" w:rsidRPr="00E2397D" w:rsidRDefault="00CF2053" w:rsidP="00CF205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B9397C6" w14:textId="77777777" w:rsidR="00CF2053" w:rsidRPr="00E2397D" w:rsidRDefault="00CF2053" w:rsidP="00CF2053">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w:t>
      </w:r>
      <w:r w:rsidRPr="3A5322BA">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lang w:eastAsia="es-ES" w:bidi="es-ES"/>
        </w:rPr>
        <w:t>”.</w:t>
      </w:r>
      <w:r w:rsidRPr="00E2397D">
        <w:rPr>
          <w:rFonts w:ascii="Verdana" w:eastAsia="Arial" w:hAnsi="Verdana" w:cs="Arial"/>
          <w:sz w:val="20"/>
          <w:szCs w:val="20"/>
          <w:vertAlign w:val="superscript"/>
          <w:lang w:eastAsia="es-ES" w:bidi="es-ES"/>
        </w:rPr>
        <w:footnoteReference w:id="9"/>
      </w:r>
    </w:p>
    <w:p w14:paraId="28325DA0" w14:textId="77777777" w:rsidR="00CF2053" w:rsidRPr="00E2397D" w:rsidRDefault="00CF2053" w:rsidP="00CF2053">
      <w:pPr>
        <w:widowControl w:val="0"/>
        <w:autoSpaceDE w:val="0"/>
        <w:autoSpaceDN w:val="0"/>
        <w:spacing w:after="0" w:line="276" w:lineRule="auto"/>
        <w:contextualSpacing/>
        <w:rPr>
          <w:rFonts w:ascii="Verdana" w:eastAsia="Arial" w:hAnsi="Verdana" w:cs="Arial"/>
          <w:lang w:val="es-ES" w:eastAsia="es-ES" w:bidi="es-ES"/>
        </w:rPr>
      </w:pPr>
    </w:p>
    <w:p w14:paraId="2F3E7CAC" w14:textId="77777777" w:rsidR="00CF2053" w:rsidRPr="00E2397D" w:rsidRDefault="00CF2053" w:rsidP="00CF2053">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3A5322BA">
        <w:rPr>
          <w:rFonts w:ascii="Verdana" w:eastAsia="Arial" w:hAnsi="Verdana" w:cs="Arial"/>
          <w:i/>
          <w:iCs/>
          <w:lang w:val="es-ES" w:eastAsia="es-ES" w:bidi="es-ES"/>
        </w:rPr>
        <w:t>En primer lugar</w:t>
      </w:r>
      <w:r w:rsidRPr="3A5322BA">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3A5322BA">
        <w:rPr>
          <w:rFonts w:ascii="Verdana" w:eastAsia="Arial" w:hAnsi="Verdana" w:cs="Arial"/>
          <w:i/>
          <w:iCs/>
          <w:lang w:val="es-ES" w:eastAsia="es-ES" w:bidi="es-ES"/>
        </w:rPr>
        <w:t>En segundo lugar</w:t>
      </w:r>
      <w:r w:rsidRPr="3A5322BA">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B419925" w14:textId="77777777" w:rsidR="00CF2053" w:rsidRPr="00E2397D" w:rsidRDefault="00CF2053" w:rsidP="00CF2053">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lastRenderedPageBreak/>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6E9CDEEE" w14:textId="77777777" w:rsidR="00CF2053" w:rsidRDefault="00CF2053" w:rsidP="00CF2053">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w:t>
      </w:r>
    </w:p>
    <w:p w14:paraId="13213D09" w14:textId="77777777" w:rsidR="00CF2053" w:rsidRDefault="00CF2053" w:rsidP="00CF2053">
      <w:pPr>
        <w:widowControl w:val="0"/>
        <w:spacing w:after="120" w:line="276" w:lineRule="auto"/>
        <w:ind w:right="113"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7D2F3D62" w14:textId="77777777" w:rsidR="00CF2053" w:rsidRDefault="00CF2053" w:rsidP="00CF2053">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ibídem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w:t>
      </w:r>
      <w:r w:rsidRPr="00447D82">
        <w:rPr>
          <w:rFonts w:ascii="Verdana" w:eastAsia="Times New Roman" w:hAnsi="Verdana" w:cs="Arial"/>
          <w:bCs/>
          <w:lang w:val="es-ES" w:eastAsia="es-CO"/>
        </w:rPr>
        <w:lastRenderedPageBreak/>
        <w:t>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1852E4DF" w14:textId="77777777" w:rsidR="00CF2053" w:rsidRDefault="00CF2053" w:rsidP="00CF2053">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F22F3B0" w14:textId="77777777" w:rsidR="00CF2053" w:rsidRDefault="00CF2053" w:rsidP="00CF2053">
      <w:pPr>
        <w:spacing w:line="276" w:lineRule="auto"/>
        <w:ind w:firstLine="708"/>
        <w:jc w:val="both"/>
        <w:rPr>
          <w:rFonts w:ascii="Verdana" w:eastAsia="Times New Roman" w:hAnsi="Verdana" w:cs="Arial"/>
          <w:bCs/>
          <w:lang w:val="es-MX"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w:t>
      </w:r>
    </w:p>
    <w:p w14:paraId="3AEB7503" w14:textId="77777777" w:rsidR="00CF2053" w:rsidRPr="00A45D99" w:rsidRDefault="00CF2053" w:rsidP="00CF2053">
      <w:pPr>
        <w:spacing w:after="0" w:line="276" w:lineRule="auto"/>
        <w:jc w:val="both"/>
        <w:rPr>
          <w:rFonts w:ascii="Verdana" w:hAnsi="Verdana" w:cs="Arial"/>
          <w:bCs/>
          <w:lang w:val="es-MX" w:eastAsia="x-none"/>
        </w:rPr>
      </w:pP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75F4D844" w14:textId="77777777" w:rsidR="00CF2053" w:rsidRPr="00A45D99" w:rsidRDefault="00CF2053" w:rsidP="00CF2053">
      <w:pPr>
        <w:spacing w:after="0" w:line="276" w:lineRule="auto"/>
        <w:ind w:firstLine="708"/>
        <w:jc w:val="both"/>
        <w:rPr>
          <w:rFonts w:ascii="Verdana" w:hAnsi="Verdana" w:cs="Arial"/>
          <w:bCs/>
          <w:lang w:val="es-MX" w:eastAsia="x-none"/>
        </w:rPr>
      </w:pPr>
    </w:p>
    <w:p w14:paraId="4D19A349" w14:textId="77777777" w:rsidR="00CF2053" w:rsidRDefault="00CF2053" w:rsidP="00CF2053">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w:t>
      </w:r>
      <w:r w:rsidRPr="00A45D99">
        <w:rPr>
          <w:rFonts w:ascii="Verdana" w:hAnsi="Verdana" w:cs="Arial"/>
          <w:bCs/>
          <w:sz w:val="20"/>
          <w:szCs w:val="20"/>
          <w:lang w:val="es-MX" w:eastAsia="x-none"/>
        </w:rPr>
        <w:lastRenderedPageBreak/>
        <w:t>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1"/>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6B9A07A6" w14:textId="77777777" w:rsidR="00CF2053" w:rsidRDefault="00CF2053" w:rsidP="00CF2053">
      <w:pPr>
        <w:spacing w:after="0" w:line="240" w:lineRule="auto"/>
        <w:ind w:left="708" w:right="709"/>
        <w:jc w:val="both"/>
        <w:rPr>
          <w:rFonts w:ascii="Verdana" w:hAnsi="Verdana" w:cs="Arial"/>
          <w:bCs/>
          <w:sz w:val="20"/>
          <w:szCs w:val="20"/>
          <w:lang w:val="es-MX" w:eastAsia="es-CO"/>
        </w:rPr>
      </w:pPr>
    </w:p>
    <w:p w14:paraId="0F246D3C" w14:textId="3DCB295A" w:rsidR="00CF2053" w:rsidRPr="00E2397D" w:rsidRDefault="00CF2053" w:rsidP="00CF2053">
      <w:pPr>
        <w:spacing w:line="276" w:lineRule="auto"/>
        <w:ind w:firstLine="708"/>
        <w:jc w:val="both"/>
        <w:rPr>
          <w:rFonts w:ascii="Verdana" w:eastAsia="Arial" w:hAnsi="Verdana" w:cs="Arial"/>
          <w:lang w:val="es-ES" w:eastAsia="es-ES" w:bidi="es-ES"/>
        </w:rPr>
      </w:pPr>
      <w:r w:rsidRPr="00A45D99">
        <w:rPr>
          <w:rFonts w:ascii="Verdana" w:hAnsi="Verdana" w:cs="Arial"/>
          <w:lang w:val="es-MX"/>
        </w:rPr>
        <w:t xml:space="preserve">Por lo tanto, </w:t>
      </w:r>
      <w:r w:rsidR="000D53F9" w:rsidRPr="00E2397D">
        <w:rPr>
          <w:rFonts w:ascii="Verdana" w:eastAsia="Calibri" w:hAnsi="Verdana" w:cs="Arial"/>
          <w:lang w:eastAsia="es-ES" w:bidi="es-ES"/>
        </w:rPr>
        <w:t xml:space="preserve">para </w:t>
      </w:r>
      <w:r w:rsidR="000D53F9">
        <w:rPr>
          <w:rFonts w:ascii="Verdana" w:eastAsia="Calibri" w:hAnsi="Verdana" w:cs="Arial"/>
          <w:lang w:eastAsia="es-ES" w:bidi="es-ES"/>
        </w:rPr>
        <w:t xml:space="preserve">responder al problema jurídico </w:t>
      </w:r>
      <w:r w:rsidR="000D53F9" w:rsidRPr="00E2397D">
        <w:rPr>
          <w:rFonts w:ascii="Verdana" w:eastAsia="Calibri" w:hAnsi="Verdana" w:cs="Arial"/>
          <w:lang w:eastAsia="es-ES" w:bidi="es-ES"/>
        </w:rPr>
        <w:t xml:space="preserve">planteado </w:t>
      </w:r>
      <w:r w:rsidR="00835080" w:rsidRPr="00835080">
        <w:rPr>
          <w:rFonts w:ascii="Verdana" w:eastAsia="Calibri" w:hAnsi="Verdana" w:cs="Arial"/>
          <w:lang w:eastAsia="es-ES" w:bidi="es-ES"/>
        </w:rPr>
        <w:t>es preciso señalar que la restricción prevista en la Ley 996 de 2005, atendiendo a la finalidad de la Ley de Garantías Electorales</w:t>
      </w:r>
      <w:r w:rsidRPr="00A45D99">
        <w:rPr>
          <w:rFonts w:ascii="Verdana" w:hAnsi="Verdana" w:cs="Arial"/>
          <w:bCs/>
          <w:lang w:val="es-MX" w:eastAsia="x-none"/>
        </w:rPr>
        <w:t>,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037F4914" w14:textId="07961DD9" w:rsidR="00CF2053" w:rsidRPr="005F5922" w:rsidRDefault="00CF2053" w:rsidP="00CF2053">
      <w:pPr>
        <w:spacing w:after="0" w:line="276" w:lineRule="auto"/>
        <w:ind w:firstLine="709"/>
        <w:jc w:val="both"/>
        <w:rPr>
          <w:rFonts w:ascii="Verdana" w:eastAsia="Times New Roman" w:hAnsi="Verdana" w:cs="Arial"/>
          <w:i/>
          <w:lang w:val="es-MX" w:eastAsia="es-CO" w:bidi="es-ES"/>
        </w:rPr>
      </w:pPr>
      <w:r w:rsidRPr="00E2397D">
        <w:rPr>
          <w:rFonts w:ascii="Verdana" w:eastAsia="Arial" w:hAnsi="Verdana" w:cs="Arial"/>
          <w:lang w:val="es-ES" w:eastAsia="es-ES" w:bidi="es-ES"/>
        </w:rPr>
        <w:t xml:space="preserve">Ahora bien, </w:t>
      </w:r>
      <w:r w:rsidR="00CD678D">
        <w:rPr>
          <w:rFonts w:ascii="Verdana" w:eastAsia="Calibri" w:hAnsi="Verdana" w:cs="Arial"/>
          <w:lang w:eastAsia="es-ES" w:bidi="es-ES"/>
        </w:rPr>
        <w:t>en cuanto al</w:t>
      </w:r>
      <w:r w:rsidRPr="00E2397D">
        <w:rPr>
          <w:rFonts w:ascii="Verdana" w:eastAsia="Calibri" w:hAnsi="Verdana" w:cs="Arial"/>
          <w:lang w:eastAsia="es-ES" w:bidi="es-ES"/>
        </w:rPr>
        <w:t xml:space="preserve">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 xml:space="preserve">l </w:t>
      </w:r>
      <w:r w:rsidRPr="3A5322BA">
        <w:rPr>
          <w:rFonts w:ascii="Verdana" w:eastAsia="Times New Roman" w:hAnsi="Verdana" w:cs="Arial"/>
          <w:lang w:val="es-MX"/>
        </w:rPr>
        <w:t>artículo 33 de la Ley 996 de 2005</w:t>
      </w:r>
      <w:bookmarkStart w:id="10" w:name="_Hlk78820161"/>
      <w:r w:rsidR="00423FD7">
        <w:rPr>
          <w:rFonts w:ascii="Verdana" w:eastAsia="Times New Roman" w:hAnsi="Verdana" w:cs="Arial"/>
          <w:lang w:val="es-MX"/>
        </w:rPr>
        <w:t>, es menester</w:t>
      </w:r>
      <w:r w:rsidR="007C7EC7">
        <w:rPr>
          <w:rFonts w:ascii="Verdana" w:eastAsia="Times New Roman" w:hAnsi="Verdana" w:cs="Arial"/>
          <w:lang w:val="es-MX"/>
        </w:rPr>
        <w:t xml:space="preserve"> precisar que e</w:t>
      </w:r>
      <w:r w:rsidRPr="3A5322BA">
        <w:rPr>
          <w:rFonts w:ascii="Verdana" w:eastAsia="Times New Roman" w:hAnsi="Verdana" w:cs="Arial"/>
          <w:lang w:val="es-MX"/>
        </w:rPr>
        <w:t xml:space="preserve">l ámbito material de la prohibición contenida en esta disposición está delimitado por la expresión </w:t>
      </w:r>
      <w:r w:rsidRPr="3A5322BA">
        <w:rPr>
          <w:rFonts w:ascii="Verdana" w:eastAsia="Calibri" w:hAnsi="Verdana" w:cs="Arial"/>
          <w:lang w:val="es-MX"/>
        </w:rPr>
        <w:t>“</w:t>
      </w:r>
      <w:r w:rsidRPr="3A5322BA">
        <w:rPr>
          <w:rFonts w:ascii="Verdana" w:eastAsia="Times New Roman" w:hAnsi="Verdana" w:cs="Arial"/>
          <w:lang w:val="es-MX"/>
        </w:rPr>
        <w:t>queda prohibida la contratación directa</w:t>
      </w:r>
      <w:r w:rsidRPr="3A5322BA">
        <w:rPr>
          <w:rFonts w:ascii="Verdana" w:eastAsia="Calibri" w:hAnsi="Verdana" w:cs="Arial"/>
          <w:lang w:val="es-MX"/>
        </w:rPr>
        <w:t>”</w:t>
      </w:r>
      <w:r w:rsidRPr="3A5322BA">
        <w:rPr>
          <w:rFonts w:ascii="Verdana" w:eastAsia="Times New Roman" w:hAnsi="Verdana" w:cs="Arial"/>
          <w:lang w:val="es-MX"/>
        </w:rPr>
        <w:t xml:space="preserve">. </w:t>
      </w:r>
      <w:r w:rsidRPr="0057193B">
        <w:rPr>
          <w:rFonts w:ascii="Verdana" w:eastAsia="Times New Roman" w:hAnsi="Verdana" w:cs="Arial"/>
          <w:lang w:val="es-MX" w:eastAsia="es-CO"/>
        </w:rPr>
        <w:t xml:space="preserve">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4523332C" w14:textId="77777777" w:rsidR="00CF2053" w:rsidRPr="005F5922" w:rsidRDefault="00CF2053" w:rsidP="00CF2053">
      <w:pPr>
        <w:spacing w:after="0" w:line="276" w:lineRule="auto"/>
        <w:ind w:left="708" w:right="709"/>
        <w:jc w:val="both"/>
        <w:rPr>
          <w:rFonts w:ascii="Verdana" w:eastAsia="Calibri" w:hAnsi="Verdana" w:cs="Arial"/>
          <w:lang w:val="es-MX"/>
        </w:rPr>
      </w:pPr>
    </w:p>
    <w:p w14:paraId="726EED95" w14:textId="77777777" w:rsidR="00CF2053" w:rsidRPr="005F5922" w:rsidRDefault="00CF2053" w:rsidP="00CF2053">
      <w:pPr>
        <w:spacing w:line="240" w:lineRule="auto"/>
        <w:ind w:left="709" w:right="709"/>
        <w:jc w:val="both"/>
        <w:rPr>
          <w:rFonts w:ascii="Verdana" w:eastAsia="Calibri" w:hAnsi="Verdana" w:cs="Arial"/>
          <w:sz w:val="20"/>
          <w:szCs w:val="20"/>
          <w:lang w:val="es-MX"/>
        </w:rPr>
      </w:pPr>
      <w:r w:rsidRPr="00633C68">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633C68">
        <w:rPr>
          <w:rFonts w:ascii="Verdana" w:eastAsia="Times New Roman" w:hAnsi="Verdana" w:cs="Arial"/>
          <w:sz w:val="20"/>
          <w:szCs w:val="20"/>
          <w:vertAlign w:val="superscript"/>
          <w:lang w:eastAsia="es-CO"/>
        </w:rPr>
        <w:footnoteReference w:id="12"/>
      </w:r>
      <w:r w:rsidRPr="00633C68">
        <w:rPr>
          <w:rFonts w:ascii="Verdana" w:eastAsia="Calibri" w:hAnsi="Verdana" w:cs="Arial"/>
          <w:sz w:val="20"/>
          <w:szCs w:val="20"/>
          <w:lang w:val="es-MX"/>
        </w:rPr>
        <w:t>.</w:t>
      </w:r>
    </w:p>
    <w:p w14:paraId="249D5BBA" w14:textId="77777777" w:rsidR="00CF2053" w:rsidRPr="005F5922" w:rsidRDefault="00CF2053" w:rsidP="00CF2053">
      <w:pPr>
        <w:spacing w:after="0" w:line="240" w:lineRule="auto"/>
        <w:ind w:left="709" w:right="709"/>
        <w:jc w:val="both"/>
        <w:rPr>
          <w:rFonts w:ascii="Verdana" w:eastAsia="Calibri" w:hAnsi="Verdana" w:cs="Arial"/>
          <w:sz w:val="20"/>
          <w:szCs w:val="20"/>
          <w:lang w:val="es-MX"/>
        </w:rPr>
      </w:pPr>
      <w:r w:rsidRPr="00633C68">
        <w:rPr>
          <w:rFonts w:ascii="Verdana" w:eastAsia="Calibri" w:hAnsi="Verdana" w:cs="Arial"/>
          <w:sz w:val="20"/>
          <w:szCs w:val="20"/>
          <w:lang w:val="es-MX"/>
        </w:rPr>
        <w:t>Esta Sala ha entendido que</w:t>
      </w:r>
      <w:r>
        <w:rPr>
          <w:rFonts w:ascii="Verdana" w:eastAsia="Calibri" w:hAnsi="Verdana" w:cs="Arial"/>
          <w:sz w:val="20"/>
          <w:szCs w:val="20"/>
          <w:lang w:val="es-MX"/>
        </w:rPr>
        <w:t xml:space="preserve"> </w:t>
      </w:r>
      <w:r w:rsidRPr="00633C68">
        <w:rPr>
          <w:rFonts w:ascii="Verdana" w:eastAsia="Calibri" w:hAnsi="Verdana" w:cs="Arial"/>
          <w:sz w:val="20"/>
          <w:szCs w:val="20"/>
          <w:lang w:val="es-MX"/>
        </w:rPr>
        <w:t xml:space="preserve">para los efectos de la ley de garantías, y dada su finalidad, el enunciado ´contratación directa´ es sinónimo de cualquier </w:t>
      </w:r>
      <w:r w:rsidRPr="00633C68">
        <w:rPr>
          <w:rFonts w:ascii="Verdana" w:eastAsia="Calibri" w:hAnsi="Verdana" w:cs="Arial"/>
          <w:sz w:val="20"/>
          <w:szCs w:val="20"/>
          <w:lang w:val="es-MX"/>
        </w:rPr>
        <w:lastRenderedPageBreak/>
        <w:t>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633C68">
        <w:rPr>
          <w:rFonts w:ascii="Verdana" w:eastAsia="Times New Roman" w:hAnsi="Verdana" w:cs="Arial"/>
          <w:sz w:val="20"/>
          <w:szCs w:val="20"/>
          <w:vertAlign w:val="superscript"/>
          <w:lang w:val="es-MX"/>
        </w:rPr>
        <w:footnoteReference w:id="13"/>
      </w:r>
      <w:r w:rsidRPr="00633C68">
        <w:rPr>
          <w:rFonts w:ascii="Verdana" w:eastAsia="Times New Roman" w:hAnsi="Verdana" w:cs="Arial"/>
          <w:sz w:val="20"/>
          <w:szCs w:val="20"/>
          <w:vertAlign w:val="superscript"/>
          <w:lang w:val="es-MX"/>
        </w:rPr>
        <w:t>.</w:t>
      </w:r>
      <w:r w:rsidRPr="00633C68">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633C68">
        <w:rPr>
          <w:rFonts w:ascii="Verdana" w:eastAsia="Times New Roman" w:hAnsi="Verdana" w:cs="Arial"/>
          <w:sz w:val="20"/>
          <w:szCs w:val="20"/>
          <w:vertAlign w:val="superscript"/>
          <w:lang w:eastAsia="es-CO"/>
        </w:rPr>
        <w:footnoteReference w:id="14"/>
      </w:r>
      <w:r w:rsidRPr="00633C68">
        <w:rPr>
          <w:rFonts w:ascii="Verdana" w:eastAsia="Calibri" w:hAnsi="Verdana" w:cs="Arial"/>
          <w:sz w:val="20"/>
          <w:szCs w:val="20"/>
          <w:lang w:val="es-MX"/>
        </w:rPr>
        <w:t xml:space="preserve"> .</w:t>
      </w:r>
    </w:p>
    <w:p w14:paraId="43D4A5F1" w14:textId="77777777" w:rsidR="00CF2053" w:rsidRPr="0057193B" w:rsidRDefault="00CF2053" w:rsidP="00CF2053">
      <w:pPr>
        <w:shd w:val="clear" w:color="auto" w:fill="FFFFFF"/>
        <w:spacing w:after="0" w:line="276" w:lineRule="auto"/>
        <w:ind w:firstLine="709"/>
        <w:jc w:val="both"/>
        <w:rPr>
          <w:rFonts w:ascii="Verdana" w:eastAsia="Times New Roman" w:hAnsi="Verdana" w:cs="Arial"/>
          <w:lang w:eastAsia="x-none"/>
        </w:rPr>
      </w:pPr>
    </w:p>
    <w:p w14:paraId="4FEEF14E" w14:textId="77777777" w:rsidR="00CF2053" w:rsidRPr="0057193B" w:rsidRDefault="00CF2053" w:rsidP="00CF2053">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CAC269D" w14:textId="77777777" w:rsidR="00CF2053" w:rsidRPr="0057193B" w:rsidRDefault="00CF2053" w:rsidP="00CF2053">
      <w:pPr>
        <w:spacing w:after="120" w:line="276" w:lineRule="auto"/>
        <w:ind w:firstLine="708"/>
        <w:jc w:val="both"/>
        <w:rPr>
          <w:rFonts w:ascii="Verdana" w:eastAsia="Times New Roman" w:hAnsi="Verdana" w:cs="Arial"/>
          <w:lang w:val="es-MX"/>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3A5322BA">
        <w:rPr>
          <w:rFonts w:ascii="Verdana" w:eastAsia="Times New Roman" w:hAnsi="Verdana" w:cs="Arial"/>
          <w:vertAlign w:val="superscript"/>
          <w:lang w:val="en-GB"/>
        </w:rPr>
        <w:footnoteReference w:id="17"/>
      </w:r>
      <w:r w:rsidRPr="0057193B">
        <w:rPr>
          <w:rFonts w:ascii="Verdana" w:eastAsia="Times New Roman" w:hAnsi="Verdana" w:cs="Arial"/>
          <w:lang w:eastAsia="x-none"/>
        </w:rPr>
        <w:t xml:space="preserve">, han establecido sistemas de </w:t>
      </w:r>
      <w:r w:rsidRPr="0057193B">
        <w:rPr>
          <w:rFonts w:ascii="Verdana" w:eastAsia="Times New Roman" w:hAnsi="Verdana" w:cs="Arial"/>
          <w:lang w:eastAsia="x-none"/>
        </w:rPr>
        <w:lastRenderedPageBreak/>
        <w:t>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13521062" w14:textId="77777777" w:rsidR="00CF2053" w:rsidRPr="0057193B" w:rsidRDefault="00CF2053" w:rsidP="00CF2053">
      <w:pPr>
        <w:spacing w:after="120" w:line="276" w:lineRule="auto"/>
        <w:ind w:firstLine="708"/>
        <w:jc w:val="both"/>
        <w:rPr>
          <w:rFonts w:ascii="Verdana" w:eastAsia="Times New Roman" w:hAnsi="Verdana" w:cs="Arial"/>
          <w:bCs/>
          <w:lang w:val="es-MX" w:eastAsia="es-CO"/>
        </w:rPr>
      </w:pPr>
      <w:r w:rsidRPr="3A5322BA">
        <w:rPr>
          <w:rFonts w:ascii="Verdana" w:eastAsia="Times New Roman" w:hAnsi="Verdana" w:cs="Arial"/>
          <w:lang w:val="es-MX"/>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4E4B2DAF" w14:textId="77777777" w:rsidR="00CF2053" w:rsidRPr="0057193B" w:rsidRDefault="00CF2053" w:rsidP="00CF2053">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Pr="3A5322BA">
        <w:rPr>
          <w:rFonts w:ascii="Verdana" w:eastAsia="Times New Roman" w:hAnsi="Verdana" w:cs="Arial"/>
          <w:lang w:val="es-MX" w:eastAsia="es-CO"/>
        </w:rPr>
        <w:t xml:space="preserve"> Electorales</w:t>
      </w:r>
      <w:r w:rsidRPr="0057193B">
        <w:rPr>
          <w:rFonts w:ascii="Verdana" w:eastAsia="Times New Roman" w:hAnsi="Verdana" w:cs="Arial"/>
          <w:bCs/>
          <w:lang w:val="es-MX"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3A5322BA">
        <w:rPr>
          <w:rFonts w:ascii="Verdana" w:eastAsia="Times New Roman" w:hAnsi="Verdana" w:cs="Arial"/>
          <w:lang w:val="es-MX" w:eastAsia="es-CO"/>
        </w:rPr>
        <w:t>“</w:t>
      </w:r>
      <w:r w:rsidRPr="0057193B">
        <w:rPr>
          <w:rFonts w:ascii="Verdana" w:eastAsia="Times New Roman" w:hAnsi="Verdana" w:cs="Arial"/>
          <w:bCs/>
          <w:lang w:val="es-MX" w:eastAsia="es-CO"/>
        </w:rPr>
        <w:t>contratación directa</w:t>
      </w:r>
      <w:r w:rsidRPr="3A5322BA">
        <w:rPr>
          <w:rFonts w:ascii="Verdana" w:eastAsia="Times New Roman" w:hAnsi="Verdana" w:cs="Arial"/>
          <w:lang w:val="es-MX" w:eastAsia="es-CO"/>
        </w:rPr>
        <w:t>”.</w:t>
      </w:r>
    </w:p>
    <w:p w14:paraId="35246140" w14:textId="77777777" w:rsidR="00CF2053" w:rsidRPr="0057193B" w:rsidRDefault="00CF2053" w:rsidP="00CF2053">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4FB3A373" w14:textId="77777777" w:rsidR="00CF2053" w:rsidRPr="0057193B" w:rsidRDefault="00CF2053" w:rsidP="00CF2053">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w:t>
      </w:r>
      <w:r w:rsidRPr="0057193B">
        <w:rPr>
          <w:rFonts w:ascii="Verdana" w:eastAsia="Times New Roman" w:hAnsi="Verdana" w:cs="Arial"/>
          <w:lang w:eastAsia="x-none"/>
        </w:rPr>
        <w:lastRenderedPageBreak/>
        <w:t>preelectoral de que trata la disposición las entidades públicas pueden seguir contratando bajo estos sistemas.</w:t>
      </w:r>
    </w:p>
    <w:p w14:paraId="39924C64" w14:textId="77777777" w:rsidR="00CF2053" w:rsidRPr="00447D82" w:rsidRDefault="00CF2053" w:rsidP="00CF2053">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sidRPr="3A5322BA">
        <w:rPr>
          <w:rFonts w:ascii="Verdana" w:eastAsia="Times New Roman" w:hAnsi="Verdana" w:cs="Arial"/>
          <w:lang w:val="es-MX" w:eastAsia="es-CO"/>
        </w:rPr>
        <w:t xml:space="preserve"> Electorales</w:t>
      </w:r>
      <w:r w:rsidRPr="0057193B">
        <w:rPr>
          <w:rFonts w:ascii="Verdana" w:eastAsia="Times New Roman" w:hAnsi="Verdana" w:cs="Arial"/>
          <w:bCs/>
          <w:lang w:val="es-MX" w:eastAsia="es-CO"/>
        </w:rPr>
        <w:t>,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3C897B75" w14:textId="77777777" w:rsidR="00CF2053" w:rsidRPr="003E1975" w:rsidRDefault="00CF2053" w:rsidP="00CF2053">
      <w:pPr>
        <w:spacing w:after="120" w:line="276" w:lineRule="auto"/>
        <w:ind w:firstLine="708"/>
        <w:jc w:val="both"/>
        <w:rPr>
          <w:rFonts w:ascii="Verdana" w:eastAsia="Times New Roman" w:hAnsi="Verdana" w:cs="Arial"/>
          <w:iCs/>
          <w:lang w:val="es-MX" w:eastAsia="es-CO"/>
        </w:rPr>
      </w:pPr>
      <w:r w:rsidRPr="3A5322BA">
        <w:rPr>
          <w:rFonts w:ascii="Verdana" w:eastAsia="Times New Roman" w:hAnsi="Verdana" w:cs="Arial"/>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003E1975">
        <w:rPr>
          <w:rFonts w:ascii="Verdana" w:eastAsia="Times New Roman" w:hAnsi="Verdana" w:cs="Arial"/>
          <w:iCs/>
          <w:lang w:val="es-MX"/>
        </w:rPr>
        <w:t>los que deban realizar las entidades sanitarias y hospitalarias.</w:t>
      </w:r>
    </w:p>
    <w:p w14:paraId="01521D43" w14:textId="77777777" w:rsidR="00CF2053" w:rsidRPr="0057193B" w:rsidRDefault="00CF2053" w:rsidP="00CF2053">
      <w:pPr>
        <w:spacing w:after="120" w:line="276" w:lineRule="auto"/>
        <w:ind w:firstLine="708"/>
        <w:jc w:val="both"/>
        <w:rPr>
          <w:rFonts w:ascii="Verdana" w:eastAsia="Times New Roman" w:hAnsi="Verdana" w:cs="Arial"/>
          <w:bCs/>
          <w:lang w:val="es-MX" w:eastAsia="es-CO"/>
        </w:rPr>
      </w:pPr>
      <w:r w:rsidRPr="3A5322BA">
        <w:rPr>
          <w:rFonts w:ascii="Verdana" w:eastAsia="Times New Roman" w:hAnsi="Verdana" w:cs="Arial"/>
          <w:lang w:val="es-MX" w:eastAsia="es-CO"/>
        </w:rPr>
        <w:t>Conforme a las anteriores excepciones, es</w:t>
      </w:r>
      <w:r w:rsidRPr="0057193B">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6393A14" w14:textId="77777777" w:rsidR="00CF2053" w:rsidRDefault="00CF2053" w:rsidP="00CF2053">
      <w:pPr>
        <w:spacing w:after="120" w:line="276" w:lineRule="auto"/>
        <w:ind w:firstLine="709"/>
        <w:jc w:val="both"/>
        <w:rPr>
          <w:rFonts w:ascii="Verdana" w:eastAsia="Times New Roman" w:hAnsi="Verdana" w:cs="Arial"/>
          <w:lang w:val="es-MX"/>
        </w:rPr>
      </w:pPr>
      <w:r w:rsidRPr="3A5322BA">
        <w:rPr>
          <w:rFonts w:ascii="Verdana" w:eastAsia="Times New Roman" w:hAnsi="Verdana" w:cs="Arial"/>
          <w:lang w:val="es-MX"/>
        </w:rPr>
        <w:t xml:space="preserve">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w:t>
      </w:r>
      <w:r w:rsidRPr="3A5322BA">
        <w:rPr>
          <w:rFonts w:ascii="Verdana" w:eastAsia="Times New Roman" w:hAnsi="Verdana" w:cs="Arial"/>
          <w:lang w:val="es-MX"/>
        </w:rPr>
        <w:lastRenderedPageBreak/>
        <w:t>las excepciones para la prohibición de contratación”</w:t>
      </w:r>
      <w:r w:rsidRPr="0057193B">
        <w:rPr>
          <w:rFonts w:ascii="Verdana" w:eastAsia="Calibri" w:hAnsi="Verdana" w:cs="Arial"/>
          <w:vertAlign w:val="superscript"/>
          <w:lang w:val="es-MX"/>
        </w:rPr>
        <w:footnoteReference w:id="21"/>
      </w:r>
      <w:r w:rsidRPr="3A5322BA">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C75E796" w14:textId="77777777" w:rsidR="00CF2053" w:rsidRPr="0057193B" w:rsidRDefault="00CF2053" w:rsidP="00CF2053">
      <w:pPr>
        <w:spacing w:line="276" w:lineRule="auto"/>
        <w:ind w:firstLine="709"/>
        <w:jc w:val="both"/>
        <w:rPr>
          <w:rFonts w:ascii="Verdana" w:eastAsia="Times New Roman" w:hAnsi="Verdana" w:cs="Arial"/>
          <w:sz w:val="20"/>
          <w:szCs w:val="20"/>
          <w:lang w:val="es-MX" w:eastAsia="x-none"/>
        </w:rPr>
      </w:pPr>
      <w:r w:rsidRPr="3A5322BA">
        <w:rPr>
          <w:rFonts w:ascii="Verdana" w:eastAsia="Arial" w:hAnsi="Verdana" w:cs="Arial"/>
          <w:color w:val="000000" w:themeColor="text1"/>
          <w:lang w:val="es-ES"/>
        </w:rPr>
        <w:t>Atendiendo el marco jurídico analizado</w:t>
      </w:r>
      <w:r w:rsidRPr="3A5322BA">
        <w:rPr>
          <w:rFonts w:ascii="Verdana" w:eastAsia="Times New Roman" w:hAnsi="Verdana" w:cs="Arial"/>
          <w:lang w:val="es-MX"/>
        </w:rPr>
        <w:t xml:space="preserve">, le compete a cada entidad estatal que considera celebrar un contrato específico, definir si este se enmarca en la prohibición establecida en el artículo 33 que restringe la contratación directa en el periodo preelectoral a las elecciones presidenciales. Lo anterior, adicionalmente, teniendo en cuenta las excepciones a la prohibición establecidas en el inciso segundo del mismo artículo 33. Además, se reitera que la restricción aplica frente a la contratación directa, entendida como cualquier sistema de selección o procedimiento de contratación utilizado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72422E05" w14:textId="77777777" w:rsidR="00CF2053" w:rsidRPr="004C2E9A" w:rsidRDefault="00CF2053" w:rsidP="00CF2053">
      <w:pPr>
        <w:spacing w:line="276" w:lineRule="auto"/>
        <w:ind w:firstLine="709"/>
        <w:jc w:val="both"/>
        <w:rPr>
          <w:rFonts w:ascii="Verdana" w:eastAsia="Times New Roman" w:hAnsi="Verdana" w:cs="Arial"/>
          <w:color w:val="000000"/>
          <w:lang w:val="es-ES" w:eastAsia="es-ES"/>
        </w:rPr>
      </w:pPr>
      <w:r w:rsidRPr="3A5322BA">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10"/>
    <w:p w14:paraId="6FEC6F6C" w14:textId="77777777" w:rsidR="00CF2053" w:rsidRPr="00D22F9B" w:rsidRDefault="00CF2053" w:rsidP="00CF2053">
      <w:pPr>
        <w:numPr>
          <w:ilvl w:val="0"/>
          <w:numId w:val="16"/>
        </w:numPr>
        <w:tabs>
          <w:tab w:val="left" w:pos="142"/>
          <w:tab w:val="left" w:pos="284"/>
        </w:tabs>
        <w:spacing w:after="0" w:line="276" w:lineRule="auto"/>
        <w:jc w:val="both"/>
        <w:rPr>
          <w:rFonts w:ascii="Verdana" w:eastAsia="Century Gothic" w:hAnsi="Verdana" w:cs="Century Gothic"/>
          <w:b/>
          <w:bCs/>
        </w:rPr>
      </w:pPr>
      <w:r w:rsidRPr="00D22F9B">
        <w:rPr>
          <w:rFonts w:ascii="Verdana" w:eastAsia="Century Gothic" w:hAnsi="Verdana" w:cs="Century Gothic"/>
          <w:b/>
          <w:bCs/>
        </w:rPr>
        <w:t>Referencias normativas y jurisprudenciales:</w:t>
      </w:r>
    </w:p>
    <w:p w14:paraId="5C7B7AF1" w14:textId="77777777" w:rsidR="00CF2053" w:rsidRPr="00D22F9B" w:rsidRDefault="00CF2053" w:rsidP="00CF2053">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2053" w:rsidRPr="00D22F9B" w14:paraId="20A80FD9" w14:textId="77777777" w:rsidTr="001370D4">
        <w:trPr>
          <w:trHeight w:val="410"/>
          <w:jc w:val="center"/>
        </w:trPr>
        <w:tc>
          <w:tcPr>
            <w:tcW w:w="8647" w:type="dxa"/>
          </w:tcPr>
          <w:p w14:paraId="0828615F" w14:textId="77777777" w:rsidR="00CF2053" w:rsidRPr="00886B78" w:rsidRDefault="00CF2053" w:rsidP="001370D4">
            <w:pPr>
              <w:pStyle w:val="Sinespaciado"/>
              <w:numPr>
                <w:ilvl w:val="0"/>
                <w:numId w:val="17"/>
              </w:numPr>
              <w:spacing w:line="276" w:lineRule="auto"/>
              <w:jc w:val="both"/>
              <w:rPr>
                <w:rFonts w:ascii="Verdana" w:hAnsi="Verdana"/>
                <w:lang w:val="es-ES" w:eastAsia="es-ES" w:bidi="es-ES"/>
              </w:rPr>
            </w:pPr>
            <w:r w:rsidRPr="00886B78">
              <w:rPr>
                <w:rFonts w:ascii="Verdana" w:hAnsi="Verdana"/>
                <w:lang w:eastAsia="es-ES" w:bidi="es-ES"/>
              </w:rPr>
              <w:t>Constitución Política: Artículo 127</w:t>
            </w:r>
            <w:r>
              <w:rPr>
                <w:rFonts w:ascii="Verdana" w:hAnsi="Verdana"/>
                <w:lang w:eastAsia="es-ES" w:bidi="es-ES"/>
              </w:rPr>
              <w:t>, 190 y 197</w:t>
            </w:r>
          </w:p>
          <w:p w14:paraId="102C299E" w14:textId="77777777" w:rsidR="00CF2053" w:rsidRPr="00886B78" w:rsidRDefault="00CF2053" w:rsidP="001370D4">
            <w:pPr>
              <w:pStyle w:val="Sinespaciado"/>
              <w:numPr>
                <w:ilvl w:val="0"/>
                <w:numId w:val="17"/>
              </w:numPr>
              <w:spacing w:line="276" w:lineRule="auto"/>
              <w:jc w:val="both"/>
              <w:rPr>
                <w:rFonts w:ascii="Verdana" w:hAnsi="Verdana"/>
                <w:lang w:val="es-ES" w:eastAsia="es-ES" w:bidi="es-ES"/>
              </w:rPr>
            </w:pPr>
            <w:r w:rsidRPr="00886B78">
              <w:rPr>
                <w:rFonts w:ascii="Verdana" w:hAnsi="Verdana"/>
                <w:lang w:val="es-ES" w:eastAsia="es-ES" w:bidi="es-ES"/>
              </w:rPr>
              <w:lastRenderedPageBreak/>
              <w:t xml:space="preserve">Ley 80 de 1993, artículos 39, 41, 44, 46, 49 y 60. </w:t>
            </w:r>
          </w:p>
          <w:p w14:paraId="09455D68" w14:textId="77777777" w:rsidR="00CF2053" w:rsidRPr="00886B78" w:rsidRDefault="00CF2053" w:rsidP="001370D4">
            <w:pPr>
              <w:pStyle w:val="Sinespaciado"/>
              <w:numPr>
                <w:ilvl w:val="0"/>
                <w:numId w:val="17"/>
              </w:numPr>
              <w:spacing w:line="276" w:lineRule="auto"/>
              <w:jc w:val="both"/>
              <w:rPr>
                <w:rFonts w:ascii="Verdana" w:hAnsi="Verdana"/>
                <w:lang w:val="es-ES" w:eastAsia="es-ES" w:bidi="es-ES"/>
              </w:rPr>
            </w:pPr>
            <w:r w:rsidRPr="00886B78">
              <w:rPr>
                <w:rFonts w:ascii="Verdana" w:hAnsi="Verdana"/>
                <w:lang w:val="es-ES" w:eastAsia="es-ES" w:bidi="es-ES"/>
              </w:rPr>
              <w:t xml:space="preserve">Ley 1150 de 2007, artículo </w:t>
            </w:r>
            <w:r>
              <w:rPr>
                <w:rFonts w:ascii="Verdana" w:hAnsi="Verdana"/>
                <w:lang w:val="es-ES" w:eastAsia="es-ES" w:bidi="es-ES"/>
              </w:rPr>
              <w:t xml:space="preserve">2, </w:t>
            </w:r>
            <w:r w:rsidRPr="00A72697">
              <w:rPr>
                <w:rFonts w:ascii="Verdana" w:hAnsi="Verdana"/>
                <w:lang w:val="es-ES" w:eastAsia="es-ES" w:bidi="es-ES"/>
              </w:rPr>
              <w:t>numeral 4</w:t>
            </w:r>
            <w:r w:rsidRPr="00886B78">
              <w:rPr>
                <w:rFonts w:ascii="Verdana" w:hAnsi="Verdana"/>
                <w:lang w:val="es-ES" w:eastAsia="es-ES" w:bidi="es-ES"/>
              </w:rPr>
              <w:t xml:space="preserve"> </w:t>
            </w:r>
          </w:p>
          <w:p w14:paraId="451D0B70" w14:textId="77777777" w:rsidR="00CF2053" w:rsidRPr="00A72697" w:rsidRDefault="00CF2053" w:rsidP="001370D4">
            <w:pPr>
              <w:pStyle w:val="Sinespaciado"/>
              <w:numPr>
                <w:ilvl w:val="0"/>
                <w:numId w:val="17"/>
              </w:numPr>
              <w:spacing w:line="276" w:lineRule="auto"/>
              <w:jc w:val="both"/>
              <w:rPr>
                <w:rFonts w:ascii="Verdana" w:hAnsi="Verdana"/>
                <w:lang w:val="es-ES" w:eastAsia="es-ES" w:bidi="es-ES"/>
              </w:rPr>
            </w:pPr>
            <w:r w:rsidRPr="00886B78">
              <w:rPr>
                <w:rFonts w:ascii="Verdana" w:hAnsi="Verdana"/>
                <w:bCs/>
                <w:lang w:val="es-ES" w:eastAsia="es-ES" w:bidi="es-ES"/>
              </w:rPr>
              <w:t>Ley 996 de 2005: artículos 33 y 38 parágrafo.</w:t>
            </w:r>
          </w:p>
          <w:p w14:paraId="064CAB6C" w14:textId="77777777" w:rsidR="00CF2053" w:rsidRPr="00886B78" w:rsidRDefault="00CF2053" w:rsidP="001370D4">
            <w:pPr>
              <w:pStyle w:val="Sinespaciado"/>
              <w:numPr>
                <w:ilvl w:val="0"/>
                <w:numId w:val="17"/>
              </w:numPr>
              <w:spacing w:line="276" w:lineRule="auto"/>
              <w:jc w:val="both"/>
              <w:rPr>
                <w:rFonts w:ascii="Verdana" w:hAnsi="Verdana"/>
                <w:lang w:val="es-ES" w:eastAsia="es-ES" w:bidi="es-ES"/>
              </w:rPr>
            </w:pPr>
            <w:r>
              <w:rPr>
                <w:rFonts w:ascii="Verdana" w:hAnsi="Verdana"/>
                <w:bCs/>
                <w:lang w:val="es-ES" w:eastAsia="es-ES" w:bidi="es-ES"/>
              </w:rPr>
              <w:t>Ley 100 de 1993: Artículo 94, 197</w:t>
            </w:r>
          </w:p>
          <w:p w14:paraId="4658F8A5" w14:textId="77777777" w:rsidR="00CF2053" w:rsidRDefault="00CF2053" w:rsidP="001370D4">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Decreto 780 de 2016, artículo 2.8.8.1.4.2</w:t>
            </w:r>
          </w:p>
          <w:p w14:paraId="5E47A470" w14:textId="77777777" w:rsidR="00CF2053" w:rsidRDefault="00CF2053" w:rsidP="001370D4">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Corte Constitucional, Sentencia C- 1153 de 11 de noviembre de 2005, M.P. Marco Gerardo Monroy Cabra.</w:t>
            </w:r>
          </w:p>
          <w:p w14:paraId="4C7ABBF4" w14:textId="3335366B" w:rsidR="00744708" w:rsidRPr="004E4CFC" w:rsidRDefault="00744708" w:rsidP="001370D4">
            <w:pPr>
              <w:pStyle w:val="Sinespaciado"/>
              <w:numPr>
                <w:ilvl w:val="0"/>
                <w:numId w:val="17"/>
              </w:numPr>
              <w:spacing w:line="276" w:lineRule="auto"/>
              <w:jc w:val="both"/>
              <w:rPr>
                <w:rFonts w:ascii="Verdana" w:hAnsi="Verdana"/>
                <w:lang w:val="es-ES" w:eastAsia="es-ES" w:bidi="es-ES"/>
              </w:rPr>
            </w:pPr>
            <w:r w:rsidRPr="00744708">
              <w:rPr>
                <w:rFonts w:ascii="Verdana" w:hAnsi="Verdana"/>
                <w:lang w:val="es-ES" w:eastAsia="es-ES" w:bidi="es-ES"/>
              </w:rPr>
              <w:t>Consejo de Estado. Sala de Consulta y Servicio Civil. Concepto de 20 de febrero de 2006. Radicación Número: 11001-03-06-000-2006-00026-00(1727). Consejero Ponente: Enrique José Arboleda Perdomo.</w:t>
            </w:r>
          </w:p>
          <w:p w14:paraId="7D7C3600" w14:textId="77777777" w:rsidR="00CF2053" w:rsidRDefault="00CF2053" w:rsidP="001370D4">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 xml:space="preserve">Consejo de Estado, Sala de Consulta y Servicio Civil de fecha 24 de julio de 2013, radicado 2166, C. P. Álvaro Namén Vargas. </w:t>
            </w:r>
          </w:p>
          <w:p w14:paraId="21308B9F" w14:textId="77777777" w:rsidR="00CF2053" w:rsidRPr="004E4CFC" w:rsidRDefault="00CF2053" w:rsidP="001370D4">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Consejo de Estado. Sala de Consulta y Servicio Civil. Concepto del 2 de septiembre de 2013. Radicación número: 11001-03-06-000-2013-00412-00 (2168). Consejero Ponente: Álvaro Namén Vargas.</w:t>
            </w:r>
          </w:p>
          <w:p w14:paraId="3317BBFB" w14:textId="0127C304" w:rsidR="00AF5B14" w:rsidRPr="00744708" w:rsidRDefault="00CF2053" w:rsidP="00744708">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 xml:space="preserve">Consejo de Estado. Sala de Consulta y Servicio Civil. Concepto del 17 de febrero de 2015. C.P. William Zambrano Cetina. Radicación No. 11001-03-06-000-2015-00164-00(2269). </w:t>
            </w:r>
          </w:p>
          <w:p w14:paraId="026572B1" w14:textId="77777777" w:rsidR="00CF2053" w:rsidRDefault="00CF2053" w:rsidP="001370D4">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Consejo de Estado. Sala de Consulta y Servicio Civil, Concepto de 8 de mayo de 2018. Radicación Número: 11001-03-06-000-2018-00095-00(2382). Consejero Ponente: Álvaro Namén Vargas</w:t>
            </w:r>
          </w:p>
          <w:p w14:paraId="08EDAA39" w14:textId="77777777" w:rsidR="00CF2053" w:rsidRPr="00C52102" w:rsidRDefault="00CF2053" w:rsidP="001370D4">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Colombia Compra Eficiente. Circular Externa Única. Numeral 16.5.</w:t>
            </w:r>
            <w:r>
              <w:rPr>
                <w:rFonts w:ascii="Verdana" w:hAnsi="Verdana"/>
                <w:lang w:val="es-ES" w:eastAsia="es-ES" w:bidi="es-ES"/>
              </w:rPr>
              <w:t xml:space="preserve"> Disponible en línea: </w:t>
            </w:r>
            <w:hyperlink r:id="rId13" w:history="1">
              <w:r w:rsidRPr="00861082">
                <w:rPr>
                  <w:rStyle w:val="Hipervnculo"/>
                  <w:rFonts w:ascii="Verdana" w:eastAsia="Calibri" w:hAnsi="Verdana" w:cs="Arial"/>
                  <w:lang w:val="es-ES"/>
                </w:rPr>
                <w:t>https://www.colombiacompra.gov.co/normativa-y-relatoria/circular-unica-externa</w:t>
              </w:r>
            </w:hyperlink>
          </w:p>
        </w:tc>
      </w:tr>
    </w:tbl>
    <w:p w14:paraId="6A74B8B5" w14:textId="77777777" w:rsidR="00CF2053" w:rsidRPr="00D22F9B" w:rsidRDefault="00CF2053" w:rsidP="00CF2053">
      <w:pPr>
        <w:widowControl w:val="0"/>
        <w:autoSpaceDE w:val="0"/>
        <w:autoSpaceDN w:val="0"/>
        <w:spacing w:after="0" w:line="276" w:lineRule="auto"/>
        <w:jc w:val="both"/>
        <w:rPr>
          <w:rFonts w:ascii="Verdana" w:eastAsia="Calibri" w:hAnsi="Verdana" w:cs="Arial"/>
        </w:rPr>
      </w:pPr>
    </w:p>
    <w:p w14:paraId="1ADEF440" w14:textId="77777777" w:rsidR="00CF2053" w:rsidRPr="00D22F9B" w:rsidRDefault="00CF2053" w:rsidP="00CF2053">
      <w:pPr>
        <w:numPr>
          <w:ilvl w:val="0"/>
          <w:numId w:val="16"/>
        </w:numPr>
        <w:tabs>
          <w:tab w:val="left" w:pos="142"/>
          <w:tab w:val="left" w:pos="284"/>
        </w:tabs>
        <w:spacing w:after="0" w:line="276" w:lineRule="auto"/>
        <w:jc w:val="both"/>
        <w:rPr>
          <w:rFonts w:ascii="Verdana" w:eastAsia="Century Gothic" w:hAnsi="Verdana" w:cs="Century Gothic"/>
          <w:b/>
          <w:bCs/>
        </w:rPr>
      </w:pPr>
      <w:r w:rsidRPr="00D22F9B">
        <w:rPr>
          <w:rFonts w:ascii="Verdana" w:eastAsia="Century Gothic" w:hAnsi="Verdana" w:cs="Century Gothic"/>
          <w:b/>
          <w:bCs/>
        </w:rPr>
        <w:t>Doctrina de la Agencia Nacional de Contratación Pública:</w:t>
      </w:r>
    </w:p>
    <w:p w14:paraId="764CFA09" w14:textId="77777777" w:rsidR="00CF2053" w:rsidRPr="00D22F9B" w:rsidRDefault="00CF2053" w:rsidP="00CF2053">
      <w:pPr>
        <w:widowControl w:val="0"/>
        <w:autoSpaceDE w:val="0"/>
        <w:autoSpaceDN w:val="0"/>
        <w:spacing w:after="0" w:line="276" w:lineRule="auto"/>
        <w:jc w:val="both"/>
        <w:rPr>
          <w:rFonts w:ascii="Verdana" w:eastAsia="Calibri" w:hAnsi="Verdana" w:cs="Arial"/>
          <w:color w:val="000000"/>
          <w:kern w:val="2"/>
          <w:shd w:val="clear" w:color="auto" w:fill="FFFFFF"/>
          <w14:ligatures w14:val="standardContextual"/>
        </w:rPr>
      </w:pPr>
    </w:p>
    <w:p w14:paraId="022133B8" w14:textId="77777777" w:rsidR="00CF2053" w:rsidRDefault="00CF2053" w:rsidP="00CF2053">
      <w:pPr>
        <w:widowControl w:val="0"/>
        <w:autoSpaceDE w:val="0"/>
        <w:autoSpaceDN w:val="0"/>
        <w:spacing w:line="276" w:lineRule="auto"/>
        <w:jc w:val="both"/>
        <w:rPr>
          <w:rFonts w:ascii="Verdana" w:hAnsi="Verdana" w:cs="Arial"/>
          <w:shd w:val="clear" w:color="auto" w:fill="FFFFFF"/>
        </w:rPr>
      </w:pPr>
      <w:r w:rsidRPr="0094222D">
        <w:rPr>
          <w:rStyle w:val="normaltextrun"/>
          <w:rFonts w:ascii="Verdana" w:hAnsi="Verdana" w:cs="Arial"/>
          <w:shd w:val="clear" w:color="auto" w:fill="FFFFFF"/>
          <w:lang w:val="es-ES_tradnl"/>
        </w:rPr>
        <w:t xml:space="preserve">Esta Subdirección se ha pronunciado sobre </w:t>
      </w:r>
      <w:r w:rsidRPr="00AB70DD">
        <w:rPr>
          <w:rFonts w:ascii="Verdana" w:hAnsi="Verdana" w:cs="Arial"/>
          <w:shd w:val="clear" w:color="auto" w:fill="FFFFFF"/>
          <w:lang w:val="es-ES"/>
        </w:rPr>
        <w:t xml:space="preserve">la finalidad y propósito de la Ley de Garantías Electorales,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w:t>
      </w:r>
      <w:r w:rsidRPr="00AB70DD">
        <w:rPr>
          <w:rFonts w:ascii="Verdana" w:hAnsi="Verdana" w:cs="Arial"/>
          <w:shd w:val="clear" w:color="auto" w:fill="FFFFFF"/>
          <w:lang w:val="es-ES"/>
        </w:rPr>
        <w:lastRenderedPageBreak/>
        <w:t xml:space="preserve">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entre otros. </w:t>
      </w:r>
      <w:r w:rsidRPr="00AB70DD">
        <w:rPr>
          <w:rFonts w:ascii="Verdana" w:hAnsi="Verdana" w:cs="Arial"/>
          <w:shd w:val="clear" w:color="auto" w:fill="FFFFFF"/>
        </w:rPr>
        <w:t xml:space="preserve">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 </w:t>
      </w:r>
      <w:r w:rsidRPr="00AB70DD">
        <w:rPr>
          <w:rFonts w:ascii="Verdana" w:eastAsia="Aptos" w:hAnsi="Verdana" w:cs="Arial"/>
          <w:shd w:val="clear" w:color="auto" w:fill="FFFFFF"/>
          <w:lang w:val="es-ES"/>
        </w:rPr>
        <w:t xml:space="preserve">Sobre la nulidad de los contratos estatales, esta Subdirección se ha referido en los Conceptos </w:t>
      </w:r>
      <w:r w:rsidRPr="00AB70DD">
        <w:rPr>
          <w:rFonts w:ascii="Verdana" w:eastAsia="Calibri" w:hAnsi="Verdana" w:cs="Arial"/>
          <w:lang w:val="es-ES_tradnl" w:eastAsia="es-MX"/>
        </w:rPr>
        <w:t>C</w:t>
      </w:r>
      <w:r w:rsidRPr="001924B7">
        <w:rPr>
          <w:rFonts w:ascii="Verdana" w:eastAsia="Aptos" w:hAnsi="Verdana" w:cs="Times New Roman"/>
        </w:rPr>
        <w:t xml:space="preserve"> </w:t>
      </w:r>
      <w:r w:rsidRPr="00AB70DD">
        <w:rPr>
          <w:rFonts w:ascii="Verdana" w:eastAsia="Calibri" w:hAnsi="Verdana" w:cs="Arial"/>
          <w:lang w:val="es-ES_tradnl" w:eastAsia="es-MX"/>
        </w:rPr>
        <w:t>C-600 del 13 de octubre de 2020, C-378 del 31 de agosto de 2021, C-575 del 13 de octubre de 2021, C-896 del 17 de enero de 2023, C-041 del 20 de febrero de 2025</w:t>
      </w:r>
      <w:r w:rsidRPr="00AB70DD">
        <w:rPr>
          <w:rFonts w:ascii="Verdana" w:eastAsia="Aptos" w:hAnsi="Verdana" w:cs="Arial"/>
          <w:shd w:val="clear" w:color="auto" w:fill="FFFFFF"/>
          <w:lang w:val="es-ES"/>
        </w:rPr>
        <w:t>, C-466 del 16 de mayo de 2025, C-510 del 4 de junio de 2025,</w:t>
      </w:r>
      <w:r>
        <w:rPr>
          <w:rFonts w:ascii="Verdana" w:eastAsia="Aptos" w:hAnsi="Verdana" w:cs="Arial"/>
          <w:shd w:val="clear" w:color="auto" w:fill="FFFFFF"/>
          <w:lang w:val="es-ES"/>
        </w:rPr>
        <w:t xml:space="preserve"> C-696 del 11 de julio de 2025, 1868 del 09 de febrero de 2026, </w:t>
      </w:r>
      <w:r w:rsidRPr="00AB70DD">
        <w:rPr>
          <w:rFonts w:ascii="Verdana" w:eastAsia="Aptos" w:hAnsi="Verdana" w:cs="Arial"/>
          <w:shd w:val="clear" w:color="auto" w:fill="FFFFFF"/>
          <w:lang w:val="es-ES"/>
        </w:rPr>
        <w:t xml:space="preserve">entre otros. </w:t>
      </w:r>
      <w:r w:rsidRPr="00AB70DD">
        <w:rPr>
          <w:rFonts w:ascii="Verdana" w:hAnsi="Verdana" w:cs="Arial"/>
          <w:shd w:val="clear" w:color="auto" w:fill="FFFFFF"/>
        </w:rPr>
        <w:t>E</w:t>
      </w:r>
      <w:r>
        <w:rPr>
          <w:rFonts w:ascii="Verdana" w:hAnsi="Verdana" w:cs="Arial"/>
          <w:shd w:val="clear" w:color="auto" w:fill="FFFFFF"/>
          <w:lang w:val="es-ES"/>
        </w:rPr>
        <w:t xml:space="preserve">stos </w:t>
      </w:r>
      <w:r w:rsidRPr="00AB70DD">
        <w:rPr>
          <w:rFonts w:ascii="Verdana" w:hAnsi="Verdana" w:cs="Arial"/>
          <w:shd w:val="clear" w:color="auto" w:fill="FFFFFF"/>
          <w:lang w:val="es-ES"/>
        </w:rPr>
        <w:t xml:space="preserve">y otros </w:t>
      </w:r>
      <w:r w:rsidRPr="00AB70DD">
        <w:rPr>
          <w:rFonts w:ascii="Verdana" w:hAnsi="Verdana"/>
        </w:rPr>
        <w:t>conceptos se encuentran disponibles para consulta en el Sistema de relatoría de la Agencia, al cual se puede acceder a través del siguiente enlace:</w:t>
      </w:r>
      <w:r w:rsidRPr="00AB70DD">
        <w:rPr>
          <w:rFonts w:ascii="Verdana" w:hAnsi="Verdana" w:cs="Arial"/>
          <w:shd w:val="clear" w:color="auto" w:fill="FFFFFF"/>
        </w:rPr>
        <w:t xml:space="preserve"> </w:t>
      </w:r>
      <w:hyperlink r:id="rId14" w:history="1">
        <w:r w:rsidRPr="00AB70DD">
          <w:rPr>
            <w:rFonts w:ascii="Verdana" w:hAnsi="Verdana" w:cs="Arial"/>
            <w:color w:val="0563C1" w:themeColor="hyperlink"/>
            <w:u w:val="single"/>
            <w:shd w:val="clear" w:color="auto" w:fill="FFFFFF"/>
          </w:rPr>
          <w:t>https://relatoria.colombiacompra.gov.co/busqueda/conceptos</w:t>
        </w:r>
      </w:hyperlink>
      <w:r w:rsidRPr="00AB70DD">
        <w:rPr>
          <w:rFonts w:ascii="Verdana" w:hAnsi="Verdana" w:cs="Arial"/>
          <w:shd w:val="clear" w:color="auto" w:fill="FFFFFF"/>
        </w:rPr>
        <w:t>.</w:t>
      </w:r>
    </w:p>
    <w:p w14:paraId="4EC9C47A" w14:textId="77777777" w:rsidR="00CF2053" w:rsidRDefault="00CF2053" w:rsidP="00CF2053">
      <w:pPr>
        <w:widowControl w:val="0"/>
        <w:autoSpaceDE w:val="0"/>
        <w:autoSpaceDN w:val="0"/>
        <w:spacing w:line="276" w:lineRule="auto"/>
        <w:jc w:val="both"/>
        <w:rPr>
          <w:rFonts w:ascii="Verdana" w:hAnsi="Verdana"/>
        </w:rPr>
      </w:pPr>
      <w:r w:rsidRPr="00D22F9B">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D8363BA" w14:textId="77777777" w:rsidR="00CF2053" w:rsidRPr="004D1A79" w:rsidRDefault="00CF2053" w:rsidP="00CF2053">
      <w:pPr>
        <w:pStyle w:val="Prrafodelista"/>
        <w:numPr>
          <w:ilvl w:val="0"/>
          <w:numId w:val="18"/>
        </w:numPr>
        <w:spacing w:after="0" w:line="276" w:lineRule="auto"/>
        <w:jc w:val="both"/>
        <w:rPr>
          <w:rFonts w:ascii="Verdana" w:eastAsia="Verdana" w:hAnsi="Verdana" w:cs="Verdana"/>
          <w:color w:val="4472C4" w:themeColor="accent1"/>
          <w:u w:val="single"/>
        </w:rPr>
      </w:pPr>
      <w:r w:rsidRPr="004D1A79">
        <w:rPr>
          <w:rFonts w:ascii="Verdana" w:eastAsia="Verdana" w:hAnsi="Verdana" w:cs="Verdana"/>
        </w:rPr>
        <w:t xml:space="preserve">Línea nacional gratuita o servicio a la ciudadanía (Mesa de servicio): </w:t>
      </w:r>
      <w:r w:rsidRPr="004D1A79">
        <w:rPr>
          <w:rStyle w:val="Hipervnculo"/>
          <w:rFonts w:ascii="Verdana" w:hAnsi="Verdana"/>
          <w:lang w:val="es-CO"/>
        </w:rPr>
        <w:t>01800 0520808</w:t>
      </w:r>
    </w:p>
    <w:p w14:paraId="2495942A" w14:textId="77777777" w:rsidR="00CF2053" w:rsidRPr="00432BAE" w:rsidRDefault="00CF2053" w:rsidP="00CF2053">
      <w:pPr>
        <w:pStyle w:val="Prrafodelista"/>
        <w:numPr>
          <w:ilvl w:val="0"/>
          <w:numId w:val="18"/>
        </w:numPr>
        <w:spacing w:after="0" w:line="276" w:lineRule="auto"/>
        <w:rPr>
          <w:rFonts w:ascii="Verdana" w:eastAsia="Verdana" w:hAnsi="Verdana" w:cs="Verdana"/>
          <w:color w:val="4472C4" w:themeColor="accent1"/>
          <w:u w:val="single"/>
          <w:lang w:val="es-CO"/>
        </w:rPr>
      </w:pPr>
      <w:r w:rsidRPr="00432BAE">
        <w:rPr>
          <w:rFonts w:ascii="Verdana" w:eastAsia="Verdana" w:hAnsi="Verdana" w:cs="Verdana"/>
          <w:lang w:val="es-CO"/>
        </w:rPr>
        <w:t>Línea en Bogotá (Mesa de servicio):</w:t>
      </w:r>
      <w:r>
        <w:rPr>
          <w:rFonts w:ascii="Verdana" w:eastAsia="Verdana" w:hAnsi="Verdana" w:cs="Verdana"/>
          <w:lang w:val="es-CO"/>
        </w:rPr>
        <w:t xml:space="preserve"> </w:t>
      </w:r>
      <w:r w:rsidRPr="00432BAE">
        <w:rPr>
          <w:rStyle w:val="Hipervnculo"/>
          <w:rFonts w:ascii="Verdana" w:hAnsi="Verdana"/>
          <w:lang w:val="es-CO"/>
        </w:rPr>
        <w:t>+57 601 7456788</w:t>
      </w:r>
    </w:p>
    <w:p w14:paraId="1961CE93" w14:textId="77777777" w:rsidR="00CF2053" w:rsidRPr="00432BAE" w:rsidRDefault="00CF2053" w:rsidP="00CF2053">
      <w:pPr>
        <w:pStyle w:val="Prrafodelista"/>
        <w:numPr>
          <w:ilvl w:val="0"/>
          <w:numId w:val="18"/>
        </w:numPr>
        <w:spacing w:after="0" w:line="276" w:lineRule="auto"/>
        <w:rPr>
          <w:rFonts w:ascii="Verdana" w:eastAsia="Verdana" w:hAnsi="Verdana" w:cs="Verdana"/>
          <w:color w:val="0000FF"/>
          <w:u w:val="single"/>
          <w:lang w:val="es-CO"/>
        </w:rPr>
      </w:pPr>
      <w:r w:rsidRPr="00432BAE">
        <w:rPr>
          <w:rFonts w:ascii="Verdana" w:eastAsia="Verdana" w:hAnsi="Verdana" w:cs="Verdana"/>
          <w:lang w:val="es-CO"/>
        </w:rPr>
        <w:t xml:space="preserve">Correo de radicación de correspondencia: </w:t>
      </w:r>
      <w:hyperlink r:id="rId15" w:history="1">
        <w:r w:rsidRPr="00432BAE">
          <w:rPr>
            <w:rStyle w:val="Hipervnculo"/>
            <w:rFonts w:ascii="Verdana" w:eastAsia="Verdana" w:hAnsi="Verdana" w:cs="Verdana"/>
            <w:lang w:val="es-CO"/>
          </w:rPr>
          <w:t>ventanilladeradicacion@colombiacompra.gov.co</w:t>
        </w:r>
      </w:hyperlink>
    </w:p>
    <w:p w14:paraId="583EA389" w14:textId="77777777" w:rsidR="00CF2053" w:rsidRPr="003479E3" w:rsidRDefault="00CF2053" w:rsidP="00CF2053">
      <w:pPr>
        <w:pStyle w:val="Prrafodelista"/>
        <w:numPr>
          <w:ilvl w:val="0"/>
          <w:numId w:val="18"/>
        </w:numPr>
        <w:spacing w:line="276" w:lineRule="auto"/>
        <w:jc w:val="both"/>
        <w:rPr>
          <w:rFonts w:ascii="Verdana" w:hAnsi="Verdana"/>
        </w:rPr>
      </w:pPr>
      <w:r w:rsidRPr="003479E3">
        <w:rPr>
          <w:rFonts w:ascii="Verdana" w:eastAsia="Verdana" w:hAnsi="Verdana" w:cs="Verdana"/>
          <w:lang w:val="es-CO"/>
        </w:rPr>
        <w:t xml:space="preserve">Formulario web para PQRSD: </w:t>
      </w:r>
      <w:hyperlink r:id="rId16" w:history="1">
        <w:r w:rsidRPr="003479E3">
          <w:rPr>
            <w:rStyle w:val="Hipervnculo"/>
            <w:rFonts w:ascii="Verdana" w:eastAsia="Verdana" w:hAnsi="Verdana" w:cs="Verdana"/>
            <w:lang w:val="es-CO"/>
          </w:rPr>
          <w:t>https://www.colombiacompra.gov.co/pqrsd/informacion-importante-antes-de-formular-una-pqrsd</w:t>
        </w:r>
      </w:hyperlink>
    </w:p>
    <w:p w14:paraId="76149934" w14:textId="77777777" w:rsidR="00CF2053" w:rsidRDefault="00CF2053" w:rsidP="00CF2053">
      <w:pPr>
        <w:spacing w:line="276" w:lineRule="auto"/>
        <w:jc w:val="both"/>
        <w:rPr>
          <w:rFonts w:ascii="Verdana" w:hAnsi="Verdana"/>
        </w:rPr>
      </w:pPr>
      <w:r w:rsidRPr="00D22F9B">
        <w:rPr>
          <w:rFonts w:ascii="Verdana" w:hAnsi="Verdana"/>
        </w:rPr>
        <w:t xml:space="preserve">Evalúa el servicio que ofrece la Agencia por el canal de atención de PQRSD en el siguiente enlace: </w:t>
      </w:r>
      <w:hyperlink r:id="rId17" w:history="1">
        <w:r w:rsidRPr="00D22F9B">
          <w:rPr>
            <w:rStyle w:val="Hipervnculo"/>
            <w:rFonts w:ascii="Verdana" w:hAnsi="Verdana"/>
          </w:rPr>
          <w:t>https://forms.office.com/r/pPHyWVs2SZ</w:t>
        </w:r>
      </w:hyperlink>
      <w:r w:rsidRPr="00D22F9B">
        <w:rPr>
          <w:rFonts w:ascii="Verdana" w:hAnsi="Verdana"/>
        </w:rPr>
        <w:t>.</w:t>
      </w:r>
      <w:r>
        <w:rPr>
          <w:rFonts w:ascii="Verdana" w:hAnsi="Verdana"/>
        </w:rPr>
        <w:t xml:space="preserve"> </w:t>
      </w:r>
    </w:p>
    <w:p w14:paraId="0F466950" w14:textId="77777777" w:rsidR="00CF2053" w:rsidRPr="00432BAE" w:rsidRDefault="00CF2053" w:rsidP="00CF2053">
      <w:pPr>
        <w:spacing w:line="276" w:lineRule="auto"/>
        <w:jc w:val="both"/>
        <w:rPr>
          <w:rFonts w:ascii="Verdana" w:hAnsi="Verdana"/>
        </w:rPr>
      </w:pPr>
      <w:r>
        <w:rPr>
          <w:rFonts w:ascii="Verdana" w:hAnsi="Verdana"/>
        </w:rPr>
        <w:lastRenderedPageBreak/>
        <w:t>¡</w:t>
      </w:r>
      <w:r w:rsidRPr="00D22F9B">
        <w:rPr>
          <w:rFonts w:ascii="Verdana" w:hAnsi="Verdana"/>
        </w:rPr>
        <w:t>Ayúdanos a mejorar porque el compromiso es de todos!</w:t>
      </w:r>
      <w:r>
        <w:rPr>
          <w:rFonts w:ascii="Verdana" w:hAnsi="Verdana"/>
        </w:rPr>
        <w:t xml:space="preserve"> </w:t>
      </w:r>
      <w:r w:rsidRPr="00D22F9B">
        <w:rPr>
          <w:rFonts w:ascii="Verdana" w:hAnsi="Verdana"/>
        </w:rPr>
        <w:t xml:space="preserve">Por último, lo invitamos a seguirnos en las redes sociales en las cuales se difunde información institucional: </w:t>
      </w:r>
    </w:p>
    <w:p w14:paraId="1B42DAA3" w14:textId="77777777" w:rsidR="00CF2053" w:rsidRPr="00432BAE" w:rsidRDefault="00CF2053" w:rsidP="00CF2053">
      <w:pPr>
        <w:spacing w:after="0" w:line="276" w:lineRule="auto"/>
        <w:jc w:val="both"/>
        <w:rPr>
          <w:rFonts w:ascii="Verdana" w:hAnsi="Verdana"/>
        </w:rPr>
      </w:pPr>
      <w:r w:rsidRPr="00432BAE">
        <w:rPr>
          <w:rFonts w:ascii="Verdana" w:hAnsi="Verdana"/>
        </w:rPr>
        <w:t xml:space="preserve">Twitter: </w:t>
      </w:r>
      <w:r w:rsidRPr="00432BAE">
        <w:rPr>
          <w:rStyle w:val="Hipervnculo"/>
          <w:rFonts w:ascii="Verdana" w:hAnsi="Verdana"/>
        </w:rPr>
        <w:t>@colombiacompra</w:t>
      </w:r>
      <w:r w:rsidRPr="00432BAE">
        <w:rPr>
          <w:rFonts w:ascii="Verdana" w:hAnsi="Verdana"/>
        </w:rPr>
        <w:t xml:space="preserve"> </w:t>
      </w:r>
    </w:p>
    <w:p w14:paraId="6ECA5802" w14:textId="77777777" w:rsidR="00CF2053" w:rsidRPr="00432BAE" w:rsidRDefault="00CF2053" w:rsidP="00CF2053">
      <w:pPr>
        <w:spacing w:after="0" w:line="276" w:lineRule="auto"/>
        <w:jc w:val="both"/>
        <w:rPr>
          <w:rFonts w:ascii="Verdana" w:hAnsi="Verdana"/>
        </w:rPr>
      </w:pPr>
      <w:r w:rsidRPr="00432BAE">
        <w:rPr>
          <w:rFonts w:ascii="Verdana" w:hAnsi="Verdana"/>
        </w:rPr>
        <w:t xml:space="preserve">Facebook: </w:t>
      </w:r>
      <w:r w:rsidRPr="00432BAE">
        <w:rPr>
          <w:rStyle w:val="Hipervnculo"/>
          <w:rFonts w:ascii="Verdana" w:hAnsi="Verdana"/>
        </w:rPr>
        <w:t>ColombiaCompraEficiente</w:t>
      </w:r>
    </w:p>
    <w:p w14:paraId="639F38CA" w14:textId="77777777" w:rsidR="00CF2053" w:rsidRDefault="00CF2053" w:rsidP="00CF2053">
      <w:pPr>
        <w:spacing w:after="0" w:line="276" w:lineRule="auto"/>
        <w:jc w:val="both"/>
        <w:rPr>
          <w:rFonts w:ascii="Verdana" w:hAnsi="Verdana"/>
        </w:rPr>
      </w:pPr>
      <w:r w:rsidRPr="00432BAE">
        <w:rPr>
          <w:rFonts w:ascii="Verdana" w:hAnsi="Verdana"/>
        </w:rPr>
        <w:t xml:space="preserve">LinkedIn: </w:t>
      </w:r>
      <w:r w:rsidRPr="00432BAE">
        <w:rPr>
          <w:rStyle w:val="Hipervnculo"/>
          <w:rFonts w:ascii="Verdana" w:hAnsi="Verdana"/>
        </w:rPr>
        <w:t>Agencia Nacional de Contratación Pública - Colombia Compra Eficiente</w:t>
      </w:r>
      <w:r w:rsidRPr="00432BAE">
        <w:rPr>
          <w:rFonts w:ascii="Verdana" w:hAnsi="Verdana"/>
        </w:rPr>
        <w:t xml:space="preserve"> </w:t>
      </w:r>
    </w:p>
    <w:p w14:paraId="6E528528" w14:textId="77777777" w:rsidR="00CF2053" w:rsidRPr="00D22F9B" w:rsidRDefault="00CF2053" w:rsidP="00CF2053">
      <w:pPr>
        <w:spacing w:line="276" w:lineRule="auto"/>
        <w:jc w:val="both"/>
        <w:rPr>
          <w:rFonts w:ascii="Verdana" w:hAnsi="Verdana"/>
        </w:rPr>
      </w:pPr>
      <w:r w:rsidRPr="00432BAE">
        <w:rPr>
          <w:rFonts w:ascii="Verdana" w:hAnsi="Verdana"/>
        </w:rPr>
        <w:t xml:space="preserve">Instagram: </w:t>
      </w:r>
      <w:r w:rsidRPr="00432BAE">
        <w:rPr>
          <w:rStyle w:val="Hipervnculo"/>
          <w:rFonts w:ascii="Verdana" w:hAnsi="Verdana"/>
        </w:rPr>
        <w:t>@colombiacompraeficiente_cce</w:t>
      </w:r>
    </w:p>
    <w:p w14:paraId="6ECB3F52" w14:textId="77777777" w:rsidR="00CF2053" w:rsidRPr="00D22F9B" w:rsidRDefault="00CF2053" w:rsidP="00CF2053">
      <w:pPr>
        <w:spacing w:after="0" w:line="276" w:lineRule="auto"/>
        <w:jc w:val="both"/>
        <w:rPr>
          <w:rFonts w:ascii="Verdana" w:eastAsia="Calibri" w:hAnsi="Verdana" w:cs="Times New Roman"/>
          <w:bCs/>
        </w:rPr>
      </w:pPr>
      <w:r w:rsidRPr="00D22F9B">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6492D4C" w14:textId="77777777" w:rsidR="00CF2053" w:rsidRPr="00D22F9B" w:rsidRDefault="00CF2053" w:rsidP="00CF2053">
      <w:pPr>
        <w:spacing w:after="0" w:line="276" w:lineRule="auto"/>
        <w:jc w:val="both"/>
        <w:rPr>
          <w:rFonts w:ascii="Verdana" w:hAnsi="Verdana"/>
        </w:rPr>
      </w:pPr>
    </w:p>
    <w:p w14:paraId="405B5D81" w14:textId="11E4BE3A" w:rsidR="00CF2053" w:rsidRPr="00D22F9B" w:rsidRDefault="00CF2053" w:rsidP="00CF2053">
      <w:pPr>
        <w:spacing w:after="0" w:line="276" w:lineRule="auto"/>
        <w:rPr>
          <w:rFonts w:ascii="Verdana" w:eastAsia="Times New Roman" w:hAnsi="Verdana" w:cs="Arial"/>
          <w:lang w:eastAsia="es-CO"/>
        </w:rPr>
      </w:pPr>
      <w:bookmarkStart w:id="11" w:name="_Hlk117695077"/>
    </w:p>
    <w:p w14:paraId="6EB33645" w14:textId="2C8AEFAF" w:rsidR="00220678" w:rsidRPr="00220678" w:rsidRDefault="00220678" w:rsidP="00220678">
      <w:pPr>
        <w:spacing w:after="0" w:line="276" w:lineRule="auto"/>
        <w:rPr>
          <w:rFonts w:ascii="Verdana" w:eastAsia="Times New Roman" w:hAnsi="Verdana" w:cs="Arial"/>
          <w:noProof/>
          <w:lang w:eastAsia="es-CO"/>
        </w:rPr>
      </w:pPr>
    </w:p>
    <w:p w14:paraId="0C1EEDBE" w14:textId="6919DB52" w:rsidR="00CF2053" w:rsidRDefault="00220678" w:rsidP="00CF2053">
      <w:pPr>
        <w:spacing w:line="276" w:lineRule="auto"/>
        <w:rPr>
          <w:rFonts w:ascii="Verdana" w:eastAsia="Times New Roman" w:hAnsi="Verdana" w:cs="Arial"/>
          <w:lang w:eastAsia="es-CO"/>
        </w:rPr>
      </w:pPr>
      <w:r w:rsidRPr="00220678">
        <w:rPr>
          <w:rFonts w:ascii="Verdana" w:eastAsia="Times New Roman" w:hAnsi="Verdana" w:cs="Arial"/>
          <w:noProof/>
          <w:lang w:eastAsia="es-CO"/>
        </w:rPr>
        <w:drawing>
          <wp:anchor distT="0" distB="0" distL="114300" distR="114300" simplePos="0" relativeHeight="251661312" behindDoc="1" locked="0" layoutInCell="1" allowOverlap="1" wp14:anchorId="7D13766D" wp14:editId="5DEBEBEA">
            <wp:simplePos x="0" y="0"/>
            <wp:positionH relativeFrom="column">
              <wp:posOffset>947635</wp:posOffset>
            </wp:positionH>
            <wp:positionV relativeFrom="paragraph">
              <wp:posOffset>5367</wp:posOffset>
            </wp:positionV>
            <wp:extent cx="3771900" cy="1400175"/>
            <wp:effectExtent l="0" t="0" r="0" b="9525"/>
            <wp:wrapNone/>
            <wp:docPr id="72109884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anchor>
        </w:drawing>
      </w:r>
      <w:r w:rsidR="00CF2053" w:rsidRPr="00D22F9B">
        <w:rPr>
          <w:rFonts w:ascii="Verdana" w:eastAsia="Times New Roman" w:hAnsi="Verdana" w:cs="Arial"/>
          <w:lang w:eastAsia="es-CO"/>
        </w:rPr>
        <w:t xml:space="preserve">Atentamente, </w:t>
      </w:r>
    </w:p>
    <w:p w14:paraId="19933744" w14:textId="77777777" w:rsidR="00CF2053" w:rsidRDefault="00CF2053" w:rsidP="00CF2053">
      <w:pPr>
        <w:spacing w:line="276" w:lineRule="auto"/>
        <w:rPr>
          <w:rFonts w:ascii="Verdana" w:eastAsia="Times New Roman" w:hAnsi="Verdana" w:cs="Arial"/>
          <w:lang w:eastAsia="es-CO"/>
        </w:rPr>
      </w:pPr>
    </w:p>
    <w:p w14:paraId="3FBBE9BE" w14:textId="77777777" w:rsidR="00CF2053" w:rsidRDefault="00CF2053" w:rsidP="00CF2053">
      <w:pPr>
        <w:spacing w:line="276" w:lineRule="auto"/>
        <w:rPr>
          <w:rFonts w:ascii="Verdana" w:eastAsia="Times New Roman" w:hAnsi="Verdana" w:cs="Arial"/>
          <w:lang w:eastAsia="es-CO"/>
        </w:rPr>
      </w:pPr>
    </w:p>
    <w:p w14:paraId="27030726" w14:textId="77777777" w:rsidR="00CF2053" w:rsidRPr="00D456A7" w:rsidRDefault="00CF2053" w:rsidP="00CF2053">
      <w:pPr>
        <w:spacing w:line="276" w:lineRule="auto"/>
        <w:rPr>
          <w:rFonts w:ascii="Verdana" w:eastAsia="Times New Roman" w:hAnsi="Verdana" w:cs="Arial"/>
          <w:lang w:eastAsia="es-CO"/>
        </w:rPr>
      </w:pPr>
    </w:p>
    <w:p w14:paraId="3A361093" w14:textId="77777777" w:rsidR="00CF2053" w:rsidRPr="00D22F9B" w:rsidRDefault="00CF2053" w:rsidP="00CF2053">
      <w:pPr>
        <w:spacing w:after="0" w:line="276" w:lineRule="auto"/>
        <w:jc w:val="center"/>
        <w:rPr>
          <w:rFonts w:ascii="Verdana" w:eastAsia="Times New Roman" w:hAnsi="Verdana" w:cs="Arial"/>
          <w:lang w:eastAsia="es-CO"/>
        </w:rPr>
      </w:pPr>
      <w:r w:rsidRPr="00D22F9B">
        <w:rPr>
          <w:rFonts w:ascii="Verdana" w:eastAsia="Times New Roman" w:hAnsi="Verdana" w:cs="Arial"/>
          <w:lang w:eastAsia="es-CO"/>
        </w:rPr>
        <w:t xml:space="preserve"> </w:t>
      </w:r>
    </w:p>
    <w:bookmarkEnd w:id="11"/>
    <w:p w14:paraId="4726B417" w14:textId="77777777" w:rsidR="00CF2053" w:rsidRPr="00D22F9B" w:rsidRDefault="00CF2053" w:rsidP="00CF2053">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2053" w:rsidRPr="00432BAE" w14:paraId="5ADAEC56" w14:textId="77777777" w:rsidTr="001370D4">
        <w:trPr>
          <w:trHeight w:val="315"/>
        </w:trPr>
        <w:tc>
          <w:tcPr>
            <w:tcW w:w="893" w:type="dxa"/>
            <w:vAlign w:val="center"/>
            <w:hideMark/>
          </w:tcPr>
          <w:p w14:paraId="32D7A448" w14:textId="77777777" w:rsidR="00CF2053" w:rsidRPr="004F246A" w:rsidRDefault="00CF2053" w:rsidP="001370D4">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15C63467" w14:textId="77777777" w:rsidR="00CF2053" w:rsidRPr="004F246A" w:rsidRDefault="00CF2053" w:rsidP="001370D4">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6FD50983" w14:textId="77777777" w:rsidR="00CF2053" w:rsidRPr="004F246A" w:rsidRDefault="00CF2053" w:rsidP="001370D4">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CF2053" w:rsidRPr="00432BAE" w14:paraId="1490F8F1" w14:textId="77777777" w:rsidTr="001370D4">
        <w:trPr>
          <w:trHeight w:val="330"/>
        </w:trPr>
        <w:tc>
          <w:tcPr>
            <w:tcW w:w="893" w:type="dxa"/>
            <w:vAlign w:val="center"/>
            <w:hideMark/>
          </w:tcPr>
          <w:p w14:paraId="1BA981ED" w14:textId="77777777" w:rsidR="00CF2053" w:rsidRPr="004F246A" w:rsidRDefault="00CF2053" w:rsidP="001370D4">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50EA1D0A" w14:textId="77777777" w:rsidR="00CF2053" w:rsidRPr="004F246A" w:rsidRDefault="00CF2053" w:rsidP="001370D4">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Adriana Katherine López</w:t>
            </w:r>
          </w:p>
          <w:p w14:paraId="4068EE76" w14:textId="77777777" w:rsidR="00CF2053" w:rsidRPr="004F246A" w:rsidRDefault="00CF2053" w:rsidP="001370D4">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4F246A">
              <w:rPr>
                <w:rFonts w:ascii="Verdana" w:eastAsia="Times New Roman" w:hAnsi="Verdana" w:cs="Arial"/>
                <w:color w:val="000000"/>
                <w:sz w:val="16"/>
                <w:szCs w:val="16"/>
              </w:rPr>
              <w:t xml:space="preserve"> de la Subdirección de Gestión Contractual</w:t>
            </w:r>
          </w:p>
        </w:tc>
      </w:tr>
      <w:tr w:rsidR="00CF2053" w:rsidRPr="00432BAE" w14:paraId="6BEE4C21" w14:textId="77777777" w:rsidTr="001370D4">
        <w:trPr>
          <w:trHeight w:val="300"/>
        </w:trPr>
        <w:tc>
          <w:tcPr>
            <w:tcW w:w="893" w:type="dxa"/>
            <w:vAlign w:val="center"/>
            <w:hideMark/>
          </w:tcPr>
          <w:p w14:paraId="18AAE163" w14:textId="77777777" w:rsidR="00CF2053" w:rsidRPr="004F246A" w:rsidRDefault="00CF2053" w:rsidP="001370D4">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6E955067" w14:textId="77777777" w:rsidR="00CF2053" w:rsidRPr="004F246A" w:rsidRDefault="00CF2053" w:rsidP="001370D4">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713A7D85" w14:textId="77777777" w:rsidR="00CF2053" w:rsidRPr="004F246A" w:rsidRDefault="00CF2053" w:rsidP="001370D4">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FFFD55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3617F" w14:textId="77777777" w:rsidR="00D5228B" w:rsidRDefault="00D5228B" w:rsidP="004A1847">
      <w:pPr>
        <w:spacing w:after="0" w:line="240" w:lineRule="auto"/>
      </w:pPr>
      <w:r>
        <w:separator/>
      </w:r>
    </w:p>
  </w:endnote>
  <w:endnote w:type="continuationSeparator" w:id="0">
    <w:p w14:paraId="6EB26DB7" w14:textId="77777777" w:rsidR="00D5228B" w:rsidRDefault="00D5228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9E1D5" w14:textId="77777777" w:rsidR="00D5228B" w:rsidRDefault="00D5228B" w:rsidP="004A1847">
      <w:pPr>
        <w:spacing w:after="0" w:line="240" w:lineRule="auto"/>
      </w:pPr>
      <w:r>
        <w:separator/>
      </w:r>
    </w:p>
  </w:footnote>
  <w:footnote w:type="continuationSeparator" w:id="0">
    <w:p w14:paraId="2A170A83" w14:textId="77777777" w:rsidR="00D5228B" w:rsidRDefault="00D5228B" w:rsidP="004A1847">
      <w:pPr>
        <w:spacing w:after="0" w:line="240" w:lineRule="auto"/>
      </w:pPr>
      <w:r>
        <w:continuationSeparator/>
      </w:r>
    </w:p>
  </w:footnote>
  <w:footnote w:id="1">
    <w:p w14:paraId="50531F6F" w14:textId="77777777" w:rsidR="00CF2053" w:rsidRPr="00785662" w:rsidRDefault="00CF2053" w:rsidP="00CF2053">
      <w:pPr>
        <w:pStyle w:val="Textonotapie"/>
        <w:ind w:firstLine="709"/>
        <w:jc w:val="both"/>
        <w:rPr>
          <w:rFonts w:ascii="Verdana" w:hAnsi="Verdana" w:cs="Arial"/>
          <w:sz w:val="14"/>
          <w:szCs w:val="14"/>
        </w:rPr>
      </w:pPr>
      <w:r w:rsidRPr="00785662">
        <w:rPr>
          <w:rStyle w:val="Refdenotaalpie"/>
          <w:rFonts w:ascii="Verdana" w:hAnsi="Verdana" w:cs="Arial"/>
          <w:sz w:val="14"/>
          <w:szCs w:val="14"/>
        </w:rPr>
        <w:footnoteRef/>
      </w:r>
      <w:r w:rsidRPr="00785662">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FE9D4BF" w14:textId="77777777" w:rsidR="00CF2053" w:rsidRPr="00785662" w:rsidRDefault="00CF2053" w:rsidP="00CF2053">
      <w:pPr>
        <w:pStyle w:val="Textonotapie"/>
        <w:ind w:firstLine="709"/>
        <w:jc w:val="both"/>
        <w:rPr>
          <w:rFonts w:ascii="Verdana" w:hAnsi="Verdana" w:cs="Arial"/>
          <w:sz w:val="14"/>
          <w:szCs w:val="14"/>
        </w:rPr>
      </w:pPr>
      <w:r w:rsidRPr="00785662">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8935AAF" w14:textId="77777777" w:rsidR="00CF2053" w:rsidRPr="00785662" w:rsidRDefault="00CF2053" w:rsidP="00CF2053">
      <w:pPr>
        <w:pStyle w:val="Textonotapie"/>
        <w:ind w:firstLine="709"/>
        <w:jc w:val="both"/>
        <w:rPr>
          <w:rFonts w:ascii="Verdana" w:hAnsi="Verdana" w:cs="Arial"/>
          <w:sz w:val="14"/>
          <w:szCs w:val="14"/>
        </w:rPr>
      </w:pPr>
    </w:p>
  </w:footnote>
  <w:footnote w:id="2">
    <w:p w14:paraId="780AC75C" w14:textId="77777777" w:rsidR="00CF2053" w:rsidRPr="007A1A49" w:rsidRDefault="00CF2053" w:rsidP="00CF2053">
      <w:pPr>
        <w:pStyle w:val="Textonotapie"/>
        <w:ind w:firstLine="709"/>
        <w:jc w:val="both"/>
        <w:rPr>
          <w:rFonts w:ascii="Verdana" w:hAnsi="Verdana" w:cs="Arial"/>
          <w:sz w:val="14"/>
          <w:szCs w:val="14"/>
        </w:rPr>
      </w:pPr>
      <w:r w:rsidRPr="007A1A49">
        <w:rPr>
          <w:rStyle w:val="Refdenotaalpie"/>
          <w:rFonts w:ascii="Verdana" w:hAnsi="Verdana" w:cs="Arial"/>
          <w:sz w:val="14"/>
          <w:szCs w:val="14"/>
        </w:rPr>
        <w:footnoteRef/>
      </w:r>
      <w:r w:rsidRPr="007A1A49">
        <w:rPr>
          <w:rFonts w:ascii="Verdana" w:hAnsi="Verdana" w:cs="Arial"/>
          <w:sz w:val="14"/>
          <w:szCs w:val="14"/>
        </w:rPr>
        <w:t xml:space="preserve"> Gaceta del Congreso de la República No. 71 del 2005.</w:t>
      </w:r>
    </w:p>
  </w:footnote>
  <w:footnote w:id="3">
    <w:p w14:paraId="508F01D1" w14:textId="77777777" w:rsidR="00CF2053" w:rsidRPr="003F2A9C" w:rsidRDefault="00CF2053" w:rsidP="00CF2053">
      <w:pPr>
        <w:pStyle w:val="Textonotapie"/>
        <w:ind w:firstLine="709"/>
        <w:jc w:val="both"/>
        <w:rPr>
          <w:rFonts w:ascii="Verdana" w:hAnsi="Verdana" w:cs="Arial"/>
          <w:sz w:val="16"/>
          <w:szCs w:val="16"/>
          <w:lang w:val="pt-BR"/>
        </w:rPr>
      </w:pPr>
      <w:r w:rsidRPr="007A1A49">
        <w:rPr>
          <w:rStyle w:val="Refdenotaalpie"/>
          <w:rFonts w:ascii="Verdana" w:hAnsi="Verdana" w:cs="Arial"/>
          <w:sz w:val="14"/>
          <w:szCs w:val="14"/>
        </w:rPr>
        <w:footnoteRef/>
      </w:r>
      <w:r w:rsidRPr="007A1A49">
        <w:rPr>
          <w:rFonts w:ascii="Verdana" w:hAnsi="Verdana" w:cs="Arial"/>
          <w:sz w:val="14"/>
          <w:szCs w:val="14"/>
          <w:lang w:val="pt-BR"/>
        </w:rPr>
        <w:t xml:space="preserve"> Corte Constitucional, Sentencia C- 1153 de 2005, M.P. Marco Gerardo Monroy Cabra.</w:t>
      </w:r>
    </w:p>
  </w:footnote>
  <w:footnote w:id="4">
    <w:p w14:paraId="19459043" w14:textId="77777777" w:rsidR="00CF2053" w:rsidRPr="007A1A49" w:rsidRDefault="00CF2053" w:rsidP="00CF2053">
      <w:pPr>
        <w:pStyle w:val="Textonotapie"/>
        <w:jc w:val="both"/>
        <w:rPr>
          <w:rFonts w:ascii="Verdana" w:hAnsi="Verdana" w:cs="Arial"/>
          <w:sz w:val="14"/>
          <w:szCs w:val="14"/>
          <w:lang w:val="pt-BR"/>
        </w:rPr>
      </w:pPr>
      <w:r w:rsidRPr="007A1A49">
        <w:rPr>
          <w:rStyle w:val="Refdenotaalpie"/>
          <w:rFonts w:ascii="Verdana" w:hAnsi="Verdana" w:cs="Arial"/>
          <w:sz w:val="14"/>
          <w:szCs w:val="14"/>
        </w:rPr>
        <w:footnoteRef/>
      </w:r>
      <w:r w:rsidRPr="007A1A49">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CBC0BF2" w14:textId="77777777" w:rsidR="00CF2053" w:rsidRPr="007A1A49" w:rsidRDefault="00CF2053" w:rsidP="00CF2053">
      <w:pPr>
        <w:pStyle w:val="Textonotapie"/>
        <w:ind w:firstLine="709"/>
        <w:jc w:val="both"/>
        <w:rPr>
          <w:rFonts w:ascii="Verdana" w:hAnsi="Verdana" w:cs="Arial"/>
          <w:sz w:val="14"/>
          <w:szCs w:val="14"/>
          <w:lang w:val="es-CO"/>
        </w:rPr>
      </w:pPr>
      <w:r w:rsidRPr="007A1A49">
        <w:rPr>
          <w:rStyle w:val="Refdenotaalpie"/>
          <w:rFonts w:ascii="Verdana" w:hAnsi="Verdana" w:cs="Arial"/>
          <w:sz w:val="14"/>
          <w:szCs w:val="14"/>
        </w:rPr>
        <w:footnoteRef/>
      </w:r>
      <w:r w:rsidRPr="007A1A49">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7522FFD4" w14:textId="77777777" w:rsidR="00CF2053" w:rsidRPr="003F2A9C" w:rsidRDefault="00CF2053" w:rsidP="00CF2053">
      <w:pPr>
        <w:pStyle w:val="Textonotapie"/>
        <w:ind w:firstLine="709"/>
        <w:jc w:val="both"/>
        <w:rPr>
          <w:rFonts w:ascii="Verdana" w:hAnsi="Verdana" w:cs="Arial"/>
          <w:sz w:val="16"/>
          <w:szCs w:val="16"/>
        </w:rPr>
      </w:pPr>
      <w:r w:rsidRPr="007A1A49">
        <w:rPr>
          <w:rStyle w:val="Refdenotaalpie"/>
          <w:rFonts w:ascii="Verdana" w:hAnsi="Verdana" w:cs="Arial"/>
          <w:sz w:val="14"/>
          <w:szCs w:val="14"/>
        </w:rPr>
        <w:footnoteRef/>
      </w:r>
      <w:r w:rsidRPr="007A1A49">
        <w:rPr>
          <w:rFonts w:ascii="Verdana" w:hAnsi="Verdana" w:cs="Arial"/>
          <w:sz w:val="14"/>
          <w:szCs w:val="14"/>
        </w:rPr>
        <w:t xml:space="preserve"> Consejo de Estado, Sala de Consulta y Servicio Civil de fecha 24 de julio de 2013, radicado 2166, C. P. Álvaro Namén Vargas.</w:t>
      </w:r>
      <w:r w:rsidRPr="003F2A9C">
        <w:rPr>
          <w:rFonts w:ascii="Verdana" w:hAnsi="Verdana" w:cs="Arial"/>
          <w:sz w:val="16"/>
          <w:szCs w:val="16"/>
        </w:rPr>
        <w:t xml:space="preserve">  </w:t>
      </w:r>
    </w:p>
  </w:footnote>
  <w:footnote w:id="7">
    <w:p w14:paraId="5ABD5BB4" w14:textId="77777777" w:rsidR="00CF2053" w:rsidRPr="007A1A49" w:rsidRDefault="00CF2053" w:rsidP="00CF2053">
      <w:pPr>
        <w:spacing w:after="0" w:line="240" w:lineRule="auto"/>
        <w:ind w:firstLine="709"/>
        <w:jc w:val="both"/>
        <w:rPr>
          <w:rFonts w:ascii="Verdana" w:eastAsia="Times New Roman" w:hAnsi="Verdana" w:cs="Arial"/>
          <w:sz w:val="14"/>
          <w:szCs w:val="14"/>
        </w:rPr>
      </w:pPr>
      <w:r w:rsidRPr="007A1A49">
        <w:rPr>
          <w:rStyle w:val="Refdenotaalpie"/>
          <w:rFonts w:ascii="Verdana" w:hAnsi="Verdana" w:cs="Arial"/>
          <w:sz w:val="14"/>
          <w:szCs w:val="14"/>
        </w:rPr>
        <w:footnoteRef/>
      </w:r>
      <w:r w:rsidRPr="007A1A49">
        <w:rPr>
          <w:rFonts w:ascii="Verdana" w:hAnsi="Verdana" w:cs="Arial"/>
          <w:sz w:val="14"/>
          <w:szCs w:val="14"/>
        </w:rPr>
        <w:t xml:space="preserve"> </w:t>
      </w:r>
      <w:bookmarkStart w:id="8" w:name="33"/>
      <w:r w:rsidRPr="007A1A49">
        <w:rPr>
          <w:rFonts w:ascii="Verdana" w:eastAsia="Calibri" w:hAnsi="Verdana" w:cs="Arial"/>
          <w:color w:val="000000"/>
          <w:sz w:val="14"/>
          <w:szCs w:val="14"/>
        </w:rPr>
        <w:t>“</w:t>
      </w:r>
      <w:r w:rsidRPr="007A1A49">
        <w:rPr>
          <w:rFonts w:ascii="Verdana" w:eastAsia="Times New Roman" w:hAnsi="Verdana" w:cs="Arial"/>
          <w:sz w:val="14"/>
          <w:szCs w:val="14"/>
        </w:rPr>
        <w:t>Artículo 33. Restricciones a la contratación pública.</w:t>
      </w:r>
      <w:bookmarkEnd w:id="8"/>
      <w:r w:rsidRPr="007A1A49">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2D73F39D" w14:textId="77777777" w:rsidR="00CF2053" w:rsidRPr="007A1A49" w:rsidRDefault="00CF2053" w:rsidP="00CF2053">
      <w:pPr>
        <w:spacing w:after="0" w:line="240" w:lineRule="auto"/>
        <w:ind w:firstLine="709"/>
        <w:jc w:val="both"/>
        <w:rPr>
          <w:rFonts w:ascii="Verdana" w:eastAsia="Times New Roman" w:hAnsi="Verdana" w:cs="Arial"/>
          <w:sz w:val="14"/>
          <w:szCs w:val="14"/>
        </w:rPr>
      </w:pPr>
      <w:r w:rsidRPr="007A1A49">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A1A49">
        <w:rPr>
          <w:rFonts w:ascii="Verdana" w:eastAsia="Calibri" w:hAnsi="Verdana" w:cs="Arial"/>
          <w:color w:val="000000"/>
          <w:sz w:val="14"/>
          <w:szCs w:val="14"/>
        </w:rPr>
        <w:t>”</w:t>
      </w:r>
      <w:r w:rsidRPr="007A1A49">
        <w:rPr>
          <w:rFonts w:ascii="Verdana" w:eastAsia="Times New Roman" w:hAnsi="Verdana" w:cs="Arial"/>
          <w:sz w:val="14"/>
          <w:szCs w:val="14"/>
        </w:rPr>
        <w:t>.</w:t>
      </w:r>
    </w:p>
  </w:footnote>
  <w:footnote w:id="8">
    <w:p w14:paraId="5455A51A" w14:textId="77777777" w:rsidR="00CF2053" w:rsidRPr="007A1A49" w:rsidRDefault="00CF2053" w:rsidP="00CF2053">
      <w:pPr>
        <w:pStyle w:val="NormalWeb"/>
        <w:spacing w:before="0" w:beforeAutospacing="0" w:after="0" w:afterAutospacing="0"/>
        <w:ind w:firstLine="709"/>
        <w:jc w:val="both"/>
        <w:rPr>
          <w:rFonts w:ascii="Verdana" w:hAnsi="Verdana" w:cs="Arial"/>
          <w:sz w:val="14"/>
          <w:szCs w:val="14"/>
          <w:lang w:val="es-MX"/>
        </w:rPr>
      </w:pPr>
      <w:r w:rsidRPr="007A1A49">
        <w:rPr>
          <w:rStyle w:val="Refdenotaalpie"/>
          <w:rFonts w:ascii="Verdana" w:hAnsi="Verdana" w:cs="Arial"/>
          <w:sz w:val="14"/>
          <w:szCs w:val="14"/>
        </w:rPr>
        <w:footnoteRef/>
      </w:r>
      <w:r w:rsidRPr="007A1A49">
        <w:rPr>
          <w:rFonts w:ascii="Verdana" w:hAnsi="Verdana" w:cs="Arial"/>
          <w:sz w:val="14"/>
          <w:szCs w:val="14"/>
        </w:rPr>
        <w:t xml:space="preserve"> </w:t>
      </w:r>
      <w:bookmarkStart w:id="9" w:name="38"/>
      <w:r w:rsidRPr="007A1A49">
        <w:rPr>
          <w:rFonts w:ascii="Verdana" w:eastAsia="Calibri" w:hAnsi="Verdana" w:cs="Arial"/>
          <w:color w:val="000000"/>
          <w:sz w:val="14"/>
          <w:szCs w:val="14"/>
        </w:rPr>
        <w:t>“</w:t>
      </w:r>
      <w:r w:rsidRPr="007A1A49">
        <w:rPr>
          <w:rFonts w:ascii="Verdana" w:hAnsi="Verdana" w:cs="Arial"/>
          <w:sz w:val="14"/>
          <w:szCs w:val="14"/>
          <w:lang w:val="es-MX"/>
        </w:rPr>
        <w:t>Artículo 38. Prohibiciones para los servidores públicos. A los empleados del Estado les está prohibido:</w:t>
      </w:r>
      <w:bookmarkEnd w:id="9"/>
      <w:r w:rsidRPr="007A1A49">
        <w:rPr>
          <w:rFonts w:ascii="Verdana" w:hAnsi="Verdana" w:cs="Arial"/>
          <w:sz w:val="14"/>
          <w:szCs w:val="14"/>
          <w:lang w:val="es-MX"/>
        </w:rPr>
        <w:t xml:space="preserve"> […]</w:t>
      </w:r>
    </w:p>
    <w:p w14:paraId="74ABB2D4" w14:textId="77777777" w:rsidR="00CF2053" w:rsidRPr="003F2A9C" w:rsidRDefault="00CF2053" w:rsidP="00CF2053">
      <w:pPr>
        <w:pStyle w:val="NormalWeb"/>
        <w:spacing w:before="0" w:beforeAutospacing="0" w:after="0" w:afterAutospacing="0"/>
        <w:ind w:firstLine="709"/>
        <w:jc w:val="both"/>
        <w:rPr>
          <w:rFonts w:ascii="Verdana" w:hAnsi="Verdana" w:cs="Arial"/>
          <w:sz w:val="16"/>
          <w:szCs w:val="16"/>
          <w:lang w:val="es-MX"/>
        </w:rPr>
      </w:pPr>
      <w:r w:rsidRPr="007A1A49">
        <w:rPr>
          <w:rStyle w:val="baj"/>
          <w:rFonts w:ascii="Verdana" w:hAnsi="Verdana" w:cs="Arial"/>
          <w:sz w:val="14"/>
          <w:szCs w:val="14"/>
          <w:lang w:val="es-MX"/>
        </w:rPr>
        <w:t>Parágrafo.</w:t>
      </w:r>
      <w:r w:rsidRPr="007A1A49">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A1A49">
        <w:rPr>
          <w:rFonts w:ascii="Verdana" w:eastAsia="Calibri" w:hAnsi="Verdana" w:cs="Arial"/>
          <w:color w:val="000000"/>
          <w:sz w:val="14"/>
          <w:szCs w:val="14"/>
        </w:rPr>
        <w:t>”</w:t>
      </w:r>
      <w:r w:rsidRPr="007A1A49">
        <w:rPr>
          <w:rFonts w:ascii="Verdana" w:hAnsi="Verdana" w:cs="Arial"/>
          <w:sz w:val="14"/>
          <w:szCs w:val="14"/>
          <w:lang w:val="es-MX"/>
        </w:rPr>
        <w:t>.</w:t>
      </w:r>
    </w:p>
  </w:footnote>
  <w:footnote w:id="9">
    <w:p w14:paraId="79F86DCB" w14:textId="77777777" w:rsidR="00CF2053" w:rsidRPr="008302D6" w:rsidRDefault="00CF2053" w:rsidP="00CF2053">
      <w:pPr>
        <w:spacing w:after="0" w:line="240" w:lineRule="auto"/>
        <w:ind w:left="100" w:right="244" w:firstLine="709"/>
        <w:jc w:val="both"/>
        <w:rPr>
          <w:rFonts w:ascii="Verdana" w:hAnsi="Verdana" w:cs="Arial"/>
          <w:sz w:val="16"/>
          <w:szCs w:val="16"/>
          <w:lang w:val="es-ES"/>
        </w:rPr>
      </w:pPr>
      <w:r w:rsidRPr="008302D6">
        <w:rPr>
          <w:rStyle w:val="Refdenotaalpie"/>
          <w:rFonts w:ascii="Verdana" w:hAnsi="Verdana" w:cs="Arial"/>
          <w:sz w:val="16"/>
          <w:szCs w:val="16"/>
        </w:rPr>
        <w:footnoteRef/>
      </w:r>
      <w:r w:rsidRPr="008302D6">
        <w:rPr>
          <w:rFonts w:ascii="Verdana" w:hAnsi="Verdana" w:cs="Arial"/>
          <w:sz w:val="16"/>
          <w:szCs w:val="16"/>
        </w:rPr>
        <w:t xml:space="preserve"> </w:t>
      </w:r>
      <w:r w:rsidRPr="007A1A49">
        <w:rPr>
          <w:rFonts w:ascii="Verdana" w:hAnsi="Verdana" w:cs="Arial"/>
          <w:sz w:val="14"/>
          <w:szCs w:val="14"/>
        </w:rPr>
        <w:t>Consejo de Estado. Sala de Consulta y Servicio Civil. Concepto del 17 de febrero de 2015. C.P. William Zambrano Cetina. Radicación No. 11001-03-06-000-2015-00164-00(2269).</w:t>
      </w:r>
    </w:p>
  </w:footnote>
  <w:footnote w:id="10">
    <w:p w14:paraId="4A98EB79" w14:textId="77777777" w:rsidR="00CF2053" w:rsidRPr="008A7D98" w:rsidRDefault="00CF2053" w:rsidP="00CF2053">
      <w:pPr>
        <w:pStyle w:val="Textonotapie"/>
        <w:ind w:firstLine="708"/>
        <w:jc w:val="both"/>
        <w:rPr>
          <w:rFonts w:ascii="Verdana" w:hAnsi="Verdana" w:cs="Arial"/>
          <w:sz w:val="14"/>
          <w:szCs w:val="14"/>
        </w:rPr>
      </w:pPr>
      <w:r w:rsidRPr="003F2A9C">
        <w:rPr>
          <w:rStyle w:val="Refdenotaalpie"/>
          <w:rFonts w:ascii="Verdana" w:hAnsi="Verdana" w:cs="Arial"/>
          <w:sz w:val="16"/>
          <w:szCs w:val="16"/>
        </w:rPr>
        <w:footnoteRef/>
      </w:r>
      <w:r w:rsidRPr="003F2A9C">
        <w:rPr>
          <w:rFonts w:ascii="Verdana" w:hAnsi="Verdana" w:cs="Arial"/>
          <w:sz w:val="16"/>
          <w:szCs w:val="16"/>
        </w:rPr>
        <w:t xml:space="preserve"> </w:t>
      </w:r>
      <w:r w:rsidRPr="008A7D98">
        <w:rPr>
          <w:rFonts w:ascii="Verdana" w:hAnsi="Verdana" w:cs="Arial"/>
          <w:sz w:val="14"/>
          <w:szCs w:val="14"/>
        </w:rPr>
        <w:t xml:space="preserve">Colombia Compra Eficiente. Circular Externa Única. Numeral 16.5. </w:t>
      </w:r>
    </w:p>
  </w:footnote>
  <w:footnote w:id="11">
    <w:p w14:paraId="678E5BFE" w14:textId="77777777" w:rsidR="00CF2053" w:rsidRPr="00F9267B" w:rsidRDefault="00CF2053" w:rsidP="00CF2053">
      <w:pPr>
        <w:spacing w:after="0"/>
        <w:ind w:firstLine="709"/>
        <w:jc w:val="both"/>
        <w:rPr>
          <w:rFonts w:ascii="Verdana" w:hAnsi="Verdana" w:cs="Arial"/>
          <w:sz w:val="14"/>
          <w:szCs w:val="14"/>
        </w:rPr>
      </w:pPr>
      <w:r w:rsidRPr="00F9267B">
        <w:rPr>
          <w:rStyle w:val="Refdenotaalpie"/>
          <w:rFonts w:ascii="Verdana" w:hAnsi="Verdana" w:cs="Arial"/>
          <w:sz w:val="14"/>
          <w:szCs w:val="14"/>
        </w:rPr>
        <w:footnoteRef/>
      </w:r>
      <w:r w:rsidRPr="00F9267B">
        <w:rPr>
          <w:rFonts w:ascii="Verdana" w:hAnsi="Verdana" w:cs="Arial"/>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2">
    <w:p w14:paraId="5B6C13B6" w14:textId="77777777" w:rsidR="00CF2053" w:rsidRPr="003479E3" w:rsidRDefault="00CF2053" w:rsidP="00CF2053">
      <w:pPr>
        <w:pStyle w:val="Textonotapie"/>
        <w:ind w:right="51" w:firstLine="709"/>
        <w:jc w:val="both"/>
        <w:rPr>
          <w:rFonts w:ascii="Verdana" w:hAnsi="Verdana" w:cs="Arial"/>
          <w:sz w:val="14"/>
          <w:szCs w:val="14"/>
        </w:rPr>
      </w:pPr>
      <w:r w:rsidRPr="00F9267B">
        <w:rPr>
          <w:rStyle w:val="Refdenotaalpie"/>
          <w:rFonts w:ascii="Verdana" w:hAnsi="Verdana" w:cs="Arial"/>
          <w:sz w:val="14"/>
          <w:szCs w:val="14"/>
        </w:rPr>
        <w:footnoteRef/>
      </w:r>
      <w:r w:rsidRPr="00F9267B">
        <w:rPr>
          <w:rFonts w:ascii="Verdana" w:hAnsi="Verdana" w:cs="Arial"/>
          <w:sz w:val="14"/>
          <w:szCs w:val="14"/>
        </w:rPr>
        <w:t xml:space="preserve"> “</w:t>
      </w:r>
      <w:r w:rsidRPr="00F9267B">
        <w:rPr>
          <w:rFonts w:ascii="Verdana" w:hAnsi="Verdana" w:cs="Arial"/>
          <w:sz w:val="14"/>
          <w:szCs w:val="14"/>
          <w:lang w:val="es-ES"/>
        </w:rPr>
        <w:t xml:space="preserve">[25] </w:t>
      </w:r>
      <w:r w:rsidRPr="00F9267B">
        <w:rPr>
          <w:rFonts w:ascii="Verdana" w:hAnsi="Verdana" w:cs="Arial"/>
          <w:sz w:val="14"/>
          <w:szCs w:val="14"/>
        </w:rPr>
        <w:t>Cfr. Consejo de Estado. Sección Tercera. Sentencia de 3 de diciembre de 2007. Radicados: 24.715, 25.206, 25.409, 24.524, 27.834, 25.410, 26.105, 28.244, 31.447 -acumulados-“.</w:t>
      </w:r>
    </w:p>
  </w:footnote>
  <w:footnote w:id="13">
    <w:p w14:paraId="5C3D114B" w14:textId="77777777" w:rsidR="00CF2053" w:rsidRPr="003479E3" w:rsidRDefault="00CF2053" w:rsidP="00CF2053">
      <w:pPr>
        <w:pStyle w:val="Textonotapie"/>
        <w:ind w:right="51"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sz w:val="14"/>
          <w:szCs w:val="14"/>
          <w:lang w:val="es-ES"/>
        </w:rPr>
        <w:t xml:space="preserve">[26] </w:t>
      </w:r>
      <w:r w:rsidRPr="003479E3">
        <w:rPr>
          <w:rFonts w:ascii="Verdana" w:hAnsi="Verdana" w:cs="Arial"/>
          <w:sz w:val="14"/>
          <w:szCs w:val="14"/>
        </w:rPr>
        <w:t>Al respecto ver el concepto 1712 de 2 de febrero de 2006. Consejo de Estado Sala de Consulta y Servicio Civil”.</w:t>
      </w:r>
    </w:p>
  </w:footnote>
  <w:footnote w:id="14">
    <w:p w14:paraId="2DCD64D5" w14:textId="77777777" w:rsidR="00CF2053" w:rsidRPr="003479E3" w:rsidRDefault="00CF2053" w:rsidP="00CF2053">
      <w:pPr>
        <w:pStyle w:val="Textonotapie"/>
        <w:ind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5">
    <w:p w14:paraId="3BA1F926" w14:textId="77777777" w:rsidR="00CF2053" w:rsidRPr="003479E3" w:rsidRDefault="00CF2053" w:rsidP="00CF2053">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sz w:val="14"/>
          <w:szCs w:val="14"/>
          <w:lang w:val="es-ES"/>
        </w:rPr>
        <w:t xml:space="preserve">Artículo 2. </w:t>
      </w:r>
    </w:p>
  </w:footnote>
  <w:footnote w:id="16">
    <w:p w14:paraId="4FE0025E" w14:textId="77777777" w:rsidR="00CF2053" w:rsidRPr="003479E3" w:rsidRDefault="00CF2053" w:rsidP="00CF2053">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i/>
          <w:sz w:val="14"/>
          <w:szCs w:val="14"/>
          <w:lang w:val="es-ES"/>
        </w:rPr>
        <w:t>Ídem</w:t>
      </w:r>
      <w:r w:rsidRPr="003479E3">
        <w:rPr>
          <w:rFonts w:ascii="Verdana" w:hAnsi="Verdana" w:cs="Arial"/>
          <w:sz w:val="14"/>
          <w:szCs w:val="14"/>
          <w:lang w:val="es-ES"/>
        </w:rPr>
        <w:t>.</w:t>
      </w:r>
    </w:p>
  </w:footnote>
  <w:footnote w:id="17">
    <w:p w14:paraId="5FC7A8A3" w14:textId="77777777" w:rsidR="00CF2053" w:rsidRPr="003479E3" w:rsidRDefault="00CF2053" w:rsidP="00CF2053">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Style w:val="Refdenotaalpie"/>
          <w:rFonts w:ascii="Verdana" w:hAnsi="Verdana" w:cs="Arial"/>
          <w:sz w:val="14"/>
          <w:szCs w:val="14"/>
        </w:rPr>
        <w:t xml:space="preserve"> </w:t>
      </w:r>
      <w:r w:rsidRPr="003479E3">
        <w:rPr>
          <w:rFonts w:ascii="Verdana" w:hAnsi="Verdana" w:cs="Arial"/>
          <w:sz w:val="14"/>
          <w:szCs w:val="14"/>
          <w:lang w:val="es-ES"/>
        </w:rPr>
        <w:t xml:space="preserve">“[…] A este respecto, cabe recordar que el artículo 860 del Código de Comercio regula la licitación en el derecho privado”. </w:t>
      </w:r>
    </w:p>
  </w:footnote>
  <w:footnote w:id="18">
    <w:p w14:paraId="099D62EA" w14:textId="77777777" w:rsidR="00CF2053" w:rsidRPr="003479E3" w:rsidRDefault="00CF2053" w:rsidP="00CF2053">
      <w:pPr>
        <w:shd w:val="clear" w:color="auto" w:fill="FFFFFF" w:themeFill="background1"/>
        <w:spacing w:after="0" w:line="240" w:lineRule="auto"/>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Style w:val="Refdenotaalpie"/>
          <w:rFonts w:ascii="Verdana" w:hAnsi="Verdana" w:cs="Arial"/>
          <w:sz w:val="14"/>
          <w:szCs w:val="14"/>
        </w:rPr>
        <w:t xml:space="preserve"> </w:t>
      </w:r>
      <w:r w:rsidRPr="003479E3">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19">
    <w:p w14:paraId="75E85B7C" w14:textId="77777777" w:rsidR="00CF2053" w:rsidRPr="003F2A9C" w:rsidRDefault="00CF2053" w:rsidP="00CF2053">
      <w:pPr>
        <w:pStyle w:val="Textonotapie"/>
        <w:ind w:firstLine="709"/>
        <w:jc w:val="both"/>
        <w:rPr>
          <w:rFonts w:ascii="Verdana" w:hAnsi="Verdana" w:cs="Arial"/>
          <w:sz w:val="16"/>
          <w:szCs w:val="16"/>
        </w:rPr>
      </w:pPr>
      <w:r w:rsidRPr="003479E3">
        <w:rPr>
          <w:rStyle w:val="Refdenotaalpie"/>
          <w:rFonts w:ascii="Verdana" w:hAnsi="Verdana" w:cs="Arial"/>
          <w:sz w:val="14"/>
          <w:szCs w:val="14"/>
        </w:rPr>
        <w:footnoteRef/>
      </w:r>
      <w:r w:rsidRPr="003479E3">
        <w:rPr>
          <w:rFonts w:ascii="Verdana" w:hAnsi="Verdana" w:cs="Arial"/>
          <w:sz w:val="14"/>
          <w:szCs w:val="14"/>
        </w:rPr>
        <w:t xml:space="preserve"> Consejo de Estado. Sala de Consulta y Servicio Civil. Concepto del 08 de mayo de 2018. Exp. 2.382. C.P. Álvaro Namén Vargas.</w:t>
      </w:r>
    </w:p>
  </w:footnote>
  <w:footnote w:id="20">
    <w:p w14:paraId="6E0A91E4" w14:textId="77777777" w:rsidR="00CF2053" w:rsidRPr="003F2A9C" w:rsidRDefault="00CF2053" w:rsidP="00CF2053">
      <w:pPr>
        <w:pStyle w:val="Textonotapie"/>
        <w:ind w:firstLine="708"/>
        <w:jc w:val="both"/>
        <w:rPr>
          <w:rFonts w:ascii="Verdana" w:hAnsi="Verdana" w:cs="Arial"/>
          <w:sz w:val="16"/>
          <w:szCs w:val="16"/>
        </w:rPr>
      </w:pPr>
      <w:r w:rsidRPr="003479E3">
        <w:rPr>
          <w:rStyle w:val="Refdenotaalpie"/>
          <w:rFonts w:ascii="Verdana" w:hAnsi="Verdana" w:cs="Arial"/>
          <w:sz w:val="14"/>
          <w:szCs w:val="14"/>
        </w:rPr>
        <w:footnoteRef/>
      </w:r>
      <w:r w:rsidRPr="003479E3">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268BBCC2" w14:textId="77777777" w:rsidR="00CF2053" w:rsidRPr="003479E3" w:rsidRDefault="00CF2053" w:rsidP="00CF2053">
      <w:pPr>
        <w:pStyle w:val="Textonotapie"/>
        <w:ind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934292"/>
    <w:multiLevelType w:val="hybridMultilevel"/>
    <w:tmpl w:val="80909676"/>
    <w:lvl w:ilvl="0" w:tplc="D452D83C">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9AE221C"/>
    <w:multiLevelType w:val="hybridMultilevel"/>
    <w:tmpl w:val="2FAEAD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4"/>
  </w:num>
  <w:num w:numId="8" w16cid:durableId="152644682">
    <w:abstractNumId w:val="13"/>
  </w:num>
  <w:num w:numId="9" w16cid:durableId="1317221377">
    <w:abstractNumId w:val="6"/>
  </w:num>
  <w:num w:numId="10" w16cid:durableId="1471245386">
    <w:abstractNumId w:val="12"/>
  </w:num>
  <w:num w:numId="11" w16cid:durableId="289172385">
    <w:abstractNumId w:val="7"/>
  </w:num>
  <w:num w:numId="12" w16cid:durableId="1470781324">
    <w:abstractNumId w:val="0"/>
  </w:num>
  <w:num w:numId="13" w16cid:durableId="1512908409">
    <w:abstractNumId w:val="2"/>
  </w:num>
  <w:num w:numId="14" w16cid:durableId="895897244">
    <w:abstractNumId w:val="15"/>
  </w:num>
  <w:num w:numId="15" w16cid:durableId="390349800">
    <w:abstractNumId w:val="11"/>
  </w:num>
  <w:num w:numId="16" w16cid:durableId="2038387874">
    <w:abstractNumId w:val="10"/>
  </w:num>
  <w:num w:numId="17" w16cid:durableId="1818758630">
    <w:abstractNumId w:val="9"/>
  </w:num>
  <w:num w:numId="18" w16cid:durableId="8355387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4E00"/>
    <w:rsid w:val="00055D4F"/>
    <w:rsid w:val="00061B2A"/>
    <w:rsid w:val="00070ED4"/>
    <w:rsid w:val="00082362"/>
    <w:rsid w:val="000A683E"/>
    <w:rsid w:val="000B19B9"/>
    <w:rsid w:val="000C7AE2"/>
    <w:rsid w:val="000D0334"/>
    <w:rsid w:val="000D53F9"/>
    <w:rsid w:val="000D5DA7"/>
    <w:rsid w:val="000F6486"/>
    <w:rsid w:val="00107602"/>
    <w:rsid w:val="00116940"/>
    <w:rsid w:val="00125105"/>
    <w:rsid w:val="00127233"/>
    <w:rsid w:val="0015699B"/>
    <w:rsid w:val="001A33BF"/>
    <w:rsid w:val="001E4177"/>
    <w:rsid w:val="001F0B24"/>
    <w:rsid w:val="001F7DC6"/>
    <w:rsid w:val="00220678"/>
    <w:rsid w:val="0022400B"/>
    <w:rsid w:val="002421BB"/>
    <w:rsid w:val="00246C64"/>
    <w:rsid w:val="0025796E"/>
    <w:rsid w:val="002707A2"/>
    <w:rsid w:val="00272445"/>
    <w:rsid w:val="00272E01"/>
    <w:rsid w:val="002951A0"/>
    <w:rsid w:val="002962BC"/>
    <w:rsid w:val="002A093D"/>
    <w:rsid w:val="002A0DD0"/>
    <w:rsid w:val="002A49AC"/>
    <w:rsid w:val="002A64FD"/>
    <w:rsid w:val="002C0B98"/>
    <w:rsid w:val="002C7A84"/>
    <w:rsid w:val="002E2BF8"/>
    <w:rsid w:val="002E4FD9"/>
    <w:rsid w:val="002F7B69"/>
    <w:rsid w:val="0030657A"/>
    <w:rsid w:val="00322A85"/>
    <w:rsid w:val="00324168"/>
    <w:rsid w:val="00330834"/>
    <w:rsid w:val="003448F4"/>
    <w:rsid w:val="00374F5E"/>
    <w:rsid w:val="00375F12"/>
    <w:rsid w:val="0037744E"/>
    <w:rsid w:val="00377E3E"/>
    <w:rsid w:val="003A779E"/>
    <w:rsid w:val="003D0F4D"/>
    <w:rsid w:val="003D5B0D"/>
    <w:rsid w:val="003E0499"/>
    <w:rsid w:val="003E1975"/>
    <w:rsid w:val="003E4F80"/>
    <w:rsid w:val="003E6439"/>
    <w:rsid w:val="003F3941"/>
    <w:rsid w:val="00406575"/>
    <w:rsid w:val="00414C74"/>
    <w:rsid w:val="00423FD7"/>
    <w:rsid w:val="0042722E"/>
    <w:rsid w:val="0044528D"/>
    <w:rsid w:val="00455924"/>
    <w:rsid w:val="00466E39"/>
    <w:rsid w:val="004A1847"/>
    <w:rsid w:val="004A305D"/>
    <w:rsid w:val="004A309C"/>
    <w:rsid w:val="004B02DF"/>
    <w:rsid w:val="004D6CA4"/>
    <w:rsid w:val="004F21C4"/>
    <w:rsid w:val="004F685F"/>
    <w:rsid w:val="005279B4"/>
    <w:rsid w:val="005566E8"/>
    <w:rsid w:val="00574867"/>
    <w:rsid w:val="00591460"/>
    <w:rsid w:val="00596AD9"/>
    <w:rsid w:val="005A65E0"/>
    <w:rsid w:val="005B50D3"/>
    <w:rsid w:val="005C3777"/>
    <w:rsid w:val="005C5CDC"/>
    <w:rsid w:val="005D476C"/>
    <w:rsid w:val="006200BF"/>
    <w:rsid w:val="006219F8"/>
    <w:rsid w:val="006302F7"/>
    <w:rsid w:val="00646B9F"/>
    <w:rsid w:val="00665D70"/>
    <w:rsid w:val="006900D9"/>
    <w:rsid w:val="006D2451"/>
    <w:rsid w:val="00706C16"/>
    <w:rsid w:val="00733DE1"/>
    <w:rsid w:val="007340C3"/>
    <w:rsid w:val="00744708"/>
    <w:rsid w:val="0075235A"/>
    <w:rsid w:val="00756841"/>
    <w:rsid w:val="007649AB"/>
    <w:rsid w:val="007667DD"/>
    <w:rsid w:val="00771D0C"/>
    <w:rsid w:val="007833AC"/>
    <w:rsid w:val="007B268C"/>
    <w:rsid w:val="007B7171"/>
    <w:rsid w:val="007C0C0F"/>
    <w:rsid w:val="007C3DC2"/>
    <w:rsid w:val="007C7EC7"/>
    <w:rsid w:val="007E3BAC"/>
    <w:rsid w:val="007E5497"/>
    <w:rsid w:val="00806F5F"/>
    <w:rsid w:val="00820278"/>
    <w:rsid w:val="008258C9"/>
    <w:rsid w:val="00835080"/>
    <w:rsid w:val="008417A2"/>
    <w:rsid w:val="00844AE9"/>
    <w:rsid w:val="00867F95"/>
    <w:rsid w:val="008843B6"/>
    <w:rsid w:val="00891928"/>
    <w:rsid w:val="008A446D"/>
    <w:rsid w:val="008B14CE"/>
    <w:rsid w:val="008B25F1"/>
    <w:rsid w:val="008D180B"/>
    <w:rsid w:val="008F0EA7"/>
    <w:rsid w:val="009159B9"/>
    <w:rsid w:val="009225BA"/>
    <w:rsid w:val="00922CC3"/>
    <w:rsid w:val="00923EEF"/>
    <w:rsid w:val="00935A26"/>
    <w:rsid w:val="009419F9"/>
    <w:rsid w:val="0095685E"/>
    <w:rsid w:val="00961B09"/>
    <w:rsid w:val="00965334"/>
    <w:rsid w:val="0097093E"/>
    <w:rsid w:val="009A0DFA"/>
    <w:rsid w:val="009A1C6F"/>
    <w:rsid w:val="009B2D26"/>
    <w:rsid w:val="009C71FA"/>
    <w:rsid w:val="009C72E7"/>
    <w:rsid w:val="009C7F7E"/>
    <w:rsid w:val="009D21D1"/>
    <w:rsid w:val="009D3058"/>
    <w:rsid w:val="009F3A13"/>
    <w:rsid w:val="00A122D3"/>
    <w:rsid w:val="00A14468"/>
    <w:rsid w:val="00A17F13"/>
    <w:rsid w:val="00A20739"/>
    <w:rsid w:val="00A23AF9"/>
    <w:rsid w:val="00A33C78"/>
    <w:rsid w:val="00A4165B"/>
    <w:rsid w:val="00A5396C"/>
    <w:rsid w:val="00A55E41"/>
    <w:rsid w:val="00AA661D"/>
    <w:rsid w:val="00AB0ADB"/>
    <w:rsid w:val="00AF5B14"/>
    <w:rsid w:val="00B00C0E"/>
    <w:rsid w:val="00B01B1A"/>
    <w:rsid w:val="00B0381D"/>
    <w:rsid w:val="00B44A47"/>
    <w:rsid w:val="00B4673E"/>
    <w:rsid w:val="00B62B7E"/>
    <w:rsid w:val="00B72CD3"/>
    <w:rsid w:val="00B72FFF"/>
    <w:rsid w:val="00BC3D36"/>
    <w:rsid w:val="00BD54A6"/>
    <w:rsid w:val="00BD7F72"/>
    <w:rsid w:val="00BF3D82"/>
    <w:rsid w:val="00BF7425"/>
    <w:rsid w:val="00C01DEA"/>
    <w:rsid w:val="00C04FB3"/>
    <w:rsid w:val="00C11D8B"/>
    <w:rsid w:val="00C15139"/>
    <w:rsid w:val="00C314C7"/>
    <w:rsid w:val="00C330EB"/>
    <w:rsid w:val="00C50D69"/>
    <w:rsid w:val="00C5365C"/>
    <w:rsid w:val="00C754BE"/>
    <w:rsid w:val="00C76B1C"/>
    <w:rsid w:val="00C925AC"/>
    <w:rsid w:val="00CB1755"/>
    <w:rsid w:val="00CB6357"/>
    <w:rsid w:val="00CC1B26"/>
    <w:rsid w:val="00CD678D"/>
    <w:rsid w:val="00CF2053"/>
    <w:rsid w:val="00D361FD"/>
    <w:rsid w:val="00D423A2"/>
    <w:rsid w:val="00D44E26"/>
    <w:rsid w:val="00D520D8"/>
    <w:rsid w:val="00D5228B"/>
    <w:rsid w:val="00D56003"/>
    <w:rsid w:val="00D63AC2"/>
    <w:rsid w:val="00D7383B"/>
    <w:rsid w:val="00D7788A"/>
    <w:rsid w:val="00DA231B"/>
    <w:rsid w:val="00DB5DDB"/>
    <w:rsid w:val="00DC39FC"/>
    <w:rsid w:val="00DF5254"/>
    <w:rsid w:val="00E02524"/>
    <w:rsid w:val="00E16408"/>
    <w:rsid w:val="00E20894"/>
    <w:rsid w:val="00E245AB"/>
    <w:rsid w:val="00E2764C"/>
    <w:rsid w:val="00E27F2E"/>
    <w:rsid w:val="00E50AFE"/>
    <w:rsid w:val="00E53686"/>
    <w:rsid w:val="00E75C92"/>
    <w:rsid w:val="00E771DC"/>
    <w:rsid w:val="00E8772A"/>
    <w:rsid w:val="00E90F6B"/>
    <w:rsid w:val="00E92C27"/>
    <w:rsid w:val="00EA0E3D"/>
    <w:rsid w:val="00EC38A7"/>
    <w:rsid w:val="00EE1AA8"/>
    <w:rsid w:val="00F1792F"/>
    <w:rsid w:val="00F23FEA"/>
    <w:rsid w:val="00F314A0"/>
    <w:rsid w:val="00F31EDC"/>
    <w:rsid w:val="00F35282"/>
    <w:rsid w:val="00F462B3"/>
    <w:rsid w:val="00F46A7F"/>
    <w:rsid w:val="00F53FE4"/>
    <w:rsid w:val="00F5664F"/>
    <w:rsid w:val="00F666C4"/>
    <w:rsid w:val="00F76AFC"/>
    <w:rsid w:val="00F9267B"/>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F7B6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F7B69"/>
    <w:rPr>
      <w:rFonts w:ascii="Geomanist Light" w:hAnsi="Geomanist Light"/>
      <w:lang w:val="es-ES"/>
    </w:rPr>
  </w:style>
  <w:style w:type="character" w:customStyle="1" w:styleId="NormalWebCar">
    <w:name w:val="Normal (Web) Car"/>
    <w:link w:val="NormalWeb"/>
    <w:uiPriority w:val="99"/>
    <w:rsid w:val="002F7B69"/>
    <w:rPr>
      <w:rFonts w:ascii="Times New Roman" w:eastAsia="Times New Roman" w:hAnsi="Times New Roman" w:cs="Times New Roman"/>
      <w:sz w:val="24"/>
      <w:szCs w:val="24"/>
      <w:lang w:eastAsia="es-CO"/>
    </w:rPr>
  </w:style>
  <w:style w:type="character" w:customStyle="1" w:styleId="baj">
    <w:name w:val="b_aj"/>
    <w:basedOn w:val="Fuentedeprrafopredeter"/>
    <w:rsid w:val="002F7B69"/>
  </w:style>
  <w:style w:type="paragraph" w:styleId="Sinespaciado">
    <w:name w:val="No Spacing"/>
    <w:uiPriority w:val="1"/>
    <w:qFormat/>
    <w:rsid w:val="002F7B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ircular-unica-externa"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rectoria@josejoaquincasaschia.edu.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C24AC-34CD-4D83-A340-D8FBC0AD05B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A136B91-0C63-4E83-9FD8-E5925AD4E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19</Pages>
  <Words>6229</Words>
  <Characters>34079</Characters>
  <Application>Microsoft Office Word</Application>
  <DocSecurity>0</DocSecurity>
  <Lines>631</Lines>
  <Paragraphs>127</Paragraphs>
  <ScaleCrop>false</ScaleCrop>
  <Company/>
  <LinksUpToDate>false</LinksUpToDate>
  <CharactersWithSpaces>40181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96</cp:revision>
  <cp:lastPrinted>2023-01-10T21:18:00Z</cp:lastPrinted>
  <dcterms:created xsi:type="dcterms:W3CDTF">2025-08-19T13:43:00Z</dcterms:created>
  <dcterms:modified xsi:type="dcterms:W3CDTF">2026-03-18T13:30:00Z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