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DD644" w14:textId="18F7456D" w:rsidR="00AC14A6" w:rsidRDefault="00F23114" w:rsidP="00F23114">
      <w:pPr>
        <w:spacing w:after="0" w:line="240" w:lineRule="auto"/>
        <w:jc w:val="both"/>
        <w:rPr>
          <w:rFonts w:ascii="Verdana" w:hAnsi="Verdana" w:cs="Arial"/>
          <w:b/>
          <w:color w:val="000000" w:themeColor="text1"/>
          <w:lang w:val="es-ES_tradnl"/>
        </w:rPr>
      </w:pPr>
      <w:bookmarkStart w:id="0" w:name="_Hlk181166130"/>
      <w:bookmarkStart w:id="1" w:name="_Hlk209714638"/>
      <w:r w:rsidRPr="00F23114">
        <w:rPr>
          <w:rFonts w:ascii="Verdana" w:hAnsi="Verdana" w:cs="Arial"/>
          <w:b/>
          <w:color w:val="000000" w:themeColor="text1"/>
          <w:lang w:val="es-ES_tradnl"/>
        </w:rPr>
        <w:t>LEY DE GARANTÍAS ELECTORALES ‒ Finalidad</w:t>
      </w:r>
    </w:p>
    <w:p w14:paraId="5B418E91" w14:textId="77777777" w:rsidR="00F23114" w:rsidRPr="00F23114" w:rsidRDefault="00F23114" w:rsidP="00F23114">
      <w:pPr>
        <w:spacing w:after="0" w:line="240" w:lineRule="auto"/>
        <w:jc w:val="both"/>
        <w:rPr>
          <w:rFonts w:ascii="Verdana" w:hAnsi="Verdana"/>
          <w:b/>
        </w:rPr>
      </w:pPr>
    </w:p>
    <w:bookmarkEnd w:id="0"/>
    <w:p w14:paraId="36F94B06" w14:textId="7FD50F99" w:rsidR="00F23114" w:rsidRPr="00F23114" w:rsidRDefault="00F23114" w:rsidP="00F23114">
      <w:pPr>
        <w:jc w:val="both"/>
        <w:rPr>
          <w:rFonts w:ascii="Verdana" w:eastAsia="Geomanist Light" w:hAnsi="Verdana" w:cs="Arial"/>
          <w:color w:val="000000" w:themeColor="text1"/>
          <w:sz w:val="20"/>
          <w:szCs w:val="20"/>
          <w:lang w:val="es-MX"/>
        </w:rPr>
      </w:pPr>
      <w:r w:rsidRPr="00F23114">
        <w:rPr>
          <w:rFonts w:ascii="Verdana" w:eastAsia="Times New Roman" w:hAnsi="Verdana" w:cs="Arial"/>
          <w:sz w:val="20"/>
          <w:szCs w:val="20"/>
          <w:lang w:val="es-MX" w:eastAsia="es-CO"/>
        </w:rPr>
        <w:t>[…] Para empezar,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6FBB1DD9" w14:textId="77777777" w:rsidR="00F23114" w:rsidRPr="00F23114" w:rsidRDefault="00F23114" w:rsidP="00F23114">
      <w:pPr>
        <w:jc w:val="both"/>
        <w:rPr>
          <w:rFonts w:ascii="Verdana" w:hAnsi="Verdana" w:cs="Arial"/>
          <w:b/>
          <w:color w:val="000000" w:themeColor="text1"/>
          <w:lang w:val="es-ES_tradnl"/>
        </w:rPr>
      </w:pPr>
      <w:r w:rsidRPr="00F23114">
        <w:rPr>
          <w:rFonts w:ascii="Verdana" w:hAnsi="Verdana" w:cs="Arial"/>
          <w:b/>
          <w:color w:val="000000" w:themeColor="text1"/>
          <w:lang w:val="es-ES_tradnl"/>
        </w:rPr>
        <w:t>LEY DE GARANTÍAS ELECTORALES ‒ Tipos de restricciones – Sociedades de economía mixta</w:t>
      </w:r>
    </w:p>
    <w:p w14:paraId="12245D29" w14:textId="77777777" w:rsidR="00F23114" w:rsidRPr="00F23114" w:rsidRDefault="00F23114" w:rsidP="00F23114">
      <w:pPr>
        <w:spacing w:after="120" w:line="276" w:lineRule="auto"/>
        <w:jc w:val="both"/>
        <w:rPr>
          <w:rFonts w:ascii="Verdana" w:eastAsia="Times New Roman" w:hAnsi="Verdana" w:cs="Open Sans"/>
          <w:sz w:val="20"/>
          <w:szCs w:val="20"/>
          <w:lang w:eastAsia="es-CO"/>
        </w:rPr>
      </w:pPr>
      <w:r w:rsidRPr="00F23114">
        <w:rPr>
          <w:rFonts w:ascii="Verdana" w:eastAsia="Times New Roman" w:hAnsi="Verdana" w:cs="Open Sans"/>
          <w:sz w:val="20"/>
          <w:szCs w:val="20"/>
          <w:lang w:eastAsia="es-CO"/>
        </w:rPr>
        <w:t xml:space="preserve">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 </w:t>
      </w:r>
    </w:p>
    <w:p w14:paraId="1816B9F3" w14:textId="77777777" w:rsidR="00F23114" w:rsidRPr="00F23114" w:rsidRDefault="00F23114" w:rsidP="00F23114">
      <w:pPr>
        <w:spacing w:after="120" w:line="276" w:lineRule="auto"/>
        <w:jc w:val="both"/>
        <w:rPr>
          <w:rFonts w:ascii="Verdana" w:hAnsi="Verdana"/>
          <w:sz w:val="20"/>
          <w:szCs w:val="20"/>
        </w:rPr>
      </w:pPr>
      <w:r w:rsidRPr="00F23114">
        <w:rPr>
          <w:rFonts w:ascii="Verdana" w:eastAsia="Times New Roman" w:hAnsi="Verdana" w:cs="Open Sans"/>
          <w:sz w:val="20"/>
          <w:szCs w:val="20"/>
          <w:lang w:eastAsia="es-CO"/>
        </w:rPr>
        <w:t xml:space="preserve">Por su parte, </w:t>
      </w:r>
      <w:r w:rsidRPr="00F23114">
        <w:rPr>
          <w:rFonts w:ascii="Verdana" w:hAnsi="Verdana"/>
          <w:sz w:val="20"/>
          <w:szCs w:val="20"/>
        </w:rPr>
        <w:t xml:space="preserve">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AE860C4" w14:textId="77777777" w:rsidR="00F23114" w:rsidRPr="00F23114" w:rsidRDefault="00F23114" w:rsidP="00F23114">
      <w:pPr>
        <w:spacing w:after="120" w:line="276" w:lineRule="auto"/>
        <w:jc w:val="both"/>
        <w:rPr>
          <w:rFonts w:ascii="Verdana" w:eastAsia="Times New Roman" w:hAnsi="Verdana" w:cs="Arial"/>
          <w:sz w:val="20"/>
          <w:szCs w:val="20"/>
          <w:lang w:val="es-ES"/>
        </w:rPr>
      </w:pPr>
      <w:r w:rsidRPr="00F23114">
        <w:rPr>
          <w:rFonts w:ascii="Verdana" w:eastAsia="Times New Roman" w:hAnsi="Verdana" w:cs="Arial"/>
          <w:sz w:val="20"/>
          <w:szCs w:val="20"/>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662AC688" w14:textId="77777777" w:rsidR="00F23114" w:rsidRPr="00F23114" w:rsidRDefault="00F23114" w:rsidP="00AC14A6">
      <w:pPr>
        <w:rPr>
          <w:rFonts w:ascii="Verdana" w:eastAsia="Geomanist Light" w:hAnsi="Verdana" w:cs="Arial"/>
          <w:color w:val="000000" w:themeColor="text1"/>
          <w:lang w:val="es-ES"/>
        </w:rPr>
      </w:pPr>
    </w:p>
    <w:p w14:paraId="6C2C765B" w14:textId="77777777" w:rsidR="00F23114" w:rsidRDefault="00F23114" w:rsidP="00AC14A6">
      <w:pPr>
        <w:rPr>
          <w:rFonts w:ascii="Verdana" w:eastAsia="Geomanist Light" w:hAnsi="Verdana" w:cs="Arial"/>
          <w:color w:val="000000" w:themeColor="text1"/>
          <w:lang w:val="es-MX"/>
        </w:rPr>
      </w:pPr>
    </w:p>
    <w:p w14:paraId="72F2CEC3" w14:textId="47796BD4" w:rsidR="00AC14A6" w:rsidRPr="00D30EFC" w:rsidRDefault="00AC14A6" w:rsidP="00AC14A6">
      <w:pPr>
        <w:rPr>
          <w:rFonts w:ascii="Verdana" w:eastAsia="Geomanist Light" w:hAnsi="Verdana" w:cs="Arial"/>
          <w:color w:val="201F1E"/>
          <w:lang w:val="es-MX"/>
        </w:rPr>
      </w:pPr>
      <w:r w:rsidRPr="00E959BB">
        <w:rPr>
          <w:rFonts w:ascii="Verdana" w:eastAsia="Geomanist Light" w:hAnsi="Verdana" w:cs="Arial"/>
          <w:color w:val="000000" w:themeColor="text1"/>
          <w:lang w:val="es-MX"/>
        </w:rPr>
        <w:lastRenderedPageBreak/>
        <w:t>Bogotá D.C., </w:t>
      </w:r>
      <w:r w:rsidR="00F23114">
        <w:rPr>
          <w:rFonts w:ascii="Verdana" w:eastAsia="Geomanist Light" w:hAnsi="Verdana" w:cs="Arial"/>
          <w:color w:val="201F1E"/>
          <w:lang w:val="es-MX"/>
        </w:rPr>
        <w:t>19</w:t>
      </w:r>
      <w:r w:rsidRPr="00E959BB">
        <w:rPr>
          <w:rFonts w:ascii="Verdana" w:eastAsia="Geomanist Light" w:hAnsi="Verdana" w:cs="Arial"/>
          <w:color w:val="201F1E"/>
          <w:lang w:val="es-MX"/>
        </w:rPr>
        <w:t xml:space="preserve"> de </w:t>
      </w:r>
      <w:r w:rsidR="00F23114">
        <w:rPr>
          <w:rFonts w:ascii="Verdana" w:eastAsia="Geomanist Light" w:hAnsi="Verdana" w:cs="Arial"/>
          <w:color w:val="201F1E"/>
          <w:lang w:val="es-MX"/>
        </w:rPr>
        <w:t>marzo</w:t>
      </w:r>
      <w:r w:rsidRPr="00E959BB">
        <w:rPr>
          <w:rFonts w:ascii="Verdana" w:eastAsia="Geomanist Light" w:hAnsi="Verdana" w:cs="Arial"/>
          <w:color w:val="201F1E"/>
          <w:lang w:val="es-MX"/>
        </w:rPr>
        <w:t xml:space="preserve"> de </w:t>
      </w:r>
      <w:r w:rsidR="00F23114">
        <w:rPr>
          <w:rFonts w:ascii="Verdana" w:eastAsia="Geomanist Light" w:hAnsi="Verdana" w:cs="Arial"/>
          <w:color w:val="201F1E"/>
          <w:lang w:val="es-MX"/>
        </w:rPr>
        <w:t>2026</w:t>
      </w:r>
    </w:p>
    <w:p w14:paraId="43EFFE03" w14:textId="5915CC23" w:rsidR="00A64017" w:rsidRPr="00AC14A6" w:rsidRDefault="00A35FB0" w:rsidP="00103B90">
      <w:pPr>
        <w:spacing w:after="0" w:line="240" w:lineRule="auto"/>
        <w:rPr>
          <w:rFonts w:ascii="Verdana" w:hAnsi="Verdana"/>
          <w:lang w:val="es-MX"/>
        </w:rPr>
      </w:pPr>
      <w:r w:rsidRPr="00A35FB0">
        <w:rPr>
          <w:rFonts w:ascii="Verdana" w:eastAsia="Calibri" w:hAnsi="Verdana" w:cs="Arial"/>
          <w:b/>
          <w:bCs/>
          <w:lang w:eastAsia="es-ES"/>
        </w:rPr>
        <w:drawing>
          <wp:anchor distT="0" distB="0" distL="114300" distR="114300" simplePos="0" relativeHeight="251658240" behindDoc="0" locked="0" layoutInCell="1" allowOverlap="1" wp14:anchorId="363E88FE" wp14:editId="34453A7A">
            <wp:simplePos x="0" y="0"/>
            <wp:positionH relativeFrom="margin">
              <wp:align>right</wp:align>
            </wp:positionH>
            <wp:positionV relativeFrom="paragraph">
              <wp:posOffset>25400</wp:posOffset>
            </wp:positionV>
            <wp:extent cx="3076575" cy="809625"/>
            <wp:effectExtent l="0" t="0" r="9525" b="9525"/>
            <wp:wrapSquare wrapText="bothSides"/>
            <wp:docPr id="13218552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855261" name=""/>
                    <pic:cNvPicPr/>
                  </pic:nvPicPr>
                  <pic:blipFill>
                    <a:blip r:embed="rId11">
                      <a:extLst>
                        <a:ext uri="{28A0092B-C50C-407E-A947-70E740481C1C}">
                          <a14:useLocalDpi xmlns:a14="http://schemas.microsoft.com/office/drawing/2010/main" val="0"/>
                        </a:ext>
                      </a:extLst>
                    </a:blip>
                    <a:stretch>
                      <a:fillRect/>
                    </a:stretch>
                  </pic:blipFill>
                  <pic:spPr>
                    <a:xfrm>
                      <a:off x="0" y="0"/>
                      <a:ext cx="3076575" cy="809625"/>
                    </a:xfrm>
                    <a:prstGeom prst="rect">
                      <a:avLst/>
                    </a:prstGeom>
                  </pic:spPr>
                </pic:pic>
              </a:graphicData>
            </a:graphic>
          </wp:anchor>
        </w:drawing>
      </w:r>
    </w:p>
    <w:p w14:paraId="6EF9D4E0" w14:textId="6D0D9150"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00D51C81">
        <w:rPr>
          <w:rFonts w:ascii="Verdana" w:eastAsia="Calibri" w:hAnsi="Verdana" w:cs="Arial"/>
          <w:lang w:eastAsia="es-ES"/>
        </w:rPr>
        <w:t>a</w:t>
      </w:r>
      <w:r w:rsidRPr="00631045">
        <w:rPr>
          <w:rFonts w:ascii="Verdana" w:eastAsia="Calibri" w:hAnsi="Verdana" w:cs="Arial"/>
          <w:lang w:eastAsia="es-ES"/>
        </w:rPr>
        <w:tab/>
      </w:r>
    </w:p>
    <w:p w14:paraId="42431824" w14:textId="03546E3D" w:rsidR="00457B5F" w:rsidRPr="00235C0B" w:rsidRDefault="00235C0B" w:rsidP="00A64017">
      <w:pPr>
        <w:spacing w:after="0" w:line="240" w:lineRule="auto"/>
        <w:rPr>
          <w:rFonts w:ascii="Verdana" w:eastAsia="Calibri" w:hAnsi="Verdana" w:cs="Arial"/>
          <w:b/>
          <w:bCs/>
          <w:lang w:eastAsia="es-ES"/>
        </w:rPr>
      </w:pPr>
      <w:r w:rsidRPr="00235C0B">
        <w:rPr>
          <w:rFonts w:ascii="Verdana" w:eastAsia="Calibri" w:hAnsi="Verdana" w:cs="Arial"/>
          <w:b/>
          <w:bCs/>
          <w:lang w:eastAsia="es-ES"/>
        </w:rPr>
        <w:t>Luisa Briascos</w:t>
      </w:r>
      <w:r w:rsidR="00A35FB0" w:rsidRPr="00A35FB0">
        <w:rPr>
          <w:noProof/>
        </w:rPr>
        <w:t xml:space="preserve"> </w:t>
      </w:r>
    </w:p>
    <w:p w14:paraId="1FD85336" w14:textId="4E030212" w:rsidR="00A64017" w:rsidRPr="00235C0B" w:rsidRDefault="00235C0B" w:rsidP="00A64017">
      <w:pPr>
        <w:spacing w:after="0" w:line="240" w:lineRule="auto"/>
        <w:rPr>
          <w:rFonts w:ascii="Verdana" w:hAnsi="Verdana"/>
        </w:rPr>
      </w:pPr>
      <w:hyperlink r:id="rId12" w:history="1">
        <w:r w:rsidRPr="00235C0B">
          <w:rPr>
            <w:rStyle w:val="Hipervnculo"/>
            <w:rFonts w:ascii="Verdana" w:hAnsi="Verdana"/>
          </w:rPr>
          <w:t>luisabriascos@gmail.com</w:t>
        </w:r>
      </w:hyperlink>
      <w:r w:rsidRPr="00235C0B">
        <w:rPr>
          <w:rFonts w:ascii="Verdana" w:hAnsi="Verdana"/>
        </w:rPr>
        <w:t xml:space="preserve">; </w:t>
      </w:r>
    </w:p>
    <w:p w14:paraId="2C7B6D66" w14:textId="1AF8F67C" w:rsidR="00A64017" w:rsidRDefault="00D51C81" w:rsidP="00A64017">
      <w:pPr>
        <w:spacing w:after="0" w:line="240" w:lineRule="auto"/>
        <w:rPr>
          <w:rFonts w:ascii="Verdana" w:hAnsi="Verdana"/>
        </w:rPr>
      </w:pPr>
      <w:r>
        <w:rPr>
          <w:rFonts w:ascii="Verdana" w:hAnsi="Verdana"/>
        </w:rPr>
        <w:t>Ciudad</w:t>
      </w:r>
    </w:p>
    <w:p w14:paraId="42CD973F" w14:textId="77777777" w:rsidR="00457B5F" w:rsidRPr="00FE3DEC" w:rsidRDefault="00457B5F"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57890F9F" w:rsidR="00A64017" w:rsidRPr="001773DA" w:rsidRDefault="00A64017" w:rsidP="00A15B1F">
            <w:pPr>
              <w:jc w:val="both"/>
              <w:rPr>
                <w:rFonts w:ascii="Verdana" w:eastAsia="Calibri" w:hAnsi="Verdana" w:cs="Arial"/>
                <w:b/>
                <w:bCs/>
                <w:lang w:val="es-ES" w:eastAsia="es-ES"/>
              </w:rPr>
            </w:pPr>
            <w:r w:rsidRPr="001773DA">
              <w:rPr>
                <w:rFonts w:ascii="Verdana" w:eastAsia="Calibri" w:hAnsi="Verdana" w:cs="Arial"/>
                <w:b/>
                <w:bCs/>
                <w:lang w:val="es-ES" w:eastAsia="es-ES"/>
              </w:rPr>
              <w:t>Concepto C-</w:t>
            </w:r>
            <w:r w:rsidR="00D51C81">
              <w:rPr>
                <w:rFonts w:ascii="Verdana" w:eastAsia="Calibri" w:hAnsi="Verdana" w:cs="Arial"/>
                <w:b/>
                <w:bCs/>
                <w:lang w:val="es-ES" w:eastAsia="es-ES"/>
              </w:rPr>
              <w:t>181</w:t>
            </w:r>
            <w:r w:rsidRPr="001773DA">
              <w:rPr>
                <w:rFonts w:ascii="Verdana" w:eastAsia="Calibri" w:hAnsi="Verdana" w:cs="Arial"/>
                <w:b/>
                <w:bCs/>
                <w:lang w:val="es-ES" w:eastAsia="es-ES"/>
              </w:rPr>
              <w:t xml:space="preserve"> de 202</w:t>
            </w:r>
            <w:r w:rsidR="00D51C81">
              <w:rPr>
                <w:rFonts w:ascii="Verdana" w:eastAsia="Calibri" w:hAnsi="Verdana" w:cs="Arial"/>
                <w:b/>
                <w:bCs/>
                <w:lang w:val="es-ES" w:eastAsia="es-ES"/>
              </w:rPr>
              <w:t>6</w:t>
            </w:r>
          </w:p>
          <w:p w14:paraId="307B3621" w14:textId="77777777" w:rsidR="00A64017" w:rsidRPr="001773DA"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457B5F">
        <w:trPr>
          <w:trHeight w:val="1086"/>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E612156" w14:textId="77777777" w:rsidR="00501AFD" w:rsidRDefault="00501AFD" w:rsidP="00501AFD">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w:t>
            </w:r>
            <w:r w:rsidRPr="001D2E34">
              <w:rPr>
                <w:rFonts w:ascii="Verdana" w:hAnsi="Verdana" w:cs="Arial"/>
                <w:bCs/>
                <w:color w:val="000000" w:themeColor="text1"/>
                <w:lang w:val="es-ES_tradnl"/>
              </w:rPr>
              <w:t>‒ Tipos de restricciones – Sociedades de economía mixta</w:t>
            </w:r>
          </w:p>
          <w:p w14:paraId="2A049EB1" w14:textId="306228BF" w:rsidR="00C91AF4" w:rsidRPr="001773DA" w:rsidRDefault="00C91AF4" w:rsidP="00146287">
            <w:pPr>
              <w:jc w:val="both"/>
              <w:rPr>
                <w:rFonts w:ascii="Verdana" w:eastAsia="Calibri" w:hAnsi="Verdana" w:cs="Arial"/>
                <w:b/>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23488E24"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D51C81" w:rsidRPr="00D51C81">
              <w:rPr>
                <w:rFonts w:ascii="Verdana" w:eastAsia="Calibri" w:hAnsi="Verdana" w:cs="Arial"/>
                <w:lang w:val="es-ES_tradnl" w:eastAsia="es-ES_tradnl"/>
              </w:rPr>
              <w:t>1_2026_02_09_001578</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22FE333F" w:rsidR="00A64017" w:rsidRPr="006730E9" w:rsidRDefault="001773DA"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57B5F">
        <w:rPr>
          <w:rFonts w:ascii="Verdana" w:eastAsia="Calibri" w:hAnsi="Verdana" w:cs="Arial"/>
          <w:lang w:val="es-ES" w:eastAsia="es-ES"/>
        </w:rPr>
        <w:t>a</w:t>
      </w:r>
      <w:r>
        <w:rPr>
          <w:rFonts w:ascii="Verdana" w:eastAsia="Calibri" w:hAnsi="Verdana" w:cs="Arial"/>
          <w:lang w:val="es-ES" w:eastAsia="es-ES"/>
        </w:rPr>
        <w:t xml:space="preserve"> señor</w:t>
      </w:r>
      <w:r w:rsidR="00457B5F">
        <w:rPr>
          <w:rFonts w:ascii="Verdana" w:eastAsia="Calibri" w:hAnsi="Verdana" w:cs="Arial"/>
          <w:lang w:val="es-ES" w:eastAsia="es-ES"/>
        </w:rPr>
        <w:t>a</w:t>
      </w:r>
      <w:r w:rsidR="00A64017">
        <w:rPr>
          <w:rFonts w:ascii="Verdana" w:eastAsia="Calibri" w:hAnsi="Verdana" w:cs="Arial"/>
          <w:lang w:val="es-ES" w:eastAsia="es-ES"/>
        </w:rPr>
        <w:t xml:space="preserve"> </w:t>
      </w:r>
      <w:proofErr w:type="spellStart"/>
      <w:r w:rsidR="00D51C81">
        <w:rPr>
          <w:rFonts w:ascii="Verdana" w:eastAsia="Calibri" w:hAnsi="Verdana" w:cs="Arial"/>
          <w:lang w:val="es-ES" w:eastAsia="es-ES"/>
        </w:rPr>
        <w:t>Briascos</w:t>
      </w:r>
      <w:proofErr w:type="spellEnd"/>
      <w:r w:rsidR="00A64017">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6F67172C"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D51C81">
        <w:rPr>
          <w:rFonts w:ascii="Verdana" w:eastAsia="Calibri" w:hAnsi="Verdana" w:cs="Arial"/>
          <w:lang w:val="es-ES" w:eastAsia="es-ES"/>
        </w:rPr>
        <w:t>09</w:t>
      </w:r>
      <w:r w:rsidR="00CA01D8" w:rsidRPr="00E72E05">
        <w:rPr>
          <w:rFonts w:ascii="Verdana" w:eastAsia="Calibri" w:hAnsi="Verdana" w:cs="Arial"/>
          <w:lang w:val="es-ES" w:eastAsia="es-ES"/>
        </w:rPr>
        <w:t xml:space="preserve"> </w:t>
      </w:r>
      <w:r w:rsidRPr="00E72E05">
        <w:rPr>
          <w:rFonts w:ascii="Verdana" w:eastAsia="Calibri" w:hAnsi="Verdana" w:cs="Arial"/>
          <w:lang w:val="es-ES" w:eastAsia="es-ES"/>
        </w:rPr>
        <w:t xml:space="preserve">de </w:t>
      </w:r>
      <w:r w:rsidR="00D51C81">
        <w:rPr>
          <w:rFonts w:ascii="Verdana" w:eastAsia="Calibri" w:hAnsi="Verdana" w:cs="Arial"/>
          <w:lang w:val="es-ES" w:eastAsia="es-ES"/>
        </w:rPr>
        <w:t>febrero</w:t>
      </w:r>
      <w:r w:rsidRPr="00E72E05">
        <w:rPr>
          <w:rFonts w:ascii="Verdana" w:eastAsia="Calibri" w:hAnsi="Verdana" w:cs="Arial"/>
          <w:lang w:val="es-ES" w:eastAsia="es-ES"/>
        </w:rPr>
        <w:t xml:space="preserve"> de</w:t>
      </w:r>
      <w:r w:rsidR="00ED46C7" w:rsidRPr="00E72E05">
        <w:rPr>
          <w:rFonts w:ascii="Verdana" w:eastAsia="Calibri" w:hAnsi="Verdana" w:cs="Arial"/>
          <w:lang w:val="es-ES" w:eastAsia="es-ES"/>
        </w:rPr>
        <w:t xml:space="preserve"> </w:t>
      </w:r>
      <w:r w:rsidRPr="00E72E05">
        <w:rPr>
          <w:rFonts w:ascii="Verdana" w:eastAsia="Calibri" w:hAnsi="Verdana" w:cs="Arial"/>
          <w:lang w:val="es-ES" w:eastAsia="es-ES"/>
        </w:rPr>
        <w:t>202</w:t>
      </w:r>
      <w:r w:rsidR="00D51C81">
        <w:rPr>
          <w:rFonts w:ascii="Verdana" w:eastAsia="Calibri" w:hAnsi="Verdana" w:cs="Arial"/>
          <w:lang w:val="es-ES" w:eastAsia="es-ES"/>
        </w:rPr>
        <w:t>6</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1773DA" w:rsidRDefault="00A64017" w:rsidP="00103B90">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10F260FF" w14:textId="47C3AD13" w:rsidR="00D51C81" w:rsidRPr="00D51C81" w:rsidRDefault="00A64017" w:rsidP="00D51C81">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En aplicación de la ley 996 de 2005, ley de Garantías y en concordancia con la</w:t>
      </w:r>
      <w:r w:rsidR="00D51C81">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circular 006 de 2025 de Colombia Compra Eficiente, las Sociedades de Economía</w:t>
      </w:r>
      <w:r w:rsidR="00D51C81">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Mixta en cuyo capital público es del 87% y el restante 12% privado, con autonomía</w:t>
      </w:r>
      <w:r w:rsidR="00D51C81">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administrativa, regida por el derecho privado y por estatutos de la sociedad, ¿la</w:t>
      </w:r>
      <w:r w:rsidR="00D51C81">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restricción de contratación directa aplica para sociedades de economía mixta</w:t>
      </w:r>
      <w:r w:rsidR="00D51C81">
        <w:rPr>
          <w:rFonts w:ascii="Verdana" w:eastAsia="Century Gothic" w:hAnsi="Verdana" w:cs="Century Gothic"/>
          <w:i/>
          <w:iCs/>
          <w:sz w:val="20"/>
          <w:szCs w:val="20"/>
        </w:rPr>
        <w:t xml:space="preserve"> </w:t>
      </w:r>
      <w:r w:rsidR="00D51C81" w:rsidRPr="00D51C81">
        <w:rPr>
          <w:rFonts w:ascii="Verdana" w:eastAsia="Century Gothic" w:hAnsi="Verdana" w:cs="Century Gothic"/>
          <w:i/>
          <w:iCs/>
          <w:sz w:val="20"/>
          <w:szCs w:val="20"/>
        </w:rPr>
        <w:t xml:space="preserve">teniendo en cuenta su naturaleza y </w:t>
      </w:r>
      <w:proofErr w:type="gramStart"/>
      <w:r w:rsidR="00D51C81" w:rsidRPr="00D51C81">
        <w:rPr>
          <w:rFonts w:ascii="Verdana" w:eastAsia="Century Gothic" w:hAnsi="Verdana" w:cs="Century Gothic"/>
          <w:i/>
          <w:iCs/>
          <w:sz w:val="20"/>
          <w:szCs w:val="20"/>
        </w:rPr>
        <w:t>conformación ?</w:t>
      </w:r>
      <w:proofErr w:type="gramEnd"/>
      <w:r w:rsidR="00D51C81" w:rsidRPr="00D51C81">
        <w:rPr>
          <w:rFonts w:ascii="Verdana" w:eastAsia="Century Gothic" w:hAnsi="Verdana" w:cs="Century Gothic"/>
          <w:i/>
          <w:iCs/>
          <w:sz w:val="20"/>
          <w:szCs w:val="20"/>
        </w:rPr>
        <w:t xml:space="preserve"> según la circular 006 de 2025 y</w:t>
      </w:r>
    </w:p>
    <w:p w14:paraId="2CDDC996" w14:textId="3252AAF0" w:rsidR="00A64017" w:rsidRPr="00B350FE" w:rsidRDefault="00D51C81" w:rsidP="00D51C81">
      <w:pPr>
        <w:tabs>
          <w:tab w:val="left" w:pos="142"/>
          <w:tab w:val="left" w:pos="567"/>
        </w:tabs>
        <w:spacing w:after="0" w:line="240" w:lineRule="auto"/>
        <w:ind w:left="709" w:right="709"/>
        <w:jc w:val="both"/>
        <w:rPr>
          <w:rFonts w:ascii="Verdana" w:eastAsia="Century Gothic" w:hAnsi="Verdana" w:cs="Century Gothic"/>
          <w:i/>
          <w:iCs/>
          <w:sz w:val="20"/>
          <w:szCs w:val="20"/>
        </w:rPr>
      </w:pPr>
      <w:r w:rsidRPr="00D51C81">
        <w:rPr>
          <w:rFonts w:ascii="Verdana" w:eastAsia="Century Gothic" w:hAnsi="Verdana" w:cs="Century Gothic"/>
          <w:i/>
          <w:iCs/>
          <w:sz w:val="20"/>
          <w:szCs w:val="20"/>
        </w:rPr>
        <w:t>la ley 996 de 2005 o si puede adelantar la Sociedad esta contratación directa</w:t>
      </w:r>
      <w:r>
        <w:rPr>
          <w:rFonts w:ascii="Verdana" w:eastAsia="Century Gothic" w:hAnsi="Verdana" w:cs="Century Gothic"/>
          <w:i/>
          <w:iCs/>
          <w:sz w:val="20"/>
          <w:szCs w:val="20"/>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w:t>
      </w:r>
      <w:r w:rsidRPr="00AA3B9F">
        <w:rPr>
          <w:rFonts w:ascii="Verdana" w:eastAsia="Calibri" w:hAnsi="Verdana" w:cs="Arial"/>
          <w:lang w:val="es-ES"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618CE816" w14:textId="29D834CD" w:rsidR="00ED46C7" w:rsidRDefault="00A64017" w:rsidP="001773DA">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72E05">
        <w:rPr>
          <w:rFonts w:ascii="Verdana" w:eastAsia="Calibri" w:hAnsi="Verdana" w:cs="Arial"/>
          <w:lang w:eastAsia="es-ES"/>
        </w:rPr>
        <w:t>el</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 problema jurídico</w:t>
      </w:r>
      <w:r w:rsidRPr="00E21BD1">
        <w:rPr>
          <w:rFonts w:ascii="Verdana" w:eastAsia="Calibri" w:hAnsi="Verdana" w:cs="Arial"/>
          <w:lang w:eastAsia="es-ES"/>
        </w:rPr>
        <w:t>:</w:t>
      </w:r>
      <w:bookmarkStart w:id="3" w:name="_Hlk196737317"/>
      <w:r w:rsidR="00C5014F">
        <w:rPr>
          <w:rFonts w:ascii="Verdana" w:eastAsia="Calibri" w:hAnsi="Verdana" w:cs="Arial"/>
          <w:lang w:eastAsia="es-ES"/>
        </w:rPr>
        <w:t xml:space="preserve"> </w:t>
      </w:r>
      <w:r w:rsidR="00501AFD" w:rsidRPr="005649AA">
        <w:rPr>
          <w:rFonts w:ascii="Verdana" w:eastAsia="Century Gothic" w:hAnsi="Verdana" w:cs="Century Gothic"/>
        </w:rPr>
        <w:t xml:space="preserve">¿Las restricciones contenidas en la Ley de Garantías Electorales en materia de </w:t>
      </w:r>
      <w:r w:rsidR="00501AFD">
        <w:rPr>
          <w:rFonts w:ascii="Verdana" w:eastAsia="Century Gothic" w:hAnsi="Verdana" w:cs="Century Gothic"/>
        </w:rPr>
        <w:t xml:space="preserve">contratación directa y celebración de convenios </w:t>
      </w:r>
      <w:r w:rsidR="00501AFD" w:rsidRPr="005649AA">
        <w:rPr>
          <w:rFonts w:ascii="Verdana" w:eastAsia="Century Gothic" w:hAnsi="Verdana" w:cs="Century Gothic"/>
        </w:rPr>
        <w:t xml:space="preserve">son aplicables a </w:t>
      </w:r>
      <w:r w:rsidR="00501AFD">
        <w:rPr>
          <w:rFonts w:ascii="Verdana" w:eastAsia="Century Gothic" w:hAnsi="Verdana" w:cs="Century Gothic"/>
        </w:rPr>
        <w:t>una sociedad de economía mixta</w:t>
      </w:r>
      <w:r w:rsidR="00501AFD" w:rsidRPr="005649AA">
        <w:rPr>
          <w:rFonts w:ascii="Verdana" w:eastAsia="Century Gothic" w:hAnsi="Verdana" w:cs="Century Gothic"/>
        </w:rPr>
        <w:t>?</w:t>
      </w:r>
      <w:r w:rsidR="00457B5F">
        <w:rPr>
          <w:rFonts w:ascii="Verdana" w:eastAsia="Calibri" w:hAnsi="Verdana" w:cs="Arial"/>
          <w:lang w:eastAsia="es-ES"/>
        </w:rPr>
        <w:t xml:space="preserve">  </w:t>
      </w:r>
      <w:r w:rsidR="00E72E05">
        <w:rPr>
          <w:rFonts w:ascii="Verdana" w:eastAsia="Century Gothic" w:hAnsi="Verdana" w:cs="Century Gothic"/>
        </w:rPr>
        <w:t xml:space="preserve">    </w:t>
      </w:r>
    </w:p>
    <w:p w14:paraId="7A300FA6" w14:textId="77777777" w:rsidR="002E4C8F" w:rsidRPr="001773DA" w:rsidRDefault="002E4C8F" w:rsidP="001773DA">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F96FA7">
        <w:trPr>
          <w:trHeight w:val="70"/>
        </w:trPr>
        <w:tc>
          <w:tcPr>
            <w:tcW w:w="8828" w:type="dxa"/>
          </w:tcPr>
          <w:p w14:paraId="4D5B76C4" w14:textId="07B0769F" w:rsidR="00501AFD" w:rsidRDefault="009C3869" w:rsidP="00501AFD">
            <w:pPr>
              <w:spacing w:after="120" w:line="276" w:lineRule="auto"/>
              <w:jc w:val="both"/>
              <w:rPr>
                <w:rFonts w:ascii="Verdana" w:eastAsia="Times New Roman" w:hAnsi="Verdana" w:cs="Open Sans"/>
                <w:lang w:eastAsia="es-CO"/>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6C5AFB">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501AFD">
              <w:rPr>
                <w:rFonts w:ascii="Verdana" w:eastAsia="Times New Roman" w:hAnsi="Verdana" w:cs="Open Sans"/>
                <w:lang w:eastAsia="es-CO"/>
              </w:rPr>
              <w:t xml:space="preserve">En relación con las prohibiciones consagradas en la Ley de Garantías Electorales en materia de contratación estatal debe señalarse que: </w:t>
            </w:r>
          </w:p>
          <w:p w14:paraId="48E82368" w14:textId="38AC6902" w:rsidR="00501AFD" w:rsidRDefault="00501AFD" w:rsidP="00501AFD">
            <w:pPr>
              <w:spacing w:after="120" w:line="276" w:lineRule="auto"/>
              <w:jc w:val="both"/>
              <w:rPr>
                <w:rFonts w:ascii="Verdana" w:eastAsia="Times New Roman" w:hAnsi="Verdana" w:cs="Open Sans"/>
                <w:lang w:eastAsia="es-CO"/>
              </w:rPr>
            </w:pPr>
            <w:r>
              <w:rPr>
                <w:rFonts w:ascii="Verdana" w:eastAsia="Times New Roman" w:hAnsi="Verdana" w:cs="Open Sans"/>
                <w:lang w:eastAsia="es-CO"/>
              </w:rPr>
              <w:t xml:space="preserve">         </w:t>
            </w:r>
            <w:r w:rsidRPr="00DE5508">
              <w:rPr>
                <w:rFonts w:ascii="Verdana" w:eastAsia="Times New Roman" w:hAnsi="Verdana" w:cs="Open Sans"/>
                <w:lang w:eastAsia="es-CO"/>
              </w:rPr>
              <w:t xml:space="preserve">El artículo 33 de la Ley 996 de 2205 prohíbe la contratación directa por parte de todos los Entes Estatales durante los cuatro </w:t>
            </w:r>
            <w:r>
              <w:rPr>
                <w:rFonts w:ascii="Verdana" w:eastAsia="Times New Roman" w:hAnsi="Verdana" w:cs="Open Sans"/>
                <w:lang w:eastAsia="es-CO"/>
              </w:rPr>
              <w:t>(4)</w:t>
            </w:r>
            <w:r w:rsidRPr="00DE5508">
              <w:rPr>
                <w:rFonts w:ascii="Verdana" w:eastAsia="Times New Roman" w:hAnsi="Verdana" w:cs="Open Sans"/>
                <w:lang w:eastAsia="es-CO"/>
              </w:rPr>
              <w:t xml:space="preserve">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0CA31D55" w14:textId="77777777" w:rsidR="00501AFD" w:rsidRDefault="00501AFD" w:rsidP="00501AFD">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w:t>
            </w:r>
            <w:r w:rsidRPr="00D44FF2">
              <w:rPr>
                <w:rFonts w:ascii="Verdana" w:hAnsi="Verdana"/>
              </w:rPr>
              <w:lastRenderedPageBreak/>
              <w:t xml:space="preserve">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68A90378" w14:textId="77777777" w:rsidR="00501AFD" w:rsidRPr="00C40D52" w:rsidRDefault="00501AFD" w:rsidP="00501AFD">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36F6F846" w14:textId="77777777" w:rsidR="00501AFD" w:rsidRPr="00DE5508" w:rsidRDefault="00501AFD" w:rsidP="00501AFD">
            <w:pPr>
              <w:pStyle w:val="Prrafodelista"/>
              <w:spacing w:after="120" w:line="276" w:lineRule="auto"/>
              <w:ind w:left="0" w:firstLine="709"/>
              <w:contextualSpacing w:val="0"/>
              <w:jc w:val="both"/>
              <w:rPr>
                <w:rFonts w:ascii="Verdana" w:eastAsia="Times New Roman" w:hAnsi="Verdana" w:cs="Arial"/>
                <w:lang w:val="es-MX" w:eastAsia="es-CO"/>
              </w:rPr>
            </w:pPr>
            <w:r>
              <w:rPr>
                <w:rFonts w:ascii="Verdana" w:hAnsi="Verdana" w:cs="BCDHEE+Verdana"/>
                <w:color w:val="000000"/>
                <w:lang w:val="es-CO"/>
              </w:rPr>
              <w:t>En ese sentido, debe señalarse que, p</w:t>
            </w:r>
            <w:r w:rsidRPr="00DE5508">
              <w:rPr>
                <w:rFonts w:ascii="Verdana" w:hAnsi="Verdana" w:cs="BCDHEE+Verdana"/>
                <w:color w:val="000000"/>
                <w:lang w:val="es-CO"/>
              </w:rPr>
              <w:t xml:space="preserve">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lang w:val="es-CO"/>
              </w:rPr>
              <w:t>cuatro (</w:t>
            </w:r>
            <w:r w:rsidRPr="00DE5508">
              <w:rPr>
                <w:rFonts w:ascii="Verdana" w:hAnsi="Verdana" w:cs="BCDHEE+Verdana"/>
                <w:color w:val="000000"/>
                <w:lang w:val="es-CO"/>
              </w:rPr>
              <w:t>4</w:t>
            </w:r>
            <w:r>
              <w:rPr>
                <w:rFonts w:ascii="Verdana" w:hAnsi="Verdana" w:cs="BCDHEE+Verdana"/>
                <w:color w:val="000000"/>
                <w:lang w:val="es-CO"/>
              </w:rPr>
              <w:t>)</w:t>
            </w:r>
            <w:r w:rsidRPr="00DE5508">
              <w:rPr>
                <w:rFonts w:ascii="Verdana" w:hAnsi="Verdana" w:cs="BCDHEE+Verdana"/>
                <w:color w:val="000000"/>
                <w:lang w:val="es-CO"/>
              </w:rPr>
              <w:t xml:space="preserve">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3B9F5B90" w14:textId="77777777" w:rsidR="00501AFD" w:rsidRDefault="00501AFD" w:rsidP="00501AFD">
            <w:pPr>
              <w:spacing w:after="120" w:line="276" w:lineRule="auto"/>
              <w:ind w:firstLine="709"/>
              <w:jc w:val="both"/>
              <w:rPr>
                <w:rFonts w:ascii="Verdana" w:eastAsia="Arial" w:hAnsi="Verdana" w:cs="Arial"/>
                <w:color w:val="000000"/>
              </w:rPr>
            </w:pPr>
            <w:r>
              <w:rPr>
                <w:rFonts w:ascii="Verdana" w:hAnsi="Verdana" w:cs="BCDHEE+Verdana"/>
                <w:color w:val="000000"/>
              </w:rPr>
              <w:t xml:space="preserve">Por otro lado, el parágrafo del artículo 38 de la Ley 996 de 2005 </w:t>
            </w:r>
            <w:r w:rsidRPr="00DE5508">
              <w:rPr>
                <w:rFonts w:ascii="Verdana" w:hAnsi="Verdana" w:cs="BCDHEE+Verdana"/>
                <w:color w:val="000000"/>
              </w:rPr>
              <w:t xml:space="preserve">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xml:space="preserve">“[…] celebrar </w:t>
            </w:r>
            <w:r w:rsidRPr="00122AC1">
              <w:rPr>
                <w:rFonts w:ascii="Verdana" w:eastAsia="Arial" w:hAnsi="Verdana" w:cs="Arial"/>
                <w:i/>
                <w:color w:val="000000"/>
              </w:rPr>
              <w:t xml:space="preserve">convenios interadministrativos </w:t>
            </w:r>
            <w:r w:rsidRPr="007A3B8C">
              <w:rPr>
                <w:rFonts w:ascii="Verdana" w:eastAsia="Arial" w:hAnsi="Verdana" w:cs="Arial"/>
                <w:color w:val="000000"/>
              </w:rPr>
              <w:t>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p>
          <w:p w14:paraId="6B887DC0" w14:textId="77777777" w:rsidR="00501AFD" w:rsidRPr="00F2587B" w:rsidRDefault="00501AFD" w:rsidP="00501AFD">
            <w:pPr>
              <w:spacing w:after="120" w:line="276" w:lineRule="auto"/>
              <w:ind w:firstLine="709"/>
              <w:jc w:val="both"/>
              <w:rPr>
                <w:rFonts w:ascii="Verdana" w:eastAsia="Arial" w:hAnsi="Verdana" w:cs="Arial"/>
                <w:color w:val="000000"/>
              </w:rPr>
            </w:pPr>
            <w:r>
              <w:rPr>
                <w:rFonts w:ascii="Verdana" w:hAnsi="Verdana" w:cs="BCDHEE+Verdana"/>
                <w:color w:val="000000"/>
              </w:rPr>
              <w:t>P</w:t>
            </w:r>
            <w:r w:rsidRPr="00DE5508">
              <w:rPr>
                <w:rFonts w:ascii="Verdana" w:hAnsi="Verdana" w:cs="BCDHEE+Verdana"/>
                <w:color w:val="000000"/>
              </w:rPr>
              <w:t>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el Consejo Nacional Electoral mediante Resolución No. 2581 del 5 de marzo de 2025, de acuerdo con el artículo 38 de la Ley 996 de 2005,</w:t>
            </w:r>
            <w:r>
              <w:rPr>
                <w:rFonts w:ascii="Verdana" w:hAnsi="Verdana" w:cs="BCDHEE+Verdana"/>
                <w:color w:val="000000"/>
              </w:rPr>
              <w:t xml:space="preserve"> Por lo cual la anterior restricción </w:t>
            </w:r>
            <w:r w:rsidRPr="00DE5508">
              <w:rPr>
                <w:rFonts w:ascii="Verdana" w:hAnsi="Verdana" w:cs="BCDHEE+Verdana"/>
                <w:color w:val="000000"/>
              </w:rPr>
              <w:t>inici</w:t>
            </w:r>
            <w:r>
              <w:rPr>
                <w:rFonts w:ascii="Verdana" w:hAnsi="Verdana" w:cs="BCDHEE+Verdana"/>
                <w:color w:val="000000"/>
              </w:rPr>
              <w:t>ó</w:t>
            </w:r>
            <w:r w:rsidRPr="00DE5508">
              <w:rPr>
                <w:rFonts w:ascii="Verdana" w:hAnsi="Verdana" w:cs="BCDHEE+Verdana"/>
                <w:color w:val="000000"/>
              </w:rPr>
              <w:t xml:space="preserve"> el 8 </w:t>
            </w:r>
            <w:r w:rsidRPr="00DE5508">
              <w:rPr>
                <w:rFonts w:ascii="Verdana" w:hAnsi="Verdana" w:cs="BCDHEE+Verdana"/>
                <w:color w:val="000000"/>
              </w:rPr>
              <w:lastRenderedPageBreak/>
              <w:t xml:space="preserve">de noviembre de 2025, es decir, </w:t>
            </w:r>
            <w:r>
              <w:rPr>
                <w:rFonts w:ascii="Verdana" w:hAnsi="Verdana" w:cs="BCDHEE+Verdana"/>
                <w:color w:val="000000"/>
              </w:rPr>
              <w:t>cuatro</w:t>
            </w:r>
            <w:r w:rsidRPr="00DE5508">
              <w:rPr>
                <w:rFonts w:ascii="Verdana" w:hAnsi="Verdana" w:cs="BCDHEE+Verdana"/>
                <w:color w:val="000000"/>
              </w:rPr>
              <w:t xml:space="preserve"> </w:t>
            </w:r>
            <w:r>
              <w:rPr>
                <w:rFonts w:ascii="Verdana" w:hAnsi="Verdana" w:cs="BCDHEE+Verdana"/>
                <w:color w:val="000000"/>
              </w:rPr>
              <w:t>(</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antes de la fecha de las elecciones</w:t>
            </w:r>
            <w:r>
              <w:rPr>
                <w:rFonts w:ascii="Verdana" w:hAnsi="Verdana" w:cs="BCDHEE+Verdana"/>
                <w:color w:val="000000"/>
              </w:rPr>
              <w:t>.</w:t>
            </w:r>
          </w:p>
          <w:p w14:paraId="6E4D11CD" w14:textId="77777777" w:rsidR="00501AFD" w:rsidRPr="00775AB1" w:rsidRDefault="00501AFD" w:rsidP="00501AFD">
            <w:pPr>
              <w:spacing w:after="120" w:line="276" w:lineRule="auto"/>
              <w:ind w:firstLine="709"/>
              <w:jc w:val="both"/>
              <w:rPr>
                <w:rFonts w:ascii="Verdana" w:eastAsia="Times New Roman" w:hAnsi="Verdana" w:cs="Arial"/>
                <w:lang w:val="es-MX" w:eastAsia="es-CO"/>
              </w:rPr>
            </w:pPr>
            <w:r>
              <w:rPr>
                <w:rFonts w:ascii="Verdana" w:hAnsi="Verdana" w:cs="BCDHEE+Verdana"/>
                <w:color w:val="000000"/>
              </w:rPr>
              <w:t xml:space="preserve"> Por lo que, </w:t>
            </w:r>
            <w:proofErr w:type="spellStart"/>
            <w:r w:rsidRPr="00E2397D">
              <w:rPr>
                <w:rFonts w:ascii="Verdana" w:eastAsia="Times New Roman" w:hAnsi="Verdana" w:cs="Arial"/>
                <w:lang w:val="es-MX" w:eastAsia="es-CO"/>
              </w:rPr>
              <w:t>si</w:t>
            </w:r>
            <w:proofErr w:type="spellEnd"/>
            <w:r w:rsidRPr="00E2397D">
              <w:rPr>
                <w:rFonts w:ascii="Verdana" w:eastAsia="Times New Roman" w:hAnsi="Verdana" w:cs="Arial"/>
                <w:lang w:val="es-MX" w:eastAsia="es-CO"/>
              </w:rPr>
              <w:t xml:space="preserve">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w:t>
            </w:r>
            <w:r w:rsidRPr="00E2397D">
              <w:rPr>
                <w:rFonts w:ascii="Verdana" w:eastAsia="Times New Roman" w:hAnsi="Verdana" w:cs="Arial"/>
                <w:i/>
                <w:iCs/>
                <w:lang w:val="es-MX" w:eastAsia="es-CO"/>
              </w:rPr>
              <w:t>convenios</w:t>
            </w:r>
            <w:r>
              <w:rPr>
                <w:rFonts w:ascii="Verdana" w:eastAsia="Times New Roman" w:hAnsi="Verdana" w:cs="Arial"/>
                <w:i/>
                <w:iCs/>
                <w:lang w:val="es-MX" w:eastAsia="es-CO"/>
              </w:rPr>
              <w:t xml:space="preserve"> interadministrativos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2CEAFDEC" w14:textId="3565DB25" w:rsidR="00554AFE" w:rsidRDefault="00501AFD" w:rsidP="00501AFD">
            <w:pPr>
              <w:spacing w:before="120" w:line="276" w:lineRule="auto"/>
              <w:jc w:val="both"/>
              <w:rPr>
                <w:rFonts w:ascii="Verdana" w:eastAsia="Calibri" w:hAnsi="Verdana" w:cs="Arial"/>
              </w:rPr>
            </w:pPr>
            <w:r>
              <w:rPr>
                <w:rFonts w:ascii="Verdana" w:hAnsi="Verdana"/>
              </w:rPr>
              <w:t xml:space="preserve">          </w:t>
            </w: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00354075" w:rsidRPr="00547323">
              <w:rPr>
                <w:rFonts w:ascii="Verdana" w:eastAsia="Calibri" w:hAnsi="Verdana" w:cs="Arial"/>
              </w:rPr>
              <w:t xml:space="preserve"> </w:t>
            </w:r>
          </w:p>
          <w:p w14:paraId="0DC9D726" w14:textId="77777777" w:rsidR="009F1C22" w:rsidRPr="00B87FBD" w:rsidRDefault="009F1C22" w:rsidP="009F1C22">
            <w:pPr>
              <w:spacing w:line="276" w:lineRule="auto"/>
              <w:jc w:val="both"/>
              <w:rPr>
                <w:rFonts w:ascii="Verdana" w:hAnsi="Verdana" w:cs="Arial"/>
              </w:rPr>
            </w:pP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5891F5A9" w14:textId="12D79711" w:rsidR="00501AFD" w:rsidRPr="00C40D52" w:rsidRDefault="00C653EC" w:rsidP="00501AFD">
      <w:pPr>
        <w:autoSpaceDE w:val="0"/>
        <w:autoSpaceDN w:val="0"/>
        <w:adjustRightInd w:val="0"/>
        <w:spacing w:after="120" w:line="276" w:lineRule="auto"/>
        <w:jc w:val="both"/>
        <w:rPr>
          <w:rFonts w:ascii="Verdana" w:hAnsi="Verdana" w:cs="Arial"/>
          <w:lang w:val="es-ES_tradnl"/>
        </w:rPr>
      </w:pPr>
      <w:bookmarkStart w:id="4" w:name="_Hlk108519028"/>
      <w:r>
        <w:rPr>
          <w:rFonts w:ascii="Verdana" w:eastAsia="Calibri" w:hAnsi="Verdana" w:cs="Arial"/>
          <w:color w:val="000000" w:themeColor="text1"/>
        </w:rPr>
        <w:t xml:space="preserve">        </w:t>
      </w:r>
      <w:r w:rsidR="00501AFD" w:rsidRPr="00C40D52">
        <w:rPr>
          <w:rFonts w:ascii="Verdana" w:hAnsi="Verdana" w:cs="Arial"/>
          <w:color w:val="000000" w:themeColor="text1"/>
          <w:lang w:val="es-ES_tradnl"/>
        </w:rPr>
        <w:t>En nuestro ordenamiento jurídico, el</w:t>
      </w:r>
      <w:r w:rsidR="00501AFD"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728A374C" w14:textId="77777777" w:rsidR="00501AFD" w:rsidRPr="00C40D52" w:rsidRDefault="00501AFD" w:rsidP="00501AF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1"/>
      </w:r>
      <w:r w:rsidRPr="00C40D52">
        <w:rPr>
          <w:rFonts w:ascii="Verdana" w:eastAsia="Times New Roman" w:hAnsi="Verdana" w:cs="Arial"/>
          <w:lang w:val="es-ES" w:eastAsia="es-MX"/>
        </w:rPr>
        <w:t>, que pueden ser del orden nacional, departamental o municipal, según su órgano de creación</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w:t>
      </w:r>
      <w:proofErr w:type="spellStart"/>
      <w:r w:rsidRPr="00C40D52">
        <w:rPr>
          <w:rFonts w:ascii="Verdana" w:eastAsia="Times New Roman" w:hAnsi="Verdana" w:cs="Arial"/>
          <w:lang w:val="es-ES" w:eastAsia="es-MX"/>
        </w:rPr>
        <w:t>ii</w:t>
      </w:r>
      <w:proofErr w:type="spellEnd"/>
      <w:r w:rsidRPr="00C40D52">
        <w:rPr>
          <w:rFonts w:ascii="Verdana" w:eastAsia="Times New Roman" w:hAnsi="Verdana" w:cs="Arial"/>
          <w:lang w:val="es-ES" w:eastAsia="es-MX"/>
        </w:rPr>
        <w:t xml:space="preserve">) están sujetas al control fiscal, financiero, de gestión y de resultados en cabeza de la Contraloría General de la República. Por otra parte, </w:t>
      </w:r>
      <w:proofErr w:type="spellStart"/>
      <w:r w:rsidRPr="00C40D52">
        <w:rPr>
          <w:rFonts w:ascii="Verdana" w:eastAsia="Times New Roman" w:hAnsi="Verdana" w:cs="Arial"/>
          <w:lang w:val="es-ES" w:eastAsia="es-MX"/>
        </w:rPr>
        <w:t>iii</w:t>
      </w:r>
      <w:proofErr w:type="spellEnd"/>
      <w:r w:rsidRPr="00C40D52">
        <w:rPr>
          <w:rFonts w:ascii="Verdana" w:eastAsia="Times New Roman" w:hAnsi="Verdana" w:cs="Arial"/>
          <w:lang w:val="es-ES" w:eastAsia="es-MX"/>
        </w:rPr>
        <w:t xml:space="preserve">) se someten al control político, que ejerce directamente el Congreso de la República. Además, </w:t>
      </w:r>
      <w:proofErr w:type="spellStart"/>
      <w:r w:rsidRPr="00C40D52">
        <w:rPr>
          <w:rFonts w:ascii="Verdana" w:eastAsia="Times New Roman" w:hAnsi="Verdana" w:cs="Arial"/>
          <w:lang w:val="es-ES" w:eastAsia="es-MX"/>
        </w:rPr>
        <w:t>iv</w:t>
      </w:r>
      <w:proofErr w:type="spellEnd"/>
      <w:r w:rsidRPr="00C40D52">
        <w:rPr>
          <w:rFonts w:ascii="Verdana" w:eastAsia="Times New Roman" w:hAnsi="Verdana" w:cs="Arial"/>
          <w:lang w:val="es-ES" w:eastAsia="es-MX"/>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w:t>
      </w:r>
      <w:r w:rsidRPr="00C40D52">
        <w:rPr>
          <w:rFonts w:ascii="Verdana" w:eastAsia="Times New Roman" w:hAnsi="Verdana" w:cs="Arial"/>
          <w:lang w:val="es-ES" w:eastAsia="es-MX"/>
        </w:rPr>
        <w:lastRenderedPageBreak/>
        <w:t xml:space="preserve">aluden los artículos 180- 3, 292 y 323 de la Constitución Política. A lo anterior debe agregarse que, </w:t>
      </w:r>
      <w:proofErr w:type="spellStart"/>
      <w:r w:rsidRPr="00C40D52">
        <w:rPr>
          <w:rFonts w:ascii="Verdana" w:eastAsia="Times New Roman" w:hAnsi="Verdana" w:cs="Arial"/>
          <w:lang w:val="es-ES" w:eastAsia="es-MX"/>
        </w:rPr>
        <w:t>vii</w:t>
      </w:r>
      <w:proofErr w:type="spellEnd"/>
      <w:r w:rsidRPr="00C40D52">
        <w:rPr>
          <w:rFonts w:ascii="Verdana" w:eastAsia="Times New Roman" w:hAnsi="Verdana" w:cs="Arial"/>
          <w:lang w:val="es-ES" w:eastAsia="es-MX"/>
        </w:rPr>
        <w:t xml:space="preserve">) en materia presupuestal, las sociedades de economía mixta quedan sujetas a las reglas de la ley orgánica del presupuesto. De otro lado, </w:t>
      </w:r>
      <w:proofErr w:type="spellStart"/>
      <w:r w:rsidRPr="00C40D52">
        <w:rPr>
          <w:rFonts w:ascii="Verdana" w:eastAsia="Times New Roman" w:hAnsi="Verdana" w:cs="Arial"/>
          <w:lang w:val="es-ES" w:eastAsia="es-MX"/>
        </w:rPr>
        <w:t>viii</w:t>
      </w:r>
      <w:proofErr w:type="spellEnd"/>
      <w:r w:rsidRPr="00C40D52">
        <w:rPr>
          <w:rFonts w:ascii="Verdana" w:eastAsia="Times New Roman" w:hAnsi="Verdana" w:cs="Arial"/>
          <w:lang w:val="es-ES" w:eastAsia="es-MX"/>
        </w:rPr>
        <w:t xml:space="preserve">) en materia contable, quedan vinculadas a las reglas de contabilidad oficial. Además, </w:t>
      </w:r>
      <w:proofErr w:type="spellStart"/>
      <w:r w:rsidRPr="00C40D52">
        <w:rPr>
          <w:rFonts w:ascii="Verdana" w:eastAsia="Times New Roman" w:hAnsi="Verdana" w:cs="Arial"/>
          <w:lang w:val="es-ES" w:eastAsia="es-MX"/>
        </w:rPr>
        <w:t>ix</w:t>
      </w:r>
      <w:proofErr w:type="spellEnd"/>
      <w:r w:rsidRPr="00C40D52">
        <w:rPr>
          <w:rFonts w:ascii="Verdana" w:eastAsia="Times New Roman" w:hAnsi="Verdana" w:cs="Arial"/>
          <w:lang w:val="es-ES" w:eastAsia="es-MX"/>
        </w:rPr>
        <w:t>) se rigen por el derecho privado, en virtud de la naturaleza de las actividades que desarrollan.  </w:t>
      </w:r>
    </w:p>
    <w:p w14:paraId="3B7855D2" w14:textId="77777777" w:rsidR="00501AFD" w:rsidRPr="00C40D52" w:rsidRDefault="00501AFD" w:rsidP="00501AFD">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Sin embargo,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128132D5" w14:textId="77777777" w:rsidR="00501AFD" w:rsidRPr="00C40D52" w:rsidRDefault="00501AFD" w:rsidP="00501AF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Así las cosas, resulta importante resaltar que, en nuestro ordenamiento jurídico, las sociedades de economía mixta están sometidas a un régimen jurídico compuesto por un conjunto normativo de derecho público y de derecho privado</w:t>
      </w:r>
      <w:r>
        <w:rPr>
          <w:rFonts w:ascii="Verdana" w:eastAsia="Times New Roman" w:hAnsi="Verdana" w:cs="Arial"/>
          <w:lang w:val="es-ES" w:eastAsia="es-MX"/>
        </w:rPr>
        <w:t>. E</w:t>
      </w:r>
      <w:r w:rsidRPr="00C40D52">
        <w:rPr>
          <w:rFonts w:ascii="Verdana" w:eastAsia="Times New Roman" w:hAnsi="Verdana" w:cs="Arial"/>
          <w:lang w:val="es-ES" w:eastAsia="es-MX"/>
        </w:rPr>
        <w:t xml:space="preserv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en las que el Estado tenga participación superior al cincuenta por ciento, señalando que: </w:t>
      </w:r>
    </w:p>
    <w:p w14:paraId="0187CB2E" w14:textId="77777777" w:rsidR="00501AFD" w:rsidRPr="00C40D52" w:rsidRDefault="00501AFD" w:rsidP="00501AFD">
      <w:pPr>
        <w:spacing w:after="0" w:line="276" w:lineRule="auto"/>
        <w:ind w:firstLine="709"/>
        <w:jc w:val="both"/>
        <w:textAlignment w:val="baseline"/>
        <w:rPr>
          <w:rFonts w:ascii="Verdana" w:eastAsia="Times New Roman" w:hAnsi="Verdana" w:cs="Arial"/>
          <w:lang w:val="es-ES_tradnl" w:eastAsia="es-MX"/>
        </w:rPr>
      </w:pPr>
    </w:p>
    <w:p w14:paraId="518A6738" w14:textId="77777777" w:rsidR="00501AFD" w:rsidRPr="00C40D52" w:rsidRDefault="00501AFD" w:rsidP="00501AFD">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lastRenderedPageBreak/>
        <w:t>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5A6C26F" w14:textId="77777777" w:rsidR="00501AFD" w:rsidRPr="00122AC1" w:rsidRDefault="00501AFD" w:rsidP="00501AFD">
      <w:pPr>
        <w:spacing w:after="0" w:line="240" w:lineRule="auto"/>
        <w:ind w:left="709" w:right="709" w:firstLine="709"/>
        <w:jc w:val="both"/>
        <w:textAlignment w:val="baseline"/>
        <w:rPr>
          <w:rFonts w:ascii="Verdana" w:eastAsia="Times New Roman" w:hAnsi="Verdana" w:cs="Arial"/>
          <w:lang w:val="es-ES_tradnl" w:eastAsia="es-MX"/>
        </w:rPr>
      </w:pPr>
    </w:p>
    <w:p w14:paraId="297E01A1" w14:textId="77777777" w:rsidR="00501AFD" w:rsidRDefault="00501AFD" w:rsidP="00501AFD">
      <w:pPr>
        <w:spacing w:after="120" w:line="276" w:lineRule="auto"/>
        <w:ind w:firstLine="708"/>
        <w:jc w:val="both"/>
        <w:textAlignment w:val="baseline"/>
        <w:rPr>
          <w:rFonts w:ascii="Verdana" w:eastAsia="Times New Roman" w:hAnsi="Verdana" w:cs="Arial"/>
          <w:lang w:val="es-MX" w:eastAsia="es-CO"/>
        </w:rPr>
      </w:pPr>
      <w:r w:rsidRPr="00C40D52">
        <w:rPr>
          <w:rFonts w:ascii="Verdana" w:eastAsia="Times New Roman" w:hAnsi="Verdana" w:cs="Arial"/>
          <w:lang w:val="es-ES" w:eastAsia="es-MX"/>
        </w:rPr>
        <w:t>Teniendo en cuenta el contexto anterior,</w:t>
      </w:r>
      <w:r>
        <w:rPr>
          <w:rFonts w:ascii="Verdana" w:eastAsia="Times New Roman" w:hAnsi="Verdana" w:cs="Arial"/>
          <w:lang w:val="es-ES" w:eastAsia="es-MX"/>
        </w:rPr>
        <w:t xml:space="preserve"> </w:t>
      </w:r>
      <w:r w:rsidRPr="00C40D52">
        <w:rPr>
          <w:rFonts w:ascii="Verdana" w:eastAsia="Times New Roman" w:hAnsi="Verdana" w:cs="Arial"/>
          <w:lang w:val="es-ES" w:eastAsia="es-MX"/>
        </w:rPr>
        <w:t xml:space="preserve">atendiendo a que </w:t>
      </w:r>
      <w:r>
        <w:rPr>
          <w:rFonts w:ascii="Verdana" w:eastAsia="Times New Roman" w:hAnsi="Verdana" w:cs="Arial"/>
          <w:lang w:val="es-ES" w:eastAsia="es-MX"/>
        </w:rPr>
        <w:t>la consulta</w:t>
      </w:r>
      <w:r w:rsidRPr="00C40D52">
        <w:rPr>
          <w:rFonts w:ascii="Verdana" w:eastAsia="Times New Roman" w:hAnsi="Verdana" w:cs="Arial"/>
          <w:lang w:val="es-ES" w:eastAsia="es-MX"/>
        </w:rPr>
        <w:t xml:space="preserve"> está relacionada con el alcance de las prohibiciones en materia contractual establecidas en la </w:t>
      </w:r>
      <w:r>
        <w:rPr>
          <w:rFonts w:ascii="Verdana" w:eastAsia="Times New Roman" w:hAnsi="Verdana" w:cs="Arial"/>
          <w:lang w:val="es-ES" w:eastAsia="es-MX"/>
        </w:rPr>
        <w:t>L</w:t>
      </w:r>
      <w:r w:rsidRPr="00C40D52">
        <w:rPr>
          <w:rFonts w:ascii="Verdana" w:eastAsia="Times New Roman" w:hAnsi="Verdana" w:cs="Arial"/>
          <w:lang w:val="es-ES" w:eastAsia="es-MX"/>
        </w:rPr>
        <w:t xml:space="preserve">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62114724" w14:textId="77777777" w:rsidR="00501AFD" w:rsidRDefault="00501AFD" w:rsidP="00501AFD">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ab/>
      </w:r>
      <w:r>
        <w:rPr>
          <w:rFonts w:ascii="Verdana" w:eastAsia="Times New Roman" w:hAnsi="Verdana" w:cs="Arial"/>
          <w:lang w:val="es-MX" w:eastAsia="es-CO"/>
        </w:rPr>
        <w:tab/>
        <w:t>Para empezar, 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5"/>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BE31F1F" w14:textId="77777777" w:rsidR="00501AFD" w:rsidRPr="006B14B5" w:rsidRDefault="00501AFD" w:rsidP="00501AFD">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32DC971" w14:textId="77777777" w:rsidR="00501AFD" w:rsidRPr="00E2397D" w:rsidRDefault="00501AFD" w:rsidP="00501AFD">
      <w:pPr>
        <w:spacing w:after="0" w:line="276" w:lineRule="auto"/>
        <w:ind w:right="709"/>
        <w:contextualSpacing/>
        <w:jc w:val="both"/>
        <w:rPr>
          <w:rFonts w:ascii="Verdana" w:eastAsia="Times New Roman" w:hAnsi="Verdana" w:cs="Arial"/>
          <w:lang w:val="es-ES" w:eastAsia="es-CO"/>
        </w:rPr>
      </w:pPr>
    </w:p>
    <w:p w14:paraId="6E95E471"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769AE94"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p>
    <w:p w14:paraId="7C5B0A0D"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4B9D8DF5" w14:textId="77777777" w:rsidR="00501AFD" w:rsidRDefault="00501AFD" w:rsidP="00501AFD">
      <w:pPr>
        <w:spacing w:after="0" w:line="240" w:lineRule="auto"/>
        <w:ind w:left="709" w:right="709"/>
        <w:contextualSpacing/>
        <w:jc w:val="both"/>
        <w:rPr>
          <w:rFonts w:ascii="Verdana" w:eastAsia="Times New Roman" w:hAnsi="Verdana" w:cs="Arial"/>
          <w:sz w:val="20"/>
          <w:szCs w:val="20"/>
          <w:lang w:val="es-MX" w:eastAsia="es-CO"/>
        </w:rPr>
      </w:pPr>
    </w:p>
    <w:p w14:paraId="765BC5F2"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6"/>
      </w:r>
    </w:p>
    <w:p w14:paraId="39C5BBDE" w14:textId="77777777" w:rsidR="00501AFD" w:rsidRPr="00E2397D" w:rsidRDefault="00501AFD" w:rsidP="00501AFD">
      <w:pPr>
        <w:spacing w:after="0" w:line="276" w:lineRule="auto"/>
        <w:ind w:firstLine="709"/>
        <w:jc w:val="both"/>
        <w:rPr>
          <w:rFonts w:ascii="Verdana" w:eastAsia="Times New Roman" w:hAnsi="Verdana" w:cs="Arial"/>
          <w:lang w:val="es-MX" w:eastAsia="es-CO"/>
        </w:rPr>
      </w:pPr>
    </w:p>
    <w:p w14:paraId="71C4FD4D" w14:textId="77777777" w:rsidR="00501AFD" w:rsidRPr="00E2397D" w:rsidRDefault="00501AFD" w:rsidP="00501AF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D366205" w14:textId="77777777" w:rsidR="00501AFD" w:rsidRPr="00886C02" w:rsidRDefault="00501AFD" w:rsidP="00501AFD">
      <w:pPr>
        <w:spacing w:after="0" w:line="276" w:lineRule="auto"/>
        <w:ind w:firstLine="709"/>
        <w:jc w:val="both"/>
        <w:rPr>
          <w:rFonts w:ascii="Verdana" w:eastAsia="Times New Roman" w:hAnsi="Verdana" w:cs="Arial"/>
          <w:lang w:val="es-MX" w:eastAsia="es-CO"/>
        </w:rPr>
      </w:pPr>
    </w:p>
    <w:p w14:paraId="1A5B14CA"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393AFD" w14:textId="77777777" w:rsidR="00501AFD" w:rsidRPr="00E2397D" w:rsidRDefault="00501AFD" w:rsidP="00501AFD">
      <w:pPr>
        <w:spacing w:after="0" w:line="240" w:lineRule="auto"/>
        <w:ind w:right="709"/>
        <w:contextualSpacing/>
        <w:jc w:val="both"/>
        <w:rPr>
          <w:rFonts w:ascii="Verdana" w:eastAsia="Times New Roman" w:hAnsi="Verdana" w:cs="Arial"/>
          <w:lang w:val="es-MX" w:eastAsia="es-CO"/>
        </w:rPr>
      </w:pPr>
    </w:p>
    <w:p w14:paraId="3598B8D4" w14:textId="77777777" w:rsidR="00501AFD" w:rsidRPr="00E2397D" w:rsidRDefault="00501AFD" w:rsidP="00501AF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w:t>
      </w:r>
      <w:r w:rsidRPr="00E2397D">
        <w:rPr>
          <w:rFonts w:ascii="Verdana" w:eastAsia="Times New Roman" w:hAnsi="Verdana" w:cs="Arial"/>
          <w:sz w:val="20"/>
          <w:szCs w:val="20"/>
          <w:lang w:val="es-MX" w:eastAsia="es-CO"/>
        </w:rPr>
        <w:lastRenderedPageBreak/>
        <w:t>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w:t>
      </w:r>
    </w:p>
    <w:p w14:paraId="3EF76A58" w14:textId="77777777" w:rsidR="00501AFD" w:rsidRPr="00E2397D" w:rsidRDefault="00501AFD" w:rsidP="00501AFD">
      <w:pPr>
        <w:spacing w:after="0" w:line="276" w:lineRule="auto"/>
        <w:jc w:val="both"/>
        <w:rPr>
          <w:rFonts w:ascii="Verdana" w:eastAsia="Calibri" w:hAnsi="Verdana" w:cs="Arial"/>
          <w:bCs/>
          <w:lang w:val="es-ES_tradnl"/>
        </w:rPr>
      </w:pPr>
    </w:p>
    <w:p w14:paraId="34B776D4" w14:textId="77777777" w:rsidR="00501AFD" w:rsidRPr="00B3605D" w:rsidRDefault="00501AFD" w:rsidP="00501AFD">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D567A14" w14:textId="77777777" w:rsidR="00501AFD" w:rsidRDefault="00501AFD" w:rsidP="00501AFD">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79965403" w14:textId="77777777" w:rsidR="00501AFD" w:rsidRDefault="00501AFD" w:rsidP="00501AFD">
      <w:pPr>
        <w:spacing w:after="0" w:line="240" w:lineRule="auto"/>
        <w:ind w:firstLine="709"/>
        <w:jc w:val="both"/>
        <w:rPr>
          <w:rFonts w:ascii="Verdana" w:eastAsia="Arial" w:hAnsi="Verdana" w:cs="Arial"/>
          <w:lang w:val="es-ES" w:eastAsia="es-ES" w:bidi="es-ES"/>
        </w:rPr>
      </w:pPr>
    </w:p>
    <w:p w14:paraId="1721F5F2" w14:textId="77777777" w:rsidR="00501AFD" w:rsidRPr="00F2587B" w:rsidRDefault="00501AFD" w:rsidP="00501AFD">
      <w:pPr>
        <w:pStyle w:val="Prrafodelista"/>
        <w:numPr>
          <w:ilvl w:val="0"/>
          <w:numId w:val="28"/>
        </w:numPr>
        <w:spacing w:after="0" w:line="240" w:lineRule="auto"/>
        <w:contextualSpacing w:val="0"/>
        <w:jc w:val="both"/>
        <w:rPr>
          <w:rFonts w:ascii="Verdana" w:eastAsia="Arial" w:hAnsi="Verdana" w:cs="Arial"/>
          <w:i/>
          <w:lang w:eastAsia="es-ES" w:bidi="es-ES"/>
        </w:rPr>
      </w:pPr>
      <w:r w:rsidRPr="00F2587B">
        <w:rPr>
          <w:rFonts w:ascii="Verdana" w:eastAsia="Arial" w:hAnsi="Verdana" w:cs="Arial"/>
          <w:i/>
          <w:lang w:eastAsia="es-ES" w:bidi="es-ES"/>
        </w:rPr>
        <w:t xml:space="preserve">Restricciones </w:t>
      </w:r>
      <w:r>
        <w:rPr>
          <w:rFonts w:ascii="Verdana" w:eastAsia="Arial" w:hAnsi="Verdana" w:cs="Arial"/>
          <w:i/>
          <w:lang w:eastAsia="es-ES" w:bidi="es-ES"/>
        </w:rPr>
        <w:t>frente a</w:t>
      </w:r>
      <w:r w:rsidRPr="00F2587B">
        <w:rPr>
          <w:rFonts w:ascii="Verdana" w:eastAsia="Arial" w:hAnsi="Verdana" w:cs="Arial"/>
          <w:i/>
          <w:lang w:eastAsia="es-ES" w:bidi="es-ES"/>
        </w:rPr>
        <w:t xml:space="preserve"> elecciones presidenciales </w:t>
      </w:r>
    </w:p>
    <w:p w14:paraId="0CE50C53" w14:textId="77777777" w:rsidR="00501AFD" w:rsidRPr="00A545DE" w:rsidRDefault="00501AFD" w:rsidP="00501AFD">
      <w:pPr>
        <w:pStyle w:val="Prrafodelista"/>
        <w:spacing w:after="0" w:line="240" w:lineRule="auto"/>
        <w:ind w:left="1080"/>
        <w:contextualSpacing w:val="0"/>
        <w:jc w:val="both"/>
        <w:rPr>
          <w:rFonts w:ascii="Verdana" w:eastAsia="Arial" w:hAnsi="Verdana" w:cs="Arial"/>
          <w:lang w:eastAsia="es-ES" w:bidi="es-ES"/>
        </w:rPr>
      </w:pPr>
    </w:p>
    <w:p w14:paraId="4A168399" w14:textId="77777777" w:rsidR="00501AFD" w:rsidRPr="00FC54ED" w:rsidRDefault="00501AFD" w:rsidP="00501AFD">
      <w:pPr>
        <w:spacing w:after="0" w:line="240" w:lineRule="auto"/>
        <w:ind w:left="709" w:right="703"/>
        <w:jc w:val="both"/>
        <w:rPr>
          <w:rFonts w:ascii="Verdana" w:eastAsia="Times New Roman" w:hAnsi="Verdana" w:cs="Open Sans"/>
          <w:sz w:val="20"/>
          <w:szCs w:val="20"/>
          <w:lang w:eastAsia="es-CO"/>
        </w:rPr>
      </w:pPr>
      <w:bookmarkStart w:id="5"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5"/>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CC36E4E" w14:textId="77777777" w:rsidR="00501AFD" w:rsidRPr="00FC54ED" w:rsidRDefault="00501AFD" w:rsidP="00501AFD">
      <w:pPr>
        <w:spacing w:after="0" w:line="240" w:lineRule="auto"/>
        <w:ind w:left="709" w:right="703"/>
        <w:jc w:val="both"/>
        <w:rPr>
          <w:rFonts w:ascii="Verdana" w:eastAsia="Times New Roman" w:hAnsi="Verdana" w:cs="Open Sans"/>
          <w:sz w:val="20"/>
          <w:szCs w:val="20"/>
          <w:lang w:eastAsia="es-CO"/>
        </w:rPr>
      </w:pPr>
    </w:p>
    <w:p w14:paraId="506B8B7D" w14:textId="77777777" w:rsidR="00501AFD" w:rsidRPr="00B3605D" w:rsidRDefault="00501AFD" w:rsidP="00501AFD">
      <w:pPr>
        <w:spacing w:after="0" w:line="240" w:lineRule="auto"/>
        <w:ind w:left="709"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8D31C7E" w14:textId="77777777" w:rsidR="00501AFD" w:rsidRDefault="00501AFD" w:rsidP="00501AFD">
      <w:pPr>
        <w:spacing w:after="0" w:line="276" w:lineRule="auto"/>
        <w:ind w:right="618" w:firstLine="708"/>
        <w:jc w:val="both"/>
        <w:rPr>
          <w:rFonts w:ascii="Verdana" w:eastAsia="Times New Roman" w:hAnsi="Verdana" w:cs="Open Sans"/>
          <w:lang w:eastAsia="es-CO"/>
        </w:rPr>
      </w:pPr>
    </w:p>
    <w:p w14:paraId="65F8DEB2" w14:textId="2C345DC8" w:rsidR="00501AFD" w:rsidRDefault="00501AFD" w:rsidP="00501AFD">
      <w:pPr>
        <w:spacing w:after="120" w:line="276" w:lineRule="auto"/>
        <w:ind w:firstLine="709"/>
        <w:jc w:val="both"/>
        <w:rPr>
          <w:rFonts w:ascii="Verdana" w:eastAsia="Times New Roman" w:hAnsi="Verdana" w:cs="Open Sans"/>
          <w:lang w:eastAsia="es-CO"/>
        </w:rPr>
      </w:pPr>
      <w:r w:rsidRPr="00B3605D">
        <w:rPr>
          <w:rFonts w:ascii="Verdana" w:eastAsia="Times New Roman" w:hAnsi="Verdana" w:cs="Open Sans"/>
          <w:lang w:eastAsia="es-CO"/>
        </w:rPr>
        <w:t>Como se puede observar, el artículo 33 de la Ley 996 de 2</w:t>
      </w:r>
      <w:r w:rsidR="009B7352">
        <w:rPr>
          <w:rFonts w:ascii="Verdana" w:eastAsia="Times New Roman" w:hAnsi="Verdana" w:cs="Open Sans"/>
          <w:lang w:eastAsia="es-CO"/>
        </w:rPr>
        <w:t>0</w:t>
      </w:r>
      <w:r w:rsidRPr="00B3605D">
        <w:rPr>
          <w:rFonts w:ascii="Verdana" w:eastAsia="Times New Roman" w:hAnsi="Verdana" w:cs="Open Sans"/>
          <w:lang w:eastAsia="es-CO"/>
        </w:rPr>
        <w:t xml:space="preserve">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 xml:space="preserve">Así, su ámbito de prohibición está delimitado por la expresión </w:t>
      </w:r>
      <w:r>
        <w:rPr>
          <w:rFonts w:ascii="Verdana" w:eastAsia="Times New Roman" w:hAnsi="Verdana" w:cs="Open Sans"/>
          <w:lang w:eastAsia="es-CO"/>
        </w:rPr>
        <w:lastRenderedPageBreak/>
        <w:t>“</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0"/>
      </w:r>
      <w:r>
        <w:rPr>
          <w:rFonts w:ascii="Verdana" w:eastAsia="Times New Roman" w:hAnsi="Verdana" w:cs="Open Sans"/>
          <w:lang w:eastAsia="es-CO"/>
        </w:rPr>
        <w:t>.</w:t>
      </w:r>
    </w:p>
    <w:p w14:paraId="17843319" w14:textId="77777777" w:rsidR="00501AFD" w:rsidRDefault="00501AFD" w:rsidP="00501AFD">
      <w:pPr>
        <w:spacing w:after="120" w:line="276" w:lineRule="auto"/>
        <w:ind w:firstLine="709"/>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45A91728" w14:textId="77777777" w:rsidR="00501AFD" w:rsidRDefault="00501AFD" w:rsidP="00501AFD">
      <w:pPr>
        <w:spacing w:after="120" w:line="276" w:lineRule="auto"/>
        <w:ind w:firstLine="709"/>
        <w:jc w:val="both"/>
        <w:rPr>
          <w:rFonts w:ascii="Verdana" w:hAnsi="Verdana"/>
          <w:iCs/>
        </w:rPr>
      </w:pPr>
      <w:r>
        <w:rPr>
          <w:rFonts w:ascii="Verdana" w:eastAsia="Times New Roman" w:hAnsi="Verdana" w:cs="Open Sans"/>
          <w:lang w:eastAsia="es-CO"/>
        </w:rPr>
        <w:t>Ahora bien</w:t>
      </w:r>
      <w:r w:rsidRPr="006A640E">
        <w:rPr>
          <w:rFonts w:ascii="Verdana" w:hAnsi="Verdana"/>
        </w:rPr>
        <w:t>,</w:t>
      </w:r>
      <w:r>
        <w:rPr>
          <w:rFonts w:ascii="Verdana" w:hAnsi="Verdana"/>
        </w:rPr>
        <w:t xml:space="preserve"> el ordenamiento jurídico contempla una serie de</w:t>
      </w:r>
      <w:r w:rsidRPr="006A640E">
        <w:rPr>
          <w:rFonts w:ascii="Verdana" w:hAnsi="Verdana"/>
        </w:rPr>
        <w:t xml:space="preserve"> excepciones a la restricción </w:t>
      </w:r>
      <w:r>
        <w:rPr>
          <w:rFonts w:ascii="Verdana" w:hAnsi="Verdana"/>
        </w:rPr>
        <w:t>de contratación directa</w:t>
      </w:r>
      <w:r w:rsidRPr="006A640E">
        <w:rPr>
          <w:rFonts w:ascii="Verdana" w:hAnsi="Verdana"/>
        </w:rPr>
        <w:t xml:space="preserve"> prevista en la Ley de Garantías</w:t>
      </w:r>
      <w:r>
        <w:rPr>
          <w:rFonts w:ascii="Verdana" w:hAnsi="Verdana"/>
        </w:rPr>
        <w:t xml:space="preserve"> Electorales</w:t>
      </w:r>
      <w:r w:rsidRPr="006A640E">
        <w:rPr>
          <w:rFonts w:ascii="Verdana" w:hAnsi="Verdana"/>
        </w:rPr>
        <w:t>, con fundamento en las cuales podrán las entidades públicas adelantar procedimientos de selección directa en períodos previos a la contienda electoral por la Presidencia</w:t>
      </w:r>
      <w:r>
        <w:rPr>
          <w:rFonts w:ascii="Verdana" w:hAnsi="Verdana"/>
        </w:rPr>
        <w:t>. Estas excepciones</w:t>
      </w:r>
      <w:r w:rsidRPr="006A640E">
        <w:rPr>
          <w:rFonts w:ascii="Verdana" w:hAnsi="Verdana"/>
        </w:rPr>
        <w:t xml:space="preserve">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w:t>
      </w:r>
      <w:r w:rsidRPr="005A1342">
        <w:rPr>
          <w:rFonts w:ascii="Verdana" w:hAnsi="Verdana"/>
          <w:iCs/>
        </w:rPr>
        <w:t>los que deban realizar las entidades sanitarias y hospitalarias.</w:t>
      </w:r>
    </w:p>
    <w:p w14:paraId="02EA218B" w14:textId="77777777" w:rsidR="00501AFD" w:rsidRDefault="00501AFD" w:rsidP="00501AFD">
      <w:pPr>
        <w:spacing w:after="120" w:line="276" w:lineRule="auto"/>
        <w:ind w:firstLine="709"/>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w:t>
      </w:r>
      <w:r w:rsidRPr="00D44FF2">
        <w:rPr>
          <w:rFonts w:ascii="Verdana" w:hAnsi="Verdana"/>
        </w:rPr>
        <w:lastRenderedPageBreak/>
        <w:t>exceptuadas del ámbito de aplicación del Estatuto General de Contratación de la Administración Pública.</w:t>
      </w:r>
      <w:r>
        <w:rPr>
          <w:rFonts w:ascii="Verdana" w:hAnsi="Verdana"/>
        </w:rPr>
        <w:t xml:space="preserve"> </w:t>
      </w:r>
    </w:p>
    <w:p w14:paraId="6B1573F6" w14:textId="77777777" w:rsidR="00501AFD" w:rsidRDefault="00501AFD" w:rsidP="00501AFD">
      <w:pPr>
        <w:spacing w:after="0" w:line="276" w:lineRule="auto"/>
        <w:ind w:firstLine="709"/>
        <w:jc w:val="both"/>
        <w:rPr>
          <w:rFonts w:ascii="Verdana" w:eastAsia="Times New Roman" w:hAnsi="Verdana" w:cs="Arial"/>
          <w:lang w:val="es-ES"/>
        </w:rPr>
      </w:pPr>
      <w:r w:rsidRPr="00C40D52">
        <w:rPr>
          <w:rFonts w:ascii="Verdana" w:eastAsia="Times New Roman" w:hAnsi="Verdana" w:cs="Arial"/>
          <w:lang w:val="es-ES"/>
        </w:rPr>
        <w:t xml:space="preserve">En consecuencia, las restricciones a la contratación </w:t>
      </w:r>
      <w:r>
        <w:rPr>
          <w:rFonts w:ascii="Verdana" w:eastAsia="Times New Roman" w:hAnsi="Verdana" w:cs="Arial"/>
          <w:lang w:val="es-ES"/>
        </w:rPr>
        <w:t xml:space="preserve">directa </w:t>
      </w:r>
      <w:r w:rsidRPr="00C40D52">
        <w:rPr>
          <w:rFonts w:ascii="Verdana" w:eastAsia="Times New Roman" w:hAnsi="Verdana" w:cs="Arial"/>
          <w:lang w:val="es-ES"/>
        </w:rPr>
        <w:t>contenidas en la Ley de Garantías Electorales son aplicables a entidades descentralizadas como las sociedades de economía mixta</w:t>
      </w:r>
      <w:r>
        <w:rPr>
          <w:rFonts w:ascii="Verdana" w:eastAsia="Times New Roman" w:hAnsi="Verdana" w:cs="Arial"/>
          <w:lang w:val="es-ES"/>
        </w:rPr>
        <w:t>, a las que hace referencia en su consulta</w:t>
      </w:r>
      <w:r w:rsidRPr="00C40D52">
        <w:rPr>
          <w:rFonts w:ascii="Verdana" w:eastAsia="Times New Roman" w:hAnsi="Verdana" w:cs="Arial"/>
          <w:lang w:val="es-ES"/>
        </w:rPr>
        <w:t>.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310E937D" w14:textId="77777777" w:rsidR="00501AFD" w:rsidRPr="005A1342" w:rsidRDefault="00501AFD" w:rsidP="00501AFD">
      <w:pPr>
        <w:spacing w:after="0" w:line="276" w:lineRule="auto"/>
        <w:ind w:firstLine="709"/>
        <w:jc w:val="both"/>
        <w:rPr>
          <w:rFonts w:ascii="Verdana" w:hAnsi="Verdana"/>
          <w:iCs/>
        </w:rPr>
      </w:pPr>
    </w:p>
    <w:p w14:paraId="173CFB34" w14:textId="77777777" w:rsidR="00501AFD" w:rsidRPr="00F2587B" w:rsidRDefault="00501AFD" w:rsidP="00501AFD">
      <w:pPr>
        <w:pStyle w:val="Prrafodelista"/>
        <w:numPr>
          <w:ilvl w:val="0"/>
          <w:numId w:val="28"/>
        </w:numPr>
        <w:spacing w:after="0" w:line="276" w:lineRule="auto"/>
        <w:contextualSpacing w:val="0"/>
        <w:jc w:val="both"/>
        <w:rPr>
          <w:rFonts w:ascii="Verdana" w:eastAsia="Times New Roman" w:hAnsi="Verdana" w:cs="Open Sans"/>
          <w:i/>
          <w:lang w:eastAsia="es-CO"/>
        </w:rPr>
      </w:pPr>
      <w:r w:rsidRPr="00F2587B">
        <w:rPr>
          <w:rFonts w:ascii="Verdana" w:eastAsia="Times New Roman" w:hAnsi="Verdana" w:cs="Open Sans"/>
          <w:i/>
          <w:lang w:eastAsia="es-CO"/>
        </w:rPr>
        <w:t xml:space="preserve">Restricciones </w:t>
      </w:r>
      <w:r>
        <w:rPr>
          <w:rFonts w:ascii="Verdana" w:eastAsia="Times New Roman" w:hAnsi="Verdana" w:cs="Open Sans"/>
          <w:i/>
          <w:lang w:eastAsia="es-CO"/>
        </w:rPr>
        <w:t>frente a las</w:t>
      </w:r>
      <w:r w:rsidRPr="00F2587B">
        <w:rPr>
          <w:rFonts w:ascii="Verdana" w:eastAsia="Times New Roman" w:hAnsi="Verdana" w:cs="Open Sans"/>
          <w:i/>
          <w:lang w:eastAsia="es-CO"/>
        </w:rPr>
        <w:t xml:space="preserve"> demás elecciones </w:t>
      </w:r>
    </w:p>
    <w:p w14:paraId="197DB6BC" w14:textId="77777777" w:rsidR="00501AFD" w:rsidRDefault="00501AFD" w:rsidP="00501AFD">
      <w:pPr>
        <w:spacing w:after="0" w:line="276" w:lineRule="auto"/>
        <w:jc w:val="both"/>
        <w:rPr>
          <w:rFonts w:ascii="Verdana" w:eastAsia="Times New Roman" w:hAnsi="Verdana" w:cs="Open Sans"/>
          <w:lang w:eastAsia="es-CO"/>
        </w:rPr>
      </w:pPr>
    </w:p>
    <w:p w14:paraId="06D810A9" w14:textId="77777777" w:rsidR="00501AFD" w:rsidRPr="00D61E29" w:rsidRDefault="00501AFD" w:rsidP="00501AFD">
      <w:pPr>
        <w:spacing w:after="0" w:line="276" w:lineRule="auto"/>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2A03C603" w14:textId="77777777" w:rsidR="00501AFD" w:rsidRDefault="00501AFD" w:rsidP="00501AFD">
      <w:pPr>
        <w:pStyle w:val="NormalWeb"/>
        <w:spacing w:before="0" w:beforeAutospacing="0" w:after="0" w:afterAutospacing="0" w:line="276" w:lineRule="auto"/>
        <w:ind w:left="709" w:right="616"/>
        <w:jc w:val="both"/>
        <w:rPr>
          <w:rStyle w:val="baj"/>
          <w:rFonts w:ascii="Verdana" w:eastAsiaTheme="minorHAnsi" w:hAnsi="Verdana" w:cs="Open Sans"/>
          <w:b/>
          <w:sz w:val="20"/>
          <w:szCs w:val="20"/>
          <w:lang w:eastAsia="en-US"/>
        </w:rPr>
      </w:pPr>
    </w:p>
    <w:p w14:paraId="6DD037C8"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7F8D390"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p>
    <w:p w14:paraId="4FD92855"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58ED29BB" w14:textId="77777777" w:rsidR="00501AFD" w:rsidRDefault="00501AFD" w:rsidP="00501AFD">
      <w:pPr>
        <w:pStyle w:val="NormalWeb"/>
        <w:spacing w:before="0" w:beforeAutospacing="0" w:after="0" w:afterAutospacing="0"/>
        <w:ind w:left="709" w:right="709"/>
        <w:jc w:val="both"/>
        <w:rPr>
          <w:rFonts w:ascii="Verdana" w:hAnsi="Verdana" w:cs="Open Sans"/>
          <w:sz w:val="20"/>
          <w:szCs w:val="20"/>
        </w:rPr>
      </w:pPr>
    </w:p>
    <w:p w14:paraId="1D66D782"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0D665146" w14:textId="77777777" w:rsidR="00501AFD" w:rsidRDefault="00501AFD" w:rsidP="00501AFD">
      <w:pPr>
        <w:pStyle w:val="NormalWeb"/>
        <w:spacing w:before="0" w:beforeAutospacing="0" w:after="0" w:afterAutospacing="0"/>
        <w:ind w:left="709" w:right="709"/>
        <w:jc w:val="both"/>
        <w:rPr>
          <w:rFonts w:ascii="Verdana" w:hAnsi="Verdana" w:cs="Open Sans"/>
          <w:sz w:val="20"/>
          <w:szCs w:val="20"/>
        </w:rPr>
      </w:pPr>
    </w:p>
    <w:p w14:paraId="2948A301" w14:textId="77777777" w:rsidR="00501AFD" w:rsidRPr="00D61E29" w:rsidRDefault="00501AFD" w:rsidP="00501AFD">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Pr>
          <w:rFonts w:ascii="Verdana" w:hAnsi="Verdana" w:cs="Open Sans"/>
          <w:sz w:val="20"/>
          <w:szCs w:val="20"/>
        </w:rPr>
        <w:t>”</w:t>
      </w:r>
      <w:r w:rsidRPr="00D61E29">
        <w:rPr>
          <w:rFonts w:ascii="Verdana" w:hAnsi="Verdana" w:cs="Open Sans"/>
          <w:sz w:val="20"/>
          <w:szCs w:val="20"/>
        </w:rPr>
        <w:t>.</w:t>
      </w:r>
    </w:p>
    <w:p w14:paraId="62A21628" w14:textId="77777777" w:rsidR="00501AFD" w:rsidRDefault="00501AFD" w:rsidP="00501AFD">
      <w:pPr>
        <w:widowControl w:val="0"/>
        <w:autoSpaceDE w:val="0"/>
        <w:autoSpaceDN w:val="0"/>
        <w:spacing w:after="0" w:line="276" w:lineRule="auto"/>
        <w:ind w:right="113"/>
        <w:contextualSpacing/>
        <w:jc w:val="both"/>
      </w:pPr>
    </w:p>
    <w:p w14:paraId="7F38F097" w14:textId="77777777" w:rsidR="00501AFD" w:rsidRPr="00775AB1" w:rsidRDefault="00501AFD" w:rsidP="00501AFD">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6"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6"/>
    </w:p>
    <w:p w14:paraId="4672DEEB" w14:textId="77777777" w:rsidR="00501AFD" w:rsidRPr="00D61E29" w:rsidRDefault="00501AFD" w:rsidP="00501AFD">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FDEC632" w14:textId="77777777" w:rsidR="00501AFD" w:rsidRPr="00D61E29" w:rsidRDefault="00501AFD" w:rsidP="00501AFD">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0664A6C" w14:textId="77777777" w:rsidR="00501AFD" w:rsidRPr="00D61E29" w:rsidRDefault="00501AFD" w:rsidP="00501AF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1"/>
      </w:r>
    </w:p>
    <w:p w14:paraId="4F41FE67" w14:textId="77777777" w:rsidR="00501AFD" w:rsidRPr="00D61E29" w:rsidRDefault="00501AFD" w:rsidP="00501AFD">
      <w:pPr>
        <w:widowControl w:val="0"/>
        <w:autoSpaceDE w:val="0"/>
        <w:autoSpaceDN w:val="0"/>
        <w:spacing w:after="0" w:line="276" w:lineRule="auto"/>
        <w:ind w:left="709" w:right="709"/>
        <w:jc w:val="both"/>
        <w:rPr>
          <w:rFonts w:ascii="Verdana" w:eastAsia="Arial" w:hAnsi="Verdana" w:cs="Arial"/>
          <w:sz w:val="20"/>
          <w:szCs w:val="20"/>
          <w:lang w:eastAsia="es-ES" w:bidi="es-ES"/>
        </w:rPr>
      </w:pPr>
    </w:p>
    <w:p w14:paraId="31C9A836" w14:textId="77777777" w:rsidR="00501AFD" w:rsidRPr="00947721" w:rsidRDefault="00501AFD" w:rsidP="00501AFD">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w:t>
      </w:r>
      <w:r>
        <w:rPr>
          <w:rFonts w:ascii="Verdana" w:hAnsi="Verdana" w:cs="BCDHEE+Verdana"/>
          <w:color w:val="000000"/>
        </w:rPr>
        <w:t>G</w:t>
      </w:r>
      <w:r w:rsidRPr="00F44D6F">
        <w:rPr>
          <w:rFonts w:ascii="Verdana" w:hAnsi="Verdana" w:cs="BCDHEE+Verdana"/>
          <w:color w:val="000000"/>
        </w:rPr>
        <w:t>arantías</w:t>
      </w:r>
      <w:r>
        <w:rPr>
          <w:rFonts w:ascii="Verdana" w:hAnsi="Verdana" w:cs="BCDHEE+Verdana"/>
          <w:color w:val="000000"/>
        </w:rPr>
        <w:t xml:space="preserve"> Electorales</w:t>
      </w:r>
      <w:r w:rsidRPr="00947721">
        <w:rPr>
          <w:rFonts w:ascii="Verdana" w:hAnsi="Verdana" w:cs="BCDHEE+Verdana"/>
          <w:color w:val="000000"/>
        </w:rPr>
        <w:t>, se debe tener en cuenta que el Consejo Nacional Electoral mediante Resolución No. 2581 del 5 de marzo de 2025 fijó el calendario electoral para las elecciones al Congreso de la República que serán el 8 de marzo de 2026</w:t>
      </w:r>
      <w:r>
        <w:rPr>
          <w:rFonts w:ascii="Verdana" w:hAnsi="Verdana" w:cs="BCDHEE+Verdana"/>
          <w:color w:val="000000"/>
        </w:rPr>
        <w:t>. E</w:t>
      </w:r>
      <w:r w:rsidRPr="00947721">
        <w:rPr>
          <w:rFonts w:ascii="Verdana" w:hAnsi="Verdana" w:cs="BCDHEE+Verdana"/>
          <w:color w:val="000000"/>
        </w:rPr>
        <w:t>n esa medida, de acuerdo con el artículo 38 de la Ley 996 de 2005, la restricción inici</w:t>
      </w:r>
      <w:r>
        <w:rPr>
          <w:rFonts w:ascii="Verdana" w:hAnsi="Verdana" w:cs="BCDHEE+Verdana"/>
          <w:color w:val="000000"/>
        </w:rPr>
        <w:t>ó</w:t>
      </w:r>
      <w:r w:rsidRPr="00947721">
        <w:rPr>
          <w:rFonts w:ascii="Verdana" w:hAnsi="Verdana" w:cs="BCDHEE+Verdana"/>
          <w:color w:val="000000"/>
        </w:rPr>
        <w:t xml:space="preserve"> el 8 de noviembre de 2025, es decir, </w:t>
      </w:r>
      <w:r>
        <w:rPr>
          <w:rFonts w:ascii="Verdana" w:hAnsi="Verdana" w:cs="BCDHEE+Verdana"/>
          <w:color w:val="000000"/>
        </w:rPr>
        <w:t>cuatro (</w:t>
      </w:r>
      <w:r w:rsidRPr="00947721">
        <w:rPr>
          <w:rFonts w:ascii="Verdana" w:hAnsi="Verdana" w:cs="BCDHEE+Verdana"/>
          <w:color w:val="000000"/>
        </w:rPr>
        <w:t>4</w:t>
      </w:r>
      <w:r>
        <w:rPr>
          <w:rFonts w:ascii="Verdana" w:hAnsi="Verdana" w:cs="BCDHEE+Verdana"/>
          <w:color w:val="000000"/>
        </w:rPr>
        <w:t>)</w:t>
      </w:r>
      <w:r w:rsidRPr="00947721">
        <w:rPr>
          <w:rFonts w:ascii="Verdana" w:hAnsi="Verdana" w:cs="BCDHEE+Verdana"/>
          <w:color w:val="000000"/>
        </w:rPr>
        <w:t xml:space="preserve"> meses antes de la fecha de las elecciones, y las restricciones que se aplican son que prohíbe a los gobernadores, alcaldes municipales o distritales, secretarios, gerentes y directores de entidades </w:t>
      </w:r>
      <w:r w:rsidRPr="00947721">
        <w:rPr>
          <w:rFonts w:ascii="Verdana" w:hAnsi="Verdana" w:cs="BCDHEE+Verdana"/>
          <w:color w:val="000000"/>
        </w:rPr>
        <w:lastRenderedPageBreak/>
        <w:t xml:space="preserve">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2046DD96" w14:textId="77777777" w:rsidR="00501AFD" w:rsidRPr="005D7599" w:rsidRDefault="00501AFD" w:rsidP="00501AFD">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 xml:space="preserve">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w:t>
      </w:r>
      <w:r>
        <w:rPr>
          <w:rFonts w:ascii="Verdana" w:hAnsi="Verdana" w:cs="BCDHEE+Verdana"/>
          <w:color w:val="000000"/>
        </w:rPr>
        <w:t>cuatro (</w:t>
      </w:r>
      <w:r w:rsidRPr="00DE5508">
        <w:rPr>
          <w:rFonts w:ascii="Verdana" w:hAnsi="Verdana" w:cs="BCDHEE+Verdana"/>
          <w:color w:val="000000"/>
        </w:rPr>
        <w:t>4</w:t>
      </w:r>
      <w:r>
        <w:rPr>
          <w:rFonts w:ascii="Verdana" w:hAnsi="Verdana" w:cs="BCDHEE+Verdana"/>
          <w:color w:val="000000"/>
        </w:rPr>
        <w:t>)</w:t>
      </w:r>
      <w:r w:rsidRPr="00DE5508">
        <w:rPr>
          <w:rFonts w:ascii="Verdana" w:hAnsi="Verdana" w:cs="BCDHEE+Verdana"/>
          <w:color w:val="000000"/>
        </w:rPr>
        <w:t xml:space="preserve"> meses anteriores a la elección presidencial, es decir desde el 31 de enero de 2026 y hasta el momento de la celebración de la segunda vuelta, si fuere el caso, queda prohibida la contratación directa por parte de todos los entes del Estado</w:t>
      </w:r>
      <w:r w:rsidRPr="00122AC1">
        <w:rPr>
          <w:rFonts w:ascii="Verdana" w:hAnsi="Verdana" w:cs="BCDHEE+Verdana"/>
          <w:color w:val="000000"/>
        </w:rPr>
        <w:t>.</w:t>
      </w:r>
    </w:p>
    <w:p w14:paraId="59AF7F49" w14:textId="77777777" w:rsidR="00501AFD" w:rsidRPr="00E61635" w:rsidRDefault="00501AFD" w:rsidP="00501AFD">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E50A62F" w14:textId="3CB2EB69" w:rsidR="00837922" w:rsidRDefault="00837922" w:rsidP="00457B5F">
      <w:pPr>
        <w:spacing w:after="120" w:line="276" w:lineRule="auto"/>
        <w:jc w:val="both"/>
        <w:rPr>
          <w:rFonts w:ascii="Verdana" w:eastAsia="Calibri" w:hAnsi="Verdana" w:cs="Arial"/>
        </w:rPr>
      </w:pPr>
    </w:p>
    <w:bookmarkEnd w:id="4"/>
    <w:p w14:paraId="1569DA98" w14:textId="7605A3D6"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Pr="00DB4737">
        <w:rPr>
          <w:rFonts w:ascii="Verdana" w:eastAsia="Calibri" w:hAnsi="Verdana" w:cs="Times New Roman"/>
          <w:lang w:val="es-ES"/>
        </w:rPr>
        <w:lastRenderedPageBreak/>
        <w:t>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5B84ED99" w14:textId="77777777" w:rsidR="00501AFD" w:rsidRPr="001D2E34"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Ley 489 de 1998: artículo 97.</w:t>
            </w:r>
          </w:p>
          <w:p w14:paraId="159BFD7F" w14:textId="77777777" w:rsidR="00501AFD" w:rsidRPr="00B3605D"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1C58AEBB" w14:textId="77777777" w:rsidR="00501AFD" w:rsidRPr="00274DBA" w:rsidRDefault="00501AFD" w:rsidP="00501AFD">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1133FB40" w14:textId="77777777" w:rsidR="00501AFD" w:rsidRDefault="00501AFD" w:rsidP="00501AFD">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661DFEE4" w14:textId="123A8C63" w:rsidR="00457B5F" w:rsidRPr="000B3E8C" w:rsidRDefault="00501AFD" w:rsidP="00501AFD">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60146E">
              <w:rPr>
                <w:rFonts w:ascii="Verdana" w:hAnsi="Verdana"/>
              </w:rPr>
              <w:t xml:space="preserve">Consejo de Estado. Sala de Consulta y Servicio Civil. Concepto del 12 de junio de 2018. </w:t>
            </w:r>
            <w:proofErr w:type="spellStart"/>
            <w:r w:rsidRPr="0060146E">
              <w:rPr>
                <w:rFonts w:ascii="Verdana" w:hAnsi="Verdana"/>
              </w:rPr>
              <w:t>Exp</w:t>
            </w:r>
            <w:proofErr w:type="spellEnd"/>
            <w:r w:rsidRPr="0060146E">
              <w:rPr>
                <w:rFonts w:ascii="Verdana" w:hAnsi="Verdana"/>
              </w:rPr>
              <w:t>. 2371. C.P. Oscar Darío Amaya Navas</w:t>
            </w:r>
            <w:r>
              <w:rPr>
                <w:rFonts w:ascii="Verdana" w:eastAsia="Calibri" w:hAnsi="Verdana" w:cs="Arial"/>
              </w:rPr>
              <w:t>.</w:t>
            </w:r>
          </w:p>
          <w:p w14:paraId="60CC6EC9" w14:textId="3BFFB46A" w:rsidR="00A64017" w:rsidRPr="00332677" w:rsidRDefault="00A64017" w:rsidP="00EA228B">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0577D44E" w:rsidR="00A64017" w:rsidRPr="002A22D8" w:rsidRDefault="00501AFD" w:rsidP="00A64017">
      <w:pPr>
        <w:widowControl w:val="0"/>
        <w:autoSpaceDE w:val="0"/>
        <w:autoSpaceDN w:val="0"/>
        <w:spacing w:after="0" w:line="276" w:lineRule="auto"/>
        <w:jc w:val="both"/>
        <w:rPr>
          <w:rFonts w:ascii="Verdana" w:hAnsi="Verdana" w:cs="Arial"/>
          <w:bCs/>
          <w:shd w:val="clear" w:color="auto" w:fill="FFFFFF"/>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Pr>
          <w:rFonts w:ascii="Verdana" w:eastAsia="Calibri" w:hAnsi="Verdana" w:cs="Arial"/>
          <w:lang w:val="es-ES_tradnl" w:eastAsia="es-ES_tradnl"/>
        </w:rPr>
        <w:t xml:space="preserve"> y C-1560 del 04 de diciembre de 2025,</w:t>
      </w:r>
      <w:r w:rsidR="00024134" w:rsidRPr="00B60BC4">
        <w:rPr>
          <w:rFonts w:ascii="Verdana" w:eastAsia="Calibri" w:hAnsi="Verdana" w:cs="Arial"/>
          <w:lang w:val="es-ES_tradnl" w:eastAsia="es-ES_tradnl"/>
        </w:rPr>
        <w:t xml:space="preserve"> entre otros</w:t>
      </w:r>
      <w:r w:rsidR="0052066E" w:rsidRPr="00024134">
        <w:rPr>
          <w:rStyle w:val="normaltextrun"/>
          <w:rFonts w:ascii="Verdana" w:hAnsi="Verdana" w:cs="Arial"/>
          <w:shd w:val="clear" w:color="auto" w:fill="FFFFFF"/>
          <w:lang w:val="es-ES"/>
        </w:rPr>
        <w:t xml:space="preserve">. </w:t>
      </w:r>
      <w:r w:rsidR="00A64017" w:rsidRPr="00024134">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w:t>
      </w:r>
      <w:r w:rsidRPr="00505CD6">
        <w:rPr>
          <w:rFonts w:ascii="Verdana" w:hAnsi="Verdana" w:cs="Arial"/>
          <w:color w:val="000000" w:themeColor="text1"/>
          <w:shd w:val="clear" w:color="auto" w:fill="FFFFFF"/>
        </w:rPr>
        <w:lastRenderedPageBreak/>
        <w:t>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3E0E264" w14:textId="661F3216" w:rsidR="00457B5F" w:rsidRDefault="00457B5F" w:rsidP="00A64017">
      <w:pPr>
        <w:spacing w:line="276" w:lineRule="auto"/>
        <w:jc w:val="center"/>
        <w:rPr>
          <w:noProof/>
        </w:rPr>
      </w:pPr>
    </w:p>
    <w:p w14:paraId="7869AA0E" w14:textId="6BE7A552" w:rsidR="00921A6F" w:rsidRDefault="00F23114" w:rsidP="009B7352">
      <w:pPr>
        <w:spacing w:line="276" w:lineRule="auto"/>
        <w:jc w:val="center"/>
        <w:rPr>
          <w:noProof/>
        </w:rPr>
      </w:pPr>
      <w:r w:rsidRPr="002C3AD6">
        <w:rPr>
          <w:rFonts w:ascii="Century Gothic" w:hAnsi="Century Gothic"/>
          <w:noProof/>
        </w:rPr>
        <w:drawing>
          <wp:inline distT="0" distB="0" distL="0" distR="0" wp14:anchorId="04415C7B" wp14:editId="5A858F3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0E47344A" w14:textId="77777777" w:rsidR="00921A6F" w:rsidRDefault="00921A6F"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58930AF1" w:rsidR="00A64017" w:rsidRPr="007911EE" w:rsidRDefault="009B7352" w:rsidP="00A15B1F">
            <w:pPr>
              <w:contextualSpacing/>
              <w:rPr>
                <w:rFonts w:ascii="Verdana" w:hAnsi="Verdana"/>
                <w:sz w:val="16"/>
                <w:szCs w:val="16"/>
              </w:rPr>
            </w:pPr>
            <w:r>
              <w:rPr>
                <w:rFonts w:ascii="Verdana" w:hAnsi="Verdana"/>
                <w:sz w:val="16"/>
                <w:szCs w:val="16"/>
              </w:rPr>
              <w:t>Richard Andrés Montenegro Siefken</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BE894C" w14:textId="13527308" w:rsidR="001773DA" w:rsidRDefault="009B7352" w:rsidP="00A15B1F">
            <w:pPr>
              <w:spacing w:line="276" w:lineRule="auto"/>
              <w:contextualSpacing/>
              <w:jc w:val="both"/>
              <w:rPr>
                <w:rFonts w:ascii="Verdana" w:hAnsi="Verdana"/>
                <w:sz w:val="16"/>
                <w:szCs w:val="16"/>
              </w:rPr>
            </w:pPr>
            <w:r>
              <w:rPr>
                <w:rFonts w:ascii="Verdana" w:hAnsi="Verdana"/>
                <w:sz w:val="16"/>
                <w:szCs w:val="16"/>
              </w:rPr>
              <w:t>Juan David Cardenas Cabezas</w:t>
            </w:r>
          </w:p>
          <w:p w14:paraId="72046261" w14:textId="1CB3BF4C"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D9F94" w14:textId="77777777" w:rsidR="00EE5E6E" w:rsidRDefault="00EE5E6E" w:rsidP="004A1847">
      <w:pPr>
        <w:spacing w:after="0" w:line="240" w:lineRule="auto"/>
      </w:pPr>
      <w:r>
        <w:separator/>
      </w:r>
    </w:p>
  </w:endnote>
  <w:endnote w:type="continuationSeparator" w:id="0">
    <w:p w14:paraId="4830CF4A" w14:textId="77777777" w:rsidR="00EE5E6E" w:rsidRDefault="00EE5E6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CDHEE+Verdana">
    <w:altName w:val="Verdana"/>
    <w:charset w:val="00"/>
    <w:family w:val="swiss"/>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6A862" w14:textId="77777777" w:rsidR="00EE5E6E" w:rsidRDefault="00EE5E6E" w:rsidP="004A1847">
      <w:pPr>
        <w:spacing w:after="0" w:line="240" w:lineRule="auto"/>
      </w:pPr>
      <w:r>
        <w:separator/>
      </w:r>
    </w:p>
  </w:footnote>
  <w:footnote w:type="continuationSeparator" w:id="0">
    <w:p w14:paraId="30445F6D" w14:textId="77777777" w:rsidR="00EE5E6E" w:rsidRDefault="00EE5E6E" w:rsidP="004A1847">
      <w:pPr>
        <w:spacing w:after="0" w:line="240" w:lineRule="auto"/>
      </w:pPr>
      <w:r>
        <w:continuationSeparator/>
      </w:r>
    </w:p>
  </w:footnote>
  <w:footnote w:id="1">
    <w:p w14:paraId="36FDF775" w14:textId="77777777" w:rsidR="00501AFD" w:rsidRPr="006A0190" w:rsidRDefault="00501AFD" w:rsidP="00501AFD">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footnote>
  <w:footnote w:id="2">
    <w:p w14:paraId="480B14F3" w14:textId="77777777" w:rsidR="00501AFD" w:rsidRPr="006A0190" w:rsidRDefault="00501AFD" w:rsidP="00501AFD">
      <w:pPr>
        <w:spacing w:after="0" w:line="240" w:lineRule="auto"/>
        <w:ind w:firstLine="709"/>
        <w:jc w:val="both"/>
        <w:rPr>
          <w:lang w:val="es-ES"/>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footnote>
  <w:footnote w:id="3">
    <w:p w14:paraId="6C2F991F" w14:textId="77777777" w:rsidR="00501AFD" w:rsidRPr="006A0190" w:rsidRDefault="00501AFD" w:rsidP="00501AFD">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79123B36" w14:textId="77777777" w:rsidR="00501AFD" w:rsidRPr="006A0190" w:rsidRDefault="00501AFD" w:rsidP="00501AFD">
      <w:pPr>
        <w:pStyle w:val="Textonotapie"/>
        <w:ind w:firstLine="709"/>
        <w:rPr>
          <w:rFonts w:ascii="Arial" w:hAnsi="Arial" w:cs="Arial"/>
          <w:sz w:val="19"/>
          <w:szCs w:val="19"/>
        </w:rPr>
      </w:pPr>
    </w:p>
  </w:footnote>
  <w:footnote w:id="4">
    <w:p w14:paraId="4B7677AF" w14:textId="77777777" w:rsidR="00501AFD" w:rsidRPr="006A0190" w:rsidRDefault="00501AFD" w:rsidP="00501AFD">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5">
    <w:p w14:paraId="1ADA522A" w14:textId="77777777" w:rsidR="00501AFD" w:rsidRPr="00C05384" w:rsidRDefault="00501AFD" w:rsidP="00501AFD">
      <w:pPr>
        <w:pStyle w:val="Textonotapie"/>
        <w:contextualSpacing/>
        <w:jc w:val="both"/>
        <w:rPr>
          <w:rFonts w:ascii="Verdana" w:hAnsi="Verdana" w:cs="Arial"/>
          <w:sz w:val="16"/>
          <w:szCs w:val="16"/>
        </w:rPr>
      </w:pPr>
      <w:r>
        <w:rPr>
          <w:rFonts w:ascii="Verdana" w:hAnsi="Verdana" w:cs="Arial"/>
          <w:sz w:val="16"/>
          <w:szCs w:val="16"/>
        </w:rPr>
        <w:tab/>
      </w: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footnote>
  <w:footnote w:id="6">
    <w:p w14:paraId="448EC3B7" w14:textId="77777777" w:rsidR="00501AFD" w:rsidRPr="00C05384" w:rsidRDefault="00501AFD" w:rsidP="00501AF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7">
    <w:p w14:paraId="33F70EA2" w14:textId="77777777" w:rsidR="00501AFD" w:rsidRPr="00C05384" w:rsidRDefault="00501AFD" w:rsidP="00501AFD">
      <w:pPr>
        <w:pStyle w:val="Textonotapie"/>
        <w:ind w:firstLine="709"/>
        <w:contextualSpacing/>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8">
    <w:p w14:paraId="27F93DD0" w14:textId="77777777" w:rsidR="00501AFD" w:rsidRPr="00C05384" w:rsidRDefault="00501AFD" w:rsidP="00501AFD">
      <w:pPr>
        <w:pStyle w:val="Textonotapie"/>
        <w:ind w:firstLine="709"/>
        <w:contextualSpacing/>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1FC509B0" w14:textId="77777777" w:rsidR="00501AFD" w:rsidRPr="00C05384" w:rsidRDefault="00501AFD" w:rsidP="00501AFD">
      <w:pPr>
        <w:pStyle w:val="Textonotapie"/>
        <w:ind w:firstLine="709"/>
        <w:contextualSpacing/>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10">
    <w:p w14:paraId="65117675" w14:textId="77777777" w:rsidR="00501AFD" w:rsidRPr="00C05384" w:rsidRDefault="00501AFD" w:rsidP="00501AFD">
      <w:pPr>
        <w:pStyle w:val="Textonotapie"/>
        <w:ind w:firstLine="709"/>
        <w:contextualSpacing/>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w:t>
      </w:r>
      <w:proofErr w:type="spellStart"/>
      <w:r w:rsidRPr="00C05384">
        <w:rPr>
          <w:rFonts w:ascii="Verdana" w:hAnsi="Verdana"/>
          <w:sz w:val="16"/>
          <w:szCs w:val="16"/>
        </w:rPr>
        <w:t>Exp</w:t>
      </w:r>
      <w:proofErr w:type="spellEnd"/>
      <w:r w:rsidRPr="00C05384">
        <w:rPr>
          <w:rFonts w:ascii="Verdana" w:hAnsi="Verdana"/>
          <w:sz w:val="16"/>
          <w:szCs w:val="16"/>
        </w:rPr>
        <w:t>. 2.382. C.P. Álvaro Namén Vargas.</w:t>
      </w:r>
    </w:p>
  </w:footnote>
  <w:footnote w:id="11">
    <w:p w14:paraId="69FA5851" w14:textId="77777777" w:rsidR="00501AFD" w:rsidRPr="00C05384" w:rsidRDefault="00501AFD" w:rsidP="00501AFD">
      <w:pPr>
        <w:spacing w:after="0" w:line="240" w:lineRule="auto"/>
        <w:ind w:left="100" w:right="244" w:firstLine="709"/>
        <w:contextualSpacing/>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89A233D"/>
    <w:multiLevelType w:val="hybridMultilevel"/>
    <w:tmpl w:val="1CDC8B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1"/>
  </w:num>
  <w:num w:numId="2" w16cid:durableId="19822139">
    <w:abstractNumId w:val="2"/>
  </w:num>
  <w:num w:numId="3" w16cid:durableId="876742304">
    <w:abstractNumId w:val="9"/>
  </w:num>
  <w:num w:numId="4" w16cid:durableId="24518640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4"/>
  </w:num>
  <w:num w:numId="7" w16cid:durableId="1946422806">
    <w:abstractNumId w:val="10"/>
  </w:num>
  <w:num w:numId="8" w16cid:durableId="152644682">
    <w:abstractNumId w:val="23"/>
  </w:num>
  <w:num w:numId="9" w16cid:durableId="1317221377">
    <w:abstractNumId w:val="13"/>
  </w:num>
  <w:num w:numId="10" w16cid:durableId="1471245386">
    <w:abstractNumId w:val="22"/>
  </w:num>
  <w:num w:numId="11" w16cid:durableId="289172385">
    <w:abstractNumId w:val="14"/>
  </w:num>
  <w:num w:numId="12" w16cid:durableId="1470781324">
    <w:abstractNumId w:val="1"/>
  </w:num>
  <w:num w:numId="13" w16cid:durableId="1512908409">
    <w:abstractNumId w:val="8"/>
  </w:num>
  <w:num w:numId="14" w16cid:durableId="895897244">
    <w:abstractNumId w:val="25"/>
  </w:num>
  <w:num w:numId="15" w16cid:durableId="390349800">
    <w:abstractNumId w:val="18"/>
  </w:num>
  <w:num w:numId="16" w16cid:durableId="1380713882">
    <w:abstractNumId w:val="0"/>
  </w:num>
  <w:num w:numId="17" w16cid:durableId="691802391">
    <w:abstractNumId w:val="15"/>
  </w:num>
  <w:num w:numId="18" w16cid:durableId="1290623316">
    <w:abstractNumId w:val="5"/>
  </w:num>
  <w:num w:numId="19" w16cid:durableId="562327327">
    <w:abstractNumId w:val="12"/>
  </w:num>
  <w:num w:numId="20" w16cid:durableId="1203205605">
    <w:abstractNumId w:val="7"/>
  </w:num>
  <w:num w:numId="21" w16cid:durableId="878511277">
    <w:abstractNumId w:val="19"/>
  </w:num>
  <w:num w:numId="22" w16cid:durableId="1469083389">
    <w:abstractNumId w:val="4"/>
  </w:num>
  <w:num w:numId="23" w16cid:durableId="1082021154">
    <w:abstractNumId w:val="3"/>
  </w:num>
  <w:num w:numId="24" w16cid:durableId="2118594490">
    <w:abstractNumId w:val="21"/>
  </w:num>
  <w:num w:numId="25" w16cid:durableId="915241207">
    <w:abstractNumId w:val="6"/>
  </w:num>
  <w:num w:numId="26" w16cid:durableId="299651578">
    <w:abstractNumId w:val="17"/>
  </w:num>
  <w:num w:numId="27" w16cid:durableId="24986934">
    <w:abstractNumId w:val="20"/>
  </w:num>
  <w:num w:numId="28" w16cid:durableId="10015095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EC5"/>
    <w:rsid w:val="00016F78"/>
    <w:rsid w:val="00024134"/>
    <w:rsid w:val="00024715"/>
    <w:rsid w:val="00031E96"/>
    <w:rsid w:val="00032396"/>
    <w:rsid w:val="00040C7A"/>
    <w:rsid w:val="00046945"/>
    <w:rsid w:val="00046C11"/>
    <w:rsid w:val="00055DA3"/>
    <w:rsid w:val="00061B2A"/>
    <w:rsid w:val="00080D65"/>
    <w:rsid w:val="00082362"/>
    <w:rsid w:val="0008627A"/>
    <w:rsid w:val="000A683E"/>
    <w:rsid w:val="000B19B9"/>
    <w:rsid w:val="000B4FA5"/>
    <w:rsid w:val="000B5583"/>
    <w:rsid w:val="000B6B58"/>
    <w:rsid w:val="000C00C5"/>
    <w:rsid w:val="000D0334"/>
    <w:rsid w:val="000D4E83"/>
    <w:rsid w:val="000E0A8C"/>
    <w:rsid w:val="000F0F17"/>
    <w:rsid w:val="000F2222"/>
    <w:rsid w:val="000F551E"/>
    <w:rsid w:val="000F6486"/>
    <w:rsid w:val="00103B90"/>
    <w:rsid w:val="00112C6F"/>
    <w:rsid w:val="00124BB0"/>
    <w:rsid w:val="00125105"/>
    <w:rsid w:val="00127233"/>
    <w:rsid w:val="0013630D"/>
    <w:rsid w:val="00140EB5"/>
    <w:rsid w:val="00146287"/>
    <w:rsid w:val="001511A0"/>
    <w:rsid w:val="001773DA"/>
    <w:rsid w:val="00194937"/>
    <w:rsid w:val="001A4F0D"/>
    <w:rsid w:val="001B322D"/>
    <w:rsid w:val="001D1756"/>
    <w:rsid w:val="001E4177"/>
    <w:rsid w:val="001F663F"/>
    <w:rsid w:val="001F7DC6"/>
    <w:rsid w:val="00203306"/>
    <w:rsid w:val="00203E0B"/>
    <w:rsid w:val="00205479"/>
    <w:rsid w:val="00215206"/>
    <w:rsid w:val="002316DB"/>
    <w:rsid w:val="00235C0B"/>
    <w:rsid w:val="00235E53"/>
    <w:rsid w:val="002371DC"/>
    <w:rsid w:val="00240FC9"/>
    <w:rsid w:val="002421BB"/>
    <w:rsid w:val="00242FED"/>
    <w:rsid w:val="00247379"/>
    <w:rsid w:val="00252DA4"/>
    <w:rsid w:val="0025796E"/>
    <w:rsid w:val="002707A2"/>
    <w:rsid w:val="00274CA6"/>
    <w:rsid w:val="002951A0"/>
    <w:rsid w:val="002962BC"/>
    <w:rsid w:val="002A093D"/>
    <w:rsid w:val="002A0DD0"/>
    <w:rsid w:val="002A128A"/>
    <w:rsid w:val="002A22D8"/>
    <w:rsid w:val="002A49AC"/>
    <w:rsid w:val="002A64FD"/>
    <w:rsid w:val="002A7DD8"/>
    <w:rsid w:val="002C0393"/>
    <w:rsid w:val="002C1AD5"/>
    <w:rsid w:val="002C7A84"/>
    <w:rsid w:val="002E4C8F"/>
    <w:rsid w:val="002E4FD9"/>
    <w:rsid w:val="00302C65"/>
    <w:rsid w:val="00310DA4"/>
    <w:rsid w:val="00322A85"/>
    <w:rsid w:val="00323054"/>
    <w:rsid w:val="00324168"/>
    <w:rsid w:val="00324E0B"/>
    <w:rsid w:val="00331CD0"/>
    <w:rsid w:val="00342217"/>
    <w:rsid w:val="003448F4"/>
    <w:rsid w:val="00354075"/>
    <w:rsid w:val="00361698"/>
    <w:rsid w:val="003639A5"/>
    <w:rsid w:val="00374F5E"/>
    <w:rsid w:val="00376AF4"/>
    <w:rsid w:val="00377E3E"/>
    <w:rsid w:val="00380918"/>
    <w:rsid w:val="003A2E2D"/>
    <w:rsid w:val="003A779E"/>
    <w:rsid w:val="003D0F4D"/>
    <w:rsid w:val="003D5B0D"/>
    <w:rsid w:val="003E0499"/>
    <w:rsid w:val="003E2F6B"/>
    <w:rsid w:val="003F0A78"/>
    <w:rsid w:val="003F3941"/>
    <w:rsid w:val="00406575"/>
    <w:rsid w:val="004138FA"/>
    <w:rsid w:val="00414C74"/>
    <w:rsid w:val="004200BD"/>
    <w:rsid w:val="0042722E"/>
    <w:rsid w:val="004321FF"/>
    <w:rsid w:val="0043740D"/>
    <w:rsid w:val="0044528D"/>
    <w:rsid w:val="00457B5F"/>
    <w:rsid w:val="00487F18"/>
    <w:rsid w:val="0049089A"/>
    <w:rsid w:val="00493AF3"/>
    <w:rsid w:val="004A1847"/>
    <w:rsid w:val="004A305D"/>
    <w:rsid w:val="004B50C2"/>
    <w:rsid w:val="004C63BA"/>
    <w:rsid w:val="004D2AAA"/>
    <w:rsid w:val="004F21C4"/>
    <w:rsid w:val="004F685F"/>
    <w:rsid w:val="00500848"/>
    <w:rsid w:val="00501AFD"/>
    <w:rsid w:val="0052066E"/>
    <w:rsid w:val="005264E2"/>
    <w:rsid w:val="005448DE"/>
    <w:rsid w:val="00554AFE"/>
    <w:rsid w:val="005566E8"/>
    <w:rsid w:val="00567040"/>
    <w:rsid w:val="0057166B"/>
    <w:rsid w:val="00574867"/>
    <w:rsid w:val="005806A6"/>
    <w:rsid w:val="00591460"/>
    <w:rsid w:val="005940BC"/>
    <w:rsid w:val="005B3816"/>
    <w:rsid w:val="005B3FB2"/>
    <w:rsid w:val="005B65F1"/>
    <w:rsid w:val="005C3777"/>
    <w:rsid w:val="005C5CDC"/>
    <w:rsid w:val="005C7DAB"/>
    <w:rsid w:val="005D476C"/>
    <w:rsid w:val="0061329B"/>
    <w:rsid w:val="006219F8"/>
    <w:rsid w:val="00627B9E"/>
    <w:rsid w:val="00631045"/>
    <w:rsid w:val="00637BBF"/>
    <w:rsid w:val="00644876"/>
    <w:rsid w:val="00665D70"/>
    <w:rsid w:val="00675FED"/>
    <w:rsid w:val="0068074B"/>
    <w:rsid w:val="006900D9"/>
    <w:rsid w:val="006905C0"/>
    <w:rsid w:val="006B2C02"/>
    <w:rsid w:val="006B4B9E"/>
    <w:rsid w:val="006C1E78"/>
    <w:rsid w:val="006C4D38"/>
    <w:rsid w:val="006C5AFB"/>
    <w:rsid w:val="006D7121"/>
    <w:rsid w:val="00706C16"/>
    <w:rsid w:val="0072552A"/>
    <w:rsid w:val="0073141C"/>
    <w:rsid w:val="00740D46"/>
    <w:rsid w:val="00756841"/>
    <w:rsid w:val="00763E4A"/>
    <w:rsid w:val="007649AB"/>
    <w:rsid w:val="00771D0C"/>
    <w:rsid w:val="007733E9"/>
    <w:rsid w:val="00782CD7"/>
    <w:rsid w:val="007833AC"/>
    <w:rsid w:val="00783E27"/>
    <w:rsid w:val="007B1700"/>
    <w:rsid w:val="007B268C"/>
    <w:rsid w:val="007B7171"/>
    <w:rsid w:val="007C0C0F"/>
    <w:rsid w:val="007C3DC2"/>
    <w:rsid w:val="007E5497"/>
    <w:rsid w:val="007F7470"/>
    <w:rsid w:val="00806F5F"/>
    <w:rsid w:val="00820278"/>
    <w:rsid w:val="00826A46"/>
    <w:rsid w:val="00836334"/>
    <w:rsid w:val="00837922"/>
    <w:rsid w:val="00847C37"/>
    <w:rsid w:val="00853C28"/>
    <w:rsid w:val="00862660"/>
    <w:rsid w:val="00867F95"/>
    <w:rsid w:val="008843B6"/>
    <w:rsid w:val="00891928"/>
    <w:rsid w:val="008943C1"/>
    <w:rsid w:val="008A30DF"/>
    <w:rsid w:val="008A446D"/>
    <w:rsid w:val="008B22D4"/>
    <w:rsid w:val="008B5BD4"/>
    <w:rsid w:val="008B7BF9"/>
    <w:rsid w:val="008C5ABE"/>
    <w:rsid w:val="008D180B"/>
    <w:rsid w:val="008E2432"/>
    <w:rsid w:val="008F0EA7"/>
    <w:rsid w:val="00916515"/>
    <w:rsid w:val="00921A6F"/>
    <w:rsid w:val="00923EEF"/>
    <w:rsid w:val="00927EF1"/>
    <w:rsid w:val="0093441F"/>
    <w:rsid w:val="009419F9"/>
    <w:rsid w:val="009552F8"/>
    <w:rsid w:val="0095685E"/>
    <w:rsid w:val="00961B09"/>
    <w:rsid w:val="00964DAB"/>
    <w:rsid w:val="00965334"/>
    <w:rsid w:val="00967B5B"/>
    <w:rsid w:val="0097093E"/>
    <w:rsid w:val="00986AC5"/>
    <w:rsid w:val="009A0DFA"/>
    <w:rsid w:val="009A2609"/>
    <w:rsid w:val="009B2D26"/>
    <w:rsid w:val="009B7352"/>
    <w:rsid w:val="009C3869"/>
    <w:rsid w:val="009C71FA"/>
    <w:rsid w:val="009C72E7"/>
    <w:rsid w:val="009D0270"/>
    <w:rsid w:val="009D3058"/>
    <w:rsid w:val="009E7558"/>
    <w:rsid w:val="009F1C22"/>
    <w:rsid w:val="009F3A13"/>
    <w:rsid w:val="00A122D3"/>
    <w:rsid w:val="00A13077"/>
    <w:rsid w:val="00A17C33"/>
    <w:rsid w:val="00A17F13"/>
    <w:rsid w:val="00A20739"/>
    <w:rsid w:val="00A24C35"/>
    <w:rsid w:val="00A33C78"/>
    <w:rsid w:val="00A35FB0"/>
    <w:rsid w:val="00A51CB5"/>
    <w:rsid w:val="00A52834"/>
    <w:rsid w:val="00A64017"/>
    <w:rsid w:val="00A800B4"/>
    <w:rsid w:val="00A81AFE"/>
    <w:rsid w:val="00A97349"/>
    <w:rsid w:val="00AA1AB8"/>
    <w:rsid w:val="00AB0ADB"/>
    <w:rsid w:val="00AC14A6"/>
    <w:rsid w:val="00AC19F6"/>
    <w:rsid w:val="00AD1D1F"/>
    <w:rsid w:val="00B01B1A"/>
    <w:rsid w:val="00B023E1"/>
    <w:rsid w:val="00B0429C"/>
    <w:rsid w:val="00B23BA1"/>
    <w:rsid w:val="00B2560E"/>
    <w:rsid w:val="00B350FE"/>
    <w:rsid w:val="00B403F3"/>
    <w:rsid w:val="00B41E30"/>
    <w:rsid w:val="00B45CE8"/>
    <w:rsid w:val="00B54B1C"/>
    <w:rsid w:val="00B64A83"/>
    <w:rsid w:val="00B66319"/>
    <w:rsid w:val="00B66B46"/>
    <w:rsid w:val="00B70BDA"/>
    <w:rsid w:val="00B72CD3"/>
    <w:rsid w:val="00B72FFF"/>
    <w:rsid w:val="00B74C13"/>
    <w:rsid w:val="00B84C3E"/>
    <w:rsid w:val="00B87FBD"/>
    <w:rsid w:val="00B90497"/>
    <w:rsid w:val="00BA7AA4"/>
    <w:rsid w:val="00BB5A06"/>
    <w:rsid w:val="00BC3D36"/>
    <w:rsid w:val="00BD7F72"/>
    <w:rsid w:val="00BE36F8"/>
    <w:rsid w:val="00C04FB3"/>
    <w:rsid w:val="00C203C3"/>
    <w:rsid w:val="00C241FC"/>
    <w:rsid w:val="00C273C3"/>
    <w:rsid w:val="00C314FE"/>
    <w:rsid w:val="00C330EB"/>
    <w:rsid w:val="00C41061"/>
    <w:rsid w:val="00C5014F"/>
    <w:rsid w:val="00C63058"/>
    <w:rsid w:val="00C653EC"/>
    <w:rsid w:val="00C754BE"/>
    <w:rsid w:val="00C76B1C"/>
    <w:rsid w:val="00C76C5B"/>
    <w:rsid w:val="00C84124"/>
    <w:rsid w:val="00C8467B"/>
    <w:rsid w:val="00C90C14"/>
    <w:rsid w:val="00C91AF4"/>
    <w:rsid w:val="00C9219A"/>
    <w:rsid w:val="00CA01D8"/>
    <w:rsid w:val="00CB1A91"/>
    <w:rsid w:val="00CB6357"/>
    <w:rsid w:val="00CC08E9"/>
    <w:rsid w:val="00CC1B26"/>
    <w:rsid w:val="00CC5B40"/>
    <w:rsid w:val="00CE429E"/>
    <w:rsid w:val="00CE58F3"/>
    <w:rsid w:val="00D3590B"/>
    <w:rsid w:val="00D423A2"/>
    <w:rsid w:val="00D51C81"/>
    <w:rsid w:val="00D520D8"/>
    <w:rsid w:val="00D57E44"/>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34BD8"/>
    <w:rsid w:val="00E5014D"/>
    <w:rsid w:val="00E50AFE"/>
    <w:rsid w:val="00E72E05"/>
    <w:rsid w:val="00E75C92"/>
    <w:rsid w:val="00E771DC"/>
    <w:rsid w:val="00E8182D"/>
    <w:rsid w:val="00E82223"/>
    <w:rsid w:val="00E8772A"/>
    <w:rsid w:val="00E90F6B"/>
    <w:rsid w:val="00E92C27"/>
    <w:rsid w:val="00EA0E3D"/>
    <w:rsid w:val="00EA228B"/>
    <w:rsid w:val="00EA70F7"/>
    <w:rsid w:val="00EC197C"/>
    <w:rsid w:val="00EC38A7"/>
    <w:rsid w:val="00EC5C8D"/>
    <w:rsid w:val="00ED46C7"/>
    <w:rsid w:val="00ED706A"/>
    <w:rsid w:val="00ED7384"/>
    <w:rsid w:val="00EE0E6D"/>
    <w:rsid w:val="00EE1AA8"/>
    <w:rsid w:val="00EE5E6E"/>
    <w:rsid w:val="00EF736C"/>
    <w:rsid w:val="00F13A99"/>
    <w:rsid w:val="00F23114"/>
    <w:rsid w:val="00F30C63"/>
    <w:rsid w:val="00F31EDC"/>
    <w:rsid w:val="00F462B3"/>
    <w:rsid w:val="00F5664F"/>
    <w:rsid w:val="00F572DF"/>
    <w:rsid w:val="00F666C4"/>
    <w:rsid w:val="00F76AFC"/>
    <w:rsid w:val="00F96FA7"/>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Fuerte">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 w:type="character" w:customStyle="1" w:styleId="baj">
    <w:name w:val="b_aj"/>
    <w:basedOn w:val="Fuentedeprrafopredeter"/>
    <w:rsid w:val="00501A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uisabriascos@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85FBE7CC-19EC-4434-8E5F-FEA8057883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5692</Words>
  <Characters>31137</Characters>
  <Application>Microsoft Office Word</Application>
  <DocSecurity>0</DocSecurity>
  <Lines>598</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2026-03-24T00:45:00Z</dcterms:created>
  <dcterms:modified xsi:type="dcterms:W3CDTF">2026-03-25T01:51:00Z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