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D9FB5D" w14:textId="77777777" w:rsidR="00794876" w:rsidRPr="00C55BDE" w:rsidRDefault="00794876" w:rsidP="00794876">
      <w:pPr>
        <w:snapToGrid w:val="0"/>
        <w:contextualSpacing/>
        <w:jc w:val="both"/>
        <w:rPr>
          <w:rFonts w:ascii="Verdana" w:hAnsi="Verdana" w:cs="Arial"/>
          <w:b/>
          <w:bCs/>
          <w:lang w:val="es-ES" w:eastAsia="es-ES"/>
        </w:rPr>
      </w:pPr>
      <w:bookmarkStart w:id="0" w:name="_Hlk143780582"/>
      <w:r w:rsidRPr="00C55BDE">
        <w:rPr>
          <w:rFonts w:ascii="Verdana" w:hAnsi="Verdana" w:cs="Arial"/>
          <w:b/>
          <w:bCs/>
          <w:lang w:val="es-ES" w:eastAsia="es-ES"/>
        </w:rPr>
        <w:t>LEY DE GARANTÍAS ELECTORALES – Finalidad</w:t>
      </w:r>
    </w:p>
    <w:p w14:paraId="238D0B5C" w14:textId="77777777" w:rsidR="00794876" w:rsidRPr="00C55BDE" w:rsidRDefault="00794876" w:rsidP="00794876">
      <w:pPr>
        <w:snapToGrid w:val="0"/>
        <w:contextualSpacing/>
        <w:jc w:val="both"/>
        <w:rPr>
          <w:rFonts w:ascii="Verdana" w:hAnsi="Verdana" w:cs="Arial"/>
          <w:b/>
          <w:bCs/>
          <w:lang w:val="es-ES" w:eastAsia="es-ES"/>
        </w:rPr>
      </w:pPr>
    </w:p>
    <w:p w14:paraId="74F9838A" w14:textId="77777777" w:rsidR="00794876" w:rsidRPr="00C55BDE" w:rsidRDefault="00794876" w:rsidP="00794876">
      <w:pPr>
        <w:tabs>
          <w:tab w:val="left" w:pos="426"/>
        </w:tabs>
        <w:snapToGrid w:val="0"/>
        <w:spacing w:after="0" w:line="240" w:lineRule="auto"/>
        <w:contextualSpacing/>
        <w:jc w:val="both"/>
        <w:rPr>
          <w:rFonts w:ascii="Verdana" w:hAnsi="Verdana" w:cs="Arial"/>
          <w:sz w:val="20"/>
          <w:szCs w:val="20"/>
          <w:lang w:val="es-ES"/>
        </w:rPr>
      </w:pPr>
      <w:r w:rsidRPr="00C55BDE">
        <w:rPr>
          <w:rFonts w:ascii="Verdana" w:eastAsia="Times New Roman" w:hAnsi="Verdana" w:cs="Arial"/>
          <w:sz w:val="20"/>
          <w:szCs w:val="20"/>
          <w:lang w:val="es-ES" w:eastAsia="es-CO"/>
        </w:rPr>
        <w:t>En el mismo sentido,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r w:rsidRPr="00C55BDE">
        <w:rPr>
          <w:rFonts w:ascii="Verdana" w:hAnsi="Verdana" w:cs="Arial"/>
          <w:sz w:val="20"/>
          <w:szCs w:val="20"/>
          <w:lang w:val="es-ES"/>
        </w:rPr>
        <w:t xml:space="preserve"> </w:t>
      </w:r>
    </w:p>
    <w:p w14:paraId="23382B0A" w14:textId="77777777" w:rsidR="00794876" w:rsidRPr="00C55BDE" w:rsidRDefault="00794876" w:rsidP="00794876">
      <w:pPr>
        <w:snapToGrid w:val="0"/>
        <w:contextualSpacing/>
        <w:jc w:val="both"/>
        <w:rPr>
          <w:rFonts w:ascii="Verdana" w:hAnsi="Verdana" w:cs="Arial"/>
          <w:b/>
          <w:bCs/>
          <w:lang w:val="es-ES" w:eastAsia="es-ES"/>
        </w:rPr>
      </w:pPr>
    </w:p>
    <w:p w14:paraId="3CD7D34F" w14:textId="77777777" w:rsidR="00794876" w:rsidRPr="00C55BDE" w:rsidRDefault="00794876" w:rsidP="00794876">
      <w:pPr>
        <w:snapToGrid w:val="0"/>
        <w:contextualSpacing/>
        <w:jc w:val="both"/>
        <w:rPr>
          <w:rFonts w:ascii="Verdana" w:hAnsi="Verdana" w:cs="Arial"/>
          <w:b/>
          <w:bCs/>
          <w:sz w:val="20"/>
          <w:szCs w:val="20"/>
          <w:lang w:val="es-ES" w:eastAsia="es-ES"/>
        </w:rPr>
      </w:pPr>
      <w:r w:rsidRPr="00C55BDE">
        <w:rPr>
          <w:rFonts w:ascii="Verdana" w:hAnsi="Verdana" w:cs="Arial"/>
          <w:b/>
          <w:bCs/>
          <w:lang w:val="es-ES" w:eastAsia="es-ES"/>
        </w:rPr>
        <w:t>LEY DE GARANTÍAS ELECTORALES ‒ Restricciones ‒ Contratación ‒ Tipos de elección</w:t>
      </w:r>
    </w:p>
    <w:p w14:paraId="3ED24BC6" w14:textId="77777777" w:rsidR="00794876" w:rsidRPr="00C55BDE" w:rsidRDefault="00794876" w:rsidP="00794876">
      <w:pPr>
        <w:snapToGrid w:val="0"/>
        <w:spacing w:after="0" w:line="240" w:lineRule="auto"/>
        <w:contextualSpacing/>
        <w:jc w:val="both"/>
        <w:rPr>
          <w:rFonts w:ascii="Verdana" w:hAnsi="Verdana" w:cs="Arial"/>
          <w:sz w:val="20"/>
          <w:szCs w:val="20"/>
          <w:lang w:val="es-ES" w:eastAsia="es-ES"/>
        </w:rPr>
      </w:pPr>
    </w:p>
    <w:p w14:paraId="24B1CF1C" w14:textId="77777777" w:rsidR="00794876" w:rsidRPr="00C55BDE" w:rsidRDefault="00794876" w:rsidP="00794876">
      <w:pPr>
        <w:snapToGrid w:val="0"/>
        <w:spacing w:after="0" w:line="240" w:lineRule="auto"/>
        <w:contextualSpacing/>
        <w:jc w:val="both"/>
        <w:rPr>
          <w:rFonts w:ascii="Verdana" w:hAnsi="Verdana" w:cs="Arial"/>
          <w:sz w:val="20"/>
          <w:szCs w:val="20"/>
          <w:lang w:val="es-ES"/>
        </w:rPr>
      </w:pPr>
      <w:r w:rsidRPr="00C55BDE">
        <w:rPr>
          <w:rFonts w:ascii="Verdana" w:hAnsi="Verdana" w:cs="Arial"/>
          <w:sz w:val="20"/>
          <w:szCs w:val="20"/>
          <w:lang w:val="es-ES"/>
        </w:rPr>
        <w:t xml:space="preserve">Por un lado, el </w:t>
      </w:r>
      <w:r w:rsidRPr="00C55BDE">
        <w:rPr>
          <w:rFonts w:ascii="Verdana" w:hAnsi="Verdana" w:cs="Arial"/>
          <w:i/>
          <w:iCs/>
          <w:sz w:val="20"/>
          <w:szCs w:val="20"/>
          <w:lang w:val="es-ES"/>
        </w:rPr>
        <w:t xml:space="preserve">artículo 33 </w:t>
      </w:r>
      <w:r w:rsidRPr="00C55BDE">
        <w:rPr>
          <w:rFonts w:ascii="Verdana" w:hAnsi="Verdana" w:cs="Arial"/>
          <w:sz w:val="20"/>
          <w:szCs w:val="20"/>
          <w:lang w:val="es-ES"/>
        </w:rPr>
        <w:t xml:space="preserve">de la Ley 996 de 2005 prohíbe “[…] la contratación directa por parte de </w:t>
      </w:r>
      <w:r w:rsidRPr="00C55BDE">
        <w:rPr>
          <w:rFonts w:ascii="Verdana" w:hAnsi="Verdana" w:cs="Arial"/>
          <w:i/>
          <w:iCs/>
          <w:sz w:val="20"/>
          <w:szCs w:val="20"/>
          <w:lang w:val="es-ES"/>
        </w:rPr>
        <w:t>todos los entes del Estado</w:t>
      </w:r>
      <w:r w:rsidRPr="00C55BDE">
        <w:rPr>
          <w:rFonts w:ascii="Verdana" w:hAnsi="Verdana" w:cs="Arial"/>
          <w:sz w:val="20"/>
          <w:szCs w:val="20"/>
          <w:lang w:val="es-ES"/>
        </w:rPr>
        <w:t xml:space="preserve">” durante los cuatro (4) meses anteriores a las </w:t>
      </w:r>
      <w:r w:rsidRPr="00C55BDE">
        <w:rPr>
          <w:rFonts w:ascii="Verdana" w:hAnsi="Verdana" w:cs="Arial"/>
          <w:i/>
          <w:iCs/>
          <w:sz w:val="20"/>
          <w:szCs w:val="20"/>
          <w:lang w:val="es-ES"/>
        </w:rPr>
        <w:t>elecciones presidenciales</w:t>
      </w:r>
      <w:r w:rsidRPr="00C55BDE">
        <w:rPr>
          <w:rFonts w:ascii="Verdana" w:hAnsi="Verdana" w:cs="Arial"/>
          <w:sz w:val="20"/>
          <w:szCs w:val="20"/>
          <w:lang w:val="es-ES"/>
        </w:rPr>
        <w:t>,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54633964" w14:textId="77777777" w:rsidR="00794876" w:rsidRPr="00C55BDE" w:rsidRDefault="00794876" w:rsidP="00794876">
      <w:pPr>
        <w:snapToGrid w:val="0"/>
        <w:spacing w:after="0" w:line="240" w:lineRule="auto"/>
        <w:contextualSpacing/>
        <w:jc w:val="both"/>
        <w:rPr>
          <w:rFonts w:ascii="Verdana" w:hAnsi="Verdana" w:cs="Arial"/>
          <w:sz w:val="20"/>
          <w:szCs w:val="20"/>
          <w:lang w:val="es-ES"/>
        </w:rPr>
      </w:pPr>
    </w:p>
    <w:p w14:paraId="7D9D9175" w14:textId="77777777" w:rsidR="00794876" w:rsidRDefault="00794876" w:rsidP="00794876">
      <w:pPr>
        <w:widowControl w:val="0"/>
        <w:autoSpaceDE w:val="0"/>
        <w:autoSpaceDN w:val="0"/>
        <w:snapToGrid w:val="0"/>
        <w:spacing w:after="0" w:line="240" w:lineRule="auto"/>
        <w:ind w:right="113"/>
        <w:contextualSpacing/>
        <w:jc w:val="both"/>
        <w:rPr>
          <w:rFonts w:ascii="Verdana" w:eastAsia="Arial" w:hAnsi="Verdana" w:cs="Arial"/>
          <w:sz w:val="20"/>
          <w:szCs w:val="20"/>
          <w:lang w:val="es-ES" w:eastAsia="es-ES" w:bidi="es-ES"/>
        </w:rPr>
      </w:pPr>
      <w:r w:rsidRPr="00C55BDE">
        <w:rPr>
          <w:rFonts w:ascii="Verdana" w:hAnsi="Verdana" w:cs="Arial"/>
          <w:sz w:val="20"/>
          <w:szCs w:val="20"/>
          <w:lang w:val="es-ES"/>
        </w:rPr>
        <w:t xml:space="preserve">Por otro lado, </w:t>
      </w:r>
      <w:r w:rsidRPr="00C55BDE">
        <w:rPr>
          <w:rFonts w:ascii="Verdana" w:hAnsi="Verdana" w:cs="Arial"/>
          <w:i/>
          <w:iCs/>
          <w:sz w:val="20"/>
          <w:szCs w:val="20"/>
          <w:lang w:val="es-ES"/>
        </w:rPr>
        <w:t xml:space="preserve">el parágrafo del artículo 38 </w:t>
      </w:r>
      <w:r w:rsidRPr="00C55BDE">
        <w:rPr>
          <w:rFonts w:ascii="Verdana" w:hAnsi="Verdana" w:cs="Arial"/>
          <w:sz w:val="20"/>
          <w:szCs w:val="20"/>
          <w:lang w:val="es-ES"/>
        </w:rPr>
        <w:t xml:space="preserve">de la Ley 996 de 2005 prevé una restricción, aplicable respecto de </w:t>
      </w:r>
      <w:r w:rsidRPr="00C55BDE">
        <w:rPr>
          <w:rFonts w:ascii="Verdana" w:hAnsi="Verdana" w:cs="Arial"/>
          <w:i/>
          <w:iCs/>
          <w:sz w:val="20"/>
          <w:szCs w:val="20"/>
          <w:lang w:val="es-ES"/>
        </w:rPr>
        <w:t>cualquier tipo de contienda electoral</w:t>
      </w:r>
      <w:r w:rsidRPr="00C55BDE">
        <w:rPr>
          <w:rFonts w:ascii="Verdana" w:hAnsi="Verdana" w:cs="Arial"/>
          <w:sz w:val="20"/>
          <w:szCs w:val="20"/>
          <w:lang w:val="es-ES"/>
        </w:rPr>
        <w:t>,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C55BDE">
        <w:rPr>
          <w:rFonts w:ascii="Verdana" w:eastAsia="Arial" w:hAnsi="Verdana" w:cs="Arial"/>
          <w:sz w:val="20"/>
          <w:szCs w:val="20"/>
          <w:lang w:val="es-ES" w:eastAsia="es-ES" w:bidi="es-ES"/>
        </w:rPr>
        <w:t xml:space="preserve"> </w:t>
      </w:r>
    </w:p>
    <w:p w14:paraId="20E2376F" w14:textId="77777777" w:rsidR="00794876" w:rsidRDefault="00794876" w:rsidP="00794876">
      <w:pPr>
        <w:widowControl w:val="0"/>
        <w:autoSpaceDE w:val="0"/>
        <w:autoSpaceDN w:val="0"/>
        <w:snapToGrid w:val="0"/>
        <w:spacing w:after="0" w:line="240" w:lineRule="auto"/>
        <w:ind w:right="113"/>
        <w:contextualSpacing/>
        <w:jc w:val="both"/>
        <w:rPr>
          <w:rFonts w:ascii="Verdana" w:eastAsia="Arial" w:hAnsi="Verdana" w:cs="Arial"/>
          <w:sz w:val="20"/>
          <w:szCs w:val="20"/>
          <w:lang w:val="es-ES" w:eastAsia="es-ES" w:bidi="es-ES"/>
        </w:rPr>
      </w:pPr>
    </w:p>
    <w:p w14:paraId="21754F9A" w14:textId="77777777" w:rsidR="00794876" w:rsidRDefault="00794876" w:rsidP="00794876">
      <w:pPr>
        <w:widowControl w:val="0"/>
        <w:autoSpaceDE w:val="0"/>
        <w:autoSpaceDN w:val="0"/>
        <w:snapToGrid w:val="0"/>
        <w:spacing w:after="0" w:line="240" w:lineRule="auto"/>
        <w:ind w:right="113"/>
        <w:contextualSpacing/>
        <w:jc w:val="both"/>
        <w:rPr>
          <w:rFonts w:ascii="Verdana" w:hAnsi="Verdana" w:cs="Arial"/>
          <w:b/>
          <w:bCs/>
          <w:lang w:val="es-MX" w:eastAsia="es-ES_tradnl"/>
        </w:rPr>
      </w:pPr>
      <w:r w:rsidRPr="00C250F5">
        <w:rPr>
          <w:rFonts w:ascii="Verdana" w:hAnsi="Verdana" w:cs="Arial"/>
          <w:b/>
          <w:bCs/>
          <w:lang w:val="es-MX" w:eastAsia="es-ES_tradnl"/>
        </w:rPr>
        <w:t>CONVENIOS INTERADMINISTRATIVOS – Criterio orgánico</w:t>
      </w:r>
    </w:p>
    <w:p w14:paraId="2C7B9C37" w14:textId="77777777" w:rsidR="00794876" w:rsidRDefault="00794876" w:rsidP="00794876">
      <w:pPr>
        <w:widowControl w:val="0"/>
        <w:autoSpaceDE w:val="0"/>
        <w:autoSpaceDN w:val="0"/>
        <w:snapToGrid w:val="0"/>
        <w:spacing w:after="0" w:line="240" w:lineRule="auto"/>
        <w:ind w:right="113"/>
        <w:contextualSpacing/>
        <w:jc w:val="both"/>
        <w:rPr>
          <w:rFonts w:ascii="Verdana" w:hAnsi="Verdana" w:cs="Arial"/>
          <w:b/>
          <w:bCs/>
          <w:lang w:val="es-MX" w:eastAsia="es-ES_tradnl"/>
        </w:rPr>
      </w:pPr>
    </w:p>
    <w:p w14:paraId="1D24B895" w14:textId="77777777" w:rsidR="00794876" w:rsidRPr="00C250F5" w:rsidRDefault="00794876" w:rsidP="00794876">
      <w:pPr>
        <w:spacing w:after="0" w:line="240" w:lineRule="auto"/>
        <w:jc w:val="both"/>
        <w:rPr>
          <w:rFonts w:ascii="Verdana" w:eastAsia="Times New Roman" w:hAnsi="Verdana" w:cs="Arial"/>
          <w:sz w:val="20"/>
          <w:szCs w:val="20"/>
          <w:lang w:val="es-ES" w:eastAsia="es-CO"/>
        </w:rPr>
      </w:pPr>
      <w:r w:rsidRPr="00C250F5">
        <w:rPr>
          <w:rFonts w:ascii="Verdana" w:eastAsia="Times New Roman" w:hAnsi="Verdana" w:cs="Arial"/>
          <w:sz w:val="20"/>
          <w:szCs w:val="20"/>
          <w:lang w:val="es-ES" w:eastAsia="es-CO"/>
        </w:rPr>
        <w:t>Si bien los contratos o convenios interadministrativos están previstos en la Ley 80 de 1993, en la Ley 1150 de 2007 y en el Decreto 1082 de 2015, no quiere decir que solo puedan celebrarse entre Entidades Estatales que apliquen el régimen de contratación allí previsto. En efecto, una Entidad Estatal de la Ley 80 de 1993 – como es el caso de un municipio – bien puede celebrar esta clase de convenios con una Entidad Estatal de régimen especial y no por ello dejará de ser un contrato o convenio interadministrativo.</w:t>
      </w:r>
    </w:p>
    <w:p w14:paraId="24C9F45D" w14:textId="77777777" w:rsidR="00794876" w:rsidRDefault="00794876" w:rsidP="00794876">
      <w:pPr>
        <w:spacing w:after="0" w:line="240" w:lineRule="auto"/>
        <w:jc w:val="both"/>
        <w:rPr>
          <w:rFonts w:ascii="Verdana" w:eastAsia="Times New Roman" w:hAnsi="Verdana" w:cs="Arial"/>
          <w:sz w:val="20"/>
          <w:szCs w:val="20"/>
          <w:lang w:val="es-ES" w:eastAsia="es-CO"/>
        </w:rPr>
      </w:pPr>
    </w:p>
    <w:p w14:paraId="72B04B28" w14:textId="77777777" w:rsidR="00794876" w:rsidRPr="00C250F5" w:rsidRDefault="00794876" w:rsidP="00794876">
      <w:pPr>
        <w:spacing w:after="0" w:line="240" w:lineRule="auto"/>
        <w:jc w:val="both"/>
        <w:rPr>
          <w:rFonts w:ascii="Verdana" w:eastAsia="Times New Roman" w:hAnsi="Verdana" w:cs="Arial"/>
          <w:sz w:val="20"/>
          <w:szCs w:val="20"/>
          <w:lang w:val="es-ES" w:eastAsia="es-CO"/>
        </w:rPr>
      </w:pPr>
      <w:r w:rsidRPr="00C250F5">
        <w:rPr>
          <w:rFonts w:ascii="Verdana" w:eastAsia="Times New Roman" w:hAnsi="Verdana" w:cs="Arial"/>
          <w:sz w:val="20"/>
          <w:szCs w:val="20"/>
          <w:lang w:val="es-ES" w:eastAsia="es-CO"/>
        </w:rPr>
        <w:t xml:space="preserve">Un contrato o convenio interadministrativo no está determinado por la modalidad de selección utilizada para celebrarlo. La Ley 1150 de 2007 establece que pueden celebrarse directamente, siempre que las obligaciones derivadas del mismo tengan relación directa con el objeto de la entidad ejecutora, señalado en la ley o en sus reglamentos, a menos </w:t>
      </w:r>
      <w:r w:rsidRPr="00C250F5">
        <w:rPr>
          <w:rFonts w:ascii="Verdana" w:eastAsia="Times New Roman" w:hAnsi="Verdana" w:cs="Arial"/>
          <w:sz w:val="20"/>
          <w:szCs w:val="20"/>
          <w:lang w:val="es-ES" w:eastAsia="es-CO"/>
        </w:rPr>
        <w:lastRenderedPageBreak/>
        <w:t>que, según las excepciones previstas en dicha Ley, deba adelantarse un procedimiento susceptible de pluralidad de oferentes</w:t>
      </w:r>
      <w:r w:rsidRPr="00C250F5">
        <w:rPr>
          <w:rFonts w:ascii="Verdana" w:eastAsia="Times New Roman" w:hAnsi="Verdana" w:cs="Arial"/>
          <w:sz w:val="20"/>
          <w:szCs w:val="20"/>
          <w:lang w:val="es-ES" w:eastAsia="es-CO"/>
        </w:rPr>
        <w:footnoteReference w:id="2"/>
      </w:r>
      <w:r w:rsidRPr="00C250F5">
        <w:rPr>
          <w:rFonts w:ascii="Verdana" w:eastAsia="Times New Roman" w:hAnsi="Verdana" w:cs="Arial"/>
          <w:sz w:val="20"/>
          <w:szCs w:val="20"/>
          <w:lang w:val="es-ES" w:eastAsia="es-CO"/>
        </w:rPr>
        <w:t>. Nótese que, en este caso, lo que cambia es la modalidad de selección y no la naturaleza de contrato interadministrativo.</w:t>
      </w:r>
    </w:p>
    <w:p w14:paraId="70402049" w14:textId="77777777" w:rsidR="00794876" w:rsidRPr="00C250F5" w:rsidRDefault="00794876" w:rsidP="00794876">
      <w:pPr>
        <w:widowControl w:val="0"/>
        <w:autoSpaceDE w:val="0"/>
        <w:autoSpaceDN w:val="0"/>
        <w:snapToGrid w:val="0"/>
        <w:spacing w:after="0" w:line="240" w:lineRule="auto"/>
        <w:ind w:right="113"/>
        <w:contextualSpacing/>
        <w:jc w:val="both"/>
        <w:rPr>
          <w:rFonts w:ascii="Verdana" w:eastAsia="Arial" w:hAnsi="Verdana" w:cs="Arial"/>
          <w:b/>
          <w:bCs/>
          <w:sz w:val="20"/>
          <w:szCs w:val="20"/>
          <w:lang w:val="es-ES" w:eastAsia="es-ES" w:bidi="es-ES"/>
        </w:rPr>
      </w:pPr>
    </w:p>
    <w:p w14:paraId="672379F1" w14:textId="77777777" w:rsidR="00794876" w:rsidRPr="00C55BDE" w:rsidRDefault="00794876" w:rsidP="00794876">
      <w:pPr>
        <w:spacing w:after="0" w:line="240" w:lineRule="auto"/>
        <w:jc w:val="both"/>
        <w:rPr>
          <w:rFonts w:ascii="Verdana" w:eastAsia="Calibri" w:hAnsi="Verdana" w:cs="Arial"/>
          <w:b/>
          <w:lang w:val="es-ES"/>
        </w:rPr>
      </w:pPr>
    </w:p>
    <w:p w14:paraId="570A0245" w14:textId="77777777" w:rsidR="00794876" w:rsidRPr="00C55BDE" w:rsidRDefault="00794876" w:rsidP="00794876">
      <w:pPr>
        <w:spacing w:after="0"/>
        <w:jc w:val="both"/>
        <w:rPr>
          <w:rFonts w:ascii="Verdana" w:hAnsi="Verdana"/>
          <w:b/>
        </w:rPr>
      </w:pPr>
      <w:r w:rsidRPr="00C55BDE">
        <w:rPr>
          <w:rFonts w:ascii="Verdana" w:hAnsi="Verdana" w:cs="Arial"/>
          <w:b/>
          <w:lang w:val="es-MX" w:eastAsia="es-ES_tradnl"/>
        </w:rPr>
        <w:t xml:space="preserve">CONTRATOS Y CONVENIOS INTERADMINISTRATIVOS – Auto de suspensión </w:t>
      </w:r>
    </w:p>
    <w:p w14:paraId="3605E43D" w14:textId="77777777" w:rsidR="00794876" w:rsidRPr="00C55BDE" w:rsidRDefault="00794876" w:rsidP="00794876">
      <w:pPr>
        <w:spacing w:after="0"/>
        <w:jc w:val="both"/>
        <w:rPr>
          <w:rFonts w:ascii="Verdana" w:hAnsi="Verdana"/>
          <w:b/>
        </w:rPr>
      </w:pPr>
    </w:p>
    <w:p w14:paraId="1B11C377" w14:textId="77777777" w:rsidR="00794876" w:rsidRPr="00C55BDE" w:rsidRDefault="00794876" w:rsidP="00794876">
      <w:pPr>
        <w:spacing w:after="0" w:line="240" w:lineRule="auto"/>
        <w:jc w:val="both"/>
        <w:rPr>
          <w:rFonts w:ascii="Verdana" w:hAnsi="Verdana"/>
          <w:sz w:val="18"/>
          <w:szCs w:val="20"/>
        </w:rPr>
      </w:pPr>
      <w:r w:rsidRPr="00C55BDE">
        <w:rPr>
          <w:rFonts w:ascii="Verdana" w:eastAsia="Arial" w:hAnsi="Verdana" w:cs="Arial"/>
          <w:sz w:val="20"/>
          <w:lang w:val="es-MX" w:eastAsia="es-ES" w:bidi="es-ES"/>
        </w:rPr>
        <w:t xml:space="preserve">[…] conviene señalar que, mediante auto de 4 de octubre del 2024, el Consejo de Estado, Sección Tercera, decretó medida de suspensión provisional parcial del </w:t>
      </w:r>
      <w:r w:rsidRPr="00C55BDE">
        <w:rPr>
          <w:rFonts w:ascii="Verdana" w:hAnsi="Verdana"/>
          <w:sz w:val="20"/>
        </w:rPr>
        <w:t>numeral 16.2 de la Circular Externa Única de 2022 expedida por la Agencia Nacional de Contratación Pública -Colombia Compra Eficiente-, concretamente, respecto de los siguientes apartes normativos</w:t>
      </w:r>
      <w:r w:rsidRPr="00C55BDE">
        <w:rPr>
          <w:rFonts w:ascii="Verdana" w:hAnsi="Verdana"/>
          <w:sz w:val="18"/>
          <w:szCs w:val="20"/>
        </w:rPr>
        <w:t xml:space="preserve"> </w:t>
      </w:r>
    </w:p>
    <w:p w14:paraId="138474C4" w14:textId="77777777" w:rsidR="00794876" w:rsidRPr="00C55BDE" w:rsidRDefault="00794876" w:rsidP="00794876">
      <w:pPr>
        <w:spacing w:after="0" w:line="240" w:lineRule="auto"/>
        <w:ind w:left="709" w:right="709"/>
        <w:jc w:val="both"/>
        <w:rPr>
          <w:rFonts w:ascii="Verdana" w:hAnsi="Verdana"/>
          <w:sz w:val="20"/>
        </w:rPr>
      </w:pPr>
    </w:p>
    <w:p w14:paraId="5B803015" w14:textId="77777777" w:rsidR="00794876" w:rsidRPr="00C55BDE" w:rsidRDefault="00794876" w:rsidP="00794876">
      <w:pPr>
        <w:spacing w:after="0" w:line="240" w:lineRule="auto"/>
        <w:jc w:val="both"/>
        <w:rPr>
          <w:rFonts w:ascii="Verdana" w:eastAsia="Arial" w:hAnsi="Verdana" w:cs="Arial"/>
          <w:i/>
          <w:iCs/>
          <w:sz w:val="20"/>
          <w:lang w:eastAsia="es-ES" w:bidi="es-ES"/>
        </w:rPr>
      </w:pPr>
      <w:r w:rsidRPr="00C55BDE">
        <w:rPr>
          <w:rFonts w:ascii="Verdana" w:eastAsia="Arial" w:hAnsi="Verdana" w:cs="Arial"/>
          <w:sz w:val="20"/>
          <w:lang w:val="es-MX" w:eastAsia="es-ES" w:bidi="es-ES"/>
        </w:rPr>
        <w:t xml:space="preserve">De conformidad con los argumentos de dicha providencia, se parte de la distinción entre los conceptos </w:t>
      </w:r>
      <w:r w:rsidRPr="00C55BDE">
        <w:rPr>
          <w:rFonts w:ascii="Verdana" w:eastAsia="Arial" w:hAnsi="Verdana" w:cs="Arial"/>
          <w:sz w:val="20"/>
          <w:lang w:eastAsia="es-ES" w:bidi="es-ES"/>
        </w:rPr>
        <w:t xml:space="preserve">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 En este sentido, en relación con el parágrafo del artículo 38 de la Ley 996 de 2005 concluyó que </w:t>
      </w:r>
      <w:r w:rsidRPr="00C55BDE">
        <w:rPr>
          <w:rFonts w:ascii="Verdana" w:eastAsia="Arial" w:hAnsi="Verdana" w:cs="Arial"/>
          <w:i/>
          <w:iCs/>
          <w:sz w:val="20"/>
          <w:lang w:eastAsia="es-ES" w:bidi="es-ES"/>
        </w:rPr>
        <w:t xml:space="preserve">“si el legislador no diferenció al establecer la prohibición o la restricción, mal haría el reglamento en aplicar un efecto expansivo o extensivo para incluir una categoría no cobijada con la limitación, (…)”. </w:t>
      </w:r>
      <w:r w:rsidRPr="00C55BDE">
        <w:rPr>
          <w:rFonts w:ascii="Verdana" w:eastAsia="Arial" w:hAnsi="Verdana" w:cs="Arial"/>
          <w:sz w:val="20"/>
          <w:lang w:eastAsia="es-ES" w:bidi="es-ES"/>
        </w:rPr>
        <w:t xml:space="preserve">Por tal motivo, para efectos de decretar la medida de suspensión provisional de los apartes señalados del numeral 16.2 de la Circular Externa Única, argumentó que </w:t>
      </w:r>
      <w:r w:rsidRPr="00C55BDE">
        <w:rPr>
          <w:rFonts w:ascii="Verdana" w:eastAsia="Arial" w:hAnsi="Verdana" w:cs="Arial"/>
          <w:i/>
          <w:iCs/>
          <w:sz w:val="20"/>
          <w:lang w:eastAsia="es-ES" w:bidi="es-ES"/>
        </w:rPr>
        <w:t xml:space="preserve">“con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 </w:t>
      </w:r>
    </w:p>
    <w:p w14:paraId="5FC18E43" w14:textId="77777777" w:rsidR="00794876" w:rsidRPr="00C55BDE" w:rsidRDefault="00794876" w:rsidP="00794876">
      <w:pPr>
        <w:spacing w:after="0" w:line="240" w:lineRule="auto"/>
        <w:rPr>
          <w:rFonts w:ascii="Verdana" w:eastAsia="Geomanist Light" w:hAnsi="Verdana" w:cs="Arial"/>
          <w:color w:val="000000" w:themeColor="text1"/>
          <w:lang w:val="es-ES_tradnl"/>
        </w:rPr>
      </w:pPr>
    </w:p>
    <w:p w14:paraId="1F7B8B1D" w14:textId="77777777" w:rsidR="00794876" w:rsidRPr="00EB58E0" w:rsidRDefault="00794876" w:rsidP="00794876">
      <w:pPr>
        <w:spacing w:after="0"/>
        <w:jc w:val="both"/>
        <w:rPr>
          <w:rFonts w:ascii="Verdana" w:hAnsi="Verdana"/>
          <w:b/>
          <w:bCs/>
          <w:highlight w:val="yellow"/>
          <w:lang w:val="es-ES_tradnl"/>
        </w:rPr>
      </w:pPr>
      <w:r w:rsidRPr="00A858DF">
        <w:rPr>
          <w:rFonts w:ascii="Verdana" w:hAnsi="Verdana" w:cs="Arial"/>
          <w:b/>
          <w:bCs/>
          <w:lang w:val="es-MX" w:eastAsia="es-ES_tradnl"/>
        </w:rPr>
        <w:t>SERVICIOS POSTALES DE COLOMBIA– Naturaleza jurídica – Artículo</w:t>
      </w:r>
      <w:r w:rsidRPr="00C521DC">
        <w:rPr>
          <w:rFonts w:ascii="Verdana" w:hAnsi="Verdana" w:cs="Arial"/>
          <w:b/>
          <w:bCs/>
          <w:lang w:val="es-MX" w:eastAsia="es-ES_tradnl"/>
        </w:rPr>
        <w:t xml:space="preserve"> 15 de la Ley 1369 de 2009</w:t>
      </w:r>
    </w:p>
    <w:p w14:paraId="6194AB27" w14:textId="77777777" w:rsidR="00794876" w:rsidRPr="00EB58E0" w:rsidRDefault="00794876" w:rsidP="00794876">
      <w:pPr>
        <w:spacing w:after="0"/>
        <w:rPr>
          <w:rFonts w:ascii="Verdana" w:hAnsi="Verdana"/>
          <w:highlight w:val="yellow"/>
        </w:rPr>
      </w:pPr>
    </w:p>
    <w:p w14:paraId="1F76EC48" w14:textId="77777777" w:rsidR="00794876" w:rsidRPr="005872EB" w:rsidRDefault="00794876" w:rsidP="00794876">
      <w:pPr>
        <w:spacing w:after="120" w:line="276" w:lineRule="auto"/>
        <w:jc w:val="both"/>
        <w:rPr>
          <w:rFonts w:ascii="Verdana" w:eastAsia="Times New Roman" w:hAnsi="Verdana" w:cs="Arial"/>
          <w:sz w:val="20"/>
          <w:szCs w:val="20"/>
          <w:lang w:eastAsia="es-CO"/>
        </w:rPr>
      </w:pPr>
      <w:r w:rsidRPr="005872EB">
        <w:rPr>
          <w:rFonts w:ascii="Verdana" w:eastAsia="Times New Roman" w:hAnsi="Verdana" w:cs="Arial"/>
          <w:sz w:val="20"/>
          <w:szCs w:val="20"/>
          <w:lang w:eastAsia="es-CO"/>
        </w:rPr>
        <w:t xml:space="preserve">Ahora bien, la Ley 1369 de 2009 establece el marco regulatorio para los servicios postales en Colombia, definiéndolos como un servicio público cuya titularidad recae en el Estado. El objeto principal de 4-72 es la prestación de estos servicios, que consisten </w:t>
      </w:r>
      <w:r w:rsidRPr="005872EB">
        <w:rPr>
          <w:rFonts w:ascii="Verdana" w:eastAsia="Times New Roman" w:hAnsi="Verdana" w:cs="Arial"/>
          <w:sz w:val="20"/>
          <w:szCs w:val="20"/>
          <w:lang w:eastAsia="es-CO"/>
        </w:rPr>
        <w:lastRenderedPageBreak/>
        <w:t>en "el desarrollo de las actividades de recepción, clasificación, transporte y entrega de objetos postales a través de redes postales”. En su calidad de Operador Postal Oficial o Concesionario de Correo, 4-72 tiene la responsabilidad exclusiva de prestar el Servicio Postal Universal, la franquicia postal y el servicio de giros internacionales, entre otros.</w:t>
      </w:r>
    </w:p>
    <w:p w14:paraId="30535C53" w14:textId="59A6CFC5" w:rsidR="00794876" w:rsidRPr="005872EB" w:rsidRDefault="00794876" w:rsidP="00794876">
      <w:pPr>
        <w:spacing w:after="120" w:line="276" w:lineRule="auto"/>
        <w:jc w:val="both"/>
        <w:rPr>
          <w:rFonts w:ascii="Verdana" w:eastAsia="Times New Roman" w:hAnsi="Verdana" w:cs="Arial"/>
          <w:sz w:val="20"/>
          <w:szCs w:val="20"/>
          <w:lang w:eastAsia="es-CO"/>
        </w:rPr>
      </w:pPr>
      <w:r w:rsidRPr="005872EB">
        <w:rPr>
          <w:rFonts w:ascii="Verdana" w:eastAsia="Times New Roman" w:hAnsi="Verdana" w:cs="Arial"/>
          <w:sz w:val="20"/>
          <w:szCs w:val="20"/>
          <w:lang w:eastAsia="es-CO"/>
        </w:rPr>
        <w:t>Una función de especial relevancia, similar a la de otras entidades estatales que garantizan servicios esenciales para el funcionamiento del Estado, es la denominada "área de reserva". Según el artículo 15 de la Ley 1369 de 2009, 4-72 es: “[…] la única autorizada por la ley para prestar los servicios de correo a las entidades integrantes de la Rama Ejecutiva, Legislativa y Judicial del poder público”.</w:t>
      </w:r>
    </w:p>
    <w:p w14:paraId="0909B1A6" w14:textId="6025FB08" w:rsidR="00794876" w:rsidRPr="005872EB" w:rsidRDefault="00794876" w:rsidP="00794876">
      <w:pPr>
        <w:spacing w:after="120" w:line="276" w:lineRule="auto"/>
        <w:jc w:val="both"/>
        <w:rPr>
          <w:rFonts w:ascii="Verdana" w:hAnsi="Verdana"/>
          <w:sz w:val="20"/>
          <w:szCs w:val="20"/>
        </w:rPr>
      </w:pPr>
      <w:r w:rsidRPr="005872EB">
        <w:rPr>
          <w:rFonts w:ascii="Verdana" w:hAnsi="Verdana"/>
          <w:sz w:val="20"/>
          <w:szCs w:val="20"/>
        </w:rPr>
        <w:t>En este contexto, la Ley 1369 de 2009 establece una obligación legal para las entidades de las Ramas Ejecutiva, Legislativa y Judicial de contratar los servicios de correo exclusivamente con Servicios Postales Nacionales S.A.S. Este mandato implica que dichos servicios no pueden ser contratados con terceros operadores, so pena de incurrir en las infracciones postales previstas en el artículo 37 de la misma ley.</w:t>
      </w:r>
    </w:p>
    <w:p w14:paraId="53F0EA72" w14:textId="15A6DE50" w:rsidR="00794876" w:rsidRPr="005872EB" w:rsidRDefault="00794876" w:rsidP="00794876">
      <w:pPr>
        <w:spacing w:line="278" w:lineRule="auto"/>
        <w:jc w:val="both"/>
        <w:rPr>
          <w:rFonts w:ascii="Verdana" w:hAnsi="Verdana"/>
          <w:sz w:val="20"/>
          <w:szCs w:val="20"/>
        </w:rPr>
      </w:pPr>
      <w:r w:rsidRPr="005872EB">
        <w:rPr>
          <w:rFonts w:ascii="Verdana" w:hAnsi="Verdana"/>
          <w:sz w:val="20"/>
          <w:szCs w:val="20"/>
        </w:rPr>
        <w:t xml:space="preserve"> Así las cosas, la contratación de los servicios de correo con Servicios Postales Nacionales S.A.S. no corresponde a una decisión discrecional de la entidad, sino al cumplimiento de un mandato legal expreso que reserva dicha actividad al Operador Postal Oficial. En consecuencia, la celebración de contratos con esta entidad tiene como finalidad garantizar la prestación de un servicio cuya ejecución ha sido atribuida de manera exclusiva por el legislador.</w:t>
      </w:r>
    </w:p>
    <w:p w14:paraId="5C5EF9A5" w14:textId="77777777" w:rsidR="00794876" w:rsidRDefault="00794876" w:rsidP="00794876">
      <w:pPr>
        <w:spacing w:after="0" w:line="240" w:lineRule="auto"/>
        <w:rPr>
          <w:rFonts w:ascii="Verdana" w:hAnsi="Verdana" w:cs="Arial"/>
          <w:b/>
          <w:lang w:eastAsia="es-CO"/>
        </w:rPr>
      </w:pPr>
    </w:p>
    <w:p w14:paraId="429C0DCD" w14:textId="77777777" w:rsidR="00794876" w:rsidRDefault="00794876" w:rsidP="00794876">
      <w:pPr>
        <w:spacing w:after="0" w:line="240" w:lineRule="auto"/>
        <w:rPr>
          <w:rFonts w:ascii="Verdana" w:hAnsi="Verdana" w:cs="Arial"/>
          <w:b/>
          <w:lang w:eastAsia="es-CO"/>
        </w:rPr>
      </w:pPr>
    </w:p>
    <w:p w14:paraId="77CA49A9" w14:textId="77777777" w:rsidR="00794876" w:rsidRDefault="00794876" w:rsidP="00794876">
      <w:pPr>
        <w:spacing w:after="0" w:line="240" w:lineRule="auto"/>
        <w:rPr>
          <w:rFonts w:ascii="Verdana" w:hAnsi="Verdana" w:cs="Arial"/>
          <w:b/>
          <w:lang w:eastAsia="es-CO"/>
        </w:rPr>
      </w:pPr>
    </w:p>
    <w:p w14:paraId="2678D095" w14:textId="77777777" w:rsidR="00794876" w:rsidRDefault="00794876" w:rsidP="00794876">
      <w:pPr>
        <w:spacing w:after="0" w:line="240" w:lineRule="auto"/>
        <w:rPr>
          <w:rFonts w:ascii="Verdana" w:hAnsi="Verdana" w:cs="Arial"/>
          <w:b/>
          <w:lang w:eastAsia="es-CO"/>
        </w:rPr>
      </w:pPr>
    </w:p>
    <w:p w14:paraId="03E6A519" w14:textId="77777777" w:rsidR="00794876" w:rsidRDefault="00794876" w:rsidP="00794876">
      <w:pPr>
        <w:spacing w:after="0" w:line="240" w:lineRule="auto"/>
        <w:rPr>
          <w:rFonts w:ascii="Verdana" w:hAnsi="Verdana" w:cs="Arial"/>
          <w:b/>
          <w:lang w:eastAsia="es-CO"/>
        </w:rPr>
      </w:pPr>
    </w:p>
    <w:p w14:paraId="42584FB4" w14:textId="77777777" w:rsidR="00794876" w:rsidRDefault="00794876" w:rsidP="00794876">
      <w:pPr>
        <w:spacing w:after="0" w:line="240" w:lineRule="auto"/>
        <w:rPr>
          <w:rFonts w:ascii="Verdana" w:hAnsi="Verdana" w:cs="Arial"/>
          <w:b/>
          <w:lang w:eastAsia="es-CO"/>
        </w:rPr>
      </w:pPr>
    </w:p>
    <w:p w14:paraId="50F678E4" w14:textId="10722703" w:rsidR="00794876" w:rsidRDefault="00794876" w:rsidP="00794876">
      <w:pPr>
        <w:spacing w:after="0" w:line="240" w:lineRule="auto"/>
        <w:rPr>
          <w:rFonts w:ascii="Verdana" w:hAnsi="Verdana" w:cs="Arial"/>
          <w:b/>
          <w:lang w:eastAsia="es-CO"/>
        </w:rPr>
      </w:pPr>
    </w:p>
    <w:p w14:paraId="1A88AE21" w14:textId="317EE8DA" w:rsidR="00794876" w:rsidRDefault="00794876" w:rsidP="00794876">
      <w:pPr>
        <w:spacing w:after="0" w:line="240" w:lineRule="auto"/>
        <w:rPr>
          <w:rFonts w:ascii="Verdana" w:hAnsi="Verdana" w:cs="Arial"/>
          <w:b/>
          <w:lang w:eastAsia="es-CO"/>
        </w:rPr>
      </w:pPr>
    </w:p>
    <w:p w14:paraId="088CDFAA" w14:textId="741DD6EF" w:rsidR="00794876" w:rsidRDefault="00794876" w:rsidP="00794876">
      <w:pPr>
        <w:spacing w:after="0" w:line="240" w:lineRule="auto"/>
        <w:rPr>
          <w:rFonts w:ascii="Verdana" w:hAnsi="Verdana" w:cs="Arial"/>
          <w:b/>
          <w:lang w:eastAsia="es-CO"/>
        </w:rPr>
      </w:pPr>
    </w:p>
    <w:p w14:paraId="1F6D2EAA" w14:textId="516AA943" w:rsidR="00794876" w:rsidRDefault="00794876" w:rsidP="00794876">
      <w:pPr>
        <w:spacing w:after="0" w:line="240" w:lineRule="auto"/>
        <w:rPr>
          <w:rFonts w:ascii="Verdana" w:hAnsi="Verdana" w:cs="Arial"/>
          <w:b/>
          <w:lang w:eastAsia="es-CO"/>
        </w:rPr>
      </w:pPr>
    </w:p>
    <w:p w14:paraId="3AA3E22F" w14:textId="77777777" w:rsidR="00794876" w:rsidRDefault="00794876" w:rsidP="00794876">
      <w:pPr>
        <w:spacing w:after="0" w:line="240" w:lineRule="auto"/>
        <w:rPr>
          <w:rFonts w:ascii="Verdana" w:hAnsi="Verdana" w:cs="Arial"/>
          <w:b/>
          <w:lang w:eastAsia="es-CO"/>
        </w:rPr>
      </w:pPr>
    </w:p>
    <w:p w14:paraId="3C290848" w14:textId="4E874874" w:rsidR="00794876" w:rsidRDefault="00794876" w:rsidP="00794876">
      <w:pPr>
        <w:spacing w:after="0" w:line="240" w:lineRule="auto"/>
        <w:rPr>
          <w:rFonts w:ascii="Verdana" w:eastAsia="Geomanist Light" w:hAnsi="Verdana" w:cs="Arial"/>
          <w:color w:val="000000" w:themeColor="text1"/>
          <w:lang w:val="es-MX"/>
        </w:rPr>
      </w:pPr>
    </w:p>
    <w:p w14:paraId="0D2F7884" w14:textId="77777777" w:rsidR="00794876" w:rsidRDefault="00794876" w:rsidP="00794876">
      <w:pPr>
        <w:spacing w:after="0" w:line="240" w:lineRule="auto"/>
        <w:rPr>
          <w:rFonts w:ascii="Verdana" w:eastAsia="Geomanist Light" w:hAnsi="Verdana" w:cs="Arial"/>
        </w:rPr>
      </w:pPr>
    </w:p>
    <w:p w14:paraId="3AA98771" w14:textId="77777777" w:rsidR="005872EB" w:rsidRDefault="005872EB" w:rsidP="00794876">
      <w:pPr>
        <w:spacing w:after="0" w:line="240" w:lineRule="auto"/>
        <w:rPr>
          <w:rFonts w:ascii="Verdana" w:eastAsia="Calibri" w:hAnsi="Verdana" w:cs="Arial"/>
          <w:bCs/>
          <w:sz w:val="20"/>
          <w:szCs w:val="20"/>
          <w:lang w:eastAsia="es-ES_tradnl"/>
        </w:rPr>
      </w:pPr>
    </w:p>
    <w:p w14:paraId="51684425" w14:textId="77777777" w:rsidR="005872EB" w:rsidRDefault="005872EB" w:rsidP="00794876">
      <w:pPr>
        <w:spacing w:after="0" w:line="240" w:lineRule="auto"/>
        <w:rPr>
          <w:rFonts w:ascii="Verdana" w:eastAsia="Calibri" w:hAnsi="Verdana" w:cs="Arial"/>
          <w:bCs/>
          <w:sz w:val="20"/>
          <w:szCs w:val="20"/>
          <w:lang w:eastAsia="es-ES_tradnl"/>
        </w:rPr>
      </w:pPr>
    </w:p>
    <w:p w14:paraId="4FDAEE0A" w14:textId="77777777" w:rsidR="005872EB" w:rsidRDefault="005872EB" w:rsidP="00794876">
      <w:pPr>
        <w:spacing w:after="0" w:line="240" w:lineRule="auto"/>
        <w:rPr>
          <w:rFonts w:ascii="Verdana" w:eastAsia="Calibri" w:hAnsi="Verdana" w:cs="Arial"/>
          <w:bCs/>
          <w:sz w:val="20"/>
          <w:szCs w:val="20"/>
          <w:lang w:eastAsia="es-ES_tradnl"/>
        </w:rPr>
      </w:pPr>
    </w:p>
    <w:p w14:paraId="2CB9C6EE" w14:textId="77777777" w:rsidR="005872EB" w:rsidRDefault="005872EB" w:rsidP="00794876">
      <w:pPr>
        <w:spacing w:after="0" w:line="240" w:lineRule="auto"/>
        <w:rPr>
          <w:rFonts w:ascii="Verdana" w:eastAsia="Calibri" w:hAnsi="Verdana" w:cs="Arial"/>
          <w:bCs/>
          <w:lang w:eastAsia="es-ES_tradnl"/>
        </w:rPr>
      </w:pPr>
    </w:p>
    <w:p w14:paraId="29D459C4" w14:textId="77777777" w:rsidR="005872EB" w:rsidRDefault="005872EB" w:rsidP="00794876">
      <w:pPr>
        <w:spacing w:after="0" w:line="240" w:lineRule="auto"/>
        <w:rPr>
          <w:rFonts w:ascii="Verdana" w:eastAsia="Calibri" w:hAnsi="Verdana" w:cs="Arial"/>
          <w:bCs/>
          <w:lang w:eastAsia="es-ES_tradnl"/>
        </w:rPr>
      </w:pPr>
    </w:p>
    <w:p w14:paraId="3E283D43" w14:textId="77777777" w:rsidR="005872EB" w:rsidRDefault="005872EB" w:rsidP="00794876">
      <w:pPr>
        <w:spacing w:after="0" w:line="240" w:lineRule="auto"/>
        <w:rPr>
          <w:rFonts w:ascii="Verdana" w:eastAsia="Calibri" w:hAnsi="Verdana" w:cs="Arial"/>
          <w:bCs/>
          <w:lang w:eastAsia="es-ES_tradnl"/>
        </w:rPr>
      </w:pPr>
    </w:p>
    <w:p w14:paraId="712F28EE" w14:textId="52847278" w:rsidR="00794876" w:rsidRPr="005872EB" w:rsidRDefault="00AC77CD" w:rsidP="00794876">
      <w:pPr>
        <w:spacing w:after="0" w:line="240" w:lineRule="auto"/>
        <w:rPr>
          <w:rFonts w:ascii="Verdana" w:eastAsia="Calibri" w:hAnsi="Verdana" w:cs="Arial"/>
          <w:bCs/>
          <w:lang w:eastAsia="es-ES_tradnl"/>
        </w:rPr>
      </w:pPr>
      <w:r w:rsidRPr="005872EB">
        <w:rPr>
          <w:rFonts w:ascii="Verdana" w:eastAsia="Calibri" w:hAnsi="Verdana" w:cs="Arial"/>
          <w:bCs/>
          <w:lang w:eastAsia="es-ES_tradnl"/>
        </w:rPr>
        <w:lastRenderedPageBreak/>
        <w:t xml:space="preserve">Bogotá D.C., 18 de </w:t>
      </w:r>
      <w:proofErr w:type="gramStart"/>
      <w:r w:rsidRPr="005872EB">
        <w:rPr>
          <w:rFonts w:ascii="Verdana" w:eastAsia="Calibri" w:hAnsi="Verdana" w:cs="Arial"/>
          <w:bCs/>
          <w:lang w:eastAsia="es-ES_tradnl"/>
        </w:rPr>
        <w:t>Marzo</w:t>
      </w:r>
      <w:proofErr w:type="gramEnd"/>
      <w:r w:rsidRPr="005872EB">
        <w:rPr>
          <w:rFonts w:ascii="Verdana" w:eastAsia="Calibri" w:hAnsi="Verdana" w:cs="Arial"/>
          <w:bCs/>
          <w:lang w:eastAsia="es-ES_tradnl"/>
        </w:rPr>
        <w:t xml:space="preserve"> de 2026</w:t>
      </w:r>
    </w:p>
    <w:p w14:paraId="39422F84" w14:textId="15B111EA" w:rsidR="00794876" w:rsidRDefault="00794876" w:rsidP="00794876">
      <w:pPr>
        <w:spacing w:after="0" w:line="240" w:lineRule="auto"/>
        <w:rPr>
          <w:rFonts w:ascii="Verdana" w:eastAsia="Calibri" w:hAnsi="Verdana" w:cs="Arial"/>
          <w:b/>
          <w:bCs/>
          <w:lang w:eastAsia="es-ES_tradnl"/>
        </w:rPr>
      </w:pPr>
    </w:p>
    <w:p w14:paraId="3B25BAF0" w14:textId="71E90B68" w:rsidR="00794876" w:rsidRDefault="005872EB" w:rsidP="00794876">
      <w:pPr>
        <w:spacing w:after="0" w:line="240" w:lineRule="auto"/>
        <w:rPr>
          <w:rFonts w:ascii="Verdana" w:eastAsia="Calibri" w:hAnsi="Verdana" w:cs="Arial"/>
          <w:lang w:eastAsia="es-ES_tradnl"/>
        </w:rPr>
      </w:pPr>
      <w:r w:rsidRPr="005872EB">
        <w:rPr>
          <w:rStyle w:val="Hipervnculo"/>
          <w:rFonts w:ascii="Verdana" w:eastAsia="Calibri" w:hAnsi="Verdana" w:cs="Arial"/>
          <w:noProof/>
          <w:sz w:val="24"/>
          <w:szCs w:val="24"/>
          <w:lang w:eastAsia="es-ES_tradnl"/>
        </w:rPr>
        <w:drawing>
          <wp:anchor distT="0" distB="0" distL="114300" distR="114300" simplePos="0" relativeHeight="251658240" behindDoc="1" locked="0" layoutInCell="1" allowOverlap="1" wp14:anchorId="3D4175D1" wp14:editId="146790F1">
            <wp:simplePos x="0" y="0"/>
            <wp:positionH relativeFrom="margin">
              <wp:align>right</wp:align>
            </wp:positionH>
            <wp:positionV relativeFrom="paragraph">
              <wp:posOffset>64135</wp:posOffset>
            </wp:positionV>
            <wp:extent cx="2615565" cy="883920"/>
            <wp:effectExtent l="0" t="0" r="0" b="0"/>
            <wp:wrapSquare wrapText="bothSides"/>
            <wp:docPr id="65733390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7333903" name="Imagen 1" descr="Texto&#10;&#10;Descripción generada automáticament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615565" cy="883920"/>
                    </a:xfrm>
                    <a:prstGeom prst="rect">
                      <a:avLst/>
                    </a:prstGeom>
                  </pic:spPr>
                </pic:pic>
              </a:graphicData>
            </a:graphic>
            <wp14:sizeRelH relativeFrom="page">
              <wp14:pctWidth>0</wp14:pctWidth>
            </wp14:sizeRelH>
            <wp14:sizeRelV relativeFrom="page">
              <wp14:pctHeight>0</wp14:pctHeight>
            </wp14:sizeRelV>
          </wp:anchor>
        </w:drawing>
      </w:r>
      <w:r w:rsidR="00794876">
        <w:rPr>
          <w:rFonts w:ascii="Verdana" w:eastAsia="Calibri" w:hAnsi="Verdana" w:cs="Arial"/>
          <w:lang w:eastAsia="es-ES_tradnl"/>
        </w:rPr>
        <w:t>Señor</w:t>
      </w:r>
    </w:p>
    <w:p w14:paraId="318156D0" w14:textId="2CDB3E12" w:rsidR="00794876" w:rsidRDefault="00794876" w:rsidP="00794876">
      <w:pPr>
        <w:spacing w:after="0" w:line="240" w:lineRule="auto"/>
        <w:rPr>
          <w:rFonts w:ascii="Verdana" w:eastAsia="Calibri" w:hAnsi="Verdana" w:cs="Arial"/>
          <w:b/>
          <w:bCs/>
          <w:lang w:eastAsia="es-ES_tradnl"/>
        </w:rPr>
      </w:pPr>
      <w:r>
        <w:rPr>
          <w:rFonts w:ascii="Verdana" w:eastAsia="Calibri" w:hAnsi="Verdana" w:cs="Arial"/>
          <w:b/>
          <w:bCs/>
          <w:lang w:eastAsia="es-ES_tradnl"/>
        </w:rPr>
        <w:t>Orlando Villa</w:t>
      </w:r>
    </w:p>
    <w:p w14:paraId="49EC4A4B" w14:textId="77777777" w:rsidR="00794876" w:rsidRDefault="00794876" w:rsidP="00794876">
      <w:pPr>
        <w:spacing w:after="0" w:line="240" w:lineRule="auto"/>
        <w:rPr>
          <w:rFonts w:ascii="Verdana" w:eastAsia="Calibri" w:hAnsi="Verdana" w:cs="Arial"/>
          <w:lang w:eastAsia="es-ES_tradnl"/>
        </w:rPr>
      </w:pPr>
      <w:r>
        <w:rPr>
          <w:rFonts w:ascii="Verdana" w:eastAsia="Calibri" w:hAnsi="Verdana" w:cs="Arial"/>
          <w:lang w:eastAsia="es-ES_tradnl"/>
        </w:rPr>
        <w:t>Secretario General y de Gobierno</w:t>
      </w:r>
    </w:p>
    <w:p w14:paraId="08EB0C32" w14:textId="34C07938" w:rsidR="00794876" w:rsidRDefault="00794876" w:rsidP="00794876">
      <w:pPr>
        <w:spacing w:after="0" w:line="240" w:lineRule="auto"/>
        <w:rPr>
          <w:rFonts w:ascii="Verdana" w:eastAsia="Calibri" w:hAnsi="Verdana" w:cs="Arial"/>
          <w:lang w:eastAsia="es-ES_tradnl"/>
        </w:rPr>
      </w:pPr>
      <w:hyperlink r:id="rId11" w:history="1">
        <w:r w:rsidRPr="006F7BD7">
          <w:rPr>
            <w:rStyle w:val="Hipervnculo"/>
            <w:rFonts w:ascii="Verdana" w:eastAsia="Calibri" w:hAnsi="Verdana" w:cs="Arial"/>
            <w:lang w:eastAsia="es-ES_tradnl"/>
          </w:rPr>
          <w:t>gobierno@entrerrios-antioquia.gov.co</w:t>
        </w:r>
      </w:hyperlink>
    </w:p>
    <w:p w14:paraId="3C3F91B0" w14:textId="4E512169" w:rsidR="00794876" w:rsidRPr="00514983" w:rsidRDefault="00794876" w:rsidP="00794876">
      <w:pPr>
        <w:spacing w:after="0" w:line="240" w:lineRule="auto"/>
        <w:rPr>
          <w:rFonts w:ascii="Verdana" w:eastAsia="Calibri" w:hAnsi="Verdana" w:cs="Arial"/>
          <w:lang w:eastAsia="es-ES_tradnl"/>
        </w:rPr>
      </w:pPr>
      <w:r>
        <w:rPr>
          <w:rFonts w:ascii="Verdana" w:eastAsia="Calibri" w:hAnsi="Verdana" w:cs="Arial"/>
          <w:lang w:eastAsia="es-ES_tradnl"/>
        </w:rPr>
        <w:t>Entrerríos, Antioquia</w:t>
      </w:r>
    </w:p>
    <w:p w14:paraId="197BA891" w14:textId="37FE79F9" w:rsidR="00D351B3" w:rsidRDefault="00D351B3" w:rsidP="00794876">
      <w:pPr>
        <w:spacing w:after="0" w:line="240" w:lineRule="auto"/>
        <w:rPr>
          <w:rFonts w:ascii="Verdana" w:eastAsia="Calibri" w:hAnsi="Verdana" w:cs="Arial"/>
          <w:lang w:eastAsia="es-ES_tradnl"/>
        </w:rPr>
      </w:pPr>
    </w:p>
    <w:p w14:paraId="389A213F" w14:textId="77777777" w:rsidR="00D351B3" w:rsidRPr="00514983" w:rsidRDefault="00D351B3" w:rsidP="00794876">
      <w:pPr>
        <w:spacing w:after="0" w:line="240" w:lineRule="auto"/>
        <w:rPr>
          <w:rFonts w:ascii="Verdana" w:eastAsia="Calibri" w:hAnsi="Verdana" w:cs="Arial"/>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552"/>
        <w:gridCol w:w="6237"/>
      </w:tblGrid>
      <w:tr w:rsidR="00794876" w:rsidRPr="00960F72" w14:paraId="2EA43B63" w14:textId="77777777" w:rsidTr="000E7260">
        <w:trPr>
          <w:trHeight w:val="190"/>
        </w:trPr>
        <w:tc>
          <w:tcPr>
            <w:tcW w:w="2552" w:type="dxa"/>
          </w:tcPr>
          <w:p w14:paraId="6DC4D744" w14:textId="77777777" w:rsidR="00794876" w:rsidRPr="00960F72" w:rsidRDefault="00794876" w:rsidP="000E7260">
            <w:pPr>
              <w:jc w:val="both"/>
              <w:rPr>
                <w:rFonts w:ascii="Verdana" w:eastAsia="Calibri" w:hAnsi="Verdana" w:cs="Arial"/>
                <w:b/>
                <w:bCs/>
                <w:lang w:eastAsia="es-ES_tradnl"/>
              </w:rPr>
            </w:pPr>
          </w:p>
        </w:tc>
        <w:tc>
          <w:tcPr>
            <w:tcW w:w="6237" w:type="dxa"/>
          </w:tcPr>
          <w:p w14:paraId="33832CBD" w14:textId="77777777" w:rsidR="00794876" w:rsidRPr="00960F72" w:rsidRDefault="00794876" w:rsidP="000E7260">
            <w:pPr>
              <w:jc w:val="both"/>
              <w:rPr>
                <w:rFonts w:ascii="Verdana" w:eastAsia="Calibri" w:hAnsi="Verdana" w:cs="Arial"/>
                <w:b/>
                <w:bCs/>
                <w:lang w:eastAsia="es-ES"/>
              </w:rPr>
            </w:pPr>
            <w:r w:rsidRPr="00960F72">
              <w:rPr>
                <w:rFonts w:ascii="Verdana" w:eastAsia="Calibri" w:hAnsi="Verdana" w:cs="Arial"/>
                <w:b/>
                <w:bCs/>
                <w:lang w:eastAsia="es-ES"/>
              </w:rPr>
              <w:t xml:space="preserve">Concepto C- </w:t>
            </w:r>
            <w:r>
              <w:rPr>
                <w:rFonts w:ascii="Verdana" w:eastAsia="Calibri" w:hAnsi="Verdana" w:cs="Arial"/>
                <w:b/>
                <w:bCs/>
                <w:lang w:eastAsia="es-ES"/>
              </w:rPr>
              <w:t xml:space="preserve">189 </w:t>
            </w:r>
            <w:r w:rsidRPr="00960F72">
              <w:rPr>
                <w:rFonts w:ascii="Verdana" w:eastAsia="Calibri" w:hAnsi="Verdana" w:cs="Arial"/>
                <w:b/>
                <w:bCs/>
                <w:lang w:eastAsia="es-ES"/>
              </w:rPr>
              <w:t>de 202</w:t>
            </w:r>
            <w:r>
              <w:rPr>
                <w:rFonts w:ascii="Verdana" w:eastAsia="Calibri" w:hAnsi="Verdana" w:cs="Arial"/>
                <w:b/>
                <w:bCs/>
                <w:lang w:eastAsia="es-ES"/>
              </w:rPr>
              <w:t>6</w:t>
            </w:r>
          </w:p>
          <w:p w14:paraId="4A580AD4" w14:textId="77777777" w:rsidR="00794876" w:rsidRPr="00960F72" w:rsidRDefault="00794876" w:rsidP="000E7260">
            <w:pPr>
              <w:jc w:val="both"/>
              <w:rPr>
                <w:rFonts w:ascii="Verdana" w:eastAsia="Calibri" w:hAnsi="Verdana" w:cs="Arial"/>
                <w:b/>
                <w:bCs/>
                <w:lang w:eastAsia="es-ES"/>
              </w:rPr>
            </w:pPr>
          </w:p>
        </w:tc>
      </w:tr>
      <w:tr w:rsidR="00794876" w:rsidRPr="00960F72" w14:paraId="7787F4A0" w14:textId="77777777" w:rsidTr="000E7260">
        <w:trPr>
          <w:trHeight w:val="884"/>
        </w:trPr>
        <w:tc>
          <w:tcPr>
            <w:tcW w:w="2552" w:type="dxa"/>
          </w:tcPr>
          <w:p w14:paraId="6D870CAB" w14:textId="77777777" w:rsidR="00794876" w:rsidRPr="00960F72" w:rsidRDefault="00794876" w:rsidP="000E7260">
            <w:pPr>
              <w:jc w:val="both"/>
              <w:rPr>
                <w:rFonts w:ascii="Verdana" w:eastAsia="Calibri" w:hAnsi="Verdana" w:cs="Arial"/>
                <w:lang w:eastAsia="es-ES_tradnl"/>
              </w:rPr>
            </w:pPr>
            <w:r w:rsidRPr="00960F72">
              <w:rPr>
                <w:rFonts w:ascii="Verdana" w:eastAsia="Calibri" w:hAnsi="Verdana" w:cs="Arial"/>
                <w:b/>
                <w:lang w:eastAsia="es-ES_tradnl"/>
              </w:rPr>
              <w:t>Tema:</w:t>
            </w:r>
            <w:r w:rsidRPr="00960F72">
              <w:rPr>
                <w:rFonts w:ascii="Verdana" w:eastAsia="Calibri" w:hAnsi="Verdana" w:cs="Arial"/>
                <w:lang w:eastAsia="es-ES_tradnl"/>
              </w:rPr>
              <w:t xml:space="preserve">                   </w:t>
            </w:r>
          </w:p>
        </w:tc>
        <w:tc>
          <w:tcPr>
            <w:tcW w:w="6237" w:type="dxa"/>
          </w:tcPr>
          <w:p w14:paraId="70FDF5CD" w14:textId="77777777" w:rsidR="00794876" w:rsidRPr="00A11406" w:rsidRDefault="00794876" w:rsidP="000E7260">
            <w:pPr>
              <w:spacing w:line="276" w:lineRule="auto"/>
              <w:jc w:val="both"/>
              <w:rPr>
                <w:rFonts w:ascii="Verdana" w:eastAsia="Calibri" w:hAnsi="Verdana" w:cs="Arial"/>
                <w:lang w:val="es-ES" w:eastAsia="es-ES"/>
              </w:rPr>
            </w:pPr>
            <w:r w:rsidRPr="00C15525">
              <w:rPr>
                <w:rFonts w:ascii="Verdana" w:hAnsi="Verdana" w:cs="Arial"/>
                <w:lang w:val="es-ES" w:eastAsia="es-ES"/>
              </w:rPr>
              <w:t xml:space="preserve">LEY DE GARANTÍAS ELECTORALES – Finalidad / LEY DE GARANTÍAS ELECTORALES ‒ Restricciones ‒ Contratación ‒ Tipos de elección / </w:t>
            </w:r>
            <w:r w:rsidRPr="00C15525">
              <w:rPr>
                <w:rFonts w:ascii="Verdana" w:hAnsi="Verdana" w:cs="Arial"/>
                <w:lang w:val="es-MX" w:eastAsia="es-ES_tradnl"/>
              </w:rPr>
              <w:t>CONVENIOS INTERADMINISTRATIVOS – Criterio orgánico /</w:t>
            </w:r>
            <w:r w:rsidRPr="00C15525">
              <w:rPr>
                <w:rFonts w:ascii="Verdana" w:hAnsi="Verdana"/>
              </w:rPr>
              <w:t xml:space="preserve"> </w:t>
            </w:r>
            <w:r w:rsidRPr="00C15525">
              <w:rPr>
                <w:rFonts w:ascii="Verdana" w:hAnsi="Verdana" w:cs="Arial"/>
                <w:lang w:val="es-MX" w:eastAsia="es-ES_tradnl"/>
              </w:rPr>
              <w:t xml:space="preserve">CONTRATOS Y CONVENIOS INTERADMINISTRATIVOS –– Auto de suspensión / </w:t>
            </w:r>
            <w:r w:rsidRPr="00C521DC">
              <w:rPr>
                <w:rFonts w:ascii="Verdana" w:hAnsi="Verdana" w:cs="Arial"/>
                <w:lang w:val="es-MX" w:eastAsia="es-ES_tradnl"/>
              </w:rPr>
              <w:t>SERVICIOS POSTALES DE COLOMBIA– Naturaleza jurídica – Artículo 15 de la Ley 1369 de 2009</w:t>
            </w:r>
          </w:p>
          <w:p w14:paraId="59CBB913" w14:textId="77777777" w:rsidR="00794876" w:rsidRPr="001F1B6C" w:rsidRDefault="00794876" w:rsidP="000E7260">
            <w:pPr>
              <w:spacing w:line="276" w:lineRule="auto"/>
              <w:jc w:val="both"/>
              <w:rPr>
                <w:rFonts w:ascii="Verdana" w:eastAsia="Calibri" w:hAnsi="Verdana" w:cs="Arial"/>
                <w:lang w:val="es-ES" w:eastAsia="es-ES"/>
              </w:rPr>
            </w:pPr>
            <w:r w:rsidRPr="00FD1291">
              <w:rPr>
                <w:rFonts w:ascii="Verdana" w:eastAsia="Calibri" w:hAnsi="Verdana" w:cs="Arial"/>
                <w:lang w:val="es-ES" w:eastAsia="es-ES"/>
              </w:rPr>
              <w:t xml:space="preserve"> </w:t>
            </w:r>
            <w:r w:rsidRPr="006A662D">
              <w:rPr>
                <w:rFonts w:ascii="Verdana" w:eastAsia="Calibri" w:hAnsi="Verdana" w:cs="Arial"/>
                <w:lang w:val="es-ES" w:eastAsia="es-ES"/>
              </w:rPr>
              <w:t xml:space="preserve"> </w:t>
            </w:r>
            <w:r w:rsidRPr="009673B4">
              <w:rPr>
                <w:rFonts w:ascii="Verdana" w:eastAsia="Calibri" w:hAnsi="Verdana" w:cs="Arial"/>
                <w:lang w:val="es-ES" w:eastAsia="es-ES"/>
              </w:rPr>
              <w:t xml:space="preserve">  </w:t>
            </w:r>
            <w:r w:rsidRPr="00B24DBE">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p>
        </w:tc>
      </w:tr>
      <w:tr w:rsidR="00794876" w:rsidRPr="00960F72" w14:paraId="79C6D4ED" w14:textId="77777777" w:rsidTr="000E7260">
        <w:tc>
          <w:tcPr>
            <w:tcW w:w="2552" w:type="dxa"/>
          </w:tcPr>
          <w:p w14:paraId="35C09F74" w14:textId="77777777" w:rsidR="00794876" w:rsidRPr="008149BA" w:rsidRDefault="00794876" w:rsidP="000E7260">
            <w:pPr>
              <w:jc w:val="both"/>
              <w:rPr>
                <w:rFonts w:ascii="Verdana" w:eastAsia="Calibri" w:hAnsi="Verdana" w:cs="Arial"/>
                <w:b/>
                <w:lang w:eastAsia="es-ES_tradnl"/>
              </w:rPr>
            </w:pPr>
            <w:r w:rsidRPr="008149BA">
              <w:rPr>
                <w:rFonts w:ascii="Verdana" w:eastAsia="Calibri" w:hAnsi="Verdana" w:cs="Arial"/>
                <w:b/>
                <w:lang w:eastAsia="es-ES_tradnl"/>
              </w:rPr>
              <w:t>Radicación:</w:t>
            </w:r>
            <w:r w:rsidRPr="008149BA">
              <w:rPr>
                <w:rFonts w:ascii="Verdana" w:eastAsia="Calibri" w:hAnsi="Verdana" w:cs="Arial"/>
                <w:lang w:eastAsia="es-ES_tradnl"/>
              </w:rPr>
              <w:t xml:space="preserve">               </w:t>
            </w:r>
          </w:p>
        </w:tc>
        <w:tc>
          <w:tcPr>
            <w:tcW w:w="6237" w:type="dxa"/>
          </w:tcPr>
          <w:p w14:paraId="39B1EC66" w14:textId="77777777" w:rsidR="00794876" w:rsidRPr="008149BA" w:rsidRDefault="00794876" w:rsidP="000E7260">
            <w:pPr>
              <w:jc w:val="both"/>
              <w:rPr>
                <w:rFonts w:ascii="Verdana" w:eastAsia="Calibri" w:hAnsi="Verdana" w:cs="Arial"/>
                <w:lang w:eastAsia="es-ES_tradnl"/>
              </w:rPr>
            </w:pPr>
            <w:r w:rsidRPr="008149BA">
              <w:rPr>
                <w:rFonts w:ascii="Verdana" w:eastAsia="Calibri" w:hAnsi="Verdana" w:cs="Arial"/>
                <w:lang w:eastAsia="es-ES_tradnl"/>
              </w:rPr>
              <w:t>Respuesta a consulta con radicado No.</w:t>
            </w:r>
            <w:r w:rsidRPr="008149BA">
              <w:rPr>
                <w:rFonts w:ascii="Verdana" w:hAnsi="Verdana" w:cs="Segoe UI"/>
                <w:color w:val="2B2B2B"/>
                <w:shd w:val="clear" w:color="auto" w:fill="FFFFFF"/>
              </w:rPr>
              <w:t xml:space="preserve"> </w:t>
            </w:r>
            <w:r w:rsidRPr="00EB58E0">
              <w:rPr>
                <w:rFonts w:ascii="Verdana" w:hAnsi="Verdana" w:cs="Segoe UI"/>
                <w:color w:val="2B2B2B"/>
                <w:shd w:val="clear" w:color="auto" w:fill="FFFFFF"/>
              </w:rPr>
              <w:t>1_2026_02_10_001673</w:t>
            </w:r>
          </w:p>
        </w:tc>
      </w:tr>
    </w:tbl>
    <w:p w14:paraId="5BE37A10" w14:textId="0BFA34EC" w:rsidR="00794876" w:rsidRPr="00960F72" w:rsidRDefault="00794876" w:rsidP="00794876">
      <w:pPr>
        <w:spacing w:after="0" w:line="240" w:lineRule="auto"/>
        <w:jc w:val="both"/>
        <w:rPr>
          <w:rFonts w:ascii="Verdana" w:eastAsia="Calibri" w:hAnsi="Verdana" w:cs="Arial"/>
          <w:lang w:eastAsia="es-ES_tradnl"/>
        </w:rPr>
      </w:pPr>
    </w:p>
    <w:p w14:paraId="18CCFCB5" w14:textId="77777777" w:rsidR="00D351B3" w:rsidRPr="00960F72" w:rsidRDefault="00D351B3" w:rsidP="00794876">
      <w:pPr>
        <w:spacing w:after="0" w:line="240" w:lineRule="auto"/>
        <w:jc w:val="both"/>
        <w:rPr>
          <w:rFonts w:ascii="Verdana" w:eastAsia="Calibri" w:hAnsi="Verdana" w:cs="Arial"/>
          <w:lang w:eastAsia="es-ES_tradnl"/>
        </w:rPr>
      </w:pPr>
    </w:p>
    <w:p w14:paraId="40CE9C4B" w14:textId="77777777" w:rsidR="00794876" w:rsidRPr="00960F72" w:rsidRDefault="00794876" w:rsidP="00794876">
      <w:pPr>
        <w:spacing w:after="0" w:line="276" w:lineRule="auto"/>
        <w:jc w:val="both"/>
        <w:rPr>
          <w:rFonts w:ascii="Verdana" w:eastAsia="Calibri" w:hAnsi="Verdana" w:cs="Arial"/>
          <w:lang w:eastAsia="es-ES"/>
        </w:rPr>
      </w:pPr>
      <w:r>
        <w:rPr>
          <w:rFonts w:ascii="Verdana" w:eastAsia="Calibri" w:hAnsi="Verdana" w:cs="Arial"/>
          <w:lang w:eastAsia="es-ES"/>
        </w:rPr>
        <w:t>Estimado señor Villa:</w:t>
      </w:r>
    </w:p>
    <w:p w14:paraId="514EB2FA" w14:textId="77777777" w:rsidR="00794876" w:rsidRPr="00960F72" w:rsidRDefault="00794876" w:rsidP="00794876">
      <w:pPr>
        <w:tabs>
          <w:tab w:val="left" w:pos="3768"/>
        </w:tabs>
        <w:spacing w:after="0" w:line="276" w:lineRule="auto"/>
        <w:jc w:val="both"/>
        <w:rPr>
          <w:rFonts w:ascii="Verdana" w:eastAsia="Calibri" w:hAnsi="Verdana" w:cs="Arial"/>
          <w:lang w:eastAsia="es-ES"/>
        </w:rPr>
      </w:pPr>
    </w:p>
    <w:p w14:paraId="5334F078" w14:textId="77777777" w:rsidR="00794876" w:rsidRPr="00960F72" w:rsidRDefault="00794876" w:rsidP="00794876">
      <w:pPr>
        <w:spacing w:after="0" w:line="276" w:lineRule="auto"/>
        <w:jc w:val="both"/>
        <w:rPr>
          <w:rFonts w:ascii="Verdana" w:eastAsia="Calibri" w:hAnsi="Verdana" w:cs="Arial"/>
          <w:lang w:eastAsia="es-ES"/>
        </w:rPr>
      </w:pPr>
      <w:r w:rsidRPr="00960F72">
        <w:rPr>
          <w:rFonts w:ascii="Verdana" w:eastAsia="Calibri" w:hAnsi="Verdana" w:cs="Arial"/>
          <w:lang w:eastAsia="es-ES"/>
        </w:rPr>
        <w:t>En ejercicio de la competencia otorgada por los artículos 3, numeral 5º, y 11, numeral 8º, del Decreto Ley 4170 de 2011,</w:t>
      </w:r>
      <w:r w:rsidRPr="00960F72">
        <w:rPr>
          <w:rFonts w:ascii="Verdana" w:eastAsia="Arial MT" w:hAnsi="Verdana" w:cs="Arial MT"/>
          <w:lang w:eastAsia="es-ES"/>
        </w:rPr>
        <w:t xml:space="preserve"> </w:t>
      </w:r>
      <w:r w:rsidRPr="00960F72">
        <w:rPr>
          <w:rFonts w:ascii="Verdana" w:hAnsi="Verdana" w:cs="Arial"/>
        </w:rPr>
        <w:t xml:space="preserve">así como lo establecido en el artículo 4 de la Resolución 1707 de 2018 expedida por esta Entidad, </w:t>
      </w:r>
      <w:r w:rsidRPr="00960F72">
        <w:rPr>
          <w:rFonts w:ascii="Verdana" w:eastAsia="Calibri" w:hAnsi="Verdana" w:cs="Arial"/>
          <w:lang w:eastAsia="es-ES"/>
        </w:rPr>
        <w:t xml:space="preserve">la Agencia Nacional de Contratación Pública – Colombia Compra Eficiente– responde su solicitud de consulta de fecha del </w:t>
      </w:r>
      <w:r>
        <w:rPr>
          <w:rFonts w:ascii="Verdana" w:eastAsia="Calibri" w:hAnsi="Verdana" w:cs="Arial"/>
          <w:lang w:eastAsia="es-ES"/>
        </w:rPr>
        <w:t xml:space="preserve">10 </w:t>
      </w:r>
      <w:r w:rsidRPr="00960F72">
        <w:rPr>
          <w:rFonts w:ascii="Verdana" w:eastAsia="Calibri" w:hAnsi="Verdana" w:cs="Arial"/>
          <w:lang w:eastAsia="es-ES"/>
        </w:rPr>
        <w:t xml:space="preserve">de </w:t>
      </w:r>
      <w:r>
        <w:rPr>
          <w:rFonts w:ascii="Verdana" w:eastAsia="Calibri" w:hAnsi="Verdana" w:cs="Arial"/>
          <w:lang w:eastAsia="es-ES"/>
        </w:rPr>
        <w:t>febrero</w:t>
      </w:r>
      <w:r w:rsidRPr="00960F72">
        <w:rPr>
          <w:rFonts w:ascii="Verdana" w:eastAsia="Calibri" w:hAnsi="Verdana" w:cs="Arial"/>
          <w:lang w:eastAsia="es-ES"/>
        </w:rPr>
        <w:t xml:space="preserve"> de 202</w:t>
      </w:r>
      <w:r>
        <w:rPr>
          <w:rFonts w:ascii="Verdana" w:eastAsia="Calibri" w:hAnsi="Verdana" w:cs="Arial"/>
          <w:lang w:eastAsia="es-ES"/>
        </w:rPr>
        <w:t>6</w:t>
      </w:r>
      <w:r w:rsidRPr="00960F72">
        <w:rPr>
          <w:rFonts w:ascii="Verdana" w:eastAsia="Calibri" w:hAnsi="Verdana" w:cs="Arial"/>
          <w:lang w:eastAsia="es-ES"/>
        </w:rPr>
        <w:t xml:space="preserve">, en la cual manifiesta lo siguiente: </w:t>
      </w:r>
    </w:p>
    <w:p w14:paraId="30FA08A8" w14:textId="77777777" w:rsidR="00794876" w:rsidRPr="00960F72" w:rsidRDefault="00794876" w:rsidP="00794876">
      <w:pPr>
        <w:spacing w:after="0" w:line="276" w:lineRule="auto"/>
        <w:jc w:val="both"/>
        <w:rPr>
          <w:rFonts w:ascii="Verdana" w:eastAsia="Calibri" w:hAnsi="Verdana" w:cs="Arial"/>
          <w:lang w:eastAsia="es-ES"/>
        </w:rPr>
      </w:pPr>
    </w:p>
    <w:p w14:paraId="032ADF70" w14:textId="0B075D5C" w:rsidR="00794876" w:rsidRPr="00EB58E0" w:rsidRDefault="00794876" w:rsidP="00D351B3">
      <w:pPr>
        <w:spacing w:after="0" w:line="240" w:lineRule="auto"/>
        <w:ind w:left="709" w:right="709"/>
        <w:jc w:val="both"/>
        <w:rPr>
          <w:rFonts w:ascii="Verdana" w:eastAsia="Calibri" w:hAnsi="Verdana" w:cs="Arial"/>
          <w:sz w:val="20"/>
          <w:szCs w:val="20"/>
          <w:lang w:eastAsia="es-ES"/>
        </w:rPr>
      </w:pPr>
      <w:r>
        <w:rPr>
          <w:rFonts w:ascii="Verdana" w:eastAsia="Calibri" w:hAnsi="Verdana" w:cs="Arial"/>
          <w:sz w:val="20"/>
          <w:szCs w:val="20"/>
          <w:lang w:eastAsia="es-ES"/>
        </w:rPr>
        <w:t>“</w:t>
      </w:r>
      <w:r w:rsidRPr="00EB58E0">
        <w:rPr>
          <w:rFonts w:ascii="Verdana" w:eastAsia="Calibri" w:hAnsi="Verdana" w:cs="Arial"/>
          <w:sz w:val="20"/>
          <w:szCs w:val="20"/>
          <w:lang w:eastAsia="es-ES"/>
        </w:rPr>
        <w:t>De manera respetuosa me permito solicitar orientación a esa Agencia respecto a la procedencia jurídica de celebrar un contrato interadministrativo por parte de la Secretaría General y de Gobierno del Municipio de Entrerríos, Antioquia, con la sociedad Servicios Postales Nacionales S.A., teniendo en cuenta que actualmente se encuentra vigente la Ley de Garantías, y con el fin de establecer si dicha normativa impone alguna restricción o condición especial para la celebración de este tipo de contratos.</w:t>
      </w:r>
    </w:p>
    <w:p w14:paraId="34954F57" w14:textId="77777777" w:rsidR="00D351B3" w:rsidRPr="00EB58E0" w:rsidRDefault="00D351B3" w:rsidP="003A4313">
      <w:pPr>
        <w:spacing w:after="0" w:line="240" w:lineRule="auto"/>
        <w:ind w:left="709" w:right="709"/>
        <w:jc w:val="both"/>
        <w:rPr>
          <w:rFonts w:ascii="Verdana" w:eastAsia="Calibri" w:hAnsi="Verdana" w:cs="Arial"/>
          <w:sz w:val="20"/>
          <w:szCs w:val="20"/>
          <w:lang w:eastAsia="es-ES"/>
        </w:rPr>
      </w:pPr>
    </w:p>
    <w:p w14:paraId="1ECA8D54" w14:textId="5F1189EE" w:rsidR="00794876" w:rsidRPr="00EB58E0" w:rsidRDefault="00794876" w:rsidP="00D351B3">
      <w:pPr>
        <w:spacing w:after="0" w:line="240" w:lineRule="auto"/>
        <w:ind w:left="709" w:right="709"/>
        <w:jc w:val="both"/>
        <w:rPr>
          <w:rFonts w:ascii="Verdana" w:eastAsia="Calibri" w:hAnsi="Verdana" w:cs="Arial"/>
          <w:sz w:val="20"/>
          <w:szCs w:val="20"/>
          <w:lang w:eastAsia="es-ES"/>
        </w:rPr>
      </w:pPr>
      <w:r w:rsidRPr="00EB58E0">
        <w:rPr>
          <w:rFonts w:ascii="Verdana" w:eastAsia="Calibri" w:hAnsi="Verdana" w:cs="Arial"/>
          <w:sz w:val="20"/>
          <w:szCs w:val="20"/>
          <w:lang w:eastAsia="es-ES"/>
        </w:rPr>
        <w:t>El contrato que se proyecta tendría como objeto:</w:t>
      </w:r>
    </w:p>
    <w:p w14:paraId="3EE55AAF" w14:textId="77777777" w:rsidR="00D351B3" w:rsidRPr="00EB58E0" w:rsidRDefault="00D351B3" w:rsidP="003A4313">
      <w:pPr>
        <w:spacing w:after="0" w:line="240" w:lineRule="auto"/>
        <w:ind w:left="709" w:right="709"/>
        <w:jc w:val="both"/>
        <w:rPr>
          <w:rFonts w:ascii="Verdana" w:eastAsia="Calibri" w:hAnsi="Verdana" w:cs="Arial"/>
          <w:sz w:val="20"/>
          <w:szCs w:val="20"/>
          <w:lang w:eastAsia="es-ES"/>
        </w:rPr>
      </w:pPr>
    </w:p>
    <w:p w14:paraId="5B9C877D" w14:textId="7FD4C2A3" w:rsidR="00794876" w:rsidRPr="00EB58E0" w:rsidRDefault="00794876" w:rsidP="00D351B3">
      <w:pPr>
        <w:spacing w:after="0" w:line="240" w:lineRule="auto"/>
        <w:ind w:left="709" w:right="709"/>
        <w:jc w:val="both"/>
        <w:rPr>
          <w:rFonts w:ascii="Verdana" w:eastAsia="Calibri" w:hAnsi="Verdana" w:cs="Arial"/>
          <w:sz w:val="20"/>
          <w:szCs w:val="20"/>
          <w:lang w:eastAsia="es-ES"/>
        </w:rPr>
      </w:pPr>
      <w:r w:rsidRPr="00EB58E0">
        <w:rPr>
          <w:rFonts w:ascii="Verdana" w:eastAsia="Calibri" w:hAnsi="Verdana" w:cs="Arial"/>
          <w:sz w:val="20"/>
          <w:szCs w:val="20"/>
          <w:lang w:eastAsia="es-ES"/>
        </w:rPr>
        <w:t>Contrato interadministrativo para la prestación del servicio de mensajería especializada y certificada para correo a nivel urbano, regional, nacional e internacional, para la distribución de la correspondencia y paquetes que se generan en la Administración Municipal de Entrerríos – Antioquia.</w:t>
      </w:r>
    </w:p>
    <w:p w14:paraId="203BE9F8" w14:textId="77777777" w:rsidR="00D351B3" w:rsidRPr="00EB58E0" w:rsidRDefault="00D351B3" w:rsidP="003A4313">
      <w:pPr>
        <w:spacing w:after="0" w:line="240" w:lineRule="auto"/>
        <w:ind w:left="709" w:right="709"/>
        <w:jc w:val="both"/>
        <w:rPr>
          <w:rFonts w:ascii="Verdana" w:eastAsia="Calibri" w:hAnsi="Verdana" w:cs="Arial"/>
          <w:sz w:val="20"/>
          <w:szCs w:val="20"/>
          <w:lang w:eastAsia="es-ES"/>
        </w:rPr>
      </w:pPr>
    </w:p>
    <w:p w14:paraId="1F06AB31" w14:textId="77777777" w:rsidR="00794876" w:rsidRPr="00EB58E0" w:rsidRDefault="00794876" w:rsidP="003A4313">
      <w:pPr>
        <w:spacing w:after="0" w:line="240" w:lineRule="auto"/>
        <w:ind w:left="709" w:right="709"/>
        <w:jc w:val="both"/>
        <w:rPr>
          <w:rFonts w:ascii="Verdana" w:eastAsia="Calibri" w:hAnsi="Verdana" w:cs="Arial"/>
          <w:sz w:val="20"/>
          <w:szCs w:val="20"/>
          <w:lang w:eastAsia="es-ES"/>
        </w:rPr>
      </w:pPr>
      <w:r w:rsidRPr="00EB58E0">
        <w:rPr>
          <w:rFonts w:ascii="Verdana" w:eastAsia="Calibri" w:hAnsi="Verdana" w:cs="Arial"/>
          <w:sz w:val="20"/>
          <w:szCs w:val="20"/>
          <w:lang w:eastAsia="es-ES"/>
        </w:rPr>
        <w:t>En desarrollo de lo anterior, el Municipio requiere los servicios de recolección, devolución, traslado y entrega de correspondencia y demás envíos postales generados en todas las dependencias, en modalidades de correo normal, correo certificado y demás servicios postales, necesarios para el cumplimiento de las funciones administrativas y los fines estatales.</w:t>
      </w:r>
    </w:p>
    <w:p w14:paraId="5DE2360A" w14:textId="358B8139" w:rsidR="00794876" w:rsidRPr="00EB58E0" w:rsidRDefault="00794876" w:rsidP="00D351B3">
      <w:pPr>
        <w:spacing w:after="0" w:line="240" w:lineRule="auto"/>
        <w:ind w:left="709" w:right="709"/>
        <w:jc w:val="both"/>
        <w:rPr>
          <w:rFonts w:ascii="Verdana" w:eastAsia="Calibri" w:hAnsi="Verdana" w:cs="Arial"/>
          <w:sz w:val="20"/>
          <w:szCs w:val="20"/>
          <w:lang w:eastAsia="es-ES"/>
        </w:rPr>
      </w:pPr>
      <w:r w:rsidRPr="00EB58E0">
        <w:rPr>
          <w:rFonts w:ascii="Verdana" w:eastAsia="Calibri" w:hAnsi="Verdana" w:cs="Arial"/>
          <w:sz w:val="20"/>
          <w:szCs w:val="20"/>
          <w:lang w:eastAsia="es-ES"/>
        </w:rPr>
        <w:t>Es importante precisar que el contrato interadministrativo se celebraría con Servicios Postales Nacionales S.A., en su calidad de Operador Postal Oficial, de conformidad con el artículo 15 de la Ley 1369 de 2009, que establece que esta es la única entidad autorizada para prestar los servicios de correo a las entidades de la Rama Ejecutiva, Legislativa y Judicial, así como los demás servicios postales oficiales.</w:t>
      </w:r>
    </w:p>
    <w:p w14:paraId="43E92F0A" w14:textId="77777777" w:rsidR="00D351B3" w:rsidRPr="00EB58E0" w:rsidRDefault="00D351B3" w:rsidP="003A4313">
      <w:pPr>
        <w:spacing w:after="0" w:line="240" w:lineRule="auto"/>
        <w:ind w:left="709" w:right="709"/>
        <w:jc w:val="both"/>
        <w:rPr>
          <w:rFonts w:ascii="Verdana" w:eastAsia="Calibri" w:hAnsi="Verdana" w:cs="Arial"/>
          <w:sz w:val="20"/>
          <w:szCs w:val="20"/>
          <w:lang w:eastAsia="es-ES"/>
        </w:rPr>
      </w:pPr>
    </w:p>
    <w:p w14:paraId="4A400329" w14:textId="77777777" w:rsidR="00794876" w:rsidRDefault="00794876" w:rsidP="003A4313">
      <w:pPr>
        <w:spacing w:after="0" w:line="240" w:lineRule="auto"/>
        <w:ind w:left="709" w:right="709"/>
        <w:jc w:val="both"/>
        <w:rPr>
          <w:rFonts w:ascii="Verdana" w:eastAsia="Calibri" w:hAnsi="Verdana" w:cs="Arial"/>
          <w:sz w:val="20"/>
          <w:szCs w:val="20"/>
          <w:lang w:eastAsia="es-ES"/>
        </w:rPr>
      </w:pPr>
      <w:r w:rsidRPr="00EB58E0">
        <w:rPr>
          <w:rFonts w:ascii="Verdana" w:eastAsia="Calibri" w:hAnsi="Verdana" w:cs="Arial"/>
          <w:sz w:val="20"/>
          <w:szCs w:val="20"/>
          <w:lang w:eastAsia="es-ES"/>
        </w:rPr>
        <w:t>En este sentido, solicitamos respetuosamente se nos indique si, a la luz de la norma citada y de los lineamientos emitidos por esa Agencia, resulta jurídicamente procedente la celebración del contrato interadministrativo con el Operador Postal Oficial o si, por el contrario, debe adoptarse otro proceso de selección</w:t>
      </w:r>
      <w:r>
        <w:rPr>
          <w:rFonts w:ascii="Verdana" w:eastAsia="Calibri" w:hAnsi="Verdana" w:cs="Arial"/>
          <w:sz w:val="20"/>
          <w:szCs w:val="20"/>
          <w:lang w:eastAsia="es-ES"/>
        </w:rPr>
        <w:t xml:space="preserve">”. </w:t>
      </w:r>
    </w:p>
    <w:p w14:paraId="14C61A75" w14:textId="77777777" w:rsidR="00794876" w:rsidRPr="00755387" w:rsidRDefault="00794876" w:rsidP="00794876">
      <w:pPr>
        <w:spacing w:after="0" w:line="276" w:lineRule="auto"/>
        <w:ind w:right="709"/>
        <w:jc w:val="both"/>
        <w:rPr>
          <w:rFonts w:ascii="Verdana" w:eastAsia="Calibri" w:hAnsi="Verdana" w:cs="Arial"/>
          <w:lang w:eastAsia="es-ES"/>
        </w:rPr>
      </w:pPr>
    </w:p>
    <w:p w14:paraId="0EF1B6D3" w14:textId="77777777" w:rsidR="00794876" w:rsidRPr="00960F72" w:rsidRDefault="00794876" w:rsidP="00794876">
      <w:pPr>
        <w:spacing w:after="120" w:line="276" w:lineRule="auto"/>
        <w:ind w:firstLine="709"/>
        <w:jc w:val="both"/>
        <w:rPr>
          <w:rFonts w:ascii="Verdana" w:eastAsia="Calibri" w:hAnsi="Verdana" w:cs="Arial"/>
          <w:szCs w:val="24"/>
          <w:lang w:eastAsia="es-ES_tradnl"/>
        </w:rPr>
      </w:pPr>
      <w:r w:rsidRPr="00960F72">
        <w:rPr>
          <w:rFonts w:ascii="Verdana" w:eastAsia="Calibri" w:hAnsi="Verdana" w:cs="Arial"/>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960F72">
        <w:rPr>
          <w:rFonts w:ascii="Verdana" w:eastAsia="Calibri" w:hAnsi="Verdana" w:cs="Arial"/>
          <w:szCs w:val="24"/>
          <w:lang w:eastAsia="es-ES_tradnl"/>
        </w:rPr>
        <w:tab/>
      </w:r>
    </w:p>
    <w:p w14:paraId="69FF7898" w14:textId="77777777" w:rsidR="00794876" w:rsidRDefault="00794876" w:rsidP="00794876">
      <w:pPr>
        <w:spacing w:after="0" w:line="276" w:lineRule="auto"/>
        <w:ind w:firstLine="709"/>
        <w:jc w:val="both"/>
        <w:rPr>
          <w:rFonts w:ascii="Verdana" w:eastAsia="Calibri" w:hAnsi="Verdana" w:cs="Arial"/>
          <w:lang w:eastAsia="es-ES"/>
        </w:rPr>
      </w:pPr>
      <w:r w:rsidRPr="00960F72">
        <w:rPr>
          <w:rFonts w:ascii="Verdana" w:eastAsia="Calibri" w:hAnsi="Verdana" w:cs="Arial"/>
          <w:lang w:eastAsia="es-ES"/>
        </w:rPr>
        <w:t>Conforme lo expuesto, en aras de satisfacer el derecho fundamental de petición</w:t>
      </w:r>
      <w:r>
        <w:rPr>
          <w:rFonts w:ascii="Verdana" w:eastAsia="Calibri" w:hAnsi="Verdana" w:cs="Arial"/>
          <w:lang w:eastAsia="es-ES"/>
        </w:rPr>
        <w:t>,</w:t>
      </w:r>
      <w:r w:rsidRPr="00960F72">
        <w:rPr>
          <w:rFonts w:ascii="Verdana" w:eastAsia="Calibri" w:hAnsi="Verdana" w:cs="Arial"/>
          <w:lang w:eastAsia="es-ES"/>
        </w:rPr>
        <w:t xml:space="preserve"> se resolverá su consulta dentro de los límites de la referida competencia </w:t>
      </w:r>
      <w:r w:rsidRPr="00960F72">
        <w:rPr>
          <w:rFonts w:ascii="Verdana" w:eastAsia="Calibri" w:hAnsi="Verdana" w:cs="Arial"/>
          <w:lang w:eastAsia="es-ES"/>
        </w:rPr>
        <w:lastRenderedPageBreak/>
        <w:t xml:space="preserve">consultiva, esto es, haciendo abstracción de las circunstancias particulares y concretas mencionadas en su petición, pero </w:t>
      </w:r>
      <w:r>
        <w:rPr>
          <w:rFonts w:ascii="Verdana" w:eastAsia="Calibri" w:hAnsi="Verdana" w:cs="Arial"/>
          <w:lang w:eastAsia="es-ES"/>
        </w:rPr>
        <w:t>señalando</w:t>
      </w:r>
      <w:r w:rsidRPr="00960F72">
        <w:rPr>
          <w:rFonts w:ascii="Verdana" w:eastAsia="Calibri" w:hAnsi="Verdana" w:cs="Arial"/>
          <w:lang w:eastAsia="es-ES"/>
        </w:rPr>
        <w:t xml:space="preserve"> </w:t>
      </w:r>
      <w:r>
        <w:rPr>
          <w:rFonts w:ascii="Verdana" w:eastAsia="Calibri" w:hAnsi="Verdana" w:cs="Arial"/>
          <w:lang w:eastAsia="es-ES"/>
        </w:rPr>
        <w:t>alg</w:t>
      </w:r>
      <w:r w:rsidRPr="00960F72">
        <w:rPr>
          <w:rFonts w:ascii="Verdana" w:eastAsia="Calibri" w:hAnsi="Verdana" w:cs="Arial"/>
          <w:lang w:eastAsia="es-ES"/>
        </w:rPr>
        <w:t xml:space="preserve">unas consideraciones sobre las normas generales relacionadas con el problema jurídico de su consulta. </w:t>
      </w:r>
    </w:p>
    <w:p w14:paraId="08C2450D" w14:textId="77777777" w:rsidR="00794876" w:rsidRPr="00960F72" w:rsidRDefault="00794876" w:rsidP="00794876">
      <w:pPr>
        <w:spacing w:after="0" w:line="276" w:lineRule="auto"/>
        <w:ind w:firstLine="709"/>
        <w:jc w:val="both"/>
        <w:rPr>
          <w:rFonts w:ascii="Verdana" w:eastAsia="Calibri" w:hAnsi="Verdana" w:cs="Arial"/>
          <w:lang w:eastAsia="es-ES"/>
        </w:rPr>
      </w:pPr>
    </w:p>
    <w:p w14:paraId="1FDFB16E" w14:textId="77777777" w:rsidR="00794876" w:rsidRPr="00960F72" w:rsidRDefault="00794876" w:rsidP="00C25DA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t>Problema planteado:</w:t>
      </w:r>
    </w:p>
    <w:p w14:paraId="63A69B28" w14:textId="77777777" w:rsidR="00794876" w:rsidRPr="00960F72" w:rsidRDefault="00794876" w:rsidP="00794876">
      <w:pPr>
        <w:tabs>
          <w:tab w:val="left" w:pos="426"/>
        </w:tabs>
        <w:spacing w:after="0" w:line="276" w:lineRule="auto"/>
        <w:jc w:val="both"/>
        <w:rPr>
          <w:rFonts w:ascii="Verdana" w:eastAsia="Century Gothic" w:hAnsi="Verdana" w:cs="Century Gothic"/>
        </w:rPr>
      </w:pPr>
    </w:p>
    <w:p w14:paraId="099B3157" w14:textId="77777777" w:rsidR="00794876" w:rsidRPr="00C15525" w:rsidRDefault="00794876" w:rsidP="00794876">
      <w:pPr>
        <w:spacing w:after="0" w:line="276" w:lineRule="auto"/>
        <w:jc w:val="both"/>
        <w:rPr>
          <w:rFonts w:ascii="Verdana" w:eastAsia="Century Gothic" w:hAnsi="Verdana" w:cs="Century Gothic"/>
          <w:color w:val="000000" w:themeColor="text1"/>
        </w:rPr>
      </w:pPr>
      <w:r w:rsidRPr="00960F72">
        <w:rPr>
          <w:rFonts w:ascii="Verdana" w:eastAsia="Century Gothic" w:hAnsi="Verdana" w:cs="Century Gothic"/>
        </w:rPr>
        <w:t>De acuerdo con el contenido de su solicitud, esta Agencia resolverá el siguiente problema jurídico</w:t>
      </w:r>
      <w:r>
        <w:rPr>
          <w:rFonts w:ascii="Verdana" w:eastAsia="Century Gothic" w:hAnsi="Verdana" w:cs="Century Gothic"/>
        </w:rPr>
        <w:t xml:space="preserve">: </w:t>
      </w:r>
      <w:proofErr w:type="gramStart"/>
      <w:r w:rsidRPr="00C15525">
        <w:rPr>
          <w:rFonts w:ascii="Verdana" w:eastAsia="Century Gothic" w:hAnsi="Verdana" w:cs="Century Gothic"/>
          <w:color w:val="000000" w:themeColor="text1"/>
        </w:rPr>
        <w:t xml:space="preserve">¿Las restricciones contempladas en </w:t>
      </w:r>
      <w:r w:rsidRPr="00C15525">
        <w:rPr>
          <w:rFonts w:ascii="Verdana" w:eastAsia="Times New Roman" w:hAnsi="Verdana" w:cs="Arial"/>
          <w:lang w:eastAsia="es-CO"/>
        </w:rPr>
        <w:t>los artículos 33 y 38 de la Ley de Garantías Electorales aplica a los co</w:t>
      </w:r>
      <w:r>
        <w:rPr>
          <w:rFonts w:ascii="Verdana" w:eastAsia="Times New Roman" w:hAnsi="Verdana" w:cs="Arial"/>
          <w:lang w:eastAsia="es-CO"/>
        </w:rPr>
        <w:t>nvenios</w:t>
      </w:r>
      <w:r w:rsidRPr="00C15525">
        <w:rPr>
          <w:rFonts w:ascii="Verdana" w:eastAsia="Times New Roman" w:hAnsi="Verdana" w:cs="Arial"/>
          <w:lang w:eastAsia="es-CO"/>
        </w:rPr>
        <w:t xml:space="preserve"> celebrados entre las entidades estatales y la </w:t>
      </w:r>
      <w:r w:rsidRPr="00EB58E0">
        <w:rPr>
          <w:rFonts w:ascii="Verdana" w:eastAsia="Times New Roman" w:hAnsi="Verdana" w:cs="Arial"/>
          <w:lang w:eastAsia="es-CO"/>
        </w:rPr>
        <w:t>sociedad Servicios Postales Nacionales S.</w:t>
      </w:r>
      <w:proofErr w:type="gramEnd"/>
      <w:r w:rsidRPr="00EB58E0">
        <w:rPr>
          <w:rFonts w:ascii="Verdana" w:eastAsia="Times New Roman" w:hAnsi="Verdana" w:cs="Arial"/>
          <w:lang w:eastAsia="es-CO"/>
        </w:rPr>
        <w:t xml:space="preserve">A </w:t>
      </w:r>
      <w:r w:rsidRPr="00C15525">
        <w:rPr>
          <w:rFonts w:ascii="Verdana" w:eastAsia="Times New Roman" w:hAnsi="Verdana" w:cs="Arial"/>
          <w:lang w:eastAsia="es-CO"/>
        </w:rPr>
        <w:t>en cumplimiento</w:t>
      </w:r>
      <w:r w:rsidRPr="00EB58E0">
        <w:t xml:space="preserve"> </w:t>
      </w:r>
      <w:r>
        <w:rPr>
          <w:rFonts w:ascii="Verdana" w:eastAsia="Times New Roman" w:hAnsi="Verdana" w:cs="Arial"/>
          <w:lang w:eastAsia="es-CO"/>
        </w:rPr>
        <w:t xml:space="preserve">del </w:t>
      </w:r>
      <w:r w:rsidRPr="00EB58E0">
        <w:rPr>
          <w:rFonts w:ascii="Verdana" w:eastAsia="Times New Roman" w:hAnsi="Verdana" w:cs="Arial"/>
          <w:lang w:eastAsia="es-CO"/>
        </w:rPr>
        <w:t>artículo 15 de la Ley 1369 de 2009</w:t>
      </w:r>
      <w:r w:rsidRPr="00C15525">
        <w:rPr>
          <w:rFonts w:ascii="Verdana" w:hAnsi="Verdana"/>
          <w:iCs/>
        </w:rPr>
        <w:t>?</w:t>
      </w:r>
    </w:p>
    <w:p w14:paraId="722D9CEB" w14:textId="77777777" w:rsidR="00794876" w:rsidRPr="00960F72" w:rsidRDefault="00794876" w:rsidP="00794876">
      <w:pPr>
        <w:spacing w:after="0" w:line="276" w:lineRule="auto"/>
        <w:jc w:val="both"/>
        <w:rPr>
          <w:rFonts w:ascii="Verdana" w:eastAsia="Century Gothic" w:hAnsi="Verdana" w:cs="Century Gothic"/>
        </w:rPr>
      </w:pPr>
    </w:p>
    <w:p w14:paraId="5AE9E36C" w14:textId="77777777" w:rsidR="00794876" w:rsidRDefault="00794876" w:rsidP="00C25DA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t>Respuesta:</w:t>
      </w:r>
    </w:p>
    <w:p w14:paraId="59C69068" w14:textId="77777777" w:rsidR="00794876" w:rsidRPr="00027E7B" w:rsidRDefault="00794876" w:rsidP="00794876">
      <w:pPr>
        <w:pStyle w:val="Prrafodelista"/>
        <w:tabs>
          <w:tab w:val="left" w:pos="142"/>
          <w:tab w:val="left" w:pos="284"/>
        </w:tabs>
        <w:spacing w:after="0" w:line="276" w:lineRule="auto"/>
        <w:ind w:left="0"/>
        <w:contextualSpacing w:val="0"/>
        <w:jc w:val="both"/>
        <w:rPr>
          <w:rFonts w:ascii="Verdana" w:eastAsia="Century Gothic" w:hAnsi="Verdana" w:cs="Century Gothic"/>
          <w:b/>
          <w:bCs/>
          <w:lang w:val="es-CO"/>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794876" w:rsidRPr="00960F72" w14:paraId="15DDB70D" w14:textId="77777777" w:rsidTr="000E7260">
        <w:tc>
          <w:tcPr>
            <w:tcW w:w="8828" w:type="dxa"/>
          </w:tcPr>
          <w:p w14:paraId="319ECE62" w14:textId="77777777" w:rsidR="00794876" w:rsidRPr="00C15525" w:rsidRDefault="00794876" w:rsidP="000E7260">
            <w:pPr>
              <w:spacing w:after="120" w:line="276" w:lineRule="auto"/>
              <w:jc w:val="both"/>
              <w:rPr>
                <w:rFonts w:ascii="Verdana" w:eastAsia="Times New Roman" w:hAnsi="Verdana" w:cs="Arial"/>
                <w:lang w:eastAsia="es-CO"/>
              </w:rPr>
            </w:pPr>
            <w:r w:rsidRPr="00C15525">
              <w:rPr>
                <w:rFonts w:ascii="Verdana" w:eastAsia="Times New Roman" w:hAnsi="Verdana" w:cs="Arial"/>
                <w:lang w:eastAsia="es-CO"/>
              </w:rPr>
              <w:t>Conforme a la interpretación general de las normas del sistema de compras públicas, el artículo 33 de la Ley 996 de 2005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34604EF5" w14:textId="77777777" w:rsidR="00794876" w:rsidRPr="00C15525" w:rsidRDefault="00794876" w:rsidP="000E7260">
            <w:pPr>
              <w:spacing w:after="120" w:line="276" w:lineRule="auto"/>
              <w:ind w:firstLine="743"/>
              <w:jc w:val="both"/>
              <w:rPr>
                <w:rFonts w:ascii="Verdana" w:eastAsia="Times New Roman" w:hAnsi="Verdana" w:cs="Arial"/>
                <w:lang w:eastAsia="es-CO"/>
              </w:rPr>
            </w:pPr>
            <w:r w:rsidRPr="00C15525">
              <w:rPr>
                <w:rFonts w:ascii="Verdana" w:eastAsia="Times New Roman" w:hAnsi="Verdana" w:cs="Arial"/>
                <w:lang w:eastAsia="es-CO"/>
              </w:rPr>
              <w:t>El artículo 33 de la Ley 996 de 2005 señala expresamente a los destinatarios de la prohibición, en el sentido de que son “todos los entes del Estado”, expresión que contempla a los diferentes organismos o entidades autorizadas por la ley para suscribir contratos. En efecto, tal como lo ha sostenido el Consejo de Estado, el vocablo “todos”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p>
          <w:p w14:paraId="6DC1E02C" w14:textId="77777777" w:rsidR="00794876" w:rsidRPr="00EB58E0" w:rsidRDefault="00794876" w:rsidP="000E7260">
            <w:pPr>
              <w:spacing w:after="120" w:line="276" w:lineRule="auto"/>
              <w:ind w:firstLine="709"/>
              <w:jc w:val="both"/>
              <w:rPr>
                <w:rFonts w:ascii="Verdana" w:eastAsia="Times New Roman" w:hAnsi="Verdana" w:cs="Arial"/>
                <w:lang w:eastAsia="es-CO"/>
              </w:rPr>
            </w:pPr>
            <w:r w:rsidRPr="00C15525">
              <w:rPr>
                <w:rFonts w:ascii="Verdana" w:eastAsia="Times New Roman" w:hAnsi="Verdana" w:cs="Arial"/>
                <w:lang w:eastAsia="es-CO"/>
              </w:rPr>
              <w:lastRenderedPageBreak/>
              <w:t xml:space="preserve">Por su parte, el parágrafo del artículo 38 de la Ley 996 de 2005 prohíbe a los </w:t>
            </w:r>
            <w:proofErr w:type="gramStart"/>
            <w:r w:rsidRPr="00C15525">
              <w:rPr>
                <w:rFonts w:ascii="Verdana" w:eastAsia="Times New Roman" w:hAnsi="Verdana" w:cs="Arial"/>
                <w:lang w:eastAsia="es-CO"/>
              </w:rPr>
              <w:t>Alcaldes</w:t>
            </w:r>
            <w:proofErr w:type="gramEnd"/>
            <w:r w:rsidRPr="00C15525">
              <w:rPr>
                <w:rFonts w:ascii="Verdana" w:eastAsia="Times New Roman" w:hAnsi="Verdana" w:cs="Arial"/>
                <w:lang w:eastAsia="es-CO"/>
              </w:rPr>
              <w:t xml:space="preserve">, Gobernadores, </w:t>
            </w:r>
            <w:proofErr w:type="gramStart"/>
            <w:r w:rsidRPr="00C15525">
              <w:rPr>
                <w:rFonts w:ascii="Verdana" w:eastAsia="Times New Roman" w:hAnsi="Verdana" w:cs="Arial"/>
                <w:lang w:eastAsia="es-CO"/>
              </w:rPr>
              <w:t>Secretarios</w:t>
            </w:r>
            <w:proofErr w:type="gramEnd"/>
            <w:r w:rsidRPr="00C15525">
              <w:rPr>
                <w:rFonts w:ascii="Verdana" w:eastAsia="Times New Roman" w:hAnsi="Verdana" w:cs="Arial"/>
                <w:lang w:eastAsia="es-CO"/>
              </w:rPr>
              <w:t xml:space="preserve">, Gerentes y </w:t>
            </w:r>
            <w:proofErr w:type="gramStart"/>
            <w:r w:rsidRPr="00C15525">
              <w:rPr>
                <w:rFonts w:ascii="Verdana" w:eastAsia="Times New Roman" w:hAnsi="Verdana" w:cs="Arial"/>
                <w:lang w:eastAsia="es-CO"/>
              </w:rPr>
              <w:t>Directores</w:t>
            </w:r>
            <w:proofErr w:type="gramEnd"/>
            <w:r w:rsidRPr="00C15525">
              <w:rPr>
                <w:rFonts w:ascii="Verdana" w:eastAsia="Times New Roman" w:hAnsi="Verdana" w:cs="Arial"/>
                <w:lang w:eastAsia="es-CO"/>
              </w:rPr>
              <w:t xml:space="preserve"> de las entidades del orden municipal, departamental o distrital </w:t>
            </w:r>
            <w:r w:rsidRPr="00C15525">
              <w:rPr>
                <w:rFonts w:ascii="Verdana" w:eastAsia="Times New Roman" w:hAnsi="Verdana" w:cs="Arial"/>
                <w:i/>
                <w:iCs/>
                <w:lang w:eastAsia="es-CO"/>
              </w:rPr>
              <w:t>celebrar convenios interadministrativos para la ejecución de recursos públicos</w:t>
            </w:r>
            <w:r w:rsidRPr="00C15525">
              <w:rPr>
                <w:rFonts w:ascii="Verdana" w:eastAsia="Times New Roman" w:hAnsi="Verdana" w:cs="Arial"/>
                <w:lang w:eastAsia="es-CO"/>
              </w:rPr>
              <w:t xml:space="preserve">. En este sentido, si una o ambas partes de la relación contractual es una entidad de aquellas descritas en el parágrafo ibidem, no podrá celebrar tales convenios durante la aplicación de la Ley de Garantías Electorales, toda vez que la citada disposición hace referencia a dicha tipología contractual sin que el legislador hubiere contemplado un efecto extensivo a otra tipología. </w:t>
            </w:r>
          </w:p>
          <w:p w14:paraId="41C1E9A7" w14:textId="77777777" w:rsidR="00794876" w:rsidRDefault="00794876" w:rsidP="000E7260">
            <w:pPr>
              <w:spacing w:after="120" w:line="276" w:lineRule="auto"/>
              <w:ind w:firstLine="709"/>
              <w:jc w:val="both"/>
              <w:rPr>
                <w:rFonts w:ascii="Verdana" w:eastAsia="Times New Roman" w:hAnsi="Verdana" w:cs="Arial"/>
                <w:lang w:eastAsia="es-CO"/>
              </w:rPr>
            </w:pPr>
            <w:r>
              <w:rPr>
                <w:rFonts w:ascii="Verdana" w:eastAsia="Times New Roman" w:hAnsi="Verdana" w:cs="Arial"/>
                <w:lang w:eastAsia="es-CO"/>
              </w:rPr>
              <w:t>Ahora bien, l</w:t>
            </w:r>
            <w:r w:rsidRPr="00EB58E0">
              <w:rPr>
                <w:rFonts w:ascii="Verdana" w:eastAsia="Times New Roman" w:hAnsi="Verdana" w:cs="Arial"/>
                <w:lang w:eastAsia="es-CO"/>
              </w:rPr>
              <w:t>a Ley 1369 de 2009 establece el marco regulatorio para los servicios postales en Colombia, definiéndolos como un servicio público cuya titularidad recae en el Estado. El objeto principal de 4-72 es la prestación de estos servicios, que consisten en "el desarrollo de las actividades de recepción, clasificación, transporte y entrega de objetos postales a través de redes postales</w:t>
            </w:r>
            <w:r>
              <w:rPr>
                <w:rFonts w:ascii="Verdana" w:eastAsia="Times New Roman" w:hAnsi="Verdana" w:cs="Arial"/>
                <w:lang w:eastAsia="es-CO"/>
              </w:rPr>
              <w:t>”.</w:t>
            </w:r>
            <w:r w:rsidRPr="00EB58E0">
              <w:rPr>
                <w:rFonts w:ascii="Verdana" w:eastAsia="Times New Roman" w:hAnsi="Verdana" w:cs="Arial"/>
                <w:lang w:eastAsia="es-CO"/>
              </w:rPr>
              <w:t xml:space="preserve"> En su calidad de Operador Postal Oficial o Concesionario de Correo, 4-72 tiene la responsabilidad exclusiva de prestar el Servicio Postal Universal, la franquicia postal y el servicio de giros internacionales, entre otros.</w:t>
            </w:r>
          </w:p>
          <w:p w14:paraId="472D7446" w14:textId="77777777" w:rsidR="00794876" w:rsidRPr="00EB58E0" w:rsidRDefault="00794876" w:rsidP="000E7260">
            <w:pPr>
              <w:spacing w:after="120" w:line="276" w:lineRule="auto"/>
              <w:ind w:firstLine="709"/>
              <w:jc w:val="both"/>
              <w:rPr>
                <w:rFonts w:ascii="Verdana" w:eastAsia="Times New Roman" w:hAnsi="Verdana" w:cs="Arial"/>
                <w:lang w:eastAsia="es-CO"/>
              </w:rPr>
            </w:pPr>
            <w:r w:rsidRPr="00EB58E0">
              <w:rPr>
                <w:rFonts w:ascii="Verdana" w:eastAsia="Times New Roman" w:hAnsi="Verdana" w:cs="Arial"/>
                <w:lang w:eastAsia="es-CO"/>
              </w:rPr>
              <w:t xml:space="preserve">Una función de especial relevancia, similar a la de otras entidades estatales que garantizan servicios esenciales para el funcionamiento del Estado, es la denominada "área de reserva". Según el artículo 15 de la Ley 1369 de 2009, 4-72 </w:t>
            </w:r>
            <w:proofErr w:type="gramStart"/>
            <w:r w:rsidRPr="00EB58E0">
              <w:rPr>
                <w:rFonts w:ascii="Verdana" w:eastAsia="Times New Roman" w:hAnsi="Verdana" w:cs="Arial"/>
                <w:lang w:eastAsia="es-CO"/>
              </w:rPr>
              <w:t>es:“</w:t>
            </w:r>
            <w:proofErr w:type="gramEnd"/>
            <w:r w:rsidRPr="00EB58E0">
              <w:rPr>
                <w:rFonts w:ascii="Verdana" w:eastAsia="Times New Roman" w:hAnsi="Verdana" w:cs="Arial"/>
                <w:lang w:eastAsia="es-CO"/>
              </w:rPr>
              <w:t>[…] la única autorizada por la ley para prestar los servicios de correo a las entidades integrantes de la Rama Ejecutiva, Legislativa y Judicial del poder público</w:t>
            </w:r>
            <w:r>
              <w:rPr>
                <w:rFonts w:ascii="Verdana" w:eastAsia="Times New Roman" w:hAnsi="Verdana" w:cs="Arial"/>
                <w:lang w:eastAsia="es-CO"/>
              </w:rPr>
              <w:t>”</w:t>
            </w:r>
            <w:r w:rsidRPr="00EB58E0">
              <w:rPr>
                <w:rFonts w:ascii="Verdana" w:eastAsia="Times New Roman" w:hAnsi="Verdana" w:cs="Arial"/>
                <w:lang w:eastAsia="es-CO"/>
              </w:rPr>
              <w:t>.</w:t>
            </w:r>
          </w:p>
          <w:p w14:paraId="35D27BA5" w14:textId="77777777" w:rsidR="00794876" w:rsidRPr="00EB58E0" w:rsidRDefault="00794876" w:rsidP="000E7260">
            <w:pPr>
              <w:spacing w:after="120" w:line="276" w:lineRule="auto"/>
              <w:ind w:firstLine="709"/>
              <w:jc w:val="both"/>
              <w:rPr>
                <w:rFonts w:ascii="Verdana" w:eastAsia="Times New Roman" w:hAnsi="Verdana" w:cs="Arial"/>
                <w:lang w:eastAsia="es-CO"/>
              </w:rPr>
            </w:pPr>
            <w:r w:rsidRPr="00EB58E0">
              <w:rPr>
                <w:rFonts w:ascii="Verdana" w:eastAsia="Times New Roman" w:hAnsi="Verdana" w:cs="Arial"/>
                <w:lang w:eastAsia="es-CO"/>
              </w:rPr>
              <w:t>En este sentido, y en virtud de su naturaleza, la Ley 489 de 1998 es fundamental para determinar su estructura y régimen. El parágrafo 1° del artículo 38 de dicha ley establece que las sociedades públicas con participación estatal superior al 90% se someten al régimen previsto para las Empresas Industriales y Comerciales del Estado. En consecuencia, 4-72 se clasifica como una entidad pública descentralizada indirecta que forma parte de la Rama Ejecutiva del poder público, y su régimen jurídico, incluyendo el de sus actos y contratos, es el de una Empresa Industrial y Comercial del Estado, desarrollando sus actividades conforme a las reglas del derecho privado, con las excepciones que consagre la ley.</w:t>
            </w:r>
          </w:p>
          <w:p w14:paraId="66DE3717" w14:textId="77777777" w:rsidR="00794876" w:rsidRPr="00C723BE" w:rsidRDefault="00794876" w:rsidP="000E7260">
            <w:pPr>
              <w:spacing w:after="120" w:line="276" w:lineRule="auto"/>
              <w:jc w:val="both"/>
              <w:rPr>
                <w:rFonts w:ascii="Verdana" w:hAnsi="Verdana"/>
              </w:rPr>
            </w:pPr>
            <w:r>
              <w:rPr>
                <w:rFonts w:ascii="Verdana" w:eastAsia="Times New Roman" w:hAnsi="Verdana" w:cs="Arial"/>
                <w:lang w:eastAsia="es-CO"/>
              </w:rPr>
              <w:t xml:space="preserve">      </w:t>
            </w:r>
            <w:r>
              <w:rPr>
                <w:rFonts w:ascii="Verdana" w:hAnsi="Verdana"/>
              </w:rPr>
              <w:t xml:space="preserve"> </w:t>
            </w:r>
            <w:r w:rsidRPr="00C723BE">
              <w:rPr>
                <w:rFonts w:ascii="Verdana" w:hAnsi="Verdana"/>
              </w:rPr>
              <w:t xml:space="preserve">En este contexto, la Ley 1369 de 2009 establece una obligación legal para las entidades de las Ramas Ejecutiva, Legislativa y Judicial de contratar los </w:t>
            </w:r>
            <w:r w:rsidRPr="00C723BE">
              <w:rPr>
                <w:rFonts w:ascii="Verdana" w:hAnsi="Verdana"/>
              </w:rPr>
              <w:lastRenderedPageBreak/>
              <w:t>servicios de correo exclusivamente con Servicios Postales Nacionales S.A.S. Este mandato implica que dichos servicios no pueden ser contratados con terceros operadores, so pena de incurrir en las infracciones postales previstas en el artículo 37 de la misma ley.</w:t>
            </w:r>
          </w:p>
          <w:p w14:paraId="75F45880" w14:textId="77777777" w:rsidR="00794876" w:rsidRPr="00C723BE" w:rsidRDefault="00794876" w:rsidP="000E7260">
            <w:pPr>
              <w:spacing w:after="160" w:line="278" w:lineRule="auto"/>
              <w:jc w:val="both"/>
              <w:rPr>
                <w:rFonts w:ascii="Verdana" w:hAnsi="Verdana"/>
              </w:rPr>
            </w:pPr>
            <w:r>
              <w:rPr>
                <w:rFonts w:ascii="Verdana" w:hAnsi="Verdana"/>
              </w:rPr>
              <w:t xml:space="preserve">      </w:t>
            </w:r>
            <w:r w:rsidRPr="00C723BE">
              <w:rPr>
                <w:rFonts w:ascii="Verdana" w:hAnsi="Verdana"/>
              </w:rPr>
              <w:t>Así las cosas, la contratación de los servicios de correo con Servicios Postales Nacionales S.A.S. no corresponde a una decisión discrecional de la entidad, sino al cumplimiento de un mandato legal expreso que reserva dicha actividad al Operador Postal Oficial. En consecuencia, la celebración de contratos con esta entidad tiene como finalidad garantizar la prestación de un servicio cuya ejecución ha sido atribuida de manera exclusiva por el legislador.</w:t>
            </w:r>
          </w:p>
          <w:p w14:paraId="39F41CF6" w14:textId="77777777" w:rsidR="00794876" w:rsidRPr="00C723BE" w:rsidRDefault="00794876" w:rsidP="000E7260">
            <w:pPr>
              <w:spacing w:after="160" w:line="278" w:lineRule="auto"/>
              <w:jc w:val="both"/>
              <w:rPr>
                <w:rFonts w:ascii="Verdana" w:hAnsi="Verdana"/>
              </w:rPr>
            </w:pPr>
            <w:r>
              <w:rPr>
                <w:rFonts w:ascii="Verdana" w:hAnsi="Verdana"/>
              </w:rPr>
              <w:t xml:space="preserve">         </w:t>
            </w:r>
            <w:r w:rsidRPr="00C723BE">
              <w:rPr>
                <w:rFonts w:ascii="Verdana" w:hAnsi="Verdana"/>
              </w:rPr>
              <w:t>Desde esta perspectiva, la celebración de contratos interadministrativos con Servicios Postales Nacionales S.A.S. para la prestación de los servicios de correo responde al cumplimiento de una obligación legal establecida en la Ley 1369 de 2009, y no al ejercicio de la autonomía contractual de la entidad. Por ello, su celebración se enmarca en el cumplimiento de un mandato normativo específico que determina el operador habilitado para prestar dicho servicio a las entidades públicas.</w:t>
            </w:r>
          </w:p>
          <w:p w14:paraId="6507E9F3" w14:textId="77777777" w:rsidR="00794876" w:rsidRDefault="00794876" w:rsidP="000E7260">
            <w:pPr>
              <w:spacing w:after="160" w:line="278" w:lineRule="auto"/>
              <w:jc w:val="both"/>
              <w:rPr>
                <w:rFonts w:ascii="Verdana" w:hAnsi="Verdana"/>
              </w:rPr>
            </w:pPr>
            <w:r>
              <w:rPr>
                <w:rFonts w:ascii="Verdana" w:hAnsi="Verdana"/>
              </w:rPr>
              <w:t xml:space="preserve">       </w:t>
            </w:r>
            <w:r w:rsidRPr="00C723BE">
              <w:rPr>
                <w:rFonts w:ascii="Verdana" w:hAnsi="Verdana"/>
              </w:rPr>
              <w:t>En consecuencia, la contratación de los servicios de correo con Servicios Postales Nacionales S.A.S., en cumplimiento de lo dispuesto en el artículo 15 de la Ley 1369 de 2009, constituye la materialización de una obligación legal prevista por el legislador para las entidades públicas.</w:t>
            </w:r>
          </w:p>
          <w:p w14:paraId="7BA6EE48" w14:textId="77777777" w:rsidR="00794876" w:rsidRPr="00C15525" w:rsidRDefault="00794876" w:rsidP="000E7260">
            <w:pPr>
              <w:spacing w:after="160" w:line="278" w:lineRule="auto"/>
              <w:jc w:val="both"/>
              <w:rPr>
                <w:rFonts w:ascii="Verdana" w:hAnsi="Verdana"/>
              </w:rPr>
            </w:pPr>
            <w:r>
              <w:rPr>
                <w:rFonts w:ascii="Verdana" w:eastAsia="Arial" w:hAnsi="Verdana" w:cs="Arial"/>
                <w:lang w:val="es-ES" w:eastAsia="es-ES" w:bidi="es-ES"/>
              </w:rPr>
              <w:t xml:space="preserve">      </w:t>
            </w:r>
            <w:r w:rsidRPr="00C15525">
              <w:rPr>
                <w:rFonts w:ascii="Verdana" w:eastAsia="Arial" w:hAnsi="Verdana" w:cs="Arial"/>
                <w:lang w:val="es-ES" w:eastAsia="es-ES" w:bidi="es-ES"/>
              </w:rPr>
              <w:t>Para delimitar el alcance de esta obligación frente a las restricciones de la Ley de Garantías Electorales, resulta pertinente traer a colación el pronunciamiento de la Sala de Consulta y Servicio Civil del Consejo de Estado, el cual precisó, respecto del artículo 5 de la Ley 109 de 1994, que cuando excepcionalmente el contrato o convenio interadministrativo es ordenado por una ley, su celebración no resultaría violatoria de la restricción a la contratación directa contenida en la Ley 996 de 2005</w:t>
            </w:r>
          </w:p>
          <w:p w14:paraId="4E104CA5" w14:textId="77777777" w:rsidR="00794876" w:rsidRPr="00C15525" w:rsidRDefault="00794876" w:rsidP="000E7260">
            <w:pPr>
              <w:widowControl w:val="0"/>
              <w:autoSpaceDE w:val="0"/>
              <w:autoSpaceDN w:val="0"/>
              <w:spacing w:after="120" w:line="276" w:lineRule="auto"/>
              <w:ind w:firstLine="709"/>
              <w:jc w:val="both"/>
              <w:rPr>
                <w:rFonts w:ascii="Verdana" w:eastAsia="Arial" w:hAnsi="Verdana" w:cs="Arial"/>
                <w:lang w:eastAsia="es-ES" w:bidi="es-ES"/>
              </w:rPr>
            </w:pPr>
            <w:r w:rsidRPr="00C15525">
              <w:rPr>
                <w:rFonts w:ascii="Verdana" w:eastAsia="Arial" w:hAnsi="Verdana" w:cs="Arial"/>
                <w:lang w:eastAsia="es-ES" w:bidi="es-ES"/>
              </w:rPr>
              <w:t xml:space="preserve">Bajo esta perspectiva, y a la luz del concepto del Consejo de Estado sobre el alcance de la norma en mención, puede sostenerse que los contratos que se celebren con </w:t>
            </w:r>
            <w:r w:rsidRPr="00C723BE">
              <w:rPr>
                <w:rFonts w:ascii="Verdana" w:hAnsi="Verdana"/>
              </w:rPr>
              <w:t>el Operador Postal Oficial es Servicios Postales Nacionales S.A.S. (4-72)</w:t>
            </w:r>
            <w:r w:rsidRPr="00C15525">
              <w:rPr>
                <w:rFonts w:ascii="Verdana" w:eastAsia="Arial" w:hAnsi="Verdana" w:cs="Arial"/>
                <w:lang w:eastAsia="es-ES" w:bidi="es-ES"/>
              </w:rPr>
              <w:t xml:space="preserve"> en cumplimiento de lo dispuesto en el </w:t>
            </w:r>
            <w:r w:rsidRPr="00C723BE">
              <w:rPr>
                <w:rFonts w:ascii="Verdana" w:hAnsi="Verdana"/>
              </w:rPr>
              <w:t>artículo 15 de la Ley 1369 de 2009</w:t>
            </w:r>
            <w:r>
              <w:rPr>
                <w:rFonts w:ascii="Verdana" w:hAnsi="Verdana"/>
              </w:rPr>
              <w:t>,</w:t>
            </w:r>
            <w:r w:rsidRPr="00C15525">
              <w:rPr>
                <w:rFonts w:ascii="Verdana" w:eastAsia="Arial" w:hAnsi="Verdana" w:cs="Arial"/>
                <w:lang w:eastAsia="es-ES" w:bidi="es-ES"/>
              </w:rPr>
              <w:t xml:space="preserve"> no se encontrarían sometidos a las restricciones previstas en la Ley </w:t>
            </w:r>
            <w:r w:rsidRPr="00C15525">
              <w:rPr>
                <w:rFonts w:ascii="Verdana" w:eastAsia="Arial" w:hAnsi="Verdana" w:cs="Arial"/>
                <w:lang w:eastAsia="es-ES" w:bidi="es-ES"/>
              </w:rPr>
              <w:lastRenderedPageBreak/>
              <w:t>996 de 2005, en la medida en que su celebración obedece al cumplimiento de un mandato legal expreso.</w:t>
            </w:r>
          </w:p>
          <w:p w14:paraId="625945F5" w14:textId="77777777" w:rsidR="00794876" w:rsidRPr="00C31CD4" w:rsidRDefault="00794876" w:rsidP="000E7260">
            <w:pPr>
              <w:spacing w:line="276" w:lineRule="auto"/>
              <w:ind w:firstLine="360"/>
              <w:contextualSpacing/>
              <w:jc w:val="both"/>
              <w:rPr>
                <w:rFonts w:ascii="Verdana" w:hAnsi="Verdana"/>
              </w:rPr>
            </w:pPr>
            <w:r w:rsidRPr="00C15525">
              <w:rPr>
                <w:rFonts w:ascii="Verdana" w:eastAsia="Arial" w:hAnsi="Verdana" w:cs="Arial"/>
                <w:lang w:eastAsia="es-ES" w:bidi="es-ES"/>
              </w:rPr>
              <w:t>No obstante, en cada caso concreto la entidad deberá efectuar un análisis riguroso de la prestación que se pretende satisfacer mediante la celebración del respectivo contrato, a fin de verificar que su objeto y alcance se encuentren efectivamente comprendidos dentro de lo previsto en el</w:t>
            </w:r>
            <w:r>
              <w:rPr>
                <w:rFonts w:ascii="Verdana" w:eastAsia="Arial" w:hAnsi="Verdana" w:cs="Arial"/>
                <w:lang w:eastAsia="es-ES" w:bidi="es-ES"/>
              </w:rPr>
              <w:t xml:space="preserve">  </w:t>
            </w:r>
            <w:r w:rsidRPr="00C723BE">
              <w:rPr>
                <w:rFonts w:ascii="Verdana" w:hAnsi="Verdana"/>
              </w:rPr>
              <w:t xml:space="preserve"> artículo 15 de la Ley 1369 de 2009</w:t>
            </w:r>
            <w:r w:rsidRPr="00C15525">
              <w:rPr>
                <w:rFonts w:ascii="Verdana" w:eastAsia="Arial" w:hAnsi="Verdana" w:cs="Arial"/>
                <w:lang w:eastAsia="es-ES" w:bidi="es-ES"/>
              </w:rPr>
              <w:t xml:space="preserve">. </w:t>
            </w:r>
            <w:r w:rsidRPr="00C15525">
              <w:rPr>
                <w:rFonts w:ascii="Verdana" w:eastAsia="Calibri" w:hAnsi="Verdana" w:cs="Arial"/>
                <w:bCs/>
                <w:color w:val="000000" w:themeColor="text1"/>
                <w:lang w:val="es-ES" w:eastAsia="es-ES" w:bidi="es-ES"/>
              </w:rPr>
              <w:t>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tc>
      </w:tr>
    </w:tbl>
    <w:p w14:paraId="75C4288A" w14:textId="77777777" w:rsidR="00794876" w:rsidRPr="00960F72" w:rsidRDefault="00794876" w:rsidP="00794876">
      <w:pPr>
        <w:tabs>
          <w:tab w:val="left" w:pos="142"/>
          <w:tab w:val="left" w:pos="284"/>
        </w:tabs>
        <w:spacing w:after="0" w:line="276" w:lineRule="auto"/>
        <w:jc w:val="both"/>
        <w:rPr>
          <w:rFonts w:ascii="Verdana" w:eastAsia="Century Gothic" w:hAnsi="Verdana" w:cs="Century Gothic"/>
          <w:b/>
          <w:bCs/>
        </w:rPr>
      </w:pPr>
    </w:p>
    <w:p w14:paraId="01542688" w14:textId="77777777" w:rsidR="00794876" w:rsidRDefault="00794876" w:rsidP="0079487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t>Razones de la respuesta:</w:t>
      </w:r>
    </w:p>
    <w:p w14:paraId="1456CE34" w14:textId="77777777" w:rsidR="00794876" w:rsidRDefault="00794876" w:rsidP="00794876">
      <w:pPr>
        <w:pStyle w:val="Prrafodelista"/>
        <w:tabs>
          <w:tab w:val="left" w:pos="142"/>
          <w:tab w:val="left" w:pos="284"/>
        </w:tabs>
        <w:spacing w:after="0" w:line="276" w:lineRule="auto"/>
        <w:ind w:left="0"/>
        <w:contextualSpacing w:val="0"/>
        <w:jc w:val="both"/>
        <w:rPr>
          <w:rFonts w:ascii="Verdana" w:eastAsia="Century Gothic" w:hAnsi="Verdana" w:cs="Century Gothic"/>
          <w:b/>
          <w:bCs/>
          <w:lang w:val="es-CO"/>
        </w:rPr>
      </w:pPr>
    </w:p>
    <w:p w14:paraId="61316D78" w14:textId="77777777" w:rsidR="00794876" w:rsidRDefault="00794876" w:rsidP="00794876">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40416BFF" w14:textId="77777777" w:rsidR="00794876" w:rsidRPr="000C6D8F" w:rsidRDefault="00794876" w:rsidP="00794876">
      <w:pPr>
        <w:spacing w:after="0" w:line="276" w:lineRule="auto"/>
        <w:jc w:val="both"/>
        <w:rPr>
          <w:rFonts w:ascii="Verdana" w:eastAsia="Calibri" w:hAnsi="Verdana" w:cs="Arial"/>
          <w:lang w:val="es-ES"/>
        </w:rPr>
      </w:pPr>
    </w:p>
    <w:p w14:paraId="28D8FE3D" w14:textId="77777777" w:rsidR="00794876" w:rsidRPr="00C15525" w:rsidRDefault="00794876" w:rsidP="00794876">
      <w:pPr>
        <w:spacing w:after="120" w:line="276" w:lineRule="auto"/>
        <w:jc w:val="both"/>
        <w:rPr>
          <w:rFonts w:ascii="Verdana" w:eastAsia="Calibri" w:hAnsi="Verdana" w:cs="Arial"/>
          <w:color w:val="000000" w:themeColor="text1"/>
          <w:lang w:val="es-ES"/>
        </w:rPr>
      </w:pPr>
      <w:r w:rsidRPr="00C15525">
        <w:rPr>
          <w:rFonts w:ascii="Verdana" w:eastAsia="Calibri" w:hAnsi="Verdana" w:cs="Arial"/>
          <w:color w:val="000000" w:themeColor="text1"/>
          <w:lang w:val="es-ES"/>
        </w:rPr>
        <w:t xml:space="preserve">Lo anterior se sustenta en las siguientes consideraciones: </w:t>
      </w:r>
    </w:p>
    <w:p w14:paraId="279E3384" w14:textId="77777777" w:rsidR="00794876" w:rsidRPr="00C15525" w:rsidRDefault="00794876" w:rsidP="00794876">
      <w:pPr>
        <w:tabs>
          <w:tab w:val="left" w:pos="426"/>
        </w:tabs>
        <w:spacing w:after="120" w:line="276" w:lineRule="auto"/>
        <w:jc w:val="both"/>
        <w:rPr>
          <w:rFonts w:ascii="Verdana" w:eastAsia="Times New Roman" w:hAnsi="Verdana" w:cs="Arial"/>
          <w:lang w:eastAsia="es-CO"/>
        </w:rPr>
      </w:pPr>
      <w:r w:rsidRPr="00C15525">
        <w:rPr>
          <w:rFonts w:ascii="Verdana" w:eastAsia="Calibri" w:hAnsi="Verdana" w:cs="Arial"/>
          <w:color w:val="000000" w:themeColor="text1"/>
        </w:rPr>
        <w:t xml:space="preserve">i. </w:t>
      </w:r>
      <w:r w:rsidRPr="00C15525">
        <w:rPr>
          <w:rFonts w:ascii="Verdana" w:eastAsia="Calibri" w:hAnsi="Verdana" w:cs="Arial"/>
        </w:rPr>
        <w:t>El ordenamiento jurídico colombiano contempla previsiones claras para evitar la obtención de beneficios personales en asuntos propios de la administración pública</w:t>
      </w:r>
      <w:r w:rsidRPr="00C15525">
        <w:rPr>
          <w:rFonts w:ascii="Verdana" w:eastAsia="Calibri" w:hAnsi="Verdana" w:cs="Arial"/>
          <w:i/>
        </w:rPr>
        <w:t xml:space="preserve">. </w:t>
      </w:r>
      <w:r w:rsidRPr="00C15525">
        <w:rPr>
          <w:rFonts w:ascii="Verdana" w:eastAsia="Calibri" w:hAnsi="Verdana" w:cs="Arial"/>
        </w:rPr>
        <w:t>Por ejemplo, el artículo 127 de la Constitución Política establece una prohibición contractual a los servidores públicos y en cuanto a aspectos políticos consagra restricciones a ciertos empleados del Estado, incluso en época no electoral</w:t>
      </w:r>
      <w:r w:rsidRPr="00C15525">
        <w:rPr>
          <w:rFonts w:ascii="Verdana" w:eastAsia="Calibri" w:hAnsi="Verdana" w:cs="Arial"/>
          <w:vertAlign w:val="superscript"/>
        </w:rPr>
        <w:footnoteReference w:id="3"/>
      </w:r>
      <w:r w:rsidRPr="00C15525">
        <w:rPr>
          <w:rFonts w:ascii="Verdana" w:eastAsia="Calibri" w:hAnsi="Verdana" w:cs="Arial"/>
        </w:rPr>
        <w:t xml:space="preserve">. </w:t>
      </w:r>
    </w:p>
    <w:p w14:paraId="7B2B221F" w14:textId="77777777" w:rsidR="00794876" w:rsidRPr="00C15525" w:rsidRDefault="00794876" w:rsidP="00794876">
      <w:pPr>
        <w:tabs>
          <w:tab w:val="left" w:pos="426"/>
        </w:tabs>
        <w:spacing w:after="0" w:line="276" w:lineRule="auto"/>
        <w:ind w:firstLine="709"/>
        <w:jc w:val="both"/>
        <w:rPr>
          <w:rFonts w:ascii="Verdana" w:eastAsia="Times New Roman" w:hAnsi="Verdana" w:cs="Arial"/>
          <w:lang w:val="es-MX" w:eastAsia="es-CO"/>
        </w:rPr>
      </w:pPr>
      <w:r w:rsidRPr="00C15525">
        <w:rPr>
          <w:rFonts w:ascii="Verdana" w:eastAsia="Times New Roman" w:hAnsi="Verdana" w:cs="Arial"/>
          <w:lang w:eastAsia="es-CO"/>
        </w:rPr>
        <w:t>En el mismo sentido</w:t>
      </w:r>
      <w:r w:rsidRPr="00C15525">
        <w:rPr>
          <w:rFonts w:ascii="Verdana" w:eastAsia="Times New Roman" w:hAnsi="Verdana" w:cs="Arial"/>
          <w:lang w:val="es-MX" w:eastAsia="es-CO"/>
        </w:rPr>
        <w:t xml:space="preserve">, </w:t>
      </w:r>
      <w:bookmarkStart w:id="1" w:name="_Hlk99576829"/>
      <w:r w:rsidRPr="00C15525">
        <w:rPr>
          <w:rFonts w:ascii="Verdana" w:eastAsia="Times New Roman" w:hAnsi="Verdana" w:cs="Arial"/>
          <w:lang w:val="es-MX" w:eastAsia="es-CO"/>
        </w:rPr>
        <w:t xml:space="preserve">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w:t>
      </w:r>
      <w:r w:rsidRPr="00C15525">
        <w:rPr>
          <w:rFonts w:ascii="Verdana" w:eastAsia="Times New Roman" w:hAnsi="Verdana" w:cs="Arial"/>
          <w:lang w:val="es-MX" w:eastAsia="es-CO"/>
        </w:rPr>
        <w:lastRenderedPageBreak/>
        <w:t>de arbitrariedad, de ventaja injustificada, de uso irregular de los recursos del Estado en las campañas o falta de garantías en la elección presidencial</w:t>
      </w:r>
      <w:r w:rsidRPr="00C15525">
        <w:rPr>
          <w:rFonts w:ascii="Verdana" w:eastAsia="Times New Roman" w:hAnsi="Verdana" w:cs="Arial"/>
          <w:vertAlign w:val="superscript"/>
          <w:lang w:val="es-MX" w:eastAsia="es-CO"/>
        </w:rPr>
        <w:footnoteReference w:id="4"/>
      </w:r>
      <w:r w:rsidRPr="00C15525">
        <w:rPr>
          <w:rFonts w:ascii="Verdana" w:eastAsia="Times New Roman" w:hAnsi="Verdana" w:cs="Arial"/>
          <w:lang w:val="es-MX" w:eastAsia="es-CO"/>
        </w:rPr>
        <w:t>. En esta medida, introduce limitaciones para realizar nombramientos, postulaciones, contrataciones o cualquier otro tipo de actividad que implique destinación de recursos públicos bajo el devenir propio de las entidades estatales.</w:t>
      </w:r>
      <w:r w:rsidRPr="00C15525">
        <w:rPr>
          <w:rFonts w:ascii="Verdana" w:eastAsia="Calibri" w:hAnsi="Verdana" w:cs="Arial"/>
          <w:lang w:val="es-ES_tradnl"/>
        </w:rPr>
        <w:t xml:space="preserve"> </w:t>
      </w:r>
      <w:bookmarkEnd w:id="1"/>
      <w:r w:rsidRPr="00C15525">
        <w:rPr>
          <w:rFonts w:ascii="Verdana" w:eastAsia="Times New Roman" w:hAnsi="Verdana" w:cs="Arial"/>
          <w:lang w:val="es-MX" w:eastAsia="es-CO"/>
        </w:rPr>
        <w:t>En armonía con lo anterior, la Corte Constitucional ha abordado la definición de la Ley de Garantías Electorales. De esta manera, explica que tiene como propósito:</w:t>
      </w:r>
    </w:p>
    <w:p w14:paraId="40C8F0EE" w14:textId="77777777" w:rsidR="00794876" w:rsidRPr="00C15525" w:rsidRDefault="00794876" w:rsidP="00794876">
      <w:pPr>
        <w:spacing w:after="0" w:line="276" w:lineRule="auto"/>
        <w:ind w:right="709"/>
        <w:contextualSpacing/>
        <w:jc w:val="both"/>
        <w:rPr>
          <w:rFonts w:ascii="Verdana" w:eastAsia="Times New Roman" w:hAnsi="Verdana" w:cs="Arial"/>
          <w:sz w:val="21"/>
          <w:szCs w:val="21"/>
          <w:lang w:val="es-ES" w:eastAsia="es-CO"/>
        </w:rPr>
      </w:pPr>
    </w:p>
    <w:p w14:paraId="77CFA310" w14:textId="77777777" w:rsidR="00794876" w:rsidRPr="00C15525" w:rsidRDefault="00794876" w:rsidP="00794876">
      <w:pPr>
        <w:spacing w:after="0" w:line="240" w:lineRule="auto"/>
        <w:ind w:left="709" w:right="709"/>
        <w:contextualSpacing/>
        <w:jc w:val="both"/>
        <w:rPr>
          <w:rFonts w:ascii="Verdana" w:eastAsia="Times New Roman" w:hAnsi="Verdana" w:cs="Arial"/>
          <w:sz w:val="20"/>
          <w:szCs w:val="20"/>
          <w:lang w:val="es-MX" w:eastAsia="es-CO"/>
        </w:rPr>
      </w:pPr>
      <w:r w:rsidRPr="00C15525">
        <w:rPr>
          <w:rFonts w:ascii="Verdana" w:eastAsia="Times New Roman" w:hAnsi="Verdana" w:cs="Arial"/>
          <w:sz w:val="20"/>
          <w:szCs w:val="20"/>
          <w:lang w:val="es-ES" w:eastAsia="es-CO"/>
        </w:rPr>
        <w:t xml:space="preserve">“[…] </w:t>
      </w:r>
      <w:r w:rsidRPr="00C15525">
        <w:rPr>
          <w:rFonts w:ascii="Verdana" w:eastAsia="Times New Roman" w:hAnsi="Verdana" w:cs="Arial"/>
          <w:sz w:val="20"/>
          <w:szCs w:val="20"/>
          <w:lang w:val="es-MX" w:eastAsia="es-CO"/>
        </w:rPr>
        <w:t>la definición de reglas claras que permitan acceder a los canales de expresión democrática de manera efectiva e igualitaria. El objetivo de una ley de garantías es definir esas reglas.</w:t>
      </w:r>
    </w:p>
    <w:p w14:paraId="73AF9D63" w14:textId="77777777" w:rsidR="00794876" w:rsidRPr="00C15525" w:rsidRDefault="00794876" w:rsidP="00794876">
      <w:pPr>
        <w:spacing w:after="0" w:line="240" w:lineRule="auto"/>
        <w:ind w:left="709" w:right="709"/>
        <w:contextualSpacing/>
        <w:jc w:val="both"/>
        <w:rPr>
          <w:rFonts w:ascii="Verdana" w:eastAsia="Times New Roman" w:hAnsi="Verdana" w:cs="Arial"/>
          <w:sz w:val="20"/>
          <w:szCs w:val="20"/>
          <w:lang w:val="es-MX" w:eastAsia="es-CO"/>
        </w:rPr>
      </w:pPr>
      <w:r w:rsidRPr="00C15525">
        <w:rPr>
          <w:rFonts w:ascii="Verdana" w:eastAsia="Times New Roman" w:hAnsi="Verdana" w:cs="Arial"/>
          <w:sz w:val="20"/>
          <w:szCs w:val="20"/>
          <w:lang w:val="es-MX" w:eastAsia="es-CO"/>
        </w:rPr>
        <w:t xml:space="preserve">[…] </w:t>
      </w:r>
    </w:p>
    <w:p w14:paraId="3335D37B" w14:textId="77777777" w:rsidR="00794876" w:rsidRPr="00C15525" w:rsidRDefault="00794876" w:rsidP="00794876">
      <w:pPr>
        <w:spacing w:after="0" w:line="240" w:lineRule="auto"/>
        <w:ind w:left="709" w:right="709"/>
        <w:contextualSpacing/>
        <w:jc w:val="both"/>
        <w:rPr>
          <w:rFonts w:ascii="Verdana" w:eastAsia="Times New Roman" w:hAnsi="Verdana" w:cs="Arial"/>
          <w:sz w:val="12"/>
          <w:szCs w:val="12"/>
          <w:lang w:val="es-MX" w:eastAsia="es-CO"/>
        </w:rPr>
      </w:pPr>
    </w:p>
    <w:p w14:paraId="32FEDA8B" w14:textId="77777777" w:rsidR="00794876" w:rsidRPr="00C15525" w:rsidRDefault="00794876" w:rsidP="00794876">
      <w:pPr>
        <w:spacing w:after="0" w:line="240" w:lineRule="auto"/>
        <w:ind w:left="709" w:right="709"/>
        <w:contextualSpacing/>
        <w:jc w:val="both"/>
        <w:rPr>
          <w:rFonts w:ascii="Verdana" w:eastAsia="Times New Roman" w:hAnsi="Verdana" w:cs="Arial"/>
          <w:sz w:val="20"/>
          <w:szCs w:val="20"/>
          <w:lang w:val="es-MX" w:eastAsia="es-CO"/>
        </w:rPr>
      </w:pPr>
      <w:r w:rsidRPr="00C15525">
        <w:rPr>
          <w:rFonts w:ascii="Verdana" w:eastAsia="Times New Roman" w:hAnsi="Verdana" w:cs="Arial"/>
          <w:sz w:val="20"/>
          <w:szCs w:val="20"/>
          <w:lang w:val="es-MX"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C15525">
        <w:rPr>
          <w:rFonts w:ascii="Verdana" w:eastAsia="Calibri" w:hAnsi="Verdana" w:cs="Arial"/>
          <w:sz w:val="20"/>
          <w:szCs w:val="20"/>
          <w:vertAlign w:val="superscript"/>
          <w:lang w:val="es-MX"/>
        </w:rPr>
        <w:footnoteReference w:id="5"/>
      </w:r>
      <w:r w:rsidRPr="00C15525">
        <w:rPr>
          <w:rFonts w:ascii="Verdana" w:eastAsia="Times New Roman" w:hAnsi="Verdana" w:cs="Arial"/>
          <w:sz w:val="20"/>
          <w:szCs w:val="20"/>
          <w:lang w:val="es-MX" w:eastAsia="es-CO"/>
        </w:rPr>
        <w:t>.</w:t>
      </w:r>
    </w:p>
    <w:p w14:paraId="7612DD8F" w14:textId="77777777" w:rsidR="00794876" w:rsidRPr="00C15525" w:rsidRDefault="00794876" w:rsidP="00794876">
      <w:pPr>
        <w:spacing w:after="0" w:line="276" w:lineRule="auto"/>
        <w:ind w:left="709" w:right="709"/>
        <w:contextualSpacing/>
        <w:jc w:val="both"/>
        <w:rPr>
          <w:rFonts w:ascii="Verdana" w:eastAsia="Times New Roman" w:hAnsi="Verdana" w:cs="Arial"/>
          <w:sz w:val="21"/>
          <w:szCs w:val="21"/>
          <w:lang w:val="es-MX" w:eastAsia="es-CO"/>
        </w:rPr>
      </w:pPr>
    </w:p>
    <w:p w14:paraId="4CCAB9B3" w14:textId="77777777" w:rsidR="00794876" w:rsidRPr="00C15525" w:rsidRDefault="00794876" w:rsidP="00794876">
      <w:pPr>
        <w:spacing w:after="0" w:line="276" w:lineRule="auto"/>
        <w:ind w:firstLine="709"/>
        <w:jc w:val="both"/>
        <w:rPr>
          <w:rFonts w:ascii="Verdana" w:eastAsia="Times New Roman" w:hAnsi="Verdana" w:cs="Arial"/>
          <w:lang w:val="es-MX" w:eastAsia="es-CO"/>
        </w:rPr>
      </w:pPr>
      <w:bookmarkStart w:id="2" w:name="_Hlk78818186"/>
      <w:r w:rsidRPr="00C15525">
        <w:rPr>
          <w:rFonts w:ascii="Verdana" w:eastAsia="Times New Roman" w:hAnsi="Verdana" w:cs="Arial"/>
          <w:lang w:val="es-MX" w:eastAsia="es-CO"/>
        </w:rPr>
        <w:t xml:space="preserve">De esta manera, la Ley de Garantías Electorales establece el marco jurídico para el desarrollo de las elecciones, procurando condiciones de igualdad y transparencia para los aspirantes y paralelamente se incluyen restricciones en el actuar de los servidores públicos, evitando interferencias en la contienda electoral, así como la posible desviación de recursos públicos en aspiraciones electorales. </w:t>
      </w:r>
      <w:bookmarkEnd w:id="2"/>
      <w:r w:rsidRPr="00C15525">
        <w:rPr>
          <w:rFonts w:ascii="Verdana" w:eastAsia="Times New Roman" w:hAnsi="Verdana" w:cs="Arial"/>
          <w:lang w:val="es-MX" w:eastAsia="es-CO"/>
        </w:rPr>
        <w:t>Por ello, varias de las disposiciones de la Ley 996 de 2005, al contener normas prohibitivas, no admiten una interpretación amplia, sino que deben interpretarse restrictivamente. En efecto, la Sala de Consulta y Servicio Civil del Consejo de Estado, precisó lo siguiente:</w:t>
      </w:r>
    </w:p>
    <w:p w14:paraId="1842E085" w14:textId="77777777" w:rsidR="00794876" w:rsidRPr="00C15525" w:rsidRDefault="00794876" w:rsidP="00794876">
      <w:pPr>
        <w:spacing w:line="276" w:lineRule="auto"/>
        <w:ind w:firstLine="709"/>
        <w:contextualSpacing/>
        <w:jc w:val="both"/>
        <w:rPr>
          <w:rFonts w:ascii="Verdana" w:eastAsia="Times New Roman" w:hAnsi="Verdana" w:cs="Arial"/>
          <w:lang w:val="es-MX" w:eastAsia="es-CO"/>
        </w:rPr>
      </w:pPr>
    </w:p>
    <w:p w14:paraId="58AC15A6" w14:textId="77777777" w:rsidR="00794876" w:rsidRPr="00C15525" w:rsidRDefault="00794876" w:rsidP="00794876">
      <w:pPr>
        <w:spacing w:after="0" w:line="240" w:lineRule="auto"/>
        <w:ind w:left="709" w:right="709"/>
        <w:contextualSpacing/>
        <w:jc w:val="both"/>
        <w:rPr>
          <w:rFonts w:ascii="Verdana" w:eastAsia="Times New Roman" w:hAnsi="Verdana" w:cs="Arial"/>
          <w:sz w:val="20"/>
          <w:szCs w:val="20"/>
          <w:lang w:val="es-MX" w:eastAsia="es-CO"/>
        </w:rPr>
      </w:pPr>
      <w:r w:rsidRPr="00C15525">
        <w:rPr>
          <w:rFonts w:ascii="Verdana" w:eastAsia="Times New Roman" w:hAnsi="Verdana" w:cs="Arial"/>
          <w:sz w:val="20"/>
          <w:szCs w:val="20"/>
          <w:lang w:val="es-MX"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C15525">
        <w:rPr>
          <w:rFonts w:ascii="Verdana" w:eastAsia="Times New Roman" w:hAnsi="Verdana" w:cs="Arial"/>
          <w:sz w:val="20"/>
          <w:szCs w:val="20"/>
          <w:lang w:val="es-MX" w:eastAsia="es-CO"/>
        </w:rPr>
        <w:t>legis</w:t>
      </w:r>
      <w:proofErr w:type="spellEnd"/>
      <w:r w:rsidRPr="00C15525">
        <w:rPr>
          <w:rFonts w:ascii="Verdana" w:eastAsia="Times New Roman" w:hAnsi="Verdana" w:cs="Arial"/>
          <w:sz w:val="20"/>
          <w:szCs w:val="20"/>
          <w:lang w:val="es-MX" w:eastAsia="es-CO"/>
        </w:rPr>
        <w:t xml:space="preserve"> o iuris y la interpretación extensiva. Las normas legales de contenido </w:t>
      </w:r>
      <w:r w:rsidRPr="00C15525">
        <w:rPr>
          <w:rFonts w:ascii="Verdana" w:eastAsia="Times New Roman" w:hAnsi="Verdana" w:cs="Arial"/>
          <w:sz w:val="20"/>
          <w:szCs w:val="20"/>
          <w:lang w:val="es-MX" w:eastAsia="es-CO"/>
        </w:rPr>
        <w:lastRenderedPageBreak/>
        <w:t>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5CC75825" w14:textId="77777777" w:rsidR="00794876" w:rsidRPr="00C15525" w:rsidRDefault="00794876" w:rsidP="00794876">
      <w:pPr>
        <w:spacing w:after="0" w:line="240" w:lineRule="auto"/>
        <w:ind w:right="709"/>
        <w:contextualSpacing/>
        <w:jc w:val="both"/>
        <w:rPr>
          <w:rFonts w:ascii="Verdana" w:eastAsia="Times New Roman" w:hAnsi="Verdana" w:cs="Arial"/>
          <w:sz w:val="12"/>
          <w:szCs w:val="12"/>
          <w:lang w:val="es-MX" w:eastAsia="es-CO"/>
        </w:rPr>
      </w:pPr>
    </w:p>
    <w:p w14:paraId="668D7149" w14:textId="77777777" w:rsidR="00794876" w:rsidRPr="00C15525" w:rsidRDefault="00794876" w:rsidP="00794876">
      <w:pPr>
        <w:spacing w:after="0" w:line="240" w:lineRule="auto"/>
        <w:ind w:left="709" w:right="709"/>
        <w:contextualSpacing/>
        <w:jc w:val="both"/>
        <w:rPr>
          <w:rFonts w:ascii="Verdana" w:eastAsia="Times New Roman" w:hAnsi="Verdana" w:cs="Arial"/>
          <w:sz w:val="20"/>
          <w:szCs w:val="20"/>
          <w:lang w:val="es-MX" w:eastAsia="es-CO"/>
        </w:rPr>
      </w:pPr>
      <w:r w:rsidRPr="00C15525">
        <w:rPr>
          <w:rFonts w:ascii="Verdana" w:eastAsia="Times New Roman" w:hAnsi="Verdana" w:cs="Arial"/>
          <w:sz w:val="20"/>
          <w:szCs w:val="20"/>
          <w:lang w:val="es-MX" w:eastAsia="es-CO"/>
        </w:rPr>
        <w:t>La jurisprudencia de la Corte Constitucional</w:t>
      </w:r>
      <w:r w:rsidRPr="00C15525">
        <w:rPr>
          <w:rFonts w:ascii="Verdana" w:eastAsia="Times New Roman" w:hAnsi="Verdana" w:cs="Arial"/>
          <w:sz w:val="20"/>
          <w:szCs w:val="20"/>
          <w:vertAlign w:val="superscript"/>
          <w:lang w:val="es-MX" w:eastAsia="es-CO"/>
        </w:rPr>
        <w:footnoteReference w:id="6"/>
      </w:r>
      <w:r w:rsidRPr="00C15525">
        <w:rPr>
          <w:rFonts w:ascii="Verdana" w:eastAsia="Times New Roman" w:hAnsi="Verdana" w:cs="Arial"/>
          <w:sz w:val="20"/>
          <w:szCs w:val="20"/>
          <w:lang w:val="es-MX" w:eastAsia="es-CO"/>
        </w:rPr>
        <w:t> y del Consejo de Estado</w:t>
      </w:r>
      <w:r w:rsidRPr="00C15525">
        <w:rPr>
          <w:rFonts w:ascii="Verdana" w:eastAsia="Times New Roman" w:hAnsi="Verdana" w:cs="Arial"/>
          <w:sz w:val="20"/>
          <w:szCs w:val="20"/>
          <w:vertAlign w:val="superscript"/>
          <w:lang w:val="es-MX" w:eastAsia="es-CO"/>
        </w:rPr>
        <w:footnoteReference w:id="7"/>
      </w:r>
      <w:r w:rsidRPr="00C15525">
        <w:rPr>
          <w:rFonts w:ascii="Verdana" w:eastAsia="Times New Roman" w:hAnsi="Verdana" w:cs="Arial"/>
          <w:sz w:val="20"/>
          <w:szCs w:val="20"/>
          <w:lang w:val="es-MX"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C15525">
        <w:rPr>
          <w:rFonts w:ascii="Verdana" w:eastAsia="Times New Roman" w:hAnsi="Verdana" w:cs="Arial"/>
          <w:sz w:val="20"/>
          <w:szCs w:val="20"/>
          <w:vertAlign w:val="superscript"/>
          <w:lang w:val="es-MX" w:eastAsia="es-CO"/>
        </w:rPr>
        <w:footnoteReference w:id="8"/>
      </w:r>
      <w:r w:rsidRPr="00C15525">
        <w:rPr>
          <w:rFonts w:ascii="Verdana" w:eastAsia="Times New Roman" w:hAnsi="Verdana" w:cs="Arial"/>
          <w:sz w:val="20"/>
          <w:szCs w:val="20"/>
          <w:lang w:val="es-MX" w:eastAsia="es-CO"/>
        </w:rPr>
        <w:t>.</w:t>
      </w:r>
    </w:p>
    <w:p w14:paraId="5B3FE24C" w14:textId="77777777" w:rsidR="00794876" w:rsidRPr="00C15525" w:rsidRDefault="00794876" w:rsidP="00794876">
      <w:pPr>
        <w:spacing w:after="0" w:line="276" w:lineRule="auto"/>
        <w:ind w:right="709"/>
        <w:contextualSpacing/>
        <w:jc w:val="both"/>
        <w:rPr>
          <w:rFonts w:ascii="Verdana" w:eastAsia="Times New Roman" w:hAnsi="Verdana" w:cs="Arial"/>
          <w:sz w:val="21"/>
          <w:szCs w:val="21"/>
          <w:lang w:val="es-MX" w:eastAsia="es-CO"/>
        </w:rPr>
      </w:pPr>
    </w:p>
    <w:p w14:paraId="3CD96336" w14:textId="77777777" w:rsidR="00794876" w:rsidRPr="00C15525" w:rsidRDefault="00794876" w:rsidP="00794876">
      <w:pPr>
        <w:spacing w:after="120" w:line="276" w:lineRule="auto"/>
        <w:jc w:val="both"/>
        <w:rPr>
          <w:rFonts w:ascii="Verdana" w:eastAsia="Arial" w:hAnsi="Verdana" w:cs="Arial"/>
          <w:lang w:val="es-ES" w:eastAsia="es-ES" w:bidi="es-ES"/>
        </w:rPr>
      </w:pPr>
      <w:r w:rsidRPr="00C15525">
        <w:rPr>
          <w:rFonts w:ascii="Verdana" w:eastAsia="Times New Roman" w:hAnsi="Verdana" w:cs="Arial"/>
          <w:lang w:val="es-MX" w:eastAsia="es-CO"/>
        </w:rPr>
        <w:tab/>
        <w:t>De</w:t>
      </w:r>
      <w:r w:rsidRPr="00C15525">
        <w:rPr>
          <w:rFonts w:ascii="Verdana" w:eastAsia="Arial" w:hAnsi="Verdana" w:cs="Arial"/>
          <w:lang w:val="es-ES" w:eastAsia="es-ES" w:bidi="es-ES"/>
        </w:rPr>
        <w:t xml:space="preserve"> conformidad con lo anterior, </w:t>
      </w:r>
      <w:bookmarkStart w:id="3" w:name="_Hlk77236098"/>
      <w:bookmarkStart w:id="4" w:name="_Hlk100679383"/>
      <w:r w:rsidRPr="00C15525">
        <w:rPr>
          <w:rFonts w:ascii="Verdana" w:eastAsia="Arial" w:hAnsi="Verdana" w:cs="Arial"/>
          <w:lang w:val="es-ES" w:eastAsia="es-ES" w:bidi="es-ES"/>
        </w:rPr>
        <w:t>la Ley de Garantías Electorales fijó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Específicamente, las restricciones consagradas en la citada ley se dirigen a dos (2) tipos de campañas electorales claramente diferenciadas: las presidenciales y las demás que se adelanten para la elección de los demás cargos de elección popular, tanto a nivel nacional como territorial.</w:t>
      </w:r>
      <w:bookmarkEnd w:id="3"/>
    </w:p>
    <w:p w14:paraId="7ABFF424" w14:textId="77777777" w:rsidR="00794876" w:rsidRPr="00C15525" w:rsidRDefault="00794876" w:rsidP="00794876">
      <w:pPr>
        <w:spacing w:after="120" w:line="276" w:lineRule="auto"/>
        <w:ind w:firstLine="708"/>
        <w:jc w:val="both"/>
        <w:rPr>
          <w:rFonts w:ascii="Verdana" w:eastAsia="Calibri" w:hAnsi="Verdana" w:cs="Arial"/>
        </w:rPr>
      </w:pPr>
      <w:r w:rsidRPr="00C15525">
        <w:rPr>
          <w:rFonts w:ascii="Verdana" w:eastAsia="Calibri" w:hAnsi="Verdana" w:cs="Arial"/>
          <w:i/>
          <w:iCs/>
        </w:rPr>
        <w:t>Por un lado</w:t>
      </w:r>
      <w:r w:rsidRPr="00C15525">
        <w:rPr>
          <w:rFonts w:ascii="Verdana" w:eastAsia="Calibri" w:hAnsi="Verdana" w:cs="Arial"/>
        </w:rPr>
        <w:t xml:space="preserve">, el artículo 33 de la Ley 996 de 2005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w:t>
      </w:r>
      <w:r w:rsidRPr="00C15525">
        <w:rPr>
          <w:rFonts w:ascii="Verdana" w:eastAsia="Calibri" w:hAnsi="Verdana" w:cs="Arial"/>
        </w:rPr>
        <w:lastRenderedPageBreak/>
        <w:t>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C15525">
        <w:rPr>
          <w:vertAlign w:val="superscript"/>
        </w:rPr>
        <w:footnoteReference w:id="9"/>
      </w:r>
      <w:r w:rsidRPr="00C15525">
        <w:rPr>
          <w:rFonts w:ascii="Verdana" w:eastAsia="Calibri" w:hAnsi="Verdana" w:cs="Arial"/>
        </w:rPr>
        <w:t>.</w:t>
      </w:r>
    </w:p>
    <w:p w14:paraId="31060E01" w14:textId="77777777" w:rsidR="00794876" w:rsidRPr="00C15525" w:rsidRDefault="00794876" w:rsidP="00794876">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sidRPr="00C15525">
        <w:rPr>
          <w:rFonts w:ascii="Verdana" w:eastAsia="Calibri" w:hAnsi="Verdana" w:cs="Arial"/>
          <w:i/>
          <w:iCs/>
        </w:rPr>
        <w:t>Por otro</w:t>
      </w:r>
      <w:r w:rsidRPr="00C15525">
        <w:rPr>
          <w:rFonts w:ascii="Verdana" w:eastAsia="Calibri" w:hAnsi="Verdana" w:cs="Arial"/>
        </w:rPr>
        <w:t xml:space="preserve">,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C15525">
        <w:rPr>
          <w:rFonts w:ascii="Verdana" w:eastAsia="Calibri" w:hAnsi="Verdana" w:cs="Arial"/>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C15525">
        <w:rPr>
          <w:rFonts w:ascii="Verdana" w:eastAsia="Calibri" w:hAnsi="Verdana" w:cs="Arial"/>
          <w:sz w:val="19"/>
          <w:szCs w:val="19"/>
        </w:rPr>
        <w:t>”</w:t>
      </w:r>
      <w:bookmarkEnd w:id="4"/>
      <w:r w:rsidRPr="00C15525">
        <w:rPr>
          <w:rFonts w:ascii="Verdana" w:eastAsia="Calibri" w:hAnsi="Verdana" w:cs="Arial"/>
          <w:sz w:val="19"/>
          <w:szCs w:val="19"/>
          <w:vertAlign w:val="superscript"/>
        </w:rPr>
        <w:footnoteReference w:id="10"/>
      </w:r>
      <w:r w:rsidRPr="00C15525">
        <w:rPr>
          <w:rFonts w:ascii="Verdana" w:eastAsia="Calibri" w:hAnsi="Verdana" w:cs="Arial"/>
          <w:lang w:val="es-MX"/>
        </w:rPr>
        <w:t>.</w:t>
      </w:r>
      <w:r w:rsidRPr="00C15525">
        <w:rPr>
          <w:rFonts w:ascii="Verdana" w:eastAsia="Arial" w:hAnsi="Verdana" w:cs="Arial"/>
          <w:lang w:val="es-ES" w:eastAsia="es-ES" w:bidi="es-ES"/>
        </w:rPr>
        <w:t xml:space="preserve"> La Sala de Consulta y Servicio Civil del Consejo de Estado ha aclarado la distinción en la aplicación de las prohibiciones de la Ley 996 de 2005, dependiendo del tipo de elección que se trate. Al respecto, considera que:</w:t>
      </w:r>
    </w:p>
    <w:p w14:paraId="5053F8D4" w14:textId="77777777" w:rsidR="00794876" w:rsidRPr="00C15525" w:rsidRDefault="00794876" w:rsidP="00794876">
      <w:pPr>
        <w:widowControl w:val="0"/>
        <w:autoSpaceDE w:val="0"/>
        <w:autoSpaceDN w:val="0"/>
        <w:spacing w:after="0" w:line="276" w:lineRule="auto"/>
        <w:ind w:left="805" w:right="812"/>
        <w:contextualSpacing/>
        <w:jc w:val="both"/>
        <w:rPr>
          <w:rFonts w:ascii="Verdana" w:eastAsia="Arial" w:hAnsi="Verdana" w:cs="Arial"/>
          <w:lang w:val="es-ES" w:eastAsia="es-ES" w:bidi="es-ES"/>
        </w:rPr>
      </w:pPr>
    </w:p>
    <w:p w14:paraId="407DCD42" w14:textId="77777777" w:rsidR="00794876" w:rsidRPr="00C15525" w:rsidRDefault="00794876" w:rsidP="00794876">
      <w:pPr>
        <w:widowControl w:val="0"/>
        <w:autoSpaceDE w:val="0"/>
        <w:autoSpaceDN w:val="0"/>
        <w:spacing w:after="0" w:line="240" w:lineRule="auto"/>
        <w:ind w:left="709" w:right="709"/>
        <w:contextualSpacing/>
        <w:jc w:val="both"/>
        <w:rPr>
          <w:rFonts w:ascii="Verdana" w:eastAsia="Arial" w:hAnsi="Verdana" w:cs="Arial"/>
          <w:sz w:val="20"/>
          <w:szCs w:val="20"/>
          <w:lang w:val="es-ES" w:eastAsia="es-ES" w:bidi="es-ES"/>
        </w:rPr>
      </w:pPr>
      <w:r w:rsidRPr="00C15525">
        <w:rPr>
          <w:rFonts w:ascii="Verdana" w:eastAsia="Arial" w:hAnsi="Verdana" w:cs="Arial"/>
          <w:sz w:val="20"/>
          <w:szCs w:val="20"/>
          <w:lang w:val="es-ES"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w:t>
      </w:r>
      <w:bookmarkStart w:id="7" w:name="_Hlk76109421"/>
      <w:r w:rsidRPr="00C15525">
        <w:rPr>
          <w:rFonts w:ascii="Verdana" w:eastAsia="Arial" w:hAnsi="Verdana" w:cs="Arial"/>
          <w:sz w:val="20"/>
          <w:szCs w:val="20"/>
          <w:lang w:val="es-ES" w:eastAsia="es-ES" w:bidi="es-ES"/>
        </w:rPr>
        <w:t>se integran parcialmente</w:t>
      </w:r>
      <w:bookmarkEnd w:id="7"/>
      <w:r w:rsidRPr="00C15525">
        <w:rPr>
          <w:rFonts w:ascii="Verdana" w:eastAsia="Arial" w:hAnsi="Verdana" w:cs="Arial"/>
          <w:sz w:val="20"/>
          <w:szCs w:val="20"/>
          <w:lang w:val="es-ES" w:eastAsia="es-ES" w:bidi="es-ES"/>
        </w:rPr>
        <w:t xml:space="preserve">, lo que permite concluir que </w:t>
      </w:r>
      <w:r w:rsidRPr="00C15525">
        <w:rPr>
          <w:rFonts w:ascii="Verdana" w:eastAsia="Arial" w:hAnsi="Verdana" w:cs="Arial"/>
          <w:sz w:val="20"/>
          <w:szCs w:val="20"/>
          <w:lang w:val="es-ES" w:eastAsia="es-ES" w:bidi="es-ES"/>
        </w:rPr>
        <w:lastRenderedPageBreak/>
        <w:t xml:space="preserve">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w:t>
      </w:r>
      <w:proofErr w:type="gramStart"/>
      <w:r w:rsidRPr="00C15525">
        <w:rPr>
          <w:rFonts w:ascii="Verdana" w:eastAsia="Arial" w:hAnsi="Verdana" w:cs="Arial"/>
          <w:sz w:val="20"/>
          <w:szCs w:val="20"/>
          <w:lang w:val="es-ES" w:eastAsia="es-ES" w:bidi="es-ES"/>
        </w:rPr>
        <w:t>Presidente</w:t>
      </w:r>
      <w:proofErr w:type="gramEnd"/>
      <w:r w:rsidRPr="00C15525">
        <w:rPr>
          <w:rFonts w:ascii="Verdana" w:eastAsia="Arial" w:hAnsi="Verdana" w:cs="Arial"/>
          <w:sz w:val="20"/>
          <w:szCs w:val="20"/>
          <w:lang w:val="es-ES" w:eastAsia="es-ES" w:bidi="es-ES"/>
        </w:rPr>
        <w:t xml:space="preserve"> de la República, a las autoridades territoriales allí mencionadas sólo se aplican las restricciones contenidas en el parágrafo del artículo 38”</w:t>
      </w:r>
      <w:r w:rsidRPr="00C15525">
        <w:rPr>
          <w:rFonts w:ascii="Verdana" w:eastAsia="Arial" w:hAnsi="Verdana" w:cs="Arial"/>
          <w:sz w:val="20"/>
          <w:szCs w:val="20"/>
          <w:vertAlign w:val="superscript"/>
          <w:lang w:val="es-ES" w:eastAsia="es-ES" w:bidi="es-ES"/>
        </w:rPr>
        <w:footnoteReference w:id="11"/>
      </w:r>
      <w:r w:rsidRPr="00C15525">
        <w:rPr>
          <w:rFonts w:ascii="Verdana" w:eastAsia="Arial" w:hAnsi="Verdana" w:cs="Arial"/>
          <w:sz w:val="20"/>
          <w:szCs w:val="20"/>
          <w:lang w:val="es-ES" w:eastAsia="es-ES" w:bidi="es-ES"/>
        </w:rPr>
        <w:t>.</w:t>
      </w:r>
    </w:p>
    <w:p w14:paraId="35383A90" w14:textId="77777777" w:rsidR="00794876" w:rsidRPr="00C15525" w:rsidRDefault="00794876" w:rsidP="00794876">
      <w:pPr>
        <w:widowControl w:val="0"/>
        <w:autoSpaceDE w:val="0"/>
        <w:autoSpaceDN w:val="0"/>
        <w:spacing w:line="276" w:lineRule="auto"/>
        <w:contextualSpacing/>
        <w:rPr>
          <w:rFonts w:ascii="Verdana" w:eastAsia="Arial" w:hAnsi="Verdana" w:cs="Arial"/>
          <w:lang w:val="es-ES" w:eastAsia="es-ES" w:bidi="es-ES"/>
        </w:rPr>
      </w:pPr>
    </w:p>
    <w:p w14:paraId="492B7B22" w14:textId="77777777" w:rsidR="00794876" w:rsidRPr="00C15525" w:rsidRDefault="00794876" w:rsidP="00794876">
      <w:pPr>
        <w:spacing w:after="120" w:line="276" w:lineRule="auto"/>
        <w:ind w:firstLine="709"/>
        <w:jc w:val="both"/>
        <w:rPr>
          <w:rFonts w:ascii="Verdana" w:eastAsia="Arial" w:hAnsi="Verdana" w:cs="Arial"/>
          <w:lang w:val="es-ES" w:eastAsia="es-ES" w:bidi="es-ES"/>
        </w:rPr>
      </w:pPr>
      <w:r w:rsidRPr="00C15525">
        <w:rPr>
          <w:rFonts w:ascii="Verdana" w:eastAsia="Arial" w:hAnsi="Verdana" w:cs="Arial"/>
          <w:lang w:val="es-ES" w:eastAsia="es-ES" w:bidi="es-ES"/>
        </w:rPr>
        <w:t xml:space="preserve">De conformidad con lo anterior, </w:t>
      </w:r>
      <w:bookmarkStart w:id="8" w:name="_Hlk77236420"/>
      <w:bookmarkStart w:id="9" w:name="_Hlk78818435"/>
      <w:bookmarkStart w:id="10" w:name="_Hlk75780333"/>
      <w:r w:rsidRPr="00C15525">
        <w:rPr>
          <w:rFonts w:ascii="Verdana" w:eastAsia="Arial" w:hAnsi="Verdana" w:cs="Arial"/>
          <w:lang w:val="es-ES" w:eastAsia="es-ES" w:bidi="es-ES"/>
        </w:rPr>
        <w:t xml:space="preserve">la Ley 996 de 2005 establece dos (2) tipos de restricciones en materia de contratación, las cuales coinciden parcialmente. </w:t>
      </w:r>
      <w:r w:rsidRPr="00C15525">
        <w:rPr>
          <w:rFonts w:ascii="Verdana" w:eastAsia="Arial" w:hAnsi="Verdana" w:cs="Arial"/>
          <w:i/>
          <w:lang w:val="es-ES" w:eastAsia="es-ES" w:bidi="es-ES"/>
        </w:rPr>
        <w:t>En primer lugar</w:t>
      </w:r>
      <w:r w:rsidRPr="00C15525">
        <w:rPr>
          <w:rFonts w:ascii="Verdana" w:eastAsia="Arial" w:hAnsi="Verdana" w:cs="Arial"/>
          <w:lang w:val="es-ES" w:eastAsia="es-ES" w:bidi="es-ES"/>
        </w:rPr>
        <w:t xml:space="preserve">, la del artículo 33 que opera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C15525">
        <w:rPr>
          <w:rFonts w:ascii="Verdana" w:eastAsia="Arial" w:hAnsi="Verdana" w:cs="Arial"/>
          <w:i/>
          <w:lang w:val="es-ES" w:eastAsia="es-ES" w:bidi="es-ES"/>
        </w:rPr>
        <w:t>En segundo lugar</w:t>
      </w:r>
      <w:r w:rsidRPr="00C15525">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bookmarkEnd w:id="8"/>
    </w:p>
    <w:bookmarkEnd w:id="9"/>
    <w:p w14:paraId="241F9282" w14:textId="77777777" w:rsidR="00794876" w:rsidRPr="00C15525" w:rsidRDefault="00794876" w:rsidP="00794876">
      <w:pPr>
        <w:spacing w:after="120" w:line="276" w:lineRule="auto"/>
        <w:ind w:firstLine="709"/>
        <w:jc w:val="both"/>
        <w:rPr>
          <w:rFonts w:ascii="Verdana" w:eastAsia="Arial" w:hAnsi="Verdana" w:cs="Arial"/>
          <w:lang w:val="es-ES" w:eastAsia="es-ES" w:bidi="es-ES"/>
        </w:rPr>
      </w:pPr>
      <w:r w:rsidRPr="00C15525">
        <w:rPr>
          <w:rFonts w:ascii="Verdana" w:eastAsia="Arial" w:hAnsi="Verdana" w:cs="Arial"/>
          <w:lang w:val="es-ES" w:eastAsia="es-ES" w:bidi="es-ES"/>
        </w:rPr>
        <w:t xml:space="preserve">Ambas restricciones no son excluyentes, lo que permite concluir que en el período preelectoral para elección de </w:t>
      </w:r>
      <w:proofErr w:type="gramStart"/>
      <w:r w:rsidRPr="00C15525">
        <w:rPr>
          <w:rFonts w:ascii="Verdana" w:eastAsia="Arial" w:hAnsi="Verdana" w:cs="Arial"/>
          <w:lang w:val="es-ES" w:eastAsia="es-ES" w:bidi="es-ES"/>
        </w:rPr>
        <w:t>Presidente</w:t>
      </w:r>
      <w:proofErr w:type="gramEnd"/>
      <w:r w:rsidRPr="00C15525">
        <w:rPr>
          <w:rFonts w:ascii="Verdana" w:eastAsia="Arial" w:hAnsi="Verdana" w:cs="Arial"/>
          <w:lang w:val="es-ES" w:eastAsia="es-ES" w:bidi="es-ES"/>
        </w:rPr>
        <w:t xml:space="preserve"> de la República, a todos los entes del Estado, incluidos los territoriales, aplican las restricciones del artículo 33 con sus excepciones, así como las del parágrafo del artículo 38. En cambio, tratándose de elecciones en general, excluyendo las correspondientes al </w:t>
      </w:r>
      <w:proofErr w:type="gramStart"/>
      <w:r w:rsidRPr="00C15525">
        <w:rPr>
          <w:rFonts w:ascii="Verdana" w:eastAsia="Arial" w:hAnsi="Verdana" w:cs="Arial"/>
          <w:lang w:val="es-ES" w:eastAsia="es-ES" w:bidi="es-ES"/>
        </w:rPr>
        <w:t>Presidente</w:t>
      </w:r>
      <w:proofErr w:type="gramEnd"/>
      <w:r w:rsidRPr="00C15525">
        <w:rPr>
          <w:rFonts w:ascii="Verdana" w:eastAsia="Arial" w:hAnsi="Verdana" w:cs="Arial"/>
          <w:lang w:val="es-ES" w:eastAsia="es-ES" w:bidi="es-ES"/>
        </w:rPr>
        <w:t xml:space="preserve"> de la República, las autoridades allí mencionadas sólo deben aplicar las restricciones contenidas en el parágrafo del artículo 38.</w:t>
      </w:r>
    </w:p>
    <w:bookmarkEnd w:id="10"/>
    <w:p w14:paraId="6A443FD1" w14:textId="77777777" w:rsidR="00794876" w:rsidRPr="00C15525" w:rsidRDefault="00794876" w:rsidP="00794876">
      <w:pPr>
        <w:spacing w:after="0" w:line="276" w:lineRule="auto"/>
        <w:ind w:firstLine="708"/>
        <w:jc w:val="both"/>
        <w:rPr>
          <w:rFonts w:ascii="Verdana" w:eastAsia="Arial" w:hAnsi="Verdana" w:cs="Arial"/>
          <w:lang w:val="es-ES" w:eastAsia="es-ES" w:bidi="es-ES"/>
        </w:rPr>
      </w:pPr>
      <w:r w:rsidRPr="00C15525">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w:t>
      </w:r>
      <w:proofErr w:type="gramStart"/>
      <w:r w:rsidRPr="00C15525">
        <w:rPr>
          <w:rFonts w:ascii="Verdana" w:eastAsia="Arial" w:hAnsi="Verdana" w:cs="Arial"/>
          <w:lang w:val="es-ES" w:eastAsia="es-ES" w:bidi="es-ES"/>
        </w:rPr>
        <w:t>Presidente</w:t>
      </w:r>
      <w:proofErr w:type="gramEnd"/>
      <w:r w:rsidRPr="00C15525">
        <w:rPr>
          <w:rFonts w:ascii="Verdana" w:eastAsia="Arial" w:hAnsi="Verdana" w:cs="Arial"/>
          <w:lang w:val="es-ES" w:eastAsia="es-ES" w:bidi="es-ES"/>
        </w:rPr>
        <w:t xml:space="preserve"> o el </w:t>
      </w:r>
      <w:proofErr w:type="gramStart"/>
      <w:r w:rsidRPr="00C15525">
        <w:rPr>
          <w:rFonts w:ascii="Verdana" w:eastAsia="Arial" w:hAnsi="Verdana" w:cs="Arial"/>
          <w:lang w:val="es-ES" w:eastAsia="es-ES" w:bidi="es-ES"/>
        </w:rPr>
        <w:t>Vicepresidente</w:t>
      </w:r>
      <w:proofErr w:type="gramEnd"/>
      <w:r w:rsidRPr="00C15525">
        <w:rPr>
          <w:rFonts w:ascii="Verdana" w:eastAsia="Arial" w:hAnsi="Verdana" w:cs="Arial"/>
          <w:lang w:val="es-ES" w:eastAsia="es-ES" w:bidi="es-ES"/>
        </w:rPr>
        <w:t xml:space="preserve"> desde que éstos –estando en ejercicio de su cargo– manifiesten el interés de ser candidato </w:t>
      </w:r>
      <w:r w:rsidRPr="00C15525">
        <w:rPr>
          <w:rFonts w:ascii="Verdana" w:eastAsia="Arial" w:hAnsi="Verdana" w:cs="Arial"/>
          <w:lang w:val="es-ES" w:eastAsia="es-ES" w:bidi="es-ES"/>
        </w:rPr>
        <w:lastRenderedPageBreak/>
        <w:t>presidencial, lo cual debe ocurrir seis meses antes de la elección en primera vuelta, de acuerdo con el artículo 9 de la Ley 996 de 2005. Sin embargo, el condicionamiento impuesto por la Corte Constitucional, relacionado con el momento en que estas restricciones empiezan a regir para el Presidente y el Vicepresidente de la República, ha perdido vigencia ante la prohibición de la reelección presidencial, restablecida por el Acto Legislativo 2 de 2015, excepto para el Vicepresidente que no haya ejercido la presidencia o que la haya ejercido por un tiempo inferior a tres (3) meses durante el respectivo cuatrienio, en forma continua o discontinua, conforme al artículo 197 de la Constitución Política.</w:t>
      </w:r>
    </w:p>
    <w:p w14:paraId="575136C7" w14:textId="77777777" w:rsidR="00794876" w:rsidRPr="00C15525" w:rsidRDefault="00794876" w:rsidP="00794876">
      <w:pPr>
        <w:spacing w:after="0" w:line="276" w:lineRule="auto"/>
        <w:jc w:val="both"/>
        <w:rPr>
          <w:rFonts w:ascii="Verdana" w:eastAsia="Arial" w:hAnsi="Verdana" w:cs="Arial"/>
          <w:lang w:val="es-ES" w:eastAsia="es-ES" w:bidi="es-ES"/>
        </w:rPr>
      </w:pPr>
    </w:p>
    <w:p w14:paraId="61AF41D0" w14:textId="77777777" w:rsidR="00794876" w:rsidRPr="00C15525" w:rsidRDefault="00794876" w:rsidP="00794876">
      <w:pPr>
        <w:spacing w:after="0" w:line="276" w:lineRule="auto"/>
        <w:jc w:val="both"/>
        <w:rPr>
          <w:rFonts w:ascii="Verdana" w:hAnsi="Verdana" w:cs="Arial"/>
          <w:bCs/>
          <w:lang w:val="es-MX" w:eastAsia="es-CO"/>
        </w:rPr>
      </w:pPr>
      <w:proofErr w:type="spellStart"/>
      <w:r w:rsidRPr="00C15525">
        <w:rPr>
          <w:rFonts w:ascii="Verdana" w:eastAsia="Arial" w:hAnsi="Verdana" w:cs="Arial"/>
          <w:lang w:val="es-ES" w:eastAsia="es-ES" w:bidi="es-ES"/>
        </w:rPr>
        <w:t>ii</w:t>
      </w:r>
      <w:proofErr w:type="spellEnd"/>
      <w:r w:rsidRPr="00C15525">
        <w:rPr>
          <w:rFonts w:ascii="Verdana" w:eastAsia="Arial" w:hAnsi="Verdana" w:cs="Arial"/>
          <w:lang w:val="es-ES" w:eastAsia="es-ES" w:bidi="es-ES"/>
        </w:rPr>
        <w:t xml:space="preserve">. </w:t>
      </w:r>
      <w:r w:rsidRPr="00C15525">
        <w:rPr>
          <w:rFonts w:ascii="Verdana" w:hAnsi="Verdana" w:cs="Arial"/>
          <w:bCs/>
          <w:lang w:val="es-MX" w:eastAsia="x-none"/>
        </w:rPr>
        <w:t xml:space="preserve">El ámbito material de la prohibición contenida en el artículo 33 de la ley 996 de 2005 está delimitado por la expresión </w:t>
      </w:r>
      <w:r w:rsidRPr="00C15525">
        <w:rPr>
          <w:rFonts w:ascii="Verdana" w:eastAsia="Calibri" w:hAnsi="Verdana" w:cs="Arial"/>
          <w:bCs/>
          <w:sz w:val="20"/>
          <w:szCs w:val="20"/>
          <w:lang w:val="es-MX"/>
        </w:rPr>
        <w:t>“</w:t>
      </w:r>
      <w:r w:rsidRPr="00C15525">
        <w:rPr>
          <w:rFonts w:ascii="Verdana" w:hAnsi="Verdana" w:cs="Arial"/>
          <w:bCs/>
          <w:lang w:val="es-MX" w:eastAsia="x-none"/>
        </w:rPr>
        <w:t>queda prohibida la contratación directa</w:t>
      </w:r>
      <w:r w:rsidRPr="00C15525">
        <w:rPr>
          <w:rFonts w:ascii="Verdana" w:hAnsi="Verdana" w:cs="Arial"/>
          <w:sz w:val="20"/>
          <w:szCs w:val="20"/>
          <w:lang w:val="es-MX"/>
        </w:rPr>
        <w:t>”</w:t>
      </w:r>
      <w:r w:rsidRPr="00C15525">
        <w:rPr>
          <w:rFonts w:ascii="Verdana" w:hAnsi="Verdana" w:cs="Arial"/>
          <w:bCs/>
          <w:lang w:val="es-MX" w:eastAsia="x-none"/>
        </w:rPr>
        <w:t xml:space="preserve">. </w:t>
      </w:r>
      <w:r w:rsidRPr="00C15525">
        <w:rPr>
          <w:rFonts w:ascii="Verdana" w:hAnsi="Verdana" w:cs="Arial"/>
          <w:lang w:val="es-MX" w:eastAsia="es-CO"/>
        </w:rPr>
        <w:t xml:space="preserve"> A propósito de </w:t>
      </w:r>
      <w:r w:rsidRPr="00C15525">
        <w:rPr>
          <w:rFonts w:ascii="Verdana" w:hAnsi="Verdana" w:cs="Arial"/>
          <w:lang w:eastAsia="es-CO"/>
        </w:rPr>
        <w:t>esta restricción de la Ley de Garantías Electorales, la Sala de Consulta y Servicio Civil del Consejo de Estado ha considerado que:</w:t>
      </w:r>
    </w:p>
    <w:p w14:paraId="1B7CBA62" w14:textId="77777777" w:rsidR="00794876" w:rsidRPr="00C15525" w:rsidRDefault="00794876" w:rsidP="00794876">
      <w:pPr>
        <w:spacing w:after="0" w:line="276" w:lineRule="auto"/>
        <w:ind w:left="708" w:right="709"/>
        <w:jc w:val="both"/>
        <w:rPr>
          <w:rFonts w:ascii="Verdana" w:hAnsi="Verdana" w:cs="Arial"/>
          <w:lang w:val="es-MX"/>
        </w:rPr>
      </w:pPr>
    </w:p>
    <w:p w14:paraId="1B06F1B5" w14:textId="77777777" w:rsidR="00794876" w:rsidRPr="00C15525" w:rsidRDefault="00794876" w:rsidP="00794876">
      <w:pPr>
        <w:spacing w:after="120"/>
        <w:ind w:left="709" w:right="709"/>
        <w:jc w:val="both"/>
        <w:rPr>
          <w:rFonts w:ascii="Verdana" w:hAnsi="Verdana" w:cs="Arial"/>
          <w:sz w:val="20"/>
          <w:szCs w:val="20"/>
          <w:lang w:val="es-MX"/>
        </w:rPr>
      </w:pPr>
      <w:r w:rsidRPr="00C15525">
        <w:rPr>
          <w:rFonts w:ascii="Verdana" w:hAnsi="Verdana" w:cs="Arial"/>
          <w:sz w:val="18"/>
          <w:szCs w:val="18"/>
          <w:lang w:val="es-MX"/>
        </w:rPr>
        <w:t>“</w:t>
      </w:r>
      <w:r w:rsidRPr="00C15525">
        <w:rPr>
          <w:rFonts w:ascii="Verdana" w:hAnsi="Verdana" w:cs="Arial"/>
          <w:sz w:val="20"/>
          <w:szCs w:val="20"/>
          <w:lang w:val="es-MX"/>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C15525">
        <w:rPr>
          <w:rFonts w:ascii="Verdana" w:hAnsi="Verdana" w:cs="Arial"/>
          <w:sz w:val="20"/>
          <w:szCs w:val="20"/>
          <w:vertAlign w:val="superscript"/>
          <w:lang w:eastAsia="es-CO"/>
        </w:rPr>
        <w:footnoteReference w:id="12"/>
      </w:r>
      <w:r w:rsidRPr="00C15525">
        <w:rPr>
          <w:rFonts w:ascii="Verdana" w:hAnsi="Verdana" w:cs="Arial"/>
          <w:sz w:val="20"/>
          <w:szCs w:val="20"/>
          <w:lang w:val="es-MX"/>
        </w:rPr>
        <w:t>.</w:t>
      </w:r>
    </w:p>
    <w:p w14:paraId="747377C1" w14:textId="77777777" w:rsidR="00794876" w:rsidRPr="00C15525" w:rsidRDefault="00794876" w:rsidP="00794876">
      <w:pPr>
        <w:spacing w:after="0"/>
        <w:ind w:left="708" w:right="709"/>
        <w:jc w:val="both"/>
        <w:rPr>
          <w:rFonts w:ascii="Verdana" w:hAnsi="Verdana" w:cs="Arial"/>
          <w:sz w:val="20"/>
          <w:szCs w:val="20"/>
          <w:lang w:val="es-MX"/>
        </w:rPr>
      </w:pPr>
      <w:r w:rsidRPr="00C15525">
        <w:rPr>
          <w:rFonts w:ascii="Verdana" w:hAnsi="Verdana" w:cs="Arial"/>
          <w:sz w:val="20"/>
          <w:szCs w:val="20"/>
          <w:lang w:val="es-MX"/>
        </w:rPr>
        <w:t xml:space="preserve">Esta Sala ha entendido </w:t>
      </w:r>
      <w:proofErr w:type="gramStart"/>
      <w:r w:rsidRPr="00C15525">
        <w:rPr>
          <w:rFonts w:ascii="Verdana" w:hAnsi="Verdana" w:cs="Arial"/>
          <w:sz w:val="20"/>
          <w:szCs w:val="20"/>
          <w:lang w:val="es-MX"/>
        </w:rPr>
        <w:t>que</w:t>
      </w:r>
      <w:proofErr w:type="gramEnd"/>
      <w:r w:rsidRPr="00C15525">
        <w:rPr>
          <w:rFonts w:ascii="Verdana" w:hAnsi="Verdana" w:cs="Arial"/>
          <w:sz w:val="20"/>
          <w:szCs w:val="20"/>
          <w:lang w:val="es-MX"/>
        </w:rPr>
        <w:t xml:space="preserv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sidRPr="00C15525">
        <w:rPr>
          <w:rFonts w:ascii="Verdana" w:hAnsi="Verdana" w:cs="Arial"/>
          <w:sz w:val="20"/>
          <w:szCs w:val="20"/>
          <w:vertAlign w:val="superscript"/>
          <w:lang w:val="es-MX"/>
        </w:rPr>
        <w:footnoteReference w:id="13"/>
      </w:r>
      <w:r w:rsidRPr="00C15525">
        <w:rPr>
          <w:rFonts w:ascii="Verdana" w:hAnsi="Verdana" w:cs="Arial"/>
          <w:sz w:val="20"/>
          <w:szCs w:val="20"/>
          <w:vertAlign w:val="superscript"/>
          <w:lang w:val="es-MX"/>
        </w:rPr>
        <w:t>.</w:t>
      </w:r>
      <w:r w:rsidRPr="00C15525">
        <w:rPr>
          <w:rFonts w:ascii="Verdana" w:hAnsi="Verdana" w:cs="Arial"/>
          <w:sz w:val="20"/>
          <w:szCs w:val="20"/>
          <w:lang w:val="es-MX"/>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sidRPr="00C15525">
        <w:rPr>
          <w:rFonts w:ascii="Verdana" w:hAnsi="Verdana" w:cs="Arial"/>
          <w:sz w:val="20"/>
          <w:szCs w:val="20"/>
          <w:vertAlign w:val="superscript"/>
          <w:lang w:eastAsia="es-CO"/>
        </w:rPr>
        <w:footnoteReference w:id="14"/>
      </w:r>
      <w:r w:rsidRPr="00C15525">
        <w:rPr>
          <w:rFonts w:ascii="Verdana" w:hAnsi="Verdana" w:cs="Arial"/>
          <w:sz w:val="20"/>
          <w:szCs w:val="20"/>
          <w:lang w:val="es-MX"/>
        </w:rPr>
        <w:t>.</w:t>
      </w:r>
    </w:p>
    <w:p w14:paraId="0CC62080" w14:textId="77777777" w:rsidR="00794876" w:rsidRPr="00C15525" w:rsidRDefault="00794876" w:rsidP="00794876">
      <w:pPr>
        <w:shd w:val="clear" w:color="auto" w:fill="FFFFFF"/>
        <w:spacing w:after="0" w:line="276" w:lineRule="auto"/>
        <w:ind w:firstLine="709"/>
        <w:jc w:val="both"/>
        <w:rPr>
          <w:rFonts w:ascii="Verdana" w:hAnsi="Verdana" w:cs="Arial"/>
          <w:lang w:eastAsia="x-none"/>
        </w:rPr>
      </w:pPr>
    </w:p>
    <w:p w14:paraId="27D98BDE" w14:textId="77777777" w:rsidR="00794876" w:rsidRPr="00C15525" w:rsidRDefault="00794876" w:rsidP="00794876">
      <w:pPr>
        <w:spacing w:after="120" w:line="276" w:lineRule="auto"/>
        <w:ind w:firstLine="708"/>
        <w:jc w:val="both"/>
        <w:rPr>
          <w:rFonts w:ascii="Verdana" w:hAnsi="Verdana" w:cs="Arial"/>
          <w:bCs/>
          <w:lang w:eastAsia="x-none"/>
        </w:rPr>
      </w:pPr>
      <w:r w:rsidRPr="00C15525">
        <w:rPr>
          <w:rFonts w:ascii="Verdana" w:hAnsi="Verdana" w:cs="Arial"/>
          <w:lang w:eastAsia="x-none"/>
        </w:rPr>
        <w:lastRenderedPageBreak/>
        <w:t xml:space="preserve">De acuerdo con el citado concepto, la prohibición del artículo 33 de la Ley de Garantías Electorales se refiere a </w:t>
      </w:r>
      <w:r w:rsidRPr="00C15525">
        <w:rPr>
          <w:rFonts w:ascii="Verdana" w:hAnsi="Verdana" w:cs="Arial"/>
          <w:sz w:val="19"/>
          <w:szCs w:val="19"/>
          <w:lang w:eastAsia="en-GB"/>
        </w:rPr>
        <w:t>“</w:t>
      </w:r>
      <w:r w:rsidRPr="00C15525">
        <w:rPr>
          <w:rFonts w:ascii="Verdana" w:hAnsi="Verdana" w:cs="Arial"/>
          <w:lang w:eastAsia="x-none"/>
        </w:rPr>
        <w:t>cualquier sistema que no implique convocatoria pública y posibilidad de pluralidad de oferentes</w:t>
      </w:r>
      <w:r w:rsidRPr="00C15525">
        <w:rPr>
          <w:rFonts w:ascii="Verdana" w:hAnsi="Verdana" w:cs="Arial"/>
          <w:lang w:eastAsia="en-GB"/>
        </w:rPr>
        <w:t>”</w:t>
      </w:r>
      <w:r w:rsidRPr="00C15525">
        <w:rPr>
          <w:rFonts w:ascii="Verdana" w:hAnsi="Verdana" w:cs="Arial"/>
          <w:lang w:eastAsia="x-none"/>
        </w:rPr>
        <w:t>, por lo que excluye las demás modalidades de contratación previstas en la Ley 1150 de 2007, es decir, la licitación pública, la selección abreviada y el concurso de méritos u otros previstos en normas especiales. Esta posición es congruente con la expedición de la Ley 1150 de 2007 que, entre otras reformas, introdujo la selección abreviada, rediseñó el concurso de méritos</w:t>
      </w:r>
      <w:r w:rsidRPr="00C15525">
        <w:rPr>
          <w:rFonts w:ascii="Verdana" w:hAnsi="Verdana" w:cs="Arial"/>
          <w:vertAlign w:val="superscript"/>
          <w:lang w:val="en-GB" w:eastAsia="x-none"/>
        </w:rPr>
        <w:footnoteReference w:id="15"/>
      </w:r>
      <w:r w:rsidRPr="00C15525">
        <w:rPr>
          <w:rFonts w:ascii="Verdana" w:hAnsi="Verdana" w:cs="Arial"/>
          <w:lang w:eastAsia="x-none"/>
        </w:rPr>
        <w:t xml:space="preserve"> y sistematizó las causales de contratación directa</w:t>
      </w:r>
      <w:r w:rsidRPr="00C15525">
        <w:rPr>
          <w:rFonts w:ascii="Verdana" w:hAnsi="Verdana" w:cs="Arial"/>
          <w:vertAlign w:val="superscript"/>
          <w:lang w:val="en-GB" w:eastAsia="x-none"/>
        </w:rPr>
        <w:footnoteReference w:id="16"/>
      </w:r>
      <w:r w:rsidRPr="00C15525">
        <w:rPr>
          <w:rFonts w:ascii="Verdana" w:hAnsi="Verdana" w:cs="Arial"/>
          <w:lang w:eastAsia="x-none"/>
        </w:rPr>
        <w:t xml:space="preserve">. </w:t>
      </w:r>
    </w:p>
    <w:p w14:paraId="5FD7946B" w14:textId="77777777" w:rsidR="00794876" w:rsidRPr="00C15525" w:rsidRDefault="00794876" w:rsidP="00794876">
      <w:pPr>
        <w:spacing w:after="120" w:line="276" w:lineRule="auto"/>
        <w:ind w:firstLine="708"/>
        <w:jc w:val="both"/>
        <w:rPr>
          <w:rFonts w:ascii="Verdana" w:hAnsi="Verdana" w:cs="Arial"/>
          <w:lang w:val="es-MX" w:eastAsia="x-none"/>
        </w:rPr>
      </w:pPr>
      <w:r w:rsidRPr="00C15525">
        <w:rPr>
          <w:rFonts w:ascii="Verdana" w:hAnsi="Verdana" w:cs="Arial"/>
          <w:lang w:eastAsia="x-none"/>
        </w:rPr>
        <w:t xml:space="preserve">De esta forma, con fundamento en la evolución de la normativa sobre la contratación pública, se ha depurado la noción de </w:t>
      </w:r>
      <w:r w:rsidRPr="00C15525">
        <w:rPr>
          <w:rFonts w:ascii="Verdana" w:hAnsi="Verdana" w:cs="Arial"/>
          <w:sz w:val="19"/>
          <w:szCs w:val="19"/>
          <w:lang w:eastAsia="en-GB"/>
        </w:rPr>
        <w:t>“</w:t>
      </w:r>
      <w:r w:rsidRPr="00C15525">
        <w:rPr>
          <w:rFonts w:ascii="Verdana" w:hAnsi="Verdana" w:cs="Arial"/>
          <w:lang w:eastAsia="x-none"/>
        </w:rPr>
        <w:t>contratación directa</w:t>
      </w:r>
      <w:r w:rsidRPr="00C15525">
        <w:rPr>
          <w:rFonts w:ascii="Verdana" w:hAnsi="Verdana" w:cs="Arial"/>
          <w:lang w:eastAsia="en-GB"/>
        </w:rPr>
        <w:t>”</w:t>
      </w:r>
      <w:r w:rsidRPr="00C15525">
        <w:rPr>
          <w:rFonts w:ascii="Verdana" w:hAnsi="Verdana" w:cs="Arial"/>
          <w:lang w:eastAsia="x-none"/>
        </w:rPr>
        <w:t>, precisando el Consejo de Estado –en el concepto citado– que, “aun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C15525">
        <w:rPr>
          <w:rFonts w:ascii="Verdana" w:hAnsi="Verdana" w:cs="Arial"/>
          <w:vertAlign w:val="superscript"/>
          <w:lang w:val="en-GB" w:eastAsia="x-none"/>
        </w:rPr>
        <w:footnoteReference w:id="17"/>
      </w:r>
      <w:r w:rsidRPr="00C15525">
        <w:rPr>
          <w:rFonts w:ascii="Verdana" w:hAnsi="Verdana" w:cs="Arial"/>
          <w:lang w:eastAsia="x-none"/>
        </w:rPr>
        <w:t>, han establecido sistemas de contratación que implican convocatoria pública y participación de varios oferentes</w:t>
      </w:r>
      <w:r w:rsidRPr="00C15525">
        <w:rPr>
          <w:rFonts w:ascii="Verdana" w:hAnsi="Verdana" w:cs="Arial"/>
          <w:lang w:eastAsia="en-GB"/>
        </w:rPr>
        <w:t>”</w:t>
      </w:r>
      <w:r w:rsidRPr="00C15525">
        <w:rPr>
          <w:rFonts w:ascii="Verdana" w:hAnsi="Verdana" w:cs="Arial"/>
          <w:lang w:eastAsia="x-none"/>
        </w:rPr>
        <w:t xml:space="preserve">. </w:t>
      </w:r>
    </w:p>
    <w:p w14:paraId="6C65C5BA" w14:textId="77777777" w:rsidR="00794876" w:rsidRPr="00C15525" w:rsidRDefault="00794876" w:rsidP="00794876">
      <w:pPr>
        <w:spacing w:after="120" w:line="276" w:lineRule="auto"/>
        <w:ind w:firstLine="708"/>
        <w:jc w:val="both"/>
        <w:rPr>
          <w:rFonts w:ascii="Verdana" w:hAnsi="Verdana" w:cs="Arial"/>
          <w:bCs/>
          <w:lang w:val="es-MX" w:eastAsia="es-CO"/>
        </w:rPr>
      </w:pPr>
      <w:r w:rsidRPr="00C15525">
        <w:rPr>
          <w:rFonts w:ascii="Verdana" w:hAnsi="Verdana" w:cs="Arial"/>
          <w:bCs/>
          <w:lang w:val="es-MX" w:eastAsia="x-none"/>
        </w:rPr>
        <w:t>E</w:t>
      </w:r>
      <w:r w:rsidRPr="00C15525">
        <w:rPr>
          <w:rFonts w:ascii="Verdana" w:hAnsi="Verdana" w:cs="Arial"/>
          <w:lang w:eastAsia="x-none"/>
        </w:rPr>
        <w:t>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“contratación directa”, es que la convocatoria para inscribirse en forma previa se haga de manera pública, y que se permita la participación de una pluralidad de oferentes</w:t>
      </w:r>
      <w:r w:rsidRPr="00C15525">
        <w:rPr>
          <w:rFonts w:ascii="Verdana" w:hAnsi="Verdana" w:cs="Arial"/>
          <w:vertAlign w:val="superscript"/>
          <w:lang w:eastAsia="x-none"/>
        </w:rPr>
        <w:footnoteReference w:id="18"/>
      </w:r>
      <w:r w:rsidRPr="00C15525">
        <w:rPr>
          <w:rFonts w:ascii="Verdana" w:hAnsi="Verdana" w:cs="Arial"/>
          <w:lang w:eastAsia="x-none"/>
        </w:rPr>
        <w:t xml:space="preserve">. </w:t>
      </w:r>
    </w:p>
    <w:p w14:paraId="175F7040" w14:textId="77777777" w:rsidR="00794876" w:rsidRPr="00C15525" w:rsidRDefault="00794876" w:rsidP="00794876">
      <w:pPr>
        <w:spacing w:after="120" w:line="276" w:lineRule="auto"/>
        <w:ind w:firstLine="708"/>
        <w:jc w:val="both"/>
        <w:rPr>
          <w:rFonts w:ascii="Verdana" w:hAnsi="Verdana" w:cs="Arial"/>
          <w:bCs/>
          <w:lang w:val="es-MX" w:eastAsia="es-CO"/>
        </w:rPr>
      </w:pPr>
      <w:r w:rsidRPr="00C15525">
        <w:rPr>
          <w:rFonts w:ascii="Verdana" w:hAnsi="Verdana" w:cs="Arial"/>
          <w:bCs/>
          <w:lang w:val="es-MX" w:eastAsia="es-CO"/>
        </w:rPr>
        <w:lastRenderedPageBreak/>
        <w:t>Como se advierte de lo anterior, el Consejo de Estado realiza una interpretación amplia de la contratación directa, para efectos de aplicar las restricciones establecidas en la Ley de Garantías,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“contratación directa”.</w:t>
      </w:r>
    </w:p>
    <w:p w14:paraId="43620E82" w14:textId="77777777" w:rsidR="00794876" w:rsidRPr="00C15525" w:rsidRDefault="00794876" w:rsidP="00794876">
      <w:pPr>
        <w:spacing w:after="120" w:line="276" w:lineRule="auto"/>
        <w:ind w:firstLine="708"/>
        <w:jc w:val="both"/>
        <w:rPr>
          <w:rFonts w:ascii="Verdana" w:hAnsi="Verdana" w:cs="Arial"/>
          <w:bCs/>
          <w:lang w:val="es-MX" w:eastAsia="x-none"/>
        </w:rPr>
      </w:pPr>
      <w:r w:rsidRPr="00C15525">
        <w:rPr>
          <w:rFonts w:ascii="Verdana" w:hAnsi="Verdana" w:cs="Arial"/>
          <w:bCs/>
          <w:lang w:val="es-MX" w:eastAsia="x-none"/>
        </w:rPr>
        <w:t xml:space="preserve"> Así las cosas, ha de entenderse que,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sidRPr="00C15525">
        <w:rPr>
          <w:rFonts w:ascii="Verdana" w:hAnsi="Verdana" w:cs="Arial"/>
          <w:vertAlign w:val="superscript"/>
          <w:lang w:eastAsia="x-none"/>
        </w:rPr>
        <w:footnoteReference w:id="19"/>
      </w:r>
      <w:r w:rsidRPr="00C15525">
        <w:rPr>
          <w:rFonts w:ascii="Verdana" w:hAnsi="Verdana" w:cs="Arial"/>
          <w:bCs/>
          <w:lang w:val="es-MX" w:eastAsia="x-none"/>
        </w:rPr>
        <w:t>.</w:t>
      </w:r>
      <w:r w:rsidRPr="00C15525">
        <w:rPr>
          <w:rFonts w:ascii="Verdana" w:hAnsi="Verdana" w:cs="Arial"/>
          <w:vertAlign w:val="superscript"/>
          <w:lang w:val="es-MX" w:eastAsia="x-none"/>
        </w:rPr>
        <w:t xml:space="preserve"> </w:t>
      </w:r>
    </w:p>
    <w:p w14:paraId="23D3611A" w14:textId="77777777" w:rsidR="00794876" w:rsidRPr="00C15525" w:rsidRDefault="00794876" w:rsidP="00794876">
      <w:pPr>
        <w:spacing w:after="120" w:line="276" w:lineRule="auto"/>
        <w:ind w:firstLine="708"/>
        <w:jc w:val="both"/>
        <w:rPr>
          <w:rFonts w:ascii="Verdana" w:hAnsi="Verdana" w:cs="Arial"/>
          <w:lang w:eastAsia="x-none"/>
        </w:rPr>
      </w:pPr>
      <w:r w:rsidRPr="00C15525">
        <w:rPr>
          <w:rFonts w:ascii="Verdana" w:hAnsi="Verdana" w:cs="Arial"/>
          <w:bCs/>
          <w:lang w:val="es-MX" w:eastAsia="x-none"/>
        </w:rPr>
        <w:t>De lo anterior se desprende que la restricción aplica, sin perjuicio de las excepciones establecidas en la misma ley, para celebrar cualquier contrato de forma directa, esto es, sin que exista un proceso abierto y competitivo.</w:t>
      </w:r>
      <w:r w:rsidRPr="00C15525">
        <w:rPr>
          <w:rFonts w:ascii="Verdana" w:hAnsi="Verdana" w:cs="Arial"/>
          <w:lang w:eastAsia="x-none"/>
        </w:rPr>
        <w:t xml:space="preserve"> Por tanto, no son materia de la prohibición las demás modalidades de selección previstas en la Ley 1150 de 2007, es decir, la licitación pública, el concurso de méritos y la selección abreviada, razón por la cual en ese período preelectoral de que trata la disposición pueden las entidades públicas seguir contratando bajo estos sistemas.</w:t>
      </w:r>
    </w:p>
    <w:p w14:paraId="7F40EE0B" w14:textId="77777777" w:rsidR="00794876" w:rsidRPr="00C15525" w:rsidRDefault="00794876" w:rsidP="00794876">
      <w:pPr>
        <w:spacing w:after="120" w:line="276" w:lineRule="auto"/>
        <w:ind w:firstLine="708"/>
        <w:jc w:val="both"/>
        <w:rPr>
          <w:rFonts w:ascii="Verdana" w:hAnsi="Verdana" w:cs="Arial"/>
          <w:bCs/>
          <w:lang w:val="es-MX" w:eastAsia="x-none"/>
        </w:rPr>
      </w:pPr>
      <w:bookmarkStart w:id="11" w:name="_Hlk77237094"/>
      <w:r w:rsidRPr="00C15525">
        <w:rPr>
          <w:rFonts w:ascii="Verdana" w:hAnsi="Verdana" w:cs="Arial"/>
          <w:bCs/>
          <w:lang w:val="es-MX" w:eastAsia="es-CO"/>
        </w:rPr>
        <w:t xml:space="preserve">Como en otras oportunidades lo ha manifestado esta Agencia, las prórrogas, modificaciones o adiciones de los contratos suscritos antes de la </w:t>
      </w:r>
      <w:proofErr w:type="gramStart"/>
      <w:r w:rsidRPr="00C15525">
        <w:rPr>
          <w:rFonts w:ascii="Verdana" w:hAnsi="Verdana" w:cs="Arial"/>
          <w:bCs/>
          <w:lang w:val="es-MX" w:eastAsia="es-CO"/>
        </w:rPr>
        <w:t>entrada en vigencia</w:t>
      </w:r>
      <w:proofErr w:type="gramEnd"/>
      <w:r w:rsidRPr="00C15525">
        <w:rPr>
          <w:rFonts w:ascii="Verdana" w:hAnsi="Verdana" w:cs="Arial"/>
          <w:bCs/>
          <w:lang w:val="es-MX" w:eastAsia="es-CO"/>
        </w:rPr>
        <w:t xml:space="preserve"> de las prohibiciones anotadas, así como la cesión de </w:t>
      </w:r>
      <w:proofErr w:type="gramStart"/>
      <w:r w:rsidRPr="00C15525">
        <w:rPr>
          <w:rFonts w:ascii="Verdana" w:hAnsi="Verdana" w:cs="Arial"/>
          <w:bCs/>
          <w:lang w:val="es-MX" w:eastAsia="es-CO"/>
        </w:rPr>
        <w:t>los mismos</w:t>
      </w:r>
      <w:proofErr w:type="gramEnd"/>
      <w:r w:rsidRPr="00C15525">
        <w:rPr>
          <w:rFonts w:ascii="Verdana" w:hAnsi="Verdana" w:cs="Arial"/>
          <w:bCs/>
          <w:lang w:val="es-MX" w:eastAsia="es-CO"/>
        </w:rPr>
        <w:t>, pueden tener lugar en el período de aplicación de la Ley de Garantías, sin que ello haga nugatoria la restricción de la contratación directa y siempre que cumplan los principios de planeación, transparencia y responsabilidad.</w:t>
      </w:r>
      <w:bookmarkEnd w:id="11"/>
    </w:p>
    <w:p w14:paraId="78F926C3" w14:textId="77777777" w:rsidR="00794876" w:rsidRPr="00C15525" w:rsidRDefault="00794876" w:rsidP="00794876">
      <w:pPr>
        <w:spacing w:after="120" w:line="276" w:lineRule="auto"/>
        <w:ind w:firstLine="708"/>
        <w:jc w:val="both"/>
        <w:rPr>
          <w:rFonts w:ascii="Verdana" w:hAnsi="Verdana" w:cs="Arial"/>
          <w:bCs/>
          <w:lang w:val="es-MX" w:eastAsia="es-CO"/>
        </w:rPr>
      </w:pPr>
      <w:r w:rsidRPr="00C15525">
        <w:rPr>
          <w:rFonts w:ascii="Verdana" w:hAnsi="Verdana" w:cs="Arial"/>
          <w:bCs/>
          <w:lang w:val="es-MX" w:eastAsia="x-none"/>
        </w:rPr>
        <w:t xml:space="preserve">De otro lado, las excepciones a la restricción prevista en la Ley de Garantías, con fundamento en las cuales podrán las entidades públicas adelantar procedimientos de selección directa en períodos previos a la contienda electoral por la Presidencia, se encuentran consagradas de manera taxativa en el inciso </w:t>
      </w:r>
      <w:r w:rsidRPr="00C15525">
        <w:rPr>
          <w:rFonts w:ascii="Verdana" w:hAnsi="Verdana" w:cs="Arial"/>
          <w:bCs/>
          <w:lang w:val="es-MX" w:eastAsia="x-none"/>
        </w:rPr>
        <w:lastRenderedPageBreak/>
        <w:t xml:space="preserve">final del citado artículo 33 de la Ley 996 de 2005 en lo referente a i) la defensa y seguridad del Estado; </w:t>
      </w:r>
      <w:proofErr w:type="spellStart"/>
      <w:r w:rsidRPr="00C15525">
        <w:rPr>
          <w:rFonts w:ascii="Verdana" w:hAnsi="Verdana" w:cs="Arial"/>
          <w:bCs/>
          <w:lang w:val="es-MX" w:eastAsia="x-none"/>
        </w:rPr>
        <w:t>ii</w:t>
      </w:r>
      <w:proofErr w:type="spellEnd"/>
      <w:r w:rsidRPr="00C15525">
        <w:rPr>
          <w:rFonts w:ascii="Verdana" w:hAnsi="Verdana" w:cs="Arial"/>
          <w:bCs/>
          <w:lang w:val="es-MX" w:eastAsia="x-none"/>
        </w:rPr>
        <w:t xml:space="preserve">) los contratos de crédito público; </w:t>
      </w:r>
      <w:proofErr w:type="spellStart"/>
      <w:r w:rsidRPr="00C15525">
        <w:rPr>
          <w:rFonts w:ascii="Verdana" w:hAnsi="Verdana" w:cs="Arial"/>
          <w:bCs/>
          <w:lang w:val="es-MX" w:eastAsia="x-none"/>
        </w:rPr>
        <w:t>iii</w:t>
      </w:r>
      <w:proofErr w:type="spellEnd"/>
      <w:r w:rsidRPr="00C15525">
        <w:rPr>
          <w:rFonts w:ascii="Verdana" w:hAnsi="Verdana" w:cs="Arial"/>
          <w:bCs/>
          <w:lang w:val="es-MX" w:eastAsia="x-none"/>
        </w:rPr>
        <w:t xml:space="preserve">) los requeridos para cubrir las emergencias educativas, sanitarias y desastres; </w:t>
      </w:r>
      <w:proofErr w:type="spellStart"/>
      <w:r w:rsidRPr="00C15525">
        <w:rPr>
          <w:rFonts w:ascii="Verdana" w:hAnsi="Verdana" w:cs="Arial"/>
          <w:bCs/>
          <w:lang w:val="es-MX" w:eastAsia="x-none"/>
        </w:rPr>
        <w:t>iv</w:t>
      </w:r>
      <w:proofErr w:type="spellEnd"/>
      <w:r w:rsidRPr="00C15525">
        <w:rPr>
          <w:rFonts w:ascii="Verdana" w:hAnsi="Verdana" w:cs="Arial"/>
          <w:bCs/>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C15525">
        <w:rPr>
          <w:rFonts w:ascii="Verdana" w:hAnsi="Verdana" w:cs="Arial"/>
          <w:bCs/>
          <w:lang w:val="es-MX"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0950EFF8" w14:textId="77777777" w:rsidR="00794876" w:rsidRPr="00C15525" w:rsidRDefault="00794876" w:rsidP="00794876">
      <w:pPr>
        <w:spacing w:after="0" w:line="276" w:lineRule="auto"/>
        <w:ind w:firstLine="708"/>
        <w:jc w:val="both"/>
        <w:rPr>
          <w:rFonts w:ascii="Verdana" w:hAnsi="Verdana" w:cs="Arial"/>
          <w:bCs/>
          <w:lang w:val="es-MX" w:eastAsia="x-none"/>
        </w:rPr>
      </w:pPr>
      <w:r w:rsidRPr="00C15525">
        <w:rPr>
          <w:rFonts w:ascii="Verdana" w:hAnsi="Verdana" w:cs="Arial"/>
          <w:bCs/>
          <w:lang w:val="es-MX" w:eastAsia="x-none"/>
        </w:rPr>
        <w:t xml:space="preserve">En esta labor es importante tener en cuenta, como lo anotó la Corte Constitucional, en Sentencia C-1153 de noviembre 11 de 2005 </w:t>
      </w:r>
      <w:bookmarkStart w:id="12" w:name="_Hlk74309042"/>
      <w:r w:rsidRPr="00C15525">
        <w:rPr>
          <w:rFonts w:ascii="Verdana" w:hAnsi="Verdana" w:cs="Arial"/>
          <w:bCs/>
          <w:lang w:val="es-MX" w:eastAsia="x-none"/>
        </w:rPr>
        <w:t>que “</w:t>
      </w:r>
      <w:bookmarkEnd w:id="12"/>
      <w:r w:rsidRPr="00C15525">
        <w:rPr>
          <w:rFonts w:ascii="Verdana" w:hAnsi="Verdana" w:cs="Arial"/>
          <w:bCs/>
          <w:lang w:val="es-MX" w:eastAsia="x-none"/>
        </w:rPr>
        <w:t xml:space="preserve">si bien la limitación garantiza la igualdad de condiciones, también es necesario que tal limitación que pretende la igualdad </w:t>
      </w:r>
      <w:bookmarkStart w:id="13" w:name="_Hlk75768308"/>
      <w:r w:rsidRPr="00C15525">
        <w:rPr>
          <w:rFonts w:ascii="Verdana" w:hAnsi="Verdana" w:cs="Arial"/>
          <w:bCs/>
          <w:lang w:val="es-MX" w:eastAsia="x-none"/>
        </w:rPr>
        <w:t>no termine yendo en detrimento de intereses públicos, cuya garantía está en cabeza del ejecutivo, como son los inmersos en las excepciones para la prohibición de contratación”</w:t>
      </w:r>
      <w:r w:rsidRPr="00C15525">
        <w:rPr>
          <w:rFonts w:ascii="Verdana" w:hAnsi="Verdana" w:cs="Arial"/>
          <w:vertAlign w:val="superscript"/>
          <w:lang w:val="es-MX"/>
        </w:rPr>
        <w:footnoteReference w:id="20"/>
      </w:r>
      <w:r w:rsidRPr="00C15525">
        <w:rPr>
          <w:rFonts w:ascii="Verdana" w:hAnsi="Verdana" w:cs="Arial"/>
          <w:bCs/>
          <w:lang w:val="es-MX" w:eastAsia="x-none"/>
        </w:rPr>
        <w:t>. De ahí que la Corte haya señalado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bookmarkEnd w:id="13"/>
    </w:p>
    <w:p w14:paraId="0112AA94" w14:textId="77777777" w:rsidR="00794876" w:rsidRPr="00C15525" w:rsidRDefault="00794876" w:rsidP="00794876">
      <w:pPr>
        <w:tabs>
          <w:tab w:val="left" w:pos="426"/>
        </w:tabs>
        <w:spacing w:before="120" w:after="120" w:line="276" w:lineRule="auto"/>
        <w:ind w:firstLine="709"/>
        <w:jc w:val="both"/>
        <w:rPr>
          <w:rFonts w:ascii="Verdana" w:hAnsi="Verdana" w:cs="Arial"/>
          <w:color w:val="000000" w:themeColor="text1"/>
          <w:shd w:val="clear" w:color="auto" w:fill="FFFFFF"/>
          <w:lang w:val="es-ES"/>
        </w:rPr>
      </w:pPr>
      <w:r w:rsidRPr="00C15525">
        <w:rPr>
          <w:rFonts w:ascii="Verdana" w:hAnsi="Verdana" w:cs="Arial"/>
          <w:bCs/>
          <w:color w:val="000000" w:themeColor="text1"/>
          <w:lang w:val="es-ES"/>
        </w:rPr>
        <w:t>Por tanto, las excepciones a la prohibición contenida en el inciso segundo de artículo 33 de la ley de garantías electorales tienen por finalidad garantizar la realización ininterrumpida de ciertas actividades que, dada su importancia en el orden interno, se verían irrazonablemente afectadas por la restricción. De igual forma, la Sala de Consulta y Servicio Civil del Consejo de Estado, en concepto del 2 de septiembre de 2013</w:t>
      </w:r>
      <w:r w:rsidRPr="00C15525">
        <w:rPr>
          <w:rFonts w:ascii="Verdana" w:hAnsi="Verdana" w:cs="Arial"/>
          <w:color w:val="000000" w:themeColor="text1"/>
          <w:lang w:val="es-ES"/>
        </w:rPr>
        <w:t xml:space="preserve">, mencionó las excepciones a la prohibición del artículo 33 de la Ley de Garantías Electorales, resaltando su carácter taxativo, y señalando la independencia de los supuestos, así: “[…] </w:t>
      </w:r>
      <w:r w:rsidRPr="00C15525">
        <w:rPr>
          <w:rFonts w:ascii="Verdana" w:hAnsi="Verdana" w:cs="Arial"/>
          <w:i/>
          <w:color w:val="000000" w:themeColor="text1"/>
          <w:lang w:val="es-ES"/>
        </w:rPr>
        <w:t xml:space="preserve">Las excepciones aplicables a la restricción de contratación pública. </w:t>
      </w:r>
      <w:r w:rsidRPr="00C15525">
        <w:rPr>
          <w:rFonts w:ascii="Verdana" w:hAnsi="Verdana" w:cs="Arial"/>
          <w:color w:val="000000" w:themeColor="text1"/>
          <w:shd w:val="clear" w:color="auto" w:fill="FFFFFF"/>
          <w:lang w:val="es-ES"/>
        </w:rPr>
        <w:t xml:space="preserve">Ahora bien, las únicas excepciones a las disposiciones previstas en la Ley de Garantías se </w:t>
      </w:r>
      <w:r w:rsidRPr="00C15525">
        <w:rPr>
          <w:rFonts w:ascii="Verdana" w:hAnsi="Verdana" w:cs="Arial"/>
          <w:color w:val="000000" w:themeColor="text1"/>
          <w:shd w:val="clear" w:color="auto" w:fill="FFFFFF"/>
          <w:lang w:val="es-ES"/>
        </w:rPr>
        <w:lastRenderedPageBreak/>
        <w:t>encuentran numeradas taxativamente en el último inciso del artículo 33 de la ley 996 de 2005 […]”</w:t>
      </w:r>
      <w:r w:rsidRPr="00C15525">
        <w:rPr>
          <w:rFonts w:ascii="Verdana" w:hAnsi="Verdana" w:cs="Arial"/>
          <w:color w:val="000000" w:themeColor="text1"/>
          <w:shd w:val="clear" w:color="auto" w:fill="FFFFFF"/>
          <w:vertAlign w:val="superscript"/>
          <w:lang w:val="es-ES"/>
        </w:rPr>
        <w:footnoteReference w:id="21"/>
      </w:r>
      <w:r w:rsidRPr="00C15525">
        <w:rPr>
          <w:rFonts w:ascii="Verdana" w:hAnsi="Verdana" w:cs="Arial"/>
          <w:color w:val="000000" w:themeColor="text1"/>
          <w:shd w:val="clear" w:color="auto" w:fill="FFFFFF"/>
          <w:lang w:val="es-ES"/>
        </w:rPr>
        <w:t>.</w:t>
      </w:r>
    </w:p>
    <w:p w14:paraId="4426AD0F" w14:textId="77777777" w:rsidR="00794876" w:rsidRPr="00C15525" w:rsidRDefault="00794876" w:rsidP="00794876">
      <w:pPr>
        <w:tabs>
          <w:tab w:val="left" w:pos="426"/>
        </w:tabs>
        <w:spacing w:after="0" w:line="276" w:lineRule="auto"/>
        <w:ind w:firstLine="709"/>
        <w:jc w:val="both"/>
        <w:rPr>
          <w:rFonts w:ascii="Verdana" w:hAnsi="Verdana" w:cs="Arial"/>
          <w:bCs/>
          <w:color w:val="000000" w:themeColor="text1"/>
          <w:lang w:val="es-ES"/>
        </w:rPr>
      </w:pPr>
      <w:r w:rsidRPr="00C15525">
        <w:rPr>
          <w:rFonts w:ascii="Verdana" w:hAnsi="Verdana" w:cs="Arial"/>
          <w:bCs/>
          <w:color w:val="000000" w:themeColor="text1"/>
          <w:lang w:val="es-ES"/>
        </w:rPr>
        <w:t xml:space="preserve">Lo anterior implica que las excepciones al artículo 33 en comento deben interpretarse y aplicarse de manera </w:t>
      </w:r>
      <w:r w:rsidRPr="00C15525">
        <w:rPr>
          <w:rFonts w:ascii="Verdana" w:hAnsi="Verdana" w:cs="Arial"/>
          <w:bCs/>
          <w:i/>
          <w:iCs/>
          <w:color w:val="000000" w:themeColor="text1"/>
          <w:lang w:val="es-ES"/>
        </w:rPr>
        <w:t>estricta</w:t>
      </w:r>
      <w:r w:rsidRPr="00C15525">
        <w:rPr>
          <w:rFonts w:ascii="Verdana" w:hAnsi="Verdana" w:cs="Arial"/>
          <w:bCs/>
          <w:color w:val="000000" w:themeColor="text1"/>
          <w:lang w:val="es-ES"/>
        </w:rPr>
        <w:t>. En otras palabras, no es factible hacer interpretaciones extensivas</w:t>
      </w:r>
      <w:r w:rsidRPr="00C15525">
        <w:rPr>
          <w:rFonts w:ascii="Verdana" w:hAnsi="Verdana" w:cs="Arial"/>
          <w:bCs/>
          <w:i/>
          <w:iCs/>
          <w:color w:val="000000" w:themeColor="text1"/>
          <w:lang w:val="es-ES"/>
        </w:rPr>
        <w:t xml:space="preserve"> </w:t>
      </w:r>
      <w:r w:rsidRPr="00C15525">
        <w:rPr>
          <w:rFonts w:ascii="Verdana" w:hAnsi="Verdana" w:cs="Arial"/>
          <w:bCs/>
          <w:color w:val="000000" w:themeColor="text1"/>
          <w:lang w:val="es-ES"/>
        </w:rPr>
        <w:t xml:space="preserve">para incluir otros supuestos de hecho similares a las circunstancias previstas en dicho artículo, pues el carácter taxativo implica que solo en los eventos consagrados expresamente en la norma permiten que ciertas entidades estatales se vean exceptuadas de la prohibición. </w:t>
      </w:r>
    </w:p>
    <w:p w14:paraId="1AC9E242" w14:textId="77777777" w:rsidR="00794876" w:rsidRPr="00C15525" w:rsidRDefault="00794876" w:rsidP="00794876">
      <w:pPr>
        <w:tabs>
          <w:tab w:val="left" w:pos="426"/>
        </w:tabs>
        <w:spacing w:after="0" w:line="276" w:lineRule="auto"/>
        <w:jc w:val="both"/>
        <w:rPr>
          <w:rFonts w:ascii="Verdana" w:eastAsia="Arial" w:hAnsi="Verdana" w:cs="Arial"/>
          <w:lang w:val="es-MX" w:eastAsia="es-ES" w:bidi="es-ES"/>
        </w:rPr>
      </w:pPr>
    </w:p>
    <w:p w14:paraId="4DF9B9B2" w14:textId="77777777" w:rsidR="00794876" w:rsidRPr="00C15525" w:rsidRDefault="00794876" w:rsidP="00794876">
      <w:pPr>
        <w:tabs>
          <w:tab w:val="left" w:pos="426"/>
        </w:tabs>
        <w:spacing w:after="0" w:line="276" w:lineRule="auto"/>
        <w:jc w:val="both"/>
        <w:rPr>
          <w:rFonts w:ascii="Verdana" w:hAnsi="Verdana" w:cs="Arial"/>
          <w:bCs/>
          <w:color w:val="000000" w:themeColor="text1"/>
          <w:lang w:val="es-ES"/>
        </w:rPr>
      </w:pPr>
      <w:proofErr w:type="spellStart"/>
      <w:r w:rsidRPr="00C15525">
        <w:rPr>
          <w:rFonts w:ascii="Verdana" w:eastAsia="Arial" w:hAnsi="Verdana" w:cs="Arial"/>
          <w:lang w:val="es-MX" w:eastAsia="es-ES" w:bidi="es-ES"/>
        </w:rPr>
        <w:t>iii</w:t>
      </w:r>
      <w:proofErr w:type="spellEnd"/>
      <w:r w:rsidRPr="00C15525">
        <w:rPr>
          <w:rFonts w:ascii="Verdana" w:eastAsia="Arial" w:hAnsi="Verdana" w:cs="Arial"/>
          <w:lang w:val="es-MX" w:eastAsia="es-ES" w:bidi="es-ES"/>
        </w:rPr>
        <w:t xml:space="preserve">. </w:t>
      </w:r>
      <w:r w:rsidRPr="00C15525">
        <w:rPr>
          <w:rFonts w:ascii="Verdana" w:hAnsi="Verdana" w:cs="Arial"/>
          <w:bCs/>
          <w:lang w:val="es-MX" w:eastAsia="x-none"/>
        </w:rPr>
        <w:t>El artículo 33 de la Ley 996 de 2005 señala expresamente a los destinatarios de la prohibición, en el sentido de que son “todos los entes del Estado”, expresión que contempla a los diferentes organismos o entidades autorizadas por la ley para suscribir contratos.</w:t>
      </w:r>
      <w:r w:rsidRPr="00C15525">
        <w:rPr>
          <w:rFonts w:ascii="Verdana" w:hAnsi="Verdana" w:cs="Arial"/>
          <w:lang w:val="es-MX"/>
        </w:rPr>
        <w:t xml:space="preserve"> </w:t>
      </w:r>
      <w:r w:rsidRPr="00C15525">
        <w:rPr>
          <w:rFonts w:ascii="Verdana" w:hAnsi="Verdana" w:cs="Arial"/>
          <w:bCs/>
          <w:lang w:val="es-MX" w:eastAsia="x-none"/>
        </w:rPr>
        <w:t>En efecto, tal como lo ha sostenido el Consejo de Estado, el vocablo “todos” utilizado por el legislador comprende</w:t>
      </w:r>
      <w:r w:rsidRPr="00C15525">
        <w:rPr>
          <w:rFonts w:ascii="Verdana" w:hAnsi="Verdana" w:cs="Arial"/>
          <w:lang w:val="es-MX"/>
        </w:rPr>
        <w:t xml:space="preserve"> </w:t>
      </w:r>
      <w:r w:rsidRPr="00C15525">
        <w:rPr>
          <w:rFonts w:ascii="Verdana" w:hAnsi="Verdana" w:cs="Arial"/>
          <w:bCs/>
          <w:lang w:val="es-MX" w:eastAsia="x-none"/>
        </w:rPr>
        <w:t xml:space="preserve">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El Consejo de Estado, en Concepto con radicado 1727 de fecha 20 de febrero de 2006, consideró que: </w:t>
      </w:r>
    </w:p>
    <w:p w14:paraId="0055B297" w14:textId="77777777" w:rsidR="00794876" w:rsidRPr="00C15525" w:rsidRDefault="00794876" w:rsidP="00794876">
      <w:pPr>
        <w:spacing w:after="0" w:line="276" w:lineRule="auto"/>
        <w:ind w:firstLine="708"/>
        <w:jc w:val="both"/>
        <w:rPr>
          <w:rFonts w:ascii="Verdana" w:hAnsi="Verdana" w:cs="Arial"/>
          <w:bCs/>
          <w:lang w:val="es-MX" w:eastAsia="x-none"/>
        </w:rPr>
      </w:pPr>
    </w:p>
    <w:p w14:paraId="72B104EC" w14:textId="77777777" w:rsidR="00794876" w:rsidRPr="00C15525" w:rsidRDefault="00794876" w:rsidP="00794876">
      <w:pPr>
        <w:spacing w:after="0" w:line="240" w:lineRule="auto"/>
        <w:ind w:left="708" w:right="709"/>
        <w:jc w:val="both"/>
        <w:rPr>
          <w:rFonts w:ascii="Verdana" w:hAnsi="Verdana" w:cs="Arial"/>
          <w:bCs/>
          <w:sz w:val="20"/>
          <w:szCs w:val="20"/>
          <w:lang w:val="es-MX" w:eastAsia="es-CO"/>
        </w:rPr>
      </w:pPr>
      <w:r w:rsidRPr="00C15525">
        <w:rPr>
          <w:rFonts w:ascii="Verdana" w:hAnsi="Verdana" w:cs="Arial"/>
          <w:bCs/>
          <w:sz w:val="20"/>
          <w:szCs w:val="20"/>
          <w:lang w:val="es-MX" w:eastAsia="x-none"/>
        </w:rPr>
        <w:t xml:space="preserve">“El artículo 33 de la ley 996 de 2005, </w:t>
      </w:r>
      <w:bookmarkStart w:id="14" w:name="_Hlk75787147"/>
      <w:r w:rsidRPr="00C15525">
        <w:rPr>
          <w:rFonts w:ascii="Verdana" w:hAnsi="Verdana" w:cs="Arial"/>
          <w:bCs/>
          <w:sz w:val="20"/>
          <w:szCs w:val="20"/>
          <w:lang w:val="es-MX" w:eastAsia="x-none"/>
        </w:rPr>
        <w:t>efectivamente se aplica incluso a las entidades estatales con régimen especial de contratación y que están exceptuadas del ámbito de aplicación del Estatuto General de Contratación de la Administración Pública, como por ejemplo los prestadores de servicios públicos domiciliarios (empresas de servicios públicos oficiales y empresas industriales y comerciales del Estado) y a los municipios prestadores directos, incluyendo las excepciones contenidas en el segundo inciso de esta norma”</w:t>
      </w:r>
      <w:r w:rsidRPr="00C15525">
        <w:rPr>
          <w:rFonts w:ascii="Verdana" w:hAnsi="Verdana" w:cs="Arial"/>
          <w:bCs/>
          <w:sz w:val="20"/>
          <w:szCs w:val="20"/>
          <w:vertAlign w:val="superscript"/>
          <w:lang w:val="es-MX" w:eastAsia="x-none"/>
        </w:rPr>
        <w:footnoteReference w:id="22"/>
      </w:r>
      <w:r w:rsidRPr="00C15525">
        <w:rPr>
          <w:rFonts w:ascii="Verdana" w:hAnsi="Verdana" w:cs="Arial"/>
          <w:bCs/>
          <w:sz w:val="20"/>
          <w:szCs w:val="20"/>
          <w:lang w:val="es-MX" w:eastAsia="x-none"/>
        </w:rPr>
        <w:t>.</w:t>
      </w:r>
      <w:r w:rsidRPr="00C15525">
        <w:rPr>
          <w:rFonts w:ascii="Verdana" w:hAnsi="Verdana" w:cs="Arial"/>
          <w:bCs/>
          <w:sz w:val="20"/>
          <w:szCs w:val="20"/>
          <w:lang w:val="es-MX" w:eastAsia="es-CO"/>
        </w:rPr>
        <w:t xml:space="preserve"> </w:t>
      </w:r>
    </w:p>
    <w:p w14:paraId="0C16C92D" w14:textId="77777777" w:rsidR="00794876" w:rsidRPr="00C15525" w:rsidRDefault="00794876" w:rsidP="00794876">
      <w:pPr>
        <w:spacing w:after="0" w:line="276" w:lineRule="auto"/>
        <w:ind w:firstLine="708"/>
        <w:jc w:val="both"/>
        <w:rPr>
          <w:rFonts w:ascii="Verdana" w:hAnsi="Verdana" w:cs="Arial"/>
          <w:bCs/>
          <w:lang w:val="es-MX" w:eastAsia="es-CO"/>
        </w:rPr>
      </w:pPr>
    </w:p>
    <w:p w14:paraId="61307360" w14:textId="77777777" w:rsidR="00794876" w:rsidRPr="00C15525" w:rsidRDefault="00794876" w:rsidP="00794876">
      <w:pPr>
        <w:spacing w:after="0" w:line="276" w:lineRule="auto"/>
        <w:ind w:firstLine="708"/>
        <w:jc w:val="both"/>
        <w:rPr>
          <w:rFonts w:ascii="Verdana" w:hAnsi="Verdana" w:cs="Arial"/>
          <w:lang w:val="es-MX"/>
        </w:rPr>
      </w:pPr>
      <w:r w:rsidRPr="00C15525">
        <w:rPr>
          <w:rFonts w:ascii="Verdana" w:hAnsi="Verdana" w:cs="Arial"/>
          <w:bCs/>
          <w:lang w:val="es-MX" w:eastAsia="x-none"/>
        </w:rPr>
        <w:lastRenderedPageBreak/>
        <w:t>De igual forma, en Concepto con radicado 1738 de 6 de abril de 2006, esa misma Corporación manifestó que “Las restricciones de la Ley de Garantías en materia de contratación directa y celebración de convenios interadministrativos, se aplican a las empresas industriales y comerciales del Estado y a las Sociedades de Economía Mixta, salvo cuando la celebración de un convenio interadministrativo sea ordenada, para ambas partes, por el Legislador”</w:t>
      </w:r>
      <w:bookmarkStart w:id="15" w:name="_Hlk75758868"/>
      <w:bookmarkStart w:id="16" w:name="_Hlk75741220"/>
      <w:r w:rsidRPr="00C15525">
        <w:rPr>
          <w:rFonts w:ascii="Verdana" w:hAnsi="Verdana" w:cs="Arial"/>
          <w:vertAlign w:val="superscript"/>
          <w:lang w:val="es-MX"/>
        </w:rPr>
        <w:footnoteReference w:id="23"/>
      </w:r>
      <w:bookmarkEnd w:id="15"/>
      <w:bookmarkEnd w:id="16"/>
      <w:r w:rsidRPr="00C15525">
        <w:rPr>
          <w:rFonts w:ascii="Verdana" w:hAnsi="Verdana" w:cs="Arial"/>
          <w:bCs/>
          <w:lang w:val="es-MX" w:eastAsia="x-none"/>
        </w:rPr>
        <w:t>.</w:t>
      </w:r>
      <w:r w:rsidRPr="00C15525">
        <w:rPr>
          <w:rFonts w:ascii="Verdana" w:hAnsi="Verdana" w:cs="Arial"/>
          <w:lang w:val="es-MX"/>
        </w:rPr>
        <w:t xml:space="preserve"> Sin embargo, debe precisarse el siguiente aspecto que distinguió la Sala de Consulta y Servicio Civil:</w:t>
      </w:r>
    </w:p>
    <w:p w14:paraId="1AC71447" w14:textId="77777777" w:rsidR="00794876" w:rsidRPr="00C15525" w:rsidRDefault="00794876" w:rsidP="00794876">
      <w:pPr>
        <w:spacing w:after="0" w:line="276" w:lineRule="auto"/>
        <w:jc w:val="both"/>
        <w:rPr>
          <w:rFonts w:ascii="Verdana" w:hAnsi="Verdana" w:cs="Arial"/>
          <w:lang w:val="es-MX"/>
        </w:rPr>
      </w:pPr>
    </w:p>
    <w:p w14:paraId="62619892" w14:textId="77777777" w:rsidR="00794876" w:rsidRPr="00C15525" w:rsidRDefault="00794876" w:rsidP="00794876">
      <w:pPr>
        <w:spacing w:after="0" w:line="240" w:lineRule="auto"/>
        <w:ind w:left="708" w:right="709"/>
        <w:jc w:val="both"/>
        <w:rPr>
          <w:rFonts w:ascii="Verdana" w:hAnsi="Verdana" w:cs="Arial"/>
          <w:sz w:val="20"/>
          <w:szCs w:val="20"/>
          <w:lang w:val="es-MX"/>
        </w:rPr>
      </w:pPr>
      <w:bookmarkStart w:id="18" w:name="_Hlk75811446"/>
      <w:r w:rsidRPr="00C15525">
        <w:rPr>
          <w:rFonts w:ascii="Verdana" w:hAnsi="Verdana" w:cs="Arial"/>
          <w:sz w:val="20"/>
          <w:szCs w:val="20"/>
          <w:lang w:val="es-MX"/>
        </w:rPr>
        <w:t>“En el concepto No. 1727 de fecha 20 de febrero de 2006, ésta Sala distinguió dos clases de contratos en relación con las empresas de servicios públicos domiciliarios: unos, en los que la posición de la empresa es la de consumidora de las prestaciones objeto del contrato, que utiliza para la prestación de los servicios a su cargo, y los otros, en los que la empresa entrega esos servicios a los usuarios, conforme a unas reglas uniformes para todos ellos y sin que haya privilegios o tratos desiguales. En los primeros contratos, es claro que la empresa debe adquirir esos bienes previa licitación pública, según se expuso anteriormente, pero en el segundo caso,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bookmarkEnd w:id="18"/>
      <w:r w:rsidRPr="00C15525">
        <w:rPr>
          <w:rFonts w:ascii="Verdana" w:hAnsi="Verdana" w:cs="Arial"/>
          <w:sz w:val="20"/>
          <w:szCs w:val="20"/>
          <w:lang w:val="es-MX"/>
        </w:rPr>
        <w:t>”</w:t>
      </w:r>
      <w:r w:rsidRPr="00C15525">
        <w:rPr>
          <w:vertAlign w:val="superscript"/>
        </w:rPr>
        <w:footnoteReference w:id="24"/>
      </w:r>
      <w:r w:rsidRPr="00C15525">
        <w:rPr>
          <w:rFonts w:ascii="Verdana" w:hAnsi="Verdana" w:cs="Arial"/>
          <w:bCs/>
          <w:sz w:val="20"/>
          <w:szCs w:val="20"/>
          <w:lang w:val="es-MX" w:eastAsia="x-none"/>
        </w:rPr>
        <w:t>.</w:t>
      </w:r>
    </w:p>
    <w:p w14:paraId="5526FC65" w14:textId="77777777" w:rsidR="00794876" w:rsidRPr="00C15525" w:rsidRDefault="00794876" w:rsidP="00794876">
      <w:pPr>
        <w:spacing w:after="0" w:line="276" w:lineRule="auto"/>
        <w:jc w:val="both"/>
        <w:rPr>
          <w:rFonts w:ascii="Verdana" w:hAnsi="Verdana" w:cs="Arial"/>
          <w:lang w:val="es-MX"/>
        </w:rPr>
      </w:pPr>
    </w:p>
    <w:p w14:paraId="53AD82FC" w14:textId="77777777" w:rsidR="00794876" w:rsidRDefault="00794876" w:rsidP="00794876">
      <w:pPr>
        <w:spacing w:after="0" w:line="276" w:lineRule="auto"/>
        <w:ind w:firstLine="709"/>
        <w:jc w:val="both"/>
        <w:rPr>
          <w:rFonts w:ascii="Verdana" w:hAnsi="Verdana" w:cs="Arial"/>
          <w:lang w:val="es-MX"/>
        </w:rPr>
      </w:pPr>
      <w:r w:rsidRPr="00C15525">
        <w:rPr>
          <w:rFonts w:ascii="Verdana" w:hAnsi="Verdana" w:cs="Arial"/>
          <w:lang w:val="es-MX"/>
        </w:rPr>
        <w:t>Aplicando este razonamiento,</w:t>
      </w:r>
      <w:bookmarkStart w:id="19" w:name="_Hlk75811096"/>
      <w:r w:rsidRPr="00C15525">
        <w:rPr>
          <w:rFonts w:ascii="Verdana" w:hAnsi="Verdana" w:cs="Arial"/>
          <w:lang w:val="es-MX"/>
        </w:rPr>
        <w:t xml:space="preserve"> se tiene que las empresas industriales y comerciales del estado y a las empresas de servicios públicos oficiales y mixtas no pueden adquirir los suministros de bienes y servicios necesarios para la realización de su actividad por contratación directa sino por mecanismos competitivos que impliquen convocatoria pública y la posibilidad de pluralidad de oferentes, pero, “es obvio que si una de estas entidades va a prestar un servicio a un particular, lo puede hacer, pues estos se ofrecen a toda la comunidad en condiciones de igualdad. Si se supusiera que está prohibida su </w:t>
      </w:r>
      <w:r w:rsidRPr="00C15525">
        <w:rPr>
          <w:rFonts w:ascii="Verdana" w:hAnsi="Verdana" w:cs="Arial"/>
          <w:lang w:val="es-MX"/>
        </w:rPr>
        <w:lastRenderedPageBreak/>
        <w:t>contratación directa, significaría la parálisis de tal actividad de interés público, lo que de ninguna manera es lo querido por la ley 996 de 2005</w:t>
      </w:r>
      <w:bookmarkEnd w:id="19"/>
      <w:r w:rsidRPr="00C15525">
        <w:rPr>
          <w:rFonts w:ascii="Verdana" w:hAnsi="Verdana" w:cs="Arial"/>
          <w:lang w:val="es-MX"/>
        </w:rPr>
        <w:t>”</w:t>
      </w:r>
      <w:r w:rsidRPr="00C15525">
        <w:rPr>
          <w:rFonts w:ascii="Verdana" w:hAnsi="Verdana" w:cs="Arial"/>
          <w:vertAlign w:val="superscript"/>
          <w:lang w:val="es-MX"/>
        </w:rPr>
        <w:t xml:space="preserve"> </w:t>
      </w:r>
      <w:r w:rsidRPr="00280228">
        <w:rPr>
          <w:vertAlign w:val="superscript"/>
        </w:rPr>
        <w:footnoteReference w:id="25"/>
      </w:r>
      <w:r w:rsidRPr="00C15525">
        <w:rPr>
          <w:rFonts w:ascii="Verdana" w:hAnsi="Verdana" w:cs="Arial"/>
          <w:lang w:val="es-MX"/>
        </w:rPr>
        <w:t>.</w:t>
      </w:r>
    </w:p>
    <w:p w14:paraId="4286E4A6" w14:textId="77777777" w:rsidR="00794876" w:rsidRPr="00C15525" w:rsidRDefault="00794876" w:rsidP="00794876">
      <w:pPr>
        <w:spacing w:after="0" w:line="276" w:lineRule="auto"/>
        <w:ind w:firstLine="709"/>
        <w:jc w:val="both"/>
        <w:rPr>
          <w:rFonts w:ascii="Verdana" w:hAnsi="Verdana" w:cs="Arial"/>
          <w:bCs/>
          <w:lang w:val="es-MX" w:eastAsia="x-none"/>
        </w:rPr>
      </w:pPr>
    </w:p>
    <w:p w14:paraId="4BFE8BBF" w14:textId="77777777" w:rsidR="00794876" w:rsidRPr="00C15525" w:rsidRDefault="00794876" w:rsidP="00794876">
      <w:pPr>
        <w:spacing w:after="0" w:line="276" w:lineRule="auto"/>
        <w:ind w:firstLine="708"/>
        <w:jc w:val="both"/>
        <w:rPr>
          <w:rFonts w:ascii="Verdana" w:hAnsi="Verdana" w:cs="Arial"/>
          <w:bCs/>
          <w:lang w:val="es-MX" w:eastAsia="x-none"/>
        </w:rPr>
      </w:pPr>
      <w:bookmarkStart w:id="20" w:name="_Hlk77237229"/>
      <w:bookmarkEnd w:id="14"/>
      <w:r w:rsidRPr="00C15525">
        <w:rPr>
          <w:rFonts w:ascii="Verdana" w:hAnsi="Verdana" w:cs="Arial"/>
          <w:lang w:val="es-MX"/>
        </w:rPr>
        <w:t>Por lo tanto, la restricción prevista en la Ley 996 de 200</w:t>
      </w:r>
      <w:bookmarkStart w:id="21" w:name="_Hlk75741539"/>
      <w:r w:rsidRPr="00C15525">
        <w:rPr>
          <w:rFonts w:ascii="Verdana" w:hAnsi="Verdana" w:cs="Arial"/>
          <w:lang w:val="es-MX"/>
        </w:rPr>
        <w:t xml:space="preserve">5, </w:t>
      </w:r>
      <w:r w:rsidRPr="00C15525">
        <w:rPr>
          <w:rFonts w:ascii="Verdana" w:hAnsi="Verdana" w:cs="Arial"/>
          <w:bCs/>
          <w:lang w:val="es-MX" w:eastAsia="x-none"/>
        </w:rPr>
        <w:t>teniendo en cuenta la finalidad de la ley de garantías electorales, cobija a cualquier ente público que pueda a través de la contratación directa romper el equilibrio entre los candidatos en desarrollo de las elecciones presidenciales. Tampoco existe un supuesto de exoneración a la prohibición por tener un régimen especial de los actos o contratos, pues, la posibilidad de que los entes del Estado utilicen la contratación con fines políticos, esto es, con la intención de influir a los electores y alterar la voluntad popular en las contiendas electorales, se puede presentar tanto en la contratación regulada por la Ley 80 de 1993 como en la regida por el Derecho Privado.</w:t>
      </w:r>
    </w:p>
    <w:p w14:paraId="7F43F740" w14:textId="77777777" w:rsidR="00794876" w:rsidRPr="00C15525" w:rsidRDefault="00794876" w:rsidP="00794876">
      <w:pPr>
        <w:spacing w:after="0" w:line="276" w:lineRule="auto"/>
        <w:ind w:firstLine="709"/>
        <w:jc w:val="both"/>
        <w:rPr>
          <w:rFonts w:ascii="Verdana" w:hAnsi="Verdana" w:cs="Arial"/>
          <w:bCs/>
          <w:lang w:val="es-MX" w:eastAsia="x-none"/>
        </w:rPr>
      </w:pPr>
    </w:p>
    <w:p w14:paraId="6D713C6C" w14:textId="77777777" w:rsidR="00794876" w:rsidRPr="00C15525" w:rsidRDefault="00794876" w:rsidP="00794876">
      <w:pPr>
        <w:spacing w:after="120" w:line="276" w:lineRule="auto"/>
        <w:jc w:val="both"/>
        <w:rPr>
          <w:rFonts w:ascii="Verdana" w:hAnsi="Verdana" w:cs="Arial"/>
          <w:lang w:val="es-ES"/>
        </w:rPr>
      </w:pPr>
      <w:r w:rsidRPr="00C15525">
        <w:rPr>
          <w:rFonts w:ascii="Verdana" w:eastAsia="Calibri" w:hAnsi="Verdana" w:cs="Arial"/>
        </w:rPr>
        <w:t xml:space="preserve">v. </w:t>
      </w:r>
      <w:bookmarkEnd w:id="20"/>
      <w:bookmarkEnd w:id="21"/>
      <w:r w:rsidRPr="00C15525">
        <w:rPr>
          <w:rFonts w:ascii="Verdana" w:hAnsi="Verdana" w:cs="Arial"/>
          <w:lang w:val="es-ES"/>
        </w:rPr>
        <w:t xml:space="preserve">Ahora bien, respecto del alcance del parágrafo </w:t>
      </w:r>
      <w:r w:rsidRPr="00C15525">
        <w:rPr>
          <w:rFonts w:ascii="Verdana" w:hAnsi="Verdana" w:cs="Arial"/>
        </w:rPr>
        <w:t xml:space="preserve">del artículo 38 de la Ley 996 de 2005, esta prohibición dispone que “Los Gobernadores, </w:t>
      </w:r>
      <w:proofErr w:type="gramStart"/>
      <w:r w:rsidRPr="00C15525">
        <w:rPr>
          <w:rFonts w:ascii="Verdana" w:hAnsi="Verdana" w:cs="Arial"/>
        </w:rPr>
        <w:t>Alcaldes</w:t>
      </w:r>
      <w:proofErr w:type="gramEnd"/>
      <w:r w:rsidRPr="00C15525">
        <w:rPr>
          <w:rFonts w:ascii="Verdana" w:hAnsi="Verdana" w:cs="Arial"/>
        </w:rPr>
        <w:t xml:space="preserve"> Municipales y/o Distritales, </w:t>
      </w:r>
      <w:proofErr w:type="gramStart"/>
      <w:r w:rsidRPr="00C15525">
        <w:rPr>
          <w:rFonts w:ascii="Verdana" w:hAnsi="Verdana" w:cs="Arial"/>
        </w:rPr>
        <w:t>Secretarios</w:t>
      </w:r>
      <w:proofErr w:type="gramEnd"/>
      <w:r w:rsidRPr="00C15525">
        <w:rPr>
          <w:rFonts w:ascii="Verdana" w:hAnsi="Verdana" w:cs="Arial"/>
        </w:rPr>
        <w:t>, Gerentes y directores de Entidades Descentralizadas del orden Municipal, Departamental o Distrital, dentro de los cuatro (4) meses anteriores a las elecciones, no podrán celebrar convenios interadministrativos para la ejecución de recursos públicos”.</w:t>
      </w:r>
      <w:r w:rsidRPr="00C15525">
        <w:rPr>
          <w:rFonts w:ascii="Verdana" w:eastAsia="Times New Roman" w:hAnsi="Verdana" w:cs="Arial"/>
          <w:lang w:val="es-MX" w:eastAsia="x-none"/>
        </w:rPr>
        <w:t xml:space="preserve"> </w:t>
      </w:r>
    </w:p>
    <w:p w14:paraId="2C27E3E9" w14:textId="77777777" w:rsidR="00794876" w:rsidRPr="00C15525" w:rsidRDefault="00794876" w:rsidP="00794876">
      <w:pPr>
        <w:spacing w:after="120" w:line="276" w:lineRule="auto"/>
        <w:ind w:firstLine="709"/>
        <w:jc w:val="both"/>
        <w:rPr>
          <w:rFonts w:ascii="Verdana" w:hAnsi="Verdana" w:cs="Arial"/>
          <w:lang w:eastAsia="es-ES"/>
        </w:rPr>
      </w:pPr>
      <w:r w:rsidRPr="00C15525">
        <w:rPr>
          <w:rFonts w:ascii="Verdana" w:eastAsia="Times New Roman" w:hAnsi="Verdana" w:cs="Arial"/>
          <w:lang w:val="es-ES" w:eastAsia="es-ES"/>
        </w:rPr>
        <w:t xml:space="preserve">Para tales efectos, debe precisarse que </w:t>
      </w:r>
      <w:r w:rsidRPr="00C15525">
        <w:rPr>
          <w:rFonts w:ascii="Verdana" w:eastAsia="Times New Roman" w:hAnsi="Verdana" w:cs="Arial"/>
          <w:color w:val="000000" w:themeColor="text1"/>
          <w:lang w:val="es-ES" w:eastAsia="es-CO"/>
        </w:rPr>
        <w:t xml:space="preserve">los contratos o convenios interadministrativos están determinados por un criterio orgánico, pues es necesario que los extremos de la relación contractual sean entidades públicas, </w:t>
      </w:r>
      <w:r w:rsidRPr="00C15525">
        <w:rPr>
          <w:rFonts w:ascii="Verdana" w:hAnsi="Verdana" w:cs="Arial"/>
          <w:lang w:eastAsia="es-ES"/>
        </w:rPr>
        <w:t>independientemente de las normas que regulan la relación contractual. En este sentido, los convenios interadministrativos solo pueden ser celebrados entre entidades públicas, pues a éstas corresponde la realización de los fines y tareas que el legislador les ha asignado</w:t>
      </w:r>
      <w:r w:rsidRPr="00C15525">
        <w:rPr>
          <w:rFonts w:ascii="Verdana" w:hAnsi="Verdana" w:cs="Arial"/>
          <w:vertAlign w:val="superscript"/>
          <w:lang w:eastAsia="es-ES"/>
        </w:rPr>
        <w:footnoteReference w:id="26"/>
      </w:r>
      <w:r w:rsidRPr="00C15525">
        <w:rPr>
          <w:rFonts w:ascii="Verdana" w:hAnsi="Verdana" w:cs="Arial"/>
          <w:lang w:eastAsia="es-ES"/>
        </w:rPr>
        <w:t>.</w:t>
      </w:r>
    </w:p>
    <w:p w14:paraId="115F320C" w14:textId="77777777" w:rsidR="00794876" w:rsidRPr="00C15525" w:rsidRDefault="00794876" w:rsidP="00794876">
      <w:pPr>
        <w:spacing w:after="120" w:line="276" w:lineRule="auto"/>
        <w:ind w:firstLine="709"/>
        <w:jc w:val="both"/>
        <w:rPr>
          <w:rFonts w:ascii="Verdana" w:hAnsi="Verdana" w:cs="Arial"/>
          <w:color w:val="000000" w:themeColor="text1"/>
          <w:lang w:val="es-ES_tradnl"/>
        </w:rPr>
      </w:pPr>
      <w:r w:rsidRPr="00C15525">
        <w:rPr>
          <w:rFonts w:ascii="Verdana" w:hAnsi="Verdana" w:cs="Arial"/>
          <w:color w:val="000000" w:themeColor="text1"/>
          <w:lang w:val="es-ES_tradnl"/>
        </w:rPr>
        <w:t xml:space="preserve">Si bien los contratos o convenios interadministrativos están previstos en la Ley 80 de 1993, en la Ley 1150 de 2007 y en el Decreto 1082 de 2015, no quiere decir que solo puedan celebrarse entre Entidades Estatales que apliquen el régimen de contratación allí previsto. En efecto, una Entidad Estatal de la Ley 80 de 1993 – como es el caso de un municipio – bien puede celebrar esta clase </w:t>
      </w:r>
      <w:r w:rsidRPr="00C15525">
        <w:rPr>
          <w:rFonts w:ascii="Verdana" w:hAnsi="Verdana" w:cs="Arial"/>
          <w:color w:val="000000" w:themeColor="text1"/>
          <w:lang w:val="es-ES_tradnl"/>
        </w:rPr>
        <w:lastRenderedPageBreak/>
        <w:t>de convenios con una Entidad Estatal de régimen especial y no por ello dejará de ser un contrato o convenio interadministrativo.</w:t>
      </w:r>
    </w:p>
    <w:p w14:paraId="0C0FA604" w14:textId="77777777" w:rsidR="00794876" w:rsidRPr="00C15525" w:rsidRDefault="00794876" w:rsidP="00794876">
      <w:pPr>
        <w:spacing w:before="120" w:after="0" w:line="276" w:lineRule="auto"/>
        <w:ind w:firstLine="708"/>
        <w:jc w:val="both"/>
        <w:rPr>
          <w:rFonts w:ascii="Verdana" w:hAnsi="Verdana" w:cs="Arial"/>
          <w:lang w:val="es-ES_tradnl"/>
        </w:rPr>
      </w:pPr>
      <w:r w:rsidRPr="00C15525">
        <w:rPr>
          <w:rFonts w:ascii="Verdana" w:hAnsi="Verdana" w:cs="Arial"/>
          <w:lang w:val="es-ES"/>
        </w:rPr>
        <w:t>Un contrato o convenio interadministrativo no está determinado por la modalidad de selección utilizada para celebrarlo. La Ley 1150 de 2007 establece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susceptible de pluralidad de oferentes</w:t>
      </w:r>
      <w:r w:rsidRPr="00C15525">
        <w:rPr>
          <w:rFonts w:ascii="Verdana" w:hAnsi="Verdana" w:cs="Arial"/>
          <w:vertAlign w:val="superscript"/>
          <w:lang w:val="es-ES"/>
        </w:rPr>
        <w:footnoteReference w:id="27"/>
      </w:r>
      <w:r w:rsidRPr="00C15525">
        <w:rPr>
          <w:rFonts w:ascii="Verdana" w:hAnsi="Verdana" w:cs="Arial"/>
          <w:lang w:val="es-ES"/>
        </w:rPr>
        <w:t>. Nótese que, en este caso, lo que cambia es la modalidad de selección y no la naturaleza de contrato interadministrativo.</w:t>
      </w:r>
    </w:p>
    <w:p w14:paraId="4F60AF02" w14:textId="77777777" w:rsidR="00794876" w:rsidRPr="00C15525" w:rsidRDefault="00794876" w:rsidP="00794876">
      <w:pPr>
        <w:spacing w:before="120" w:after="0" w:line="276" w:lineRule="auto"/>
        <w:ind w:firstLine="708"/>
        <w:jc w:val="both"/>
        <w:rPr>
          <w:rFonts w:ascii="Verdana" w:hAnsi="Verdana" w:cs="Arial"/>
          <w:lang w:val="es-ES_tradnl"/>
        </w:rPr>
      </w:pPr>
      <w:r w:rsidRPr="00C15525">
        <w:rPr>
          <w:rFonts w:ascii="Verdana" w:hAnsi="Verdana" w:cs="Arial"/>
          <w:lang w:val="es-ES"/>
        </w:rPr>
        <w:t>Además, es necesario tener en cuenta que para que un contrato o convenio interadministrativo exista debe cumplir con los siguientes elementos: acuerdo sobre el objeto y la contraprestación y que conste por escrito</w:t>
      </w:r>
      <w:r w:rsidRPr="00C15525">
        <w:rPr>
          <w:rFonts w:ascii="Verdana" w:hAnsi="Verdana" w:cs="Arial"/>
          <w:vertAlign w:val="superscript"/>
          <w:lang w:val="es-ES"/>
        </w:rPr>
        <w:footnoteReference w:id="28"/>
      </w:r>
      <w:r w:rsidRPr="00C15525">
        <w:rPr>
          <w:rFonts w:ascii="Verdana" w:hAnsi="Verdana" w:cs="Arial"/>
          <w:lang w:val="es-ES"/>
        </w:rPr>
        <w:t>. Entonces, si ambas partes son entidades estatales, pueden celebrar convenios interadministrativos, porque las disposiciones que regulan esta tipología hacen referencia a la calidad de los sujetos que intervienen en la contratación, que deben ser entidades estatales o de derecho público.</w:t>
      </w:r>
    </w:p>
    <w:p w14:paraId="4B26CB79" w14:textId="77777777" w:rsidR="00794876" w:rsidRPr="00C15525" w:rsidRDefault="00794876" w:rsidP="00794876">
      <w:pPr>
        <w:spacing w:before="120" w:after="0" w:line="276" w:lineRule="auto"/>
        <w:ind w:firstLine="708"/>
        <w:jc w:val="both"/>
        <w:rPr>
          <w:rFonts w:ascii="Verdana" w:hAnsi="Verdana"/>
          <w:sz w:val="24"/>
          <w:szCs w:val="24"/>
          <w:lang w:eastAsia="es-CO"/>
        </w:rPr>
      </w:pPr>
      <w:r w:rsidRPr="00C15525">
        <w:rPr>
          <w:rFonts w:ascii="Verdana" w:hAnsi="Verdana" w:cs="Arial"/>
          <w:lang w:val="es-ES"/>
        </w:rPr>
        <w:t>Sobre este aspecto, se resalta que la Corte Constitucional señaló en la Sentencia C–671 de 2015 que “Lo que hace interadministrativo a un contrato o convenio no es el procedimiento de selección aplicable, sino la calidad de los sujetos contratantes, esto es que las dos partes de la relación jurídica contractual formen parte de la administración pública”. Así las cosas, atendiendo a la literalidad de las normas enunciadas, no cabe una interpretación diferente</w:t>
      </w:r>
      <w:r w:rsidRPr="00C15525">
        <w:rPr>
          <w:rFonts w:ascii="Verdana" w:hAnsi="Verdana" w:cs="Arial"/>
          <w:vertAlign w:val="superscript"/>
          <w:lang w:val="es-ES"/>
        </w:rPr>
        <w:footnoteReference w:id="29"/>
      </w:r>
      <w:r w:rsidRPr="00C15525">
        <w:rPr>
          <w:rFonts w:ascii="Verdana" w:hAnsi="Verdana" w:cs="Arial"/>
          <w:lang w:val="es-ES"/>
        </w:rPr>
        <w:t xml:space="preserve">, pues, de acuerdo con lo anotado, esta clase de acuerdos de voluntades se definen por un criterio orgánico, por lo que uno de sus elementos esenciales es </w:t>
      </w:r>
      <w:r w:rsidRPr="00C15525">
        <w:rPr>
          <w:rFonts w:ascii="Verdana" w:hAnsi="Verdana" w:cs="Arial"/>
          <w:lang w:val="es-ES"/>
        </w:rPr>
        <w:lastRenderedPageBreak/>
        <w:t>que en los extremos de la relación jurídico negocial concurran personas de derecho público</w:t>
      </w:r>
      <w:r w:rsidRPr="00C15525">
        <w:rPr>
          <w:rFonts w:ascii="Verdana" w:hAnsi="Verdana"/>
          <w:sz w:val="24"/>
          <w:szCs w:val="24"/>
          <w:lang w:eastAsia="es-CO"/>
        </w:rPr>
        <w:t>.</w:t>
      </w:r>
    </w:p>
    <w:p w14:paraId="2A58C271" w14:textId="77777777" w:rsidR="00794876" w:rsidRPr="00C15525" w:rsidRDefault="00794876" w:rsidP="00794876">
      <w:pPr>
        <w:spacing w:before="120" w:after="0" w:line="276" w:lineRule="auto"/>
        <w:ind w:firstLine="708"/>
        <w:jc w:val="both"/>
        <w:rPr>
          <w:rFonts w:ascii="Verdana" w:eastAsia="Times New Roman" w:hAnsi="Verdana" w:cs="Arial"/>
          <w:lang w:val="es-MX" w:eastAsia="es-CO"/>
        </w:rPr>
      </w:pPr>
      <w:r w:rsidRPr="00C15525">
        <w:rPr>
          <w:rFonts w:ascii="Verdana" w:eastAsia="Arial" w:hAnsi="Verdana" w:cs="Arial"/>
          <w:lang w:val="es-MX" w:eastAsia="es-ES" w:bidi="es-ES"/>
        </w:rPr>
        <w:t>De esta manera, se</w:t>
      </w:r>
      <w:r w:rsidRPr="00C15525">
        <w:rPr>
          <w:rFonts w:ascii="Verdana" w:eastAsia="Times New Roman" w:hAnsi="Verdana" w:cs="Arial"/>
          <w:lang w:eastAsia="es-CO"/>
        </w:rPr>
        <w:t xml:space="preserve"> observa entonces que </w:t>
      </w:r>
      <w:r w:rsidRPr="00C15525">
        <w:rPr>
          <w:rFonts w:ascii="Verdana" w:eastAsia="Times New Roman" w:hAnsi="Verdana" w:cs="Arial"/>
          <w:lang w:val="es-MX" w:eastAsia="es-CO"/>
        </w:rPr>
        <w:t xml:space="preserve">el parágrafo del artículo 38 de la Ley 996 de 2005 prohíbe a los </w:t>
      </w:r>
      <w:proofErr w:type="gramStart"/>
      <w:r w:rsidRPr="00C15525">
        <w:rPr>
          <w:rFonts w:ascii="Verdana" w:eastAsia="Times New Roman" w:hAnsi="Verdana" w:cs="Arial"/>
          <w:lang w:val="es-MX" w:eastAsia="es-CO"/>
        </w:rPr>
        <w:t>Alcaldes</w:t>
      </w:r>
      <w:proofErr w:type="gramEnd"/>
      <w:r w:rsidRPr="00C15525">
        <w:rPr>
          <w:rFonts w:ascii="Verdana" w:eastAsia="Times New Roman" w:hAnsi="Verdana" w:cs="Arial"/>
          <w:lang w:val="es-MX" w:eastAsia="es-CO"/>
        </w:rPr>
        <w:t xml:space="preserve">, Gobernadores, </w:t>
      </w:r>
      <w:proofErr w:type="gramStart"/>
      <w:r w:rsidRPr="00C15525">
        <w:rPr>
          <w:rFonts w:ascii="Verdana" w:eastAsia="Times New Roman" w:hAnsi="Verdana" w:cs="Arial"/>
          <w:lang w:val="es-MX" w:eastAsia="es-CO"/>
        </w:rPr>
        <w:t>Secretarios</w:t>
      </w:r>
      <w:proofErr w:type="gramEnd"/>
      <w:r w:rsidRPr="00C15525">
        <w:rPr>
          <w:rFonts w:ascii="Verdana" w:eastAsia="Times New Roman" w:hAnsi="Verdana" w:cs="Arial"/>
          <w:lang w:val="es-MX" w:eastAsia="es-CO"/>
        </w:rPr>
        <w:t xml:space="preserve">, Gerentes y </w:t>
      </w:r>
      <w:proofErr w:type="gramStart"/>
      <w:r w:rsidRPr="00C15525">
        <w:rPr>
          <w:rFonts w:ascii="Verdana" w:eastAsia="Times New Roman" w:hAnsi="Verdana" w:cs="Arial"/>
          <w:lang w:val="es-MX" w:eastAsia="es-CO"/>
        </w:rPr>
        <w:t>Directores</w:t>
      </w:r>
      <w:proofErr w:type="gramEnd"/>
      <w:r w:rsidRPr="00C15525">
        <w:rPr>
          <w:rFonts w:ascii="Verdana" w:eastAsia="Times New Roman" w:hAnsi="Verdana" w:cs="Arial"/>
          <w:lang w:val="es-MX" w:eastAsia="es-CO"/>
        </w:rPr>
        <w:t xml:space="preserve"> de las entidades del orden municipal, departamental o distrital celebrar </w:t>
      </w:r>
      <w:r w:rsidRPr="00C15525">
        <w:rPr>
          <w:rFonts w:ascii="Verdana" w:eastAsia="Times New Roman" w:hAnsi="Verdana" w:cs="Arial"/>
          <w:i/>
          <w:iCs/>
          <w:lang w:val="es-MX" w:eastAsia="es-CO"/>
        </w:rPr>
        <w:t>convenios interadministrativos</w:t>
      </w:r>
      <w:r w:rsidRPr="00C15525">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sidRPr="00C15525">
        <w:rPr>
          <w:rFonts w:ascii="Verdana" w:eastAsia="Times New Roman" w:hAnsi="Verdana" w:cs="Arial"/>
          <w:i/>
          <w:lang w:val="es-MX" w:eastAsia="es-CO"/>
        </w:rPr>
        <w:t>ibidem</w:t>
      </w:r>
      <w:r w:rsidRPr="00C15525">
        <w:rPr>
          <w:rFonts w:ascii="Verdana" w:eastAsia="Times New Roman" w:hAnsi="Verdana" w:cs="Arial"/>
          <w:lang w:val="es-MX" w:eastAsia="es-CO"/>
        </w:rPr>
        <w:t xml:space="preserve">, no podrá celebrar tales </w:t>
      </w:r>
      <w:r w:rsidRPr="00C15525">
        <w:rPr>
          <w:rFonts w:ascii="Verdana" w:eastAsia="Times New Roman" w:hAnsi="Verdana" w:cs="Arial"/>
          <w:i/>
          <w:iCs/>
          <w:lang w:val="es-MX" w:eastAsia="es-CO"/>
        </w:rPr>
        <w:t>convenios</w:t>
      </w:r>
      <w:r w:rsidRPr="00C15525">
        <w:rPr>
          <w:rFonts w:ascii="Verdana" w:eastAsia="Times New Roman" w:hAnsi="Verdana" w:cs="Arial"/>
          <w:lang w:val="es-MX" w:eastAsia="es-CO"/>
        </w:rPr>
        <w:t xml:space="preserve"> durante la aplicación de la Ley de Garantías Electorales, toda vez que la citada disposición hace referencia a dicha tipología contractual sin que el legislador hubiere contemplado un efecto extensivo a otra tipología. </w:t>
      </w:r>
    </w:p>
    <w:p w14:paraId="2A282897" w14:textId="77777777" w:rsidR="00794876" w:rsidRPr="00C15525" w:rsidRDefault="00794876" w:rsidP="00794876">
      <w:pPr>
        <w:spacing w:before="120" w:after="0" w:line="276" w:lineRule="auto"/>
        <w:ind w:firstLine="708"/>
        <w:jc w:val="both"/>
        <w:rPr>
          <w:rFonts w:ascii="Verdana" w:eastAsia="Times New Roman" w:hAnsi="Verdana" w:cs="Arial"/>
          <w:lang w:eastAsia="es-CO"/>
        </w:rPr>
      </w:pPr>
      <w:r w:rsidRPr="00C15525">
        <w:rPr>
          <w:rFonts w:ascii="Verdana" w:eastAsia="Times New Roman" w:hAnsi="Verdana" w:cs="Arial"/>
          <w:lang w:val="es-MX" w:eastAsia="es-CO"/>
        </w:rPr>
        <w:t xml:space="preserve">Respecto del alcance de esta prohibición la Circular Externa No. 006 de 2025 expedida por la ANCP-CCE, en los literales </w:t>
      </w:r>
      <w:proofErr w:type="spellStart"/>
      <w:r w:rsidRPr="00C15525">
        <w:rPr>
          <w:rFonts w:ascii="Verdana" w:eastAsia="Times New Roman" w:hAnsi="Verdana" w:cs="Arial"/>
          <w:lang w:val="es-MX" w:eastAsia="es-CO"/>
        </w:rPr>
        <w:t>ii</w:t>
      </w:r>
      <w:proofErr w:type="spellEnd"/>
      <w:r w:rsidRPr="00C15525">
        <w:rPr>
          <w:rFonts w:ascii="Verdana" w:eastAsia="Times New Roman" w:hAnsi="Verdana" w:cs="Arial"/>
          <w:lang w:val="es-MX" w:eastAsia="es-CO"/>
        </w:rPr>
        <w:t xml:space="preserve">) y </w:t>
      </w:r>
      <w:proofErr w:type="spellStart"/>
      <w:r w:rsidRPr="00C15525">
        <w:rPr>
          <w:rFonts w:ascii="Verdana" w:eastAsia="Times New Roman" w:hAnsi="Verdana" w:cs="Arial"/>
          <w:lang w:val="es-MX" w:eastAsia="es-CO"/>
        </w:rPr>
        <w:t>iv</w:t>
      </w:r>
      <w:proofErr w:type="spellEnd"/>
      <w:r w:rsidRPr="00C15525">
        <w:rPr>
          <w:rFonts w:ascii="Verdana" w:eastAsia="Times New Roman" w:hAnsi="Verdana" w:cs="Arial"/>
          <w:lang w:val="es-MX" w:eastAsia="es-CO"/>
        </w:rPr>
        <w:t>) del numeral 2</w:t>
      </w:r>
      <w:r w:rsidRPr="00C15525">
        <w:rPr>
          <w:rFonts w:ascii="Verdana" w:eastAsia="Times New Roman" w:hAnsi="Verdana" w:cs="Arial"/>
          <w:lang w:eastAsia="es-CO"/>
        </w:rPr>
        <w:t>,</w:t>
      </w:r>
      <w:r w:rsidRPr="00C15525">
        <w:rPr>
          <w:rFonts w:ascii="Verdana" w:eastAsia="Times New Roman" w:hAnsi="Verdana" w:cs="Arial"/>
          <w:lang w:val="es-MX" w:eastAsia="es-CO"/>
        </w:rPr>
        <w:t xml:space="preserve"> indica que el </w:t>
      </w:r>
      <w:r w:rsidRPr="00C15525">
        <w:rPr>
          <w:rFonts w:ascii="Verdana" w:eastAsia="Times New Roman" w:hAnsi="Verdana" w:cs="Arial"/>
          <w:lang w:eastAsia="es-CO"/>
        </w:rPr>
        <w:t xml:space="preserve">parágrafo del artículo 38 de la Ley 996 de 2005 cobija expresamente a los </w:t>
      </w:r>
      <w:r w:rsidRPr="00C15525">
        <w:rPr>
          <w:rFonts w:ascii="Verdana" w:eastAsia="Times New Roman" w:hAnsi="Verdana" w:cs="Arial"/>
          <w:i/>
          <w:iCs/>
          <w:lang w:eastAsia="es-CO"/>
        </w:rPr>
        <w:t>convenios interadministrativos</w:t>
      </w:r>
      <w:r w:rsidRPr="00C15525">
        <w:rPr>
          <w:rFonts w:ascii="Verdana" w:eastAsia="Times New Roman" w:hAnsi="Verdana" w:cs="Arial"/>
          <w:lang w:eastAsia="es-CO"/>
        </w:rPr>
        <w:t xml:space="preserve"> en los que se contemple la ejecución de recursos públicos. Además, precisa que el parágrafo referido no estableció ningún supuesto que exceptúe la aplicación de esta prohibición, por lo que la restricción referida a la celebración de convenios interadministrativos aplicará a los sujetos allí señalados, </w:t>
      </w:r>
      <w:r w:rsidRPr="00C15525">
        <w:rPr>
          <w:rFonts w:ascii="Verdana" w:eastAsia="Times New Roman" w:hAnsi="Verdana" w:cs="Arial"/>
          <w:i/>
          <w:iCs/>
          <w:lang w:eastAsia="es-CO"/>
        </w:rPr>
        <w:t>“aunque se configure alguno de los supuestos de excepción que señaló el inciso final del artículo 33</w:t>
      </w:r>
      <w:r w:rsidRPr="00C15525">
        <w:rPr>
          <w:rFonts w:ascii="Verdana" w:eastAsia="Times New Roman" w:hAnsi="Verdana" w:cs="Arial"/>
          <w:lang w:eastAsia="es-CO"/>
        </w:rPr>
        <w:t xml:space="preserve">”. </w:t>
      </w:r>
    </w:p>
    <w:p w14:paraId="61AA03E4" w14:textId="77777777" w:rsidR="00794876" w:rsidRPr="00C15525" w:rsidRDefault="00794876" w:rsidP="00794876">
      <w:pPr>
        <w:spacing w:before="120" w:after="0" w:line="276" w:lineRule="auto"/>
        <w:ind w:firstLine="708"/>
        <w:jc w:val="both"/>
        <w:rPr>
          <w:rFonts w:ascii="Verdana" w:eastAsia="Times New Roman" w:hAnsi="Verdana" w:cs="Arial"/>
          <w:lang w:eastAsia="es-CO"/>
        </w:rPr>
      </w:pPr>
      <w:r w:rsidRPr="00C15525">
        <w:rPr>
          <w:rFonts w:ascii="Verdana" w:eastAsia="Times New Roman" w:hAnsi="Verdana" w:cs="Arial"/>
          <w:lang w:eastAsia="es-CO"/>
        </w:rPr>
        <w:t xml:space="preserve">De esta manera, conforme a lo dispuesto en la Circular referida, si se suscriben </w:t>
      </w:r>
      <w:r w:rsidRPr="00C15525">
        <w:rPr>
          <w:rFonts w:ascii="Verdana" w:eastAsia="Times New Roman" w:hAnsi="Verdana" w:cs="Arial"/>
          <w:i/>
          <w:iCs/>
          <w:lang w:eastAsia="es-CO"/>
        </w:rPr>
        <w:t>convenios interadministrativos para la ejecución de recursos públicos</w:t>
      </w:r>
      <w:r w:rsidRPr="00C15525">
        <w:rPr>
          <w:rFonts w:ascii="Verdana" w:eastAsia="Times New Roman" w:hAnsi="Verdana" w:cs="Arial"/>
          <w:lang w:eastAsia="es-CO"/>
        </w:rPr>
        <w:t xml:space="preserve"> por los alcaldes, gobernadores, secretarios, gerentes y directores de las entidades del orden municipal, departamental o distrital, aplicará la prohibición del parágrafo del artículo 38 </w:t>
      </w:r>
      <w:r w:rsidRPr="00C15525">
        <w:rPr>
          <w:rFonts w:ascii="Verdana" w:eastAsia="Times New Roman" w:hAnsi="Verdana" w:cs="Arial"/>
          <w:i/>
          <w:iCs/>
          <w:lang w:eastAsia="es-CO"/>
        </w:rPr>
        <w:t>ibidem</w:t>
      </w:r>
      <w:r w:rsidRPr="00C15525">
        <w:rPr>
          <w:rFonts w:ascii="Verdana" w:eastAsia="Times New Roman" w:hAnsi="Verdana" w:cs="Arial"/>
          <w:lang w:eastAsia="es-CO"/>
        </w:rPr>
        <w:t>, independientemente de que se configure alguno de los supuestos de excepción que señaló el inciso final del artículo 33, es decir, que se trate de:</w:t>
      </w:r>
      <w:r w:rsidRPr="00C15525">
        <w:rPr>
          <w:rFonts w:ascii="Verdana" w:hAnsi="Verdana" w:cs="Arial"/>
          <w:bCs/>
          <w:lang w:val="es-MX" w:eastAsia="x-none"/>
        </w:rPr>
        <w:t xml:space="preserve"> i) la defensa y seguridad del Estado; </w:t>
      </w:r>
      <w:proofErr w:type="spellStart"/>
      <w:r w:rsidRPr="00C15525">
        <w:rPr>
          <w:rFonts w:ascii="Verdana" w:hAnsi="Verdana" w:cs="Arial"/>
          <w:bCs/>
          <w:lang w:val="es-MX" w:eastAsia="x-none"/>
        </w:rPr>
        <w:t>ii</w:t>
      </w:r>
      <w:proofErr w:type="spellEnd"/>
      <w:r w:rsidRPr="00C15525">
        <w:rPr>
          <w:rFonts w:ascii="Verdana" w:hAnsi="Verdana" w:cs="Arial"/>
          <w:bCs/>
          <w:lang w:val="es-MX" w:eastAsia="x-none"/>
        </w:rPr>
        <w:t xml:space="preserve">) los contratos de crédito público; </w:t>
      </w:r>
      <w:proofErr w:type="spellStart"/>
      <w:r w:rsidRPr="00C15525">
        <w:rPr>
          <w:rFonts w:ascii="Verdana" w:hAnsi="Verdana" w:cs="Arial"/>
          <w:bCs/>
          <w:lang w:val="es-MX" w:eastAsia="x-none"/>
        </w:rPr>
        <w:t>iii</w:t>
      </w:r>
      <w:proofErr w:type="spellEnd"/>
      <w:r w:rsidRPr="00C15525">
        <w:rPr>
          <w:rFonts w:ascii="Verdana" w:hAnsi="Verdana" w:cs="Arial"/>
          <w:bCs/>
          <w:lang w:val="es-MX" w:eastAsia="x-none"/>
        </w:rPr>
        <w:t xml:space="preserve">) los requeridos para cubrir las emergencias educativas, sanitarias y desastres; </w:t>
      </w:r>
      <w:proofErr w:type="spellStart"/>
      <w:r w:rsidRPr="00C15525">
        <w:rPr>
          <w:rFonts w:ascii="Verdana" w:hAnsi="Verdana" w:cs="Arial"/>
          <w:bCs/>
          <w:lang w:val="es-MX" w:eastAsia="x-none"/>
        </w:rPr>
        <w:t>iv</w:t>
      </w:r>
      <w:proofErr w:type="spellEnd"/>
      <w:r w:rsidRPr="00C15525">
        <w:rPr>
          <w:rFonts w:ascii="Verdana" w:hAnsi="Verdana" w:cs="Arial"/>
          <w:bCs/>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C15525">
        <w:rPr>
          <w:rFonts w:ascii="Verdana" w:hAnsi="Verdana" w:cs="Arial"/>
          <w:bCs/>
          <w:lang w:val="es-MX" w:eastAsia="es-CO"/>
        </w:rPr>
        <w:t xml:space="preserve"> </w:t>
      </w:r>
      <w:r w:rsidRPr="00C15525">
        <w:rPr>
          <w:rFonts w:ascii="Verdana" w:eastAsia="Times New Roman" w:hAnsi="Verdana" w:cs="Arial"/>
          <w:lang w:eastAsia="es-CO"/>
        </w:rPr>
        <w:t xml:space="preserve">  </w:t>
      </w:r>
    </w:p>
    <w:p w14:paraId="52643644" w14:textId="77777777" w:rsidR="00794876" w:rsidRPr="00C15525" w:rsidRDefault="00794876" w:rsidP="00794876">
      <w:pPr>
        <w:spacing w:before="120" w:after="0" w:line="276" w:lineRule="auto"/>
        <w:ind w:firstLine="708"/>
        <w:jc w:val="both"/>
        <w:rPr>
          <w:rFonts w:ascii="Verdana" w:eastAsia="Times New Roman" w:hAnsi="Verdana" w:cs="Arial"/>
          <w:lang w:eastAsia="es-CO"/>
        </w:rPr>
      </w:pPr>
      <w:r w:rsidRPr="00C15525">
        <w:rPr>
          <w:rFonts w:ascii="Verdana" w:eastAsia="Times New Roman" w:hAnsi="Verdana" w:cs="Arial"/>
          <w:lang w:eastAsia="es-CO"/>
        </w:rPr>
        <w:t xml:space="preserve">En este punto, teniendo en cuenta lo señalado en el contenido de su petición, vale la pena destacar </w:t>
      </w:r>
      <w:proofErr w:type="gramStart"/>
      <w:r w:rsidRPr="00C15525">
        <w:rPr>
          <w:rFonts w:ascii="Verdana" w:eastAsia="Times New Roman" w:hAnsi="Verdana" w:cs="Arial"/>
          <w:lang w:eastAsia="es-CO"/>
        </w:rPr>
        <w:t>que</w:t>
      </w:r>
      <w:proofErr w:type="gramEnd"/>
      <w:r w:rsidRPr="00C15525">
        <w:rPr>
          <w:rFonts w:ascii="Verdana" w:eastAsia="Times New Roman" w:hAnsi="Verdana" w:cs="Arial"/>
          <w:lang w:eastAsia="es-CO"/>
        </w:rPr>
        <w:t xml:space="preserve"> </w:t>
      </w:r>
      <w:r w:rsidRPr="00C15525">
        <w:rPr>
          <w:rFonts w:ascii="Verdana" w:eastAsia="Arial" w:hAnsi="Verdana" w:cs="Arial"/>
          <w:lang w:val="es-MX" w:eastAsia="es-ES" w:bidi="es-ES"/>
        </w:rPr>
        <w:t xml:space="preserve">mediante auto de 4 de octubre del 2024, el </w:t>
      </w:r>
      <w:r w:rsidRPr="00C15525">
        <w:rPr>
          <w:rFonts w:ascii="Verdana" w:eastAsia="Arial" w:hAnsi="Verdana" w:cs="Arial"/>
          <w:lang w:val="es-MX" w:eastAsia="es-ES" w:bidi="es-ES"/>
        </w:rPr>
        <w:lastRenderedPageBreak/>
        <w:t xml:space="preserve">Consejo de Estado, Subsección C de la Sección Tercera, decretó medida de suspensión provisional parcial del </w:t>
      </w:r>
      <w:r w:rsidRPr="00C15525">
        <w:rPr>
          <w:rFonts w:ascii="Verdana" w:hAnsi="Verdana" w:cs="Arial"/>
        </w:rPr>
        <w:t>numeral 16.2 de la Circular Externa Única de 2022 expedida por la Agencia Nacional de Contratación Pública – Colombia Compra Eficiente, concretamente, respecto de los siguientes apartes normativos</w:t>
      </w:r>
      <w:r w:rsidRPr="00C15525">
        <w:rPr>
          <w:rFonts w:ascii="Verdana" w:hAnsi="Verdana" w:cs="Arial"/>
          <w:vertAlign w:val="superscript"/>
        </w:rPr>
        <w:footnoteReference w:id="30"/>
      </w:r>
      <w:r w:rsidRPr="00C15525">
        <w:rPr>
          <w:rFonts w:ascii="Verdana" w:hAnsi="Verdana" w:cs="Arial"/>
        </w:rPr>
        <w:t xml:space="preserve">: </w:t>
      </w:r>
    </w:p>
    <w:p w14:paraId="6982B2E1" w14:textId="77777777" w:rsidR="00794876" w:rsidRPr="00C15525" w:rsidRDefault="00794876" w:rsidP="00794876">
      <w:pPr>
        <w:spacing w:after="0" w:line="276" w:lineRule="auto"/>
        <w:ind w:firstLine="709"/>
        <w:jc w:val="both"/>
        <w:rPr>
          <w:rFonts w:ascii="Verdana" w:hAnsi="Verdana" w:cs="Arial"/>
        </w:rPr>
      </w:pPr>
    </w:p>
    <w:p w14:paraId="56155C52" w14:textId="77777777" w:rsidR="00794876" w:rsidRPr="00C15525" w:rsidRDefault="00794876" w:rsidP="00794876">
      <w:pPr>
        <w:spacing w:after="120" w:line="240" w:lineRule="auto"/>
        <w:ind w:left="709" w:right="709"/>
        <w:jc w:val="both"/>
        <w:rPr>
          <w:rFonts w:ascii="Verdana" w:hAnsi="Verdana" w:cs="Arial"/>
          <w:sz w:val="20"/>
          <w:szCs w:val="20"/>
        </w:rPr>
      </w:pPr>
      <w:r w:rsidRPr="00C15525">
        <w:rPr>
          <w:rFonts w:ascii="Verdana" w:hAnsi="Verdana" w:cs="Arial"/>
          <w:sz w:val="20"/>
          <w:szCs w:val="20"/>
          <w:lang w:val="es-MX"/>
        </w:rPr>
        <w:t>“i)</w:t>
      </w:r>
      <w:r w:rsidRPr="00C15525">
        <w:rPr>
          <w:rFonts w:ascii="Verdana" w:hAnsi="Verdana" w:cs="Arial"/>
          <w:sz w:val="20"/>
          <w:szCs w:val="20"/>
        </w:rPr>
        <w:t xml:space="preserve"> el inciso segundo 2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w:t>
      </w:r>
    </w:p>
    <w:p w14:paraId="0C8395ED" w14:textId="77777777" w:rsidR="00794876" w:rsidRPr="00C15525" w:rsidRDefault="00794876" w:rsidP="00794876">
      <w:pPr>
        <w:spacing w:after="0" w:line="240" w:lineRule="auto"/>
        <w:ind w:left="709" w:right="709"/>
        <w:jc w:val="both"/>
        <w:rPr>
          <w:rFonts w:ascii="Verdana" w:hAnsi="Verdana" w:cs="Arial"/>
          <w:sz w:val="20"/>
          <w:szCs w:val="20"/>
        </w:rPr>
      </w:pPr>
      <w:proofErr w:type="spellStart"/>
      <w:r w:rsidRPr="00C15525">
        <w:rPr>
          <w:rFonts w:ascii="Verdana" w:hAnsi="Verdana" w:cs="Arial"/>
          <w:sz w:val="20"/>
          <w:szCs w:val="20"/>
        </w:rPr>
        <w:t>ii</w:t>
      </w:r>
      <w:proofErr w:type="spellEnd"/>
      <w:r w:rsidRPr="00C15525">
        <w:rPr>
          <w:rFonts w:ascii="Verdana" w:hAnsi="Verdana" w:cs="Arial"/>
          <w:sz w:val="20"/>
          <w:szCs w:val="20"/>
        </w:rPr>
        <w:t xml:space="preserve">) la expresión y el siguiente párrafo contenidos en el inciso cuarto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 </w:t>
      </w:r>
    </w:p>
    <w:p w14:paraId="2F1B5A4C" w14:textId="77777777" w:rsidR="00794876" w:rsidRPr="00C15525" w:rsidRDefault="00794876" w:rsidP="00794876">
      <w:pPr>
        <w:spacing w:after="0" w:line="276" w:lineRule="auto"/>
        <w:ind w:left="709" w:right="709"/>
        <w:jc w:val="both"/>
        <w:rPr>
          <w:rFonts w:ascii="Verdana" w:hAnsi="Verdana" w:cs="Arial"/>
        </w:rPr>
      </w:pPr>
    </w:p>
    <w:p w14:paraId="4763EE19" w14:textId="77777777" w:rsidR="00794876" w:rsidRPr="00C15525" w:rsidRDefault="00794876" w:rsidP="00794876">
      <w:pPr>
        <w:spacing w:after="120" w:line="276" w:lineRule="auto"/>
        <w:ind w:firstLine="709"/>
        <w:jc w:val="both"/>
        <w:rPr>
          <w:rFonts w:ascii="Verdana" w:eastAsia="Arial" w:hAnsi="Verdana" w:cs="Arial"/>
          <w:i/>
          <w:iCs/>
          <w:lang w:eastAsia="es-ES" w:bidi="es-ES"/>
        </w:rPr>
      </w:pPr>
      <w:r w:rsidRPr="00C15525">
        <w:rPr>
          <w:rFonts w:ascii="Verdana" w:eastAsia="Arial" w:hAnsi="Verdana" w:cs="Arial"/>
          <w:lang w:val="es-MX" w:eastAsia="es-ES" w:bidi="es-ES"/>
        </w:rPr>
        <w:t xml:space="preserve">De conformidad con los argumentos de dicha providencia, se parte de la distinción entre los conceptos </w:t>
      </w:r>
      <w:r w:rsidRPr="00C15525">
        <w:rPr>
          <w:rFonts w:ascii="Verdana" w:eastAsia="Arial" w:hAnsi="Verdana" w:cs="Arial"/>
          <w:lang w:eastAsia="es-ES" w:bidi="es-ES"/>
        </w:rPr>
        <w:t>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w:t>
      </w:r>
      <w:r w:rsidRPr="00C15525">
        <w:rPr>
          <w:rFonts w:ascii="Verdana" w:hAnsi="Verdana"/>
          <w:sz w:val="24"/>
          <w:szCs w:val="24"/>
          <w:lang w:eastAsia="es-CO"/>
        </w:rPr>
        <w:t xml:space="preserve"> </w:t>
      </w:r>
      <w:r w:rsidRPr="00C15525">
        <w:rPr>
          <w:rFonts w:ascii="Verdana" w:eastAsia="Arial" w:hAnsi="Verdana" w:cs="Arial"/>
          <w:lang w:eastAsia="es-ES" w:bidi="es-ES"/>
        </w:rPr>
        <w:t xml:space="preserve">En este sentido, en relación con el parágrafo del artículo 38 de la Ley 996 de 2005 concluyó que </w:t>
      </w:r>
      <w:r w:rsidRPr="00C15525">
        <w:rPr>
          <w:rFonts w:ascii="Verdana" w:eastAsia="Arial" w:hAnsi="Verdana" w:cs="Arial"/>
          <w:i/>
          <w:iCs/>
          <w:lang w:eastAsia="es-ES" w:bidi="es-ES"/>
        </w:rPr>
        <w:t xml:space="preserve">“si el legislador no diferenció al establecer la prohibición o la restricción, mal haría el reglamento en aplicar un efecto expansivo o extensivo para incluir una categoría no cobijada con la limitación, (…)”. </w:t>
      </w:r>
      <w:r w:rsidRPr="00C15525">
        <w:rPr>
          <w:rFonts w:ascii="Verdana" w:eastAsia="Arial" w:hAnsi="Verdana" w:cs="Arial"/>
          <w:lang w:eastAsia="es-ES" w:bidi="es-ES"/>
        </w:rPr>
        <w:t xml:space="preserve">Por tal motivo, para efectos de decretar la medida de suspensión provisional de los apartes señalados del numeral 16.2 de la Circular Externa Única, argumentó que </w:t>
      </w:r>
      <w:r w:rsidRPr="00C15525">
        <w:rPr>
          <w:rFonts w:ascii="Verdana" w:eastAsia="Arial" w:hAnsi="Verdana" w:cs="Arial"/>
          <w:i/>
          <w:iCs/>
          <w:lang w:eastAsia="es-ES" w:bidi="es-ES"/>
        </w:rPr>
        <w:t xml:space="preserve">“con independencia del propósito loable o plausible de la disposición ya que, procura que no se usen los recursos estatales para incidir o afectar la contienda electoral, no cabe duda de que la entidad demandada </w:t>
      </w:r>
      <w:r w:rsidRPr="00C15525">
        <w:rPr>
          <w:rFonts w:ascii="Verdana" w:eastAsia="Arial" w:hAnsi="Verdana" w:cs="Arial"/>
          <w:i/>
          <w:iCs/>
          <w:lang w:eastAsia="es-ES" w:bidi="es-ES"/>
        </w:rPr>
        <w:lastRenderedPageBreak/>
        <w:t>incorporó en la prohibición una categoría que no quedó comprendida expresa e inequívocamente en la ley</w:t>
      </w:r>
      <w:r w:rsidRPr="00C15525">
        <w:rPr>
          <w:rFonts w:ascii="Verdana" w:eastAsia="Arial" w:hAnsi="Verdana" w:cs="Arial"/>
          <w:lang w:eastAsia="es-ES" w:bidi="es-ES"/>
        </w:rPr>
        <w:t>”</w:t>
      </w:r>
      <w:r w:rsidRPr="00C15525">
        <w:rPr>
          <w:rFonts w:ascii="Verdana" w:eastAsia="Arial" w:hAnsi="Verdana" w:cs="Arial"/>
          <w:i/>
          <w:iCs/>
          <w:lang w:eastAsia="es-ES" w:bidi="es-ES"/>
        </w:rPr>
        <w:t xml:space="preserve">. </w:t>
      </w:r>
    </w:p>
    <w:p w14:paraId="5FB222C7" w14:textId="77777777" w:rsidR="00794876" w:rsidRPr="00C15525" w:rsidRDefault="00794876" w:rsidP="00794876">
      <w:pPr>
        <w:spacing w:after="120" w:line="276" w:lineRule="auto"/>
        <w:ind w:firstLine="709"/>
        <w:jc w:val="both"/>
        <w:rPr>
          <w:rFonts w:ascii="Verdana" w:eastAsia="Arial" w:hAnsi="Verdana" w:cs="Arial"/>
          <w:lang w:eastAsia="es-ES" w:bidi="es-ES"/>
        </w:rPr>
      </w:pPr>
      <w:r w:rsidRPr="00C15525">
        <w:rPr>
          <w:rFonts w:ascii="Verdana" w:eastAsia="Arial" w:hAnsi="Verdana" w:cs="Arial"/>
          <w:lang w:eastAsia="es-ES" w:bidi="es-ES"/>
        </w:rPr>
        <w:t>De igual manera, mediante auto del 6 de noviembre de 2025, el Consejo de Estado, Subsección A de la Sección Tercera, decretó</w:t>
      </w:r>
      <w:r w:rsidRPr="00C15525">
        <w:rPr>
          <w:rFonts w:ascii="Verdana" w:eastAsia="Arial" w:hAnsi="Verdana" w:cs="Arial"/>
          <w:b/>
          <w:bCs/>
          <w:lang w:eastAsia="es-ES" w:bidi="es-ES"/>
        </w:rPr>
        <w:t xml:space="preserve"> </w:t>
      </w:r>
      <w:r w:rsidRPr="00C15525">
        <w:rPr>
          <w:rFonts w:ascii="Verdana" w:eastAsia="Arial" w:hAnsi="Verdana" w:cs="Arial"/>
          <w:lang w:eastAsia="es-ES" w:bidi="es-ES"/>
        </w:rPr>
        <w:t>la suspensión provisional de los apartes cuestionados del inciso segundo y del inciso cuarto del numeral 16.2 de la Circular Externa Única, versión 3 del 27 de diciembre de 2023, expedida por la Agencia Nacional de Contratación Pública – Colombia Compra Eficiente relacionados con los contratos interadministrativos</w:t>
      </w:r>
      <w:r w:rsidRPr="00C15525">
        <w:rPr>
          <w:rFonts w:ascii="Verdana" w:eastAsia="Arial" w:hAnsi="Verdana" w:cs="Arial"/>
          <w:vertAlign w:val="superscript"/>
          <w:lang w:eastAsia="es-ES" w:bidi="es-ES"/>
        </w:rPr>
        <w:footnoteReference w:id="31"/>
      </w:r>
      <w:r w:rsidRPr="00C15525">
        <w:rPr>
          <w:rFonts w:ascii="Verdana" w:eastAsia="Arial" w:hAnsi="Verdana" w:cs="Arial"/>
          <w:lang w:eastAsia="es-ES" w:bidi="es-ES"/>
        </w:rPr>
        <w:t xml:space="preserve">. Para tales efectos, el alto tribunal resaltó la interpretación restrictiva de las normas que contienen prohibiciones, como la del parágrafo del artículo 38 de la Ley 996 de 2005, por manera que se excluye la analogía </w:t>
      </w:r>
      <w:proofErr w:type="spellStart"/>
      <w:r w:rsidRPr="00C15525">
        <w:rPr>
          <w:rFonts w:ascii="Verdana" w:eastAsia="Arial" w:hAnsi="Verdana" w:cs="Arial"/>
          <w:lang w:eastAsia="es-ES" w:bidi="es-ES"/>
        </w:rPr>
        <w:t>legis</w:t>
      </w:r>
      <w:proofErr w:type="spellEnd"/>
      <w:r w:rsidRPr="00C15525">
        <w:rPr>
          <w:rFonts w:ascii="Verdana" w:eastAsia="Arial" w:hAnsi="Verdana" w:cs="Arial"/>
          <w:lang w:eastAsia="es-ES" w:bidi="es-ES"/>
        </w:rPr>
        <w:t xml:space="preserve"> o iuris y la interpretación extensiva y reiteró los argumentos sobre la diferencia entre contratos y convenios interadministrativos. </w:t>
      </w:r>
    </w:p>
    <w:p w14:paraId="4FED0322" w14:textId="77777777" w:rsidR="00794876" w:rsidRPr="00C15525" w:rsidRDefault="00794876" w:rsidP="00794876">
      <w:pPr>
        <w:spacing w:after="120" w:line="276" w:lineRule="auto"/>
        <w:ind w:firstLine="709"/>
        <w:jc w:val="both"/>
        <w:rPr>
          <w:rFonts w:ascii="Verdana" w:eastAsia="Times New Roman" w:hAnsi="Verdana" w:cs="Times New Roman"/>
          <w:lang w:eastAsia="es-ES"/>
        </w:rPr>
      </w:pPr>
      <w:r w:rsidRPr="00C15525">
        <w:rPr>
          <w:rFonts w:ascii="Verdana" w:eastAsia="Arial" w:hAnsi="Verdana" w:cs="Arial"/>
          <w:lang w:eastAsia="es-ES" w:bidi="es-ES"/>
        </w:rPr>
        <w:t xml:space="preserve">Finalmente, mediante sentencia del 17 de octubre de 2025, emitida por la Sala de lo Contencioso Administrativo del Consejo de Estado, dentro del expediente </w:t>
      </w:r>
      <w:r w:rsidRPr="00C15525">
        <w:rPr>
          <w:rFonts w:ascii="Verdana" w:eastAsia="Times New Roman" w:hAnsi="Verdana" w:cs="Times New Roman"/>
          <w:lang w:eastAsia="es-ES"/>
        </w:rPr>
        <w:t xml:space="preserve">11001-03-26-000-2023-00139-00, se declaró la nulidad parcial del numeral 16.2 de la Circular Externa Única de 2022 expedida por la Agencia Nacional de Contratación Pública - Colombia Compra Eficiente que indicaba: “Esta restricción es aplicable tanto a los convenios como a los contratos interadministrativos…”. </w:t>
      </w:r>
    </w:p>
    <w:p w14:paraId="529E1D32" w14:textId="77777777" w:rsidR="00794876" w:rsidRPr="00C15525" w:rsidRDefault="00794876" w:rsidP="00794876">
      <w:pPr>
        <w:spacing w:after="120" w:line="276" w:lineRule="auto"/>
        <w:ind w:firstLine="709"/>
        <w:jc w:val="both"/>
        <w:rPr>
          <w:rFonts w:ascii="Verdana" w:eastAsia="Times New Roman" w:hAnsi="Verdana" w:cs="Times New Roman"/>
          <w:lang w:eastAsia="es-ES"/>
        </w:rPr>
      </w:pPr>
      <w:r w:rsidRPr="00C15525">
        <w:rPr>
          <w:rFonts w:ascii="Verdana" w:eastAsia="Times New Roman" w:hAnsi="Verdana" w:cs="Times New Roman"/>
          <w:lang w:eastAsia="es-ES"/>
        </w:rPr>
        <w:t xml:space="preserve">La anterior decisión se adoptó al considerar que la Agencia excedió su competencia material al incluir contratos en una restricción que la Ley de Garantías Electorales solo previó para convenios, cuando no es posible aplicar </w:t>
      </w:r>
      <w:r w:rsidRPr="00C15525">
        <w:rPr>
          <w:rFonts w:ascii="Verdana" w:eastAsia="Times New Roman" w:hAnsi="Verdana" w:cs="Times New Roman"/>
          <w:lang w:eastAsia="es-ES"/>
        </w:rPr>
        <w:lastRenderedPageBreak/>
        <w:t>por analogía o extensión una norma que establece prohibiciones</w:t>
      </w:r>
      <w:r w:rsidRPr="00C15525">
        <w:rPr>
          <w:rFonts w:ascii="Verdana" w:eastAsia="Times New Roman" w:hAnsi="Verdana" w:cs="Times New Roman"/>
          <w:vertAlign w:val="superscript"/>
          <w:lang w:eastAsia="es-ES"/>
        </w:rPr>
        <w:footnoteReference w:id="32"/>
      </w:r>
      <w:r w:rsidRPr="00C15525">
        <w:rPr>
          <w:rFonts w:ascii="Verdana" w:eastAsia="Times New Roman" w:hAnsi="Verdana" w:cs="Times New Roman"/>
          <w:lang w:eastAsia="es-ES"/>
        </w:rPr>
        <w:t xml:space="preserve">. Sobre el particular, la Sala concluyó que contratos y convenios interadministrativos son figuras distintas en naturaleza, objeto y efectos, pues mientras los contratos implican obligaciones patrimoniales y contraprestación, los convenios se basan en cooperación sin ánimo económico. Por ello, la restricción legal no podía aplicarse extensivamente a los contratos. </w:t>
      </w:r>
    </w:p>
    <w:p w14:paraId="16D2EBF2" w14:textId="77777777" w:rsidR="00794876" w:rsidRPr="00C15525" w:rsidRDefault="00794876" w:rsidP="00794876">
      <w:pPr>
        <w:spacing w:after="120" w:line="276" w:lineRule="auto"/>
        <w:ind w:firstLine="709"/>
        <w:jc w:val="both"/>
        <w:rPr>
          <w:rFonts w:ascii="Verdana" w:eastAsia="Times New Roman" w:hAnsi="Verdana" w:cs="Arial"/>
          <w:lang w:eastAsia="es-CO"/>
        </w:rPr>
      </w:pPr>
      <w:r w:rsidRPr="00C15525">
        <w:rPr>
          <w:rFonts w:ascii="Verdana" w:eastAsia="Times New Roman" w:hAnsi="Verdana" w:cs="Times New Roman"/>
          <w:lang w:eastAsia="es-ES"/>
        </w:rPr>
        <w:t xml:space="preserve">A juicio de la Sala, aunque el propósito de la Circular Externa era legítimo –evitar el uso indebido de recursos en época electoral–, el numeral 16.2. desconoció el alcance literal del artículo 38 de la Ley 996 de 2005 y los límites de la potestad reglamentaria, lo que configuró un vicio de contenido. </w:t>
      </w:r>
      <w:r w:rsidRPr="00C15525">
        <w:rPr>
          <w:rFonts w:ascii="Verdana" w:eastAsia="Times New Roman" w:hAnsi="Verdana" w:cs="Arial"/>
          <w:lang w:eastAsia="es-CO"/>
        </w:rPr>
        <w:t xml:space="preserve">Así las cosas, a la luz de lo expuesto por el Consejo de Estado, en la sentencia expedida por la Sección Tercera de la Sala de lo Contencioso Administrativo del 17 de octubre de 2025, en los autos del 4 de octubre de 2024 y 6 de noviembre de 2025, no resultaría aplicable la prohibición del parágrafo del artículo 38 de la Ley de Garantías Electorales a los </w:t>
      </w:r>
      <w:r w:rsidRPr="00C15525">
        <w:rPr>
          <w:rFonts w:ascii="Verdana" w:eastAsia="Times New Roman" w:hAnsi="Verdana" w:cs="Arial"/>
          <w:i/>
          <w:iCs/>
          <w:lang w:eastAsia="es-CO"/>
        </w:rPr>
        <w:t>contratos interadministrativos</w:t>
      </w:r>
      <w:r w:rsidRPr="00C15525">
        <w:rPr>
          <w:rFonts w:ascii="Verdana" w:eastAsia="Times New Roman" w:hAnsi="Verdana" w:cs="Arial"/>
          <w:lang w:eastAsia="es-CO"/>
        </w:rPr>
        <w:t>, esta prohibición solo aplicaría a los convenios interadministrativos que impliquen la ejecución de recursos públicos</w:t>
      </w:r>
      <w:r w:rsidRPr="00C15525">
        <w:rPr>
          <w:rFonts w:ascii="Verdana" w:eastAsia="Times New Roman" w:hAnsi="Verdana" w:cs="Arial"/>
          <w:vertAlign w:val="superscript"/>
          <w:lang w:eastAsia="es-CO"/>
        </w:rPr>
        <w:footnoteReference w:id="33"/>
      </w:r>
      <w:r w:rsidRPr="00C15525">
        <w:rPr>
          <w:rFonts w:ascii="Verdana" w:eastAsia="Times New Roman" w:hAnsi="Verdana" w:cs="Arial"/>
          <w:lang w:eastAsia="es-CO"/>
        </w:rPr>
        <w:t>.</w:t>
      </w:r>
    </w:p>
    <w:p w14:paraId="34B26228" w14:textId="77777777" w:rsidR="00794876" w:rsidRPr="00CA2012" w:rsidRDefault="00794876" w:rsidP="00794876">
      <w:pPr>
        <w:spacing w:after="120" w:line="276" w:lineRule="auto"/>
        <w:ind w:firstLine="709"/>
        <w:jc w:val="both"/>
        <w:rPr>
          <w:rFonts w:ascii="Verdana" w:eastAsia="Times New Roman" w:hAnsi="Verdana" w:cs="Arial"/>
          <w:lang w:eastAsia="es-CO" w:bidi="es-ES"/>
        </w:rPr>
      </w:pPr>
      <w:r w:rsidRPr="00C15525">
        <w:rPr>
          <w:rFonts w:ascii="Verdana" w:eastAsia="Times New Roman" w:hAnsi="Verdana" w:cs="Arial"/>
          <w:lang w:eastAsia="es-CO" w:bidi="es-ES"/>
        </w:rPr>
        <w:t xml:space="preserve">En todo caso, es importante resaltar que la Sala de Consulta y Servicio Civil del Consejo de Estado se ha pronunciado en el sentido de que no se les aplica la restricción contemplada en el artículo 38 de la Ley de Garantías a los convenios interadministrativos que deben celebrarse en virtud de un fallo judicial. Esto en la medida que la obligatoriedad y la fuerza vinculante de las sentencias ejecutoriadas proferidas por los funcionarios investidos del poder </w:t>
      </w:r>
      <w:r w:rsidRPr="00C15525">
        <w:rPr>
          <w:rFonts w:ascii="Verdana" w:eastAsia="Times New Roman" w:hAnsi="Verdana" w:cs="Arial"/>
          <w:lang w:eastAsia="es-CO" w:bidi="es-ES"/>
        </w:rPr>
        <w:lastRenderedPageBreak/>
        <w:t>judicial emanan de la autonomía conferida a estos por la Constitución y del derecho que tienen los ciudadanos al acceso y oportuna administración de justicia</w:t>
      </w:r>
      <w:r w:rsidRPr="00C15525">
        <w:rPr>
          <w:rFonts w:ascii="Verdana" w:eastAsia="Times New Roman" w:hAnsi="Verdana" w:cs="Arial"/>
          <w:vertAlign w:val="superscript"/>
          <w:lang w:eastAsia="es-CO" w:bidi="es-ES"/>
        </w:rPr>
        <w:footnoteReference w:id="34"/>
      </w:r>
      <w:r w:rsidRPr="00C15525">
        <w:rPr>
          <w:rFonts w:ascii="Verdana" w:eastAsia="Times New Roman" w:hAnsi="Verdana" w:cs="Arial"/>
          <w:lang w:eastAsia="es-CO" w:bidi="es-ES"/>
        </w:rPr>
        <w:t>.</w:t>
      </w:r>
    </w:p>
    <w:p w14:paraId="3A6C57B2" w14:textId="77777777" w:rsidR="00794876" w:rsidRPr="00CA2012" w:rsidRDefault="00794876" w:rsidP="00794876">
      <w:pPr>
        <w:spacing w:after="120" w:line="276" w:lineRule="auto"/>
        <w:ind w:firstLine="708"/>
        <w:jc w:val="both"/>
        <w:rPr>
          <w:rFonts w:ascii="Verdana" w:eastAsia="Calibri" w:hAnsi="Verdana" w:cs="Arial"/>
          <w:bCs/>
          <w:color w:val="000000" w:themeColor="text1"/>
        </w:rPr>
      </w:pPr>
      <w:r w:rsidRPr="00CA2012">
        <w:rPr>
          <w:rFonts w:ascii="Verdana" w:eastAsia="Calibri" w:hAnsi="Verdana" w:cs="Arial"/>
          <w:bCs/>
          <w:color w:val="000000" w:themeColor="text1"/>
        </w:rPr>
        <w:t>Precisado lo anterior, para efectos de dar respuesta al problema jurídico planteado, resulta necesario hacer referencia a la naturaleza jurídica de Servicios Postales Nacionales S.A.S. y a sus funciones dentro del marco normativo que regula el servicio postal en Colombia, particularmente la Ley 1369 de 2009</w:t>
      </w:r>
      <w:r>
        <w:rPr>
          <w:rFonts w:ascii="Verdana" w:eastAsia="Calibri" w:hAnsi="Verdana" w:cs="Arial"/>
          <w:bCs/>
          <w:color w:val="000000" w:themeColor="text1"/>
        </w:rPr>
        <w:t xml:space="preserve">. </w:t>
      </w:r>
      <w:r w:rsidRPr="00CA2012">
        <w:rPr>
          <w:rFonts w:ascii="Verdana" w:eastAsia="Calibri" w:hAnsi="Verdana" w:cs="Arial"/>
          <w:bCs/>
          <w:color w:val="000000" w:themeColor="text1"/>
        </w:rPr>
        <w:t>El artículo 15 de la Ley 1369 de 2009 establece el denominado “Área de Reserva”, señalando que el Operador Postal Oficial o Concesionario de Correo será el único autorizado para prestar los servicios de correo a las entidades que integran las ramas Ejecutiva, Legislativa y Judicial del poder público. La misma disposición reconoce como Operador Postal Oficial a Servicios Postales Nacionales S.A.S. (4-72), sociedad que presta dicho servicio en virtud de un contrato de concesión celebrado con el Estado.</w:t>
      </w:r>
    </w:p>
    <w:p w14:paraId="696D2639" w14:textId="77777777" w:rsidR="00794876" w:rsidRPr="00CA2012" w:rsidRDefault="00794876" w:rsidP="00794876">
      <w:pPr>
        <w:spacing w:after="120" w:line="276" w:lineRule="auto"/>
        <w:ind w:firstLine="708"/>
        <w:jc w:val="both"/>
        <w:rPr>
          <w:rFonts w:ascii="Verdana" w:eastAsia="Calibri" w:hAnsi="Verdana" w:cs="Arial"/>
          <w:bCs/>
          <w:color w:val="000000" w:themeColor="text1"/>
        </w:rPr>
      </w:pPr>
      <w:r w:rsidRPr="00CA2012">
        <w:rPr>
          <w:rFonts w:ascii="Verdana" w:eastAsia="Calibri" w:hAnsi="Verdana" w:cs="Arial"/>
          <w:bCs/>
          <w:color w:val="000000" w:themeColor="text1"/>
        </w:rPr>
        <w:t>En este sentido, Servicios Postales Nacionales S.A.S. es una sociedad de naturaleza pública vinculada al sector de Tecnologías de la Información y las Comunicaciones, encargada de la prestación del servicio postal oficial y de la ejecución de las actividades comprendidas dentro del servicio de correo en el territorio nacional, en cumplimiento de las disposiciones contenidas en la Ley 1369 de 2009 y demás normas que regulan el sector postal.</w:t>
      </w:r>
      <w:r>
        <w:rPr>
          <w:rFonts w:ascii="Verdana" w:eastAsia="Calibri" w:hAnsi="Verdana" w:cs="Arial"/>
          <w:bCs/>
          <w:color w:val="000000" w:themeColor="text1"/>
        </w:rPr>
        <w:t xml:space="preserve"> </w:t>
      </w:r>
      <w:r w:rsidRPr="00CA2012">
        <w:rPr>
          <w:rFonts w:ascii="Verdana" w:eastAsia="Calibri" w:hAnsi="Verdana" w:cs="Arial"/>
          <w:bCs/>
          <w:color w:val="000000" w:themeColor="text1"/>
        </w:rPr>
        <w:t>Así, dentro del régimen postal colombiano se distingue entre los servicios de correo, cuya prestación a las entidades públicas se encuentra reservada al Operador Postal Oficial, y los servicios de mensajería expresa, que pueden ser prestados por otros operadores debidamente habilitados en el mercado. En consecuencia, la prestación de los servicios de correo dirigidos a las entidades públicas corresponde de manera exclusiva a Servicios Postales Nacionales S.A.S., en virtud del mandato legal establecido por el legislador.</w:t>
      </w:r>
    </w:p>
    <w:p w14:paraId="1B603B64" w14:textId="77777777" w:rsidR="00794876" w:rsidRPr="00CA2012" w:rsidRDefault="00794876" w:rsidP="00794876">
      <w:pPr>
        <w:spacing w:after="120" w:line="276" w:lineRule="auto"/>
        <w:ind w:firstLine="708"/>
        <w:jc w:val="both"/>
        <w:rPr>
          <w:rFonts w:ascii="Verdana" w:eastAsia="Calibri" w:hAnsi="Verdana" w:cs="Arial"/>
          <w:bCs/>
          <w:color w:val="000000" w:themeColor="text1"/>
        </w:rPr>
      </w:pPr>
      <w:r>
        <w:rPr>
          <w:rFonts w:ascii="Verdana" w:eastAsia="Calibri" w:hAnsi="Verdana" w:cs="Arial"/>
          <w:bCs/>
          <w:color w:val="000000" w:themeColor="text1"/>
        </w:rPr>
        <w:t>Conforme a lo anterior</w:t>
      </w:r>
      <w:r w:rsidRPr="00CA2012">
        <w:rPr>
          <w:rFonts w:ascii="Verdana" w:eastAsia="Calibri" w:hAnsi="Verdana" w:cs="Arial"/>
          <w:bCs/>
          <w:color w:val="000000" w:themeColor="text1"/>
        </w:rPr>
        <w:t>, Servicios Postales Nacionales S.A.S., en su calidad de Operador Postal Oficial reconocido por la Ley 1369 de 2009, es la entidad habilitada para prestar los servicios de correo a las entidades públicas que integran las ramas del poder público, en el marco del régimen jurídico especial que regula el servicio postal en Colombia.</w:t>
      </w:r>
      <w:r w:rsidRPr="00C15525">
        <w:rPr>
          <w:rFonts w:ascii="Arial" w:hAnsi="Arial" w:cs="Arial"/>
        </w:rPr>
        <w:t xml:space="preserve"> </w:t>
      </w:r>
    </w:p>
    <w:p w14:paraId="55D32745" w14:textId="77777777" w:rsidR="00794876" w:rsidRPr="00C15525" w:rsidRDefault="00794876" w:rsidP="00794876">
      <w:pPr>
        <w:spacing w:after="120" w:line="276" w:lineRule="auto"/>
        <w:ind w:firstLine="709"/>
        <w:jc w:val="both"/>
        <w:rPr>
          <w:rFonts w:ascii="Verdana" w:eastAsia="Calibri" w:hAnsi="Verdana" w:cs="Arial"/>
          <w:bCs/>
          <w:color w:val="000000" w:themeColor="text1"/>
        </w:rPr>
      </w:pPr>
      <w:r w:rsidRPr="00C15525">
        <w:rPr>
          <w:rFonts w:ascii="Verdana" w:eastAsia="Calibri" w:hAnsi="Verdana" w:cs="Arial"/>
          <w:bCs/>
          <w:color w:val="000000" w:themeColor="text1"/>
        </w:rPr>
        <w:lastRenderedPageBreak/>
        <w:t xml:space="preserve">Si bien, de conformidad con lo establecido en el artículo 14 de la Ley 1150 de 2007, modificado por el artículo 93 de la Ley 1474 del 2011, las empresas industriales y comerciales del Estado, con una participación pública superior al cincuenta por ciento (50%), sus filiales y las sociedades entre entidades públicas con participación mayoritaria del Estado superior al cincuenta por ciento (50%) que desarrollan actividades comerciales en competencia con el sector privado y/o público, nacional o internacional o en mercados regulados, se rigen por las disposiciones legales y reglamentarias aplicables a sus actividades económicas y comerciales, es decir, se rigen por las normas del derecho privado, esta circunstancia no las excluye de la aplicación de las restricciones establecidas en la Ley Garantías Electorales. Como se viene precisando, la restricción consagrada en la Ley de Garantías en materia de contratación directa y celebración de convenios interadministrativos para la ejecución de recursos públicos se aplican también a las Empresas Industriales y Comerciales del Estado, en la medida que el hecho de que estén exceptuadas del Estatuto General de Contratación de la Administración Pública no implica que sean exceptuadas de las demás normas del ordenamiento jurídico colombiano.   </w:t>
      </w:r>
    </w:p>
    <w:p w14:paraId="209667E5" w14:textId="77777777" w:rsidR="00794876" w:rsidRDefault="00794876" w:rsidP="00794876">
      <w:pPr>
        <w:spacing w:after="120" w:line="276" w:lineRule="auto"/>
        <w:ind w:firstLine="709"/>
        <w:jc w:val="both"/>
        <w:rPr>
          <w:rFonts w:ascii="Verdana" w:eastAsia="Times New Roman" w:hAnsi="Verdana" w:cs="Arial"/>
          <w:lang w:eastAsia="es-CO"/>
        </w:rPr>
      </w:pPr>
      <w:r>
        <w:rPr>
          <w:rFonts w:ascii="Verdana" w:eastAsia="Times New Roman" w:hAnsi="Verdana" w:cs="Arial"/>
          <w:lang w:eastAsia="es-CO"/>
        </w:rPr>
        <w:t>Ahora bien, l</w:t>
      </w:r>
      <w:r w:rsidRPr="00EB58E0">
        <w:rPr>
          <w:rFonts w:ascii="Verdana" w:eastAsia="Times New Roman" w:hAnsi="Verdana" w:cs="Arial"/>
          <w:lang w:eastAsia="es-CO"/>
        </w:rPr>
        <w:t>a Ley 1369 de 2009 establece el marco regulatorio para los servicios postales en Colombia, definiéndolos como un servicio público cuya titularidad recae en el Estado. El objeto principal de 4-72 es la prestación de estos servicios, que consisten en "el desarrollo de las actividades de recepción, clasificación, transporte y entrega de objetos postales a través de redes postales</w:t>
      </w:r>
      <w:r>
        <w:rPr>
          <w:rFonts w:ascii="Verdana" w:eastAsia="Times New Roman" w:hAnsi="Verdana" w:cs="Arial"/>
          <w:lang w:eastAsia="es-CO"/>
        </w:rPr>
        <w:t>”.</w:t>
      </w:r>
      <w:r w:rsidRPr="00EB58E0">
        <w:rPr>
          <w:rFonts w:ascii="Verdana" w:eastAsia="Times New Roman" w:hAnsi="Verdana" w:cs="Arial"/>
          <w:lang w:eastAsia="es-CO"/>
        </w:rPr>
        <w:t xml:space="preserve"> En su calidad de Operador Postal Oficial o Concesionario de Correo, 4-72 tiene la responsabilidad exclusiva de prestar el Servicio Postal Universal, la franquicia postal y el servicio de giros internacionales, entre otros.</w:t>
      </w:r>
    </w:p>
    <w:p w14:paraId="451C9043" w14:textId="77777777" w:rsidR="00794876" w:rsidRPr="00EB58E0" w:rsidRDefault="00794876" w:rsidP="00794876">
      <w:pPr>
        <w:spacing w:after="120" w:line="276" w:lineRule="auto"/>
        <w:ind w:firstLine="709"/>
        <w:jc w:val="both"/>
        <w:rPr>
          <w:rFonts w:ascii="Verdana" w:eastAsia="Times New Roman" w:hAnsi="Verdana" w:cs="Arial"/>
          <w:lang w:eastAsia="es-CO"/>
        </w:rPr>
      </w:pPr>
      <w:r w:rsidRPr="00EB58E0">
        <w:rPr>
          <w:rFonts w:ascii="Verdana" w:eastAsia="Times New Roman" w:hAnsi="Verdana" w:cs="Arial"/>
          <w:lang w:eastAsia="es-CO"/>
        </w:rPr>
        <w:t xml:space="preserve">Una función de especial relevancia, similar a la de otras entidades estatales que garantizan servicios esenciales para el funcionamiento del Estado, es la denominada "área de reserva". Según el artículo 15 de la Ley 1369 de 2009, 4-72 </w:t>
      </w:r>
      <w:proofErr w:type="gramStart"/>
      <w:r w:rsidRPr="00EB58E0">
        <w:rPr>
          <w:rFonts w:ascii="Verdana" w:eastAsia="Times New Roman" w:hAnsi="Verdana" w:cs="Arial"/>
          <w:lang w:eastAsia="es-CO"/>
        </w:rPr>
        <w:t>es:“</w:t>
      </w:r>
      <w:proofErr w:type="gramEnd"/>
      <w:r w:rsidRPr="00EB58E0">
        <w:rPr>
          <w:rFonts w:ascii="Verdana" w:eastAsia="Times New Roman" w:hAnsi="Verdana" w:cs="Arial"/>
          <w:lang w:eastAsia="es-CO"/>
        </w:rPr>
        <w:t>[…] la única autorizada por la ley para prestar los servicios de correo a las entidades integrantes de la Rama Ejecutiva, Legislativa y Judicial del poder público</w:t>
      </w:r>
      <w:r>
        <w:rPr>
          <w:rFonts w:ascii="Verdana" w:eastAsia="Times New Roman" w:hAnsi="Verdana" w:cs="Arial"/>
          <w:lang w:eastAsia="es-CO"/>
        </w:rPr>
        <w:t>”</w:t>
      </w:r>
      <w:r w:rsidRPr="00EB58E0">
        <w:rPr>
          <w:rFonts w:ascii="Verdana" w:eastAsia="Times New Roman" w:hAnsi="Verdana" w:cs="Arial"/>
          <w:lang w:eastAsia="es-CO"/>
        </w:rPr>
        <w:t>.</w:t>
      </w:r>
    </w:p>
    <w:p w14:paraId="73D72C89" w14:textId="77777777" w:rsidR="00794876" w:rsidRPr="00EB58E0" w:rsidRDefault="00794876" w:rsidP="00794876">
      <w:pPr>
        <w:spacing w:after="120" w:line="276" w:lineRule="auto"/>
        <w:ind w:firstLine="709"/>
        <w:jc w:val="both"/>
        <w:rPr>
          <w:rFonts w:ascii="Verdana" w:eastAsia="Times New Roman" w:hAnsi="Verdana" w:cs="Arial"/>
          <w:lang w:eastAsia="es-CO"/>
        </w:rPr>
      </w:pPr>
      <w:r w:rsidRPr="00EB58E0">
        <w:rPr>
          <w:rFonts w:ascii="Verdana" w:eastAsia="Times New Roman" w:hAnsi="Verdana" w:cs="Arial"/>
          <w:lang w:eastAsia="es-CO"/>
        </w:rPr>
        <w:t xml:space="preserve">En este sentido, y en virtud de su naturaleza, la Ley 489 de 1998 es fundamental para determinar su estructura y régimen. El parágrafo 1° del artículo 38 de dicha ley establece que las sociedades públicas con participación estatal superior al 90% se someten al régimen previsto para las Empresas </w:t>
      </w:r>
      <w:r w:rsidRPr="00EB58E0">
        <w:rPr>
          <w:rFonts w:ascii="Verdana" w:eastAsia="Times New Roman" w:hAnsi="Verdana" w:cs="Arial"/>
          <w:lang w:eastAsia="es-CO"/>
        </w:rPr>
        <w:lastRenderedPageBreak/>
        <w:t>Industriales y Comerciales del Estado. En consecuencia, 4-72 se clasifica como una entidad pública descentralizada indirecta que forma parte de la Rama Ejecutiva del poder público, y su régimen jurídico, incluyendo el de sus actos y contratos, es el de una Empresa Industrial y Comercial del Estado, desarrollando sus actividades conforme a las reglas del derecho privado, con las excepciones que consagre la ley.</w:t>
      </w:r>
    </w:p>
    <w:p w14:paraId="20D46794" w14:textId="77777777" w:rsidR="00794876" w:rsidRPr="00C723BE" w:rsidRDefault="00794876" w:rsidP="00794876">
      <w:pPr>
        <w:spacing w:after="120" w:line="276" w:lineRule="auto"/>
        <w:jc w:val="both"/>
        <w:rPr>
          <w:rFonts w:ascii="Verdana" w:hAnsi="Verdana"/>
        </w:rPr>
      </w:pPr>
      <w:r>
        <w:rPr>
          <w:rFonts w:ascii="Verdana" w:eastAsia="Times New Roman" w:hAnsi="Verdana" w:cs="Arial"/>
          <w:lang w:eastAsia="es-CO"/>
        </w:rPr>
        <w:t xml:space="preserve">      </w:t>
      </w:r>
      <w:r>
        <w:rPr>
          <w:rFonts w:ascii="Verdana" w:hAnsi="Verdana"/>
        </w:rPr>
        <w:t xml:space="preserve"> </w:t>
      </w:r>
      <w:r w:rsidRPr="00C723BE">
        <w:rPr>
          <w:rFonts w:ascii="Verdana" w:hAnsi="Verdana"/>
        </w:rPr>
        <w:t>En este contexto, la Ley 1369 de 2009 establece una obligación legal para las entidades de las Ramas Ejecutiva, Legislativa y Judicial de contratar los servicios de correo exclusivamente con Servicios Postales Nacionales S.A.S. Este mandato implica que dichos servicios no pueden ser contratados con terceros operadores, so pena de incurrir en las infracciones postales previstas en el artículo 37 de la misma ley.</w:t>
      </w:r>
    </w:p>
    <w:p w14:paraId="0F964A26" w14:textId="77777777" w:rsidR="00794876" w:rsidRPr="00C723BE" w:rsidRDefault="00794876" w:rsidP="00794876">
      <w:pPr>
        <w:spacing w:line="278" w:lineRule="auto"/>
        <w:jc w:val="both"/>
        <w:rPr>
          <w:rFonts w:ascii="Verdana" w:hAnsi="Verdana"/>
        </w:rPr>
      </w:pPr>
      <w:r>
        <w:rPr>
          <w:rFonts w:ascii="Verdana" w:hAnsi="Verdana"/>
        </w:rPr>
        <w:t xml:space="preserve">      </w:t>
      </w:r>
      <w:r w:rsidRPr="00C723BE">
        <w:rPr>
          <w:rFonts w:ascii="Verdana" w:hAnsi="Verdana"/>
        </w:rPr>
        <w:t>Así las cosas, la contratación de los servicios de correo con Servicios Postales Nacionales S.A.S. no corresponde a una decisión discrecional de la entidad, sino al cumplimiento de un mandato legal expreso que reserva dicha actividad al Operador Postal Oficial. En consecuencia, la celebración de contratos con esta entidad tiene como finalidad garantizar la prestación de un servicio cuya ejecución ha sido atribuida de manera exclusiva por el legislador.</w:t>
      </w:r>
    </w:p>
    <w:p w14:paraId="13A73BD2" w14:textId="77777777" w:rsidR="00794876" w:rsidRPr="00C723BE" w:rsidRDefault="00794876" w:rsidP="00794876">
      <w:pPr>
        <w:spacing w:line="278" w:lineRule="auto"/>
        <w:jc w:val="both"/>
        <w:rPr>
          <w:rFonts w:ascii="Verdana" w:hAnsi="Verdana"/>
        </w:rPr>
      </w:pPr>
      <w:r>
        <w:rPr>
          <w:rFonts w:ascii="Verdana" w:hAnsi="Verdana"/>
        </w:rPr>
        <w:t xml:space="preserve">         </w:t>
      </w:r>
      <w:r w:rsidRPr="00C723BE">
        <w:rPr>
          <w:rFonts w:ascii="Verdana" w:hAnsi="Verdana"/>
        </w:rPr>
        <w:t>Desde esta perspectiva, la celebración de contratos interadministrativos con Servicios Postales Nacionales S.A.S. para la prestación de los servicios de correo responde al cumplimiento de una obligación legal establecida en la Ley 1369 de 2009, y no al ejercicio de la autonomía contractual de la entidad. Por ello, su celebración se enmarca en el cumplimiento de un mandato normativo específico que determina el operador habilitado para prestar dicho servicio a las entidades públicas.</w:t>
      </w:r>
    </w:p>
    <w:p w14:paraId="11AE9A9E" w14:textId="77777777" w:rsidR="00794876" w:rsidRDefault="00794876" w:rsidP="00794876">
      <w:pPr>
        <w:spacing w:line="278" w:lineRule="auto"/>
        <w:jc w:val="both"/>
        <w:rPr>
          <w:rFonts w:ascii="Verdana" w:hAnsi="Verdana"/>
        </w:rPr>
      </w:pPr>
      <w:r>
        <w:rPr>
          <w:rFonts w:ascii="Verdana" w:hAnsi="Verdana"/>
        </w:rPr>
        <w:t xml:space="preserve">       </w:t>
      </w:r>
      <w:r w:rsidRPr="00C723BE">
        <w:rPr>
          <w:rFonts w:ascii="Verdana" w:hAnsi="Verdana"/>
        </w:rPr>
        <w:t>En consecuencia, la contratación de los servicios de correo con Servicios Postales Nacionales S.A.S., en cumplimiento de lo dispuesto en el artículo 15 de la Ley 1369 de 2009, constituye la materialización de una obligación legal prevista por el legislador para las entidades públicas.</w:t>
      </w:r>
    </w:p>
    <w:p w14:paraId="726E6322" w14:textId="77777777" w:rsidR="00794876" w:rsidRPr="00C15525" w:rsidRDefault="00794876" w:rsidP="00794876">
      <w:pPr>
        <w:spacing w:line="278" w:lineRule="auto"/>
        <w:jc w:val="both"/>
        <w:rPr>
          <w:rFonts w:ascii="Verdana" w:hAnsi="Verdana"/>
        </w:rPr>
      </w:pPr>
      <w:r>
        <w:rPr>
          <w:rFonts w:ascii="Verdana" w:eastAsia="Arial" w:hAnsi="Verdana" w:cs="Arial"/>
          <w:lang w:val="es-ES" w:eastAsia="es-ES" w:bidi="es-ES"/>
        </w:rPr>
        <w:t xml:space="preserve">      </w:t>
      </w:r>
      <w:r w:rsidRPr="00C15525">
        <w:rPr>
          <w:rFonts w:ascii="Verdana" w:eastAsia="Arial" w:hAnsi="Verdana" w:cs="Arial"/>
          <w:lang w:val="es-ES" w:eastAsia="es-ES" w:bidi="es-ES"/>
        </w:rPr>
        <w:t xml:space="preserve">Para delimitar el alcance de esta obligación frente a las restricciones de la Ley de Garantías Electorales, resulta pertinente traer a colación el pronunciamiento de la Sala de Consulta y Servicio Civil del Consejo de Estado, el cual precisó, respecto del artículo 5 de la Ley 109 de 1994, que cuando excepcionalmente el contrato o convenio interadministrativo es ordenado por </w:t>
      </w:r>
      <w:r w:rsidRPr="00C15525">
        <w:rPr>
          <w:rFonts w:ascii="Verdana" w:eastAsia="Arial" w:hAnsi="Verdana" w:cs="Arial"/>
          <w:lang w:val="es-ES" w:eastAsia="es-ES" w:bidi="es-ES"/>
        </w:rPr>
        <w:lastRenderedPageBreak/>
        <w:t>una ley, su celebración no resultaría violatoria de la restricción a la contratación directa contenida en la Ley 996 de 2005</w:t>
      </w:r>
    </w:p>
    <w:p w14:paraId="0FDDF0FD" w14:textId="77777777" w:rsidR="00794876" w:rsidRPr="00C15525" w:rsidRDefault="00794876" w:rsidP="00794876">
      <w:pPr>
        <w:widowControl w:val="0"/>
        <w:autoSpaceDE w:val="0"/>
        <w:autoSpaceDN w:val="0"/>
        <w:spacing w:after="120" w:line="276" w:lineRule="auto"/>
        <w:ind w:firstLine="709"/>
        <w:jc w:val="both"/>
        <w:rPr>
          <w:rFonts w:ascii="Verdana" w:eastAsia="Arial" w:hAnsi="Verdana" w:cs="Arial"/>
          <w:lang w:eastAsia="es-ES" w:bidi="es-ES"/>
        </w:rPr>
      </w:pPr>
      <w:r w:rsidRPr="00C15525">
        <w:rPr>
          <w:rFonts w:ascii="Verdana" w:eastAsia="Arial" w:hAnsi="Verdana" w:cs="Arial"/>
          <w:lang w:eastAsia="es-ES" w:bidi="es-ES"/>
        </w:rPr>
        <w:t xml:space="preserve">Bajo esta perspectiva, y a la luz del concepto del Consejo de Estado sobre el alcance de la norma en mención, puede sostenerse que los contratos que se celebren con </w:t>
      </w:r>
      <w:r w:rsidRPr="00C723BE">
        <w:rPr>
          <w:rFonts w:ascii="Verdana" w:hAnsi="Verdana"/>
        </w:rPr>
        <w:t>el Operador Postal Oficial es Servicios Postales Nacionales S.A.S. (4-72)</w:t>
      </w:r>
      <w:r w:rsidRPr="00C15525">
        <w:rPr>
          <w:rFonts w:ascii="Verdana" w:eastAsia="Arial" w:hAnsi="Verdana" w:cs="Arial"/>
          <w:lang w:eastAsia="es-ES" w:bidi="es-ES"/>
        </w:rPr>
        <w:t xml:space="preserve"> en cumplimiento de lo dispuesto en el </w:t>
      </w:r>
      <w:r w:rsidRPr="00C723BE">
        <w:rPr>
          <w:rFonts w:ascii="Verdana" w:hAnsi="Verdana"/>
        </w:rPr>
        <w:t>artículo 15 de la Ley 1369 de 2009</w:t>
      </w:r>
      <w:r>
        <w:rPr>
          <w:rFonts w:ascii="Verdana" w:hAnsi="Verdana"/>
        </w:rPr>
        <w:t>,</w:t>
      </w:r>
      <w:r w:rsidRPr="00C15525">
        <w:rPr>
          <w:rFonts w:ascii="Verdana" w:eastAsia="Arial" w:hAnsi="Verdana" w:cs="Arial"/>
          <w:lang w:eastAsia="es-ES" w:bidi="es-ES"/>
        </w:rPr>
        <w:t xml:space="preserve"> no se encontrarían sometidos a las restricciones previstas en la Ley 996 de 2005, en la medida en que su celebración obedece al cumplimiento de un mandato legal expreso.</w:t>
      </w:r>
    </w:p>
    <w:p w14:paraId="5072C119" w14:textId="77777777" w:rsidR="00794876" w:rsidRDefault="00794876" w:rsidP="00794876">
      <w:pPr>
        <w:spacing w:after="0" w:line="276" w:lineRule="auto"/>
        <w:ind w:firstLine="708"/>
        <w:jc w:val="both"/>
        <w:rPr>
          <w:rFonts w:ascii="Verdana" w:eastAsia="Calibri" w:hAnsi="Verdana" w:cs="Arial"/>
          <w:bCs/>
          <w:color w:val="000000" w:themeColor="text1"/>
          <w:lang w:val="es-ES" w:eastAsia="es-ES" w:bidi="es-ES"/>
        </w:rPr>
      </w:pPr>
      <w:r w:rsidRPr="00C15525">
        <w:rPr>
          <w:rFonts w:ascii="Verdana" w:eastAsia="Arial" w:hAnsi="Verdana" w:cs="Arial"/>
          <w:lang w:eastAsia="es-ES" w:bidi="es-ES"/>
        </w:rPr>
        <w:t>No obstante, en cada caso concreto la entidad deberá efectuar un análisis riguroso de la prestación que se pretende satisfacer mediante la celebración del respectivo contrato, a fin de verificar que su objeto y alcance se encuentren efectivamente comprendidos dentro de lo previsto en el</w:t>
      </w:r>
      <w:r>
        <w:rPr>
          <w:rFonts w:ascii="Verdana" w:eastAsia="Arial" w:hAnsi="Verdana" w:cs="Arial"/>
          <w:lang w:eastAsia="es-ES" w:bidi="es-ES"/>
        </w:rPr>
        <w:t xml:space="preserve">  </w:t>
      </w:r>
      <w:r w:rsidRPr="00C723BE">
        <w:rPr>
          <w:rFonts w:ascii="Verdana" w:hAnsi="Verdana"/>
        </w:rPr>
        <w:t xml:space="preserve"> artículo 15 de la Ley 1369 de 2009</w:t>
      </w:r>
      <w:r w:rsidRPr="00C15525">
        <w:rPr>
          <w:rFonts w:ascii="Verdana" w:eastAsia="Arial" w:hAnsi="Verdana" w:cs="Arial"/>
          <w:lang w:eastAsia="es-ES" w:bidi="es-ES"/>
        </w:rPr>
        <w:t xml:space="preserve">. </w:t>
      </w:r>
      <w:r w:rsidRPr="00C15525">
        <w:rPr>
          <w:rFonts w:ascii="Verdana" w:eastAsia="Calibri" w:hAnsi="Verdana" w:cs="Arial"/>
          <w:bCs/>
          <w:color w:val="000000" w:themeColor="text1"/>
          <w:lang w:val="es-ES" w:eastAsia="es-ES" w:bidi="es-ES"/>
        </w:rPr>
        <w:t>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5D66B5D8" w14:textId="77777777" w:rsidR="00794876" w:rsidRDefault="00794876" w:rsidP="00794876">
      <w:pPr>
        <w:spacing w:after="0" w:line="276" w:lineRule="auto"/>
        <w:ind w:firstLine="708"/>
        <w:jc w:val="both"/>
        <w:rPr>
          <w:rFonts w:ascii="Verdana" w:eastAsia="Calibri" w:hAnsi="Verdana" w:cs="Arial"/>
          <w:bCs/>
          <w:color w:val="000000" w:themeColor="text1"/>
          <w:lang w:val="es-ES" w:eastAsia="es-ES" w:bidi="es-ES"/>
        </w:rPr>
      </w:pPr>
    </w:p>
    <w:p w14:paraId="485B1089" w14:textId="77777777" w:rsidR="00794876" w:rsidRPr="00C15525" w:rsidRDefault="00794876" w:rsidP="00794876">
      <w:pPr>
        <w:spacing w:after="0" w:line="276" w:lineRule="auto"/>
        <w:ind w:firstLine="708"/>
        <w:jc w:val="both"/>
        <w:rPr>
          <w:rFonts w:ascii="Verdana" w:eastAsia="Calibri" w:hAnsi="Verdana" w:cs="Arial"/>
          <w:bCs/>
          <w:color w:val="000000" w:themeColor="text1"/>
        </w:rPr>
      </w:pPr>
      <w:r w:rsidRPr="00C15525">
        <w:rPr>
          <w:rFonts w:ascii="Verdana" w:eastAsia="Calibri"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0D0D6D96" w14:textId="77777777" w:rsidR="00794876" w:rsidRPr="00C15525" w:rsidRDefault="00794876" w:rsidP="00794876">
      <w:pPr>
        <w:tabs>
          <w:tab w:val="left" w:pos="709"/>
        </w:tabs>
        <w:spacing w:after="0" w:line="276" w:lineRule="auto"/>
        <w:jc w:val="both"/>
        <w:rPr>
          <w:rFonts w:ascii="Verdana" w:eastAsia="Calibri" w:hAnsi="Verdana" w:cs="Arial"/>
          <w:color w:val="000000" w:themeColor="text1"/>
        </w:rPr>
      </w:pPr>
    </w:p>
    <w:p w14:paraId="5731CC23" w14:textId="77777777" w:rsidR="00794876" w:rsidRPr="00C15525" w:rsidRDefault="00794876" w:rsidP="00794876">
      <w:pPr>
        <w:numPr>
          <w:ilvl w:val="0"/>
          <w:numId w:val="18"/>
        </w:numPr>
        <w:tabs>
          <w:tab w:val="left" w:pos="142"/>
          <w:tab w:val="left" w:pos="284"/>
        </w:tabs>
        <w:spacing w:after="0" w:line="276" w:lineRule="auto"/>
        <w:ind w:hanging="6601"/>
        <w:contextualSpacing/>
        <w:jc w:val="both"/>
        <w:rPr>
          <w:rFonts w:ascii="Verdana" w:eastAsia="Century Gothic" w:hAnsi="Verdana" w:cs="Century Gothic"/>
          <w:b/>
          <w:bCs/>
          <w:lang w:val="es-ES"/>
        </w:rPr>
      </w:pPr>
      <w:r w:rsidRPr="00C15525">
        <w:rPr>
          <w:rFonts w:ascii="Verdana" w:eastAsia="Century Gothic" w:hAnsi="Verdana" w:cs="Century Gothic"/>
          <w:b/>
          <w:bCs/>
          <w:lang w:val="es-ES"/>
        </w:rPr>
        <w:t>Referencias normativas:</w:t>
      </w:r>
    </w:p>
    <w:p w14:paraId="2C714C58" w14:textId="77777777" w:rsidR="00794876" w:rsidRPr="00C15525" w:rsidRDefault="00794876" w:rsidP="00794876">
      <w:pPr>
        <w:widowControl w:val="0"/>
        <w:autoSpaceDE w:val="0"/>
        <w:autoSpaceDN w:val="0"/>
        <w:spacing w:after="0" w:line="276" w:lineRule="auto"/>
        <w:jc w:val="both"/>
        <w:rPr>
          <w:rFonts w:ascii="Verdana" w:hAnsi="Verdana" w:cs="Arial"/>
        </w:rPr>
      </w:pPr>
    </w:p>
    <w:tbl>
      <w:tblPr>
        <w:tblStyle w:val="Tablaconcuadrcula"/>
        <w:tblW w:w="8640"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794876" w:rsidRPr="00C15525" w14:paraId="396A4AF2" w14:textId="77777777" w:rsidTr="000E7260">
        <w:trPr>
          <w:trHeight w:val="870"/>
          <w:jc w:val="center"/>
        </w:trPr>
        <w:tc>
          <w:tcPr>
            <w:tcW w:w="8647" w:type="dxa"/>
            <w:tcBorders>
              <w:top w:val="dotted" w:sz="4" w:space="0" w:color="auto"/>
              <w:left w:val="dotted" w:sz="4" w:space="0" w:color="auto"/>
              <w:bottom w:val="dotted" w:sz="4" w:space="0" w:color="auto"/>
              <w:right w:val="dotted" w:sz="4" w:space="0" w:color="auto"/>
            </w:tcBorders>
            <w:hideMark/>
          </w:tcPr>
          <w:p w14:paraId="118AA43D" w14:textId="77777777" w:rsidR="00794876" w:rsidRPr="00C15525" w:rsidRDefault="00794876" w:rsidP="00794876">
            <w:pPr>
              <w:widowControl w:val="0"/>
              <w:numPr>
                <w:ilvl w:val="0"/>
                <w:numId w:val="17"/>
              </w:numPr>
              <w:autoSpaceDE w:val="0"/>
              <w:autoSpaceDN w:val="0"/>
              <w:spacing w:after="120" w:line="276" w:lineRule="auto"/>
              <w:ind w:left="714" w:hanging="357"/>
              <w:contextualSpacing/>
              <w:jc w:val="both"/>
              <w:rPr>
                <w:rFonts w:ascii="Verdana" w:hAnsi="Verdana" w:cs="Arial"/>
                <w:lang w:val="es-ES"/>
              </w:rPr>
            </w:pPr>
            <w:r w:rsidRPr="00C15525">
              <w:rPr>
                <w:rFonts w:ascii="Verdana" w:hAnsi="Verdana" w:cs="Arial"/>
                <w:lang w:val="es-ES"/>
              </w:rPr>
              <w:t>Constitución Política de Colombia, artículos 6, 127, 190 y 197.</w:t>
            </w:r>
          </w:p>
          <w:p w14:paraId="0ECB6A97" w14:textId="77777777" w:rsidR="00794876" w:rsidRPr="00C15525" w:rsidRDefault="00794876" w:rsidP="00794876">
            <w:pPr>
              <w:widowControl w:val="0"/>
              <w:numPr>
                <w:ilvl w:val="0"/>
                <w:numId w:val="17"/>
              </w:numPr>
              <w:autoSpaceDE w:val="0"/>
              <w:autoSpaceDN w:val="0"/>
              <w:spacing w:after="120" w:line="276" w:lineRule="auto"/>
              <w:ind w:left="714" w:hanging="357"/>
              <w:contextualSpacing/>
              <w:jc w:val="both"/>
              <w:rPr>
                <w:rFonts w:ascii="Verdana" w:hAnsi="Verdana" w:cs="Arial"/>
                <w:lang w:val="es-ES"/>
              </w:rPr>
            </w:pPr>
            <w:r w:rsidRPr="00C15525">
              <w:rPr>
                <w:rFonts w:ascii="Verdana" w:hAnsi="Verdana" w:cs="Arial"/>
                <w:lang w:val="es-ES"/>
              </w:rPr>
              <w:t>Ley 80 de 1993, artículos 2 y 42.</w:t>
            </w:r>
          </w:p>
          <w:p w14:paraId="2CC4DFB3" w14:textId="77777777" w:rsidR="00794876" w:rsidRPr="00C15525" w:rsidRDefault="00794876" w:rsidP="00794876">
            <w:pPr>
              <w:widowControl w:val="0"/>
              <w:numPr>
                <w:ilvl w:val="0"/>
                <w:numId w:val="17"/>
              </w:numPr>
              <w:autoSpaceDE w:val="0"/>
              <w:autoSpaceDN w:val="0"/>
              <w:spacing w:after="120" w:line="276" w:lineRule="auto"/>
              <w:ind w:left="714" w:hanging="357"/>
              <w:contextualSpacing/>
              <w:jc w:val="both"/>
              <w:rPr>
                <w:rFonts w:ascii="Verdana" w:hAnsi="Verdana" w:cs="Arial"/>
                <w:lang w:val="es-ES"/>
              </w:rPr>
            </w:pPr>
            <w:r w:rsidRPr="00C15525">
              <w:rPr>
                <w:rFonts w:ascii="Verdana" w:hAnsi="Verdana" w:cs="Arial"/>
                <w:lang w:val="es-ES"/>
              </w:rPr>
              <w:t>Ley 996 de 2005, artículos 33 y 38.</w:t>
            </w:r>
          </w:p>
          <w:p w14:paraId="17C69C63" w14:textId="77777777" w:rsidR="00794876" w:rsidRPr="00C15525" w:rsidRDefault="00794876" w:rsidP="00794876">
            <w:pPr>
              <w:widowControl w:val="0"/>
              <w:numPr>
                <w:ilvl w:val="0"/>
                <w:numId w:val="17"/>
              </w:numPr>
              <w:autoSpaceDE w:val="0"/>
              <w:autoSpaceDN w:val="0"/>
              <w:spacing w:after="120" w:line="276" w:lineRule="auto"/>
              <w:ind w:left="714" w:hanging="357"/>
              <w:contextualSpacing/>
              <w:jc w:val="both"/>
              <w:rPr>
                <w:rFonts w:ascii="Verdana" w:hAnsi="Verdana" w:cs="Arial"/>
                <w:lang w:val="es-ES"/>
              </w:rPr>
            </w:pPr>
            <w:r w:rsidRPr="00C723BE">
              <w:rPr>
                <w:rFonts w:ascii="Verdana" w:hAnsi="Verdana"/>
              </w:rPr>
              <w:lastRenderedPageBreak/>
              <w:t>Ley 1369 de 2009</w:t>
            </w:r>
            <w:r>
              <w:rPr>
                <w:rFonts w:ascii="Verdana" w:hAnsi="Verdana"/>
              </w:rPr>
              <w:t xml:space="preserve">, </w:t>
            </w:r>
            <w:r w:rsidRPr="00C723BE">
              <w:rPr>
                <w:rFonts w:ascii="Verdana" w:hAnsi="Verdana"/>
              </w:rPr>
              <w:t>artículo 15</w:t>
            </w:r>
            <w:r>
              <w:rPr>
                <w:rFonts w:ascii="Verdana" w:hAnsi="Verdana"/>
              </w:rPr>
              <w:t>.</w:t>
            </w:r>
          </w:p>
        </w:tc>
      </w:tr>
    </w:tbl>
    <w:p w14:paraId="3DC9FC9B" w14:textId="77777777" w:rsidR="00794876" w:rsidRPr="00C15525" w:rsidRDefault="00794876" w:rsidP="00794876">
      <w:pPr>
        <w:widowControl w:val="0"/>
        <w:autoSpaceDE w:val="0"/>
        <w:autoSpaceDN w:val="0"/>
        <w:spacing w:after="0" w:line="276" w:lineRule="auto"/>
        <w:jc w:val="both"/>
        <w:rPr>
          <w:rFonts w:ascii="Verdana" w:hAnsi="Verdana" w:cs="Arial"/>
        </w:rPr>
      </w:pPr>
    </w:p>
    <w:p w14:paraId="08ECA638" w14:textId="77777777" w:rsidR="00794876" w:rsidRPr="00C15525" w:rsidRDefault="00794876" w:rsidP="00794876">
      <w:pPr>
        <w:numPr>
          <w:ilvl w:val="0"/>
          <w:numId w:val="18"/>
        </w:numPr>
        <w:tabs>
          <w:tab w:val="left" w:pos="142"/>
          <w:tab w:val="left" w:pos="284"/>
        </w:tabs>
        <w:spacing w:after="0" w:line="276" w:lineRule="auto"/>
        <w:ind w:hanging="6601"/>
        <w:contextualSpacing/>
        <w:jc w:val="both"/>
        <w:rPr>
          <w:rFonts w:ascii="Verdana" w:eastAsia="Century Gothic" w:hAnsi="Verdana" w:cs="Century Gothic"/>
          <w:b/>
          <w:bCs/>
          <w:lang w:val="es-ES"/>
        </w:rPr>
      </w:pPr>
      <w:r w:rsidRPr="00C15525">
        <w:rPr>
          <w:rFonts w:ascii="Verdana" w:eastAsia="Century Gothic" w:hAnsi="Verdana" w:cs="Century Gothic"/>
          <w:b/>
          <w:bCs/>
          <w:lang w:val="es-ES"/>
        </w:rPr>
        <w:t>Doctrina de la Agencia Nacional de Contratación Pública:</w:t>
      </w:r>
    </w:p>
    <w:p w14:paraId="79B178FF" w14:textId="77777777" w:rsidR="00794876" w:rsidRPr="00C15525" w:rsidRDefault="00794876" w:rsidP="00794876">
      <w:pPr>
        <w:widowControl w:val="0"/>
        <w:autoSpaceDE w:val="0"/>
        <w:autoSpaceDN w:val="0"/>
        <w:spacing w:after="0" w:line="276" w:lineRule="auto"/>
        <w:jc w:val="both"/>
        <w:rPr>
          <w:rFonts w:ascii="Verdana" w:hAnsi="Verdana" w:cs="Arial"/>
        </w:rPr>
      </w:pPr>
    </w:p>
    <w:p w14:paraId="287BD9DB" w14:textId="77777777" w:rsidR="00794876" w:rsidRPr="00C15525" w:rsidRDefault="00794876" w:rsidP="00794876">
      <w:pPr>
        <w:widowControl w:val="0"/>
        <w:autoSpaceDE w:val="0"/>
        <w:autoSpaceDN w:val="0"/>
        <w:spacing w:after="0" w:line="276" w:lineRule="auto"/>
        <w:jc w:val="both"/>
        <w:rPr>
          <w:shd w:val="clear" w:color="auto" w:fill="FFFFFF"/>
        </w:rPr>
      </w:pPr>
      <w:r w:rsidRPr="00C15525">
        <w:rPr>
          <w:rFonts w:ascii="Verdana" w:hAnsi="Verdana" w:cs="Arial"/>
          <w:shd w:val="clear" w:color="auto" w:fill="FFFFFF"/>
        </w:rPr>
        <w:t>Esta Subdirección se ha pronunciado sobre la finalidad y propósito de la Ley de Garantías Electorales en los Conceptos C-227 del 24 de mayo de 2021, C-396 del 13 de agosto de 2021, C-439 del 27 de agosto de 2021, C-481 del 9 de septiembre de 2021, C-528 del 27 de septiembre de 2021, C-550 del 5 de octubre de 2021, C-523 del 10 de octubre de 2021, C-606 del 28 de octubre de 2021, C-614 del 2 de noviembre de 2021, C-634 del 11 de noviembre de 2021, C-636 del 16 de noviembre de 2021, C-681 del 7 de diciembre de 2021, C-686 del 21 de diciembre de 2021, C-054 del 22 de marzo de 2022, C-179 del 8 de abril de 2022, C-161 del 17 de mayo de 2022, C- 180 del 21 de marzo de 2025, C-696 del 11 de julio de 2025, C-708 del 15 de julio de 2025, C-1186 del 17 de septiembre de 2025 y C-1350 del 1˚ de octubre de 2025</w:t>
      </w:r>
      <w:r w:rsidRPr="00C15525">
        <w:rPr>
          <w:rFonts w:ascii="Verdana" w:hAnsi="Verdana"/>
        </w:rPr>
        <w:t>.</w:t>
      </w:r>
      <w:r w:rsidRPr="00C15525">
        <w:rPr>
          <w:rFonts w:ascii="Verdana" w:hAnsi="Verdana" w:cs="Arial"/>
          <w:shd w:val="clear" w:color="auto" w:fill="FFFFFF"/>
        </w:rPr>
        <w:t xml:space="preserve"> Estos y otros se encuentran disponibles para consulta en el Sistema de relatoría de la Agencia, al cual puede accederse a través del siguiente enlace: </w:t>
      </w:r>
      <w:hyperlink r:id="rId12" w:history="1">
        <w:r w:rsidRPr="00C15525">
          <w:rPr>
            <w:rFonts w:ascii="Verdana" w:hAnsi="Verdana" w:cs="Arial"/>
            <w:color w:val="0000FF"/>
            <w:u w:val="single"/>
            <w:shd w:val="clear" w:color="auto" w:fill="FFFFFF"/>
          </w:rPr>
          <w:t>https://relatoria.colombiacompra.gov.co/busqueda/conceptos</w:t>
        </w:r>
      </w:hyperlink>
      <w:r w:rsidRPr="00C15525">
        <w:rPr>
          <w:rFonts w:ascii="Verdana" w:hAnsi="Verdana" w:cs="Arial"/>
          <w:shd w:val="clear" w:color="auto" w:fill="FFFFFF"/>
        </w:rPr>
        <w:t xml:space="preserve">. </w:t>
      </w:r>
      <w:r w:rsidRPr="00C15525">
        <w:rPr>
          <w:rFonts w:ascii="Verdana" w:hAnsi="Verdana" w:cs="Arial"/>
          <w:color w:val="FF0000"/>
          <w:shd w:val="clear" w:color="auto" w:fill="FFFFFF"/>
          <w:lang w:val="es-ES"/>
        </w:rPr>
        <w:t xml:space="preserve"> </w:t>
      </w:r>
    </w:p>
    <w:p w14:paraId="32616CEB" w14:textId="77777777" w:rsidR="00794876" w:rsidRPr="00C15525" w:rsidRDefault="00794876" w:rsidP="00794876">
      <w:pPr>
        <w:widowControl w:val="0"/>
        <w:autoSpaceDE w:val="0"/>
        <w:autoSpaceDN w:val="0"/>
        <w:spacing w:after="0" w:line="276" w:lineRule="auto"/>
        <w:jc w:val="both"/>
        <w:rPr>
          <w:color w:val="000000" w:themeColor="text1"/>
        </w:rPr>
      </w:pPr>
    </w:p>
    <w:p w14:paraId="5E9C3C5A" w14:textId="77777777" w:rsidR="00794876" w:rsidRPr="00C15525" w:rsidRDefault="00794876" w:rsidP="00794876">
      <w:pPr>
        <w:jc w:val="both"/>
        <w:rPr>
          <w:rFonts w:ascii="Verdana" w:hAnsi="Verdana"/>
        </w:rPr>
      </w:pPr>
      <w:r w:rsidRPr="00C15525">
        <w:rPr>
          <w:rFonts w:ascii="Verdana" w:hAnsi="Verdana"/>
        </w:rPr>
        <w:t xml:space="preserve">La sostenibilidad no es una opción, es una obligación. Por ello, la Agencia Nacional de Contratación Pública –Colombia Compra Eficiente– te invita a realizar el </w:t>
      </w:r>
      <w:r w:rsidRPr="00C15525">
        <w:rPr>
          <w:rFonts w:ascii="Verdana" w:hAnsi="Verdana"/>
          <w:b/>
          <w:bCs/>
        </w:rPr>
        <w:t>Curso de Contratación Pública Sostenible y Socialmente Responsable</w:t>
      </w:r>
      <w:r w:rsidRPr="00C15525">
        <w:rPr>
          <w:rFonts w:ascii="Verdana" w:hAnsi="Verdana"/>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C15525">
        <w:rPr>
          <w:rFonts w:ascii="Verdana" w:hAnsi="Verdana"/>
        </w:rPr>
        <w:br/>
      </w:r>
      <w:hyperlink r:id="rId13" w:tgtFrame="_new" w:history="1">
        <w:r w:rsidRPr="00C15525">
          <w:rPr>
            <w:rFonts w:ascii="Verdana" w:hAnsi="Verdana"/>
            <w:color w:val="0000FF"/>
            <w:u w:val="single"/>
          </w:rPr>
          <w:t>https://formacionvirtual.colombiacompra.gov.co/mod/page/view.php?id=3718</w:t>
        </w:r>
      </w:hyperlink>
    </w:p>
    <w:p w14:paraId="2AC41F64" w14:textId="77777777" w:rsidR="00794876" w:rsidRPr="00C15525" w:rsidRDefault="00794876" w:rsidP="00794876">
      <w:pPr>
        <w:jc w:val="both"/>
        <w:rPr>
          <w:rFonts w:ascii="Verdana" w:hAnsi="Verdana"/>
        </w:rPr>
      </w:pPr>
      <w:r w:rsidRPr="00C15525">
        <w:rPr>
          <w:rFonts w:ascii="Verdana" w:hAnsi="Verdana"/>
        </w:rPr>
        <w:t xml:space="preserve">De otro lado, te contamos que esta Agencia ha da un paso decisivo en la estandarización y modernización del </w:t>
      </w:r>
      <w:r w:rsidRPr="00C15525">
        <w:rPr>
          <w:rFonts w:ascii="Verdana" w:hAnsi="Verdana"/>
          <w:b/>
          <w:bCs/>
        </w:rPr>
        <w:t>sector  social</w:t>
      </w:r>
      <w:r w:rsidRPr="00C15525">
        <w:rPr>
          <w:rFonts w:ascii="Verdana" w:hAnsi="Verdana"/>
        </w:rPr>
        <w:t xml:space="preserve"> con la expedición de las </w:t>
      </w:r>
      <w:r w:rsidRPr="00C15525">
        <w:rPr>
          <w:rFonts w:ascii="Verdana" w:hAnsi="Verdana"/>
          <w:b/>
          <w:bCs/>
        </w:rPr>
        <w:t>Resoluciones 539, 540, 541, 952 y 953 de 2025</w:t>
      </w:r>
      <w:r w:rsidRPr="00C15525">
        <w:rPr>
          <w:rFonts w:ascii="Verdana" w:hAnsi="Verdana"/>
        </w:rPr>
        <w:t xml:space="preserve">, </w:t>
      </w:r>
      <w:r w:rsidRPr="00C15525">
        <w:rPr>
          <w:rFonts w:ascii="Verdana" w:hAnsi="Verdana"/>
          <w:b/>
          <w:bCs/>
        </w:rPr>
        <w:t>mediante las cuales adoptó Documentos Tipo</w:t>
      </w:r>
      <w:r w:rsidRPr="00C15525">
        <w:rPr>
          <w:rFonts w:ascii="Verdana" w:hAnsi="Verdana"/>
        </w:rPr>
        <w:t xml:space="preserve"> para las modalidades de selección de</w:t>
      </w:r>
      <w:r w:rsidRPr="00C15525">
        <w:rPr>
          <w:rFonts w:ascii="Verdana" w:hAnsi="Verdana"/>
          <w:b/>
          <w:bCs/>
        </w:rPr>
        <w:t xml:space="preserve"> licitación pública (versión 2), selección abreviada de menor cuantía, mínima cuantía, consultoría e interventoría</w:t>
      </w:r>
      <w:r w:rsidRPr="00C15525">
        <w:rPr>
          <w:rFonts w:ascii="Verdana" w:hAnsi="Verdana"/>
        </w:rPr>
        <w:t xml:space="preserve">, promoviendo procesos más transparentes, eficientes  competitivos y sostenibles en sectores estratégicos como educación, salud, cultura, recreación, deporte, institucional y vivienda. </w:t>
      </w:r>
      <w:r w:rsidRPr="00C15525">
        <w:rPr>
          <w:rFonts w:ascii="Verdana" w:hAnsi="Verdana"/>
        </w:rPr>
        <w:lastRenderedPageBreak/>
        <w:t xml:space="preserve">Consulta y descarga los documentos aquí: </w:t>
      </w:r>
      <w:hyperlink r:id="rId14" w:tgtFrame="_new" w:history="1">
        <w:r w:rsidRPr="00C15525">
          <w:rPr>
            <w:rFonts w:ascii="Verdana" w:hAnsi="Verdana"/>
            <w:color w:val="0000FF"/>
            <w:u w:val="single"/>
          </w:rPr>
          <w:t>https://www.colombiacompra.gov.co/normativa-y-relatoria/documentos-tipo</w:t>
        </w:r>
      </w:hyperlink>
    </w:p>
    <w:p w14:paraId="40F4F8E0" w14:textId="77777777" w:rsidR="00794876" w:rsidRPr="00C15525" w:rsidRDefault="00794876" w:rsidP="00794876">
      <w:pPr>
        <w:jc w:val="both"/>
        <w:rPr>
          <w:rFonts w:ascii="Verdana" w:hAnsi="Verdana"/>
          <w:color w:val="000000"/>
          <w:lang w:val="es-ES_tradnl"/>
        </w:rPr>
      </w:pPr>
      <w:r w:rsidRPr="00C15525">
        <w:rPr>
          <w:rFonts w:ascii="Verdana" w:hAnsi="Verdana"/>
        </w:rPr>
        <w:t xml:space="preserve">Si quieres conocer más sobre la aplicación de Documentos Tipo puedes consultar la última versión de la </w:t>
      </w:r>
      <w:r w:rsidRPr="00C15525">
        <w:rPr>
          <w:rFonts w:ascii="Verdana" w:hAnsi="Verdana"/>
          <w:b/>
          <w:bCs/>
        </w:rPr>
        <w:t>Guía para la comprensión e implementación de los Documentos Tipo de obra pública de infraestructura de transporte</w:t>
      </w:r>
      <w:r w:rsidRPr="00C15525">
        <w:rPr>
          <w:rFonts w:ascii="Verdana" w:hAnsi="Verdana"/>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C15525">
        <w:rPr>
          <w:rFonts w:ascii="Verdana" w:hAnsi="Verdana"/>
        </w:rPr>
        <w:br/>
      </w:r>
      <w:hyperlink r:id="rId15" w:tgtFrame="_new" w:history="1">
        <w:r w:rsidRPr="00C15525">
          <w:rPr>
            <w:rFonts w:ascii="Verdana" w:hAnsi="Verdana"/>
            <w:color w:val="0000FF"/>
            <w:u w:val="single"/>
          </w:rPr>
          <w:t>https://www.colombiacompra.gov.co/archivos/manual/guia-para-la-comprension-e-implementacion-de-los-documentos-tipo-de-obra-publica-de-infraestructura-de-transporte-bajo-las-diferentes-modalidades-de-contratacion-vigentes</w:t>
        </w:r>
      </w:hyperlink>
    </w:p>
    <w:p w14:paraId="10FC7009" w14:textId="77777777" w:rsidR="00794876" w:rsidRPr="00C15525" w:rsidRDefault="00794876" w:rsidP="00794876">
      <w:pPr>
        <w:spacing w:after="0"/>
        <w:jc w:val="both"/>
        <w:rPr>
          <w:rFonts w:ascii="Verdana" w:hAnsi="Verdana"/>
        </w:rPr>
      </w:pPr>
      <w:r w:rsidRPr="00C15525">
        <w:rPr>
          <w:rFonts w:ascii="Verdana" w:hAnsi="Verdana"/>
        </w:rPr>
        <w:t xml:space="preserve">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3F62C7C3" w14:textId="77777777" w:rsidR="00794876" w:rsidRPr="00C15525" w:rsidRDefault="00794876" w:rsidP="00794876">
      <w:pPr>
        <w:spacing w:after="0"/>
        <w:jc w:val="both"/>
        <w:rPr>
          <w:rFonts w:ascii="Verdana" w:hAnsi="Verdana"/>
        </w:rPr>
      </w:pPr>
    </w:p>
    <w:p w14:paraId="4B964A0C" w14:textId="77777777" w:rsidR="00794876" w:rsidRPr="00C15525" w:rsidRDefault="00794876" w:rsidP="00794876">
      <w:pPr>
        <w:numPr>
          <w:ilvl w:val="0"/>
          <w:numId w:val="15"/>
        </w:numPr>
        <w:spacing w:after="0" w:line="240" w:lineRule="auto"/>
        <w:contextualSpacing/>
        <w:jc w:val="both"/>
        <w:rPr>
          <w:rFonts w:ascii="Verdana" w:eastAsia="Verdana" w:hAnsi="Verdana" w:cs="Verdana"/>
          <w:color w:val="4472C4" w:themeColor="accent1"/>
          <w:u w:val="single"/>
          <w:lang w:val="es-MX"/>
        </w:rPr>
      </w:pPr>
      <w:r w:rsidRPr="00C15525">
        <w:rPr>
          <w:rFonts w:ascii="Verdana" w:eastAsia="Verdana" w:hAnsi="Verdana" w:cs="Verdana"/>
          <w:lang w:val="es-MX"/>
        </w:rPr>
        <w:t xml:space="preserve">Línea nacional gratuita o servicio a la ciudadanía (Mesa de servicio): </w:t>
      </w:r>
      <w:r w:rsidRPr="00C15525">
        <w:rPr>
          <w:rFonts w:ascii="Verdana" w:hAnsi="Verdana"/>
          <w:color w:val="0000FF"/>
          <w:u w:val="single"/>
          <w:lang w:val="es-ES"/>
        </w:rPr>
        <w:t>01800 0520808</w:t>
      </w:r>
    </w:p>
    <w:p w14:paraId="5FA38FC4" w14:textId="77777777" w:rsidR="00794876" w:rsidRPr="00C15525" w:rsidRDefault="00794876" w:rsidP="00794876">
      <w:pPr>
        <w:numPr>
          <w:ilvl w:val="0"/>
          <w:numId w:val="15"/>
        </w:numPr>
        <w:spacing w:after="0" w:line="256" w:lineRule="auto"/>
        <w:contextualSpacing/>
        <w:rPr>
          <w:rFonts w:ascii="Verdana" w:eastAsia="Verdana" w:hAnsi="Verdana" w:cs="Verdana"/>
          <w:color w:val="4472C4" w:themeColor="accent1"/>
          <w:u w:val="single"/>
          <w:lang w:val="es-MX"/>
        </w:rPr>
      </w:pPr>
      <w:r w:rsidRPr="00C15525">
        <w:rPr>
          <w:rFonts w:ascii="Verdana" w:eastAsia="Verdana" w:hAnsi="Verdana" w:cs="Verdana"/>
          <w:lang w:val="es-MX"/>
        </w:rPr>
        <w:t>Línea en Bogotá (Mesa de servicio</w:t>
      </w:r>
      <w:proofErr w:type="gramStart"/>
      <w:r w:rsidRPr="00C15525">
        <w:rPr>
          <w:rFonts w:ascii="Verdana" w:eastAsia="Verdana" w:hAnsi="Verdana" w:cs="Verdana"/>
          <w:lang w:val="es-MX"/>
        </w:rPr>
        <w:t>):</w:t>
      </w:r>
      <w:r w:rsidRPr="00C15525">
        <w:rPr>
          <w:rFonts w:ascii="Verdana" w:hAnsi="Verdana"/>
          <w:color w:val="0000FF"/>
          <w:u w:val="single"/>
          <w:lang w:val="es-ES"/>
        </w:rPr>
        <w:t>+</w:t>
      </w:r>
      <w:proofErr w:type="gramEnd"/>
      <w:r w:rsidRPr="00C15525">
        <w:rPr>
          <w:rFonts w:ascii="Verdana" w:hAnsi="Verdana"/>
          <w:color w:val="0000FF"/>
          <w:u w:val="single"/>
          <w:lang w:val="es-ES"/>
        </w:rPr>
        <w:t>57 601 7456788</w:t>
      </w:r>
    </w:p>
    <w:p w14:paraId="20CF3124" w14:textId="77777777" w:rsidR="00794876" w:rsidRPr="00C15525" w:rsidRDefault="00794876" w:rsidP="00794876">
      <w:pPr>
        <w:numPr>
          <w:ilvl w:val="0"/>
          <w:numId w:val="15"/>
        </w:numPr>
        <w:spacing w:after="0" w:line="256" w:lineRule="auto"/>
        <w:contextualSpacing/>
        <w:rPr>
          <w:rFonts w:ascii="Verdana" w:eastAsia="Verdana" w:hAnsi="Verdana" w:cs="Verdana"/>
          <w:color w:val="0000FF"/>
          <w:u w:val="single"/>
          <w:lang w:val="es-MX"/>
        </w:rPr>
      </w:pPr>
      <w:r w:rsidRPr="00C15525">
        <w:rPr>
          <w:rFonts w:ascii="Verdana" w:eastAsia="Verdana" w:hAnsi="Verdana" w:cs="Verdana"/>
          <w:lang w:val="es-MX"/>
        </w:rPr>
        <w:t xml:space="preserve">Correo de radicación de correspondencia: </w:t>
      </w:r>
      <w:hyperlink r:id="rId16" w:history="1">
        <w:r w:rsidRPr="00C15525">
          <w:rPr>
            <w:rFonts w:ascii="Verdana" w:eastAsia="Verdana" w:hAnsi="Verdana" w:cs="Verdana"/>
            <w:color w:val="0000FF"/>
            <w:u w:val="single"/>
            <w:lang w:val="es-MX"/>
          </w:rPr>
          <w:t>ventanilladeradicacion@colombiacompra.gov.co</w:t>
        </w:r>
      </w:hyperlink>
    </w:p>
    <w:p w14:paraId="479CEAE0" w14:textId="77777777" w:rsidR="00794876" w:rsidRPr="00C15525" w:rsidRDefault="00794876" w:rsidP="00794876">
      <w:pPr>
        <w:numPr>
          <w:ilvl w:val="0"/>
          <w:numId w:val="15"/>
        </w:numPr>
        <w:spacing w:after="0" w:line="256" w:lineRule="auto"/>
        <w:contextualSpacing/>
        <w:rPr>
          <w:rFonts w:ascii="Verdana" w:eastAsia="Verdana" w:hAnsi="Verdana" w:cs="Verdana"/>
          <w:color w:val="0000FF"/>
          <w:u w:val="single"/>
          <w:lang w:val="es-MX"/>
        </w:rPr>
      </w:pPr>
      <w:r w:rsidRPr="00C15525">
        <w:rPr>
          <w:rFonts w:ascii="Verdana" w:eastAsia="Verdana" w:hAnsi="Verdana" w:cs="Verdana"/>
          <w:lang w:val="es-ES"/>
        </w:rPr>
        <w:t xml:space="preserve">Formulario web para PQRSD: </w:t>
      </w:r>
      <w:hyperlink r:id="rId17" w:history="1">
        <w:r w:rsidRPr="00C15525">
          <w:rPr>
            <w:rFonts w:ascii="Verdana" w:eastAsia="Verdana" w:hAnsi="Verdana" w:cs="Verdana"/>
            <w:color w:val="0000FF"/>
            <w:u w:val="single"/>
            <w:lang w:val="es-MX"/>
          </w:rPr>
          <w:t>https://www.colombiacompra.gov.co/pqrsd/informacion-importante-antes-de-formular-una-pqrsd</w:t>
        </w:r>
      </w:hyperlink>
    </w:p>
    <w:p w14:paraId="69EB6113" w14:textId="77777777" w:rsidR="00794876" w:rsidRPr="00C15525" w:rsidRDefault="00794876" w:rsidP="00794876">
      <w:pPr>
        <w:spacing w:after="0" w:line="240" w:lineRule="auto"/>
        <w:ind w:left="720"/>
        <w:jc w:val="both"/>
        <w:rPr>
          <w:rFonts w:ascii="Verdana" w:hAnsi="Verdana"/>
        </w:rPr>
      </w:pPr>
    </w:p>
    <w:p w14:paraId="05F7FD9B" w14:textId="77777777" w:rsidR="00794876" w:rsidRPr="00C15525" w:rsidRDefault="00794876" w:rsidP="00794876">
      <w:pPr>
        <w:spacing w:after="0" w:line="240" w:lineRule="auto"/>
        <w:rPr>
          <w:rFonts w:ascii="Verdana" w:hAnsi="Verdana"/>
        </w:rPr>
      </w:pPr>
      <w:r w:rsidRPr="00C15525">
        <w:rPr>
          <w:rFonts w:ascii="Verdana" w:hAnsi="Verdana"/>
        </w:rPr>
        <w:t xml:space="preserve">Evalúa el servicio que ofrece la Agencia por el canal de atención de PQRSD en el siguiente </w:t>
      </w:r>
      <w:proofErr w:type="gramStart"/>
      <w:r w:rsidRPr="00C15525">
        <w:rPr>
          <w:rFonts w:ascii="Verdana" w:hAnsi="Verdana"/>
        </w:rPr>
        <w:t>enlace :</w:t>
      </w:r>
      <w:proofErr w:type="gramEnd"/>
      <w:hyperlink r:id="rId18" w:tgtFrame="_blank" w:tooltip="https://forms.office.com/r/pphywvs2sz" w:history="1">
        <w:r w:rsidRPr="00C15525">
          <w:rPr>
            <w:rFonts w:ascii="Verdana" w:hAnsi="Verdana"/>
            <w:color w:val="0000FF"/>
            <w:u w:val="single"/>
          </w:rPr>
          <w:t>https://forms.office.com/r/pPHyWVs2SZ</w:t>
        </w:r>
      </w:hyperlink>
      <w:r w:rsidRPr="00C15525">
        <w:rPr>
          <w:rFonts w:ascii="Verdana" w:hAnsi="Verdana"/>
        </w:rPr>
        <w:t xml:space="preserve"> .¡Ayúdanos a mejorar porque el compromiso es de todos!</w:t>
      </w:r>
    </w:p>
    <w:p w14:paraId="15C8E5C6" w14:textId="77777777" w:rsidR="00794876" w:rsidRPr="00C15525" w:rsidRDefault="00794876" w:rsidP="00794876">
      <w:pPr>
        <w:spacing w:after="0" w:line="240" w:lineRule="auto"/>
        <w:rPr>
          <w:rFonts w:ascii="Verdana" w:hAnsi="Verdana"/>
        </w:rPr>
      </w:pPr>
    </w:p>
    <w:p w14:paraId="572394D3" w14:textId="77777777" w:rsidR="00794876" w:rsidRPr="00C15525" w:rsidRDefault="00794876" w:rsidP="00794876">
      <w:pPr>
        <w:spacing w:after="0" w:line="240" w:lineRule="auto"/>
        <w:jc w:val="both"/>
        <w:rPr>
          <w:rFonts w:ascii="Verdana" w:hAnsi="Verdana"/>
        </w:rPr>
      </w:pPr>
      <w:r w:rsidRPr="00C15525">
        <w:rPr>
          <w:rFonts w:ascii="Verdana" w:hAnsi="Verdana"/>
        </w:rPr>
        <w:t xml:space="preserve">Por último, lo invitamos a seguirnos en las redes sociales en las cuales se difunde información institucional: </w:t>
      </w:r>
    </w:p>
    <w:p w14:paraId="0B114FD4" w14:textId="77777777" w:rsidR="00794876" w:rsidRPr="00C15525" w:rsidRDefault="00794876" w:rsidP="00794876">
      <w:pPr>
        <w:spacing w:after="0" w:line="240" w:lineRule="auto"/>
        <w:jc w:val="both"/>
        <w:rPr>
          <w:rFonts w:ascii="Verdana" w:hAnsi="Verdana"/>
        </w:rPr>
      </w:pPr>
    </w:p>
    <w:p w14:paraId="32301E15" w14:textId="77777777" w:rsidR="00794876" w:rsidRPr="00C15525" w:rsidRDefault="00794876" w:rsidP="00794876">
      <w:pPr>
        <w:spacing w:after="0" w:line="240" w:lineRule="auto"/>
        <w:jc w:val="both"/>
        <w:rPr>
          <w:rFonts w:ascii="Verdana" w:hAnsi="Verdana"/>
        </w:rPr>
      </w:pPr>
      <w:r w:rsidRPr="00C15525">
        <w:rPr>
          <w:rFonts w:ascii="Verdana" w:hAnsi="Verdana"/>
        </w:rPr>
        <w:t xml:space="preserve">Twitter: </w:t>
      </w:r>
      <w:r w:rsidRPr="00C15525">
        <w:rPr>
          <w:rFonts w:ascii="Verdana" w:hAnsi="Verdana"/>
          <w:color w:val="0000FF"/>
          <w:u w:val="single"/>
        </w:rPr>
        <w:t>@colombiacompra</w:t>
      </w:r>
      <w:r w:rsidRPr="00C15525">
        <w:rPr>
          <w:rFonts w:ascii="Verdana" w:hAnsi="Verdana"/>
        </w:rPr>
        <w:t xml:space="preserve"> </w:t>
      </w:r>
    </w:p>
    <w:p w14:paraId="7AFEC997" w14:textId="77777777" w:rsidR="00794876" w:rsidRPr="00C15525" w:rsidRDefault="00794876" w:rsidP="00794876">
      <w:pPr>
        <w:spacing w:after="0" w:line="240" w:lineRule="auto"/>
        <w:jc w:val="both"/>
        <w:rPr>
          <w:rFonts w:ascii="Verdana" w:hAnsi="Verdana"/>
        </w:rPr>
      </w:pPr>
      <w:r w:rsidRPr="00C15525">
        <w:rPr>
          <w:rFonts w:ascii="Verdana" w:hAnsi="Verdana"/>
        </w:rPr>
        <w:lastRenderedPageBreak/>
        <w:t xml:space="preserve">Facebook: </w:t>
      </w:r>
      <w:proofErr w:type="spellStart"/>
      <w:r w:rsidRPr="00C15525">
        <w:rPr>
          <w:rFonts w:ascii="Verdana" w:hAnsi="Verdana"/>
          <w:color w:val="0000FF"/>
          <w:u w:val="single"/>
        </w:rPr>
        <w:t>ColombiaCompraEficiente</w:t>
      </w:r>
      <w:proofErr w:type="spellEnd"/>
    </w:p>
    <w:p w14:paraId="1B88AE61" w14:textId="77777777" w:rsidR="00794876" w:rsidRPr="00C15525" w:rsidRDefault="00794876" w:rsidP="00794876">
      <w:pPr>
        <w:spacing w:after="0" w:line="240" w:lineRule="auto"/>
        <w:jc w:val="both"/>
        <w:rPr>
          <w:rFonts w:ascii="Verdana" w:hAnsi="Verdana"/>
        </w:rPr>
      </w:pPr>
      <w:r w:rsidRPr="00C15525">
        <w:rPr>
          <w:rFonts w:ascii="Verdana" w:hAnsi="Verdana"/>
        </w:rPr>
        <w:t xml:space="preserve">LinkedIn: </w:t>
      </w:r>
      <w:r w:rsidRPr="00C15525">
        <w:rPr>
          <w:rFonts w:ascii="Verdana" w:hAnsi="Verdana"/>
          <w:color w:val="0000FF"/>
          <w:u w:val="single"/>
        </w:rPr>
        <w:t>Agencia Nacional de Contratación Pública - Colombia Compra Eficiente</w:t>
      </w:r>
      <w:r w:rsidRPr="00C15525">
        <w:rPr>
          <w:rFonts w:ascii="Verdana" w:hAnsi="Verdana"/>
        </w:rPr>
        <w:t xml:space="preserve"> Instagram: </w:t>
      </w:r>
      <w:r w:rsidRPr="00C15525">
        <w:rPr>
          <w:rFonts w:ascii="Verdana" w:hAnsi="Verdana"/>
          <w:color w:val="0000FF"/>
          <w:u w:val="single"/>
        </w:rPr>
        <w:t>@colombiacompraeficiente_cce</w:t>
      </w:r>
    </w:p>
    <w:p w14:paraId="659670EA" w14:textId="77777777" w:rsidR="00794876" w:rsidRPr="00C15525" w:rsidRDefault="00794876" w:rsidP="00794876">
      <w:pPr>
        <w:widowControl w:val="0"/>
        <w:autoSpaceDE w:val="0"/>
        <w:autoSpaceDN w:val="0"/>
        <w:spacing w:after="120" w:line="276" w:lineRule="auto"/>
        <w:jc w:val="both"/>
        <w:rPr>
          <w:rFonts w:ascii="Verdana" w:hAnsi="Verdana" w:cs="Arial"/>
          <w:color w:val="FF0000"/>
          <w:shd w:val="clear" w:color="auto" w:fill="FFFFFF"/>
          <w:lang w:val="es-ES_tradnl"/>
        </w:rPr>
      </w:pPr>
      <w:r w:rsidRPr="00C15525">
        <w:rPr>
          <w:rFonts w:ascii="Verdana" w:hAnsi="Verdana" w:cs="Arial"/>
          <w:color w:val="FF0000"/>
          <w:shd w:val="clear" w:color="auto" w:fill="FFFFFF"/>
          <w:lang w:val="es-ES_tradnl"/>
        </w:rPr>
        <w:t xml:space="preserve">        </w:t>
      </w:r>
    </w:p>
    <w:p w14:paraId="5776AB41" w14:textId="77777777" w:rsidR="00794876" w:rsidRPr="00C15525" w:rsidRDefault="00794876" w:rsidP="00794876">
      <w:pPr>
        <w:widowControl w:val="0"/>
        <w:autoSpaceDE w:val="0"/>
        <w:autoSpaceDN w:val="0"/>
        <w:spacing w:after="0" w:line="276" w:lineRule="auto"/>
        <w:jc w:val="both"/>
        <w:rPr>
          <w:rFonts w:ascii="Verdana" w:hAnsi="Verdana" w:cs="Arial"/>
          <w:lang w:val="es-ES_tradnl"/>
        </w:rPr>
      </w:pPr>
      <w:r w:rsidRPr="00C15525">
        <w:rPr>
          <w:rFonts w:ascii="Verdana" w:hAnsi="Verdana" w:cs="Arial"/>
        </w:rPr>
        <w:t xml:space="preserve">Este concepto tiene el alcance previsto en el artículo 28 del Código de Procedimiento Administrativo y de lo Contencioso Administrativo </w:t>
      </w:r>
      <w:r w:rsidRPr="00C15525">
        <w:rPr>
          <w:rFonts w:ascii="Verdana" w:hAnsi="Verdana" w:cs="Arial"/>
          <w:lang w:val="es-ES_tradnl"/>
        </w:rPr>
        <w:t>y las expresiones aquí utilizadas con mayúscula inicial deben ser entendidas con el significado que les otorga el artículo 2.2.1.1.1.3.1. del Decreto 1082 de 2015.</w:t>
      </w:r>
    </w:p>
    <w:p w14:paraId="7E94CC2E" w14:textId="77777777" w:rsidR="00794876" w:rsidRPr="00C15525" w:rsidRDefault="00794876" w:rsidP="00794876">
      <w:pPr>
        <w:widowControl w:val="0"/>
        <w:autoSpaceDE w:val="0"/>
        <w:autoSpaceDN w:val="0"/>
        <w:spacing w:after="0" w:line="276" w:lineRule="auto"/>
        <w:jc w:val="both"/>
        <w:rPr>
          <w:rFonts w:ascii="Verdana" w:hAnsi="Verdana" w:cs="Arial"/>
          <w:lang w:val="es-ES_tradnl"/>
        </w:rPr>
      </w:pPr>
    </w:p>
    <w:p w14:paraId="2D69EC4F" w14:textId="77777777" w:rsidR="00794876" w:rsidRPr="00C15525" w:rsidRDefault="00794876" w:rsidP="00794876">
      <w:pPr>
        <w:widowControl w:val="0"/>
        <w:autoSpaceDE w:val="0"/>
        <w:autoSpaceDN w:val="0"/>
        <w:spacing w:after="0" w:line="276" w:lineRule="auto"/>
        <w:jc w:val="both"/>
        <w:rPr>
          <w:rFonts w:ascii="Verdana" w:hAnsi="Verdana" w:cs="Arial"/>
          <w:lang w:val="es-ES_tradnl"/>
        </w:rPr>
      </w:pPr>
      <w:r w:rsidRPr="00C15525">
        <w:rPr>
          <w:rFonts w:ascii="Verdana" w:hAnsi="Verdana" w:cs="Arial"/>
          <w:lang w:val="es-ES_tradnl"/>
        </w:rPr>
        <w:t xml:space="preserve">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 </w:t>
      </w:r>
    </w:p>
    <w:p w14:paraId="539B663E" w14:textId="77777777" w:rsidR="00794876" w:rsidRPr="00C15525" w:rsidRDefault="00794876" w:rsidP="00794876">
      <w:pPr>
        <w:widowControl w:val="0"/>
        <w:autoSpaceDE w:val="0"/>
        <w:autoSpaceDN w:val="0"/>
        <w:spacing w:after="0" w:line="276" w:lineRule="auto"/>
        <w:jc w:val="both"/>
        <w:rPr>
          <w:rFonts w:ascii="Verdana" w:hAnsi="Verdana" w:cs="Arial"/>
          <w:lang w:val="es-ES_tradnl"/>
        </w:rPr>
      </w:pPr>
    </w:p>
    <w:p w14:paraId="0BAE46AC" w14:textId="77777777" w:rsidR="00794876" w:rsidRPr="00C15525" w:rsidRDefault="00794876" w:rsidP="00794876">
      <w:pPr>
        <w:spacing w:after="0" w:line="240" w:lineRule="auto"/>
        <w:rPr>
          <w:rFonts w:ascii="Verdana" w:hAnsi="Verdana" w:cs="Arial"/>
          <w:lang w:val="es-ES_tradnl" w:eastAsia="es-CO"/>
        </w:rPr>
      </w:pPr>
      <w:r w:rsidRPr="00C15525">
        <w:rPr>
          <w:rFonts w:ascii="Verdana" w:eastAsia="Times New Roman" w:hAnsi="Verdana" w:cs="Arial"/>
          <w:lang w:val="es-ES" w:eastAsia="es-CO"/>
        </w:rPr>
        <w:t>Atentamente,</w:t>
      </w:r>
      <w:r w:rsidRPr="00C15525">
        <w:rPr>
          <w:rFonts w:ascii="Verdana" w:hAnsi="Verdana" w:cs="Arial"/>
          <w:lang w:val="es-ES" w:eastAsia="es-CO"/>
        </w:rPr>
        <w:t xml:space="preserve"> </w:t>
      </w:r>
    </w:p>
    <w:p w14:paraId="37D9E869" w14:textId="77777777" w:rsidR="00794876" w:rsidRDefault="00794876" w:rsidP="00794876">
      <w:pPr>
        <w:spacing w:after="0"/>
        <w:rPr>
          <w:rFonts w:ascii="Verdana" w:hAnsi="Verdana"/>
        </w:rPr>
      </w:pPr>
    </w:p>
    <w:p w14:paraId="3DB5D943" w14:textId="00E56770" w:rsidR="00794876" w:rsidRDefault="00AC77CD" w:rsidP="00794876">
      <w:pPr>
        <w:spacing w:after="0" w:line="276" w:lineRule="auto"/>
        <w:jc w:val="center"/>
        <w:rPr>
          <w:rFonts w:ascii="Verdana" w:hAnsi="Verdana"/>
          <w:lang w:val="es-ES_tradnl"/>
        </w:rPr>
      </w:pPr>
      <w:r>
        <w:rPr>
          <w:rFonts w:ascii="Verdana" w:hAnsi="Verdana"/>
          <w:noProof/>
          <w:lang w:val="es-ES_tradnl"/>
        </w:rPr>
        <w:drawing>
          <wp:inline distT="0" distB="0" distL="0" distR="0" wp14:anchorId="7BBDEC08" wp14:editId="0BA55B50">
            <wp:extent cx="3639058" cy="1343212"/>
            <wp:effectExtent l="0" t="0" r="0" b="0"/>
            <wp:docPr id="13043665"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43665" name="Imagen 1" descr="Texto&#10;&#10;Descripción generada automáticamente"/>
                    <pic:cNvPicPr/>
                  </pic:nvPicPr>
                  <pic:blipFill>
                    <a:blip r:embed="rId19">
                      <a:extLst>
                        <a:ext uri="{28A0092B-C50C-407E-A947-70E740481C1C}">
                          <a14:useLocalDpi xmlns:a14="http://schemas.microsoft.com/office/drawing/2010/main" val="0"/>
                        </a:ext>
                      </a:extLst>
                    </a:blip>
                    <a:stretch>
                      <a:fillRect/>
                    </a:stretch>
                  </pic:blipFill>
                  <pic:spPr>
                    <a:xfrm>
                      <a:off x="0" y="0"/>
                      <a:ext cx="3639058" cy="1343212"/>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794876" w:rsidRPr="00D53651" w14:paraId="6A09ED42" w14:textId="77777777" w:rsidTr="000E7260">
        <w:trPr>
          <w:trHeight w:val="315"/>
        </w:trPr>
        <w:tc>
          <w:tcPr>
            <w:tcW w:w="893" w:type="dxa"/>
            <w:vAlign w:val="center"/>
            <w:hideMark/>
          </w:tcPr>
          <w:p w14:paraId="045CC65F" w14:textId="77777777" w:rsidR="00794876" w:rsidRPr="00D53651" w:rsidRDefault="00794876" w:rsidP="000E7260">
            <w:pPr>
              <w:spacing w:line="276" w:lineRule="auto"/>
              <w:jc w:val="both"/>
              <w:rPr>
                <w:rFonts w:ascii="Verdana" w:hAnsi="Verdana"/>
                <w:sz w:val="16"/>
                <w:szCs w:val="16"/>
              </w:rPr>
            </w:pPr>
            <w:r w:rsidRPr="00D53651">
              <w:rPr>
                <w:rFonts w:ascii="Verdana" w:hAnsi="Verdana"/>
                <w:sz w:val="16"/>
                <w:szCs w:val="16"/>
              </w:rPr>
              <w:t>Elaboró:</w:t>
            </w:r>
          </w:p>
        </w:tc>
        <w:tc>
          <w:tcPr>
            <w:tcW w:w="5628" w:type="dxa"/>
            <w:tcBorders>
              <w:top w:val="nil"/>
              <w:left w:val="nil"/>
              <w:bottom w:val="dotted" w:sz="4" w:space="0" w:color="7F7F7F"/>
              <w:right w:val="nil"/>
            </w:tcBorders>
            <w:vAlign w:val="center"/>
            <w:hideMark/>
          </w:tcPr>
          <w:p w14:paraId="7632D49E" w14:textId="77777777" w:rsidR="00794876" w:rsidRPr="00D53651" w:rsidRDefault="00794876" w:rsidP="000E7260">
            <w:pPr>
              <w:spacing w:line="276" w:lineRule="auto"/>
              <w:jc w:val="both"/>
              <w:rPr>
                <w:rFonts w:ascii="Verdana" w:hAnsi="Verdana"/>
                <w:sz w:val="16"/>
                <w:szCs w:val="16"/>
              </w:rPr>
            </w:pPr>
            <w:r>
              <w:rPr>
                <w:rFonts w:ascii="Verdana" w:hAnsi="Verdana"/>
                <w:sz w:val="16"/>
                <w:szCs w:val="16"/>
              </w:rPr>
              <w:t>Gloria Elizabeth Arango Builes</w:t>
            </w:r>
          </w:p>
          <w:p w14:paraId="1713B4C0" w14:textId="77777777" w:rsidR="00794876" w:rsidRPr="00D53651" w:rsidRDefault="00794876" w:rsidP="000E7260">
            <w:pPr>
              <w:spacing w:line="276" w:lineRule="auto"/>
              <w:jc w:val="both"/>
              <w:rPr>
                <w:rFonts w:ascii="Verdana" w:hAnsi="Verdana"/>
                <w:sz w:val="16"/>
                <w:szCs w:val="16"/>
              </w:rPr>
            </w:pPr>
            <w:r w:rsidRPr="00D53651">
              <w:rPr>
                <w:rFonts w:ascii="Verdana" w:hAnsi="Verdana"/>
                <w:sz w:val="16"/>
                <w:szCs w:val="16"/>
              </w:rPr>
              <w:t>Contratista de la Subdirección de Gestión Contractual</w:t>
            </w:r>
          </w:p>
        </w:tc>
      </w:tr>
      <w:tr w:rsidR="00794876" w:rsidRPr="00D53651" w14:paraId="69184A03" w14:textId="77777777" w:rsidTr="000E7260">
        <w:trPr>
          <w:trHeight w:val="330"/>
        </w:trPr>
        <w:tc>
          <w:tcPr>
            <w:tcW w:w="893" w:type="dxa"/>
            <w:vAlign w:val="center"/>
            <w:hideMark/>
          </w:tcPr>
          <w:p w14:paraId="19DFF012" w14:textId="77777777" w:rsidR="00794876" w:rsidRPr="00D53651" w:rsidRDefault="00794876" w:rsidP="000E7260">
            <w:pPr>
              <w:spacing w:line="276" w:lineRule="auto"/>
              <w:jc w:val="both"/>
              <w:rPr>
                <w:rFonts w:ascii="Verdana" w:hAnsi="Verdana"/>
                <w:sz w:val="16"/>
                <w:szCs w:val="16"/>
              </w:rPr>
            </w:pPr>
            <w:r w:rsidRPr="00D53651">
              <w:rPr>
                <w:rFonts w:ascii="Verdana" w:hAnsi="Verdana"/>
                <w:sz w:val="16"/>
                <w:szCs w:val="16"/>
              </w:rPr>
              <w:t>Revisó:</w:t>
            </w:r>
          </w:p>
        </w:tc>
        <w:tc>
          <w:tcPr>
            <w:tcW w:w="5628" w:type="dxa"/>
            <w:tcBorders>
              <w:top w:val="dotted" w:sz="4" w:space="0" w:color="7F7F7F"/>
              <w:left w:val="nil"/>
              <w:bottom w:val="dotted" w:sz="4" w:space="0" w:color="7F7F7F"/>
              <w:right w:val="nil"/>
            </w:tcBorders>
            <w:vAlign w:val="center"/>
            <w:hideMark/>
          </w:tcPr>
          <w:p w14:paraId="3F099604" w14:textId="77777777" w:rsidR="00794876" w:rsidRPr="00D53651" w:rsidRDefault="00794876" w:rsidP="000E7260">
            <w:pPr>
              <w:spacing w:line="276" w:lineRule="auto"/>
              <w:jc w:val="both"/>
              <w:rPr>
                <w:rFonts w:ascii="Verdana" w:hAnsi="Verdana"/>
                <w:sz w:val="16"/>
                <w:szCs w:val="16"/>
              </w:rPr>
            </w:pPr>
            <w:r>
              <w:rPr>
                <w:rFonts w:ascii="Verdana" w:hAnsi="Verdana"/>
                <w:sz w:val="16"/>
                <w:szCs w:val="16"/>
              </w:rPr>
              <w:t>Diana Lucía Saavedra Castañeda</w:t>
            </w:r>
          </w:p>
          <w:p w14:paraId="6DCCE91F" w14:textId="77777777" w:rsidR="00794876" w:rsidRPr="00D53651" w:rsidRDefault="00794876" w:rsidP="000E7260">
            <w:pPr>
              <w:spacing w:line="276" w:lineRule="auto"/>
              <w:jc w:val="both"/>
              <w:rPr>
                <w:rFonts w:ascii="Verdana" w:hAnsi="Verdana"/>
                <w:sz w:val="16"/>
                <w:szCs w:val="16"/>
              </w:rPr>
            </w:pPr>
            <w:r w:rsidRPr="00D53651">
              <w:rPr>
                <w:rFonts w:ascii="Verdana" w:hAnsi="Verdana"/>
                <w:sz w:val="16"/>
                <w:szCs w:val="16"/>
              </w:rPr>
              <w:t>Contratista de la Subdirección de Gestión Contractual </w:t>
            </w:r>
          </w:p>
        </w:tc>
      </w:tr>
      <w:tr w:rsidR="00794876" w:rsidRPr="00D53651" w14:paraId="41063ED7" w14:textId="77777777" w:rsidTr="000E7260">
        <w:trPr>
          <w:trHeight w:val="300"/>
        </w:trPr>
        <w:tc>
          <w:tcPr>
            <w:tcW w:w="893" w:type="dxa"/>
            <w:vAlign w:val="center"/>
            <w:hideMark/>
          </w:tcPr>
          <w:p w14:paraId="63DC49C0" w14:textId="77777777" w:rsidR="00794876" w:rsidRPr="00D53651" w:rsidRDefault="00794876" w:rsidP="000E7260">
            <w:pPr>
              <w:spacing w:line="276" w:lineRule="auto"/>
              <w:jc w:val="both"/>
              <w:rPr>
                <w:rFonts w:ascii="Verdana" w:hAnsi="Verdana"/>
                <w:sz w:val="16"/>
                <w:szCs w:val="16"/>
              </w:rPr>
            </w:pPr>
            <w:r w:rsidRPr="00D53651">
              <w:rPr>
                <w:rFonts w:ascii="Verdana" w:hAnsi="Verdana"/>
                <w:sz w:val="16"/>
                <w:szCs w:val="16"/>
              </w:rPr>
              <w:t>Aprobó:</w:t>
            </w:r>
          </w:p>
        </w:tc>
        <w:tc>
          <w:tcPr>
            <w:tcW w:w="5628" w:type="dxa"/>
            <w:tcBorders>
              <w:top w:val="dotted" w:sz="4" w:space="0" w:color="7F7F7F"/>
              <w:left w:val="nil"/>
              <w:bottom w:val="dotted" w:sz="4" w:space="0" w:color="7F7F7F"/>
              <w:right w:val="nil"/>
            </w:tcBorders>
            <w:vAlign w:val="center"/>
            <w:hideMark/>
          </w:tcPr>
          <w:p w14:paraId="150643D6" w14:textId="77777777" w:rsidR="00794876" w:rsidRPr="00D53651" w:rsidRDefault="00794876" w:rsidP="000E7260">
            <w:pPr>
              <w:spacing w:line="276" w:lineRule="auto"/>
              <w:jc w:val="both"/>
              <w:rPr>
                <w:rFonts w:ascii="Verdana" w:hAnsi="Verdana"/>
                <w:sz w:val="16"/>
                <w:szCs w:val="16"/>
                <w:lang w:val="pt-BR"/>
              </w:rPr>
            </w:pPr>
            <w:r w:rsidRPr="00D53651">
              <w:rPr>
                <w:rFonts w:ascii="Verdana" w:hAnsi="Verdana"/>
                <w:sz w:val="16"/>
                <w:szCs w:val="16"/>
                <w:lang w:val="pt-BR"/>
              </w:rPr>
              <w:t xml:space="preserve">Carolina Quintero </w:t>
            </w:r>
            <w:proofErr w:type="spellStart"/>
            <w:r w:rsidRPr="00D53651">
              <w:rPr>
                <w:rFonts w:ascii="Verdana" w:hAnsi="Verdana"/>
                <w:sz w:val="16"/>
                <w:szCs w:val="16"/>
                <w:lang w:val="pt-BR"/>
              </w:rPr>
              <w:t>Gacharná</w:t>
            </w:r>
            <w:proofErr w:type="spellEnd"/>
          </w:p>
          <w:p w14:paraId="2C65309A" w14:textId="77777777" w:rsidR="00794876" w:rsidRPr="00D53651" w:rsidRDefault="00794876" w:rsidP="000E7260">
            <w:pPr>
              <w:spacing w:line="276" w:lineRule="auto"/>
              <w:jc w:val="both"/>
              <w:rPr>
                <w:rFonts w:ascii="Verdana" w:hAnsi="Verdana"/>
                <w:sz w:val="16"/>
                <w:szCs w:val="16"/>
                <w:lang w:val="pt-BR"/>
              </w:rPr>
            </w:pPr>
            <w:r w:rsidRPr="00D53651">
              <w:rPr>
                <w:rFonts w:ascii="Verdana" w:hAnsi="Verdana"/>
                <w:sz w:val="16"/>
                <w:szCs w:val="16"/>
              </w:rPr>
              <w:t>Subdirectora</w:t>
            </w:r>
            <w:r w:rsidRPr="00D53651">
              <w:rPr>
                <w:rFonts w:ascii="Verdana" w:hAnsi="Verdana"/>
                <w:sz w:val="16"/>
                <w:szCs w:val="16"/>
                <w:lang w:val="pt-BR"/>
              </w:rPr>
              <w:t xml:space="preserve"> de Gestión Contratual ANCP – CCE</w:t>
            </w:r>
          </w:p>
        </w:tc>
      </w:tr>
    </w:tbl>
    <w:p w14:paraId="6B4FA5A2" w14:textId="77777777" w:rsidR="00794876" w:rsidRDefault="00794876" w:rsidP="30821638">
      <w:pPr>
        <w:spacing w:after="0" w:line="240" w:lineRule="auto"/>
        <w:jc w:val="both"/>
        <w:textAlignment w:val="baseline"/>
        <w:rPr>
          <w:rFonts w:ascii="Verdana" w:eastAsia="Verdana" w:hAnsi="Verdana" w:cs="Verdana"/>
          <w:lang w:eastAsia="es-CO"/>
        </w:rPr>
      </w:pPr>
    </w:p>
    <w:p w14:paraId="27161E83" w14:textId="77777777" w:rsidR="00794876" w:rsidRPr="000E2B93" w:rsidRDefault="00794876" w:rsidP="30821638">
      <w:pPr>
        <w:spacing w:after="0" w:line="240" w:lineRule="auto"/>
        <w:jc w:val="both"/>
        <w:textAlignment w:val="baseline"/>
        <w:rPr>
          <w:rFonts w:ascii="Verdana" w:eastAsia="Verdana" w:hAnsi="Verdana" w:cs="Verdana"/>
          <w:lang w:eastAsia="es-CO"/>
        </w:rPr>
      </w:pPr>
    </w:p>
    <w:p w14:paraId="69BC4D14" w14:textId="77777777" w:rsidR="00C15139" w:rsidRPr="000E2B93" w:rsidRDefault="00C15139" w:rsidP="30821638">
      <w:pPr>
        <w:spacing w:after="0" w:line="240" w:lineRule="auto"/>
        <w:textAlignment w:val="baseline"/>
        <w:rPr>
          <w:rFonts w:ascii="Verdana" w:eastAsia="Verdana" w:hAnsi="Verdana" w:cs="Verdana"/>
          <w:lang w:eastAsia="es-CO"/>
        </w:rPr>
      </w:pPr>
      <w:r>
        <w:rPr>
          <w:noProof/>
        </w:rPr>
        <w:drawing>
          <wp:inline distT="0" distB="0" distL="0" distR="0" wp14:anchorId="5A2E4A55" wp14:editId="7AA99379">
            <wp:extent cx="2171700" cy="266700"/>
            <wp:effectExtent l="0" t="0" r="0" b="0"/>
            <wp:docPr id="1694888066" name="Imagen 2" descr="--Graf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Grafo--"/>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171700" cy="266700"/>
                    </a:xfrm>
                    <a:prstGeom prst="rect">
                      <a:avLst/>
                    </a:prstGeom>
                    <a:noFill/>
                    <a:ln>
                      <a:noFill/>
                    </a:ln>
                  </pic:spPr>
                </pic:pic>
              </a:graphicData>
            </a:graphic>
          </wp:inline>
        </w:drawing>
      </w:r>
      <w:r w:rsidRPr="30821638">
        <w:rPr>
          <w:rFonts w:ascii="Verdana" w:eastAsia="Verdana" w:hAnsi="Verdana" w:cs="Verdana"/>
          <w:lang w:eastAsia="es-CO"/>
        </w:rPr>
        <w:t> </w:t>
      </w:r>
      <w:bookmarkEnd w:id="0"/>
    </w:p>
    <w:sectPr w:rsidR="00C15139" w:rsidRPr="000E2B93" w:rsidSect="007C0C0F">
      <w:headerReference w:type="default" r:id="rId21"/>
      <w:footerReference w:type="default" r:id="rId22"/>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6DEDC1" w14:textId="77777777" w:rsidR="002422EB" w:rsidRDefault="002422EB" w:rsidP="004A1847">
      <w:pPr>
        <w:spacing w:after="0" w:line="240" w:lineRule="auto"/>
      </w:pPr>
      <w:r>
        <w:separator/>
      </w:r>
    </w:p>
  </w:endnote>
  <w:endnote w:type="continuationSeparator" w:id="0">
    <w:p w14:paraId="72ED55F6" w14:textId="77777777" w:rsidR="002422EB" w:rsidRDefault="002422EB" w:rsidP="004A1847">
      <w:pPr>
        <w:spacing w:after="0" w:line="240" w:lineRule="auto"/>
      </w:pPr>
      <w:r>
        <w:continuationSeparator/>
      </w:r>
    </w:p>
  </w:endnote>
  <w:endnote w:type="continuationNotice" w:id="1">
    <w:p w14:paraId="419F9ECA" w14:textId="77777777" w:rsidR="002422EB" w:rsidRDefault="002422E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Arial MT">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2157BD" w14:textId="77777777" w:rsidR="002422EB" w:rsidRDefault="002422EB" w:rsidP="004A1847">
      <w:pPr>
        <w:spacing w:after="0" w:line="240" w:lineRule="auto"/>
      </w:pPr>
      <w:r>
        <w:separator/>
      </w:r>
    </w:p>
  </w:footnote>
  <w:footnote w:type="continuationSeparator" w:id="0">
    <w:p w14:paraId="74E5D81A" w14:textId="77777777" w:rsidR="002422EB" w:rsidRDefault="002422EB" w:rsidP="004A1847">
      <w:pPr>
        <w:spacing w:after="0" w:line="240" w:lineRule="auto"/>
      </w:pPr>
      <w:r>
        <w:continuationSeparator/>
      </w:r>
    </w:p>
  </w:footnote>
  <w:footnote w:type="continuationNotice" w:id="1">
    <w:p w14:paraId="11A8CCE7" w14:textId="77777777" w:rsidR="002422EB" w:rsidRDefault="002422EB">
      <w:pPr>
        <w:spacing w:after="0" w:line="240" w:lineRule="auto"/>
      </w:pPr>
    </w:p>
  </w:footnote>
  <w:footnote w:id="2">
    <w:p w14:paraId="5CC83DBC" w14:textId="77777777" w:rsidR="00794876" w:rsidRPr="00C70B85" w:rsidRDefault="00794876" w:rsidP="00794876">
      <w:pPr>
        <w:pStyle w:val="Textonotapie"/>
        <w:ind w:firstLine="709"/>
        <w:jc w:val="both"/>
        <w:rPr>
          <w:rFonts w:ascii="Verdana" w:hAnsi="Verdana" w:cs="Arial"/>
          <w:sz w:val="16"/>
          <w:szCs w:val="16"/>
        </w:rPr>
      </w:pPr>
      <w:r w:rsidRPr="00C70B85">
        <w:rPr>
          <w:rFonts w:ascii="Verdana" w:hAnsi="Verdana"/>
          <w:sz w:val="16"/>
          <w:szCs w:val="16"/>
          <w:vertAlign w:val="superscript"/>
        </w:rPr>
        <w:footnoteRef/>
      </w:r>
      <w:r w:rsidRPr="00C70B85">
        <w:rPr>
          <w:rFonts w:ascii="Verdana" w:hAnsi="Verdana"/>
          <w:sz w:val="16"/>
          <w:szCs w:val="16"/>
          <w:vertAlign w:val="superscript"/>
        </w:rPr>
        <w:t xml:space="preserve"> </w:t>
      </w:r>
      <w:r w:rsidRPr="00C70B85">
        <w:rPr>
          <w:rFonts w:ascii="Verdana" w:hAnsi="Verdana" w:cs="Arial"/>
          <w:sz w:val="16"/>
          <w:szCs w:val="16"/>
        </w:rPr>
        <w:t>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 artículo.</w:t>
      </w:r>
    </w:p>
  </w:footnote>
  <w:footnote w:id="3">
    <w:p w14:paraId="08F54638" w14:textId="77777777" w:rsidR="00794876" w:rsidRPr="00C70B85" w:rsidRDefault="00794876" w:rsidP="00794876">
      <w:pPr>
        <w:pStyle w:val="Textonotapie"/>
        <w:ind w:firstLine="709"/>
        <w:jc w:val="both"/>
        <w:rPr>
          <w:rFonts w:ascii="Verdana" w:hAnsi="Verdana" w:cs="Arial"/>
          <w:sz w:val="16"/>
          <w:szCs w:val="16"/>
        </w:rPr>
      </w:pPr>
      <w:r w:rsidRPr="00C70B85">
        <w:rPr>
          <w:rStyle w:val="Refdenotaalpie"/>
          <w:rFonts w:ascii="Verdana" w:hAnsi="Verdana" w:cs="Arial"/>
          <w:sz w:val="16"/>
          <w:szCs w:val="16"/>
        </w:rPr>
        <w:footnoteRef/>
      </w:r>
      <w:r w:rsidRPr="00C70B85">
        <w:rPr>
          <w:rFonts w:ascii="Verdana" w:hAnsi="Verdana" w:cs="Arial"/>
          <w:sz w:val="16"/>
          <w:szCs w:val="16"/>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449389F1" w14:textId="77777777" w:rsidR="00794876" w:rsidRPr="00C70B85" w:rsidRDefault="00794876" w:rsidP="00794876">
      <w:pPr>
        <w:pStyle w:val="Textonotapie"/>
        <w:ind w:firstLine="709"/>
        <w:jc w:val="both"/>
        <w:rPr>
          <w:rFonts w:ascii="Verdana" w:hAnsi="Verdana" w:cs="Arial"/>
          <w:sz w:val="16"/>
          <w:szCs w:val="16"/>
        </w:rPr>
      </w:pPr>
      <w:r w:rsidRPr="00C70B85">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4">
    <w:p w14:paraId="6B1FB3D8" w14:textId="77777777" w:rsidR="00794876" w:rsidRPr="00C70B85" w:rsidRDefault="00794876" w:rsidP="00794876">
      <w:pPr>
        <w:pStyle w:val="Textonotapie"/>
        <w:ind w:firstLine="709"/>
        <w:jc w:val="both"/>
        <w:rPr>
          <w:rFonts w:ascii="Verdana" w:hAnsi="Verdana" w:cs="Arial"/>
          <w:sz w:val="16"/>
          <w:szCs w:val="16"/>
        </w:rPr>
      </w:pPr>
      <w:r w:rsidRPr="00C70B85">
        <w:rPr>
          <w:rStyle w:val="Refdenotaalpie"/>
          <w:rFonts w:ascii="Verdana" w:hAnsi="Verdana" w:cs="Arial"/>
          <w:sz w:val="16"/>
          <w:szCs w:val="16"/>
        </w:rPr>
        <w:footnoteRef/>
      </w:r>
      <w:r w:rsidRPr="00C70B85">
        <w:rPr>
          <w:rFonts w:ascii="Verdana" w:hAnsi="Verdana" w:cs="Arial"/>
          <w:sz w:val="16"/>
          <w:szCs w:val="16"/>
        </w:rPr>
        <w:t xml:space="preserve"> Gaceta del Congreso de la República No. 71 del 2005.</w:t>
      </w:r>
    </w:p>
  </w:footnote>
  <w:footnote w:id="5">
    <w:p w14:paraId="3A4368BE" w14:textId="77777777" w:rsidR="00794876" w:rsidRPr="00AC1EB4" w:rsidRDefault="00794876" w:rsidP="00794876">
      <w:pPr>
        <w:pStyle w:val="Textonotapie"/>
        <w:ind w:firstLine="709"/>
        <w:jc w:val="both"/>
        <w:rPr>
          <w:rFonts w:ascii="Verdana" w:hAnsi="Verdana" w:cs="Arial"/>
          <w:sz w:val="16"/>
          <w:szCs w:val="16"/>
          <w:lang w:val="pt-BR"/>
        </w:rPr>
      </w:pPr>
      <w:r w:rsidRPr="00C70B85">
        <w:rPr>
          <w:rStyle w:val="Refdenotaalpie"/>
          <w:rFonts w:ascii="Verdana" w:hAnsi="Verdana" w:cs="Arial"/>
          <w:sz w:val="16"/>
          <w:szCs w:val="16"/>
        </w:rPr>
        <w:footnoteRef/>
      </w:r>
      <w:r w:rsidRPr="00AC1EB4">
        <w:rPr>
          <w:rFonts w:ascii="Verdana" w:hAnsi="Verdana" w:cs="Arial"/>
          <w:sz w:val="16"/>
          <w:szCs w:val="16"/>
          <w:lang w:val="pt-BR"/>
        </w:rPr>
        <w:t xml:space="preserve"> Corte Constitucional, Sentencia C- 1153 de 2005, M.P. Marco Gerardo </w:t>
      </w:r>
      <w:proofErr w:type="spellStart"/>
      <w:r w:rsidRPr="00AC1EB4">
        <w:rPr>
          <w:rFonts w:ascii="Verdana" w:hAnsi="Verdana" w:cs="Arial"/>
          <w:sz w:val="16"/>
          <w:szCs w:val="16"/>
          <w:lang w:val="pt-BR"/>
        </w:rPr>
        <w:t>Monroy</w:t>
      </w:r>
      <w:proofErr w:type="spellEnd"/>
      <w:r w:rsidRPr="00AC1EB4">
        <w:rPr>
          <w:rFonts w:ascii="Verdana" w:hAnsi="Verdana" w:cs="Arial"/>
          <w:sz w:val="16"/>
          <w:szCs w:val="16"/>
          <w:lang w:val="pt-BR"/>
        </w:rPr>
        <w:t xml:space="preserve"> Cabra.</w:t>
      </w:r>
    </w:p>
  </w:footnote>
  <w:footnote w:id="6">
    <w:p w14:paraId="471623DB" w14:textId="77777777" w:rsidR="00794876" w:rsidRPr="00AC1EB4" w:rsidRDefault="00794876" w:rsidP="00794876">
      <w:pPr>
        <w:pStyle w:val="Textonotapie"/>
        <w:ind w:firstLine="709"/>
        <w:jc w:val="both"/>
        <w:rPr>
          <w:rFonts w:ascii="Verdana" w:hAnsi="Verdana" w:cs="Arial"/>
          <w:sz w:val="16"/>
          <w:szCs w:val="16"/>
          <w:lang w:val="pt-BR"/>
        </w:rPr>
      </w:pPr>
      <w:r w:rsidRPr="00C70B85">
        <w:rPr>
          <w:rStyle w:val="Refdenotaalpie"/>
          <w:rFonts w:ascii="Verdana" w:hAnsi="Verdana" w:cs="Arial"/>
          <w:sz w:val="16"/>
          <w:szCs w:val="16"/>
        </w:rPr>
        <w:footnoteRef/>
      </w:r>
      <w:r w:rsidRPr="00AC1EB4">
        <w:rPr>
          <w:rFonts w:ascii="Verdana" w:hAnsi="Verdana" w:cs="Arial"/>
          <w:sz w:val="16"/>
          <w:szCs w:val="16"/>
          <w:lang w:val="pt-BR"/>
        </w:rPr>
        <w:t xml:space="preserve"> Corte Constitucional. Sentencias: C-233 de 4 de abril de 2002, expediente: D-3704; C-551 de 9 de </w:t>
      </w:r>
      <w:proofErr w:type="spellStart"/>
      <w:r w:rsidRPr="00AC1EB4">
        <w:rPr>
          <w:rFonts w:ascii="Verdana" w:hAnsi="Verdana" w:cs="Arial"/>
          <w:sz w:val="16"/>
          <w:szCs w:val="16"/>
          <w:lang w:val="pt-BR"/>
        </w:rPr>
        <w:t>julio</w:t>
      </w:r>
      <w:proofErr w:type="spellEnd"/>
      <w:r w:rsidRPr="00AC1EB4">
        <w:rPr>
          <w:rFonts w:ascii="Verdana" w:hAnsi="Verdana" w:cs="Arial"/>
          <w:sz w:val="16"/>
          <w:szCs w:val="16"/>
          <w:lang w:val="pt-BR"/>
        </w:rPr>
        <w:t xml:space="preserve"> de 2003, expediente: CRF-001 de 9 de </w:t>
      </w:r>
      <w:proofErr w:type="spellStart"/>
      <w:r w:rsidRPr="00AC1EB4">
        <w:rPr>
          <w:rFonts w:ascii="Verdana" w:hAnsi="Verdana" w:cs="Arial"/>
          <w:sz w:val="16"/>
          <w:szCs w:val="16"/>
          <w:lang w:val="pt-BR"/>
        </w:rPr>
        <w:t>julio</w:t>
      </w:r>
      <w:proofErr w:type="spellEnd"/>
      <w:r w:rsidRPr="00AC1EB4">
        <w:rPr>
          <w:rFonts w:ascii="Verdana" w:hAnsi="Verdana" w:cs="Arial"/>
          <w:sz w:val="16"/>
          <w:szCs w:val="16"/>
          <w:lang w:val="pt-BR"/>
        </w:rPr>
        <w:t xml:space="preserve"> de 2003; C-652 de 5 de agosto de 2003, expediente: D-4330; C-353 de 20 de </w:t>
      </w:r>
      <w:proofErr w:type="spellStart"/>
      <w:r w:rsidRPr="00AC1EB4">
        <w:rPr>
          <w:rFonts w:ascii="Verdana" w:hAnsi="Verdana" w:cs="Arial"/>
          <w:sz w:val="16"/>
          <w:szCs w:val="16"/>
          <w:lang w:val="pt-BR"/>
        </w:rPr>
        <w:t>mayo</w:t>
      </w:r>
      <w:proofErr w:type="spellEnd"/>
      <w:r w:rsidRPr="00AC1EB4">
        <w:rPr>
          <w:rFonts w:ascii="Verdana" w:hAnsi="Verdana" w:cs="Arial"/>
          <w:sz w:val="16"/>
          <w:szCs w:val="16"/>
          <w:lang w:val="pt-BR"/>
        </w:rPr>
        <w:t xml:space="preserve"> de 2009, expediente: D-7518, C-541 de 30 de </w:t>
      </w:r>
      <w:proofErr w:type="spellStart"/>
      <w:r w:rsidRPr="00AC1EB4">
        <w:rPr>
          <w:rFonts w:ascii="Verdana" w:hAnsi="Verdana" w:cs="Arial"/>
          <w:sz w:val="16"/>
          <w:szCs w:val="16"/>
          <w:lang w:val="pt-BR"/>
        </w:rPr>
        <w:t>junio</w:t>
      </w:r>
      <w:proofErr w:type="spellEnd"/>
      <w:r w:rsidRPr="00AC1EB4">
        <w:rPr>
          <w:rFonts w:ascii="Verdana" w:hAnsi="Verdana" w:cs="Arial"/>
          <w:sz w:val="16"/>
          <w:szCs w:val="16"/>
          <w:lang w:val="pt-BR"/>
        </w:rPr>
        <w:t xml:space="preserve"> de 2010, expediente: DD7966; entre </w:t>
      </w:r>
      <w:proofErr w:type="spellStart"/>
      <w:r w:rsidRPr="00AC1EB4">
        <w:rPr>
          <w:rFonts w:ascii="Verdana" w:hAnsi="Verdana" w:cs="Arial"/>
          <w:sz w:val="16"/>
          <w:szCs w:val="16"/>
          <w:lang w:val="pt-BR"/>
        </w:rPr>
        <w:t>otras</w:t>
      </w:r>
      <w:proofErr w:type="spellEnd"/>
      <w:r w:rsidRPr="00AC1EB4">
        <w:rPr>
          <w:rFonts w:ascii="Verdana" w:hAnsi="Verdana" w:cs="Arial"/>
          <w:sz w:val="16"/>
          <w:szCs w:val="16"/>
          <w:lang w:val="pt-BR"/>
        </w:rPr>
        <w:t>.</w:t>
      </w:r>
    </w:p>
  </w:footnote>
  <w:footnote w:id="7">
    <w:p w14:paraId="376A5270" w14:textId="77777777" w:rsidR="00794876" w:rsidRPr="00C70B85" w:rsidRDefault="00794876" w:rsidP="00794876">
      <w:pPr>
        <w:pStyle w:val="Textonotapie"/>
        <w:ind w:firstLine="709"/>
        <w:jc w:val="both"/>
        <w:rPr>
          <w:rFonts w:ascii="Verdana" w:hAnsi="Verdana" w:cs="Arial"/>
          <w:sz w:val="16"/>
          <w:szCs w:val="16"/>
          <w:lang w:val="es-CO"/>
        </w:rPr>
      </w:pPr>
      <w:r w:rsidRPr="00C70B85">
        <w:rPr>
          <w:rStyle w:val="Refdenotaalpie"/>
          <w:rFonts w:ascii="Verdana" w:hAnsi="Verdana" w:cs="Arial"/>
          <w:sz w:val="16"/>
          <w:szCs w:val="16"/>
        </w:rPr>
        <w:footnoteRef/>
      </w:r>
      <w:r w:rsidRPr="00C70B85">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8">
    <w:p w14:paraId="04E97047" w14:textId="77777777" w:rsidR="00794876" w:rsidRPr="00C70B85" w:rsidRDefault="00794876" w:rsidP="00794876">
      <w:pPr>
        <w:pStyle w:val="Textonotapie"/>
        <w:ind w:firstLine="709"/>
        <w:jc w:val="both"/>
        <w:rPr>
          <w:rFonts w:ascii="Verdana" w:hAnsi="Verdana" w:cs="Arial"/>
          <w:sz w:val="16"/>
          <w:szCs w:val="16"/>
        </w:rPr>
      </w:pPr>
      <w:r w:rsidRPr="00C70B85">
        <w:rPr>
          <w:rStyle w:val="Refdenotaalpie"/>
          <w:rFonts w:ascii="Verdana" w:hAnsi="Verdana" w:cs="Arial"/>
          <w:sz w:val="16"/>
          <w:szCs w:val="16"/>
        </w:rPr>
        <w:footnoteRef/>
      </w:r>
      <w:r w:rsidRPr="00C70B85">
        <w:rPr>
          <w:rFonts w:ascii="Verdana" w:hAnsi="Verdana" w:cs="Arial"/>
          <w:sz w:val="16"/>
          <w:szCs w:val="16"/>
        </w:rPr>
        <w:t xml:space="preserve"> Consejo de Estado, Sala de Consulta y Servicio Civil de fecha 24 de julio de 2013, radicado 2166, </w:t>
      </w:r>
      <w:proofErr w:type="gramStart"/>
      <w:r w:rsidRPr="00C70B85">
        <w:rPr>
          <w:rFonts w:ascii="Verdana" w:hAnsi="Verdana" w:cs="Arial"/>
          <w:sz w:val="16"/>
          <w:szCs w:val="16"/>
        </w:rPr>
        <w:t>Consejero</w:t>
      </w:r>
      <w:proofErr w:type="gramEnd"/>
      <w:r w:rsidRPr="00C70B85">
        <w:rPr>
          <w:rFonts w:ascii="Verdana" w:hAnsi="Verdana" w:cs="Arial"/>
          <w:sz w:val="16"/>
          <w:szCs w:val="16"/>
        </w:rPr>
        <w:t xml:space="preserve"> Ponente: Álvaro Namén Vargas.  </w:t>
      </w:r>
    </w:p>
  </w:footnote>
  <w:footnote w:id="9">
    <w:p w14:paraId="0A850241" w14:textId="77777777" w:rsidR="00794876" w:rsidRPr="00C70B85" w:rsidRDefault="00794876" w:rsidP="00794876">
      <w:pPr>
        <w:spacing w:line="240" w:lineRule="auto"/>
        <w:ind w:firstLine="709"/>
        <w:contextualSpacing/>
        <w:jc w:val="both"/>
        <w:rPr>
          <w:rFonts w:ascii="Verdana" w:eastAsia="Times New Roman" w:hAnsi="Verdana" w:cs="Arial"/>
          <w:sz w:val="16"/>
          <w:szCs w:val="16"/>
        </w:rPr>
      </w:pPr>
      <w:r w:rsidRPr="00C70B85">
        <w:rPr>
          <w:rStyle w:val="Refdenotaalpie"/>
          <w:rFonts w:ascii="Verdana" w:hAnsi="Verdana" w:cs="Arial"/>
          <w:sz w:val="16"/>
          <w:szCs w:val="16"/>
        </w:rPr>
        <w:footnoteRef/>
      </w:r>
      <w:r w:rsidRPr="00C70B85">
        <w:rPr>
          <w:rFonts w:ascii="Verdana" w:hAnsi="Verdana" w:cs="Arial"/>
          <w:sz w:val="16"/>
          <w:szCs w:val="16"/>
        </w:rPr>
        <w:t xml:space="preserve"> </w:t>
      </w:r>
      <w:r w:rsidRPr="00C70B85">
        <w:rPr>
          <w:rFonts w:ascii="Verdana" w:eastAsia="Calibri" w:hAnsi="Verdana" w:cs="Arial"/>
          <w:color w:val="000000"/>
          <w:sz w:val="16"/>
          <w:szCs w:val="16"/>
        </w:rPr>
        <w:t>“</w:t>
      </w:r>
      <w:bookmarkStart w:id="5" w:name="33"/>
      <w:r w:rsidRPr="00C70B85">
        <w:rPr>
          <w:rFonts w:ascii="Verdana" w:eastAsia="Times New Roman" w:hAnsi="Verdana" w:cs="Arial"/>
          <w:sz w:val="16"/>
          <w:szCs w:val="16"/>
        </w:rPr>
        <w:t>Artículo 33. Restricciones a la contratación pública.</w:t>
      </w:r>
      <w:bookmarkEnd w:id="5"/>
      <w:r w:rsidRPr="00C70B85">
        <w:rPr>
          <w:rFonts w:ascii="Verdana" w:eastAsia="Times New Roman" w:hAnsi="Verdana" w:cs="Arial"/>
          <w:sz w:val="16"/>
          <w:szCs w:val="16"/>
        </w:rPr>
        <w:t> Durante los cuatro (4) meses anteriores a la elección presidencial y hasta la realización de la elección en la segunda vuelta, si fuere el caso, queda prohibida la contratación directa por parte de todos los entes del Estado.</w:t>
      </w:r>
    </w:p>
    <w:p w14:paraId="2BB41C68" w14:textId="77777777" w:rsidR="00794876" w:rsidRPr="00C70B85" w:rsidRDefault="00794876" w:rsidP="00794876">
      <w:pPr>
        <w:spacing w:line="240" w:lineRule="auto"/>
        <w:ind w:firstLine="709"/>
        <w:contextualSpacing/>
        <w:jc w:val="both"/>
        <w:rPr>
          <w:rFonts w:ascii="Verdana" w:eastAsia="Times New Roman" w:hAnsi="Verdana" w:cs="Arial"/>
          <w:sz w:val="16"/>
          <w:szCs w:val="16"/>
        </w:rPr>
      </w:pPr>
      <w:r w:rsidRPr="00C70B85">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C70B85">
        <w:rPr>
          <w:rFonts w:ascii="Verdana" w:eastAsia="Calibri" w:hAnsi="Verdana" w:cs="Arial"/>
          <w:color w:val="000000"/>
          <w:sz w:val="16"/>
          <w:szCs w:val="16"/>
        </w:rPr>
        <w:t>”</w:t>
      </w:r>
      <w:r w:rsidRPr="00C70B85">
        <w:rPr>
          <w:rFonts w:ascii="Verdana" w:eastAsia="Times New Roman" w:hAnsi="Verdana" w:cs="Arial"/>
          <w:sz w:val="16"/>
          <w:szCs w:val="16"/>
        </w:rPr>
        <w:t>.</w:t>
      </w:r>
    </w:p>
  </w:footnote>
  <w:footnote w:id="10">
    <w:p w14:paraId="37B27C60" w14:textId="77777777" w:rsidR="00794876" w:rsidRPr="00C70B85" w:rsidRDefault="00794876" w:rsidP="00794876">
      <w:pPr>
        <w:pStyle w:val="NormalWeb"/>
        <w:spacing w:before="0" w:beforeAutospacing="0" w:after="0" w:afterAutospacing="0"/>
        <w:ind w:firstLine="709"/>
        <w:contextualSpacing/>
        <w:jc w:val="both"/>
        <w:rPr>
          <w:rFonts w:ascii="Verdana" w:hAnsi="Verdana" w:cs="Arial"/>
          <w:sz w:val="16"/>
          <w:szCs w:val="16"/>
          <w:lang w:val="es-MX"/>
        </w:rPr>
      </w:pPr>
      <w:r w:rsidRPr="00C70B85">
        <w:rPr>
          <w:rStyle w:val="Refdenotaalpie"/>
          <w:rFonts w:ascii="Verdana" w:hAnsi="Verdana" w:cs="Arial"/>
          <w:sz w:val="16"/>
          <w:szCs w:val="16"/>
        </w:rPr>
        <w:footnoteRef/>
      </w:r>
      <w:r w:rsidRPr="00C70B85">
        <w:rPr>
          <w:rFonts w:ascii="Verdana" w:hAnsi="Verdana" w:cs="Arial"/>
          <w:sz w:val="16"/>
          <w:szCs w:val="16"/>
        </w:rPr>
        <w:t xml:space="preserve"> </w:t>
      </w:r>
      <w:r w:rsidRPr="00C70B85">
        <w:rPr>
          <w:rFonts w:ascii="Verdana" w:eastAsia="Calibri" w:hAnsi="Verdana" w:cs="Arial"/>
          <w:color w:val="000000"/>
          <w:sz w:val="16"/>
          <w:szCs w:val="16"/>
        </w:rPr>
        <w:t>“</w:t>
      </w:r>
      <w:bookmarkStart w:id="6" w:name="38"/>
      <w:r w:rsidRPr="00C70B85">
        <w:rPr>
          <w:rFonts w:ascii="Verdana" w:hAnsi="Verdana" w:cs="Arial"/>
          <w:sz w:val="16"/>
          <w:szCs w:val="16"/>
          <w:lang w:val="es-MX"/>
        </w:rPr>
        <w:t>Artículo 38. Prohibiciones para los servidores públicos. A los empleados del Estado les está prohibido:</w:t>
      </w:r>
      <w:bookmarkEnd w:id="6"/>
    </w:p>
    <w:p w14:paraId="555A4A5D" w14:textId="77777777" w:rsidR="00794876" w:rsidRPr="00C70B85" w:rsidRDefault="00794876" w:rsidP="00794876">
      <w:pPr>
        <w:pStyle w:val="NormalWeb"/>
        <w:spacing w:before="0" w:beforeAutospacing="0" w:after="0" w:afterAutospacing="0"/>
        <w:ind w:firstLine="709"/>
        <w:contextualSpacing/>
        <w:jc w:val="both"/>
        <w:rPr>
          <w:rFonts w:ascii="Verdana" w:hAnsi="Verdana" w:cs="Arial"/>
          <w:sz w:val="16"/>
          <w:szCs w:val="16"/>
          <w:lang w:val="es-MX"/>
        </w:rPr>
      </w:pPr>
      <w:r w:rsidRPr="00C70B85">
        <w:rPr>
          <w:rFonts w:ascii="Verdana" w:hAnsi="Verdana" w:cs="Arial"/>
          <w:sz w:val="16"/>
          <w:szCs w:val="16"/>
          <w:lang w:val="es-MX"/>
        </w:rPr>
        <w:t>[…]</w:t>
      </w:r>
    </w:p>
    <w:p w14:paraId="03E3A350" w14:textId="77777777" w:rsidR="00794876" w:rsidRPr="00C70B85" w:rsidRDefault="00794876" w:rsidP="00794876">
      <w:pPr>
        <w:pStyle w:val="NormalWeb"/>
        <w:spacing w:before="0" w:beforeAutospacing="0" w:after="0" w:afterAutospacing="0"/>
        <w:ind w:firstLine="709"/>
        <w:contextualSpacing/>
        <w:jc w:val="both"/>
        <w:rPr>
          <w:rFonts w:ascii="Verdana" w:hAnsi="Verdana" w:cs="Arial"/>
          <w:sz w:val="16"/>
          <w:szCs w:val="16"/>
          <w:lang w:val="es-MX"/>
        </w:rPr>
      </w:pPr>
      <w:r w:rsidRPr="00C70B85">
        <w:rPr>
          <w:rStyle w:val="baj"/>
          <w:rFonts w:ascii="Verdana" w:eastAsiaTheme="minorEastAsia" w:hAnsi="Verdana" w:cs="Arial"/>
          <w:sz w:val="16"/>
          <w:szCs w:val="16"/>
          <w:lang w:val="es-MX"/>
        </w:rPr>
        <w:t>Parágrafo.</w:t>
      </w:r>
      <w:r w:rsidRPr="00C70B85">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C70B85">
        <w:rPr>
          <w:rFonts w:ascii="Verdana" w:eastAsia="Calibri" w:hAnsi="Verdana" w:cs="Arial"/>
          <w:color w:val="000000"/>
          <w:sz w:val="16"/>
          <w:szCs w:val="16"/>
        </w:rPr>
        <w:t>”</w:t>
      </w:r>
      <w:r w:rsidRPr="00C70B85">
        <w:rPr>
          <w:rFonts w:ascii="Verdana" w:hAnsi="Verdana" w:cs="Arial"/>
          <w:sz w:val="16"/>
          <w:szCs w:val="16"/>
          <w:lang w:val="es-MX"/>
        </w:rPr>
        <w:t>.</w:t>
      </w:r>
    </w:p>
  </w:footnote>
  <w:footnote w:id="11">
    <w:p w14:paraId="4EFCD927" w14:textId="77777777" w:rsidR="00794876" w:rsidRPr="00C70B85" w:rsidRDefault="00794876" w:rsidP="00794876">
      <w:pPr>
        <w:spacing w:after="0" w:line="240" w:lineRule="auto"/>
        <w:ind w:left="100" w:right="244" w:firstLine="709"/>
        <w:contextualSpacing/>
        <w:jc w:val="both"/>
        <w:rPr>
          <w:rFonts w:ascii="Verdana" w:hAnsi="Verdana" w:cs="Arial"/>
          <w:sz w:val="16"/>
          <w:szCs w:val="16"/>
          <w:lang w:val="es-ES"/>
        </w:rPr>
      </w:pPr>
      <w:r w:rsidRPr="00C70B85">
        <w:rPr>
          <w:rStyle w:val="Refdenotaalpie"/>
          <w:rFonts w:ascii="Verdana" w:hAnsi="Verdana" w:cs="Arial"/>
          <w:sz w:val="16"/>
          <w:szCs w:val="16"/>
        </w:rPr>
        <w:footnoteRef/>
      </w:r>
      <w:r w:rsidRPr="00C70B85">
        <w:rPr>
          <w:rFonts w:ascii="Verdana" w:hAnsi="Verdana" w:cs="Arial"/>
          <w:sz w:val="16"/>
          <w:szCs w:val="16"/>
        </w:rPr>
        <w:t xml:space="preserve"> Consejo de Estado. Sala de Consulta y Servicio Civil. Concepto del 17 de febrero de 2015. C.P. William Zambrano Cetina. Radicación No. 11001-03-06-000-2015-00164-00(2269).</w:t>
      </w:r>
    </w:p>
  </w:footnote>
  <w:footnote w:id="12">
    <w:p w14:paraId="552383A2" w14:textId="77777777" w:rsidR="00794876" w:rsidRPr="00C70B85" w:rsidRDefault="00794876" w:rsidP="00794876">
      <w:pPr>
        <w:pStyle w:val="Textonotapie"/>
        <w:ind w:right="51" w:firstLine="709"/>
        <w:jc w:val="both"/>
        <w:rPr>
          <w:rFonts w:ascii="Verdana" w:hAnsi="Verdana" w:cs="Arial"/>
          <w:sz w:val="16"/>
          <w:szCs w:val="16"/>
        </w:rPr>
      </w:pPr>
      <w:r w:rsidRPr="00C70B85">
        <w:rPr>
          <w:rStyle w:val="Refdenotaalpie"/>
          <w:rFonts w:ascii="Verdana" w:hAnsi="Verdana" w:cs="Arial"/>
          <w:sz w:val="16"/>
          <w:szCs w:val="16"/>
        </w:rPr>
        <w:footnoteRef/>
      </w:r>
      <w:r w:rsidRPr="00C70B85">
        <w:rPr>
          <w:rFonts w:ascii="Verdana" w:hAnsi="Verdana" w:cs="Arial"/>
          <w:sz w:val="16"/>
          <w:szCs w:val="16"/>
        </w:rPr>
        <w:t xml:space="preserve"> “</w:t>
      </w:r>
      <w:r w:rsidRPr="00C70B85">
        <w:rPr>
          <w:rFonts w:ascii="Verdana" w:hAnsi="Verdana" w:cs="Arial"/>
          <w:sz w:val="16"/>
          <w:szCs w:val="16"/>
          <w:lang w:val="es-ES"/>
        </w:rPr>
        <w:t xml:space="preserve">[25] </w:t>
      </w:r>
      <w:r w:rsidRPr="00C70B85">
        <w:rPr>
          <w:rFonts w:ascii="Verdana" w:hAnsi="Verdana" w:cs="Arial"/>
          <w:sz w:val="16"/>
          <w:szCs w:val="16"/>
        </w:rPr>
        <w:t>Cfr. Consejo de Estado. Sección Tercera. Sentencia de 3 de diciembre de 2007. Radicados: 24.715, 25.206, 25.409, 24.524, 27.834, 25.410, 26.105, 28.244, 31.447 -acumulados-”.</w:t>
      </w:r>
    </w:p>
  </w:footnote>
  <w:footnote w:id="13">
    <w:p w14:paraId="4E7DCF38" w14:textId="77777777" w:rsidR="00794876" w:rsidRPr="00C70B85" w:rsidRDefault="00794876" w:rsidP="00794876">
      <w:pPr>
        <w:pStyle w:val="Textonotapie"/>
        <w:ind w:right="51" w:firstLine="709"/>
        <w:jc w:val="both"/>
        <w:rPr>
          <w:rFonts w:ascii="Verdana" w:hAnsi="Verdana" w:cs="Arial"/>
          <w:sz w:val="16"/>
          <w:szCs w:val="16"/>
        </w:rPr>
      </w:pPr>
      <w:r w:rsidRPr="00C70B85">
        <w:rPr>
          <w:rStyle w:val="Refdenotaalpie"/>
          <w:rFonts w:ascii="Verdana" w:hAnsi="Verdana" w:cs="Arial"/>
          <w:sz w:val="16"/>
          <w:szCs w:val="16"/>
        </w:rPr>
        <w:footnoteRef/>
      </w:r>
      <w:r w:rsidRPr="00C70B85">
        <w:rPr>
          <w:rFonts w:ascii="Verdana" w:hAnsi="Verdana" w:cs="Arial"/>
          <w:sz w:val="16"/>
          <w:szCs w:val="16"/>
        </w:rPr>
        <w:t xml:space="preserve"> “</w:t>
      </w:r>
      <w:r w:rsidRPr="00C70B85">
        <w:rPr>
          <w:rFonts w:ascii="Verdana" w:hAnsi="Verdana" w:cs="Arial"/>
          <w:sz w:val="16"/>
          <w:szCs w:val="16"/>
          <w:lang w:val="es-ES"/>
        </w:rPr>
        <w:t xml:space="preserve">[26] </w:t>
      </w:r>
      <w:r w:rsidRPr="00C70B85">
        <w:rPr>
          <w:rFonts w:ascii="Verdana" w:hAnsi="Verdana" w:cs="Arial"/>
          <w:sz w:val="16"/>
          <w:szCs w:val="16"/>
        </w:rPr>
        <w:t>Al respecto ver el concepto 1712 de 2 de febrero de 2006. Consejo de Estado Sala de Consulta y Servicio Civil”.</w:t>
      </w:r>
    </w:p>
  </w:footnote>
  <w:footnote w:id="14">
    <w:p w14:paraId="4B836A5D" w14:textId="77777777" w:rsidR="00794876" w:rsidRPr="00C70B85" w:rsidRDefault="00794876" w:rsidP="00794876">
      <w:pPr>
        <w:pStyle w:val="Textonotapie"/>
        <w:ind w:firstLine="709"/>
        <w:jc w:val="both"/>
        <w:rPr>
          <w:rFonts w:ascii="Verdana" w:hAnsi="Verdana" w:cs="Arial"/>
          <w:sz w:val="16"/>
          <w:szCs w:val="16"/>
        </w:rPr>
      </w:pPr>
      <w:r w:rsidRPr="00C70B85">
        <w:rPr>
          <w:rStyle w:val="Refdenotaalpie"/>
          <w:rFonts w:ascii="Verdana" w:hAnsi="Verdana" w:cs="Arial"/>
          <w:sz w:val="16"/>
          <w:szCs w:val="16"/>
        </w:rPr>
        <w:footnoteRef/>
      </w:r>
      <w:r w:rsidRPr="00C70B85">
        <w:rPr>
          <w:rFonts w:ascii="Verdana" w:hAnsi="Verdana" w:cs="Arial"/>
          <w:sz w:val="16"/>
          <w:szCs w:val="16"/>
        </w:rPr>
        <w:t xml:space="preserve"> Consejo de Estado. Sala de Consulta y Servicio Civil. Concepto del 2 de septiembre de 2013. Radicación número: 11001-03-06-000-2013-00412-00 (2168). Consejero Ponente: Álvaro Namén Vargas.</w:t>
      </w:r>
    </w:p>
  </w:footnote>
  <w:footnote w:id="15">
    <w:p w14:paraId="0B945585" w14:textId="77777777" w:rsidR="00794876" w:rsidRPr="00C70B85" w:rsidRDefault="00794876" w:rsidP="00794876">
      <w:pPr>
        <w:pStyle w:val="Textonotapie"/>
        <w:ind w:firstLine="709"/>
        <w:jc w:val="both"/>
        <w:rPr>
          <w:rFonts w:ascii="Verdana" w:hAnsi="Verdana" w:cs="Arial"/>
          <w:sz w:val="16"/>
          <w:szCs w:val="16"/>
          <w:lang w:val="es-ES"/>
        </w:rPr>
      </w:pPr>
      <w:r w:rsidRPr="00C70B85">
        <w:rPr>
          <w:rStyle w:val="Refdenotaalpie"/>
          <w:rFonts w:ascii="Verdana" w:hAnsi="Verdana" w:cs="Arial"/>
          <w:sz w:val="16"/>
          <w:szCs w:val="16"/>
        </w:rPr>
        <w:footnoteRef/>
      </w:r>
      <w:r w:rsidRPr="00C70B85">
        <w:rPr>
          <w:rFonts w:ascii="Verdana" w:hAnsi="Verdana" w:cs="Arial"/>
          <w:sz w:val="16"/>
          <w:szCs w:val="16"/>
        </w:rPr>
        <w:t xml:space="preserve"> </w:t>
      </w:r>
      <w:r w:rsidRPr="00C70B85">
        <w:rPr>
          <w:rFonts w:ascii="Verdana" w:hAnsi="Verdana" w:cs="Arial"/>
          <w:sz w:val="16"/>
          <w:szCs w:val="16"/>
          <w:lang w:val="es-ES"/>
        </w:rPr>
        <w:t xml:space="preserve">Artículo 2. </w:t>
      </w:r>
    </w:p>
  </w:footnote>
  <w:footnote w:id="16">
    <w:p w14:paraId="54A179BA" w14:textId="77777777" w:rsidR="00794876" w:rsidRPr="00C70B85" w:rsidRDefault="00794876" w:rsidP="00794876">
      <w:pPr>
        <w:pStyle w:val="Textonotapie"/>
        <w:ind w:firstLine="709"/>
        <w:jc w:val="both"/>
        <w:rPr>
          <w:rFonts w:ascii="Verdana" w:hAnsi="Verdana" w:cs="Arial"/>
          <w:sz w:val="16"/>
          <w:szCs w:val="16"/>
          <w:lang w:val="es-ES"/>
        </w:rPr>
      </w:pPr>
      <w:r w:rsidRPr="00C70B85">
        <w:rPr>
          <w:rStyle w:val="Refdenotaalpie"/>
          <w:rFonts w:ascii="Verdana" w:hAnsi="Verdana" w:cs="Arial"/>
          <w:sz w:val="16"/>
          <w:szCs w:val="16"/>
        </w:rPr>
        <w:footnoteRef/>
      </w:r>
      <w:r w:rsidRPr="00C70B85">
        <w:rPr>
          <w:rFonts w:ascii="Verdana" w:hAnsi="Verdana" w:cs="Arial"/>
          <w:sz w:val="16"/>
          <w:szCs w:val="16"/>
        </w:rPr>
        <w:t xml:space="preserve"> </w:t>
      </w:r>
      <w:r w:rsidRPr="00C70B85">
        <w:rPr>
          <w:rFonts w:ascii="Verdana" w:hAnsi="Verdana" w:cs="Arial"/>
          <w:i/>
          <w:sz w:val="16"/>
          <w:szCs w:val="16"/>
          <w:lang w:val="es-ES"/>
        </w:rPr>
        <w:t>Ibidem</w:t>
      </w:r>
      <w:r w:rsidRPr="00C70B85">
        <w:rPr>
          <w:rFonts w:ascii="Verdana" w:hAnsi="Verdana" w:cs="Arial"/>
          <w:sz w:val="16"/>
          <w:szCs w:val="16"/>
          <w:lang w:val="es-ES"/>
        </w:rPr>
        <w:t>.</w:t>
      </w:r>
    </w:p>
  </w:footnote>
  <w:footnote w:id="17">
    <w:p w14:paraId="51C7A711" w14:textId="77777777" w:rsidR="00794876" w:rsidRPr="00C70B85" w:rsidRDefault="00794876" w:rsidP="00794876">
      <w:pPr>
        <w:pStyle w:val="Textonotapie"/>
        <w:ind w:firstLine="709"/>
        <w:jc w:val="both"/>
        <w:rPr>
          <w:rFonts w:ascii="Verdana" w:hAnsi="Verdana" w:cs="Arial"/>
          <w:sz w:val="16"/>
          <w:szCs w:val="16"/>
          <w:lang w:val="es-ES"/>
        </w:rPr>
      </w:pPr>
      <w:r w:rsidRPr="00C70B85">
        <w:rPr>
          <w:rStyle w:val="Refdenotaalpie"/>
          <w:rFonts w:ascii="Verdana" w:hAnsi="Verdana" w:cs="Arial"/>
          <w:sz w:val="16"/>
          <w:szCs w:val="16"/>
        </w:rPr>
        <w:footnoteRef/>
      </w:r>
      <w:r w:rsidRPr="00C70B85">
        <w:rPr>
          <w:rStyle w:val="Refdenotaalpie"/>
          <w:rFonts w:ascii="Verdana" w:hAnsi="Verdana" w:cs="Arial"/>
          <w:sz w:val="16"/>
          <w:szCs w:val="16"/>
        </w:rPr>
        <w:t xml:space="preserve"> </w:t>
      </w:r>
      <w:r w:rsidRPr="00C70B85">
        <w:rPr>
          <w:rFonts w:ascii="Verdana" w:hAnsi="Verdana" w:cs="Arial"/>
          <w:sz w:val="16"/>
          <w:szCs w:val="16"/>
          <w:lang w:val="es-ES"/>
        </w:rPr>
        <w:t xml:space="preserve">“[…] A este respecto, cabe recordar que el artículo 860 del Código de Comercio regula la licitación en el derecho privado”. </w:t>
      </w:r>
    </w:p>
  </w:footnote>
  <w:footnote w:id="18">
    <w:p w14:paraId="7361107D" w14:textId="77777777" w:rsidR="00794876" w:rsidRPr="00C70B85" w:rsidRDefault="00794876" w:rsidP="00794876">
      <w:pPr>
        <w:shd w:val="clear" w:color="auto" w:fill="FFFFFF"/>
        <w:spacing w:after="0"/>
        <w:ind w:firstLine="709"/>
        <w:jc w:val="both"/>
        <w:rPr>
          <w:rFonts w:ascii="Verdana" w:hAnsi="Verdana" w:cs="Arial"/>
          <w:sz w:val="16"/>
          <w:szCs w:val="16"/>
          <w:lang w:val="es-ES"/>
        </w:rPr>
      </w:pPr>
      <w:r w:rsidRPr="00C70B85">
        <w:rPr>
          <w:rStyle w:val="Refdenotaalpie"/>
          <w:rFonts w:ascii="Verdana" w:hAnsi="Verdana" w:cs="Arial"/>
          <w:sz w:val="16"/>
          <w:szCs w:val="16"/>
        </w:rPr>
        <w:footnoteRef/>
      </w:r>
      <w:r w:rsidRPr="00C70B85">
        <w:rPr>
          <w:rStyle w:val="Refdenotaalpie"/>
          <w:rFonts w:ascii="Verdana" w:hAnsi="Verdana" w:cs="Arial"/>
          <w:sz w:val="16"/>
          <w:szCs w:val="16"/>
        </w:rPr>
        <w:t xml:space="preserve"> </w:t>
      </w:r>
      <w:r w:rsidRPr="00C70B85">
        <w:rPr>
          <w:rFonts w:ascii="Verdana" w:hAnsi="Verdana" w:cs="Arial"/>
          <w:sz w:val="16"/>
          <w:szCs w:val="16"/>
          <w:lang w:val="es-ES"/>
        </w:rPr>
        <w:t>Consejo de Estado. Sala de Consulta y Servicio Civil, Concepto de 8 de mayo de 2018. Radicación Número: 11001-03-06-000-2018-00095-00(2382). Consejero Ponente: Álvaro Namén Vargas.</w:t>
      </w:r>
    </w:p>
  </w:footnote>
  <w:footnote w:id="19">
    <w:p w14:paraId="6DC27907" w14:textId="77777777" w:rsidR="00794876" w:rsidRPr="00C70B85" w:rsidRDefault="00794876" w:rsidP="00794876">
      <w:pPr>
        <w:pStyle w:val="Textonotapie"/>
        <w:ind w:firstLine="709"/>
        <w:jc w:val="both"/>
        <w:rPr>
          <w:rFonts w:ascii="Verdana" w:hAnsi="Verdana" w:cs="Arial"/>
          <w:sz w:val="16"/>
          <w:szCs w:val="16"/>
        </w:rPr>
      </w:pPr>
      <w:r w:rsidRPr="00C70B85">
        <w:rPr>
          <w:rStyle w:val="Refdenotaalpie"/>
          <w:rFonts w:ascii="Verdana" w:hAnsi="Verdana" w:cs="Arial"/>
          <w:sz w:val="16"/>
          <w:szCs w:val="16"/>
        </w:rPr>
        <w:footnoteRef/>
      </w:r>
      <w:r w:rsidRPr="00C70B85">
        <w:rPr>
          <w:rFonts w:ascii="Verdana" w:hAnsi="Verdana" w:cs="Arial"/>
          <w:sz w:val="16"/>
          <w:szCs w:val="16"/>
        </w:rPr>
        <w:t xml:space="preserve"> Consejo de Estado. Sala de Consulta y Servicio Civil. Concepto del 08 de mayo de 2018. </w:t>
      </w:r>
      <w:proofErr w:type="spellStart"/>
      <w:r w:rsidRPr="00C70B85">
        <w:rPr>
          <w:rFonts w:ascii="Verdana" w:hAnsi="Verdana" w:cs="Arial"/>
          <w:sz w:val="16"/>
          <w:szCs w:val="16"/>
        </w:rPr>
        <w:t>Exp</w:t>
      </w:r>
      <w:proofErr w:type="spellEnd"/>
      <w:r w:rsidRPr="00C70B85">
        <w:rPr>
          <w:rFonts w:ascii="Verdana" w:hAnsi="Verdana" w:cs="Arial"/>
          <w:sz w:val="16"/>
          <w:szCs w:val="16"/>
        </w:rPr>
        <w:t>. 2.382. C.P. Álvaro Namén Vargas.</w:t>
      </w:r>
    </w:p>
  </w:footnote>
  <w:footnote w:id="20">
    <w:p w14:paraId="58A9F7DB" w14:textId="77777777" w:rsidR="00794876" w:rsidRPr="00C70B85" w:rsidRDefault="00794876" w:rsidP="00794876">
      <w:pPr>
        <w:pStyle w:val="Textonotapie"/>
        <w:ind w:firstLine="709"/>
        <w:jc w:val="both"/>
        <w:rPr>
          <w:rFonts w:ascii="Verdana" w:hAnsi="Verdana" w:cs="Arial"/>
          <w:sz w:val="16"/>
          <w:szCs w:val="16"/>
        </w:rPr>
      </w:pPr>
      <w:r w:rsidRPr="00C70B85">
        <w:rPr>
          <w:rStyle w:val="Refdenotaalpie"/>
          <w:rFonts w:ascii="Verdana" w:hAnsi="Verdana" w:cs="Arial"/>
          <w:sz w:val="16"/>
          <w:szCs w:val="16"/>
        </w:rPr>
        <w:footnoteRef/>
      </w:r>
      <w:r w:rsidRPr="00C70B85">
        <w:rPr>
          <w:rFonts w:ascii="Verdana" w:hAnsi="Verdana" w:cs="Arial"/>
          <w:sz w:val="16"/>
          <w:szCs w:val="16"/>
        </w:rPr>
        <w:t xml:space="preserve"> La Corte Constitucional mediante Sentencia C-1153-05 de 11 de noviembre de 2005, Magistrado Ponente Marco Gerardo Monroy Cabra, efectuó el Control constitucional al Proyecto de Ley Estatutaria </w:t>
      </w:r>
      <w:proofErr w:type="spellStart"/>
      <w:r w:rsidRPr="00C70B85">
        <w:rPr>
          <w:rFonts w:ascii="Verdana" w:hAnsi="Verdana" w:cs="Arial"/>
          <w:sz w:val="16"/>
          <w:szCs w:val="16"/>
        </w:rPr>
        <w:t>N°</w:t>
      </w:r>
      <w:proofErr w:type="spellEnd"/>
      <w:r w:rsidRPr="00C70B85">
        <w:rPr>
          <w:rFonts w:ascii="Verdana" w:hAnsi="Verdana" w:cs="Arial"/>
          <w:sz w:val="16"/>
          <w:szCs w:val="16"/>
        </w:rPr>
        <w:t xml:space="preserve"> 216/05 Senado, </w:t>
      </w:r>
      <w:proofErr w:type="spellStart"/>
      <w:r w:rsidRPr="00C70B85">
        <w:rPr>
          <w:rFonts w:ascii="Verdana" w:hAnsi="Verdana" w:cs="Arial"/>
          <w:sz w:val="16"/>
          <w:szCs w:val="16"/>
        </w:rPr>
        <w:t>N°</w:t>
      </w:r>
      <w:proofErr w:type="spellEnd"/>
      <w:r w:rsidRPr="00C70B85">
        <w:rPr>
          <w:rFonts w:ascii="Verdana" w:hAnsi="Verdana" w:cs="Arial"/>
          <w:sz w:val="16"/>
          <w:szCs w:val="16"/>
        </w:rPr>
        <w:t xml:space="preserve"> 235-Cámara que dio lugar a la Ley de Garantías Electorales.</w:t>
      </w:r>
    </w:p>
  </w:footnote>
  <w:footnote w:id="21">
    <w:p w14:paraId="0B965F35" w14:textId="77777777" w:rsidR="00794876" w:rsidRPr="00C70B85" w:rsidRDefault="00794876" w:rsidP="00794876">
      <w:pPr>
        <w:pStyle w:val="Textonotapie"/>
        <w:ind w:firstLine="708"/>
        <w:contextualSpacing/>
        <w:jc w:val="both"/>
        <w:rPr>
          <w:rFonts w:ascii="Verdana" w:hAnsi="Verdana" w:cs="Arial"/>
          <w:color w:val="000000" w:themeColor="text1"/>
          <w:sz w:val="16"/>
          <w:szCs w:val="16"/>
        </w:rPr>
      </w:pPr>
      <w:r w:rsidRPr="00C70B85">
        <w:rPr>
          <w:rStyle w:val="Refdenotaalpie"/>
          <w:rFonts w:ascii="Verdana" w:hAnsi="Verdana" w:cs="Arial"/>
          <w:color w:val="000000" w:themeColor="text1"/>
          <w:sz w:val="16"/>
          <w:szCs w:val="16"/>
        </w:rPr>
        <w:footnoteRef/>
      </w:r>
      <w:r w:rsidRPr="00C70B85">
        <w:rPr>
          <w:rFonts w:ascii="Verdana" w:hAnsi="Verdana" w:cs="Arial"/>
          <w:color w:val="000000" w:themeColor="text1"/>
          <w:sz w:val="16"/>
          <w:szCs w:val="16"/>
        </w:rPr>
        <w:t xml:space="preserve"> Consejo de Estado. Sala de Consulta y Servicio Civil. Concepto del 02 de septiembre de 2013. Rad. 11001-03-06-000-2013-00412-00 (2168). C.P. Álvaro Namén Vargas.</w:t>
      </w:r>
    </w:p>
  </w:footnote>
  <w:footnote w:id="22">
    <w:p w14:paraId="22CF3525" w14:textId="77777777" w:rsidR="00794876" w:rsidRPr="00C70B85" w:rsidRDefault="00794876" w:rsidP="00794876">
      <w:pPr>
        <w:spacing w:after="0"/>
        <w:ind w:firstLine="709"/>
        <w:jc w:val="both"/>
        <w:rPr>
          <w:rFonts w:ascii="Verdana" w:hAnsi="Verdana" w:cs="Arial"/>
          <w:sz w:val="16"/>
          <w:szCs w:val="16"/>
        </w:rPr>
      </w:pPr>
      <w:r w:rsidRPr="00C70B85">
        <w:rPr>
          <w:rStyle w:val="Refdenotaalpie"/>
          <w:rFonts w:ascii="Verdana" w:hAnsi="Verdana" w:cs="Arial"/>
          <w:sz w:val="16"/>
          <w:szCs w:val="16"/>
        </w:rPr>
        <w:footnoteRef/>
      </w:r>
      <w:r w:rsidRPr="00C70B85">
        <w:rPr>
          <w:rFonts w:ascii="Verdana" w:hAnsi="Verdana" w:cs="Arial"/>
          <w:sz w:val="16"/>
          <w:szCs w:val="16"/>
        </w:rPr>
        <w:t xml:space="preserve"> Consejo de Estado. Sala de Consulta y Servicio Civil. Concepto de 20 de febrero de 2006. Radicación Número: 11001-03-06-000-2006-00026-00(1727). Consejero Ponente: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footnote>
  <w:footnote w:id="23">
    <w:p w14:paraId="02368B76" w14:textId="77777777" w:rsidR="00794876" w:rsidRPr="00C70B85" w:rsidRDefault="00794876" w:rsidP="00794876">
      <w:pPr>
        <w:pStyle w:val="Textonotapie"/>
        <w:ind w:right="51" w:firstLine="709"/>
        <w:jc w:val="both"/>
        <w:rPr>
          <w:rFonts w:ascii="Verdana" w:hAnsi="Verdana" w:cs="Arial"/>
          <w:sz w:val="16"/>
          <w:szCs w:val="16"/>
        </w:rPr>
      </w:pPr>
      <w:r w:rsidRPr="00C70B85">
        <w:rPr>
          <w:rStyle w:val="Refdenotaalpie"/>
          <w:rFonts w:ascii="Verdana" w:hAnsi="Verdana" w:cs="Arial"/>
          <w:sz w:val="16"/>
          <w:szCs w:val="16"/>
        </w:rPr>
        <w:footnoteRef/>
      </w:r>
      <w:r w:rsidRPr="00C70B85">
        <w:rPr>
          <w:rFonts w:ascii="Verdana" w:hAnsi="Verdana" w:cs="Arial"/>
          <w:sz w:val="16"/>
          <w:szCs w:val="16"/>
        </w:rPr>
        <w:t xml:space="preserve"> </w:t>
      </w:r>
      <w:bookmarkStart w:id="17" w:name="_Hlk75633115"/>
      <w:r w:rsidRPr="00C70B85">
        <w:rPr>
          <w:rFonts w:ascii="Verdana" w:hAnsi="Verdana" w:cs="Arial"/>
          <w:sz w:val="16"/>
          <w:szCs w:val="16"/>
        </w:rPr>
        <w:t xml:space="preserve">Consejo de Estado. Sala de Consulta y Servicio Civil. Concepto </w:t>
      </w:r>
      <w:bookmarkEnd w:id="17"/>
      <w:r w:rsidRPr="00C70B85">
        <w:rPr>
          <w:rFonts w:ascii="Verdana" w:hAnsi="Verdana" w:cs="Arial"/>
          <w:sz w:val="16"/>
          <w:szCs w:val="16"/>
        </w:rPr>
        <w:t>de 6 de abril de 2006. Radicación Número: 11001-03-06-000-2006-00038-00(1738). Consejero Ponente: Enrique José Arboleda Perdomo:</w:t>
      </w:r>
      <w:r w:rsidRPr="00C70B85">
        <w:rPr>
          <w:rFonts w:ascii="Verdana" w:eastAsia="Times New Roman" w:hAnsi="Verdana" w:cs="Arial"/>
          <w:bCs/>
          <w:sz w:val="16"/>
          <w:szCs w:val="16"/>
          <w:lang w:eastAsia="x-none"/>
        </w:rPr>
        <w:t xml:space="preserve"> “</w:t>
      </w:r>
      <w:r w:rsidRPr="00C70B85">
        <w:rPr>
          <w:rFonts w:ascii="Verdana" w:hAnsi="Verdana" w:cs="Arial"/>
          <w:sz w:val="16"/>
          <w:szCs w:val="16"/>
        </w:rPr>
        <w:t>Si bien en el tema del concepto del que se extractaron los párrafos transcritos, se hacía referencia a las empresas de servicios públicos domiciliarios mixtas, la explicación dada cobija también a las empresas industriales y comerciales del estado y a las de crédito, pues todas ellas hacen parte de la definición de administración pública de la ley 489 de 1998, y además encajan dentro de la noción de todos los entes del Estado que trae la ley 996 de 2005 en el artículo 33, de manera que no es lógico pretender exonerarse de ésta prohibición alegando un régimen especial de los actos o contratos</w:t>
      </w:r>
      <w:r w:rsidRPr="00C70B85">
        <w:rPr>
          <w:rFonts w:ascii="Verdana" w:eastAsia="Times New Roman" w:hAnsi="Verdana" w:cs="Arial"/>
          <w:bCs/>
          <w:sz w:val="16"/>
          <w:szCs w:val="16"/>
          <w:lang w:eastAsia="x-none"/>
        </w:rPr>
        <w:t>”.</w:t>
      </w:r>
    </w:p>
  </w:footnote>
  <w:footnote w:id="24">
    <w:p w14:paraId="0190D822" w14:textId="77777777" w:rsidR="00794876" w:rsidRPr="00C70B85" w:rsidRDefault="00794876" w:rsidP="00794876">
      <w:pPr>
        <w:pStyle w:val="Textonotapie"/>
        <w:ind w:right="51" w:firstLine="709"/>
        <w:jc w:val="both"/>
        <w:rPr>
          <w:rFonts w:ascii="Verdana" w:hAnsi="Verdana" w:cs="Arial"/>
          <w:sz w:val="16"/>
          <w:szCs w:val="16"/>
        </w:rPr>
      </w:pPr>
      <w:r w:rsidRPr="00C70B85">
        <w:rPr>
          <w:rStyle w:val="Refdenotaalpie"/>
          <w:rFonts w:ascii="Verdana" w:hAnsi="Verdana" w:cs="Arial"/>
          <w:sz w:val="16"/>
          <w:szCs w:val="16"/>
        </w:rPr>
        <w:footnoteRef/>
      </w:r>
      <w:r w:rsidRPr="00C70B85">
        <w:rPr>
          <w:rFonts w:ascii="Verdana" w:hAnsi="Verdana" w:cs="Arial"/>
          <w:sz w:val="16"/>
          <w:szCs w:val="16"/>
        </w:rPr>
        <w:t xml:space="preserve"> Consejo de Estado. Sala de Consulta y Servicio Civil. Concepto de 6 de abril de 2006. Radicación Número: 11001-03-06-000-2006-00038-00(1738). Consejero Ponente: Enrique José Arboleda Perdomo.</w:t>
      </w:r>
    </w:p>
  </w:footnote>
  <w:footnote w:id="25">
    <w:p w14:paraId="2CC02E8D" w14:textId="77777777" w:rsidR="00794876" w:rsidRPr="00C70B85" w:rsidRDefault="00794876" w:rsidP="00794876">
      <w:pPr>
        <w:pStyle w:val="Textonotapie"/>
        <w:ind w:right="51" w:firstLine="709"/>
        <w:jc w:val="both"/>
        <w:rPr>
          <w:rFonts w:ascii="Verdana" w:hAnsi="Verdana" w:cs="Arial"/>
          <w:sz w:val="16"/>
          <w:szCs w:val="16"/>
        </w:rPr>
      </w:pPr>
      <w:r w:rsidRPr="00C70B85">
        <w:rPr>
          <w:rStyle w:val="Refdenotaalpie"/>
          <w:rFonts w:ascii="Verdana" w:hAnsi="Verdana" w:cs="Arial"/>
          <w:sz w:val="16"/>
          <w:szCs w:val="16"/>
        </w:rPr>
        <w:footnoteRef/>
      </w:r>
      <w:r w:rsidRPr="00C70B85">
        <w:rPr>
          <w:rFonts w:ascii="Verdana" w:hAnsi="Verdana" w:cs="Arial"/>
          <w:sz w:val="16"/>
          <w:szCs w:val="16"/>
        </w:rPr>
        <w:t xml:space="preserve"> Consejo de Estado. Sala de Consulta y Servicio Civil, </w:t>
      </w:r>
      <w:r w:rsidRPr="00C70B85">
        <w:rPr>
          <w:rFonts w:ascii="Verdana" w:hAnsi="Verdana" w:cs="Arial"/>
          <w:i/>
          <w:iCs/>
          <w:sz w:val="16"/>
          <w:szCs w:val="16"/>
        </w:rPr>
        <w:t>ibidem</w:t>
      </w:r>
      <w:r w:rsidRPr="00C70B85">
        <w:rPr>
          <w:rFonts w:ascii="Verdana" w:hAnsi="Verdana" w:cs="Arial"/>
          <w:sz w:val="16"/>
          <w:szCs w:val="16"/>
        </w:rPr>
        <w:t>.</w:t>
      </w:r>
    </w:p>
  </w:footnote>
  <w:footnote w:id="26">
    <w:p w14:paraId="63C6A969" w14:textId="77777777" w:rsidR="00794876" w:rsidRPr="00C70B85" w:rsidRDefault="00794876" w:rsidP="00794876">
      <w:pPr>
        <w:pStyle w:val="Textonotapie"/>
        <w:ind w:firstLine="709"/>
        <w:jc w:val="both"/>
        <w:rPr>
          <w:rFonts w:ascii="Verdana" w:hAnsi="Verdana" w:cs="Arial"/>
          <w:sz w:val="16"/>
          <w:szCs w:val="16"/>
        </w:rPr>
      </w:pPr>
      <w:r w:rsidRPr="00C70B85">
        <w:rPr>
          <w:rStyle w:val="Refdenotaalpie"/>
          <w:rFonts w:ascii="Verdana" w:hAnsi="Verdana"/>
          <w:sz w:val="16"/>
          <w:szCs w:val="16"/>
        </w:rPr>
        <w:footnoteRef/>
      </w:r>
      <w:r w:rsidRPr="00C70B85">
        <w:rPr>
          <w:rFonts w:ascii="Verdana" w:hAnsi="Verdana"/>
          <w:sz w:val="16"/>
          <w:szCs w:val="16"/>
        </w:rPr>
        <w:t xml:space="preserve"> </w:t>
      </w:r>
      <w:r w:rsidRPr="00C70B85">
        <w:rPr>
          <w:rFonts w:ascii="Verdana" w:hAnsi="Verdana" w:cs="Arial"/>
          <w:sz w:val="16"/>
          <w:szCs w:val="16"/>
        </w:rPr>
        <w:t>Consejo de Estado -Sección Tercera-. Sentencia del 21 de febrero de 2025. Radicación Número: 68.280. CP: José Roberto Sáchica Méndez.</w:t>
      </w:r>
    </w:p>
  </w:footnote>
  <w:footnote w:id="27">
    <w:p w14:paraId="575E182B" w14:textId="77777777" w:rsidR="00794876" w:rsidRPr="00C70B85" w:rsidRDefault="00794876" w:rsidP="00794876">
      <w:pPr>
        <w:pStyle w:val="Textonotapie"/>
        <w:ind w:firstLine="709"/>
        <w:jc w:val="both"/>
        <w:rPr>
          <w:rFonts w:ascii="Verdana" w:hAnsi="Verdana" w:cs="Arial"/>
          <w:sz w:val="16"/>
          <w:szCs w:val="16"/>
        </w:rPr>
      </w:pPr>
      <w:r w:rsidRPr="00C70B85">
        <w:rPr>
          <w:rFonts w:ascii="Verdana" w:hAnsi="Verdana"/>
          <w:sz w:val="16"/>
          <w:szCs w:val="16"/>
          <w:vertAlign w:val="superscript"/>
        </w:rPr>
        <w:footnoteRef/>
      </w:r>
      <w:r w:rsidRPr="00C70B85">
        <w:rPr>
          <w:rFonts w:ascii="Verdana" w:hAnsi="Verdana"/>
          <w:sz w:val="16"/>
          <w:szCs w:val="16"/>
          <w:vertAlign w:val="superscript"/>
        </w:rPr>
        <w:t xml:space="preserve"> </w:t>
      </w:r>
      <w:r w:rsidRPr="00C70B85">
        <w:rPr>
          <w:rFonts w:ascii="Verdana" w:hAnsi="Verdana" w:cs="Arial"/>
          <w:sz w:val="16"/>
          <w:szCs w:val="16"/>
        </w:rPr>
        <w:t>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 artículo.</w:t>
      </w:r>
    </w:p>
  </w:footnote>
  <w:footnote w:id="28">
    <w:p w14:paraId="4FD204E2" w14:textId="77777777" w:rsidR="00794876" w:rsidRPr="00C70B85" w:rsidRDefault="00794876" w:rsidP="00794876">
      <w:pPr>
        <w:pStyle w:val="Textonotapie"/>
        <w:ind w:firstLine="709"/>
        <w:jc w:val="both"/>
        <w:rPr>
          <w:rFonts w:ascii="Verdana" w:hAnsi="Verdana" w:cs="Arial"/>
          <w:sz w:val="16"/>
          <w:szCs w:val="16"/>
        </w:rPr>
      </w:pPr>
      <w:r w:rsidRPr="00C70B85">
        <w:rPr>
          <w:rFonts w:ascii="Verdana" w:hAnsi="Verdana"/>
          <w:sz w:val="16"/>
          <w:szCs w:val="16"/>
          <w:vertAlign w:val="superscript"/>
        </w:rPr>
        <w:footnoteRef/>
      </w:r>
      <w:r w:rsidRPr="00C70B85">
        <w:rPr>
          <w:rFonts w:ascii="Verdana" w:hAnsi="Verdana" w:cs="Arial"/>
          <w:sz w:val="16"/>
          <w:szCs w:val="16"/>
          <w:vertAlign w:val="superscript"/>
        </w:rPr>
        <w:t xml:space="preserve"> </w:t>
      </w:r>
      <w:r w:rsidRPr="00C70B85">
        <w:rPr>
          <w:rFonts w:ascii="Verdana" w:hAnsi="Verdana" w:cs="Arial"/>
          <w:sz w:val="16"/>
          <w:szCs w:val="16"/>
        </w:rPr>
        <w:t>Ley 80 de 1993: “Artículo 41. Del perfeccionamiento del contrato. Los contratos del Estado se perfeccionan cuando se logre acuerdo sobre el objeto y la contraprestación y éste se eleve a escrito.</w:t>
      </w:r>
    </w:p>
    <w:p w14:paraId="47123515" w14:textId="77777777" w:rsidR="00794876" w:rsidRPr="00C70B85" w:rsidRDefault="00794876" w:rsidP="00794876">
      <w:pPr>
        <w:pStyle w:val="Textonotapie"/>
        <w:ind w:firstLine="709"/>
        <w:jc w:val="both"/>
        <w:rPr>
          <w:rFonts w:ascii="Verdana" w:hAnsi="Verdana" w:cs="Arial"/>
          <w:sz w:val="16"/>
          <w:szCs w:val="16"/>
        </w:rPr>
      </w:pPr>
      <w:r w:rsidRPr="00C70B85">
        <w:rPr>
          <w:rFonts w:ascii="Verdana" w:hAnsi="Verdana" w:cs="Arial"/>
          <w:sz w:val="16"/>
          <w:szCs w:val="16"/>
        </w:rPr>
        <w:t>[…]”.</w:t>
      </w:r>
    </w:p>
  </w:footnote>
  <w:footnote w:id="29">
    <w:p w14:paraId="208B3E72" w14:textId="77777777" w:rsidR="00794876" w:rsidRPr="00C70B85" w:rsidRDefault="00794876" w:rsidP="00794876">
      <w:pPr>
        <w:pStyle w:val="Textonotapie"/>
        <w:ind w:firstLine="709"/>
        <w:jc w:val="both"/>
        <w:rPr>
          <w:rFonts w:ascii="Verdana" w:hAnsi="Verdana" w:cs="Arial"/>
          <w:sz w:val="16"/>
          <w:szCs w:val="16"/>
        </w:rPr>
      </w:pPr>
      <w:r w:rsidRPr="00C70B85">
        <w:rPr>
          <w:rFonts w:ascii="Verdana" w:hAnsi="Verdana"/>
          <w:sz w:val="16"/>
          <w:szCs w:val="16"/>
          <w:vertAlign w:val="superscript"/>
        </w:rPr>
        <w:footnoteRef/>
      </w:r>
      <w:r w:rsidRPr="00C70B85">
        <w:rPr>
          <w:rFonts w:ascii="Verdana" w:hAnsi="Verdana" w:cs="Arial"/>
          <w:sz w:val="16"/>
          <w:szCs w:val="16"/>
          <w:vertAlign w:val="superscript"/>
        </w:rPr>
        <w:t xml:space="preserve"> </w:t>
      </w:r>
      <w:r w:rsidRPr="00C70B85">
        <w:rPr>
          <w:rFonts w:ascii="Verdana" w:hAnsi="Verdana" w:cs="Arial"/>
          <w:sz w:val="16"/>
          <w:szCs w:val="16"/>
        </w:rPr>
        <w:t>Código Civil: “Artículo 27. Cuando el sentido de la ley sea claro, no se desatenderá su tenor a pretexto de consultar su espíritu”.</w:t>
      </w:r>
    </w:p>
  </w:footnote>
  <w:footnote w:id="30">
    <w:p w14:paraId="18E770C3" w14:textId="77777777" w:rsidR="00794876" w:rsidRPr="00C70B85" w:rsidRDefault="00794876" w:rsidP="00794876">
      <w:pPr>
        <w:pStyle w:val="Textonotapie"/>
        <w:ind w:firstLine="709"/>
        <w:jc w:val="both"/>
        <w:rPr>
          <w:rFonts w:ascii="Verdana" w:hAnsi="Verdana"/>
          <w:sz w:val="16"/>
          <w:szCs w:val="16"/>
          <w:lang w:val="es-CO"/>
        </w:rPr>
      </w:pPr>
      <w:r w:rsidRPr="00C70B85">
        <w:rPr>
          <w:rStyle w:val="Refdenotaalpie"/>
          <w:rFonts w:ascii="Verdana" w:hAnsi="Verdana"/>
          <w:sz w:val="16"/>
          <w:szCs w:val="16"/>
        </w:rPr>
        <w:footnoteRef/>
      </w:r>
      <w:r w:rsidRPr="00C70B85">
        <w:rPr>
          <w:rFonts w:ascii="Verdana" w:hAnsi="Verdana"/>
          <w:sz w:val="16"/>
          <w:szCs w:val="16"/>
          <w:lang w:val="es-CO"/>
        </w:rPr>
        <w:t xml:space="preserve"> Consejo de Estado, Sección Tercera. Auto del 4 de octubre de 2024. </w:t>
      </w:r>
      <w:proofErr w:type="spellStart"/>
      <w:r w:rsidRPr="00C70B85">
        <w:rPr>
          <w:rFonts w:ascii="Verdana" w:hAnsi="Verdana"/>
          <w:sz w:val="16"/>
          <w:szCs w:val="16"/>
          <w:lang w:val="es-CO"/>
        </w:rPr>
        <w:t>Exp</w:t>
      </w:r>
      <w:proofErr w:type="spellEnd"/>
      <w:r w:rsidRPr="00C70B85">
        <w:rPr>
          <w:rFonts w:ascii="Verdana" w:hAnsi="Verdana"/>
          <w:sz w:val="16"/>
          <w:szCs w:val="16"/>
          <w:lang w:val="es-CO"/>
        </w:rPr>
        <w:t>. 70.313. C.P: Fredy Ibarra Martínez.</w:t>
      </w:r>
    </w:p>
  </w:footnote>
  <w:footnote w:id="31">
    <w:p w14:paraId="01DD980C" w14:textId="77777777" w:rsidR="00794876" w:rsidRPr="00C70B85" w:rsidRDefault="00794876" w:rsidP="00794876">
      <w:pPr>
        <w:pStyle w:val="Textonotapie"/>
        <w:ind w:firstLine="709"/>
        <w:jc w:val="both"/>
        <w:rPr>
          <w:rFonts w:ascii="Verdana" w:hAnsi="Verdana"/>
          <w:sz w:val="16"/>
          <w:szCs w:val="16"/>
          <w:lang w:val="es-CO"/>
        </w:rPr>
      </w:pPr>
      <w:r w:rsidRPr="00C70B85">
        <w:rPr>
          <w:rStyle w:val="Refdenotaalpie"/>
          <w:rFonts w:ascii="Verdana" w:hAnsi="Verdana"/>
          <w:sz w:val="16"/>
          <w:szCs w:val="16"/>
        </w:rPr>
        <w:footnoteRef/>
      </w:r>
      <w:r w:rsidRPr="00C70B85">
        <w:rPr>
          <w:rFonts w:ascii="Verdana" w:hAnsi="Verdana"/>
          <w:sz w:val="16"/>
          <w:szCs w:val="16"/>
        </w:rPr>
        <w:t xml:space="preserve"> La parte resolutiva del auto dispone lo siguiente; “</w:t>
      </w:r>
      <w:r w:rsidRPr="00C70B85">
        <w:rPr>
          <w:rFonts w:ascii="Verdana" w:hAnsi="Verdana"/>
          <w:b/>
          <w:sz w:val="16"/>
          <w:szCs w:val="16"/>
          <w:lang w:val="es-CO"/>
        </w:rPr>
        <w:t xml:space="preserve">PRIMERO: DECRETAR </w:t>
      </w:r>
      <w:r w:rsidRPr="00C70B85">
        <w:rPr>
          <w:rFonts w:ascii="Verdana" w:hAnsi="Verdana"/>
          <w:sz w:val="16"/>
          <w:szCs w:val="16"/>
          <w:lang w:val="es-CO"/>
        </w:rPr>
        <w:t xml:space="preserve">la suspensión provisional de los apartes cuestionados del inciso segundo del numeral 16.2 de la Circular Externa única, versión 3 del 27 de diciembre de 2023, expedida por la Agencia Nacional de Contratación Pública – Colombia Compra Eficiente, según el cual </w:t>
      </w:r>
      <w:r w:rsidRPr="00C70B85">
        <w:rPr>
          <w:rFonts w:ascii="Verdana" w:hAnsi="Verdana"/>
          <w:i/>
          <w:sz w:val="16"/>
          <w:szCs w:val="16"/>
          <w:lang w:val="es-CO"/>
        </w:rPr>
        <w:t>“[e]</w:t>
      </w:r>
      <w:proofErr w:type="spellStart"/>
      <w:r w:rsidRPr="00C70B85">
        <w:rPr>
          <w:rFonts w:ascii="Verdana" w:hAnsi="Verdana"/>
          <w:i/>
          <w:sz w:val="16"/>
          <w:szCs w:val="16"/>
          <w:lang w:val="es-CO"/>
        </w:rPr>
        <w:t>sta</w:t>
      </w:r>
      <w:proofErr w:type="spellEnd"/>
      <w:r w:rsidRPr="00C70B85">
        <w:rPr>
          <w:rFonts w:ascii="Verdana" w:hAnsi="Verdana"/>
          <w:i/>
          <w:sz w:val="16"/>
          <w:szCs w:val="16"/>
          <w:lang w:val="es-CO"/>
        </w:rPr>
        <w:t xml:space="preserve"> restricción es aplicable (…)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w:t>
      </w:r>
      <w:r w:rsidRPr="00C70B85">
        <w:rPr>
          <w:rFonts w:ascii="Verdana" w:hAnsi="Verdana"/>
          <w:sz w:val="16"/>
          <w:szCs w:val="16"/>
          <w:lang w:val="es-CO"/>
        </w:rPr>
        <w:t xml:space="preserve">, por las razones expuestas en precedencia. </w:t>
      </w:r>
    </w:p>
    <w:p w14:paraId="2D1EC878" w14:textId="77777777" w:rsidR="00794876" w:rsidRPr="00C70B85" w:rsidRDefault="00794876" w:rsidP="00794876">
      <w:pPr>
        <w:pStyle w:val="Textonotapie"/>
        <w:ind w:firstLine="709"/>
        <w:jc w:val="both"/>
        <w:rPr>
          <w:rFonts w:ascii="Verdana" w:hAnsi="Verdana"/>
          <w:sz w:val="16"/>
          <w:szCs w:val="16"/>
          <w:lang w:val="es-CO"/>
        </w:rPr>
      </w:pPr>
      <w:r w:rsidRPr="00C70B85">
        <w:rPr>
          <w:rFonts w:ascii="Verdana" w:hAnsi="Verdana"/>
          <w:b/>
          <w:sz w:val="16"/>
          <w:szCs w:val="16"/>
          <w:lang w:val="es-CO"/>
        </w:rPr>
        <w:t xml:space="preserve">SEGUNDO: DECRETAR </w:t>
      </w:r>
      <w:r w:rsidRPr="00C70B85">
        <w:rPr>
          <w:rFonts w:ascii="Verdana" w:hAnsi="Verdana"/>
          <w:sz w:val="16"/>
          <w:szCs w:val="16"/>
          <w:lang w:val="es-CO"/>
        </w:rPr>
        <w:t>la suspensión provisional de la expresión “</w:t>
      </w:r>
      <w:r w:rsidRPr="00C70B85">
        <w:rPr>
          <w:rFonts w:ascii="Verdana" w:hAnsi="Verdana"/>
          <w:i/>
          <w:sz w:val="16"/>
          <w:szCs w:val="16"/>
          <w:lang w:val="es-CO"/>
        </w:rPr>
        <w:t>contratos</w:t>
      </w:r>
      <w:r w:rsidRPr="00C70B85">
        <w:rPr>
          <w:rFonts w:ascii="Verdana" w:hAnsi="Verdana"/>
          <w:sz w:val="16"/>
          <w:szCs w:val="16"/>
          <w:lang w:val="es-CO"/>
        </w:rPr>
        <w:t xml:space="preserve">” y del párrafo </w:t>
      </w:r>
      <w:r w:rsidRPr="00C70B85">
        <w:rPr>
          <w:rFonts w:ascii="Verdana" w:hAnsi="Verdana"/>
          <w:i/>
          <w:sz w:val="16"/>
          <w:szCs w:val="16"/>
          <w:lang w:val="es-CO"/>
        </w:rPr>
        <w:t>“[e]n este sentido, la prohibición que establece el parágrafo del artículo 38 de la Ley de Garantías consiste en evitar que los recursos del Estado se ejecuten para lograr apoyos indebidos mediante la suscripción de contratos (…) que, para efectos de la Ley de Garantías, tienen la misma connotación y propósito</w:t>
      </w:r>
      <w:r w:rsidRPr="00C70B85">
        <w:rPr>
          <w:rFonts w:ascii="Verdana" w:hAnsi="Verdana"/>
          <w:sz w:val="16"/>
          <w:szCs w:val="16"/>
          <w:lang w:val="es-CO"/>
        </w:rPr>
        <w:t xml:space="preserve">”, contenidos en el inciso cuarto del numeral 16.2 de la Circular Externa única, versión 3 del 27 de diciembre de 2023, expedida por la Agencia Nacional de Contratación Pública – Colombia Compra Eficiente, por las razones expuestas de manera precedente”. Consejo de Estado, Sección Tercera. Auto del 6 de noviembre de 2025. </w:t>
      </w:r>
      <w:proofErr w:type="spellStart"/>
      <w:r w:rsidRPr="00C70B85">
        <w:rPr>
          <w:rFonts w:ascii="Verdana" w:hAnsi="Verdana"/>
          <w:sz w:val="16"/>
          <w:szCs w:val="16"/>
          <w:lang w:val="es-CO"/>
        </w:rPr>
        <w:t>Exp</w:t>
      </w:r>
      <w:proofErr w:type="spellEnd"/>
      <w:r w:rsidRPr="00C70B85">
        <w:rPr>
          <w:rFonts w:ascii="Verdana" w:hAnsi="Verdana"/>
          <w:sz w:val="16"/>
          <w:szCs w:val="16"/>
          <w:lang w:val="es-CO"/>
        </w:rPr>
        <w:t xml:space="preserve">. 72.424. C.P: Fernando Alexei Pardo Flórez. </w:t>
      </w:r>
    </w:p>
  </w:footnote>
  <w:footnote w:id="32">
    <w:p w14:paraId="10FD81B6" w14:textId="77777777" w:rsidR="00794876" w:rsidRPr="00C70B85" w:rsidRDefault="00794876" w:rsidP="00794876">
      <w:pPr>
        <w:spacing w:line="240" w:lineRule="auto"/>
        <w:ind w:firstLine="709"/>
        <w:contextualSpacing/>
        <w:jc w:val="both"/>
        <w:rPr>
          <w:rFonts w:ascii="Verdana" w:eastAsia="Times New Roman" w:hAnsi="Verdana" w:cs="Times New Roman"/>
          <w:sz w:val="16"/>
          <w:szCs w:val="16"/>
          <w:lang w:eastAsia="es-ES"/>
        </w:rPr>
      </w:pPr>
      <w:r w:rsidRPr="00C70B85">
        <w:rPr>
          <w:rStyle w:val="Refdenotaalpie"/>
          <w:rFonts w:ascii="Verdana" w:hAnsi="Verdana"/>
          <w:sz w:val="16"/>
          <w:szCs w:val="16"/>
        </w:rPr>
        <w:footnoteRef/>
      </w:r>
      <w:r w:rsidRPr="00C70B85">
        <w:rPr>
          <w:rFonts w:ascii="Verdana" w:hAnsi="Verdana"/>
          <w:sz w:val="16"/>
          <w:szCs w:val="16"/>
        </w:rPr>
        <w:t xml:space="preserve"> </w:t>
      </w:r>
      <w:r w:rsidRPr="00C70B85">
        <w:rPr>
          <w:rFonts w:ascii="Verdana" w:eastAsia="Times New Roman" w:hAnsi="Verdana" w:cs="Times New Roman"/>
          <w:sz w:val="16"/>
          <w:szCs w:val="16"/>
          <w:lang w:eastAsia="es-ES"/>
        </w:rPr>
        <w:t xml:space="preserve">Consejo de Estado. Sala de lo Contencioso Administrativo. Sección Tercera. Subsección B. 17 de octubre de 2025. Magistrado Ponente: Fredy Ibarra Martínez.  </w:t>
      </w:r>
      <w:r w:rsidRPr="00C70B85">
        <w:rPr>
          <w:rFonts w:ascii="Verdana" w:hAnsi="Verdana"/>
          <w:sz w:val="16"/>
          <w:szCs w:val="16"/>
        </w:rPr>
        <w:t xml:space="preserve">La parte de la providencia señala: </w:t>
      </w:r>
      <w:r w:rsidRPr="00C70B85">
        <w:rPr>
          <w:rFonts w:ascii="Verdana" w:eastAsia="Times New Roman" w:hAnsi="Verdana" w:cs="Times New Roman"/>
          <w:sz w:val="16"/>
          <w:szCs w:val="16"/>
          <w:lang w:eastAsia="es-ES"/>
        </w:rPr>
        <w:t xml:space="preserve">Declárase la nulidad parcial del numeral 16.2 de la Circular Externa Única de 2022 expedida por la Agencia Nacional de Contratación Pública -Colombia Compra Eficiente-, concretamente, de los siguientes apartes normativos: i) el inciso tercero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w:t>
      </w:r>
      <w:proofErr w:type="spellStart"/>
      <w:r w:rsidRPr="00C70B85">
        <w:rPr>
          <w:rFonts w:ascii="Verdana" w:eastAsia="Times New Roman" w:hAnsi="Verdana" w:cs="Times New Roman"/>
          <w:sz w:val="16"/>
          <w:szCs w:val="16"/>
          <w:lang w:eastAsia="es-ES"/>
        </w:rPr>
        <w:t>ii</w:t>
      </w:r>
      <w:proofErr w:type="spellEnd"/>
      <w:r w:rsidRPr="00C70B85">
        <w:rPr>
          <w:rFonts w:ascii="Verdana" w:eastAsia="Times New Roman" w:hAnsi="Verdana" w:cs="Times New Roman"/>
          <w:sz w:val="16"/>
          <w:szCs w:val="16"/>
          <w:lang w:eastAsia="es-ES"/>
        </w:rPr>
        <w:t>) la expresión y el siguiente párrafo contenidos en el inciso quinto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p>
  </w:footnote>
  <w:footnote w:id="33">
    <w:p w14:paraId="6865CCA0" w14:textId="77777777" w:rsidR="00794876" w:rsidRPr="00C70B85" w:rsidRDefault="00794876" w:rsidP="00794876">
      <w:pPr>
        <w:pStyle w:val="Textonotapie"/>
        <w:ind w:firstLine="709"/>
        <w:jc w:val="both"/>
        <w:rPr>
          <w:rFonts w:ascii="Verdana" w:hAnsi="Verdana"/>
          <w:sz w:val="16"/>
          <w:szCs w:val="16"/>
          <w:lang w:val="es-CO"/>
        </w:rPr>
      </w:pPr>
      <w:r w:rsidRPr="00C70B85">
        <w:rPr>
          <w:rStyle w:val="Refdenotaalpie"/>
          <w:rFonts w:ascii="Verdana" w:hAnsi="Verdana"/>
          <w:sz w:val="16"/>
          <w:szCs w:val="16"/>
        </w:rPr>
        <w:footnoteRef/>
      </w:r>
      <w:r w:rsidRPr="00C70B85">
        <w:rPr>
          <w:rFonts w:ascii="Verdana" w:hAnsi="Verdana"/>
          <w:sz w:val="16"/>
          <w:szCs w:val="16"/>
        </w:rPr>
        <w:t xml:space="preserve"> No </w:t>
      </w:r>
      <w:proofErr w:type="gramStart"/>
      <w:r w:rsidRPr="00C70B85">
        <w:rPr>
          <w:rFonts w:ascii="Verdana" w:hAnsi="Verdana"/>
          <w:sz w:val="16"/>
          <w:szCs w:val="16"/>
        </w:rPr>
        <w:t>obstante</w:t>
      </w:r>
      <w:proofErr w:type="gramEnd"/>
      <w:r w:rsidRPr="00C70B85">
        <w:rPr>
          <w:rFonts w:ascii="Verdana" w:hAnsi="Verdana"/>
          <w:sz w:val="16"/>
          <w:szCs w:val="16"/>
        </w:rPr>
        <w:t xml:space="preserve"> lo anterior, es importante mencionar que aún se encuentra por definir la demanda de nulidad simple, identificada con el Radicado número 11001-03-26-000-2025-00016-00, en la cual se cuestiona parcialmente el numeral 16.2 de la Circular Externa Única CCE-EICP-MA-06, Versión 03 del 27 de diciembre de 2023.</w:t>
      </w:r>
    </w:p>
  </w:footnote>
  <w:footnote w:id="34">
    <w:p w14:paraId="24680818" w14:textId="77777777" w:rsidR="00794876" w:rsidRPr="00C70B85" w:rsidRDefault="00794876" w:rsidP="00794876">
      <w:pPr>
        <w:pStyle w:val="Textonotapie"/>
        <w:ind w:firstLine="709"/>
        <w:jc w:val="both"/>
        <w:rPr>
          <w:rFonts w:ascii="Verdana" w:hAnsi="Verdana" w:cs="Arial"/>
          <w:sz w:val="16"/>
          <w:szCs w:val="16"/>
        </w:rPr>
      </w:pPr>
      <w:r w:rsidRPr="00C70B85">
        <w:rPr>
          <w:rStyle w:val="Refdenotaalpie"/>
          <w:rFonts w:ascii="Verdana" w:hAnsi="Verdana" w:cs="Arial"/>
          <w:sz w:val="16"/>
          <w:szCs w:val="16"/>
        </w:rPr>
        <w:footnoteRef/>
      </w:r>
      <w:r w:rsidRPr="00C70B85">
        <w:rPr>
          <w:rFonts w:ascii="Verdana" w:hAnsi="Verdana" w:cs="Arial"/>
          <w:sz w:val="16"/>
          <w:szCs w:val="16"/>
        </w:rPr>
        <w:t xml:space="preserve"> Consejo de Estado. Sala de Consulta y Servicio Civil. Concepto del 15 de noviembre de 2007. Expediente número 1863. Consejero Ponente: Luis Fernando Álvarez Jaramillo.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679089576">
    <w:abstractNumId w:val="9"/>
  </w:num>
  <w:num w:numId="18" w16cid:durableId="784693449">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2100"/>
    <w:rsid w:val="00025D04"/>
    <w:rsid w:val="00046945"/>
    <w:rsid w:val="00061B2A"/>
    <w:rsid w:val="00082362"/>
    <w:rsid w:val="000A683E"/>
    <w:rsid w:val="000B19B9"/>
    <w:rsid w:val="000D0334"/>
    <w:rsid w:val="000D5DA7"/>
    <w:rsid w:val="000F6486"/>
    <w:rsid w:val="00116940"/>
    <w:rsid w:val="00125105"/>
    <w:rsid w:val="00127233"/>
    <w:rsid w:val="0015699B"/>
    <w:rsid w:val="00167D23"/>
    <w:rsid w:val="001A33BF"/>
    <w:rsid w:val="001D74FA"/>
    <w:rsid w:val="001E4177"/>
    <w:rsid w:val="001F0B24"/>
    <w:rsid w:val="001F7DC6"/>
    <w:rsid w:val="0022400B"/>
    <w:rsid w:val="002421BB"/>
    <w:rsid w:val="002422E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99F"/>
    <w:rsid w:val="00377E3E"/>
    <w:rsid w:val="003A4313"/>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449CA"/>
    <w:rsid w:val="005566E8"/>
    <w:rsid w:val="00574867"/>
    <w:rsid w:val="005872EB"/>
    <w:rsid w:val="00591460"/>
    <w:rsid w:val="005A65E0"/>
    <w:rsid w:val="005C3777"/>
    <w:rsid w:val="005C5CDC"/>
    <w:rsid w:val="005D476C"/>
    <w:rsid w:val="006200BF"/>
    <w:rsid w:val="006219F8"/>
    <w:rsid w:val="006302F7"/>
    <w:rsid w:val="00646B9F"/>
    <w:rsid w:val="00665D70"/>
    <w:rsid w:val="006853E4"/>
    <w:rsid w:val="006900D9"/>
    <w:rsid w:val="00706C16"/>
    <w:rsid w:val="007340C3"/>
    <w:rsid w:val="0075235A"/>
    <w:rsid w:val="00756841"/>
    <w:rsid w:val="007649AB"/>
    <w:rsid w:val="00771D0C"/>
    <w:rsid w:val="007833AC"/>
    <w:rsid w:val="00794876"/>
    <w:rsid w:val="007B268C"/>
    <w:rsid w:val="007B7171"/>
    <w:rsid w:val="007C0C0F"/>
    <w:rsid w:val="007C3DC2"/>
    <w:rsid w:val="007E5497"/>
    <w:rsid w:val="00806F5F"/>
    <w:rsid w:val="00820278"/>
    <w:rsid w:val="008258C9"/>
    <w:rsid w:val="00844AE9"/>
    <w:rsid w:val="00857C1A"/>
    <w:rsid w:val="008644C8"/>
    <w:rsid w:val="00867F95"/>
    <w:rsid w:val="008843B6"/>
    <w:rsid w:val="00891928"/>
    <w:rsid w:val="008A446D"/>
    <w:rsid w:val="008B25F1"/>
    <w:rsid w:val="008D180B"/>
    <w:rsid w:val="008F0EA7"/>
    <w:rsid w:val="00923EEF"/>
    <w:rsid w:val="009419F9"/>
    <w:rsid w:val="0095685E"/>
    <w:rsid w:val="00961B09"/>
    <w:rsid w:val="00965334"/>
    <w:rsid w:val="0097093E"/>
    <w:rsid w:val="009810F1"/>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43284"/>
    <w:rsid w:val="00A5713E"/>
    <w:rsid w:val="00A658F4"/>
    <w:rsid w:val="00AB0ADB"/>
    <w:rsid w:val="00AC77CD"/>
    <w:rsid w:val="00B00C0E"/>
    <w:rsid w:val="00B01B1A"/>
    <w:rsid w:val="00B0381D"/>
    <w:rsid w:val="00B44A47"/>
    <w:rsid w:val="00B72CD3"/>
    <w:rsid w:val="00B72FFF"/>
    <w:rsid w:val="00BC3D36"/>
    <w:rsid w:val="00BD54A6"/>
    <w:rsid w:val="00BD7F72"/>
    <w:rsid w:val="00BF7425"/>
    <w:rsid w:val="00C04FB3"/>
    <w:rsid w:val="00C0740D"/>
    <w:rsid w:val="00C11D8B"/>
    <w:rsid w:val="00C15139"/>
    <w:rsid w:val="00C25DAB"/>
    <w:rsid w:val="00C330EB"/>
    <w:rsid w:val="00C50D69"/>
    <w:rsid w:val="00C5365C"/>
    <w:rsid w:val="00C754BE"/>
    <w:rsid w:val="00C76B1C"/>
    <w:rsid w:val="00C925AC"/>
    <w:rsid w:val="00CB6357"/>
    <w:rsid w:val="00CC1B26"/>
    <w:rsid w:val="00D351B3"/>
    <w:rsid w:val="00D361FD"/>
    <w:rsid w:val="00D423A2"/>
    <w:rsid w:val="00D44E26"/>
    <w:rsid w:val="00D520D8"/>
    <w:rsid w:val="00D63AC2"/>
    <w:rsid w:val="00D7383B"/>
    <w:rsid w:val="00D75434"/>
    <w:rsid w:val="00D7788A"/>
    <w:rsid w:val="00D933F5"/>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A47C0"/>
    <w:rsid w:val="00FB5DD1"/>
    <w:rsid w:val="00FC2B5D"/>
    <w:rsid w:val="00FD24A7"/>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rsid w:val="00794876"/>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94876"/>
    <w:rPr>
      <w:rFonts w:ascii="Geomanist Light" w:hAnsi="Geomanist Light"/>
      <w:lang w:val="es-ES"/>
    </w:rPr>
  </w:style>
  <w:style w:type="character" w:customStyle="1" w:styleId="NormalWebCar">
    <w:name w:val="Normal (Web) Car"/>
    <w:link w:val="NormalWeb"/>
    <w:uiPriority w:val="99"/>
    <w:locked/>
    <w:rsid w:val="00794876"/>
    <w:rPr>
      <w:rFonts w:ascii="Times New Roman" w:eastAsia="Times New Roman" w:hAnsi="Times New Roman" w:cs="Times New Roman"/>
      <w:sz w:val="24"/>
      <w:szCs w:val="24"/>
      <w:lang w:eastAsia="es-CO"/>
    </w:rPr>
  </w:style>
  <w:style w:type="character" w:customStyle="1" w:styleId="baj">
    <w:name w:val="b_aj"/>
    <w:basedOn w:val="Fuentedeprrafopredeter"/>
    <w:rsid w:val="0079487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hyperlink" Target="https://forms.office.com/r/pPHyWVs2SZ"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hyperlink" Target="https://www.colombiacompra.gov.co/pqrsd/informacion-importante-antes-de-formular-una-pqrsd" TargetMode="External"/><Relationship Id="rId2" Type="http://schemas.openxmlformats.org/officeDocument/2006/relationships/customXml" Target="../customXml/item2.xml"/><Relationship Id="rId16" Type="http://schemas.openxmlformats.org/officeDocument/2006/relationships/hyperlink" Target="mailto:ventanilladeradicacion@colombiacompra.gov.co" TargetMode="External"/><Relationship Id="rId20" Type="http://schemas.openxmlformats.org/officeDocument/2006/relationships/image" Target="media/image4.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gobierno@entrerrios-antioquia.gov.co" TargetMode="External"/><Relationship Id="rId24" Type="http://schemas.openxmlformats.org/officeDocument/2006/relationships/theme" Target="theme/theme1.xm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3"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image" Target="media/image3.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 Id="rId22"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10C98FB-EB69-4309-AFCE-3097B5D76C6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12</TotalTime>
  <Pages>32</Pages>
  <Words>10777</Words>
  <Characters>59278</Characters>
  <Application>Microsoft Office Word</Application>
  <DocSecurity>0</DocSecurity>
  <Lines>493</Lines>
  <Paragraphs>139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69916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3</cp:revision>
  <cp:lastPrinted>2023-01-10T21:18:00Z</cp:lastPrinted>
  <dcterms:created xsi:type="dcterms:W3CDTF">2026-03-23T19:31:00Z</dcterms:created>
  <dcterms:modified xsi:type="dcterms:W3CDTF">2026-03-25T01:27:00Z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