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7A97B3" w14:textId="77777777" w:rsidR="00716C29" w:rsidRDefault="00716C29" w:rsidP="00716C29">
      <w:pPr>
        <w:spacing w:after="0" w:line="240" w:lineRule="auto"/>
        <w:jc w:val="both"/>
        <w:rPr>
          <w:rFonts w:ascii="Verdana" w:eastAsia="Geomanist Light" w:hAnsi="Verdana" w:cs="Arial"/>
          <w:b/>
          <w:bCs/>
          <w:color w:val="000000" w:themeColor="text1"/>
        </w:rPr>
      </w:pPr>
      <w:r w:rsidRPr="00716C29">
        <w:rPr>
          <w:rFonts w:ascii="Verdana" w:hAnsi="Verdana" w:cs="Arial"/>
          <w:b/>
          <w:bCs/>
        </w:rPr>
        <w:t>UNIVERSIDADES PÚBLICAS – Naturaleza jurídica – Régimen de contratación</w:t>
      </w:r>
    </w:p>
    <w:p w14:paraId="4D00AB26" w14:textId="77777777" w:rsidR="00716C29" w:rsidRDefault="00716C29" w:rsidP="00716C29">
      <w:pPr>
        <w:spacing w:after="0" w:line="240" w:lineRule="auto"/>
        <w:jc w:val="both"/>
        <w:rPr>
          <w:rFonts w:ascii="Verdana" w:eastAsia="Geomanist Light" w:hAnsi="Verdana" w:cs="Arial"/>
          <w:b/>
          <w:bCs/>
          <w:color w:val="000000" w:themeColor="text1"/>
        </w:rPr>
      </w:pPr>
    </w:p>
    <w:p w14:paraId="1A694D9F" w14:textId="0D1A822D" w:rsidR="00716C29" w:rsidRDefault="00716C29" w:rsidP="00716C29">
      <w:pPr>
        <w:spacing w:after="0" w:line="240" w:lineRule="auto"/>
        <w:jc w:val="both"/>
        <w:rPr>
          <w:rFonts w:ascii="Verdana" w:eastAsia="Times New Roman" w:hAnsi="Verdana" w:cs="Arial"/>
          <w:color w:val="000000" w:themeColor="text1"/>
          <w:sz w:val="20"/>
          <w:szCs w:val="20"/>
          <w:lang w:val="es-ES_tradnl" w:eastAsia="es-ES_tradnl"/>
        </w:rPr>
      </w:pPr>
      <w:r w:rsidRPr="00716C29">
        <w:rPr>
          <w:rFonts w:ascii="Verdana" w:hAnsi="Verdana" w:cs="Arial"/>
          <w:noProof/>
          <w:sz w:val="20"/>
          <w:szCs w:val="20"/>
          <w:lang w:val="es-ES_tradnl"/>
        </w:rPr>
        <w:t xml:space="preserve">De manera preliminar, se establece que la Constitución Política de Colombia consagra en el artículo 69, por una parte, una garantía de autonomía para que las universidades establezcan sus directivas y sus estatutos de acuerdo con la ley; y por otra, la posibilidad de que cuenten con un régimen especial que </w:t>
      </w:r>
      <w:r w:rsidRPr="00716C29">
        <w:rPr>
          <w:rFonts w:ascii="Verdana" w:eastAsia="Times New Roman" w:hAnsi="Verdana" w:cs="Arial"/>
          <w:color w:val="000000" w:themeColor="text1"/>
          <w:sz w:val="20"/>
          <w:szCs w:val="20"/>
          <w:lang w:val="es-ES_tradnl" w:eastAsia="es-ES_tradnl"/>
        </w:rPr>
        <w:t>corresponde dictar al Congreso.</w:t>
      </w:r>
    </w:p>
    <w:p w14:paraId="3B298387" w14:textId="77777777" w:rsidR="00716C29" w:rsidRPr="00716C29" w:rsidRDefault="00716C29" w:rsidP="00716C29">
      <w:pPr>
        <w:spacing w:after="0" w:line="240" w:lineRule="auto"/>
        <w:jc w:val="both"/>
        <w:rPr>
          <w:rFonts w:ascii="Verdana" w:eastAsia="Geomanist Light" w:hAnsi="Verdana" w:cs="Arial"/>
          <w:b/>
          <w:bCs/>
          <w:color w:val="000000" w:themeColor="text1"/>
          <w:lang w:val="es-MX"/>
        </w:rPr>
      </w:pPr>
    </w:p>
    <w:p w14:paraId="54D37FDD" w14:textId="73975EFE" w:rsidR="00716C29" w:rsidRPr="00716C29" w:rsidRDefault="00716C29" w:rsidP="00716C29">
      <w:pPr>
        <w:spacing w:after="120" w:line="276" w:lineRule="auto"/>
        <w:jc w:val="both"/>
        <w:rPr>
          <w:rFonts w:ascii="Verdana" w:hAnsi="Verdana" w:cs="Arial"/>
          <w:noProof/>
          <w:sz w:val="20"/>
          <w:szCs w:val="20"/>
          <w:lang w:val="es-ES_tradnl"/>
        </w:rPr>
      </w:pPr>
      <w:r w:rsidRPr="00716C29">
        <w:rPr>
          <w:rFonts w:ascii="Verdana" w:eastAsia="Times New Roman" w:hAnsi="Verdana" w:cs="Arial"/>
          <w:color w:val="000000" w:themeColor="text1"/>
          <w:sz w:val="20"/>
          <w:szCs w:val="20"/>
          <w:lang w:val="es-ES_tradnl" w:eastAsia="es-ES_tradnl"/>
        </w:rPr>
        <w:t>En de</w:t>
      </w:r>
      <w:r w:rsidRPr="00716C29">
        <w:rPr>
          <w:rFonts w:ascii="Verdana" w:hAnsi="Verdana" w:cs="Arial"/>
          <w:noProof/>
          <w:sz w:val="20"/>
          <w:szCs w:val="20"/>
          <w:lang w:val="es-ES_tradnl"/>
        </w:rPr>
        <w:t xml:space="preserve">sarrollo de lo anterior, se expidió la Ley 30 de 1992, mediante la cual se regularon aspectos como la naturaleza jurídica de las universidades estatales, la forma de organizarse y el régimen de contratación aplicable. Así mismo, en el artículo 57 se consignó que el carácter especial del régimen de las universidades estatales u oficiales comprende, entre otros aspectos, el régimen de contratación. En el mismo sentido, estableció, en el artículo 93, que los contratos que celebren las universidades estatales u oficiales se regirán por las normas del derecho privado. </w:t>
      </w:r>
      <w:r w:rsidRPr="00716C29">
        <w:rPr>
          <w:rFonts w:ascii="Verdana" w:eastAsia="Calibri" w:hAnsi="Verdana" w:cs="Arial"/>
          <w:color w:val="000000" w:themeColor="text1"/>
          <w:sz w:val="20"/>
          <w:szCs w:val="20"/>
          <w:lang w:val="es-ES_tradnl"/>
        </w:rPr>
        <w:t xml:space="preserve">En concordancia con esto, el artículo 94 de la referida ley dispone que, </w:t>
      </w:r>
      <w:r w:rsidRPr="00716C29">
        <w:rPr>
          <w:rFonts w:ascii="Verdana" w:eastAsia="Calibri" w:hAnsi="Verdana" w:cs="Arial"/>
          <w:color w:val="000000" w:themeColor="text1"/>
          <w:sz w:val="20"/>
          <w:szCs w:val="20"/>
        </w:rPr>
        <w:t>además del cumplimiento de los requisitos propios de la contratación entre particulares, los contratos celebrados por los entes universitarios autónomos estarán sujetos a los requisitos de aprobación y registro presupuestal.</w:t>
      </w:r>
    </w:p>
    <w:p w14:paraId="435E7989" w14:textId="33FD4712" w:rsidR="00716C29" w:rsidRPr="00716C29" w:rsidRDefault="00716C29" w:rsidP="00EE700B">
      <w:pPr>
        <w:spacing w:line="240" w:lineRule="auto"/>
        <w:jc w:val="both"/>
        <w:rPr>
          <w:rFonts w:ascii="Verdana" w:eastAsia="Geomanist Light" w:hAnsi="Verdana" w:cs="Arial"/>
          <w:b/>
          <w:bCs/>
          <w:color w:val="000000" w:themeColor="text1"/>
          <w:lang w:val="es-ES_tradnl"/>
        </w:rPr>
      </w:pPr>
      <w:r w:rsidRPr="00716C29">
        <w:rPr>
          <w:rFonts w:ascii="Verdana" w:eastAsia="Calibri" w:hAnsi="Verdana" w:cs="Arial"/>
          <w:b/>
          <w:bCs/>
          <w:color w:val="000000" w:themeColor="text1"/>
          <w:lang w:val="es-ES_tradnl"/>
        </w:rPr>
        <w:t>ENTIDADES DE RÉGIMEN ESPECIAL – Definición – Reglas aplicables</w:t>
      </w:r>
    </w:p>
    <w:p w14:paraId="460FD9C6" w14:textId="77777777" w:rsidR="00716C29" w:rsidRPr="00716C29" w:rsidRDefault="00716C29" w:rsidP="00716C29">
      <w:pPr>
        <w:tabs>
          <w:tab w:val="left" w:pos="426"/>
        </w:tabs>
        <w:spacing w:line="276" w:lineRule="auto"/>
        <w:jc w:val="both"/>
        <w:rPr>
          <w:rFonts w:ascii="Verdana" w:eastAsia="Calibri" w:hAnsi="Verdana" w:cs="Arial"/>
          <w:b/>
          <w:color w:val="000000" w:themeColor="text1"/>
          <w:sz w:val="20"/>
          <w:szCs w:val="20"/>
          <w:lang w:val="es-ES_tradnl"/>
        </w:rPr>
      </w:pPr>
      <w:r w:rsidRPr="00716C29">
        <w:rPr>
          <w:rFonts w:ascii="Verdana" w:hAnsi="Verdana" w:cs="Arial"/>
          <w:sz w:val="20"/>
          <w:szCs w:val="20"/>
          <w:lang w:val="es-MX"/>
        </w:rPr>
        <w:t>Las</w:t>
      </w:r>
      <w:r w:rsidRPr="00716C29">
        <w:rPr>
          <w:rFonts w:ascii="Verdana" w:eastAsia="Calibri" w:hAnsi="Verdana" w:cs="Arial"/>
          <w:color w:val="000000" w:themeColor="text1"/>
          <w:sz w:val="20"/>
          <w:szCs w:val="20"/>
          <w:lang w:val="es-ES_tradnl"/>
        </w:rPr>
        <w:t xml:space="preserve"> entidades de régimen especial son aquellas que, por expresa disposición legal y por su naturaleza o situación de competencia, tienen condiciones diferenciales respecto de la normativa de contratación pública. Esto quiere decir que no están sometidas al Estatuto General de Contratación de la Administración Pública, y por ende sus procedimientos contractuales tienen su normativa para su desarrollo, esto es, el derecho privado, lo cual está determinado en las normas de creación de las entidades de régimen especial y en sus manuales de contratación.</w:t>
      </w:r>
    </w:p>
    <w:p w14:paraId="124CBAA0" w14:textId="0E82AC12" w:rsidR="00716C29" w:rsidRPr="00716C29" w:rsidRDefault="00716C29" w:rsidP="00716C29">
      <w:pPr>
        <w:tabs>
          <w:tab w:val="left" w:pos="426"/>
        </w:tabs>
        <w:spacing w:line="276" w:lineRule="auto"/>
        <w:jc w:val="both"/>
        <w:rPr>
          <w:rFonts w:ascii="Verdana" w:eastAsia="Calibri" w:hAnsi="Verdana" w:cs="Arial"/>
          <w:b/>
          <w:color w:val="000000" w:themeColor="text1"/>
          <w:sz w:val="20"/>
          <w:szCs w:val="20"/>
          <w:lang w:val="es-ES_tradnl"/>
        </w:rPr>
      </w:pPr>
      <w:r w:rsidRPr="00716C29">
        <w:rPr>
          <w:rFonts w:ascii="Verdana" w:eastAsia="Calibri" w:hAnsi="Verdana" w:cs="Arial"/>
          <w:color w:val="000000" w:themeColor="text1"/>
          <w:sz w:val="20"/>
          <w:szCs w:val="20"/>
          <w:lang w:val="es-ES"/>
        </w:rPr>
        <w:t>Teniendo en cuenta que las entidades de régimen especial están facultadas legalmente para aplicar reglas distintas a la Ley 80 de 1993 y sus normas complementarias, ello estará definido en la norma que crea el régimen especial y será desarrollado en el manual de contratación, con el fin de que se puedan identificar las reglas que aplican en la contratación. La Agencia Nacional de Contratación Pública - Colombia Compra Eficiente expidió la Guía para las Entidades Estatales con régimen especial de contratación, que las define como aquellas que contratan con un régimen distinto a las Leyes 80 de 1993 y 1150 de 2007</w:t>
      </w:r>
    </w:p>
    <w:p w14:paraId="6540B1CE" w14:textId="77777777" w:rsidR="00716C29" w:rsidRPr="00716C29" w:rsidRDefault="00716C29" w:rsidP="00716C29">
      <w:pPr>
        <w:spacing w:line="276" w:lineRule="auto"/>
        <w:jc w:val="both"/>
        <w:rPr>
          <w:rFonts w:ascii="Verdana" w:hAnsi="Verdana" w:cs="Arial"/>
          <w:b/>
          <w:bCs/>
        </w:rPr>
      </w:pPr>
      <w:r w:rsidRPr="00716C29">
        <w:rPr>
          <w:rFonts w:ascii="Verdana" w:eastAsia="Calibri" w:hAnsi="Verdana" w:cs="Arial"/>
          <w:b/>
          <w:bCs/>
          <w:lang w:eastAsia="es-ES"/>
        </w:rPr>
        <w:t>CONTRATOS Y CONVENIOS INTERADMINISTRATIVOS – Definición – Sujetos – Entidades Estatales – Entidades exceptuadas</w:t>
      </w:r>
    </w:p>
    <w:p w14:paraId="6AFF647D" w14:textId="756126EA" w:rsidR="00716C29" w:rsidRPr="00716C29" w:rsidRDefault="00716C29" w:rsidP="00716C29">
      <w:pPr>
        <w:spacing w:line="276" w:lineRule="auto"/>
        <w:jc w:val="both"/>
        <w:rPr>
          <w:rFonts w:ascii="Verdana" w:eastAsia="Calibri" w:hAnsi="Verdana" w:cs="Arial"/>
          <w:color w:val="000000" w:themeColor="text1"/>
          <w:sz w:val="20"/>
          <w:szCs w:val="20"/>
          <w:lang w:val="es-ES"/>
        </w:rPr>
      </w:pPr>
      <w:r w:rsidRPr="00716C29">
        <w:rPr>
          <w:rFonts w:ascii="Verdana" w:eastAsia="Calibri" w:hAnsi="Verdana" w:cs="Arial"/>
          <w:color w:val="000000" w:themeColor="text1"/>
          <w:sz w:val="20"/>
          <w:szCs w:val="20"/>
          <w:lang w:val="es-ES"/>
        </w:rPr>
        <w:t xml:space="preserve">[…] se reitera que, toda vez que las entidades de régimen especial administran recursos públicos, sus manuales de contratación deben ceñirse a unas reglas mínimas que garanticen el cumplimiento de los principios de la función pública, el control fiscal y los </w:t>
      </w:r>
      <w:r w:rsidRPr="00716C29">
        <w:rPr>
          <w:rFonts w:ascii="Verdana" w:eastAsia="Calibri" w:hAnsi="Verdana" w:cs="Arial"/>
          <w:color w:val="000000" w:themeColor="text1"/>
          <w:sz w:val="20"/>
          <w:szCs w:val="20"/>
          <w:lang w:val="es-ES"/>
        </w:rPr>
        <w:lastRenderedPageBreak/>
        <w:t>principios rectores de la contratación estatal. Dentro de estas reglas mínimas, deben indicar el contenido de las propuestas y los procedimientos de selección, llevar una descripción precisa del procedimiento, los plazos de las etapas y los criterios de evaluación y desempate, y todos los criterios necesarios para garantizar la selección objetiva, la protección del interés general y el valor por dinero.</w:t>
      </w:r>
    </w:p>
    <w:p w14:paraId="62BF02F3" w14:textId="77777777" w:rsidR="00716C29" w:rsidRPr="00716C29" w:rsidRDefault="00716C29" w:rsidP="00716C29">
      <w:pPr>
        <w:spacing w:before="120" w:after="120" w:line="276" w:lineRule="auto"/>
        <w:jc w:val="both"/>
        <w:rPr>
          <w:rFonts w:ascii="Verdana" w:eastAsia="Calibri" w:hAnsi="Verdana" w:cs="Arial"/>
          <w:color w:val="000000" w:themeColor="text1"/>
          <w:sz w:val="20"/>
          <w:szCs w:val="20"/>
          <w:lang w:val="es-ES_tradnl"/>
        </w:rPr>
      </w:pPr>
      <w:r w:rsidRPr="00716C29">
        <w:rPr>
          <w:rFonts w:ascii="Verdana" w:eastAsia="Calibri" w:hAnsi="Verdana" w:cs="Arial"/>
          <w:color w:val="000000" w:themeColor="text1"/>
          <w:sz w:val="20"/>
          <w:szCs w:val="20"/>
          <w:lang w:val="es-ES_tradnl"/>
        </w:rPr>
        <w:t>Así mismo, estas entidades deben cumplir unas obligaciones transversales a la contratación pública, entre ellas la elaboración del Plan Anual de Adquisiciones, la publicación de sus procedimientos de selección a través de la herramienta SECOP —en la sección Régimen Especial—, hacer uso del clasificador de bienes y servicios de las Naciones Unidas, reportar las sanciones, multas, inhabilidades e incompatibilidades de los proveedores de la entidad y analizar el sector económico de los oferentes, entre otras.</w:t>
      </w:r>
    </w:p>
    <w:p w14:paraId="54E101B6" w14:textId="2B1EC6EF" w:rsidR="00716C29" w:rsidRPr="00716C29" w:rsidRDefault="00716C29" w:rsidP="00716C29">
      <w:pPr>
        <w:widowControl w:val="0"/>
        <w:autoSpaceDE w:val="0"/>
        <w:autoSpaceDN w:val="0"/>
        <w:spacing w:after="120" w:line="276" w:lineRule="auto"/>
        <w:jc w:val="both"/>
        <w:rPr>
          <w:rFonts w:ascii="Verdana" w:eastAsia="Arial" w:hAnsi="Verdana" w:cs="Arial"/>
          <w:sz w:val="20"/>
          <w:szCs w:val="20"/>
          <w:lang w:val="es-ES"/>
        </w:rPr>
      </w:pPr>
      <w:r w:rsidRPr="00716C29">
        <w:rPr>
          <w:rFonts w:ascii="Verdana" w:eastAsia="Calibri" w:hAnsi="Verdana" w:cs="Arial"/>
          <w:color w:val="000000" w:themeColor="text1"/>
          <w:sz w:val="20"/>
          <w:szCs w:val="20"/>
          <w:lang w:val="es-ES_tradnl"/>
        </w:rPr>
        <w:t xml:space="preserve">Ahora bien, en torno a su segundo interrogante </w:t>
      </w:r>
      <w:r w:rsidRPr="00716C29">
        <w:rPr>
          <w:rFonts w:ascii="Verdana" w:eastAsia="Arial" w:hAnsi="Verdana" w:cs="Arial"/>
          <w:sz w:val="20"/>
          <w:szCs w:val="20"/>
          <w:lang w:val="es-ES"/>
        </w:rPr>
        <w:t>Aunque la ley no la definió ni desarrolló, el Decreto 1082 de 2015 la califica como aquella contratación entre Entidades Estatales.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pues es necesario que los extremos de la relación contractual sean entidades</w:t>
      </w:r>
      <w:r w:rsidRPr="00716C29">
        <w:rPr>
          <w:rFonts w:ascii="Verdana" w:eastAsia="Arial" w:hAnsi="Verdana" w:cs="Arial"/>
          <w:spacing w:val="-6"/>
          <w:sz w:val="20"/>
          <w:szCs w:val="20"/>
          <w:lang w:val="es-ES"/>
        </w:rPr>
        <w:t xml:space="preserve"> </w:t>
      </w:r>
      <w:r w:rsidRPr="00716C29">
        <w:rPr>
          <w:rFonts w:ascii="Verdana" w:eastAsia="Arial" w:hAnsi="Verdana" w:cs="Arial"/>
          <w:sz w:val="20"/>
          <w:szCs w:val="20"/>
          <w:lang w:val="es-ES"/>
        </w:rPr>
        <w:t>estatales.</w:t>
      </w:r>
    </w:p>
    <w:p w14:paraId="325BACA1" w14:textId="77777777" w:rsidR="00716C29" w:rsidRPr="00716C29" w:rsidRDefault="00716C29" w:rsidP="00EE700B">
      <w:pPr>
        <w:spacing w:line="240" w:lineRule="auto"/>
        <w:jc w:val="both"/>
        <w:rPr>
          <w:rFonts w:ascii="Verdana" w:eastAsia="Geomanist Light" w:hAnsi="Verdana" w:cs="Arial"/>
          <w:color w:val="000000" w:themeColor="text1"/>
          <w:lang w:val="es-ES"/>
        </w:rPr>
      </w:pPr>
    </w:p>
    <w:p w14:paraId="7CAF1352" w14:textId="77777777" w:rsidR="00716C29" w:rsidRPr="00716C29" w:rsidRDefault="00716C29" w:rsidP="00EE700B">
      <w:pPr>
        <w:spacing w:line="240" w:lineRule="auto"/>
        <w:jc w:val="both"/>
        <w:rPr>
          <w:rFonts w:ascii="Verdana" w:eastAsia="Geomanist Light" w:hAnsi="Verdana" w:cs="Arial"/>
          <w:color w:val="000000" w:themeColor="text1"/>
          <w:lang w:val="es-ES_tradnl"/>
        </w:rPr>
      </w:pPr>
    </w:p>
    <w:p w14:paraId="64E4760A" w14:textId="77777777" w:rsidR="00716C29" w:rsidRDefault="00716C29" w:rsidP="00EE700B">
      <w:pPr>
        <w:spacing w:line="240" w:lineRule="auto"/>
        <w:jc w:val="both"/>
        <w:rPr>
          <w:rFonts w:ascii="Verdana" w:eastAsia="Geomanist Light" w:hAnsi="Verdana" w:cs="Arial"/>
          <w:color w:val="000000" w:themeColor="text1"/>
          <w:lang w:val="es-MX"/>
        </w:rPr>
      </w:pPr>
    </w:p>
    <w:p w14:paraId="009EE561" w14:textId="77777777" w:rsidR="00716C29" w:rsidRDefault="00716C29" w:rsidP="00EE700B">
      <w:pPr>
        <w:spacing w:line="240" w:lineRule="auto"/>
        <w:jc w:val="both"/>
        <w:rPr>
          <w:rFonts w:ascii="Verdana" w:eastAsia="Geomanist Light" w:hAnsi="Verdana" w:cs="Arial"/>
          <w:color w:val="000000" w:themeColor="text1"/>
          <w:lang w:val="es-MX"/>
        </w:rPr>
      </w:pPr>
    </w:p>
    <w:p w14:paraId="020B8792" w14:textId="77777777" w:rsidR="00716C29" w:rsidRDefault="00716C29" w:rsidP="00EE700B">
      <w:pPr>
        <w:spacing w:line="240" w:lineRule="auto"/>
        <w:jc w:val="both"/>
        <w:rPr>
          <w:rFonts w:ascii="Verdana" w:eastAsia="Geomanist Light" w:hAnsi="Verdana" w:cs="Arial"/>
          <w:color w:val="000000" w:themeColor="text1"/>
          <w:lang w:val="es-MX"/>
        </w:rPr>
      </w:pPr>
    </w:p>
    <w:p w14:paraId="71D3006E" w14:textId="77777777" w:rsidR="00716C29" w:rsidRDefault="00716C29" w:rsidP="00EE700B">
      <w:pPr>
        <w:spacing w:line="240" w:lineRule="auto"/>
        <w:jc w:val="both"/>
        <w:rPr>
          <w:rFonts w:ascii="Verdana" w:eastAsia="Geomanist Light" w:hAnsi="Verdana" w:cs="Arial"/>
          <w:color w:val="000000" w:themeColor="text1"/>
          <w:lang w:val="es-MX"/>
        </w:rPr>
      </w:pPr>
    </w:p>
    <w:p w14:paraId="7BD63DD3" w14:textId="77777777" w:rsidR="00716C29" w:rsidRDefault="00716C29" w:rsidP="00EE700B">
      <w:pPr>
        <w:spacing w:line="240" w:lineRule="auto"/>
        <w:jc w:val="both"/>
        <w:rPr>
          <w:rFonts w:ascii="Verdana" w:eastAsia="Geomanist Light" w:hAnsi="Verdana" w:cs="Arial"/>
          <w:color w:val="000000" w:themeColor="text1"/>
          <w:lang w:val="es-MX"/>
        </w:rPr>
      </w:pPr>
    </w:p>
    <w:p w14:paraId="031E8DFF" w14:textId="77777777" w:rsidR="00716C29" w:rsidRDefault="00716C29" w:rsidP="00EE700B">
      <w:pPr>
        <w:spacing w:line="240" w:lineRule="auto"/>
        <w:jc w:val="both"/>
        <w:rPr>
          <w:rFonts w:ascii="Verdana" w:eastAsia="Geomanist Light" w:hAnsi="Verdana" w:cs="Arial"/>
          <w:color w:val="000000" w:themeColor="text1"/>
          <w:lang w:val="es-MX"/>
        </w:rPr>
      </w:pPr>
    </w:p>
    <w:p w14:paraId="3F8CFF45" w14:textId="77777777" w:rsidR="00716C29" w:rsidRDefault="00716C29" w:rsidP="00EE700B">
      <w:pPr>
        <w:spacing w:line="240" w:lineRule="auto"/>
        <w:jc w:val="both"/>
        <w:rPr>
          <w:rFonts w:ascii="Verdana" w:eastAsia="Geomanist Light" w:hAnsi="Verdana" w:cs="Arial"/>
          <w:color w:val="000000" w:themeColor="text1"/>
          <w:lang w:val="es-MX"/>
        </w:rPr>
      </w:pPr>
    </w:p>
    <w:p w14:paraId="2290BE82" w14:textId="77777777" w:rsidR="00716C29" w:rsidRDefault="00716C29" w:rsidP="00EE700B">
      <w:pPr>
        <w:spacing w:line="240" w:lineRule="auto"/>
        <w:jc w:val="both"/>
        <w:rPr>
          <w:rFonts w:ascii="Verdana" w:eastAsia="Geomanist Light" w:hAnsi="Verdana" w:cs="Arial"/>
          <w:color w:val="000000" w:themeColor="text1"/>
          <w:lang w:val="es-MX"/>
        </w:rPr>
      </w:pPr>
    </w:p>
    <w:p w14:paraId="562BEDD6" w14:textId="77777777" w:rsidR="00716C29" w:rsidRDefault="00716C29" w:rsidP="00EE700B">
      <w:pPr>
        <w:spacing w:line="240" w:lineRule="auto"/>
        <w:jc w:val="both"/>
        <w:rPr>
          <w:rFonts w:ascii="Verdana" w:eastAsia="Geomanist Light" w:hAnsi="Verdana" w:cs="Arial"/>
          <w:color w:val="000000" w:themeColor="text1"/>
          <w:lang w:val="es-MX"/>
        </w:rPr>
      </w:pPr>
    </w:p>
    <w:p w14:paraId="12982E17" w14:textId="77777777" w:rsidR="00716C29" w:rsidRDefault="00716C29" w:rsidP="00EE700B">
      <w:pPr>
        <w:spacing w:line="240" w:lineRule="auto"/>
        <w:jc w:val="both"/>
        <w:rPr>
          <w:rFonts w:ascii="Verdana" w:eastAsia="Geomanist Light" w:hAnsi="Verdana" w:cs="Arial"/>
          <w:color w:val="000000" w:themeColor="text1"/>
          <w:lang w:val="es-MX"/>
        </w:rPr>
      </w:pPr>
    </w:p>
    <w:p w14:paraId="1EE29F0C" w14:textId="77777777" w:rsidR="00716C29" w:rsidRDefault="00716C29" w:rsidP="00EE700B">
      <w:pPr>
        <w:spacing w:line="240" w:lineRule="auto"/>
        <w:jc w:val="both"/>
        <w:rPr>
          <w:rFonts w:ascii="Verdana" w:eastAsia="Geomanist Light" w:hAnsi="Verdana" w:cs="Arial"/>
          <w:color w:val="000000" w:themeColor="text1"/>
          <w:lang w:val="es-MX"/>
        </w:rPr>
      </w:pPr>
    </w:p>
    <w:p w14:paraId="4A1DB510" w14:textId="77777777" w:rsidR="00716C29" w:rsidRDefault="00716C29" w:rsidP="00EE700B">
      <w:pPr>
        <w:spacing w:line="240" w:lineRule="auto"/>
        <w:jc w:val="both"/>
        <w:rPr>
          <w:rFonts w:ascii="Verdana" w:eastAsia="Geomanist Light" w:hAnsi="Verdana" w:cs="Arial"/>
          <w:color w:val="000000" w:themeColor="text1"/>
          <w:lang w:val="es-MX"/>
        </w:rPr>
      </w:pPr>
    </w:p>
    <w:p w14:paraId="01E60C2D" w14:textId="76FC5A36" w:rsidR="00FD2D57" w:rsidRPr="00EE700B" w:rsidRDefault="00FD2D57" w:rsidP="00EE700B">
      <w:pPr>
        <w:spacing w:line="240" w:lineRule="auto"/>
        <w:jc w:val="both"/>
        <w:rPr>
          <w:rFonts w:ascii="Verdana" w:eastAsia="Geomanist Light" w:hAnsi="Verdana" w:cs="Arial"/>
          <w:color w:val="000000" w:themeColor="text1"/>
          <w:sz w:val="20"/>
          <w:szCs w:val="20"/>
          <w:lang w:val="es-MX"/>
        </w:rPr>
      </w:pPr>
      <w:r w:rsidRPr="00CF64C0">
        <w:rPr>
          <w:rFonts w:ascii="Verdana" w:eastAsia="Geomanist Light" w:hAnsi="Verdana" w:cs="Arial"/>
          <w:color w:val="000000" w:themeColor="text1"/>
          <w:lang w:val="es-MX"/>
        </w:rPr>
        <w:lastRenderedPageBreak/>
        <w:t>Bogotá D.C., </w:t>
      </w:r>
      <w:r w:rsidR="00716C29">
        <w:rPr>
          <w:rFonts w:ascii="Verdana" w:eastAsia="Geomanist Light" w:hAnsi="Verdana" w:cs="Arial"/>
          <w:color w:val="201F1E"/>
          <w:lang w:val="es-MX"/>
        </w:rPr>
        <w:t>19</w:t>
      </w:r>
      <w:r w:rsidRPr="00CF64C0">
        <w:rPr>
          <w:rFonts w:ascii="Verdana" w:eastAsia="Geomanist Light" w:hAnsi="Verdana" w:cs="Arial"/>
          <w:color w:val="201F1E"/>
          <w:lang w:val="es-MX"/>
        </w:rPr>
        <w:t xml:space="preserve"> de </w:t>
      </w:r>
      <w:r w:rsidR="00716C29">
        <w:rPr>
          <w:rFonts w:ascii="Verdana" w:eastAsia="Geomanist Light" w:hAnsi="Verdana" w:cs="Arial"/>
          <w:color w:val="201F1E"/>
          <w:lang w:val="es-MX"/>
        </w:rPr>
        <w:t>marzo</w:t>
      </w:r>
      <w:r w:rsidRPr="00CF64C0">
        <w:rPr>
          <w:rFonts w:ascii="Verdana" w:eastAsia="Geomanist Light" w:hAnsi="Verdana" w:cs="Arial"/>
          <w:color w:val="201F1E"/>
          <w:lang w:val="es-MX"/>
        </w:rPr>
        <w:t xml:space="preserve"> de </w:t>
      </w:r>
      <w:r w:rsidR="00716C29">
        <w:rPr>
          <w:rFonts w:ascii="Verdana" w:eastAsia="Geomanist Light" w:hAnsi="Verdana" w:cs="Arial"/>
          <w:color w:val="201F1E"/>
          <w:lang w:val="es-MX"/>
        </w:rPr>
        <w:t>2026</w:t>
      </w:r>
    </w:p>
    <w:p w14:paraId="716DBA1D" w14:textId="77777777" w:rsidR="00FD2D57" w:rsidRPr="00CF64C0" w:rsidRDefault="00FD2D57" w:rsidP="00FD2D57">
      <w:pPr>
        <w:spacing w:after="0" w:line="240" w:lineRule="auto"/>
        <w:jc w:val="both"/>
        <w:rPr>
          <w:rFonts w:ascii="Verdana" w:eastAsia="Calibri" w:hAnsi="Verdana" w:cs="Arial"/>
          <w:color w:val="000000"/>
          <w:lang w:val="es-ES"/>
        </w:rPr>
      </w:pPr>
    </w:p>
    <w:p w14:paraId="1A2F8E3D" w14:textId="3E9ECDB3" w:rsidR="00EF130B" w:rsidRDefault="00F50436" w:rsidP="00EF130B">
      <w:pPr>
        <w:spacing w:after="0" w:line="240" w:lineRule="auto"/>
        <w:ind w:left="4248"/>
        <w:jc w:val="both"/>
        <w:rPr>
          <w:rFonts w:ascii="Verdana" w:eastAsia="Calibri" w:hAnsi="Verdana" w:cs="Arial"/>
          <w:lang w:val="es-ES" w:eastAsia="es-ES"/>
        </w:rPr>
      </w:pPr>
      <w:bookmarkStart w:id="0" w:name="_Hlk175917643"/>
      <w:r w:rsidRPr="00F50436">
        <w:rPr>
          <w:rFonts w:ascii="Verdana" w:eastAsia="Calibri" w:hAnsi="Verdana" w:cs="Arial"/>
          <w:noProof/>
          <w:lang w:val="es-ES" w:eastAsia="es-ES"/>
        </w:rPr>
        <w:drawing>
          <wp:inline distT="0" distB="0" distL="0" distR="0" wp14:anchorId="6D462E55" wp14:editId="386C58B5">
            <wp:extent cx="2991267" cy="952633"/>
            <wp:effectExtent l="0" t="0" r="0" b="0"/>
            <wp:docPr id="2060035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00356" name=""/>
                    <pic:cNvPicPr/>
                  </pic:nvPicPr>
                  <pic:blipFill>
                    <a:blip r:embed="rId11"/>
                    <a:stretch>
                      <a:fillRect/>
                    </a:stretch>
                  </pic:blipFill>
                  <pic:spPr>
                    <a:xfrm>
                      <a:off x="0" y="0"/>
                      <a:ext cx="2991267" cy="952633"/>
                    </a:xfrm>
                    <a:prstGeom prst="rect">
                      <a:avLst/>
                    </a:prstGeom>
                  </pic:spPr>
                </pic:pic>
              </a:graphicData>
            </a:graphic>
          </wp:inline>
        </w:drawing>
      </w:r>
    </w:p>
    <w:p w14:paraId="1989EB58" w14:textId="5B45A749" w:rsidR="00FD2D57" w:rsidRPr="00CF64C0" w:rsidRDefault="00FD2D57" w:rsidP="00FD2D57">
      <w:pPr>
        <w:spacing w:after="0" w:line="240" w:lineRule="auto"/>
        <w:jc w:val="both"/>
        <w:rPr>
          <w:rFonts w:ascii="Verdana" w:eastAsia="Calibri" w:hAnsi="Verdana" w:cs="Arial"/>
          <w:lang w:val="es-ES" w:eastAsia="es-ES"/>
        </w:rPr>
      </w:pPr>
      <w:r w:rsidRPr="00CF64C0">
        <w:rPr>
          <w:rFonts w:ascii="Verdana" w:eastAsia="Calibri" w:hAnsi="Verdana" w:cs="Arial"/>
          <w:lang w:val="es-ES" w:eastAsia="es-ES"/>
        </w:rPr>
        <w:t>Señor</w:t>
      </w:r>
    </w:p>
    <w:p w14:paraId="5B163C4D" w14:textId="3DA2DBE6" w:rsidR="00FD2D57" w:rsidRPr="00716C29" w:rsidRDefault="009423AA" w:rsidP="00FD2D57">
      <w:pPr>
        <w:spacing w:after="0" w:line="240" w:lineRule="auto"/>
        <w:rPr>
          <w:rFonts w:ascii="Verdana" w:eastAsia="Calibri" w:hAnsi="Verdana" w:cs="Arial"/>
          <w:b/>
          <w:bCs/>
          <w:lang w:eastAsia="es-ES"/>
        </w:rPr>
      </w:pPr>
      <w:r w:rsidRPr="00716C29">
        <w:rPr>
          <w:rFonts w:ascii="Verdana" w:eastAsia="Calibri" w:hAnsi="Verdana" w:cs="Arial"/>
          <w:b/>
          <w:bCs/>
          <w:lang w:eastAsia="es-ES"/>
        </w:rPr>
        <w:t>Eliecer Candelo Viafara</w:t>
      </w:r>
    </w:p>
    <w:p w14:paraId="67BFEF9E" w14:textId="77777777" w:rsidR="009423AA" w:rsidRPr="00716C29" w:rsidRDefault="009423AA" w:rsidP="00FD2D57">
      <w:pPr>
        <w:spacing w:after="0" w:line="240" w:lineRule="auto"/>
        <w:rPr>
          <w:rFonts w:ascii="Verdana" w:eastAsia="Calibri" w:hAnsi="Verdana" w:cs="Arial"/>
          <w:lang w:eastAsia="es-ES"/>
        </w:rPr>
      </w:pPr>
      <w:r w:rsidRPr="00716C29">
        <w:rPr>
          <w:rFonts w:ascii="Verdana" w:eastAsia="Calibri" w:hAnsi="Verdana" w:cs="Arial"/>
          <w:lang w:eastAsia="es-ES"/>
        </w:rPr>
        <w:t xml:space="preserve">Rector </w:t>
      </w:r>
    </w:p>
    <w:p w14:paraId="4DAD6DCB" w14:textId="241F81B6" w:rsidR="009423AA" w:rsidRPr="00716C29" w:rsidRDefault="009423AA" w:rsidP="00FD2D57">
      <w:pPr>
        <w:spacing w:after="0" w:line="240" w:lineRule="auto"/>
        <w:rPr>
          <w:rFonts w:ascii="Verdana" w:eastAsia="Calibri" w:hAnsi="Verdana" w:cs="Arial"/>
          <w:lang w:eastAsia="es-ES"/>
        </w:rPr>
      </w:pPr>
      <w:r w:rsidRPr="00716C29">
        <w:rPr>
          <w:rFonts w:ascii="Verdana" w:eastAsia="Calibri" w:hAnsi="Verdana" w:cs="Arial"/>
          <w:lang w:eastAsia="es-ES"/>
        </w:rPr>
        <w:t>Universidad del Pacifico</w:t>
      </w:r>
    </w:p>
    <w:p w14:paraId="7F142BB0" w14:textId="1FBE6B9A" w:rsidR="00FD2D57" w:rsidRPr="00716C29" w:rsidRDefault="009423AA" w:rsidP="00FD2D57">
      <w:pPr>
        <w:spacing w:after="0" w:line="240" w:lineRule="auto"/>
        <w:rPr>
          <w:rFonts w:ascii="Verdana" w:eastAsia="Calibri" w:hAnsi="Verdana" w:cs="Arial"/>
          <w:lang w:val="it-IT" w:eastAsia="es-ES"/>
        </w:rPr>
      </w:pPr>
      <w:hyperlink r:id="rId12" w:history="1">
        <w:r w:rsidRPr="00716C29">
          <w:rPr>
            <w:rStyle w:val="Hipervnculo"/>
            <w:rFonts w:ascii="Verdana" w:eastAsia="Calibri" w:hAnsi="Verdana" w:cs="Arial"/>
            <w:lang w:val="it-IT" w:eastAsia="es-ES"/>
          </w:rPr>
          <w:t>rectoria@unipacifico.edu.co</w:t>
        </w:r>
      </w:hyperlink>
      <w:r w:rsidRPr="00716C29">
        <w:rPr>
          <w:rFonts w:ascii="Verdana" w:eastAsia="Calibri" w:hAnsi="Verdana" w:cs="Arial"/>
          <w:lang w:val="it-IT" w:eastAsia="es-ES"/>
        </w:rPr>
        <w:t>;</w:t>
      </w:r>
    </w:p>
    <w:p w14:paraId="1ED966E2" w14:textId="498CAA19" w:rsidR="009423AA" w:rsidRPr="00716C29" w:rsidRDefault="009423AA" w:rsidP="00FD2D57">
      <w:pPr>
        <w:spacing w:after="0" w:line="240" w:lineRule="auto"/>
        <w:rPr>
          <w:rFonts w:ascii="Verdana" w:eastAsia="Calibri" w:hAnsi="Verdana" w:cs="Arial"/>
          <w:lang w:val="it-IT" w:eastAsia="es-ES"/>
        </w:rPr>
      </w:pPr>
      <w:r w:rsidRPr="00716C29">
        <w:rPr>
          <w:rFonts w:ascii="Verdana" w:eastAsia="Calibri" w:hAnsi="Verdana" w:cs="Arial"/>
          <w:lang w:val="it-IT" w:eastAsia="es-ES"/>
        </w:rPr>
        <w:t>Buenaventura, Valle del Cauca</w:t>
      </w:r>
    </w:p>
    <w:p w14:paraId="0F09E747" w14:textId="77777777" w:rsidR="00FD2D57" w:rsidRPr="00716C29" w:rsidRDefault="00FD2D57" w:rsidP="00FD2D57">
      <w:pPr>
        <w:spacing w:after="0" w:line="240" w:lineRule="auto"/>
        <w:rPr>
          <w:rFonts w:ascii="Verdana" w:eastAsia="Calibri" w:hAnsi="Verdana" w:cs="Arial"/>
          <w:b/>
          <w:bCs/>
          <w:color w:val="000000"/>
          <w:lang w:val="it-IT" w:eastAsia="es-ES_tradnl"/>
        </w:rPr>
      </w:pPr>
    </w:p>
    <w:tbl>
      <w:tblPr>
        <w:tblStyle w:val="Tablaconcuadrcula"/>
        <w:tblW w:w="8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095"/>
      </w:tblGrid>
      <w:tr w:rsidR="00FD2D57" w:rsidRPr="00CF64C0" w14:paraId="1ADCE8EB" w14:textId="77777777" w:rsidTr="00F52BFA">
        <w:trPr>
          <w:trHeight w:val="519"/>
        </w:trPr>
        <w:tc>
          <w:tcPr>
            <w:tcW w:w="2410" w:type="dxa"/>
          </w:tcPr>
          <w:p w14:paraId="09FA4F63" w14:textId="77777777" w:rsidR="00FD2D57" w:rsidRPr="00716C29" w:rsidRDefault="00FD2D57" w:rsidP="00807108">
            <w:pPr>
              <w:jc w:val="both"/>
              <w:rPr>
                <w:rFonts w:ascii="Verdana" w:eastAsia="Calibri" w:hAnsi="Verdana" w:cs="Arial"/>
                <w:b/>
                <w:bCs/>
                <w:color w:val="7030A0"/>
                <w:lang w:val="it-IT" w:eastAsia="es-ES_tradnl"/>
              </w:rPr>
            </w:pPr>
          </w:p>
        </w:tc>
        <w:tc>
          <w:tcPr>
            <w:tcW w:w="6095" w:type="dxa"/>
          </w:tcPr>
          <w:p w14:paraId="62C42C1B" w14:textId="218CFFE0" w:rsidR="00FD2D57" w:rsidRPr="00CF64C0" w:rsidRDefault="00FD2D57" w:rsidP="00807108">
            <w:pPr>
              <w:jc w:val="both"/>
              <w:rPr>
                <w:rFonts w:ascii="Verdana" w:eastAsia="Calibri" w:hAnsi="Verdana" w:cs="Arial"/>
                <w:b/>
                <w:bCs/>
                <w:color w:val="7030A0"/>
                <w:lang w:val="es-ES" w:eastAsia="es-ES"/>
              </w:rPr>
            </w:pPr>
            <w:r w:rsidRPr="00CF64C0">
              <w:rPr>
                <w:rFonts w:ascii="Verdana" w:eastAsia="Calibri" w:hAnsi="Verdana" w:cs="Arial"/>
                <w:b/>
                <w:bCs/>
                <w:lang w:val="es-ES" w:eastAsia="es-ES"/>
              </w:rPr>
              <w:t xml:space="preserve">Concepto </w:t>
            </w:r>
            <w:r w:rsidR="009423AA" w:rsidRPr="009423AA">
              <w:rPr>
                <w:rFonts w:ascii="Verdana" w:eastAsia="Calibri" w:hAnsi="Verdana" w:cs="Arial"/>
                <w:b/>
                <w:bCs/>
                <w:lang w:val="es-ES" w:eastAsia="es-ES"/>
              </w:rPr>
              <w:t>C-195</w:t>
            </w:r>
            <w:r w:rsidR="009423AA">
              <w:rPr>
                <w:rFonts w:ascii="Verdana" w:eastAsia="Calibri" w:hAnsi="Verdana" w:cs="Arial"/>
                <w:b/>
                <w:bCs/>
                <w:lang w:val="es-ES" w:eastAsia="es-ES"/>
              </w:rPr>
              <w:t xml:space="preserve"> </w:t>
            </w:r>
            <w:r w:rsidRPr="00CF64C0">
              <w:rPr>
                <w:rFonts w:ascii="Verdana" w:eastAsia="Calibri" w:hAnsi="Verdana" w:cs="Arial"/>
                <w:b/>
                <w:bCs/>
                <w:lang w:val="es-ES" w:eastAsia="es-ES"/>
              </w:rPr>
              <w:t>de 202</w:t>
            </w:r>
            <w:r w:rsidR="009423AA">
              <w:rPr>
                <w:rFonts w:ascii="Verdana" w:eastAsia="Calibri" w:hAnsi="Verdana" w:cs="Arial"/>
                <w:b/>
                <w:bCs/>
                <w:lang w:val="es-ES" w:eastAsia="es-ES"/>
              </w:rPr>
              <w:t>6</w:t>
            </w:r>
          </w:p>
        </w:tc>
      </w:tr>
      <w:tr w:rsidR="00FD2D57" w:rsidRPr="00CF64C0" w14:paraId="7083B782" w14:textId="77777777" w:rsidTr="00F52BFA">
        <w:trPr>
          <w:trHeight w:val="884"/>
        </w:trPr>
        <w:tc>
          <w:tcPr>
            <w:tcW w:w="2410" w:type="dxa"/>
          </w:tcPr>
          <w:p w14:paraId="27E0426F" w14:textId="77777777" w:rsidR="00FD2D57" w:rsidRPr="00031053" w:rsidRDefault="00FD2D57" w:rsidP="00807108">
            <w:pPr>
              <w:jc w:val="both"/>
              <w:rPr>
                <w:rFonts w:ascii="Verdana" w:eastAsia="Calibri" w:hAnsi="Verdana" w:cs="Arial"/>
                <w:color w:val="000000"/>
                <w:lang w:val="es-ES_tradnl" w:eastAsia="es-ES_tradnl"/>
              </w:rPr>
            </w:pPr>
            <w:r w:rsidRPr="00031053">
              <w:rPr>
                <w:rFonts w:ascii="Verdana" w:eastAsia="Calibri" w:hAnsi="Verdana" w:cs="Arial"/>
                <w:b/>
                <w:color w:val="000000"/>
                <w:lang w:val="es-ES_tradnl" w:eastAsia="es-ES_tradnl"/>
              </w:rPr>
              <w:t>Temas:</w:t>
            </w:r>
            <w:r w:rsidRPr="00031053">
              <w:rPr>
                <w:rFonts w:ascii="Verdana" w:eastAsia="Calibri" w:hAnsi="Verdana" w:cs="Arial"/>
                <w:color w:val="000000"/>
                <w:lang w:val="es-ES_tradnl" w:eastAsia="es-ES_tradnl"/>
              </w:rPr>
              <w:t xml:space="preserve">                   </w:t>
            </w:r>
          </w:p>
        </w:tc>
        <w:tc>
          <w:tcPr>
            <w:tcW w:w="6095" w:type="dxa"/>
          </w:tcPr>
          <w:p w14:paraId="4AB07316" w14:textId="5007DDF5" w:rsidR="00DA05C4" w:rsidRPr="00564AAD" w:rsidRDefault="00FD2D57" w:rsidP="00CC6E27">
            <w:pPr>
              <w:spacing w:line="276" w:lineRule="auto"/>
              <w:jc w:val="both"/>
              <w:rPr>
                <w:rFonts w:ascii="Verdana" w:hAnsi="Verdana" w:cs="Arial"/>
              </w:rPr>
            </w:pPr>
            <w:r w:rsidRPr="00564AAD">
              <w:rPr>
                <w:rFonts w:ascii="Verdana" w:hAnsi="Verdana" w:cs="Arial"/>
              </w:rPr>
              <w:t xml:space="preserve">UNIVERSIDADES PÚBLICAS – </w:t>
            </w:r>
            <w:r w:rsidR="00D05768" w:rsidRPr="00564AAD">
              <w:rPr>
                <w:rFonts w:ascii="Verdana" w:hAnsi="Verdana" w:cs="Arial"/>
              </w:rPr>
              <w:t xml:space="preserve">Naturaleza jurídica – </w:t>
            </w:r>
            <w:r w:rsidR="00DA05C4" w:rsidRPr="00564AAD">
              <w:rPr>
                <w:rFonts w:ascii="Verdana" w:hAnsi="Verdana" w:cs="Arial"/>
              </w:rPr>
              <w:t>Régimen de c</w:t>
            </w:r>
            <w:r w:rsidRPr="00564AAD">
              <w:rPr>
                <w:rFonts w:ascii="Verdana" w:hAnsi="Verdana" w:cs="Arial"/>
              </w:rPr>
              <w:t xml:space="preserve">ontratación </w:t>
            </w:r>
            <w:r w:rsidR="00DA05C4" w:rsidRPr="00564AAD">
              <w:rPr>
                <w:rFonts w:ascii="Verdana" w:hAnsi="Verdana" w:cs="Arial"/>
              </w:rPr>
              <w:t xml:space="preserve">/ </w:t>
            </w:r>
            <w:r w:rsidR="00DA05C4" w:rsidRPr="00564AAD">
              <w:rPr>
                <w:rFonts w:ascii="Verdana" w:eastAsia="Calibri" w:hAnsi="Verdana" w:cs="Arial"/>
                <w:color w:val="000000" w:themeColor="text1"/>
                <w:lang w:val="es-ES_tradnl"/>
              </w:rPr>
              <w:t>ENTIDADES DE RÉGIMEN ESPECIAL – Definición – Reglas aplicables</w:t>
            </w:r>
            <w:r w:rsidR="00D05768" w:rsidRPr="00564AAD">
              <w:rPr>
                <w:rFonts w:ascii="Verdana" w:eastAsia="Calibri" w:hAnsi="Verdana" w:cs="Arial"/>
                <w:color w:val="000000" w:themeColor="text1"/>
                <w:lang w:val="es-ES_tradnl"/>
              </w:rPr>
              <w:t xml:space="preserve"> </w:t>
            </w:r>
            <w:r w:rsidR="00564AAD" w:rsidRPr="00564AAD">
              <w:rPr>
                <w:rFonts w:ascii="Verdana" w:eastAsia="Calibri" w:hAnsi="Verdana" w:cs="Arial"/>
                <w:color w:val="000000" w:themeColor="text1"/>
                <w:lang w:val="es-ES_tradnl"/>
              </w:rPr>
              <w:t>/</w:t>
            </w:r>
            <w:r w:rsidR="00D05768" w:rsidRPr="00564AAD">
              <w:rPr>
                <w:rFonts w:ascii="Verdana" w:eastAsia="Calibri" w:hAnsi="Verdana" w:cs="Arial"/>
                <w:color w:val="000000" w:themeColor="text1"/>
                <w:lang w:val="es-ES_tradnl"/>
              </w:rPr>
              <w:t xml:space="preserve"> </w:t>
            </w:r>
            <w:r w:rsidR="00564AAD" w:rsidRPr="00564AAD">
              <w:rPr>
                <w:rFonts w:ascii="Verdana" w:eastAsia="Calibri" w:hAnsi="Verdana" w:cs="Arial"/>
                <w:lang w:eastAsia="es-ES"/>
              </w:rPr>
              <w:t>CONTRATOS Y CONVENIOS INTERADMINISTRATIVOS – Definición – Sujetos – Entidades Estatales – Entidades exceptuadas</w:t>
            </w:r>
          </w:p>
          <w:p w14:paraId="6161659A" w14:textId="4721E5B4" w:rsidR="00FD2D57" w:rsidRPr="00564AAD" w:rsidRDefault="00FD2D57" w:rsidP="00807108">
            <w:pPr>
              <w:spacing w:line="276" w:lineRule="auto"/>
              <w:jc w:val="both"/>
              <w:rPr>
                <w:rFonts w:ascii="Verdana" w:eastAsia="Calibri" w:hAnsi="Verdana" w:cs="Arial"/>
                <w:lang w:eastAsia="es-ES"/>
              </w:rPr>
            </w:pPr>
          </w:p>
        </w:tc>
      </w:tr>
      <w:tr w:rsidR="00FD2D57" w:rsidRPr="00CF64C0" w14:paraId="68D6C070" w14:textId="77777777" w:rsidTr="00F52BFA">
        <w:tc>
          <w:tcPr>
            <w:tcW w:w="2410" w:type="dxa"/>
          </w:tcPr>
          <w:p w14:paraId="0823EC04" w14:textId="77777777" w:rsidR="00FD2D57" w:rsidRPr="00CF64C0" w:rsidRDefault="00FD2D57" w:rsidP="00807108">
            <w:pPr>
              <w:jc w:val="both"/>
              <w:rPr>
                <w:rFonts w:ascii="Verdana" w:eastAsia="Calibri" w:hAnsi="Verdana" w:cs="Arial"/>
                <w:b/>
                <w:color w:val="7030A0"/>
                <w:lang w:val="es-ES_tradnl" w:eastAsia="es-ES_tradnl"/>
              </w:rPr>
            </w:pPr>
            <w:r w:rsidRPr="00CF64C0">
              <w:rPr>
                <w:rFonts w:ascii="Verdana" w:eastAsia="Calibri" w:hAnsi="Verdana" w:cs="Arial"/>
                <w:b/>
                <w:lang w:val="es-ES_tradnl" w:eastAsia="es-ES_tradnl"/>
              </w:rPr>
              <w:t xml:space="preserve">Radicación:               </w:t>
            </w:r>
          </w:p>
        </w:tc>
        <w:tc>
          <w:tcPr>
            <w:tcW w:w="6095" w:type="dxa"/>
          </w:tcPr>
          <w:p w14:paraId="65221D9B" w14:textId="1B53F2A6" w:rsidR="00FD2D57" w:rsidRPr="00AE273E" w:rsidRDefault="00FD2D57" w:rsidP="00807108">
            <w:pPr>
              <w:jc w:val="both"/>
              <w:rPr>
                <w:rFonts w:ascii="Verdana" w:eastAsia="Calibri" w:hAnsi="Verdana" w:cs="Arial"/>
                <w:color w:val="7030A0"/>
                <w:lang w:val="es-ES_tradnl" w:eastAsia="es-ES_tradnl"/>
              </w:rPr>
            </w:pPr>
            <w:r w:rsidRPr="00AE273E">
              <w:rPr>
                <w:rFonts w:ascii="Verdana" w:eastAsia="Calibri" w:hAnsi="Verdana" w:cs="Arial"/>
                <w:lang w:val="es-ES_tradnl" w:eastAsia="es-ES_tradnl"/>
              </w:rPr>
              <w:t xml:space="preserve">Respuestas a consulta con radicado No. </w:t>
            </w:r>
            <w:r w:rsidR="00461F2F" w:rsidRPr="00461F2F">
              <w:rPr>
                <w:rFonts w:ascii="Verdana" w:eastAsia="Calibri" w:hAnsi="Verdana" w:cs="Arial"/>
                <w:lang w:val="es-ES_tradnl" w:eastAsia="es-ES_tradnl"/>
              </w:rPr>
              <w:t>1_2026_02_10_001727</w:t>
            </w:r>
          </w:p>
        </w:tc>
      </w:tr>
    </w:tbl>
    <w:p w14:paraId="11A16F91" w14:textId="77777777" w:rsidR="00FD2D57" w:rsidRPr="0007375E" w:rsidRDefault="00FD2D57" w:rsidP="00FD2D57">
      <w:pPr>
        <w:spacing w:after="0" w:line="240" w:lineRule="auto"/>
        <w:jc w:val="both"/>
        <w:rPr>
          <w:rFonts w:ascii="Verdana" w:eastAsia="Calibri" w:hAnsi="Verdana" w:cs="Arial"/>
          <w:color w:val="000000"/>
          <w:lang w:val="es-ES_tradnl" w:eastAsia="es-ES_tradnl"/>
        </w:rPr>
      </w:pPr>
    </w:p>
    <w:p w14:paraId="7941D035" w14:textId="23FE201B" w:rsidR="00FD2D57" w:rsidRPr="0007375E" w:rsidRDefault="00FD2D57" w:rsidP="00FD2D57">
      <w:pPr>
        <w:spacing w:after="0" w:line="276" w:lineRule="auto"/>
        <w:jc w:val="both"/>
        <w:rPr>
          <w:rFonts w:ascii="Verdana" w:eastAsia="Calibri" w:hAnsi="Verdana" w:cs="Arial"/>
          <w:color w:val="000000" w:themeColor="text1"/>
          <w:lang w:val="es-ES" w:eastAsia="es-ES"/>
        </w:rPr>
      </w:pPr>
      <w:r w:rsidRPr="0007375E">
        <w:rPr>
          <w:rFonts w:ascii="Verdana" w:eastAsia="Calibri" w:hAnsi="Verdana" w:cs="Arial"/>
          <w:color w:val="000000" w:themeColor="text1"/>
          <w:lang w:val="es-ES" w:eastAsia="es-ES"/>
        </w:rPr>
        <w:t xml:space="preserve">Estimado </w:t>
      </w:r>
      <w:r w:rsidRPr="0007375E">
        <w:rPr>
          <w:rFonts w:ascii="Verdana" w:eastAsia="Calibri" w:hAnsi="Verdana" w:cs="Arial"/>
          <w:lang w:val="es-ES" w:eastAsia="es-ES"/>
        </w:rPr>
        <w:t xml:space="preserve">señor </w:t>
      </w:r>
      <w:r w:rsidR="00461F2F">
        <w:rPr>
          <w:rFonts w:ascii="Verdana" w:eastAsia="Calibri" w:hAnsi="Verdana" w:cs="Arial"/>
          <w:lang w:val="es-ES" w:eastAsia="es-ES"/>
        </w:rPr>
        <w:t>Candelo Viafara</w:t>
      </w:r>
      <w:r w:rsidRPr="0007375E">
        <w:rPr>
          <w:rFonts w:ascii="Verdana" w:eastAsia="Calibri" w:hAnsi="Verdana" w:cs="Arial"/>
          <w:lang w:val="es-ES" w:eastAsia="es-ES"/>
        </w:rPr>
        <w:t xml:space="preserve">: </w:t>
      </w:r>
    </w:p>
    <w:p w14:paraId="6CDD8CD8" w14:textId="77777777" w:rsidR="00FD2D57" w:rsidRPr="0007375E" w:rsidRDefault="00FD2D57" w:rsidP="00FD2D57">
      <w:pPr>
        <w:tabs>
          <w:tab w:val="left" w:pos="3768"/>
        </w:tabs>
        <w:spacing w:after="0" w:line="276" w:lineRule="auto"/>
        <w:jc w:val="both"/>
        <w:rPr>
          <w:rFonts w:ascii="Verdana" w:eastAsia="Calibri" w:hAnsi="Verdana" w:cs="Arial"/>
          <w:color w:val="000000" w:themeColor="text1"/>
          <w:lang w:val="es-ES" w:eastAsia="es-ES"/>
        </w:rPr>
      </w:pPr>
      <w:r w:rsidRPr="0007375E">
        <w:rPr>
          <w:rFonts w:ascii="Verdana" w:eastAsia="Calibri" w:hAnsi="Verdana" w:cs="Arial"/>
          <w:color w:val="000000" w:themeColor="text1"/>
          <w:lang w:val="es-ES" w:eastAsia="es-ES"/>
        </w:rPr>
        <w:tab/>
      </w:r>
    </w:p>
    <w:p w14:paraId="0A712399" w14:textId="22A007C0" w:rsidR="00FD2D57" w:rsidRPr="00241EB3" w:rsidRDefault="00FD2D57" w:rsidP="00FD2D57">
      <w:pPr>
        <w:spacing w:line="276" w:lineRule="auto"/>
        <w:jc w:val="both"/>
        <w:rPr>
          <w:rFonts w:ascii="Verdana" w:eastAsia="Calibri" w:hAnsi="Verdana" w:cs="Arial"/>
          <w:lang w:eastAsia="es-ES"/>
        </w:rPr>
      </w:pPr>
      <w:r w:rsidRPr="00B6062C">
        <w:rPr>
          <w:rFonts w:ascii="Verdana" w:eastAsia="Calibri" w:hAnsi="Verdana" w:cs="Arial"/>
          <w:color w:val="000000" w:themeColor="text1"/>
          <w:lang w:eastAsia="es-ES"/>
        </w:rPr>
        <w:t>En ejercicio de la competencia otorgada por los artículos 3, numeral 5º, y 11, numeral 8º, del Decreto Ley 4170 de 2011,</w:t>
      </w:r>
      <w:r w:rsidRPr="00B6062C">
        <w:rPr>
          <w:rFonts w:ascii="Verdana" w:eastAsia="Arial MT" w:hAnsi="Verdana" w:cs="Arial MT"/>
          <w:lang w:eastAsia="es-ES"/>
        </w:rPr>
        <w:t xml:space="preserve"> </w:t>
      </w:r>
      <w:r w:rsidRPr="00B6062C">
        <w:rPr>
          <w:rFonts w:ascii="Verdana" w:hAnsi="Verdana" w:cs="Arial"/>
        </w:rPr>
        <w:t>así como lo establecido</w:t>
      </w:r>
      <w:r w:rsidR="00461F2F">
        <w:rPr>
          <w:rFonts w:ascii="Verdana" w:hAnsi="Verdana" w:cs="Arial"/>
        </w:rPr>
        <w:t xml:space="preserve"> en la</w:t>
      </w:r>
      <w:r w:rsidRPr="00B6062C">
        <w:rPr>
          <w:rFonts w:ascii="Verdana" w:hAnsi="Verdana" w:cs="Arial"/>
        </w:rPr>
        <w:t xml:space="preserve"> </w:t>
      </w:r>
      <w:r w:rsidR="00461F2F" w:rsidRPr="0022207A">
        <w:rPr>
          <w:rFonts w:ascii="Verdana" w:eastAsia="Calibri" w:hAnsi="Verdana" w:cs="Times New Roman"/>
          <w:bCs/>
        </w:rPr>
        <w:t>Resolución 469 de 2025</w:t>
      </w:r>
      <w:r w:rsidR="00461F2F">
        <w:rPr>
          <w:rFonts w:ascii="Verdana" w:hAnsi="Verdana" w:cs="Arial"/>
          <w:color w:val="000000" w:themeColor="text1"/>
        </w:rPr>
        <w:t xml:space="preserve"> </w:t>
      </w:r>
      <w:r w:rsidRPr="00B6062C">
        <w:rPr>
          <w:rFonts w:ascii="Verdana" w:hAnsi="Verdana" w:cs="Arial"/>
        </w:rPr>
        <w:t xml:space="preserve">expedida por esta Entidad, </w:t>
      </w:r>
      <w:r w:rsidRPr="00B6062C">
        <w:rPr>
          <w:rFonts w:ascii="Verdana" w:eastAsia="Calibri" w:hAnsi="Verdana" w:cs="Arial"/>
          <w:color w:val="000000" w:themeColor="text1"/>
          <w:lang w:eastAsia="es-ES"/>
        </w:rPr>
        <w:t xml:space="preserve">la Agencia Nacional de Contratación Pública – Colombia Compra Eficiente– responde su solicitud de </w:t>
      </w:r>
      <w:r w:rsidRPr="00241EB3">
        <w:rPr>
          <w:rFonts w:ascii="Verdana" w:eastAsia="Calibri" w:hAnsi="Verdana" w:cs="Arial"/>
          <w:lang w:eastAsia="es-ES"/>
        </w:rPr>
        <w:t xml:space="preserve">consulta de fecha </w:t>
      </w:r>
      <w:r w:rsidR="009423AA">
        <w:rPr>
          <w:rFonts w:ascii="Verdana" w:eastAsia="Calibri" w:hAnsi="Verdana" w:cs="Arial"/>
          <w:lang w:eastAsia="es-ES"/>
        </w:rPr>
        <w:t>10</w:t>
      </w:r>
      <w:r w:rsidRPr="00241EB3">
        <w:rPr>
          <w:rFonts w:ascii="Verdana" w:eastAsia="Calibri" w:hAnsi="Verdana" w:cs="Arial"/>
          <w:lang w:eastAsia="es-ES"/>
        </w:rPr>
        <w:t xml:space="preserve"> de </w:t>
      </w:r>
      <w:r w:rsidR="009423AA">
        <w:rPr>
          <w:rFonts w:ascii="Verdana" w:eastAsia="Calibri" w:hAnsi="Verdana" w:cs="Arial"/>
          <w:lang w:eastAsia="es-ES"/>
        </w:rPr>
        <w:t>febrero</w:t>
      </w:r>
      <w:r w:rsidRPr="00241EB3">
        <w:rPr>
          <w:rFonts w:ascii="Verdana" w:eastAsia="Calibri" w:hAnsi="Verdana" w:cs="Arial"/>
          <w:lang w:eastAsia="es-ES"/>
        </w:rPr>
        <w:t xml:space="preserve"> de 202</w:t>
      </w:r>
      <w:r w:rsidR="009423AA">
        <w:rPr>
          <w:rFonts w:ascii="Verdana" w:eastAsia="Calibri" w:hAnsi="Verdana" w:cs="Arial"/>
          <w:lang w:eastAsia="es-ES"/>
        </w:rPr>
        <w:t>6</w:t>
      </w:r>
      <w:r w:rsidRPr="00241EB3">
        <w:rPr>
          <w:rFonts w:ascii="Verdana" w:eastAsia="Calibri" w:hAnsi="Verdana" w:cs="Arial"/>
          <w:lang w:eastAsia="es-ES"/>
        </w:rPr>
        <w:t xml:space="preserve">, en la cual manifiesta lo siguiente: </w:t>
      </w:r>
    </w:p>
    <w:p w14:paraId="6273AC65" w14:textId="5EF73A92" w:rsidR="00FD2D57" w:rsidRDefault="00FD2D57" w:rsidP="009423AA">
      <w:pPr>
        <w:pStyle w:val="Prrafodelista"/>
        <w:spacing w:after="0" w:line="240" w:lineRule="auto"/>
        <w:ind w:left="709" w:right="709"/>
        <w:contextualSpacing w:val="0"/>
        <w:jc w:val="both"/>
        <w:rPr>
          <w:rFonts w:ascii="Verdana" w:hAnsi="Verdana" w:cs="Tahoma"/>
          <w:i/>
          <w:iCs/>
          <w:sz w:val="20"/>
          <w:szCs w:val="20"/>
        </w:rPr>
      </w:pPr>
      <w:r w:rsidRPr="00241EB3">
        <w:rPr>
          <w:rFonts w:ascii="Verdana" w:hAnsi="Verdana" w:cs="Tahoma"/>
          <w:i/>
          <w:iCs/>
          <w:sz w:val="20"/>
          <w:szCs w:val="20"/>
        </w:rPr>
        <w:t>“[…]</w:t>
      </w:r>
      <w:r w:rsidR="009423AA">
        <w:rPr>
          <w:rFonts w:ascii="Verdana" w:hAnsi="Verdana" w:cs="Tahoma"/>
          <w:i/>
          <w:iCs/>
          <w:sz w:val="20"/>
          <w:szCs w:val="20"/>
        </w:rPr>
        <w:t xml:space="preserve"> 1.</w:t>
      </w:r>
      <w:r w:rsidRPr="00241EB3">
        <w:rPr>
          <w:rFonts w:ascii="Verdana" w:hAnsi="Verdana" w:cs="Tahoma"/>
          <w:i/>
          <w:iCs/>
          <w:sz w:val="20"/>
          <w:szCs w:val="20"/>
        </w:rPr>
        <w:t xml:space="preserve"> </w:t>
      </w:r>
      <w:r w:rsidR="009423AA">
        <w:rPr>
          <w:rFonts w:ascii="Verdana" w:hAnsi="Verdana" w:cs="Tahoma"/>
          <w:i/>
          <w:iCs/>
          <w:sz w:val="20"/>
          <w:szCs w:val="20"/>
        </w:rPr>
        <w:t>Limitaciones al Régimen privado: si bien la universidad se rige por su propio estatuto de contratación (Basado en el derecho privado), ¿Qué principios de la Ley 80 de 1993 y la Ley 1150 de 2007 son de obligatorio cumplimiento y, por ende, que conductas tiene prohibido omitir en sus procesos contractuales?</w:t>
      </w:r>
    </w:p>
    <w:p w14:paraId="7DB4FE9C" w14:textId="100595F9" w:rsidR="009423AA" w:rsidRDefault="009423AA" w:rsidP="009423AA">
      <w:pPr>
        <w:pStyle w:val="Prrafodelista"/>
        <w:spacing w:after="0" w:line="240" w:lineRule="auto"/>
        <w:ind w:left="709" w:right="709"/>
        <w:contextualSpacing w:val="0"/>
        <w:jc w:val="both"/>
        <w:rPr>
          <w:rFonts w:ascii="Verdana" w:hAnsi="Verdana" w:cs="Tahoma"/>
          <w:i/>
          <w:iCs/>
          <w:sz w:val="20"/>
          <w:szCs w:val="20"/>
        </w:rPr>
      </w:pPr>
      <w:r>
        <w:rPr>
          <w:rFonts w:ascii="Verdana" w:hAnsi="Verdana" w:cs="Tahoma"/>
          <w:i/>
          <w:iCs/>
          <w:sz w:val="20"/>
          <w:szCs w:val="20"/>
        </w:rPr>
        <w:t xml:space="preserve">2. Prohibiciones expresas: ¿Qué actos contractuales tiene estrictamente prohibido realizar la universidad según el régimen de inhabilidades e </w:t>
      </w:r>
      <w:r>
        <w:rPr>
          <w:rFonts w:ascii="Verdana" w:hAnsi="Verdana" w:cs="Tahoma"/>
          <w:i/>
          <w:iCs/>
          <w:sz w:val="20"/>
          <w:szCs w:val="20"/>
        </w:rPr>
        <w:lastRenderedPageBreak/>
        <w:t xml:space="preserve">incompatibilidades aplicable a los servidores públicos y las entidades estatales? </w:t>
      </w:r>
    </w:p>
    <w:p w14:paraId="585ACCF4" w14:textId="3B0AAB7D" w:rsidR="00FD2D57" w:rsidRPr="0022147C" w:rsidRDefault="009423AA" w:rsidP="0022147C">
      <w:pPr>
        <w:pStyle w:val="Prrafodelista"/>
        <w:spacing w:after="0" w:line="240" w:lineRule="auto"/>
        <w:ind w:left="709" w:right="709"/>
        <w:contextualSpacing w:val="0"/>
        <w:jc w:val="both"/>
        <w:rPr>
          <w:rFonts w:ascii="Verdana" w:hAnsi="Verdana" w:cs="Tahoma"/>
          <w:i/>
          <w:iCs/>
          <w:sz w:val="20"/>
          <w:szCs w:val="20"/>
        </w:rPr>
      </w:pPr>
      <w:r w:rsidRPr="00564AAD">
        <w:rPr>
          <w:rFonts w:ascii="Verdana" w:hAnsi="Verdana" w:cs="Tahoma"/>
          <w:i/>
          <w:iCs/>
          <w:sz w:val="20"/>
          <w:szCs w:val="20"/>
        </w:rPr>
        <w:t xml:space="preserve">3. Uso de Recursos Públicos: ¿Qué restricciones existen para la Universidad del Pacifico respecto a la suscripción de convenios interadministrativos y la subcontratación de actividades que deben ser ejecutadas directamente por la entidad? </w:t>
      </w:r>
      <w:r w:rsidR="00FD2D57" w:rsidRPr="00564AAD">
        <w:rPr>
          <w:rFonts w:ascii="Verdana" w:eastAsia="Calibri" w:hAnsi="Verdana" w:cs="Arial"/>
          <w:i/>
          <w:color w:val="000000" w:themeColor="text1"/>
          <w:sz w:val="20"/>
          <w:szCs w:val="20"/>
          <w:lang w:eastAsia="es-ES"/>
        </w:rPr>
        <w:t>[…]”.</w:t>
      </w:r>
      <w:r w:rsidR="00FD2D57" w:rsidRPr="0022147C">
        <w:rPr>
          <w:rFonts w:ascii="Verdana" w:eastAsia="Calibri" w:hAnsi="Verdana" w:cs="Arial"/>
          <w:i/>
          <w:color w:val="000000" w:themeColor="text1"/>
          <w:sz w:val="20"/>
          <w:szCs w:val="20"/>
          <w:lang w:eastAsia="es-ES"/>
        </w:rPr>
        <w:t xml:space="preserve"> </w:t>
      </w:r>
    </w:p>
    <w:p w14:paraId="2E75A2A7" w14:textId="77777777" w:rsidR="00FD2D57" w:rsidRPr="00CA417B" w:rsidRDefault="00FD2D57" w:rsidP="00FD2D57">
      <w:pPr>
        <w:pStyle w:val="Prrafodelista"/>
        <w:spacing w:after="0" w:line="240" w:lineRule="auto"/>
        <w:jc w:val="both"/>
        <w:rPr>
          <w:rFonts w:ascii="Verdana" w:hAnsi="Verdana" w:cs="Tahoma"/>
          <w:i/>
          <w:iCs/>
          <w:sz w:val="20"/>
          <w:szCs w:val="20"/>
        </w:rPr>
      </w:pPr>
    </w:p>
    <w:p w14:paraId="71EDBDBA" w14:textId="77777777" w:rsidR="00FD2D57" w:rsidRPr="0007375E" w:rsidRDefault="00FD2D57" w:rsidP="00FD2D57">
      <w:pPr>
        <w:spacing w:after="120" w:line="276" w:lineRule="auto"/>
        <w:ind w:firstLine="709"/>
        <w:jc w:val="both"/>
        <w:rPr>
          <w:rFonts w:ascii="Verdana" w:eastAsia="Calibri" w:hAnsi="Verdana" w:cs="Arial"/>
          <w:color w:val="000000"/>
          <w:szCs w:val="24"/>
          <w:lang w:val="es-ES_tradnl" w:eastAsia="es-ES_tradnl"/>
        </w:rPr>
      </w:pPr>
      <w:r w:rsidRPr="0007375E">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7375E">
        <w:rPr>
          <w:rFonts w:ascii="Verdana" w:eastAsia="Calibri" w:hAnsi="Verdana" w:cs="Arial"/>
          <w:color w:val="000000"/>
          <w:szCs w:val="24"/>
          <w:lang w:val="es-ES_tradnl" w:eastAsia="es-ES_tradnl"/>
        </w:rPr>
        <w:tab/>
      </w:r>
    </w:p>
    <w:p w14:paraId="48947956" w14:textId="5834093F" w:rsidR="00FD2D57" w:rsidRPr="0007375E" w:rsidRDefault="00FD2D57" w:rsidP="00FD2D57">
      <w:pPr>
        <w:spacing w:after="0" w:line="276" w:lineRule="auto"/>
        <w:ind w:firstLine="709"/>
        <w:jc w:val="both"/>
        <w:rPr>
          <w:rFonts w:ascii="Verdana" w:eastAsia="Calibri" w:hAnsi="Verdana" w:cs="Arial"/>
          <w:lang w:val="es-ES" w:eastAsia="es-ES"/>
        </w:rPr>
      </w:pPr>
      <w:r w:rsidRPr="0007375E">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sidR="00D05768">
        <w:rPr>
          <w:rFonts w:ascii="Verdana" w:eastAsia="Calibri" w:hAnsi="Verdana" w:cs="Arial"/>
          <w:lang w:val="es-ES" w:eastAsia="es-ES"/>
        </w:rPr>
        <w:t>los</w:t>
      </w:r>
      <w:r w:rsidRPr="0007375E">
        <w:rPr>
          <w:rFonts w:ascii="Verdana" w:eastAsia="Calibri" w:hAnsi="Verdana" w:cs="Arial"/>
          <w:lang w:val="es-ES" w:eastAsia="es-ES"/>
        </w:rPr>
        <w:t xml:space="preserve"> problemas jurídicos de su consulta. </w:t>
      </w:r>
    </w:p>
    <w:p w14:paraId="02FFC052" w14:textId="77777777" w:rsidR="00FD2D57" w:rsidRPr="0007375E" w:rsidRDefault="00FD2D57" w:rsidP="00FD2D57">
      <w:pPr>
        <w:spacing w:after="0" w:line="276" w:lineRule="auto"/>
        <w:ind w:firstLine="709"/>
        <w:jc w:val="both"/>
        <w:rPr>
          <w:rFonts w:ascii="Verdana" w:eastAsia="Calibri" w:hAnsi="Verdana" w:cs="Arial"/>
          <w:color w:val="000000"/>
          <w:lang w:val="es-ES" w:eastAsia="es-ES"/>
        </w:rPr>
      </w:pPr>
    </w:p>
    <w:p w14:paraId="2881C8BB" w14:textId="77777777" w:rsidR="00FD2D57" w:rsidRPr="0007375E" w:rsidRDefault="00FD2D57" w:rsidP="00FD2D57">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07375E">
        <w:rPr>
          <w:rFonts w:ascii="Verdana" w:eastAsia="Century Gothic" w:hAnsi="Verdana" w:cs="Century Gothic"/>
          <w:b/>
          <w:bCs/>
        </w:rPr>
        <w:t>Problema planteado:</w:t>
      </w:r>
    </w:p>
    <w:p w14:paraId="15FE7798" w14:textId="77777777" w:rsidR="00FD2D57" w:rsidRPr="0007375E" w:rsidRDefault="00FD2D57" w:rsidP="00FD2D57">
      <w:pPr>
        <w:tabs>
          <w:tab w:val="left" w:pos="426"/>
        </w:tabs>
        <w:spacing w:after="0" w:line="276" w:lineRule="auto"/>
        <w:jc w:val="both"/>
        <w:rPr>
          <w:rFonts w:ascii="Verdana" w:eastAsia="Century Gothic" w:hAnsi="Verdana" w:cs="Century Gothic"/>
          <w:lang w:val="es-ES"/>
        </w:rPr>
      </w:pPr>
    </w:p>
    <w:p w14:paraId="00037391" w14:textId="615988D1" w:rsidR="00FD2D57" w:rsidRPr="003160F1" w:rsidRDefault="00FD2D57" w:rsidP="009F41FA">
      <w:pPr>
        <w:spacing w:line="276" w:lineRule="auto"/>
        <w:jc w:val="both"/>
        <w:rPr>
          <w:rFonts w:ascii="Verdana" w:eastAsia="Century Gothic" w:hAnsi="Verdana" w:cs="Century Gothic"/>
        </w:rPr>
      </w:pPr>
      <w:r w:rsidRPr="00564AAD">
        <w:rPr>
          <w:rFonts w:ascii="Verdana" w:eastAsia="Century Gothic" w:hAnsi="Verdana" w:cs="Century Gothic"/>
        </w:rPr>
        <w:t xml:space="preserve">De acuerdo con el contenido de su solicitud, esta Agencia resolverá los siguientes problemas jurídicos: </w:t>
      </w:r>
      <w:bookmarkStart w:id="1" w:name="_Hlk177656719"/>
      <w:r w:rsidR="00F170DF" w:rsidRPr="00564AAD">
        <w:rPr>
          <w:rFonts w:ascii="Verdana" w:eastAsia="Century Gothic" w:hAnsi="Verdana" w:cs="Century Gothic"/>
        </w:rPr>
        <w:t xml:space="preserve">i) </w:t>
      </w:r>
      <w:r w:rsidRPr="00564AAD">
        <w:rPr>
          <w:rFonts w:ascii="Verdana" w:eastAsia="Century Gothic" w:hAnsi="Verdana" w:cs="Century Gothic"/>
        </w:rPr>
        <w:t>¿</w:t>
      </w:r>
      <w:r w:rsidR="00A977F7" w:rsidRPr="00564AAD">
        <w:rPr>
          <w:rFonts w:ascii="Verdana" w:eastAsia="Century Gothic" w:hAnsi="Verdana" w:cs="Century Gothic"/>
        </w:rPr>
        <w:t>Dentro de sus procesos contractuales qué principios de la contratación estatal resultan de obligatorio cumplimiento y qué conductas no pueden omitir en sus procesos contractuales las Universidades Estatales u oficiales que se rigen por la Ley 30 de 1992?</w:t>
      </w:r>
      <w:r w:rsidRPr="00564AAD">
        <w:rPr>
          <w:rFonts w:ascii="Verdana" w:eastAsia="Century Gothic" w:hAnsi="Verdana" w:cs="Century Gothic"/>
        </w:rPr>
        <w:t xml:space="preserve"> </w:t>
      </w:r>
      <w:r w:rsidR="0031783F" w:rsidRPr="00564AAD">
        <w:rPr>
          <w:rFonts w:ascii="Verdana" w:eastAsia="Century Gothic" w:hAnsi="Verdana" w:cs="Century Gothic"/>
        </w:rPr>
        <w:t xml:space="preserve"> </w:t>
      </w:r>
      <w:proofErr w:type="spellStart"/>
      <w:r w:rsidR="0031783F" w:rsidRPr="00564AAD">
        <w:rPr>
          <w:rFonts w:ascii="Verdana" w:eastAsia="Century Gothic" w:hAnsi="Verdana" w:cs="Century Gothic"/>
        </w:rPr>
        <w:t>ii</w:t>
      </w:r>
      <w:proofErr w:type="spellEnd"/>
      <w:r w:rsidR="0031783F" w:rsidRPr="00564AAD">
        <w:rPr>
          <w:rFonts w:ascii="Verdana" w:eastAsia="Century Gothic" w:hAnsi="Verdana" w:cs="Century Gothic"/>
        </w:rPr>
        <w:t>)</w:t>
      </w:r>
      <w:r w:rsidR="00564AAD" w:rsidRPr="00564AAD">
        <w:rPr>
          <w:rFonts w:ascii="Verdana" w:eastAsia="Century Gothic" w:hAnsi="Verdana" w:cs="Century Gothic"/>
        </w:rPr>
        <w:t xml:space="preserve"> ¿Qué</w:t>
      </w:r>
      <w:r w:rsidR="00564AAD">
        <w:rPr>
          <w:rFonts w:ascii="Verdana" w:eastAsia="Century Gothic" w:hAnsi="Verdana" w:cs="Century Gothic"/>
        </w:rPr>
        <w:t xml:space="preserve"> restricciones existen para la</w:t>
      </w:r>
      <w:r w:rsidR="00564AAD" w:rsidRPr="009804C5">
        <w:rPr>
          <w:rFonts w:ascii="Verdana" w:eastAsia="Century Gothic" w:hAnsi="Verdana" w:cs="Century Gothic"/>
        </w:rPr>
        <w:t xml:space="preserve"> celebra</w:t>
      </w:r>
      <w:r w:rsidR="00564AAD">
        <w:rPr>
          <w:rFonts w:ascii="Verdana" w:eastAsia="Century Gothic" w:hAnsi="Verdana" w:cs="Century Gothic"/>
        </w:rPr>
        <w:t>ción de</w:t>
      </w:r>
      <w:r w:rsidR="00564AAD" w:rsidRPr="009804C5">
        <w:rPr>
          <w:rFonts w:ascii="Verdana" w:eastAsia="Century Gothic" w:hAnsi="Verdana" w:cs="Century Gothic"/>
        </w:rPr>
        <w:t xml:space="preserve"> un contrato interadministrativo</w:t>
      </w:r>
      <w:r w:rsidR="00564AAD">
        <w:rPr>
          <w:rFonts w:ascii="Verdana" w:eastAsia="Century Gothic" w:hAnsi="Verdana" w:cs="Century Gothic"/>
        </w:rPr>
        <w:t xml:space="preserve"> </w:t>
      </w:r>
      <w:r w:rsidR="00564AAD" w:rsidRPr="009804C5">
        <w:rPr>
          <w:rFonts w:ascii="Verdana" w:eastAsia="Century Gothic" w:hAnsi="Verdana" w:cs="Century Gothic"/>
        </w:rPr>
        <w:t>de manera directa con una Institución de Educación Superior?</w:t>
      </w:r>
    </w:p>
    <w:bookmarkEnd w:id="1"/>
    <w:p w14:paraId="1F753587" w14:textId="77777777" w:rsidR="00FD2D57" w:rsidRPr="00E8254A" w:rsidRDefault="00FD2D57" w:rsidP="00FD2D57">
      <w:pPr>
        <w:jc w:val="both"/>
        <w:rPr>
          <w:rFonts w:ascii="Verdana" w:hAnsi="Verdana"/>
        </w:rPr>
      </w:pPr>
      <w:r w:rsidRPr="009F7011">
        <w:rPr>
          <w:rFonts w:ascii="Verdana" w:eastAsia="Century Gothic" w:hAnsi="Verdana" w:cs="Century Gothic"/>
          <w:b/>
          <w:bCs/>
        </w:rPr>
        <w:t xml:space="preserve">2. </w:t>
      </w:r>
      <w:r w:rsidRPr="0007375E">
        <w:rPr>
          <w:rFonts w:ascii="Verdana" w:eastAsia="Century Gothic" w:hAnsi="Verdana" w:cs="Century Gothic"/>
          <w:b/>
          <w:bCs/>
        </w:rPr>
        <w:t>Respuesta:</w:t>
      </w: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D2D57" w:rsidRPr="0007375E" w14:paraId="3F5746E4" w14:textId="77777777" w:rsidTr="00807108">
        <w:tc>
          <w:tcPr>
            <w:tcW w:w="8828" w:type="dxa"/>
          </w:tcPr>
          <w:p w14:paraId="239232C6" w14:textId="4B033E51" w:rsidR="00A977F7" w:rsidRDefault="00460BD3" w:rsidP="00A977F7">
            <w:pPr>
              <w:spacing w:before="120" w:after="120" w:line="276" w:lineRule="auto"/>
              <w:jc w:val="both"/>
              <w:rPr>
                <w:rFonts w:ascii="Verdana" w:eastAsia="Calibri" w:hAnsi="Verdana" w:cs="Arial"/>
                <w:color w:val="000000" w:themeColor="text1"/>
              </w:rPr>
            </w:pPr>
            <w:r>
              <w:rPr>
                <w:rFonts w:ascii="Verdana" w:eastAsia="Calibri" w:hAnsi="Verdana" w:cs="Arial"/>
                <w:color w:val="000000" w:themeColor="text1"/>
              </w:rPr>
              <w:t xml:space="preserve">En respuesta </w:t>
            </w:r>
            <w:r w:rsidR="001E16FC">
              <w:rPr>
                <w:rFonts w:ascii="Verdana" w:eastAsia="Calibri" w:hAnsi="Verdana" w:cs="Arial"/>
                <w:color w:val="000000" w:themeColor="text1"/>
              </w:rPr>
              <w:t xml:space="preserve">al </w:t>
            </w:r>
            <w:r w:rsidR="001E16FC" w:rsidRPr="000205B1">
              <w:rPr>
                <w:rFonts w:ascii="Verdana" w:eastAsia="Calibri" w:hAnsi="Verdana" w:cs="Arial"/>
                <w:i/>
                <w:iCs/>
                <w:color w:val="000000" w:themeColor="text1"/>
              </w:rPr>
              <w:t>primer interrogante</w:t>
            </w:r>
            <w:r w:rsidR="001E16FC">
              <w:rPr>
                <w:rFonts w:ascii="Verdana" w:eastAsia="Calibri" w:hAnsi="Verdana" w:cs="Arial"/>
                <w:color w:val="000000" w:themeColor="text1"/>
              </w:rPr>
              <w:t xml:space="preserve"> se debe manifestar que, de conformidad con </w:t>
            </w:r>
            <w:r w:rsidR="00503276">
              <w:rPr>
                <w:rFonts w:ascii="Verdana" w:eastAsia="Calibri" w:hAnsi="Verdana" w:cs="Arial"/>
                <w:color w:val="000000" w:themeColor="text1"/>
              </w:rPr>
              <w:t>los</w:t>
            </w:r>
            <w:r w:rsidR="00FD2D57" w:rsidRPr="004A0EC8">
              <w:rPr>
                <w:rFonts w:ascii="Verdana" w:eastAsia="Calibri" w:hAnsi="Verdana" w:cs="Arial"/>
                <w:color w:val="000000" w:themeColor="text1"/>
              </w:rPr>
              <w:t xml:space="preserve"> artículo</w:t>
            </w:r>
            <w:r w:rsidR="00503276">
              <w:rPr>
                <w:rFonts w:ascii="Verdana" w:eastAsia="Calibri" w:hAnsi="Verdana" w:cs="Arial"/>
                <w:color w:val="000000" w:themeColor="text1"/>
              </w:rPr>
              <w:t>s</w:t>
            </w:r>
            <w:r w:rsidR="00FD2D57" w:rsidRPr="004A0EC8">
              <w:rPr>
                <w:rFonts w:ascii="Verdana" w:eastAsia="Calibri" w:hAnsi="Verdana" w:cs="Arial"/>
                <w:color w:val="000000" w:themeColor="text1"/>
              </w:rPr>
              <w:t xml:space="preserve"> 57</w:t>
            </w:r>
            <w:r w:rsidR="00143374">
              <w:rPr>
                <w:rFonts w:ascii="Verdana" w:eastAsia="Calibri" w:hAnsi="Verdana" w:cs="Arial"/>
                <w:color w:val="000000" w:themeColor="text1"/>
              </w:rPr>
              <w:t>, 93 y 94</w:t>
            </w:r>
            <w:r w:rsidR="00FD2D57" w:rsidRPr="004A0EC8">
              <w:rPr>
                <w:rFonts w:ascii="Verdana" w:eastAsia="Calibri" w:hAnsi="Verdana" w:cs="Arial"/>
                <w:color w:val="000000" w:themeColor="text1"/>
              </w:rPr>
              <w:t xml:space="preserve"> de la Ley 30 de 1992 l</w:t>
            </w:r>
            <w:r w:rsidR="00FD2D57">
              <w:rPr>
                <w:rFonts w:ascii="Verdana" w:eastAsia="Calibri" w:hAnsi="Verdana" w:cs="Arial"/>
                <w:color w:val="000000" w:themeColor="text1"/>
              </w:rPr>
              <w:t xml:space="preserve">as </w:t>
            </w:r>
            <w:r w:rsidR="001E16FC">
              <w:rPr>
                <w:rFonts w:ascii="Verdana" w:eastAsia="Calibri" w:hAnsi="Verdana" w:cs="Arial"/>
                <w:color w:val="000000" w:themeColor="text1"/>
              </w:rPr>
              <w:t>u</w:t>
            </w:r>
            <w:r w:rsidR="001E16FC" w:rsidRPr="004A0EC8">
              <w:rPr>
                <w:rFonts w:ascii="Verdana" w:eastAsia="Calibri" w:hAnsi="Verdana" w:cs="Arial"/>
                <w:color w:val="000000" w:themeColor="text1"/>
              </w:rPr>
              <w:t>niversi</w:t>
            </w:r>
            <w:r w:rsidR="001E16FC">
              <w:rPr>
                <w:rFonts w:ascii="Verdana" w:eastAsia="Calibri" w:hAnsi="Verdana" w:cs="Arial"/>
                <w:color w:val="000000" w:themeColor="text1"/>
              </w:rPr>
              <w:t>dades pública</w:t>
            </w:r>
            <w:r w:rsidR="00FD2D57">
              <w:rPr>
                <w:rFonts w:ascii="Verdana" w:eastAsia="Calibri" w:hAnsi="Verdana" w:cs="Arial"/>
                <w:color w:val="000000" w:themeColor="text1"/>
              </w:rPr>
              <w:t>s</w:t>
            </w:r>
            <w:r w:rsidR="00FD2D57" w:rsidRPr="004A0EC8">
              <w:rPr>
                <w:rFonts w:ascii="Verdana" w:eastAsia="Calibri" w:hAnsi="Verdana" w:cs="Arial"/>
                <w:color w:val="000000" w:themeColor="text1"/>
              </w:rPr>
              <w:t xml:space="preserve"> </w:t>
            </w:r>
            <w:r w:rsidR="00FD2D57" w:rsidRPr="004A0EC8">
              <w:rPr>
                <w:rFonts w:ascii="Verdana" w:eastAsia="Calibri" w:hAnsi="Verdana" w:cs="Arial"/>
                <w:color w:val="000000" w:themeColor="text1"/>
              </w:rPr>
              <w:lastRenderedPageBreak/>
              <w:t xml:space="preserve">son </w:t>
            </w:r>
            <w:r w:rsidR="00FD2D57">
              <w:rPr>
                <w:rFonts w:ascii="Verdana" w:eastAsia="Calibri" w:hAnsi="Verdana" w:cs="Arial"/>
                <w:color w:val="000000" w:themeColor="text1"/>
              </w:rPr>
              <w:t xml:space="preserve">entes </w:t>
            </w:r>
            <w:r w:rsidR="00FD2D57" w:rsidRPr="004A0EC8">
              <w:rPr>
                <w:rFonts w:ascii="Verdana" w:eastAsia="Calibri" w:hAnsi="Verdana" w:cs="Arial"/>
                <w:color w:val="000000" w:themeColor="text1"/>
              </w:rPr>
              <w:t>autónomos</w:t>
            </w:r>
            <w:r w:rsidR="00C73A1B">
              <w:rPr>
                <w:rFonts w:ascii="Verdana" w:eastAsia="Calibri" w:hAnsi="Verdana" w:cs="Arial"/>
                <w:color w:val="000000" w:themeColor="text1"/>
              </w:rPr>
              <w:t xml:space="preserve">, </w:t>
            </w:r>
            <w:r w:rsidR="00FD2D57" w:rsidRPr="004A0EC8">
              <w:rPr>
                <w:rFonts w:ascii="Verdana" w:eastAsia="Calibri" w:hAnsi="Verdana" w:cs="Arial"/>
                <w:color w:val="000000" w:themeColor="text1"/>
              </w:rPr>
              <w:t>adscritos al Ministerio de Educación Nacional en lo que se refiere a las políticas y la planificación del sector educativo</w:t>
            </w:r>
            <w:r w:rsidR="00C73A1B">
              <w:rPr>
                <w:rFonts w:ascii="Verdana" w:eastAsia="Calibri" w:hAnsi="Verdana" w:cs="Arial"/>
                <w:color w:val="000000" w:themeColor="text1"/>
              </w:rPr>
              <w:t>,</w:t>
            </w:r>
            <w:r w:rsidR="001D5282">
              <w:rPr>
                <w:rFonts w:ascii="Verdana" w:eastAsia="Calibri" w:hAnsi="Verdana" w:cs="Arial"/>
                <w:color w:val="000000" w:themeColor="text1"/>
              </w:rPr>
              <w:t xml:space="preserve"> sujetas a un régimen de contratación especial</w:t>
            </w:r>
            <w:r w:rsidR="00FD2D57" w:rsidRPr="004A0EC8">
              <w:rPr>
                <w:rFonts w:ascii="Verdana" w:eastAsia="Calibri" w:hAnsi="Verdana" w:cs="Arial"/>
                <w:color w:val="000000" w:themeColor="text1"/>
              </w:rPr>
              <w:t xml:space="preserve">. </w:t>
            </w:r>
            <w:r w:rsidR="006926DA">
              <w:rPr>
                <w:rFonts w:ascii="Verdana" w:eastAsia="Calibri" w:hAnsi="Verdana" w:cs="Arial"/>
                <w:color w:val="000000" w:themeColor="text1"/>
              </w:rPr>
              <w:t xml:space="preserve">De conformidad con </w:t>
            </w:r>
            <w:r w:rsidR="00143374">
              <w:rPr>
                <w:rFonts w:ascii="Verdana" w:eastAsia="Calibri" w:hAnsi="Verdana" w:cs="Arial"/>
                <w:color w:val="000000" w:themeColor="text1"/>
              </w:rPr>
              <w:t xml:space="preserve">estas normas, </w:t>
            </w:r>
            <w:r w:rsidR="00647F92">
              <w:rPr>
                <w:rFonts w:ascii="Verdana" w:eastAsia="Calibri" w:hAnsi="Verdana" w:cs="Arial"/>
                <w:color w:val="000000" w:themeColor="text1"/>
              </w:rPr>
              <w:t xml:space="preserve">los contratos que </w:t>
            </w:r>
            <w:r w:rsidR="00EF453D">
              <w:rPr>
                <w:rFonts w:ascii="Verdana" w:eastAsia="Calibri" w:hAnsi="Verdana" w:cs="Arial"/>
                <w:color w:val="000000" w:themeColor="text1"/>
              </w:rPr>
              <w:t>celebren estas entidades</w:t>
            </w:r>
            <w:r w:rsidR="00F31F07">
              <w:rPr>
                <w:rFonts w:ascii="Verdana" w:eastAsia="Calibri" w:hAnsi="Verdana" w:cs="Arial"/>
                <w:color w:val="000000" w:themeColor="text1"/>
              </w:rPr>
              <w:t xml:space="preserve"> se</w:t>
            </w:r>
            <w:r w:rsidR="00EF453D" w:rsidRPr="00EF453D">
              <w:rPr>
                <w:rFonts w:ascii="Verdana" w:eastAsia="Calibri" w:hAnsi="Verdana" w:cs="Arial"/>
                <w:color w:val="000000" w:themeColor="text1"/>
              </w:rPr>
              <w:t> regirán por las normas del derecho privado y sus efectos estarán sujetos a las normas civiles y comerciales</w:t>
            </w:r>
            <w:r w:rsidR="00BC4AAF">
              <w:rPr>
                <w:rFonts w:ascii="Verdana" w:eastAsia="Calibri" w:hAnsi="Verdana" w:cs="Arial"/>
                <w:color w:val="000000" w:themeColor="text1"/>
              </w:rPr>
              <w:t>.</w:t>
            </w:r>
            <w:r w:rsidR="00FD2D57" w:rsidRPr="004A0EC8">
              <w:rPr>
                <w:rFonts w:ascii="Verdana" w:eastAsia="Calibri" w:hAnsi="Verdana" w:cs="Arial"/>
                <w:color w:val="000000" w:themeColor="text1"/>
              </w:rPr>
              <w:t xml:space="preserve"> </w:t>
            </w:r>
          </w:p>
          <w:p w14:paraId="24CBA930" w14:textId="77777777" w:rsidR="006C4B97" w:rsidRPr="006C4B97" w:rsidRDefault="006C4B97" w:rsidP="006C4B97">
            <w:pPr>
              <w:spacing w:before="120" w:after="120" w:line="276" w:lineRule="auto"/>
              <w:jc w:val="both"/>
              <w:rPr>
                <w:rFonts w:ascii="Verdana" w:hAnsi="Verdana" w:cs="Arial"/>
              </w:rPr>
            </w:pPr>
            <w:r w:rsidRPr="006C4B97">
              <w:rPr>
                <w:rFonts w:ascii="Verdana" w:hAnsi="Verdana" w:cs="Arial"/>
              </w:rPr>
              <w:t>Con fundamento en lo expuesto, se reitera que, dado que las entidades con régimen especial administran recursos públicos, sus manuales de contratación deben ajustarse a unas reglas mínimas orientadas a asegurar la observancia de los principios de la función administrativa, el control fiscal y los principios que rigen la contratación estatal. En ese sentido, dichos manuales deben contemplar, entre otros aspectos, la definición del contenido de las propuestas, los procedimientos de selección aplicables, la descripción clara y detallada de cada una de las etapas del proceso, los plazos correspondientes, así como los criterios de evaluación y de desempate. Lo anterior con el propósito de garantizar la selección objetiva del contratista, la protección del interés general y la adecuada utilización de los recursos públicos bajo criterios de eficiencia y valor por dinero.</w:t>
            </w:r>
          </w:p>
          <w:p w14:paraId="7DEF50D8" w14:textId="77777777" w:rsidR="00FD2D57" w:rsidRDefault="006C4B97" w:rsidP="006C4B97">
            <w:pPr>
              <w:spacing w:before="120" w:after="120" w:line="276" w:lineRule="auto"/>
              <w:jc w:val="both"/>
              <w:rPr>
                <w:rFonts w:ascii="Verdana" w:hAnsi="Verdana" w:cs="Arial"/>
              </w:rPr>
            </w:pPr>
            <w:r w:rsidRPr="006C4B97">
              <w:rPr>
                <w:rFonts w:ascii="Verdana" w:hAnsi="Verdana" w:cs="Arial"/>
              </w:rPr>
              <w:t>De igual forma, estas entidades se encuentran sujetas al cumplimiento de ciertas obligaciones transversales propias de la contratación pública, entre las cuales se destacan: la formulación del Plan Anual de Adquisiciones, la publicación de los procesos contractuales a través del Sistema Electrónico para la Contratación Pública – SECOP, en la sección correspondiente a régimen especial, la utilización del clasificador de bienes y servicios de las Naciones Unidas (UNSPSC), el reporte de sanciones, multas, inhabilidades e incompatibilidades relacionadas con los proveedores de la entidad, así como la realización de análisis del sector económico de los posibles oferentes, entre otras actuaciones orientadas a garantizar la transparencia y eficiencia en la gestión contractual.</w:t>
            </w:r>
          </w:p>
          <w:p w14:paraId="1E80E0F8" w14:textId="77777777" w:rsidR="006C4B97" w:rsidRDefault="006C4B97" w:rsidP="006C4B97">
            <w:pPr>
              <w:spacing w:before="120" w:after="120" w:line="276" w:lineRule="auto"/>
              <w:jc w:val="both"/>
              <w:rPr>
                <w:rFonts w:ascii="Verdana" w:hAnsi="Verdana" w:cs="Arial"/>
              </w:rPr>
            </w:pPr>
            <w:r>
              <w:rPr>
                <w:rFonts w:ascii="Verdana" w:hAnsi="Verdana" w:cs="Arial"/>
              </w:rPr>
              <w:t xml:space="preserve">Ahora bien, respecto al tema de las prohibiciones a las cuales </w:t>
            </w:r>
            <w:proofErr w:type="spellStart"/>
            <w:r>
              <w:rPr>
                <w:rFonts w:ascii="Verdana" w:hAnsi="Verdana" w:cs="Arial"/>
              </w:rPr>
              <w:t>esta</w:t>
            </w:r>
            <w:proofErr w:type="spellEnd"/>
            <w:r>
              <w:rPr>
                <w:rFonts w:ascii="Verdana" w:hAnsi="Verdana" w:cs="Arial"/>
              </w:rPr>
              <w:t xml:space="preserve"> sujeta las Entidades de régimen especial, a</w:t>
            </w:r>
            <w:r w:rsidRPr="006C4B97">
              <w:rPr>
                <w:rFonts w:ascii="Verdana" w:hAnsi="Verdana" w:cs="Arial"/>
              </w:rPr>
              <w:t xml:space="preserve"> pesar de que las universidades estatales u oficiales cuentan con un régimen contractual especial, ello no las exime del cumplimiento del régimen de inhabilidades e incompatibilidades previsto para la contratación estatal, el cual constituye una garantía de moralidad, transparencia e igualdad en el acceso a la contratación pública.</w:t>
            </w:r>
          </w:p>
          <w:p w14:paraId="4BBE0F29" w14:textId="77777777" w:rsidR="00564AAD" w:rsidRPr="009804C5" w:rsidRDefault="00564AAD" w:rsidP="00564AAD">
            <w:pPr>
              <w:spacing w:after="120" w:line="276" w:lineRule="auto"/>
              <w:jc w:val="both"/>
              <w:rPr>
                <w:rFonts w:ascii="Verdana" w:eastAsia="Calibri" w:hAnsi="Verdana" w:cs="Arial"/>
                <w:color w:val="000000" w:themeColor="text1"/>
                <w:lang w:val="es-ES_tradnl"/>
              </w:rPr>
            </w:pPr>
            <w:proofErr w:type="spellStart"/>
            <w:r>
              <w:rPr>
                <w:rFonts w:ascii="Verdana" w:hAnsi="Verdana" w:cs="Arial"/>
              </w:rPr>
              <w:t>ii</w:t>
            </w:r>
            <w:proofErr w:type="spellEnd"/>
            <w:r>
              <w:rPr>
                <w:rFonts w:ascii="Verdana" w:hAnsi="Verdana" w:cs="Arial"/>
              </w:rPr>
              <w:t xml:space="preserve">) </w:t>
            </w:r>
            <w:r w:rsidRPr="009804C5">
              <w:rPr>
                <w:rFonts w:ascii="Verdana" w:eastAsia="Calibri" w:hAnsi="Verdana" w:cs="Arial"/>
                <w:color w:val="000000" w:themeColor="text1"/>
                <w:lang w:val="es-ES_tradnl"/>
              </w:rPr>
              <w:t xml:space="preserve">El inciso segundo </w:t>
            </w:r>
            <w:r w:rsidRPr="009804C5">
              <w:rPr>
                <w:rFonts w:ascii="Verdana" w:eastAsia="Calibri" w:hAnsi="Verdana" w:cs="Arial"/>
                <w:color w:val="000000" w:themeColor="text1"/>
              </w:rPr>
              <w:t xml:space="preserve">del artículo 92 de la Ley 1474 de 2011, mediante el cual se modificó el literal c) del numeral 4 del artículo 2 de la Ley 1150 de 2007, </w:t>
            </w:r>
            <w:r w:rsidRPr="009804C5">
              <w:rPr>
                <w:rFonts w:ascii="Verdana" w:eastAsia="Calibri" w:hAnsi="Verdana" w:cs="Arial"/>
                <w:color w:val="000000" w:themeColor="text1"/>
                <w:lang w:val="es-ES_tradnl"/>
              </w:rPr>
              <w:lastRenderedPageBreak/>
              <w:t>establece una limitación a la contratación directa mediante la causal del literal c) “contratos interadministrativos” dirigido a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De manera que cuando ellas sean las ejecutoras, no se pueden celebrar contratos interadministrativos de manera directa, utilizando la causal del literal c), en tratándose de “contratos de obra, suministro, prestación de servicios de evaluación de conformidad respecto de las normas o reglamentos técnicos, encargos fiduciarios y fiducia pública”.</w:t>
            </w:r>
          </w:p>
          <w:p w14:paraId="26FB3B3A" w14:textId="77777777" w:rsidR="00564AAD" w:rsidRPr="009804C5" w:rsidRDefault="00564AAD" w:rsidP="00564AAD">
            <w:pPr>
              <w:spacing w:after="120" w:line="276" w:lineRule="auto"/>
              <w:ind w:firstLine="743"/>
              <w:jc w:val="both"/>
              <w:rPr>
                <w:rFonts w:ascii="Verdana" w:eastAsia="Calibri" w:hAnsi="Verdana" w:cs="Arial"/>
                <w:color w:val="000000" w:themeColor="text1"/>
              </w:rPr>
            </w:pPr>
            <w:r w:rsidRPr="009804C5">
              <w:rPr>
                <w:rFonts w:ascii="Verdana" w:eastAsia="Calibri" w:hAnsi="Verdana" w:cs="Arial"/>
                <w:color w:val="000000" w:themeColor="text1"/>
              </w:rPr>
              <w:t>El alcance de la excepción establecida en la norma referida se circunscribe a las entidades mencionadas en el inciso segundo de este artículo. De modo que, estas entidades, dentro de las cuales se encuentran las instituciones de educación superior, cuando sean las ejecutoras, no podrán celebrar bajo la modalidad de contratación directa la suscripción de los contratos interadministrativo con los objetos mencionados</w:t>
            </w:r>
            <w:r>
              <w:rPr>
                <w:rFonts w:ascii="Verdana" w:eastAsia="Calibri" w:hAnsi="Verdana" w:cs="Arial"/>
                <w:color w:val="000000" w:themeColor="text1"/>
              </w:rPr>
              <w:t xml:space="preserve">. </w:t>
            </w:r>
            <w:r w:rsidRPr="009804C5">
              <w:rPr>
                <w:rFonts w:ascii="Verdana" w:eastAsia="Calibri" w:hAnsi="Verdana" w:cs="Arial"/>
                <w:color w:val="000000" w:themeColor="text1"/>
              </w:rPr>
              <w:t xml:space="preserve">Lo anterior, sin perjuicio de que dichas entidades participen y, eventualmente, celebren dichos contratos luego de ser seleccionados a través de modalidades como la licitación pública o selección abreviada, según corresponda. </w:t>
            </w:r>
          </w:p>
          <w:p w14:paraId="7F7ED250" w14:textId="0F1BF4F8" w:rsidR="00564AAD" w:rsidRPr="005C280F" w:rsidRDefault="00564AAD" w:rsidP="00564AAD">
            <w:pPr>
              <w:spacing w:before="120" w:after="120" w:line="276" w:lineRule="auto"/>
              <w:jc w:val="both"/>
              <w:rPr>
                <w:rFonts w:ascii="Verdana" w:hAnsi="Verdana" w:cs="Arial"/>
              </w:rPr>
            </w:pPr>
            <w:r w:rsidRPr="009804C5">
              <w:rPr>
                <w:rFonts w:ascii="Verdana" w:eastAsia="Calibri" w:hAnsi="Verdana" w:cs="Arial"/>
                <w:color w:val="000000" w:themeColor="text1"/>
                <w:lang w:val="es-ES_tradnl"/>
              </w:rPr>
              <w:t>Por tanto, para esta Agencia, el ámbito de aplicación de la regla referida es de alcance restrictivo, dado que se circunscribe a los contratos y entidades señaladas en el inciso segundo del literal c) analizado, por lo que la prohibición aplica cuando confluyan ambos elementos. En este sentido, cuando se trate de otros objetos contractuales distintos o cuando sean celebrados por entidades distintas a las enlistadas en el inciso segundo, no aplicará la excepción establecida en la regla referida y, en consecuencia, las entidades podrían celebrar los contratos bajo la modalidad de contratación directa, sin perjuicio de observar las demás disposiciones del ordenamiento jurídico, correspondiendo a cada entidad definir la conveniencia y procedencia jurídica, técnica y financiera de su celebración.</w:t>
            </w:r>
          </w:p>
        </w:tc>
      </w:tr>
    </w:tbl>
    <w:p w14:paraId="595A638D" w14:textId="77777777" w:rsidR="00FD2D57" w:rsidRPr="0007375E" w:rsidRDefault="00FD2D57" w:rsidP="00FD2D5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BAA02B1" w14:textId="77777777" w:rsidR="00FD2D57" w:rsidRPr="0007375E" w:rsidRDefault="00FD2D57" w:rsidP="00FD2D57">
      <w:pPr>
        <w:tabs>
          <w:tab w:val="left" w:pos="142"/>
          <w:tab w:val="left" w:pos="284"/>
        </w:tabs>
        <w:spacing w:after="0" w:line="276" w:lineRule="auto"/>
        <w:jc w:val="both"/>
        <w:rPr>
          <w:rFonts w:ascii="Verdana" w:eastAsia="Century Gothic" w:hAnsi="Verdana" w:cs="Century Gothic"/>
          <w:b/>
          <w:bCs/>
          <w:lang w:val="es-ES"/>
        </w:rPr>
      </w:pPr>
      <w:r w:rsidRPr="0007375E">
        <w:rPr>
          <w:rFonts w:ascii="Verdana" w:eastAsia="Century Gothic" w:hAnsi="Verdana" w:cs="Century Gothic"/>
          <w:b/>
          <w:bCs/>
        </w:rPr>
        <w:t>3.Razones de la respuesta:</w:t>
      </w:r>
    </w:p>
    <w:p w14:paraId="443644C6" w14:textId="77777777" w:rsidR="00FD2D57" w:rsidRPr="0007375E" w:rsidRDefault="00FD2D57" w:rsidP="00FD2D57">
      <w:pPr>
        <w:spacing w:after="0" w:line="276" w:lineRule="auto"/>
        <w:jc w:val="both"/>
        <w:rPr>
          <w:rFonts w:ascii="Verdana" w:eastAsia="Calibri" w:hAnsi="Verdana" w:cs="Arial"/>
          <w:lang w:val="es-ES"/>
        </w:rPr>
      </w:pPr>
    </w:p>
    <w:p w14:paraId="70F93F29" w14:textId="77777777" w:rsidR="00FD2D57" w:rsidRDefault="00FD2D57" w:rsidP="00FD2D57">
      <w:pPr>
        <w:spacing w:after="0" w:line="276" w:lineRule="auto"/>
        <w:jc w:val="both"/>
        <w:rPr>
          <w:rFonts w:ascii="Verdana" w:eastAsia="Calibri" w:hAnsi="Verdana" w:cs="Arial"/>
          <w:lang w:val="es-ES"/>
        </w:rPr>
      </w:pPr>
      <w:r w:rsidRPr="0007375E">
        <w:rPr>
          <w:rFonts w:ascii="Verdana" w:eastAsia="Calibri" w:hAnsi="Verdana" w:cs="Arial"/>
          <w:lang w:val="es-ES"/>
        </w:rPr>
        <w:t>Lo anterior se sustenta en las siguientes consideraciones:</w:t>
      </w:r>
    </w:p>
    <w:p w14:paraId="24F902EE" w14:textId="77777777" w:rsidR="00FD2D57" w:rsidRDefault="00FD2D57" w:rsidP="00FD2D57">
      <w:pPr>
        <w:spacing w:after="0" w:line="276" w:lineRule="auto"/>
        <w:jc w:val="both"/>
        <w:rPr>
          <w:rFonts w:ascii="Verdana" w:eastAsia="Calibri" w:hAnsi="Verdana" w:cs="Arial"/>
          <w:lang w:val="es-ES"/>
        </w:rPr>
      </w:pPr>
    </w:p>
    <w:p w14:paraId="7FF221D3" w14:textId="77777777" w:rsidR="00FD2D57" w:rsidRPr="00CC7195" w:rsidRDefault="00FD2D57" w:rsidP="00FD2D57">
      <w:pPr>
        <w:spacing w:after="120" w:line="276" w:lineRule="auto"/>
        <w:jc w:val="both"/>
        <w:rPr>
          <w:rFonts w:ascii="Verdana" w:eastAsia="Times New Roman" w:hAnsi="Verdana" w:cs="Arial"/>
          <w:color w:val="000000" w:themeColor="text1"/>
          <w:szCs w:val="24"/>
          <w:lang w:val="es-ES_tradnl" w:eastAsia="es-ES_tradnl"/>
        </w:rPr>
      </w:pPr>
      <w:r w:rsidRPr="00CC7195">
        <w:rPr>
          <w:rFonts w:ascii="Verdana" w:hAnsi="Verdana" w:cs="Arial"/>
          <w:noProof/>
          <w:lang w:val="es-ES_tradnl"/>
        </w:rPr>
        <w:lastRenderedPageBreak/>
        <w:t xml:space="preserve">De manera preliminar, se establece que la Constitución Política de Colombia consagra en el artículo 69, por una parte, una garantía de autonomía para que las universidades establezcan sus directivas y sus estatutos de acuerdo con la ley; y por otra, la posibilidad de que cuenten con un régimen especial que </w:t>
      </w:r>
      <w:r w:rsidRPr="00CC7195">
        <w:rPr>
          <w:rFonts w:ascii="Verdana" w:eastAsia="Times New Roman" w:hAnsi="Verdana" w:cs="Arial"/>
          <w:color w:val="000000" w:themeColor="text1"/>
          <w:szCs w:val="24"/>
          <w:lang w:val="es-ES_tradnl" w:eastAsia="es-ES_tradnl"/>
        </w:rPr>
        <w:t>corresponde dictar al Congreso</w:t>
      </w:r>
      <w:r w:rsidRPr="00CC7195">
        <w:rPr>
          <w:rStyle w:val="Refdenotaalpie"/>
          <w:rFonts w:ascii="Verdana" w:eastAsia="Times New Roman" w:hAnsi="Verdana" w:cs="Arial"/>
          <w:color w:val="000000" w:themeColor="text1"/>
          <w:szCs w:val="24"/>
          <w:lang w:val="es-ES_tradnl" w:eastAsia="es-ES_tradnl"/>
        </w:rPr>
        <w:footnoteReference w:id="2"/>
      </w:r>
      <w:r w:rsidRPr="00CC7195">
        <w:rPr>
          <w:rFonts w:ascii="Verdana" w:eastAsia="Times New Roman" w:hAnsi="Verdana" w:cs="Arial"/>
          <w:color w:val="000000" w:themeColor="text1"/>
          <w:szCs w:val="24"/>
          <w:lang w:val="es-ES_tradnl" w:eastAsia="es-ES_tradnl"/>
        </w:rPr>
        <w:t>.</w:t>
      </w:r>
    </w:p>
    <w:p w14:paraId="070892CB" w14:textId="7F374CB2" w:rsidR="00FD2D57" w:rsidRPr="00CC7195" w:rsidRDefault="00FD2D57" w:rsidP="00043288">
      <w:pPr>
        <w:spacing w:after="120" w:line="276" w:lineRule="auto"/>
        <w:ind w:firstLine="708"/>
        <w:jc w:val="both"/>
        <w:rPr>
          <w:rFonts w:ascii="Verdana" w:hAnsi="Verdana" w:cs="Arial"/>
          <w:noProof/>
          <w:lang w:val="es-ES_tradnl"/>
        </w:rPr>
      </w:pPr>
      <w:r w:rsidRPr="00CC7195">
        <w:rPr>
          <w:rFonts w:ascii="Verdana" w:eastAsia="Times New Roman" w:hAnsi="Verdana" w:cs="Arial"/>
          <w:color w:val="000000" w:themeColor="text1"/>
          <w:szCs w:val="24"/>
          <w:lang w:val="es-ES_tradnl" w:eastAsia="es-ES_tradnl"/>
        </w:rPr>
        <w:t>En de</w:t>
      </w:r>
      <w:r w:rsidRPr="00CC7195">
        <w:rPr>
          <w:rFonts w:ascii="Verdana" w:hAnsi="Verdana" w:cs="Arial"/>
          <w:noProof/>
          <w:lang w:val="es-ES_tradnl"/>
        </w:rPr>
        <w:t xml:space="preserve">sarrollo de lo anterior, se expidió la </w:t>
      </w:r>
      <w:bookmarkStart w:id="2" w:name="_Hlk178103335"/>
      <w:r w:rsidRPr="00CC7195">
        <w:rPr>
          <w:rFonts w:ascii="Verdana" w:hAnsi="Verdana" w:cs="Arial"/>
          <w:noProof/>
          <w:lang w:val="es-ES_tradnl"/>
        </w:rPr>
        <w:t>Ley 30 de 1992</w:t>
      </w:r>
      <w:bookmarkEnd w:id="2"/>
      <w:r w:rsidRPr="00CC7195">
        <w:rPr>
          <w:rFonts w:ascii="Verdana" w:hAnsi="Verdana" w:cs="Arial"/>
          <w:noProof/>
          <w:lang w:val="es-ES_tradnl"/>
        </w:rPr>
        <w:t>, mediante la cual se regularon aspectos como la naturaleza jurídica de las universidades estatales, la forma de organizarse y el régimen de contratación aplicable. Así mismo, en el artículo 57 se consignó que el carácter especial del régimen de las universidades estatales u oficiales comprende, entre otros aspectos, el régimen de contratación</w:t>
      </w:r>
      <w:r w:rsidRPr="00CC7195">
        <w:rPr>
          <w:rFonts w:ascii="Verdana" w:hAnsi="Verdana" w:cs="Arial"/>
          <w:noProof/>
          <w:sz w:val="24"/>
          <w:vertAlign w:val="superscript"/>
          <w:lang w:val="es-ES_tradnl"/>
        </w:rPr>
        <w:footnoteReference w:id="3"/>
      </w:r>
      <w:r w:rsidRPr="00CC7195">
        <w:rPr>
          <w:rFonts w:ascii="Verdana" w:hAnsi="Verdana" w:cs="Arial"/>
          <w:noProof/>
          <w:lang w:val="es-ES_tradnl"/>
        </w:rPr>
        <w:t>. En el mismo sentido, estableció, en el artículo 93, que los contratos que celebren las universidades estatales u oficiales se regirán por las normas del derecho privado</w:t>
      </w:r>
      <w:r w:rsidRPr="00CC7195">
        <w:rPr>
          <w:rStyle w:val="Refdenotaalpie"/>
          <w:rFonts w:ascii="Verdana" w:hAnsi="Verdana" w:cs="Arial"/>
          <w:noProof/>
          <w:lang w:val="es-ES_tradnl"/>
        </w:rPr>
        <w:footnoteReference w:id="4"/>
      </w:r>
      <w:r w:rsidRPr="00CC7195">
        <w:rPr>
          <w:rFonts w:ascii="Verdana" w:hAnsi="Verdana" w:cs="Arial"/>
          <w:noProof/>
          <w:lang w:val="es-ES_tradnl"/>
        </w:rPr>
        <w:t xml:space="preserve">. </w:t>
      </w:r>
      <w:r w:rsidR="003C50EB">
        <w:rPr>
          <w:rFonts w:ascii="Verdana" w:eastAsia="Calibri" w:hAnsi="Verdana" w:cs="Arial"/>
          <w:color w:val="000000" w:themeColor="text1"/>
          <w:lang w:val="es-ES_tradnl"/>
        </w:rPr>
        <w:t xml:space="preserve">En concordancia con esto, el artículo 94 de la referida ley dispone que, </w:t>
      </w:r>
      <w:r w:rsidR="003C50EB" w:rsidRPr="00A42FE9">
        <w:rPr>
          <w:rFonts w:ascii="Verdana" w:eastAsia="Calibri" w:hAnsi="Verdana" w:cs="Arial"/>
          <w:color w:val="000000" w:themeColor="text1"/>
        </w:rPr>
        <w:t>además del cumplimiento de los requisitos propios de la contratación entre particulares,</w:t>
      </w:r>
      <w:r w:rsidR="003C50EB">
        <w:rPr>
          <w:rFonts w:ascii="Verdana" w:eastAsia="Calibri" w:hAnsi="Verdana" w:cs="Arial"/>
          <w:color w:val="000000" w:themeColor="text1"/>
        </w:rPr>
        <w:t xml:space="preserve"> los contratos celebrados por los entes universitarios autónomos</w:t>
      </w:r>
      <w:r w:rsidR="003C50EB" w:rsidRPr="00A42FE9">
        <w:rPr>
          <w:rFonts w:ascii="Verdana" w:eastAsia="Calibri" w:hAnsi="Verdana" w:cs="Arial"/>
          <w:color w:val="000000" w:themeColor="text1"/>
        </w:rPr>
        <w:t xml:space="preserve"> estarán sujetos a los requisitos de aprobación y registro presupuestal</w:t>
      </w:r>
      <w:r w:rsidR="003C50EB">
        <w:rPr>
          <w:rFonts w:ascii="Verdana" w:eastAsia="Calibri" w:hAnsi="Verdana" w:cs="Arial"/>
          <w:color w:val="000000" w:themeColor="text1"/>
        </w:rPr>
        <w:t>.</w:t>
      </w:r>
    </w:p>
    <w:p w14:paraId="6EF42207" w14:textId="77777777" w:rsidR="00FD2D57" w:rsidRPr="00CC7195" w:rsidRDefault="00FD2D57" w:rsidP="00FD2D57">
      <w:pPr>
        <w:spacing w:after="0" w:line="276" w:lineRule="auto"/>
        <w:ind w:firstLine="708"/>
        <w:jc w:val="both"/>
        <w:rPr>
          <w:rFonts w:ascii="Verdana" w:hAnsi="Verdana" w:cs="Arial"/>
          <w:noProof/>
          <w:lang w:val="es-ES_tradnl"/>
        </w:rPr>
      </w:pPr>
      <w:r w:rsidRPr="00CC7195">
        <w:rPr>
          <w:rFonts w:ascii="Verdana" w:hAnsi="Verdana" w:cs="Arial"/>
          <w:noProof/>
          <w:lang w:val="es-ES_tradnl"/>
        </w:rPr>
        <w:t xml:space="preserve">De otro lado, la </w:t>
      </w:r>
      <w:bookmarkStart w:id="3" w:name="_Hlk178103301"/>
      <w:r w:rsidRPr="00CC7195">
        <w:rPr>
          <w:rFonts w:ascii="Verdana" w:hAnsi="Verdana" w:cs="Arial"/>
          <w:noProof/>
          <w:lang w:val="es-ES_tradnl"/>
        </w:rPr>
        <w:t>Ley 489 de 1998</w:t>
      </w:r>
      <w:bookmarkEnd w:id="3"/>
      <w:r w:rsidRPr="00CC7195">
        <w:rPr>
          <w:rFonts w:ascii="Verdana" w:hAnsi="Verdana" w:cs="Arial"/>
          <w:noProof/>
          <w:lang w:val="es-ES_tradnl"/>
        </w:rPr>
        <w:t>, al desarrollar la estructura y organización de la Administración Pública, establece que los entes universitarios hacen parte integral de esta</w:t>
      </w:r>
      <w:r w:rsidRPr="00CC7195">
        <w:rPr>
          <w:rFonts w:ascii="Verdana" w:hAnsi="Verdana" w:cs="Arial"/>
          <w:noProof/>
          <w:sz w:val="24"/>
          <w:vertAlign w:val="superscript"/>
          <w:lang w:val="es-ES_tradnl"/>
        </w:rPr>
        <w:footnoteReference w:id="5"/>
      </w:r>
      <w:r w:rsidRPr="00CC7195">
        <w:rPr>
          <w:rFonts w:ascii="Verdana" w:hAnsi="Verdana" w:cs="Arial"/>
          <w:noProof/>
          <w:lang w:val="es-ES_tradnl"/>
        </w:rPr>
        <w:t xml:space="preserve">, catalogándolos como entidades públicas de </w:t>
      </w:r>
      <w:r w:rsidRPr="00CC7195">
        <w:rPr>
          <w:rFonts w:ascii="Verdana" w:hAnsi="Verdana" w:cs="Arial"/>
          <w:noProof/>
          <w:lang w:val="es-ES_tradnl"/>
        </w:rPr>
        <w:lastRenderedPageBreak/>
        <w:t>carácter autónomo a las que aplica un régimen especial</w:t>
      </w:r>
      <w:r w:rsidRPr="00CC7195">
        <w:rPr>
          <w:rFonts w:ascii="Verdana" w:hAnsi="Verdana" w:cs="Arial"/>
          <w:noProof/>
          <w:vertAlign w:val="superscript"/>
          <w:lang w:val="es-ES_tradnl"/>
        </w:rPr>
        <w:footnoteReference w:id="6"/>
      </w:r>
      <w:r w:rsidRPr="00CC7195">
        <w:rPr>
          <w:rFonts w:ascii="Verdana" w:hAnsi="Verdana" w:cs="Arial"/>
          <w:noProof/>
          <w:lang w:val="es-ES_tradnl"/>
        </w:rPr>
        <w:t>. Al respecto, en la sentencia C-1019 de 2012, la Corte Constitucional señaló:</w:t>
      </w:r>
    </w:p>
    <w:p w14:paraId="26CA4DCC" w14:textId="77777777" w:rsidR="00FD2D57" w:rsidRPr="00CC7195" w:rsidRDefault="00FD2D57" w:rsidP="00FD2D57">
      <w:pPr>
        <w:spacing w:after="0" w:line="276" w:lineRule="auto"/>
        <w:ind w:firstLine="709"/>
        <w:jc w:val="both"/>
        <w:rPr>
          <w:rFonts w:ascii="Verdana" w:hAnsi="Verdana" w:cs="Arial"/>
          <w:noProof/>
          <w:lang w:val="es-ES_tradnl"/>
        </w:rPr>
      </w:pPr>
    </w:p>
    <w:p w14:paraId="3A174A46" w14:textId="6239F189" w:rsidR="00FD2D57" w:rsidRPr="00043288" w:rsidRDefault="00E64CFA" w:rsidP="00FD2D57">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043288">
        <w:rPr>
          <w:rFonts w:ascii="Verdana" w:eastAsia="Arial" w:hAnsi="Verdana" w:cs="Arial"/>
          <w:sz w:val="20"/>
          <w:szCs w:val="20"/>
          <w:lang w:val="es-ES" w:eastAsia="es-ES" w:bidi="es-ES"/>
        </w:rPr>
        <w:t>“</w:t>
      </w:r>
      <w:r w:rsidR="00FD2D57" w:rsidRPr="00043288">
        <w:rPr>
          <w:rFonts w:ascii="Verdana" w:eastAsia="Arial" w:hAnsi="Verdana" w:cs="Arial"/>
          <w:sz w:val="20"/>
          <w:szCs w:val="20"/>
          <w:lang w:val="es-ES" w:eastAsia="es-ES" w:bidi="es-ES"/>
        </w:rPr>
        <w:t>El régimen especial de las universidades públicas y oficiales se justifica en el hecho de que estas instituciones manejan recursos públicos y a que a través suyo se promueve directamente el servicio público de la educación, por lo cual es fundamental establecer canales de articulación con el Estado y la sociedad en aras de que esta misión se cumpla adecuadamente. Además, como entes públicos, a las universidades se les</w:t>
      </w:r>
      <w:r w:rsidR="00FD2D57" w:rsidRPr="00043288">
        <w:rPr>
          <w:rFonts w:ascii="Verdana" w:eastAsia="Arial" w:hAnsi="Verdana" w:cs="Arial"/>
          <w:spacing w:val="49"/>
          <w:sz w:val="20"/>
          <w:szCs w:val="20"/>
          <w:lang w:val="es-ES" w:eastAsia="es-ES" w:bidi="es-ES"/>
        </w:rPr>
        <w:t xml:space="preserve"> </w:t>
      </w:r>
      <w:r w:rsidR="00FD2D57" w:rsidRPr="00043288">
        <w:rPr>
          <w:rFonts w:ascii="Verdana" w:eastAsia="Arial" w:hAnsi="Verdana" w:cs="Arial"/>
          <w:sz w:val="20"/>
          <w:szCs w:val="20"/>
          <w:lang w:val="es-ES" w:eastAsia="es-ES" w:bidi="es-ES"/>
        </w:rPr>
        <w:t>exige el cumplimiento de la obligación de colaboración armónica consagrado en el artículo 113 de la C.P. para el cumplimiento de las funciones del Estado.</w:t>
      </w:r>
    </w:p>
    <w:p w14:paraId="2A893DFE" w14:textId="77777777" w:rsidR="00FD2D57" w:rsidRPr="00043288" w:rsidRDefault="00FD2D57" w:rsidP="00FD2D57">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p>
    <w:p w14:paraId="6E1BF597" w14:textId="17A29EA7" w:rsidR="00FD2D57" w:rsidRPr="00043288" w:rsidRDefault="00FD2D57" w:rsidP="00FD2D57">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043288">
        <w:rPr>
          <w:rFonts w:ascii="Verdana" w:eastAsia="Arial" w:hAnsi="Verdana" w:cs="Arial"/>
          <w:sz w:val="20"/>
          <w:szCs w:val="20"/>
          <w:lang w:val="es-ES" w:eastAsia="es-ES" w:bidi="es-ES"/>
        </w:rPr>
        <w:t>Aunque se establezca la participación de representantes del Estado en sus órganos de gobierno, la normatividad y la jurisprudencia han reconocido que lo anterior no significa que dichas instituciones hagan parte de la administración central o descentralizada, o se conviertan por ello en órganos dependientes y bajo el control de tutela del Estado, “pues las universidades estatales por su carácter de entes autónomos no conforman ninguna de las ramas del poder ni pueden formar parte de la administración nacional”</w:t>
      </w:r>
      <w:r w:rsidRPr="00043288">
        <w:rPr>
          <w:rFonts w:ascii="Verdana" w:eastAsia="Arial" w:hAnsi="Verdana" w:cs="Arial"/>
          <w:sz w:val="20"/>
          <w:szCs w:val="20"/>
          <w:vertAlign w:val="superscript"/>
          <w:lang w:val="es-ES" w:eastAsia="es-ES" w:bidi="es-ES"/>
        </w:rPr>
        <w:footnoteReference w:id="7"/>
      </w:r>
      <w:r w:rsidRPr="00043288">
        <w:rPr>
          <w:rFonts w:ascii="Verdana" w:eastAsia="Arial" w:hAnsi="Verdana" w:cs="Arial"/>
          <w:sz w:val="20"/>
          <w:szCs w:val="20"/>
          <w:lang w:val="es-ES" w:eastAsia="es-ES" w:bidi="es-ES"/>
        </w:rPr>
        <w:t>. De esta manera se pretende preservar a las universidades públicas y oficiales, de las injerencias e interferencias arbitrarias e indebidas del poder</w:t>
      </w:r>
      <w:r w:rsidRPr="00043288">
        <w:rPr>
          <w:rFonts w:ascii="Verdana" w:eastAsia="Arial" w:hAnsi="Verdana" w:cs="Arial"/>
          <w:spacing w:val="-6"/>
          <w:sz w:val="20"/>
          <w:szCs w:val="20"/>
          <w:lang w:val="es-ES" w:eastAsia="es-ES" w:bidi="es-ES"/>
        </w:rPr>
        <w:t xml:space="preserve"> </w:t>
      </w:r>
      <w:r w:rsidRPr="00043288">
        <w:rPr>
          <w:rFonts w:ascii="Verdana" w:eastAsia="Arial" w:hAnsi="Verdana" w:cs="Arial"/>
          <w:sz w:val="20"/>
          <w:szCs w:val="20"/>
          <w:lang w:val="es-ES" w:eastAsia="es-ES" w:bidi="es-ES"/>
        </w:rPr>
        <w:t>político</w:t>
      </w:r>
      <w:r w:rsidR="00E64CFA" w:rsidRPr="00043288">
        <w:rPr>
          <w:rFonts w:ascii="Verdana" w:eastAsia="Arial" w:hAnsi="Verdana" w:cs="Arial"/>
          <w:sz w:val="20"/>
          <w:szCs w:val="20"/>
          <w:lang w:val="es-ES" w:eastAsia="es-ES" w:bidi="es-ES"/>
        </w:rPr>
        <w:t>”</w:t>
      </w:r>
      <w:r w:rsidRPr="00043288">
        <w:rPr>
          <w:rFonts w:ascii="Verdana" w:eastAsia="Arial" w:hAnsi="Verdana" w:cs="Arial"/>
          <w:sz w:val="20"/>
          <w:szCs w:val="20"/>
          <w:vertAlign w:val="superscript"/>
          <w:lang w:val="es-ES" w:eastAsia="es-ES" w:bidi="es-ES"/>
        </w:rPr>
        <w:footnoteReference w:id="8"/>
      </w:r>
      <w:r w:rsidRPr="00043288">
        <w:rPr>
          <w:rFonts w:ascii="Verdana" w:eastAsia="Arial" w:hAnsi="Verdana" w:cs="Arial"/>
          <w:sz w:val="20"/>
          <w:szCs w:val="20"/>
          <w:lang w:val="es-ES" w:eastAsia="es-ES" w:bidi="es-ES"/>
        </w:rPr>
        <w:t>.</w:t>
      </w:r>
    </w:p>
    <w:p w14:paraId="41A98429" w14:textId="77777777" w:rsidR="00FD2D57" w:rsidRPr="00CC7195" w:rsidRDefault="00FD2D57" w:rsidP="00FD2D57">
      <w:pPr>
        <w:widowControl w:val="0"/>
        <w:autoSpaceDE w:val="0"/>
        <w:autoSpaceDN w:val="0"/>
        <w:spacing w:after="0" w:line="240" w:lineRule="auto"/>
        <w:ind w:left="709" w:right="709"/>
        <w:jc w:val="both"/>
        <w:rPr>
          <w:rFonts w:ascii="Verdana" w:eastAsia="Arial" w:hAnsi="Verdana" w:cs="Arial"/>
          <w:sz w:val="21"/>
          <w:szCs w:val="21"/>
          <w:lang w:val="es-ES" w:eastAsia="es-ES" w:bidi="es-ES"/>
        </w:rPr>
      </w:pPr>
    </w:p>
    <w:p w14:paraId="47851CFD" w14:textId="1B25B597" w:rsidR="00FD2D57" w:rsidRPr="00630F7C" w:rsidRDefault="00FD2D57" w:rsidP="0050592B">
      <w:pPr>
        <w:spacing w:line="276" w:lineRule="auto"/>
        <w:ind w:firstLine="709"/>
        <w:jc w:val="both"/>
        <w:rPr>
          <w:rFonts w:ascii="Verdana" w:eastAsia="Calibri" w:hAnsi="Verdana" w:cs="Arial"/>
          <w:color w:val="000000" w:themeColor="text1"/>
          <w:lang w:val="es-ES_tradnl"/>
        </w:rPr>
      </w:pPr>
      <w:r w:rsidRPr="00CC7195">
        <w:rPr>
          <w:rFonts w:ascii="Verdana" w:hAnsi="Verdana" w:cs="Arial"/>
          <w:lang w:val="es-MX"/>
        </w:rPr>
        <w:t>En armonía con lo anterior, se ha considerado que los entes universitarios no son entidades que hagan parte de la rama ejecutiva, ni pueden, por tanto, considerarse entidades descentralizadas, sino que gozan de un régimen especial.</w:t>
      </w:r>
      <w:r w:rsidR="0050592B">
        <w:rPr>
          <w:rFonts w:ascii="Verdana" w:hAnsi="Verdana" w:cs="Arial"/>
          <w:lang w:val="es-MX"/>
        </w:rPr>
        <w:t xml:space="preserve"> </w:t>
      </w:r>
      <w:r w:rsidR="0050592B">
        <w:rPr>
          <w:rFonts w:ascii="Verdana" w:eastAsia="Calibri" w:hAnsi="Verdana" w:cs="Arial"/>
          <w:color w:val="000000" w:themeColor="text1"/>
          <w:lang w:val="es-ES_tradnl"/>
        </w:rPr>
        <w:t>D</w:t>
      </w:r>
      <w:r w:rsidR="004A2313">
        <w:rPr>
          <w:rFonts w:ascii="Verdana" w:eastAsia="Calibri" w:hAnsi="Verdana" w:cs="Arial"/>
          <w:color w:val="000000" w:themeColor="text1"/>
          <w:lang w:val="es-ES_tradnl"/>
        </w:rPr>
        <w:t>e conformidad</w:t>
      </w:r>
      <w:r>
        <w:rPr>
          <w:rFonts w:ascii="Verdana" w:eastAsia="Calibri" w:hAnsi="Verdana" w:cs="Arial"/>
          <w:color w:val="000000" w:themeColor="text1"/>
          <w:lang w:val="es-ES_tradnl"/>
        </w:rPr>
        <w:t xml:space="preserve"> </w:t>
      </w:r>
      <w:r w:rsidR="004A2313">
        <w:rPr>
          <w:rFonts w:ascii="Verdana" w:eastAsia="Calibri" w:hAnsi="Verdana" w:cs="Arial"/>
          <w:color w:val="000000" w:themeColor="text1"/>
          <w:lang w:val="es-ES_tradnl"/>
        </w:rPr>
        <w:t>con los</w:t>
      </w:r>
      <w:r w:rsidRPr="00630F7C">
        <w:rPr>
          <w:rFonts w:ascii="Verdana" w:eastAsia="Calibri" w:hAnsi="Verdana" w:cs="Arial"/>
          <w:color w:val="000000" w:themeColor="text1"/>
          <w:lang w:val="es-ES_tradnl"/>
        </w:rPr>
        <w:t xml:space="preserve"> artículo</w:t>
      </w:r>
      <w:r w:rsidR="004A2313">
        <w:rPr>
          <w:rFonts w:ascii="Verdana" w:eastAsia="Calibri" w:hAnsi="Verdana" w:cs="Arial"/>
          <w:color w:val="000000" w:themeColor="text1"/>
          <w:lang w:val="es-ES_tradnl"/>
        </w:rPr>
        <w:t xml:space="preserve">s 57, </w:t>
      </w:r>
      <w:r w:rsidRPr="00630F7C">
        <w:rPr>
          <w:rFonts w:ascii="Verdana" w:eastAsia="Calibri" w:hAnsi="Verdana" w:cs="Arial"/>
          <w:color w:val="000000" w:themeColor="text1"/>
          <w:lang w:val="es-ES_tradnl"/>
        </w:rPr>
        <w:t xml:space="preserve">93 </w:t>
      </w:r>
      <w:r w:rsidR="004A2313">
        <w:rPr>
          <w:rFonts w:ascii="Verdana" w:eastAsia="Calibri" w:hAnsi="Verdana" w:cs="Arial"/>
          <w:color w:val="000000" w:themeColor="text1"/>
          <w:lang w:val="es-ES_tradnl"/>
        </w:rPr>
        <w:t>y 94</w:t>
      </w:r>
      <w:r w:rsidRPr="00630F7C">
        <w:rPr>
          <w:rFonts w:ascii="Verdana" w:eastAsia="Calibri" w:hAnsi="Verdana" w:cs="Arial"/>
          <w:color w:val="000000" w:themeColor="text1"/>
          <w:lang w:val="es-ES_tradnl"/>
        </w:rPr>
        <w:t xml:space="preserve"> de la Ley 30 de 1992</w:t>
      </w:r>
      <w:r w:rsidR="0050592B">
        <w:rPr>
          <w:rFonts w:ascii="Verdana" w:eastAsia="Calibri" w:hAnsi="Verdana" w:cs="Arial"/>
          <w:color w:val="000000" w:themeColor="text1"/>
          <w:lang w:val="es-ES_tradnl"/>
        </w:rPr>
        <w:t>, el régimen de contratación de estos</w:t>
      </w:r>
      <w:r w:rsidRPr="00630F7C">
        <w:rPr>
          <w:rFonts w:ascii="Verdana" w:eastAsia="Calibri" w:hAnsi="Verdana" w:cs="Arial"/>
          <w:color w:val="000000" w:themeColor="text1"/>
          <w:lang w:val="es-ES_tradnl"/>
        </w:rPr>
        <w:t xml:space="preserve"> </w:t>
      </w:r>
      <w:r w:rsidR="003C50EB">
        <w:rPr>
          <w:rFonts w:ascii="Verdana" w:eastAsia="Calibri" w:hAnsi="Verdana" w:cs="Arial"/>
          <w:color w:val="000000" w:themeColor="text1"/>
          <w:lang w:val="es-ES_tradnl"/>
        </w:rPr>
        <w:t>es</w:t>
      </w:r>
      <w:r w:rsidRPr="00630F7C">
        <w:rPr>
          <w:rFonts w:ascii="Verdana" w:eastAsia="Calibri" w:hAnsi="Verdana" w:cs="Arial"/>
          <w:color w:val="000000" w:themeColor="text1"/>
          <w:lang w:val="es-ES_tradnl"/>
        </w:rPr>
        <w:t xml:space="preserve"> el derecho privado, rigiéndose, por ende, por las normas civiles y comerciales. </w:t>
      </w:r>
      <w:r w:rsidR="003C50EB">
        <w:rPr>
          <w:rFonts w:ascii="Verdana" w:eastAsia="Calibri" w:hAnsi="Verdana" w:cs="Arial"/>
          <w:color w:val="000000" w:themeColor="text1"/>
          <w:lang w:val="es-ES_tradnl"/>
        </w:rPr>
        <w:t xml:space="preserve"> </w:t>
      </w:r>
      <w:r w:rsidRPr="00630F7C">
        <w:rPr>
          <w:rFonts w:ascii="Verdana" w:eastAsia="Calibri" w:hAnsi="Verdana" w:cs="Arial"/>
          <w:color w:val="000000" w:themeColor="text1"/>
          <w:lang w:val="es-ES_tradnl"/>
        </w:rPr>
        <w:t xml:space="preserve">En tal sentido, </w:t>
      </w:r>
      <w:r w:rsidR="003C50EB">
        <w:rPr>
          <w:rFonts w:ascii="Verdana" w:eastAsia="Calibri" w:hAnsi="Verdana" w:cs="Arial"/>
          <w:color w:val="000000" w:themeColor="text1"/>
          <w:lang w:val="es-ES_tradnl"/>
        </w:rPr>
        <w:t xml:space="preserve">los establecimientos de educación superior que tienen esta naturaleza jurídica </w:t>
      </w:r>
      <w:r w:rsidRPr="00630F7C">
        <w:rPr>
          <w:rFonts w:ascii="Verdana" w:eastAsia="Calibri" w:hAnsi="Verdana" w:cs="Arial"/>
          <w:color w:val="000000" w:themeColor="text1"/>
          <w:lang w:val="es-ES_tradnl"/>
        </w:rPr>
        <w:t>son</w:t>
      </w:r>
      <w:r w:rsidR="00750C8E">
        <w:rPr>
          <w:rFonts w:ascii="Verdana" w:eastAsia="Calibri" w:hAnsi="Verdana" w:cs="Arial"/>
          <w:color w:val="000000" w:themeColor="text1"/>
          <w:lang w:val="es-ES_tradnl"/>
        </w:rPr>
        <w:t xml:space="preserve"> considerados</w:t>
      </w:r>
      <w:r w:rsidRPr="00630F7C">
        <w:rPr>
          <w:rFonts w:ascii="Verdana" w:eastAsia="Calibri" w:hAnsi="Verdana" w:cs="Arial"/>
          <w:color w:val="000000" w:themeColor="text1"/>
          <w:lang w:val="es-ES_tradnl"/>
        </w:rPr>
        <w:t xml:space="preserve"> entidades de </w:t>
      </w:r>
      <w:r w:rsidRPr="00C975BF">
        <w:rPr>
          <w:rFonts w:ascii="Verdana" w:eastAsia="Calibri" w:hAnsi="Verdana" w:cs="Arial"/>
          <w:color w:val="000000" w:themeColor="text1"/>
          <w:lang w:val="es-ES_tradnl"/>
        </w:rPr>
        <w:t>régimen especial</w:t>
      </w:r>
      <w:r w:rsidRPr="00630F7C">
        <w:rPr>
          <w:rFonts w:ascii="Verdana" w:eastAsia="Calibri" w:hAnsi="Verdana" w:cs="Arial"/>
          <w:i/>
          <w:iCs/>
          <w:color w:val="000000" w:themeColor="text1"/>
          <w:lang w:val="es-ES_tradnl"/>
        </w:rPr>
        <w:t xml:space="preserve"> </w:t>
      </w:r>
      <w:r w:rsidRPr="00630F7C">
        <w:rPr>
          <w:rFonts w:ascii="Verdana" w:eastAsia="Calibri" w:hAnsi="Verdana" w:cs="Arial"/>
          <w:color w:val="000000" w:themeColor="text1"/>
          <w:lang w:val="es-ES_tradnl"/>
        </w:rPr>
        <w:t>en materia contractual, por estar exceptuadas de la aplicación del EGCAP</w:t>
      </w:r>
      <w:r w:rsidR="00750C8E">
        <w:rPr>
          <w:rFonts w:ascii="Verdana" w:eastAsia="Calibri" w:hAnsi="Verdana" w:cs="Arial"/>
          <w:color w:val="000000" w:themeColor="text1"/>
          <w:lang w:val="es-ES_tradnl"/>
        </w:rPr>
        <w:t>.</w:t>
      </w:r>
      <w:r w:rsidRPr="00630F7C">
        <w:rPr>
          <w:rFonts w:ascii="Verdana" w:eastAsia="Calibri" w:hAnsi="Verdana" w:cs="Arial"/>
          <w:color w:val="000000" w:themeColor="text1"/>
          <w:lang w:val="es-ES_tradnl"/>
        </w:rPr>
        <w:t xml:space="preserve"> </w:t>
      </w:r>
    </w:p>
    <w:p w14:paraId="583C9917" w14:textId="627408A1" w:rsidR="00FD2D57" w:rsidRPr="00CC7195" w:rsidRDefault="00363C91" w:rsidP="00FD2D57">
      <w:pPr>
        <w:tabs>
          <w:tab w:val="left" w:pos="426"/>
        </w:tabs>
        <w:spacing w:line="276" w:lineRule="auto"/>
        <w:jc w:val="both"/>
        <w:rPr>
          <w:rFonts w:ascii="Verdana" w:eastAsia="Calibri" w:hAnsi="Verdana" w:cs="Arial"/>
          <w:b/>
          <w:color w:val="000000" w:themeColor="text1"/>
          <w:lang w:val="es-ES_tradnl"/>
        </w:rPr>
      </w:pPr>
      <w:r>
        <w:rPr>
          <w:rFonts w:ascii="Verdana" w:hAnsi="Verdana" w:cs="Arial"/>
          <w:lang w:val="es-MX"/>
        </w:rPr>
        <w:lastRenderedPageBreak/>
        <w:tab/>
      </w:r>
      <w:r w:rsidR="000C6C66">
        <w:rPr>
          <w:rFonts w:ascii="Verdana" w:hAnsi="Verdana" w:cs="Arial"/>
          <w:lang w:val="es-MX"/>
        </w:rPr>
        <w:tab/>
      </w:r>
      <w:r w:rsidR="00750C8E">
        <w:rPr>
          <w:rFonts w:ascii="Verdana" w:hAnsi="Verdana" w:cs="Arial"/>
          <w:lang w:val="es-MX"/>
        </w:rPr>
        <w:t>L</w:t>
      </w:r>
      <w:r w:rsidR="00FD2D57">
        <w:rPr>
          <w:rFonts w:ascii="Verdana" w:hAnsi="Verdana" w:cs="Arial"/>
          <w:lang w:val="es-MX"/>
        </w:rPr>
        <w:t>as</w:t>
      </w:r>
      <w:r w:rsidR="00FD2D57" w:rsidRPr="00CC7195">
        <w:rPr>
          <w:rFonts w:ascii="Verdana" w:eastAsia="Calibri" w:hAnsi="Verdana" w:cs="Arial"/>
          <w:color w:val="000000" w:themeColor="text1"/>
          <w:lang w:val="es-ES_tradnl"/>
        </w:rPr>
        <w:t xml:space="preserve"> entidades de régimen especial son aquellas que, por expresa disposición legal y por su naturaleza o situación de competencia, tienen condiciones diferenciales respecto de la normativa de contratación pública. Esto quiere decir que no están sometidas al Estatuto General de Contratación de la Administración Pública, y por ende sus procedimientos contractuales tienen su normativa para su desarrollo, esto es, el derecho privado, lo cual está determinado en las normas de creación de las entidades de régimen especial y en sus manuales de contratación.</w:t>
      </w:r>
    </w:p>
    <w:p w14:paraId="27C9F7F9" w14:textId="77777777" w:rsidR="00FD2D57" w:rsidRPr="00CC7195" w:rsidRDefault="00FD2D57" w:rsidP="00FD2D57">
      <w:pPr>
        <w:spacing w:before="120" w:after="120" w:line="276" w:lineRule="auto"/>
        <w:jc w:val="both"/>
        <w:rPr>
          <w:rFonts w:ascii="Verdana" w:eastAsia="Calibri" w:hAnsi="Verdana" w:cs="Arial"/>
          <w:color w:val="000000" w:themeColor="text1"/>
          <w:lang w:val="es-ES"/>
        </w:rPr>
      </w:pPr>
      <w:r w:rsidRPr="00CC7195">
        <w:rPr>
          <w:rFonts w:ascii="Verdana" w:eastAsia="Calibri" w:hAnsi="Verdana" w:cs="Arial"/>
          <w:color w:val="000000" w:themeColor="text1"/>
          <w:lang w:val="es-ES_tradnl"/>
        </w:rPr>
        <w:tab/>
      </w:r>
      <w:r w:rsidRPr="3957B322">
        <w:rPr>
          <w:rFonts w:ascii="Verdana" w:eastAsia="Calibri" w:hAnsi="Verdana" w:cs="Arial"/>
          <w:color w:val="000000" w:themeColor="text1"/>
          <w:lang w:val="es-ES"/>
        </w:rPr>
        <w:t>Teniendo en cuenta que las entidades de régimen especial están facultadas legalmente para aplicar reglas distintas a la Ley 80 de 1993 y sus normas complementarias, ello estará definido en la no</w:t>
      </w:r>
      <w:r>
        <w:rPr>
          <w:rFonts w:ascii="Verdana" w:eastAsia="Calibri" w:hAnsi="Verdana" w:cs="Arial"/>
          <w:color w:val="000000" w:themeColor="text1"/>
          <w:lang w:val="es-ES"/>
        </w:rPr>
        <w:t>r</w:t>
      </w:r>
      <w:r w:rsidRPr="3957B322">
        <w:rPr>
          <w:rFonts w:ascii="Verdana" w:eastAsia="Calibri" w:hAnsi="Verdana" w:cs="Arial"/>
          <w:color w:val="000000" w:themeColor="text1"/>
          <w:lang w:val="es-ES"/>
        </w:rPr>
        <w:t>ma que crea el régimen especial y será desarrollado en el manual de contratación, con el fin de que se puedan identificar las reglas que aplican en la contratación. La Agencia Nacional de Contratación Pública - Colombia Compra Eficiente expidió la Guía para las Entidades Estatales con régimen especial de contratación, que las define como aquellas que contratan con un régimen distinto a las Leyes 80 de 1993 y 1150 de 2007</w:t>
      </w:r>
      <w:r w:rsidRPr="3957B322">
        <w:rPr>
          <w:rStyle w:val="Refdenotaalpie"/>
          <w:rFonts w:ascii="Verdana" w:eastAsia="Calibri" w:hAnsi="Verdana" w:cs="Arial"/>
          <w:color w:val="000000" w:themeColor="text1"/>
          <w:lang w:val="es-ES"/>
        </w:rPr>
        <w:footnoteReference w:id="9"/>
      </w:r>
      <w:r w:rsidRPr="3957B322">
        <w:rPr>
          <w:rFonts w:ascii="Verdana" w:eastAsia="Calibri" w:hAnsi="Verdana" w:cs="Arial"/>
          <w:color w:val="000000" w:themeColor="text1"/>
          <w:lang w:val="es-ES"/>
        </w:rPr>
        <w:t>.</w:t>
      </w:r>
    </w:p>
    <w:p w14:paraId="0A3AE586" w14:textId="77777777" w:rsidR="00FD2D57" w:rsidRPr="00CC7195" w:rsidRDefault="00FD2D57" w:rsidP="00FD2D57">
      <w:pPr>
        <w:spacing w:line="276" w:lineRule="auto"/>
        <w:jc w:val="both"/>
        <w:rPr>
          <w:rFonts w:ascii="Verdana" w:eastAsia="Calibri" w:hAnsi="Verdana" w:cs="Arial"/>
          <w:color w:val="000000" w:themeColor="text1"/>
          <w:lang w:val="es-ES_tradnl"/>
        </w:rPr>
      </w:pPr>
      <w:r w:rsidRPr="00CC7195">
        <w:rPr>
          <w:rFonts w:ascii="Verdana" w:eastAsia="Calibri" w:hAnsi="Verdana" w:cs="Arial"/>
          <w:color w:val="000000" w:themeColor="text1"/>
          <w:lang w:val="es-ES_tradnl"/>
        </w:rPr>
        <w:tab/>
        <w:t>No obstante, las entidades de régimen especial cumplen una finalidad pública y utilizan recursos públicos para lograrlo, por lo que no son ajenas a los principios de la función administrativa y el control fiscal, entre otras reglas dispuestas en la normativa de contratación pública que son trasversales a todas las entidades, sin importar su régimen legal, como el régimen de inhabilidades e incompatibilidades previsto para la contratación estatal. Lo anterior es reafirmado por el Consejo de Estado, que destaca las reglas que sigue la contratación de las entidades de régimen especial:</w:t>
      </w:r>
    </w:p>
    <w:p w14:paraId="108405E5" w14:textId="68EF97F2" w:rsidR="00FD2D57" w:rsidRPr="003E2347" w:rsidRDefault="00EA233C" w:rsidP="003E2347">
      <w:pPr>
        <w:spacing w:line="240" w:lineRule="auto"/>
        <w:ind w:left="709" w:right="709"/>
        <w:jc w:val="both"/>
        <w:rPr>
          <w:rFonts w:ascii="Verdana" w:eastAsia="Calibri" w:hAnsi="Verdana" w:cs="Arial"/>
          <w:color w:val="000000" w:themeColor="text1"/>
          <w:sz w:val="20"/>
          <w:szCs w:val="20"/>
          <w:lang w:val="es-ES_tradnl"/>
        </w:rPr>
      </w:pPr>
      <w:r w:rsidRPr="003E2347">
        <w:rPr>
          <w:rFonts w:ascii="Verdana" w:eastAsia="Calibri" w:hAnsi="Verdana" w:cs="Arial"/>
          <w:color w:val="000000" w:themeColor="text1"/>
          <w:sz w:val="20"/>
          <w:szCs w:val="20"/>
          <w:lang w:val="es-ES_tradnl"/>
        </w:rPr>
        <w:t>“</w:t>
      </w:r>
      <w:r w:rsidR="00FD2D57" w:rsidRPr="003E2347">
        <w:rPr>
          <w:rFonts w:ascii="Verdana" w:eastAsia="Calibri" w:hAnsi="Verdana" w:cs="Arial"/>
          <w:color w:val="000000" w:themeColor="text1"/>
          <w:sz w:val="20"/>
          <w:szCs w:val="20"/>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63B5D11D" w14:textId="77777777" w:rsidR="00FD2D57" w:rsidRPr="003E2347" w:rsidRDefault="00FD2D57" w:rsidP="000C03D7">
      <w:pPr>
        <w:spacing w:line="240" w:lineRule="auto"/>
        <w:ind w:left="709" w:right="709"/>
        <w:jc w:val="both"/>
        <w:rPr>
          <w:rFonts w:ascii="Verdana" w:eastAsia="Calibri" w:hAnsi="Verdana" w:cs="Arial"/>
          <w:color w:val="000000" w:themeColor="text1"/>
          <w:sz w:val="20"/>
          <w:szCs w:val="20"/>
          <w:lang w:val="es-ES"/>
        </w:rPr>
      </w:pPr>
      <w:r w:rsidRPr="003E2347">
        <w:rPr>
          <w:rFonts w:ascii="Verdana" w:eastAsia="Calibri" w:hAnsi="Verdana" w:cs="Arial"/>
          <w:color w:val="000000" w:themeColor="text1"/>
          <w:sz w:val="20"/>
          <w:szCs w:val="20"/>
          <w:lang w:val="es-ES"/>
        </w:rPr>
        <w:t xml:space="preserve">La Sala entiende que el régimen preponderante domina y aporta el gran volumen de normas contractuales y que el régimen inspirador influye y </w:t>
      </w:r>
      <w:r w:rsidRPr="003E2347">
        <w:rPr>
          <w:rFonts w:ascii="Verdana" w:eastAsia="Calibri" w:hAnsi="Verdana" w:cs="Arial"/>
          <w:color w:val="000000" w:themeColor="text1"/>
          <w:sz w:val="20"/>
          <w:szCs w:val="20"/>
          <w:lang w:val="es-ES"/>
        </w:rPr>
        <w:lastRenderedPageBreak/>
        <w:t xml:space="preserve">ayuda a interpretar pero también transforma parte de esas instituciones, porque se suma a ellas, lo que no siempre se logra conservando intacta la institución privada sino introduciéndole modificaciones. </w:t>
      </w:r>
    </w:p>
    <w:p w14:paraId="240006B2" w14:textId="4F0DCC9B" w:rsidR="00FD2D57" w:rsidRPr="003E2347" w:rsidRDefault="00FD2D57" w:rsidP="003E2347">
      <w:pPr>
        <w:spacing w:line="240" w:lineRule="auto"/>
        <w:ind w:left="709" w:right="709"/>
        <w:jc w:val="both"/>
        <w:rPr>
          <w:rFonts w:ascii="Verdana" w:eastAsia="Calibri" w:hAnsi="Verdana" w:cs="Arial"/>
          <w:color w:val="000000" w:themeColor="text1"/>
          <w:sz w:val="20"/>
          <w:szCs w:val="20"/>
          <w:lang w:val="es-ES_tradnl"/>
        </w:rPr>
      </w:pPr>
      <w:r w:rsidRPr="003E2347">
        <w:rPr>
          <w:rFonts w:ascii="Verdana" w:eastAsia="Calibri" w:hAnsi="Verdana" w:cs="Arial"/>
          <w:color w:val="000000" w:themeColor="text1"/>
          <w:sz w:val="20"/>
          <w:szCs w:val="20"/>
          <w:lang w:val="es-ES_tradnl"/>
        </w:rPr>
        <w:t>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de oportunidades de acceso a los negocios del Estado, la trasparencia y en general los demás valores propios de la gestión de lo público</w:t>
      </w:r>
      <w:r w:rsidR="00EA233C" w:rsidRPr="003E2347">
        <w:rPr>
          <w:rFonts w:ascii="Verdana" w:eastAsia="Calibri" w:hAnsi="Verdana" w:cs="Arial"/>
          <w:color w:val="000000" w:themeColor="text1"/>
          <w:sz w:val="20"/>
          <w:szCs w:val="20"/>
          <w:lang w:val="es-ES_tradnl"/>
        </w:rPr>
        <w:t>”</w:t>
      </w:r>
      <w:r w:rsidRPr="003E2347">
        <w:rPr>
          <w:rStyle w:val="Refdenotaalpie"/>
          <w:rFonts w:ascii="Verdana" w:eastAsia="Calibri" w:hAnsi="Verdana" w:cs="Arial"/>
          <w:color w:val="000000" w:themeColor="text1"/>
          <w:sz w:val="20"/>
          <w:szCs w:val="20"/>
          <w:lang w:val="es-ES_tradnl"/>
        </w:rPr>
        <w:footnoteReference w:id="10"/>
      </w:r>
      <w:r w:rsidRPr="003E2347">
        <w:rPr>
          <w:rFonts w:ascii="Verdana" w:eastAsia="Calibri" w:hAnsi="Verdana" w:cs="Arial"/>
          <w:color w:val="000000" w:themeColor="text1"/>
          <w:sz w:val="20"/>
          <w:szCs w:val="20"/>
          <w:lang w:val="es-ES_tradnl"/>
        </w:rPr>
        <w:t>.</w:t>
      </w:r>
    </w:p>
    <w:p w14:paraId="300D9BDA" w14:textId="77777777" w:rsidR="00FD2D57" w:rsidRPr="006C4B97" w:rsidRDefault="00FD2D57" w:rsidP="00FD2D57">
      <w:pPr>
        <w:spacing w:line="276" w:lineRule="auto"/>
        <w:ind w:firstLine="708"/>
        <w:jc w:val="both"/>
        <w:rPr>
          <w:rFonts w:ascii="Verdana" w:eastAsia="Calibri" w:hAnsi="Verdana" w:cs="Arial"/>
          <w:color w:val="000000" w:themeColor="text1"/>
          <w:lang w:val="es-ES"/>
        </w:rPr>
      </w:pPr>
      <w:r w:rsidRPr="006C4B97">
        <w:rPr>
          <w:rFonts w:ascii="Verdana" w:eastAsia="Calibri" w:hAnsi="Verdana" w:cs="Arial"/>
          <w:color w:val="000000" w:themeColor="text1"/>
          <w:lang w:val="es-ES"/>
        </w:rPr>
        <w:t>Visto lo anterior, se reitera que, toda vez que las entidades de régimen especial administran recursos públicos, sus manuales de contratación deben ceñirse a unas reglas mínimas que garanticen el cumplimiento de los principios de la función pública, el control fiscal y los principios rectores de la contratación estatal. Dentro de estas reglas mínimas, deben indicar el contenido de las propuestas y los procedimientos de selección, llevar una descripción precisa del procedimiento, los plazos de las etapas y los criterios de evaluación y desempate, y todos los criterios necesarios para garantizar la selección objetiva, la protección del interés general y el valor por dinero.</w:t>
      </w:r>
    </w:p>
    <w:p w14:paraId="1520D516" w14:textId="77777777" w:rsidR="00FD2D57" w:rsidRDefault="00FD2D57" w:rsidP="00FD2D57">
      <w:pPr>
        <w:spacing w:before="120" w:after="120" w:line="276" w:lineRule="auto"/>
        <w:ind w:firstLine="708"/>
        <w:jc w:val="both"/>
        <w:rPr>
          <w:rFonts w:ascii="Verdana" w:eastAsia="Calibri" w:hAnsi="Verdana" w:cs="Arial"/>
          <w:color w:val="000000" w:themeColor="text1"/>
          <w:lang w:val="es-ES_tradnl"/>
        </w:rPr>
      </w:pPr>
      <w:r w:rsidRPr="006C4B97">
        <w:rPr>
          <w:rFonts w:ascii="Verdana" w:eastAsia="Calibri" w:hAnsi="Verdana" w:cs="Arial"/>
          <w:color w:val="000000" w:themeColor="text1"/>
          <w:lang w:val="es-ES_tradnl"/>
        </w:rPr>
        <w:t>Así mismo, estas entidades deben cumplir unas obligaciones transversales a la contratación pública, entre ellas la elaboración del Plan Anual de Adquisiciones, la publicación de sus procedimientos de selección a través de la herramienta SECOP —en la sección Régimen Especial—, hacer uso del clasificador de bienes y servicios de las Naciones Unidas, reportar las sanciones, multas, inhabilidades e incompatibilidades de los proveedores de la entidad y analizar el sector económico de los oferentes, entre otras.</w:t>
      </w:r>
    </w:p>
    <w:p w14:paraId="057D23A2" w14:textId="3DC34D22" w:rsidR="00954255" w:rsidRPr="00954255" w:rsidRDefault="00954255" w:rsidP="00954255">
      <w:pPr>
        <w:widowControl w:val="0"/>
        <w:autoSpaceDE w:val="0"/>
        <w:autoSpaceDN w:val="0"/>
        <w:spacing w:after="120" w:line="276" w:lineRule="auto"/>
        <w:jc w:val="both"/>
        <w:rPr>
          <w:rFonts w:ascii="Verdana" w:eastAsia="Arial" w:hAnsi="Verdana" w:cs="Arial"/>
          <w:lang w:val="es-ES"/>
        </w:rPr>
      </w:pPr>
      <w:r w:rsidRPr="00954255">
        <w:rPr>
          <w:rFonts w:ascii="Verdana" w:eastAsia="Calibri" w:hAnsi="Verdana" w:cs="Arial"/>
          <w:color w:val="000000" w:themeColor="text1"/>
          <w:lang w:val="es-ES_tradnl"/>
        </w:rPr>
        <w:t xml:space="preserve">Ahora bien, en torno a su </w:t>
      </w:r>
      <w:r w:rsidR="00564AAD" w:rsidRPr="00954255">
        <w:rPr>
          <w:rFonts w:ascii="Verdana" w:eastAsia="Calibri" w:hAnsi="Verdana" w:cs="Arial"/>
          <w:color w:val="000000" w:themeColor="text1"/>
          <w:lang w:val="es-ES_tradnl"/>
        </w:rPr>
        <w:t>segun</w:t>
      </w:r>
      <w:r w:rsidR="00564AAD">
        <w:rPr>
          <w:rFonts w:ascii="Verdana" w:eastAsia="Calibri" w:hAnsi="Verdana" w:cs="Arial"/>
          <w:color w:val="000000" w:themeColor="text1"/>
          <w:lang w:val="es-ES_tradnl"/>
        </w:rPr>
        <w:t>do</w:t>
      </w:r>
      <w:r w:rsidRPr="00954255">
        <w:rPr>
          <w:rFonts w:ascii="Verdana" w:eastAsia="Calibri" w:hAnsi="Verdana" w:cs="Arial"/>
          <w:color w:val="000000" w:themeColor="text1"/>
          <w:lang w:val="es-ES_tradnl"/>
        </w:rPr>
        <w:t xml:space="preserve"> interrogante </w:t>
      </w:r>
      <w:r w:rsidRPr="00954255">
        <w:rPr>
          <w:rFonts w:ascii="Verdana" w:eastAsia="Arial" w:hAnsi="Verdana" w:cs="Arial"/>
          <w:lang w:val="es-ES"/>
        </w:rPr>
        <w:t>Aunque la ley no la definió ni desarrolló, el Decreto 1082 de 2015 la califica como aquella contratación entre Entidades Estatales</w:t>
      </w:r>
      <w:r w:rsidRPr="00954255">
        <w:rPr>
          <w:rFonts w:ascii="Verdana" w:eastAsia="Arial" w:hAnsi="Verdana" w:cs="Arial"/>
          <w:vertAlign w:val="superscript"/>
          <w:lang w:val="es-ES"/>
        </w:rPr>
        <w:footnoteReference w:id="11"/>
      </w:r>
      <w:r w:rsidRPr="00954255">
        <w:rPr>
          <w:rFonts w:ascii="Verdana" w:eastAsia="Arial" w:hAnsi="Verdana" w:cs="Arial"/>
          <w:lang w:val="es-ES"/>
        </w:rPr>
        <w:t xml:space="preserve">. De acuerdo con lo anterior, el contrato o el convenio </w:t>
      </w:r>
      <w:r w:rsidRPr="00954255">
        <w:rPr>
          <w:rFonts w:ascii="Verdana" w:eastAsia="Arial" w:hAnsi="Verdana" w:cs="Arial"/>
          <w:lang w:val="es-ES"/>
        </w:rPr>
        <w:lastRenderedPageBreak/>
        <w:t>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pues es necesario que los extremos de la relación contractual sean entidades</w:t>
      </w:r>
      <w:r w:rsidRPr="00954255">
        <w:rPr>
          <w:rFonts w:ascii="Verdana" w:eastAsia="Arial" w:hAnsi="Verdana" w:cs="Arial"/>
          <w:spacing w:val="-6"/>
          <w:lang w:val="es-ES"/>
        </w:rPr>
        <w:t xml:space="preserve"> </w:t>
      </w:r>
      <w:r w:rsidRPr="00954255">
        <w:rPr>
          <w:rFonts w:ascii="Verdana" w:eastAsia="Arial" w:hAnsi="Verdana" w:cs="Arial"/>
          <w:lang w:val="es-ES"/>
        </w:rPr>
        <w:t>estatales.</w:t>
      </w:r>
    </w:p>
    <w:p w14:paraId="2CCCA6FD" w14:textId="77777777" w:rsidR="00954255" w:rsidRDefault="00954255" w:rsidP="00954255">
      <w:pPr>
        <w:widowControl w:val="0"/>
        <w:autoSpaceDE w:val="0"/>
        <w:autoSpaceDN w:val="0"/>
        <w:spacing w:before="117" w:after="120" w:line="276" w:lineRule="auto"/>
        <w:ind w:firstLine="707"/>
        <w:jc w:val="both"/>
        <w:rPr>
          <w:rFonts w:ascii="Verdana" w:eastAsia="Arial" w:hAnsi="Verdana" w:cs="Arial"/>
          <w:lang w:val="es-ES"/>
        </w:rPr>
      </w:pPr>
      <w:r w:rsidRPr="00954255">
        <w:rPr>
          <w:rFonts w:ascii="Verdana" w:eastAsia="Arial" w:hAnsi="Verdana" w:cs="Arial"/>
          <w:lang w:val="es-ES"/>
        </w:rPr>
        <w:t>Si bien los contratos o convenios interadministrativos están previstos en la Ley 80 de 1993, en la Ley 1150 de 2007 y en el Decreto 1082 de 2015, no quiere decir que solo puedan celebrarse entre entidades estatales que apliquen el régimen de contratación allí previsto, pues bien puede una entidad estatal sometida a la Ley 80 de 1993 celebrar esta clase de convenios con una entidad estatal de régimen especial y no por ello dejará de ser un contrato o convenio interadministrativo.</w:t>
      </w:r>
    </w:p>
    <w:p w14:paraId="37FE1E5A" w14:textId="77777777" w:rsidR="00564AAD" w:rsidRPr="009804C5" w:rsidRDefault="00564AAD" w:rsidP="00564AAD">
      <w:pPr>
        <w:spacing w:after="120" w:line="276" w:lineRule="auto"/>
        <w:ind w:firstLine="709"/>
        <w:jc w:val="both"/>
        <w:rPr>
          <w:rFonts w:ascii="Verdana" w:eastAsia="Calibri" w:hAnsi="Verdana" w:cs="Arial"/>
          <w:color w:val="000000" w:themeColor="text1"/>
          <w:lang w:val="es-ES_tradnl"/>
        </w:rPr>
      </w:pPr>
      <w:r w:rsidRPr="009804C5">
        <w:rPr>
          <w:rFonts w:ascii="Verdana" w:eastAsia="Calibri" w:hAnsi="Verdana" w:cs="Arial"/>
          <w:color w:val="000000" w:themeColor="text1"/>
          <w:lang w:val="es-ES_tradnl"/>
        </w:rPr>
        <w:t>Un contrato o convenio interadministrativo no está determinado por la modalidad de selección utilizada para celebrarlo. Al respecto, debe señalarse que, la Ley 1150 de 2007 establece que pueden celebrarse directamente, siempre que las obligaciones derivadas del mismo tengan relación directa con el objeto de la entidad ejecutora, señalado en la ley o en sus reglamentos, a menos que, según las excepciones previstas en dicha Ley – las cuales se analizarán más adelante – deba adelantarse un procedimiento susceptible de pluralidad de oferentes</w:t>
      </w:r>
      <w:r w:rsidRPr="009804C5">
        <w:rPr>
          <w:rFonts w:ascii="Verdana" w:eastAsia="Calibri" w:hAnsi="Verdana" w:cs="Arial"/>
          <w:color w:val="000000" w:themeColor="text1"/>
          <w:vertAlign w:val="superscript"/>
          <w:lang w:val="es-ES_tradnl"/>
        </w:rPr>
        <w:footnoteReference w:id="12"/>
      </w:r>
      <w:r w:rsidRPr="009804C5">
        <w:rPr>
          <w:rFonts w:ascii="Verdana" w:eastAsia="Calibri" w:hAnsi="Verdana" w:cs="Arial"/>
          <w:color w:val="000000" w:themeColor="text1"/>
          <w:lang w:val="es-ES_tradnl"/>
        </w:rPr>
        <w:t>. Nótese que, en este caso, lo que cambia es la modalidad de selección y no la naturaleza de contrato interadministrativo.</w:t>
      </w:r>
    </w:p>
    <w:p w14:paraId="2ADF3412" w14:textId="77777777" w:rsidR="00564AAD" w:rsidRPr="009804C5" w:rsidRDefault="00564AAD" w:rsidP="00564AAD">
      <w:pPr>
        <w:spacing w:after="120" w:line="276" w:lineRule="auto"/>
        <w:ind w:firstLine="709"/>
        <w:jc w:val="both"/>
        <w:rPr>
          <w:rFonts w:ascii="Verdana" w:eastAsia="Calibri" w:hAnsi="Verdana" w:cs="Arial"/>
          <w:color w:val="000000" w:themeColor="text1"/>
          <w:lang w:val="es-ES_tradnl"/>
        </w:rPr>
      </w:pPr>
      <w:r w:rsidRPr="009804C5">
        <w:rPr>
          <w:rFonts w:ascii="Verdana" w:eastAsia="Calibri" w:hAnsi="Verdana" w:cs="Arial"/>
          <w:color w:val="000000" w:themeColor="text1"/>
          <w:lang w:val="es-ES_tradnl"/>
        </w:rPr>
        <w:t>Así las cosas, atendiendo a la literalidad de las normas enunciadas, no cabe una interpretación diferente</w:t>
      </w:r>
      <w:r w:rsidRPr="009804C5">
        <w:rPr>
          <w:rFonts w:ascii="Verdana" w:hAnsi="Verdana" w:cs="Arial"/>
          <w:color w:val="000000" w:themeColor="text1"/>
          <w:vertAlign w:val="superscript"/>
          <w:lang w:val="es-ES_tradnl"/>
        </w:rPr>
        <w:footnoteReference w:id="13"/>
      </w:r>
      <w:r w:rsidRPr="009804C5">
        <w:rPr>
          <w:rFonts w:ascii="Verdana" w:eastAsia="Calibri" w:hAnsi="Verdana" w:cs="Arial"/>
          <w:color w:val="000000" w:themeColor="text1"/>
          <w:lang w:val="es-ES_tradnl"/>
        </w:rPr>
        <w:t xml:space="preserve">, pues, de acuerdo con lo anotado, esta clase de acuerdos de voluntades se definen por un criterio orgánico, por lo que uno de sus elementos esenciales es que en los extremos de la relación jurídico negocial concurran personas de derecho público con competencia para celebrar contratos. </w:t>
      </w:r>
    </w:p>
    <w:p w14:paraId="4FDD540E" w14:textId="77777777" w:rsidR="00564AAD" w:rsidRPr="009804C5" w:rsidRDefault="00564AAD" w:rsidP="00564AAD">
      <w:pPr>
        <w:spacing w:after="0" w:line="276" w:lineRule="auto"/>
        <w:jc w:val="both"/>
        <w:rPr>
          <w:rFonts w:ascii="Verdana" w:eastAsia="Calibri" w:hAnsi="Verdana" w:cs="Arial"/>
          <w:color w:val="000000" w:themeColor="text1"/>
          <w:lang w:val="es-ES_tradnl"/>
        </w:rPr>
      </w:pPr>
      <w:r w:rsidRPr="009804C5">
        <w:rPr>
          <w:rFonts w:ascii="Verdana" w:hAnsi="Verdana" w:cs="Arial"/>
        </w:rPr>
        <w:lastRenderedPageBreak/>
        <w:tab/>
        <w:t>Ahora bien, e</w:t>
      </w:r>
      <w:r w:rsidRPr="009804C5">
        <w:rPr>
          <w:rFonts w:ascii="Verdana" w:eastAsia="Calibri" w:hAnsi="Verdana" w:cs="Arial"/>
          <w:color w:val="000000" w:themeColor="text1"/>
        </w:rPr>
        <w:t xml:space="preserve">n relación con la modalidad de selección aplicable a la celebración de contratos interadministrativos, </w:t>
      </w:r>
      <w:r w:rsidRPr="009804C5">
        <w:rPr>
          <w:rFonts w:ascii="Verdana" w:hAnsi="Verdana" w:cs="Arial"/>
        </w:rPr>
        <w:t xml:space="preserve">debe señalarse </w:t>
      </w:r>
      <w:r w:rsidRPr="009804C5">
        <w:rPr>
          <w:rFonts w:ascii="Verdana" w:eastAsia="Calibri" w:hAnsi="Verdana" w:cs="Arial"/>
          <w:color w:val="000000" w:themeColor="text1"/>
        </w:rPr>
        <w:t xml:space="preserve">que la Ley 1150 de 2007 establece que las Entidades Estatales pueden suscribirlos de manera directa, siempre que las obligaciones derivadas de los mismos tengan relación con el objeto de la entidad ejecutora. Sin embargo, esa misma ley establece excepciones concretas a esta facultad, aplicable a los supuestos en que ciertas tipologías contractuales sean ejecutadas por alguna de las Entidades Estatales enlistadas en dicha restricción. De esta manera, el </w:t>
      </w:r>
      <w:bookmarkStart w:id="7" w:name="_Hlk175506473"/>
      <w:r w:rsidRPr="009804C5">
        <w:rPr>
          <w:rFonts w:ascii="Verdana" w:eastAsia="Calibri" w:hAnsi="Verdana" w:cs="Arial"/>
          <w:color w:val="000000" w:themeColor="text1"/>
        </w:rPr>
        <w:t xml:space="preserve">artículo 2, numeral 4, literal c), de la mencionada ley – modificado por el artículo 92 de la Ley 1474 de 2011 </w:t>
      </w:r>
      <w:bookmarkEnd w:id="7"/>
      <w:r w:rsidRPr="009804C5">
        <w:rPr>
          <w:rFonts w:ascii="Verdana" w:eastAsia="Calibri" w:hAnsi="Verdana" w:cs="Arial"/>
          <w:color w:val="000000" w:themeColor="text1"/>
        </w:rPr>
        <w:t>– estableció lo siguiente:</w:t>
      </w:r>
    </w:p>
    <w:p w14:paraId="78EE7BCB" w14:textId="77777777" w:rsidR="00564AAD" w:rsidRPr="009804C5" w:rsidRDefault="00564AAD" w:rsidP="00564AAD">
      <w:pPr>
        <w:spacing w:after="0" w:line="276" w:lineRule="auto"/>
        <w:ind w:left="720"/>
        <w:rPr>
          <w:rFonts w:ascii="Verdana" w:eastAsia="Calibri" w:hAnsi="Verdana" w:cs="Arial"/>
          <w:color w:val="000000" w:themeColor="text1"/>
          <w:lang w:val="es-ES_tradnl"/>
        </w:rPr>
      </w:pPr>
    </w:p>
    <w:p w14:paraId="70100B5C" w14:textId="77777777" w:rsidR="00564AAD" w:rsidRPr="009804C5" w:rsidRDefault="00564AAD" w:rsidP="00564AAD">
      <w:pPr>
        <w:spacing w:after="0" w:line="240" w:lineRule="auto"/>
        <w:ind w:left="709" w:right="709"/>
        <w:jc w:val="both"/>
        <w:rPr>
          <w:rFonts w:ascii="Verdana" w:eastAsia="Times New Roman" w:hAnsi="Verdana" w:cs="Arial"/>
          <w:sz w:val="20"/>
          <w:szCs w:val="20"/>
          <w:lang w:eastAsia="es-CO"/>
        </w:rPr>
      </w:pPr>
      <w:bookmarkStart w:id="8" w:name="92"/>
      <w:r w:rsidRPr="009804C5">
        <w:rPr>
          <w:rFonts w:ascii="Verdana" w:eastAsia="Times New Roman" w:hAnsi="Verdana" w:cs="Arial"/>
          <w:sz w:val="20"/>
          <w:szCs w:val="20"/>
          <w:lang w:eastAsia="es-CO"/>
        </w:rPr>
        <w:t>“Artículo 92. Contratos interadministrativos.</w:t>
      </w:r>
      <w:bookmarkEnd w:id="8"/>
      <w:r w:rsidRPr="009804C5">
        <w:rPr>
          <w:rFonts w:ascii="Verdana" w:eastAsia="Times New Roman" w:hAnsi="Verdana" w:cs="Arial"/>
          <w:sz w:val="20"/>
          <w:szCs w:val="20"/>
          <w:lang w:eastAsia="es-CO"/>
        </w:rPr>
        <w:t xml:space="preserve"> Modificase el inciso primero del literal c) del numeral 4 del artículo </w:t>
      </w:r>
      <w:hyperlink r:id="rId13" w:anchor="2" w:history="1">
        <w:r w:rsidRPr="009804C5">
          <w:rPr>
            <w:rFonts w:ascii="Verdana" w:eastAsiaTheme="majorEastAsia" w:hAnsi="Verdana" w:cs="Arial"/>
            <w:sz w:val="20"/>
            <w:szCs w:val="20"/>
            <w:lang w:eastAsia="es-CO"/>
          </w:rPr>
          <w:t>2</w:t>
        </w:r>
      </w:hyperlink>
      <w:r w:rsidRPr="009804C5">
        <w:rPr>
          <w:rFonts w:ascii="Verdana" w:eastAsia="Times New Roman" w:hAnsi="Verdana" w:cs="Arial"/>
          <w:sz w:val="20"/>
          <w:szCs w:val="20"/>
          <w:lang w:eastAsia="es-CO"/>
        </w:rPr>
        <w:t>o de la Ley 1150 de 2007, el cual quedará así:</w:t>
      </w:r>
    </w:p>
    <w:p w14:paraId="3290C8ED" w14:textId="77777777" w:rsidR="00564AAD" w:rsidRPr="009804C5" w:rsidRDefault="00564AAD" w:rsidP="00564AAD">
      <w:pPr>
        <w:spacing w:after="0" w:line="240" w:lineRule="auto"/>
        <w:ind w:left="709" w:right="709"/>
        <w:jc w:val="both"/>
        <w:rPr>
          <w:rFonts w:ascii="Verdana" w:eastAsia="Times New Roman" w:hAnsi="Verdana" w:cs="Arial"/>
          <w:sz w:val="20"/>
          <w:szCs w:val="20"/>
          <w:lang w:eastAsia="es-CO"/>
        </w:rPr>
      </w:pPr>
    </w:p>
    <w:p w14:paraId="7778F35A" w14:textId="77777777" w:rsidR="00564AAD" w:rsidRPr="009804C5" w:rsidRDefault="00564AAD" w:rsidP="00564AAD">
      <w:pPr>
        <w:spacing w:after="0" w:line="240" w:lineRule="auto"/>
        <w:ind w:left="709" w:right="709"/>
        <w:jc w:val="both"/>
        <w:rPr>
          <w:rFonts w:ascii="Verdana" w:eastAsia="Times New Roman" w:hAnsi="Verdana" w:cs="Arial"/>
          <w:sz w:val="20"/>
          <w:szCs w:val="20"/>
          <w:lang w:eastAsia="es-CO"/>
        </w:rPr>
      </w:pPr>
      <w:r w:rsidRPr="009804C5">
        <w:rPr>
          <w:rFonts w:ascii="Verdana" w:eastAsia="Times New Roman" w:hAnsi="Verdana" w:cs="Arial"/>
          <w:sz w:val="20"/>
          <w:szCs w:val="20"/>
          <w:lang w:eastAsia="es-CO"/>
        </w:rPr>
        <w:t>c) Contratos interadministrativos, siempre que las obligaciones derivadas del mismo tengan relación directa con el objeto de la entidad ejecutora señalado en la ley o en sus reglamentos.</w:t>
      </w:r>
    </w:p>
    <w:p w14:paraId="761CB9EE" w14:textId="77777777" w:rsidR="00564AAD" w:rsidRPr="009804C5" w:rsidRDefault="00564AAD" w:rsidP="00564AAD">
      <w:pPr>
        <w:spacing w:after="0" w:line="240" w:lineRule="auto"/>
        <w:ind w:left="709" w:right="709"/>
        <w:jc w:val="both"/>
        <w:rPr>
          <w:rFonts w:ascii="Verdana" w:eastAsia="Times New Roman" w:hAnsi="Verdana" w:cs="Arial"/>
          <w:sz w:val="20"/>
          <w:szCs w:val="20"/>
          <w:lang w:eastAsia="es-CO"/>
        </w:rPr>
      </w:pPr>
    </w:p>
    <w:p w14:paraId="4715D194" w14:textId="77777777" w:rsidR="00564AAD" w:rsidRPr="009804C5" w:rsidRDefault="00564AAD" w:rsidP="00564AAD">
      <w:pPr>
        <w:spacing w:after="0" w:line="240" w:lineRule="auto"/>
        <w:ind w:left="709" w:right="709"/>
        <w:jc w:val="both"/>
        <w:rPr>
          <w:rFonts w:ascii="Verdana" w:eastAsia="Times New Roman" w:hAnsi="Verdana" w:cs="Arial"/>
          <w:sz w:val="20"/>
          <w:szCs w:val="20"/>
          <w:lang w:eastAsia="es-CO"/>
        </w:rPr>
      </w:pPr>
      <w:r w:rsidRPr="009804C5">
        <w:rPr>
          <w:rFonts w:ascii="Verdana" w:eastAsia="Times New Roman" w:hAnsi="Verdana" w:cs="Arial"/>
          <w:sz w:val="20"/>
          <w:szCs w:val="20"/>
          <w:lang w:eastAsia="es-CO"/>
        </w:rPr>
        <w:t>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2B15E6D2" w14:textId="77777777" w:rsidR="00564AAD" w:rsidRPr="009804C5" w:rsidRDefault="00564AAD" w:rsidP="00564AAD">
      <w:pPr>
        <w:spacing w:after="0" w:line="276" w:lineRule="auto"/>
        <w:ind w:left="346"/>
        <w:jc w:val="both"/>
        <w:rPr>
          <w:rFonts w:ascii="Verdana" w:eastAsia="Times New Roman" w:hAnsi="Verdana" w:cs="Arial"/>
          <w:lang w:eastAsia="es-CO"/>
        </w:rPr>
      </w:pPr>
    </w:p>
    <w:p w14:paraId="0244C7C8" w14:textId="77777777" w:rsidR="00564AAD" w:rsidRPr="009804C5" w:rsidRDefault="00564AAD" w:rsidP="00564AAD">
      <w:pPr>
        <w:spacing w:after="120" w:line="276" w:lineRule="auto"/>
        <w:ind w:firstLine="709"/>
        <w:jc w:val="both"/>
        <w:rPr>
          <w:rFonts w:ascii="Verdana" w:eastAsia="Calibri" w:hAnsi="Verdana" w:cs="Arial"/>
          <w:color w:val="000000" w:themeColor="text1"/>
          <w:lang w:val="es-ES_tradnl"/>
        </w:rPr>
      </w:pPr>
      <w:bookmarkStart w:id="9" w:name="_Hlk175506461"/>
      <w:r w:rsidRPr="009804C5">
        <w:rPr>
          <w:rFonts w:ascii="Verdana" w:eastAsia="Calibri" w:hAnsi="Verdana" w:cs="Arial"/>
          <w:color w:val="000000" w:themeColor="text1"/>
          <w:lang w:val="es-ES_tradnl"/>
        </w:rPr>
        <w:t>Según el inciso primero del literal trascrito, la suscripción de contratos interadministrativos de forma directa, conforme a dicha causal, está sujeta a que las obligaciones del negocio jurídico tengan relación directa con el objeto de la entidad ejecutora, establecido en la ley o en sus reglamentos. La condición impuesta por el legislador para la suscripción de estos contratos se establece a efectos de constatar que el ejecutante cuente con la capacidad jurídica para contraer las obligaciones establecidas en el contrato.</w:t>
      </w:r>
    </w:p>
    <w:bookmarkEnd w:id="9"/>
    <w:p w14:paraId="23B0EDB1" w14:textId="77777777" w:rsidR="00564AAD" w:rsidRPr="009804C5" w:rsidRDefault="00564AAD" w:rsidP="00564AAD">
      <w:pPr>
        <w:spacing w:after="120" w:line="276" w:lineRule="auto"/>
        <w:ind w:firstLine="709"/>
        <w:jc w:val="both"/>
        <w:rPr>
          <w:rFonts w:ascii="Verdana" w:eastAsia="Calibri" w:hAnsi="Verdana" w:cs="Arial"/>
          <w:color w:val="000000" w:themeColor="text1"/>
          <w:lang w:val="es-ES_tradnl"/>
        </w:rPr>
      </w:pPr>
      <w:r w:rsidRPr="009804C5">
        <w:rPr>
          <w:rFonts w:ascii="Verdana" w:eastAsia="Calibri" w:hAnsi="Verdana" w:cs="Arial"/>
          <w:color w:val="000000" w:themeColor="text1"/>
          <w:lang w:val="es-ES_tradnl"/>
        </w:rPr>
        <w:t xml:space="preserve">De otro lado, se encuentra que el inciso segundo establece una limitación a la contratación directa mediante la causal del literal c) – transcrito anteriormente – dirigido a las “instituciones de educación superior públicas o las Sociedades de Economía Mixta con participación mayoritaria del Estado, o las </w:t>
      </w:r>
      <w:r w:rsidRPr="009804C5">
        <w:rPr>
          <w:rFonts w:ascii="Verdana" w:eastAsia="Calibri" w:hAnsi="Verdana" w:cs="Arial"/>
          <w:color w:val="000000" w:themeColor="text1"/>
          <w:lang w:val="es-ES_tradnl"/>
        </w:rPr>
        <w:lastRenderedPageBreak/>
        <w:t>personas jurídicas sin ánimo de lucro conformadas por la asociación de entidades públicas, o las federaciones de entidades territoriales sean las ejecutoras”. De manera que cuando ellas sean las ejecutoras, no se pueden celebrar contratos interadministrativos de manera directa, utilizando la causal del literal c), en tratándose de “contratos de obra, suministro, prestación de servicios de evaluación de conformidad respecto de las normas o reglamentos técnicos, encargos fiduciarios y fiducia pública”.</w:t>
      </w:r>
    </w:p>
    <w:p w14:paraId="559B7552" w14:textId="77777777" w:rsidR="00564AAD" w:rsidRPr="009804C5" w:rsidRDefault="00564AAD" w:rsidP="00564AAD">
      <w:pPr>
        <w:spacing w:after="120" w:line="276" w:lineRule="auto"/>
        <w:ind w:firstLine="708"/>
        <w:jc w:val="both"/>
        <w:rPr>
          <w:rFonts w:ascii="Verdana" w:eastAsia="Calibri" w:hAnsi="Verdana" w:cs="Arial"/>
          <w:color w:val="000000" w:themeColor="text1"/>
        </w:rPr>
      </w:pPr>
      <w:r w:rsidRPr="009804C5">
        <w:rPr>
          <w:rFonts w:ascii="Verdana" w:eastAsia="Calibri" w:hAnsi="Verdana" w:cs="Arial"/>
          <w:color w:val="000000" w:themeColor="text1"/>
        </w:rPr>
        <w:t xml:space="preserve">Conviene señalar que la excepción contenida en la norma mencionada – concretamente en el inciso segundo – determina de manera explícita los sujetos a los cuales les es aplicable la restricción contenida en dicho artículo, que incluye la celebración de contratos o convenios interadministrativos cuando se trate, entre otros, de un contrato de obra. Esta disposición exceptuó celebrar de manera directa contratos o convenios interadministrativos cuando se trate de un contrato de obra cuya entidad ejecutora sea una institución de educación superior pública o una Sociedad de Economía Mixta con participación mayoritaria del Estado, o una persona jurídica sin ánimo de lucro conformada por la asociación de Entidades Públicas, o una federación de entidades territoriales. </w:t>
      </w:r>
    </w:p>
    <w:p w14:paraId="47F0A959" w14:textId="77777777" w:rsidR="00564AAD" w:rsidRPr="009804C5" w:rsidRDefault="00564AAD" w:rsidP="00564AAD">
      <w:pPr>
        <w:spacing w:after="0" w:line="276" w:lineRule="auto"/>
        <w:ind w:firstLine="709"/>
        <w:jc w:val="both"/>
        <w:rPr>
          <w:rFonts w:ascii="Verdana" w:eastAsia="Calibri" w:hAnsi="Verdana" w:cs="Arial"/>
          <w:color w:val="000000" w:themeColor="text1"/>
          <w:lang w:val="es-ES_tradnl"/>
        </w:rPr>
      </w:pPr>
      <w:r w:rsidRPr="009804C5">
        <w:rPr>
          <w:rFonts w:ascii="Verdana" w:eastAsia="Calibri" w:hAnsi="Verdana" w:cs="Arial"/>
          <w:color w:val="000000" w:themeColor="text1"/>
          <w:lang w:val="es-ES_tradnl"/>
        </w:rPr>
        <w:t>En esta línea, la Sala de Consulta y Servicio Civil del Consejo de Estado</w:t>
      </w:r>
      <w:r w:rsidRPr="009804C5">
        <w:rPr>
          <w:rFonts w:ascii="Verdana" w:eastAsia="Calibri" w:hAnsi="Verdana" w:cs="Arial"/>
          <w:color w:val="000000" w:themeColor="text1"/>
          <w:vertAlign w:val="superscript"/>
          <w:lang w:val="es-ES_tradnl"/>
        </w:rPr>
        <w:footnoteReference w:id="14"/>
      </w:r>
      <w:r w:rsidRPr="009804C5">
        <w:rPr>
          <w:rFonts w:ascii="Verdana" w:eastAsia="Calibri" w:hAnsi="Verdana" w:cs="Arial"/>
          <w:color w:val="000000" w:themeColor="text1"/>
          <w:lang w:val="es-ES_tradnl"/>
        </w:rPr>
        <w:t xml:space="preserve"> precisó sobre el alcance de la modificación introducida por el artículo 92 de la Ley 1474 de 2011 al literal c) del numeral 4 del artículo 2 de la Ley 1150 de 2007, y en particular, sobre la restricción establecida en el inciso segundo de la norma referida, lo siguiente: </w:t>
      </w:r>
    </w:p>
    <w:p w14:paraId="769D9E02" w14:textId="77777777" w:rsidR="00564AAD" w:rsidRPr="009804C5" w:rsidRDefault="00564AAD" w:rsidP="00564AAD">
      <w:pPr>
        <w:spacing w:after="120" w:line="276" w:lineRule="auto"/>
        <w:ind w:left="346"/>
        <w:rPr>
          <w:rFonts w:ascii="Verdana" w:hAnsi="Verdana"/>
        </w:rPr>
      </w:pPr>
    </w:p>
    <w:p w14:paraId="17C3BB66" w14:textId="77777777" w:rsidR="00564AAD" w:rsidRPr="009804C5" w:rsidRDefault="00564AAD" w:rsidP="00564AAD">
      <w:pPr>
        <w:spacing w:after="0" w:line="240" w:lineRule="auto"/>
        <w:ind w:left="709" w:right="709"/>
        <w:jc w:val="both"/>
        <w:rPr>
          <w:rFonts w:ascii="Verdana" w:hAnsi="Verdana"/>
          <w:sz w:val="20"/>
          <w:szCs w:val="20"/>
        </w:rPr>
      </w:pPr>
      <w:r w:rsidRPr="009804C5">
        <w:rPr>
          <w:rFonts w:ascii="Verdana" w:hAnsi="Verdana"/>
          <w:sz w:val="20"/>
          <w:szCs w:val="20"/>
        </w:rPr>
        <w:t xml:space="preserve">“[..] La suscripción de contratos interadministrativos </w:t>
      </w:r>
      <w:r w:rsidRPr="009804C5">
        <w:rPr>
          <w:rFonts w:ascii="Verdana" w:eastAsia="Calibri" w:hAnsi="Verdana"/>
          <w:color w:val="000000" w:themeColor="text1"/>
          <w:sz w:val="20"/>
          <w:szCs w:val="20"/>
          <w:lang w:val="es-ES_tradnl"/>
        </w:rPr>
        <w:t>«</w:t>
      </w:r>
      <w:r w:rsidRPr="009804C5">
        <w:rPr>
          <w:rFonts w:ascii="Verdana" w:hAnsi="Verdana"/>
          <w:sz w:val="20"/>
          <w:szCs w:val="20"/>
        </w:rPr>
        <w:t>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w:t>
      </w:r>
      <w:r w:rsidRPr="009804C5">
        <w:rPr>
          <w:rFonts w:ascii="Verdana" w:eastAsia="Calibri" w:hAnsi="Verdana"/>
          <w:color w:val="000000" w:themeColor="text1"/>
          <w:sz w:val="20"/>
          <w:szCs w:val="20"/>
          <w:lang w:val="es-ES_tradnl"/>
        </w:rPr>
        <w:t>»</w:t>
      </w:r>
      <w:r w:rsidRPr="009804C5">
        <w:rPr>
          <w:rFonts w:ascii="Verdana" w:hAnsi="Verdana"/>
          <w:sz w:val="20"/>
          <w:szCs w:val="20"/>
        </w:rPr>
        <w:t>, debe estar precedida de licitación pública o selección abreviada; solamente en los demás casos, podrá acudirse al sistema de contratación directa (literal c, inciso 2).</w:t>
      </w:r>
    </w:p>
    <w:p w14:paraId="4AF8F785" w14:textId="77777777" w:rsidR="00564AAD" w:rsidRPr="009804C5" w:rsidRDefault="00564AAD" w:rsidP="00564AAD">
      <w:pPr>
        <w:spacing w:after="0" w:line="240" w:lineRule="auto"/>
        <w:ind w:left="709" w:right="709"/>
        <w:jc w:val="both"/>
        <w:rPr>
          <w:rFonts w:ascii="Verdana" w:hAnsi="Verdana"/>
          <w:sz w:val="20"/>
          <w:szCs w:val="20"/>
        </w:rPr>
      </w:pPr>
    </w:p>
    <w:p w14:paraId="4C3C7D63" w14:textId="77777777" w:rsidR="00564AAD" w:rsidRPr="009804C5" w:rsidRDefault="00564AAD" w:rsidP="00564AAD">
      <w:pPr>
        <w:spacing w:after="0" w:line="240" w:lineRule="auto"/>
        <w:ind w:left="709" w:right="709"/>
        <w:jc w:val="both"/>
        <w:rPr>
          <w:rFonts w:ascii="Verdana" w:hAnsi="Verdana"/>
          <w:sz w:val="20"/>
          <w:szCs w:val="20"/>
        </w:rPr>
      </w:pPr>
      <w:r w:rsidRPr="009804C5">
        <w:rPr>
          <w:rFonts w:ascii="Verdana" w:hAnsi="Verdana"/>
          <w:sz w:val="20"/>
          <w:szCs w:val="20"/>
        </w:rPr>
        <w:t xml:space="preserve">La Sala aclara que, en todo caso y aún en los eventos de licitación pública o selección abreviada, el contrato debe tener relación directa con el objeto de la entidad ejecutora; en ese sentido, el inciso segundo de la norma en </w:t>
      </w:r>
      <w:proofErr w:type="gramStart"/>
      <w:r w:rsidRPr="009804C5">
        <w:rPr>
          <w:rFonts w:ascii="Verdana" w:hAnsi="Verdana"/>
          <w:sz w:val="20"/>
          <w:szCs w:val="20"/>
        </w:rPr>
        <w:lastRenderedPageBreak/>
        <w:t>cita,</w:t>
      </w:r>
      <w:proofErr w:type="gramEnd"/>
      <w:r w:rsidRPr="009804C5">
        <w:rPr>
          <w:rFonts w:ascii="Verdana" w:hAnsi="Verdana"/>
          <w:sz w:val="20"/>
          <w:szCs w:val="20"/>
        </w:rPr>
        <w:t xml:space="preserve"> no puede ser interpretado como una autorización para celebrar contratos que no tengan relación con el objeto de la entidad ejecutora. La excepción que consagra dicho inciso se refiere solamente a que los contratos allí referidos no pueden celebrarse por contratación directa sino que requieren agotar un proceso previo de licitación pública o selección abreviada”.</w:t>
      </w:r>
    </w:p>
    <w:p w14:paraId="47A31129" w14:textId="77777777" w:rsidR="00564AAD" w:rsidRPr="009804C5" w:rsidRDefault="00564AAD" w:rsidP="00564AAD">
      <w:pPr>
        <w:spacing w:after="0" w:line="276" w:lineRule="auto"/>
        <w:ind w:left="720"/>
        <w:contextualSpacing/>
        <w:jc w:val="both"/>
        <w:rPr>
          <w:rFonts w:ascii="Verdana" w:eastAsia="Calibri" w:hAnsi="Verdana" w:cs="Arial"/>
          <w:color w:val="000000" w:themeColor="text1"/>
          <w:lang w:val="es-ES_tradnl"/>
        </w:rPr>
      </w:pPr>
    </w:p>
    <w:p w14:paraId="55D635B3" w14:textId="77777777" w:rsidR="00564AAD" w:rsidRPr="009804C5" w:rsidRDefault="00564AAD" w:rsidP="00564AAD">
      <w:pPr>
        <w:spacing w:after="120" w:line="276" w:lineRule="auto"/>
        <w:ind w:firstLine="709"/>
        <w:jc w:val="both"/>
        <w:rPr>
          <w:rFonts w:ascii="Verdana" w:eastAsia="Calibri" w:hAnsi="Verdana" w:cs="Arial"/>
          <w:color w:val="000000" w:themeColor="text1"/>
        </w:rPr>
      </w:pPr>
      <w:r w:rsidRPr="009804C5">
        <w:rPr>
          <w:rFonts w:ascii="Verdana" w:eastAsia="Calibri" w:hAnsi="Verdana" w:cs="Arial"/>
          <w:color w:val="000000" w:themeColor="text1"/>
        </w:rPr>
        <w:t>Específicamente, refiriéndose a las instituciones de educación superior, el Consejo de Estado señaló que “Los contratos interadministrativos de obra, suministro, prestación de servicios de evaluación de conformidad respecto de las normas o reglamentos técnicos, encargos fiduciarios y fiducia pública suscritos con universidades estatales deberán estar precedidos de licitación pública o selección abreviada</w:t>
      </w:r>
      <w:r w:rsidRPr="009804C5">
        <w:rPr>
          <w:rFonts w:ascii="Verdana" w:eastAsia="Calibri" w:hAnsi="Verdana" w:cs="Arial"/>
          <w:color w:val="000000" w:themeColor="text1"/>
          <w:vertAlign w:val="superscript"/>
        </w:rPr>
        <w:footnoteReference w:id="15"/>
      </w:r>
      <w:r w:rsidRPr="009804C5">
        <w:rPr>
          <w:rFonts w:ascii="Verdana" w:eastAsia="Calibri" w:hAnsi="Verdana" w:cs="Arial"/>
          <w:color w:val="000000" w:themeColor="text1"/>
        </w:rPr>
        <w:t xml:space="preserve">”. </w:t>
      </w:r>
    </w:p>
    <w:p w14:paraId="15D6EBC5" w14:textId="77777777" w:rsidR="00564AAD" w:rsidRPr="009804C5" w:rsidRDefault="00564AAD" w:rsidP="00564AAD">
      <w:pPr>
        <w:spacing w:after="120" w:line="276" w:lineRule="auto"/>
        <w:ind w:firstLine="709"/>
        <w:jc w:val="both"/>
        <w:rPr>
          <w:rFonts w:ascii="Verdana" w:eastAsia="Calibri" w:hAnsi="Verdana" w:cs="Arial"/>
          <w:color w:val="000000" w:themeColor="text1"/>
        </w:rPr>
      </w:pPr>
      <w:r w:rsidRPr="009804C5">
        <w:rPr>
          <w:rFonts w:ascii="Verdana" w:eastAsia="Calibri" w:hAnsi="Verdana" w:cs="Arial"/>
          <w:color w:val="000000" w:themeColor="text1"/>
        </w:rPr>
        <w:t xml:space="preserve">Así las cosas, de conformidad con lo establecido por el artículo 92 de la Ley 1474 de 2011, mediante el cual se modificó el literal c) del numeral 4 del artículo 2 de la Ley 1150 de 2007, sin perjuicio de lo dispuesto en otras disposiciones normativas que resulten aplicables, el alcance de la excepción establecida en la norma referida se circunscribe a las entidades mencionadas en el inciso segundo de este artículo. De modo que, estas entidades, dentro de las cuales se encuentran las instituciones de educación superior, cuando sean las ejecutoras, no podrán celebrar bajo la modalidad de contratación directa la suscripción de los contratos interadministrativo con los objetos mencionados, entre los que se contempla la prestación de servicios de evaluación de conformidad respecto de las normas o reglamentos técnicos. Lo anterior, sin perjuicio de que dichas entidades participen y, eventualmente, celebren dichos contratos luego de ser seleccionados a través de modalidades como la licitación pública o selección abreviada, según corresponda. </w:t>
      </w:r>
    </w:p>
    <w:p w14:paraId="711FB2F0" w14:textId="77777777" w:rsidR="00564AAD" w:rsidRPr="009804C5" w:rsidRDefault="00564AAD" w:rsidP="00564AAD">
      <w:pPr>
        <w:spacing w:after="120" w:line="276" w:lineRule="auto"/>
        <w:ind w:firstLine="708"/>
        <w:jc w:val="both"/>
        <w:rPr>
          <w:rFonts w:ascii="Verdana" w:eastAsia="Calibri" w:hAnsi="Verdana" w:cs="Arial"/>
          <w:color w:val="000000" w:themeColor="text1"/>
          <w:lang w:val="es-ES_tradnl"/>
        </w:rPr>
      </w:pPr>
      <w:r w:rsidRPr="009804C5">
        <w:rPr>
          <w:rFonts w:ascii="Verdana" w:eastAsia="Calibri" w:hAnsi="Verdana" w:cs="Arial"/>
          <w:color w:val="000000" w:themeColor="text1"/>
          <w:lang w:val="es-ES_tradnl"/>
        </w:rPr>
        <w:t xml:space="preserve">Por tanto, para esta Agencia, el ámbito de aplicación de la regla referida es de alcance restrictivo, dado que se circunscribe a los contratos y entidades señaladas en el inciso segundo del literal c) analizado, por lo que la prohibición aplica cuando confluyan ambos elementos. En este sentido, cuando se trate de otros objetos contractuales distintos o cuando sean celebrados por entidades distintas a las enlistadas en el inciso segundo, no aplicará la excepción establecida en la regla referida y, en consecuencia, las entidades podrían celebrar los contratos bajo la modalidad de contratación directa, sin perjuicio de observar las demás disposiciones del ordenamiento jurídico, correspondiendo a </w:t>
      </w:r>
      <w:r w:rsidRPr="009804C5">
        <w:rPr>
          <w:rFonts w:ascii="Verdana" w:eastAsia="Calibri" w:hAnsi="Verdana" w:cs="Arial"/>
          <w:color w:val="000000" w:themeColor="text1"/>
          <w:lang w:val="es-ES_tradnl"/>
        </w:rPr>
        <w:lastRenderedPageBreak/>
        <w:t xml:space="preserve">cada entidad definir la conveniencia y procedencia jurídica, técnica y financiera de su celebración. </w:t>
      </w:r>
    </w:p>
    <w:p w14:paraId="6820A13D" w14:textId="77777777" w:rsidR="00564AAD" w:rsidRPr="009804C5" w:rsidRDefault="00564AAD" w:rsidP="00564AAD">
      <w:pPr>
        <w:spacing w:after="120" w:line="276" w:lineRule="auto"/>
        <w:ind w:firstLine="708"/>
        <w:jc w:val="both"/>
        <w:rPr>
          <w:rFonts w:ascii="Verdana" w:eastAsia="Calibri" w:hAnsi="Verdana" w:cs="Arial"/>
          <w:color w:val="000000" w:themeColor="text1"/>
          <w:lang w:val="es-ES_tradnl"/>
        </w:rPr>
      </w:pPr>
      <w:r w:rsidRPr="009804C5">
        <w:rPr>
          <w:rFonts w:ascii="Verdana" w:eastAsia="Calibri" w:hAnsi="Verdana" w:cs="Arial"/>
          <w:color w:val="000000" w:themeColor="text1"/>
          <w:lang w:val="es-ES_tradnl"/>
        </w:rPr>
        <w:t xml:space="preserve">De este modo, teniendo en cuenta que la norma no menciona expresamente a los contratos de consultoría, la entidad estatal podrá contratar directamente con las entidades enlistadas este tipo contratos, siempre que no sea ninguno de los objetos señalados en el inciso segundo del literal c). para tales efectos, es importante tener en cuenta la definición que contempla el numeral 2 del artículo 32 </w:t>
      </w:r>
      <w:r>
        <w:rPr>
          <w:rFonts w:ascii="Verdana" w:eastAsia="Calibri" w:hAnsi="Verdana" w:cs="Arial"/>
          <w:color w:val="000000" w:themeColor="text1"/>
          <w:lang w:val="es-ES_tradnl"/>
        </w:rPr>
        <w:t xml:space="preserve">de la Ley 80 de 1993 </w:t>
      </w:r>
      <w:r w:rsidRPr="009804C5">
        <w:rPr>
          <w:rFonts w:ascii="Verdana" w:eastAsia="Calibri" w:hAnsi="Verdana" w:cs="Arial"/>
          <w:color w:val="000000" w:themeColor="text1"/>
          <w:lang w:val="es-ES_tradnl"/>
        </w:rPr>
        <w:t>sobre los contratos de consultoría</w:t>
      </w:r>
      <w:r w:rsidRPr="009804C5">
        <w:rPr>
          <w:rFonts w:ascii="Verdana" w:eastAsia="Calibri" w:hAnsi="Verdana" w:cs="Arial"/>
          <w:color w:val="000000" w:themeColor="text1"/>
          <w:vertAlign w:val="superscript"/>
          <w:lang w:val="es-ES_tradnl"/>
        </w:rPr>
        <w:footnoteReference w:id="16"/>
      </w:r>
      <w:r w:rsidRPr="009804C5">
        <w:rPr>
          <w:rFonts w:ascii="Verdana" w:eastAsia="Calibri" w:hAnsi="Verdana" w:cs="Arial"/>
          <w:color w:val="000000" w:themeColor="text1"/>
          <w:lang w:val="es-ES_tradnl"/>
        </w:rPr>
        <w:t xml:space="preserve">, con la finalidad de determinar el objeto y las actividades a desarrollar por la entidad ejecutora en el marco de este contrato. </w:t>
      </w:r>
    </w:p>
    <w:p w14:paraId="46D68B55" w14:textId="77777777" w:rsidR="00564AAD" w:rsidRPr="009804C5" w:rsidRDefault="00564AAD" w:rsidP="00564AAD">
      <w:pPr>
        <w:widowControl w:val="0"/>
        <w:autoSpaceDE w:val="0"/>
        <w:autoSpaceDN w:val="0"/>
        <w:spacing w:after="120" w:line="276" w:lineRule="auto"/>
        <w:ind w:firstLine="709"/>
        <w:jc w:val="both"/>
        <w:rPr>
          <w:rFonts w:ascii="Verdana" w:hAnsi="Verdana" w:cs="Arial"/>
        </w:rPr>
      </w:pPr>
      <w:r w:rsidRPr="009804C5">
        <w:rPr>
          <w:rFonts w:ascii="Verdana" w:hAnsi="Verdana" w:cs="Arial"/>
        </w:rPr>
        <w:t xml:space="preserve">Sin perjuicio de lo anterior, debe advertirse que el análisis requerido para para resolver problemas puntuales en torno al objeto del contrato interadministrativo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  </w:t>
      </w:r>
    </w:p>
    <w:p w14:paraId="7EACBAE4" w14:textId="77777777" w:rsidR="00FD2D57" w:rsidRPr="0007375E" w:rsidRDefault="00FD2D57" w:rsidP="00FD2D57">
      <w:pPr>
        <w:spacing w:after="0" w:line="276" w:lineRule="auto"/>
        <w:jc w:val="both"/>
        <w:rPr>
          <w:rFonts w:ascii="Verdana" w:eastAsia="Calibri" w:hAnsi="Verdana" w:cs="Arial"/>
          <w:lang w:val="es-ES"/>
        </w:rPr>
      </w:pPr>
    </w:p>
    <w:p w14:paraId="438AACD9" w14:textId="77777777" w:rsidR="00FD2D57" w:rsidRPr="0050528D" w:rsidRDefault="00FD2D57" w:rsidP="00FD2D57">
      <w:pPr>
        <w:tabs>
          <w:tab w:val="left" w:pos="142"/>
          <w:tab w:val="left" w:pos="284"/>
        </w:tabs>
        <w:spacing w:after="0" w:line="276" w:lineRule="auto"/>
        <w:jc w:val="both"/>
        <w:rPr>
          <w:rFonts w:ascii="Verdana" w:eastAsia="Century Gothic" w:hAnsi="Verdana" w:cs="Century Gothic"/>
          <w:b/>
          <w:bCs/>
        </w:rPr>
      </w:pPr>
      <w:r w:rsidRPr="0050528D">
        <w:rPr>
          <w:rFonts w:ascii="Verdana" w:hAnsi="Verdana" w:cs="Arial"/>
          <w:b/>
          <w:bCs/>
          <w:color w:val="000000" w:themeColor="text1"/>
        </w:rPr>
        <w:t xml:space="preserve">4. </w:t>
      </w:r>
      <w:r w:rsidRPr="0050528D">
        <w:rPr>
          <w:rFonts w:ascii="Verdana" w:eastAsia="Century Gothic" w:hAnsi="Verdana" w:cs="Century Gothic"/>
          <w:b/>
          <w:bCs/>
        </w:rPr>
        <w:t>Referencias normativas, jurisprudenciales y otras fuentes:</w:t>
      </w:r>
    </w:p>
    <w:p w14:paraId="3A15E084" w14:textId="77777777" w:rsidR="00FD2D57" w:rsidRPr="0007375E" w:rsidRDefault="00FD2D57" w:rsidP="00FD2D5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D2D57" w:rsidRPr="0007375E" w14:paraId="54DA6220" w14:textId="77777777" w:rsidTr="00807108">
        <w:trPr>
          <w:trHeight w:val="870"/>
        </w:trPr>
        <w:tc>
          <w:tcPr>
            <w:tcW w:w="8647" w:type="dxa"/>
          </w:tcPr>
          <w:p w14:paraId="74530011" w14:textId="4B49F479" w:rsidR="00FD2D57" w:rsidRPr="00564AAD" w:rsidRDefault="00FD2D57" w:rsidP="003E2347">
            <w:pPr>
              <w:pStyle w:val="Prrafodelista"/>
              <w:numPr>
                <w:ilvl w:val="0"/>
                <w:numId w:val="17"/>
              </w:numPr>
              <w:spacing w:after="120" w:line="278" w:lineRule="auto"/>
              <w:contextualSpacing w:val="0"/>
              <w:rPr>
                <w:rFonts w:ascii="Verdana" w:eastAsia="Calibri" w:hAnsi="Verdana" w:cs="Arial"/>
                <w:lang w:val="es-ES_tradnl"/>
              </w:rPr>
            </w:pPr>
            <w:r w:rsidRPr="00564AAD">
              <w:rPr>
                <w:rFonts w:ascii="Verdana" w:eastAsia="Calibri" w:hAnsi="Verdana" w:cs="Arial"/>
                <w:lang w:val="es-ES_tradnl"/>
              </w:rPr>
              <w:t>Ley 80 de 1993</w:t>
            </w:r>
            <w:r w:rsidR="008624AE" w:rsidRPr="00564AAD">
              <w:rPr>
                <w:rFonts w:ascii="Verdana" w:eastAsia="Calibri" w:hAnsi="Verdana" w:cs="Arial"/>
                <w:lang w:val="es-ES_tradnl"/>
              </w:rPr>
              <w:t xml:space="preserve">, artículos 14 al 19. </w:t>
            </w:r>
          </w:p>
          <w:p w14:paraId="2F367D65" w14:textId="65FDB63F" w:rsidR="00FD2D57" w:rsidRPr="00564AAD" w:rsidRDefault="00FD2D57" w:rsidP="00564AAD">
            <w:pPr>
              <w:pStyle w:val="Prrafodelista"/>
              <w:numPr>
                <w:ilvl w:val="0"/>
                <w:numId w:val="17"/>
              </w:numPr>
              <w:spacing w:after="120" w:line="278" w:lineRule="auto"/>
              <w:contextualSpacing w:val="0"/>
              <w:rPr>
                <w:rFonts w:ascii="Verdana" w:hAnsi="Verdana" w:cs="Arial"/>
                <w:noProof/>
                <w:lang w:val="es-ES_tradnl"/>
              </w:rPr>
            </w:pPr>
            <w:r w:rsidRPr="00564AAD">
              <w:rPr>
                <w:rFonts w:ascii="Verdana" w:eastAsia="Calibri" w:hAnsi="Verdana" w:cs="Arial"/>
                <w:lang w:val="es-ES_tradnl"/>
              </w:rPr>
              <w:t xml:space="preserve">Ley 1150 de 2007, </w:t>
            </w:r>
            <w:r w:rsidRPr="00564AAD">
              <w:rPr>
                <w:rFonts w:ascii="Verdana" w:eastAsia="Calibri" w:hAnsi="Verdana" w:cs="Arial"/>
              </w:rPr>
              <w:t>artículos 13 y 17</w:t>
            </w:r>
            <w:r w:rsidR="00564AAD" w:rsidRPr="00564AAD">
              <w:rPr>
                <w:rFonts w:ascii="Verdana" w:eastAsia="Calibri" w:hAnsi="Verdana" w:cs="Arial"/>
              </w:rPr>
              <w:t xml:space="preserve">, </w:t>
            </w:r>
            <w:r w:rsidR="00564AAD" w:rsidRPr="00564AAD">
              <w:rPr>
                <w:rFonts w:ascii="Verdana" w:hAnsi="Verdana" w:cs="Arial"/>
                <w:noProof/>
                <w:lang w:val="es-ES_tradnl"/>
              </w:rPr>
              <w:t>Artículo 2, numeral 4, literal c)– modificado por el artículo 92 de la Ley 1474 de 2011, Artículo 14 – modificado por el artículo 93 de la Ley 1474 de 2011.</w:t>
            </w:r>
          </w:p>
          <w:p w14:paraId="239DB8E3" w14:textId="77777777" w:rsidR="00FD2D57" w:rsidRPr="00564AAD" w:rsidRDefault="00FD2D57" w:rsidP="003E2347">
            <w:pPr>
              <w:pStyle w:val="Prrafodelista"/>
              <w:numPr>
                <w:ilvl w:val="0"/>
                <w:numId w:val="17"/>
              </w:numPr>
              <w:spacing w:after="120" w:line="278" w:lineRule="auto"/>
              <w:contextualSpacing w:val="0"/>
              <w:rPr>
                <w:rFonts w:ascii="Verdana" w:eastAsia="Calibri" w:hAnsi="Verdana" w:cs="Arial"/>
                <w:lang w:val="es-ES_tradnl"/>
              </w:rPr>
            </w:pPr>
            <w:r w:rsidRPr="00564AAD">
              <w:rPr>
                <w:rFonts w:ascii="Verdana" w:hAnsi="Verdana" w:cs="Arial"/>
                <w:noProof/>
                <w:lang w:val="es-ES_tradnl"/>
              </w:rPr>
              <w:t>Ley 489 de 1998</w:t>
            </w:r>
          </w:p>
          <w:p w14:paraId="74CAB1BB" w14:textId="77777777" w:rsidR="00FD2D57" w:rsidRPr="00564AAD" w:rsidRDefault="00FD2D57" w:rsidP="003E2347">
            <w:pPr>
              <w:pStyle w:val="Prrafodelista"/>
              <w:numPr>
                <w:ilvl w:val="0"/>
                <w:numId w:val="17"/>
              </w:numPr>
              <w:spacing w:after="120" w:line="278" w:lineRule="auto"/>
              <w:contextualSpacing w:val="0"/>
              <w:rPr>
                <w:rFonts w:ascii="Verdana" w:eastAsia="Calibri" w:hAnsi="Verdana" w:cs="Arial"/>
              </w:rPr>
            </w:pPr>
            <w:r w:rsidRPr="00564AAD">
              <w:rPr>
                <w:rFonts w:ascii="Verdana" w:eastAsia="Calibri" w:hAnsi="Verdana" w:cs="Arial"/>
              </w:rPr>
              <w:t xml:space="preserve">Código Civil, artículos 16, 1519 y 1741  </w:t>
            </w:r>
          </w:p>
          <w:p w14:paraId="1F1147E6" w14:textId="77777777" w:rsidR="00FD2D57" w:rsidRPr="00564AAD" w:rsidRDefault="00FD2D57" w:rsidP="003E2347">
            <w:pPr>
              <w:pStyle w:val="Prrafodelista"/>
              <w:numPr>
                <w:ilvl w:val="0"/>
                <w:numId w:val="17"/>
              </w:numPr>
              <w:spacing w:after="120" w:line="278" w:lineRule="auto"/>
              <w:contextualSpacing w:val="0"/>
              <w:rPr>
                <w:rFonts w:ascii="Verdana" w:eastAsia="Calibri" w:hAnsi="Verdana" w:cs="Arial"/>
              </w:rPr>
            </w:pPr>
            <w:r w:rsidRPr="00564AAD">
              <w:rPr>
                <w:rFonts w:ascii="Verdana" w:eastAsia="Calibri" w:hAnsi="Verdana" w:cs="Arial"/>
              </w:rPr>
              <w:lastRenderedPageBreak/>
              <w:t>Código de Comercio, artículos 1075 y 1077</w:t>
            </w:r>
          </w:p>
          <w:p w14:paraId="2D536BA1" w14:textId="77777777" w:rsidR="00564AAD" w:rsidRPr="00564AAD" w:rsidRDefault="00564AAD" w:rsidP="00564AAD">
            <w:pPr>
              <w:pStyle w:val="Prrafodelista"/>
              <w:numPr>
                <w:ilvl w:val="0"/>
                <w:numId w:val="17"/>
              </w:numPr>
              <w:spacing w:after="120" w:line="278" w:lineRule="auto"/>
              <w:contextualSpacing w:val="0"/>
              <w:rPr>
                <w:rFonts w:ascii="Verdana" w:hAnsi="Verdana" w:cs="Arial"/>
                <w:noProof/>
                <w:lang w:val="es-ES_tradnl"/>
              </w:rPr>
            </w:pPr>
            <w:r w:rsidRPr="00564AAD">
              <w:rPr>
                <w:rFonts w:ascii="Verdana" w:hAnsi="Verdana" w:cs="Arial"/>
                <w:noProof/>
                <w:lang w:val="es-ES_tradnl"/>
              </w:rPr>
              <w:t>Decreto 1082 de 2015: Artículo 2.2.1.2.1.4.4.</w:t>
            </w:r>
          </w:p>
          <w:p w14:paraId="7454DD85" w14:textId="77777777" w:rsidR="00564AAD" w:rsidRPr="00564AAD" w:rsidRDefault="00564AAD" w:rsidP="00564AAD">
            <w:pPr>
              <w:pStyle w:val="Prrafodelista"/>
              <w:numPr>
                <w:ilvl w:val="0"/>
                <w:numId w:val="17"/>
              </w:numPr>
              <w:spacing w:after="120" w:line="278" w:lineRule="auto"/>
              <w:contextualSpacing w:val="0"/>
              <w:rPr>
                <w:rFonts w:ascii="Verdana" w:hAnsi="Verdana" w:cs="Arial"/>
                <w:noProof/>
                <w:lang w:val="es-ES_tradnl"/>
              </w:rPr>
            </w:pPr>
            <w:r w:rsidRPr="00564AAD">
              <w:rPr>
                <w:rFonts w:ascii="Verdana" w:hAnsi="Verdana" w:cs="Arial"/>
                <w:noProof/>
                <w:lang w:val="es-ES_tradnl"/>
              </w:rPr>
              <w:t>Consejo de Estado. Sala de Consulta y Servicio Civil. Concepto de 28 de junio de 2012. Rad: 11001-03-06-000-2012-00016-00(2092). Consejero Ponente: William Zambrano Cetina.</w:t>
            </w:r>
          </w:p>
          <w:p w14:paraId="23DF9EC3" w14:textId="76C335F1" w:rsidR="00FD2D57" w:rsidRPr="00915314" w:rsidRDefault="00564AAD" w:rsidP="00564AAD">
            <w:pPr>
              <w:pStyle w:val="Prrafodelista"/>
              <w:numPr>
                <w:ilvl w:val="0"/>
                <w:numId w:val="17"/>
              </w:numPr>
              <w:spacing w:after="120" w:line="278" w:lineRule="auto"/>
              <w:contextualSpacing w:val="0"/>
              <w:rPr>
                <w:rFonts w:ascii="Verdana" w:eastAsia="Arial" w:hAnsi="Verdana" w:cs="Arial"/>
              </w:rPr>
            </w:pPr>
            <w:r w:rsidRPr="00564AAD">
              <w:rPr>
                <w:rFonts w:ascii="Verdana" w:hAnsi="Verdana" w:cs="Arial"/>
                <w:noProof/>
                <w:lang w:val="es-ES_tradnl"/>
              </w:rPr>
              <w:t>Consejo de Estado. Sala de la Contencioso Administrativo. Sección Tercera. Sentencia del 19 de agosto de 2004 Exp. 12.342, reiterada en sentencia de 6 de febrero de 2006, Exp. 13.414.</w:t>
            </w:r>
          </w:p>
        </w:tc>
      </w:tr>
    </w:tbl>
    <w:p w14:paraId="58F343CF" w14:textId="77777777" w:rsidR="00FD2D57" w:rsidRPr="00915314" w:rsidRDefault="00FD2D57" w:rsidP="00FD2D57">
      <w:pPr>
        <w:widowControl w:val="0"/>
        <w:autoSpaceDE w:val="0"/>
        <w:autoSpaceDN w:val="0"/>
        <w:spacing w:after="0" w:line="276" w:lineRule="auto"/>
        <w:jc w:val="both"/>
        <w:rPr>
          <w:rFonts w:ascii="Verdana" w:hAnsi="Verdana" w:cs="Arial"/>
          <w:lang w:val="es-ES"/>
        </w:rPr>
      </w:pPr>
    </w:p>
    <w:p w14:paraId="077D4268" w14:textId="77777777" w:rsidR="00FD2D57" w:rsidRPr="0050528D" w:rsidRDefault="00FD2D57" w:rsidP="003E2347">
      <w:pPr>
        <w:pStyle w:val="Prrafodelista"/>
        <w:numPr>
          <w:ilvl w:val="0"/>
          <w:numId w:val="18"/>
        </w:numPr>
        <w:tabs>
          <w:tab w:val="left" w:pos="142"/>
          <w:tab w:val="left" w:pos="284"/>
        </w:tabs>
        <w:spacing w:after="0" w:line="276" w:lineRule="auto"/>
        <w:ind w:left="426"/>
        <w:jc w:val="both"/>
        <w:rPr>
          <w:rFonts w:ascii="Verdana" w:eastAsia="Century Gothic" w:hAnsi="Verdana" w:cs="Century Gothic"/>
          <w:b/>
          <w:bCs/>
        </w:rPr>
      </w:pPr>
      <w:r w:rsidRPr="0050528D">
        <w:rPr>
          <w:rFonts w:ascii="Verdana" w:eastAsia="Century Gothic" w:hAnsi="Verdana" w:cs="Century Gothic"/>
          <w:b/>
          <w:bCs/>
        </w:rPr>
        <w:t>Doctrina de la Agencia Nacional de Contratación Pública:</w:t>
      </w:r>
    </w:p>
    <w:p w14:paraId="6B6939F7" w14:textId="77777777" w:rsidR="00FD2D57" w:rsidRPr="0007375E" w:rsidRDefault="00FD2D57" w:rsidP="00FD2D57">
      <w:pPr>
        <w:widowControl w:val="0"/>
        <w:autoSpaceDE w:val="0"/>
        <w:autoSpaceDN w:val="0"/>
        <w:spacing w:after="0" w:line="276" w:lineRule="auto"/>
        <w:jc w:val="both"/>
        <w:rPr>
          <w:rFonts w:ascii="Verdana" w:hAnsi="Verdana" w:cs="Arial"/>
        </w:rPr>
      </w:pPr>
    </w:p>
    <w:p w14:paraId="06BFB3A8" w14:textId="77777777" w:rsidR="00564AAD" w:rsidRPr="009804C5" w:rsidRDefault="00564AAD" w:rsidP="00564AAD">
      <w:pPr>
        <w:widowControl w:val="0"/>
        <w:autoSpaceDE w:val="0"/>
        <w:autoSpaceDN w:val="0"/>
        <w:spacing w:after="120" w:line="276" w:lineRule="auto"/>
        <w:jc w:val="both"/>
        <w:rPr>
          <w:rFonts w:ascii="Verdana" w:eastAsia="Calibri" w:hAnsi="Verdana" w:cs="Arial"/>
          <w:color w:val="000000" w:themeColor="text1"/>
          <w:lang w:val="es-ES_tradnl" w:eastAsia="es-ES_tradnl"/>
        </w:rPr>
      </w:pPr>
      <w:r w:rsidRPr="009804C5">
        <w:rPr>
          <w:rFonts w:ascii="Verdana" w:hAnsi="Verdana" w:cs="Arial"/>
          <w:shd w:val="clear" w:color="auto" w:fill="FFFFFF"/>
          <w:lang w:val="es-ES"/>
        </w:rPr>
        <w:t>Sobre el</w:t>
      </w:r>
      <w:r w:rsidRPr="009804C5">
        <w:rPr>
          <w:rFonts w:ascii="Verdana" w:eastAsia="Times New Roman" w:hAnsi="Verdana" w:cs="Arial"/>
          <w:bCs/>
          <w:lang w:val="es-MX" w:eastAsia="es-ES_tradnl"/>
        </w:rPr>
        <w:t xml:space="preserve"> concepto y régimen jurídico aplicable a los contratos interadministrativos, entre otros, </w:t>
      </w:r>
      <w:r w:rsidRPr="009804C5">
        <w:rPr>
          <w:rFonts w:ascii="Verdana" w:hAnsi="Verdana" w:cs="Arial"/>
          <w:shd w:val="clear" w:color="auto" w:fill="FFFFFF"/>
          <w:lang w:val="es-ES"/>
        </w:rPr>
        <w:t>se pronunció esta Subdirección en los conceptos</w:t>
      </w:r>
      <w:r w:rsidRPr="009804C5">
        <w:rPr>
          <w:rFonts w:ascii="Verdana" w:hAnsi="Verdana" w:cs="Calibri"/>
          <w:shd w:val="clear" w:color="auto" w:fill="FFFFFF"/>
        </w:rPr>
        <w:t xml:space="preserve"> </w:t>
      </w:r>
      <w:r w:rsidRPr="009804C5">
        <w:rPr>
          <w:rFonts w:ascii="Verdana" w:eastAsia="Calibri" w:hAnsi="Verdana" w:cs="Arial"/>
          <w:lang w:eastAsia="es-ES_tradnl"/>
        </w:rPr>
        <w:t xml:space="preserve">4201913000004536 del 27 de julio de 2019, C-023 del 3 de febrero de 2020, C-702 del 11 de diciembre de 2020, C-097 de 23 de marzo de 202, C-350 del 16 de julio de 2021, C-352 del 27 de julio de 2021, C-508 del 20 de septiembre de 2021, </w:t>
      </w:r>
      <w:r w:rsidRPr="009804C5">
        <w:rPr>
          <w:rFonts w:ascii="Verdana" w:eastAsia="Calibri" w:hAnsi="Verdana" w:cs="Arial"/>
          <w:color w:val="000000" w:themeColor="text1"/>
          <w:lang w:eastAsia="es-ES_tradnl"/>
        </w:rPr>
        <w:t xml:space="preserve">C-616 del 3 de noviembre de 2021, C-662 del 1 de diciembre de 2022, C-147 del 25 de julio de 2023, C-369 del 12 de septiembre de 2022. Sobre la excepción de celebrar contratos y convenios interadministrativos de forma directa establecida en el inciso segundo </w:t>
      </w:r>
      <w:r w:rsidRPr="009804C5">
        <w:rPr>
          <w:rFonts w:ascii="Verdana" w:eastAsia="Calibri" w:hAnsi="Verdana" w:cs="Arial"/>
          <w:color w:val="000000" w:themeColor="text1"/>
          <w:lang w:val="es-ES"/>
        </w:rPr>
        <w:t>artículo 2, numeral 4, literal c), de la mencionada ley – modificado por el artículo 92 de la Ley 1474 de 2011 – se ha pronunciado en los conceptos C-157 del 16 de marzo de 2020, C-593 del 9 de octubre de 2020, C-691 del 27 de noviembre de 2020, C-173 del 19 de abril de 2021, C-116 del 30 de marzo de 2021, C-149 del 8 de abril de 2021, C-284 del 16 de junio de 2021, C-508 del 20 de septiembre de 2021, C-033 del 27 de febrero de 2023, C-285 del 19 de julio de 2023, C-379 del 19 de octubre de 2023, C-004 del 22 de enero de 2024 y C-139 del 14 de agosto de 2024</w:t>
      </w:r>
      <w:r w:rsidRPr="009804C5">
        <w:rPr>
          <w:rFonts w:ascii="Verdana" w:eastAsia="Aptos" w:hAnsi="Verdana" w:cs="Arial"/>
          <w:shd w:val="clear" w:color="auto" w:fill="FFFFFF"/>
        </w:rPr>
        <w:t xml:space="preserve">. </w:t>
      </w:r>
      <w:r w:rsidRPr="009804C5">
        <w:rPr>
          <w:rFonts w:ascii="Verdana" w:hAnsi="Verdana" w:cs="Arial"/>
          <w:shd w:val="clear" w:color="auto" w:fill="FFFFFF"/>
        </w:rPr>
        <w:t>Es</w:t>
      </w:r>
      <w:r w:rsidRPr="009804C5">
        <w:rPr>
          <w:rFonts w:ascii="Verdana" w:hAnsi="Verdana"/>
        </w:rPr>
        <w:t>tos y otros conceptos se encuentran disponibles para consulta en el Sistema de relatoría de la Agencia, al cual se puede acceder a través del siguiente enlace:</w:t>
      </w:r>
      <w:r w:rsidRPr="009804C5">
        <w:rPr>
          <w:rFonts w:ascii="Verdana" w:hAnsi="Verdana" w:cs="Arial"/>
          <w:shd w:val="clear" w:color="auto" w:fill="FFFFFF"/>
        </w:rPr>
        <w:t xml:space="preserve"> </w:t>
      </w:r>
      <w:hyperlink r:id="rId14" w:history="1">
        <w:r w:rsidRPr="009804C5">
          <w:rPr>
            <w:rFonts w:ascii="Verdana" w:hAnsi="Verdana" w:cs="Arial"/>
            <w:color w:val="0563C1" w:themeColor="hyperlink"/>
            <w:u w:val="single"/>
            <w:shd w:val="clear" w:color="auto" w:fill="FFFFFF"/>
          </w:rPr>
          <w:t>https://relatoria.colombiacompra.gov.co/busqueda/conceptos</w:t>
        </w:r>
      </w:hyperlink>
      <w:r w:rsidRPr="009804C5">
        <w:rPr>
          <w:rFonts w:ascii="Verdana" w:hAnsi="Verdana" w:cs="Arial"/>
          <w:shd w:val="clear" w:color="auto" w:fill="FFFFFF"/>
        </w:rPr>
        <w:t>.</w:t>
      </w:r>
      <w:r w:rsidRPr="009804C5">
        <w:rPr>
          <w:rFonts w:ascii="Verdana" w:hAnsi="Verdana" w:cs="Arial"/>
          <w:color w:val="FF0000"/>
          <w:shd w:val="clear" w:color="auto" w:fill="FFFFFF"/>
        </w:rPr>
        <w:t xml:space="preserve"> </w:t>
      </w:r>
      <w:r w:rsidRPr="009804C5">
        <w:rPr>
          <w:rFonts w:ascii="Verdana" w:hAnsi="Verdana" w:cs="Arial"/>
          <w:color w:val="000000" w:themeColor="text1"/>
          <w:shd w:val="clear" w:color="auto" w:fill="FFFFFF"/>
        </w:rPr>
        <w:t>  </w:t>
      </w:r>
    </w:p>
    <w:p w14:paraId="0B3847C3" w14:textId="77777777" w:rsidR="00FD2D57" w:rsidRPr="00564AAD" w:rsidRDefault="00FD2D57" w:rsidP="00FD2D57">
      <w:pPr>
        <w:widowControl w:val="0"/>
        <w:autoSpaceDE w:val="0"/>
        <w:autoSpaceDN w:val="0"/>
        <w:spacing w:after="0" w:line="276" w:lineRule="auto"/>
        <w:jc w:val="both"/>
        <w:rPr>
          <w:rFonts w:ascii="Verdana" w:hAnsi="Verdana" w:cs="Arial"/>
          <w:highlight w:val="yellow"/>
          <w:lang w:val="es-ES_tradnl"/>
        </w:rPr>
      </w:pPr>
    </w:p>
    <w:p w14:paraId="59712EF5" w14:textId="77777777" w:rsidR="00564AAD" w:rsidRPr="009A385A" w:rsidRDefault="00564AAD" w:rsidP="00564AAD">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w:t>
      </w:r>
      <w:r w:rsidRPr="009A385A">
        <w:rPr>
          <w:rFonts w:ascii="Verdana" w:hAnsi="Verdana"/>
        </w:rPr>
        <w:lastRenderedPageBreak/>
        <w:t xml:space="preserve">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5" w:tgtFrame="_new" w:history="1">
        <w:r w:rsidRPr="009A385A">
          <w:rPr>
            <w:rStyle w:val="Hipervnculo"/>
            <w:rFonts w:ascii="Verdana" w:hAnsi="Verdana"/>
          </w:rPr>
          <w:t>https://formacionvirtual.colombiacompra.gov.co/mod/page/view.php?id=3718</w:t>
        </w:r>
      </w:hyperlink>
    </w:p>
    <w:p w14:paraId="662359B9" w14:textId="77777777" w:rsidR="00564AAD" w:rsidRDefault="00564AAD" w:rsidP="00564AAD">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6" w:tgtFrame="_new" w:history="1">
        <w:r w:rsidRPr="00635F16">
          <w:rPr>
            <w:rStyle w:val="Hipervnculo"/>
            <w:rFonts w:ascii="Verdana" w:hAnsi="Verdana"/>
          </w:rPr>
          <w:t>https://www.colombiacompra.gov.co/normativa-y-relatoria/documentos-tipo</w:t>
        </w:r>
      </w:hyperlink>
    </w:p>
    <w:p w14:paraId="7535FD8C" w14:textId="77777777" w:rsidR="00564AAD" w:rsidRPr="009A385A" w:rsidRDefault="00564AAD" w:rsidP="00564AAD">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7"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14217394" w14:textId="77777777" w:rsidR="00FD2D57" w:rsidRPr="00564AAD" w:rsidRDefault="00FD2D57" w:rsidP="00FD2D57">
      <w:pPr>
        <w:spacing w:after="0" w:line="240" w:lineRule="auto"/>
        <w:jc w:val="both"/>
        <w:rPr>
          <w:rFonts w:ascii="Verdana" w:hAnsi="Verdana" w:cs="Arial"/>
        </w:rPr>
      </w:pPr>
      <w:r w:rsidRPr="00564AAD">
        <w:rPr>
          <w:rFonts w:ascii="Verdana" w:hAnsi="Verdana" w:cs="Arial"/>
        </w:rPr>
        <w:t xml:space="preserve">Por último, de igual forma lo invitamos a seguirnos en las redes sociales en las cuales se difunde información institucional: </w:t>
      </w:r>
    </w:p>
    <w:p w14:paraId="625BA10C" w14:textId="77777777" w:rsidR="00FD2D57" w:rsidRPr="00564AAD" w:rsidRDefault="00FD2D57" w:rsidP="00FD2D57">
      <w:pPr>
        <w:spacing w:after="0" w:line="240" w:lineRule="auto"/>
        <w:jc w:val="both"/>
        <w:rPr>
          <w:rFonts w:ascii="Verdana" w:hAnsi="Verdana" w:cs="Arial"/>
        </w:rPr>
      </w:pPr>
    </w:p>
    <w:p w14:paraId="703E309C" w14:textId="77777777" w:rsidR="00FD2D57" w:rsidRPr="00564AAD" w:rsidRDefault="00FD2D57" w:rsidP="00FD2D57">
      <w:pPr>
        <w:spacing w:after="0" w:line="240" w:lineRule="auto"/>
        <w:jc w:val="both"/>
        <w:rPr>
          <w:rFonts w:ascii="Verdana" w:hAnsi="Verdana" w:cs="Arial"/>
        </w:rPr>
      </w:pPr>
      <w:r w:rsidRPr="00564AAD">
        <w:rPr>
          <w:rFonts w:ascii="Verdana" w:hAnsi="Verdana" w:cs="Arial"/>
        </w:rPr>
        <w:t xml:space="preserve">Twitter: </w:t>
      </w:r>
      <w:r w:rsidRPr="00564AAD">
        <w:rPr>
          <w:rFonts w:ascii="Verdana" w:hAnsi="Verdana" w:cs="Arial"/>
          <w:color w:val="4472C4" w:themeColor="accent1"/>
          <w:u w:val="single"/>
        </w:rPr>
        <w:t>@colombiacompra</w:t>
      </w:r>
      <w:r w:rsidRPr="00564AAD">
        <w:rPr>
          <w:rFonts w:ascii="Verdana" w:hAnsi="Verdana" w:cs="Arial"/>
          <w:color w:val="4472C4" w:themeColor="accent1"/>
        </w:rPr>
        <w:t xml:space="preserve"> </w:t>
      </w:r>
    </w:p>
    <w:p w14:paraId="1CDBB60D" w14:textId="77777777" w:rsidR="00FD2D57" w:rsidRPr="00564AAD" w:rsidRDefault="00FD2D57" w:rsidP="00FD2D57">
      <w:pPr>
        <w:spacing w:after="0" w:line="240" w:lineRule="auto"/>
        <w:jc w:val="both"/>
        <w:rPr>
          <w:rFonts w:ascii="Verdana" w:hAnsi="Verdana" w:cs="Arial"/>
        </w:rPr>
      </w:pPr>
      <w:r w:rsidRPr="00564AAD">
        <w:rPr>
          <w:rFonts w:ascii="Verdana" w:hAnsi="Verdana" w:cs="Arial"/>
        </w:rPr>
        <w:t xml:space="preserve">Facebook: </w:t>
      </w:r>
      <w:proofErr w:type="spellStart"/>
      <w:r w:rsidRPr="00564AAD">
        <w:rPr>
          <w:rFonts w:ascii="Verdana" w:hAnsi="Verdana" w:cs="Arial"/>
          <w:color w:val="4472C4" w:themeColor="accent1"/>
          <w:u w:val="single"/>
        </w:rPr>
        <w:t>ColombiaCompraEficiente</w:t>
      </w:r>
      <w:proofErr w:type="spellEnd"/>
    </w:p>
    <w:p w14:paraId="33E3E16C" w14:textId="77777777" w:rsidR="00FD2D57" w:rsidRPr="00564AAD" w:rsidRDefault="00FD2D57" w:rsidP="00FD2D57">
      <w:pPr>
        <w:spacing w:after="0" w:line="240" w:lineRule="auto"/>
        <w:jc w:val="both"/>
        <w:rPr>
          <w:rFonts w:ascii="Verdana" w:hAnsi="Verdana" w:cs="Arial"/>
        </w:rPr>
      </w:pPr>
      <w:r w:rsidRPr="00564AAD">
        <w:rPr>
          <w:rFonts w:ascii="Verdana" w:hAnsi="Verdana" w:cs="Arial"/>
        </w:rPr>
        <w:t xml:space="preserve">LinkedIn: </w:t>
      </w:r>
      <w:r w:rsidRPr="00564AAD">
        <w:rPr>
          <w:rFonts w:ascii="Verdana" w:hAnsi="Verdana" w:cs="Arial"/>
          <w:color w:val="4472C4" w:themeColor="accent1"/>
          <w:u w:val="single"/>
        </w:rPr>
        <w:t>Agencia Nacional de Contratación Pública - Colombia Compra Eficiente</w:t>
      </w:r>
      <w:r w:rsidRPr="00564AAD">
        <w:rPr>
          <w:rFonts w:ascii="Verdana" w:hAnsi="Verdana" w:cs="Arial"/>
          <w:color w:val="4472C4" w:themeColor="accent1"/>
        </w:rPr>
        <w:t xml:space="preserve"> </w:t>
      </w:r>
      <w:r w:rsidRPr="00564AAD">
        <w:rPr>
          <w:rFonts w:ascii="Verdana" w:hAnsi="Verdana" w:cs="Arial"/>
        </w:rPr>
        <w:t xml:space="preserve">Instagram: </w:t>
      </w:r>
      <w:r w:rsidRPr="00564AAD">
        <w:rPr>
          <w:rFonts w:ascii="Verdana" w:hAnsi="Verdana" w:cs="Arial"/>
          <w:color w:val="4472C4" w:themeColor="accent1"/>
          <w:u w:val="single"/>
        </w:rPr>
        <w:t>@colombiacompraeficiente_cce</w:t>
      </w:r>
    </w:p>
    <w:p w14:paraId="484BB7C3" w14:textId="77777777" w:rsidR="00FD2D57" w:rsidRPr="00564AAD" w:rsidRDefault="00FD2D57" w:rsidP="00FD2D57">
      <w:pPr>
        <w:widowControl w:val="0"/>
        <w:autoSpaceDE w:val="0"/>
        <w:autoSpaceDN w:val="0"/>
        <w:spacing w:after="0" w:line="276" w:lineRule="auto"/>
        <w:jc w:val="both"/>
        <w:rPr>
          <w:rFonts w:ascii="Verdana" w:hAnsi="Verdana" w:cs="Arial"/>
        </w:rPr>
      </w:pPr>
    </w:p>
    <w:p w14:paraId="1BD59147" w14:textId="77777777" w:rsidR="00FD2D57" w:rsidRPr="0007375E" w:rsidRDefault="00FD2D57" w:rsidP="00FD2D57">
      <w:pPr>
        <w:widowControl w:val="0"/>
        <w:autoSpaceDE w:val="0"/>
        <w:autoSpaceDN w:val="0"/>
        <w:spacing w:after="0" w:line="276" w:lineRule="auto"/>
        <w:jc w:val="both"/>
        <w:rPr>
          <w:rFonts w:ascii="Verdana" w:hAnsi="Verdana" w:cs="Arial"/>
          <w:lang w:val="es-ES_tradnl"/>
        </w:rPr>
      </w:pPr>
      <w:r w:rsidRPr="00564AAD">
        <w:rPr>
          <w:rFonts w:ascii="Verdana" w:hAnsi="Verdana" w:cs="Arial"/>
        </w:rPr>
        <w:t xml:space="preserve">Este concepto tiene el alcance previsto en el artículo 28 del Código de Procedimiento Administrativo y de lo Contencioso Administrativo </w:t>
      </w:r>
      <w:r w:rsidRPr="00564AAD">
        <w:rPr>
          <w:rFonts w:ascii="Verdana" w:hAnsi="Verdana" w:cs="Arial"/>
          <w:lang w:val="es-ES_tradnl"/>
        </w:rPr>
        <w:t>y las expresiones aquí utilizadas con mayúscula inicial deben ser entendidas con el significado que les otorga el artículo 2.2.1.1.1.3.1. del Decreto 1082 de 2015.</w:t>
      </w:r>
    </w:p>
    <w:p w14:paraId="6B3317AC" w14:textId="77777777" w:rsidR="00FD2D57" w:rsidRPr="0007375E" w:rsidRDefault="00FD2D57" w:rsidP="00FD2D57">
      <w:pPr>
        <w:widowControl w:val="0"/>
        <w:autoSpaceDE w:val="0"/>
        <w:autoSpaceDN w:val="0"/>
        <w:spacing w:after="0" w:line="276" w:lineRule="auto"/>
        <w:jc w:val="both"/>
        <w:rPr>
          <w:rFonts w:ascii="Verdana" w:hAnsi="Verdana" w:cs="Arial"/>
          <w:lang w:val="es-ES_tradnl"/>
        </w:rPr>
      </w:pPr>
    </w:p>
    <w:p w14:paraId="22201B3F" w14:textId="77777777" w:rsidR="00FD2D57" w:rsidRPr="0007375E" w:rsidRDefault="00FD2D57" w:rsidP="00FD2D57">
      <w:pPr>
        <w:spacing w:after="0" w:line="240" w:lineRule="auto"/>
        <w:rPr>
          <w:rFonts w:ascii="Verdana" w:hAnsi="Verdana" w:cs="Arial"/>
          <w:lang w:eastAsia="es-CO"/>
        </w:rPr>
      </w:pPr>
      <w:r w:rsidRPr="0007375E">
        <w:rPr>
          <w:rFonts w:ascii="Verdana" w:hAnsi="Verdana" w:cs="Arial"/>
          <w:lang w:eastAsia="es-CO"/>
        </w:rPr>
        <w:t xml:space="preserve">Atentamente, </w:t>
      </w:r>
    </w:p>
    <w:p w14:paraId="44C1F9CE" w14:textId="5DB261D5" w:rsidR="00FD2D57" w:rsidRPr="00564AAD" w:rsidRDefault="00F50436" w:rsidP="00FD2D57">
      <w:pPr>
        <w:spacing w:line="276" w:lineRule="auto"/>
        <w:jc w:val="center"/>
        <w:rPr>
          <w:rFonts w:ascii="Verdana" w:hAnsi="Verdana" w:cs="Arial"/>
          <w:sz w:val="16"/>
          <w:szCs w:val="16"/>
          <w:lang w:eastAsia="es-CO"/>
        </w:rPr>
      </w:pPr>
      <w:r w:rsidRPr="002C3AD6">
        <w:rPr>
          <w:rFonts w:ascii="Century Gothic" w:hAnsi="Century Gothic"/>
          <w:noProof/>
        </w:rPr>
        <w:drawing>
          <wp:inline distT="0" distB="0" distL="0" distR="0" wp14:anchorId="1F60145A" wp14:editId="43F990B8">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8"/>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D2D57" w:rsidRPr="00564AAD" w14:paraId="57BEC282" w14:textId="77777777" w:rsidTr="00807108">
        <w:trPr>
          <w:trHeight w:val="315"/>
        </w:trPr>
        <w:tc>
          <w:tcPr>
            <w:tcW w:w="893" w:type="dxa"/>
            <w:vAlign w:val="center"/>
            <w:hideMark/>
          </w:tcPr>
          <w:bookmarkEnd w:id="0"/>
          <w:p w14:paraId="60993D55" w14:textId="77777777" w:rsidR="00FD2D57" w:rsidRPr="00564AAD" w:rsidRDefault="00FD2D57" w:rsidP="00807108">
            <w:pPr>
              <w:contextualSpacing/>
              <w:rPr>
                <w:rFonts w:ascii="Verdana" w:hAnsi="Verdana" w:cs="Arial"/>
                <w:sz w:val="16"/>
                <w:szCs w:val="16"/>
                <w:lang w:eastAsia="es-CO"/>
              </w:rPr>
            </w:pPr>
            <w:r w:rsidRPr="00564AAD">
              <w:rPr>
                <w:rFonts w:ascii="Verdana" w:hAnsi="Verdana" w:cs="Arial"/>
                <w:sz w:val="16"/>
                <w:szCs w:val="16"/>
                <w:lang w:eastAsia="es-CO"/>
              </w:rPr>
              <w:t>Elaboró:</w:t>
            </w:r>
          </w:p>
        </w:tc>
        <w:tc>
          <w:tcPr>
            <w:tcW w:w="5628" w:type="dxa"/>
            <w:tcBorders>
              <w:top w:val="nil"/>
              <w:left w:val="nil"/>
              <w:bottom w:val="dotted" w:sz="4" w:space="0" w:color="7F7F7F" w:themeColor="text1" w:themeTint="80"/>
              <w:right w:val="nil"/>
            </w:tcBorders>
            <w:vAlign w:val="center"/>
            <w:hideMark/>
          </w:tcPr>
          <w:p w14:paraId="71D2DC7D" w14:textId="77777777" w:rsidR="00FD2D57" w:rsidRPr="00564AAD" w:rsidRDefault="00FD2D57" w:rsidP="00807108">
            <w:pPr>
              <w:contextualSpacing/>
              <w:rPr>
                <w:rFonts w:ascii="Verdana" w:hAnsi="Verdana" w:cs="Arial"/>
                <w:sz w:val="16"/>
                <w:szCs w:val="16"/>
                <w:lang w:eastAsia="es-CO"/>
              </w:rPr>
            </w:pPr>
            <w:r w:rsidRPr="00564AAD">
              <w:rPr>
                <w:rFonts w:ascii="Verdana" w:hAnsi="Verdana" w:cs="Arial"/>
                <w:sz w:val="16"/>
                <w:szCs w:val="16"/>
                <w:lang w:eastAsia="es-CO"/>
              </w:rPr>
              <w:t>Richard Andrés Montenegro Siefken</w:t>
            </w:r>
          </w:p>
          <w:p w14:paraId="416195DB" w14:textId="77777777" w:rsidR="00FD2D57" w:rsidRPr="00564AAD" w:rsidRDefault="00FD2D57" w:rsidP="00807108">
            <w:pPr>
              <w:contextualSpacing/>
              <w:rPr>
                <w:rFonts w:ascii="Verdana" w:hAnsi="Verdana" w:cs="Arial"/>
                <w:sz w:val="16"/>
                <w:szCs w:val="16"/>
                <w:lang w:eastAsia="es-CO"/>
              </w:rPr>
            </w:pPr>
            <w:r w:rsidRPr="00564AAD">
              <w:rPr>
                <w:rFonts w:ascii="Verdana" w:hAnsi="Verdana" w:cs="Arial"/>
                <w:sz w:val="16"/>
                <w:szCs w:val="16"/>
                <w:lang w:eastAsia="es-CO"/>
              </w:rPr>
              <w:t>Contratista de la Subdirección de Gestión Contractual</w:t>
            </w:r>
          </w:p>
        </w:tc>
      </w:tr>
      <w:tr w:rsidR="00FD2D57" w:rsidRPr="00564AAD" w14:paraId="6C272B43" w14:textId="77777777" w:rsidTr="00807108">
        <w:trPr>
          <w:trHeight w:val="330"/>
        </w:trPr>
        <w:tc>
          <w:tcPr>
            <w:tcW w:w="893" w:type="dxa"/>
            <w:vAlign w:val="center"/>
            <w:hideMark/>
          </w:tcPr>
          <w:p w14:paraId="4C38C7CC" w14:textId="77777777" w:rsidR="00FD2D57" w:rsidRPr="00564AAD" w:rsidRDefault="00FD2D57" w:rsidP="00807108">
            <w:pPr>
              <w:contextualSpacing/>
              <w:rPr>
                <w:rFonts w:ascii="Verdana" w:hAnsi="Verdana" w:cs="Arial"/>
                <w:sz w:val="16"/>
                <w:szCs w:val="16"/>
                <w:lang w:eastAsia="es-CO"/>
              </w:rPr>
            </w:pPr>
            <w:r w:rsidRPr="00564AAD">
              <w:rPr>
                <w:rFonts w:ascii="Verdana" w:hAnsi="Verdana" w:cs="Arial"/>
                <w:sz w:val="16"/>
                <w:szCs w:val="16"/>
                <w:lang w:eastAsia="es-CO"/>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955BD65" w14:textId="7B255F98" w:rsidR="00FD2D57" w:rsidRPr="00564AAD" w:rsidRDefault="00564AAD" w:rsidP="00807108">
            <w:pPr>
              <w:contextualSpacing/>
              <w:textAlignment w:val="baseline"/>
              <w:rPr>
                <w:rFonts w:ascii="Verdana" w:hAnsi="Verdana" w:cs="Arial"/>
                <w:sz w:val="16"/>
                <w:szCs w:val="16"/>
                <w:lang w:eastAsia="es-CO"/>
              </w:rPr>
            </w:pPr>
            <w:r>
              <w:rPr>
                <w:rFonts w:ascii="Verdana" w:hAnsi="Verdana" w:cs="Arial"/>
                <w:sz w:val="16"/>
                <w:szCs w:val="16"/>
                <w:lang w:eastAsia="es-CO"/>
              </w:rPr>
              <w:t>Juan David Cardenas Cabezas</w:t>
            </w:r>
          </w:p>
          <w:p w14:paraId="294F8ED4" w14:textId="7BD86FD8" w:rsidR="00FD2D57" w:rsidRPr="00564AAD" w:rsidRDefault="00564AAD" w:rsidP="00807108">
            <w:pPr>
              <w:contextualSpacing/>
              <w:textAlignment w:val="baseline"/>
              <w:rPr>
                <w:rFonts w:ascii="Verdana" w:hAnsi="Verdana" w:cs="Arial"/>
                <w:sz w:val="16"/>
                <w:szCs w:val="16"/>
                <w:lang w:eastAsia="es-CO"/>
              </w:rPr>
            </w:pPr>
            <w:r>
              <w:rPr>
                <w:rFonts w:ascii="Arial" w:hAnsi="Arial" w:cs="Arial"/>
                <w:sz w:val="16"/>
                <w:szCs w:val="16"/>
                <w:lang w:eastAsia="es-ES"/>
              </w:rPr>
              <w:t>Contratista</w:t>
            </w:r>
            <w:r w:rsidR="00FD2D57" w:rsidRPr="00564AAD">
              <w:rPr>
                <w:rFonts w:ascii="Arial" w:hAnsi="Arial" w:cs="Arial"/>
                <w:sz w:val="16"/>
                <w:szCs w:val="16"/>
                <w:lang w:eastAsia="es-ES"/>
              </w:rPr>
              <w:t xml:space="preserve"> de la Subdirección de Gestión Contractual</w:t>
            </w:r>
          </w:p>
        </w:tc>
      </w:tr>
      <w:tr w:rsidR="00FD2D57" w:rsidRPr="00564AAD" w14:paraId="4F9BB70A" w14:textId="77777777" w:rsidTr="00807108">
        <w:trPr>
          <w:trHeight w:val="300"/>
        </w:trPr>
        <w:tc>
          <w:tcPr>
            <w:tcW w:w="893" w:type="dxa"/>
            <w:vAlign w:val="center"/>
          </w:tcPr>
          <w:p w14:paraId="35B397C9" w14:textId="77777777" w:rsidR="00FD2D57" w:rsidRPr="00564AAD" w:rsidRDefault="00FD2D57" w:rsidP="00807108">
            <w:pPr>
              <w:contextualSpacing/>
              <w:rPr>
                <w:rFonts w:ascii="Verdana" w:hAnsi="Verdana" w:cs="Arial"/>
                <w:sz w:val="16"/>
                <w:szCs w:val="16"/>
                <w:lang w:eastAsia="es-CO"/>
              </w:rPr>
            </w:pPr>
            <w:r w:rsidRPr="00564AAD">
              <w:rPr>
                <w:rFonts w:ascii="Verdana" w:hAnsi="Verdana" w:cs="Arial"/>
                <w:sz w:val="16"/>
                <w:szCs w:val="16"/>
                <w:lang w:eastAsia="es-CO"/>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5D2C9F8" w14:textId="77777777" w:rsidR="00FD2D57" w:rsidRPr="00564AAD" w:rsidRDefault="00FD2D57" w:rsidP="00807108">
            <w:pPr>
              <w:contextualSpacing/>
              <w:rPr>
                <w:rFonts w:ascii="Verdana" w:hAnsi="Verdana" w:cs="Arial"/>
                <w:sz w:val="16"/>
                <w:szCs w:val="16"/>
                <w:lang w:eastAsia="es-CO"/>
              </w:rPr>
            </w:pPr>
            <w:r w:rsidRPr="00564AAD">
              <w:rPr>
                <w:rFonts w:ascii="Verdana" w:hAnsi="Verdana" w:cs="Arial"/>
                <w:sz w:val="16"/>
                <w:szCs w:val="16"/>
                <w:lang w:eastAsia="es-CO"/>
              </w:rPr>
              <w:t>Carolina Quintero Gacharná</w:t>
            </w:r>
          </w:p>
          <w:p w14:paraId="429B01AA" w14:textId="77777777" w:rsidR="00FD2D57" w:rsidRPr="00564AAD" w:rsidRDefault="00FD2D57" w:rsidP="00807108">
            <w:pPr>
              <w:contextualSpacing/>
              <w:rPr>
                <w:rFonts w:ascii="Verdana" w:hAnsi="Verdana" w:cs="Arial"/>
                <w:sz w:val="16"/>
                <w:szCs w:val="16"/>
                <w:lang w:eastAsia="es-CO"/>
              </w:rPr>
            </w:pPr>
            <w:r w:rsidRPr="00564AAD">
              <w:rPr>
                <w:rFonts w:ascii="Verdana" w:hAnsi="Verdana" w:cs="Arial"/>
                <w:sz w:val="16"/>
                <w:szCs w:val="16"/>
                <w:lang w:eastAsia="es-CO"/>
              </w:rPr>
              <w:t>Subdirectora de Gestión Contractual ANCP – CCE</w:t>
            </w:r>
          </w:p>
        </w:tc>
      </w:tr>
    </w:tbl>
    <w:p w14:paraId="23C9E422" w14:textId="77777777" w:rsidR="00FD2D57" w:rsidRPr="00547404" w:rsidRDefault="00FD2D57" w:rsidP="00FD2D57"/>
    <w:p w14:paraId="0F293BF4" w14:textId="5C124CF4" w:rsidR="00127233" w:rsidRPr="00A2275B" w:rsidRDefault="00127233" w:rsidP="00A2275B"/>
    <w:sectPr w:rsidR="00127233" w:rsidRPr="00A2275B"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22955A" w14:textId="77777777" w:rsidR="00321938" w:rsidRDefault="00321938" w:rsidP="004A1847">
      <w:pPr>
        <w:spacing w:after="0" w:line="240" w:lineRule="auto"/>
      </w:pPr>
      <w:r>
        <w:separator/>
      </w:r>
    </w:p>
  </w:endnote>
  <w:endnote w:type="continuationSeparator" w:id="0">
    <w:p w14:paraId="207C15FF" w14:textId="77777777" w:rsidR="00321938" w:rsidRDefault="00321938" w:rsidP="004A1847">
      <w:pPr>
        <w:spacing w:after="0" w:line="240" w:lineRule="auto"/>
      </w:pPr>
      <w:r>
        <w:continuationSeparator/>
      </w:r>
    </w:p>
  </w:endnote>
  <w:endnote w:type="continuationNotice" w:id="1">
    <w:p w14:paraId="54D1D6D7" w14:textId="77777777" w:rsidR="00321938" w:rsidRDefault="0032193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566016" w14:textId="77777777" w:rsidR="00321938" w:rsidRDefault="00321938" w:rsidP="004A1847">
      <w:pPr>
        <w:spacing w:after="0" w:line="240" w:lineRule="auto"/>
      </w:pPr>
      <w:r>
        <w:separator/>
      </w:r>
    </w:p>
  </w:footnote>
  <w:footnote w:type="continuationSeparator" w:id="0">
    <w:p w14:paraId="4EA2FBE6" w14:textId="77777777" w:rsidR="00321938" w:rsidRDefault="00321938" w:rsidP="004A1847">
      <w:pPr>
        <w:spacing w:after="0" w:line="240" w:lineRule="auto"/>
      </w:pPr>
      <w:r>
        <w:continuationSeparator/>
      </w:r>
    </w:p>
  </w:footnote>
  <w:footnote w:type="continuationNotice" w:id="1">
    <w:p w14:paraId="56B27EB5" w14:textId="77777777" w:rsidR="00321938" w:rsidRDefault="00321938">
      <w:pPr>
        <w:spacing w:after="0" w:line="240" w:lineRule="auto"/>
      </w:pPr>
    </w:p>
  </w:footnote>
  <w:footnote w:id="2">
    <w:p w14:paraId="34256458" w14:textId="77777777" w:rsidR="00FD2D57" w:rsidRPr="003E2347" w:rsidRDefault="00FD2D57" w:rsidP="003E2347">
      <w:pPr>
        <w:pStyle w:val="Textonotapie"/>
        <w:ind w:firstLine="708"/>
        <w:jc w:val="both"/>
        <w:rPr>
          <w:rFonts w:ascii="Verdana" w:hAnsi="Verdana" w:cs="Arial"/>
          <w:sz w:val="16"/>
          <w:szCs w:val="16"/>
        </w:rPr>
      </w:pPr>
      <w:r w:rsidRPr="003E2347">
        <w:rPr>
          <w:rStyle w:val="Refdenotaalpie"/>
          <w:rFonts w:ascii="Verdana" w:hAnsi="Verdana"/>
          <w:sz w:val="16"/>
          <w:szCs w:val="16"/>
        </w:rPr>
        <w:footnoteRef/>
      </w:r>
      <w:r w:rsidRPr="003E2347">
        <w:rPr>
          <w:rFonts w:ascii="Verdana" w:hAnsi="Verdana"/>
          <w:sz w:val="16"/>
          <w:szCs w:val="16"/>
        </w:rPr>
        <w:t xml:space="preserve"> </w:t>
      </w:r>
      <w:r w:rsidRPr="003E2347">
        <w:rPr>
          <w:rFonts w:ascii="Verdana" w:hAnsi="Verdana" w:cs="Arial"/>
          <w:sz w:val="16"/>
          <w:szCs w:val="16"/>
        </w:rPr>
        <w:t>“Artículo 69. Se garantiza la autonomía universitaria. Las universidades podrán darse sus directivas y regirse por sus</w:t>
      </w:r>
      <w:r w:rsidRPr="003E2347">
        <w:rPr>
          <w:rFonts w:ascii="Verdana" w:hAnsi="Verdana" w:cs="Arial"/>
          <w:spacing w:val="-2"/>
          <w:sz w:val="16"/>
          <w:szCs w:val="16"/>
        </w:rPr>
        <w:t xml:space="preserve"> </w:t>
      </w:r>
      <w:r w:rsidRPr="003E2347">
        <w:rPr>
          <w:rFonts w:ascii="Verdana" w:hAnsi="Verdana" w:cs="Arial"/>
          <w:sz w:val="16"/>
          <w:szCs w:val="16"/>
        </w:rPr>
        <w:t>propios</w:t>
      </w:r>
      <w:r w:rsidRPr="003E2347">
        <w:rPr>
          <w:rFonts w:ascii="Verdana" w:hAnsi="Verdana" w:cs="Arial"/>
          <w:spacing w:val="-2"/>
          <w:sz w:val="16"/>
          <w:szCs w:val="16"/>
        </w:rPr>
        <w:t xml:space="preserve"> </w:t>
      </w:r>
      <w:r w:rsidRPr="003E2347">
        <w:rPr>
          <w:rFonts w:ascii="Verdana" w:hAnsi="Verdana" w:cs="Arial"/>
          <w:sz w:val="16"/>
          <w:szCs w:val="16"/>
        </w:rPr>
        <w:t>estatutos,</w:t>
      </w:r>
      <w:r w:rsidRPr="003E2347">
        <w:rPr>
          <w:rFonts w:ascii="Verdana" w:hAnsi="Verdana" w:cs="Arial"/>
          <w:spacing w:val="-4"/>
          <w:sz w:val="16"/>
          <w:szCs w:val="16"/>
        </w:rPr>
        <w:t xml:space="preserve"> </w:t>
      </w:r>
      <w:r w:rsidRPr="003E2347">
        <w:rPr>
          <w:rFonts w:ascii="Verdana" w:hAnsi="Verdana" w:cs="Arial"/>
          <w:sz w:val="16"/>
          <w:szCs w:val="16"/>
        </w:rPr>
        <w:t>de</w:t>
      </w:r>
      <w:r w:rsidRPr="003E2347">
        <w:rPr>
          <w:rFonts w:ascii="Verdana" w:hAnsi="Verdana" w:cs="Arial"/>
          <w:spacing w:val="-4"/>
          <w:sz w:val="16"/>
          <w:szCs w:val="16"/>
        </w:rPr>
        <w:t xml:space="preserve"> </w:t>
      </w:r>
      <w:r w:rsidRPr="003E2347">
        <w:rPr>
          <w:rFonts w:ascii="Verdana" w:hAnsi="Verdana" w:cs="Arial"/>
          <w:sz w:val="16"/>
          <w:szCs w:val="16"/>
        </w:rPr>
        <w:t>acuerdo</w:t>
      </w:r>
      <w:r w:rsidRPr="003E2347">
        <w:rPr>
          <w:rFonts w:ascii="Verdana" w:hAnsi="Verdana" w:cs="Arial"/>
          <w:spacing w:val="-4"/>
          <w:sz w:val="16"/>
          <w:szCs w:val="16"/>
        </w:rPr>
        <w:t xml:space="preserve"> </w:t>
      </w:r>
      <w:r w:rsidRPr="003E2347">
        <w:rPr>
          <w:rFonts w:ascii="Verdana" w:hAnsi="Verdana" w:cs="Arial"/>
          <w:sz w:val="16"/>
          <w:szCs w:val="16"/>
        </w:rPr>
        <w:t>con</w:t>
      </w:r>
      <w:r w:rsidRPr="003E2347">
        <w:rPr>
          <w:rFonts w:ascii="Verdana" w:hAnsi="Verdana" w:cs="Arial"/>
          <w:spacing w:val="-1"/>
          <w:sz w:val="16"/>
          <w:szCs w:val="16"/>
        </w:rPr>
        <w:t xml:space="preserve"> </w:t>
      </w:r>
      <w:r w:rsidRPr="003E2347">
        <w:rPr>
          <w:rFonts w:ascii="Verdana" w:hAnsi="Verdana" w:cs="Arial"/>
          <w:sz w:val="16"/>
          <w:szCs w:val="16"/>
        </w:rPr>
        <w:t>la</w:t>
      </w:r>
      <w:r w:rsidRPr="003E2347">
        <w:rPr>
          <w:rFonts w:ascii="Verdana" w:hAnsi="Verdana" w:cs="Arial"/>
          <w:spacing w:val="-1"/>
          <w:sz w:val="16"/>
          <w:szCs w:val="16"/>
        </w:rPr>
        <w:t xml:space="preserve"> </w:t>
      </w:r>
      <w:r w:rsidRPr="003E2347">
        <w:rPr>
          <w:rFonts w:ascii="Verdana" w:hAnsi="Verdana" w:cs="Arial"/>
          <w:sz w:val="16"/>
          <w:szCs w:val="16"/>
        </w:rPr>
        <w:t>ley.</w:t>
      </w:r>
      <w:r w:rsidRPr="003E2347">
        <w:rPr>
          <w:rFonts w:ascii="Verdana" w:hAnsi="Verdana" w:cs="Arial"/>
          <w:spacing w:val="-2"/>
          <w:sz w:val="16"/>
          <w:szCs w:val="16"/>
        </w:rPr>
        <w:t xml:space="preserve"> </w:t>
      </w:r>
      <w:r w:rsidRPr="003E2347">
        <w:rPr>
          <w:rFonts w:ascii="Verdana" w:hAnsi="Verdana" w:cs="Arial"/>
          <w:sz w:val="16"/>
          <w:szCs w:val="16"/>
        </w:rPr>
        <w:t>La</w:t>
      </w:r>
      <w:r w:rsidRPr="003E2347">
        <w:rPr>
          <w:rFonts w:ascii="Verdana" w:hAnsi="Verdana" w:cs="Arial"/>
          <w:spacing w:val="-1"/>
          <w:sz w:val="16"/>
          <w:szCs w:val="16"/>
        </w:rPr>
        <w:t xml:space="preserve"> </w:t>
      </w:r>
      <w:r w:rsidRPr="003E2347">
        <w:rPr>
          <w:rFonts w:ascii="Verdana" w:hAnsi="Verdana" w:cs="Arial"/>
          <w:sz w:val="16"/>
          <w:szCs w:val="16"/>
        </w:rPr>
        <w:t>ley</w:t>
      </w:r>
      <w:r w:rsidRPr="003E2347">
        <w:rPr>
          <w:rFonts w:ascii="Verdana" w:hAnsi="Verdana" w:cs="Arial"/>
          <w:spacing w:val="-5"/>
          <w:sz w:val="16"/>
          <w:szCs w:val="16"/>
        </w:rPr>
        <w:t xml:space="preserve"> </w:t>
      </w:r>
      <w:r w:rsidRPr="003E2347">
        <w:rPr>
          <w:rFonts w:ascii="Verdana" w:hAnsi="Verdana" w:cs="Arial"/>
          <w:sz w:val="16"/>
          <w:szCs w:val="16"/>
        </w:rPr>
        <w:t>establecerá</w:t>
      </w:r>
      <w:r w:rsidRPr="003E2347">
        <w:rPr>
          <w:rFonts w:ascii="Verdana" w:hAnsi="Verdana" w:cs="Arial"/>
          <w:spacing w:val="-1"/>
          <w:sz w:val="16"/>
          <w:szCs w:val="16"/>
        </w:rPr>
        <w:t xml:space="preserve"> </w:t>
      </w:r>
      <w:r w:rsidRPr="003E2347">
        <w:rPr>
          <w:rFonts w:ascii="Verdana" w:hAnsi="Verdana" w:cs="Arial"/>
          <w:sz w:val="16"/>
          <w:szCs w:val="16"/>
        </w:rPr>
        <w:t>un</w:t>
      </w:r>
      <w:r w:rsidRPr="003E2347">
        <w:rPr>
          <w:rFonts w:ascii="Verdana" w:hAnsi="Verdana" w:cs="Arial"/>
          <w:spacing w:val="-1"/>
          <w:sz w:val="16"/>
          <w:szCs w:val="16"/>
        </w:rPr>
        <w:t xml:space="preserve"> </w:t>
      </w:r>
      <w:r w:rsidRPr="003E2347">
        <w:rPr>
          <w:rFonts w:ascii="Verdana" w:hAnsi="Verdana" w:cs="Arial"/>
          <w:sz w:val="16"/>
          <w:szCs w:val="16"/>
        </w:rPr>
        <w:t>régimen</w:t>
      </w:r>
      <w:r w:rsidRPr="003E2347">
        <w:rPr>
          <w:rFonts w:ascii="Verdana" w:hAnsi="Verdana" w:cs="Arial"/>
          <w:spacing w:val="-4"/>
          <w:sz w:val="16"/>
          <w:szCs w:val="16"/>
        </w:rPr>
        <w:t xml:space="preserve"> </w:t>
      </w:r>
      <w:r w:rsidRPr="003E2347">
        <w:rPr>
          <w:rFonts w:ascii="Verdana" w:hAnsi="Verdana" w:cs="Arial"/>
          <w:sz w:val="16"/>
          <w:szCs w:val="16"/>
        </w:rPr>
        <w:t>especial</w:t>
      </w:r>
      <w:r w:rsidRPr="003E2347">
        <w:rPr>
          <w:rFonts w:ascii="Verdana" w:hAnsi="Verdana" w:cs="Arial"/>
          <w:spacing w:val="-5"/>
          <w:sz w:val="16"/>
          <w:szCs w:val="16"/>
        </w:rPr>
        <w:t xml:space="preserve"> </w:t>
      </w:r>
      <w:r w:rsidRPr="003E2347">
        <w:rPr>
          <w:rFonts w:ascii="Verdana" w:hAnsi="Verdana" w:cs="Arial"/>
          <w:sz w:val="16"/>
          <w:szCs w:val="16"/>
        </w:rPr>
        <w:t>para</w:t>
      </w:r>
      <w:r w:rsidRPr="003E2347">
        <w:rPr>
          <w:rFonts w:ascii="Verdana" w:hAnsi="Verdana" w:cs="Arial"/>
          <w:spacing w:val="-1"/>
          <w:sz w:val="16"/>
          <w:szCs w:val="16"/>
        </w:rPr>
        <w:t xml:space="preserve"> </w:t>
      </w:r>
      <w:r w:rsidRPr="003E2347">
        <w:rPr>
          <w:rFonts w:ascii="Verdana" w:hAnsi="Verdana" w:cs="Arial"/>
          <w:sz w:val="16"/>
          <w:szCs w:val="16"/>
        </w:rPr>
        <w:t>las</w:t>
      </w:r>
      <w:r w:rsidRPr="003E2347">
        <w:rPr>
          <w:rFonts w:ascii="Verdana" w:hAnsi="Verdana" w:cs="Arial"/>
          <w:spacing w:val="-5"/>
          <w:sz w:val="16"/>
          <w:szCs w:val="16"/>
        </w:rPr>
        <w:t xml:space="preserve"> </w:t>
      </w:r>
      <w:r w:rsidRPr="003E2347">
        <w:rPr>
          <w:rFonts w:ascii="Verdana" w:hAnsi="Verdana" w:cs="Arial"/>
          <w:sz w:val="16"/>
          <w:szCs w:val="16"/>
        </w:rPr>
        <w:t>universidades</w:t>
      </w:r>
      <w:r w:rsidRPr="003E2347">
        <w:rPr>
          <w:rFonts w:ascii="Verdana" w:hAnsi="Verdana" w:cs="Arial"/>
          <w:spacing w:val="-2"/>
          <w:sz w:val="16"/>
          <w:szCs w:val="16"/>
        </w:rPr>
        <w:t xml:space="preserve"> </w:t>
      </w:r>
      <w:r w:rsidRPr="003E2347">
        <w:rPr>
          <w:rFonts w:ascii="Verdana" w:hAnsi="Verdana" w:cs="Arial"/>
          <w:sz w:val="16"/>
          <w:szCs w:val="16"/>
        </w:rPr>
        <w:t>del</w:t>
      </w:r>
      <w:r w:rsidRPr="003E2347">
        <w:rPr>
          <w:rFonts w:ascii="Verdana" w:hAnsi="Verdana" w:cs="Arial"/>
          <w:spacing w:val="-3"/>
          <w:sz w:val="16"/>
          <w:szCs w:val="16"/>
        </w:rPr>
        <w:t xml:space="preserve"> </w:t>
      </w:r>
      <w:r w:rsidRPr="003E2347">
        <w:rPr>
          <w:rFonts w:ascii="Verdana" w:hAnsi="Verdana" w:cs="Arial"/>
          <w:sz w:val="16"/>
          <w:szCs w:val="16"/>
        </w:rPr>
        <w:t>Estado”.</w:t>
      </w:r>
    </w:p>
    <w:p w14:paraId="1987489B" w14:textId="77777777" w:rsidR="00FD2D57" w:rsidRPr="003E2347" w:rsidRDefault="00FD2D57" w:rsidP="003E2347">
      <w:pPr>
        <w:pStyle w:val="Textonotapie"/>
        <w:ind w:firstLine="708"/>
        <w:jc w:val="both"/>
        <w:rPr>
          <w:rFonts w:ascii="Verdana" w:hAnsi="Verdana"/>
          <w:sz w:val="16"/>
          <w:szCs w:val="16"/>
        </w:rPr>
      </w:pPr>
    </w:p>
  </w:footnote>
  <w:footnote w:id="3">
    <w:p w14:paraId="75F92478" w14:textId="77777777" w:rsidR="00FD2D57" w:rsidRPr="003E2347" w:rsidRDefault="00FD2D57" w:rsidP="00FD2D57">
      <w:pPr>
        <w:pStyle w:val="Textonotapie"/>
        <w:ind w:firstLine="708"/>
        <w:jc w:val="both"/>
        <w:rPr>
          <w:rFonts w:ascii="Verdana" w:hAnsi="Verdana" w:cs="Arial"/>
          <w:sz w:val="16"/>
          <w:szCs w:val="16"/>
        </w:rPr>
      </w:pPr>
      <w:r w:rsidRPr="003E2347">
        <w:rPr>
          <w:rStyle w:val="Refdenotaalpie"/>
          <w:rFonts w:ascii="Verdana" w:hAnsi="Verdana" w:cs="Arial"/>
          <w:sz w:val="16"/>
          <w:szCs w:val="16"/>
        </w:rPr>
        <w:footnoteRef/>
      </w:r>
      <w:r w:rsidRPr="003E2347">
        <w:rPr>
          <w:rFonts w:ascii="Verdana" w:hAnsi="Verdana" w:cs="Arial"/>
          <w:sz w:val="16"/>
          <w:szCs w:val="16"/>
        </w:rPr>
        <w:t xml:space="preserve"> “Artículo 57. Las universidades estatales u oficiales deben organizarse como entes universitarios autónomos, con régimen especial y vinculados al Ministerio de Educación Nacional en lo que se refiere a las políticas y la planeación del sector educativo.</w:t>
      </w:r>
    </w:p>
    <w:p w14:paraId="472BC904" w14:textId="77777777" w:rsidR="00FD2D57" w:rsidRPr="003E2347" w:rsidRDefault="00FD2D57" w:rsidP="00FD2D57">
      <w:pPr>
        <w:pStyle w:val="Textonotapie"/>
        <w:ind w:firstLine="708"/>
        <w:jc w:val="both"/>
        <w:rPr>
          <w:rFonts w:ascii="Verdana" w:hAnsi="Verdana" w:cs="Arial"/>
          <w:sz w:val="16"/>
          <w:szCs w:val="16"/>
        </w:rPr>
      </w:pPr>
      <w:r w:rsidRPr="003E2347">
        <w:rPr>
          <w:rFonts w:ascii="Verdana" w:hAnsi="Verdana" w:cs="Arial"/>
          <w:sz w:val="16"/>
          <w:szCs w:val="16"/>
        </w:rPr>
        <w:t>“Los entes universitarios autónomos tendrán las siguientes características: Personería jurídica, autonomía académica, administrativa y financiera, patrimonio independiente y podrán elaborar y manejar su presupuesto de acuerdo con las funciones que le corresponden.</w:t>
      </w:r>
    </w:p>
    <w:p w14:paraId="775C1F68" w14:textId="77777777" w:rsidR="00FD2D57" w:rsidRPr="003E2347" w:rsidRDefault="00FD2D57" w:rsidP="00FD2D57">
      <w:pPr>
        <w:pStyle w:val="Textonotapie"/>
        <w:jc w:val="both"/>
        <w:rPr>
          <w:rFonts w:ascii="Verdana" w:hAnsi="Verdana" w:cs="Arial"/>
          <w:sz w:val="16"/>
          <w:szCs w:val="16"/>
          <w:lang w:val="es-CO"/>
        </w:rPr>
      </w:pPr>
      <w:r w:rsidRPr="003E2347">
        <w:rPr>
          <w:rFonts w:ascii="Verdana" w:hAnsi="Verdana" w:cs="Arial"/>
          <w:sz w:val="16"/>
          <w:szCs w:val="16"/>
        </w:rPr>
        <w:tab/>
      </w:r>
      <w:r w:rsidRPr="003E2347">
        <w:rPr>
          <w:rFonts w:ascii="Verdana" w:hAnsi="Verdana" w:cs="Arial"/>
          <w:sz w:val="16"/>
          <w:szCs w:val="16"/>
          <w:lang w:val="es-CO"/>
        </w:rPr>
        <w:t>“El carácter especial del régimen de las universidades estatales u oficiales, comprenderá la organización y elección de directivas, del personal docente y administrativo, el sistema de las universidades estatales u oficiales, el régimen financiero, el régimen de contratación y control fiscal y su propia seguridad social en salud, de acuerdo con la presente ley”.</w:t>
      </w:r>
    </w:p>
    <w:p w14:paraId="242DD816" w14:textId="77777777" w:rsidR="00FD2D57" w:rsidRPr="003E2347" w:rsidRDefault="00FD2D57" w:rsidP="00FD2D57">
      <w:pPr>
        <w:pStyle w:val="Textonotapie"/>
        <w:jc w:val="both"/>
        <w:rPr>
          <w:rFonts w:ascii="Verdana" w:hAnsi="Verdana" w:cs="Arial"/>
          <w:sz w:val="16"/>
          <w:szCs w:val="16"/>
          <w:lang w:val="es-ES"/>
        </w:rPr>
      </w:pPr>
    </w:p>
  </w:footnote>
  <w:footnote w:id="4">
    <w:p w14:paraId="0DC78ED9" w14:textId="77777777" w:rsidR="00FD2D57" w:rsidRPr="003E2347" w:rsidRDefault="00FD2D57" w:rsidP="00FD2D57">
      <w:pPr>
        <w:spacing w:after="0"/>
        <w:ind w:right="110" w:firstLine="708"/>
        <w:jc w:val="both"/>
        <w:rPr>
          <w:rFonts w:ascii="Verdana" w:hAnsi="Verdana" w:cs="Arial"/>
          <w:sz w:val="16"/>
          <w:szCs w:val="16"/>
        </w:rPr>
      </w:pPr>
      <w:r w:rsidRPr="003E2347">
        <w:rPr>
          <w:rStyle w:val="Refdenotaalpie"/>
          <w:rFonts w:ascii="Verdana" w:hAnsi="Verdana"/>
          <w:sz w:val="16"/>
          <w:szCs w:val="16"/>
        </w:rPr>
        <w:footnoteRef/>
      </w:r>
      <w:r w:rsidRPr="003E2347">
        <w:rPr>
          <w:rFonts w:ascii="Verdana" w:hAnsi="Verdana"/>
          <w:sz w:val="16"/>
          <w:szCs w:val="16"/>
        </w:rPr>
        <w:t xml:space="preserve"> </w:t>
      </w:r>
      <w:r w:rsidRPr="003E2347">
        <w:rPr>
          <w:rFonts w:ascii="Verdana" w:hAnsi="Verdana" w:cs="Arial"/>
          <w:sz w:val="16"/>
          <w:szCs w:val="16"/>
        </w:rPr>
        <w:t>“Artículo 93. Salvo las excepciones consagradas en la presente ley, los contratos que para el cumplimiento de sus funciones celebren las universidades estatales u oficiales, se regirán por las normas del derecho privado y sus efectos estarán sujetos a las normas civiles y comerciales, según la naturaleza de los</w:t>
      </w:r>
      <w:r w:rsidRPr="003E2347">
        <w:rPr>
          <w:rFonts w:ascii="Verdana" w:hAnsi="Verdana" w:cs="Arial"/>
          <w:spacing w:val="-16"/>
          <w:sz w:val="16"/>
          <w:szCs w:val="16"/>
        </w:rPr>
        <w:t xml:space="preserve"> </w:t>
      </w:r>
      <w:r w:rsidRPr="003E2347">
        <w:rPr>
          <w:rFonts w:ascii="Verdana" w:hAnsi="Verdana" w:cs="Arial"/>
          <w:sz w:val="16"/>
          <w:szCs w:val="16"/>
        </w:rPr>
        <w:t>contratos».</w:t>
      </w:r>
    </w:p>
    <w:p w14:paraId="3BBFDFEB" w14:textId="77777777" w:rsidR="00FD2D57" w:rsidRPr="003E2347" w:rsidRDefault="00FD2D57" w:rsidP="003E2347">
      <w:pPr>
        <w:pStyle w:val="Textonotapie"/>
        <w:jc w:val="both"/>
        <w:rPr>
          <w:rFonts w:ascii="Verdana" w:hAnsi="Verdana"/>
          <w:sz w:val="16"/>
          <w:szCs w:val="16"/>
        </w:rPr>
      </w:pPr>
    </w:p>
  </w:footnote>
  <w:footnote w:id="5">
    <w:p w14:paraId="4AFDFFFB" w14:textId="77777777" w:rsidR="00FD2D57" w:rsidRPr="003E2347" w:rsidRDefault="00FD2D57" w:rsidP="00FD2D57">
      <w:pPr>
        <w:spacing w:after="0"/>
        <w:ind w:right="106" w:firstLine="708"/>
        <w:jc w:val="both"/>
        <w:rPr>
          <w:rFonts w:ascii="Verdana" w:hAnsi="Verdana" w:cs="Arial"/>
          <w:sz w:val="16"/>
          <w:szCs w:val="16"/>
        </w:rPr>
      </w:pPr>
      <w:r w:rsidRPr="003E2347">
        <w:rPr>
          <w:rStyle w:val="Refdenotaalpie"/>
          <w:rFonts w:ascii="Verdana" w:hAnsi="Verdana" w:cs="Arial"/>
          <w:sz w:val="16"/>
          <w:szCs w:val="16"/>
        </w:rPr>
        <w:footnoteRef/>
      </w:r>
      <w:r w:rsidRPr="003E2347">
        <w:rPr>
          <w:rFonts w:ascii="Verdana" w:hAnsi="Verdana" w:cs="Arial"/>
          <w:sz w:val="16"/>
          <w:szCs w:val="16"/>
        </w:rPr>
        <w:t xml:space="preserve"> “Artículo 39. Integración de la Administración Pública. La Administración Pública se integra por los organismos que conforman la Rama Ejecutiva del Poder Público y por todos los demás organismos y entidades de naturaleza pública que de manera permanente tienen a su cargo el ejercicio de las actividades y funciones administrativas o la prestación de servicios públicos del Estado Colombiano”.</w:t>
      </w:r>
    </w:p>
    <w:p w14:paraId="0D521036" w14:textId="77777777" w:rsidR="00FD2D57" w:rsidRPr="003E2347" w:rsidRDefault="00FD2D57" w:rsidP="00FD2D57">
      <w:pPr>
        <w:spacing w:after="0"/>
        <w:ind w:right="106" w:firstLine="708"/>
        <w:jc w:val="both"/>
        <w:rPr>
          <w:rFonts w:ascii="Verdana" w:hAnsi="Verdana" w:cs="Arial"/>
          <w:sz w:val="16"/>
          <w:szCs w:val="16"/>
        </w:rPr>
      </w:pPr>
    </w:p>
  </w:footnote>
  <w:footnote w:id="6">
    <w:p w14:paraId="20449ACC" w14:textId="77777777" w:rsidR="00FD2D57" w:rsidRPr="003E2347" w:rsidRDefault="00FD2D57" w:rsidP="00FD2D57">
      <w:pPr>
        <w:spacing w:after="0"/>
        <w:ind w:right="106" w:firstLine="708"/>
        <w:jc w:val="both"/>
        <w:rPr>
          <w:rFonts w:ascii="Verdana" w:hAnsi="Verdana" w:cs="Arial"/>
          <w:sz w:val="16"/>
          <w:szCs w:val="16"/>
        </w:rPr>
      </w:pPr>
      <w:r w:rsidRPr="003E2347">
        <w:rPr>
          <w:rStyle w:val="Refdenotaalpie"/>
          <w:rFonts w:ascii="Verdana" w:hAnsi="Verdana" w:cs="Arial"/>
          <w:sz w:val="16"/>
          <w:szCs w:val="16"/>
        </w:rPr>
        <w:footnoteRef/>
      </w:r>
      <w:r w:rsidRPr="003E2347">
        <w:rPr>
          <w:rFonts w:ascii="Verdana" w:hAnsi="Verdana" w:cs="Arial"/>
          <w:sz w:val="16"/>
          <w:szCs w:val="16"/>
        </w:rPr>
        <w:t xml:space="preserve"> </w:t>
      </w:r>
      <w:bookmarkStart w:id="4" w:name="_Hlk178103289"/>
      <w:r w:rsidRPr="003E2347">
        <w:rPr>
          <w:rFonts w:ascii="Verdana" w:hAnsi="Verdana" w:cs="Arial"/>
          <w:sz w:val="16"/>
          <w:szCs w:val="16"/>
        </w:rPr>
        <w:t>“Artículo 40</w:t>
      </w:r>
      <w:bookmarkEnd w:id="4"/>
      <w:r w:rsidRPr="003E2347">
        <w:rPr>
          <w:rFonts w:ascii="Verdana" w:hAnsi="Verdana" w:cs="Arial"/>
          <w:sz w:val="16"/>
          <w:szCs w:val="16"/>
        </w:rPr>
        <w:t>. Entidades y organismos estatales sujetos a régimen especial. El Banco de la República, los entes universitarios autónomos, las corporaciones autónomas regionales, la Comisión Nacional de Televisión y los demás organismos y entidades con régimen especial otorgado por la Constitución Política se sujetan a las disposiciones que para ellos establezcan las respectivas leyes”.</w:t>
      </w:r>
    </w:p>
    <w:p w14:paraId="02F339E9" w14:textId="77777777" w:rsidR="00FD2D57" w:rsidRPr="003E2347" w:rsidRDefault="00FD2D57" w:rsidP="00FD2D57">
      <w:pPr>
        <w:spacing w:after="0"/>
        <w:ind w:right="106" w:firstLine="708"/>
        <w:jc w:val="both"/>
        <w:rPr>
          <w:rFonts w:ascii="Verdana" w:hAnsi="Verdana" w:cs="Arial"/>
          <w:sz w:val="16"/>
          <w:szCs w:val="16"/>
        </w:rPr>
      </w:pPr>
    </w:p>
  </w:footnote>
  <w:footnote w:id="7">
    <w:p w14:paraId="48016328" w14:textId="7D82293C" w:rsidR="00FD2D57" w:rsidRPr="003E2347" w:rsidRDefault="00FD2D57" w:rsidP="00FD2D57">
      <w:pPr>
        <w:spacing w:after="0"/>
        <w:ind w:firstLine="708"/>
        <w:jc w:val="both"/>
        <w:rPr>
          <w:rFonts w:ascii="Verdana" w:hAnsi="Verdana" w:cs="Arial"/>
          <w:sz w:val="16"/>
          <w:szCs w:val="16"/>
        </w:rPr>
      </w:pPr>
      <w:r w:rsidRPr="003E2347">
        <w:rPr>
          <w:rStyle w:val="Refdenotaalpie"/>
          <w:rFonts w:ascii="Verdana" w:hAnsi="Verdana" w:cs="Arial"/>
          <w:sz w:val="16"/>
          <w:szCs w:val="16"/>
        </w:rPr>
        <w:footnoteRef/>
      </w:r>
      <w:r w:rsidRPr="00461F2F">
        <w:rPr>
          <w:rFonts w:ascii="Verdana" w:hAnsi="Verdana" w:cs="Arial"/>
          <w:sz w:val="16"/>
          <w:szCs w:val="16"/>
          <w:lang w:val="pt-PT"/>
        </w:rPr>
        <w:t xml:space="preserve"> </w:t>
      </w:r>
      <w:r w:rsidR="00817877" w:rsidRPr="00461F2F">
        <w:rPr>
          <w:rFonts w:ascii="Verdana" w:hAnsi="Verdana" w:cs="Arial"/>
          <w:sz w:val="16"/>
          <w:szCs w:val="16"/>
          <w:lang w:val="pt-PT"/>
        </w:rPr>
        <w:t>CORTE CONSTITUCIONAL.</w:t>
      </w:r>
      <w:r w:rsidRPr="00461F2F">
        <w:rPr>
          <w:rFonts w:ascii="Verdana" w:hAnsi="Verdana" w:cs="Arial"/>
          <w:sz w:val="16"/>
          <w:szCs w:val="16"/>
          <w:lang w:val="pt-PT"/>
        </w:rPr>
        <w:t xml:space="preserve"> Sentencia C-121 de 2003. </w:t>
      </w:r>
      <w:r w:rsidRPr="003E2347">
        <w:rPr>
          <w:rFonts w:ascii="Verdana" w:hAnsi="Verdana" w:cs="Arial"/>
          <w:sz w:val="16"/>
          <w:szCs w:val="16"/>
        </w:rPr>
        <w:t>M.P. Clara Inés Vargas Hernández.</w:t>
      </w:r>
    </w:p>
    <w:p w14:paraId="7845C242" w14:textId="77777777" w:rsidR="00FD2D57" w:rsidRPr="003E2347" w:rsidRDefault="00FD2D57" w:rsidP="00FD2D57">
      <w:pPr>
        <w:spacing w:after="0"/>
        <w:jc w:val="both"/>
        <w:rPr>
          <w:rFonts w:ascii="Verdana" w:hAnsi="Verdana" w:cs="Arial"/>
          <w:sz w:val="16"/>
          <w:szCs w:val="16"/>
        </w:rPr>
      </w:pPr>
    </w:p>
  </w:footnote>
  <w:footnote w:id="8">
    <w:p w14:paraId="273A4ED2" w14:textId="429D4E2E" w:rsidR="00FD2D57" w:rsidRPr="003E2347" w:rsidRDefault="00FD2D57" w:rsidP="00FD2D57">
      <w:pPr>
        <w:spacing w:after="0"/>
        <w:ind w:left="-1" w:right="110" w:firstLine="709"/>
        <w:jc w:val="both"/>
        <w:rPr>
          <w:rFonts w:ascii="Verdana" w:hAnsi="Verdana" w:cs="Arial"/>
          <w:sz w:val="16"/>
          <w:szCs w:val="16"/>
        </w:rPr>
      </w:pPr>
      <w:r w:rsidRPr="003E2347">
        <w:rPr>
          <w:rStyle w:val="Refdenotaalpie"/>
          <w:rFonts w:ascii="Verdana" w:hAnsi="Verdana" w:cs="Arial"/>
          <w:sz w:val="16"/>
          <w:szCs w:val="16"/>
        </w:rPr>
        <w:footnoteRef/>
      </w:r>
      <w:r w:rsidRPr="003E2347">
        <w:rPr>
          <w:rFonts w:ascii="Verdana" w:hAnsi="Verdana" w:cs="Arial"/>
          <w:sz w:val="16"/>
          <w:szCs w:val="16"/>
        </w:rPr>
        <w:t xml:space="preserve"> </w:t>
      </w:r>
      <w:bookmarkStart w:id="5" w:name="_Hlk178103213"/>
      <w:r w:rsidR="00817877" w:rsidRPr="00375291">
        <w:rPr>
          <w:rFonts w:ascii="Verdana" w:hAnsi="Verdana" w:cs="Arial"/>
          <w:sz w:val="16"/>
          <w:szCs w:val="16"/>
        </w:rPr>
        <w:t>CORTE</w:t>
      </w:r>
      <w:r w:rsidR="00817877" w:rsidRPr="00375291">
        <w:rPr>
          <w:rFonts w:ascii="Verdana" w:hAnsi="Verdana" w:cs="Arial"/>
          <w:spacing w:val="10"/>
          <w:sz w:val="16"/>
          <w:szCs w:val="16"/>
        </w:rPr>
        <w:t xml:space="preserve"> </w:t>
      </w:r>
      <w:r w:rsidR="00817877" w:rsidRPr="00375291">
        <w:rPr>
          <w:rFonts w:ascii="Verdana" w:hAnsi="Verdana" w:cs="Arial"/>
          <w:sz w:val="16"/>
          <w:szCs w:val="16"/>
        </w:rPr>
        <w:t>CONSTITUCIONAL</w:t>
      </w:r>
      <w:r w:rsidRPr="003E2347">
        <w:rPr>
          <w:rFonts w:ascii="Verdana" w:hAnsi="Verdana" w:cs="Arial"/>
          <w:sz w:val="16"/>
          <w:szCs w:val="16"/>
        </w:rPr>
        <w:t>.</w:t>
      </w:r>
      <w:r w:rsidRPr="003E2347">
        <w:rPr>
          <w:rFonts w:ascii="Verdana" w:hAnsi="Verdana" w:cs="Arial"/>
          <w:spacing w:val="11"/>
          <w:sz w:val="16"/>
          <w:szCs w:val="16"/>
        </w:rPr>
        <w:t xml:space="preserve"> </w:t>
      </w:r>
      <w:r w:rsidRPr="003E2347">
        <w:rPr>
          <w:rFonts w:ascii="Verdana" w:hAnsi="Verdana" w:cs="Arial"/>
          <w:sz w:val="16"/>
          <w:szCs w:val="16"/>
        </w:rPr>
        <w:t>Sentencia</w:t>
      </w:r>
      <w:r w:rsidRPr="003E2347">
        <w:rPr>
          <w:rFonts w:ascii="Verdana" w:hAnsi="Verdana" w:cs="Arial"/>
          <w:spacing w:val="10"/>
          <w:sz w:val="16"/>
          <w:szCs w:val="16"/>
        </w:rPr>
        <w:t xml:space="preserve"> </w:t>
      </w:r>
      <w:r w:rsidRPr="003E2347">
        <w:rPr>
          <w:rFonts w:ascii="Verdana" w:hAnsi="Verdana" w:cs="Arial"/>
          <w:sz w:val="16"/>
          <w:szCs w:val="16"/>
        </w:rPr>
        <w:t>C-1019</w:t>
      </w:r>
      <w:r w:rsidRPr="003E2347">
        <w:rPr>
          <w:rFonts w:ascii="Verdana" w:hAnsi="Verdana" w:cs="Arial"/>
          <w:spacing w:val="10"/>
          <w:sz w:val="16"/>
          <w:szCs w:val="16"/>
        </w:rPr>
        <w:t xml:space="preserve"> </w:t>
      </w:r>
      <w:r w:rsidRPr="003E2347">
        <w:rPr>
          <w:rFonts w:ascii="Verdana" w:hAnsi="Verdana" w:cs="Arial"/>
          <w:sz w:val="16"/>
          <w:szCs w:val="16"/>
        </w:rPr>
        <w:t>del</w:t>
      </w:r>
      <w:r w:rsidRPr="003E2347">
        <w:rPr>
          <w:rFonts w:ascii="Verdana" w:hAnsi="Verdana" w:cs="Arial"/>
          <w:spacing w:val="9"/>
          <w:sz w:val="16"/>
          <w:szCs w:val="16"/>
        </w:rPr>
        <w:t xml:space="preserve"> </w:t>
      </w:r>
      <w:r w:rsidRPr="003E2347">
        <w:rPr>
          <w:rFonts w:ascii="Verdana" w:hAnsi="Verdana" w:cs="Arial"/>
          <w:sz w:val="16"/>
          <w:szCs w:val="16"/>
        </w:rPr>
        <w:t>28</w:t>
      </w:r>
      <w:r w:rsidRPr="003E2347">
        <w:rPr>
          <w:rFonts w:ascii="Verdana" w:hAnsi="Verdana" w:cs="Arial"/>
          <w:spacing w:val="10"/>
          <w:sz w:val="16"/>
          <w:szCs w:val="16"/>
        </w:rPr>
        <w:t xml:space="preserve"> </w:t>
      </w:r>
      <w:r w:rsidRPr="003E2347">
        <w:rPr>
          <w:rFonts w:ascii="Verdana" w:hAnsi="Verdana" w:cs="Arial"/>
          <w:sz w:val="16"/>
          <w:szCs w:val="16"/>
        </w:rPr>
        <w:t>de</w:t>
      </w:r>
      <w:r w:rsidRPr="003E2347">
        <w:rPr>
          <w:rFonts w:ascii="Verdana" w:hAnsi="Verdana" w:cs="Arial"/>
          <w:spacing w:val="10"/>
          <w:sz w:val="16"/>
          <w:szCs w:val="16"/>
        </w:rPr>
        <w:t xml:space="preserve"> </w:t>
      </w:r>
      <w:r w:rsidRPr="003E2347">
        <w:rPr>
          <w:rFonts w:ascii="Verdana" w:hAnsi="Verdana" w:cs="Arial"/>
          <w:sz w:val="16"/>
          <w:szCs w:val="16"/>
        </w:rPr>
        <w:t>noviembre</w:t>
      </w:r>
      <w:r w:rsidRPr="003E2347">
        <w:rPr>
          <w:rFonts w:ascii="Verdana" w:hAnsi="Verdana" w:cs="Arial"/>
          <w:spacing w:val="10"/>
          <w:sz w:val="16"/>
          <w:szCs w:val="16"/>
        </w:rPr>
        <w:t xml:space="preserve"> </w:t>
      </w:r>
      <w:r w:rsidRPr="003E2347">
        <w:rPr>
          <w:rFonts w:ascii="Verdana" w:hAnsi="Verdana" w:cs="Arial"/>
          <w:sz w:val="16"/>
          <w:szCs w:val="16"/>
        </w:rPr>
        <w:t>de</w:t>
      </w:r>
      <w:r w:rsidRPr="003E2347">
        <w:rPr>
          <w:rFonts w:ascii="Verdana" w:hAnsi="Verdana" w:cs="Arial"/>
          <w:spacing w:val="10"/>
          <w:sz w:val="16"/>
          <w:szCs w:val="16"/>
        </w:rPr>
        <w:t xml:space="preserve"> </w:t>
      </w:r>
      <w:r w:rsidRPr="003E2347">
        <w:rPr>
          <w:rFonts w:ascii="Verdana" w:hAnsi="Verdana" w:cs="Arial"/>
          <w:sz w:val="16"/>
          <w:szCs w:val="16"/>
        </w:rPr>
        <w:t>2012.</w:t>
      </w:r>
      <w:r w:rsidRPr="003E2347">
        <w:rPr>
          <w:rFonts w:ascii="Verdana" w:hAnsi="Verdana" w:cs="Arial"/>
          <w:spacing w:val="10"/>
          <w:sz w:val="16"/>
          <w:szCs w:val="16"/>
        </w:rPr>
        <w:t xml:space="preserve"> </w:t>
      </w:r>
      <w:r w:rsidRPr="003E2347">
        <w:rPr>
          <w:rFonts w:ascii="Verdana" w:hAnsi="Verdana" w:cs="Arial"/>
          <w:sz w:val="16"/>
          <w:szCs w:val="16"/>
        </w:rPr>
        <w:t>M.P.</w:t>
      </w:r>
      <w:r w:rsidRPr="003E2347">
        <w:rPr>
          <w:rFonts w:ascii="Verdana" w:hAnsi="Verdana" w:cs="Arial"/>
          <w:spacing w:val="10"/>
          <w:sz w:val="16"/>
          <w:szCs w:val="16"/>
        </w:rPr>
        <w:t xml:space="preserve"> </w:t>
      </w:r>
      <w:r w:rsidRPr="003E2347">
        <w:rPr>
          <w:rFonts w:ascii="Verdana" w:hAnsi="Verdana" w:cs="Arial"/>
          <w:sz w:val="16"/>
          <w:szCs w:val="16"/>
        </w:rPr>
        <w:t>Mauricio</w:t>
      </w:r>
      <w:r w:rsidRPr="003E2347">
        <w:rPr>
          <w:rFonts w:ascii="Verdana" w:hAnsi="Verdana" w:cs="Arial"/>
          <w:spacing w:val="8"/>
          <w:sz w:val="16"/>
          <w:szCs w:val="16"/>
        </w:rPr>
        <w:t xml:space="preserve"> </w:t>
      </w:r>
      <w:r w:rsidRPr="003E2347">
        <w:rPr>
          <w:rFonts w:ascii="Verdana" w:hAnsi="Verdana" w:cs="Arial"/>
          <w:sz w:val="16"/>
          <w:szCs w:val="16"/>
        </w:rPr>
        <w:t>González.</w:t>
      </w:r>
    </w:p>
    <w:bookmarkEnd w:id="5"/>
    <w:p w14:paraId="02EE970C" w14:textId="77777777" w:rsidR="00FD2D57" w:rsidRPr="003E2347" w:rsidRDefault="00FD2D57" w:rsidP="00FD2D57">
      <w:pPr>
        <w:pStyle w:val="Textonotapie"/>
        <w:jc w:val="both"/>
        <w:rPr>
          <w:rFonts w:ascii="Verdana" w:hAnsi="Verdana" w:cs="Arial"/>
          <w:sz w:val="16"/>
          <w:szCs w:val="16"/>
        </w:rPr>
      </w:pPr>
    </w:p>
  </w:footnote>
  <w:footnote w:id="9">
    <w:p w14:paraId="16256926" w14:textId="77777777" w:rsidR="00FD2D57" w:rsidRPr="003E2347" w:rsidRDefault="00FD2D57" w:rsidP="00FD2D57">
      <w:pPr>
        <w:pStyle w:val="Textonotapie"/>
        <w:ind w:firstLine="709"/>
        <w:jc w:val="both"/>
        <w:rPr>
          <w:rFonts w:ascii="Verdana" w:hAnsi="Verdana" w:cs="Arial"/>
          <w:color w:val="000000" w:themeColor="text1"/>
          <w:sz w:val="16"/>
          <w:szCs w:val="16"/>
        </w:rPr>
      </w:pPr>
      <w:r w:rsidRPr="003E2347">
        <w:rPr>
          <w:rStyle w:val="Refdenotaalpie"/>
          <w:rFonts w:ascii="Verdana" w:hAnsi="Verdana" w:cs="Arial"/>
          <w:color w:val="000000" w:themeColor="text1"/>
          <w:sz w:val="16"/>
          <w:szCs w:val="16"/>
        </w:rPr>
        <w:footnoteRef/>
      </w:r>
      <w:r w:rsidRPr="003E2347">
        <w:rPr>
          <w:rFonts w:ascii="Verdana" w:hAnsi="Verdana" w:cs="Arial"/>
          <w:color w:val="000000" w:themeColor="text1"/>
          <w:sz w:val="16"/>
          <w:szCs w:val="16"/>
        </w:rPr>
        <w:t xml:space="preserve"> Agencia Nacional de Contratación Pública - Colombia Compra Eficiente. Guía para las Entidades Estatales con régimen especial de contratación: “Entidad Estatal de régimen especial: Entidad Estatal que realiza sus Procesos de Contratación con un régimen distinto al previsto en las Leyes 80 de 1993 y 1150 de 2007”.</w:t>
      </w:r>
    </w:p>
    <w:p w14:paraId="343F9CB7" w14:textId="77777777" w:rsidR="00FD2D57" w:rsidRPr="003E2347" w:rsidRDefault="00FD2D57" w:rsidP="00FD2D57">
      <w:pPr>
        <w:pStyle w:val="Textonotapie"/>
        <w:ind w:firstLine="709"/>
        <w:jc w:val="both"/>
        <w:rPr>
          <w:rFonts w:ascii="Verdana" w:hAnsi="Verdana" w:cs="Arial"/>
          <w:color w:val="000000" w:themeColor="text1"/>
          <w:sz w:val="16"/>
          <w:szCs w:val="16"/>
          <w:lang w:val="es-ES"/>
        </w:rPr>
      </w:pPr>
    </w:p>
  </w:footnote>
  <w:footnote w:id="10">
    <w:p w14:paraId="076BF505" w14:textId="44358B5C" w:rsidR="00FD2D57" w:rsidRPr="003E2347" w:rsidRDefault="00FD2D57" w:rsidP="00FD2D57">
      <w:pPr>
        <w:pStyle w:val="Textonotapie"/>
        <w:ind w:firstLine="709"/>
        <w:jc w:val="both"/>
        <w:rPr>
          <w:rFonts w:ascii="Verdana" w:hAnsi="Verdana" w:cs="Arial"/>
          <w:color w:val="000000" w:themeColor="text1"/>
          <w:sz w:val="16"/>
          <w:szCs w:val="16"/>
        </w:rPr>
      </w:pPr>
      <w:r w:rsidRPr="003E2347">
        <w:rPr>
          <w:rStyle w:val="Refdenotaalpie"/>
          <w:rFonts w:ascii="Verdana" w:hAnsi="Verdana" w:cs="Arial"/>
          <w:color w:val="000000" w:themeColor="text1"/>
          <w:sz w:val="16"/>
          <w:szCs w:val="16"/>
        </w:rPr>
        <w:footnoteRef/>
      </w:r>
      <w:r w:rsidRPr="003E2347">
        <w:rPr>
          <w:rFonts w:ascii="Verdana" w:hAnsi="Verdana" w:cs="Arial"/>
          <w:color w:val="000000" w:themeColor="text1"/>
          <w:sz w:val="16"/>
          <w:szCs w:val="16"/>
        </w:rPr>
        <w:t xml:space="preserve"> </w:t>
      </w:r>
      <w:bookmarkStart w:id="6" w:name="_Hlk178103192"/>
      <w:r w:rsidR="00817877" w:rsidRPr="00375291">
        <w:rPr>
          <w:rFonts w:ascii="Verdana" w:hAnsi="Verdana" w:cs="Arial"/>
          <w:color w:val="000000" w:themeColor="text1"/>
          <w:sz w:val="16"/>
          <w:szCs w:val="16"/>
        </w:rPr>
        <w:t>CONSEJO DE ESTADO</w:t>
      </w:r>
      <w:r w:rsidRPr="003E2347">
        <w:rPr>
          <w:rFonts w:ascii="Verdana" w:hAnsi="Verdana" w:cs="Arial"/>
          <w:color w:val="000000" w:themeColor="text1"/>
          <w:sz w:val="16"/>
          <w:szCs w:val="16"/>
        </w:rPr>
        <w:t>. Sección Tercera. Radicado No. 45.607 del 24 de octubre de 2016. Consejera Ponente: María Nubia Velásquez Rico.</w:t>
      </w:r>
    </w:p>
    <w:bookmarkEnd w:id="6"/>
    <w:p w14:paraId="53A380CE" w14:textId="77777777" w:rsidR="00FD2D57" w:rsidRPr="003E2347" w:rsidRDefault="00FD2D57" w:rsidP="00FD2D57">
      <w:pPr>
        <w:pStyle w:val="Textonotapie"/>
        <w:ind w:firstLine="709"/>
        <w:jc w:val="both"/>
        <w:rPr>
          <w:rFonts w:ascii="Verdana" w:hAnsi="Verdana" w:cs="Arial"/>
          <w:color w:val="000000" w:themeColor="text1"/>
          <w:sz w:val="16"/>
          <w:szCs w:val="16"/>
          <w:lang w:val="es-ES"/>
        </w:rPr>
      </w:pPr>
    </w:p>
  </w:footnote>
  <w:footnote w:id="11">
    <w:p w14:paraId="212DB6EB" w14:textId="77777777" w:rsidR="00954255" w:rsidRPr="0015784C" w:rsidRDefault="00954255" w:rsidP="00954255">
      <w:pPr>
        <w:spacing w:after="0"/>
        <w:ind w:firstLine="709"/>
        <w:jc w:val="both"/>
        <w:rPr>
          <w:rFonts w:ascii="Arial" w:hAnsi="Arial" w:cs="Arial"/>
          <w:sz w:val="18"/>
          <w:szCs w:val="18"/>
        </w:rPr>
      </w:pPr>
      <w:r w:rsidRPr="0015784C">
        <w:rPr>
          <w:rStyle w:val="Refdenotaalpie"/>
          <w:rFonts w:ascii="Arial" w:hAnsi="Arial" w:cs="Arial"/>
          <w:sz w:val="18"/>
          <w:szCs w:val="18"/>
        </w:rPr>
        <w:footnoteRef/>
      </w:r>
      <w:r w:rsidRPr="0015784C">
        <w:rPr>
          <w:rFonts w:ascii="Arial" w:hAnsi="Arial" w:cs="Arial"/>
          <w:sz w:val="18"/>
          <w:szCs w:val="18"/>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71CF1642" w14:textId="77777777" w:rsidR="00954255" w:rsidRDefault="00954255" w:rsidP="00954255">
      <w:pPr>
        <w:spacing w:after="0"/>
        <w:ind w:firstLine="709"/>
        <w:jc w:val="both"/>
        <w:rPr>
          <w:rFonts w:ascii="Arial" w:hAnsi="Arial" w:cs="Arial"/>
          <w:sz w:val="18"/>
          <w:szCs w:val="18"/>
        </w:rPr>
      </w:pPr>
      <w:proofErr w:type="gramStart"/>
      <w:r w:rsidRPr="0015784C">
        <w:rPr>
          <w:rFonts w:ascii="Arial" w:hAnsi="Arial" w:cs="Arial"/>
          <w:sz w:val="18"/>
          <w:szCs w:val="18"/>
        </w:rPr>
        <w:t>»Cuando</w:t>
      </w:r>
      <w:proofErr w:type="gramEnd"/>
      <w:r w:rsidRPr="0015784C">
        <w:rPr>
          <w:rFonts w:ascii="Arial" w:hAnsi="Arial" w:cs="Arial"/>
          <w:sz w:val="18"/>
          <w:szCs w:val="18"/>
        </w:rPr>
        <w:t xml:space="preserve">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15784C">
        <w:rPr>
          <w:rFonts w:ascii="Arial" w:hAnsi="Arial" w:cs="Arial"/>
          <w:spacing w:val="-1"/>
          <w:sz w:val="18"/>
          <w:szCs w:val="18"/>
        </w:rPr>
        <w:t xml:space="preserve"> </w:t>
      </w:r>
      <w:r w:rsidRPr="0015784C">
        <w:rPr>
          <w:rFonts w:ascii="Arial" w:hAnsi="Arial" w:cs="Arial"/>
          <w:sz w:val="18"/>
          <w:szCs w:val="18"/>
        </w:rPr>
        <w:t>Estatales».</w:t>
      </w:r>
    </w:p>
    <w:p w14:paraId="3095C75B" w14:textId="77777777" w:rsidR="00954255" w:rsidRPr="0015784C" w:rsidRDefault="00954255" w:rsidP="00954255">
      <w:pPr>
        <w:spacing w:after="0"/>
        <w:ind w:firstLine="709"/>
        <w:jc w:val="both"/>
        <w:rPr>
          <w:rFonts w:ascii="Arial" w:hAnsi="Arial" w:cs="Arial"/>
          <w:sz w:val="18"/>
          <w:szCs w:val="18"/>
        </w:rPr>
      </w:pPr>
    </w:p>
  </w:footnote>
  <w:footnote w:id="12">
    <w:p w14:paraId="2FAC247B" w14:textId="77777777" w:rsidR="00564AAD" w:rsidRPr="005343DE" w:rsidRDefault="00564AAD" w:rsidP="00564AAD">
      <w:pPr>
        <w:spacing w:after="0" w:line="240" w:lineRule="auto"/>
        <w:ind w:firstLine="709"/>
        <w:contextualSpacing/>
        <w:jc w:val="both"/>
        <w:rPr>
          <w:rFonts w:ascii="Verdana" w:hAnsi="Verdana" w:cs="Arial"/>
          <w:color w:val="000000" w:themeColor="text1"/>
          <w:sz w:val="16"/>
          <w:szCs w:val="16"/>
        </w:rPr>
      </w:pPr>
      <w:r w:rsidRPr="005343DE">
        <w:rPr>
          <w:rStyle w:val="Refdenotaalpie"/>
          <w:rFonts w:ascii="Verdana" w:hAnsi="Verdana" w:cs="Arial"/>
          <w:color w:val="000000" w:themeColor="text1"/>
          <w:sz w:val="16"/>
          <w:szCs w:val="16"/>
        </w:rPr>
        <w:footnoteRef/>
      </w:r>
      <w:r w:rsidRPr="005343DE">
        <w:rPr>
          <w:rStyle w:val="Refdenotaalpie"/>
          <w:rFonts w:ascii="Verdana" w:hAnsi="Verdana" w:cs="Arial"/>
          <w:color w:val="000000" w:themeColor="text1"/>
          <w:sz w:val="16"/>
          <w:szCs w:val="16"/>
        </w:rPr>
        <w:t xml:space="preserve"> </w:t>
      </w:r>
      <w:r w:rsidRPr="005343DE">
        <w:rPr>
          <w:rFonts w:ascii="Verdana" w:hAnsi="Verdana" w:cs="Arial"/>
          <w:color w:val="000000" w:themeColor="text1"/>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7A004C09" w14:textId="77777777" w:rsidR="00564AAD" w:rsidRPr="005343DE" w:rsidRDefault="00564AAD" w:rsidP="00564AAD">
      <w:pPr>
        <w:spacing w:after="0" w:line="240" w:lineRule="auto"/>
        <w:ind w:firstLine="709"/>
        <w:contextualSpacing/>
        <w:jc w:val="both"/>
        <w:rPr>
          <w:rFonts w:ascii="Verdana" w:hAnsi="Verdana" w:cs="Arial"/>
          <w:color w:val="000000" w:themeColor="text1"/>
          <w:sz w:val="16"/>
          <w:szCs w:val="16"/>
        </w:rPr>
      </w:pPr>
    </w:p>
  </w:footnote>
  <w:footnote w:id="13">
    <w:p w14:paraId="7871EECD" w14:textId="77777777" w:rsidR="00564AAD" w:rsidRPr="005343DE" w:rsidRDefault="00564AAD" w:rsidP="00564AAD">
      <w:pPr>
        <w:pStyle w:val="Textonotapie"/>
        <w:ind w:firstLine="709"/>
        <w:contextualSpacing/>
        <w:jc w:val="both"/>
        <w:rPr>
          <w:rFonts w:ascii="Verdana" w:hAnsi="Verdana" w:cs="Arial"/>
          <w:color w:val="000000" w:themeColor="text1"/>
          <w:sz w:val="16"/>
          <w:szCs w:val="16"/>
        </w:rPr>
      </w:pPr>
      <w:r w:rsidRPr="005343DE">
        <w:rPr>
          <w:rStyle w:val="Refdenotaalpie"/>
          <w:rFonts w:ascii="Verdana" w:hAnsi="Verdana" w:cs="Arial"/>
          <w:color w:val="000000" w:themeColor="text1"/>
          <w:sz w:val="16"/>
          <w:szCs w:val="16"/>
        </w:rPr>
        <w:footnoteRef/>
      </w:r>
      <w:r w:rsidRPr="005343DE">
        <w:rPr>
          <w:rFonts w:ascii="Verdana" w:hAnsi="Verdana" w:cs="Arial"/>
          <w:color w:val="000000" w:themeColor="text1"/>
          <w:sz w:val="16"/>
          <w:szCs w:val="16"/>
        </w:rPr>
        <w:t xml:space="preserve"> Código Civil: “Artículo 27. Cuando el sentido de la ley sea claro, no se desatenderá su tenor a pretexto de consultar su espíritu”.</w:t>
      </w:r>
    </w:p>
    <w:p w14:paraId="45E3204A" w14:textId="77777777" w:rsidR="00564AAD" w:rsidRPr="005343DE" w:rsidRDefault="00564AAD" w:rsidP="00564AAD">
      <w:pPr>
        <w:pStyle w:val="Textonotapie"/>
        <w:ind w:firstLine="709"/>
        <w:contextualSpacing/>
        <w:jc w:val="both"/>
        <w:rPr>
          <w:rFonts w:ascii="Verdana" w:hAnsi="Verdana" w:cs="Arial"/>
          <w:color w:val="000000" w:themeColor="text1"/>
          <w:sz w:val="16"/>
          <w:szCs w:val="16"/>
        </w:rPr>
      </w:pPr>
    </w:p>
  </w:footnote>
  <w:footnote w:id="14">
    <w:p w14:paraId="355A8D6D" w14:textId="77777777" w:rsidR="00564AAD" w:rsidRPr="005343DE" w:rsidRDefault="00564AAD" w:rsidP="00564AAD">
      <w:pPr>
        <w:pStyle w:val="Textonotapie"/>
        <w:ind w:firstLine="709"/>
        <w:contextualSpacing/>
        <w:jc w:val="both"/>
        <w:rPr>
          <w:rFonts w:ascii="Verdana" w:hAnsi="Verdana" w:cs="Arial"/>
          <w:sz w:val="16"/>
          <w:szCs w:val="16"/>
        </w:rPr>
      </w:pPr>
      <w:r w:rsidRPr="005343DE">
        <w:rPr>
          <w:rStyle w:val="Refdenotaalpie"/>
          <w:rFonts w:ascii="Verdana" w:hAnsi="Verdana" w:cs="Arial"/>
          <w:sz w:val="16"/>
          <w:szCs w:val="16"/>
        </w:rPr>
        <w:footnoteRef/>
      </w:r>
      <w:r w:rsidRPr="005343DE">
        <w:rPr>
          <w:rFonts w:ascii="Verdana" w:hAnsi="Verdana" w:cs="Arial"/>
          <w:sz w:val="16"/>
          <w:szCs w:val="16"/>
        </w:rPr>
        <w:t xml:space="preserve"> Consejo de Estado. Sala de Consulta y Servicio Civil. Concepto de 28 de junio de 2012. Rad: 11001-03-06-000-2012-00016-00(2092). CP: William Zambrano Cetina. </w:t>
      </w:r>
    </w:p>
    <w:p w14:paraId="6DF06091" w14:textId="77777777" w:rsidR="00564AAD" w:rsidRPr="005343DE" w:rsidRDefault="00564AAD" w:rsidP="00564AAD">
      <w:pPr>
        <w:pStyle w:val="Textonotapie"/>
        <w:ind w:firstLine="709"/>
        <w:contextualSpacing/>
        <w:jc w:val="both"/>
        <w:rPr>
          <w:rFonts w:ascii="Verdana" w:hAnsi="Verdana" w:cs="Arial"/>
          <w:sz w:val="16"/>
          <w:szCs w:val="16"/>
        </w:rPr>
      </w:pPr>
    </w:p>
  </w:footnote>
  <w:footnote w:id="15">
    <w:p w14:paraId="39B58FF0" w14:textId="77777777" w:rsidR="00564AAD" w:rsidRPr="005343DE" w:rsidRDefault="00564AAD" w:rsidP="00564AAD">
      <w:pPr>
        <w:pStyle w:val="Textonotapie"/>
        <w:ind w:firstLine="709"/>
        <w:rPr>
          <w:rFonts w:ascii="Verdana" w:hAnsi="Verdana"/>
          <w:sz w:val="16"/>
          <w:szCs w:val="16"/>
          <w:lang w:val="es-CO"/>
        </w:rPr>
      </w:pPr>
      <w:r w:rsidRPr="005343DE">
        <w:rPr>
          <w:rStyle w:val="Refdenotaalpie"/>
          <w:rFonts w:ascii="Verdana" w:hAnsi="Verdana"/>
          <w:sz w:val="16"/>
          <w:szCs w:val="16"/>
        </w:rPr>
        <w:footnoteRef/>
      </w:r>
      <w:r w:rsidRPr="005343DE">
        <w:rPr>
          <w:rFonts w:ascii="Verdana" w:hAnsi="Verdana"/>
          <w:sz w:val="16"/>
          <w:szCs w:val="16"/>
        </w:rPr>
        <w:t xml:space="preserve"> </w:t>
      </w:r>
      <w:r w:rsidRPr="005343DE">
        <w:rPr>
          <w:rFonts w:ascii="Verdana" w:hAnsi="Verdana"/>
          <w:sz w:val="16"/>
          <w:szCs w:val="16"/>
          <w:lang w:val="es-CO"/>
        </w:rPr>
        <w:t>Ibidem</w:t>
      </w:r>
    </w:p>
  </w:footnote>
  <w:footnote w:id="16">
    <w:p w14:paraId="055FCE5F" w14:textId="77777777" w:rsidR="00564AAD" w:rsidRPr="005343DE" w:rsidRDefault="00564AAD" w:rsidP="00564AAD">
      <w:pPr>
        <w:pStyle w:val="Textonotapie"/>
        <w:ind w:firstLine="709"/>
        <w:jc w:val="both"/>
        <w:rPr>
          <w:rFonts w:ascii="Verdana" w:hAnsi="Verdana"/>
          <w:sz w:val="16"/>
          <w:szCs w:val="16"/>
          <w:lang w:val="es-CO"/>
        </w:rPr>
      </w:pPr>
      <w:r w:rsidRPr="005343DE">
        <w:rPr>
          <w:rStyle w:val="Refdenotaalpie"/>
          <w:rFonts w:ascii="Verdana" w:hAnsi="Verdana"/>
          <w:sz w:val="16"/>
          <w:szCs w:val="16"/>
        </w:rPr>
        <w:footnoteRef/>
      </w:r>
      <w:r w:rsidRPr="005343DE">
        <w:rPr>
          <w:rFonts w:ascii="Verdana" w:hAnsi="Verdana"/>
          <w:sz w:val="16"/>
          <w:szCs w:val="16"/>
        </w:rPr>
        <w:t xml:space="preserve"> </w:t>
      </w:r>
      <w:r w:rsidRPr="005343DE">
        <w:rPr>
          <w:rFonts w:ascii="Verdana" w:hAnsi="Verdana"/>
          <w:sz w:val="16"/>
          <w:szCs w:val="16"/>
          <w:lang w:val="es-CO"/>
        </w:rPr>
        <w:t>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477CC05E" w14:textId="77777777" w:rsidR="00564AAD" w:rsidRPr="005343DE" w:rsidRDefault="00564AAD" w:rsidP="00564AAD">
      <w:pPr>
        <w:pStyle w:val="Textonotapie"/>
        <w:ind w:firstLine="709"/>
        <w:jc w:val="both"/>
        <w:rPr>
          <w:rFonts w:ascii="Verdana" w:hAnsi="Verdana"/>
          <w:sz w:val="16"/>
          <w:szCs w:val="16"/>
          <w:lang w:val="es-CO"/>
        </w:rPr>
      </w:pPr>
      <w:r w:rsidRPr="005343DE">
        <w:rPr>
          <w:rFonts w:ascii="Verdana" w:hAnsi="Verdana"/>
          <w:sz w:val="16"/>
          <w:szCs w:val="16"/>
          <w:lang w:val="es-CO"/>
        </w:rPr>
        <w:t>Son también contratos de consultoría los que tienen por objeto la interventoría, asesoría, gerencia de obra o de proyectos, dirección, programación y la ejecución de diseños, planos, anteproyectos y proyectos.</w:t>
      </w:r>
    </w:p>
    <w:p w14:paraId="17ECB649" w14:textId="77777777" w:rsidR="00564AAD" w:rsidRPr="005343DE" w:rsidRDefault="00564AAD" w:rsidP="00564AAD">
      <w:pPr>
        <w:pStyle w:val="Textonotapie"/>
        <w:jc w:val="both"/>
        <w:rPr>
          <w:rFonts w:ascii="Verdana" w:hAnsi="Verdana"/>
          <w:sz w:val="16"/>
          <w:szCs w:val="16"/>
          <w:lang w:val="es-CO"/>
        </w:rPr>
      </w:pPr>
      <w:r w:rsidRPr="005343DE">
        <w:rPr>
          <w:rFonts w:ascii="Verdana" w:hAnsi="Verdana"/>
          <w:sz w:val="16"/>
          <w:szCs w:val="16"/>
          <w:lang w:val="es-CO"/>
        </w:rPr>
        <w:t xml:space="preserve">Ninguna orden del interventor de una obra podrá darse verbalmente. Es obligatorio para el interventor entregar por escrito sus órdenes o sugerencias y ellas deben </w:t>
      </w:r>
      <w:proofErr w:type="gramStart"/>
      <w:r w:rsidRPr="005343DE">
        <w:rPr>
          <w:rFonts w:ascii="Verdana" w:hAnsi="Verdana"/>
          <w:sz w:val="16"/>
          <w:szCs w:val="16"/>
          <w:lang w:val="es-CO"/>
        </w:rPr>
        <w:t>enmarcarse dentro de</w:t>
      </w:r>
      <w:proofErr w:type="gramEnd"/>
      <w:r w:rsidRPr="005343DE">
        <w:rPr>
          <w:rFonts w:ascii="Verdana" w:hAnsi="Verdana"/>
          <w:sz w:val="16"/>
          <w:szCs w:val="16"/>
          <w:lang w:val="es-CO"/>
        </w:rPr>
        <w:t xml:space="preserve"> los términos del respectivo contrato.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4pt;height:11.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B3C748E"/>
    <w:multiLevelType w:val="hybridMultilevel"/>
    <w:tmpl w:val="AE30EFCA"/>
    <w:lvl w:ilvl="0" w:tplc="CF84A5C4">
      <w:start w:val="1"/>
      <w:numFmt w:val="decimal"/>
      <w:lvlText w:val="%1."/>
      <w:lvlJc w:val="left"/>
      <w:pPr>
        <w:ind w:left="750" w:hanging="390"/>
      </w:pPr>
      <w:rPr>
        <w:rFonts w:ascii="Verdana" w:eastAsia="Century Gothic" w:hAnsi="Verdana" w:cs="Century Gothic"/>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FF45C0"/>
    <w:multiLevelType w:val="hybridMultilevel"/>
    <w:tmpl w:val="FD1002E8"/>
    <w:lvl w:ilvl="0" w:tplc="240A000F">
      <w:start w:val="5"/>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3D5D596E"/>
    <w:multiLevelType w:val="hybridMultilevel"/>
    <w:tmpl w:val="88DE2ABC"/>
    <w:lvl w:ilvl="0" w:tplc="ECF04718">
      <w:start w:val="1"/>
      <w:numFmt w:val="lowerRoman"/>
      <w:lvlText w:val="%1)"/>
      <w:lvlJc w:val="left"/>
      <w:pPr>
        <w:ind w:left="1429" w:hanging="720"/>
      </w:pPr>
      <w:rPr>
        <w:rFonts w:ascii="Verdana" w:eastAsia="Calibri" w:hAnsi="Verdana" w:cs="Arial"/>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15:restartNumberingAfterBreak="0">
    <w:nsid w:val="48DD14E2"/>
    <w:multiLevelType w:val="hybridMultilevel"/>
    <w:tmpl w:val="8A7AFF8C"/>
    <w:lvl w:ilvl="0" w:tplc="FFFFFFFF">
      <w:start w:val="1"/>
      <w:numFmt w:val="lowerRoman"/>
      <w:lvlText w:val="%1)"/>
      <w:lvlJc w:val="left"/>
      <w:pPr>
        <w:ind w:left="750" w:hanging="390"/>
      </w:pPr>
      <w:rPr>
        <w:rFonts w:ascii="Verdana" w:eastAsia="Century Gothic" w:hAnsi="Verdana" w:cs="Century Gothic"/>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636C03B0"/>
    <w:multiLevelType w:val="hybridMultilevel"/>
    <w:tmpl w:val="87183FAA"/>
    <w:lvl w:ilvl="0" w:tplc="240A0007">
      <w:start w:val="1"/>
      <w:numFmt w:val="bullet"/>
      <w:lvlText w:val=""/>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96A55DA"/>
    <w:multiLevelType w:val="hybridMultilevel"/>
    <w:tmpl w:val="B86EDF0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8"/>
  </w:num>
  <w:num w:numId="7" w16cid:durableId="1946422806">
    <w:abstractNumId w:val="7"/>
  </w:num>
  <w:num w:numId="8" w16cid:durableId="152644682">
    <w:abstractNumId w:val="17"/>
  </w:num>
  <w:num w:numId="9" w16cid:durableId="1317221377">
    <w:abstractNumId w:val="9"/>
  </w:num>
  <w:num w:numId="10" w16cid:durableId="1471245386">
    <w:abstractNumId w:val="16"/>
  </w:num>
  <w:num w:numId="11" w16cid:durableId="289172385">
    <w:abstractNumId w:val="10"/>
  </w:num>
  <w:num w:numId="12" w16cid:durableId="1470781324">
    <w:abstractNumId w:val="1"/>
  </w:num>
  <w:num w:numId="13" w16cid:durableId="1512908409">
    <w:abstractNumId w:val="4"/>
  </w:num>
  <w:num w:numId="14" w16cid:durableId="895897244">
    <w:abstractNumId w:val="19"/>
  </w:num>
  <w:num w:numId="15" w16cid:durableId="390349800">
    <w:abstractNumId w:val="14"/>
  </w:num>
  <w:num w:numId="16" w16cid:durableId="1244417980">
    <w:abstractNumId w:val="0"/>
  </w:num>
  <w:num w:numId="17" w16cid:durableId="825972635">
    <w:abstractNumId w:val="11"/>
  </w:num>
  <w:num w:numId="18" w16cid:durableId="2052605301">
    <w:abstractNumId w:val="5"/>
  </w:num>
  <w:num w:numId="19" w16cid:durableId="18045371">
    <w:abstractNumId w:val="3"/>
  </w:num>
  <w:num w:numId="20" w16cid:durableId="1558708979">
    <w:abstractNumId w:val="13"/>
  </w:num>
  <w:num w:numId="21" w16cid:durableId="1818448139">
    <w:abstractNumId w:val="15"/>
  </w:num>
  <w:num w:numId="22" w16cid:durableId="37593327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7B2E"/>
    <w:rsid w:val="0001758D"/>
    <w:rsid w:val="000205B1"/>
    <w:rsid w:val="00026FED"/>
    <w:rsid w:val="00035DEB"/>
    <w:rsid w:val="00042BC5"/>
    <w:rsid w:val="00043288"/>
    <w:rsid w:val="00061B2A"/>
    <w:rsid w:val="00062615"/>
    <w:rsid w:val="00082362"/>
    <w:rsid w:val="000907A1"/>
    <w:rsid w:val="000A683E"/>
    <w:rsid w:val="000A7EF2"/>
    <w:rsid w:val="000B19B9"/>
    <w:rsid w:val="000C03D7"/>
    <w:rsid w:val="000C3716"/>
    <w:rsid w:val="000C6C66"/>
    <w:rsid w:val="000D0334"/>
    <w:rsid w:val="000E6A61"/>
    <w:rsid w:val="000F2A5A"/>
    <w:rsid w:val="000F5C2B"/>
    <w:rsid w:val="000F6486"/>
    <w:rsid w:val="00125105"/>
    <w:rsid w:val="00127233"/>
    <w:rsid w:val="00127F82"/>
    <w:rsid w:val="0013319B"/>
    <w:rsid w:val="00141A8D"/>
    <w:rsid w:val="00142F30"/>
    <w:rsid w:val="00143374"/>
    <w:rsid w:val="00190EF4"/>
    <w:rsid w:val="0019743D"/>
    <w:rsid w:val="00197EFA"/>
    <w:rsid w:val="001B7C64"/>
    <w:rsid w:val="001C2436"/>
    <w:rsid w:val="001C3A71"/>
    <w:rsid w:val="001C64DE"/>
    <w:rsid w:val="001C7E9F"/>
    <w:rsid w:val="001D1B57"/>
    <w:rsid w:val="001D5282"/>
    <w:rsid w:val="001E16FC"/>
    <w:rsid w:val="001E4177"/>
    <w:rsid w:val="001F3764"/>
    <w:rsid w:val="001F7DC6"/>
    <w:rsid w:val="0022147C"/>
    <w:rsid w:val="002341A2"/>
    <w:rsid w:val="002421BB"/>
    <w:rsid w:val="0025796E"/>
    <w:rsid w:val="00263655"/>
    <w:rsid w:val="002707A2"/>
    <w:rsid w:val="002744BB"/>
    <w:rsid w:val="00275EE6"/>
    <w:rsid w:val="00281103"/>
    <w:rsid w:val="002951A0"/>
    <w:rsid w:val="002962BC"/>
    <w:rsid w:val="002A093D"/>
    <w:rsid w:val="002A0DD0"/>
    <w:rsid w:val="002A49AC"/>
    <w:rsid w:val="002A64FD"/>
    <w:rsid w:val="002C6A31"/>
    <w:rsid w:val="002C7A84"/>
    <w:rsid w:val="002D0274"/>
    <w:rsid w:val="002E4FD9"/>
    <w:rsid w:val="002E5DA0"/>
    <w:rsid w:val="003160F1"/>
    <w:rsid w:val="0031783F"/>
    <w:rsid w:val="00321938"/>
    <w:rsid w:val="00322A85"/>
    <w:rsid w:val="00324168"/>
    <w:rsid w:val="00324BDD"/>
    <w:rsid w:val="003448F4"/>
    <w:rsid w:val="00351F6E"/>
    <w:rsid w:val="00354931"/>
    <w:rsid w:val="00363C91"/>
    <w:rsid w:val="003735D0"/>
    <w:rsid w:val="00374F5E"/>
    <w:rsid w:val="00375291"/>
    <w:rsid w:val="00377E3E"/>
    <w:rsid w:val="00381E22"/>
    <w:rsid w:val="003A26D1"/>
    <w:rsid w:val="003A4167"/>
    <w:rsid w:val="003A779E"/>
    <w:rsid w:val="003C4BBC"/>
    <w:rsid w:val="003C4E28"/>
    <w:rsid w:val="003C50EB"/>
    <w:rsid w:val="003D0F4D"/>
    <w:rsid w:val="003D28B2"/>
    <w:rsid w:val="003D5B0D"/>
    <w:rsid w:val="003E0499"/>
    <w:rsid w:val="003E2347"/>
    <w:rsid w:val="003F36BA"/>
    <w:rsid w:val="003F3941"/>
    <w:rsid w:val="004038CE"/>
    <w:rsid w:val="00406575"/>
    <w:rsid w:val="0042722E"/>
    <w:rsid w:val="00435F78"/>
    <w:rsid w:val="00436913"/>
    <w:rsid w:val="004374AA"/>
    <w:rsid w:val="0044528D"/>
    <w:rsid w:val="00454647"/>
    <w:rsid w:val="00460BD3"/>
    <w:rsid w:val="00461F2F"/>
    <w:rsid w:val="00464727"/>
    <w:rsid w:val="0047269B"/>
    <w:rsid w:val="004833B3"/>
    <w:rsid w:val="00494B60"/>
    <w:rsid w:val="004A1847"/>
    <w:rsid w:val="004A2313"/>
    <w:rsid w:val="004A305D"/>
    <w:rsid w:val="004A4D95"/>
    <w:rsid w:val="004C45DD"/>
    <w:rsid w:val="004C7CAB"/>
    <w:rsid w:val="004D09B5"/>
    <w:rsid w:val="004F21C4"/>
    <w:rsid w:val="004F685F"/>
    <w:rsid w:val="00503276"/>
    <w:rsid w:val="0050592B"/>
    <w:rsid w:val="00513F4D"/>
    <w:rsid w:val="005176EB"/>
    <w:rsid w:val="005479C7"/>
    <w:rsid w:val="005566E8"/>
    <w:rsid w:val="00564AAD"/>
    <w:rsid w:val="00574867"/>
    <w:rsid w:val="00586B02"/>
    <w:rsid w:val="00591460"/>
    <w:rsid w:val="00592628"/>
    <w:rsid w:val="0059321D"/>
    <w:rsid w:val="005A76A8"/>
    <w:rsid w:val="005B004C"/>
    <w:rsid w:val="005B1766"/>
    <w:rsid w:val="005C3777"/>
    <w:rsid w:val="005C5A46"/>
    <w:rsid w:val="005C5CDC"/>
    <w:rsid w:val="005C61C2"/>
    <w:rsid w:val="005D3267"/>
    <w:rsid w:val="005D43FA"/>
    <w:rsid w:val="005D476C"/>
    <w:rsid w:val="005E5A4E"/>
    <w:rsid w:val="005F49FA"/>
    <w:rsid w:val="005F6980"/>
    <w:rsid w:val="00610769"/>
    <w:rsid w:val="00610812"/>
    <w:rsid w:val="006219F8"/>
    <w:rsid w:val="006277C8"/>
    <w:rsid w:val="00633854"/>
    <w:rsid w:val="0064046C"/>
    <w:rsid w:val="00647F92"/>
    <w:rsid w:val="00650FF7"/>
    <w:rsid w:val="006575CF"/>
    <w:rsid w:val="00663815"/>
    <w:rsid w:val="00665D70"/>
    <w:rsid w:val="0066621E"/>
    <w:rsid w:val="00671DAC"/>
    <w:rsid w:val="006900D9"/>
    <w:rsid w:val="006926DA"/>
    <w:rsid w:val="00695E92"/>
    <w:rsid w:val="006A0CFF"/>
    <w:rsid w:val="006B4B9E"/>
    <w:rsid w:val="006C4B97"/>
    <w:rsid w:val="006D12F8"/>
    <w:rsid w:val="006D7E8F"/>
    <w:rsid w:val="006E18D9"/>
    <w:rsid w:val="007007E0"/>
    <w:rsid w:val="00702232"/>
    <w:rsid w:val="00704AAC"/>
    <w:rsid w:val="00706C16"/>
    <w:rsid w:val="00716C29"/>
    <w:rsid w:val="00732F6B"/>
    <w:rsid w:val="00750C8E"/>
    <w:rsid w:val="00756132"/>
    <w:rsid w:val="00756841"/>
    <w:rsid w:val="00757CAE"/>
    <w:rsid w:val="007649AB"/>
    <w:rsid w:val="00771D0C"/>
    <w:rsid w:val="007833AC"/>
    <w:rsid w:val="0079377F"/>
    <w:rsid w:val="007A2EA3"/>
    <w:rsid w:val="007B268C"/>
    <w:rsid w:val="007B5E33"/>
    <w:rsid w:val="007B7171"/>
    <w:rsid w:val="007C0C0F"/>
    <w:rsid w:val="007C3DC2"/>
    <w:rsid w:val="007C4374"/>
    <w:rsid w:val="007C7F59"/>
    <w:rsid w:val="007D3D8A"/>
    <w:rsid w:val="007E5497"/>
    <w:rsid w:val="00806F5F"/>
    <w:rsid w:val="00817877"/>
    <w:rsid w:val="00820278"/>
    <w:rsid w:val="00841A28"/>
    <w:rsid w:val="0084241B"/>
    <w:rsid w:val="008624AE"/>
    <w:rsid w:val="008843B6"/>
    <w:rsid w:val="00891928"/>
    <w:rsid w:val="00894799"/>
    <w:rsid w:val="008A426F"/>
    <w:rsid w:val="008A446D"/>
    <w:rsid w:val="008B1C6E"/>
    <w:rsid w:val="008C02A3"/>
    <w:rsid w:val="008D180B"/>
    <w:rsid w:val="008D319E"/>
    <w:rsid w:val="008E2D43"/>
    <w:rsid w:val="008F0DDE"/>
    <w:rsid w:val="008F0EA7"/>
    <w:rsid w:val="00905AAC"/>
    <w:rsid w:val="00911BD4"/>
    <w:rsid w:val="00921CD8"/>
    <w:rsid w:val="00923EEF"/>
    <w:rsid w:val="00932E62"/>
    <w:rsid w:val="009419F9"/>
    <w:rsid w:val="009423AA"/>
    <w:rsid w:val="009443A3"/>
    <w:rsid w:val="009516D3"/>
    <w:rsid w:val="00952B40"/>
    <w:rsid w:val="00954255"/>
    <w:rsid w:val="0095685E"/>
    <w:rsid w:val="00960054"/>
    <w:rsid w:val="00961B09"/>
    <w:rsid w:val="00965334"/>
    <w:rsid w:val="0097063A"/>
    <w:rsid w:val="0097093E"/>
    <w:rsid w:val="009813E8"/>
    <w:rsid w:val="00984E54"/>
    <w:rsid w:val="00984F6D"/>
    <w:rsid w:val="009A0530"/>
    <w:rsid w:val="009A0DFA"/>
    <w:rsid w:val="009A735B"/>
    <w:rsid w:val="009A7DAA"/>
    <w:rsid w:val="009B2D26"/>
    <w:rsid w:val="009B6921"/>
    <w:rsid w:val="009C1CB1"/>
    <w:rsid w:val="009C1E96"/>
    <w:rsid w:val="009C38C3"/>
    <w:rsid w:val="009C71FA"/>
    <w:rsid w:val="009C72E7"/>
    <w:rsid w:val="009D3058"/>
    <w:rsid w:val="009E6371"/>
    <w:rsid w:val="009F3A13"/>
    <w:rsid w:val="009F41FA"/>
    <w:rsid w:val="00A122D3"/>
    <w:rsid w:val="00A156CA"/>
    <w:rsid w:val="00A17F13"/>
    <w:rsid w:val="00A20739"/>
    <w:rsid w:val="00A2275B"/>
    <w:rsid w:val="00A23B87"/>
    <w:rsid w:val="00A33C78"/>
    <w:rsid w:val="00A42FE9"/>
    <w:rsid w:val="00A709E0"/>
    <w:rsid w:val="00A76449"/>
    <w:rsid w:val="00A9079C"/>
    <w:rsid w:val="00A977F7"/>
    <w:rsid w:val="00AB0ADB"/>
    <w:rsid w:val="00AB34D0"/>
    <w:rsid w:val="00AB3668"/>
    <w:rsid w:val="00AD090C"/>
    <w:rsid w:val="00AD24C1"/>
    <w:rsid w:val="00AE0009"/>
    <w:rsid w:val="00AF31A1"/>
    <w:rsid w:val="00B01B1A"/>
    <w:rsid w:val="00B07A53"/>
    <w:rsid w:val="00B16EE3"/>
    <w:rsid w:val="00B22430"/>
    <w:rsid w:val="00B470EF"/>
    <w:rsid w:val="00B72CD3"/>
    <w:rsid w:val="00B72FFF"/>
    <w:rsid w:val="00BC3D36"/>
    <w:rsid w:val="00BC4AAF"/>
    <w:rsid w:val="00BD7F72"/>
    <w:rsid w:val="00C04FB3"/>
    <w:rsid w:val="00C07709"/>
    <w:rsid w:val="00C11B75"/>
    <w:rsid w:val="00C151F1"/>
    <w:rsid w:val="00C330EB"/>
    <w:rsid w:val="00C3553A"/>
    <w:rsid w:val="00C40674"/>
    <w:rsid w:val="00C51500"/>
    <w:rsid w:val="00C66C6E"/>
    <w:rsid w:val="00C677CF"/>
    <w:rsid w:val="00C73A1B"/>
    <w:rsid w:val="00C744A0"/>
    <w:rsid w:val="00C754BE"/>
    <w:rsid w:val="00C76B1C"/>
    <w:rsid w:val="00C81E33"/>
    <w:rsid w:val="00C91B16"/>
    <w:rsid w:val="00C9488D"/>
    <w:rsid w:val="00C975BF"/>
    <w:rsid w:val="00CA0349"/>
    <w:rsid w:val="00CB6357"/>
    <w:rsid w:val="00CC1B26"/>
    <w:rsid w:val="00CC6218"/>
    <w:rsid w:val="00CC690D"/>
    <w:rsid w:val="00CC6E27"/>
    <w:rsid w:val="00CC735A"/>
    <w:rsid w:val="00CD3091"/>
    <w:rsid w:val="00D05768"/>
    <w:rsid w:val="00D308D2"/>
    <w:rsid w:val="00D36356"/>
    <w:rsid w:val="00D423A2"/>
    <w:rsid w:val="00D47A68"/>
    <w:rsid w:val="00D520D8"/>
    <w:rsid w:val="00D63AC2"/>
    <w:rsid w:val="00D67272"/>
    <w:rsid w:val="00D707BA"/>
    <w:rsid w:val="00D7383B"/>
    <w:rsid w:val="00D77975"/>
    <w:rsid w:val="00D826E6"/>
    <w:rsid w:val="00DA05C4"/>
    <w:rsid w:val="00DA1C3D"/>
    <w:rsid w:val="00DA231B"/>
    <w:rsid w:val="00DA23A0"/>
    <w:rsid w:val="00DA45FE"/>
    <w:rsid w:val="00DC39FC"/>
    <w:rsid w:val="00DD6234"/>
    <w:rsid w:val="00DF4147"/>
    <w:rsid w:val="00DF5254"/>
    <w:rsid w:val="00E05BAE"/>
    <w:rsid w:val="00E16408"/>
    <w:rsid w:val="00E20894"/>
    <w:rsid w:val="00E245AB"/>
    <w:rsid w:val="00E25CFF"/>
    <w:rsid w:val="00E2764C"/>
    <w:rsid w:val="00E27F2E"/>
    <w:rsid w:val="00E413EA"/>
    <w:rsid w:val="00E50AFE"/>
    <w:rsid w:val="00E64CFA"/>
    <w:rsid w:val="00E66F04"/>
    <w:rsid w:val="00E75C92"/>
    <w:rsid w:val="00E771DC"/>
    <w:rsid w:val="00E84863"/>
    <w:rsid w:val="00E8772A"/>
    <w:rsid w:val="00E90F6B"/>
    <w:rsid w:val="00E92C27"/>
    <w:rsid w:val="00EA0E3D"/>
    <w:rsid w:val="00EA0E6D"/>
    <w:rsid w:val="00EA233C"/>
    <w:rsid w:val="00EA759F"/>
    <w:rsid w:val="00EB4F91"/>
    <w:rsid w:val="00EC38A7"/>
    <w:rsid w:val="00EC43DD"/>
    <w:rsid w:val="00ED297B"/>
    <w:rsid w:val="00EE1AA8"/>
    <w:rsid w:val="00EE700B"/>
    <w:rsid w:val="00EF0EF7"/>
    <w:rsid w:val="00EF130B"/>
    <w:rsid w:val="00EF453D"/>
    <w:rsid w:val="00EF7775"/>
    <w:rsid w:val="00F01B80"/>
    <w:rsid w:val="00F170DF"/>
    <w:rsid w:val="00F31EDC"/>
    <w:rsid w:val="00F31F07"/>
    <w:rsid w:val="00F36B9D"/>
    <w:rsid w:val="00F462B3"/>
    <w:rsid w:val="00F50436"/>
    <w:rsid w:val="00F50601"/>
    <w:rsid w:val="00F52BFA"/>
    <w:rsid w:val="00F5664F"/>
    <w:rsid w:val="00F60FDB"/>
    <w:rsid w:val="00F666C4"/>
    <w:rsid w:val="00F755EB"/>
    <w:rsid w:val="00F76AFC"/>
    <w:rsid w:val="00F7753A"/>
    <w:rsid w:val="00F8591D"/>
    <w:rsid w:val="00FA47C0"/>
    <w:rsid w:val="00FB5DD1"/>
    <w:rsid w:val="00FB6426"/>
    <w:rsid w:val="00FC2063"/>
    <w:rsid w:val="00FC2B5D"/>
    <w:rsid w:val="00FC78E5"/>
    <w:rsid w:val="00FD1E9F"/>
    <w:rsid w:val="00FD2D57"/>
    <w:rsid w:val="00FD4874"/>
    <w:rsid w:val="00FF1449"/>
    <w:rsid w:val="463523FE"/>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D2D57"/>
    <w:rPr>
      <w:rFonts w:ascii="Geomanist Light" w:hAnsi="Geomanist Light"/>
      <w:lang w:val="es-ES"/>
    </w:rPr>
  </w:style>
  <w:style w:type="paragraph" w:customStyle="1" w:styleId="Appelnotedebasde">
    <w:name w:val="Appel note de bas de..."/>
    <w:basedOn w:val="Normal"/>
    <w:link w:val="Refdenotaalpie"/>
    <w:uiPriority w:val="99"/>
    <w:rsid w:val="00FD2D57"/>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ecretariasenado.gov.co/senado/basedoc/ley_1150_2007.html"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rectoria@unipacifico.edu.co"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formacionvirtual.colombiacompra.gov.co/mod/page/view.php?id=3718"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5B9A41-1279-4075-B51C-EFF4D3A60F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C7B5BEED-3068-4290-A692-21C6E283BD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18</Pages>
  <Words>5896</Words>
  <Characters>32431</Characters>
  <Application>Microsoft Office Word</Application>
  <DocSecurity>0</DocSecurity>
  <Lines>270</Lines>
  <Paragraphs>76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38251</CharactersWithSpaces>
  <SharedDoc>false</SharedDoc>
  <HLinks>
    <vt:vector size="30" baseType="variant">
      <vt:variant>
        <vt:i4>7733358</vt:i4>
      </vt:variant>
      <vt:variant>
        <vt:i4>9</vt:i4>
      </vt:variant>
      <vt:variant>
        <vt:i4>0</vt:i4>
      </vt:variant>
      <vt:variant>
        <vt:i4>5</vt:i4>
      </vt:variant>
      <vt:variant>
        <vt:lpwstr>https://nam02.safelinks.protection.outlook.com/?url=https%3A%2F%2Fwww.colombiacompra.gov.co%2Fsala-de-prensa%2Fboletin-digital%2Fboletin-de-relatoria-2024-iv&amp;data=05%7C02%7Crichard.montenegro%40colombiacompra.gov.co%7C616b83c3423e4d31151908dce489c00d%7C7b09041e245149d08cb179d5e3d8c1be%7C0%7C0%7C638636527544523753%7CUnknown%7CTWFpbGZsb3d8eyJWIjoiMC4wLjAwMDAiLCJQIjoiV2luMzIiLCJBTiI6Ik1haWwiLCJXVCI6Mn0%3D%7C0%7C%7C%7C&amp;sdata=31YhXeGtv64u7LemD7puqCnYKJJe9dHadN%2BOIWggxZE%3D&amp;reserved=0</vt:lpwstr>
      </vt:variant>
      <vt:variant>
        <vt:lpwstr/>
      </vt:variant>
      <vt:variant>
        <vt:i4>7667813</vt:i4>
      </vt:variant>
      <vt:variant>
        <vt:i4>6</vt:i4>
      </vt:variant>
      <vt:variant>
        <vt:i4>0</vt:i4>
      </vt:variant>
      <vt:variant>
        <vt:i4>5</vt:i4>
      </vt:variant>
      <vt:variant>
        <vt:lpwstr>https://nam02.safelinks.protection.outlook.com/?url=https%3A%2F%2Frelatoria.colombiacompra.gov.co%2F&amp;data=05%7C02%7Cdiana.blanco%40colombiacompra.gov.co%7C5aad36a736844ec87b2108dcc1fa4639%7C7b09041e245149d08cb179d5e3d8c1be%7C0%7C0%7C638598527917590308%7CUnknown%7CTWFpbGZsb3d8eyJWIjoiMC4wLjAwMDAiLCJQIjoiV2luMzIiLCJBTiI6Ik1haWwiLCJXVCI6Mn0%3D%7C0%7C%7C%7C&amp;sdata=20bTO%2BV9qR58r83wa63pBfbKVVpQa4CxfO3WRNMrKeM%3D&amp;reserved=0</vt:lpwstr>
      </vt:variant>
      <vt:variant>
        <vt:lpwstr/>
      </vt:variant>
      <vt:variant>
        <vt:i4>5111895</vt:i4>
      </vt:variant>
      <vt:variant>
        <vt:i4>3</vt:i4>
      </vt:variant>
      <vt:variant>
        <vt:i4>0</vt:i4>
      </vt:variant>
      <vt:variant>
        <vt:i4>5</vt:i4>
      </vt:variant>
      <vt:variant>
        <vt:lpwstr>https://www.colombiacompra.gov.co/manuales-guias-y-pliegos-tipo/manuales-y-guias</vt:lpwstr>
      </vt:variant>
      <vt:variant>
        <vt:lpwstr/>
      </vt:variant>
      <vt:variant>
        <vt:i4>7929935</vt:i4>
      </vt:variant>
      <vt:variant>
        <vt:i4>0</vt:i4>
      </vt:variant>
      <vt:variant>
        <vt:i4>0</vt:i4>
      </vt:variant>
      <vt:variant>
        <vt:i4>5</vt:i4>
      </vt:variant>
      <vt:variant>
        <vt:lpwstr>mailto:ivandariog@hotmail.com</vt:lpwstr>
      </vt:variant>
      <vt:variant>
        <vt:lpwstr/>
      </vt:variant>
      <vt:variant>
        <vt:i4>5111895</vt:i4>
      </vt:variant>
      <vt:variant>
        <vt:i4>0</vt:i4>
      </vt:variant>
      <vt:variant>
        <vt:i4>0</vt:i4>
      </vt:variant>
      <vt:variant>
        <vt:i4>5</vt:i4>
      </vt:variant>
      <vt:variant>
        <vt:lpwstr>https://www.colombiacompra.gov.co/manuales-guias-y-pliegos-tipo/manuales-y-guias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3</cp:revision>
  <cp:lastPrinted>2023-01-10T21:18:00Z</cp:lastPrinted>
  <dcterms:created xsi:type="dcterms:W3CDTF">2026-03-24T00:57:00Z</dcterms:created>
  <dcterms:modified xsi:type="dcterms:W3CDTF">2026-03-25T01:13:00Z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