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075E2" w14:textId="77777777" w:rsidR="00396F7A" w:rsidRPr="00CE650F" w:rsidRDefault="00396F7A" w:rsidP="00396F7A">
      <w:pPr>
        <w:spacing w:after="0" w:line="276" w:lineRule="auto"/>
        <w:jc w:val="both"/>
        <w:rPr>
          <w:rFonts w:ascii="Verdana" w:eastAsia="Aptos" w:hAnsi="Verdana" w:cs="Arial"/>
          <w:b/>
          <w:bCs/>
        </w:rPr>
      </w:pPr>
      <w:bookmarkStart w:id="0" w:name="_Hlk143780582"/>
      <w:r w:rsidRPr="00CE650F">
        <w:rPr>
          <w:rFonts w:ascii="Verdana" w:eastAsia="Aptos" w:hAnsi="Verdana" w:cs="Arial"/>
          <w:b/>
          <w:bCs/>
        </w:rPr>
        <w:t xml:space="preserve">UNIVERSIDADES PÚBLICAS – Naturaleza jurídica – Régimen de contratación aplicable </w:t>
      </w:r>
    </w:p>
    <w:p w14:paraId="7EB75FE6" w14:textId="77777777" w:rsidR="00396F7A" w:rsidRPr="00CE650F" w:rsidRDefault="00396F7A" w:rsidP="00396F7A">
      <w:pPr>
        <w:spacing w:after="0" w:line="276" w:lineRule="auto"/>
        <w:jc w:val="both"/>
        <w:rPr>
          <w:rFonts w:ascii="Verdana" w:eastAsia="Aptos" w:hAnsi="Verdana" w:cs="Arial"/>
          <w:b/>
          <w:bCs/>
        </w:rPr>
      </w:pPr>
    </w:p>
    <w:p w14:paraId="5BE7040C"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la 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p>
    <w:p w14:paraId="48932630" w14:textId="77777777" w:rsidR="00396F7A" w:rsidRPr="00CE650F" w:rsidRDefault="00396F7A" w:rsidP="00396F7A">
      <w:pPr>
        <w:spacing w:after="0" w:line="240" w:lineRule="auto"/>
        <w:jc w:val="both"/>
        <w:rPr>
          <w:rFonts w:ascii="Verdana" w:eastAsia="Aptos" w:hAnsi="Verdana" w:cs="Arial"/>
          <w:sz w:val="20"/>
          <w:szCs w:val="20"/>
        </w:rPr>
      </w:pPr>
    </w:p>
    <w:p w14:paraId="502CD382"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62BAF46C"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393FB70A"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se ha considerado que los entes universitarios no son entidades que hagan parte de la rama ejecutiva, ni pueden, por tanto, considerarse entidades descentralizadas, sino que gozan de un régimen especial.</w:t>
      </w:r>
    </w:p>
    <w:p w14:paraId="5C5DD25F"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165C7B41"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condicionadamente, que será el derecho privado, rigiéndose, por ende, por las normas civiles y comerciales […].</w:t>
      </w:r>
    </w:p>
    <w:p w14:paraId="74F11FF0" w14:textId="77777777" w:rsidR="00396F7A" w:rsidRPr="00CE650F" w:rsidRDefault="00396F7A" w:rsidP="00396F7A">
      <w:pPr>
        <w:spacing w:after="0" w:line="240" w:lineRule="auto"/>
        <w:jc w:val="both"/>
        <w:rPr>
          <w:rFonts w:ascii="Verdana" w:eastAsia="Aptos" w:hAnsi="Verdana" w:cs="Arial"/>
          <w:sz w:val="20"/>
          <w:szCs w:val="20"/>
        </w:rPr>
      </w:pPr>
    </w:p>
    <w:p w14:paraId="61632449" w14:textId="77777777" w:rsidR="00396F7A" w:rsidRPr="00CE650F" w:rsidRDefault="00396F7A" w:rsidP="00396F7A">
      <w:pPr>
        <w:spacing w:after="0" w:line="240" w:lineRule="auto"/>
        <w:jc w:val="both"/>
        <w:rPr>
          <w:rFonts w:ascii="Verdana" w:eastAsia="Aptos" w:hAnsi="Verdana" w:cs="Arial"/>
          <w:b/>
          <w:bCs/>
        </w:rPr>
      </w:pPr>
      <w:r w:rsidRPr="00CE650F">
        <w:rPr>
          <w:rFonts w:ascii="Verdana" w:eastAsia="Aptos" w:hAnsi="Verdana" w:cs="Arial"/>
          <w:b/>
          <w:bCs/>
        </w:rPr>
        <w:t>UNIVERSIDADES PÚBLICAS – Aplicación del estatuto general – Obligaciones transversales - Limitaciones</w:t>
      </w:r>
    </w:p>
    <w:p w14:paraId="3373E627" w14:textId="77777777" w:rsidR="00396F7A" w:rsidRPr="00CE650F" w:rsidRDefault="00396F7A" w:rsidP="00396F7A">
      <w:pPr>
        <w:spacing w:after="0" w:line="240" w:lineRule="auto"/>
        <w:jc w:val="both"/>
        <w:rPr>
          <w:rFonts w:ascii="Verdana" w:eastAsia="Aptos" w:hAnsi="Verdana" w:cs="Arial"/>
          <w:sz w:val="20"/>
          <w:szCs w:val="20"/>
        </w:rPr>
      </w:pPr>
    </w:p>
    <w:p w14:paraId="005133A6"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p>
    <w:p w14:paraId="463713BD"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49FD087C"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xml:space="preserve">[…] deberán cumplir unas obligaciones transversales al Sistema de Compra y Contratación Pública, entre ellas la elaboración del Plan Anual de Adquisiciones, la publicación de sus procedimientos de selección a través de la herramienta SECOP –en la </w:t>
      </w:r>
      <w:r w:rsidRPr="00CE650F">
        <w:rPr>
          <w:rFonts w:ascii="Verdana" w:eastAsia="Aptos" w:hAnsi="Verdana" w:cs="Arial"/>
          <w:sz w:val="20"/>
          <w:szCs w:val="20"/>
        </w:rPr>
        <w:lastRenderedPageBreak/>
        <w:t>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w:t>
      </w:r>
    </w:p>
    <w:p w14:paraId="0B3B6893"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0127759F" w14:textId="77777777" w:rsidR="00396F7A" w:rsidRPr="00CE650F" w:rsidRDefault="00396F7A" w:rsidP="00396F7A">
      <w:pPr>
        <w:spacing w:after="0" w:line="240" w:lineRule="auto"/>
        <w:jc w:val="both"/>
        <w:rPr>
          <w:rFonts w:ascii="Verdana" w:eastAsia="Aptos" w:hAnsi="Verdana" w:cs="Arial"/>
          <w:sz w:val="20"/>
          <w:szCs w:val="20"/>
        </w:rPr>
      </w:pPr>
    </w:p>
    <w:p w14:paraId="61D7FA4D" w14:textId="77777777" w:rsidR="00396F7A" w:rsidRPr="00CE650F" w:rsidRDefault="00396F7A" w:rsidP="00396F7A">
      <w:pPr>
        <w:spacing w:after="0" w:line="240" w:lineRule="auto"/>
        <w:jc w:val="both"/>
        <w:rPr>
          <w:rFonts w:ascii="Verdana" w:eastAsia="Aptos" w:hAnsi="Verdana" w:cs="Arial"/>
          <w:b/>
          <w:bCs/>
        </w:rPr>
      </w:pPr>
      <w:r w:rsidRPr="00CE650F">
        <w:rPr>
          <w:rFonts w:ascii="Verdana" w:eastAsia="Aptos" w:hAnsi="Verdana" w:cs="Arial"/>
          <w:b/>
          <w:bCs/>
        </w:rPr>
        <w:t>MANUALES DE CONTRATACIÓN – Obligatoria observancia – Imposibilidad de desconocimiento – Ley de garantías electorales</w:t>
      </w:r>
    </w:p>
    <w:p w14:paraId="35AA35E4" w14:textId="77777777" w:rsidR="00396F7A" w:rsidRPr="00CE650F" w:rsidRDefault="00396F7A" w:rsidP="00396F7A">
      <w:pPr>
        <w:spacing w:after="0" w:line="240" w:lineRule="auto"/>
        <w:jc w:val="both"/>
        <w:rPr>
          <w:rFonts w:ascii="Verdana" w:eastAsia="Aptos" w:hAnsi="Verdana" w:cs="Arial"/>
          <w:b/>
          <w:bCs/>
        </w:rPr>
      </w:pPr>
    </w:p>
    <w:p w14:paraId="5DE22991" w14:textId="77777777" w:rsidR="00396F7A" w:rsidRPr="00CE650F" w:rsidRDefault="00396F7A" w:rsidP="00396F7A">
      <w:pPr>
        <w:spacing w:after="0" w:line="240" w:lineRule="auto"/>
        <w:jc w:val="both"/>
        <w:rPr>
          <w:rFonts w:ascii="Verdana" w:eastAsia="Aptos" w:hAnsi="Verdana" w:cs="Arial"/>
        </w:rPr>
      </w:pPr>
      <w:r w:rsidRPr="00CE650F">
        <w:rPr>
          <w:rFonts w:ascii="Verdana" w:eastAsia="Aptos" w:hAnsi="Verdana" w:cs="Arial"/>
          <w:sz w:val="20"/>
          <w:szCs w:val="20"/>
        </w:rPr>
        <w:t>[…] teniendo en cuenta que dichos manuales corresponden a un acto administrativo y concretamente a un reglamento, le aplican los atributos propios de estos tipos de actos, entre otras cosas, la presunción de legalidad y la regla de inderogabilidad singular del reglamento. En tal sentido, su contenido vincula a la propia entidad que lo expidió y no puede desconocerlo a su capricho en casos específicos. Ello sin perjuicio de la posibilidad de expedir un nuevo manual o de modificar el existente.</w:t>
      </w:r>
    </w:p>
    <w:p w14:paraId="4861934A" w14:textId="77777777" w:rsidR="00396F7A" w:rsidRPr="00CE650F" w:rsidRDefault="00396F7A" w:rsidP="00396F7A">
      <w:pPr>
        <w:spacing w:after="0" w:line="240" w:lineRule="auto"/>
        <w:jc w:val="both"/>
        <w:rPr>
          <w:rFonts w:ascii="Verdana" w:eastAsia="Aptos" w:hAnsi="Verdana" w:cs="Arial"/>
          <w:sz w:val="20"/>
          <w:szCs w:val="20"/>
        </w:rPr>
      </w:pPr>
    </w:p>
    <w:p w14:paraId="625C6223" w14:textId="77777777" w:rsidR="00396F7A" w:rsidRPr="00CE650F" w:rsidRDefault="00396F7A" w:rsidP="00396F7A">
      <w:pPr>
        <w:spacing w:after="0" w:line="240" w:lineRule="auto"/>
        <w:jc w:val="both"/>
        <w:rPr>
          <w:rFonts w:ascii="Verdana" w:eastAsia="Aptos" w:hAnsi="Verdana" w:cs="Arial"/>
          <w:sz w:val="20"/>
          <w:szCs w:val="20"/>
        </w:rPr>
      </w:pPr>
      <w:r w:rsidRPr="00CE650F">
        <w:rPr>
          <w:rFonts w:ascii="Verdana" w:eastAsia="Aptos" w:hAnsi="Verdana" w:cs="Arial"/>
          <w:sz w:val="20"/>
          <w:szCs w:val="20"/>
        </w:rPr>
        <w:t>[…]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“afectadas” por las referidas restricciones, adquieran sus bienes o servicios desconociendo las formas y procesos preestablecidos.</w:t>
      </w:r>
    </w:p>
    <w:p w14:paraId="0D2DB3E8" w14:textId="77777777" w:rsidR="00396F7A" w:rsidRPr="00CE650F" w:rsidRDefault="00396F7A" w:rsidP="00396F7A">
      <w:pPr>
        <w:spacing w:after="0" w:line="276" w:lineRule="auto"/>
        <w:jc w:val="both"/>
        <w:rPr>
          <w:rFonts w:ascii="Verdana" w:eastAsia="Aptos" w:hAnsi="Verdana" w:cs="Arial"/>
        </w:rPr>
      </w:pPr>
    </w:p>
    <w:p w14:paraId="2D5B80EE" w14:textId="77777777" w:rsidR="00396F7A" w:rsidRPr="00CE650F" w:rsidRDefault="00396F7A" w:rsidP="00396F7A">
      <w:pPr>
        <w:spacing w:after="0" w:line="276" w:lineRule="auto"/>
        <w:jc w:val="both"/>
        <w:rPr>
          <w:rFonts w:ascii="Verdana" w:eastAsia="Aptos" w:hAnsi="Verdana" w:cs="Arial"/>
        </w:rPr>
      </w:pPr>
    </w:p>
    <w:p w14:paraId="2A6E0666" w14:textId="77777777" w:rsidR="00396F7A" w:rsidRPr="00CE650F" w:rsidRDefault="00396F7A" w:rsidP="00396F7A">
      <w:pPr>
        <w:spacing w:after="0" w:line="276" w:lineRule="auto"/>
        <w:jc w:val="both"/>
        <w:rPr>
          <w:rFonts w:ascii="Verdana" w:eastAsia="Aptos" w:hAnsi="Verdana" w:cs="Arial"/>
        </w:rPr>
      </w:pPr>
    </w:p>
    <w:p w14:paraId="59F84C06" w14:textId="77777777" w:rsidR="00396F7A" w:rsidRPr="00CE650F" w:rsidRDefault="00396F7A" w:rsidP="00396F7A">
      <w:pPr>
        <w:spacing w:after="0" w:line="276" w:lineRule="auto"/>
        <w:jc w:val="both"/>
        <w:rPr>
          <w:rFonts w:ascii="Verdana" w:eastAsia="Aptos" w:hAnsi="Verdana" w:cs="Arial"/>
        </w:rPr>
      </w:pPr>
    </w:p>
    <w:p w14:paraId="25895B45" w14:textId="77777777" w:rsidR="00396F7A" w:rsidRPr="00CE650F" w:rsidRDefault="00396F7A" w:rsidP="00396F7A">
      <w:pPr>
        <w:spacing w:after="0" w:line="276" w:lineRule="auto"/>
        <w:jc w:val="both"/>
        <w:rPr>
          <w:rFonts w:ascii="Verdana" w:eastAsia="Aptos" w:hAnsi="Verdana" w:cs="Arial"/>
        </w:rPr>
      </w:pPr>
    </w:p>
    <w:p w14:paraId="217F3EC9" w14:textId="77777777" w:rsidR="00396F7A" w:rsidRPr="00CE650F" w:rsidRDefault="00396F7A" w:rsidP="00396F7A">
      <w:pPr>
        <w:spacing w:after="0" w:line="276" w:lineRule="auto"/>
        <w:jc w:val="both"/>
        <w:rPr>
          <w:rFonts w:ascii="Verdana" w:eastAsia="Aptos" w:hAnsi="Verdana" w:cs="Arial"/>
        </w:rPr>
      </w:pPr>
    </w:p>
    <w:p w14:paraId="29985AE5" w14:textId="77777777" w:rsidR="00396F7A" w:rsidRPr="00CE650F" w:rsidRDefault="00396F7A" w:rsidP="00396F7A">
      <w:pPr>
        <w:spacing w:after="0" w:line="276" w:lineRule="auto"/>
        <w:jc w:val="both"/>
        <w:rPr>
          <w:rFonts w:ascii="Verdana" w:eastAsia="Aptos" w:hAnsi="Verdana" w:cs="Arial"/>
        </w:rPr>
      </w:pPr>
    </w:p>
    <w:p w14:paraId="54E3CDAB" w14:textId="77777777" w:rsidR="00396F7A" w:rsidRPr="00CE650F" w:rsidRDefault="00396F7A" w:rsidP="00396F7A">
      <w:pPr>
        <w:spacing w:after="0" w:line="276" w:lineRule="auto"/>
        <w:jc w:val="both"/>
        <w:rPr>
          <w:rFonts w:ascii="Verdana" w:eastAsia="Aptos" w:hAnsi="Verdana" w:cs="Arial"/>
        </w:rPr>
      </w:pPr>
    </w:p>
    <w:p w14:paraId="42560817" w14:textId="77777777" w:rsidR="00396F7A" w:rsidRPr="00CE650F" w:rsidRDefault="00396F7A" w:rsidP="00396F7A">
      <w:pPr>
        <w:spacing w:after="0" w:line="276" w:lineRule="auto"/>
        <w:jc w:val="both"/>
        <w:rPr>
          <w:rFonts w:ascii="Verdana" w:eastAsia="Aptos" w:hAnsi="Verdana" w:cs="Arial"/>
        </w:rPr>
      </w:pPr>
    </w:p>
    <w:p w14:paraId="79813491" w14:textId="77777777" w:rsidR="00396F7A" w:rsidRPr="00CE650F" w:rsidRDefault="00396F7A" w:rsidP="00396F7A">
      <w:pPr>
        <w:spacing w:after="0" w:line="276" w:lineRule="auto"/>
        <w:jc w:val="both"/>
        <w:rPr>
          <w:rFonts w:ascii="Verdana" w:eastAsia="Aptos" w:hAnsi="Verdana" w:cs="Arial"/>
        </w:rPr>
      </w:pPr>
    </w:p>
    <w:p w14:paraId="6CCA9330" w14:textId="77777777" w:rsidR="00396F7A" w:rsidRPr="00CE650F" w:rsidRDefault="00396F7A" w:rsidP="00396F7A">
      <w:pPr>
        <w:spacing w:after="0" w:line="276" w:lineRule="auto"/>
        <w:jc w:val="both"/>
        <w:rPr>
          <w:rFonts w:ascii="Verdana" w:eastAsia="Aptos" w:hAnsi="Verdana" w:cs="Arial"/>
        </w:rPr>
      </w:pPr>
    </w:p>
    <w:p w14:paraId="327D83A9" w14:textId="77777777" w:rsidR="00396F7A" w:rsidRPr="00CE650F" w:rsidRDefault="00396F7A" w:rsidP="00396F7A">
      <w:pPr>
        <w:spacing w:after="0" w:line="276" w:lineRule="auto"/>
        <w:jc w:val="both"/>
        <w:rPr>
          <w:rFonts w:ascii="Verdana" w:eastAsia="Aptos" w:hAnsi="Verdana" w:cs="Arial"/>
        </w:rPr>
      </w:pPr>
    </w:p>
    <w:p w14:paraId="1430C18A" w14:textId="77777777" w:rsidR="00396F7A" w:rsidRPr="00CE650F" w:rsidRDefault="00396F7A" w:rsidP="00396F7A">
      <w:pPr>
        <w:spacing w:after="0" w:line="276" w:lineRule="auto"/>
        <w:jc w:val="both"/>
        <w:rPr>
          <w:rFonts w:ascii="Verdana" w:eastAsia="Aptos" w:hAnsi="Verdana" w:cs="Arial"/>
        </w:rPr>
      </w:pPr>
    </w:p>
    <w:p w14:paraId="2D7D8820" w14:textId="77777777" w:rsidR="00396F7A" w:rsidRPr="00CE650F" w:rsidRDefault="00396F7A" w:rsidP="00396F7A">
      <w:pPr>
        <w:spacing w:after="0" w:line="276" w:lineRule="auto"/>
        <w:jc w:val="both"/>
        <w:rPr>
          <w:rFonts w:ascii="Verdana" w:eastAsia="Aptos" w:hAnsi="Verdana" w:cs="Arial"/>
        </w:rPr>
      </w:pPr>
    </w:p>
    <w:p w14:paraId="43DC07EB" w14:textId="77777777" w:rsidR="00396F7A" w:rsidRPr="00CE650F" w:rsidRDefault="00396F7A" w:rsidP="00396F7A">
      <w:pPr>
        <w:spacing w:after="0" w:line="276" w:lineRule="auto"/>
        <w:jc w:val="both"/>
        <w:rPr>
          <w:rFonts w:ascii="Verdana" w:eastAsia="Aptos" w:hAnsi="Verdana" w:cs="Arial"/>
        </w:rPr>
      </w:pPr>
    </w:p>
    <w:p w14:paraId="6B28A978" w14:textId="77777777" w:rsidR="00396F7A" w:rsidRPr="00CE650F" w:rsidRDefault="00396F7A" w:rsidP="00396F7A">
      <w:pPr>
        <w:spacing w:after="0" w:line="276" w:lineRule="auto"/>
        <w:jc w:val="both"/>
        <w:rPr>
          <w:rFonts w:ascii="Verdana" w:eastAsia="Aptos" w:hAnsi="Verdana" w:cs="Arial"/>
        </w:rPr>
      </w:pPr>
    </w:p>
    <w:p w14:paraId="11FA5E67" w14:textId="77777777" w:rsidR="00396F7A" w:rsidRPr="00CE650F" w:rsidRDefault="00396F7A" w:rsidP="00396F7A">
      <w:pPr>
        <w:spacing w:after="0" w:line="276" w:lineRule="auto"/>
        <w:jc w:val="both"/>
        <w:rPr>
          <w:rFonts w:ascii="Verdana" w:eastAsia="Aptos" w:hAnsi="Verdana" w:cs="Arial"/>
        </w:rPr>
      </w:pPr>
    </w:p>
    <w:p w14:paraId="2890E2FD" w14:textId="7547DD33" w:rsidR="00396F7A" w:rsidRPr="00CE650F" w:rsidRDefault="00396F7A" w:rsidP="00396F7A">
      <w:pPr>
        <w:spacing w:after="0" w:line="240" w:lineRule="auto"/>
        <w:rPr>
          <w:rFonts w:ascii="Verdana" w:eastAsia="Geomanist Light" w:hAnsi="Verdana" w:cs="Arial"/>
          <w:lang w:val="es-MX"/>
        </w:rPr>
      </w:pPr>
      <w:r w:rsidRPr="00CE650F">
        <w:rPr>
          <w:rFonts w:ascii="Verdana" w:eastAsia="Geomanist Light" w:hAnsi="Verdana" w:cs="Arial"/>
          <w:lang w:val="es-MX"/>
        </w:rPr>
        <w:lastRenderedPageBreak/>
        <w:t>Bogotá D.C., </w:t>
      </w:r>
      <w:r w:rsidR="00C153AE">
        <w:rPr>
          <w:rFonts w:ascii="Verdana" w:eastAsia="Geomanist Light" w:hAnsi="Verdana" w:cs="Arial"/>
          <w:lang w:val="es-MX"/>
        </w:rPr>
        <w:t>19 de marzo de 2026</w:t>
      </w:r>
    </w:p>
    <w:p w14:paraId="5960CDA3" w14:textId="77777777" w:rsidR="00396F7A" w:rsidRPr="00CE650F" w:rsidRDefault="00396F7A" w:rsidP="00396F7A">
      <w:pPr>
        <w:spacing w:after="0" w:line="240" w:lineRule="auto"/>
        <w:jc w:val="both"/>
        <w:rPr>
          <w:rFonts w:ascii="Verdana" w:eastAsia="Calibri" w:hAnsi="Verdana" w:cs="Arial"/>
          <w:lang w:val="es-ES"/>
        </w:rPr>
      </w:pPr>
    </w:p>
    <w:p w14:paraId="71BDDC39" w14:textId="7E0655A4" w:rsidR="00396F7A" w:rsidRDefault="00931C81" w:rsidP="00396F7A">
      <w:pPr>
        <w:spacing w:after="0" w:line="240" w:lineRule="auto"/>
        <w:jc w:val="right"/>
        <w:rPr>
          <w:rFonts w:ascii="Verdana" w:eastAsia="Calibri" w:hAnsi="Verdana" w:cs="Arial"/>
          <w:lang w:val="es-ES"/>
        </w:rPr>
      </w:pPr>
      <w:r w:rsidRPr="00931C81">
        <w:rPr>
          <w:rFonts w:ascii="Verdana" w:eastAsia="Calibri" w:hAnsi="Verdana" w:cs="Arial"/>
          <w:noProof/>
          <w:lang w:val="es-ES"/>
        </w:rPr>
        <w:drawing>
          <wp:inline distT="0" distB="0" distL="0" distR="0" wp14:anchorId="541071A2" wp14:editId="15E433D6">
            <wp:extent cx="2457793" cy="714475"/>
            <wp:effectExtent l="0" t="0" r="0" b="9525"/>
            <wp:docPr id="1823120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12016" name=""/>
                    <pic:cNvPicPr/>
                  </pic:nvPicPr>
                  <pic:blipFill>
                    <a:blip r:embed="rId10"/>
                    <a:stretch>
                      <a:fillRect/>
                    </a:stretch>
                  </pic:blipFill>
                  <pic:spPr>
                    <a:xfrm>
                      <a:off x="0" y="0"/>
                      <a:ext cx="2457793" cy="714475"/>
                    </a:xfrm>
                    <a:prstGeom prst="rect">
                      <a:avLst/>
                    </a:prstGeom>
                  </pic:spPr>
                </pic:pic>
              </a:graphicData>
            </a:graphic>
          </wp:inline>
        </w:drawing>
      </w:r>
    </w:p>
    <w:p w14:paraId="66FE6E05" w14:textId="77777777" w:rsidR="00931C81" w:rsidRPr="00CE650F" w:rsidRDefault="00931C81" w:rsidP="00396F7A">
      <w:pPr>
        <w:spacing w:after="0" w:line="240" w:lineRule="auto"/>
        <w:jc w:val="right"/>
        <w:rPr>
          <w:rFonts w:ascii="Verdana" w:eastAsia="Calibri" w:hAnsi="Verdana" w:cs="Arial"/>
          <w:lang w:val="es-ES"/>
        </w:rPr>
      </w:pPr>
    </w:p>
    <w:p w14:paraId="1BB67A22" w14:textId="77777777" w:rsidR="00396F7A" w:rsidRPr="00CE650F" w:rsidRDefault="00396F7A" w:rsidP="00396F7A">
      <w:pPr>
        <w:spacing w:after="0" w:line="240" w:lineRule="auto"/>
        <w:jc w:val="both"/>
        <w:rPr>
          <w:rFonts w:ascii="Verdana" w:eastAsia="Calibri" w:hAnsi="Verdana" w:cs="Arial"/>
          <w:lang w:val="es-ES" w:eastAsia="es-ES"/>
        </w:rPr>
      </w:pPr>
      <w:r w:rsidRPr="00CE650F">
        <w:rPr>
          <w:rFonts w:ascii="Verdana" w:eastAsia="Calibri" w:hAnsi="Verdana" w:cs="Arial"/>
          <w:lang w:val="es-ES" w:eastAsia="es-ES"/>
        </w:rPr>
        <w:t>Señor(a)</w:t>
      </w:r>
    </w:p>
    <w:p w14:paraId="427834E8" w14:textId="77777777" w:rsidR="00396F7A" w:rsidRPr="00CE650F" w:rsidRDefault="00396F7A" w:rsidP="00396F7A">
      <w:pPr>
        <w:spacing w:after="0" w:line="240" w:lineRule="auto"/>
        <w:rPr>
          <w:rFonts w:ascii="Verdana" w:eastAsia="Calibri" w:hAnsi="Verdana" w:cs="Arial"/>
          <w:b/>
          <w:lang w:val="es-ES" w:eastAsia="es-ES"/>
        </w:rPr>
      </w:pPr>
      <w:r w:rsidRPr="00CE650F">
        <w:rPr>
          <w:rFonts w:ascii="Verdana" w:eastAsia="Calibri" w:hAnsi="Verdana" w:cs="Arial"/>
          <w:b/>
          <w:lang w:val="es-ES" w:eastAsia="es-ES"/>
        </w:rPr>
        <w:t>Ciudadano(a) Anónimo(a)</w:t>
      </w:r>
    </w:p>
    <w:p w14:paraId="189277DC" w14:textId="77777777" w:rsidR="00396F7A" w:rsidRPr="00CE650F" w:rsidRDefault="00C80E91" w:rsidP="00396F7A">
      <w:pPr>
        <w:spacing w:after="0" w:line="240" w:lineRule="auto"/>
        <w:rPr>
          <w:rFonts w:ascii="Verdana" w:eastAsia="Aptos" w:hAnsi="Verdana" w:cs="Arial"/>
        </w:rPr>
      </w:pPr>
      <w:hyperlink r:id="rId11" w:history="1">
        <w:r w:rsidR="00396F7A" w:rsidRPr="00CE650F">
          <w:rPr>
            <w:rFonts w:ascii="Verdana" w:eastAsia="Aptos" w:hAnsi="Verdana" w:cs="Arial"/>
            <w:color w:val="467886"/>
            <w:u w:val="single"/>
          </w:rPr>
          <w:t>cuentasplataformascolombia@gmail.com</w:t>
        </w:r>
      </w:hyperlink>
      <w:r w:rsidR="00396F7A" w:rsidRPr="00CE650F">
        <w:rPr>
          <w:rFonts w:ascii="Verdana" w:eastAsia="Aptos" w:hAnsi="Verdana" w:cs="Arial"/>
        </w:rPr>
        <w:t xml:space="preserve"> </w:t>
      </w:r>
    </w:p>
    <w:p w14:paraId="460CE2A7" w14:textId="77777777" w:rsidR="00396F7A" w:rsidRPr="00CE650F" w:rsidRDefault="00396F7A" w:rsidP="00396F7A">
      <w:pPr>
        <w:spacing w:after="0" w:line="240" w:lineRule="auto"/>
        <w:rPr>
          <w:rFonts w:ascii="Verdana" w:eastAsia="Calibri" w:hAnsi="Verdana" w:cs="Arial"/>
          <w:b/>
          <w:bCs/>
          <w:lang w:val="es-ES" w:eastAsia="es-ES"/>
        </w:rPr>
      </w:pPr>
      <w:r w:rsidRPr="00CE650F">
        <w:rPr>
          <w:rFonts w:ascii="Verdana" w:eastAsia="Calibri" w:hAnsi="Verdana" w:cs="Arial"/>
          <w:lang w:val="es-ES" w:eastAsia="es-ES"/>
        </w:rPr>
        <w:t>Ciudad</w:t>
      </w:r>
    </w:p>
    <w:p w14:paraId="775FEF31" w14:textId="77777777" w:rsidR="00396F7A" w:rsidRPr="00CE650F" w:rsidRDefault="00396F7A" w:rsidP="00396F7A">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6F7A" w:rsidRPr="00CE650F" w14:paraId="45E84164" w14:textId="77777777" w:rsidTr="0027244B">
        <w:trPr>
          <w:trHeight w:val="884"/>
        </w:trPr>
        <w:tc>
          <w:tcPr>
            <w:tcW w:w="2689" w:type="dxa"/>
          </w:tcPr>
          <w:p w14:paraId="3668126D" w14:textId="77777777" w:rsidR="00396F7A" w:rsidRPr="00CE650F" w:rsidRDefault="00396F7A" w:rsidP="0027244B">
            <w:pPr>
              <w:jc w:val="both"/>
              <w:rPr>
                <w:rFonts w:ascii="Verdana" w:eastAsia="Calibri" w:hAnsi="Verdana" w:cs="Arial"/>
                <w:b/>
                <w:bCs/>
                <w:lang w:val="es-ES_tradnl" w:eastAsia="es-ES_tradnl"/>
              </w:rPr>
            </w:pPr>
          </w:p>
        </w:tc>
        <w:tc>
          <w:tcPr>
            <w:tcW w:w="6100" w:type="dxa"/>
          </w:tcPr>
          <w:p w14:paraId="5197C187" w14:textId="77777777" w:rsidR="00396F7A" w:rsidRPr="00CE650F" w:rsidRDefault="00396F7A" w:rsidP="0027244B">
            <w:pPr>
              <w:jc w:val="both"/>
              <w:rPr>
                <w:rFonts w:ascii="Verdana" w:eastAsia="Calibri" w:hAnsi="Verdana" w:cs="Arial"/>
                <w:b/>
                <w:bCs/>
                <w:lang w:val="es-ES" w:eastAsia="es-ES"/>
              </w:rPr>
            </w:pPr>
            <w:r w:rsidRPr="00CE650F">
              <w:rPr>
                <w:rFonts w:ascii="Verdana" w:eastAsia="Calibri" w:hAnsi="Verdana" w:cs="Arial"/>
                <w:b/>
                <w:bCs/>
                <w:lang w:val="es-ES" w:eastAsia="es-ES"/>
              </w:rPr>
              <w:t>Concepto C-197 de 2026</w:t>
            </w:r>
          </w:p>
        </w:tc>
      </w:tr>
      <w:tr w:rsidR="00396F7A" w:rsidRPr="00CE650F" w14:paraId="58451BA9" w14:textId="77777777" w:rsidTr="0027244B">
        <w:trPr>
          <w:trHeight w:val="884"/>
        </w:trPr>
        <w:tc>
          <w:tcPr>
            <w:tcW w:w="2689" w:type="dxa"/>
          </w:tcPr>
          <w:p w14:paraId="7A218200" w14:textId="77777777" w:rsidR="00396F7A" w:rsidRPr="00CE650F" w:rsidRDefault="00396F7A" w:rsidP="0027244B">
            <w:pPr>
              <w:jc w:val="both"/>
              <w:rPr>
                <w:rFonts w:ascii="Verdana" w:eastAsia="Calibri" w:hAnsi="Verdana" w:cs="Arial"/>
                <w:lang w:val="es-ES_tradnl" w:eastAsia="es-ES_tradnl"/>
              </w:rPr>
            </w:pPr>
            <w:r w:rsidRPr="00CE650F">
              <w:rPr>
                <w:rFonts w:ascii="Verdana" w:eastAsia="Calibri" w:hAnsi="Verdana" w:cs="Arial"/>
                <w:b/>
                <w:lang w:val="es-ES_tradnl" w:eastAsia="es-ES_tradnl"/>
              </w:rPr>
              <w:t>Temas:</w:t>
            </w:r>
            <w:r w:rsidRPr="00CE650F">
              <w:rPr>
                <w:rFonts w:ascii="Verdana" w:eastAsia="Calibri" w:hAnsi="Verdana" w:cs="Arial"/>
                <w:lang w:val="es-ES_tradnl" w:eastAsia="es-ES_tradnl"/>
              </w:rPr>
              <w:t xml:space="preserve">                   </w:t>
            </w:r>
          </w:p>
        </w:tc>
        <w:tc>
          <w:tcPr>
            <w:tcW w:w="6100" w:type="dxa"/>
          </w:tcPr>
          <w:p w14:paraId="728530AF" w14:textId="77777777" w:rsidR="00396F7A" w:rsidRPr="00CE650F" w:rsidRDefault="00396F7A" w:rsidP="0027244B">
            <w:pPr>
              <w:spacing w:line="276" w:lineRule="auto"/>
              <w:jc w:val="both"/>
              <w:rPr>
                <w:rFonts w:ascii="Verdana" w:eastAsia="Calibri" w:hAnsi="Verdana" w:cs="Arial"/>
                <w:lang w:val="es-ES" w:eastAsia="es-ES"/>
              </w:rPr>
            </w:pPr>
            <w:r w:rsidRPr="00CE650F">
              <w:rPr>
                <w:rFonts w:ascii="Verdana" w:eastAsia="Calibri" w:hAnsi="Verdana" w:cs="Arial"/>
                <w:lang w:val="es-ES" w:eastAsia="es-ES"/>
              </w:rPr>
              <w:t>UNIVERSIDADES PÚBLICAS – Naturaleza jurídica – Régimen de contratación aplicable / UNIVERSIDADES PÚBLICAS – Aplicación del estatuto general – Obligaciones transversales – Limitaciones / MANUALES DE CONTRATACIÓN – Obligatoria observancia – Imposibilidad de desconocimiento – Ley de garantías electorales</w:t>
            </w:r>
          </w:p>
          <w:p w14:paraId="7AA99EFC" w14:textId="77777777" w:rsidR="00396F7A" w:rsidRPr="00CE650F" w:rsidRDefault="00396F7A" w:rsidP="0027244B">
            <w:pPr>
              <w:spacing w:line="276" w:lineRule="auto"/>
              <w:jc w:val="both"/>
              <w:rPr>
                <w:rFonts w:ascii="Verdana" w:eastAsia="Calibri" w:hAnsi="Verdana" w:cs="Arial"/>
                <w:lang w:val="es-ES" w:eastAsia="es-ES"/>
              </w:rPr>
            </w:pPr>
          </w:p>
        </w:tc>
      </w:tr>
    </w:tbl>
    <w:p w14:paraId="6E4314CF" w14:textId="77777777" w:rsidR="00396F7A" w:rsidRPr="00CE650F" w:rsidRDefault="00396F7A" w:rsidP="00396F7A">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6F7A" w:rsidRPr="00CE650F" w14:paraId="41CB8B05" w14:textId="77777777" w:rsidTr="0027244B">
        <w:tc>
          <w:tcPr>
            <w:tcW w:w="2689" w:type="dxa"/>
          </w:tcPr>
          <w:p w14:paraId="1E82310D" w14:textId="77777777" w:rsidR="00396F7A" w:rsidRPr="00CE650F" w:rsidRDefault="00396F7A" w:rsidP="0027244B">
            <w:pPr>
              <w:jc w:val="both"/>
              <w:rPr>
                <w:rFonts w:ascii="Verdana" w:eastAsia="Calibri" w:hAnsi="Verdana" w:cs="Arial"/>
                <w:b/>
                <w:lang w:val="es-ES_tradnl" w:eastAsia="es-ES_tradnl"/>
              </w:rPr>
            </w:pPr>
            <w:r w:rsidRPr="00CE650F">
              <w:rPr>
                <w:rFonts w:ascii="Verdana" w:eastAsia="Calibri" w:hAnsi="Verdana" w:cs="Arial"/>
                <w:b/>
                <w:lang w:val="es-ES_tradnl" w:eastAsia="es-ES_tradnl"/>
              </w:rPr>
              <w:t>Radicación:</w:t>
            </w:r>
            <w:r w:rsidRPr="00CE650F">
              <w:rPr>
                <w:rFonts w:ascii="Verdana" w:eastAsia="Calibri" w:hAnsi="Verdana" w:cs="Arial"/>
                <w:lang w:val="es-ES_tradnl" w:eastAsia="es-ES_tradnl"/>
              </w:rPr>
              <w:t xml:space="preserve">               </w:t>
            </w:r>
          </w:p>
        </w:tc>
        <w:tc>
          <w:tcPr>
            <w:tcW w:w="6100" w:type="dxa"/>
          </w:tcPr>
          <w:p w14:paraId="03A09046" w14:textId="77777777" w:rsidR="00396F7A" w:rsidRPr="00CE650F" w:rsidRDefault="00396F7A" w:rsidP="0027244B">
            <w:pPr>
              <w:jc w:val="both"/>
              <w:rPr>
                <w:rFonts w:ascii="Verdana" w:eastAsia="Calibri" w:hAnsi="Verdana" w:cs="Arial"/>
                <w:lang w:val="es-ES_tradnl" w:eastAsia="es-ES_tradnl"/>
              </w:rPr>
            </w:pPr>
            <w:r w:rsidRPr="00CE650F">
              <w:rPr>
                <w:rFonts w:ascii="Verdana" w:eastAsia="Calibri" w:hAnsi="Verdana" w:cs="Arial"/>
                <w:lang w:val="es-ES_tradnl" w:eastAsia="es-ES_tradnl"/>
              </w:rPr>
              <w:t>Respuesta a consulta con radicado No. 1_2026_02_10_001729</w:t>
            </w:r>
          </w:p>
        </w:tc>
      </w:tr>
    </w:tbl>
    <w:p w14:paraId="38A1247F" w14:textId="77777777" w:rsidR="00396F7A" w:rsidRPr="00CE650F" w:rsidRDefault="00396F7A" w:rsidP="00396F7A">
      <w:pPr>
        <w:spacing w:after="0" w:line="240" w:lineRule="auto"/>
        <w:jc w:val="both"/>
        <w:rPr>
          <w:rFonts w:ascii="Verdana" w:eastAsia="Calibri" w:hAnsi="Verdana" w:cs="Arial"/>
          <w:lang w:val="es-ES_tradnl" w:eastAsia="es-ES_tradnl"/>
        </w:rPr>
      </w:pPr>
    </w:p>
    <w:p w14:paraId="1901E246" w14:textId="77777777" w:rsidR="00396F7A" w:rsidRPr="00CE650F" w:rsidRDefault="00396F7A" w:rsidP="00396F7A">
      <w:pPr>
        <w:spacing w:after="0" w:line="240" w:lineRule="auto"/>
        <w:jc w:val="both"/>
        <w:rPr>
          <w:rFonts w:ascii="Verdana" w:eastAsia="Calibri" w:hAnsi="Verdana" w:cs="Arial"/>
          <w:lang w:val="es-ES_tradnl" w:eastAsia="es-ES_tradnl"/>
        </w:rPr>
      </w:pPr>
    </w:p>
    <w:p w14:paraId="78524B80" w14:textId="77777777" w:rsidR="00396F7A" w:rsidRPr="00CE650F" w:rsidRDefault="00396F7A" w:rsidP="00396F7A">
      <w:pPr>
        <w:spacing w:after="0" w:line="276" w:lineRule="auto"/>
        <w:jc w:val="both"/>
        <w:rPr>
          <w:rFonts w:ascii="Verdana" w:eastAsia="Calibri" w:hAnsi="Verdana" w:cs="Arial"/>
          <w:lang w:val="es-ES" w:eastAsia="es-ES"/>
        </w:rPr>
      </w:pPr>
      <w:r w:rsidRPr="00CE650F">
        <w:rPr>
          <w:rFonts w:ascii="Verdana" w:eastAsia="Calibri" w:hAnsi="Verdana" w:cs="Arial"/>
          <w:lang w:val="es-ES" w:eastAsia="es-ES"/>
        </w:rPr>
        <w:t xml:space="preserve">Estimando(a) Ciudadano(a) Anónimo(a): </w:t>
      </w:r>
    </w:p>
    <w:p w14:paraId="082776EC" w14:textId="77777777" w:rsidR="00396F7A" w:rsidRPr="00CE650F" w:rsidRDefault="00396F7A" w:rsidP="00396F7A">
      <w:pPr>
        <w:tabs>
          <w:tab w:val="left" w:pos="3768"/>
        </w:tabs>
        <w:spacing w:after="0" w:line="276" w:lineRule="auto"/>
        <w:jc w:val="both"/>
        <w:rPr>
          <w:rFonts w:ascii="Verdana" w:eastAsia="Calibri" w:hAnsi="Verdana" w:cs="Arial"/>
          <w:lang w:val="es-ES" w:eastAsia="es-ES"/>
        </w:rPr>
      </w:pPr>
    </w:p>
    <w:p w14:paraId="6D09F44E" w14:textId="77777777" w:rsidR="00396F7A" w:rsidRPr="00CE650F" w:rsidRDefault="00396F7A" w:rsidP="00396F7A">
      <w:pPr>
        <w:spacing w:after="0" w:line="276" w:lineRule="auto"/>
        <w:jc w:val="both"/>
        <w:rPr>
          <w:rFonts w:ascii="Verdana" w:eastAsia="Calibri" w:hAnsi="Verdana" w:cs="Arial"/>
          <w:lang w:val="es-ES" w:eastAsia="es-ES"/>
        </w:rPr>
      </w:pPr>
      <w:r w:rsidRPr="00CE650F">
        <w:rPr>
          <w:rFonts w:ascii="Verdana" w:eastAsia="Calibri" w:hAnsi="Verdana" w:cs="Arial"/>
          <w:lang w:val="es-ES" w:eastAsia="es-ES"/>
        </w:rPr>
        <w:t>En ejercicio de la competencia otorgada por los artículos 3, numeral 5º, y 11, numeral 8º, del Decreto Ley 4170 de 2011,</w:t>
      </w:r>
      <w:r w:rsidRPr="00CE650F">
        <w:rPr>
          <w:rFonts w:ascii="Verdana" w:eastAsia="Arial MT" w:hAnsi="Verdana" w:cs="Arial MT"/>
          <w:lang w:val="es-ES" w:eastAsia="es-ES"/>
        </w:rPr>
        <w:t xml:space="preserve"> </w:t>
      </w:r>
      <w:r w:rsidRPr="00CE650F">
        <w:rPr>
          <w:rFonts w:ascii="Verdana" w:eastAsia="Aptos" w:hAnsi="Verdana" w:cs="Arial"/>
        </w:rPr>
        <w:t xml:space="preserve">así como lo establecido en el artículo 4 de la Resolución 1707 de 2018 expedida por esta Entidad, </w:t>
      </w:r>
      <w:r w:rsidRPr="00CE650F">
        <w:rPr>
          <w:rFonts w:ascii="Verdana" w:eastAsia="Calibri" w:hAnsi="Verdana" w:cs="Arial"/>
          <w:lang w:val="es-ES" w:eastAsia="es-ES"/>
        </w:rPr>
        <w:t xml:space="preserve">la Agencia Nacional de Contratación Pública – Colombia Compra Eficiente– responde su petición del 10 de febrero de 2026. Usted realiza la siguiente consulta: </w:t>
      </w:r>
    </w:p>
    <w:p w14:paraId="31EE337F" w14:textId="77777777" w:rsidR="00396F7A" w:rsidRPr="00CE650F" w:rsidRDefault="00396F7A" w:rsidP="00396F7A">
      <w:pPr>
        <w:spacing w:after="0" w:line="276" w:lineRule="auto"/>
        <w:jc w:val="both"/>
        <w:rPr>
          <w:rFonts w:ascii="Verdana" w:eastAsia="Calibri" w:hAnsi="Verdana" w:cs="Arial"/>
          <w:lang w:val="es-ES" w:eastAsia="es-ES"/>
        </w:rPr>
      </w:pPr>
    </w:p>
    <w:p w14:paraId="1A3A5CFD" w14:textId="77777777" w:rsidR="00396F7A" w:rsidRPr="00CE650F" w:rsidRDefault="00396F7A" w:rsidP="00396F7A">
      <w:pPr>
        <w:spacing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w:t>
      </w:r>
    </w:p>
    <w:p w14:paraId="4C0E252F" w14:textId="77777777" w:rsidR="00396F7A" w:rsidRPr="00CE650F" w:rsidRDefault="00396F7A" w:rsidP="00396F7A">
      <w:pPr>
        <w:spacing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 xml:space="preserve">[…] el Estatuto Contractual de la Universidad no contempla ninguna norma, ya sea general o especial, expresa o tácita, que haga referencia a </w:t>
      </w:r>
      <w:r w:rsidRPr="00CE650F">
        <w:rPr>
          <w:rFonts w:ascii="Verdana" w:eastAsia="Calibri" w:hAnsi="Verdana" w:cs="Arial"/>
          <w:sz w:val="20"/>
          <w:szCs w:val="20"/>
          <w:lang w:val="es-MX"/>
        </w:rPr>
        <w:lastRenderedPageBreak/>
        <w:t>procedimientos, excepciones o trámites especiales durante el período de aplicación de las restricciones de la Ley de garantías. Por lo tanto, la institución no tiene la facultad de operar de manera diferenciada, como, por ejemplo, recurrir a otros mecanismos o modalidades distintas a la “invitación privada”. En particular, no se contempla que, en ese lapso, la Universidad deje de considerar la cuantía para determinar la modalidad de selección y, de manera excepcional, adopte la modalidad de “invitación pública”</w:t>
      </w:r>
    </w:p>
    <w:p w14:paraId="55B55CA8"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De otro lado, en la Circular externa No. 006 del 25 de septiembre de 2025, emitida por la Agencia Nacional de Contratación Pública Colombia Compra Eficiente, en lo relacionado con la contratación directa durante la vigencia de las restricciones y prohibiciones establecidas en la Ley 996 de 2005 (Ley de Garantías), se ha señalado que, en los procesos de los regímenes especiales que contemplen modalidades con etapa de convocatoria o invitación pública, estos no se consideran contratación directa. Por tanto, quedan excluidos de las restricciones aplicables a esa modalidad. Sin embargo, a partir de esta orientación, podría interpretarse que dicha recomendación constituye una autorización para que durante el período en que rigen las restricciones de contratación directa impuestas por la Ley de Garantías, se permita incorporar la etapa de publicación de las invitaciones en modalidades de selección contractual en las que ni la normativa estatutaria ni la reglamentaria la incluyen expresamente como tal, como el caso de la “Modalidad de selección invitación privada” establecida en la Universidad en comento. Esto con el fin de cumplir con el principio de libre concurrencia y evitar que el proceso se clasifique como contratación directa, por lo tanto, exento de las restricciones de la ley.</w:t>
      </w:r>
    </w:p>
    <w:p w14:paraId="29B0780B"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En resumen, se podría entender que, bajo la orientación emitida por Colombia Compra Eficiente, durante la vigencia de la Ley de Garantías se permite ampliar la modalidad de “invitación privada” a “invitación pública” sin necesidad de modificar previamente el estatuto contractual.</w:t>
      </w:r>
    </w:p>
    <w:p w14:paraId="71F9FDC2"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Con base en lo expuesto,</w:t>
      </w:r>
    </w:p>
    <w:p w14:paraId="1E88EB6C"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A. ¿es posible que un caso como el mencionado cambie de una modalidad privada a una pública sin contar con una norma estatutaria o reglamentaria que lo autorice, considerando las restricciones establecidas en la Ley 996 de 2205 (Ley de Garantías) para garantizar la libre concurrencia?</w:t>
      </w:r>
    </w:p>
    <w:p w14:paraId="05BC501A"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Además, en caso de que la respuesta sea afirmativa,</w:t>
      </w:r>
    </w:p>
    <w:p w14:paraId="24599BF6"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t>B. ¿podría realizarse un proceso de prestación de servicios, profesionales o de apoyo a la gestión, acudiendo a realizar la invitación mediante convocatoria pública? Lo anterior, teniendo en cuenta que, el Estatuto Contractual de la Universidad, dicha tipología contractual es uno de los casos contemplados como causal para acudir a la modalidad de contratación directa.</w:t>
      </w:r>
    </w:p>
    <w:p w14:paraId="1CC0EDC8" w14:textId="77777777" w:rsidR="00396F7A" w:rsidRPr="00CE650F" w:rsidRDefault="00396F7A" w:rsidP="00396F7A">
      <w:pPr>
        <w:spacing w:before="120" w:after="0" w:line="240" w:lineRule="auto"/>
        <w:ind w:left="709" w:right="709"/>
        <w:jc w:val="both"/>
        <w:rPr>
          <w:rFonts w:ascii="Verdana" w:eastAsia="Calibri" w:hAnsi="Verdana" w:cs="Arial"/>
          <w:sz w:val="20"/>
          <w:szCs w:val="20"/>
          <w:lang w:val="es-MX"/>
        </w:rPr>
      </w:pPr>
      <w:r w:rsidRPr="00CE650F">
        <w:rPr>
          <w:rFonts w:ascii="Verdana" w:eastAsia="Calibri" w:hAnsi="Verdana" w:cs="Arial"/>
          <w:sz w:val="20"/>
          <w:szCs w:val="20"/>
          <w:lang w:val="es-MX"/>
        </w:rPr>
        <w:lastRenderedPageBreak/>
        <w:t xml:space="preserve">C. ¿La modificación en el procedimiento mencionada en la consulta A, sin modificar el marco estatutario, podría generar vicios de nulidad en el contrato, vulnerar la norma interna superior o derivar responsabilidades disciplinarias? […]”. [sic] </w:t>
      </w:r>
    </w:p>
    <w:p w14:paraId="306EDB16" w14:textId="77777777" w:rsidR="00396F7A" w:rsidRPr="00CE650F" w:rsidRDefault="00396F7A" w:rsidP="00396F7A">
      <w:pPr>
        <w:spacing w:after="0" w:line="276" w:lineRule="auto"/>
        <w:jc w:val="both"/>
        <w:rPr>
          <w:rFonts w:ascii="Verdana" w:eastAsia="Calibri" w:hAnsi="Verdana" w:cs="Arial"/>
          <w:lang w:val="es-ES" w:eastAsia="es-ES"/>
        </w:rPr>
      </w:pPr>
    </w:p>
    <w:p w14:paraId="27D7B522" w14:textId="77777777" w:rsidR="00396F7A" w:rsidRPr="00CE650F" w:rsidRDefault="00396F7A" w:rsidP="00396F7A">
      <w:pPr>
        <w:spacing w:after="120" w:line="276" w:lineRule="auto"/>
        <w:jc w:val="both"/>
        <w:rPr>
          <w:rFonts w:ascii="Verdana" w:eastAsia="Calibri" w:hAnsi="Verdana" w:cs="Arial"/>
          <w:szCs w:val="24"/>
          <w:lang w:val="es-ES_tradnl" w:eastAsia="es-ES_tradnl"/>
        </w:rPr>
      </w:pPr>
      <w:r w:rsidRPr="00CE650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94CA089" w14:textId="77777777" w:rsidR="00396F7A" w:rsidRPr="00CE650F" w:rsidRDefault="00396F7A" w:rsidP="00396F7A">
      <w:pPr>
        <w:spacing w:after="0" w:line="276" w:lineRule="auto"/>
        <w:ind w:firstLine="709"/>
        <w:jc w:val="both"/>
        <w:rPr>
          <w:rFonts w:ascii="Verdana" w:eastAsia="Calibri" w:hAnsi="Verdana" w:cs="Arial"/>
          <w:lang w:val="es-ES" w:eastAsia="es-ES"/>
        </w:rPr>
      </w:pPr>
      <w:r w:rsidRPr="00CE650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p>
    <w:p w14:paraId="2BB770AD" w14:textId="77777777" w:rsidR="00396F7A" w:rsidRPr="00CE650F" w:rsidRDefault="00396F7A" w:rsidP="00396F7A">
      <w:pPr>
        <w:spacing w:after="0" w:line="276" w:lineRule="auto"/>
        <w:ind w:firstLine="709"/>
        <w:jc w:val="both"/>
        <w:rPr>
          <w:rFonts w:ascii="Verdana" w:eastAsia="Calibri" w:hAnsi="Verdana" w:cs="Arial"/>
          <w:lang w:val="es-ES" w:eastAsia="es-ES"/>
        </w:rPr>
      </w:pPr>
    </w:p>
    <w:p w14:paraId="376A6C92" w14:textId="77777777" w:rsidR="00396F7A" w:rsidRPr="00CE650F" w:rsidRDefault="00396F7A" w:rsidP="00396F7A">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CE650F">
        <w:rPr>
          <w:rFonts w:ascii="Verdana" w:eastAsia="Arial" w:hAnsi="Verdana" w:cs="Arial"/>
          <w:b/>
          <w:bCs/>
          <w:lang w:val="es-ES"/>
        </w:rPr>
        <w:t>1. Problema planteado:</w:t>
      </w:r>
    </w:p>
    <w:p w14:paraId="08D40112" w14:textId="77777777" w:rsidR="00396F7A" w:rsidRPr="00CE650F" w:rsidRDefault="00396F7A" w:rsidP="00396F7A">
      <w:pPr>
        <w:tabs>
          <w:tab w:val="left" w:pos="426"/>
        </w:tabs>
        <w:spacing w:after="0" w:line="276" w:lineRule="auto"/>
        <w:jc w:val="both"/>
        <w:rPr>
          <w:rFonts w:ascii="Verdana" w:eastAsia="Century Gothic" w:hAnsi="Verdana" w:cs="Century Gothic"/>
          <w:lang w:val="es-ES"/>
        </w:rPr>
      </w:pPr>
    </w:p>
    <w:p w14:paraId="4839D5D2" w14:textId="77777777" w:rsidR="00396F7A" w:rsidRPr="00CE650F" w:rsidRDefault="00396F7A" w:rsidP="00396F7A">
      <w:pPr>
        <w:spacing w:after="0" w:line="276" w:lineRule="auto"/>
        <w:jc w:val="both"/>
        <w:rPr>
          <w:rFonts w:ascii="Verdana" w:eastAsia="Century Gothic" w:hAnsi="Verdana" w:cs="Century Gothic"/>
        </w:rPr>
      </w:pPr>
      <w:r w:rsidRPr="00CE650F">
        <w:rPr>
          <w:rFonts w:ascii="Verdana" w:eastAsia="Century Gothic" w:hAnsi="Verdana" w:cs="Century Gothic"/>
        </w:rPr>
        <w:t xml:space="preserve">De acuerdo con el contenido de su solicitud, le informamos que la misma se resolverá desde </w:t>
      </w:r>
      <w:bookmarkStart w:id="1" w:name="_Hlk171070029"/>
      <w:r w:rsidRPr="00CE650F">
        <w:rPr>
          <w:rFonts w:ascii="Verdana" w:eastAsia="Century Gothic" w:hAnsi="Verdana" w:cs="Century Gothic"/>
        </w:rPr>
        <w:t>el siguiente interrogante: Con el fin de no verse afectadas por las restricciones contractuales dispuestas en el artículo 33 de la Ley de Garantías Electorales –Ley 996 de 2005–, ¿Las universidades públicas pueden adelantar sus gestiones contractuales desconociendo las reglas preestablecidas en sus manuales de contratación para adquirir sus bienes y servicios?</w:t>
      </w:r>
    </w:p>
    <w:p w14:paraId="6DCCC1A9" w14:textId="77777777" w:rsidR="00396F7A" w:rsidRPr="00CE650F" w:rsidRDefault="00396F7A" w:rsidP="00396F7A">
      <w:pPr>
        <w:spacing w:after="0" w:line="276" w:lineRule="auto"/>
        <w:jc w:val="both"/>
        <w:rPr>
          <w:rFonts w:ascii="Verdana" w:eastAsia="Calibri" w:hAnsi="Verdana" w:cs="Arial"/>
          <w:lang w:val="es-ES"/>
        </w:rPr>
      </w:pPr>
    </w:p>
    <w:bookmarkEnd w:id="1"/>
    <w:p w14:paraId="632E7192" w14:textId="77777777" w:rsidR="00396F7A" w:rsidRPr="00CE650F" w:rsidRDefault="00396F7A" w:rsidP="00396F7A">
      <w:pPr>
        <w:widowControl w:val="0"/>
        <w:autoSpaceDE w:val="0"/>
        <w:autoSpaceDN w:val="0"/>
        <w:spacing w:before="1" w:after="0" w:line="240" w:lineRule="auto"/>
        <w:jc w:val="both"/>
        <w:outlineLvl w:val="0"/>
        <w:rPr>
          <w:rFonts w:ascii="Verdana" w:eastAsia="Arial" w:hAnsi="Verdana" w:cs="Arial"/>
          <w:b/>
          <w:bCs/>
          <w:lang w:val="es-ES"/>
        </w:rPr>
      </w:pPr>
      <w:r w:rsidRPr="00CE650F">
        <w:rPr>
          <w:rFonts w:ascii="Verdana" w:eastAsia="Arial" w:hAnsi="Verdana" w:cs="Arial"/>
          <w:b/>
          <w:bCs/>
          <w:lang w:val="es-ES"/>
        </w:rPr>
        <w:t>2. Respuesta:</w:t>
      </w:r>
    </w:p>
    <w:p w14:paraId="07C7CD94" w14:textId="77777777" w:rsidR="00396F7A" w:rsidRPr="00CE650F" w:rsidRDefault="00396F7A" w:rsidP="00396F7A">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6F7A" w:rsidRPr="00CE650F" w14:paraId="66295804" w14:textId="77777777" w:rsidTr="0027244B">
        <w:tc>
          <w:tcPr>
            <w:tcW w:w="8828" w:type="dxa"/>
          </w:tcPr>
          <w:p w14:paraId="17264A96" w14:textId="77777777" w:rsidR="00396F7A" w:rsidRPr="00CE650F" w:rsidRDefault="00396F7A" w:rsidP="0027244B">
            <w:pPr>
              <w:spacing w:before="120" w:line="276" w:lineRule="auto"/>
              <w:jc w:val="both"/>
              <w:rPr>
                <w:rFonts w:ascii="Verdana" w:eastAsia="Calibri" w:hAnsi="Verdana" w:cs="Arial"/>
                <w:lang w:val="es-ES"/>
              </w:rPr>
            </w:pPr>
            <w:bookmarkStart w:id="2" w:name="_Hlk171067516"/>
            <w:r w:rsidRPr="00CE650F">
              <w:rPr>
                <w:rFonts w:ascii="Verdana" w:eastAsia="Calibri" w:hAnsi="Verdana" w:cs="Arial"/>
                <w:lang w:val="es-ES"/>
              </w:rPr>
              <w:lastRenderedPageBreak/>
              <w:t xml:space="preserve">Inicialmente debe precisarse, que al regirse los procesos de contratación que adelanten las universidades públicas por el derecho privado, según lo condicionado en el artículo 93 de la Ley 30 de 1992, en el respectivo manual de contratación, estas desarrollarán las formas en la que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para garantizar la selección objetiva y la protección del interés general. </w:t>
            </w:r>
          </w:p>
          <w:p w14:paraId="3308093A" w14:textId="77777777" w:rsidR="00396F7A" w:rsidRPr="00CE650F" w:rsidRDefault="00396F7A" w:rsidP="0027244B">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5656BA67" w14:textId="77777777" w:rsidR="00396F7A" w:rsidRPr="00CE650F" w:rsidRDefault="00396F7A" w:rsidP="0027244B">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 xml:space="preserve">Sin embargo, 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 </w:t>
            </w:r>
          </w:p>
          <w:p w14:paraId="5839F46F" w14:textId="77777777" w:rsidR="00396F7A" w:rsidRPr="00CE650F" w:rsidRDefault="00396F7A" w:rsidP="0027244B">
            <w:pPr>
              <w:spacing w:before="120" w:line="276" w:lineRule="auto"/>
              <w:ind w:firstLine="709"/>
              <w:jc w:val="both"/>
              <w:rPr>
                <w:rFonts w:ascii="Verdana" w:eastAsia="Calibri" w:hAnsi="Verdana" w:cs="Arial"/>
                <w:color w:val="000000"/>
                <w:lang w:val="es-ES_tradnl"/>
              </w:rPr>
            </w:pPr>
            <w:r w:rsidRPr="00CE650F">
              <w:rPr>
                <w:rFonts w:ascii="Verdana" w:eastAsia="Calibri" w:hAnsi="Verdana" w:cs="Arial"/>
                <w:lang w:val="es-ES"/>
              </w:rPr>
              <w:t>Dichas precisiones, también fueron recogidas por esta entidad en la Circular Externa</w:t>
            </w:r>
            <w:r w:rsidRPr="00CE650F">
              <w:rPr>
                <w:rFonts w:ascii="Verdana" w:eastAsia="Aptos" w:hAnsi="Verdana" w:cs="Arial"/>
              </w:rPr>
              <w:t xml:space="preserve"> No. 006 del 25 de septiembre de 2025, </w:t>
            </w:r>
            <w:r w:rsidRPr="00CE650F">
              <w:rPr>
                <w:rFonts w:ascii="Verdana" w:eastAsia="Calibri" w:hAnsi="Verdana" w:cs="Arial"/>
                <w:lang w:val="es-ES"/>
              </w:rPr>
              <w:t xml:space="preserve">con el fin de brindar lineamientos que faciliten la interpretación y aplicación de las restricciones contenidas en el artículo 33 de la Ley 996 de 2005. Sin embargo, dichas precisiones no pueden entenderse como una habilitación para que las </w:t>
            </w:r>
            <w:r w:rsidRPr="00CE650F">
              <w:rPr>
                <w:rFonts w:ascii="Verdana" w:eastAsia="Calibri" w:hAnsi="Verdana" w:cs="Arial"/>
                <w:lang w:val="es-ES"/>
              </w:rPr>
              <w:lastRenderedPageBreak/>
              <w:t xml:space="preserve">entidades con regímenes especiales desconozcan las reglas dispuestas previamente en sus respectivos manuales de contratación, </w:t>
            </w:r>
            <w:r w:rsidRPr="00CE650F">
              <w:rPr>
                <w:rFonts w:ascii="Verdana" w:eastAsia="Calibri" w:hAnsi="Verdana" w:cs="Arial"/>
                <w:color w:val="000000"/>
                <w:lang w:val="es-ES_tradnl"/>
              </w:rPr>
              <w:t>pues estas se obligan a cumplir su contenido. Además, teniendo en cuenta que dichos manuales corresponden a un acto administrativo y concretamente a un reglamento, le aplican los atributos propios de estos tipos de actos, entre otras cosas, la presunción de legalidad y la regla de inderogabilidad singular del reglamento</w:t>
            </w:r>
            <w:r w:rsidRPr="00CE650F">
              <w:rPr>
                <w:rFonts w:ascii="Verdana" w:eastAsia="Calibri" w:hAnsi="Verdana" w:cs="Arial"/>
                <w:color w:val="000000"/>
                <w:vertAlign w:val="superscript"/>
                <w:lang w:val="es-ES_tradnl"/>
              </w:rPr>
              <w:footnoteReference w:id="1"/>
            </w:r>
            <w:r w:rsidRPr="00CE650F">
              <w:rPr>
                <w:rFonts w:ascii="Verdana" w:eastAsia="Calibri" w:hAnsi="Verdana" w:cs="Arial"/>
                <w:color w:val="000000"/>
                <w:lang w:val="es-ES_tradnl"/>
              </w:rPr>
              <w:t>. En tal sentido, su contenido vincula a la propia entidad que lo expidió y no puede desconocerlo a su capricho en casos específicos. Ello sin perjuicio de la posibilidad de expedir un nuevo manual o de modificar el existente.</w:t>
            </w:r>
          </w:p>
          <w:p w14:paraId="42631932" w14:textId="77777777" w:rsidR="00396F7A" w:rsidRPr="00CE650F" w:rsidRDefault="00396F7A" w:rsidP="0027244B">
            <w:pPr>
              <w:spacing w:before="120" w:after="120" w:line="276" w:lineRule="auto"/>
              <w:ind w:firstLine="709"/>
              <w:jc w:val="both"/>
              <w:rPr>
                <w:rFonts w:ascii="Verdana" w:eastAsia="Calibri" w:hAnsi="Verdana" w:cs="Arial"/>
                <w:color w:val="000000"/>
                <w:lang w:val="es-ES_tradnl"/>
              </w:rPr>
            </w:pPr>
            <w:r w:rsidRPr="00CE650F">
              <w:rPr>
                <w:rFonts w:ascii="Verdana" w:eastAsia="Calibri" w:hAnsi="Verdana" w:cs="Arial"/>
                <w:color w:val="000000"/>
                <w:lang w:val="es-ES_tradnl"/>
              </w:rPr>
              <w:t>Así pues,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w:t>
            </w:r>
            <w:r w:rsidRPr="00CE650F">
              <w:rPr>
                <w:rFonts w:ascii="Verdana" w:eastAsia="Calibri" w:hAnsi="Verdana" w:cs="Arial"/>
                <w:i/>
                <w:iCs/>
                <w:color w:val="000000"/>
                <w:lang w:val="es-ES_tradnl"/>
              </w:rPr>
              <w:t>afectadas</w:t>
            </w:r>
            <w:r w:rsidRPr="00CE650F">
              <w:rPr>
                <w:rFonts w:ascii="Verdana" w:eastAsia="Calibri" w:hAnsi="Verdana" w:cs="Arial"/>
                <w:color w:val="000000"/>
                <w:lang w:val="es-ES_tradnl"/>
              </w:rPr>
              <w:t>” por las referidas restricciones, adquieran sus bienes o servicios desconociendo las formas y procesos preestablecidos.</w:t>
            </w:r>
          </w:p>
          <w:p w14:paraId="6ECA68F4" w14:textId="77777777" w:rsidR="00396F7A" w:rsidRPr="00CE650F" w:rsidRDefault="00396F7A" w:rsidP="0027244B">
            <w:pPr>
              <w:spacing w:before="120" w:line="276" w:lineRule="auto"/>
              <w:ind w:firstLine="708"/>
              <w:jc w:val="both"/>
              <w:rPr>
                <w:rFonts w:ascii="Verdana" w:eastAsia="Calibri" w:hAnsi="Verdana" w:cs="Arial"/>
              </w:rPr>
            </w:pPr>
            <w:r w:rsidRPr="00CE650F">
              <w:rPr>
                <w:rFonts w:ascii="Verdana" w:eastAsia="Calibri" w:hAnsi="Verdana" w:cs="Arial"/>
              </w:rPr>
              <w:t xml:space="preserve">Finalmente debe advertirse que el análisis requerido para resolver problemas específicos a la gestión contractual de las universidades públicas en vigencia de la Ley de Garantías Electorales, debe ser realizado por quienes </w:t>
            </w:r>
            <w:r w:rsidRPr="00CE650F">
              <w:rPr>
                <w:rFonts w:ascii="Verdana" w:eastAsia="Calibri" w:hAnsi="Verdana" w:cs="Arial"/>
              </w:rPr>
              <w:lastRenderedPageBreak/>
              <w:t xml:space="preserve">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tc>
      </w:tr>
      <w:bookmarkEnd w:id="2"/>
    </w:tbl>
    <w:p w14:paraId="5B228990" w14:textId="77777777" w:rsidR="00396F7A" w:rsidRPr="00CE650F" w:rsidRDefault="00396F7A" w:rsidP="00396F7A">
      <w:pPr>
        <w:widowControl w:val="0"/>
        <w:autoSpaceDE w:val="0"/>
        <w:autoSpaceDN w:val="0"/>
        <w:spacing w:before="1" w:after="0" w:line="240" w:lineRule="auto"/>
        <w:ind w:left="360" w:hanging="360"/>
        <w:outlineLvl w:val="0"/>
        <w:rPr>
          <w:rFonts w:ascii="Verdana" w:eastAsia="Arial" w:hAnsi="Verdana" w:cs="Arial"/>
          <w:b/>
        </w:rPr>
      </w:pPr>
    </w:p>
    <w:p w14:paraId="570439AB" w14:textId="77777777" w:rsidR="00396F7A" w:rsidRPr="00CE650F" w:rsidRDefault="00396F7A" w:rsidP="00396F7A">
      <w:pPr>
        <w:widowControl w:val="0"/>
        <w:autoSpaceDE w:val="0"/>
        <w:autoSpaceDN w:val="0"/>
        <w:spacing w:before="1" w:after="0" w:line="240" w:lineRule="auto"/>
        <w:ind w:left="360" w:hanging="360"/>
        <w:outlineLvl w:val="0"/>
        <w:rPr>
          <w:rFonts w:ascii="Verdana" w:eastAsia="Arial" w:hAnsi="Verdana" w:cs="Arial"/>
          <w:b/>
          <w:bCs/>
          <w:lang w:val="es-ES"/>
        </w:rPr>
      </w:pPr>
      <w:r w:rsidRPr="00CE650F">
        <w:rPr>
          <w:rFonts w:ascii="Verdana" w:eastAsia="Arial" w:hAnsi="Verdana" w:cs="Arial"/>
          <w:b/>
          <w:bCs/>
          <w:lang w:val="es-ES"/>
        </w:rPr>
        <w:t>3. Razones de la respuesta</w:t>
      </w:r>
    </w:p>
    <w:p w14:paraId="58254596" w14:textId="77777777" w:rsidR="00396F7A" w:rsidRPr="00CE650F" w:rsidRDefault="00396F7A" w:rsidP="00396F7A">
      <w:pPr>
        <w:spacing w:after="0" w:line="276" w:lineRule="auto"/>
        <w:jc w:val="both"/>
        <w:rPr>
          <w:rFonts w:ascii="Verdana" w:eastAsia="Calibri" w:hAnsi="Verdana" w:cs="Arial"/>
          <w:lang w:val="es-ES"/>
        </w:rPr>
      </w:pPr>
    </w:p>
    <w:p w14:paraId="28EB7DFC" w14:textId="77777777" w:rsidR="00396F7A" w:rsidRPr="00CE650F" w:rsidRDefault="00396F7A" w:rsidP="00396F7A">
      <w:pPr>
        <w:spacing w:after="0" w:line="276" w:lineRule="auto"/>
        <w:jc w:val="both"/>
        <w:rPr>
          <w:rFonts w:ascii="Verdana" w:eastAsia="Calibri" w:hAnsi="Verdana" w:cs="Arial"/>
          <w:lang w:val="es-ES"/>
        </w:rPr>
      </w:pPr>
      <w:r w:rsidRPr="00CE650F">
        <w:rPr>
          <w:rFonts w:ascii="Verdana" w:eastAsia="Calibri" w:hAnsi="Verdana" w:cs="Arial"/>
          <w:lang w:val="es-ES"/>
        </w:rPr>
        <w:t xml:space="preserve">Las respuestas anteriores se sustentan en las siguientes consideraciones: </w:t>
      </w:r>
    </w:p>
    <w:p w14:paraId="6D4CF500" w14:textId="77777777" w:rsidR="00396F7A" w:rsidRPr="00CE650F" w:rsidRDefault="00396F7A" w:rsidP="00396F7A">
      <w:pPr>
        <w:spacing w:after="0" w:line="276" w:lineRule="auto"/>
        <w:jc w:val="both"/>
        <w:rPr>
          <w:rFonts w:ascii="Verdana" w:eastAsia="Calibri" w:hAnsi="Verdana" w:cs="Arial"/>
          <w:lang w:val="es-ES"/>
        </w:rPr>
      </w:pPr>
    </w:p>
    <w:p w14:paraId="3C5FF3A4" w14:textId="77777777" w:rsidR="00396F7A" w:rsidRPr="00CE650F" w:rsidRDefault="00396F7A" w:rsidP="00396F7A">
      <w:pPr>
        <w:spacing w:after="0" w:line="276" w:lineRule="auto"/>
        <w:jc w:val="both"/>
        <w:rPr>
          <w:rFonts w:ascii="Verdana" w:eastAsia="Calibri" w:hAnsi="Verdana" w:cs="Arial"/>
        </w:rPr>
      </w:pPr>
      <w:r w:rsidRPr="00CE650F">
        <w:rPr>
          <w:rFonts w:ascii="Verdana" w:eastAsia="Calibri" w:hAnsi="Verdana" w:cs="Arial"/>
          <w:lang w:val="es-ES"/>
        </w:rPr>
        <w:t xml:space="preserve">De manera preliminar, debe precisarse que la </w:t>
      </w:r>
      <w:r w:rsidRPr="00CE650F">
        <w:rPr>
          <w:rFonts w:ascii="Verdana" w:eastAsia="Calibri" w:hAnsi="Verdana" w:cs="Arial"/>
          <w:lang w:val="es-MX" w:eastAsia="x-none"/>
        </w:rPr>
        <w:t>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w:t>
      </w:r>
      <w:r w:rsidRPr="00CE650F">
        <w:rPr>
          <w:rFonts w:ascii="Verdana" w:eastAsia="Calibri" w:hAnsi="Verdana" w:cs="Arial"/>
          <w:vertAlign w:val="superscript"/>
        </w:rPr>
        <w:footnoteReference w:id="2"/>
      </w:r>
      <w:r w:rsidRPr="00CE650F">
        <w:rPr>
          <w:rFonts w:ascii="Verdana" w:eastAsia="Calibri" w:hAnsi="Verdana" w:cs="Arial"/>
          <w:vertAlign w:val="subscript"/>
        </w:rPr>
        <w:t>.</w:t>
      </w:r>
      <w:r w:rsidRPr="00CE650F">
        <w:rPr>
          <w:rFonts w:ascii="Verdana" w:eastAsia="Calibri" w:hAnsi="Verdana" w:cs="Arial"/>
        </w:rPr>
        <w:t xml:space="preserve">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r w:rsidRPr="00CE650F">
        <w:rPr>
          <w:rFonts w:ascii="Verdana" w:eastAsia="Calibri" w:hAnsi="Verdana" w:cs="Arial"/>
          <w:vertAlign w:val="superscript"/>
        </w:rPr>
        <w:footnoteReference w:id="3"/>
      </w:r>
      <w:r w:rsidRPr="00CE650F">
        <w:rPr>
          <w:rFonts w:ascii="Verdana" w:eastAsia="Calibri" w:hAnsi="Verdana" w:cs="Arial"/>
        </w:rPr>
        <w:t xml:space="preserve">. </w:t>
      </w:r>
    </w:p>
    <w:p w14:paraId="4812B11F" w14:textId="77777777" w:rsidR="00396F7A" w:rsidRPr="00CE650F" w:rsidRDefault="00396F7A" w:rsidP="00396F7A">
      <w:pPr>
        <w:tabs>
          <w:tab w:val="left" w:pos="709"/>
        </w:tabs>
        <w:spacing w:before="120" w:after="0" w:line="276" w:lineRule="auto"/>
        <w:jc w:val="both"/>
        <w:rPr>
          <w:rFonts w:ascii="Verdana" w:eastAsia="Calibri" w:hAnsi="Verdana" w:cs="Arial"/>
          <w:lang w:val="es-ES"/>
        </w:rPr>
      </w:pPr>
      <w:r w:rsidRPr="00CE650F">
        <w:rPr>
          <w:rFonts w:ascii="Verdana" w:eastAsia="Calibri" w:hAnsi="Verdana" w:cs="Arial"/>
          <w:lang w:val="es-ES"/>
        </w:rPr>
        <w:tab/>
      </w:r>
      <w:r w:rsidRPr="00CE650F">
        <w:rPr>
          <w:rFonts w:ascii="Verdana" w:eastAsia="Calibri" w:hAnsi="Verdana" w:cs="Arial"/>
        </w:rPr>
        <w:t xml:space="preserve">De otro lado, la Ley 489 de 1998, al desarrollar la estructura y organización de la Administración Pública, establece que los entes universitarios </w:t>
      </w:r>
      <w:r w:rsidRPr="00CE650F">
        <w:rPr>
          <w:rFonts w:ascii="Verdana" w:eastAsia="Calibri" w:hAnsi="Verdana" w:cs="Arial"/>
        </w:rPr>
        <w:lastRenderedPageBreak/>
        <w:t>hacen parte integral de esta</w:t>
      </w:r>
      <w:r w:rsidRPr="00CE650F">
        <w:rPr>
          <w:rFonts w:ascii="Verdana" w:eastAsia="Calibri" w:hAnsi="Verdana" w:cs="Arial"/>
          <w:vertAlign w:val="superscript"/>
        </w:rPr>
        <w:footnoteReference w:id="4"/>
      </w:r>
      <w:r w:rsidRPr="00CE650F">
        <w:rPr>
          <w:rFonts w:ascii="Verdana" w:eastAsia="Calibri" w:hAnsi="Verdana" w:cs="Arial"/>
        </w:rPr>
        <w:t>, catalogándolos como entidades públicas de carácter autónomo a las que aplica un régimen especial</w:t>
      </w:r>
      <w:r w:rsidRPr="00CE650F">
        <w:rPr>
          <w:rFonts w:ascii="Verdana" w:eastAsia="Calibri" w:hAnsi="Verdana" w:cs="Times New Roman"/>
          <w:vertAlign w:val="superscript"/>
        </w:rPr>
        <w:footnoteReference w:id="5"/>
      </w:r>
      <w:r w:rsidRPr="00CE650F">
        <w:rPr>
          <w:rFonts w:ascii="Verdana" w:eastAsia="Calibri" w:hAnsi="Verdana" w:cs="Times New Roman"/>
        </w:rPr>
        <w:t xml:space="preserve">. </w:t>
      </w:r>
      <w:r w:rsidRPr="00CE650F">
        <w:rPr>
          <w:rFonts w:ascii="Verdana" w:eastAsia="Calibri" w:hAnsi="Verdana" w:cs="Arial"/>
        </w:rPr>
        <w:t>Al respecto, en la Sentencia C-1019 de 2012, la Corte Constitucional señaló:</w:t>
      </w:r>
    </w:p>
    <w:p w14:paraId="1021C43D" w14:textId="77777777" w:rsidR="00396F7A" w:rsidRPr="00CE650F" w:rsidRDefault="00396F7A" w:rsidP="00396F7A">
      <w:pPr>
        <w:spacing w:after="0" w:line="276" w:lineRule="auto"/>
        <w:jc w:val="both"/>
        <w:rPr>
          <w:rFonts w:ascii="Verdana" w:eastAsia="Calibri" w:hAnsi="Verdana" w:cs="Arial"/>
          <w:lang w:val="es-MX" w:eastAsia="x-none"/>
        </w:rPr>
      </w:pPr>
    </w:p>
    <w:p w14:paraId="7A7200B1" w14:textId="77777777" w:rsidR="00396F7A" w:rsidRPr="00CE650F" w:rsidRDefault="00396F7A" w:rsidP="00396F7A">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CE650F">
        <w:rPr>
          <w:rFonts w:ascii="Verdana" w:eastAsia="Arial" w:hAnsi="Verdana" w:cs="Arial"/>
          <w:spacing w:val="49"/>
          <w:sz w:val="20"/>
          <w:szCs w:val="20"/>
          <w:lang w:val="es-ES"/>
        </w:rPr>
        <w:t xml:space="preserve"> </w:t>
      </w:r>
      <w:r w:rsidRPr="00CE650F">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029190C6" w14:textId="77777777" w:rsidR="00396F7A" w:rsidRPr="00CE650F" w:rsidRDefault="00396F7A" w:rsidP="00396F7A">
      <w:pPr>
        <w:widowControl w:val="0"/>
        <w:autoSpaceDE w:val="0"/>
        <w:autoSpaceDN w:val="0"/>
        <w:spacing w:before="120"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CE650F">
        <w:rPr>
          <w:rFonts w:ascii="Verdana" w:eastAsia="Arial" w:hAnsi="Verdana" w:cs="Arial"/>
          <w:sz w:val="20"/>
          <w:szCs w:val="20"/>
          <w:vertAlign w:val="superscript"/>
          <w:lang w:val="es-ES"/>
        </w:rPr>
        <w:footnoteReference w:id="6"/>
      </w:r>
      <w:r w:rsidRPr="00CE650F">
        <w:rPr>
          <w:rFonts w:ascii="Verdana" w:eastAsia="Arial" w:hAnsi="Verdana" w:cs="Arial"/>
          <w:sz w:val="20"/>
          <w:szCs w:val="20"/>
          <w:lang w:val="es-ES"/>
        </w:rPr>
        <w:t>. De esta manera se pretende preservar a las universidades públicas y oficiales, de las injerencias e interferencias arbitrarias e indebidas del poder</w:t>
      </w:r>
      <w:r w:rsidRPr="00CE650F">
        <w:rPr>
          <w:rFonts w:ascii="Verdana" w:eastAsia="Arial" w:hAnsi="Verdana" w:cs="Arial"/>
          <w:spacing w:val="-6"/>
          <w:sz w:val="20"/>
          <w:szCs w:val="20"/>
          <w:lang w:val="es-ES"/>
        </w:rPr>
        <w:t xml:space="preserve"> </w:t>
      </w:r>
      <w:r w:rsidRPr="00CE650F">
        <w:rPr>
          <w:rFonts w:ascii="Verdana" w:eastAsia="Arial" w:hAnsi="Verdana" w:cs="Arial"/>
          <w:sz w:val="20"/>
          <w:szCs w:val="20"/>
          <w:lang w:val="es-ES"/>
        </w:rPr>
        <w:t>político”</w:t>
      </w:r>
      <w:r w:rsidRPr="00CE650F">
        <w:rPr>
          <w:rFonts w:ascii="Verdana" w:eastAsia="Arial" w:hAnsi="Verdana" w:cs="Arial"/>
          <w:sz w:val="20"/>
          <w:szCs w:val="20"/>
          <w:vertAlign w:val="superscript"/>
          <w:lang w:val="es-ES"/>
        </w:rPr>
        <w:footnoteReference w:id="7"/>
      </w:r>
      <w:r w:rsidRPr="00CE650F">
        <w:rPr>
          <w:rFonts w:ascii="Verdana" w:eastAsia="Arial" w:hAnsi="Verdana" w:cs="Arial"/>
          <w:sz w:val="20"/>
          <w:szCs w:val="20"/>
          <w:lang w:val="es-ES"/>
        </w:rPr>
        <w:t>.</w:t>
      </w:r>
    </w:p>
    <w:p w14:paraId="256BA2D2" w14:textId="77777777" w:rsidR="00396F7A" w:rsidRPr="00CE650F" w:rsidRDefault="00396F7A" w:rsidP="00396F7A">
      <w:pPr>
        <w:spacing w:after="0" w:line="276" w:lineRule="auto"/>
        <w:jc w:val="both"/>
        <w:rPr>
          <w:rFonts w:ascii="Verdana" w:eastAsia="Calibri" w:hAnsi="Verdana" w:cs="Arial"/>
          <w:lang w:val="es-MX" w:eastAsia="x-none"/>
        </w:rPr>
      </w:pPr>
    </w:p>
    <w:p w14:paraId="2D52102F" w14:textId="77777777" w:rsidR="00396F7A" w:rsidRPr="00CE650F" w:rsidRDefault="00396F7A" w:rsidP="00396F7A">
      <w:pPr>
        <w:spacing w:after="0" w:line="276" w:lineRule="auto"/>
        <w:jc w:val="both"/>
        <w:rPr>
          <w:rFonts w:ascii="Verdana" w:eastAsia="Calibri" w:hAnsi="Verdana" w:cs="Times New Roman"/>
        </w:rPr>
      </w:pPr>
      <w:r w:rsidRPr="00CE650F">
        <w:rPr>
          <w:rFonts w:ascii="Verdana" w:eastAsia="Calibri" w:hAnsi="Verdana" w:cs="Arial"/>
          <w:lang w:val="es-MX" w:eastAsia="x-none"/>
        </w:rPr>
        <w:t xml:space="preserve">En armonía con lo anterior, se ha considerado que los entes universitarios no son entidades que hagan parte de la rama ejecutiva, ni pueden, por tanto, </w:t>
      </w:r>
      <w:r w:rsidRPr="00CE650F">
        <w:rPr>
          <w:rFonts w:ascii="Verdana" w:eastAsia="Calibri" w:hAnsi="Verdana" w:cs="Arial"/>
          <w:lang w:val="es-MX" w:eastAsia="x-none"/>
        </w:rPr>
        <w:lastRenderedPageBreak/>
        <w:t>considerarse entidades descentralizadas, sino que gozan de un régimen especial. Lo anterior fue señalado por el Consejo de Estado de la siguiente manera</w:t>
      </w:r>
      <w:r w:rsidRPr="00CE650F">
        <w:rPr>
          <w:rFonts w:ascii="Verdana" w:eastAsia="Calibri" w:hAnsi="Verdana" w:cs="Times New Roman"/>
          <w:vertAlign w:val="superscript"/>
        </w:rPr>
        <w:footnoteReference w:id="8"/>
      </w:r>
      <w:r w:rsidRPr="00CE650F">
        <w:rPr>
          <w:rFonts w:ascii="Verdana" w:eastAsia="Calibri" w:hAnsi="Verdana" w:cs="Times New Roman"/>
        </w:rPr>
        <w:t>:</w:t>
      </w:r>
    </w:p>
    <w:p w14:paraId="4043A6E7" w14:textId="77777777" w:rsidR="00396F7A" w:rsidRPr="00CE650F" w:rsidRDefault="00396F7A" w:rsidP="00396F7A">
      <w:pPr>
        <w:spacing w:after="0" w:line="276" w:lineRule="auto"/>
        <w:jc w:val="both"/>
        <w:rPr>
          <w:rFonts w:ascii="Verdana" w:eastAsia="Calibri" w:hAnsi="Verdana" w:cs="Times New Roman"/>
        </w:rPr>
      </w:pPr>
    </w:p>
    <w:p w14:paraId="7E66BEDC" w14:textId="77777777" w:rsidR="00396F7A" w:rsidRPr="00CE650F" w:rsidRDefault="00396F7A" w:rsidP="00396F7A">
      <w:pPr>
        <w:widowControl w:val="0"/>
        <w:autoSpaceDE w:val="0"/>
        <w:autoSpaceDN w:val="0"/>
        <w:spacing w:after="120" w:line="240" w:lineRule="auto"/>
        <w:ind w:left="709" w:right="709"/>
        <w:jc w:val="both"/>
        <w:rPr>
          <w:rFonts w:ascii="Verdana" w:eastAsia="Arial" w:hAnsi="Verdana" w:cs="Arial"/>
          <w:sz w:val="20"/>
          <w:szCs w:val="20"/>
          <w:lang w:val="es-ES"/>
        </w:rPr>
      </w:pPr>
      <w:r w:rsidRPr="00CE650F">
        <w:rPr>
          <w:rFonts w:ascii="Verdana" w:eastAsia="Arial" w:hAnsi="Verdana" w:cs="Arial"/>
          <w:sz w:val="21"/>
          <w:szCs w:val="21"/>
          <w:lang w:val="es-ES"/>
        </w:rPr>
        <w:t>“</w:t>
      </w:r>
      <w:r w:rsidRPr="00CE650F">
        <w:rPr>
          <w:rFonts w:ascii="Verdana" w:eastAsia="Arial" w:hAnsi="Verdana" w:cs="Arial"/>
          <w:sz w:val="20"/>
          <w:szCs w:val="20"/>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46B5010C" w14:textId="77777777" w:rsidR="00396F7A" w:rsidRPr="00CE650F" w:rsidRDefault="00396F7A" w:rsidP="00396F7A">
      <w:pPr>
        <w:widowControl w:val="0"/>
        <w:autoSpaceDE w:val="0"/>
        <w:autoSpaceDN w:val="0"/>
        <w:spacing w:before="1" w:after="12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w:t>
      </w:r>
    </w:p>
    <w:p w14:paraId="28F5FE68" w14:textId="77777777" w:rsidR="00396F7A" w:rsidRPr="00CE650F" w:rsidRDefault="00396F7A" w:rsidP="00396F7A">
      <w:pPr>
        <w:widowControl w:val="0"/>
        <w:autoSpaceDE w:val="0"/>
        <w:autoSpaceDN w:val="0"/>
        <w:spacing w:after="12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002D957B" w14:textId="77777777" w:rsidR="00396F7A" w:rsidRPr="00CE650F" w:rsidRDefault="00396F7A" w:rsidP="00396F7A">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CE650F">
        <w:rPr>
          <w:rFonts w:ascii="Verdana" w:eastAsia="Arial" w:hAnsi="Verdana" w:cs="Arial"/>
          <w:sz w:val="20"/>
          <w:szCs w:val="20"/>
          <w:vertAlign w:val="superscript"/>
          <w:lang w:val="es-ES"/>
        </w:rPr>
        <w:footnoteReference w:id="9"/>
      </w:r>
      <w:r w:rsidRPr="00CE650F">
        <w:rPr>
          <w:rFonts w:ascii="Verdana" w:eastAsia="Arial" w:hAnsi="Verdana" w:cs="Arial"/>
          <w:sz w:val="20"/>
          <w:szCs w:val="20"/>
          <w:lang w:val="es-ES"/>
        </w:rPr>
        <w:t>.</w:t>
      </w:r>
    </w:p>
    <w:p w14:paraId="6FCC3DE9" w14:textId="77777777" w:rsidR="00396F7A" w:rsidRPr="00CE650F" w:rsidRDefault="00396F7A" w:rsidP="00396F7A">
      <w:pPr>
        <w:spacing w:after="0" w:line="276" w:lineRule="auto"/>
        <w:jc w:val="both"/>
        <w:rPr>
          <w:rFonts w:ascii="Verdana" w:eastAsia="Calibri" w:hAnsi="Verdana" w:cs="Times New Roman"/>
        </w:rPr>
      </w:pPr>
    </w:p>
    <w:p w14:paraId="097016A0" w14:textId="77777777" w:rsidR="00396F7A" w:rsidRPr="00CE650F" w:rsidRDefault="00396F7A" w:rsidP="00396F7A">
      <w:pPr>
        <w:spacing w:after="0" w:line="276" w:lineRule="auto"/>
        <w:jc w:val="both"/>
        <w:rPr>
          <w:rFonts w:ascii="Verdana" w:eastAsia="Calibri" w:hAnsi="Verdana" w:cs="Arial"/>
          <w:lang w:val="es-MX" w:eastAsia="x-none"/>
        </w:rPr>
      </w:pPr>
      <w:r w:rsidRPr="00CE650F">
        <w:rPr>
          <w:rFonts w:ascii="Verdana" w:eastAsia="Calibri" w:hAnsi="Verdana" w:cs="Times New Roman"/>
        </w:rPr>
        <w:t>De este modo,</w:t>
      </w:r>
      <w:r w:rsidRPr="00CE650F">
        <w:rPr>
          <w:rFonts w:ascii="Verdana" w:eastAsia="Calibri" w:hAnsi="Verdana" w:cs="Arial"/>
          <w:lang w:val="es-MX" w:eastAsia="x-none"/>
        </w:rPr>
        <w:t xml:space="preserve">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2C20A71B" w14:textId="77777777" w:rsidR="00396F7A" w:rsidRPr="00CE650F" w:rsidRDefault="00396F7A" w:rsidP="00396F7A">
      <w:pPr>
        <w:spacing w:after="0" w:line="276" w:lineRule="auto"/>
        <w:jc w:val="both"/>
        <w:rPr>
          <w:rFonts w:ascii="Verdana" w:eastAsia="Calibri" w:hAnsi="Verdana" w:cs="Arial"/>
          <w:lang w:val="es-MX" w:eastAsia="x-none"/>
        </w:rPr>
      </w:pPr>
    </w:p>
    <w:p w14:paraId="7BB78C60" w14:textId="77777777" w:rsidR="00396F7A" w:rsidRPr="00CE650F" w:rsidRDefault="00396F7A" w:rsidP="00396F7A">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 xml:space="preserve">“La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w:t>
      </w:r>
      <w:r w:rsidRPr="00CE650F">
        <w:rPr>
          <w:rFonts w:ascii="Verdana" w:eastAsia="Arial" w:hAnsi="Verdana" w:cs="Arial"/>
          <w:sz w:val="20"/>
          <w:szCs w:val="20"/>
          <w:lang w:val="es-ES"/>
        </w:rPr>
        <w:lastRenderedPageBreak/>
        <w:t>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CE650F">
        <w:rPr>
          <w:rFonts w:ascii="Verdana" w:eastAsia="Arial" w:hAnsi="Verdana" w:cs="Arial"/>
          <w:spacing w:val="-4"/>
          <w:sz w:val="20"/>
          <w:szCs w:val="20"/>
          <w:lang w:val="es-ES"/>
        </w:rPr>
        <w:t xml:space="preserve"> </w:t>
      </w:r>
      <w:r w:rsidRPr="00CE650F">
        <w:rPr>
          <w:rFonts w:ascii="Verdana" w:eastAsia="Arial" w:hAnsi="Verdana" w:cs="Arial"/>
          <w:sz w:val="20"/>
          <w:szCs w:val="20"/>
          <w:lang w:val="es-ES"/>
        </w:rPr>
        <w:t>1968”.</w:t>
      </w:r>
    </w:p>
    <w:p w14:paraId="4B912959" w14:textId="77777777" w:rsidR="00396F7A" w:rsidRPr="00CE650F" w:rsidRDefault="00396F7A" w:rsidP="00396F7A">
      <w:pPr>
        <w:spacing w:after="0" w:line="276" w:lineRule="auto"/>
        <w:jc w:val="both"/>
        <w:rPr>
          <w:rFonts w:ascii="Verdana" w:eastAsia="Calibri" w:hAnsi="Verdana" w:cs="Arial"/>
          <w:lang w:val="es-MX" w:eastAsia="x-none"/>
        </w:rPr>
      </w:pPr>
    </w:p>
    <w:p w14:paraId="1AEC1985" w14:textId="77777777" w:rsidR="00396F7A" w:rsidRPr="00CE650F" w:rsidRDefault="00396F7A" w:rsidP="00396F7A">
      <w:pPr>
        <w:spacing w:after="0" w:line="276" w:lineRule="auto"/>
        <w:jc w:val="both"/>
        <w:rPr>
          <w:rFonts w:ascii="Verdana" w:eastAsia="Calibri" w:hAnsi="Verdana" w:cs="Arial"/>
          <w:lang w:val="es-MX" w:eastAsia="x-none"/>
        </w:rPr>
      </w:pPr>
      <w:r w:rsidRPr="00CE650F">
        <w:rPr>
          <w:rFonts w:ascii="Verdana" w:eastAsia="Calibri" w:hAnsi="Verdana" w:cs="Arial"/>
          <w:lang w:val="es-MX" w:eastAsia="x-none"/>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w:t>
      </w:r>
      <w:r w:rsidRPr="00CE650F">
        <w:rPr>
          <w:rFonts w:ascii="Verdana" w:eastAsia="Calibri" w:hAnsi="Verdana" w:cs="Arial"/>
          <w:i/>
          <w:iCs/>
          <w:lang w:val="es-MX" w:eastAsia="x-none"/>
        </w:rPr>
        <w:t>condicionadamente</w:t>
      </w:r>
      <w:r w:rsidRPr="00CE650F">
        <w:rPr>
          <w:rFonts w:ascii="Verdana" w:eastAsia="Calibri" w:hAnsi="Verdana" w:cs="Arial"/>
          <w:lang w:val="es-MX" w:eastAsia="x-none"/>
        </w:rPr>
        <w:t xml:space="preserve">, que será el derecho privado, rigiéndose, por ende, por las normas civiles y comerciales, así: </w:t>
      </w:r>
    </w:p>
    <w:p w14:paraId="6E9BC327" w14:textId="77777777" w:rsidR="00396F7A" w:rsidRPr="00CE650F" w:rsidRDefault="00396F7A" w:rsidP="00396F7A">
      <w:pPr>
        <w:spacing w:after="0" w:line="276" w:lineRule="auto"/>
        <w:jc w:val="both"/>
        <w:rPr>
          <w:rFonts w:ascii="Verdana" w:eastAsia="Calibri" w:hAnsi="Verdana" w:cs="Arial"/>
          <w:lang w:val="es-MX" w:eastAsia="x-none"/>
        </w:rPr>
      </w:pPr>
    </w:p>
    <w:p w14:paraId="689AA614" w14:textId="77777777" w:rsidR="00396F7A" w:rsidRPr="00CE650F" w:rsidRDefault="00396F7A" w:rsidP="00396F7A">
      <w:pPr>
        <w:spacing w:after="0" w:line="276" w:lineRule="auto"/>
        <w:ind w:left="709" w:right="709"/>
        <w:jc w:val="both"/>
        <w:rPr>
          <w:rFonts w:ascii="Verdana" w:eastAsia="Calibri" w:hAnsi="Verdana" w:cs="Arial"/>
          <w:sz w:val="20"/>
          <w:szCs w:val="20"/>
          <w:lang w:val="es-MX" w:eastAsia="x-none"/>
        </w:rPr>
      </w:pPr>
      <w:r w:rsidRPr="00CE650F">
        <w:rPr>
          <w:rFonts w:ascii="Verdana" w:eastAsia="Calibri" w:hAnsi="Verdana" w:cs="Arial"/>
          <w:sz w:val="20"/>
          <w:szCs w:val="20"/>
          <w:lang w:val="es-MX" w:eastAsia="x-none"/>
        </w:rPr>
        <w:t xml:space="preserve">“Artículo 93. Salvo las excepciones consagradas en la presente ley, </w:t>
      </w:r>
      <w:r w:rsidRPr="00CE650F">
        <w:rPr>
          <w:rFonts w:ascii="Verdana" w:eastAsia="Calibri" w:hAnsi="Verdana" w:cs="Arial"/>
          <w:sz w:val="20"/>
          <w:szCs w:val="20"/>
          <w:u w:val="single"/>
          <w:lang w:val="es-MX" w:eastAsia="x-none"/>
        </w:rPr>
        <w:t>los contratos que para el cumplimiento de sus funciones celebren las universidades estatales u oficiales,</w:t>
      </w:r>
      <w:r w:rsidRPr="00CE650F">
        <w:rPr>
          <w:rFonts w:ascii="Verdana" w:eastAsia="Calibri" w:hAnsi="Verdana" w:cs="Arial"/>
          <w:sz w:val="20"/>
          <w:szCs w:val="20"/>
          <w:lang w:val="es-MX" w:eastAsia="x-none"/>
        </w:rPr>
        <w:t xml:space="preserve"> </w:t>
      </w:r>
      <w:r w:rsidRPr="00CE650F">
        <w:rPr>
          <w:rFonts w:ascii="Verdana" w:eastAsia="Calibri" w:hAnsi="Verdana" w:cs="Arial"/>
          <w:i/>
          <w:iCs/>
          <w:sz w:val="20"/>
          <w:szCs w:val="20"/>
          <w:u w:val="single"/>
          <w:lang w:val="es-MX" w:eastAsia="x-none"/>
        </w:rPr>
        <w:t>se regirán por las normas del derecho privado y sus efectos estarán sujetos a las normas civiles y comerciales</w:t>
      </w:r>
      <w:r w:rsidRPr="00CE650F">
        <w:rPr>
          <w:rFonts w:ascii="Verdana" w:eastAsia="Calibri" w:hAnsi="Verdana" w:cs="Arial"/>
          <w:sz w:val="20"/>
          <w:szCs w:val="20"/>
          <w:lang w:val="es-MX" w:eastAsia="x-none"/>
        </w:rPr>
        <w:t xml:space="preserve">, según la naturaleza de los contratos. </w:t>
      </w:r>
    </w:p>
    <w:p w14:paraId="0FE2314C" w14:textId="77777777" w:rsidR="00396F7A" w:rsidRPr="00CE650F" w:rsidRDefault="00396F7A" w:rsidP="00396F7A">
      <w:pPr>
        <w:spacing w:before="120" w:after="0" w:line="276" w:lineRule="auto"/>
        <w:ind w:left="709" w:right="709"/>
        <w:jc w:val="both"/>
        <w:rPr>
          <w:rFonts w:ascii="Verdana" w:eastAsia="Calibri" w:hAnsi="Verdana" w:cs="Arial"/>
          <w:sz w:val="20"/>
          <w:szCs w:val="20"/>
          <w:lang w:val="es-MX" w:eastAsia="x-none"/>
        </w:rPr>
      </w:pPr>
      <w:r w:rsidRPr="00CE650F">
        <w:rPr>
          <w:rFonts w:ascii="Verdana" w:eastAsia="Calibri" w:hAnsi="Verdana" w:cs="Arial"/>
          <w:sz w:val="20"/>
          <w:szCs w:val="20"/>
          <w:lang w:val="es-MX" w:eastAsia="x-none"/>
        </w:rPr>
        <w:t>Parágrafo. Se exceptúan de lo anterior los contratos de empréstito, los cuales se someterán a las reglas previstas para ellos por el Decreto 222 de 1983 y demás disposiciones que lo modifiquen, complementen o sustituyan”. [Énfasis fuera de texto]</w:t>
      </w:r>
    </w:p>
    <w:p w14:paraId="7389F6E4" w14:textId="77777777" w:rsidR="00396F7A" w:rsidRPr="00CE650F" w:rsidRDefault="00396F7A" w:rsidP="00396F7A">
      <w:pPr>
        <w:spacing w:after="0" w:line="276" w:lineRule="auto"/>
        <w:ind w:right="709"/>
        <w:jc w:val="both"/>
        <w:rPr>
          <w:rFonts w:ascii="Verdana" w:eastAsia="Calibri" w:hAnsi="Verdana" w:cs="Arial"/>
          <w:sz w:val="21"/>
          <w:szCs w:val="21"/>
          <w:lang w:val="es-MX" w:eastAsia="x-none"/>
        </w:rPr>
      </w:pPr>
    </w:p>
    <w:p w14:paraId="0ED17135" w14:textId="77777777" w:rsidR="00396F7A" w:rsidRPr="00CE650F" w:rsidRDefault="00396F7A" w:rsidP="00396F7A">
      <w:pPr>
        <w:spacing w:after="0" w:line="276" w:lineRule="auto"/>
        <w:jc w:val="both"/>
        <w:rPr>
          <w:rFonts w:ascii="Verdana" w:eastAsia="Calibri" w:hAnsi="Verdana" w:cs="Arial"/>
          <w:lang w:val="es-MX" w:eastAsia="x-none"/>
        </w:rPr>
      </w:pPr>
      <w:r w:rsidRPr="00CE650F">
        <w:rPr>
          <w:rFonts w:ascii="Verdana" w:eastAsia="Calibri" w:hAnsi="Verdana" w:cs="Arial"/>
          <w:lang w:val="es-MX" w:eastAsia="x-none"/>
        </w:rPr>
        <w:t>De lo anterior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r w:rsidRPr="00CE650F">
        <w:rPr>
          <w:rFonts w:ascii="Verdana" w:eastAsia="Calibri" w:hAnsi="Verdana" w:cs="Arial"/>
          <w:vertAlign w:val="superscript"/>
          <w:lang w:val="es-MX" w:eastAsia="x-none"/>
        </w:rPr>
        <w:footnoteReference w:id="10"/>
      </w:r>
      <w:r w:rsidRPr="00CE650F">
        <w:rPr>
          <w:rFonts w:ascii="Verdana" w:eastAsia="Calibri" w:hAnsi="Verdana" w:cs="Arial"/>
          <w:lang w:val="es-MX" w:eastAsia="x-none"/>
        </w:rPr>
        <w:t>.</w:t>
      </w:r>
    </w:p>
    <w:p w14:paraId="13F0B2C8" w14:textId="77777777" w:rsidR="00396F7A" w:rsidRPr="00CE650F" w:rsidRDefault="00396F7A" w:rsidP="00396F7A">
      <w:pPr>
        <w:tabs>
          <w:tab w:val="left" w:pos="709"/>
        </w:tabs>
        <w:spacing w:before="120" w:after="0" w:line="276" w:lineRule="auto"/>
        <w:jc w:val="both"/>
        <w:rPr>
          <w:rFonts w:ascii="Verdana" w:eastAsia="Calibri" w:hAnsi="Verdana" w:cs="Arial"/>
          <w:lang w:val="es-ES"/>
        </w:rPr>
      </w:pPr>
      <w:r w:rsidRPr="00CE650F">
        <w:rPr>
          <w:rFonts w:ascii="Verdana" w:eastAsia="Calibri" w:hAnsi="Verdana" w:cs="Arial"/>
          <w:lang w:val="es-ES"/>
        </w:rPr>
        <w:lastRenderedPageBreak/>
        <w:tab/>
        <w:t>Ahora bien, en el respectivo manual de contratación, las universidades públicas desarrollarán las formas en la que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para garantizar la selección objetiva y la protección del interés general. Lo anterior, sin perjuicio de que algunas de estas reglas se establezcan, complementen o detallen en los documentos que se expidan en desarrollo de sus procedimientos contractuales.</w:t>
      </w:r>
    </w:p>
    <w:p w14:paraId="140762CC" w14:textId="77777777" w:rsidR="00396F7A" w:rsidRPr="00CE650F" w:rsidRDefault="00396F7A" w:rsidP="00396F7A">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7A65F22A" w14:textId="77777777" w:rsidR="00396F7A" w:rsidRPr="00CE650F" w:rsidRDefault="00396F7A" w:rsidP="00396F7A">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w:t>
      </w:r>
      <w:r w:rsidRPr="00CE650F">
        <w:rPr>
          <w:rFonts w:ascii="Verdana" w:eastAsia="Calibri" w:hAnsi="Verdana" w:cs="Arial"/>
          <w:vertAlign w:val="superscript"/>
          <w:lang w:val="es-ES"/>
        </w:rPr>
        <w:t xml:space="preserve"> </w:t>
      </w:r>
      <w:r w:rsidRPr="00CE650F">
        <w:rPr>
          <w:rFonts w:ascii="Verdana" w:eastAsia="Calibri" w:hAnsi="Verdana" w:cs="Arial"/>
          <w:vertAlign w:val="superscript"/>
          <w:lang w:val="es-ES"/>
        </w:rPr>
        <w:footnoteReference w:id="11"/>
      </w:r>
      <w:r w:rsidRPr="00CE650F">
        <w:rPr>
          <w:rFonts w:ascii="Verdana" w:eastAsia="Calibri" w:hAnsi="Verdana" w:cs="Arial"/>
          <w:lang w:val="es-ES"/>
        </w:rPr>
        <w:t xml:space="preserve">,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 </w:t>
      </w:r>
    </w:p>
    <w:p w14:paraId="34082F18" w14:textId="77777777" w:rsidR="00396F7A" w:rsidRPr="00CE650F" w:rsidRDefault="00396F7A" w:rsidP="00396F7A">
      <w:pPr>
        <w:spacing w:after="0" w:line="276" w:lineRule="auto"/>
        <w:jc w:val="both"/>
        <w:rPr>
          <w:rFonts w:ascii="Verdana" w:eastAsia="Aptos" w:hAnsi="Verdana" w:cs="Arial"/>
        </w:rPr>
      </w:pPr>
      <w:r w:rsidRPr="00CE650F">
        <w:rPr>
          <w:rFonts w:ascii="Verdana" w:eastAsia="Aptos" w:hAnsi="Verdana" w:cs="Arial"/>
        </w:rPr>
        <w:tab/>
        <w:t xml:space="preserve">Dichas recisiones, también fueron recogidas por esta entidad en la Circular Externa No. 006 del 25 de septiembre de 2025, en la que respecto del ámbito </w:t>
      </w:r>
      <w:r w:rsidRPr="00CE650F">
        <w:rPr>
          <w:rFonts w:ascii="Verdana" w:eastAsia="Aptos" w:hAnsi="Verdana" w:cs="Arial"/>
        </w:rPr>
        <w:lastRenderedPageBreak/>
        <w:t>de aplicación de la restricción contenida en el artículo 33 de la Ley 996 de 2005, indicó lo siguiente:</w:t>
      </w:r>
    </w:p>
    <w:p w14:paraId="39036CAF" w14:textId="77777777" w:rsidR="00396F7A" w:rsidRPr="00CE650F" w:rsidRDefault="00396F7A" w:rsidP="00396F7A">
      <w:pPr>
        <w:spacing w:after="0" w:line="276" w:lineRule="auto"/>
        <w:jc w:val="both"/>
        <w:rPr>
          <w:rFonts w:ascii="Verdana" w:eastAsia="Aptos" w:hAnsi="Verdana" w:cs="Arial"/>
        </w:rPr>
      </w:pPr>
    </w:p>
    <w:p w14:paraId="536D3B8E" w14:textId="77777777" w:rsidR="00396F7A" w:rsidRPr="00CE650F" w:rsidRDefault="00396F7A" w:rsidP="00396F7A">
      <w:pPr>
        <w:spacing w:after="0" w:line="240" w:lineRule="auto"/>
        <w:ind w:left="709" w:right="709"/>
        <w:jc w:val="both"/>
        <w:rPr>
          <w:rFonts w:ascii="Verdana" w:eastAsia="Aptos" w:hAnsi="Verdana" w:cs="Arial"/>
          <w:b/>
          <w:bCs/>
          <w:sz w:val="20"/>
          <w:szCs w:val="20"/>
        </w:rPr>
      </w:pPr>
      <w:r w:rsidRPr="00CE650F">
        <w:rPr>
          <w:rFonts w:ascii="Verdana" w:eastAsia="Aptos" w:hAnsi="Verdana" w:cs="Arial"/>
          <w:sz w:val="20"/>
          <w:szCs w:val="20"/>
        </w:rPr>
        <w:t xml:space="preserve">“El artículo señala que “queda prohibida la contratación directa” durante los cuatro (4) meses anteriores a las elecciones presidenciales. Para efectos de la Ley de Garantías Electorales por “(4) meses anteriores a las elecciones presidenciales. Para efectos de la Ley de Garantías Electorales por “contratación directa” se entiende </w:t>
      </w:r>
      <w:r w:rsidRPr="00CE650F">
        <w:rPr>
          <w:rFonts w:ascii="Verdana" w:eastAsia="Aptos" w:hAnsi="Verdana" w:cs="Arial"/>
          <w:i/>
          <w:iCs/>
          <w:sz w:val="20"/>
          <w:szCs w:val="20"/>
        </w:rPr>
        <w:t xml:space="preserve">cualquier </w:t>
      </w:r>
      <w:r w:rsidRPr="00CE650F">
        <w:rPr>
          <w:rFonts w:ascii="Verdana" w:eastAsia="Aptos" w:hAnsi="Verdana" w:cs="Arial"/>
          <w:b/>
          <w:bCs/>
          <w:sz w:val="20"/>
          <w:szCs w:val="20"/>
        </w:rPr>
        <w:t xml:space="preserve">sistema de selección o procedimiento de contratación que no incluya la convocatoria pública en </w:t>
      </w:r>
      <w:r w:rsidRPr="00CE650F">
        <w:rPr>
          <w:rFonts w:ascii="Verdana" w:eastAsia="Aptos" w:hAnsi="Verdana" w:cs="Arial"/>
          <w:b/>
          <w:bCs/>
          <w:i/>
          <w:iCs/>
          <w:sz w:val="20"/>
          <w:szCs w:val="20"/>
        </w:rPr>
        <w:t xml:space="preserve">alguna </w:t>
      </w:r>
      <w:r w:rsidRPr="00CE650F">
        <w:rPr>
          <w:rFonts w:ascii="Verdana" w:eastAsia="Aptos" w:hAnsi="Verdana" w:cs="Arial"/>
          <w:b/>
          <w:bCs/>
          <w:sz w:val="20"/>
          <w:szCs w:val="20"/>
        </w:rPr>
        <w:t>de sus etapas, ni permita la participación de una pluralidad de oferentes.</w:t>
      </w:r>
    </w:p>
    <w:p w14:paraId="2092A974" w14:textId="77777777" w:rsidR="00396F7A" w:rsidRPr="00CE650F" w:rsidRDefault="00396F7A" w:rsidP="00396F7A">
      <w:pPr>
        <w:spacing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xml:space="preserve">De lo anterior se desprende que </w:t>
      </w:r>
      <w:r w:rsidRPr="00CE650F">
        <w:rPr>
          <w:rFonts w:ascii="Verdana" w:eastAsia="Aptos" w:hAnsi="Verdana" w:cs="Arial"/>
          <w:b/>
          <w:bCs/>
          <w:sz w:val="20"/>
          <w:szCs w:val="20"/>
        </w:rPr>
        <w:t>la restricción aplica para celebrar cualquier contrato de forma directa, sin que exista un proceso abierto y competitivo</w:t>
      </w:r>
      <w:r w:rsidRPr="00CE650F">
        <w:rPr>
          <w:rFonts w:ascii="Verdana" w:eastAsia="Aptos" w:hAnsi="Verdana" w:cs="Arial"/>
          <w:sz w:val="20"/>
          <w:szCs w:val="20"/>
        </w:rPr>
        <w:t xml:space="preserve">. En consecuencia, </w:t>
      </w:r>
      <w:r w:rsidRPr="00CE650F">
        <w:rPr>
          <w:rFonts w:ascii="Verdana" w:eastAsia="Aptos" w:hAnsi="Verdana" w:cs="Arial"/>
          <w:sz w:val="20"/>
          <w:szCs w:val="20"/>
          <w:u w:val="single"/>
        </w:rPr>
        <w:t>no</w:t>
      </w:r>
      <w:r w:rsidRPr="00CE650F">
        <w:rPr>
          <w:rFonts w:ascii="Verdana" w:eastAsia="Aptos" w:hAnsi="Verdana" w:cs="Arial"/>
          <w:sz w:val="20"/>
          <w:szCs w:val="20"/>
        </w:rPr>
        <w:t xml:space="preserve"> se prohíbe la contratación que adelanten las entidades sometidas al Estatuto General de Contratación de la Administración Pública mediante las demás modalidades de selección previstas en la Ley 1150 de 2007, es decir, mediante la licitación pública, el concurso de méritos, la selección abreviada o la contratación de mínima cuantía, razón por la cual pueden seguir contratando bajo estas modalidades en el período preelectoral establecido en el artículo 33”. [Énfasis propio] [Negrillas fuera de texto]</w:t>
      </w:r>
    </w:p>
    <w:p w14:paraId="357B8C13" w14:textId="77777777" w:rsidR="00396F7A" w:rsidRPr="00CE650F" w:rsidRDefault="00396F7A" w:rsidP="00396F7A">
      <w:pPr>
        <w:spacing w:after="0" w:line="240" w:lineRule="auto"/>
        <w:ind w:right="709"/>
        <w:jc w:val="both"/>
        <w:rPr>
          <w:rFonts w:ascii="Verdana" w:eastAsia="Aptos" w:hAnsi="Verdana" w:cs="Arial"/>
        </w:rPr>
      </w:pPr>
    </w:p>
    <w:p w14:paraId="5FB992F0" w14:textId="77777777" w:rsidR="00396F7A" w:rsidRPr="00CE650F" w:rsidRDefault="00396F7A" w:rsidP="00396F7A">
      <w:pPr>
        <w:spacing w:after="0" w:line="240" w:lineRule="auto"/>
        <w:jc w:val="both"/>
        <w:rPr>
          <w:rFonts w:ascii="Verdana" w:eastAsia="Aptos" w:hAnsi="Verdana" w:cs="Arial"/>
        </w:rPr>
      </w:pPr>
      <w:r w:rsidRPr="00CE650F">
        <w:rPr>
          <w:rFonts w:ascii="Verdana" w:eastAsia="Aptos" w:hAnsi="Verdana" w:cs="Arial"/>
        </w:rPr>
        <w:t>A su vez, en dicha circular esta Agencia aclaró que:</w:t>
      </w:r>
    </w:p>
    <w:p w14:paraId="6D46D973" w14:textId="77777777" w:rsidR="00396F7A" w:rsidRPr="00CE650F" w:rsidRDefault="00396F7A" w:rsidP="00396F7A">
      <w:pPr>
        <w:spacing w:after="0" w:line="240" w:lineRule="auto"/>
        <w:ind w:right="709"/>
        <w:jc w:val="both"/>
        <w:rPr>
          <w:rFonts w:ascii="Verdana" w:eastAsia="Aptos" w:hAnsi="Verdana" w:cs="Arial"/>
        </w:rPr>
      </w:pPr>
    </w:p>
    <w:p w14:paraId="52110FEE" w14:textId="77777777" w:rsidR="00396F7A" w:rsidRPr="00CE650F" w:rsidRDefault="00396F7A" w:rsidP="00396F7A">
      <w:pPr>
        <w:spacing w:before="120"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la prohibición excluye el procedimiento establecido en la Ley 1508 de 2012, reglamentada en el Título 2 del Decreto 1082 de 2015. En este supuesto, la entidad podrá contratar directamente con el originador de un proyecto de iniciativa privada, cuando ningún otro interesado manifieste interés en participar en su ejecución durante el periodo de publicación de los documentos, [...] según lo dispuesto en el artículo 19 de la Ley 1508 de 2012. Esta contratación no estará sujeta a la prohibición del artículo 33 de la Ley de Garantías Electorales.</w:t>
      </w:r>
    </w:p>
    <w:p w14:paraId="739D00BD" w14:textId="77777777" w:rsidR="00396F7A" w:rsidRPr="00CE650F" w:rsidRDefault="00396F7A" w:rsidP="00396F7A">
      <w:pPr>
        <w:spacing w:before="120"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xml:space="preserve">Lo anterior supone que, </w:t>
      </w:r>
      <w:r w:rsidRPr="00CE650F">
        <w:rPr>
          <w:rFonts w:ascii="Verdana" w:eastAsia="Aptos" w:hAnsi="Verdana" w:cs="Arial"/>
          <w:b/>
          <w:bCs/>
          <w:sz w:val="20"/>
          <w:szCs w:val="20"/>
        </w:rPr>
        <w:t>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w:t>
      </w:r>
      <w:r w:rsidRPr="00CE650F">
        <w:rPr>
          <w:rFonts w:ascii="Verdana" w:eastAsia="Aptos" w:hAnsi="Verdana" w:cs="Arial"/>
          <w:sz w:val="20"/>
          <w:szCs w:val="20"/>
        </w:rPr>
        <w:t>.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69324659" w14:textId="77777777" w:rsidR="00396F7A" w:rsidRPr="00CE650F" w:rsidRDefault="00396F7A" w:rsidP="00396F7A">
      <w:pPr>
        <w:spacing w:after="0" w:line="276" w:lineRule="auto"/>
        <w:jc w:val="both"/>
        <w:rPr>
          <w:rFonts w:ascii="Verdana" w:eastAsia="Calibri" w:hAnsi="Verdana" w:cs="Arial"/>
          <w:lang w:val="es-ES"/>
        </w:rPr>
      </w:pPr>
    </w:p>
    <w:p w14:paraId="48C1AF8E" w14:textId="77777777" w:rsidR="00396F7A" w:rsidRPr="00CE650F" w:rsidRDefault="00396F7A" w:rsidP="00396F7A">
      <w:pPr>
        <w:spacing w:after="0" w:line="276" w:lineRule="auto"/>
        <w:jc w:val="both"/>
        <w:rPr>
          <w:rFonts w:ascii="Verdana" w:eastAsia="Calibri" w:hAnsi="Verdana" w:cs="Arial"/>
          <w:color w:val="000000"/>
          <w:lang w:val="es-ES_tradnl"/>
        </w:rPr>
      </w:pPr>
      <w:r w:rsidRPr="00CE650F">
        <w:rPr>
          <w:rFonts w:ascii="Verdana" w:eastAsia="Calibri" w:hAnsi="Verdana" w:cs="Arial"/>
          <w:lang w:val="es-ES"/>
        </w:rPr>
        <w:lastRenderedPageBreak/>
        <w:t xml:space="preserve">Las precisiones previamente citadas, se efectúan con el fin de brindar lineamientos que faciliten la interpretación y aplicación de las restricciones contenidas en el artículo 33 de Ley 996 de 2005. Sin embargo, dichas precisiones no pueden entenderse como una habilitación para que las entidades con regímenes especiales desconozcan las reglas dispuestas previamente en sus respectivos manuales de contratación, </w:t>
      </w:r>
      <w:r w:rsidRPr="00CE650F">
        <w:rPr>
          <w:rFonts w:ascii="Verdana" w:eastAsia="Calibri" w:hAnsi="Verdana" w:cs="Arial"/>
          <w:color w:val="000000"/>
          <w:lang w:val="es-ES_tradnl"/>
        </w:rPr>
        <w:t>pues estas se obligan a cumplir su contenido. Además, teniendo en cuenta que dichos manuales corresponden a un acto administrativo y concretamente a un reglamento, le aplican los atributos propios de estos tipos de actos, entre otras cosas, la presunción de legalidad y la regla de inderogabilidad singular del reglamento</w:t>
      </w:r>
      <w:r w:rsidRPr="00CE650F">
        <w:rPr>
          <w:rFonts w:ascii="Verdana" w:eastAsia="Calibri" w:hAnsi="Verdana" w:cs="Arial"/>
          <w:color w:val="000000"/>
          <w:vertAlign w:val="superscript"/>
          <w:lang w:val="es-ES_tradnl"/>
        </w:rPr>
        <w:footnoteReference w:id="12"/>
      </w:r>
      <w:r w:rsidRPr="00CE650F">
        <w:rPr>
          <w:rFonts w:ascii="Verdana" w:eastAsia="Calibri" w:hAnsi="Verdana" w:cs="Arial"/>
          <w:color w:val="000000"/>
          <w:lang w:val="es-ES_tradnl"/>
        </w:rPr>
        <w:t>. En tal sentido, su contenido vincula a la propia entidad que lo expidió y no puede desconocerlo a su capricho en casos específicos. Ello sin perjuicio de la posibilidad de expedir un nuevo manual o de modificar el existente.</w:t>
      </w:r>
    </w:p>
    <w:p w14:paraId="4978B1A7" w14:textId="77777777" w:rsidR="00396F7A" w:rsidRPr="00CE650F" w:rsidRDefault="00396F7A" w:rsidP="00396F7A">
      <w:pPr>
        <w:spacing w:before="120" w:after="120" w:line="276" w:lineRule="auto"/>
        <w:ind w:firstLine="709"/>
        <w:jc w:val="both"/>
        <w:rPr>
          <w:rFonts w:ascii="Verdana" w:eastAsia="Calibri" w:hAnsi="Verdana" w:cs="Arial"/>
          <w:color w:val="000000"/>
          <w:lang w:val="es-ES_tradnl"/>
        </w:rPr>
      </w:pPr>
      <w:r w:rsidRPr="00CE650F">
        <w:rPr>
          <w:rFonts w:ascii="Verdana" w:eastAsia="Calibri" w:hAnsi="Verdana" w:cs="Arial"/>
          <w:color w:val="000000"/>
          <w:lang w:val="es-ES_tradnl"/>
        </w:rPr>
        <w:t>Así pues,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w:t>
      </w:r>
      <w:r w:rsidRPr="00CE650F">
        <w:rPr>
          <w:rFonts w:ascii="Verdana" w:eastAsia="Calibri" w:hAnsi="Verdana" w:cs="Arial"/>
          <w:i/>
          <w:iCs/>
          <w:color w:val="000000"/>
          <w:lang w:val="es-ES_tradnl"/>
        </w:rPr>
        <w:t>afectadas</w:t>
      </w:r>
      <w:r w:rsidRPr="00CE650F">
        <w:rPr>
          <w:rFonts w:ascii="Verdana" w:eastAsia="Calibri" w:hAnsi="Verdana" w:cs="Arial"/>
          <w:color w:val="000000"/>
          <w:lang w:val="es-ES_tradnl"/>
        </w:rPr>
        <w:t>” por las referidas restricciones, adquieran sus bienes o servicios desconociendo las formas y procesos preestablecidos.</w:t>
      </w:r>
    </w:p>
    <w:p w14:paraId="3644300E" w14:textId="77777777" w:rsidR="00396F7A" w:rsidRPr="00CE650F" w:rsidRDefault="00396F7A" w:rsidP="00396F7A">
      <w:pPr>
        <w:spacing w:before="120" w:after="0" w:line="276" w:lineRule="auto"/>
        <w:ind w:firstLine="708"/>
        <w:jc w:val="both"/>
        <w:rPr>
          <w:rFonts w:ascii="Verdana" w:eastAsia="Calibri" w:hAnsi="Verdana" w:cs="Arial"/>
        </w:rPr>
      </w:pPr>
      <w:r w:rsidRPr="00CE650F">
        <w:rPr>
          <w:rFonts w:ascii="Verdana" w:eastAsia="Calibri" w:hAnsi="Verdana" w:cs="Arial"/>
        </w:rPr>
        <w:lastRenderedPageBreak/>
        <w:t xml:space="preserve">Finalmente debe advertirse que el análisis requerido para resolver problemas específicos a la gestión contractual de las universidades públicas en vigencia de la Ley de Garantías Electorales,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0F46180" w14:textId="77777777" w:rsidR="00396F7A" w:rsidRPr="00CE650F" w:rsidRDefault="00396F7A" w:rsidP="00396F7A">
      <w:pPr>
        <w:spacing w:before="120" w:after="0" w:line="276" w:lineRule="auto"/>
        <w:ind w:firstLine="708"/>
        <w:jc w:val="both"/>
        <w:rPr>
          <w:rFonts w:ascii="Verdana" w:eastAsia="Calibri" w:hAnsi="Verdana" w:cs="Arial"/>
        </w:rPr>
      </w:pPr>
      <w:r w:rsidRPr="00CE650F">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A4D5239" w14:textId="77777777" w:rsidR="00396F7A" w:rsidRPr="00CE650F" w:rsidRDefault="00396F7A" w:rsidP="00396F7A">
      <w:pPr>
        <w:spacing w:before="120" w:after="0" w:line="276" w:lineRule="auto"/>
        <w:ind w:firstLine="709"/>
        <w:jc w:val="both"/>
        <w:rPr>
          <w:rFonts w:ascii="Verdana" w:eastAsia="Calibri" w:hAnsi="Verdana" w:cs="Arial"/>
        </w:rPr>
      </w:pPr>
    </w:p>
    <w:p w14:paraId="3358561C" w14:textId="77777777" w:rsidR="00396F7A" w:rsidRPr="00CE650F" w:rsidRDefault="00396F7A" w:rsidP="00396F7A">
      <w:pPr>
        <w:widowControl w:val="0"/>
        <w:autoSpaceDE w:val="0"/>
        <w:autoSpaceDN w:val="0"/>
        <w:spacing w:before="1" w:after="0" w:line="240" w:lineRule="auto"/>
        <w:outlineLvl w:val="0"/>
        <w:rPr>
          <w:rFonts w:ascii="Verdana" w:eastAsia="Arial" w:hAnsi="Verdana" w:cs="Arial"/>
          <w:b/>
          <w:bCs/>
          <w:lang w:val="es-ES"/>
        </w:rPr>
      </w:pPr>
      <w:r w:rsidRPr="00CE650F">
        <w:rPr>
          <w:rFonts w:ascii="Verdana" w:eastAsia="Arial" w:hAnsi="Verdana" w:cs="Arial"/>
          <w:b/>
          <w:bCs/>
          <w:lang w:val="es-ES"/>
        </w:rPr>
        <w:t>4.Referencias normativas, jurisprudenciales y otras fuentes:</w:t>
      </w:r>
    </w:p>
    <w:p w14:paraId="5EEC3E3F" w14:textId="77777777" w:rsidR="00396F7A" w:rsidRPr="00CE650F" w:rsidRDefault="00396F7A" w:rsidP="00396F7A">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6F7A" w:rsidRPr="00CE650F" w14:paraId="78F63596" w14:textId="77777777" w:rsidTr="0027244B">
        <w:trPr>
          <w:trHeight w:val="870"/>
        </w:trPr>
        <w:tc>
          <w:tcPr>
            <w:tcW w:w="8647" w:type="dxa"/>
          </w:tcPr>
          <w:p w14:paraId="281CDB11"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Constitución Política: Artículo 69</w:t>
            </w:r>
          </w:p>
          <w:p w14:paraId="760CEF64"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Ley 30 de 1992. Artículo 57 y 93.</w:t>
            </w:r>
          </w:p>
          <w:p w14:paraId="6948D5D2"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Ley 489 de 1998. Artículo 39 y 40.</w:t>
            </w:r>
          </w:p>
          <w:p w14:paraId="2A3FDB4B"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Ley 996 de 2005. Artículo 33 y 38.</w:t>
            </w:r>
          </w:p>
          <w:p w14:paraId="6ECC8557"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Colombia Compra Eficiente. Guía para la Gestión Contractual de Entidades Estatales con Régimen Especial.</w:t>
            </w:r>
          </w:p>
          <w:p w14:paraId="3724442E"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Corte Constitucional. Sentencia C-1019 del 28 de noviembre de 2012.  M.P. Mauricio González.</w:t>
            </w:r>
          </w:p>
          <w:p w14:paraId="05587002"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Corte Constitucional. Sentencia C-121 de 2003. M.P. Clara Inés Vargas Hernández.</w:t>
            </w:r>
          </w:p>
          <w:p w14:paraId="2CCDA14B"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 xml:space="preserve">Corte Constitucional. Sentencia C-727 del 21 de junio de 2000. </w:t>
            </w:r>
          </w:p>
          <w:p w14:paraId="67B1864C"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 xml:space="preserve">CONSEJO DE ESTADO. Sección Cuarta. Sentencia del 16 de diciembre de 2008. </w:t>
            </w:r>
            <w:proofErr w:type="spellStart"/>
            <w:r w:rsidRPr="00CE650F">
              <w:rPr>
                <w:rFonts w:ascii="Verdana" w:eastAsia="Calibri" w:hAnsi="Verdana" w:cs="Arial"/>
                <w:lang w:val="es-ES"/>
              </w:rPr>
              <w:t>Exp</w:t>
            </w:r>
            <w:proofErr w:type="spellEnd"/>
            <w:r w:rsidRPr="00CE650F">
              <w:rPr>
                <w:rFonts w:ascii="Verdana" w:eastAsia="Calibri" w:hAnsi="Verdana" w:cs="Arial"/>
                <w:lang w:val="es-ES"/>
              </w:rPr>
              <w:t>. 16.297. C.P. Martha Teresa Briceño de Valencia.</w:t>
            </w:r>
          </w:p>
          <w:p w14:paraId="2079F976"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 xml:space="preserve">Consejo de Estado. Sala de consulta y Servicio Civil. Sentencia del 28 </w:t>
            </w:r>
            <w:r w:rsidRPr="00CE650F">
              <w:rPr>
                <w:rFonts w:ascii="Verdana" w:eastAsia="Calibri" w:hAnsi="Verdana" w:cs="Arial"/>
                <w:lang w:val="es-ES"/>
              </w:rPr>
              <w:lastRenderedPageBreak/>
              <w:t>de junio de 2012 con Radicado No. 11001-03-06-000-2012-00016-00(2092), M.P. William Zambrano Cetina.</w:t>
            </w:r>
          </w:p>
          <w:p w14:paraId="0263F445"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 xml:space="preserve">Consejo de Estado. Sección Tercera. Subsección C. Sentencia del 8 de abril de 2014. </w:t>
            </w:r>
            <w:proofErr w:type="spellStart"/>
            <w:r w:rsidRPr="00CE650F">
              <w:rPr>
                <w:rFonts w:ascii="Verdana" w:eastAsia="Calibri" w:hAnsi="Verdana" w:cs="Arial"/>
                <w:lang w:val="es-ES"/>
              </w:rPr>
              <w:t>Exp</w:t>
            </w:r>
            <w:proofErr w:type="spellEnd"/>
            <w:r w:rsidRPr="00CE650F">
              <w:rPr>
                <w:rFonts w:ascii="Verdana" w:eastAsia="Calibri" w:hAnsi="Verdana" w:cs="Arial"/>
                <w:lang w:val="es-ES"/>
              </w:rPr>
              <w:t>. 25.801 C.P. Enrique Gil Botero.</w:t>
            </w:r>
          </w:p>
          <w:p w14:paraId="4F9EAAB8" w14:textId="77777777" w:rsidR="00396F7A" w:rsidRPr="00CE650F" w:rsidRDefault="00396F7A" w:rsidP="00396F7A">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MARÍN CORTÉS, Fabián G. El reglamento como fuente del derecho administrativo. En: Las fuentes del derecho administrativo. Texto inédito. 2010. pp. 200-201.</w:t>
            </w:r>
          </w:p>
          <w:p w14:paraId="150842C5" w14:textId="77777777" w:rsidR="00396F7A" w:rsidRPr="00CE650F" w:rsidRDefault="00396F7A" w:rsidP="0027244B">
            <w:pPr>
              <w:widowControl w:val="0"/>
              <w:autoSpaceDE w:val="0"/>
              <w:autoSpaceDN w:val="0"/>
              <w:spacing w:after="120" w:line="276" w:lineRule="auto"/>
              <w:ind w:left="720"/>
              <w:contextualSpacing/>
              <w:jc w:val="both"/>
              <w:rPr>
                <w:rFonts w:ascii="Verdana" w:eastAsia="Calibri" w:hAnsi="Verdana" w:cs="Arial"/>
                <w:lang w:val="es-ES"/>
              </w:rPr>
            </w:pPr>
          </w:p>
        </w:tc>
      </w:tr>
    </w:tbl>
    <w:p w14:paraId="1872BA46" w14:textId="77777777" w:rsidR="00396F7A" w:rsidRPr="00CE650F" w:rsidRDefault="00396F7A" w:rsidP="00396F7A">
      <w:pPr>
        <w:widowControl w:val="0"/>
        <w:autoSpaceDE w:val="0"/>
        <w:autoSpaceDN w:val="0"/>
        <w:spacing w:after="0" w:line="276" w:lineRule="auto"/>
        <w:jc w:val="both"/>
        <w:rPr>
          <w:rFonts w:ascii="Verdana" w:eastAsia="Aptos" w:hAnsi="Verdana" w:cs="Arial"/>
        </w:rPr>
      </w:pPr>
    </w:p>
    <w:p w14:paraId="0460CFCC" w14:textId="77777777" w:rsidR="00396F7A" w:rsidRPr="00CE650F" w:rsidRDefault="00396F7A" w:rsidP="00396F7A">
      <w:pPr>
        <w:widowControl w:val="0"/>
        <w:autoSpaceDE w:val="0"/>
        <w:autoSpaceDN w:val="0"/>
        <w:spacing w:before="1" w:after="0" w:line="240" w:lineRule="auto"/>
        <w:outlineLvl w:val="0"/>
        <w:rPr>
          <w:rFonts w:ascii="Verdana" w:eastAsia="Arial" w:hAnsi="Verdana" w:cs="Arial"/>
          <w:b/>
          <w:bCs/>
          <w:lang w:val="es-ES"/>
        </w:rPr>
      </w:pPr>
      <w:r w:rsidRPr="00CE650F">
        <w:rPr>
          <w:rFonts w:ascii="Verdana" w:eastAsia="Arial" w:hAnsi="Verdana" w:cs="Arial"/>
          <w:b/>
          <w:bCs/>
          <w:lang w:val="es-ES"/>
        </w:rPr>
        <w:t>5. Doctrina de la Agencia Nacional de Contratación Pública:</w:t>
      </w:r>
    </w:p>
    <w:p w14:paraId="111079B6" w14:textId="77777777" w:rsidR="00396F7A" w:rsidRPr="00CE650F" w:rsidRDefault="00396F7A" w:rsidP="00396F7A">
      <w:pPr>
        <w:widowControl w:val="0"/>
        <w:autoSpaceDE w:val="0"/>
        <w:autoSpaceDN w:val="0"/>
        <w:spacing w:after="0" w:line="276" w:lineRule="auto"/>
        <w:jc w:val="both"/>
        <w:rPr>
          <w:rFonts w:ascii="Verdana" w:eastAsia="Aptos" w:hAnsi="Verdana" w:cs="Arial"/>
        </w:rPr>
      </w:pPr>
    </w:p>
    <w:p w14:paraId="401A0239" w14:textId="77777777" w:rsidR="00396F7A" w:rsidRPr="00CE650F" w:rsidRDefault="00396F7A" w:rsidP="00396F7A">
      <w:pPr>
        <w:widowControl w:val="0"/>
        <w:autoSpaceDE w:val="0"/>
        <w:autoSpaceDN w:val="0"/>
        <w:spacing w:after="0" w:line="276" w:lineRule="auto"/>
        <w:jc w:val="both"/>
        <w:rPr>
          <w:rFonts w:ascii="Verdana" w:eastAsia="Calibri" w:hAnsi="Verdana" w:cs="Arial"/>
          <w:bCs/>
          <w:shd w:val="clear" w:color="auto" w:fill="FFFFFF"/>
        </w:rPr>
      </w:pPr>
      <w:r w:rsidRPr="00CE650F">
        <w:rPr>
          <w:rFonts w:ascii="Verdana" w:eastAsia="Calibri" w:hAnsi="Verdana" w:cs="Arial"/>
          <w:bCs/>
          <w:shd w:val="clear" w:color="auto" w:fill="FFFFFF"/>
        </w:rPr>
        <w:t xml:space="preserve">La Agencia Nacional de Contratación Pública – Colombia Compra Eficiente estudió el régimen de las universidades públicas, entre otros, en los conceptos C-481 de 9 de septiembre de 2021, C-204 del 12 de abril de 2022, C-675 de 6 de enero de 2022, C-759 de 22 de febrero de 2022, C-815 del 26 de noviembre de 2022, C-492 del 01 de octubre de 2024 Y C-1864 del 23 de diciembre de 2025. </w:t>
      </w:r>
      <w:r w:rsidRPr="00CE650F">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CE650F">
          <w:rPr>
            <w:rFonts w:ascii="Verdana" w:eastAsia="Aptos" w:hAnsi="Verdana" w:cs="Arial"/>
            <w:color w:val="0000FF"/>
            <w:u w:val="single"/>
            <w:shd w:val="clear" w:color="auto" w:fill="FFFFFF"/>
            <w:lang w:val="es-ES"/>
          </w:rPr>
          <w:t>https://relatoria.colombiacompra.gov.co/</w:t>
        </w:r>
      </w:hyperlink>
      <w:r w:rsidRPr="00CE650F">
        <w:rPr>
          <w:rFonts w:ascii="Verdana" w:eastAsia="Aptos" w:hAnsi="Verdana" w:cs="Arial"/>
          <w:shd w:val="clear" w:color="auto" w:fill="FFFFFF"/>
          <w:lang w:val="es-ES"/>
        </w:rPr>
        <w:t xml:space="preserve">. </w:t>
      </w:r>
    </w:p>
    <w:p w14:paraId="40D42D02" w14:textId="77777777" w:rsidR="00396F7A" w:rsidRPr="00CE650F" w:rsidRDefault="00396F7A" w:rsidP="00396F7A">
      <w:pPr>
        <w:spacing w:before="120" w:after="120"/>
        <w:ind w:firstLine="709"/>
        <w:jc w:val="both"/>
        <w:rPr>
          <w:rFonts w:ascii="Verdana" w:eastAsia="Aptos" w:hAnsi="Verdana" w:cs="Times New Roman"/>
        </w:rPr>
      </w:pPr>
      <w:r w:rsidRPr="00CE650F">
        <w:rPr>
          <w:rFonts w:ascii="Verdana" w:eastAsia="Aptos" w:hAnsi="Verdana" w:cs="Times New Roman"/>
        </w:rPr>
        <w:t xml:space="preserve">La sostenibilidad no es una opción, es una obligación. Por ello, la Agencia Nacional de Contratación Pública –Colombia Compra Eficiente– te invita a realizar el </w:t>
      </w:r>
      <w:r w:rsidRPr="00CE650F">
        <w:rPr>
          <w:rFonts w:ascii="Verdana" w:eastAsia="Aptos" w:hAnsi="Verdana" w:cs="Times New Roman"/>
          <w:b/>
          <w:bCs/>
        </w:rPr>
        <w:t>Curso de Contratación Pública Sostenible y Socialmente Responsable</w:t>
      </w:r>
      <w:r w:rsidRPr="00CE650F">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E650F">
        <w:rPr>
          <w:rFonts w:ascii="Verdana" w:eastAsia="Aptos" w:hAnsi="Verdana" w:cs="Times New Roman"/>
        </w:rPr>
        <w:br/>
      </w:r>
      <w:hyperlink r:id="rId13" w:tgtFrame="_new" w:history="1">
        <w:r w:rsidRPr="00CE650F">
          <w:rPr>
            <w:rFonts w:ascii="Verdana" w:eastAsia="Aptos" w:hAnsi="Verdana" w:cs="Times New Roman"/>
            <w:color w:val="0000FF"/>
            <w:u w:val="single"/>
          </w:rPr>
          <w:t>https://formacionvirtual.colombiacompra.gov.co/mod/page/view.php?id=3718</w:t>
        </w:r>
      </w:hyperlink>
    </w:p>
    <w:p w14:paraId="26CF7993" w14:textId="77777777" w:rsidR="00396F7A" w:rsidRPr="00CE650F" w:rsidRDefault="00396F7A" w:rsidP="00396F7A">
      <w:pPr>
        <w:ind w:firstLine="708"/>
        <w:jc w:val="both"/>
        <w:rPr>
          <w:rFonts w:ascii="Verdana" w:eastAsia="Aptos" w:hAnsi="Verdana" w:cs="Times New Roman"/>
        </w:rPr>
      </w:pPr>
      <w:r w:rsidRPr="00CE650F">
        <w:rPr>
          <w:rFonts w:ascii="Verdana" w:eastAsia="Aptos" w:hAnsi="Verdana" w:cs="Times New Roman"/>
        </w:rPr>
        <w:t xml:space="preserve">De otro lado, te contamos que esta Agencia ha da un paso decisivo en la estandarización y modernización del </w:t>
      </w:r>
      <w:r w:rsidRPr="00CE650F">
        <w:rPr>
          <w:rFonts w:ascii="Verdana" w:eastAsia="Aptos" w:hAnsi="Verdana" w:cs="Times New Roman"/>
          <w:b/>
          <w:bCs/>
        </w:rPr>
        <w:t>sector  social</w:t>
      </w:r>
      <w:r w:rsidRPr="00CE650F">
        <w:rPr>
          <w:rFonts w:ascii="Verdana" w:eastAsia="Aptos" w:hAnsi="Verdana" w:cs="Times New Roman"/>
        </w:rPr>
        <w:t xml:space="preserve"> con la expedición de las </w:t>
      </w:r>
      <w:r w:rsidRPr="00CE650F">
        <w:rPr>
          <w:rFonts w:ascii="Verdana" w:eastAsia="Aptos" w:hAnsi="Verdana" w:cs="Times New Roman"/>
          <w:b/>
          <w:bCs/>
        </w:rPr>
        <w:t>Resoluciones 539, 540, 541, 952 y 953 de 2025</w:t>
      </w:r>
      <w:r w:rsidRPr="00CE650F">
        <w:rPr>
          <w:rFonts w:ascii="Verdana" w:eastAsia="Aptos" w:hAnsi="Verdana" w:cs="Times New Roman"/>
        </w:rPr>
        <w:t xml:space="preserve">, </w:t>
      </w:r>
      <w:r w:rsidRPr="00CE650F">
        <w:rPr>
          <w:rFonts w:ascii="Verdana" w:eastAsia="Aptos" w:hAnsi="Verdana" w:cs="Times New Roman"/>
          <w:b/>
          <w:bCs/>
        </w:rPr>
        <w:t>mediante las cuales adoptó Documentos Tipo</w:t>
      </w:r>
      <w:r w:rsidRPr="00CE650F">
        <w:rPr>
          <w:rFonts w:ascii="Verdana" w:eastAsia="Aptos" w:hAnsi="Verdana" w:cs="Times New Roman"/>
        </w:rPr>
        <w:t xml:space="preserve"> para las modalidades de selección de</w:t>
      </w:r>
      <w:r w:rsidRPr="00CE650F">
        <w:rPr>
          <w:rFonts w:ascii="Verdana" w:eastAsia="Aptos" w:hAnsi="Verdana" w:cs="Times New Roman"/>
          <w:b/>
          <w:bCs/>
        </w:rPr>
        <w:t xml:space="preserve"> licitación pública (versión 2), selección abreviada de menor cuantía, mínima cuantía, consultoría e interventoría</w:t>
      </w:r>
      <w:r w:rsidRPr="00CE650F">
        <w:rPr>
          <w:rFonts w:ascii="Verdana" w:eastAsia="Aptos" w:hAnsi="Verdana" w:cs="Times New Roman"/>
        </w:rPr>
        <w:t xml:space="preserve">, promoviendo procesos más </w:t>
      </w:r>
      <w:r w:rsidRPr="00CE650F">
        <w:rPr>
          <w:rFonts w:ascii="Verdana" w:eastAsia="Aptos" w:hAnsi="Verdana" w:cs="Times New Roman"/>
        </w:rPr>
        <w:lastRenderedPageBreak/>
        <w:t xml:space="preserve">transparentes, eficientes  competitivos y sostenibles en sectores estratégicos como educación, salud, cultura, recreación, deporte, institucional y vivienda. Consulta y descarga los documentos aquí: </w:t>
      </w:r>
      <w:hyperlink r:id="rId14" w:tgtFrame="_new" w:history="1">
        <w:r w:rsidRPr="00CE650F">
          <w:rPr>
            <w:rFonts w:ascii="Verdana" w:eastAsia="Aptos" w:hAnsi="Verdana" w:cs="Times New Roman"/>
            <w:color w:val="0000FF"/>
            <w:u w:val="single"/>
          </w:rPr>
          <w:t>https://www.colombiacompra.gov.co/normativa-y-relatoria/documentos-tipo</w:t>
        </w:r>
      </w:hyperlink>
    </w:p>
    <w:p w14:paraId="0077B9B3" w14:textId="77777777" w:rsidR="00396F7A" w:rsidRPr="00CE650F" w:rsidRDefault="00396F7A" w:rsidP="00396F7A">
      <w:pPr>
        <w:spacing w:after="0"/>
        <w:ind w:firstLine="708"/>
        <w:jc w:val="both"/>
        <w:rPr>
          <w:rFonts w:ascii="Verdana" w:eastAsia="Aptos" w:hAnsi="Verdana" w:cs="Times New Roman"/>
        </w:rPr>
      </w:pPr>
      <w:r w:rsidRPr="00CE650F">
        <w:rPr>
          <w:rFonts w:ascii="Verdana" w:eastAsia="Aptos" w:hAnsi="Verdana" w:cs="Times New Roman"/>
        </w:rPr>
        <w:t xml:space="preserve">Si quieres conocer más sobre la aplicación de Documentos Tipo puedes consultar la última versión de la </w:t>
      </w:r>
      <w:r w:rsidRPr="00CE650F">
        <w:rPr>
          <w:rFonts w:ascii="Verdana" w:eastAsia="Aptos" w:hAnsi="Verdana" w:cs="Times New Roman"/>
          <w:b/>
          <w:bCs/>
        </w:rPr>
        <w:t>Guía para la comprensión e implementación de los Documentos Tipo de obra pública de infraestructura de transporte</w:t>
      </w:r>
      <w:r w:rsidRPr="00CE650F">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E650F">
        <w:rPr>
          <w:rFonts w:ascii="Verdana" w:eastAsia="Aptos" w:hAnsi="Verdana" w:cs="Times New Roman"/>
        </w:rPr>
        <w:br/>
      </w:r>
      <w:hyperlink r:id="rId15" w:tgtFrame="_new" w:history="1">
        <w:r w:rsidRPr="00CE650F">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C1BAB79" w14:textId="77777777" w:rsidR="00396F7A" w:rsidRPr="00CE650F" w:rsidRDefault="00396F7A" w:rsidP="00396F7A">
      <w:pPr>
        <w:widowControl w:val="0"/>
        <w:autoSpaceDE w:val="0"/>
        <w:autoSpaceDN w:val="0"/>
        <w:spacing w:after="0" w:line="276" w:lineRule="auto"/>
        <w:jc w:val="both"/>
        <w:rPr>
          <w:rFonts w:ascii="Verdana" w:eastAsia="Aptos" w:hAnsi="Verdana" w:cs="Arial"/>
          <w:shd w:val="clear" w:color="auto" w:fill="FFFFFF"/>
          <w:lang w:val="es-ES"/>
        </w:rPr>
      </w:pPr>
    </w:p>
    <w:p w14:paraId="1C8DF137" w14:textId="77777777" w:rsidR="00396F7A" w:rsidRPr="00CE650F" w:rsidRDefault="00396F7A" w:rsidP="00396F7A">
      <w:pPr>
        <w:spacing w:after="0" w:line="240" w:lineRule="auto"/>
        <w:jc w:val="both"/>
        <w:rPr>
          <w:rFonts w:ascii="Verdana" w:eastAsia="Aptos" w:hAnsi="Verdana" w:cs="Times New Roman"/>
        </w:rPr>
      </w:pPr>
      <w:r w:rsidRPr="00CE650F">
        <w:rPr>
          <w:rFonts w:ascii="Verdana" w:eastAsia="Aptos" w:hAnsi="Verdana" w:cs="Times New Roman"/>
        </w:rPr>
        <w:t xml:space="preserve">Por último, lo invitamos a seguirnos en las redes sociales en las cuales se difunde información institucional: </w:t>
      </w:r>
    </w:p>
    <w:p w14:paraId="0C6B8910" w14:textId="77777777" w:rsidR="00396F7A" w:rsidRPr="00CE650F" w:rsidRDefault="00396F7A" w:rsidP="00396F7A">
      <w:pPr>
        <w:spacing w:after="0" w:line="240" w:lineRule="auto"/>
        <w:jc w:val="both"/>
        <w:rPr>
          <w:rFonts w:ascii="Verdana" w:eastAsia="Aptos" w:hAnsi="Verdana" w:cs="Times New Roman"/>
        </w:rPr>
      </w:pPr>
    </w:p>
    <w:p w14:paraId="1475DDE1" w14:textId="77777777" w:rsidR="00396F7A" w:rsidRPr="00CE650F" w:rsidRDefault="00396F7A" w:rsidP="00396F7A">
      <w:pPr>
        <w:spacing w:after="0" w:line="240" w:lineRule="auto"/>
        <w:jc w:val="both"/>
        <w:rPr>
          <w:rFonts w:ascii="Verdana" w:eastAsia="Aptos" w:hAnsi="Verdana" w:cs="Times New Roman"/>
        </w:rPr>
      </w:pPr>
      <w:r w:rsidRPr="00CE650F">
        <w:rPr>
          <w:rFonts w:ascii="Verdana" w:eastAsia="Aptos" w:hAnsi="Verdana" w:cs="Times New Roman"/>
        </w:rPr>
        <w:t xml:space="preserve">Twitter: </w:t>
      </w:r>
      <w:r w:rsidRPr="00CE650F">
        <w:rPr>
          <w:rFonts w:ascii="Verdana" w:eastAsia="Aptos" w:hAnsi="Verdana" w:cs="Arial"/>
          <w:color w:val="0000FF"/>
          <w:u w:val="single"/>
          <w:shd w:val="clear" w:color="auto" w:fill="FFFFFF"/>
          <w:lang w:val="es-ES"/>
        </w:rPr>
        <w:t>@colombiacompra</w:t>
      </w:r>
      <w:r w:rsidRPr="00CE650F">
        <w:rPr>
          <w:rFonts w:ascii="Verdana" w:eastAsia="Aptos" w:hAnsi="Verdana" w:cs="Times New Roman"/>
          <w:color w:val="156082"/>
        </w:rPr>
        <w:t xml:space="preserve"> </w:t>
      </w:r>
    </w:p>
    <w:p w14:paraId="08CDBF45" w14:textId="77777777" w:rsidR="00396F7A" w:rsidRPr="00CE650F" w:rsidRDefault="00396F7A" w:rsidP="00396F7A">
      <w:pPr>
        <w:spacing w:after="0" w:line="240" w:lineRule="auto"/>
        <w:jc w:val="both"/>
        <w:rPr>
          <w:rFonts w:ascii="Verdana" w:eastAsia="Aptos" w:hAnsi="Verdana" w:cs="Times New Roman"/>
        </w:rPr>
      </w:pPr>
      <w:r w:rsidRPr="00CE650F">
        <w:rPr>
          <w:rFonts w:ascii="Verdana" w:eastAsia="Aptos" w:hAnsi="Verdana" w:cs="Times New Roman"/>
        </w:rPr>
        <w:t xml:space="preserve">Facebook: </w:t>
      </w:r>
      <w:proofErr w:type="spellStart"/>
      <w:r w:rsidRPr="00CE650F">
        <w:rPr>
          <w:rFonts w:ascii="Verdana" w:eastAsia="Aptos" w:hAnsi="Verdana" w:cs="Arial"/>
          <w:color w:val="0000FF"/>
          <w:u w:val="single"/>
          <w:shd w:val="clear" w:color="auto" w:fill="FFFFFF"/>
          <w:lang w:val="es-ES"/>
        </w:rPr>
        <w:t>ColombiaCompraEficiente</w:t>
      </w:r>
      <w:proofErr w:type="spellEnd"/>
    </w:p>
    <w:p w14:paraId="582F7093" w14:textId="77777777" w:rsidR="00396F7A" w:rsidRPr="00CE650F" w:rsidRDefault="00396F7A" w:rsidP="00396F7A">
      <w:pPr>
        <w:spacing w:after="0" w:line="240" w:lineRule="auto"/>
        <w:jc w:val="both"/>
        <w:rPr>
          <w:rFonts w:ascii="Verdana" w:eastAsia="Aptos" w:hAnsi="Verdana" w:cs="Times New Roman"/>
        </w:rPr>
      </w:pPr>
      <w:r w:rsidRPr="00CE650F">
        <w:rPr>
          <w:rFonts w:ascii="Verdana" w:eastAsia="Aptos" w:hAnsi="Verdana" w:cs="Times New Roman"/>
        </w:rPr>
        <w:t xml:space="preserve">LinkedIn: </w:t>
      </w:r>
      <w:r w:rsidRPr="00CE650F">
        <w:rPr>
          <w:rFonts w:ascii="Verdana" w:eastAsia="Aptos" w:hAnsi="Verdana" w:cs="Arial"/>
          <w:color w:val="0000FF"/>
          <w:u w:val="single"/>
          <w:shd w:val="clear" w:color="auto" w:fill="FFFFFF"/>
          <w:lang w:val="es-ES"/>
        </w:rPr>
        <w:t>Agencia Nacional de Contratación Pública - Colombia Compra Eficiente</w:t>
      </w:r>
      <w:r w:rsidRPr="00CE650F">
        <w:rPr>
          <w:rFonts w:ascii="Verdana" w:eastAsia="Aptos" w:hAnsi="Verdana" w:cs="Times New Roman"/>
          <w:color w:val="156082"/>
        </w:rPr>
        <w:t xml:space="preserve"> </w:t>
      </w:r>
      <w:r w:rsidRPr="00CE650F">
        <w:rPr>
          <w:rFonts w:ascii="Verdana" w:eastAsia="Aptos" w:hAnsi="Verdana" w:cs="Times New Roman"/>
        </w:rPr>
        <w:t xml:space="preserve">Instagram: </w:t>
      </w:r>
      <w:r w:rsidRPr="00CE650F">
        <w:rPr>
          <w:rFonts w:ascii="Verdana" w:eastAsia="Aptos" w:hAnsi="Verdana" w:cs="Arial"/>
          <w:color w:val="0000FF"/>
          <w:u w:val="single"/>
          <w:shd w:val="clear" w:color="auto" w:fill="FFFFFF"/>
          <w:lang w:val="es-ES"/>
        </w:rPr>
        <w:t>@colombiacompraeficiente_cce</w:t>
      </w:r>
    </w:p>
    <w:p w14:paraId="2EFEA9EE" w14:textId="77777777" w:rsidR="00396F7A" w:rsidRPr="00CE650F" w:rsidRDefault="00396F7A" w:rsidP="00396F7A">
      <w:pPr>
        <w:widowControl w:val="0"/>
        <w:autoSpaceDE w:val="0"/>
        <w:autoSpaceDN w:val="0"/>
        <w:spacing w:after="0" w:line="276" w:lineRule="auto"/>
        <w:jc w:val="both"/>
        <w:rPr>
          <w:rFonts w:ascii="Verdana" w:eastAsia="Aptos" w:hAnsi="Verdana" w:cs="Arial"/>
        </w:rPr>
      </w:pPr>
    </w:p>
    <w:p w14:paraId="7AC9EE9E" w14:textId="77777777" w:rsidR="00396F7A" w:rsidRPr="00CE650F" w:rsidRDefault="00396F7A" w:rsidP="00396F7A">
      <w:pPr>
        <w:widowControl w:val="0"/>
        <w:autoSpaceDE w:val="0"/>
        <w:autoSpaceDN w:val="0"/>
        <w:spacing w:after="0" w:line="276" w:lineRule="auto"/>
        <w:jc w:val="both"/>
        <w:rPr>
          <w:rFonts w:ascii="Verdana" w:eastAsia="Aptos" w:hAnsi="Verdana" w:cs="Arial"/>
          <w:lang w:val="es-ES_tradnl"/>
        </w:rPr>
      </w:pPr>
      <w:r w:rsidRPr="00CE650F">
        <w:rPr>
          <w:rFonts w:ascii="Verdana" w:eastAsia="Aptos" w:hAnsi="Verdana" w:cs="Arial"/>
        </w:rPr>
        <w:t xml:space="preserve">Este concepto tiene el alcance previsto en el artículo 28 del Código de Procedimiento Administrativo y de lo Contencioso Administrativo </w:t>
      </w:r>
      <w:r w:rsidRPr="00CE650F">
        <w:rPr>
          <w:rFonts w:ascii="Verdana" w:eastAsia="Aptos" w:hAnsi="Verdana" w:cs="Arial"/>
          <w:lang w:val="es-ES_tradnl"/>
        </w:rPr>
        <w:t>y las expresiones aquí utilizadas con mayúscula inicial deben ser entendidas con el significado que les otorga el artículo 2.2.1.1.1.3.1. del Decreto 1082 de 2015.</w:t>
      </w:r>
    </w:p>
    <w:p w14:paraId="2FD41777" w14:textId="77777777" w:rsidR="00396F7A" w:rsidRPr="00CE650F" w:rsidRDefault="00396F7A" w:rsidP="00396F7A">
      <w:pPr>
        <w:widowControl w:val="0"/>
        <w:autoSpaceDE w:val="0"/>
        <w:autoSpaceDN w:val="0"/>
        <w:spacing w:after="0" w:line="276" w:lineRule="auto"/>
        <w:jc w:val="both"/>
        <w:rPr>
          <w:rFonts w:ascii="Verdana" w:eastAsia="Aptos" w:hAnsi="Verdana" w:cs="Arial"/>
        </w:rPr>
      </w:pPr>
    </w:p>
    <w:p w14:paraId="7694F1A4" w14:textId="77777777" w:rsidR="00396F7A" w:rsidRPr="00CE650F" w:rsidRDefault="00396F7A" w:rsidP="00396F7A">
      <w:pPr>
        <w:spacing w:after="0" w:line="240" w:lineRule="auto"/>
        <w:rPr>
          <w:rFonts w:ascii="Verdana" w:eastAsia="Aptos" w:hAnsi="Verdana" w:cs="Arial"/>
          <w:lang w:eastAsia="es-CO"/>
        </w:rPr>
      </w:pPr>
      <w:r w:rsidRPr="00CE650F">
        <w:rPr>
          <w:rFonts w:ascii="Verdana" w:eastAsia="Times New Roman" w:hAnsi="Verdana" w:cs="Arial"/>
          <w:lang w:eastAsia="es-CO"/>
        </w:rPr>
        <w:t>Atentamente,</w:t>
      </w:r>
      <w:r w:rsidRPr="00CE650F">
        <w:rPr>
          <w:rFonts w:ascii="Verdana" w:eastAsia="Aptos" w:hAnsi="Verdana" w:cs="Arial"/>
          <w:lang w:eastAsia="es-CO"/>
        </w:rPr>
        <w:t xml:space="preserve"> </w:t>
      </w:r>
    </w:p>
    <w:p w14:paraId="4B07105F" w14:textId="77777777" w:rsidR="00396F7A" w:rsidRPr="00CE650F" w:rsidRDefault="00396F7A" w:rsidP="00396F7A">
      <w:pPr>
        <w:spacing w:after="0" w:line="276" w:lineRule="auto"/>
        <w:jc w:val="center"/>
        <w:rPr>
          <w:rFonts w:ascii="Verdana" w:eastAsia="Aptos" w:hAnsi="Verdana" w:cs="Arial"/>
          <w:lang w:val="es-ES_tradnl" w:eastAsia="es-CO"/>
        </w:rPr>
      </w:pPr>
    </w:p>
    <w:p w14:paraId="690BE6A6" w14:textId="31F66F06" w:rsidR="00396F7A" w:rsidRPr="00CE650F" w:rsidRDefault="001D70E8" w:rsidP="00396F7A">
      <w:pPr>
        <w:spacing w:after="0" w:line="276" w:lineRule="auto"/>
        <w:jc w:val="center"/>
        <w:rPr>
          <w:rFonts w:ascii="Verdana" w:eastAsia="Aptos" w:hAnsi="Verdana" w:cs="Arial"/>
          <w:lang w:val="es-ES_tradnl" w:eastAsia="es-CO"/>
        </w:rPr>
      </w:pPr>
      <w:r>
        <w:rPr>
          <w:noProof/>
        </w:rPr>
        <w:lastRenderedPageBreak/>
        <w:drawing>
          <wp:inline distT="0" distB="0" distL="0" distR="0" wp14:anchorId="560DFBF1" wp14:editId="71872051">
            <wp:extent cx="3774440" cy="1411605"/>
            <wp:effectExtent l="0" t="0" r="0" b="0"/>
            <wp:docPr id="81924613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4440" cy="141160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396F7A" w:rsidRPr="00CE650F" w14:paraId="2F7CF1A7" w14:textId="77777777" w:rsidTr="0027244B">
        <w:trPr>
          <w:trHeight w:val="286"/>
        </w:trPr>
        <w:tc>
          <w:tcPr>
            <w:tcW w:w="901" w:type="dxa"/>
            <w:vAlign w:val="center"/>
            <w:hideMark/>
          </w:tcPr>
          <w:p w14:paraId="089C5BDB"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717C8319"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Nasly Yeana Mosquera Rivas</w:t>
            </w:r>
          </w:p>
          <w:p w14:paraId="50BE4C2B"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Analista T2–06 de la Subdirección de Gestión Contractual</w:t>
            </w:r>
          </w:p>
        </w:tc>
      </w:tr>
      <w:tr w:rsidR="00396F7A" w:rsidRPr="00CE650F" w14:paraId="65A02A37" w14:textId="77777777" w:rsidTr="0027244B">
        <w:trPr>
          <w:trHeight w:val="299"/>
        </w:trPr>
        <w:tc>
          <w:tcPr>
            <w:tcW w:w="901" w:type="dxa"/>
            <w:vAlign w:val="center"/>
          </w:tcPr>
          <w:p w14:paraId="674F59F3"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6A3AA7A6" w14:textId="77777777" w:rsidR="00396F7A" w:rsidRPr="00CE650F" w:rsidRDefault="00396F7A" w:rsidP="0027244B">
            <w:pPr>
              <w:rPr>
                <w:rFonts w:ascii="Verdana" w:eastAsia="Aptos" w:hAnsi="Verdana" w:cs="Arial"/>
                <w:sz w:val="14"/>
                <w:szCs w:val="14"/>
                <w:lang w:eastAsia="es-ES"/>
              </w:rPr>
            </w:pPr>
            <w:r>
              <w:rPr>
                <w:rFonts w:ascii="Verdana" w:eastAsia="Aptos" w:hAnsi="Verdana" w:cs="Arial"/>
                <w:sz w:val="14"/>
                <w:szCs w:val="14"/>
                <w:lang w:eastAsia="es-ES"/>
              </w:rPr>
              <w:t>Diana Lucía Saavedra Castañeda</w:t>
            </w:r>
          </w:p>
          <w:p w14:paraId="673E8C7B"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Contratista de la Subdirección de Gestión Contractual</w:t>
            </w:r>
          </w:p>
        </w:tc>
      </w:tr>
      <w:tr w:rsidR="00396F7A" w:rsidRPr="00CE650F" w14:paraId="6243FA23" w14:textId="77777777" w:rsidTr="0027244B">
        <w:trPr>
          <w:trHeight w:val="272"/>
        </w:trPr>
        <w:tc>
          <w:tcPr>
            <w:tcW w:w="901" w:type="dxa"/>
            <w:vAlign w:val="center"/>
            <w:hideMark/>
          </w:tcPr>
          <w:p w14:paraId="4C807086"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766997C6"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Carolina Quintero Gacharná</w:t>
            </w:r>
          </w:p>
          <w:p w14:paraId="4BF071A1" w14:textId="77777777" w:rsidR="00396F7A" w:rsidRPr="00CE650F" w:rsidRDefault="00396F7A" w:rsidP="0027244B">
            <w:pPr>
              <w:rPr>
                <w:rFonts w:ascii="Verdana" w:eastAsia="Aptos" w:hAnsi="Verdana" w:cs="Arial"/>
                <w:sz w:val="14"/>
                <w:szCs w:val="14"/>
                <w:lang w:eastAsia="es-ES"/>
              </w:rPr>
            </w:pPr>
            <w:r w:rsidRPr="00CE650F">
              <w:rPr>
                <w:rFonts w:ascii="Verdana" w:eastAsia="Aptos" w:hAnsi="Verdana" w:cs="Arial"/>
                <w:sz w:val="14"/>
                <w:szCs w:val="14"/>
                <w:lang w:eastAsia="es-ES"/>
              </w:rPr>
              <w:t>Subdirectora de Gestión Contractual ANCP – CCE</w:t>
            </w:r>
          </w:p>
        </w:tc>
      </w:tr>
    </w:tbl>
    <w:p w14:paraId="64E009F2" w14:textId="77777777" w:rsidR="00396F7A" w:rsidRPr="00CE650F" w:rsidRDefault="00396F7A" w:rsidP="00396F7A">
      <w:pPr>
        <w:spacing w:after="0" w:line="240" w:lineRule="auto"/>
        <w:rPr>
          <w:rFonts w:ascii="Verdana" w:eastAsia="Times New Roman" w:hAnsi="Verdana" w:cs="Arial"/>
          <w:sz w:val="24"/>
          <w:szCs w:val="24"/>
          <w:lang w:eastAsia="es-ES"/>
        </w:rPr>
      </w:pPr>
    </w:p>
    <w:p w14:paraId="01EA8513" w14:textId="77777777" w:rsidR="00396F7A" w:rsidRPr="00CE650F" w:rsidRDefault="00396F7A" w:rsidP="00396F7A">
      <w:pPr>
        <w:rPr>
          <w:rFonts w:ascii="Verdana" w:eastAsia="Aptos" w:hAnsi="Verdana" w:cs="Times New Roman"/>
        </w:rPr>
      </w:pPr>
    </w:p>
    <w:p w14:paraId="1CFFDC8E" w14:textId="77777777" w:rsidR="00396F7A" w:rsidRPr="00CE650F" w:rsidRDefault="00396F7A" w:rsidP="00396F7A">
      <w:pPr>
        <w:rPr>
          <w:rFonts w:ascii="Verdana" w:eastAsia="Aptos" w:hAnsi="Verdana" w:cs="Times New Roman"/>
        </w:rPr>
      </w:pPr>
    </w:p>
    <w:p w14:paraId="1EBD0556" w14:textId="0A45BCE0" w:rsidR="00396F7A" w:rsidRPr="000E2B93" w:rsidRDefault="00396F7A" w:rsidP="00396F7A">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90C80D4" w14:textId="77777777" w:rsidR="008E5C2E" w:rsidRDefault="008E5C2E"/>
    <w:sectPr w:rsidR="008E5C2E" w:rsidSect="00396F7A">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19483" w14:textId="77777777" w:rsidR="00C80E91" w:rsidRDefault="00C80E91" w:rsidP="00396F7A">
      <w:pPr>
        <w:spacing w:after="0" w:line="240" w:lineRule="auto"/>
      </w:pPr>
      <w:r>
        <w:separator/>
      </w:r>
    </w:p>
  </w:endnote>
  <w:endnote w:type="continuationSeparator" w:id="0">
    <w:p w14:paraId="06929F82" w14:textId="77777777" w:rsidR="00C80E91" w:rsidRDefault="00C80E91" w:rsidP="00396F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C3869" w14:textId="77777777" w:rsidR="00396F7A" w:rsidRDefault="00396F7A">
    <w:pPr>
      <w:pStyle w:val="Piedepgina"/>
    </w:pPr>
  </w:p>
  <w:p w14:paraId="5E3CCB97" w14:textId="77777777" w:rsidR="00396F7A" w:rsidRPr="00174B77" w:rsidRDefault="00396F7A"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5D5B4995" w14:textId="77777777" w:rsidR="00396F7A" w:rsidRDefault="00396F7A"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1222AEED" w14:textId="77777777" w:rsidR="00396F7A" w:rsidRPr="00E41027" w:rsidRDefault="00396F7A"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79D6CC0" w14:textId="77777777" w:rsidR="00396F7A" w:rsidRDefault="00396F7A"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CE650F">
      <w:rPr>
        <w:rFonts w:ascii="Verdana" w:eastAsia="Verdana" w:hAnsi="Verdana" w:cs="Verdana"/>
        <w:b/>
        <w:bCs/>
        <w:color w:val="000000"/>
        <w:sz w:val="18"/>
        <w:szCs w:val="18"/>
        <w:lang w:eastAsia="es-CO"/>
      </w:rPr>
      <w:t xml:space="preserve">Código: </w:t>
    </w:r>
    <w:r w:rsidRPr="00CE650F">
      <w:rPr>
        <w:rFonts w:ascii="Verdana" w:eastAsia="Verdana" w:hAnsi="Verdana" w:cs="Verdana"/>
        <w:color w:val="000000"/>
        <w:sz w:val="18"/>
        <w:szCs w:val="18"/>
        <w:lang w:eastAsia="es-CO"/>
      </w:rPr>
      <w:t xml:space="preserve">CCE-REC-FM-17 </w:t>
    </w:r>
    <w:r w:rsidRPr="00CE650F">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AAFFA" w14:textId="77777777" w:rsidR="00C80E91" w:rsidRDefault="00C80E91" w:rsidP="00396F7A">
      <w:pPr>
        <w:spacing w:after="0" w:line="240" w:lineRule="auto"/>
      </w:pPr>
      <w:r>
        <w:separator/>
      </w:r>
    </w:p>
  </w:footnote>
  <w:footnote w:type="continuationSeparator" w:id="0">
    <w:p w14:paraId="1E9EFA85" w14:textId="77777777" w:rsidR="00C80E91" w:rsidRDefault="00C80E91" w:rsidP="00396F7A">
      <w:pPr>
        <w:spacing w:after="0" w:line="240" w:lineRule="auto"/>
      </w:pPr>
      <w:r>
        <w:continuationSeparator/>
      </w:r>
    </w:p>
  </w:footnote>
  <w:footnote w:id="1">
    <w:p w14:paraId="5D117B4D" w14:textId="77777777" w:rsidR="00396F7A" w:rsidRPr="00DA3655" w:rsidRDefault="00396F7A" w:rsidP="00396F7A">
      <w:pPr>
        <w:pStyle w:val="Textonotapie"/>
        <w:spacing w:before="120"/>
        <w:ind w:firstLine="709"/>
        <w:jc w:val="both"/>
        <w:rPr>
          <w:rFonts w:ascii="Verdana" w:hAnsi="Verdana" w:cs="Arial"/>
          <w:color w:val="000000"/>
          <w:sz w:val="18"/>
          <w:szCs w:val="18"/>
        </w:rPr>
      </w:pPr>
      <w:r w:rsidRPr="00DA3655">
        <w:rPr>
          <w:rStyle w:val="Refdenotaalpie"/>
          <w:rFonts w:ascii="Verdana" w:hAnsi="Verdana" w:cs="Arial"/>
          <w:color w:val="000000"/>
          <w:sz w:val="18"/>
          <w:szCs w:val="18"/>
        </w:rPr>
        <w:footnoteRef/>
      </w:r>
      <w:r w:rsidRPr="00DA3655">
        <w:rPr>
          <w:rFonts w:ascii="Verdana" w:hAnsi="Verdana" w:cs="Arial"/>
          <w:color w:val="000000"/>
          <w:sz w:val="18"/>
          <w:szCs w:val="18"/>
        </w:rPr>
        <w:t xml:space="preserve"> </w:t>
      </w:r>
      <w:r>
        <w:rPr>
          <w:rFonts w:ascii="Verdana" w:hAnsi="Verdana" w:cs="Arial"/>
          <w:color w:val="000000"/>
          <w:sz w:val="18"/>
          <w:szCs w:val="18"/>
        </w:rPr>
        <w:t>“</w:t>
      </w:r>
      <w:r w:rsidRPr="00DA3655">
        <w:rPr>
          <w:rFonts w:ascii="Verdana" w:hAnsi="Verdana" w:cs="Arial"/>
          <w:color w:val="000000"/>
          <w:sz w:val="18"/>
          <w:szCs w:val="18"/>
        </w:rPr>
        <w:t xml:space="preserve">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02B4137D" w14:textId="77777777" w:rsidR="00396F7A" w:rsidRPr="00DA3655" w:rsidRDefault="00396F7A" w:rsidP="00396F7A">
      <w:pPr>
        <w:pStyle w:val="Textonotapie"/>
        <w:spacing w:before="120"/>
        <w:ind w:firstLine="709"/>
        <w:jc w:val="both"/>
        <w:rPr>
          <w:rFonts w:ascii="Verdana" w:hAnsi="Verdana" w:cs="Arial"/>
          <w:color w:val="000000"/>
          <w:sz w:val="18"/>
          <w:szCs w:val="18"/>
        </w:rPr>
      </w:pPr>
      <w:r w:rsidRPr="00DA3655">
        <w:rPr>
          <w:rFonts w:ascii="Verdana" w:hAnsi="Verdana" w:cs="Arial"/>
          <w:color w:val="000000"/>
          <w:sz w:val="18"/>
          <w:szCs w:val="18"/>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515C6612" w14:textId="77777777" w:rsidR="00396F7A" w:rsidRPr="00DA3655" w:rsidRDefault="00396F7A" w:rsidP="00396F7A">
      <w:pPr>
        <w:pStyle w:val="Textonotapie"/>
        <w:spacing w:before="120"/>
        <w:ind w:firstLine="709"/>
        <w:jc w:val="both"/>
        <w:rPr>
          <w:rFonts w:ascii="Verdana" w:hAnsi="Verdana" w:cs="Arial"/>
          <w:color w:val="000000"/>
          <w:sz w:val="18"/>
          <w:szCs w:val="18"/>
          <w:lang w:val="es-CO"/>
        </w:rPr>
      </w:pPr>
      <w:r w:rsidRPr="00DA3655">
        <w:rPr>
          <w:rFonts w:ascii="Verdana" w:hAnsi="Verdana" w:cs="Arial"/>
          <w:color w:val="000000"/>
          <w:sz w:val="18"/>
          <w:szCs w:val="18"/>
        </w:rPr>
        <w:t>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w:t>
      </w:r>
      <w:r>
        <w:rPr>
          <w:rFonts w:ascii="Verdana" w:hAnsi="Verdana" w:cs="Arial"/>
          <w:color w:val="000000"/>
          <w:sz w:val="18"/>
          <w:szCs w:val="18"/>
        </w:rPr>
        <w:t>”</w:t>
      </w:r>
      <w:r w:rsidRPr="00DA3655">
        <w:rPr>
          <w:rFonts w:ascii="Verdana" w:hAnsi="Verdana" w:cs="Arial"/>
          <w:color w:val="000000"/>
          <w:sz w:val="18"/>
          <w:szCs w:val="18"/>
        </w:rPr>
        <w:t>. (MARÍN CORTÉS, Fabián G. El reglamento como fuente del derecho administrativo. En: Las fuentes del derecho administrativo. Texto inédito. 2010. pp. 200-201).</w:t>
      </w:r>
    </w:p>
  </w:footnote>
  <w:footnote w:id="2">
    <w:p w14:paraId="60C49B34" w14:textId="77777777" w:rsidR="00396F7A" w:rsidRPr="00DA3655" w:rsidRDefault="00396F7A" w:rsidP="00396F7A">
      <w:pPr>
        <w:spacing w:after="0"/>
        <w:ind w:right="114"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69. Se garantiza la autonomía universitaria. Las universidades podrán darse sus directivas y regirse por sus</w:t>
      </w:r>
      <w:r w:rsidRPr="00DA3655">
        <w:rPr>
          <w:rFonts w:ascii="Verdana" w:hAnsi="Verdana" w:cs="Arial"/>
          <w:spacing w:val="-2"/>
          <w:sz w:val="18"/>
          <w:szCs w:val="18"/>
        </w:rPr>
        <w:t xml:space="preserve"> </w:t>
      </w:r>
      <w:r w:rsidRPr="00DA3655">
        <w:rPr>
          <w:rFonts w:ascii="Verdana" w:hAnsi="Verdana" w:cs="Arial"/>
          <w:sz w:val="18"/>
          <w:szCs w:val="18"/>
        </w:rPr>
        <w:t>propios</w:t>
      </w:r>
      <w:r w:rsidRPr="00DA3655">
        <w:rPr>
          <w:rFonts w:ascii="Verdana" w:hAnsi="Verdana" w:cs="Arial"/>
          <w:spacing w:val="-2"/>
          <w:sz w:val="18"/>
          <w:szCs w:val="18"/>
        </w:rPr>
        <w:t xml:space="preserve"> </w:t>
      </w:r>
      <w:r w:rsidRPr="00DA3655">
        <w:rPr>
          <w:rFonts w:ascii="Verdana" w:hAnsi="Verdana" w:cs="Arial"/>
          <w:sz w:val="18"/>
          <w:szCs w:val="18"/>
        </w:rPr>
        <w:t>estatutos,</w:t>
      </w:r>
      <w:r w:rsidRPr="00DA3655">
        <w:rPr>
          <w:rFonts w:ascii="Verdana" w:hAnsi="Verdana" w:cs="Arial"/>
          <w:spacing w:val="-4"/>
          <w:sz w:val="18"/>
          <w:szCs w:val="18"/>
        </w:rPr>
        <w:t xml:space="preserve"> </w:t>
      </w:r>
      <w:r w:rsidRPr="00DA3655">
        <w:rPr>
          <w:rFonts w:ascii="Verdana" w:hAnsi="Verdana" w:cs="Arial"/>
          <w:sz w:val="18"/>
          <w:szCs w:val="18"/>
        </w:rPr>
        <w:t>de</w:t>
      </w:r>
      <w:r w:rsidRPr="00DA3655">
        <w:rPr>
          <w:rFonts w:ascii="Verdana" w:hAnsi="Verdana" w:cs="Arial"/>
          <w:spacing w:val="-4"/>
          <w:sz w:val="18"/>
          <w:szCs w:val="18"/>
        </w:rPr>
        <w:t xml:space="preserve"> </w:t>
      </w:r>
      <w:r w:rsidRPr="00DA3655">
        <w:rPr>
          <w:rFonts w:ascii="Verdana" w:hAnsi="Verdana" w:cs="Arial"/>
          <w:sz w:val="18"/>
          <w:szCs w:val="18"/>
        </w:rPr>
        <w:t>acuerdo</w:t>
      </w:r>
      <w:r w:rsidRPr="00DA3655">
        <w:rPr>
          <w:rFonts w:ascii="Verdana" w:hAnsi="Verdana" w:cs="Arial"/>
          <w:spacing w:val="-4"/>
          <w:sz w:val="18"/>
          <w:szCs w:val="18"/>
        </w:rPr>
        <w:t xml:space="preserve"> </w:t>
      </w:r>
      <w:r w:rsidRPr="00DA3655">
        <w:rPr>
          <w:rFonts w:ascii="Verdana" w:hAnsi="Verdana" w:cs="Arial"/>
          <w:sz w:val="18"/>
          <w:szCs w:val="18"/>
        </w:rPr>
        <w:t>con</w:t>
      </w:r>
      <w:r w:rsidRPr="00DA3655">
        <w:rPr>
          <w:rFonts w:ascii="Verdana" w:hAnsi="Verdana" w:cs="Arial"/>
          <w:spacing w:val="-1"/>
          <w:sz w:val="18"/>
          <w:szCs w:val="18"/>
        </w:rPr>
        <w:t xml:space="preserve"> </w:t>
      </w:r>
      <w:r w:rsidRPr="00DA3655">
        <w:rPr>
          <w:rFonts w:ascii="Verdana" w:hAnsi="Verdana" w:cs="Arial"/>
          <w:sz w:val="18"/>
          <w:szCs w:val="18"/>
        </w:rPr>
        <w:t>la</w:t>
      </w:r>
      <w:r w:rsidRPr="00DA3655">
        <w:rPr>
          <w:rFonts w:ascii="Verdana" w:hAnsi="Verdana" w:cs="Arial"/>
          <w:spacing w:val="-1"/>
          <w:sz w:val="18"/>
          <w:szCs w:val="18"/>
        </w:rPr>
        <w:t xml:space="preserve"> </w:t>
      </w:r>
      <w:r w:rsidRPr="00DA3655">
        <w:rPr>
          <w:rFonts w:ascii="Verdana" w:hAnsi="Verdana" w:cs="Arial"/>
          <w:sz w:val="18"/>
          <w:szCs w:val="18"/>
        </w:rPr>
        <w:t>ley.</w:t>
      </w:r>
      <w:r w:rsidRPr="00DA3655">
        <w:rPr>
          <w:rFonts w:ascii="Verdana" w:hAnsi="Verdana" w:cs="Arial"/>
          <w:spacing w:val="-2"/>
          <w:sz w:val="18"/>
          <w:szCs w:val="18"/>
        </w:rPr>
        <w:t xml:space="preserve"> </w:t>
      </w:r>
      <w:r w:rsidRPr="00DA3655">
        <w:rPr>
          <w:rFonts w:ascii="Verdana" w:hAnsi="Verdana" w:cs="Arial"/>
          <w:sz w:val="18"/>
          <w:szCs w:val="18"/>
        </w:rPr>
        <w:t>La</w:t>
      </w:r>
      <w:r w:rsidRPr="00DA3655">
        <w:rPr>
          <w:rFonts w:ascii="Verdana" w:hAnsi="Verdana" w:cs="Arial"/>
          <w:spacing w:val="-1"/>
          <w:sz w:val="18"/>
          <w:szCs w:val="18"/>
        </w:rPr>
        <w:t xml:space="preserve"> </w:t>
      </w:r>
      <w:r w:rsidRPr="00DA3655">
        <w:rPr>
          <w:rFonts w:ascii="Verdana" w:hAnsi="Verdana" w:cs="Arial"/>
          <w:sz w:val="18"/>
          <w:szCs w:val="18"/>
        </w:rPr>
        <w:t>ley</w:t>
      </w:r>
      <w:r w:rsidRPr="00DA3655">
        <w:rPr>
          <w:rFonts w:ascii="Verdana" w:hAnsi="Verdana" w:cs="Arial"/>
          <w:spacing w:val="-5"/>
          <w:sz w:val="18"/>
          <w:szCs w:val="18"/>
        </w:rPr>
        <w:t xml:space="preserve"> </w:t>
      </w:r>
      <w:r w:rsidRPr="00DA3655">
        <w:rPr>
          <w:rFonts w:ascii="Verdana" w:hAnsi="Verdana" w:cs="Arial"/>
          <w:sz w:val="18"/>
          <w:szCs w:val="18"/>
        </w:rPr>
        <w:t>establecerá</w:t>
      </w:r>
      <w:r w:rsidRPr="00DA3655">
        <w:rPr>
          <w:rFonts w:ascii="Verdana" w:hAnsi="Verdana" w:cs="Arial"/>
          <w:spacing w:val="-1"/>
          <w:sz w:val="18"/>
          <w:szCs w:val="18"/>
        </w:rPr>
        <w:t xml:space="preserve"> </w:t>
      </w:r>
      <w:r w:rsidRPr="00DA3655">
        <w:rPr>
          <w:rFonts w:ascii="Verdana" w:hAnsi="Verdana" w:cs="Arial"/>
          <w:sz w:val="18"/>
          <w:szCs w:val="18"/>
        </w:rPr>
        <w:t>un</w:t>
      </w:r>
      <w:r w:rsidRPr="00DA3655">
        <w:rPr>
          <w:rFonts w:ascii="Verdana" w:hAnsi="Verdana" w:cs="Arial"/>
          <w:spacing w:val="-1"/>
          <w:sz w:val="18"/>
          <w:szCs w:val="18"/>
        </w:rPr>
        <w:t xml:space="preserve"> </w:t>
      </w:r>
      <w:r w:rsidRPr="00DA3655">
        <w:rPr>
          <w:rFonts w:ascii="Verdana" w:hAnsi="Verdana" w:cs="Arial"/>
          <w:sz w:val="18"/>
          <w:szCs w:val="18"/>
        </w:rPr>
        <w:t>régimen</w:t>
      </w:r>
      <w:r w:rsidRPr="00DA3655">
        <w:rPr>
          <w:rFonts w:ascii="Verdana" w:hAnsi="Verdana" w:cs="Arial"/>
          <w:spacing w:val="-4"/>
          <w:sz w:val="18"/>
          <w:szCs w:val="18"/>
        </w:rPr>
        <w:t xml:space="preserve"> </w:t>
      </w:r>
      <w:r w:rsidRPr="00DA3655">
        <w:rPr>
          <w:rFonts w:ascii="Verdana" w:hAnsi="Verdana" w:cs="Arial"/>
          <w:sz w:val="18"/>
          <w:szCs w:val="18"/>
        </w:rPr>
        <w:t>especial</w:t>
      </w:r>
      <w:r w:rsidRPr="00DA3655">
        <w:rPr>
          <w:rFonts w:ascii="Verdana" w:hAnsi="Verdana" w:cs="Arial"/>
          <w:spacing w:val="-5"/>
          <w:sz w:val="18"/>
          <w:szCs w:val="18"/>
        </w:rPr>
        <w:t xml:space="preserve"> </w:t>
      </w:r>
      <w:r w:rsidRPr="00DA3655">
        <w:rPr>
          <w:rFonts w:ascii="Verdana" w:hAnsi="Verdana" w:cs="Arial"/>
          <w:sz w:val="18"/>
          <w:szCs w:val="18"/>
        </w:rPr>
        <w:t>para</w:t>
      </w:r>
      <w:r w:rsidRPr="00DA3655">
        <w:rPr>
          <w:rFonts w:ascii="Verdana" w:hAnsi="Verdana" w:cs="Arial"/>
          <w:spacing w:val="-1"/>
          <w:sz w:val="18"/>
          <w:szCs w:val="18"/>
        </w:rPr>
        <w:t xml:space="preserve"> </w:t>
      </w:r>
      <w:r w:rsidRPr="00DA3655">
        <w:rPr>
          <w:rFonts w:ascii="Verdana" w:hAnsi="Verdana" w:cs="Arial"/>
          <w:sz w:val="18"/>
          <w:szCs w:val="18"/>
        </w:rPr>
        <w:t>las</w:t>
      </w:r>
      <w:r w:rsidRPr="00DA3655">
        <w:rPr>
          <w:rFonts w:ascii="Verdana" w:hAnsi="Verdana" w:cs="Arial"/>
          <w:spacing w:val="-5"/>
          <w:sz w:val="18"/>
          <w:szCs w:val="18"/>
        </w:rPr>
        <w:t xml:space="preserve"> </w:t>
      </w:r>
      <w:r w:rsidRPr="00DA3655">
        <w:rPr>
          <w:rFonts w:ascii="Verdana" w:hAnsi="Verdana" w:cs="Arial"/>
          <w:sz w:val="18"/>
          <w:szCs w:val="18"/>
        </w:rPr>
        <w:t>universidades</w:t>
      </w:r>
      <w:r w:rsidRPr="00DA3655">
        <w:rPr>
          <w:rFonts w:ascii="Verdana" w:hAnsi="Verdana" w:cs="Arial"/>
          <w:spacing w:val="-2"/>
          <w:sz w:val="18"/>
          <w:szCs w:val="18"/>
        </w:rPr>
        <w:t xml:space="preserve"> </w:t>
      </w:r>
      <w:r w:rsidRPr="00DA3655">
        <w:rPr>
          <w:rFonts w:ascii="Verdana" w:hAnsi="Verdana" w:cs="Arial"/>
          <w:sz w:val="18"/>
          <w:szCs w:val="18"/>
        </w:rPr>
        <w:t>del</w:t>
      </w:r>
      <w:r w:rsidRPr="00DA3655">
        <w:rPr>
          <w:rFonts w:ascii="Verdana" w:hAnsi="Verdana" w:cs="Arial"/>
          <w:spacing w:val="-3"/>
          <w:sz w:val="18"/>
          <w:szCs w:val="18"/>
        </w:rPr>
        <w:t xml:space="preserve"> </w:t>
      </w:r>
      <w:r w:rsidRPr="00DA3655">
        <w:rPr>
          <w:rFonts w:ascii="Verdana" w:hAnsi="Verdana" w:cs="Arial"/>
          <w:sz w:val="18"/>
          <w:szCs w:val="18"/>
        </w:rPr>
        <w:t>Estado”.</w:t>
      </w:r>
    </w:p>
    <w:p w14:paraId="7183027D" w14:textId="77777777" w:rsidR="00396F7A" w:rsidRPr="00DA3655" w:rsidRDefault="00396F7A" w:rsidP="00396F7A">
      <w:pPr>
        <w:pStyle w:val="Textonotapie"/>
        <w:jc w:val="both"/>
        <w:rPr>
          <w:rFonts w:ascii="Verdana" w:hAnsi="Verdana" w:cs="Arial"/>
          <w:sz w:val="18"/>
          <w:szCs w:val="18"/>
        </w:rPr>
      </w:pPr>
      <w:r w:rsidRPr="00DA3655">
        <w:rPr>
          <w:rFonts w:ascii="Verdana" w:hAnsi="Verdana" w:cs="Arial"/>
          <w:sz w:val="18"/>
          <w:szCs w:val="18"/>
        </w:rPr>
        <w:tab/>
      </w:r>
    </w:p>
  </w:footnote>
  <w:footnote w:id="3">
    <w:p w14:paraId="4A036521" w14:textId="77777777" w:rsidR="00396F7A" w:rsidRPr="00DA3655" w:rsidRDefault="00396F7A" w:rsidP="00396F7A">
      <w:pPr>
        <w:pStyle w:val="Textonotapie"/>
        <w:ind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7F4B763B" w14:textId="77777777" w:rsidR="00396F7A" w:rsidRPr="00DA3655" w:rsidRDefault="00396F7A" w:rsidP="00396F7A">
      <w:pPr>
        <w:pStyle w:val="Textonotapie"/>
        <w:spacing w:before="120"/>
        <w:ind w:firstLine="708"/>
        <w:jc w:val="both"/>
        <w:rPr>
          <w:rFonts w:ascii="Verdana" w:hAnsi="Verdana" w:cs="Arial"/>
          <w:sz w:val="18"/>
          <w:szCs w:val="18"/>
        </w:rPr>
      </w:pPr>
      <w:r w:rsidRPr="00DA3655">
        <w:rPr>
          <w:rFonts w:ascii="Verdana" w:hAnsi="Verdana" w:cs="Arial"/>
          <w:sz w:val="18"/>
          <w:szCs w:val="18"/>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0D03AE12" w14:textId="77777777" w:rsidR="00396F7A" w:rsidRPr="00DA3655" w:rsidRDefault="00396F7A" w:rsidP="00396F7A">
      <w:pPr>
        <w:pStyle w:val="Textonotapie"/>
        <w:spacing w:before="120"/>
        <w:jc w:val="both"/>
        <w:rPr>
          <w:rFonts w:ascii="Verdana" w:hAnsi="Verdana" w:cs="Arial"/>
          <w:sz w:val="18"/>
          <w:szCs w:val="18"/>
          <w:lang w:val="es-CO"/>
        </w:rPr>
      </w:pPr>
      <w:r w:rsidRPr="00DA3655">
        <w:rPr>
          <w:rFonts w:ascii="Verdana" w:hAnsi="Verdana" w:cs="Arial"/>
          <w:sz w:val="18"/>
          <w:szCs w:val="18"/>
        </w:rPr>
        <w:tab/>
      </w:r>
      <w:r w:rsidRPr="00DA3655">
        <w:rPr>
          <w:rFonts w:ascii="Verdana" w:hAnsi="Verdana" w:cs="Arial"/>
          <w:sz w:val="18"/>
          <w:szCs w:val="18"/>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6139AD19" w14:textId="77777777" w:rsidR="00396F7A" w:rsidRPr="00DA3655" w:rsidRDefault="00396F7A" w:rsidP="00396F7A">
      <w:pPr>
        <w:pStyle w:val="Textonotapie"/>
        <w:jc w:val="both"/>
        <w:rPr>
          <w:rFonts w:ascii="Verdana" w:hAnsi="Verdana" w:cs="Arial"/>
          <w:sz w:val="18"/>
          <w:szCs w:val="18"/>
          <w:lang w:val="es-ES"/>
        </w:rPr>
      </w:pPr>
      <w:r>
        <w:rPr>
          <w:rFonts w:ascii="Verdana" w:hAnsi="Verdana" w:cs="Arial"/>
          <w:sz w:val="18"/>
          <w:szCs w:val="18"/>
          <w:lang w:val="es-ES"/>
        </w:rPr>
        <w:tab/>
      </w:r>
    </w:p>
  </w:footnote>
  <w:footnote w:id="4">
    <w:p w14:paraId="7CB279A3" w14:textId="77777777" w:rsidR="00396F7A" w:rsidRPr="00DA3655" w:rsidRDefault="00396F7A" w:rsidP="00396F7A">
      <w:pPr>
        <w:spacing w:after="0"/>
        <w:ind w:right="106"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65F14F15" w14:textId="77777777" w:rsidR="00396F7A" w:rsidRPr="00DA3655" w:rsidRDefault="00396F7A" w:rsidP="00396F7A">
      <w:pPr>
        <w:spacing w:after="0"/>
        <w:ind w:right="106" w:firstLine="708"/>
        <w:jc w:val="both"/>
        <w:rPr>
          <w:rFonts w:ascii="Verdana" w:hAnsi="Verdana" w:cs="Arial"/>
          <w:sz w:val="18"/>
          <w:szCs w:val="18"/>
        </w:rPr>
      </w:pPr>
    </w:p>
  </w:footnote>
  <w:footnote w:id="5">
    <w:p w14:paraId="7573D5FB" w14:textId="77777777" w:rsidR="00396F7A" w:rsidRPr="00DA3655" w:rsidRDefault="00396F7A" w:rsidP="00396F7A">
      <w:pPr>
        <w:spacing w:after="0"/>
        <w:ind w:right="106"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77E4F9F6" w14:textId="77777777" w:rsidR="00396F7A" w:rsidRPr="00DA3655" w:rsidRDefault="00396F7A" w:rsidP="00396F7A">
      <w:pPr>
        <w:spacing w:after="0"/>
        <w:ind w:right="106" w:firstLine="708"/>
        <w:jc w:val="both"/>
        <w:rPr>
          <w:rFonts w:ascii="Verdana" w:hAnsi="Verdana" w:cs="Arial"/>
          <w:sz w:val="18"/>
          <w:szCs w:val="18"/>
        </w:rPr>
      </w:pPr>
    </w:p>
  </w:footnote>
  <w:footnote w:id="6">
    <w:p w14:paraId="26565545" w14:textId="77777777" w:rsidR="00396F7A" w:rsidRPr="00DA3655" w:rsidRDefault="00396F7A" w:rsidP="00396F7A">
      <w:pPr>
        <w:spacing w:after="0"/>
        <w:ind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Corte Constitucional. Sentencia C-121 de 2003. M.P. Clara Inés Vargas Hernández.</w:t>
      </w:r>
    </w:p>
    <w:p w14:paraId="5911F821" w14:textId="77777777" w:rsidR="00396F7A" w:rsidRPr="00DA3655" w:rsidRDefault="00396F7A" w:rsidP="00396F7A">
      <w:pPr>
        <w:spacing w:after="0"/>
        <w:jc w:val="both"/>
        <w:rPr>
          <w:rFonts w:ascii="Verdana" w:hAnsi="Verdana" w:cs="Arial"/>
          <w:sz w:val="18"/>
          <w:szCs w:val="18"/>
        </w:rPr>
      </w:pPr>
      <w:r>
        <w:rPr>
          <w:rFonts w:ascii="Verdana" w:hAnsi="Verdana" w:cs="Arial"/>
          <w:sz w:val="18"/>
          <w:szCs w:val="18"/>
        </w:rPr>
        <w:tab/>
      </w:r>
    </w:p>
  </w:footnote>
  <w:footnote w:id="7">
    <w:p w14:paraId="2168EF72" w14:textId="77777777" w:rsidR="00396F7A" w:rsidRPr="00DA3655" w:rsidRDefault="00396F7A" w:rsidP="00396F7A">
      <w:pPr>
        <w:spacing w:after="0"/>
        <w:ind w:left="-1" w:right="110" w:firstLine="709"/>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Corte</w:t>
      </w:r>
      <w:r w:rsidRPr="00DA3655">
        <w:rPr>
          <w:rFonts w:ascii="Verdana" w:hAnsi="Verdana" w:cs="Arial"/>
          <w:spacing w:val="10"/>
          <w:sz w:val="18"/>
          <w:szCs w:val="18"/>
        </w:rPr>
        <w:t xml:space="preserve"> </w:t>
      </w:r>
      <w:r w:rsidRPr="00DA3655">
        <w:rPr>
          <w:rFonts w:ascii="Verdana" w:hAnsi="Verdana" w:cs="Arial"/>
          <w:sz w:val="18"/>
          <w:szCs w:val="18"/>
        </w:rPr>
        <w:t>Constitucional.</w:t>
      </w:r>
      <w:r w:rsidRPr="00DA3655">
        <w:rPr>
          <w:rFonts w:ascii="Verdana" w:hAnsi="Verdana" w:cs="Arial"/>
          <w:spacing w:val="11"/>
          <w:sz w:val="18"/>
          <w:szCs w:val="18"/>
        </w:rPr>
        <w:t xml:space="preserve"> </w:t>
      </w:r>
      <w:r w:rsidRPr="00DA3655">
        <w:rPr>
          <w:rFonts w:ascii="Verdana" w:hAnsi="Verdana" w:cs="Arial"/>
          <w:sz w:val="18"/>
          <w:szCs w:val="18"/>
        </w:rPr>
        <w:t>Sentencia</w:t>
      </w:r>
      <w:r w:rsidRPr="00DA3655">
        <w:rPr>
          <w:rFonts w:ascii="Verdana" w:hAnsi="Verdana" w:cs="Arial"/>
          <w:spacing w:val="10"/>
          <w:sz w:val="18"/>
          <w:szCs w:val="18"/>
        </w:rPr>
        <w:t xml:space="preserve"> </w:t>
      </w:r>
      <w:r w:rsidRPr="00DA3655">
        <w:rPr>
          <w:rFonts w:ascii="Verdana" w:hAnsi="Verdana" w:cs="Arial"/>
          <w:sz w:val="18"/>
          <w:szCs w:val="18"/>
        </w:rPr>
        <w:t>C-1019</w:t>
      </w:r>
      <w:r w:rsidRPr="00DA3655">
        <w:rPr>
          <w:rFonts w:ascii="Verdana" w:hAnsi="Verdana" w:cs="Arial"/>
          <w:spacing w:val="10"/>
          <w:sz w:val="18"/>
          <w:szCs w:val="18"/>
        </w:rPr>
        <w:t xml:space="preserve"> </w:t>
      </w:r>
      <w:r w:rsidRPr="00DA3655">
        <w:rPr>
          <w:rFonts w:ascii="Verdana" w:hAnsi="Verdana" w:cs="Arial"/>
          <w:sz w:val="18"/>
          <w:szCs w:val="18"/>
        </w:rPr>
        <w:t>del</w:t>
      </w:r>
      <w:r w:rsidRPr="00DA3655">
        <w:rPr>
          <w:rFonts w:ascii="Verdana" w:hAnsi="Verdana" w:cs="Arial"/>
          <w:spacing w:val="9"/>
          <w:sz w:val="18"/>
          <w:szCs w:val="18"/>
        </w:rPr>
        <w:t xml:space="preserve"> </w:t>
      </w:r>
      <w:r w:rsidRPr="00DA3655">
        <w:rPr>
          <w:rFonts w:ascii="Verdana" w:hAnsi="Verdana" w:cs="Arial"/>
          <w:sz w:val="18"/>
          <w:szCs w:val="18"/>
        </w:rPr>
        <w:t>28</w:t>
      </w:r>
      <w:r w:rsidRPr="00DA3655">
        <w:rPr>
          <w:rFonts w:ascii="Verdana" w:hAnsi="Verdana" w:cs="Arial"/>
          <w:spacing w:val="10"/>
          <w:sz w:val="18"/>
          <w:szCs w:val="18"/>
        </w:rPr>
        <w:t xml:space="preserve"> </w:t>
      </w:r>
      <w:r w:rsidRPr="00DA3655">
        <w:rPr>
          <w:rFonts w:ascii="Verdana" w:hAnsi="Verdana" w:cs="Arial"/>
          <w:sz w:val="18"/>
          <w:szCs w:val="18"/>
        </w:rPr>
        <w:t>de</w:t>
      </w:r>
      <w:r w:rsidRPr="00DA3655">
        <w:rPr>
          <w:rFonts w:ascii="Verdana" w:hAnsi="Verdana" w:cs="Arial"/>
          <w:spacing w:val="10"/>
          <w:sz w:val="18"/>
          <w:szCs w:val="18"/>
        </w:rPr>
        <w:t xml:space="preserve"> </w:t>
      </w:r>
      <w:r w:rsidRPr="00DA3655">
        <w:rPr>
          <w:rFonts w:ascii="Verdana" w:hAnsi="Verdana" w:cs="Arial"/>
          <w:sz w:val="18"/>
          <w:szCs w:val="18"/>
        </w:rPr>
        <w:t>noviembre</w:t>
      </w:r>
      <w:r w:rsidRPr="00DA3655">
        <w:rPr>
          <w:rFonts w:ascii="Verdana" w:hAnsi="Verdana" w:cs="Arial"/>
          <w:spacing w:val="10"/>
          <w:sz w:val="18"/>
          <w:szCs w:val="18"/>
        </w:rPr>
        <w:t xml:space="preserve"> </w:t>
      </w:r>
      <w:r w:rsidRPr="00DA3655">
        <w:rPr>
          <w:rFonts w:ascii="Verdana" w:hAnsi="Verdana" w:cs="Arial"/>
          <w:sz w:val="18"/>
          <w:szCs w:val="18"/>
        </w:rPr>
        <w:t>de</w:t>
      </w:r>
      <w:r w:rsidRPr="00DA3655">
        <w:rPr>
          <w:rFonts w:ascii="Verdana" w:hAnsi="Verdana" w:cs="Arial"/>
          <w:spacing w:val="10"/>
          <w:sz w:val="18"/>
          <w:szCs w:val="18"/>
        </w:rPr>
        <w:t xml:space="preserve"> </w:t>
      </w:r>
      <w:r w:rsidRPr="00DA3655">
        <w:rPr>
          <w:rFonts w:ascii="Verdana" w:hAnsi="Verdana" w:cs="Arial"/>
          <w:sz w:val="18"/>
          <w:szCs w:val="18"/>
        </w:rPr>
        <w:t>2012.</w:t>
      </w:r>
      <w:r w:rsidRPr="00DA3655">
        <w:rPr>
          <w:rFonts w:ascii="Verdana" w:hAnsi="Verdana" w:cs="Arial"/>
          <w:spacing w:val="10"/>
          <w:sz w:val="18"/>
          <w:szCs w:val="18"/>
        </w:rPr>
        <w:t xml:space="preserve"> </w:t>
      </w:r>
      <w:r w:rsidRPr="00DA3655">
        <w:rPr>
          <w:rFonts w:ascii="Verdana" w:hAnsi="Verdana" w:cs="Arial"/>
          <w:sz w:val="18"/>
          <w:szCs w:val="18"/>
        </w:rPr>
        <w:t>M.P.</w:t>
      </w:r>
      <w:r w:rsidRPr="00DA3655">
        <w:rPr>
          <w:rFonts w:ascii="Verdana" w:hAnsi="Verdana" w:cs="Arial"/>
          <w:spacing w:val="10"/>
          <w:sz w:val="18"/>
          <w:szCs w:val="18"/>
        </w:rPr>
        <w:t xml:space="preserve"> </w:t>
      </w:r>
      <w:r w:rsidRPr="00DA3655">
        <w:rPr>
          <w:rFonts w:ascii="Verdana" w:hAnsi="Verdana" w:cs="Arial"/>
          <w:sz w:val="18"/>
          <w:szCs w:val="18"/>
        </w:rPr>
        <w:t>Mauricio</w:t>
      </w:r>
      <w:r w:rsidRPr="00DA3655">
        <w:rPr>
          <w:rFonts w:ascii="Verdana" w:hAnsi="Verdana" w:cs="Arial"/>
          <w:spacing w:val="8"/>
          <w:sz w:val="18"/>
          <w:szCs w:val="18"/>
        </w:rPr>
        <w:t xml:space="preserve"> </w:t>
      </w:r>
      <w:r w:rsidRPr="00DA3655">
        <w:rPr>
          <w:rFonts w:ascii="Verdana" w:hAnsi="Verdana" w:cs="Arial"/>
          <w:sz w:val="18"/>
          <w:szCs w:val="18"/>
        </w:rPr>
        <w:t>González.</w:t>
      </w:r>
    </w:p>
    <w:p w14:paraId="51B699A4" w14:textId="77777777" w:rsidR="00396F7A" w:rsidRPr="00DA3655" w:rsidRDefault="00396F7A" w:rsidP="00396F7A">
      <w:pPr>
        <w:pStyle w:val="Textonotapie"/>
        <w:jc w:val="both"/>
        <w:rPr>
          <w:rFonts w:ascii="Verdana" w:hAnsi="Verdana" w:cs="Arial"/>
          <w:sz w:val="18"/>
          <w:szCs w:val="18"/>
        </w:rPr>
      </w:pPr>
    </w:p>
  </w:footnote>
  <w:footnote w:id="8">
    <w:p w14:paraId="65310F61" w14:textId="77777777" w:rsidR="00396F7A" w:rsidRPr="00DA3655" w:rsidRDefault="00396F7A" w:rsidP="00396F7A">
      <w:pPr>
        <w:pStyle w:val="Textonotapie"/>
        <w:ind w:firstLine="708"/>
        <w:jc w:val="both"/>
        <w:rPr>
          <w:rFonts w:ascii="Verdana" w:hAnsi="Verdana" w:cs="Arial"/>
          <w:sz w:val="18"/>
          <w:szCs w:val="18"/>
          <w:lang w:val="es-ES_tradnl"/>
        </w:rPr>
      </w:pPr>
      <w:r w:rsidRPr="00DA3655">
        <w:rPr>
          <w:rStyle w:val="Refdenotaalpie"/>
          <w:rFonts w:ascii="Verdana" w:hAnsi="Verdana" w:cs="Arial"/>
          <w:sz w:val="18"/>
          <w:szCs w:val="18"/>
        </w:rPr>
        <w:footnoteRef/>
      </w:r>
      <w:r w:rsidRPr="00DA3655">
        <w:rPr>
          <w:rFonts w:ascii="Verdana" w:hAnsi="Verdana" w:cs="Arial"/>
          <w:sz w:val="18"/>
          <w:szCs w:val="18"/>
        </w:rPr>
        <w:t xml:space="preserve"> CONSEJO DE ESTADO. Sección Cuarta. Sentencia del 16 de diciembre de 2008. Exp. 16.297. C.P. Martha Teresa Briceño de Valencia</w:t>
      </w:r>
    </w:p>
  </w:footnote>
  <w:footnote w:id="9">
    <w:p w14:paraId="2627DE2C" w14:textId="77777777" w:rsidR="00396F7A" w:rsidRPr="00DA3655" w:rsidRDefault="00396F7A" w:rsidP="00396F7A">
      <w:pPr>
        <w:pStyle w:val="Textonotapie"/>
        <w:jc w:val="both"/>
        <w:rPr>
          <w:rFonts w:ascii="Verdana" w:hAnsi="Verdana" w:cs="Arial"/>
          <w:sz w:val="18"/>
          <w:szCs w:val="18"/>
        </w:rPr>
      </w:pPr>
    </w:p>
  </w:footnote>
  <w:footnote w:id="10">
    <w:p w14:paraId="628300F8" w14:textId="77777777" w:rsidR="00396F7A" w:rsidRPr="00DA3655" w:rsidRDefault="00396F7A" w:rsidP="00396F7A">
      <w:pPr>
        <w:pStyle w:val="Textonotapie"/>
        <w:ind w:firstLine="708"/>
        <w:jc w:val="both"/>
        <w:rPr>
          <w:rFonts w:ascii="Verdana" w:hAnsi="Verdana" w:cs="Arial"/>
          <w:sz w:val="18"/>
          <w:szCs w:val="18"/>
          <w:lang w:val="es-CO"/>
        </w:rPr>
      </w:pPr>
      <w:r w:rsidRPr="00DA3655">
        <w:rPr>
          <w:rStyle w:val="Refdenotaalpie"/>
          <w:rFonts w:ascii="Verdana" w:hAnsi="Verdana" w:cs="Arial"/>
          <w:sz w:val="18"/>
          <w:szCs w:val="18"/>
        </w:rPr>
        <w:footnoteRef/>
      </w:r>
      <w:r w:rsidRPr="00DA3655">
        <w:rPr>
          <w:rFonts w:ascii="Verdana" w:hAnsi="Verdana" w:cs="Arial"/>
          <w:sz w:val="18"/>
          <w:szCs w:val="18"/>
        </w:rPr>
        <w:t xml:space="preserve"> Sala de consulta y Servicio Civil del </w:t>
      </w:r>
      <w:r w:rsidRPr="00DA3655">
        <w:rPr>
          <w:rFonts w:ascii="Verdana" w:hAnsi="Verdana" w:cs="Arial"/>
          <w:sz w:val="18"/>
          <w:szCs w:val="18"/>
          <w:lang w:val="es-CO"/>
        </w:rPr>
        <w:t>Consejo de Estado, Sentencia del 28 de junio de 2012 con Radicado No. 11001-03-06-000-2012-00016-00(2092), M.P. William Zambrano Cetina.</w:t>
      </w:r>
    </w:p>
    <w:p w14:paraId="56C912C4" w14:textId="77777777" w:rsidR="00396F7A" w:rsidRPr="00DA3655" w:rsidRDefault="00396F7A" w:rsidP="00396F7A">
      <w:pPr>
        <w:pStyle w:val="Textonotapie"/>
        <w:ind w:firstLine="708"/>
        <w:jc w:val="both"/>
        <w:rPr>
          <w:rFonts w:ascii="Verdana" w:hAnsi="Verdana" w:cs="Arial"/>
          <w:sz w:val="18"/>
          <w:szCs w:val="18"/>
          <w:lang w:val="es-CO"/>
        </w:rPr>
      </w:pPr>
    </w:p>
  </w:footnote>
  <w:footnote w:id="11">
    <w:p w14:paraId="7AE1DFE3" w14:textId="77777777" w:rsidR="00396F7A" w:rsidRPr="00DA3655" w:rsidRDefault="00396F7A" w:rsidP="00396F7A">
      <w:pPr>
        <w:pStyle w:val="Textonotapie"/>
        <w:ind w:firstLine="708"/>
        <w:jc w:val="both"/>
        <w:rPr>
          <w:rFonts w:ascii="Verdana" w:eastAsia="Calibri" w:hAnsi="Verdana" w:cs="Arial"/>
          <w:sz w:val="18"/>
          <w:szCs w:val="18"/>
          <w:lang w:val="es-ES"/>
        </w:rPr>
      </w:pPr>
      <w:r w:rsidRPr="00DA3655">
        <w:rPr>
          <w:rStyle w:val="Refdenotaalpie"/>
          <w:rFonts w:ascii="Verdana" w:hAnsi="Verdana"/>
          <w:sz w:val="18"/>
          <w:szCs w:val="18"/>
        </w:rPr>
        <w:footnoteRef/>
      </w:r>
      <w:r w:rsidRPr="00DA3655">
        <w:rPr>
          <w:rFonts w:ascii="Verdana" w:hAnsi="Verdana"/>
          <w:sz w:val="18"/>
          <w:szCs w:val="18"/>
        </w:rPr>
        <w:t xml:space="preserve"> </w:t>
      </w:r>
      <w:r w:rsidRPr="00DA3655">
        <w:rPr>
          <w:rFonts w:ascii="Verdana" w:eastAsia="Calibri" w:hAnsi="Verdana" w:cs="Arial"/>
          <w:sz w:val="18"/>
          <w:szCs w:val="18"/>
          <w:lang w:val="es-ES"/>
        </w:rPr>
        <w:t xml:space="preserve">Este documento se encuentra disponible para su consulta </w:t>
      </w:r>
      <w:hyperlink r:id="rId1" w:history="1">
        <w:r w:rsidRPr="00DA3655">
          <w:rPr>
            <w:rStyle w:val="Hipervnculo"/>
            <w:rFonts w:ascii="Verdana" w:eastAsia="Calibri" w:hAnsi="Verdana" w:cs="Arial"/>
            <w:sz w:val="18"/>
            <w:szCs w:val="18"/>
            <w:lang w:val="es-ES"/>
          </w:rPr>
          <w:t>aquí</w:t>
        </w:r>
      </w:hyperlink>
      <w:r w:rsidRPr="00DA3655">
        <w:rPr>
          <w:rFonts w:ascii="Verdana" w:eastAsia="Calibri" w:hAnsi="Verdana" w:cs="Arial"/>
          <w:sz w:val="18"/>
          <w:szCs w:val="18"/>
          <w:lang w:val="es-ES"/>
        </w:rPr>
        <w:t>.</w:t>
      </w:r>
    </w:p>
    <w:p w14:paraId="4656FCE1" w14:textId="77777777" w:rsidR="00396F7A" w:rsidRPr="00DA3655" w:rsidRDefault="00396F7A" w:rsidP="00396F7A">
      <w:pPr>
        <w:pStyle w:val="Textonotapie"/>
        <w:ind w:firstLine="708"/>
        <w:jc w:val="both"/>
        <w:rPr>
          <w:rFonts w:ascii="Verdana" w:hAnsi="Verdana"/>
          <w:sz w:val="18"/>
          <w:szCs w:val="18"/>
          <w:lang w:val="es-CO"/>
        </w:rPr>
      </w:pPr>
    </w:p>
  </w:footnote>
  <w:footnote w:id="12">
    <w:p w14:paraId="12300F7E" w14:textId="77777777" w:rsidR="00396F7A" w:rsidRPr="00DA3655" w:rsidRDefault="00396F7A" w:rsidP="00396F7A">
      <w:pPr>
        <w:pStyle w:val="Textonotapie"/>
        <w:spacing w:before="120"/>
        <w:ind w:firstLine="709"/>
        <w:jc w:val="both"/>
        <w:rPr>
          <w:rFonts w:ascii="Verdana" w:hAnsi="Verdana" w:cs="Arial"/>
          <w:color w:val="000000"/>
          <w:sz w:val="18"/>
          <w:szCs w:val="18"/>
        </w:rPr>
      </w:pPr>
      <w:r w:rsidRPr="00DA3655">
        <w:rPr>
          <w:rStyle w:val="Refdenotaalpie"/>
          <w:rFonts w:ascii="Verdana" w:hAnsi="Verdana" w:cs="Arial"/>
          <w:color w:val="000000"/>
          <w:sz w:val="18"/>
          <w:szCs w:val="18"/>
        </w:rPr>
        <w:footnoteRef/>
      </w:r>
      <w:r w:rsidRPr="00DA3655">
        <w:rPr>
          <w:rFonts w:ascii="Verdana" w:hAnsi="Verdana" w:cs="Arial"/>
          <w:color w:val="000000"/>
          <w:sz w:val="18"/>
          <w:szCs w:val="18"/>
        </w:rPr>
        <w:t xml:space="preserve"> </w:t>
      </w:r>
      <w:r>
        <w:rPr>
          <w:rFonts w:ascii="Verdana" w:hAnsi="Verdana" w:cs="Arial"/>
          <w:color w:val="000000"/>
          <w:sz w:val="18"/>
          <w:szCs w:val="18"/>
        </w:rPr>
        <w:t>“</w:t>
      </w:r>
      <w:r w:rsidRPr="00DA3655">
        <w:rPr>
          <w:rFonts w:ascii="Verdana" w:hAnsi="Verdana" w:cs="Arial"/>
          <w:color w:val="000000"/>
          <w:sz w:val="18"/>
          <w:szCs w:val="18"/>
        </w:rPr>
        <w:t xml:space="preserve">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58CF20C0" w14:textId="77777777" w:rsidR="00396F7A" w:rsidRPr="00DA3655" w:rsidRDefault="00396F7A" w:rsidP="00396F7A">
      <w:pPr>
        <w:pStyle w:val="Textonotapie"/>
        <w:spacing w:before="120"/>
        <w:ind w:firstLine="709"/>
        <w:jc w:val="both"/>
        <w:rPr>
          <w:rFonts w:ascii="Verdana" w:hAnsi="Verdana" w:cs="Arial"/>
          <w:color w:val="000000"/>
          <w:sz w:val="18"/>
          <w:szCs w:val="18"/>
        </w:rPr>
      </w:pPr>
      <w:r w:rsidRPr="00DA3655">
        <w:rPr>
          <w:rFonts w:ascii="Verdana" w:hAnsi="Verdana" w:cs="Arial"/>
          <w:color w:val="000000"/>
          <w:sz w:val="18"/>
          <w:szCs w:val="18"/>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1D2846A2" w14:textId="77777777" w:rsidR="00396F7A" w:rsidRPr="00DA3655" w:rsidRDefault="00396F7A" w:rsidP="00396F7A">
      <w:pPr>
        <w:pStyle w:val="Textonotapie"/>
        <w:spacing w:before="120"/>
        <w:ind w:firstLine="709"/>
        <w:jc w:val="both"/>
        <w:rPr>
          <w:rFonts w:ascii="Verdana" w:hAnsi="Verdana" w:cs="Arial"/>
          <w:color w:val="000000"/>
          <w:sz w:val="18"/>
          <w:szCs w:val="18"/>
          <w:lang w:val="es-CO"/>
        </w:rPr>
      </w:pPr>
      <w:r w:rsidRPr="00DA3655">
        <w:rPr>
          <w:rFonts w:ascii="Verdana" w:hAnsi="Verdana" w:cs="Arial"/>
          <w:color w:val="000000"/>
          <w:sz w:val="18"/>
          <w:szCs w:val="18"/>
        </w:rPr>
        <w:t>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w:t>
      </w:r>
      <w:r>
        <w:rPr>
          <w:rFonts w:ascii="Verdana" w:hAnsi="Verdana" w:cs="Arial"/>
          <w:color w:val="000000"/>
          <w:sz w:val="18"/>
          <w:szCs w:val="18"/>
        </w:rPr>
        <w:t>”</w:t>
      </w:r>
      <w:r w:rsidRPr="00DA3655">
        <w:rPr>
          <w:rFonts w:ascii="Verdana" w:hAnsi="Verdana" w:cs="Arial"/>
          <w:color w:val="000000"/>
          <w:sz w:val="18"/>
          <w:szCs w:val="18"/>
        </w:rPr>
        <w:t>. (MARÍN CORTÉS, Fabián G. El reglamento como fuente del derecho administrativo. En: Las fuentes del derecho administrativo. Texto inédito. 2010. pp. 200-201).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A895F" w14:textId="77777777" w:rsidR="00396F7A" w:rsidRDefault="00396F7A"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09D8B63" wp14:editId="06F91E19">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E04635A" wp14:editId="2964250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3E4D727" w14:textId="77777777" w:rsidR="00396F7A" w:rsidRDefault="00396F7A">
    <w:pPr>
      <w:pStyle w:val="Encabezado"/>
    </w:pPr>
  </w:p>
  <w:p w14:paraId="0D1EE49D" w14:textId="77777777" w:rsidR="00396F7A" w:rsidRPr="004A305D" w:rsidRDefault="00396F7A" w:rsidP="00B01B1A">
    <w:pPr>
      <w:spacing w:after="0" w:line="120" w:lineRule="auto"/>
      <w:rPr>
        <w:rFonts w:ascii="Century Gothic" w:eastAsia="Geo" w:hAnsi="Century Gothic" w:cs="Geo"/>
        <w:sz w:val="16"/>
        <w:szCs w:val="16"/>
        <w:lang w:eastAsia="es-CO"/>
      </w:rPr>
    </w:pPr>
  </w:p>
  <w:p w14:paraId="75350EA8" w14:textId="77777777" w:rsidR="00396F7A" w:rsidRDefault="00396F7A" w:rsidP="00844AE9">
    <w:pPr>
      <w:spacing w:after="0" w:line="240" w:lineRule="auto"/>
      <w:rPr>
        <w:rFonts w:ascii="Verdana" w:hAnsi="Verdana"/>
        <w:sz w:val="24"/>
        <w:szCs w:val="24"/>
      </w:rPr>
    </w:pPr>
  </w:p>
  <w:p w14:paraId="0F804902" w14:textId="77777777" w:rsidR="00396F7A" w:rsidRPr="00C925AC" w:rsidRDefault="00396F7A" w:rsidP="00844AE9">
    <w:pPr>
      <w:spacing w:after="0" w:line="240" w:lineRule="auto"/>
      <w:rPr>
        <w:rFonts w:ascii="Verdana" w:hAnsi="Verdana"/>
        <w:sz w:val="24"/>
        <w:szCs w:val="24"/>
      </w:rPr>
    </w:pPr>
  </w:p>
  <w:p w14:paraId="477D7C83" w14:textId="77777777" w:rsidR="00396F7A" w:rsidRPr="00C925AC" w:rsidRDefault="00396F7A"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F7A"/>
    <w:rsid w:val="001818D4"/>
    <w:rsid w:val="001D70E8"/>
    <w:rsid w:val="0024769E"/>
    <w:rsid w:val="00396F7A"/>
    <w:rsid w:val="005727E1"/>
    <w:rsid w:val="005818E2"/>
    <w:rsid w:val="008E5C2E"/>
    <w:rsid w:val="008E6BB6"/>
    <w:rsid w:val="00913646"/>
    <w:rsid w:val="00931C81"/>
    <w:rsid w:val="009F4FC4"/>
    <w:rsid w:val="00C153AE"/>
    <w:rsid w:val="00C80E91"/>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C03E2"/>
  <w15:chartTrackingRefBased/>
  <w15:docId w15:val="{75AF87DE-661A-4DB5-ADFD-B34617530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F7A"/>
    <w:rPr>
      <w:kern w:val="0"/>
      <w14:ligatures w14:val="none"/>
    </w:rPr>
  </w:style>
  <w:style w:type="paragraph" w:styleId="Ttulo1">
    <w:name w:val="heading 1"/>
    <w:basedOn w:val="Normal"/>
    <w:next w:val="Normal"/>
    <w:link w:val="Ttulo1Car"/>
    <w:uiPriority w:val="9"/>
    <w:qFormat/>
    <w:rsid w:val="00396F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96F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96F7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96F7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96F7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96F7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96F7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96F7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96F7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96F7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96F7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96F7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96F7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96F7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96F7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96F7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96F7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96F7A"/>
    <w:rPr>
      <w:rFonts w:eastAsiaTheme="majorEastAsia" w:cstheme="majorBidi"/>
      <w:color w:val="272727" w:themeColor="text1" w:themeTint="D8"/>
    </w:rPr>
  </w:style>
  <w:style w:type="paragraph" w:styleId="Ttulo">
    <w:name w:val="Title"/>
    <w:basedOn w:val="Normal"/>
    <w:next w:val="Normal"/>
    <w:link w:val="TtuloCar"/>
    <w:uiPriority w:val="10"/>
    <w:qFormat/>
    <w:rsid w:val="00396F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96F7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96F7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96F7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96F7A"/>
    <w:pPr>
      <w:spacing w:before="160"/>
      <w:jc w:val="center"/>
    </w:pPr>
    <w:rPr>
      <w:i/>
      <w:iCs/>
      <w:color w:val="404040" w:themeColor="text1" w:themeTint="BF"/>
    </w:rPr>
  </w:style>
  <w:style w:type="character" w:customStyle="1" w:styleId="CitaCar">
    <w:name w:val="Cita Car"/>
    <w:basedOn w:val="Fuentedeprrafopredeter"/>
    <w:link w:val="Cita"/>
    <w:uiPriority w:val="29"/>
    <w:rsid w:val="00396F7A"/>
    <w:rPr>
      <w:i/>
      <w:iCs/>
      <w:color w:val="404040" w:themeColor="text1" w:themeTint="BF"/>
    </w:rPr>
  </w:style>
  <w:style w:type="paragraph" w:styleId="Prrafodelista">
    <w:name w:val="List Paragraph"/>
    <w:basedOn w:val="Normal"/>
    <w:uiPriority w:val="34"/>
    <w:qFormat/>
    <w:rsid w:val="00396F7A"/>
    <w:pPr>
      <w:ind w:left="720"/>
      <w:contextualSpacing/>
    </w:pPr>
  </w:style>
  <w:style w:type="character" w:styleId="nfasisintenso">
    <w:name w:val="Intense Emphasis"/>
    <w:basedOn w:val="Fuentedeprrafopredeter"/>
    <w:uiPriority w:val="21"/>
    <w:qFormat/>
    <w:rsid w:val="00396F7A"/>
    <w:rPr>
      <w:i/>
      <w:iCs/>
      <w:color w:val="0F4761" w:themeColor="accent1" w:themeShade="BF"/>
    </w:rPr>
  </w:style>
  <w:style w:type="paragraph" w:styleId="Citadestacada">
    <w:name w:val="Intense Quote"/>
    <w:basedOn w:val="Normal"/>
    <w:next w:val="Normal"/>
    <w:link w:val="CitadestacadaCar"/>
    <w:uiPriority w:val="30"/>
    <w:qFormat/>
    <w:rsid w:val="00396F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96F7A"/>
    <w:rPr>
      <w:i/>
      <w:iCs/>
      <w:color w:val="0F4761" w:themeColor="accent1" w:themeShade="BF"/>
    </w:rPr>
  </w:style>
  <w:style w:type="character" w:styleId="Referenciaintensa">
    <w:name w:val="Intense Reference"/>
    <w:basedOn w:val="Fuentedeprrafopredeter"/>
    <w:uiPriority w:val="32"/>
    <w:qFormat/>
    <w:rsid w:val="00396F7A"/>
    <w:rPr>
      <w:b/>
      <w:bCs/>
      <w:smallCaps/>
      <w:color w:val="0F4761" w:themeColor="accent1" w:themeShade="BF"/>
      <w:spacing w:val="5"/>
    </w:rPr>
  </w:style>
  <w:style w:type="paragraph" w:styleId="Encabezado">
    <w:name w:val="header"/>
    <w:basedOn w:val="Normal"/>
    <w:link w:val="EncabezadoCar"/>
    <w:uiPriority w:val="99"/>
    <w:unhideWhenUsed/>
    <w:rsid w:val="00396F7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96F7A"/>
    <w:rPr>
      <w:kern w:val="0"/>
      <w14:ligatures w14:val="none"/>
    </w:rPr>
  </w:style>
  <w:style w:type="paragraph" w:styleId="Piedepgina">
    <w:name w:val="footer"/>
    <w:basedOn w:val="Normal"/>
    <w:link w:val="PiedepginaCar"/>
    <w:uiPriority w:val="99"/>
    <w:unhideWhenUsed/>
    <w:rsid w:val="00396F7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96F7A"/>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96F7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396F7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96F7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396F7A"/>
    <w:rPr>
      <w:vertAlign w:val="superscript"/>
    </w:rPr>
  </w:style>
  <w:style w:type="table" w:styleId="Tablaconcuadrcula">
    <w:name w:val="Table Grid"/>
    <w:basedOn w:val="Tablanormal"/>
    <w:uiPriority w:val="39"/>
    <w:qFormat/>
    <w:rsid w:val="00396F7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96F7A"/>
    <w:rPr>
      <w:color w:val="0000FF"/>
      <w:u w:val="single"/>
    </w:rPr>
  </w:style>
  <w:style w:type="paragraph" w:customStyle="1" w:styleId="Appelnotedebasde">
    <w:name w:val="Appel note de bas de..."/>
    <w:basedOn w:val="Normal"/>
    <w:link w:val="Refdenotaalpie"/>
    <w:rsid w:val="00396F7A"/>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396F7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uentasplataformascolombi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5/09/Guia-para-la-gestion-contractual-de-Entidades-Estatales-con-Regimen-Especial-VF-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971D72-BB83-41E0-8B72-AC9C82E8B422}">
  <ds:schemaRefs>
    <ds:schemaRef ds:uri="http://schemas.microsoft.com/sharepoint/v3/contenttype/forms"/>
  </ds:schemaRefs>
</ds:datastoreItem>
</file>

<file path=customXml/itemProps2.xml><?xml version="1.0" encoding="utf-8"?>
<ds:datastoreItem xmlns:ds="http://schemas.openxmlformats.org/officeDocument/2006/customXml" ds:itemID="{007ACF06-B9A6-4E43-86C5-A6B93329A2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BB6BDD-C151-4E8A-B793-143D326B693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5444</Words>
  <Characters>29946</Characters>
  <Application>Microsoft Office Word</Application>
  <DocSecurity>0</DocSecurity>
  <Lines>249</Lines>
  <Paragraphs>70</Paragraphs>
  <ScaleCrop>false</ScaleCrop>
  <Company/>
  <LinksUpToDate>false</LinksUpToDate>
  <CharactersWithSpaces>35320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Betty Elena Díaz Fernandez</cp:lastModifiedBy>
  <cp:revision>3</cp:revision>
  <dcterms:created xsi:type="dcterms:W3CDTF">2026-03-20T13:10:00Z</dcterms:created>
  <dcterms:modified xsi:type="dcterms:W3CDTF">2026-03-20T23:04:00Z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