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0973A" w14:textId="77777777" w:rsidR="006B17A7" w:rsidRPr="006B17A7" w:rsidRDefault="006B17A7" w:rsidP="006B17A7">
      <w:pPr>
        <w:spacing w:after="0" w:line="240" w:lineRule="auto"/>
        <w:jc w:val="both"/>
        <w:rPr>
          <w:rFonts w:ascii="Verdana" w:eastAsia="Calibri" w:hAnsi="Verdana" w:cs="Arial"/>
          <w:b/>
          <w:bCs/>
          <w:kern w:val="0"/>
          <w:sz w:val="22"/>
          <w:szCs w:val="22"/>
          <w:lang w:val="es-ES_tradnl" w:eastAsia="es-ES_tradnl"/>
          <w14:ligatures w14:val="none"/>
        </w:rPr>
      </w:pPr>
      <w:bookmarkStart w:id="0" w:name="_Hlk143780582"/>
      <w:r w:rsidRPr="006B17A7">
        <w:rPr>
          <w:rFonts w:ascii="Verdana" w:eastAsia="Calibri" w:hAnsi="Verdana" w:cs="Arial"/>
          <w:b/>
          <w:bCs/>
          <w:kern w:val="0"/>
          <w:sz w:val="22"/>
          <w:szCs w:val="22"/>
          <w:lang w:val="es-ES_tradnl" w:eastAsia="es-ES_tradnl"/>
          <w14:ligatures w14:val="none"/>
        </w:rPr>
        <w:t>LIQUIDACIÓN DE LOS CONTRATOS ESTATALES – Noción – Objetivo – Acta de liquidación</w:t>
      </w:r>
    </w:p>
    <w:p w14:paraId="7A066023" w14:textId="77777777" w:rsidR="006B17A7" w:rsidRPr="006B17A7" w:rsidRDefault="006B17A7" w:rsidP="006B17A7">
      <w:pPr>
        <w:spacing w:after="0" w:line="240" w:lineRule="auto"/>
        <w:jc w:val="both"/>
        <w:rPr>
          <w:rFonts w:ascii="Verdana" w:eastAsia="Calibri" w:hAnsi="Verdana" w:cs="Arial"/>
          <w:b/>
          <w:bCs/>
          <w:kern w:val="0"/>
          <w:sz w:val="20"/>
          <w:szCs w:val="20"/>
          <w:lang w:val="es-ES_tradnl" w:eastAsia="es-ES_tradnl"/>
          <w14:ligatures w14:val="none"/>
        </w:rPr>
      </w:pPr>
    </w:p>
    <w:p w14:paraId="61A31746" w14:textId="77777777" w:rsidR="006B17A7" w:rsidRPr="006B17A7" w:rsidRDefault="006B17A7" w:rsidP="006B17A7">
      <w:pPr>
        <w:spacing w:after="0" w:line="240" w:lineRule="auto"/>
        <w:jc w:val="both"/>
        <w:rPr>
          <w:rFonts w:ascii="Verdana" w:eastAsia="Aptos" w:hAnsi="Verdana" w:cs="Times New Roman"/>
          <w:kern w:val="0"/>
          <w:sz w:val="20"/>
          <w:szCs w:val="20"/>
          <w14:ligatures w14:val="none"/>
        </w:rPr>
      </w:pPr>
      <w:r w:rsidRPr="006B17A7">
        <w:rPr>
          <w:rFonts w:ascii="Verdana" w:eastAsia="Aptos" w:hAnsi="Verdana" w:cs="Times New Roman"/>
          <w:kern w:val="0"/>
          <w:sz w:val="20"/>
          <w:szCs w:val="20"/>
          <w14:ligatures w14:val="none"/>
        </w:rPr>
        <w:t xml:space="preserve">[…] la liquidación es el momento en el cual, una vez concluido el contrato estatal, las partes cruzan cuentas respecto de sus obligaciones. Por tanto, su objetiva, es determinar si pueden declararse a paz y salvo mutuo o si, por el contrario, existen aún obligaciones por cumplir, para acordar la forma en que deben ser finalizadas. […] </w:t>
      </w:r>
    </w:p>
    <w:p w14:paraId="48C0BC4F" w14:textId="77777777" w:rsidR="006B17A7" w:rsidRPr="006B17A7" w:rsidRDefault="006B17A7" w:rsidP="006B17A7">
      <w:pPr>
        <w:spacing w:after="0" w:line="240" w:lineRule="auto"/>
        <w:jc w:val="both"/>
        <w:rPr>
          <w:rFonts w:ascii="Verdana" w:eastAsia="Aptos" w:hAnsi="Verdana" w:cs="Times New Roman"/>
          <w:kern w:val="0"/>
          <w:sz w:val="20"/>
          <w:szCs w:val="20"/>
          <w14:ligatures w14:val="none"/>
        </w:rPr>
      </w:pPr>
      <w:r w:rsidRPr="006B17A7">
        <w:rPr>
          <w:rFonts w:ascii="Verdana" w:eastAsia="Aptos" w:hAnsi="Verdana" w:cs="Times New Roman"/>
          <w:kern w:val="0"/>
          <w:sz w:val="20"/>
          <w:szCs w:val="20"/>
          <w14:ligatures w14:val="none"/>
        </w:rPr>
        <w:t>[…]</w:t>
      </w:r>
    </w:p>
    <w:p w14:paraId="25050169" w14:textId="3AF152EE" w:rsidR="006B17A7" w:rsidRPr="006B17A7" w:rsidRDefault="006B17A7" w:rsidP="006B17A7">
      <w:pPr>
        <w:spacing w:after="0" w:line="240" w:lineRule="auto"/>
        <w:jc w:val="both"/>
        <w:rPr>
          <w:rFonts w:ascii="Verdana" w:eastAsia="Aptos" w:hAnsi="Verdana" w:cs="Times New Roman"/>
          <w:kern w:val="0"/>
          <w:sz w:val="20"/>
          <w:szCs w:val="20"/>
          <w14:ligatures w14:val="none"/>
        </w:rPr>
      </w:pPr>
      <w:r w:rsidRPr="006B17A7">
        <w:rPr>
          <w:rFonts w:ascii="Verdana" w:eastAsia="Aptos" w:hAnsi="Verdana" w:cs="Times New Roman"/>
          <w:kern w:val="0"/>
          <w:sz w:val="20"/>
          <w:szCs w:val="20"/>
          <w14:ligatures w14:val="none"/>
        </w:rPr>
        <w:t>[…]Según la jurisprudencia, la liquidación es el ajuste de cuentas donde las partes hacen un balance económico, técnico y jurídico del cumplimiento de las obligaciones que tienen a su cargo. […]</w:t>
      </w:r>
    </w:p>
    <w:p w14:paraId="4C13E366" w14:textId="77777777" w:rsidR="006B17A7" w:rsidRPr="006B17A7" w:rsidRDefault="006B17A7" w:rsidP="006B17A7">
      <w:pPr>
        <w:spacing w:after="0" w:line="240" w:lineRule="auto"/>
        <w:jc w:val="both"/>
        <w:rPr>
          <w:rFonts w:ascii="Verdana" w:eastAsia="Aptos" w:hAnsi="Verdana" w:cs="Times New Roman"/>
          <w:kern w:val="0"/>
          <w:sz w:val="20"/>
          <w:szCs w:val="20"/>
          <w14:ligatures w14:val="none"/>
        </w:rPr>
      </w:pPr>
      <w:r w:rsidRPr="006B17A7">
        <w:rPr>
          <w:rFonts w:ascii="Verdana" w:eastAsia="Aptos" w:hAnsi="Verdana" w:cs="Times New Roman"/>
          <w:kern w:val="0"/>
          <w:sz w:val="20"/>
          <w:szCs w:val="20"/>
          <w14:ligatures w14:val="none"/>
        </w:rPr>
        <w:t>[…]</w:t>
      </w:r>
    </w:p>
    <w:p w14:paraId="32079A1F" w14:textId="77777777" w:rsidR="006B17A7" w:rsidRPr="006B17A7" w:rsidRDefault="006B17A7" w:rsidP="006B17A7">
      <w:pPr>
        <w:spacing w:after="0" w:line="240" w:lineRule="auto"/>
        <w:jc w:val="both"/>
        <w:rPr>
          <w:rFonts w:ascii="Verdana" w:eastAsia="Aptos" w:hAnsi="Verdana" w:cs="Times New Roman"/>
          <w:kern w:val="0"/>
          <w:sz w:val="20"/>
          <w:szCs w:val="20"/>
          <w14:ligatures w14:val="none"/>
        </w:rPr>
      </w:pPr>
      <w:r w:rsidRPr="006B17A7">
        <w:rPr>
          <w:rFonts w:ascii="Verdana" w:eastAsia="Aptos" w:hAnsi="Verdana" w:cs="Times New Roman"/>
          <w:kern w:val="0"/>
          <w:sz w:val="20"/>
          <w:szCs w:val="20"/>
          <w14:ligatures w14:val="none"/>
        </w:rPr>
        <w:t>[…]el artículo 60 de la Ley 80 de 1993 dispone que en la etapa de liquidación del contrato estatal las partes acordarán los ajustes, revisiones y reconocimientos a que haya lugar. Por lo que, la misma norma, señala que será en el acta de liquidación el documento donde “constarán los acuerdos, conciliaciones y transacciones a que llegaren las partes para poner fin a las divergencias presentadas y poder declarase a paz y salvo”.</w:t>
      </w:r>
    </w:p>
    <w:p w14:paraId="68B05779" w14:textId="77777777" w:rsidR="006B17A7" w:rsidRPr="006B17A7" w:rsidRDefault="006B17A7" w:rsidP="006B17A7">
      <w:pPr>
        <w:spacing w:after="0" w:line="240" w:lineRule="auto"/>
        <w:jc w:val="both"/>
        <w:rPr>
          <w:rFonts w:ascii="Verdana" w:eastAsia="Calibri" w:hAnsi="Verdana" w:cs="Arial"/>
          <w:b/>
          <w:color w:val="000000"/>
          <w:kern w:val="0"/>
          <w:sz w:val="22"/>
          <w:szCs w:val="22"/>
          <w:lang w:val="es-ES"/>
          <w14:ligatures w14:val="none"/>
        </w:rPr>
      </w:pPr>
    </w:p>
    <w:p w14:paraId="5018B059" w14:textId="77777777" w:rsidR="006B17A7" w:rsidRPr="006B17A7" w:rsidRDefault="006B17A7" w:rsidP="006B17A7">
      <w:pPr>
        <w:spacing w:after="0" w:line="240" w:lineRule="auto"/>
        <w:jc w:val="both"/>
        <w:rPr>
          <w:rFonts w:ascii="Verdana" w:eastAsia="Calibri" w:hAnsi="Verdana" w:cs="Arial"/>
          <w:b/>
          <w:color w:val="000000"/>
          <w:kern w:val="0"/>
          <w:sz w:val="22"/>
          <w:szCs w:val="22"/>
          <w:lang w:val="es-ES"/>
          <w14:ligatures w14:val="none"/>
        </w:rPr>
      </w:pPr>
      <w:r w:rsidRPr="006B17A7">
        <w:rPr>
          <w:rFonts w:ascii="Verdana" w:eastAsia="Calibri" w:hAnsi="Verdana" w:cs="Arial"/>
          <w:b/>
          <w:color w:val="000000"/>
          <w:kern w:val="0"/>
          <w:sz w:val="22"/>
          <w:szCs w:val="22"/>
          <w:lang w:val="es-ES"/>
          <w14:ligatures w14:val="none"/>
        </w:rPr>
        <w:t>LIQUIDACIÓN DEL CONTRATO – Tipos – Términos para adelantarlo – Consecuencias pérdida de oportunidad</w:t>
      </w:r>
    </w:p>
    <w:p w14:paraId="5E3215AE" w14:textId="77777777" w:rsidR="006B17A7" w:rsidRPr="006B17A7" w:rsidRDefault="006B17A7" w:rsidP="006B17A7">
      <w:pPr>
        <w:spacing w:after="0" w:line="240" w:lineRule="auto"/>
        <w:jc w:val="both"/>
        <w:rPr>
          <w:rFonts w:ascii="Verdana" w:eastAsia="Calibri" w:hAnsi="Verdana" w:cs="Arial"/>
          <w:b/>
          <w:color w:val="000000"/>
          <w:kern w:val="0"/>
          <w:sz w:val="22"/>
          <w:szCs w:val="22"/>
          <w:highlight w:val="yellow"/>
          <w:lang w:val="es-ES"/>
          <w14:ligatures w14:val="none"/>
        </w:rPr>
      </w:pPr>
    </w:p>
    <w:p w14:paraId="42769BC3" w14:textId="77777777" w:rsidR="006B17A7" w:rsidRPr="006B17A7" w:rsidRDefault="006B17A7" w:rsidP="006B17A7">
      <w:pPr>
        <w:spacing w:after="0" w:line="259" w:lineRule="auto"/>
        <w:jc w:val="both"/>
        <w:rPr>
          <w:rFonts w:ascii="Verdana" w:eastAsia="Calibri" w:hAnsi="Verdana" w:cs="Arial"/>
          <w:bCs/>
          <w:color w:val="000000"/>
          <w:kern w:val="0"/>
          <w:sz w:val="18"/>
          <w:szCs w:val="18"/>
          <w:lang w:val="es-ES"/>
          <w14:ligatures w14:val="none"/>
        </w:rPr>
      </w:pPr>
      <w:r w:rsidRPr="006B17A7">
        <w:rPr>
          <w:rFonts w:ascii="Verdana" w:eastAsia="Calibri" w:hAnsi="Verdana" w:cs="Arial"/>
          <w:bCs/>
          <w:color w:val="000000"/>
          <w:kern w:val="0"/>
          <w:sz w:val="18"/>
          <w:szCs w:val="18"/>
          <w:lang w:val="es-ES"/>
          <w14:ligatures w14:val="none"/>
        </w:rPr>
        <w:t xml:space="preserve">[…] de acuerdo con el artículo 11 de la Ley 1150 de 2007, existen tres (3) tipos de liquidación: i) bilateral, </w:t>
      </w:r>
      <w:proofErr w:type="spellStart"/>
      <w:r w:rsidRPr="006B17A7">
        <w:rPr>
          <w:rFonts w:ascii="Verdana" w:eastAsia="Calibri" w:hAnsi="Verdana" w:cs="Arial"/>
          <w:bCs/>
          <w:color w:val="000000"/>
          <w:kern w:val="0"/>
          <w:sz w:val="18"/>
          <w:szCs w:val="18"/>
          <w:lang w:val="es-ES"/>
          <w14:ligatures w14:val="none"/>
        </w:rPr>
        <w:t>ii</w:t>
      </w:r>
      <w:proofErr w:type="spellEnd"/>
      <w:r w:rsidRPr="006B17A7">
        <w:rPr>
          <w:rFonts w:ascii="Verdana" w:eastAsia="Calibri" w:hAnsi="Verdana" w:cs="Arial"/>
          <w:bCs/>
          <w:color w:val="000000"/>
          <w:kern w:val="0"/>
          <w:sz w:val="18"/>
          <w:szCs w:val="18"/>
          <w:lang w:val="es-ES"/>
          <w14:ligatures w14:val="none"/>
        </w:rPr>
        <w:t xml:space="preserve">) unilateral y </w:t>
      </w:r>
      <w:proofErr w:type="spellStart"/>
      <w:r w:rsidRPr="006B17A7">
        <w:rPr>
          <w:rFonts w:ascii="Verdana" w:eastAsia="Calibri" w:hAnsi="Verdana" w:cs="Arial"/>
          <w:bCs/>
          <w:color w:val="000000"/>
          <w:kern w:val="0"/>
          <w:sz w:val="18"/>
          <w:szCs w:val="18"/>
          <w:lang w:val="es-ES"/>
          <w14:ligatures w14:val="none"/>
        </w:rPr>
        <w:t>iii</w:t>
      </w:r>
      <w:proofErr w:type="spellEnd"/>
      <w:r w:rsidRPr="006B17A7">
        <w:rPr>
          <w:rFonts w:ascii="Verdana" w:eastAsia="Calibri" w:hAnsi="Verdana" w:cs="Arial"/>
          <w:bCs/>
          <w:color w:val="000000"/>
          <w:kern w:val="0"/>
          <w:sz w:val="18"/>
          <w:szCs w:val="18"/>
          <w:lang w:val="es-ES"/>
          <w14:ligatures w14:val="none"/>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5B4262BA" w14:textId="77777777" w:rsidR="006B17A7" w:rsidRPr="006B17A7" w:rsidRDefault="006B17A7" w:rsidP="006B17A7">
      <w:pPr>
        <w:spacing w:after="0" w:line="259" w:lineRule="auto"/>
        <w:jc w:val="both"/>
        <w:rPr>
          <w:rFonts w:ascii="Verdana" w:eastAsia="Calibri" w:hAnsi="Verdana" w:cs="Arial"/>
          <w:bCs/>
          <w:color w:val="000000"/>
          <w:kern w:val="0"/>
          <w:sz w:val="18"/>
          <w:szCs w:val="18"/>
          <w:lang w:val="es-ES"/>
          <w14:ligatures w14:val="none"/>
        </w:rPr>
      </w:pPr>
    </w:p>
    <w:p w14:paraId="1CD26013" w14:textId="77777777" w:rsidR="006B17A7" w:rsidRPr="006B17A7" w:rsidRDefault="006B17A7" w:rsidP="006B17A7">
      <w:pPr>
        <w:spacing w:after="0" w:line="259" w:lineRule="auto"/>
        <w:jc w:val="both"/>
        <w:rPr>
          <w:rFonts w:ascii="Verdana" w:eastAsia="Aptos" w:hAnsi="Verdana" w:cs="Times New Roman"/>
          <w:kern w:val="0"/>
          <w:sz w:val="20"/>
          <w:szCs w:val="20"/>
          <w14:ligatures w14:val="none"/>
        </w:rPr>
      </w:pPr>
      <w:r w:rsidRPr="006B17A7">
        <w:rPr>
          <w:rFonts w:ascii="Verdana" w:eastAsia="Calibri" w:hAnsi="Verdana" w:cs="Arial"/>
          <w:bCs/>
          <w:color w:val="000000"/>
          <w:kern w:val="0"/>
          <w:sz w:val="18"/>
          <w:szCs w:val="18"/>
          <w:lang w:val="es-ES"/>
          <w14:ligatures w14:val="none"/>
        </w:rPr>
        <w:t xml:space="preserve">[…] </w:t>
      </w:r>
      <w:r w:rsidRPr="006B17A7">
        <w:rPr>
          <w:rFonts w:ascii="Verdana" w:eastAsia="Aptos" w:hAnsi="Verdana" w:cs="Times New Roman"/>
          <w:kern w:val="0"/>
          <w:sz w:val="20"/>
          <w:szCs w:val="20"/>
          <w14:ligatures w14:val="none"/>
        </w:rPr>
        <w:t>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w:t>
      </w:r>
    </w:p>
    <w:p w14:paraId="4DBC7EF6" w14:textId="77777777" w:rsidR="006B17A7" w:rsidRDefault="006B17A7" w:rsidP="006B17A7">
      <w:pPr>
        <w:spacing w:after="0" w:line="240" w:lineRule="auto"/>
        <w:rPr>
          <w:rFonts w:ascii="Verdana" w:eastAsia="Aptos" w:hAnsi="Verdana" w:cs="Times New Roman"/>
          <w:kern w:val="0"/>
          <w:sz w:val="20"/>
          <w:szCs w:val="20"/>
          <w14:ligatures w14:val="none"/>
        </w:rPr>
      </w:pPr>
    </w:p>
    <w:p w14:paraId="5780DC87" w14:textId="77777777" w:rsidR="00A772A4" w:rsidRDefault="00A772A4" w:rsidP="006B17A7">
      <w:pPr>
        <w:spacing w:after="0" w:line="240" w:lineRule="auto"/>
        <w:rPr>
          <w:rFonts w:ascii="Verdana" w:eastAsia="Aptos" w:hAnsi="Verdana" w:cs="Times New Roman"/>
          <w:kern w:val="0"/>
          <w:sz w:val="20"/>
          <w:szCs w:val="20"/>
          <w14:ligatures w14:val="none"/>
        </w:rPr>
      </w:pPr>
    </w:p>
    <w:p w14:paraId="5A84471B" w14:textId="77777777" w:rsidR="00A772A4" w:rsidRPr="006B17A7" w:rsidRDefault="00A772A4" w:rsidP="006B17A7">
      <w:pPr>
        <w:spacing w:after="0" w:line="240" w:lineRule="auto"/>
        <w:rPr>
          <w:rFonts w:ascii="Verdana" w:eastAsia="Aptos" w:hAnsi="Verdana" w:cs="Times New Roman"/>
          <w:kern w:val="0"/>
          <w:sz w:val="20"/>
          <w:szCs w:val="20"/>
          <w14:ligatures w14:val="none"/>
        </w:rPr>
      </w:pPr>
    </w:p>
    <w:p w14:paraId="535F76D6" w14:textId="0CA018E7" w:rsidR="006B17A7" w:rsidRPr="006B17A7" w:rsidRDefault="006B17A7" w:rsidP="006B17A7">
      <w:pPr>
        <w:spacing w:after="0" w:line="240" w:lineRule="auto"/>
        <w:rPr>
          <w:rFonts w:ascii="Verdana" w:eastAsia="Geomanist Light" w:hAnsi="Verdana" w:cs="Arial"/>
          <w:kern w:val="0"/>
          <w:sz w:val="22"/>
          <w:szCs w:val="22"/>
          <w:lang w:val="es-MX"/>
          <w14:ligatures w14:val="none"/>
        </w:rPr>
      </w:pPr>
      <w:r w:rsidRPr="006B17A7">
        <w:rPr>
          <w:rFonts w:ascii="Verdana" w:eastAsia="Geomanist Light" w:hAnsi="Verdana" w:cs="Arial"/>
          <w:kern w:val="0"/>
          <w:sz w:val="22"/>
          <w:szCs w:val="22"/>
          <w:lang w:val="es-MX"/>
          <w14:ligatures w14:val="none"/>
        </w:rPr>
        <w:lastRenderedPageBreak/>
        <w:t>Bogotá D.C.,</w:t>
      </w:r>
      <w:r w:rsidR="0073088B">
        <w:rPr>
          <w:rFonts w:ascii="Verdana" w:eastAsia="Geomanist Light" w:hAnsi="Verdana" w:cs="Arial"/>
          <w:kern w:val="0"/>
          <w:sz w:val="22"/>
          <w:szCs w:val="22"/>
          <w:lang w:val="es-MX"/>
          <w14:ligatures w14:val="none"/>
        </w:rPr>
        <w:t xml:space="preserve"> 24 de marzo de 2026</w:t>
      </w:r>
    </w:p>
    <w:p w14:paraId="105ED6EC" w14:textId="77777777" w:rsidR="006B17A7" w:rsidRPr="006B17A7" w:rsidRDefault="006B17A7" w:rsidP="006B17A7">
      <w:pPr>
        <w:spacing w:after="0" w:line="240" w:lineRule="auto"/>
        <w:jc w:val="both"/>
        <w:rPr>
          <w:rFonts w:ascii="Verdana" w:eastAsia="Calibri" w:hAnsi="Verdana" w:cs="Arial"/>
          <w:kern w:val="0"/>
          <w:sz w:val="22"/>
          <w:szCs w:val="22"/>
          <w:lang w:val="es-ES"/>
          <w14:ligatures w14:val="none"/>
        </w:rPr>
      </w:pPr>
    </w:p>
    <w:p w14:paraId="2167D3C8" w14:textId="5DB8A06F" w:rsidR="006B17A7" w:rsidRPr="006B17A7" w:rsidRDefault="00F32D73" w:rsidP="006B17A7">
      <w:pPr>
        <w:spacing w:after="0" w:line="240" w:lineRule="auto"/>
        <w:jc w:val="right"/>
        <w:rPr>
          <w:rFonts w:ascii="Verdana" w:eastAsia="Calibri" w:hAnsi="Verdana" w:cs="Arial"/>
          <w:kern w:val="0"/>
          <w:sz w:val="22"/>
          <w:szCs w:val="22"/>
          <w:lang w:val="es-ES"/>
          <w14:ligatures w14:val="none"/>
        </w:rPr>
      </w:pPr>
      <w:r w:rsidRPr="00F32D73">
        <w:rPr>
          <w:rFonts w:ascii="Verdana" w:eastAsia="Calibri" w:hAnsi="Verdana" w:cs="Arial"/>
          <w:kern w:val="0"/>
          <w:sz w:val="22"/>
          <w:szCs w:val="22"/>
          <w:lang w:val="es-ES"/>
          <w14:ligatures w14:val="none"/>
        </w:rPr>
        <w:drawing>
          <wp:inline distT="0" distB="0" distL="0" distR="0" wp14:anchorId="0EEF9F77" wp14:editId="19C5433E">
            <wp:extent cx="2686425" cy="733527"/>
            <wp:effectExtent l="0" t="0" r="0" b="9525"/>
            <wp:docPr id="3060656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065689" name=""/>
                    <pic:cNvPicPr/>
                  </pic:nvPicPr>
                  <pic:blipFill>
                    <a:blip r:embed="rId10"/>
                    <a:stretch>
                      <a:fillRect/>
                    </a:stretch>
                  </pic:blipFill>
                  <pic:spPr>
                    <a:xfrm>
                      <a:off x="0" y="0"/>
                      <a:ext cx="2686425" cy="733527"/>
                    </a:xfrm>
                    <a:prstGeom prst="rect">
                      <a:avLst/>
                    </a:prstGeom>
                  </pic:spPr>
                </pic:pic>
              </a:graphicData>
            </a:graphic>
          </wp:inline>
        </w:drawing>
      </w:r>
    </w:p>
    <w:p w14:paraId="27347467" w14:textId="77777777" w:rsidR="006B17A7" w:rsidRPr="006B17A7" w:rsidRDefault="006B17A7" w:rsidP="006B17A7">
      <w:pPr>
        <w:spacing w:after="0" w:line="240" w:lineRule="auto"/>
        <w:jc w:val="both"/>
        <w:rPr>
          <w:rFonts w:ascii="Verdana" w:eastAsia="Calibri" w:hAnsi="Verdana" w:cs="Arial"/>
          <w:kern w:val="0"/>
          <w:sz w:val="22"/>
          <w:szCs w:val="22"/>
          <w:lang w:val="es-ES"/>
          <w14:ligatures w14:val="none"/>
        </w:rPr>
      </w:pPr>
    </w:p>
    <w:p w14:paraId="2262579B" w14:textId="77777777" w:rsidR="006B17A7" w:rsidRPr="006B17A7" w:rsidRDefault="006B17A7" w:rsidP="006B17A7">
      <w:pPr>
        <w:spacing w:after="0" w:line="240" w:lineRule="auto"/>
        <w:jc w:val="both"/>
        <w:rPr>
          <w:rFonts w:ascii="Verdana" w:eastAsia="Calibri" w:hAnsi="Verdana" w:cs="Arial"/>
          <w:kern w:val="0"/>
          <w:sz w:val="22"/>
          <w:szCs w:val="22"/>
          <w:lang w:val="es-ES" w:eastAsia="es-ES"/>
          <w14:ligatures w14:val="none"/>
        </w:rPr>
      </w:pPr>
      <w:r w:rsidRPr="006B17A7">
        <w:rPr>
          <w:rFonts w:ascii="Verdana" w:eastAsia="Calibri" w:hAnsi="Verdana" w:cs="Arial"/>
          <w:kern w:val="0"/>
          <w:sz w:val="22"/>
          <w:szCs w:val="22"/>
          <w:lang w:val="es-ES" w:eastAsia="es-ES"/>
          <w14:ligatures w14:val="none"/>
        </w:rPr>
        <w:t>Señor</w:t>
      </w:r>
    </w:p>
    <w:p w14:paraId="31C79406" w14:textId="77777777" w:rsidR="006B17A7" w:rsidRPr="006B17A7" w:rsidRDefault="006B17A7" w:rsidP="006B17A7">
      <w:pPr>
        <w:spacing w:after="0" w:line="240" w:lineRule="auto"/>
        <w:rPr>
          <w:rFonts w:ascii="Verdana" w:eastAsia="Calibri" w:hAnsi="Verdana" w:cs="Arial"/>
          <w:b/>
          <w:bCs/>
          <w:kern w:val="0"/>
          <w:sz w:val="22"/>
          <w:szCs w:val="22"/>
          <w:lang w:val="es-ES" w:eastAsia="es-ES"/>
          <w14:ligatures w14:val="none"/>
        </w:rPr>
      </w:pPr>
      <w:r w:rsidRPr="006B17A7">
        <w:rPr>
          <w:rFonts w:ascii="Verdana" w:eastAsia="Calibri" w:hAnsi="Verdana" w:cs="Arial"/>
          <w:b/>
          <w:bCs/>
          <w:kern w:val="0"/>
          <w:sz w:val="22"/>
          <w:szCs w:val="22"/>
          <w:lang w:val="es-ES" w:eastAsia="es-ES"/>
          <w14:ligatures w14:val="none"/>
        </w:rPr>
        <w:t>Andrés Jota Gil Echeveri</w:t>
      </w:r>
    </w:p>
    <w:p w14:paraId="5086854B" w14:textId="77777777" w:rsidR="006B17A7" w:rsidRPr="006B17A7" w:rsidRDefault="006B17A7" w:rsidP="006B17A7">
      <w:pPr>
        <w:spacing w:after="0" w:line="240" w:lineRule="auto"/>
        <w:rPr>
          <w:rFonts w:ascii="Verdana" w:eastAsia="Aptos" w:hAnsi="Verdana" w:cs="Times New Roman"/>
          <w:kern w:val="0"/>
          <w:sz w:val="22"/>
          <w:szCs w:val="22"/>
          <w14:ligatures w14:val="none"/>
        </w:rPr>
      </w:pPr>
      <w:hyperlink r:id="rId11" w:history="1">
        <w:r w:rsidRPr="006B17A7">
          <w:rPr>
            <w:rFonts w:ascii="Verdana" w:eastAsia="Aptos" w:hAnsi="Verdana" w:cs="Times New Roman"/>
            <w:color w:val="467886"/>
            <w:kern w:val="0"/>
            <w:sz w:val="22"/>
            <w:szCs w:val="22"/>
            <w:u w:val="single"/>
            <w14:ligatures w14:val="none"/>
          </w:rPr>
          <w:t>josedavaldez@gmail.com</w:t>
        </w:r>
      </w:hyperlink>
      <w:r w:rsidRPr="006B17A7">
        <w:rPr>
          <w:rFonts w:ascii="Verdana" w:eastAsia="Aptos" w:hAnsi="Verdana" w:cs="Times New Roman"/>
          <w:kern w:val="0"/>
          <w:sz w:val="22"/>
          <w:szCs w:val="22"/>
          <w14:ligatures w14:val="none"/>
        </w:rPr>
        <w:t xml:space="preserve"> </w:t>
      </w:r>
    </w:p>
    <w:p w14:paraId="53B4634A" w14:textId="77777777" w:rsidR="006B17A7" w:rsidRPr="006B17A7" w:rsidRDefault="006B17A7" w:rsidP="006B17A7">
      <w:pPr>
        <w:spacing w:after="0" w:line="240" w:lineRule="auto"/>
        <w:rPr>
          <w:rFonts w:ascii="Verdana" w:eastAsia="Calibri" w:hAnsi="Verdana" w:cs="Arial"/>
          <w:b/>
          <w:bCs/>
          <w:kern w:val="0"/>
          <w:sz w:val="22"/>
          <w:szCs w:val="22"/>
          <w:lang w:val="es-ES" w:eastAsia="es-ES"/>
          <w14:ligatures w14:val="none"/>
        </w:rPr>
      </w:pPr>
      <w:r w:rsidRPr="006B17A7">
        <w:rPr>
          <w:rFonts w:ascii="Verdana" w:eastAsia="Calibri" w:hAnsi="Verdana" w:cs="Arial"/>
          <w:kern w:val="0"/>
          <w:sz w:val="22"/>
          <w:szCs w:val="22"/>
          <w:lang w:val="es-ES" w:eastAsia="es-ES"/>
          <w14:ligatures w14:val="none"/>
        </w:rPr>
        <w:t>Ciudad</w:t>
      </w:r>
    </w:p>
    <w:p w14:paraId="4A51EDF1" w14:textId="77777777" w:rsidR="006B17A7" w:rsidRPr="006B17A7" w:rsidRDefault="006B17A7" w:rsidP="006B17A7">
      <w:pPr>
        <w:spacing w:after="0" w:line="240" w:lineRule="auto"/>
        <w:rPr>
          <w:rFonts w:ascii="Verdana" w:eastAsia="Calibri" w:hAnsi="Verdana" w:cs="Arial"/>
          <w:b/>
          <w:bCs/>
          <w:kern w:val="0"/>
          <w:sz w:val="22"/>
          <w:szCs w:val="22"/>
          <w:lang w:val="es-ES_tradnl" w:eastAsia="es-ES_tradnl"/>
          <w14:ligatures w14:val="none"/>
        </w:rPr>
      </w:pPr>
    </w:p>
    <w:p w14:paraId="44220B25" w14:textId="77777777" w:rsidR="006B17A7" w:rsidRPr="006B17A7" w:rsidRDefault="006B17A7" w:rsidP="006B17A7">
      <w:pPr>
        <w:spacing w:after="0" w:line="240" w:lineRule="auto"/>
        <w:rPr>
          <w:rFonts w:ascii="Verdana" w:eastAsia="Calibri" w:hAnsi="Verdana" w:cs="Arial"/>
          <w:b/>
          <w:bCs/>
          <w:kern w:val="0"/>
          <w:sz w:val="22"/>
          <w:szCs w:val="22"/>
          <w:lang w:val="es-ES_tradnl" w:eastAsia="es-ES_tradnl"/>
          <w14:ligatures w14:val="none"/>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B17A7" w:rsidRPr="006B17A7" w14:paraId="1333BF5D" w14:textId="77777777" w:rsidTr="00917CD0">
        <w:trPr>
          <w:trHeight w:val="884"/>
        </w:trPr>
        <w:tc>
          <w:tcPr>
            <w:tcW w:w="2689" w:type="dxa"/>
          </w:tcPr>
          <w:p w14:paraId="6912670D" w14:textId="77777777" w:rsidR="006B17A7" w:rsidRPr="006B17A7" w:rsidRDefault="006B17A7" w:rsidP="006B17A7">
            <w:pPr>
              <w:jc w:val="both"/>
              <w:rPr>
                <w:rFonts w:ascii="Verdana" w:eastAsia="Calibri" w:hAnsi="Verdana" w:cs="Arial"/>
                <w:b/>
                <w:bCs/>
                <w:lang w:val="es-ES_tradnl" w:eastAsia="es-ES_tradnl"/>
              </w:rPr>
            </w:pPr>
          </w:p>
        </w:tc>
        <w:tc>
          <w:tcPr>
            <w:tcW w:w="6100" w:type="dxa"/>
          </w:tcPr>
          <w:p w14:paraId="02084B0C" w14:textId="77777777" w:rsidR="006B17A7" w:rsidRPr="006B17A7" w:rsidRDefault="006B17A7" w:rsidP="006B17A7">
            <w:pPr>
              <w:jc w:val="both"/>
              <w:rPr>
                <w:rFonts w:ascii="Verdana" w:eastAsia="Calibri" w:hAnsi="Verdana" w:cs="Arial"/>
                <w:b/>
                <w:bCs/>
                <w:lang w:val="es-ES" w:eastAsia="es-ES"/>
              </w:rPr>
            </w:pPr>
            <w:r w:rsidRPr="006B17A7">
              <w:rPr>
                <w:rFonts w:ascii="Verdana" w:eastAsia="Calibri" w:hAnsi="Verdana" w:cs="Arial"/>
                <w:b/>
                <w:bCs/>
                <w:lang w:val="es-ES" w:eastAsia="es-ES"/>
              </w:rPr>
              <w:t>Concepto C-202 de 2026</w:t>
            </w:r>
          </w:p>
        </w:tc>
      </w:tr>
      <w:tr w:rsidR="006B17A7" w:rsidRPr="006B17A7" w14:paraId="61F2156C" w14:textId="77777777" w:rsidTr="00917CD0">
        <w:trPr>
          <w:trHeight w:val="884"/>
        </w:trPr>
        <w:tc>
          <w:tcPr>
            <w:tcW w:w="2689" w:type="dxa"/>
          </w:tcPr>
          <w:p w14:paraId="43410883" w14:textId="77777777" w:rsidR="006B17A7" w:rsidRPr="006B17A7" w:rsidRDefault="006B17A7" w:rsidP="006B17A7">
            <w:pPr>
              <w:jc w:val="both"/>
              <w:rPr>
                <w:rFonts w:ascii="Verdana" w:eastAsia="Calibri" w:hAnsi="Verdana" w:cs="Arial"/>
                <w:lang w:val="es-ES_tradnl" w:eastAsia="es-ES_tradnl"/>
              </w:rPr>
            </w:pPr>
            <w:r w:rsidRPr="006B17A7">
              <w:rPr>
                <w:rFonts w:ascii="Verdana" w:eastAsia="Calibri" w:hAnsi="Verdana" w:cs="Arial"/>
                <w:b/>
                <w:lang w:val="es-ES_tradnl" w:eastAsia="es-ES_tradnl"/>
              </w:rPr>
              <w:t>Temas:</w:t>
            </w:r>
            <w:r w:rsidRPr="006B17A7">
              <w:rPr>
                <w:rFonts w:ascii="Verdana" w:eastAsia="Calibri" w:hAnsi="Verdana" w:cs="Arial"/>
                <w:lang w:val="es-ES_tradnl" w:eastAsia="es-ES_tradnl"/>
              </w:rPr>
              <w:t xml:space="preserve">                   </w:t>
            </w:r>
          </w:p>
        </w:tc>
        <w:tc>
          <w:tcPr>
            <w:tcW w:w="6100" w:type="dxa"/>
          </w:tcPr>
          <w:p w14:paraId="30F05D23" w14:textId="77777777" w:rsidR="006B17A7" w:rsidRPr="006B17A7" w:rsidRDefault="006B17A7" w:rsidP="006B17A7">
            <w:pPr>
              <w:spacing w:line="276" w:lineRule="auto"/>
              <w:jc w:val="both"/>
              <w:rPr>
                <w:rFonts w:ascii="Verdana" w:eastAsia="Calibri" w:hAnsi="Verdana" w:cs="Arial"/>
                <w:lang w:val="es-ES" w:eastAsia="es-ES"/>
              </w:rPr>
            </w:pPr>
            <w:r w:rsidRPr="006B17A7">
              <w:rPr>
                <w:rFonts w:ascii="Verdana" w:eastAsia="Calibri" w:hAnsi="Verdana" w:cs="Arial"/>
                <w:lang w:val="es-ES" w:eastAsia="es-ES"/>
              </w:rPr>
              <w:t>LIQUIDACIÓN DE LOS CONTRATOS ESTATALES – Noción – Objetivo – Acta de liquidación / LIQUIDACIÓN DEL CONTRATO – Tipos – Términos para adelantarlo – Consecuencias pérdida de oportunidad</w:t>
            </w:r>
          </w:p>
          <w:p w14:paraId="1031CF80" w14:textId="77777777" w:rsidR="006B17A7" w:rsidRPr="006B17A7" w:rsidRDefault="006B17A7" w:rsidP="006B17A7">
            <w:pPr>
              <w:spacing w:line="276" w:lineRule="auto"/>
              <w:jc w:val="both"/>
              <w:rPr>
                <w:rFonts w:ascii="Verdana" w:eastAsia="Calibri" w:hAnsi="Verdana" w:cs="Arial"/>
                <w:lang w:val="es-ES" w:eastAsia="es-ES"/>
              </w:rPr>
            </w:pPr>
          </w:p>
        </w:tc>
      </w:tr>
      <w:tr w:rsidR="006B17A7" w:rsidRPr="006B17A7" w14:paraId="7622D5B2" w14:textId="77777777" w:rsidTr="00917CD0">
        <w:tc>
          <w:tcPr>
            <w:tcW w:w="2689" w:type="dxa"/>
          </w:tcPr>
          <w:p w14:paraId="1F2CCBB8" w14:textId="77777777" w:rsidR="006B17A7" w:rsidRPr="006B17A7" w:rsidRDefault="006B17A7" w:rsidP="006B17A7">
            <w:pPr>
              <w:jc w:val="both"/>
              <w:rPr>
                <w:rFonts w:ascii="Verdana" w:eastAsia="Calibri" w:hAnsi="Verdana" w:cs="Arial"/>
                <w:b/>
                <w:lang w:val="es-ES_tradnl" w:eastAsia="es-ES_tradnl"/>
              </w:rPr>
            </w:pPr>
            <w:r w:rsidRPr="006B17A7">
              <w:rPr>
                <w:rFonts w:ascii="Verdana" w:eastAsia="Calibri" w:hAnsi="Verdana" w:cs="Arial"/>
                <w:b/>
                <w:lang w:val="es-ES_tradnl" w:eastAsia="es-ES_tradnl"/>
              </w:rPr>
              <w:t>Radicación:</w:t>
            </w:r>
            <w:r w:rsidRPr="006B17A7">
              <w:rPr>
                <w:rFonts w:ascii="Verdana" w:eastAsia="Calibri" w:hAnsi="Verdana" w:cs="Arial"/>
                <w:lang w:val="es-ES_tradnl" w:eastAsia="es-ES_tradnl"/>
              </w:rPr>
              <w:t xml:space="preserve">               </w:t>
            </w:r>
          </w:p>
        </w:tc>
        <w:tc>
          <w:tcPr>
            <w:tcW w:w="6100" w:type="dxa"/>
          </w:tcPr>
          <w:p w14:paraId="14901283" w14:textId="77777777" w:rsidR="006B17A7" w:rsidRPr="006B17A7" w:rsidRDefault="006B17A7" w:rsidP="006B17A7">
            <w:pPr>
              <w:jc w:val="both"/>
              <w:rPr>
                <w:rFonts w:ascii="Verdana" w:eastAsia="Calibri" w:hAnsi="Verdana" w:cs="Arial"/>
                <w:lang w:val="es-ES_tradnl" w:eastAsia="es-ES_tradnl"/>
              </w:rPr>
            </w:pPr>
            <w:r w:rsidRPr="006B17A7">
              <w:rPr>
                <w:rFonts w:ascii="Verdana" w:eastAsia="Calibri" w:hAnsi="Verdana" w:cs="Arial"/>
                <w:lang w:val="es-ES_tradnl" w:eastAsia="es-ES_tradnl"/>
              </w:rPr>
              <w:t>Respuesta a consulta No. 1_2026_02_12_001805</w:t>
            </w:r>
          </w:p>
        </w:tc>
      </w:tr>
    </w:tbl>
    <w:p w14:paraId="316D1104" w14:textId="77777777" w:rsidR="006B17A7" w:rsidRPr="006B17A7" w:rsidRDefault="006B17A7" w:rsidP="006B17A7">
      <w:pPr>
        <w:spacing w:after="0" w:line="240" w:lineRule="auto"/>
        <w:jc w:val="both"/>
        <w:rPr>
          <w:rFonts w:ascii="Verdana" w:eastAsia="Calibri" w:hAnsi="Verdana" w:cs="Arial"/>
          <w:kern w:val="0"/>
          <w:sz w:val="22"/>
          <w:szCs w:val="22"/>
          <w:lang w:val="es-ES_tradnl" w:eastAsia="es-ES_tradnl"/>
          <w14:ligatures w14:val="none"/>
        </w:rPr>
      </w:pPr>
    </w:p>
    <w:p w14:paraId="403289F7" w14:textId="77777777" w:rsidR="006B17A7" w:rsidRPr="006B17A7" w:rsidRDefault="006B17A7" w:rsidP="006B17A7">
      <w:pPr>
        <w:spacing w:after="0" w:line="240" w:lineRule="auto"/>
        <w:jc w:val="both"/>
        <w:rPr>
          <w:rFonts w:ascii="Verdana" w:eastAsia="Calibri" w:hAnsi="Verdana" w:cs="Arial"/>
          <w:kern w:val="0"/>
          <w:sz w:val="22"/>
          <w:szCs w:val="22"/>
          <w:lang w:val="es-ES_tradnl" w:eastAsia="es-ES_tradnl"/>
          <w14:ligatures w14:val="none"/>
        </w:rPr>
      </w:pPr>
    </w:p>
    <w:p w14:paraId="6DE39574" w14:textId="77777777" w:rsidR="006B17A7" w:rsidRPr="006B17A7" w:rsidRDefault="006B17A7" w:rsidP="006B17A7">
      <w:pPr>
        <w:spacing w:after="0" w:line="276" w:lineRule="auto"/>
        <w:jc w:val="both"/>
        <w:rPr>
          <w:rFonts w:ascii="Verdana" w:eastAsia="Calibri" w:hAnsi="Verdana" w:cs="Arial"/>
          <w:kern w:val="0"/>
          <w:sz w:val="22"/>
          <w:szCs w:val="22"/>
          <w:lang w:val="es-ES" w:eastAsia="es-ES"/>
          <w14:ligatures w14:val="none"/>
        </w:rPr>
      </w:pPr>
      <w:r w:rsidRPr="006B17A7">
        <w:rPr>
          <w:rFonts w:ascii="Verdana" w:eastAsia="Calibri" w:hAnsi="Verdana" w:cs="Arial"/>
          <w:kern w:val="0"/>
          <w:sz w:val="22"/>
          <w:szCs w:val="22"/>
          <w:lang w:val="es-ES" w:eastAsia="es-ES"/>
          <w14:ligatures w14:val="none"/>
        </w:rPr>
        <w:t>Estimado señor Gil:</w:t>
      </w:r>
    </w:p>
    <w:p w14:paraId="4EE98358" w14:textId="77777777" w:rsidR="006B17A7" w:rsidRPr="006B17A7" w:rsidRDefault="006B17A7" w:rsidP="006B17A7">
      <w:pPr>
        <w:tabs>
          <w:tab w:val="left" w:pos="3768"/>
        </w:tabs>
        <w:spacing w:after="0" w:line="276" w:lineRule="auto"/>
        <w:jc w:val="both"/>
        <w:rPr>
          <w:rFonts w:ascii="Verdana" w:eastAsia="Calibri" w:hAnsi="Verdana" w:cs="Arial"/>
          <w:kern w:val="0"/>
          <w:sz w:val="22"/>
          <w:szCs w:val="22"/>
          <w:lang w:val="es-ES" w:eastAsia="es-ES"/>
          <w14:ligatures w14:val="none"/>
        </w:rPr>
      </w:pPr>
      <w:r w:rsidRPr="006B17A7">
        <w:rPr>
          <w:rFonts w:ascii="Verdana" w:eastAsia="Calibri" w:hAnsi="Verdana" w:cs="Arial"/>
          <w:kern w:val="0"/>
          <w:sz w:val="22"/>
          <w:szCs w:val="22"/>
          <w:lang w:val="es-ES" w:eastAsia="es-ES"/>
          <w14:ligatures w14:val="none"/>
        </w:rPr>
        <w:tab/>
      </w:r>
    </w:p>
    <w:p w14:paraId="6F6098B7" w14:textId="77777777" w:rsidR="006B17A7" w:rsidRPr="006B17A7" w:rsidRDefault="006B17A7" w:rsidP="006B17A7">
      <w:pPr>
        <w:spacing w:after="0" w:line="276" w:lineRule="auto"/>
        <w:jc w:val="both"/>
        <w:rPr>
          <w:rFonts w:ascii="Verdana" w:eastAsia="Calibri" w:hAnsi="Verdana" w:cs="Arial"/>
          <w:kern w:val="0"/>
          <w:sz w:val="22"/>
          <w:szCs w:val="22"/>
          <w:lang w:val="es-ES" w:eastAsia="es-ES"/>
          <w14:ligatures w14:val="none"/>
        </w:rPr>
      </w:pPr>
      <w:r w:rsidRPr="006B17A7">
        <w:rPr>
          <w:rFonts w:ascii="Verdana" w:eastAsia="Calibri" w:hAnsi="Verdana" w:cs="Arial"/>
          <w:kern w:val="0"/>
          <w:sz w:val="22"/>
          <w:szCs w:val="22"/>
          <w:lang w:val="es-ES" w:eastAsia="es-ES"/>
          <w14:ligatures w14:val="none"/>
        </w:rPr>
        <w:t>En ejercicio de la competencia otorgada por los artículos 3, numeral 5º, y 11, numeral 8º, del Decreto Ley 4170 de 2011,</w:t>
      </w:r>
      <w:r w:rsidRPr="006B17A7">
        <w:rPr>
          <w:rFonts w:ascii="Verdana" w:eastAsia="Arial MT" w:hAnsi="Verdana" w:cs="Arial MT"/>
          <w:kern w:val="0"/>
          <w:sz w:val="22"/>
          <w:szCs w:val="22"/>
          <w:lang w:val="es-ES" w:eastAsia="es-ES"/>
          <w14:ligatures w14:val="none"/>
        </w:rPr>
        <w:t xml:space="preserve"> </w:t>
      </w:r>
      <w:r w:rsidRPr="006B17A7">
        <w:rPr>
          <w:rFonts w:ascii="Verdana" w:eastAsia="Aptos" w:hAnsi="Verdana" w:cs="Arial"/>
          <w:kern w:val="0"/>
          <w:sz w:val="22"/>
          <w:szCs w:val="22"/>
          <w14:ligatures w14:val="none"/>
        </w:rPr>
        <w:t xml:space="preserve">así como lo establecido en el artículo 4 de la Resolución 1707 de 2018 expedida por esta Entidad, </w:t>
      </w:r>
      <w:r w:rsidRPr="006B17A7">
        <w:rPr>
          <w:rFonts w:ascii="Verdana" w:eastAsia="Calibri" w:hAnsi="Verdana" w:cs="Arial"/>
          <w:kern w:val="0"/>
          <w:sz w:val="22"/>
          <w:szCs w:val="22"/>
          <w:lang w:val="es-ES" w:eastAsia="es-ES"/>
          <w14:ligatures w14:val="none"/>
        </w:rPr>
        <w:t xml:space="preserve">la Agencia Nacional de Contratación Pública – Colombia Compra Eficiente– responde su solicitud de consulta del 12 de febrero de 2026, en las que realiza las siguientes preguntas: </w:t>
      </w:r>
    </w:p>
    <w:p w14:paraId="67CF84D6" w14:textId="77777777" w:rsidR="006B17A7" w:rsidRPr="006B17A7" w:rsidRDefault="006B17A7" w:rsidP="006B17A7">
      <w:pPr>
        <w:tabs>
          <w:tab w:val="left" w:pos="142"/>
          <w:tab w:val="left" w:pos="284"/>
        </w:tabs>
        <w:spacing w:after="0" w:line="240" w:lineRule="auto"/>
        <w:contextualSpacing/>
        <w:jc w:val="both"/>
        <w:rPr>
          <w:rFonts w:ascii="Verdana" w:eastAsia="Century Gothic" w:hAnsi="Verdana" w:cs="Century Gothic"/>
          <w:b/>
          <w:bCs/>
          <w:kern w:val="0"/>
          <w:sz w:val="20"/>
          <w:szCs w:val="20"/>
          <w:lang w:val="es-ES"/>
          <w14:ligatures w14:val="none"/>
        </w:rPr>
      </w:pPr>
    </w:p>
    <w:p w14:paraId="1F27F65D" w14:textId="77777777" w:rsidR="006B17A7" w:rsidRPr="006B17A7" w:rsidRDefault="006B17A7" w:rsidP="006B17A7">
      <w:pPr>
        <w:tabs>
          <w:tab w:val="left" w:pos="709"/>
        </w:tabs>
        <w:spacing w:before="120" w:after="0" w:line="240" w:lineRule="auto"/>
        <w:ind w:left="709" w:right="709"/>
        <w:jc w:val="both"/>
        <w:rPr>
          <w:rFonts w:ascii="Verdana" w:eastAsia="Calibri" w:hAnsi="Verdana" w:cs="Arial"/>
          <w:kern w:val="0"/>
          <w:sz w:val="20"/>
          <w:szCs w:val="20"/>
          <w:lang w:val="es-MX"/>
          <w14:ligatures w14:val="none"/>
        </w:rPr>
      </w:pPr>
      <w:r w:rsidRPr="006B17A7">
        <w:rPr>
          <w:rFonts w:ascii="Verdana" w:eastAsia="Calibri" w:hAnsi="Verdana" w:cs="Arial"/>
          <w:kern w:val="0"/>
          <w:sz w:val="20"/>
          <w:szCs w:val="20"/>
          <w:lang w:val="es-MX"/>
          <w14:ligatures w14:val="none"/>
        </w:rPr>
        <w:t xml:space="preserve">“1. ¿Qué mecanismos tienen las partes dentro del contrato para la liquidación </w:t>
      </w:r>
      <w:proofErr w:type="gramStart"/>
      <w:r w:rsidRPr="006B17A7">
        <w:rPr>
          <w:rFonts w:ascii="Verdana" w:eastAsia="Calibri" w:hAnsi="Verdana" w:cs="Arial"/>
          <w:kern w:val="0"/>
          <w:sz w:val="20"/>
          <w:szCs w:val="20"/>
          <w:lang w:val="es-MX"/>
          <w14:ligatures w14:val="none"/>
        </w:rPr>
        <w:t>del mismo</w:t>
      </w:r>
      <w:proofErr w:type="gramEnd"/>
      <w:r w:rsidRPr="006B17A7">
        <w:rPr>
          <w:rFonts w:ascii="Verdana" w:eastAsia="Calibri" w:hAnsi="Verdana" w:cs="Arial"/>
          <w:kern w:val="0"/>
          <w:sz w:val="20"/>
          <w:szCs w:val="20"/>
          <w:lang w:val="es-MX"/>
          <w14:ligatures w14:val="none"/>
        </w:rPr>
        <w:t xml:space="preserve"> de común acuerdo?</w:t>
      </w:r>
    </w:p>
    <w:p w14:paraId="5B23017C" w14:textId="77777777" w:rsidR="006B17A7" w:rsidRPr="006B17A7" w:rsidRDefault="006B17A7" w:rsidP="006B17A7">
      <w:pPr>
        <w:tabs>
          <w:tab w:val="left" w:pos="709"/>
        </w:tabs>
        <w:spacing w:before="120" w:after="0" w:line="240" w:lineRule="auto"/>
        <w:ind w:left="709" w:right="709"/>
        <w:jc w:val="both"/>
        <w:rPr>
          <w:rFonts w:ascii="Verdana" w:eastAsia="Calibri" w:hAnsi="Verdana" w:cs="Arial"/>
          <w:kern w:val="0"/>
          <w:sz w:val="20"/>
          <w:szCs w:val="20"/>
          <w:lang w:val="es-MX"/>
          <w14:ligatures w14:val="none"/>
        </w:rPr>
      </w:pPr>
      <w:r w:rsidRPr="006B17A7">
        <w:rPr>
          <w:rFonts w:ascii="Verdana" w:eastAsia="Calibri" w:hAnsi="Verdana" w:cs="Arial"/>
          <w:kern w:val="0"/>
          <w:sz w:val="20"/>
          <w:szCs w:val="20"/>
          <w:lang w:val="es-MX"/>
          <w14:ligatures w14:val="none"/>
        </w:rPr>
        <w:t xml:space="preserve">2. ¿Qué mecanismos tienen las partes dentro del contrato para la liquidación </w:t>
      </w:r>
      <w:proofErr w:type="gramStart"/>
      <w:r w:rsidRPr="006B17A7">
        <w:rPr>
          <w:rFonts w:ascii="Verdana" w:eastAsia="Calibri" w:hAnsi="Verdana" w:cs="Arial"/>
          <w:kern w:val="0"/>
          <w:sz w:val="20"/>
          <w:szCs w:val="20"/>
          <w:lang w:val="es-MX"/>
          <w14:ligatures w14:val="none"/>
        </w:rPr>
        <w:t>del mismo</w:t>
      </w:r>
      <w:proofErr w:type="gramEnd"/>
      <w:r w:rsidRPr="006B17A7">
        <w:rPr>
          <w:rFonts w:ascii="Verdana" w:eastAsia="Calibri" w:hAnsi="Verdana" w:cs="Arial"/>
          <w:kern w:val="0"/>
          <w:sz w:val="20"/>
          <w:szCs w:val="20"/>
          <w:lang w:val="es-MX"/>
          <w14:ligatures w14:val="none"/>
        </w:rPr>
        <w:t xml:space="preserve"> de manera unilateral?</w:t>
      </w:r>
    </w:p>
    <w:p w14:paraId="68FCD89F" w14:textId="77777777" w:rsidR="006B17A7" w:rsidRPr="006B17A7" w:rsidRDefault="006B17A7" w:rsidP="006B17A7">
      <w:pPr>
        <w:tabs>
          <w:tab w:val="left" w:pos="709"/>
        </w:tabs>
        <w:spacing w:before="120" w:after="0" w:line="240" w:lineRule="auto"/>
        <w:ind w:left="709" w:right="709"/>
        <w:jc w:val="both"/>
        <w:rPr>
          <w:rFonts w:ascii="Verdana" w:eastAsia="Calibri" w:hAnsi="Verdana" w:cs="Arial"/>
          <w:kern w:val="0"/>
          <w:sz w:val="20"/>
          <w:szCs w:val="20"/>
          <w:lang w:val="es-MX"/>
          <w14:ligatures w14:val="none"/>
        </w:rPr>
      </w:pPr>
      <w:r w:rsidRPr="006B17A7">
        <w:rPr>
          <w:rFonts w:ascii="Verdana" w:eastAsia="Calibri" w:hAnsi="Verdana" w:cs="Arial"/>
          <w:kern w:val="0"/>
          <w:sz w:val="20"/>
          <w:szCs w:val="20"/>
          <w:lang w:val="es-MX"/>
          <w14:ligatures w14:val="none"/>
        </w:rPr>
        <w:t>3. ¿En qué tiempo se puede realizar la liquidación del contrato?</w:t>
      </w:r>
    </w:p>
    <w:p w14:paraId="470F3F27" w14:textId="77777777" w:rsidR="006B17A7" w:rsidRPr="006B17A7" w:rsidRDefault="006B17A7" w:rsidP="006B17A7">
      <w:pPr>
        <w:tabs>
          <w:tab w:val="left" w:pos="709"/>
        </w:tabs>
        <w:spacing w:before="120" w:after="0" w:line="240" w:lineRule="auto"/>
        <w:ind w:left="709" w:right="709"/>
        <w:jc w:val="both"/>
        <w:rPr>
          <w:rFonts w:ascii="Verdana" w:eastAsia="Calibri" w:hAnsi="Verdana" w:cs="Arial"/>
          <w:kern w:val="0"/>
          <w:sz w:val="20"/>
          <w:szCs w:val="20"/>
          <w:lang w:val="es-MX"/>
          <w14:ligatures w14:val="none"/>
        </w:rPr>
      </w:pPr>
      <w:r w:rsidRPr="006B17A7">
        <w:rPr>
          <w:rFonts w:ascii="Verdana" w:eastAsia="Calibri" w:hAnsi="Verdana" w:cs="Arial"/>
          <w:kern w:val="0"/>
          <w:sz w:val="20"/>
          <w:szCs w:val="20"/>
          <w:lang w:val="es-MX"/>
          <w14:ligatures w14:val="none"/>
        </w:rPr>
        <w:lastRenderedPageBreak/>
        <w:t>4. ¿Qué consecuencias jurídicas acarrea para las partes la no liquidación dentro de los términos establecidos en la Ley 1150 de 2007?</w:t>
      </w:r>
    </w:p>
    <w:p w14:paraId="2EF68A85" w14:textId="77777777" w:rsidR="006B17A7" w:rsidRPr="006B17A7" w:rsidRDefault="006B17A7" w:rsidP="006B17A7">
      <w:pPr>
        <w:tabs>
          <w:tab w:val="left" w:pos="709"/>
        </w:tabs>
        <w:spacing w:before="120" w:after="0" w:line="240" w:lineRule="auto"/>
        <w:ind w:left="709" w:right="709"/>
        <w:jc w:val="both"/>
        <w:rPr>
          <w:rFonts w:ascii="Verdana" w:eastAsia="Calibri" w:hAnsi="Verdana" w:cs="Arial"/>
          <w:kern w:val="0"/>
          <w:sz w:val="20"/>
          <w:szCs w:val="20"/>
          <w:lang w:val="es-MX"/>
          <w14:ligatures w14:val="none"/>
        </w:rPr>
      </w:pPr>
      <w:r w:rsidRPr="006B17A7">
        <w:rPr>
          <w:rFonts w:ascii="Verdana" w:eastAsia="Calibri" w:hAnsi="Verdana" w:cs="Arial"/>
          <w:kern w:val="0"/>
          <w:sz w:val="20"/>
          <w:szCs w:val="20"/>
          <w:lang w:val="es-MX"/>
          <w14:ligatures w14:val="none"/>
        </w:rPr>
        <w:t>5. De no ser posible una liquidación del contrato ¿Qué otro documento de cierre se puede suscribir de manera unilateral o bilateral?”. [sic]</w:t>
      </w:r>
    </w:p>
    <w:p w14:paraId="432CD181" w14:textId="77777777" w:rsidR="006B17A7" w:rsidRPr="006B17A7" w:rsidRDefault="006B17A7" w:rsidP="006B17A7">
      <w:pPr>
        <w:tabs>
          <w:tab w:val="left" w:pos="142"/>
          <w:tab w:val="left" w:pos="284"/>
        </w:tabs>
        <w:spacing w:line="276" w:lineRule="auto"/>
        <w:contextualSpacing/>
        <w:jc w:val="both"/>
        <w:rPr>
          <w:rFonts w:ascii="Verdana" w:eastAsia="Century Gothic" w:hAnsi="Verdana" w:cs="Century Gothic"/>
          <w:b/>
          <w:bCs/>
          <w:kern w:val="0"/>
          <w:sz w:val="22"/>
          <w:szCs w:val="22"/>
          <w:lang w:val="es-ES"/>
          <w14:ligatures w14:val="none"/>
        </w:rPr>
      </w:pPr>
    </w:p>
    <w:p w14:paraId="296E1CC1" w14:textId="77777777" w:rsidR="006B17A7" w:rsidRPr="006B17A7" w:rsidRDefault="006B17A7" w:rsidP="006B17A7">
      <w:pPr>
        <w:spacing w:after="120" w:line="276" w:lineRule="auto"/>
        <w:ind w:firstLine="709"/>
        <w:jc w:val="both"/>
        <w:rPr>
          <w:rFonts w:ascii="Verdana" w:eastAsia="Calibri" w:hAnsi="Verdana" w:cs="Arial"/>
          <w:kern w:val="0"/>
          <w:sz w:val="22"/>
          <w:lang w:val="es-ES_tradnl" w:eastAsia="es-ES_tradnl"/>
          <w14:ligatures w14:val="none"/>
        </w:rPr>
      </w:pPr>
      <w:r w:rsidRPr="006B17A7">
        <w:rPr>
          <w:rFonts w:ascii="Verdana" w:eastAsia="Calibri" w:hAnsi="Verdana" w:cs="Arial"/>
          <w:kern w:val="0"/>
          <w:sz w:val="22"/>
          <w:szCs w:val="22"/>
          <w:lang w:val="es-ES" w:eastAsia="es-ES"/>
          <w14:ligatures w14:val="none"/>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B17A7">
        <w:rPr>
          <w:rFonts w:ascii="Verdana" w:eastAsia="Calibri" w:hAnsi="Verdana" w:cs="Arial"/>
          <w:kern w:val="0"/>
          <w:sz w:val="22"/>
          <w:lang w:val="es-ES_tradnl" w:eastAsia="es-ES_tradnl"/>
          <w14:ligatures w14:val="none"/>
        </w:rPr>
        <w:tab/>
      </w:r>
    </w:p>
    <w:p w14:paraId="0051D842" w14:textId="77777777" w:rsidR="006B17A7" w:rsidRPr="006B17A7" w:rsidRDefault="006B17A7" w:rsidP="006B17A7">
      <w:pPr>
        <w:spacing w:after="0" w:line="276" w:lineRule="auto"/>
        <w:ind w:firstLine="709"/>
        <w:jc w:val="both"/>
        <w:rPr>
          <w:rFonts w:ascii="Verdana" w:eastAsia="Calibri" w:hAnsi="Verdana" w:cs="Arial"/>
          <w:kern w:val="0"/>
          <w:sz w:val="22"/>
          <w:szCs w:val="22"/>
          <w:lang w:val="es-ES" w:eastAsia="es-ES"/>
          <w14:ligatures w14:val="none"/>
        </w:rPr>
      </w:pPr>
      <w:r w:rsidRPr="006B17A7">
        <w:rPr>
          <w:rFonts w:ascii="Verdana" w:eastAsia="Calibri" w:hAnsi="Verdana" w:cs="Arial"/>
          <w:kern w:val="0"/>
          <w:sz w:val="22"/>
          <w:szCs w:val="22"/>
          <w:lang w:val="es-ES" w:eastAsia="es-ES"/>
          <w14:ligatures w14:val="none"/>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EE1FBAB" w14:textId="77777777" w:rsidR="006B17A7" w:rsidRPr="006B17A7" w:rsidRDefault="006B17A7" w:rsidP="006B17A7">
      <w:pPr>
        <w:spacing w:after="0" w:line="276" w:lineRule="auto"/>
        <w:ind w:firstLine="709"/>
        <w:jc w:val="both"/>
        <w:rPr>
          <w:rFonts w:ascii="Verdana" w:eastAsia="Calibri" w:hAnsi="Verdana" w:cs="Arial"/>
          <w:kern w:val="0"/>
          <w:sz w:val="22"/>
          <w:szCs w:val="22"/>
          <w:lang w:val="es-ES" w:eastAsia="es-ES"/>
          <w14:ligatures w14:val="none"/>
        </w:rPr>
      </w:pPr>
    </w:p>
    <w:p w14:paraId="1E80C8F5" w14:textId="77777777" w:rsidR="006B17A7" w:rsidRPr="006B17A7" w:rsidRDefault="006B17A7" w:rsidP="006B17A7">
      <w:pPr>
        <w:widowControl w:val="0"/>
        <w:autoSpaceDE w:val="0"/>
        <w:autoSpaceDN w:val="0"/>
        <w:spacing w:before="1" w:after="0" w:line="240" w:lineRule="auto"/>
        <w:ind w:left="360" w:hanging="360"/>
        <w:jc w:val="both"/>
        <w:outlineLvl w:val="0"/>
        <w:rPr>
          <w:rFonts w:ascii="Verdana" w:eastAsia="Arial" w:hAnsi="Verdana" w:cs="Arial"/>
          <w:b/>
          <w:bCs/>
          <w:kern w:val="0"/>
          <w:sz w:val="22"/>
          <w:szCs w:val="22"/>
          <w:lang w:val="es-ES"/>
          <w14:ligatures w14:val="none"/>
        </w:rPr>
      </w:pPr>
      <w:r w:rsidRPr="006B17A7">
        <w:rPr>
          <w:rFonts w:ascii="Verdana" w:eastAsia="Arial" w:hAnsi="Verdana" w:cs="Arial"/>
          <w:b/>
          <w:bCs/>
          <w:kern w:val="0"/>
          <w:sz w:val="22"/>
          <w:szCs w:val="22"/>
          <w:lang w:val="es-ES"/>
          <w14:ligatures w14:val="none"/>
        </w:rPr>
        <w:t>1. Problema planteado:</w:t>
      </w:r>
    </w:p>
    <w:p w14:paraId="4DAA2E34" w14:textId="77777777" w:rsidR="006B17A7" w:rsidRPr="006B17A7" w:rsidRDefault="006B17A7" w:rsidP="006B17A7">
      <w:pPr>
        <w:tabs>
          <w:tab w:val="left" w:pos="426"/>
        </w:tabs>
        <w:spacing w:after="0" w:line="276" w:lineRule="auto"/>
        <w:jc w:val="both"/>
        <w:rPr>
          <w:rFonts w:ascii="Verdana" w:eastAsia="Century Gothic" w:hAnsi="Verdana" w:cs="Century Gothic"/>
          <w:kern w:val="0"/>
          <w:sz w:val="22"/>
          <w:szCs w:val="22"/>
          <w:lang w:val="es-ES"/>
          <w14:ligatures w14:val="none"/>
        </w:rPr>
      </w:pPr>
    </w:p>
    <w:p w14:paraId="14BB5A82" w14:textId="77777777" w:rsidR="006B17A7" w:rsidRPr="006B17A7" w:rsidRDefault="006B17A7" w:rsidP="006B17A7">
      <w:pPr>
        <w:spacing w:after="0" w:line="276" w:lineRule="auto"/>
        <w:jc w:val="both"/>
        <w:rPr>
          <w:rFonts w:ascii="Verdana" w:eastAsia="Arial" w:hAnsi="Verdana" w:cs="Arial"/>
          <w:b/>
          <w:bCs/>
          <w:kern w:val="0"/>
          <w:sz w:val="22"/>
          <w:szCs w:val="22"/>
          <w:lang w:val="es-ES"/>
          <w14:ligatures w14:val="none"/>
        </w:rPr>
      </w:pPr>
      <w:r w:rsidRPr="006B17A7">
        <w:rPr>
          <w:rFonts w:ascii="Verdana" w:eastAsia="Century Gothic" w:hAnsi="Verdana" w:cs="Century Gothic"/>
          <w:kern w:val="0"/>
          <w:sz w:val="22"/>
          <w:szCs w:val="22"/>
          <w14:ligatures w14:val="none"/>
        </w:rPr>
        <w:t>De acuerdo con el contenido de su solicitud, le informamos que la misma se resolverá desde los siguientes problemas jurídicos:</w:t>
      </w:r>
      <w:bookmarkStart w:id="1" w:name="_Hlk171070029"/>
      <w:r w:rsidRPr="006B17A7">
        <w:rPr>
          <w:rFonts w:ascii="Verdana" w:eastAsia="Century Gothic" w:hAnsi="Verdana" w:cs="Century Gothic"/>
          <w:kern w:val="0"/>
          <w:sz w:val="22"/>
          <w:szCs w:val="22"/>
          <w14:ligatures w14:val="none"/>
        </w:rPr>
        <w:t xml:space="preserve"> i) ¿Cuál es la noción jurídica de la liquidación de los contratos estatales?; y </w:t>
      </w:r>
      <w:proofErr w:type="spellStart"/>
      <w:r w:rsidRPr="006B17A7">
        <w:rPr>
          <w:rFonts w:ascii="Verdana" w:eastAsia="Century Gothic" w:hAnsi="Verdana" w:cs="Century Gothic"/>
          <w:kern w:val="0"/>
          <w:sz w:val="22"/>
          <w:szCs w:val="22"/>
          <w14:ligatures w14:val="none"/>
        </w:rPr>
        <w:t>ii</w:t>
      </w:r>
      <w:proofErr w:type="spellEnd"/>
      <w:r w:rsidRPr="006B17A7">
        <w:rPr>
          <w:rFonts w:ascii="Verdana" w:eastAsia="Century Gothic" w:hAnsi="Verdana" w:cs="Century Gothic"/>
          <w:kern w:val="0"/>
          <w:sz w:val="22"/>
          <w:szCs w:val="22"/>
          <w14:ligatures w14:val="none"/>
        </w:rPr>
        <w:t>) ¿</w:t>
      </w:r>
      <w:bookmarkEnd w:id="1"/>
      <w:r w:rsidRPr="006B17A7">
        <w:rPr>
          <w:rFonts w:ascii="Verdana" w:eastAsia="Century Gothic" w:hAnsi="Verdana" w:cs="Century Gothic"/>
          <w:kern w:val="0"/>
          <w:sz w:val="22"/>
          <w:szCs w:val="22"/>
          <w14:ligatures w14:val="none"/>
        </w:rPr>
        <w:t>Cuáles son los tipos de liquidación del contrato esta y en qué oportunidad puedan adelantarse?</w:t>
      </w:r>
    </w:p>
    <w:p w14:paraId="728BE9FE" w14:textId="77777777" w:rsidR="006B17A7" w:rsidRPr="006B17A7" w:rsidRDefault="006B17A7" w:rsidP="006B17A7">
      <w:pPr>
        <w:spacing w:after="0" w:line="259" w:lineRule="auto"/>
        <w:rPr>
          <w:rFonts w:ascii="Verdana" w:eastAsia="Aptos" w:hAnsi="Verdana" w:cs="Times New Roman"/>
          <w:kern w:val="0"/>
          <w:sz w:val="22"/>
          <w:szCs w:val="22"/>
          <w14:ligatures w14:val="none"/>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B17A7" w:rsidRPr="006B17A7" w14:paraId="73BE07C5" w14:textId="77777777" w:rsidTr="00917CD0">
        <w:tc>
          <w:tcPr>
            <w:tcW w:w="8828" w:type="dxa"/>
          </w:tcPr>
          <w:p w14:paraId="7C9C9B06" w14:textId="77777777" w:rsidR="006B17A7" w:rsidRPr="006B17A7" w:rsidRDefault="006B17A7" w:rsidP="006B17A7">
            <w:pPr>
              <w:spacing w:line="276" w:lineRule="auto"/>
              <w:jc w:val="both"/>
              <w:rPr>
                <w:rFonts w:ascii="Verdana" w:eastAsia="Century Gothic" w:hAnsi="Verdana" w:cs="Century Gothic"/>
              </w:rPr>
            </w:pPr>
            <w:bookmarkStart w:id="2" w:name="_Hlk171067516"/>
            <w:r w:rsidRPr="006B17A7">
              <w:rPr>
                <w:rFonts w:ascii="Verdana" w:eastAsia="Calibri" w:hAnsi="Verdana" w:cs="Arial"/>
                <w:lang w:val="es-ES"/>
              </w:rPr>
              <w:t xml:space="preserve">i) </w:t>
            </w:r>
            <w:r w:rsidRPr="006B17A7">
              <w:rPr>
                <w:rFonts w:ascii="Verdana" w:eastAsia="Century Gothic" w:hAnsi="Verdana" w:cs="Century Gothic"/>
              </w:rPr>
              <w:t xml:space="preserve">Desde el punto de vista jurídico,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 Para la jurisprudencia del </w:t>
            </w:r>
            <w:r w:rsidRPr="006B17A7">
              <w:rPr>
                <w:rFonts w:ascii="Verdana" w:eastAsia="Century Gothic" w:hAnsi="Verdana" w:cs="Century Gothic"/>
              </w:rPr>
              <w:lastRenderedPageBreak/>
              <w:t>Consejo de Estado, la liquidación es el ajuste de cuentas donde las partes hacen un balance económico, técnico y jurídico del cumplimiento de las obligaciones que tienen a su cargo.</w:t>
            </w:r>
          </w:p>
          <w:p w14:paraId="1EF428CC" w14:textId="77777777" w:rsidR="006B17A7" w:rsidRPr="006B17A7" w:rsidRDefault="006B17A7" w:rsidP="006B17A7">
            <w:pPr>
              <w:spacing w:before="120" w:line="276" w:lineRule="auto"/>
              <w:jc w:val="both"/>
              <w:rPr>
                <w:rFonts w:ascii="Verdana" w:eastAsia="Century Gothic" w:hAnsi="Verdana" w:cs="Century Gothic"/>
              </w:rPr>
            </w:pPr>
            <w:r w:rsidRPr="006B17A7">
              <w:rPr>
                <w:rFonts w:ascii="Verdana" w:eastAsia="Century Gothic" w:hAnsi="Verdana" w:cs="Century Gothic"/>
              </w:rPr>
              <w:tab/>
              <w:t>Por su parte, el artículo 60 de la Ley 1993 dispone que en la etapa de liquidación del contrato estatal las partes acordarán los ajustes, revisiones y reconocimientos a que haya lugar. Por lo que, la misma norma, señala que será en el acta de liquidación el documento donde “constarán los acuerdos, conciliaciones y transacciones a que llegaren las partes para poner fin a las divergencias presentadas y poder declarase a paz y salvo”.</w:t>
            </w:r>
          </w:p>
          <w:p w14:paraId="17CDD814" w14:textId="77777777" w:rsidR="006B17A7" w:rsidRPr="006B17A7" w:rsidRDefault="006B17A7" w:rsidP="006B17A7">
            <w:pPr>
              <w:spacing w:line="276" w:lineRule="auto"/>
              <w:contextualSpacing/>
              <w:jc w:val="both"/>
              <w:rPr>
                <w:rFonts w:ascii="Verdana" w:eastAsia="Calibri" w:hAnsi="Verdana" w:cs="Arial"/>
                <w:lang w:val="es-ES"/>
              </w:rPr>
            </w:pPr>
          </w:p>
          <w:p w14:paraId="4EE7330F" w14:textId="77777777" w:rsidR="006B17A7" w:rsidRPr="006B17A7" w:rsidRDefault="006B17A7" w:rsidP="006B17A7">
            <w:pPr>
              <w:spacing w:line="276" w:lineRule="auto"/>
              <w:jc w:val="both"/>
              <w:rPr>
                <w:rFonts w:ascii="Verdana" w:eastAsia="Century Gothic" w:hAnsi="Verdana" w:cs="Century Gothic"/>
              </w:rPr>
            </w:pPr>
            <w:proofErr w:type="spellStart"/>
            <w:r w:rsidRPr="006B17A7">
              <w:rPr>
                <w:rFonts w:ascii="Verdana" w:eastAsia="Calibri" w:hAnsi="Verdana" w:cs="Arial"/>
                <w:lang w:val="es-ES"/>
              </w:rPr>
              <w:t>ii</w:t>
            </w:r>
            <w:proofErr w:type="spellEnd"/>
            <w:r w:rsidRPr="006B17A7">
              <w:rPr>
                <w:rFonts w:ascii="Verdana" w:eastAsia="Calibri" w:hAnsi="Verdana" w:cs="Arial"/>
                <w:lang w:val="es-ES"/>
              </w:rPr>
              <w:t xml:space="preserve">) </w:t>
            </w:r>
            <w:r w:rsidRPr="006B17A7">
              <w:rPr>
                <w:rFonts w:ascii="Verdana" w:eastAsia="Century Gothic" w:hAnsi="Verdana" w:cs="Century Gothic"/>
              </w:rPr>
              <w:t xml:space="preserve">De acuerdo con el artículo 11 de la Ley 1150 de 2007, existen tres (3) tipos de liquidación: i) bilateral, </w:t>
            </w:r>
            <w:proofErr w:type="spellStart"/>
            <w:r w:rsidRPr="006B17A7">
              <w:rPr>
                <w:rFonts w:ascii="Verdana" w:eastAsia="Century Gothic" w:hAnsi="Verdana" w:cs="Century Gothic"/>
              </w:rPr>
              <w:t>ii</w:t>
            </w:r>
            <w:proofErr w:type="spellEnd"/>
            <w:r w:rsidRPr="006B17A7">
              <w:rPr>
                <w:rFonts w:ascii="Verdana" w:eastAsia="Century Gothic" w:hAnsi="Verdana" w:cs="Century Gothic"/>
              </w:rPr>
              <w:t xml:space="preserve">) unilateral y </w:t>
            </w:r>
            <w:proofErr w:type="spellStart"/>
            <w:r w:rsidRPr="006B17A7">
              <w:rPr>
                <w:rFonts w:ascii="Verdana" w:eastAsia="Century Gothic" w:hAnsi="Verdana" w:cs="Century Gothic"/>
              </w:rPr>
              <w:t>iii</w:t>
            </w:r>
            <w:proofErr w:type="spellEnd"/>
            <w:r w:rsidRPr="006B17A7">
              <w:rPr>
                <w:rFonts w:ascii="Verdana" w:eastAsia="Century Gothic" w:hAnsi="Verdana" w:cs="Century Gothic"/>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169E9E58" w14:textId="77777777" w:rsidR="006B17A7" w:rsidRPr="006B17A7" w:rsidRDefault="006B17A7" w:rsidP="006B17A7">
            <w:pPr>
              <w:spacing w:before="120" w:line="276" w:lineRule="auto"/>
              <w:ind w:firstLine="708"/>
              <w:jc w:val="both"/>
              <w:rPr>
                <w:rFonts w:ascii="Verdana" w:eastAsia="Century Gothic" w:hAnsi="Verdana" w:cs="Century Gothic"/>
              </w:rPr>
            </w:pPr>
            <w:r w:rsidRPr="006B17A7">
              <w:rPr>
                <w:rFonts w:ascii="Verdana" w:eastAsia="Century Gothic" w:hAnsi="Verdana" w:cs="Century Gothic"/>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w:t>
            </w:r>
          </w:p>
          <w:p w14:paraId="5E2D4BEA" w14:textId="77777777" w:rsidR="006B17A7" w:rsidRPr="006B17A7" w:rsidRDefault="006B17A7" w:rsidP="006B17A7">
            <w:pPr>
              <w:jc w:val="both"/>
              <w:rPr>
                <w:rFonts w:ascii="Aptos" w:eastAsia="Aptos" w:hAnsi="Aptos" w:cs="Arial"/>
              </w:rPr>
            </w:pPr>
          </w:p>
          <w:p w14:paraId="0AC647D2" w14:textId="77777777" w:rsidR="006B17A7" w:rsidRPr="006B17A7" w:rsidRDefault="006B17A7" w:rsidP="006B17A7">
            <w:pPr>
              <w:spacing w:line="276" w:lineRule="auto"/>
              <w:jc w:val="both"/>
              <w:rPr>
                <w:rFonts w:ascii="Verdana" w:eastAsia="Calibri" w:hAnsi="Verdana" w:cs="Arial"/>
              </w:rPr>
            </w:pPr>
            <w:r w:rsidRPr="006B17A7">
              <w:rPr>
                <w:rFonts w:ascii="Verdana" w:eastAsia="Calibri" w:hAnsi="Verdana" w:cs="Arial"/>
              </w:rPr>
              <w:lastRenderedPageBreak/>
              <w:t xml:space="preserve">Finalmente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tc>
      </w:tr>
      <w:bookmarkEnd w:id="2"/>
    </w:tbl>
    <w:p w14:paraId="5C3D1184" w14:textId="77777777" w:rsidR="006B17A7" w:rsidRPr="006B17A7" w:rsidRDefault="006B17A7" w:rsidP="006B17A7">
      <w:pPr>
        <w:tabs>
          <w:tab w:val="left" w:pos="142"/>
          <w:tab w:val="left" w:pos="967"/>
        </w:tabs>
        <w:spacing w:after="0" w:line="276" w:lineRule="auto"/>
        <w:jc w:val="both"/>
        <w:rPr>
          <w:rFonts w:ascii="Verdana" w:eastAsia="Century Gothic" w:hAnsi="Verdana" w:cs="Times New Roman"/>
          <w:b/>
          <w:bCs/>
          <w:kern w:val="0"/>
          <w:sz w:val="22"/>
          <w:szCs w:val="22"/>
          <w:lang w:val="es-ES"/>
          <w14:ligatures w14:val="none"/>
        </w:rPr>
      </w:pPr>
    </w:p>
    <w:p w14:paraId="2DD5E605" w14:textId="77777777" w:rsidR="006B17A7" w:rsidRPr="006B17A7" w:rsidRDefault="006B17A7" w:rsidP="006B17A7">
      <w:pPr>
        <w:widowControl w:val="0"/>
        <w:autoSpaceDE w:val="0"/>
        <w:autoSpaceDN w:val="0"/>
        <w:spacing w:before="1" w:after="0" w:line="240" w:lineRule="auto"/>
        <w:ind w:left="360" w:hanging="360"/>
        <w:outlineLvl w:val="0"/>
        <w:rPr>
          <w:rFonts w:ascii="Verdana" w:eastAsia="Arial" w:hAnsi="Verdana" w:cs="Arial"/>
          <w:b/>
          <w:bCs/>
          <w:kern w:val="0"/>
          <w:sz w:val="22"/>
          <w:szCs w:val="22"/>
          <w:lang w:val="es-ES"/>
          <w14:ligatures w14:val="none"/>
        </w:rPr>
      </w:pPr>
      <w:r w:rsidRPr="006B17A7">
        <w:rPr>
          <w:rFonts w:ascii="Verdana" w:eastAsia="Arial" w:hAnsi="Verdana" w:cs="Arial"/>
          <w:b/>
          <w:bCs/>
          <w:kern w:val="0"/>
          <w:sz w:val="22"/>
          <w:szCs w:val="22"/>
          <w:lang w:val="es-ES"/>
          <w14:ligatures w14:val="none"/>
        </w:rPr>
        <w:t>3. Razones de la respuesta</w:t>
      </w:r>
    </w:p>
    <w:p w14:paraId="01E62B55" w14:textId="77777777" w:rsidR="006B17A7" w:rsidRPr="006B17A7" w:rsidRDefault="006B17A7" w:rsidP="006B17A7">
      <w:pPr>
        <w:spacing w:after="0" w:line="276" w:lineRule="auto"/>
        <w:jc w:val="both"/>
        <w:rPr>
          <w:rFonts w:ascii="Verdana" w:eastAsia="Calibri" w:hAnsi="Verdana" w:cs="Arial"/>
          <w:kern w:val="0"/>
          <w:sz w:val="22"/>
          <w:szCs w:val="22"/>
          <w:lang w:val="es-ES"/>
          <w14:ligatures w14:val="none"/>
        </w:rPr>
      </w:pPr>
    </w:p>
    <w:p w14:paraId="7619035D" w14:textId="77777777" w:rsidR="006B17A7" w:rsidRPr="006B17A7" w:rsidRDefault="006B17A7" w:rsidP="006B17A7">
      <w:pPr>
        <w:spacing w:after="0" w:line="276" w:lineRule="auto"/>
        <w:jc w:val="both"/>
        <w:rPr>
          <w:rFonts w:ascii="Verdana" w:eastAsia="Calibri" w:hAnsi="Verdana" w:cs="Arial"/>
          <w:kern w:val="0"/>
          <w:sz w:val="22"/>
          <w:szCs w:val="22"/>
          <w:lang w:val="es-ES"/>
          <w14:ligatures w14:val="none"/>
        </w:rPr>
      </w:pPr>
      <w:r w:rsidRPr="006B17A7">
        <w:rPr>
          <w:rFonts w:ascii="Verdana" w:eastAsia="Calibri" w:hAnsi="Verdana" w:cs="Arial"/>
          <w:kern w:val="0"/>
          <w:sz w:val="22"/>
          <w:szCs w:val="22"/>
          <w:lang w:val="es-ES"/>
          <w14:ligatures w14:val="none"/>
        </w:rPr>
        <w:t xml:space="preserve">La respuesta anterior se sustenta en las siguientes consideraciones: </w:t>
      </w:r>
    </w:p>
    <w:p w14:paraId="38A2FC6D" w14:textId="77777777" w:rsidR="006B17A7" w:rsidRPr="006B17A7" w:rsidRDefault="006B17A7" w:rsidP="006B17A7">
      <w:pPr>
        <w:spacing w:after="0" w:line="276" w:lineRule="auto"/>
        <w:jc w:val="both"/>
        <w:rPr>
          <w:rFonts w:ascii="Verdana" w:eastAsia="Calibri" w:hAnsi="Verdana" w:cs="Arial"/>
          <w:kern w:val="0"/>
          <w:sz w:val="22"/>
          <w:szCs w:val="22"/>
          <w:lang w:val="es-ES"/>
          <w14:ligatures w14:val="none"/>
        </w:rPr>
      </w:pPr>
    </w:p>
    <w:p w14:paraId="5FBAB2E5" w14:textId="77777777" w:rsidR="006B17A7" w:rsidRPr="006B17A7" w:rsidRDefault="006B17A7" w:rsidP="006B17A7">
      <w:pPr>
        <w:spacing w:after="0" w:line="276" w:lineRule="auto"/>
        <w:jc w:val="both"/>
        <w:rPr>
          <w:rFonts w:ascii="Verdana" w:eastAsia="Calibri" w:hAnsi="Verdana" w:cs="Arial"/>
          <w:kern w:val="0"/>
          <w:sz w:val="22"/>
          <w:szCs w:val="22"/>
          <w:lang w:val="es-MX"/>
          <w14:ligatures w14:val="none"/>
        </w:rPr>
      </w:pPr>
      <w:r w:rsidRPr="006B17A7">
        <w:rPr>
          <w:rFonts w:ascii="Verdana" w:eastAsia="Calibri" w:hAnsi="Verdana" w:cs="Arial"/>
          <w:kern w:val="0"/>
          <w:sz w:val="22"/>
          <w:szCs w:val="22"/>
          <w:lang w:val="es-MX"/>
          <w14:ligatures w14:val="none"/>
        </w:rPr>
        <w:t>Desde el punto de vista jurídico, se tiene que,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6B17A7">
        <w:rPr>
          <w:rFonts w:ascii="Aptos" w:eastAsia="Aptos" w:hAnsi="Aptos" w:cs="Times New Roman"/>
          <w:color w:val="000000"/>
          <w:kern w:val="0"/>
          <w:sz w:val="22"/>
          <w:szCs w:val="22"/>
          <w:vertAlign w:val="superscript"/>
          <w:lang w:val="es-ES_tradnl"/>
          <w14:ligatures w14:val="none"/>
        </w:rPr>
        <w:footnoteReference w:id="1"/>
      </w:r>
      <w:r w:rsidRPr="006B17A7">
        <w:rPr>
          <w:rFonts w:ascii="Verdana" w:eastAsia="Calibri" w:hAnsi="Verdana" w:cs="Arial"/>
          <w:color w:val="000000"/>
          <w:kern w:val="0"/>
          <w:sz w:val="22"/>
          <w:szCs w:val="22"/>
          <w:lang w:val="es-ES_tradnl"/>
          <w14:ligatures w14:val="none"/>
        </w:rPr>
        <w:t xml:space="preserve">. En armonía con lo anterior, la doctrina ha definido la liquidación de la siguiente manera: </w:t>
      </w:r>
    </w:p>
    <w:p w14:paraId="186DD81B" w14:textId="77777777" w:rsidR="006B17A7" w:rsidRPr="006B17A7" w:rsidRDefault="006B17A7" w:rsidP="006B17A7">
      <w:pPr>
        <w:spacing w:after="0" w:line="276" w:lineRule="auto"/>
        <w:ind w:left="720"/>
        <w:contextualSpacing/>
        <w:jc w:val="both"/>
        <w:rPr>
          <w:rFonts w:ascii="Verdana" w:eastAsia="Calibri" w:hAnsi="Verdana" w:cs="Arial"/>
          <w:kern w:val="0"/>
          <w:sz w:val="22"/>
          <w:szCs w:val="22"/>
          <w:lang w:val="es-MX"/>
          <w14:ligatures w14:val="none"/>
        </w:rPr>
      </w:pPr>
    </w:p>
    <w:p w14:paraId="49084047" w14:textId="77777777" w:rsidR="006B17A7" w:rsidRPr="006B17A7" w:rsidRDefault="006B17A7" w:rsidP="006B17A7">
      <w:pPr>
        <w:spacing w:after="0" w:line="240" w:lineRule="auto"/>
        <w:ind w:left="709" w:right="709"/>
        <w:contextualSpacing/>
        <w:jc w:val="both"/>
        <w:rPr>
          <w:rFonts w:ascii="Verdana" w:eastAsia="Calibri" w:hAnsi="Verdana" w:cs="Arial"/>
          <w:kern w:val="0"/>
          <w:sz w:val="20"/>
          <w:szCs w:val="20"/>
          <w:lang w:val="es-MX"/>
          <w14:ligatures w14:val="none"/>
        </w:rPr>
      </w:pPr>
      <w:r w:rsidRPr="006B17A7">
        <w:rPr>
          <w:rFonts w:ascii="Verdana" w:eastAsia="Calibri" w:hAnsi="Verdana" w:cs="Arial"/>
          <w:i/>
          <w:iCs/>
          <w:color w:val="000000"/>
          <w:kern w:val="0"/>
          <w:sz w:val="20"/>
          <w:szCs w:val="20"/>
          <w:lang w:val="es-ES_tradnl"/>
          <w14:ligatures w14:val="none"/>
        </w:rPr>
        <w:t>“</w:t>
      </w:r>
      <w:r w:rsidRPr="006B17A7">
        <w:rPr>
          <w:rFonts w:ascii="Verdana" w:eastAsia="Calibri" w:hAnsi="Verdana" w:cs="Arial"/>
          <w:kern w:val="0"/>
          <w:sz w:val="20"/>
          <w:szCs w:val="20"/>
          <w:lang w:val="es-MX"/>
          <w14:ligatures w14:val="none"/>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w:t>
      </w:r>
      <w:r w:rsidRPr="006B17A7">
        <w:rPr>
          <w:rFonts w:ascii="Verdana" w:eastAsia="Calibri" w:hAnsi="Verdana" w:cs="Arial"/>
          <w:kern w:val="0"/>
          <w:sz w:val="20"/>
          <w:szCs w:val="20"/>
          <w:lang w:val="es-MX"/>
          <w14:ligatures w14:val="none"/>
        </w:rPr>
        <w:lastRenderedPageBreak/>
        <w:t xml:space="preserve">(aspecto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6B17A7">
        <w:rPr>
          <w:rFonts w:ascii="Verdana" w:eastAsia="Calibri" w:hAnsi="Verdana" w:cs="Arial"/>
          <w:kern w:val="0"/>
          <w:sz w:val="20"/>
          <w:szCs w:val="20"/>
          <w:lang w:val="es-MX"/>
          <w14:ligatures w14:val="none"/>
        </w:rPr>
        <w:t>ii</w:t>
      </w:r>
      <w:proofErr w:type="spellEnd"/>
      <w:r w:rsidRPr="006B17A7">
        <w:rPr>
          <w:rFonts w:ascii="Verdana" w:eastAsia="Calibri" w:hAnsi="Verdana" w:cs="Arial"/>
          <w:kern w:val="0"/>
          <w:sz w:val="20"/>
          <w:szCs w:val="20"/>
          <w:lang w:val="es-MX"/>
          <w14:ligatures w14:val="none"/>
        </w:rPr>
        <w:t>) definir la situación jurídica de las partes, estableciendo si pueden constituirse o no a paz y salvo; lo que exige, en la práctica, que los negociantes dialoguen e intenten ponerse de acuerdo (aspecto subjetivo)”</w:t>
      </w:r>
      <w:r w:rsidRPr="006B17A7">
        <w:rPr>
          <w:rFonts w:ascii="Verdana" w:eastAsia="Aptos" w:hAnsi="Verdana" w:cs="Times New Roman"/>
          <w:kern w:val="0"/>
          <w:sz w:val="20"/>
          <w:szCs w:val="20"/>
          <w:vertAlign w:val="superscript"/>
          <w:lang w:val="es-MX"/>
          <w14:ligatures w14:val="none"/>
        </w:rPr>
        <w:footnoteReference w:id="2"/>
      </w:r>
      <w:r w:rsidRPr="006B17A7">
        <w:rPr>
          <w:rFonts w:ascii="Verdana" w:eastAsia="Calibri" w:hAnsi="Verdana" w:cs="Arial"/>
          <w:kern w:val="0"/>
          <w:sz w:val="20"/>
          <w:szCs w:val="20"/>
          <w:lang w:val="es-MX"/>
          <w14:ligatures w14:val="none"/>
        </w:rPr>
        <w:t>.</w:t>
      </w:r>
    </w:p>
    <w:p w14:paraId="5C96ADAC" w14:textId="77777777" w:rsidR="006B17A7" w:rsidRPr="006B17A7" w:rsidRDefault="006B17A7" w:rsidP="006B17A7">
      <w:pPr>
        <w:spacing w:after="0" w:line="276" w:lineRule="auto"/>
        <w:ind w:left="720"/>
        <w:contextualSpacing/>
        <w:jc w:val="both"/>
        <w:rPr>
          <w:rFonts w:ascii="Verdana" w:eastAsia="Calibri" w:hAnsi="Verdana" w:cs="Arial"/>
          <w:kern w:val="0"/>
          <w:sz w:val="22"/>
          <w:szCs w:val="22"/>
          <w:lang w:val="es-MX"/>
          <w14:ligatures w14:val="none"/>
        </w:rPr>
      </w:pPr>
    </w:p>
    <w:p w14:paraId="1B917D13" w14:textId="77777777" w:rsidR="006B17A7" w:rsidRPr="006B17A7" w:rsidRDefault="006B17A7" w:rsidP="006B17A7">
      <w:pPr>
        <w:spacing w:after="120" w:line="276" w:lineRule="auto"/>
        <w:jc w:val="both"/>
        <w:rPr>
          <w:rFonts w:ascii="Verdana" w:eastAsia="Calibri" w:hAnsi="Verdana" w:cs="Arial"/>
          <w:kern w:val="0"/>
          <w:sz w:val="22"/>
          <w:szCs w:val="22"/>
          <w:lang w:val="es-MX"/>
          <w14:ligatures w14:val="none"/>
        </w:rPr>
      </w:pPr>
      <w:r w:rsidRPr="006B17A7">
        <w:rPr>
          <w:rFonts w:ascii="Verdana" w:eastAsia="Calibri" w:hAnsi="Verdana" w:cs="Arial"/>
          <w:kern w:val="0"/>
          <w:sz w:val="22"/>
          <w:szCs w:val="22"/>
          <w:lang w:val="es-MX"/>
          <w14:ligatures w14:val="none"/>
        </w:rPr>
        <w:t>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comportamiento financiero del negocio</w:t>
      </w:r>
      <w:r w:rsidRPr="006B17A7">
        <w:rPr>
          <w:rFonts w:ascii="Aptos" w:eastAsia="Times New Roman" w:hAnsi="Aptos" w:cs="Times New Roman"/>
          <w:color w:val="000000"/>
          <w:kern w:val="0"/>
          <w:sz w:val="22"/>
          <w:vertAlign w:val="superscript"/>
          <w:lang w:val="es-ES_tradnl" w:eastAsia="es-ES_tradnl"/>
          <w14:ligatures w14:val="none"/>
        </w:rPr>
        <w:footnoteReference w:id="3"/>
      </w:r>
      <w:r w:rsidRPr="006B17A7">
        <w:rPr>
          <w:rFonts w:ascii="Verdana" w:eastAsia="Times New Roman" w:hAnsi="Verdana" w:cs="Arial"/>
          <w:color w:val="000000"/>
          <w:kern w:val="0"/>
          <w:sz w:val="22"/>
          <w:lang w:val="es-ES_tradnl" w:eastAsia="es-ES_tradnl"/>
          <w14:ligatures w14:val="none"/>
        </w:rPr>
        <w:t>.</w:t>
      </w:r>
      <w:r w:rsidRPr="006B17A7">
        <w:rPr>
          <w:rFonts w:ascii="Verdana" w:eastAsia="Calibri" w:hAnsi="Verdana" w:cs="Arial"/>
          <w:kern w:val="0"/>
          <w:sz w:val="22"/>
          <w:szCs w:val="22"/>
          <w:lang w:val="es-MX"/>
          <w14:ligatures w14:val="none"/>
        </w:rPr>
        <w:t xml:space="preserve"> En ese sentido, el artículo 60 de la Ley 80 de 1993 dispone que en la etapa de liquidación del contrato estatal las partes acordarán los ajustes, revisiones y reconocimientos a que haya lugar. Por lo que, la misma norma, señala que será en el acta de liquidación el documento donde “constarán los acuerdos, conciliaciones y transacciones a que llegaren las partes para poner fin a las divergencias presentadas y poder declarase a paz y salvo”.</w:t>
      </w:r>
    </w:p>
    <w:p w14:paraId="3777F05C" w14:textId="77777777" w:rsidR="006B17A7" w:rsidRPr="006B17A7" w:rsidRDefault="006B17A7" w:rsidP="006B17A7">
      <w:pPr>
        <w:spacing w:after="120" w:line="276" w:lineRule="auto"/>
        <w:ind w:firstLine="708"/>
        <w:jc w:val="both"/>
        <w:rPr>
          <w:rFonts w:ascii="Verdana" w:eastAsia="Calibri" w:hAnsi="Verdana" w:cs="Arial"/>
          <w:kern w:val="0"/>
          <w:sz w:val="22"/>
          <w:szCs w:val="22"/>
          <w:lang w:val="es-MX"/>
          <w14:ligatures w14:val="none"/>
        </w:rPr>
      </w:pPr>
      <w:r w:rsidRPr="006B17A7">
        <w:rPr>
          <w:rFonts w:ascii="Verdana" w:eastAsia="Calibri" w:hAnsi="Verdana" w:cs="Arial"/>
          <w:kern w:val="0"/>
          <w:sz w:val="22"/>
          <w:szCs w:val="22"/>
          <w:lang w:val="es-MX"/>
          <w14:ligatures w14:val="none"/>
        </w:rPr>
        <w:t xml:space="preserve">El Estatuto General de Contratación de la Administración Pública –Ley 80 de 1993, Ley 1150 de 2007, Decreto 1082 de 2015 y demás normas que lo modifiquen o complementen–, aplicable para las Entidades Estatales sujetas a este, establece las disposiciones legales que regulan la etapa de liquidación de los contratos estatales, particularmente en el artículo 60 de la Ley 80 de 1993, </w:t>
      </w:r>
      <w:r w:rsidRPr="006B17A7">
        <w:rPr>
          <w:rFonts w:ascii="Verdana" w:eastAsia="Calibri" w:hAnsi="Verdana" w:cs="Arial"/>
          <w:kern w:val="0"/>
          <w:sz w:val="22"/>
          <w:szCs w:val="22"/>
          <w:lang w:val="es-MX"/>
          <w14:ligatures w14:val="none"/>
        </w:rPr>
        <w:lastRenderedPageBreak/>
        <w:t xml:space="preserve">modificado por el artículo 217 del Decreto 019 de 2012, y el artículo 11 de la Ley 1150 de 2007. El primero de estos artículos regula el alcance sustantivo de la liquidación y los contratos en que procede, mientras que el segundo señala las reglas procedimentales para su realización. </w:t>
      </w:r>
    </w:p>
    <w:p w14:paraId="0F4CC494" w14:textId="77777777" w:rsidR="006B17A7" w:rsidRPr="006B17A7" w:rsidRDefault="006B17A7" w:rsidP="006B17A7">
      <w:pPr>
        <w:spacing w:after="120" w:line="276" w:lineRule="auto"/>
        <w:ind w:firstLine="708"/>
        <w:jc w:val="both"/>
        <w:rPr>
          <w:rFonts w:ascii="Verdana" w:eastAsia="Calibri" w:hAnsi="Verdana" w:cs="Arial"/>
          <w:kern w:val="0"/>
          <w:sz w:val="22"/>
          <w:szCs w:val="22"/>
          <w:lang w:val="es-MX"/>
          <w14:ligatures w14:val="none"/>
        </w:rPr>
      </w:pPr>
      <w:r w:rsidRPr="006B17A7">
        <w:rPr>
          <w:rFonts w:ascii="Verdana" w:eastAsia="Calibri" w:hAnsi="Verdana" w:cs="Arial"/>
          <w:kern w:val="0"/>
          <w:sz w:val="22"/>
          <w:szCs w:val="22"/>
          <w:lang w:val="es-MX"/>
          <w14:ligatures w14:val="none"/>
        </w:rPr>
        <w:t xml:space="preserve">De esta forma, se tiene que, las Entidades Estatales sujetas al Estatuto General de Contratación de la Administración Pública, deben liquidar, conforme al artículo 60 de la Ley 80 de 1993: a) los contratos de tracto sucesivo, esto es aquellos cuyas obligaciones se ejecuten de manera periódica o difieren en el tiempo o sucesivamente a medida que se van causando; b) aquellos contratos cuya ejecución o cumplimiento se prolonguen en el tiempo, ya sea por la naturaleza periódica de las prestaciones o por las vicisitudes que se presenten en su ejecución que lo dilaten o prorroguen y; c) los demás que lo requieran, con fundamento en su naturaleza, objeto y plazo, así como su importancia o relevancia o por la eventualidad de discrepancias y controversias en torno a su ejecución; salvo, en los contratos de prestación de servicios profesionales y de apoyo a la gestión, pues en estos no es obligatoria la liquidación. </w:t>
      </w:r>
    </w:p>
    <w:p w14:paraId="0F1E1C5D" w14:textId="77777777" w:rsidR="006B17A7" w:rsidRPr="006B17A7" w:rsidRDefault="006B17A7" w:rsidP="006B17A7">
      <w:pPr>
        <w:spacing w:after="120" w:line="276" w:lineRule="auto"/>
        <w:ind w:firstLine="703"/>
        <w:jc w:val="both"/>
        <w:rPr>
          <w:rFonts w:ascii="Verdana" w:eastAsia="Calibri" w:hAnsi="Verdana" w:cs="Arial"/>
          <w:kern w:val="0"/>
          <w:sz w:val="22"/>
          <w:szCs w:val="22"/>
          <w:lang w:val="es-MX"/>
          <w14:ligatures w14:val="none"/>
        </w:rPr>
      </w:pPr>
      <w:r w:rsidRPr="006B17A7">
        <w:rPr>
          <w:rFonts w:ascii="Verdana" w:eastAsia="Calibri" w:hAnsi="Verdana" w:cs="Arial"/>
          <w:kern w:val="0"/>
          <w:sz w:val="22"/>
          <w:szCs w:val="22"/>
          <w:lang w:val="es-MX"/>
          <w14:ligatures w14:val="none"/>
        </w:rPr>
        <w:t xml:space="preserve">De esta forma, se aclara que, si se cumplen con las condiciones antes señaladas, la entidad contratante deberá determinar sobre cada caso particular y concreto, si procede la liquidación y la forma en la que la adelantará, obedeciendo claramente, a las reglas procedimentales señaladas en el artículo 11 de la Ley 1150 de 2007. Con fundamento en lo estableciendo en el artículo 11 </w:t>
      </w:r>
      <w:r w:rsidRPr="006B17A7">
        <w:rPr>
          <w:rFonts w:ascii="Verdana" w:eastAsia="Calibri" w:hAnsi="Verdana" w:cs="Arial"/>
          <w:i/>
          <w:iCs/>
          <w:kern w:val="0"/>
          <w:sz w:val="22"/>
          <w:szCs w:val="22"/>
          <w:lang w:val="es-MX"/>
          <w14:ligatures w14:val="none"/>
        </w:rPr>
        <w:t>ibidem</w:t>
      </w:r>
      <w:r w:rsidRPr="006B17A7">
        <w:rPr>
          <w:rFonts w:ascii="Verdana" w:eastAsia="Calibri" w:hAnsi="Verdana" w:cs="Arial"/>
          <w:kern w:val="0"/>
          <w:sz w:val="22"/>
          <w:szCs w:val="22"/>
          <w:lang w:val="es-MX"/>
          <w14:ligatures w14:val="none"/>
        </w:rPr>
        <w:t xml:space="preserve">, las Entidades Estatales en el ejercicio de la autonomía de la voluntad y de conformidad con los criterios de la naturaleza, objeto y plazo del contrato, podrán definir en el pliego de condiciones o en el contrato el plazo para efectuar la liquidación de mutuo acuerdo. Sin embargo, en ausencia de pacto contractual, la referida norma prevé un término supletivo de cuatro (4) meses contados desde: i) el vencimiento del plazo previsto para la ejecución del contrato; </w:t>
      </w:r>
      <w:proofErr w:type="spellStart"/>
      <w:r w:rsidRPr="006B17A7">
        <w:rPr>
          <w:rFonts w:ascii="Verdana" w:eastAsia="Calibri" w:hAnsi="Verdana" w:cs="Arial"/>
          <w:kern w:val="0"/>
          <w:sz w:val="22"/>
          <w:szCs w:val="22"/>
          <w:lang w:val="es-MX"/>
          <w14:ligatures w14:val="none"/>
        </w:rPr>
        <w:t>ii</w:t>
      </w:r>
      <w:proofErr w:type="spellEnd"/>
      <w:r w:rsidRPr="006B17A7">
        <w:rPr>
          <w:rFonts w:ascii="Verdana" w:eastAsia="Calibri" w:hAnsi="Verdana" w:cs="Arial"/>
          <w:kern w:val="0"/>
          <w:sz w:val="22"/>
          <w:szCs w:val="22"/>
          <w:lang w:val="es-MX"/>
          <w14:ligatures w14:val="none"/>
        </w:rPr>
        <w:t xml:space="preserve">) la expedición del acto administrativo que ordene la terminación del contrato; o </w:t>
      </w:r>
      <w:proofErr w:type="spellStart"/>
      <w:r w:rsidRPr="006B17A7">
        <w:rPr>
          <w:rFonts w:ascii="Verdana" w:eastAsia="Calibri" w:hAnsi="Verdana" w:cs="Arial"/>
          <w:kern w:val="0"/>
          <w:sz w:val="22"/>
          <w:szCs w:val="22"/>
          <w:lang w:val="es-MX"/>
          <w14:ligatures w14:val="none"/>
        </w:rPr>
        <w:t>iii</w:t>
      </w:r>
      <w:proofErr w:type="spellEnd"/>
      <w:r w:rsidRPr="006B17A7">
        <w:rPr>
          <w:rFonts w:ascii="Verdana" w:eastAsia="Calibri" w:hAnsi="Verdana" w:cs="Arial"/>
          <w:kern w:val="0"/>
          <w:sz w:val="22"/>
          <w:szCs w:val="22"/>
          <w:lang w:val="es-MX"/>
          <w14:ligatures w14:val="none"/>
        </w:rPr>
        <w:t>) la fecha del acuerdo que disponga la terminación del contrato.</w:t>
      </w:r>
    </w:p>
    <w:p w14:paraId="1132D0EA" w14:textId="77777777" w:rsidR="006B17A7" w:rsidRPr="006B17A7" w:rsidRDefault="006B17A7" w:rsidP="006B17A7">
      <w:pPr>
        <w:spacing w:after="0" w:line="276" w:lineRule="auto"/>
        <w:ind w:firstLine="703"/>
        <w:jc w:val="both"/>
        <w:rPr>
          <w:rFonts w:ascii="Verdana" w:eastAsia="Calibri" w:hAnsi="Verdana" w:cs="Arial"/>
          <w:kern w:val="0"/>
          <w:sz w:val="22"/>
          <w:szCs w:val="22"/>
          <w:lang w:val="es-MX"/>
          <w14:ligatures w14:val="none"/>
        </w:rPr>
      </w:pPr>
      <w:r w:rsidRPr="006B17A7">
        <w:rPr>
          <w:rFonts w:ascii="Verdana" w:eastAsia="Calibri" w:hAnsi="Verdana" w:cs="Arial"/>
          <w:kern w:val="0"/>
          <w:sz w:val="22"/>
          <w:szCs w:val="22"/>
          <w:lang w:val="es-MX"/>
          <w14:ligatures w14:val="none"/>
        </w:rPr>
        <w:t xml:space="preserve">Durante dichos términos, el contratista puede solicitar que se adelante el trámite de liquidación. Sin embargo, es responsabilidad de la Entidad Estatal convocarlo para adelantar la liquidación de común acuerdo o notificarlo para que </w:t>
      </w:r>
      <w:r w:rsidRPr="006B17A7">
        <w:rPr>
          <w:rFonts w:ascii="Verdana" w:eastAsia="Calibri" w:hAnsi="Verdana" w:cs="Arial"/>
          <w:kern w:val="0"/>
          <w:sz w:val="22"/>
          <w:szCs w:val="22"/>
          <w:lang w:val="es-MX"/>
          <w14:ligatures w14:val="none"/>
        </w:rPr>
        <w:lastRenderedPageBreak/>
        <w:t>se presente a realizarla</w:t>
      </w:r>
      <w:r w:rsidRPr="006B17A7">
        <w:rPr>
          <w:rFonts w:ascii="Aptos" w:eastAsia="Aptos" w:hAnsi="Aptos" w:cs="Times New Roman"/>
          <w:color w:val="000000"/>
          <w:kern w:val="0"/>
          <w:sz w:val="22"/>
          <w:szCs w:val="22"/>
          <w:vertAlign w:val="superscript"/>
          <w:lang w:val="es-ES_tradnl"/>
          <w14:ligatures w14:val="none"/>
        </w:rPr>
        <w:footnoteReference w:id="4"/>
      </w:r>
      <w:r w:rsidRPr="006B17A7">
        <w:rPr>
          <w:rFonts w:ascii="Verdana" w:eastAsia="Calibri" w:hAnsi="Verdana" w:cs="Arial"/>
          <w:color w:val="000000"/>
          <w:kern w:val="0"/>
          <w:sz w:val="22"/>
          <w:szCs w:val="22"/>
          <w:lang w:val="es-ES_tradnl"/>
          <w14:ligatures w14:val="none"/>
        </w:rPr>
        <w:t>, de manera que el contrato pueda ser liquidado bilateralmente, bien sea en el plazo previsto en el pliego de condiciones, el acordado por las partes, o el supletivo de cuatro (4) meses señalados en la ley, según corresponda. Esta liquidación bilateral puede ser total o parcial</w:t>
      </w:r>
      <w:r w:rsidRPr="006B17A7">
        <w:rPr>
          <w:rFonts w:ascii="Aptos" w:eastAsia="Aptos" w:hAnsi="Aptos" w:cs="Times New Roman"/>
          <w:iCs/>
          <w:color w:val="000000"/>
          <w:kern w:val="0"/>
          <w:sz w:val="22"/>
          <w:szCs w:val="22"/>
          <w:vertAlign w:val="superscript"/>
          <w:lang w:val="es-ES_tradnl"/>
          <w14:ligatures w14:val="none"/>
        </w:rPr>
        <w:footnoteReference w:id="5"/>
      </w:r>
      <w:r w:rsidRPr="006B17A7">
        <w:rPr>
          <w:rFonts w:ascii="Verdana" w:eastAsia="Calibri" w:hAnsi="Verdana" w:cs="Arial"/>
          <w:color w:val="000000"/>
          <w:kern w:val="0"/>
          <w:sz w:val="22"/>
          <w:szCs w:val="22"/>
          <w:lang w:val="es-ES_tradnl"/>
          <w14:ligatures w14:val="none"/>
        </w:rPr>
        <w:t>, y el documento que la contiene presta mérito ejecutivo, siempre que se satisfagan los elementos para considerarlo como tal. Si no es posible efectuar la liquidación de manera bilateral, el ordenamiento jurídico prevé de facultad, de manera subsidiaria, a la Entidad Estatal para que realice la liquidación unilateralmente.</w:t>
      </w:r>
    </w:p>
    <w:p w14:paraId="65854C2A" w14:textId="77777777" w:rsidR="006B17A7" w:rsidRPr="006B17A7" w:rsidRDefault="006B17A7" w:rsidP="006B17A7">
      <w:pPr>
        <w:spacing w:before="120" w:after="0" w:line="276" w:lineRule="auto"/>
        <w:ind w:firstLine="703"/>
        <w:jc w:val="both"/>
        <w:rPr>
          <w:rFonts w:ascii="Verdana" w:eastAsia="Times New Roman" w:hAnsi="Verdana" w:cs="Arial"/>
          <w:color w:val="000000"/>
          <w:kern w:val="0"/>
          <w:sz w:val="22"/>
          <w:szCs w:val="22"/>
          <w:lang w:eastAsia="es-ES_tradnl"/>
          <w14:ligatures w14:val="none"/>
        </w:rPr>
      </w:pPr>
      <w:r w:rsidRPr="006B17A7">
        <w:rPr>
          <w:rFonts w:ascii="Verdana" w:eastAsia="Calibri" w:hAnsi="Verdana" w:cs="Arial"/>
          <w:kern w:val="0"/>
          <w:sz w:val="22"/>
          <w:szCs w:val="22"/>
          <w:lang w:val="es-MX"/>
          <w14:ligatures w14:val="none"/>
        </w:rPr>
        <w:t xml:space="preserve">Si no es posible efectuar la liquidación </w:t>
      </w:r>
      <w:r w:rsidRPr="006B17A7">
        <w:rPr>
          <w:rFonts w:ascii="Verdana" w:eastAsia="Times New Roman" w:hAnsi="Verdana" w:cs="Arial"/>
          <w:color w:val="000000"/>
          <w:kern w:val="0"/>
          <w:sz w:val="22"/>
          <w:szCs w:val="22"/>
          <w:bdr w:val="none" w:sz="0" w:space="0" w:color="auto" w:frame="1"/>
          <w:shd w:val="clear" w:color="auto" w:fill="FFFFFF"/>
          <w:lang w:val="es-ES" w:eastAsia="es-ES_tradnl"/>
          <w14:ligatures w14:val="none"/>
        </w:rPr>
        <w:t xml:space="preserve">de manera bilateral, el ordenamiento jurídico prevé una facultad, de carácter subsidiario, para que la Entidad Estatal realice la liquidación unilateralmente. En relación con este aspecto, la </w:t>
      </w:r>
      <w:r w:rsidRPr="006B17A7">
        <w:rPr>
          <w:rFonts w:ascii="Verdana" w:eastAsia="Times New Roman" w:hAnsi="Verdana" w:cs="Arial"/>
          <w:color w:val="000000"/>
          <w:kern w:val="0"/>
          <w:sz w:val="22"/>
          <w:szCs w:val="22"/>
          <w:bdr w:val="none" w:sz="0" w:space="0" w:color="auto" w:frame="1"/>
          <w:shd w:val="clear" w:color="auto" w:fill="FFFFFF"/>
          <w:lang w:val="es-MX" w:eastAsia="es-ES_tradnl"/>
          <w14:ligatures w14:val="none"/>
        </w:rPr>
        <w:t xml:space="preserve">Sala de Consulta y Servicio Civil del </w:t>
      </w:r>
      <w:r w:rsidRPr="006B17A7">
        <w:rPr>
          <w:rFonts w:ascii="Verdana" w:eastAsia="Times New Roman" w:hAnsi="Verdana" w:cs="Arial"/>
          <w:color w:val="000000"/>
          <w:kern w:val="0"/>
          <w:sz w:val="22"/>
          <w:szCs w:val="22"/>
          <w:bdr w:val="none" w:sz="0" w:space="0" w:color="auto" w:frame="1"/>
          <w:shd w:val="clear" w:color="auto" w:fill="FFFFFF"/>
          <w:lang w:val="es-ES" w:eastAsia="es-ES_tradnl"/>
          <w14:ligatures w14:val="none"/>
        </w:rPr>
        <w:t>Consejo de Estado</w:t>
      </w:r>
      <w:r w:rsidRPr="006B17A7">
        <w:rPr>
          <w:rFonts w:ascii="Verdana" w:eastAsia="Times New Roman" w:hAnsi="Verdana" w:cs="Arial"/>
          <w:color w:val="000000"/>
          <w:kern w:val="0"/>
          <w:sz w:val="22"/>
          <w:szCs w:val="22"/>
          <w:bdr w:val="none" w:sz="0" w:space="0" w:color="auto" w:frame="1"/>
          <w:shd w:val="clear" w:color="auto" w:fill="FFFFFF"/>
          <w:lang w:val="es-MX" w:eastAsia="es-ES_tradnl"/>
          <w14:ligatures w14:val="none"/>
        </w:rPr>
        <w:t>, en concepto del 28 de junio de 2016, manifestó que:  </w:t>
      </w:r>
    </w:p>
    <w:p w14:paraId="45C7D913" w14:textId="77777777" w:rsidR="006B17A7" w:rsidRPr="006B17A7" w:rsidRDefault="006B17A7" w:rsidP="006B17A7">
      <w:pPr>
        <w:spacing w:after="0" w:line="276" w:lineRule="auto"/>
        <w:ind w:left="705" w:right="750"/>
        <w:jc w:val="both"/>
        <w:rPr>
          <w:rFonts w:ascii="Verdana" w:eastAsia="Times New Roman" w:hAnsi="Verdana" w:cs="Arial"/>
          <w:color w:val="000000"/>
          <w:kern w:val="0"/>
          <w:sz w:val="22"/>
          <w:szCs w:val="22"/>
          <w:lang w:eastAsia="es-ES_tradnl"/>
          <w14:ligatures w14:val="none"/>
        </w:rPr>
      </w:pPr>
    </w:p>
    <w:p w14:paraId="1EDF845F" w14:textId="77777777" w:rsidR="006B17A7" w:rsidRPr="006B17A7" w:rsidRDefault="006B17A7" w:rsidP="006B17A7">
      <w:pPr>
        <w:spacing w:after="0" w:line="240" w:lineRule="auto"/>
        <w:ind w:left="705" w:right="750"/>
        <w:jc w:val="both"/>
        <w:rPr>
          <w:rFonts w:ascii="Verdana" w:eastAsia="Times New Roman" w:hAnsi="Verdana" w:cs="Arial"/>
          <w:color w:val="000000"/>
          <w:kern w:val="0"/>
          <w:sz w:val="20"/>
          <w:szCs w:val="20"/>
          <w:lang w:eastAsia="es-ES_tradnl"/>
          <w14:ligatures w14:val="none"/>
        </w:rPr>
      </w:pPr>
      <w:r w:rsidRPr="006B17A7">
        <w:rPr>
          <w:rFonts w:ascii="Verdana" w:eastAsia="Times New Roman" w:hAnsi="Verdana" w:cs="Arial"/>
          <w:i/>
          <w:iCs/>
          <w:kern w:val="0"/>
          <w:sz w:val="20"/>
          <w:szCs w:val="20"/>
          <w:lang w:val="es-ES_tradnl" w:eastAsia="es-ES_tradnl"/>
          <w14:ligatures w14:val="none"/>
        </w:rPr>
        <w:t>“</w:t>
      </w:r>
      <w:r w:rsidRPr="006B17A7">
        <w:rPr>
          <w:rFonts w:ascii="Verdana" w:eastAsia="Calibri" w:hAnsi="Verdana" w:cs="Arial"/>
          <w:color w:val="000000"/>
          <w:kern w:val="0"/>
          <w:sz w:val="20"/>
          <w:szCs w:val="20"/>
          <w:lang w:val="es-ES" w:eastAsia="es-ES_tradnl"/>
          <w14:ligatures w14:val="none"/>
        </w:rPr>
        <w:t>[</w:t>
      </w:r>
      <w:r w:rsidRPr="006B17A7">
        <w:rPr>
          <w:rFonts w:ascii="Verdana" w:eastAsia="Times New Roman" w:hAnsi="Verdana" w:cs="Arial"/>
          <w:color w:val="000000"/>
          <w:kern w:val="0"/>
          <w:sz w:val="20"/>
          <w:szCs w:val="20"/>
          <w:bdr w:val="none" w:sz="0" w:space="0" w:color="auto" w:frame="1"/>
          <w:shd w:val="clear" w:color="auto" w:fill="FFFFFF"/>
          <w:lang w:eastAsia="es-ES_tradnl"/>
          <w14:ligatures w14:val="none"/>
        </w:rPr>
        <w:t xml:space="preserve">…] </w:t>
      </w:r>
      <w:r w:rsidRPr="006B17A7">
        <w:rPr>
          <w:rFonts w:ascii="Verdana" w:eastAsia="Times New Roman" w:hAnsi="Verdana" w:cs="Arial"/>
          <w:color w:val="000000"/>
          <w:kern w:val="0"/>
          <w:sz w:val="20"/>
          <w:szCs w:val="20"/>
          <w:bdr w:val="none" w:sz="0" w:space="0" w:color="auto" w:frame="1"/>
          <w:shd w:val="clear" w:color="auto" w:fill="FFFFFF"/>
          <w:lang w:val="es-ES" w:eastAsia="es-ES_tradnl"/>
          <w14:ligatures w14:val="none"/>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6B17A7">
        <w:rPr>
          <w:rFonts w:ascii="Verdana" w:eastAsia="Times New Roman" w:hAnsi="Verdana" w:cs="Arial"/>
          <w:color w:val="000000"/>
          <w:kern w:val="0"/>
          <w:sz w:val="20"/>
          <w:szCs w:val="20"/>
          <w:bdr w:val="none" w:sz="0" w:space="0" w:color="auto" w:frame="1"/>
          <w:shd w:val="clear" w:color="auto" w:fill="FFFFFF"/>
          <w:vertAlign w:val="superscript"/>
          <w:lang w:val="es-MX" w:eastAsia="es-ES_tradnl"/>
          <w14:ligatures w14:val="none"/>
        </w:rPr>
        <w:footnoteReference w:id="6"/>
      </w:r>
      <w:r w:rsidRPr="006B17A7">
        <w:rPr>
          <w:rFonts w:ascii="Verdana" w:eastAsia="Times New Roman" w:hAnsi="Verdana" w:cs="Arial"/>
          <w:color w:val="000000"/>
          <w:kern w:val="0"/>
          <w:sz w:val="20"/>
          <w:szCs w:val="20"/>
          <w:bdr w:val="none" w:sz="0" w:space="0" w:color="auto" w:frame="1"/>
          <w:shd w:val="clear" w:color="auto" w:fill="FFFFFF"/>
          <w:lang w:val="es-ES" w:eastAsia="es-ES_tradnl"/>
          <w14:ligatures w14:val="none"/>
        </w:rPr>
        <w:t>. </w:t>
      </w:r>
      <w:r w:rsidRPr="006B17A7">
        <w:rPr>
          <w:rFonts w:ascii="Verdana" w:eastAsia="Times New Roman" w:hAnsi="Verdana" w:cs="Arial"/>
          <w:color w:val="000000"/>
          <w:kern w:val="0"/>
          <w:sz w:val="20"/>
          <w:szCs w:val="20"/>
          <w:bdr w:val="none" w:sz="0" w:space="0" w:color="auto" w:frame="1"/>
          <w:shd w:val="clear" w:color="auto" w:fill="FFFFFF"/>
          <w:lang w:eastAsia="es-ES_tradnl"/>
          <w14:ligatures w14:val="none"/>
        </w:rPr>
        <w:t>  </w:t>
      </w:r>
    </w:p>
    <w:p w14:paraId="7FE5FB83" w14:textId="77777777" w:rsidR="006B17A7" w:rsidRPr="006B17A7" w:rsidRDefault="006B17A7" w:rsidP="006B17A7">
      <w:pPr>
        <w:spacing w:after="0" w:line="276" w:lineRule="auto"/>
        <w:ind w:left="705" w:right="750"/>
        <w:jc w:val="both"/>
        <w:rPr>
          <w:rFonts w:ascii="Verdana" w:eastAsia="Times New Roman" w:hAnsi="Verdana" w:cs="Arial"/>
          <w:color w:val="000000"/>
          <w:kern w:val="0"/>
          <w:sz w:val="22"/>
          <w:szCs w:val="22"/>
          <w:lang w:eastAsia="es-ES_tradnl"/>
          <w14:ligatures w14:val="none"/>
        </w:rPr>
      </w:pPr>
    </w:p>
    <w:p w14:paraId="34EEC9FA" w14:textId="77777777" w:rsidR="006B17A7" w:rsidRPr="006B17A7" w:rsidRDefault="006B17A7" w:rsidP="006B17A7">
      <w:pPr>
        <w:spacing w:after="0" w:line="276" w:lineRule="auto"/>
        <w:jc w:val="both"/>
        <w:rPr>
          <w:rFonts w:ascii="Verdana" w:eastAsia="Times New Roman" w:hAnsi="Verdana" w:cs="Arial"/>
          <w:color w:val="000000"/>
          <w:kern w:val="0"/>
          <w:sz w:val="22"/>
          <w:szCs w:val="22"/>
          <w:lang w:eastAsia="es-ES_tradnl"/>
          <w14:ligatures w14:val="none"/>
        </w:rPr>
      </w:pPr>
      <w:bookmarkStart w:id="3" w:name="_Hlk141851266"/>
      <w:r w:rsidRPr="006B17A7">
        <w:rPr>
          <w:rFonts w:ascii="Verdana" w:eastAsia="Times New Roman" w:hAnsi="Verdana" w:cs="Arial"/>
          <w:color w:val="000000"/>
          <w:kern w:val="0"/>
          <w:sz w:val="22"/>
          <w:szCs w:val="22"/>
          <w:bdr w:val="none" w:sz="0" w:space="0" w:color="auto" w:frame="1"/>
          <w:shd w:val="clear" w:color="auto" w:fill="FFFFFF"/>
          <w:lang w:val="es-ES" w:eastAsia="es-ES_tradnl"/>
          <w14:ligatures w14:val="none"/>
        </w:rPr>
        <w:t xml:space="preserve">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w:t>
      </w:r>
      <w:r w:rsidRPr="006B17A7">
        <w:rPr>
          <w:rFonts w:ascii="Verdana" w:eastAsia="Times New Roman" w:hAnsi="Verdana" w:cs="Arial"/>
          <w:color w:val="000000"/>
          <w:kern w:val="0"/>
          <w:sz w:val="22"/>
          <w:szCs w:val="22"/>
          <w:bdr w:val="none" w:sz="0" w:space="0" w:color="auto" w:frame="1"/>
          <w:shd w:val="clear" w:color="auto" w:fill="FFFFFF"/>
          <w:lang w:val="es-ES" w:eastAsia="es-ES_tradnl"/>
          <w14:ligatures w14:val="none"/>
        </w:rPr>
        <w:lastRenderedPageBreak/>
        <w:t>supletivo establecido por la ley. </w:t>
      </w:r>
      <w:r w:rsidRPr="006B17A7">
        <w:rPr>
          <w:rFonts w:ascii="Verdana" w:eastAsia="Times New Roman" w:hAnsi="Verdana" w:cs="Arial"/>
          <w:color w:val="000000"/>
          <w:kern w:val="0"/>
          <w:sz w:val="22"/>
          <w:szCs w:val="22"/>
          <w:lang w:eastAsia="es-ES_tradnl"/>
          <w14:ligatures w14:val="none"/>
        </w:rPr>
        <w:t xml:space="preserve"> </w:t>
      </w:r>
      <w:r w:rsidRPr="006B17A7">
        <w:rPr>
          <w:rFonts w:ascii="Verdana" w:eastAsia="Times New Roman" w:hAnsi="Verdana" w:cs="Arial"/>
          <w:color w:val="000000"/>
          <w:kern w:val="0"/>
          <w:sz w:val="22"/>
          <w:szCs w:val="22"/>
          <w:bdr w:val="none" w:sz="0" w:space="0" w:color="auto" w:frame="1"/>
          <w:shd w:val="clear" w:color="auto" w:fill="FFFFFF"/>
          <w:lang w:val="es-ES" w:eastAsia="es-ES_tradnl"/>
          <w14:ligatures w14:val="none"/>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3"/>
      <w:r w:rsidRPr="006B17A7">
        <w:rPr>
          <w:rFonts w:ascii="Verdana" w:eastAsia="Times New Roman" w:hAnsi="Verdana" w:cs="Arial"/>
          <w:color w:val="000000"/>
          <w:kern w:val="0"/>
          <w:sz w:val="22"/>
          <w:szCs w:val="22"/>
          <w:bdr w:val="none" w:sz="0" w:space="0" w:color="auto" w:frame="1"/>
          <w:shd w:val="clear" w:color="auto" w:fill="FFFFFF"/>
          <w:lang w:val="es-ES" w:eastAsia="es-ES_tradnl"/>
          <w14:ligatures w14:val="none"/>
        </w:rPr>
        <w:t xml:space="preserve">En este sentido, en decisión de unificación de la </w:t>
      </w:r>
      <w:r w:rsidRPr="006B17A7">
        <w:rPr>
          <w:rFonts w:ascii="Verdana" w:eastAsia="Times New Roman" w:hAnsi="Verdana" w:cs="Arial"/>
          <w:color w:val="000000"/>
          <w:kern w:val="0"/>
          <w:sz w:val="22"/>
          <w:szCs w:val="22"/>
          <w:bdr w:val="none" w:sz="0" w:space="0" w:color="auto" w:frame="1"/>
          <w:shd w:val="clear" w:color="auto" w:fill="FFFFFF"/>
          <w:lang w:val="es-MX" w:eastAsia="es-ES_tradnl"/>
          <w14:ligatures w14:val="none"/>
        </w:rPr>
        <w:t>Sección Tercera</w:t>
      </w:r>
      <w:r w:rsidRPr="006B17A7">
        <w:rPr>
          <w:rFonts w:ascii="Verdana" w:eastAsia="Times New Roman" w:hAnsi="Verdana" w:cs="Arial"/>
          <w:color w:val="000000"/>
          <w:kern w:val="0"/>
          <w:sz w:val="22"/>
          <w:szCs w:val="22"/>
          <w:bdr w:val="none" w:sz="0" w:space="0" w:color="auto" w:frame="1"/>
          <w:shd w:val="clear" w:color="auto" w:fill="FFFFFF"/>
          <w:lang w:val="es-ES" w:eastAsia="es-ES_tradnl"/>
          <w14:ligatures w14:val="none"/>
        </w:rPr>
        <w:t xml:space="preserve"> del Consejo de Estado del</w:t>
      </w:r>
      <w:r w:rsidRPr="006B17A7">
        <w:rPr>
          <w:rFonts w:ascii="Verdana" w:eastAsia="Times New Roman" w:hAnsi="Verdana" w:cs="Arial"/>
          <w:color w:val="000000"/>
          <w:kern w:val="0"/>
          <w:sz w:val="22"/>
          <w:szCs w:val="22"/>
          <w:bdr w:val="none" w:sz="0" w:space="0" w:color="auto" w:frame="1"/>
          <w:shd w:val="clear" w:color="auto" w:fill="FFFFFF"/>
          <w:lang w:val="es-MX" w:eastAsia="es-ES_tradnl"/>
          <w14:ligatures w14:val="none"/>
        </w:rPr>
        <w:t> </w:t>
      </w:r>
      <w:r w:rsidRPr="006B17A7">
        <w:rPr>
          <w:rFonts w:ascii="Verdana" w:eastAsia="Times New Roman" w:hAnsi="Verdana" w:cs="Arial"/>
          <w:color w:val="000000"/>
          <w:kern w:val="0"/>
          <w:sz w:val="22"/>
          <w:szCs w:val="22"/>
          <w:bdr w:val="none" w:sz="0" w:space="0" w:color="auto" w:frame="1"/>
          <w:shd w:val="clear" w:color="auto" w:fill="FFFFFF"/>
          <w:lang w:eastAsia="es-ES_tradnl"/>
          <w14:ligatures w14:val="none"/>
        </w:rPr>
        <w:t>1 de agosto de 2019, se expresó: </w:t>
      </w:r>
    </w:p>
    <w:p w14:paraId="47C73930" w14:textId="77777777" w:rsidR="006B17A7" w:rsidRPr="006B17A7" w:rsidRDefault="006B17A7" w:rsidP="006B17A7">
      <w:pPr>
        <w:spacing w:after="0" w:line="276" w:lineRule="auto"/>
        <w:ind w:firstLine="705"/>
        <w:jc w:val="both"/>
        <w:rPr>
          <w:rFonts w:ascii="Verdana" w:eastAsia="Times New Roman" w:hAnsi="Verdana" w:cs="Arial"/>
          <w:color w:val="000000"/>
          <w:kern w:val="0"/>
          <w:sz w:val="22"/>
          <w:szCs w:val="22"/>
          <w:lang w:eastAsia="es-ES_tradnl"/>
          <w14:ligatures w14:val="none"/>
        </w:rPr>
      </w:pPr>
    </w:p>
    <w:p w14:paraId="40E9B736" w14:textId="77777777" w:rsidR="006B17A7" w:rsidRPr="006B17A7" w:rsidRDefault="006B17A7" w:rsidP="006B17A7">
      <w:pPr>
        <w:spacing w:after="0" w:line="240" w:lineRule="auto"/>
        <w:ind w:left="705" w:right="750"/>
        <w:jc w:val="both"/>
        <w:rPr>
          <w:rFonts w:ascii="Verdana" w:eastAsia="Times New Roman" w:hAnsi="Verdana" w:cs="Arial"/>
          <w:color w:val="000000"/>
          <w:kern w:val="0"/>
          <w:sz w:val="20"/>
          <w:szCs w:val="20"/>
          <w:lang w:eastAsia="es-ES_tradnl"/>
          <w14:ligatures w14:val="none"/>
        </w:rPr>
      </w:pPr>
      <w:r w:rsidRPr="006B17A7">
        <w:rPr>
          <w:rFonts w:ascii="Verdana" w:eastAsia="Times New Roman" w:hAnsi="Verdana" w:cs="Arial"/>
          <w:kern w:val="0"/>
          <w:sz w:val="20"/>
          <w:szCs w:val="20"/>
          <w:lang w:val="es-ES_tradnl" w:eastAsia="es-ES_tradnl"/>
          <w14:ligatures w14:val="none"/>
        </w:rPr>
        <w:t>“</w:t>
      </w:r>
      <w:r w:rsidRPr="006B17A7">
        <w:rPr>
          <w:rFonts w:ascii="Verdana" w:eastAsia="Times New Roman" w:hAnsi="Verdana" w:cs="Arial"/>
          <w:color w:val="000000"/>
          <w:kern w:val="0"/>
          <w:sz w:val="20"/>
          <w:szCs w:val="20"/>
          <w:bdr w:val="none" w:sz="0" w:space="0" w:color="auto" w:frame="1"/>
          <w:shd w:val="clear" w:color="auto" w:fill="FFFFFF"/>
          <w:lang w:val="es-ES" w:eastAsia="es-ES_tradnl"/>
          <w14:ligatures w14:val="none"/>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6B17A7">
        <w:rPr>
          <w:rFonts w:ascii="Verdana" w:eastAsia="Times New Roman" w:hAnsi="Verdana" w:cs="Arial"/>
          <w:color w:val="000000"/>
          <w:kern w:val="0"/>
          <w:sz w:val="20"/>
          <w:szCs w:val="20"/>
          <w:bdr w:val="none" w:sz="0" w:space="0" w:color="auto" w:frame="1"/>
          <w:shd w:val="clear" w:color="auto" w:fill="FFFFFF"/>
          <w:lang w:val="es-ES" w:eastAsia="es-ES_tradnl"/>
          <w14:ligatures w14:val="none"/>
        </w:rPr>
        <w:t>liquidatorio</w:t>
      </w:r>
      <w:proofErr w:type="spellEnd"/>
      <w:r w:rsidRPr="006B17A7">
        <w:rPr>
          <w:rFonts w:ascii="Verdana" w:eastAsia="Times New Roman" w:hAnsi="Verdana" w:cs="Arial"/>
          <w:color w:val="000000"/>
          <w:kern w:val="0"/>
          <w:sz w:val="20"/>
          <w:szCs w:val="20"/>
          <w:bdr w:val="none" w:sz="0" w:space="0" w:color="auto" w:frame="1"/>
          <w:shd w:val="clear" w:color="auto" w:fill="FFFFFF"/>
          <w:lang w:val="es-ES" w:eastAsia="es-ES_tradnl"/>
          <w14:ligatures w14:val="none"/>
        </w:rPr>
        <w:t> se logre dentro del lapso de dos años contados a partir del vencimiento del término legalmente conocido para la liquidación unilateral, pues ese es el lapso que el ordenamiento ha fijado para el ejercicio oportuno de la acción</w:t>
      </w:r>
      <w:r w:rsidRPr="006B17A7">
        <w:rPr>
          <w:rFonts w:ascii="Verdana" w:eastAsia="Times New Roman" w:hAnsi="Verdana" w:cs="Arial"/>
          <w:kern w:val="0"/>
          <w:sz w:val="20"/>
          <w:szCs w:val="20"/>
          <w:lang w:val="es-ES_tradnl" w:eastAsia="es-ES_tradnl"/>
          <w14:ligatures w14:val="none"/>
        </w:rPr>
        <w:t>”</w:t>
      </w:r>
      <w:r w:rsidRPr="006B17A7">
        <w:rPr>
          <w:rFonts w:ascii="Verdana" w:eastAsia="Times New Roman" w:hAnsi="Verdana" w:cs="Arial"/>
          <w:color w:val="000000"/>
          <w:kern w:val="0"/>
          <w:sz w:val="20"/>
          <w:szCs w:val="20"/>
          <w:bdr w:val="none" w:sz="0" w:space="0" w:color="auto" w:frame="1"/>
          <w:shd w:val="clear" w:color="auto" w:fill="FFFFFF"/>
          <w:vertAlign w:val="superscript"/>
          <w:lang w:eastAsia="es-ES_tradnl"/>
          <w14:ligatures w14:val="none"/>
        </w:rPr>
        <w:t xml:space="preserve"> </w:t>
      </w:r>
      <w:r w:rsidRPr="006B17A7">
        <w:rPr>
          <w:rFonts w:ascii="Verdana" w:eastAsia="Times New Roman" w:hAnsi="Verdana" w:cs="Arial"/>
          <w:color w:val="000000"/>
          <w:kern w:val="0"/>
          <w:sz w:val="20"/>
          <w:szCs w:val="20"/>
          <w:bdr w:val="none" w:sz="0" w:space="0" w:color="auto" w:frame="1"/>
          <w:shd w:val="clear" w:color="auto" w:fill="FFFFFF"/>
          <w:vertAlign w:val="superscript"/>
          <w:lang w:eastAsia="es-ES_tradnl"/>
          <w14:ligatures w14:val="none"/>
        </w:rPr>
        <w:footnoteReference w:id="7"/>
      </w:r>
      <w:r w:rsidRPr="006B17A7">
        <w:rPr>
          <w:rFonts w:ascii="Verdana" w:eastAsia="Times New Roman" w:hAnsi="Verdana" w:cs="Arial"/>
          <w:kern w:val="0"/>
          <w:sz w:val="20"/>
          <w:szCs w:val="20"/>
          <w:lang w:val="es-ES_tradnl" w:eastAsia="es-ES_tradnl"/>
          <w14:ligatures w14:val="none"/>
        </w:rPr>
        <w:t>.</w:t>
      </w:r>
      <w:r w:rsidRPr="006B17A7">
        <w:rPr>
          <w:rFonts w:ascii="Verdana" w:eastAsia="Times New Roman" w:hAnsi="Verdana" w:cs="Arial"/>
          <w:color w:val="000000"/>
          <w:kern w:val="0"/>
          <w:sz w:val="20"/>
          <w:szCs w:val="20"/>
          <w:bdr w:val="none" w:sz="0" w:space="0" w:color="auto" w:frame="1"/>
          <w:shd w:val="clear" w:color="auto" w:fill="FFFFFF"/>
          <w:lang w:val="es-ES" w:eastAsia="es-ES_tradnl"/>
          <w14:ligatures w14:val="none"/>
        </w:rPr>
        <w:t> </w:t>
      </w:r>
    </w:p>
    <w:p w14:paraId="6126651D" w14:textId="77777777" w:rsidR="006B17A7" w:rsidRPr="006B17A7" w:rsidRDefault="006B17A7" w:rsidP="006B17A7">
      <w:pPr>
        <w:spacing w:after="0" w:line="276" w:lineRule="auto"/>
        <w:ind w:firstLine="708"/>
        <w:jc w:val="both"/>
        <w:rPr>
          <w:rFonts w:ascii="Verdana" w:eastAsia="Times New Roman" w:hAnsi="Verdana" w:cs="Arial"/>
          <w:color w:val="000000"/>
          <w:kern w:val="0"/>
          <w:sz w:val="22"/>
          <w:szCs w:val="22"/>
          <w:lang w:eastAsia="es-ES_tradnl"/>
          <w14:ligatures w14:val="none"/>
        </w:rPr>
      </w:pPr>
    </w:p>
    <w:p w14:paraId="1901E2DA" w14:textId="77777777" w:rsidR="006B17A7" w:rsidRPr="006B17A7" w:rsidRDefault="006B17A7" w:rsidP="006B17A7">
      <w:pPr>
        <w:tabs>
          <w:tab w:val="left" w:pos="709"/>
        </w:tabs>
        <w:spacing w:after="120" w:line="276" w:lineRule="auto"/>
        <w:jc w:val="both"/>
        <w:rPr>
          <w:rFonts w:ascii="Verdana" w:eastAsia="Times New Roman" w:hAnsi="Verdana" w:cs="Arial"/>
          <w:color w:val="000000"/>
          <w:kern w:val="0"/>
          <w:sz w:val="22"/>
          <w:szCs w:val="22"/>
          <w:bdr w:val="none" w:sz="0" w:space="0" w:color="auto" w:frame="1"/>
          <w:shd w:val="clear" w:color="auto" w:fill="FFFFFF"/>
          <w:lang w:eastAsia="es-ES_tradnl"/>
          <w14:ligatures w14:val="none"/>
        </w:rPr>
      </w:pPr>
      <w:r w:rsidRPr="006B17A7">
        <w:rPr>
          <w:rFonts w:ascii="Verdana" w:eastAsia="Times New Roman" w:hAnsi="Verdana" w:cs="Arial"/>
          <w:color w:val="000000"/>
          <w:kern w:val="0"/>
          <w:sz w:val="22"/>
          <w:szCs w:val="22"/>
          <w:bdr w:val="none" w:sz="0" w:space="0" w:color="auto" w:frame="1"/>
          <w:shd w:val="clear" w:color="auto" w:fill="FFFFFF"/>
          <w:lang w:eastAsia="es-ES_tradnl"/>
          <w14:ligatures w14:val="none"/>
        </w:rPr>
        <w:t xml:space="preserve">A su turno, la liquidación judicial hace parte de una de las pretensiones que admite el medio de control de controversias contractuales. Al respecto, el artículo 141 de la Ley 1437 de 2011 dispone que “[…] el interesado podrá </w:t>
      </w:r>
      <w:bookmarkStart w:id="4" w:name="_Hlk172560769"/>
      <w:r w:rsidRPr="006B17A7">
        <w:rPr>
          <w:rFonts w:ascii="Verdana" w:eastAsia="Times New Roman" w:hAnsi="Verdana" w:cs="Arial"/>
          <w:color w:val="000000"/>
          <w:kern w:val="0"/>
          <w:sz w:val="22"/>
          <w:szCs w:val="22"/>
          <w:bdr w:val="none" w:sz="0" w:space="0" w:color="auto" w:frame="1"/>
          <w:shd w:val="clear" w:color="auto" w:fill="FFFFFF"/>
          <w:lang w:eastAsia="es-ES_tradnl"/>
          <w14:ligatures w14:val="none"/>
        </w:rPr>
        <w:t>solicitar la liquidación judicial</w:t>
      </w:r>
      <w:bookmarkEnd w:id="4"/>
      <w:r w:rsidRPr="006B17A7">
        <w:rPr>
          <w:rFonts w:ascii="Verdana" w:eastAsia="Times New Roman" w:hAnsi="Verdana" w:cs="Arial"/>
          <w:color w:val="000000"/>
          <w:kern w:val="0"/>
          <w:sz w:val="22"/>
          <w:szCs w:val="22"/>
          <w:bdr w:val="none" w:sz="0" w:space="0" w:color="auto" w:frame="1"/>
          <w:shd w:val="clear" w:color="auto" w:fill="FFFFFF"/>
          <w:lang w:eastAsia="es-ES_tradnl"/>
          <w14:ligatures w14:val="none"/>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 Bajo esta perspectiva, para la entidad cesa la facultad de liquidar bilateral o unilateralmente, ya que el tema pasa de la administración a la jurisdicción.</w:t>
      </w:r>
    </w:p>
    <w:p w14:paraId="78688C73" w14:textId="77777777" w:rsidR="006B17A7" w:rsidRPr="006B17A7" w:rsidRDefault="006B17A7" w:rsidP="006B17A7">
      <w:pPr>
        <w:tabs>
          <w:tab w:val="left" w:pos="709"/>
        </w:tabs>
        <w:spacing w:after="120" w:line="276" w:lineRule="auto"/>
        <w:jc w:val="both"/>
        <w:rPr>
          <w:rFonts w:ascii="Verdana" w:eastAsia="Times New Roman" w:hAnsi="Verdana" w:cs="Arial"/>
          <w:color w:val="000000"/>
          <w:kern w:val="0"/>
          <w:sz w:val="22"/>
          <w:szCs w:val="22"/>
          <w:bdr w:val="none" w:sz="0" w:space="0" w:color="auto" w:frame="1"/>
          <w:shd w:val="clear" w:color="auto" w:fill="FFFFFF"/>
          <w:lang w:val="es-ES" w:eastAsia="es-ES"/>
          <w14:ligatures w14:val="none"/>
        </w:rPr>
      </w:pPr>
      <w:r w:rsidRPr="006B17A7">
        <w:rPr>
          <w:rFonts w:ascii="Verdana" w:eastAsia="Times New Roman" w:hAnsi="Verdana" w:cs="Arial"/>
          <w:color w:val="000000"/>
          <w:kern w:val="0"/>
          <w:sz w:val="22"/>
          <w:szCs w:val="22"/>
          <w:bdr w:val="none" w:sz="0" w:space="0" w:color="auto" w:frame="1"/>
          <w:shd w:val="clear" w:color="auto" w:fill="FFFFFF"/>
          <w:lang w:eastAsia="es-ES_tradnl"/>
          <w14:ligatures w14:val="none"/>
        </w:rPr>
        <w:tab/>
      </w:r>
      <w:r w:rsidRPr="006B17A7">
        <w:rPr>
          <w:rFonts w:ascii="Verdana" w:eastAsia="Times New Roman" w:hAnsi="Verdana" w:cs="Arial"/>
          <w:color w:val="000000"/>
          <w:kern w:val="0"/>
          <w:sz w:val="22"/>
          <w:szCs w:val="22"/>
          <w:bdr w:val="none" w:sz="0" w:space="0" w:color="auto" w:frame="1"/>
          <w:shd w:val="clear" w:color="auto" w:fill="FFFFFF"/>
          <w:lang w:val="es-ES" w:eastAsia="es-ES"/>
          <w14:ligatures w14:val="none"/>
        </w:rPr>
        <w:t xml:space="preserve">En suma, de acuerdo con el artículo 11 de la Ley 1150 de 2007, existen tres (3) tipos de liquidación: i) bilateral, </w:t>
      </w:r>
      <w:proofErr w:type="spellStart"/>
      <w:r w:rsidRPr="006B17A7">
        <w:rPr>
          <w:rFonts w:ascii="Verdana" w:eastAsia="Times New Roman" w:hAnsi="Verdana" w:cs="Arial"/>
          <w:color w:val="000000"/>
          <w:kern w:val="0"/>
          <w:sz w:val="22"/>
          <w:szCs w:val="22"/>
          <w:bdr w:val="none" w:sz="0" w:space="0" w:color="auto" w:frame="1"/>
          <w:shd w:val="clear" w:color="auto" w:fill="FFFFFF"/>
          <w:lang w:val="es-ES" w:eastAsia="es-ES"/>
          <w14:ligatures w14:val="none"/>
        </w:rPr>
        <w:t>ii</w:t>
      </w:r>
      <w:proofErr w:type="spellEnd"/>
      <w:r w:rsidRPr="006B17A7">
        <w:rPr>
          <w:rFonts w:ascii="Verdana" w:eastAsia="Times New Roman" w:hAnsi="Verdana" w:cs="Arial"/>
          <w:color w:val="000000"/>
          <w:kern w:val="0"/>
          <w:sz w:val="22"/>
          <w:szCs w:val="22"/>
          <w:bdr w:val="none" w:sz="0" w:space="0" w:color="auto" w:frame="1"/>
          <w:shd w:val="clear" w:color="auto" w:fill="FFFFFF"/>
          <w:lang w:val="es-ES" w:eastAsia="es-ES"/>
          <w14:ligatures w14:val="none"/>
        </w:rPr>
        <w:t xml:space="preserve">) unilateral y </w:t>
      </w:r>
      <w:proofErr w:type="spellStart"/>
      <w:r w:rsidRPr="006B17A7">
        <w:rPr>
          <w:rFonts w:ascii="Verdana" w:eastAsia="Times New Roman" w:hAnsi="Verdana" w:cs="Arial"/>
          <w:color w:val="000000"/>
          <w:kern w:val="0"/>
          <w:sz w:val="22"/>
          <w:szCs w:val="22"/>
          <w:bdr w:val="none" w:sz="0" w:space="0" w:color="auto" w:frame="1"/>
          <w:shd w:val="clear" w:color="auto" w:fill="FFFFFF"/>
          <w:lang w:val="es-ES" w:eastAsia="es-ES"/>
          <w14:ligatures w14:val="none"/>
        </w:rPr>
        <w:t>iii</w:t>
      </w:r>
      <w:proofErr w:type="spellEnd"/>
      <w:r w:rsidRPr="006B17A7">
        <w:rPr>
          <w:rFonts w:ascii="Verdana" w:eastAsia="Times New Roman" w:hAnsi="Verdana" w:cs="Arial"/>
          <w:color w:val="000000"/>
          <w:kern w:val="0"/>
          <w:sz w:val="22"/>
          <w:szCs w:val="22"/>
          <w:bdr w:val="none" w:sz="0" w:space="0" w:color="auto" w:frame="1"/>
          <w:shd w:val="clear" w:color="auto" w:fill="FFFFFF"/>
          <w:lang w:val="es-ES" w:eastAsia="es-ES"/>
          <w14:ligatures w14:val="none"/>
        </w:rPr>
        <w:t xml:space="preserve">) judicial. En términos generales, la primera, que puede ser total o parcial, debe hacerse en el término que estipulen las partes o, en su defecto, dentro del término supletivo de cuatro (4) meses. La segunda se debe practicar dentro de los dos (2) meses siguientes </w:t>
      </w:r>
      <w:r w:rsidRPr="006B17A7">
        <w:rPr>
          <w:rFonts w:ascii="Verdana" w:eastAsia="Times New Roman" w:hAnsi="Verdana" w:cs="Arial"/>
          <w:color w:val="000000"/>
          <w:kern w:val="0"/>
          <w:sz w:val="22"/>
          <w:szCs w:val="22"/>
          <w:bdr w:val="none" w:sz="0" w:space="0" w:color="auto" w:frame="1"/>
          <w:shd w:val="clear" w:color="auto" w:fill="FFFFFF"/>
          <w:lang w:val="es-ES" w:eastAsia="es-ES"/>
          <w14:ligatures w14:val="none"/>
        </w:rPr>
        <w:lastRenderedPageBreak/>
        <w:t>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5DE10E03" w14:textId="77777777" w:rsidR="006B17A7" w:rsidRPr="006B17A7" w:rsidRDefault="006B17A7" w:rsidP="006B17A7">
      <w:pPr>
        <w:spacing w:after="0" w:line="276" w:lineRule="auto"/>
        <w:ind w:firstLine="708"/>
        <w:jc w:val="both"/>
        <w:rPr>
          <w:rFonts w:ascii="Verdana" w:eastAsia="Times New Roman" w:hAnsi="Verdana" w:cs="Arial"/>
          <w:color w:val="000000"/>
          <w:kern w:val="0"/>
          <w:sz w:val="22"/>
          <w:szCs w:val="22"/>
          <w:lang w:eastAsia="es-CO"/>
          <w14:ligatures w14:val="none"/>
        </w:rPr>
      </w:pPr>
      <w:r w:rsidRPr="006B17A7">
        <w:rPr>
          <w:rFonts w:ascii="Verdana" w:eastAsia="Times New Roman" w:hAnsi="Verdana" w:cs="Arial"/>
          <w:color w:val="000000"/>
          <w:kern w:val="0"/>
          <w:sz w:val="22"/>
          <w:szCs w:val="22"/>
          <w:lang w:eastAsia="es-CO"/>
          <w14:ligatures w14:val="none"/>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1DE37B35" w14:textId="77777777" w:rsidR="006B17A7" w:rsidRPr="006B17A7" w:rsidRDefault="006B17A7" w:rsidP="006B17A7">
      <w:pPr>
        <w:spacing w:after="0" w:line="276" w:lineRule="auto"/>
        <w:jc w:val="both"/>
        <w:rPr>
          <w:rFonts w:ascii="Verdana" w:eastAsia="Times New Roman" w:hAnsi="Verdana" w:cs="Arial"/>
          <w:color w:val="000000"/>
          <w:kern w:val="0"/>
          <w:sz w:val="22"/>
          <w:szCs w:val="22"/>
          <w:lang w:eastAsia="es-CO"/>
          <w14:ligatures w14:val="none"/>
        </w:rPr>
      </w:pPr>
    </w:p>
    <w:p w14:paraId="3AFA6C3B" w14:textId="77777777" w:rsidR="006B17A7" w:rsidRPr="006B17A7" w:rsidRDefault="006B17A7" w:rsidP="006B17A7">
      <w:pPr>
        <w:spacing w:after="0" w:line="240" w:lineRule="auto"/>
        <w:ind w:left="709" w:right="709"/>
        <w:jc w:val="both"/>
        <w:rPr>
          <w:rFonts w:ascii="Verdana" w:eastAsia="Times New Roman" w:hAnsi="Verdana" w:cs="Arial"/>
          <w:color w:val="000000"/>
          <w:kern w:val="0"/>
          <w:sz w:val="20"/>
          <w:szCs w:val="20"/>
          <w:lang w:eastAsia="es-CO"/>
          <w14:ligatures w14:val="none"/>
        </w:rPr>
      </w:pPr>
      <w:r w:rsidRPr="006B17A7">
        <w:rPr>
          <w:rFonts w:ascii="Verdana" w:eastAsia="Times New Roman" w:hAnsi="Verdana" w:cs="Arial"/>
          <w:color w:val="000000"/>
          <w:kern w:val="0"/>
          <w:sz w:val="20"/>
          <w:szCs w:val="20"/>
          <w:lang w:eastAsia="es-CO"/>
          <w14:ligatures w14:val="none"/>
        </w:rPr>
        <w:t>“Suele argüirse, en la práctica, que es factible efectuar la liquidación del contrato, así haya operado la caducidad de la acción, con base en la 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6B17A7">
        <w:rPr>
          <w:rFonts w:ascii="Verdana" w:eastAsia="Times New Roman" w:hAnsi="Verdana" w:cs="Arial"/>
          <w:color w:val="000000"/>
          <w:kern w:val="0"/>
          <w:sz w:val="20"/>
          <w:szCs w:val="20"/>
          <w:vertAlign w:val="superscript"/>
          <w:lang w:eastAsia="es-CO"/>
          <w14:ligatures w14:val="none"/>
        </w:rPr>
        <w:footnoteReference w:id="8"/>
      </w:r>
      <w:r w:rsidRPr="006B17A7">
        <w:rPr>
          <w:rFonts w:ascii="Verdana" w:eastAsia="Times New Roman" w:hAnsi="Verdana" w:cs="Arial"/>
          <w:color w:val="000000"/>
          <w:kern w:val="0"/>
          <w:sz w:val="20"/>
          <w:szCs w:val="20"/>
          <w:lang w:eastAsia="es-CO"/>
          <w14:ligatures w14:val="none"/>
        </w:rPr>
        <w:t xml:space="preserve">.   </w:t>
      </w:r>
    </w:p>
    <w:p w14:paraId="3416F451" w14:textId="77777777" w:rsidR="006B17A7" w:rsidRPr="006B17A7" w:rsidRDefault="006B17A7" w:rsidP="006B17A7">
      <w:pPr>
        <w:tabs>
          <w:tab w:val="left" w:pos="709"/>
        </w:tabs>
        <w:spacing w:after="0" w:line="276" w:lineRule="auto"/>
        <w:jc w:val="both"/>
        <w:rPr>
          <w:rFonts w:ascii="Verdana" w:eastAsia="Times New Roman" w:hAnsi="Verdana" w:cs="Arial"/>
          <w:color w:val="000000"/>
          <w:kern w:val="0"/>
          <w:sz w:val="22"/>
          <w:szCs w:val="22"/>
          <w:bdr w:val="none" w:sz="0" w:space="0" w:color="auto" w:frame="1"/>
          <w:shd w:val="clear" w:color="auto" w:fill="FFFFFF"/>
          <w:lang w:eastAsia="es-ES_tradnl"/>
          <w14:ligatures w14:val="none"/>
        </w:rPr>
      </w:pPr>
    </w:p>
    <w:p w14:paraId="6FA79BF1" w14:textId="77777777" w:rsidR="006B17A7" w:rsidRPr="006B17A7" w:rsidRDefault="006B17A7" w:rsidP="006B17A7">
      <w:pPr>
        <w:tabs>
          <w:tab w:val="left" w:pos="709"/>
        </w:tabs>
        <w:spacing w:after="0" w:line="276" w:lineRule="auto"/>
        <w:jc w:val="both"/>
        <w:rPr>
          <w:rFonts w:ascii="Verdana" w:eastAsia="Calibri" w:hAnsi="Verdana" w:cs="Arial"/>
          <w:color w:val="000000"/>
          <w:kern w:val="0"/>
          <w:sz w:val="22"/>
          <w:szCs w:val="22"/>
          <w:lang w:val="es-ES" w:eastAsia="es-ES"/>
          <w14:ligatures w14:val="none"/>
        </w:rPr>
      </w:pPr>
      <w:r w:rsidRPr="006B17A7">
        <w:rPr>
          <w:rFonts w:ascii="Verdana" w:eastAsia="Calibri" w:hAnsi="Verdana" w:cs="Arial"/>
          <w:color w:val="000000"/>
          <w:kern w:val="0"/>
          <w:sz w:val="22"/>
          <w:szCs w:val="22"/>
          <w:lang w:val="es-ES" w:eastAsia="es-ES"/>
          <w14:ligatures w14:val="none"/>
        </w:rPr>
        <w:t xml:space="preserve">En consecuencia, dentro de los límites previstos en el literal j) del artículo 164.2 de la Ley 1437 de 2011, es posible liquidar bilateral o unilateralmente siempre que no haya caducado medio de control de controversias contractuales. Lo </w:t>
      </w:r>
      <w:r w:rsidRPr="006B17A7">
        <w:rPr>
          <w:rFonts w:ascii="Verdana" w:eastAsia="Calibri" w:hAnsi="Verdana" w:cs="Arial"/>
          <w:color w:val="000000"/>
          <w:kern w:val="0"/>
          <w:sz w:val="22"/>
          <w:szCs w:val="22"/>
          <w:lang w:val="es-ES" w:eastAsia="es-ES"/>
          <w14:ligatures w14:val="none"/>
        </w:rPr>
        <w:lastRenderedPageBreak/>
        <w:t xml:space="preserve">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w:t>
      </w:r>
    </w:p>
    <w:p w14:paraId="0C166890" w14:textId="77777777" w:rsidR="006B17A7" w:rsidRPr="006B17A7" w:rsidRDefault="006B17A7" w:rsidP="006B17A7">
      <w:pPr>
        <w:spacing w:before="120" w:after="0" w:line="276" w:lineRule="auto"/>
        <w:ind w:firstLine="708"/>
        <w:jc w:val="both"/>
        <w:rPr>
          <w:rFonts w:ascii="Verdana" w:eastAsia="Calibri" w:hAnsi="Verdana" w:cs="Arial"/>
          <w:kern w:val="0"/>
          <w:sz w:val="22"/>
          <w:szCs w:val="22"/>
          <w14:ligatures w14:val="none"/>
        </w:rPr>
      </w:pPr>
      <w:r w:rsidRPr="006B17A7">
        <w:rPr>
          <w:rFonts w:ascii="Verdana" w:eastAsia="Calibri" w:hAnsi="Verdana" w:cs="Arial"/>
          <w:kern w:val="0"/>
          <w:sz w:val="22"/>
          <w:szCs w:val="22"/>
          <w14:ligatures w14:val="none"/>
        </w:rPr>
        <w:t xml:space="preserve">Finalmente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52B6011A" w14:textId="77777777" w:rsidR="006B17A7" w:rsidRPr="006B17A7" w:rsidRDefault="006B17A7" w:rsidP="006B17A7">
      <w:pPr>
        <w:spacing w:before="120" w:after="0" w:line="276" w:lineRule="auto"/>
        <w:ind w:firstLine="708"/>
        <w:jc w:val="both"/>
        <w:rPr>
          <w:rFonts w:ascii="Verdana" w:eastAsia="Calibri" w:hAnsi="Verdana" w:cs="Arial"/>
          <w:kern w:val="0"/>
          <w:sz w:val="22"/>
          <w:szCs w:val="22"/>
          <w14:ligatures w14:val="none"/>
        </w:rPr>
      </w:pPr>
      <w:r w:rsidRPr="006B17A7">
        <w:rPr>
          <w:rFonts w:ascii="Verdana" w:eastAsia="Calibri" w:hAnsi="Verdana" w:cs="Arial"/>
          <w:kern w:val="0"/>
          <w:sz w:val="22"/>
          <w:szCs w:val="22"/>
          <w14:ligatures w14:val="none"/>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2B552367" w14:textId="77777777" w:rsidR="006B17A7" w:rsidRPr="006B17A7" w:rsidRDefault="006B17A7" w:rsidP="006B17A7">
      <w:pPr>
        <w:spacing w:after="0" w:line="276" w:lineRule="auto"/>
        <w:ind w:firstLine="708"/>
        <w:jc w:val="both"/>
        <w:rPr>
          <w:rFonts w:ascii="Verdana" w:eastAsia="Calibri" w:hAnsi="Verdana" w:cs="Arial"/>
          <w:kern w:val="0"/>
          <w:sz w:val="22"/>
          <w:szCs w:val="22"/>
          <w14:ligatures w14:val="none"/>
        </w:rPr>
      </w:pPr>
    </w:p>
    <w:p w14:paraId="7C3C01E7" w14:textId="77777777" w:rsidR="006B17A7" w:rsidRPr="006B17A7" w:rsidRDefault="006B17A7" w:rsidP="006B17A7">
      <w:pPr>
        <w:widowControl w:val="0"/>
        <w:autoSpaceDE w:val="0"/>
        <w:autoSpaceDN w:val="0"/>
        <w:spacing w:before="1" w:after="0" w:line="240" w:lineRule="auto"/>
        <w:outlineLvl w:val="0"/>
        <w:rPr>
          <w:rFonts w:ascii="Arial" w:eastAsia="Arial" w:hAnsi="Arial" w:cs="Arial"/>
          <w:b/>
          <w:bCs/>
          <w:kern w:val="0"/>
          <w:sz w:val="22"/>
          <w:szCs w:val="22"/>
          <w:lang w:val="es-ES"/>
          <w14:ligatures w14:val="none"/>
        </w:rPr>
      </w:pPr>
      <w:r w:rsidRPr="006B17A7">
        <w:rPr>
          <w:rFonts w:ascii="Arial" w:eastAsia="Arial" w:hAnsi="Arial" w:cs="Arial"/>
          <w:b/>
          <w:bCs/>
          <w:kern w:val="0"/>
          <w:sz w:val="22"/>
          <w:szCs w:val="22"/>
          <w:lang w:val="es-ES"/>
          <w14:ligatures w14:val="none"/>
        </w:rPr>
        <w:t xml:space="preserve">4. </w:t>
      </w:r>
      <w:r w:rsidRPr="006B17A7">
        <w:rPr>
          <w:rFonts w:ascii="Verdana" w:eastAsia="Arial" w:hAnsi="Verdana" w:cs="Arial"/>
          <w:b/>
          <w:bCs/>
          <w:kern w:val="0"/>
          <w:sz w:val="22"/>
          <w:szCs w:val="22"/>
          <w:lang w:val="es-ES"/>
          <w14:ligatures w14:val="none"/>
        </w:rPr>
        <w:t>Referencias normativas, jurisprudenciales y otras fuentes:</w:t>
      </w:r>
    </w:p>
    <w:p w14:paraId="2521F2CE" w14:textId="77777777" w:rsidR="006B17A7" w:rsidRPr="006B17A7" w:rsidRDefault="006B17A7" w:rsidP="006B17A7">
      <w:pPr>
        <w:widowControl w:val="0"/>
        <w:autoSpaceDE w:val="0"/>
        <w:autoSpaceDN w:val="0"/>
        <w:spacing w:after="0" w:line="276" w:lineRule="auto"/>
        <w:jc w:val="both"/>
        <w:rPr>
          <w:rFonts w:ascii="Verdana" w:eastAsia="Aptos" w:hAnsi="Verdana" w:cs="Arial"/>
          <w:kern w:val="0"/>
          <w:sz w:val="22"/>
          <w:szCs w:val="22"/>
          <w14:ligatures w14:val="none"/>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B17A7" w:rsidRPr="006B17A7" w14:paraId="5CEC5D7C" w14:textId="77777777" w:rsidTr="00917CD0">
        <w:trPr>
          <w:trHeight w:val="870"/>
        </w:trPr>
        <w:tc>
          <w:tcPr>
            <w:tcW w:w="8647" w:type="dxa"/>
          </w:tcPr>
          <w:p w14:paraId="226C944A" w14:textId="77777777" w:rsidR="006B17A7" w:rsidRPr="006B17A7" w:rsidRDefault="006B17A7" w:rsidP="006B17A7">
            <w:pPr>
              <w:widowControl w:val="0"/>
              <w:numPr>
                <w:ilvl w:val="0"/>
                <w:numId w:val="1"/>
              </w:numPr>
              <w:autoSpaceDE w:val="0"/>
              <w:autoSpaceDN w:val="0"/>
              <w:spacing w:after="120" w:line="276" w:lineRule="auto"/>
              <w:contextualSpacing/>
              <w:jc w:val="both"/>
              <w:rPr>
                <w:rFonts w:ascii="Verdana" w:eastAsia="Aptos" w:hAnsi="Verdana" w:cs="Arial"/>
              </w:rPr>
            </w:pPr>
            <w:r w:rsidRPr="006B17A7">
              <w:rPr>
                <w:rFonts w:ascii="Verdana" w:eastAsia="Calibri" w:hAnsi="Verdana" w:cs="Arial"/>
                <w:lang w:val="es-ES"/>
              </w:rPr>
              <w:t>Ley 80 de 1993. Artículo 60.</w:t>
            </w:r>
          </w:p>
          <w:p w14:paraId="3A81B15A" w14:textId="77777777" w:rsidR="006B17A7" w:rsidRPr="006B17A7" w:rsidRDefault="006B17A7" w:rsidP="006B17A7">
            <w:pPr>
              <w:widowControl w:val="0"/>
              <w:numPr>
                <w:ilvl w:val="0"/>
                <w:numId w:val="1"/>
              </w:numPr>
              <w:autoSpaceDE w:val="0"/>
              <w:autoSpaceDN w:val="0"/>
              <w:spacing w:line="276" w:lineRule="auto"/>
              <w:contextualSpacing/>
              <w:jc w:val="both"/>
              <w:rPr>
                <w:rFonts w:ascii="Verdana" w:eastAsia="Aptos" w:hAnsi="Verdana" w:cs="Arial"/>
              </w:rPr>
            </w:pPr>
            <w:r w:rsidRPr="006B17A7">
              <w:rPr>
                <w:rFonts w:ascii="Verdana" w:eastAsia="Calibri" w:hAnsi="Verdana" w:cs="Arial"/>
                <w:lang w:val="es-ES"/>
              </w:rPr>
              <w:t>Ley 1150 de 2007. Artículo 11</w:t>
            </w:r>
          </w:p>
          <w:p w14:paraId="1C7D94B3" w14:textId="77777777" w:rsidR="006B17A7" w:rsidRPr="006B17A7" w:rsidRDefault="006B17A7" w:rsidP="006B17A7">
            <w:pPr>
              <w:widowControl w:val="0"/>
              <w:numPr>
                <w:ilvl w:val="0"/>
                <w:numId w:val="1"/>
              </w:numPr>
              <w:autoSpaceDE w:val="0"/>
              <w:autoSpaceDN w:val="0"/>
              <w:spacing w:line="276" w:lineRule="auto"/>
              <w:contextualSpacing/>
              <w:jc w:val="both"/>
              <w:rPr>
                <w:rFonts w:ascii="Verdana" w:eastAsia="Aptos" w:hAnsi="Verdana" w:cs="Arial"/>
              </w:rPr>
            </w:pPr>
            <w:r w:rsidRPr="006B17A7">
              <w:rPr>
                <w:rFonts w:ascii="Verdana" w:eastAsia="Aptos" w:hAnsi="Verdana" w:cs="Arial"/>
              </w:rPr>
              <w:t>Decreto 19 de 2012. Artículo 217</w:t>
            </w:r>
          </w:p>
          <w:p w14:paraId="18BE6A0D" w14:textId="77777777" w:rsidR="006B17A7" w:rsidRPr="006B17A7" w:rsidRDefault="006B17A7" w:rsidP="006B17A7">
            <w:pPr>
              <w:widowControl w:val="0"/>
              <w:numPr>
                <w:ilvl w:val="0"/>
                <w:numId w:val="1"/>
              </w:numPr>
              <w:autoSpaceDE w:val="0"/>
              <w:autoSpaceDN w:val="0"/>
              <w:spacing w:line="276" w:lineRule="auto"/>
              <w:contextualSpacing/>
              <w:jc w:val="both"/>
              <w:rPr>
                <w:rFonts w:ascii="Verdana" w:eastAsia="Aptos" w:hAnsi="Verdana" w:cs="Arial"/>
              </w:rPr>
            </w:pPr>
            <w:r w:rsidRPr="006B17A7">
              <w:rPr>
                <w:rFonts w:ascii="Verdana" w:eastAsia="Aptos" w:hAnsi="Verdana" w:cs="Arial"/>
              </w:rPr>
              <w:t xml:space="preserve">Guía para la Liquidación de los Procesos de Contratación. Disponible </w:t>
            </w:r>
            <w:hyperlink r:id="rId12" w:history="1">
              <w:r w:rsidRPr="006B17A7">
                <w:rPr>
                  <w:rFonts w:ascii="Verdana" w:eastAsia="Aptos" w:hAnsi="Verdana" w:cs="Arial"/>
                  <w:color w:val="467886"/>
                  <w:u w:val="single"/>
                </w:rPr>
                <w:t>aquí</w:t>
              </w:r>
            </w:hyperlink>
          </w:p>
          <w:p w14:paraId="5BF73216" w14:textId="77777777" w:rsidR="006B17A7" w:rsidRPr="006B17A7" w:rsidRDefault="006B17A7" w:rsidP="006B17A7">
            <w:pPr>
              <w:widowControl w:val="0"/>
              <w:numPr>
                <w:ilvl w:val="0"/>
                <w:numId w:val="1"/>
              </w:numPr>
              <w:autoSpaceDE w:val="0"/>
              <w:autoSpaceDN w:val="0"/>
              <w:spacing w:line="276" w:lineRule="auto"/>
              <w:contextualSpacing/>
              <w:jc w:val="both"/>
              <w:rPr>
                <w:rFonts w:ascii="Verdana" w:eastAsia="Aptos" w:hAnsi="Verdana" w:cs="Arial"/>
              </w:rPr>
            </w:pPr>
            <w:r w:rsidRPr="006B17A7">
              <w:rPr>
                <w:rFonts w:ascii="Verdana" w:eastAsia="Aptos" w:hAnsi="Verdana" w:cs="Arial"/>
              </w:rPr>
              <w:t>DÍAZ DÍEZ, Cristian Andrés. La liquidación. Serie: Las Cláusulas del Contrato Estatal. Medellín: Librería Jurídica Sánchez y Centro de Estudios de Derecho Administrativo –CEDA–, 2013. pp. 53-54.</w:t>
            </w:r>
          </w:p>
          <w:p w14:paraId="35496D21" w14:textId="77777777" w:rsidR="006B17A7" w:rsidRPr="006B17A7" w:rsidRDefault="006B17A7" w:rsidP="006B17A7">
            <w:pPr>
              <w:widowControl w:val="0"/>
              <w:numPr>
                <w:ilvl w:val="0"/>
                <w:numId w:val="1"/>
              </w:numPr>
              <w:autoSpaceDE w:val="0"/>
              <w:autoSpaceDN w:val="0"/>
              <w:spacing w:line="276" w:lineRule="auto"/>
              <w:contextualSpacing/>
              <w:jc w:val="both"/>
              <w:rPr>
                <w:rFonts w:ascii="Verdana" w:eastAsia="Aptos" w:hAnsi="Verdana" w:cs="Arial"/>
              </w:rPr>
            </w:pPr>
            <w:r w:rsidRPr="006B17A7">
              <w:rPr>
                <w:rFonts w:ascii="Verdana" w:eastAsia="Aptos" w:hAnsi="Verdana" w:cs="Arial"/>
              </w:rPr>
              <w:t xml:space="preserve">Consejo de Estado. Sección Tercera. Subsección C. 20 de octubre de 2014, M.P: Enrique Gil Botero. </w:t>
            </w:r>
            <w:proofErr w:type="spellStart"/>
            <w:r w:rsidRPr="006B17A7">
              <w:rPr>
                <w:rFonts w:ascii="Verdana" w:eastAsia="Aptos" w:hAnsi="Verdana" w:cs="Arial"/>
              </w:rPr>
              <w:t>Exp</w:t>
            </w:r>
            <w:proofErr w:type="spellEnd"/>
            <w:r w:rsidRPr="006B17A7">
              <w:rPr>
                <w:rFonts w:ascii="Verdana" w:eastAsia="Aptos" w:hAnsi="Verdana" w:cs="Arial"/>
              </w:rPr>
              <w:t>. 27.777.</w:t>
            </w:r>
          </w:p>
        </w:tc>
      </w:tr>
    </w:tbl>
    <w:p w14:paraId="72CB375C" w14:textId="77777777" w:rsidR="006B17A7" w:rsidRPr="006B17A7" w:rsidRDefault="006B17A7" w:rsidP="006B17A7">
      <w:pPr>
        <w:widowControl w:val="0"/>
        <w:autoSpaceDE w:val="0"/>
        <w:autoSpaceDN w:val="0"/>
        <w:spacing w:after="0" w:line="276" w:lineRule="auto"/>
        <w:jc w:val="both"/>
        <w:rPr>
          <w:rFonts w:ascii="Verdana" w:eastAsia="Aptos" w:hAnsi="Verdana" w:cs="Arial"/>
          <w:kern w:val="0"/>
          <w:sz w:val="22"/>
          <w:szCs w:val="22"/>
          <w14:ligatures w14:val="none"/>
        </w:rPr>
      </w:pPr>
    </w:p>
    <w:p w14:paraId="7917B20A" w14:textId="77777777" w:rsidR="006B17A7" w:rsidRPr="006B17A7" w:rsidRDefault="006B17A7" w:rsidP="006B17A7">
      <w:pPr>
        <w:widowControl w:val="0"/>
        <w:autoSpaceDE w:val="0"/>
        <w:autoSpaceDN w:val="0"/>
        <w:spacing w:before="1" w:after="0" w:line="240" w:lineRule="auto"/>
        <w:outlineLvl w:val="0"/>
        <w:rPr>
          <w:rFonts w:ascii="Verdana" w:eastAsia="Arial" w:hAnsi="Verdana" w:cs="Arial"/>
          <w:b/>
          <w:bCs/>
          <w:kern w:val="0"/>
          <w:sz w:val="22"/>
          <w:szCs w:val="22"/>
          <w:lang w:val="es-ES"/>
          <w14:ligatures w14:val="none"/>
        </w:rPr>
      </w:pPr>
      <w:r w:rsidRPr="006B17A7">
        <w:rPr>
          <w:rFonts w:ascii="Verdana" w:eastAsia="Arial" w:hAnsi="Verdana" w:cs="Arial"/>
          <w:b/>
          <w:bCs/>
          <w:kern w:val="0"/>
          <w:sz w:val="22"/>
          <w:szCs w:val="22"/>
          <w:lang w:val="es-ES"/>
          <w14:ligatures w14:val="none"/>
        </w:rPr>
        <w:t>5. Doctrina de la Agencia Nacional de Contratación Pública:</w:t>
      </w:r>
    </w:p>
    <w:p w14:paraId="1D161FF2" w14:textId="77777777" w:rsidR="006B17A7" w:rsidRPr="006B17A7" w:rsidRDefault="006B17A7" w:rsidP="006B17A7">
      <w:pPr>
        <w:widowControl w:val="0"/>
        <w:autoSpaceDE w:val="0"/>
        <w:autoSpaceDN w:val="0"/>
        <w:spacing w:after="0" w:line="276" w:lineRule="auto"/>
        <w:jc w:val="both"/>
        <w:rPr>
          <w:rFonts w:ascii="Verdana" w:eastAsia="Aptos" w:hAnsi="Verdana" w:cs="Arial"/>
          <w:kern w:val="0"/>
          <w:sz w:val="22"/>
          <w:szCs w:val="22"/>
          <w14:ligatures w14:val="none"/>
        </w:rPr>
      </w:pPr>
    </w:p>
    <w:p w14:paraId="74D4598F" w14:textId="77777777" w:rsidR="006B17A7" w:rsidRPr="006B17A7" w:rsidRDefault="006B17A7" w:rsidP="006B17A7">
      <w:pPr>
        <w:widowControl w:val="0"/>
        <w:autoSpaceDE w:val="0"/>
        <w:autoSpaceDN w:val="0"/>
        <w:spacing w:after="0" w:line="276" w:lineRule="auto"/>
        <w:jc w:val="both"/>
        <w:rPr>
          <w:rFonts w:ascii="Verdana" w:eastAsia="Aptos" w:hAnsi="Verdana" w:cs="Arial"/>
          <w:kern w:val="0"/>
          <w:sz w:val="22"/>
          <w:szCs w:val="22"/>
          <w:shd w:val="clear" w:color="auto" w:fill="FFFFFF"/>
          <w:lang w:val="es-ES"/>
          <w14:ligatures w14:val="none"/>
        </w:rPr>
      </w:pPr>
      <w:r w:rsidRPr="006B17A7">
        <w:rPr>
          <w:rFonts w:ascii="Verdana" w:eastAsia="Aptos" w:hAnsi="Verdana" w:cs="Arial"/>
          <w:kern w:val="0"/>
          <w:sz w:val="22"/>
          <w:szCs w:val="22"/>
          <w:shd w:val="clear" w:color="auto" w:fill="FFFFFF"/>
          <w:lang w:val="es-ES"/>
          <w14:ligatures w14:val="none"/>
        </w:rPr>
        <w:t xml:space="preserve">Sobre la liquidación de los contratos estatales, esta Subdirección se ha referido en los Conceptos C-416 de 06 de septiembre de 2024, C-442 del 10 de septiembre de 2024, C- 407 del 11 de septiembre de 2024, C-414 del 11 de septiembre de 2024, C-559 del 11 de septiembre de 2024, C-425 del 13 de septiembre de 2024, C-446 del 18 de septiembre de 2024, C-458 del 20 de septiembre de 2024, C-968 del 16 de diciembre de 2024, C-1865 del 01 de diciembre de 2025, C-1818 del 13 de enero de 2026,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6B17A7">
          <w:rPr>
            <w:rFonts w:ascii="Verdana" w:eastAsia="Aptos" w:hAnsi="Verdana" w:cs="Arial"/>
            <w:color w:val="467886"/>
            <w:kern w:val="0"/>
            <w:sz w:val="22"/>
            <w:szCs w:val="22"/>
            <w:u w:val="single"/>
            <w:shd w:val="clear" w:color="auto" w:fill="FFFFFF"/>
            <w:lang w:val="es-ES"/>
            <w14:ligatures w14:val="none"/>
          </w:rPr>
          <w:t>https://relatoria.colombiacompra.gov.co/</w:t>
        </w:r>
      </w:hyperlink>
      <w:r w:rsidRPr="006B17A7">
        <w:rPr>
          <w:rFonts w:ascii="Verdana" w:eastAsia="Aptos" w:hAnsi="Verdana" w:cs="Arial"/>
          <w:kern w:val="0"/>
          <w:sz w:val="22"/>
          <w:szCs w:val="22"/>
          <w:shd w:val="clear" w:color="auto" w:fill="FFFFFF"/>
          <w:lang w:val="es-ES"/>
          <w14:ligatures w14:val="none"/>
        </w:rPr>
        <w:t xml:space="preserve">. </w:t>
      </w:r>
    </w:p>
    <w:p w14:paraId="117CAA34" w14:textId="77777777" w:rsidR="006B17A7" w:rsidRPr="006B17A7" w:rsidRDefault="006B17A7" w:rsidP="006B17A7">
      <w:pPr>
        <w:widowControl w:val="0"/>
        <w:autoSpaceDE w:val="0"/>
        <w:autoSpaceDN w:val="0"/>
        <w:spacing w:after="0" w:line="276" w:lineRule="auto"/>
        <w:jc w:val="both"/>
        <w:rPr>
          <w:rFonts w:ascii="Verdana" w:eastAsia="Aptos" w:hAnsi="Verdana" w:cs="Arial"/>
          <w:kern w:val="0"/>
          <w:sz w:val="22"/>
          <w:szCs w:val="22"/>
          <w:shd w:val="clear" w:color="auto" w:fill="FFFFFF"/>
          <w:lang w:val="es-ES"/>
          <w14:ligatures w14:val="none"/>
        </w:rPr>
      </w:pPr>
    </w:p>
    <w:p w14:paraId="769A4C0D" w14:textId="77777777" w:rsidR="006B17A7" w:rsidRPr="006B17A7" w:rsidRDefault="006B17A7" w:rsidP="006B17A7">
      <w:pPr>
        <w:spacing w:before="120" w:after="120" w:line="259" w:lineRule="auto"/>
        <w:ind w:firstLine="709"/>
        <w:jc w:val="both"/>
        <w:rPr>
          <w:rFonts w:ascii="Verdana" w:eastAsia="Aptos" w:hAnsi="Verdana" w:cs="Times New Roman"/>
          <w:kern w:val="0"/>
          <w:sz w:val="22"/>
          <w:szCs w:val="22"/>
          <w14:ligatures w14:val="none"/>
        </w:rPr>
      </w:pPr>
      <w:r w:rsidRPr="006B17A7">
        <w:rPr>
          <w:rFonts w:ascii="Verdana" w:eastAsia="Aptos" w:hAnsi="Verdana" w:cs="Times New Roman"/>
          <w:kern w:val="0"/>
          <w:sz w:val="22"/>
          <w:szCs w:val="22"/>
          <w14:ligatures w14:val="none"/>
        </w:rPr>
        <w:t xml:space="preserve">La sostenibilidad no es una opción, es una obligación. Por ello, la Agencia Nacional de Contratación Pública –Colombia Compra Eficiente– te invita a realizar el </w:t>
      </w:r>
      <w:r w:rsidRPr="006B17A7">
        <w:rPr>
          <w:rFonts w:ascii="Verdana" w:eastAsia="Aptos" w:hAnsi="Verdana" w:cs="Times New Roman"/>
          <w:b/>
          <w:bCs/>
          <w:kern w:val="0"/>
          <w:sz w:val="22"/>
          <w:szCs w:val="22"/>
          <w14:ligatures w14:val="none"/>
        </w:rPr>
        <w:t>Curso de Contratación Pública Sostenible y Socialmente Responsable</w:t>
      </w:r>
      <w:r w:rsidRPr="006B17A7">
        <w:rPr>
          <w:rFonts w:ascii="Verdana" w:eastAsia="Aptos" w:hAnsi="Verdana" w:cs="Times New Roman"/>
          <w:kern w:val="0"/>
          <w:sz w:val="22"/>
          <w:szCs w:val="22"/>
          <w14:ligatures w14:val="none"/>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B17A7">
        <w:rPr>
          <w:rFonts w:ascii="Verdana" w:eastAsia="Aptos" w:hAnsi="Verdana" w:cs="Times New Roman"/>
          <w:kern w:val="0"/>
          <w:sz w:val="22"/>
          <w:szCs w:val="22"/>
          <w14:ligatures w14:val="none"/>
        </w:rPr>
        <w:br/>
      </w:r>
      <w:hyperlink r:id="rId14" w:tgtFrame="_new" w:history="1">
        <w:r w:rsidRPr="006B17A7">
          <w:rPr>
            <w:rFonts w:ascii="Verdana" w:eastAsia="Aptos" w:hAnsi="Verdana" w:cs="Times New Roman"/>
            <w:color w:val="0000FF"/>
            <w:kern w:val="0"/>
            <w:sz w:val="22"/>
            <w:szCs w:val="22"/>
            <w:u w:val="single"/>
            <w14:ligatures w14:val="none"/>
          </w:rPr>
          <w:t>https://formacionvirtual.colombiacompra.gov.co/mod/page/view.php?id=3718</w:t>
        </w:r>
      </w:hyperlink>
    </w:p>
    <w:p w14:paraId="186493A6" w14:textId="77777777" w:rsidR="006B17A7" w:rsidRPr="006B17A7" w:rsidRDefault="006B17A7" w:rsidP="006B17A7">
      <w:pPr>
        <w:spacing w:line="259" w:lineRule="auto"/>
        <w:ind w:firstLine="708"/>
        <w:jc w:val="both"/>
        <w:rPr>
          <w:rFonts w:ascii="Verdana" w:eastAsia="Aptos" w:hAnsi="Verdana" w:cs="Times New Roman"/>
          <w:kern w:val="0"/>
          <w:sz w:val="22"/>
          <w:szCs w:val="22"/>
          <w14:ligatures w14:val="none"/>
        </w:rPr>
      </w:pPr>
      <w:r w:rsidRPr="006B17A7">
        <w:rPr>
          <w:rFonts w:ascii="Verdana" w:eastAsia="Aptos" w:hAnsi="Verdana" w:cs="Times New Roman"/>
          <w:kern w:val="0"/>
          <w:sz w:val="22"/>
          <w:szCs w:val="22"/>
          <w14:ligatures w14:val="none"/>
        </w:rPr>
        <w:t xml:space="preserve">De otro lado, te contamos que esta Agencia ha da un paso decisivo en la estandarización y modernización del </w:t>
      </w:r>
      <w:r w:rsidRPr="006B17A7">
        <w:rPr>
          <w:rFonts w:ascii="Verdana" w:eastAsia="Aptos" w:hAnsi="Verdana" w:cs="Times New Roman"/>
          <w:b/>
          <w:bCs/>
          <w:kern w:val="0"/>
          <w:sz w:val="22"/>
          <w:szCs w:val="22"/>
          <w14:ligatures w14:val="none"/>
        </w:rPr>
        <w:t>sector  social</w:t>
      </w:r>
      <w:r w:rsidRPr="006B17A7">
        <w:rPr>
          <w:rFonts w:ascii="Verdana" w:eastAsia="Aptos" w:hAnsi="Verdana" w:cs="Times New Roman"/>
          <w:kern w:val="0"/>
          <w:sz w:val="22"/>
          <w:szCs w:val="22"/>
          <w14:ligatures w14:val="none"/>
        </w:rPr>
        <w:t xml:space="preserve"> con la expedición de las </w:t>
      </w:r>
      <w:r w:rsidRPr="006B17A7">
        <w:rPr>
          <w:rFonts w:ascii="Verdana" w:eastAsia="Aptos" w:hAnsi="Verdana" w:cs="Times New Roman"/>
          <w:b/>
          <w:bCs/>
          <w:kern w:val="0"/>
          <w:sz w:val="22"/>
          <w:szCs w:val="22"/>
          <w14:ligatures w14:val="none"/>
        </w:rPr>
        <w:t>Resoluciones 539, 540, 541, 952 y 953 de 2025</w:t>
      </w:r>
      <w:r w:rsidRPr="006B17A7">
        <w:rPr>
          <w:rFonts w:ascii="Verdana" w:eastAsia="Aptos" w:hAnsi="Verdana" w:cs="Times New Roman"/>
          <w:kern w:val="0"/>
          <w:sz w:val="22"/>
          <w:szCs w:val="22"/>
          <w14:ligatures w14:val="none"/>
        </w:rPr>
        <w:t xml:space="preserve">, </w:t>
      </w:r>
      <w:r w:rsidRPr="006B17A7">
        <w:rPr>
          <w:rFonts w:ascii="Verdana" w:eastAsia="Aptos" w:hAnsi="Verdana" w:cs="Times New Roman"/>
          <w:b/>
          <w:bCs/>
          <w:kern w:val="0"/>
          <w:sz w:val="22"/>
          <w:szCs w:val="22"/>
          <w14:ligatures w14:val="none"/>
        </w:rPr>
        <w:t>mediante las cuales adoptó Documentos Tipo</w:t>
      </w:r>
      <w:r w:rsidRPr="006B17A7">
        <w:rPr>
          <w:rFonts w:ascii="Verdana" w:eastAsia="Aptos" w:hAnsi="Verdana" w:cs="Times New Roman"/>
          <w:kern w:val="0"/>
          <w:sz w:val="22"/>
          <w:szCs w:val="22"/>
          <w14:ligatures w14:val="none"/>
        </w:rPr>
        <w:t xml:space="preserve"> para las modalidades de selección de</w:t>
      </w:r>
      <w:r w:rsidRPr="006B17A7">
        <w:rPr>
          <w:rFonts w:ascii="Verdana" w:eastAsia="Aptos" w:hAnsi="Verdana" w:cs="Times New Roman"/>
          <w:b/>
          <w:bCs/>
          <w:kern w:val="0"/>
          <w:sz w:val="22"/>
          <w:szCs w:val="22"/>
          <w14:ligatures w14:val="none"/>
        </w:rPr>
        <w:t xml:space="preserve"> licitación pública (versión 2), selección abreviada de menor cuantía, mínima cuantía, consultoría e interventoría</w:t>
      </w:r>
      <w:r w:rsidRPr="006B17A7">
        <w:rPr>
          <w:rFonts w:ascii="Verdana" w:eastAsia="Aptos" w:hAnsi="Verdana" w:cs="Times New Roman"/>
          <w:kern w:val="0"/>
          <w:sz w:val="22"/>
          <w:szCs w:val="22"/>
          <w14:ligatures w14:val="none"/>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B17A7">
          <w:rPr>
            <w:rFonts w:ascii="Verdana" w:eastAsia="Aptos" w:hAnsi="Verdana" w:cs="Times New Roman"/>
            <w:color w:val="0000FF"/>
            <w:kern w:val="0"/>
            <w:sz w:val="22"/>
            <w:szCs w:val="22"/>
            <w:u w:val="single"/>
            <w14:ligatures w14:val="none"/>
          </w:rPr>
          <w:t>https://www.colombiacompra.gov.co/normativa-y-relatoria/documentos-tipo</w:t>
        </w:r>
      </w:hyperlink>
    </w:p>
    <w:p w14:paraId="658103C5" w14:textId="77777777" w:rsidR="006B17A7" w:rsidRPr="006B17A7" w:rsidRDefault="006B17A7" w:rsidP="006B17A7">
      <w:pPr>
        <w:spacing w:after="0" w:line="259" w:lineRule="auto"/>
        <w:ind w:firstLine="708"/>
        <w:jc w:val="both"/>
        <w:rPr>
          <w:rFonts w:ascii="Verdana" w:eastAsia="Aptos" w:hAnsi="Verdana" w:cs="Times New Roman"/>
          <w:kern w:val="0"/>
          <w:sz w:val="22"/>
          <w:szCs w:val="22"/>
          <w14:ligatures w14:val="none"/>
        </w:rPr>
      </w:pPr>
      <w:r w:rsidRPr="006B17A7">
        <w:rPr>
          <w:rFonts w:ascii="Verdana" w:eastAsia="Aptos" w:hAnsi="Verdana" w:cs="Times New Roman"/>
          <w:kern w:val="0"/>
          <w:sz w:val="22"/>
          <w:szCs w:val="22"/>
          <w14:ligatures w14:val="none"/>
        </w:rPr>
        <w:t xml:space="preserve">Si quieres conocer más sobre la aplicación de Documentos Tipo puedes consultar la última versión de la </w:t>
      </w:r>
      <w:r w:rsidRPr="006B17A7">
        <w:rPr>
          <w:rFonts w:ascii="Verdana" w:eastAsia="Aptos" w:hAnsi="Verdana" w:cs="Times New Roman"/>
          <w:b/>
          <w:bCs/>
          <w:kern w:val="0"/>
          <w:sz w:val="22"/>
          <w:szCs w:val="22"/>
          <w14:ligatures w14:val="none"/>
        </w:rPr>
        <w:t xml:space="preserve">Guía para la comprensión e </w:t>
      </w:r>
      <w:r w:rsidRPr="006B17A7">
        <w:rPr>
          <w:rFonts w:ascii="Verdana" w:eastAsia="Aptos" w:hAnsi="Verdana" w:cs="Times New Roman"/>
          <w:b/>
          <w:bCs/>
          <w:kern w:val="0"/>
          <w:sz w:val="22"/>
          <w:szCs w:val="22"/>
          <w14:ligatures w14:val="none"/>
        </w:rPr>
        <w:lastRenderedPageBreak/>
        <w:t>implementación de los Documentos Tipo de obra pública de infraestructura de transporte</w:t>
      </w:r>
      <w:r w:rsidRPr="006B17A7">
        <w:rPr>
          <w:rFonts w:ascii="Verdana" w:eastAsia="Aptos" w:hAnsi="Verdana" w:cs="Times New Roman"/>
          <w:kern w:val="0"/>
          <w:sz w:val="22"/>
          <w:szCs w:val="22"/>
          <w14:ligatures w14:val="none"/>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B17A7">
        <w:rPr>
          <w:rFonts w:ascii="Verdana" w:eastAsia="Aptos" w:hAnsi="Verdana" w:cs="Times New Roman"/>
          <w:kern w:val="0"/>
          <w:sz w:val="22"/>
          <w:szCs w:val="22"/>
          <w14:ligatures w14:val="none"/>
        </w:rPr>
        <w:br/>
      </w:r>
      <w:hyperlink r:id="rId16" w:tgtFrame="_new" w:history="1">
        <w:r w:rsidRPr="006B17A7">
          <w:rPr>
            <w:rFonts w:ascii="Verdana" w:eastAsia="Aptos" w:hAnsi="Verdana" w:cs="Times New Roman"/>
            <w:color w:val="0000FF"/>
            <w:kern w:val="0"/>
            <w:sz w:val="22"/>
            <w:szCs w:val="22"/>
            <w:u w:val="single"/>
            <w14:ligatures w14:val="none"/>
          </w:rPr>
          <w:t>https://www.colombiacompra.gov.co/archivos/manual/guia-para-la-comprension-e-implementacion-de-los-documentos-tipo-de-obra-publica-de-infraestructura-de-transporte-bajo-las-diferentes-modalidades-de-contratacion-vigentes</w:t>
        </w:r>
      </w:hyperlink>
    </w:p>
    <w:p w14:paraId="217A8CD0" w14:textId="77777777" w:rsidR="006B17A7" w:rsidRPr="006B17A7" w:rsidRDefault="006B17A7" w:rsidP="006B17A7">
      <w:pPr>
        <w:widowControl w:val="0"/>
        <w:autoSpaceDE w:val="0"/>
        <w:autoSpaceDN w:val="0"/>
        <w:spacing w:after="0" w:line="276" w:lineRule="auto"/>
        <w:jc w:val="both"/>
        <w:rPr>
          <w:rFonts w:ascii="Verdana" w:eastAsia="Aptos" w:hAnsi="Verdana" w:cs="Arial"/>
          <w:kern w:val="0"/>
          <w:sz w:val="22"/>
          <w:szCs w:val="22"/>
          <w:shd w:val="clear" w:color="auto" w:fill="FFFFFF"/>
          <w:lang w:val="es-ES"/>
          <w14:ligatures w14:val="none"/>
        </w:rPr>
      </w:pPr>
    </w:p>
    <w:p w14:paraId="7578BEC8" w14:textId="77777777" w:rsidR="006B17A7" w:rsidRPr="006B17A7" w:rsidRDefault="006B17A7" w:rsidP="006B17A7">
      <w:pPr>
        <w:spacing w:after="0" w:line="240" w:lineRule="auto"/>
        <w:jc w:val="both"/>
        <w:rPr>
          <w:rFonts w:ascii="Verdana" w:eastAsia="Aptos" w:hAnsi="Verdana" w:cs="Times New Roman"/>
          <w:kern w:val="0"/>
          <w:sz w:val="22"/>
          <w:szCs w:val="22"/>
          <w14:ligatures w14:val="none"/>
        </w:rPr>
      </w:pPr>
      <w:r w:rsidRPr="006B17A7">
        <w:rPr>
          <w:rFonts w:ascii="Verdana" w:eastAsia="Aptos" w:hAnsi="Verdana" w:cs="Times New Roman"/>
          <w:kern w:val="0"/>
          <w:sz w:val="22"/>
          <w:szCs w:val="22"/>
          <w14:ligatures w14:val="none"/>
        </w:rPr>
        <w:t xml:space="preserve">Por último, lo invitamos a seguirnos en las redes sociales en las cuales se difunde información institucional: </w:t>
      </w:r>
    </w:p>
    <w:p w14:paraId="343BF9D7" w14:textId="77777777" w:rsidR="006B17A7" w:rsidRPr="006B17A7" w:rsidRDefault="006B17A7" w:rsidP="006B17A7">
      <w:pPr>
        <w:spacing w:after="0" w:line="240" w:lineRule="auto"/>
        <w:jc w:val="both"/>
        <w:rPr>
          <w:rFonts w:ascii="Verdana" w:eastAsia="Aptos" w:hAnsi="Verdana" w:cs="Times New Roman"/>
          <w:kern w:val="0"/>
          <w:sz w:val="22"/>
          <w:szCs w:val="22"/>
          <w14:ligatures w14:val="none"/>
        </w:rPr>
      </w:pPr>
    </w:p>
    <w:p w14:paraId="7BEC7841" w14:textId="77777777" w:rsidR="006B17A7" w:rsidRPr="006B17A7" w:rsidRDefault="006B17A7" w:rsidP="006B17A7">
      <w:pPr>
        <w:spacing w:after="0" w:line="240" w:lineRule="auto"/>
        <w:jc w:val="both"/>
        <w:rPr>
          <w:rFonts w:ascii="Verdana" w:eastAsia="Aptos" w:hAnsi="Verdana" w:cs="Times New Roman"/>
          <w:kern w:val="0"/>
          <w:sz w:val="22"/>
          <w:szCs w:val="22"/>
          <w14:ligatures w14:val="none"/>
        </w:rPr>
      </w:pPr>
      <w:r w:rsidRPr="006B17A7">
        <w:rPr>
          <w:rFonts w:ascii="Verdana" w:eastAsia="Aptos" w:hAnsi="Verdana" w:cs="Times New Roman"/>
          <w:kern w:val="0"/>
          <w:sz w:val="22"/>
          <w:szCs w:val="22"/>
          <w14:ligatures w14:val="none"/>
        </w:rPr>
        <w:t xml:space="preserve">Twitter: </w:t>
      </w:r>
      <w:r w:rsidRPr="006B17A7">
        <w:rPr>
          <w:rFonts w:ascii="Verdana" w:eastAsia="Aptos" w:hAnsi="Verdana" w:cs="Times New Roman"/>
          <w:color w:val="156082"/>
          <w:kern w:val="0"/>
          <w:sz w:val="22"/>
          <w:szCs w:val="22"/>
          <w:u w:val="single"/>
          <w14:ligatures w14:val="none"/>
        </w:rPr>
        <w:t>@colombiacompra</w:t>
      </w:r>
      <w:r w:rsidRPr="006B17A7">
        <w:rPr>
          <w:rFonts w:ascii="Verdana" w:eastAsia="Aptos" w:hAnsi="Verdana" w:cs="Times New Roman"/>
          <w:color w:val="156082"/>
          <w:kern w:val="0"/>
          <w:sz w:val="22"/>
          <w:szCs w:val="22"/>
          <w14:ligatures w14:val="none"/>
        </w:rPr>
        <w:t xml:space="preserve"> </w:t>
      </w:r>
    </w:p>
    <w:p w14:paraId="39CE5CEF" w14:textId="77777777" w:rsidR="006B17A7" w:rsidRPr="006B17A7" w:rsidRDefault="006B17A7" w:rsidP="006B17A7">
      <w:pPr>
        <w:spacing w:after="0" w:line="240" w:lineRule="auto"/>
        <w:jc w:val="both"/>
        <w:rPr>
          <w:rFonts w:ascii="Verdana" w:eastAsia="Aptos" w:hAnsi="Verdana" w:cs="Times New Roman"/>
          <w:kern w:val="0"/>
          <w:sz w:val="22"/>
          <w:szCs w:val="22"/>
          <w14:ligatures w14:val="none"/>
        </w:rPr>
      </w:pPr>
      <w:r w:rsidRPr="006B17A7">
        <w:rPr>
          <w:rFonts w:ascii="Verdana" w:eastAsia="Aptos" w:hAnsi="Verdana" w:cs="Times New Roman"/>
          <w:kern w:val="0"/>
          <w:sz w:val="22"/>
          <w:szCs w:val="22"/>
          <w14:ligatures w14:val="none"/>
        </w:rPr>
        <w:t xml:space="preserve">Facebook: </w:t>
      </w:r>
      <w:proofErr w:type="spellStart"/>
      <w:r w:rsidRPr="006B17A7">
        <w:rPr>
          <w:rFonts w:ascii="Verdana" w:eastAsia="Aptos" w:hAnsi="Verdana" w:cs="Times New Roman"/>
          <w:color w:val="156082"/>
          <w:kern w:val="0"/>
          <w:sz w:val="22"/>
          <w:szCs w:val="22"/>
          <w:u w:val="single"/>
          <w14:ligatures w14:val="none"/>
        </w:rPr>
        <w:t>ColombiaCompraEficiente</w:t>
      </w:r>
      <w:proofErr w:type="spellEnd"/>
    </w:p>
    <w:p w14:paraId="3CD01876" w14:textId="77777777" w:rsidR="006B17A7" w:rsidRPr="006B17A7" w:rsidRDefault="006B17A7" w:rsidP="006B17A7">
      <w:pPr>
        <w:spacing w:after="0" w:line="240" w:lineRule="auto"/>
        <w:jc w:val="both"/>
        <w:rPr>
          <w:rFonts w:ascii="Verdana" w:eastAsia="Aptos" w:hAnsi="Verdana" w:cs="Times New Roman"/>
          <w:kern w:val="0"/>
          <w:sz w:val="22"/>
          <w:szCs w:val="22"/>
          <w14:ligatures w14:val="none"/>
        </w:rPr>
      </w:pPr>
      <w:r w:rsidRPr="006B17A7">
        <w:rPr>
          <w:rFonts w:ascii="Verdana" w:eastAsia="Aptos" w:hAnsi="Verdana" w:cs="Times New Roman"/>
          <w:kern w:val="0"/>
          <w:sz w:val="22"/>
          <w:szCs w:val="22"/>
          <w14:ligatures w14:val="none"/>
        </w:rPr>
        <w:t xml:space="preserve">LinkedIn: </w:t>
      </w:r>
      <w:r w:rsidRPr="006B17A7">
        <w:rPr>
          <w:rFonts w:ascii="Verdana" w:eastAsia="Aptos" w:hAnsi="Verdana" w:cs="Times New Roman"/>
          <w:color w:val="156082"/>
          <w:kern w:val="0"/>
          <w:sz w:val="22"/>
          <w:szCs w:val="22"/>
          <w:u w:val="single"/>
          <w14:ligatures w14:val="none"/>
        </w:rPr>
        <w:t>Agencia Nacional de Contratación Pública - Colombia Compra Eficiente</w:t>
      </w:r>
      <w:r w:rsidRPr="006B17A7">
        <w:rPr>
          <w:rFonts w:ascii="Verdana" w:eastAsia="Aptos" w:hAnsi="Verdana" w:cs="Times New Roman"/>
          <w:color w:val="156082"/>
          <w:kern w:val="0"/>
          <w:sz w:val="22"/>
          <w:szCs w:val="22"/>
          <w14:ligatures w14:val="none"/>
        </w:rPr>
        <w:t xml:space="preserve"> </w:t>
      </w:r>
      <w:r w:rsidRPr="006B17A7">
        <w:rPr>
          <w:rFonts w:ascii="Verdana" w:eastAsia="Aptos" w:hAnsi="Verdana" w:cs="Times New Roman"/>
          <w:kern w:val="0"/>
          <w:sz w:val="22"/>
          <w:szCs w:val="22"/>
          <w14:ligatures w14:val="none"/>
        </w:rPr>
        <w:t xml:space="preserve">Instagram: </w:t>
      </w:r>
      <w:r w:rsidRPr="006B17A7">
        <w:rPr>
          <w:rFonts w:ascii="Verdana" w:eastAsia="Aptos" w:hAnsi="Verdana" w:cs="Times New Roman"/>
          <w:color w:val="156082"/>
          <w:kern w:val="0"/>
          <w:sz w:val="22"/>
          <w:szCs w:val="22"/>
          <w:u w:val="single"/>
          <w14:ligatures w14:val="none"/>
        </w:rPr>
        <w:t>@colombiacompraeficiente_cce</w:t>
      </w:r>
    </w:p>
    <w:p w14:paraId="16474654" w14:textId="77777777" w:rsidR="006B17A7" w:rsidRPr="006B17A7" w:rsidRDefault="006B17A7" w:rsidP="006B17A7">
      <w:pPr>
        <w:widowControl w:val="0"/>
        <w:autoSpaceDE w:val="0"/>
        <w:autoSpaceDN w:val="0"/>
        <w:spacing w:after="0" w:line="276" w:lineRule="auto"/>
        <w:jc w:val="both"/>
        <w:rPr>
          <w:rFonts w:ascii="Verdana" w:eastAsia="Aptos" w:hAnsi="Verdana" w:cs="Arial"/>
          <w:kern w:val="0"/>
          <w:sz w:val="22"/>
          <w:szCs w:val="22"/>
          <w14:ligatures w14:val="none"/>
        </w:rPr>
      </w:pPr>
    </w:p>
    <w:p w14:paraId="4761C7BA" w14:textId="77777777" w:rsidR="006B17A7" w:rsidRPr="006B17A7" w:rsidRDefault="006B17A7" w:rsidP="006B17A7">
      <w:pPr>
        <w:widowControl w:val="0"/>
        <w:autoSpaceDE w:val="0"/>
        <w:autoSpaceDN w:val="0"/>
        <w:spacing w:after="0" w:line="276" w:lineRule="auto"/>
        <w:jc w:val="both"/>
        <w:rPr>
          <w:rFonts w:ascii="Verdana" w:eastAsia="Aptos" w:hAnsi="Verdana" w:cs="Arial"/>
          <w:kern w:val="0"/>
          <w:sz w:val="22"/>
          <w:szCs w:val="22"/>
          <w:lang w:val="es-ES_tradnl"/>
          <w14:ligatures w14:val="none"/>
        </w:rPr>
      </w:pPr>
      <w:r w:rsidRPr="006B17A7">
        <w:rPr>
          <w:rFonts w:ascii="Verdana" w:eastAsia="Aptos" w:hAnsi="Verdana" w:cs="Arial"/>
          <w:kern w:val="0"/>
          <w:sz w:val="22"/>
          <w:szCs w:val="22"/>
          <w14:ligatures w14:val="none"/>
        </w:rPr>
        <w:t xml:space="preserve">Este concepto tiene el alcance previsto en el artículo 28 del Código de Procedimiento Administrativo y de lo Contencioso Administrativo </w:t>
      </w:r>
      <w:r w:rsidRPr="006B17A7">
        <w:rPr>
          <w:rFonts w:ascii="Verdana" w:eastAsia="Aptos" w:hAnsi="Verdana" w:cs="Arial"/>
          <w:kern w:val="0"/>
          <w:sz w:val="22"/>
          <w:szCs w:val="22"/>
          <w:lang w:val="es-ES_tradnl"/>
          <w14:ligatures w14:val="none"/>
        </w:rPr>
        <w:t>y las expresiones aquí utilizadas con mayúscula inicial deben ser entendidas con el significado que les otorga el artículo 2.2.1.1.1.3.1. del Decreto 1082 de 2015.</w:t>
      </w:r>
    </w:p>
    <w:p w14:paraId="0D3801CA" w14:textId="77777777" w:rsidR="006B17A7" w:rsidRPr="006B17A7" w:rsidRDefault="006B17A7" w:rsidP="006B17A7">
      <w:pPr>
        <w:widowControl w:val="0"/>
        <w:autoSpaceDE w:val="0"/>
        <w:autoSpaceDN w:val="0"/>
        <w:spacing w:after="0" w:line="276" w:lineRule="auto"/>
        <w:jc w:val="both"/>
        <w:rPr>
          <w:rFonts w:ascii="Verdana" w:eastAsia="Aptos" w:hAnsi="Verdana" w:cs="Arial"/>
          <w:kern w:val="0"/>
          <w:sz w:val="22"/>
          <w:szCs w:val="22"/>
          <w14:ligatures w14:val="none"/>
        </w:rPr>
      </w:pPr>
    </w:p>
    <w:p w14:paraId="38A96658" w14:textId="77777777" w:rsidR="006B17A7" w:rsidRPr="006B17A7" w:rsidRDefault="006B17A7" w:rsidP="006B17A7">
      <w:pPr>
        <w:spacing w:after="0" w:line="240" w:lineRule="auto"/>
        <w:rPr>
          <w:rFonts w:ascii="Verdana" w:eastAsia="Aptos" w:hAnsi="Verdana" w:cs="Arial"/>
          <w:kern w:val="0"/>
          <w:sz w:val="22"/>
          <w:szCs w:val="22"/>
          <w:lang w:eastAsia="es-CO"/>
          <w14:ligatures w14:val="none"/>
        </w:rPr>
      </w:pPr>
      <w:r w:rsidRPr="006B17A7">
        <w:rPr>
          <w:rFonts w:ascii="Verdana" w:eastAsia="Times New Roman" w:hAnsi="Verdana" w:cs="Arial"/>
          <w:kern w:val="0"/>
          <w:sz w:val="22"/>
          <w:szCs w:val="22"/>
          <w:lang w:eastAsia="es-CO"/>
          <w14:ligatures w14:val="none"/>
        </w:rPr>
        <w:t>Atentamente,</w:t>
      </w:r>
      <w:r w:rsidRPr="006B17A7">
        <w:rPr>
          <w:rFonts w:ascii="Verdana" w:eastAsia="Aptos" w:hAnsi="Verdana" w:cs="Arial"/>
          <w:kern w:val="0"/>
          <w:sz w:val="22"/>
          <w:szCs w:val="22"/>
          <w:lang w:eastAsia="es-CO"/>
          <w14:ligatures w14:val="none"/>
        </w:rPr>
        <w:t xml:space="preserve"> </w:t>
      </w:r>
    </w:p>
    <w:p w14:paraId="55C80E24" w14:textId="15EAB0D4" w:rsidR="006B17A7" w:rsidRPr="006B17A7" w:rsidRDefault="00A772A4" w:rsidP="006B17A7">
      <w:pPr>
        <w:spacing w:line="276" w:lineRule="auto"/>
        <w:jc w:val="center"/>
        <w:rPr>
          <w:rFonts w:ascii="Verdana" w:eastAsia="Aptos" w:hAnsi="Verdana" w:cs="Arial"/>
          <w:kern w:val="0"/>
          <w:sz w:val="22"/>
          <w:szCs w:val="22"/>
          <w:lang w:val="es-ES_tradnl" w:eastAsia="es-CO"/>
          <w14:ligatures w14:val="none"/>
        </w:rPr>
      </w:pPr>
      <w:r>
        <w:rPr>
          <w:noProof/>
        </w:rPr>
        <w:drawing>
          <wp:inline distT="0" distB="0" distL="0" distR="0" wp14:anchorId="66BE1F04" wp14:editId="0D7D2B16">
            <wp:extent cx="3774440" cy="1411605"/>
            <wp:effectExtent l="0" t="0" r="0" b="0"/>
            <wp:docPr id="41242873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4440" cy="1411605"/>
                    </a:xfrm>
                    <a:prstGeom prst="rect">
                      <a:avLst/>
                    </a:prstGeom>
                    <a:noFill/>
                    <a:ln>
                      <a:noFill/>
                    </a:ln>
                  </pic:spPr>
                </pic:pic>
              </a:graphicData>
            </a:graphic>
          </wp:inline>
        </w:drawing>
      </w:r>
      <w:r w:rsidR="006B17A7" w:rsidRPr="006B17A7">
        <w:rPr>
          <w:rFonts w:ascii="Verdana" w:eastAsia="Aptos" w:hAnsi="Verdana" w:cs="Arial"/>
          <w:kern w:val="0"/>
          <w:sz w:val="22"/>
          <w:szCs w:val="22"/>
          <w:lang w:val="es-ES" w:eastAsia="es-CO"/>
          <w14:ligatures w14:val="none"/>
        </w:rPr>
        <w:br/>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6B17A7" w:rsidRPr="006B17A7" w14:paraId="1C978119" w14:textId="77777777" w:rsidTr="00917CD0">
        <w:trPr>
          <w:trHeight w:val="286"/>
        </w:trPr>
        <w:tc>
          <w:tcPr>
            <w:tcW w:w="901" w:type="dxa"/>
            <w:vAlign w:val="center"/>
            <w:hideMark/>
          </w:tcPr>
          <w:p w14:paraId="76D3628D" w14:textId="77777777" w:rsidR="006B17A7" w:rsidRPr="006B17A7" w:rsidRDefault="006B17A7" w:rsidP="006B17A7">
            <w:pPr>
              <w:rPr>
                <w:rFonts w:ascii="Verdana" w:eastAsia="Aptos" w:hAnsi="Verdana" w:cs="Arial"/>
                <w:sz w:val="14"/>
                <w:szCs w:val="14"/>
                <w:lang w:eastAsia="es-ES"/>
              </w:rPr>
            </w:pPr>
            <w:r w:rsidRPr="006B17A7">
              <w:rPr>
                <w:rFonts w:ascii="Verdana" w:eastAsia="Aptos" w:hAnsi="Verdana" w:cs="Arial"/>
                <w:sz w:val="14"/>
                <w:szCs w:val="14"/>
                <w:lang w:eastAsia="es-ES"/>
              </w:rPr>
              <w:lastRenderedPageBreak/>
              <w:t>Elaboró:</w:t>
            </w:r>
          </w:p>
        </w:tc>
        <w:tc>
          <w:tcPr>
            <w:tcW w:w="4344" w:type="dxa"/>
            <w:tcBorders>
              <w:top w:val="nil"/>
              <w:left w:val="nil"/>
              <w:bottom w:val="dotted" w:sz="4" w:space="0" w:color="7F7F7F"/>
              <w:right w:val="nil"/>
            </w:tcBorders>
            <w:vAlign w:val="center"/>
            <w:hideMark/>
          </w:tcPr>
          <w:p w14:paraId="2678B582" w14:textId="77777777" w:rsidR="006B17A7" w:rsidRPr="006B17A7" w:rsidRDefault="006B17A7" w:rsidP="006B17A7">
            <w:pPr>
              <w:rPr>
                <w:rFonts w:ascii="Verdana" w:eastAsia="Aptos" w:hAnsi="Verdana" w:cs="Arial"/>
                <w:sz w:val="14"/>
                <w:szCs w:val="14"/>
                <w:lang w:eastAsia="es-ES"/>
              </w:rPr>
            </w:pPr>
            <w:r w:rsidRPr="006B17A7">
              <w:rPr>
                <w:rFonts w:ascii="Verdana" w:eastAsia="Aptos" w:hAnsi="Verdana" w:cs="Arial"/>
                <w:sz w:val="14"/>
                <w:szCs w:val="14"/>
                <w:lang w:eastAsia="es-ES"/>
              </w:rPr>
              <w:t>Nasly Yeana Mosquera Rivas</w:t>
            </w:r>
          </w:p>
          <w:p w14:paraId="7FD8007C" w14:textId="77777777" w:rsidR="006B17A7" w:rsidRPr="006B17A7" w:rsidRDefault="006B17A7" w:rsidP="006B17A7">
            <w:pPr>
              <w:rPr>
                <w:rFonts w:ascii="Verdana" w:eastAsia="Aptos" w:hAnsi="Verdana" w:cs="Arial"/>
                <w:sz w:val="14"/>
                <w:szCs w:val="14"/>
                <w:lang w:eastAsia="es-ES"/>
              </w:rPr>
            </w:pPr>
            <w:r w:rsidRPr="006B17A7">
              <w:rPr>
                <w:rFonts w:ascii="Verdana" w:eastAsia="Aptos" w:hAnsi="Verdana" w:cs="Arial"/>
                <w:sz w:val="14"/>
                <w:szCs w:val="14"/>
                <w:lang w:eastAsia="es-ES"/>
              </w:rPr>
              <w:t>Analista T2–06 de la Subdirección de Gestión Contractual</w:t>
            </w:r>
          </w:p>
        </w:tc>
      </w:tr>
      <w:tr w:rsidR="006B17A7" w:rsidRPr="006B17A7" w14:paraId="4CBDF9E9" w14:textId="77777777" w:rsidTr="00917CD0">
        <w:trPr>
          <w:trHeight w:val="299"/>
        </w:trPr>
        <w:tc>
          <w:tcPr>
            <w:tcW w:w="901" w:type="dxa"/>
            <w:vAlign w:val="center"/>
          </w:tcPr>
          <w:p w14:paraId="7B404CDB" w14:textId="77777777" w:rsidR="006B17A7" w:rsidRPr="006B17A7" w:rsidRDefault="006B17A7" w:rsidP="006B17A7">
            <w:pPr>
              <w:rPr>
                <w:rFonts w:ascii="Verdana" w:eastAsia="Aptos" w:hAnsi="Verdana" w:cs="Arial"/>
                <w:sz w:val="14"/>
                <w:szCs w:val="14"/>
                <w:lang w:eastAsia="es-ES"/>
              </w:rPr>
            </w:pPr>
            <w:r w:rsidRPr="006B17A7">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6CD17746" w14:textId="77777777" w:rsidR="006B17A7" w:rsidRPr="006B17A7" w:rsidRDefault="006B17A7" w:rsidP="006B17A7">
            <w:pPr>
              <w:rPr>
                <w:rFonts w:ascii="Verdana" w:eastAsia="Aptos" w:hAnsi="Verdana" w:cs="Arial"/>
                <w:sz w:val="14"/>
                <w:szCs w:val="14"/>
                <w:lang w:eastAsia="es-ES"/>
              </w:rPr>
            </w:pPr>
            <w:r w:rsidRPr="006B17A7">
              <w:rPr>
                <w:rFonts w:ascii="Verdana" w:eastAsia="Aptos" w:hAnsi="Verdana" w:cs="Arial"/>
                <w:sz w:val="14"/>
                <w:szCs w:val="14"/>
                <w:lang w:eastAsia="es-ES"/>
              </w:rPr>
              <w:t>Adriana Katerine López Rodríguez</w:t>
            </w:r>
          </w:p>
          <w:p w14:paraId="3AD9B33D" w14:textId="77777777" w:rsidR="006B17A7" w:rsidRPr="006B17A7" w:rsidRDefault="006B17A7" w:rsidP="006B17A7">
            <w:pPr>
              <w:rPr>
                <w:rFonts w:ascii="Verdana" w:eastAsia="Aptos" w:hAnsi="Verdana" w:cs="Arial"/>
                <w:sz w:val="14"/>
                <w:szCs w:val="14"/>
                <w:lang w:eastAsia="es-ES"/>
              </w:rPr>
            </w:pPr>
            <w:r w:rsidRPr="006B17A7">
              <w:rPr>
                <w:rFonts w:ascii="Verdana" w:eastAsia="Aptos" w:hAnsi="Verdana" w:cs="Arial"/>
                <w:sz w:val="14"/>
                <w:szCs w:val="14"/>
                <w:lang w:eastAsia="es-ES"/>
              </w:rPr>
              <w:t>Contratista de la Subdirección de Gestión Contractual</w:t>
            </w:r>
          </w:p>
        </w:tc>
      </w:tr>
      <w:tr w:rsidR="006B17A7" w:rsidRPr="006B17A7" w14:paraId="067CE117" w14:textId="77777777" w:rsidTr="00917CD0">
        <w:trPr>
          <w:trHeight w:val="272"/>
        </w:trPr>
        <w:tc>
          <w:tcPr>
            <w:tcW w:w="901" w:type="dxa"/>
            <w:vAlign w:val="center"/>
            <w:hideMark/>
          </w:tcPr>
          <w:p w14:paraId="2F2935D0" w14:textId="77777777" w:rsidR="006B17A7" w:rsidRPr="006B17A7" w:rsidRDefault="006B17A7" w:rsidP="006B17A7">
            <w:pPr>
              <w:rPr>
                <w:rFonts w:ascii="Verdana" w:eastAsia="Aptos" w:hAnsi="Verdana" w:cs="Arial"/>
                <w:sz w:val="14"/>
                <w:szCs w:val="14"/>
                <w:lang w:eastAsia="es-ES"/>
              </w:rPr>
            </w:pPr>
            <w:r w:rsidRPr="006B17A7">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5B02420E" w14:textId="77777777" w:rsidR="006B17A7" w:rsidRPr="006B17A7" w:rsidRDefault="006B17A7" w:rsidP="006B17A7">
            <w:pPr>
              <w:rPr>
                <w:rFonts w:ascii="Verdana" w:eastAsia="Aptos" w:hAnsi="Verdana" w:cs="Arial"/>
                <w:sz w:val="14"/>
                <w:szCs w:val="14"/>
                <w:lang w:eastAsia="es-ES"/>
              </w:rPr>
            </w:pPr>
            <w:r w:rsidRPr="006B17A7">
              <w:rPr>
                <w:rFonts w:ascii="Verdana" w:eastAsia="Aptos" w:hAnsi="Verdana" w:cs="Arial"/>
                <w:sz w:val="14"/>
                <w:szCs w:val="14"/>
                <w:lang w:eastAsia="es-ES"/>
              </w:rPr>
              <w:t>Carolina Quintero Gacharná</w:t>
            </w:r>
          </w:p>
          <w:p w14:paraId="00ACF698" w14:textId="77777777" w:rsidR="006B17A7" w:rsidRPr="006B17A7" w:rsidRDefault="006B17A7" w:rsidP="006B17A7">
            <w:pPr>
              <w:rPr>
                <w:rFonts w:ascii="Verdana" w:eastAsia="Aptos" w:hAnsi="Verdana" w:cs="Arial"/>
                <w:sz w:val="14"/>
                <w:szCs w:val="14"/>
                <w:lang w:eastAsia="es-ES"/>
              </w:rPr>
            </w:pPr>
            <w:r w:rsidRPr="006B17A7">
              <w:rPr>
                <w:rFonts w:ascii="Verdana" w:eastAsia="Aptos" w:hAnsi="Verdana" w:cs="Arial"/>
                <w:sz w:val="14"/>
                <w:szCs w:val="14"/>
                <w:lang w:eastAsia="es-ES"/>
              </w:rPr>
              <w:t>Subdirectora de Gestión Contractual ANCP – CCE</w:t>
            </w:r>
          </w:p>
        </w:tc>
      </w:tr>
    </w:tbl>
    <w:p w14:paraId="7FD3E7D9" w14:textId="77777777" w:rsidR="006B17A7" w:rsidRPr="006B17A7" w:rsidRDefault="006B17A7" w:rsidP="006B17A7">
      <w:pPr>
        <w:spacing w:after="0" w:line="240" w:lineRule="auto"/>
        <w:rPr>
          <w:rFonts w:ascii="Verdana" w:eastAsia="Times New Roman" w:hAnsi="Verdana" w:cs="Arial"/>
          <w:kern w:val="0"/>
          <w:lang w:eastAsia="es-ES"/>
          <w14:ligatures w14:val="none"/>
        </w:rPr>
      </w:pPr>
    </w:p>
    <w:p w14:paraId="7F7279E1" w14:textId="77777777" w:rsidR="006B17A7" w:rsidRPr="006B17A7" w:rsidRDefault="006B17A7" w:rsidP="006B17A7">
      <w:pPr>
        <w:spacing w:line="259" w:lineRule="auto"/>
        <w:rPr>
          <w:rFonts w:ascii="Aptos" w:eastAsia="Aptos" w:hAnsi="Aptos" w:cs="Times New Roman"/>
          <w:kern w:val="0"/>
          <w:sz w:val="22"/>
          <w:szCs w:val="22"/>
          <w14:ligatures w14:val="none"/>
        </w:rPr>
      </w:pPr>
    </w:p>
    <w:bookmarkEnd w:id="0"/>
    <w:p w14:paraId="65BAAC0A" w14:textId="77777777" w:rsidR="006B17A7" w:rsidRPr="006B17A7" w:rsidRDefault="006B17A7" w:rsidP="006B17A7">
      <w:pPr>
        <w:spacing w:line="259" w:lineRule="auto"/>
        <w:rPr>
          <w:rFonts w:ascii="Aptos" w:eastAsia="Aptos" w:hAnsi="Aptos" w:cs="Times New Roman"/>
          <w:kern w:val="0"/>
          <w:sz w:val="22"/>
          <w:szCs w:val="22"/>
          <w14:ligatures w14:val="none"/>
        </w:rPr>
      </w:pPr>
    </w:p>
    <w:sectPr w:rsidR="006B17A7" w:rsidRPr="006B17A7" w:rsidSect="006B17A7">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5442A" w14:textId="77777777" w:rsidR="007A4374" w:rsidRDefault="007A4374" w:rsidP="006B17A7">
      <w:pPr>
        <w:spacing w:after="0" w:line="240" w:lineRule="auto"/>
      </w:pPr>
      <w:r>
        <w:separator/>
      </w:r>
    </w:p>
  </w:endnote>
  <w:endnote w:type="continuationSeparator" w:id="0">
    <w:p w14:paraId="6F0A2899" w14:textId="77777777" w:rsidR="007A4374" w:rsidRDefault="007A4374" w:rsidP="006B1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97748" w14:textId="77777777" w:rsidR="006B17A7" w:rsidRDefault="006B17A7">
    <w:pPr>
      <w:pStyle w:val="Piedepgina"/>
    </w:pPr>
  </w:p>
  <w:p w14:paraId="1F21B483" w14:textId="77777777" w:rsidR="006B17A7" w:rsidRPr="00174B77" w:rsidRDefault="006B17A7"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6B16D7A2" w14:textId="77777777" w:rsidR="006B17A7" w:rsidRDefault="006B17A7"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665B5E15" w14:textId="77777777" w:rsidR="006B17A7" w:rsidRPr="00E41027" w:rsidRDefault="006B17A7"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5A352BC3" w14:textId="77777777" w:rsidR="006B17A7" w:rsidRDefault="006B17A7"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3A3593">
      <w:rPr>
        <w:rFonts w:ascii="Verdana" w:eastAsia="Verdana" w:hAnsi="Verdana" w:cs="Verdana"/>
        <w:b/>
        <w:bCs/>
        <w:color w:val="000000"/>
        <w:sz w:val="18"/>
        <w:szCs w:val="18"/>
        <w:lang w:eastAsia="es-CO"/>
      </w:rPr>
      <w:t xml:space="preserve">Código: </w:t>
    </w:r>
    <w:r w:rsidRPr="003A3593">
      <w:rPr>
        <w:rFonts w:ascii="Verdana" w:eastAsia="Verdana" w:hAnsi="Verdana" w:cs="Verdana"/>
        <w:color w:val="000000"/>
        <w:sz w:val="18"/>
        <w:szCs w:val="18"/>
        <w:lang w:eastAsia="es-CO"/>
      </w:rPr>
      <w:t xml:space="preserve">CCE-REC-FM-17 </w:t>
    </w:r>
    <w:r w:rsidRPr="003A3593">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5B3F0" w14:textId="77777777" w:rsidR="007A4374" w:rsidRDefault="007A4374" w:rsidP="006B17A7">
      <w:pPr>
        <w:spacing w:after="0" w:line="240" w:lineRule="auto"/>
      </w:pPr>
      <w:r>
        <w:separator/>
      </w:r>
    </w:p>
  </w:footnote>
  <w:footnote w:type="continuationSeparator" w:id="0">
    <w:p w14:paraId="0248B39E" w14:textId="77777777" w:rsidR="007A4374" w:rsidRDefault="007A4374" w:rsidP="006B17A7">
      <w:pPr>
        <w:spacing w:after="0" w:line="240" w:lineRule="auto"/>
      </w:pPr>
      <w:r>
        <w:continuationSeparator/>
      </w:r>
    </w:p>
  </w:footnote>
  <w:footnote w:id="1">
    <w:p w14:paraId="55776141" w14:textId="77777777" w:rsidR="006B17A7" w:rsidRPr="0027107E" w:rsidRDefault="006B17A7" w:rsidP="006B17A7">
      <w:pPr>
        <w:pStyle w:val="Textonotapie"/>
        <w:ind w:firstLine="708"/>
        <w:jc w:val="both"/>
        <w:rPr>
          <w:rFonts w:ascii="Verdana" w:hAnsi="Verdana" w:cs="Arial"/>
          <w:color w:val="000000"/>
          <w:sz w:val="16"/>
          <w:szCs w:val="16"/>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27107E">
        <w:rPr>
          <w:rFonts w:ascii="Verdana" w:hAnsi="Verdana" w:cs="Arial"/>
          <w:color w:val="000000"/>
          <w:sz w:val="16"/>
          <w:szCs w:val="16"/>
          <w:shd w:val="clear" w:color="auto" w:fill="FFFFFF"/>
        </w:rPr>
        <w:t>” (</w:t>
      </w:r>
      <w:r w:rsidRPr="0027107E">
        <w:rPr>
          <w:rFonts w:ascii="Verdana" w:hAnsi="Verdana" w:cs="Arial"/>
          <w:color w:val="000000"/>
          <w:sz w:val="16"/>
          <w:szCs w:val="16"/>
        </w:rPr>
        <w:t>EXPOSITO, Juan Carlos. Forma y contenido del contrato estatal. Bogotá: Universidad Externado de Colombia, p. 89 y 90).</w:t>
      </w:r>
    </w:p>
  </w:footnote>
  <w:footnote w:id="2">
    <w:p w14:paraId="5FDAD2D7" w14:textId="77777777" w:rsidR="006B17A7" w:rsidRPr="0027107E" w:rsidRDefault="006B17A7" w:rsidP="006B17A7">
      <w:pPr>
        <w:pStyle w:val="Textonotapie"/>
        <w:ind w:firstLine="708"/>
        <w:jc w:val="both"/>
        <w:rPr>
          <w:rFonts w:ascii="Verdana" w:hAnsi="Verdana" w:cs="Arial"/>
          <w:color w:val="000000"/>
          <w:sz w:val="16"/>
          <w:szCs w:val="16"/>
          <w:lang w:val="es-CO"/>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3">
    <w:p w14:paraId="68D76A8E" w14:textId="77777777" w:rsidR="006B17A7" w:rsidRDefault="006B17A7" w:rsidP="006B17A7">
      <w:pPr>
        <w:spacing w:after="0"/>
        <w:ind w:firstLine="708"/>
        <w:jc w:val="both"/>
        <w:rPr>
          <w:rFonts w:ascii="Verdana" w:hAnsi="Verdana" w:cs="Arial"/>
          <w:color w:val="000000"/>
          <w:sz w:val="16"/>
          <w:szCs w:val="16"/>
        </w:rPr>
      </w:pPr>
    </w:p>
    <w:p w14:paraId="2B1FAB5E" w14:textId="77777777" w:rsidR="006B17A7" w:rsidRPr="0027107E" w:rsidRDefault="006B17A7" w:rsidP="006B17A7">
      <w:pPr>
        <w:spacing w:after="0"/>
        <w:ind w:firstLine="708"/>
        <w:jc w:val="both"/>
        <w:rPr>
          <w:rFonts w:ascii="Verdana" w:hAnsi="Verdana" w:cs="Arial"/>
          <w:color w:val="000000"/>
          <w:sz w:val="16"/>
          <w:szCs w:val="16"/>
          <w:lang w:val="es-ES"/>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Consejo de Estado. Sección Tercera. Subsección C. 20 de octubre de 2014, M.P: Enrique Gil Botero. </w:t>
      </w:r>
      <w:proofErr w:type="spellStart"/>
      <w:r w:rsidRPr="0027107E">
        <w:rPr>
          <w:rFonts w:ascii="Verdana" w:hAnsi="Verdana" w:cs="Arial"/>
          <w:color w:val="000000"/>
          <w:sz w:val="16"/>
          <w:szCs w:val="16"/>
        </w:rPr>
        <w:t>Exp</w:t>
      </w:r>
      <w:proofErr w:type="spellEnd"/>
      <w:r w:rsidRPr="0027107E">
        <w:rPr>
          <w:rFonts w:ascii="Verdana" w:hAnsi="Verdana" w:cs="Arial"/>
          <w:color w:val="000000"/>
          <w:sz w:val="16"/>
          <w:szCs w:val="16"/>
        </w:rPr>
        <w:t>.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4">
    <w:p w14:paraId="78FE108F" w14:textId="77777777" w:rsidR="006B17A7" w:rsidRPr="0027107E" w:rsidRDefault="006B17A7" w:rsidP="006B17A7">
      <w:pPr>
        <w:pStyle w:val="Textonotapie"/>
        <w:ind w:firstLine="708"/>
        <w:jc w:val="both"/>
        <w:rPr>
          <w:rFonts w:ascii="Verdana" w:hAnsi="Verdana" w:cs="Arial"/>
          <w:color w:val="000000"/>
          <w:sz w:val="16"/>
          <w:szCs w:val="16"/>
          <w:lang w:val="es-ES"/>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COLOMBIA COMPRA EFICIENTE. Guía para la Liquidación de los Procesos de Contratación. página 5, disponible en: </w:t>
      </w:r>
      <w:hyperlink r:id="rId1" w:history="1">
        <w:r w:rsidRPr="0027107E">
          <w:rPr>
            <w:rStyle w:val="Hipervnculo"/>
            <w:rFonts w:ascii="Verdana" w:hAnsi="Verdana" w:cs="Arial"/>
            <w:sz w:val="16"/>
            <w:szCs w:val="16"/>
          </w:rPr>
          <w:t xml:space="preserve">https://www.colombiacompra.gov.co/sites/cce_public/files/cce_documents/cce_guia_liquidacion_procesos.pdf  </w:t>
        </w:r>
      </w:hyperlink>
    </w:p>
  </w:footnote>
  <w:footnote w:id="5">
    <w:p w14:paraId="45CE2EDE" w14:textId="77777777" w:rsidR="006B17A7" w:rsidRPr="0027107E" w:rsidRDefault="006B17A7" w:rsidP="006B17A7">
      <w:pPr>
        <w:pStyle w:val="Textonotapie"/>
        <w:ind w:firstLine="708"/>
        <w:jc w:val="both"/>
        <w:rPr>
          <w:rFonts w:ascii="Verdana" w:hAnsi="Verdana" w:cs="Arial"/>
          <w:color w:val="000000"/>
          <w:sz w:val="16"/>
          <w:szCs w:val="16"/>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6">
    <w:p w14:paraId="11E8CA4D" w14:textId="77777777" w:rsidR="006B17A7" w:rsidRPr="00224A89" w:rsidRDefault="006B17A7" w:rsidP="006B17A7">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Concepto de 28 de Junio de 2016. Radicación: 2253. C.P. Álvaro Namén Vargas. </w:t>
      </w:r>
    </w:p>
  </w:footnote>
  <w:footnote w:id="7">
    <w:p w14:paraId="2AA5A2AC" w14:textId="77777777" w:rsidR="006B17A7" w:rsidRPr="00224A89" w:rsidRDefault="006B17A7" w:rsidP="006B17A7">
      <w:pPr>
        <w:pStyle w:val="Textonotapie"/>
        <w:ind w:firstLine="708"/>
        <w:jc w:val="both"/>
        <w:rPr>
          <w:rFonts w:ascii="Verdana" w:hAnsi="Verdana"/>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w:t>
      </w:r>
      <w:r w:rsidRPr="00224A89">
        <w:rPr>
          <w:rFonts w:ascii="Verdana" w:hAnsi="Verdana" w:cs="Arial"/>
          <w:color w:val="000000"/>
          <w:sz w:val="16"/>
          <w:szCs w:val="16"/>
          <w:lang w:val="es-CO"/>
        </w:rPr>
        <w:t xml:space="preserve">Sala Plena. Auto del 1 de agosto de 2019. </w:t>
      </w:r>
      <w:proofErr w:type="spellStart"/>
      <w:r w:rsidRPr="00224A89">
        <w:rPr>
          <w:rFonts w:ascii="Verdana" w:hAnsi="Verdana" w:cs="Arial"/>
          <w:color w:val="000000"/>
          <w:sz w:val="16"/>
          <w:szCs w:val="16"/>
        </w:rPr>
        <w:t>Exp</w:t>
      </w:r>
      <w:proofErr w:type="spellEnd"/>
      <w:r w:rsidRPr="00224A89">
        <w:rPr>
          <w:rFonts w:ascii="Verdana" w:hAnsi="Verdana" w:cs="Arial"/>
          <w:color w:val="000000"/>
          <w:sz w:val="16"/>
          <w:szCs w:val="16"/>
        </w:rPr>
        <w:t xml:space="preserve">. 62009. C.P. Jaime Enrique Rodríguez Navas. </w:t>
      </w:r>
      <w:r w:rsidRPr="00224A89">
        <w:rPr>
          <w:rFonts w:ascii="Verdana" w:hAnsi="Verdana"/>
          <w:color w:val="000000"/>
          <w:sz w:val="16"/>
          <w:szCs w:val="16"/>
          <w:lang w:val="es-ES"/>
        </w:rPr>
        <w:t xml:space="preserve"> </w:t>
      </w:r>
    </w:p>
  </w:footnote>
  <w:footnote w:id="8">
    <w:p w14:paraId="2F5E6AE4" w14:textId="77777777" w:rsidR="006B17A7" w:rsidRPr="00224A89" w:rsidRDefault="006B17A7" w:rsidP="006B17A7">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DÍAZ DÍEZ, La liquidación… </w:t>
      </w:r>
      <w:proofErr w:type="spellStart"/>
      <w:r w:rsidRPr="00224A89">
        <w:rPr>
          <w:rFonts w:ascii="Verdana" w:hAnsi="Verdana" w:cs="Arial"/>
          <w:sz w:val="16"/>
          <w:szCs w:val="16"/>
        </w:rPr>
        <w:t>Op</w:t>
      </w:r>
      <w:proofErr w:type="spellEnd"/>
      <w:r w:rsidRPr="00224A89">
        <w:rPr>
          <w:rFonts w:ascii="Verdana" w:hAnsi="Verdana" w:cs="Arial"/>
          <w:sz w:val="16"/>
          <w:szCs w:val="16"/>
        </w:rPr>
        <w:t>. cit., pp. 255-256.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76E77" w14:textId="77777777" w:rsidR="006B17A7" w:rsidRDefault="006B17A7"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6077F01" wp14:editId="18A05329">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9A300DE" wp14:editId="5D652E9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D95A990" w14:textId="77777777" w:rsidR="006B17A7" w:rsidRDefault="006B17A7">
    <w:pPr>
      <w:pStyle w:val="Encabezado"/>
    </w:pPr>
  </w:p>
  <w:p w14:paraId="2196ED74" w14:textId="77777777" w:rsidR="006B17A7" w:rsidRPr="004A305D" w:rsidRDefault="006B17A7" w:rsidP="00B01B1A">
    <w:pPr>
      <w:spacing w:after="0" w:line="120" w:lineRule="auto"/>
      <w:rPr>
        <w:rFonts w:ascii="Century Gothic" w:eastAsia="Geo" w:hAnsi="Century Gothic" w:cs="Geo"/>
        <w:sz w:val="16"/>
        <w:szCs w:val="16"/>
        <w:lang w:eastAsia="es-CO"/>
      </w:rPr>
    </w:pPr>
  </w:p>
  <w:p w14:paraId="36204399" w14:textId="77777777" w:rsidR="006B17A7" w:rsidRDefault="006B17A7" w:rsidP="00844AE9">
    <w:pPr>
      <w:spacing w:after="0" w:line="240" w:lineRule="auto"/>
      <w:rPr>
        <w:rFonts w:ascii="Verdana" w:hAnsi="Verdana"/>
      </w:rPr>
    </w:pPr>
  </w:p>
  <w:p w14:paraId="0ECE10DD" w14:textId="77777777" w:rsidR="006B17A7" w:rsidRPr="00C925AC" w:rsidRDefault="006B17A7" w:rsidP="00844AE9">
    <w:pPr>
      <w:spacing w:after="0" w:line="240" w:lineRule="auto"/>
      <w:rPr>
        <w:rFonts w:ascii="Verdana" w:hAnsi="Verdana"/>
      </w:rPr>
    </w:pPr>
  </w:p>
  <w:p w14:paraId="12699E51" w14:textId="77777777" w:rsidR="006B17A7" w:rsidRPr="00C925AC" w:rsidRDefault="006B17A7" w:rsidP="000D5DA7">
    <w:pPr>
      <w:spacing w:after="0" w:line="480" w:lineRule="auto"/>
      <w:rPr>
        <w:rFonts w:ascii="Verdana" w:hAnsi="Verdana"/>
        <w:b/>
        <w:bCs/>
      </w:rPr>
    </w:pPr>
    <w:r w:rsidRPr="00C925AC">
      <w:rPr>
        <w:rFonts w:ascii="Verdana" w:hAnsi="Verdana"/>
        <w:b/>
        <w:bCs/>
      </w:rPr>
      <w:t>FORMATO</w:t>
    </w:r>
    <w:r>
      <w:rPr>
        <w:rFonts w:ascii="Verdana" w:hAnsi="Verdana"/>
        <w:b/>
        <w:bCs/>
      </w:rPr>
      <w:t xml:space="preserve"> DE RESPUESTA </w:t>
    </w:r>
    <w:r w:rsidRPr="00C925AC">
      <w:rPr>
        <w:rFonts w:ascii="Verdana" w:hAnsi="Verdana"/>
        <w:b/>
        <w:bCs/>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26801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7A7"/>
    <w:rsid w:val="006B17A7"/>
    <w:rsid w:val="0073088B"/>
    <w:rsid w:val="007A4374"/>
    <w:rsid w:val="00A772A4"/>
    <w:rsid w:val="00CE0AB1"/>
    <w:rsid w:val="00F32D7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8CC5B"/>
  <w15:chartTrackingRefBased/>
  <w15:docId w15:val="{F7AE3F70-C2A1-4BD3-9C5C-DC6206C08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B17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B17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B17A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B17A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B17A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B17A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B17A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B17A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B17A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B17A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B17A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B17A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B17A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B17A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B17A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B17A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B17A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B17A7"/>
    <w:rPr>
      <w:rFonts w:eastAsiaTheme="majorEastAsia" w:cstheme="majorBidi"/>
      <w:color w:val="272727" w:themeColor="text1" w:themeTint="D8"/>
    </w:rPr>
  </w:style>
  <w:style w:type="paragraph" w:styleId="Ttulo">
    <w:name w:val="Title"/>
    <w:basedOn w:val="Normal"/>
    <w:next w:val="Normal"/>
    <w:link w:val="TtuloCar"/>
    <w:uiPriority w:val="10"/>
    <w:qFormat/>
    <w:rsid w:val="006B17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B17A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B17A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B17A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B17A7"/>
    <w:pPr>
      <w:spacing w:before="160"/>
      <w:jc w:val="center"/>
    </w:pPr>
    <w:rPr>
      <w:i/>
      <w:iCs/>
      <w:color w:val="404040" w:themeColor="text1" w:themeTint="BF"/>
    </w:rPr>
  </w:style>
  <w:style w:type="character" w:customStyle="1" w:styleId="CitaCar">
    <w:name w:val="Cita Car"/>
    <w:basedOn w:val="Fuentedeprrafopredeter"/>
    <w:link w:val="Cita"/>
    <w:uiPriority w:val="29"/>
    <w:rsid w:val="006B17A7"/>
    <w:rPr>
      <w:i/>
      <w:iCs/>
      <w:color w:val="404040" w:themeColor="text1" w:themeTint="BF"/>
    </w:rPr>
  </w:style>
  <w:style w:type="paragraph" w:styleId="Prrafodelista">
    <w:name w:val="List Paragraph"/>
    <w:basedOn w:val="Normal"/>
    <w:uiPriority w:val="34"/>
    <w:qFormat/>
    <w:rsid w:val="006B17A7"/>
    <w:pPr>
      <w:ind w:left="720"/>
      <w:contextualSpacing/>
    </w:pPr>
  </w:style>
  <w:style w:type="character" w:styleId="nfasisintenso">
    <w:name w:val="Intense Emphasis"/>
    <w:basedOn w:val="Fuentedeprrafopredeter"/>
    <w:uiPriority w:val="21"/>
    <w:qFormat/>
    <w:rsid w:val="006B17A7"/>
    <w:rPr>
      <w:i/>
      <w:iCs/>
      <w:color w:val="0F4761" w:themeColor="accent1" w:themeShade="BF"/>
    </w:rPr>
  </w:style>
  <w:style w:type="paragraph" w:styleId="Citadestacada">
    <w:name w:val="Intense Quote"/>
    <w:basedOn w:val="Normal"/>
    <w:next w:val="Normal"/>
    <w:link w:val="CitadestacadaCar"/>
    <w:uiPriority w:val="30"/>
    <w:qFormat/>
    <w:rsid w:val="006B17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B17A7"/>
    <w:rPr>
      <w:i/>
      <w:iCs/>
      <w:color w:val="0F4761" w:themeColor="accent1" w:themeShade="BF"/>
    </w:rPr>
  </w:style>
  <w:style w:type="character" w:styleId="Referenciaintensa">
    <w:name w:val="Intense Reference"/>
    <w:basedOn w:val="Fuentedeprrafopredeter"/>
    <w:uiPriority w:val="32"/>
    <w:qFormat/>
    <w:rsid w:val="006B17A7"/>
    <w:rPr>
      <w:b/>
      <w:bCs/>
      <w:smallCaps/>
      <w:color w:val="0F4761" w:themeColor="accent1" w:themeShade="BF"/>
      <w:spacing w:val="5"/>
    </w:rPr>
  </w:style>
  <w:style w:type="paragraph" w:styleId="Encabezado">
    <w:name w:val="header"/>
    <w:basedOn w:val="Normal"/>
    <w:link w:val="EncabezadoCar"/>
    <w:uiPriority w:val="99"/>
    <w:unhideWhenUsed/>
    <w:rsid w:val="006B17A7"/>
    <w:pPr>
      <w:tabs>
        <w:tab w:val="center" w:pos="4419"/>
        <w:tab w:val="right" w:pos="8838"/>
      </w:tabs>
      <w:spacing w:after="0" w:line="240" w:lineRule="auto"/>
    </w:pPr>
    <w:rPr>
      <w:kern w:val="0"/>
      <w:sz w:val="22"/>
      <w:szCs w:val="22"/>
      <w14:ligatures w14:val="none"/>
    </w:rPr>
  </w:style>
  <w:style w:type="character" w:customStyle="1" w:styleId="EncabezadoCar">
    <w:name w:val="Encabezado Car"/>
    <w:basedOn w:val="Fuentedeprrafopredeter"/>
    <w:link w:val="Encabezado"/>
    <w:uiPriority w:val="99"/>
    <w:rsid w:val="006B17A7"/>
    <w:rPr>
      <w:kern w:val="0"/>
      <w:sz w:val="22"/>
      <w:szCs w:val="22"/>
      <w14:ligatures w14:val="none"/>
    </w:rPr>
  </w:style>
  <w:style w:type="paragraph" w:styleId="Piedepgina">
    <w:name w:val="footer"/>
    <w:basedOn w:val="Normal"/>
    <w:link w:val="PiedepginaCar"/>
    <w:uiPriority w:val="99"/>
    <w:unhideWhenUsed/>
    <w:rsid w:val="006B17A7"/>
    <w:pPr>
      <w:tabs>
        <w:tab w:val="center" w:pos="4419"/>
        <w:tab w:val="right" w:pos="8838"/>
      </w:tabs>
      <w:spacing w:after="0" w:line="240" w:lineRule="auto"/>
    </w:pPr>
    <w:rPr>
      <w:kern w:val="0"/>
      <w:sz w:val="22"/>
      <w:szCs w:val="22"/>
      <w14:ligatures w14:val="none"/>
    </w:rPr>
  </w:style>
  <w:style w:type="character" w:customStyle="1" w:styleId="PiedepginaCar">
    <w:name w:val="Pie de página Car"/>
    <w:basedOn w:val="Fuentedeprrafopredeter"/>
    <w:link w:val="Piedepgina"/>
    <w:uiPriority w:val="99"/>
    <w:rsid w:val="006B17A7"/>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B17A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B17A7"/>
    <w:pPr>
      <w:spacing w:after="0" w:line="240" w:lineRule="auto"/>
    </w:pPr>
    <w:rPr>
      <w:sz w:val="20"/>
      <w:szCs w:val="20"/>
      <w:lang w:val="es-MX"/>
    </w:rPr>
  </w:style>
  <w:style w:type="character" w:customStyle="1" w:styleId="TextonotapieCar1">
    <w:name w:val="Texto nota pie Car1"/>
    <w:basedOn w:val="Fuentedeprrafopredeter"/>
    <w:uiPriority w:val="99"/>
    <w:semiHidden/>
    <w:rsid w:val="006B17A7"/>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B17A7"/>
    <w:rPr>
      <w:vertAlign w:val="superscript"/>
    </w:rPr>
  </w:style>
  <w:style w:type="table" w:styleId="Tablaconcuadrcula">
    <w:name w:val="Table Grid"/>
    <w:basedOn w:val="Tablanormal"/>
    <w:uiPriority w:val="39"/>
    <w:qFormat/>
    <w:rsid w:val="006B17A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B17A7"/>
    <w:rPr>
      <w:color w:val="0000FF"/>
      <w:u w:val="single"/>
    </w:rPr>
  </w:style>
  <w:style w:type="paragraph" w:customStyle="1" w:styleId="Appelnotedebasde">
    <w:name w:val="Appel note de bas de..."/>
    <w:basedOn w:val="Normal"/>
    <w:link w:val="Refdenotaalpie"/>
    <w:uiPriority w:val="99"/>
    <w:rsid w:val="006B17A7"/>
    <w:pPr>
      <w:spacing w:line="240" w:lineRule="exact"/>
    </w:pPr>
    <w:rPr>
      <w:vertAlign w:val="superscript"/>
    </w:rPr>
  </w:style>
  <w:style w:type="table" w:customStyle="1" w:styleId="Tablaconcuadrcula11">
    <w:name w:val="Tabla con cuadrícula11"/>
    <w:basedOn w:val="Tablanormal"/>
    <w:next w:val="Tablaconcuadrcula"/>
    <w:uiPriority w:val="59"/>
    <w:qFormat/>
    <w:rsid w:val="006B17A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liquidacion_procesos.pdf"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sedavaldez@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720580-4273-47D5-BA46-D133AD59E7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07A928-73AA-43F0-89D0-1048609A5B6D}">
  <ds:schemaRefs>
    <ds:schemaRef ds:uri="http://schemas.microsoft.com/sharepoint/v3/contenttype/forms"/>
  </ds:schemaRefs>
</ds:datastoreItem>
</file>

<file path=customXml/itemProps3.xml><?xml version="1.0" encoding="utf-8"?>
<ds:datastoreItem xmlns:ds="http://schemas.openxmlformats.org/officeDocument/2006/customXml" ds:itemID="{FE692716-95A1-4416-9A35-83FD9DF4BF7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5036</Words>
  <Characters>24175</Characters>
  <Application>Microsoft Office Word</Application>
  <DocSecurity>0</DocSecurity>
  <Lines>929</Lines>
  <Paragraphs>280</Paragraphs>
  <ScaleCrop>false</ScaleCrop>
  <Company/>
  <LinksUpToDate>false</LinksUpToDate>
  <CharactersWithSpaces>28931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2026-03-24T20:28:00Z</dcterms:created>
  <dcterms:modified xsi:type="dcterms:W3CDTF">2026-03-24T20:28:00Z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