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F73F4" w14:textId="77777777" w:rsidR="00D00418" w:rsidRPr="00CE650F" w:rsidRDefault="00D00418" w:rsidP="00D00418">
      <w:pPr>
        <w:spacing w:after="0" w:line="276" w:lineRule="auto"/>
        <w:jc w:val="both"/>
        <w:rPr>
          <w:rFonts w:ascii="Verdana" w:eastAsia="Aptos" w:hAnsi="Verdana" w:cs="Arial"/>
          <w:b/>
          <w:bCs/>
        </w:rPr>
      </w:pPr>
      <w:bookmarkStart w:id="0" w:name="_Hlk143780582"/>
      <w:r w:rsidRPr="00CE650F">
        <w:rPr>
          <w:rFonts w:ascii="Verdana" w:eastAsia="Aptos" w:hAnsi="Verdana" w:cs="Arial"/>
          <w:b/>
          <w:bCs/>
        </w:rPr>
        <w:t xml:space="preserve">UNIVERSIDADES PÚBLICAS – Naturaleza jurídica – Régimen de contratación aplicable </w:t>
      </w:r>
    </w:p>
    <w:p w14:paraId="35800220" w14:textId="77777777" w:rsidR="00D00418" w:rsidRPr="00CE650F" w:rsidRDefault="00D00418" w:rsidP="00D00418">
      <w:pPr>
        <w:spacing w:after="0" w:line="276" w:lineRule="auto"/>
        <w:jc w:val="both"/>
        <w:rPr>
          <w:rFonts w:ascii="Verdana" w:eastAsia="Aptos" w:hAnsi="Verdana" w:cs="Arial"/>
          <w:b/>
          <w:bCs/>
        </w:rPr>
      </w:pPr>
    </w:p>
    <w:p w14:paraId="0ADE5F18" w14:textId="77777777" w:rsidR="00D00418" w:rsidRPr="00CE650F" w:rsidRDefault="00D00418" w:rsidP="00D00418">
      <w:pPr>
        <w:spacing w:after="0" w:line="240" w:lineRule="auto"/>
        <w:jc w:val="both"/>
        <w:rPr>
          <w:rFonts w:ascii="Verdana" w:eastAsia="Aptos" w:hAnsi="Verdana" w:cs="Arial"/>
          <w:sz w:val="20"/>
          <w:szCs w:val="20"/>
        </w:rPr>
      </w:pPr>
      <w:r w:rsidRPr="00CE650F">
        <w:rPr>
          <w:rFonts w:ascii="Verdana" w:eastAsia="Aptos" w:hAnsi="Verdana" w:cs="Arial"/>
          <w:sz w:val="20"/>
          <w:szCs w:val="20"/>
        </w:rPr>
        <w:t xml:space="preserve">[…] la Constitución Política de Colombia en su artículo 69, </w:t>
      </w:r>
      <w:proofErr w:type="gramStart"/>
      <w:r w:rsidRPr="00CE650F">
        <w:rPr>
          <w:rFonts w:ascii="Verdana" w:eastAsia="Aptos" w:hAnsi="Verdana" w:cs="Arial"/>
          <w:sz w:val="20"/>
          <w:szCs w:val="20"/>
        </w:rPr>
        <w:t>establece</w:t>
      </w:r>
      <w:proofErr w:type="gramEnd"/>
      <w:r w:rsidRPr="00CE650F">
        <w:rPr>
          <w:rFonts w:ascii="Verdana" w:eastAsia="Aptos" w:hAnsi="Verdana" w:cs="Arial"/>
          <w:sz w:val="20"/>
          <w:szCs w:val="20"/>
        </w:rPr>
        <w:t xml:space="preserve"> por una parte, una garantía de autonomía para que las universidades establezcan sus directivas y sus estatutos de acuerdo con la ley; y por la otra, la posibilidad de que cuenten con un régimen especial que corresponde dictar al Congreso. En desarrollo de lo anterior, se expidió la Ley 30 de 1992, mediante la cual se regularon aspectos como la naturaleza jurídica de las universidades estatales y oficiales, la forma de organizarse y el régimen de contratación aplicable. Asimismo, en el artículo 57 ibidem se consignó que el carácter especial del régimen de las universidades estatales u oficiales comprende, entre otros aspectos, el régimen de contratación.</w:t>
      </w:r>
    </w:p>
    <w:p w14:paraId="0FF2CA8D" w14:textId="77777777" w:rsidR="00D00418" w:rsidRPr="00CE650F" w:rsidRDefault="00D00418" w:rsidP="00D00418">
      <w:pPr>
        <w:spacing w:after="0" w:line="240" w:lineRule="auto"/>
        <w:jc w:val="both"/>
        <w:rPr>
          <w:rFonts w:ascii="Verdana" w:eastAsia="Aptos" w:hAnsi="Verdana" w:cs="Arial"/>
          <w:sz w:val="20"/>
          <w:szCs w:val="20"/>
        </w:rPr>
      </w:pPr>
    </w:p>
    <w:p w14:paraId="70514ADA" w14:textId="77777777" w:rsidR="00D00418" w:rsidRPr="00CE650F" w:rsidRDefault="00D00418" w:rsidP="00D00418">
      <w:pPr>
        <w:spacing w:after="0" w:line="240" w:lineRule="auto"/>
        <w:jc w:val="both"/>
        <w:rPr>
          <w:rFonts w:ascii="Verdana" w:eastAsia="Aptos" w:hAnsi="Verdana" w:cs="Arial"/>
          <w:sz w:val="20"/>
          <w:szCs w:val="20"/>
        </w:rPr>
      </w:pPr>
      <w:r w:rsidRPr="00CE650F">
        <w:rPr>
          <w:rFonts w:ascii="Verdana" w:eastAsia="Aptos" w:hAnsi="Verdana" w:cs="Arial"/>
          <w:sz w:val="20"/>
          <w:szCs w:val="20"/>
        </w:rPr>
        <w:t>[…] la Ley 489 de 1998, al desarrollar la estructura y organización de la Administración Pública, establece que los entes universitarios hacen parte integral de esta, catalogándolos como entidades públicas de carácter autónomo a las que aplica un régimen especial. […].</w:t>
      </w:r>
    </w:p>
    <w:p w14:paraId="79B17FE8" w14:textId="77777777" w:rsidR="00D00418" w:rsidRPr="00CE650F" w:rsidRDefault="00D00418" w:rsidP="00D00418">
      <w:pPr>
        <w:spacing w:after="0" w:line="240" w:lineRule="auto"/>
        <w:jc w:val="both"/>
        <w:rPr>
          <w:rFonts w:ascii="Verdana" w:eastAsia="Aptos" w:hAnsi="Verdana" w:cs="Arial"/>
          <w:sz w:val="20"/>
          <w:szCs w:val="20"/>
        </w:rPr>
      </w:pPr>
      <w:r w:rsidRPr="00CE650F">
        <w:rPr>
          <w:rFonts w:ascii="Verdana" w:eastAsia="Aptos" w:hAnsi="Verdana" w:cs="Arial"/>
          <w:sz w:val="20"/>
          <w:szCs w:val="20"/>
        </w:rPr>
        <w:t>[…]</w:t>
      </w:r>
    </w:p>
    <w:p w14:paraId="2984EB15" w14:textId="77777777" w:rsidR="00D00418" w:rsidRPr="00CE650F" w:rsidRDefault="00D00418" w:rsidP="00D00418">
      <w:pPr>
        <w:spacing w:after="0" w:line="240" w:lineRule="auto"/>
        <w:jc w:val="both"/>
        <w:rPr>
          <w:rFonts w:ascii="Verdana" w:eastAsia="Aptos" w:hAnsi="Verdana" w:cs="Arial"/>
          <w:sz w:val="20"/>
          <w:szCs w:val="20"/>
        </w:rPr>
      </w:pPr>
      <w:r w:rsidRPr="00CE650F">
        <w:rPr>
          <w:rFonts w:ascii="Verdana" w:eastAsia="Aptos" w:hAnsi="Verdana" w:cs="Arial"/>
          <w:sz w:val="20"/>
          <w:szCs w:val="20"/>
        </w:rPr>
        <w:t>[…] se ha considerado que los entes universitarios no son entidades que hagan parte de la rama ejecutiva, ni pueden, por tanto, considerarse entidades descentralizadas, sino que gozan de un régimen especial.</w:t>
      </w:r>
    </w:p>
    <w:p w14:paraId="6B3B4B95" w14:textId="77777777" w:rsidR="00D00418" w:rsidRPr="00CE650F" w:rsidRDefault="00D00418" w:rsidP="00D00418">
      <w:pPr>
        <w:spacing w:after="0" w:line="240" w:lineRule="auto"/>
        <w:jc w:val="both"/>
        <w:rPr>
          <w:rFonts w:ascii="Verdana" w:eastAsia="Aptos" w:hAnsi="Verdana" w:cs="Arial"/>
          <w:sz w:val="20"/>
          <w:szCs w:val="20"/>
        </w:rPr>
      </w:pPr>
      <w:r w:rsidRPr="00CE650F">
        <w:rPr>
          <w:rFonts w:ascii="Verdana" w:eastAsia="Aptos" w:hAnsi="Verdana" w:cs="Arial"/>
          <w:sz w:val="20"/>
          <w:szCs w:val="20"/>
        </w:rPr>
        <w:t>[…]</w:t>
      </w:r>
    </w:p>
    <w:p w14:paraId="5CCF93DB" w14:textId="77777777" w:rsidR="00D00418" w:rsidRPr="00CE650F" w:rsidRDefault="00D00418" w:rsidP="00D00418">
      <w:pPr>
        <w:spacing w:after="0" w:line="240" w:lineRule="auto"/>
        <w:jc w:val="both"/>
        <w:rPr>
          <w:rFonts w:ascii="Verdana" w:eastAsia="Aptos" w:hAnsi="Verdana" w:cs="Arial"/>
          <w:sz w:val="20"/>
          <w:szCs w:val="20"/>
        </w:rPr>
      </w:pPr>
      <w:r w:rsidRPr="00CE650F">
        <w:rPr>
          <w:rFonts w:ascii="Verdana" w:eastAsia="Aptos" w:hAnsi="Verdana" w:cs="Arial"/>
          <w:sz w:val="20"/>
          <w:szCs w:val="20"/>
        </w:rPr>
        <w:t>[…] la descentralización involucra el ejercicio de un control de tutela que no puede aplicarse a los entes universitarios autónomos, motivo por el cual, si bien son entes del Estado, no son ni pueden ser asimiladas a entidades descentralizadas y tampoco encuadran en el concepto de entidad territorial. De esta manera, respecto al régimen contractual de las universidades estatales, el artículo 93 de la Ley 30 de 1992 estableció condicionadamente, que será el derecho privado, rigiéndose, por ende, por las normas civiles y comerciales […].</w:t>
      </w:r>
    </w:p>
    <w:p w14:paraId="226814CC" w14:textId="77777777" w:rsidR="00D00418" w:rsidRPr="00CE650F" w:rsidRDefault="00D00418" w:rsidP="00D00418">
      <w:pPr>
        <w:spacing w:after="0" w:line="240" w:lineRule="auto"/>
        <w:jc w:val="both"/>
        <w:rPr>
          <w:rFonts w:ascii="Verdana" w:eastAsia="Aptos" w:hAnsi="Verdana" w:cs="Arial"/>
          <w:sz w:val="20"/>
          <w:szCs w:val="20"/>
        </w:rPr>
      </w:pPr>
    </w:p>
    <w:p w14:paraId="0DF2A097" w14:textId="73D9E59F" w:rsidR="00D00418" w:rsidRPr="00CE650F" w:rsidRDefault="00D00418" w:rsidP="00D00418">
      <w:pPr>
        <w:spacing w:after="0" w:line="240" w:lineRule="auto"/>
        <w:jc w:val="both"/>
        <w:rPr>
          <w:rFonts w:ascii="Verdana" w:eastAsia="Aptos" w:hAnsi="Verdana" w:cs="Arial"/>
          <w:b/>
          <w:bCs/>
        </w:rPr>
      </w:pPr>
      <w:r w:rsidRPr="00CE650F">
        <w:rPr>
          <w:rFonts w:ascii="Verdana" w:eastAsia="Aptos" w:hAnsi="Verdana" w:cs="Arial"/>
          <w:b/>
          <w:bCs/>
        </w:rPr>
        <w:t xml:space="preserve">UNIVERSIDADES PÚBLICAS – Aplicación del estatuto general – Obligaciones transversales </w:t>
      </w:r>
      <w:r w:rsidR="00EB06FB" w:rsidRPr="00EB06FB">
        <w:rPr>
          <w:rFonts w:ascii="Verdana" w:eastAsia="Aptos" w:hAnsi="Verdana" w:cs="Arial"/>
          <w:b/>
          <w:bCs/>
          <w:lang w:val="es-ES"/>
        </w:rPr>
        <w:t>–</w:t>
      </w:r>
      <w:r w:rsidRPr="00CE650F">
        <w:rPr>
          <w:rFonts w:ascii="Verdana" w:eastAsia="Aptos" w:hAnsi="Verdana" w:cs="Arial"/>
          <w:b/>
          <w:bCs/>
        </w:rPr>
        <w:t xml:space="preserve"> Limitaciones</w:t>
      </w:r>
    </w:p>
    <w:p w14:paraId="30078976" w14:textId="77777777" w:rsidR="00D00418" w:rsidRPr="00CE650F" w:rsidRDefault="00D00418" w:rsidP="00D00418">
      <w:pPr>
        <w:spacing w:after="0" w:line="240" w:lineRule="auto"/>
        <w:jc w:val="both"/>
        <w:rPr>
          <w:rFonts w:ascii="Verdana" w:eastAsia="Aptos" w:hAnsi="Verdana" w:cs="Arial"/>
          <w:sz w:val="20"/>
          <w:szCs w:val="20"/>
        </w:rPr>
      </w:pPr>
    </w:p>
    <w:p w14:paraId="2C314E15" w14:textId="77777777" w:rsidR="00D00418" w:rsidRPr="00CE650F" w:rsidRDefault="00D00418" w:rsidP="00D00418">
      <w:pPr>
        <w:spacing w:after="0" w:line="240" w:lineRule="auto"/>
        <w:jc w:val="both"/>
        <w:rPr>
          <w:rFonts w:ascii="Verdana" w:eastAsia="Aptos" w:hAnsi="Verdana" w:cs="Arial"/>
          <w:sz w:val="20"/>
          <w:szCs w:val="20"/>
        </w:rPr>
      </w:pPr>
      <w:r w:rsidRPr="00CE650F">
        <w:rPr>
          <w:rFonts w:ascii="Verdana" w:eastAsia="Aptos" w:hAnsi="Verdana" w:cs="Arial"/>
          <w:sz w:val="20"/>
          <w:szCs w:val="20"/>
        </w:rPr>
        <w:t>[…] podría colegirse que los entes universitarios, sólo aplicarán un régimen especial de contratación –es decir, el derecho privado– siempre y cuando el objeto a contratar sea para el cumplimiento de sus funciones propias; pero por ejemplo, cuando actúen como contratistas de otras Entidades Estatales regidas por el Estatuto General de Contratación de la Administración Pública –Ley 80 de 1993, Ley 1150 de 2007, Decreto 1082 de 2015 y demás normas que lo modifiquen o complementen–, estarán sujetas, sin que ello afecte su economía, a las reglas y restricciones que dicho estatuto contenga para ese tipo de situaciones.</w:t>
      </w:r>
    </w:p>
    <w:p w14:paraId="7A8D49C7" w14:textId="77777777" w:rsidR="00D00418" w:rsidRPr="00CE650F" w:rsidRDefault="00D00418" w:rsidP="00D00418">
      <w:pPr>
        <w:spacing w:after="0" w:line="240" w:lineRule="auto"/>
        <w:jc w:val="both"/>
        <w:rPr>
          <w:rFonts w:ascii="Verdana" w:eastAsia="Aptos" w:hAnsi="Verdana" w:cs="Arial"/>
          <w:sz w:val="20"/>
          <w:szCs w:val="20"/>
        </w:rPr>
      </w:pPr>
      <w:r w:rsidRPr="00CE650F">
        <w:rPr>
          <w:rFonts w:ascii="Verdana" w:eastAsia="Aptos" w:hAnsi="Verdana" w:cs="Arial"/>
          <w:sz w:val="20"/>
          <w:szCs w:val="20"/>
        </w:rPr>
        <w:t>[…]</w:t>
      </w:r>
    </w:p>
    <w:p w14:paraId="19544271" w14:textId="77777777" w:rsidR="00D00418" w:rsidRPr="00CE650F" w:rsidRDefault="00D00418" w:rsidP="00D00418">
      <w:pPr>
        <w:spacing w:after="0" w:line="240" w:lineRule="auto"/>
        <w:jc w:val="both"/>
        <w:rPr>
          <w:rFonts w:ascii="Verdana" w:eastAsia="Aptos" w:hAnsi="Verdana" w:cs="Arial"/>
          <w:sz w:val="20"/>
          <w:szCs w:val="20"/>
        </w:rPr>
      </w:pPr>
      <w:r w:rsidRPr="00CE650F">
        <w:rPr>
          <w:rFonts w:ascii="Verdana" w:eastAsia="Aptos" w:hAnsi="Verdana" w:cs="Arial"/>
          <w:sz w:val="20"/>
          <w:szCs w:val="20"/>
        </w:rPr>
        <w:t xml:space="preserve">[…] deberán cumplir unas obligaciones transversales al Sistema de Compra y Contratación Pública, entre ellas la elaboración del Plan Anual de Adquisiciones, la publicación de sus procedimientos de selección a través de la herramienta SECOP –en la </w:t>
      </w:r>
      <w:r w:rsidRPr="00CE650F">
        <w:rPr>
          <w:rFonts w:ascii="Verdana" w:eastAsia="Aptos" w:hAnsi="Verdana" w:cs="Arial"/>
          <w:sz w:val="20"/>
          <w:szCs w:val="20"/>
        </w:rPr>
        <w:lastRenderedPageBreak/>
        <w:t>sección Régimen Especial–, hacer uso del clasificador de bienes y servicios de las Naciones Unidas, reportar inhabilidades e incompatibilidades de sus proveedores, analizar el sector económico de los oferentes, acatar las prohibiciones contractuales dispuestas en los artículos 33 y 38 de la Ley de Garantías Electorales –Ley 996 de 2005-, entre otras.</w:t>
      </w:r>
    </w:p>
    <w:p w14:paraId="5085B94C" w14:textId="77777777" w:rsidR="00D00418" w:rsidRPr="00CE650F" w:rsidRDefault="00D00418" w:rsidP="00D00418">
      <w:pPr>
        <w:spacing w:after="0" w:line="240" w:lineRule="auto"/>
        <w:jc w:val="both"/>
        <w:rPr>
          <w:rFonts w:ascii="Verdana" w:eastAsia="Aptos" w:hAnsi="Verdana" w:cs="Arial"/>
          <w:sz w:val="20"/>
          <w:szCs w:val="20"/>
        </w:rPr>
      </w:pPr>
      <w:r w:rsidRPr="00CE650F">
        <w:rPr>
          <w:rFonts w:ascii="Verdana" w:eastAsia="Aptos" w:hAnsi="Verdana" w:cs="Arial"/>
          <w:sz w:val="20"/>
          <w:szCs w:val="20"/>
        </w:rPr>
        <w:t>[…]</w:t>
      </w:r>
    </w:p>
    <w:p w14:paraId="3522870E" w14:textId="77777777" w:rsidR="00D00418" w:rsidRPr="00CE650F" w:rsidRDefault="00D00418" w:rsidP="00D00418">
      <w:pPr>
        <w:spacing w:after="0" w:line="240" w:lineRule="auto"/>
        <w:jc w:val="both"/>
        <w:rPr>
          <w:rFonts w:ascii="Verdana" w:eastAsia="Aptos" w:hAnsi="Verdana" w:cs="Arial"/>
          <w:sz w:val="20"/>
          <w:szCs w:val="20"/>
        </w:rPr>
      </w:pPr>
    </w:p>
    <w:p w14:paraId="08A3F3E3" w14:textId="77777777" w:rsidR="00D00418" w:rsidRPr="00CE650F" w:rsidRDefault="00D00418" w:rsidP="00D00418">
      <w:pPr>
        <w:spacing w:after="0" w:line="240" w:lineRule="auto"/>
        <w:jc w:val="both"/>
        <w:rPr>
          <w:rFonts w:ascii="Verdana" w:eastAsia="Aptos" w:hAnsi="Verdana" w:cs="Arial"/>
          <w:b/>
          <w:bCs/>
        </w:rPr>
      </w:pPr>
      <w:r w:rsidRPr="00CE650F">
        <w:rPr>
          <w:rFonts w:ascii="Verdana" w:eastAsia="Aptos" w:hAnsi="Verdana" w:cs="Arial"/>
          <w:b/>
          <w:bCs/>
        </w:rPr>
        <w:t>MANUALES DE CONTRATACIÓN – Obligatoria observancia – Imposibilidad de desconocimiento – Ley de garantías electorales</w:t>
      </w:r>
    </w:p>
    <w:p w14:paraId="14D0101A" w14:textId="77777777" w:rsidR="00D00418" w:rsidRPr="00CE650F" w:rsidRDefault="00D00418" w:rsidP="00D00418">
      <w:pPr>
        <w:spacing w:after="0" w:line="240" w:lineRule="auto"/>
        <w:jc w:val="both"/>
        <w:rPr>
          <w:rFonts w:ascii="Verdana" w:eastAsia="Aptos" w:hAnsi="Verdana" w:cs="Arial"/>
          <w:b/>
          <w:bCs/>
        </w:rPr>
      </w:pPr>
    </w:p>
    <w:p w14:paraId="0D06779C" w14:textId="77777777" w:rsidR="00D00418" w:rsidRPr="00CE650F" w:rsidRDefault="00D00418" w:rsidP="00D00418">
      <w:pPr>
        <w:spacing w:after="0" w:line="240" w:lineRule="auto"/>
        <w:jc w:val="both"/>
        <w:rPr>
          <w:rFonts w:ascii="Verdana" w:eastAsia="Aptos" w:hAnsi="Verdana" w:cs="Arial"/>
        </w:rPr>
      </w:pPr>
      <w:r w:rsidRPr="00CE650F">
        <w:rPr>
          <w:rFonts w:ascii="Verdana" w:eastAsia="Aptos" w:hAnsi="Verdana" w:cs="Arial"/>
          <w:sz w:val="20"/>
          <w:szCs w:val="20"/>
        </w:rPr>
        <w:t>[…] teniendo en cuenta que dichos manuales corresponden a un acto administrativo y concretamente a un reglamento, le aplican los atributos propios de estos tipos de actos, entre otras cosas, la presunción de legalidad y la regla de inderogabilidad singular del reglamento. En tal sentido, su contenido vincula a la propia entidad que lo expidió y no puede desconocerlo a su capricho en casos específicos. Ello sin perjuicio de la posibilidad de expedir un nuevo manual o de modificar el existente.</w:t>
      </w:r>
    </w:p>
    <w:p w14:paraId="4C275E0F" w14:textId="77777777" w:rsidR="00D00418" w:rsidRPr="00CE650F" w:rsidRDefault="00D00418" w:rsidP="00D00418">
      <w:pPr>
        <w:spacing w:after="0" w:line="240" w:lineRule="auto"/>
        <w:jc w:val="both"/>
        <w:rPr>
          <w:rFonts w:ascii="Verdana" w:eastAsia="Aptos" w:hAnsi="Verdana" w:cs="Arial"/>
          <w:sz w:val="20"/>
          <w:szCs w:val="20"/>
        </w:rPr>
      </w:pPr>
    </w:p>
    <w:p w14:paraId="1D503CBE" w14:textId="77777777" w:rsidR="00D00418" w:rsidRPr="00CE650F" w:rsidRDefault="00D00418" w:rsidP="00D00418">
      <w:pPr>
        <w:spacing w:after="0" w:line="240" w:lineRule="auto"/>
        <w:jc w:val="both"/>
        <w:rPr>
          <w:rFonts w:ascii="Verdana" w:eastAsia="Aptos" w:hAnsi="Verdana" w:cs="Arial"/>
          <w:sz w:val="20"/>
          <w:szCs w:val="20"/>
        </w:rPr>
      </w:pPr>
      <w:r w:rsidRPr="00CE650F">
        <w:rPr>
          <w:rFonts w:ascii="Verdana" w:eastAsia="Aptos" w:hAnsi="Verdana" w:cs="Arial"/>
          <w:sz w:val="20"/>
          <w:szCs w:val="20"/>
        </w:rPr>
        <w:t>[…] durante la vigencia de las restricciones contractuales dispuestas en la Ley de Garantías Electorales –Ley 996 de 2005–, las entidades con regímenes especiales de contratación –donde se encuentran inmersas las universidades públicas– podrán adelantar sus gestiones contractuales, dentro de los marcos legales dispuestos en sus respectivos manuales de contratación, pues no resulta ajustado a derecho, que con el fin de no verse “afectadas” por las referidas restricciones, adquieran sus bienes o servicios desconociendo las formas y procesos preestablecidos.</w:t>
      </w:r>
    </w:p>
    <w:p w14:paraId="2A370FF4" w14:textId="77777777" w:rsidR="00D00418" w:rsidRPr="00CE650F" w:rsidRDefault="00D00418" w:rsidP="00D00418">
      <w:pPr>
        <w:spacing w:after="0" w:line="276" w:lineRule="auto"/>
        <w:jc w:val="both"/>
        <w:rPr>
          <w:rFonts w:ascii="Verdana" w:eastAsia="Aptos" w:hAnsi="Verdana" w:cs="Arial"/>
        </w:rPr>
      </w:pPr>
    </w:p>
    <w:p w14:paraId="1D6BCFB2" w14:textId="77777777" w:rsidR="00D00418" w:rsidRPr="00CE650F" w:rsidRDefault="00D00418" w:rsidP="00D00418">
      <w:pPr>
        <w:spacing w:after="0" w:line="276" w:lineRule="auto"/>
        <w:jc w:val="both"/>
        <w:rPr>
          <w:rFonts w:ascii="Verdana" w:eastAsia="Aptos" w:hAnsi="Verdana" w:cs="Arial"/>
        </w:rPr>
      </w:pPr>
    </w:p>
    <w:p w14:paraId="4C0BA127" w14:textId="77777777" w:rsidR="00D00418" w:rsidRPr="00CE650F" w:rsidRDefault="00D00418" w:rsidP="00D00418">
      <w:pPr>
        <w:spacing w:after="0" w:line="276" w:lineRule="auto"/>
        <w:jc w:val="both"/>
        <w:rPr>
          <w:rFonts w:ascii="Verdana" w:eastAsia="Aptos" w:hAnsi="Verdana" w:cs="Arial"/>
        </w:rPr>
      </w:pPr>
    </w:p>
    <w:p w14:paraId="75322590" w14:textId="77777777" w:rsidR="00D00418" w:rsidRDefault="00D00418" w:rsidP="00D00418">
      <w:pPr>
        <w:spacing w:after="0" w:line="240" w:lineRule="auto"/>
        <w:rPr>
          <w:rFonts w:ascii="Verdana" w:hAnsi="Verdana" w:cs="Arial"/>
          <w:b/>
          <w:lang w:eastAsia="es-CO"/>
        </w:rPr>
      </w:pPr>
    </w:p>
    <w:p w14:paraId="1FD801B2" w14:textId="77777777" w:rsidR="00D00418" w:rsidRDefault="00D00418" w:rsidP="00D00418">
      <w:pPr>
        <w:spacing w:after="0" w:line="240" w:lineRule="auto"/>
        <w:rPr>
          <w:rFonts w:ascii="Verdana" w:hAnsi="Verdana" w:cs="Arial"/>
          <w:b/>
          <w:lang w:eastAsia="es-CO"/>
        </w:rPr>
      </w:pPr>
    </w:p>
    <w:p w14:paraId="3CC5D139" w14:textId="77777777" w:rsidR="00D00418" w:rsidRDefault="00D00418" w:rsidP="00D00418">
      <w:pPr>
        <w:spacing w:after="0" w:line="240" w:lineRule="auto"/>
        <w:rPr>
          <w:rFonts w:ascii="Verdana" w:hAnsi="Verdana" w:cs="Arial"/>
          <w:b/>
          <w:lang w:eastAsia="es-CO"/>
        </w:rPr>
      </w:pPr>
    </w:p>
    <w:p w14:paraId="0BF83D18" w14:textId="77777777" w:rsidR="00D00418" w:rsidRDefault="00D00418" w:rsidP="00D00418">
      <w:pPr>
        <w:spacing w:after="0" w:line="240" w:lineRule="auto"/>
        <w:rPr>
          <w:rFonts w:ascii="Verdana" w:eastAsia="Geomanist Light" w:hAnsi="Verdana" w:cs="Arial"/>
          <w:color w:val="000000" w:themeColor="text1"/>
          <w:lang w:val="es-MX"/>
        </w:rPr>
      </w:pPr>
    </w:p>
    <w:p w14:paraId="4D4C7CD6" w14:textId="77777777" w:rsidR="00D00418" w:rsidRDefault="00D00418" w:rsidP="00D00418">
      <w:pPr>
        <w:spacing w:after="0" w:line="240" w:lineRule="auto"/>
        <w:rPr>
          <w:rFonts w:ascii="Verdana" w:eastAsia="Geomanist Light" w:hAnsi="Verdana" w:cs="Arial"/>
          <w:color w:val="000000" w:themeColor="text1"/>
          <w:lang w:val="es-MX"/>
        </w:rPr>
      </w:pPr>
    </w:p>
    <w:p w14:paraId="0A5E03A6" w14:textId="77777777" w:rsidR="00D00418" w:rsidRDefault="00D00418" w:rsidP="00D00418">
      <w:pPr>
        <w:spacing w:after="0" w:line="240" w:lineRule="auto"/>
        <w:rPr>
          <w:rFonts w:ascii="Verdana" w:eastAsia="Geomanist Light" w:hAnsi="Verdana" w:cs="Arial"/>
          <w:color w:val="000000" w:themeColor="text1"/>
          <w:lang w:val="es-MX"/>
        </w:rPr>
      </w:pPr>
    </w:p>
    <w:p w14:paraId="53BEABFA" w14:textId="77777777" w:rsidR="00D00418" w:rsidRDefault="00D00418" w:rsidP="00D00418">
      <w:pPr>
        <w:spacing w:after="0" w:line="240" w:lineRule="auto"/>
        <w:rPr>
          <w:rFonts w:ascii="Verdana" w:eastAsia="Geomanist Light" w:hAnsi="Verdana" w:cs="Arial"/>
          <w:color w:val="000000" w:themeColor="text1"/>
          <w:lang w:val="es-MX"/>
        </w:rPr>
      </w:pPr>
    </w:p>
    <w:p w14:paraId="54D88A42" w14:textId="77777777" w:rsidR="00D00418" w:rsidRDefault="00D00418" w:rsidP="00D00418">
      <w:pPr>
        <w:spacing w:after="0" w:line="240" w:lineRule="auto"/>
        <w:rPr>
          <w:rFonts w:ascii="Verdana" w:eastAsia="Geomanist Light" w:hAnsi="Verdana" w:cs="Arial"/>
          <w:color w:val="000000" w:themeColor="text1"/>
          <w:lang w:val="es-MX"/>
        </w:rPr>
      </w:pPr>
    </w:p>
    <w:p w14:paraId="123CEA29" w14:textId="77777777" w:rsidR="00D00418" w:rsidRDefault="00D00418" w:rsidP="00D00418">
      <w:pPr>
        <w:spacing w:after="0" w:line="240" w:lineRule="auto"/>
        <w:rPr>
          <w:rFonts w:ascii="Verdana" w:eastAsia="Geomanist Light" w:hAnsi="Verdana" w:cs="Arial"/>
          <w:color w:val="000000" w:themeColor="text1"/>
          <w:lang w:val="es-MX"/>
        </w:rPr>
      </w:pPr>
    </w:p>
    <w:p w14:paraId="45EFD4C0" w14:textId="77777777" w:rsidR="00D00418" w:rsidRDefault="00D00418" w:rsidP="00D00418">
      <w:pPr>
        <w:spacing w:after="0" w:line="240" w:lineRule="auto"/>
        <w:rPr>
          <w:rFonts w:ascii="Verdana" w:eastAsia="Geomanist Light" w:hAnsi="Verdana" w:cs="Arial"/>
        </w:rPr>
      </w:pPr>
    </w:p>
    <w:p w14:paraId="1CC1A9E3" w14:textId="77777777" w:rsidR="00D00418" w:rsidRDefault="00D00418" w:rsidP="00D00418">
      <w:pPr>
        <w:spacing w:after="0" w:line="240" w:lineRule="auto"/>
        <w:rPr>
          <w:rFonts w:ascii="Verdana" w:eastAsia="Geomanist Light" w:hAnsi="Verdana" w:cs="Arial"/>
        </w:rPr>
      </w:pPr>
    </w:p>
    <w:p w14:paraId="4C9F1EAA" w14:textId="77777777" w:rsidR="00D00418" w:rsidRDefault="00D00418" w:rsidP="00D00418">
      <w:pPr>
        <w:spacing w:after="0" w:line="240" w:lineRule="auto"/>
        <w:rPr>
          <w:rFonts w:ascii="Verdana" w:eastAsia="Geomanist Light" w:hAnsi="Verdana" w:cs="Arial"/>
        </w:rPr>
      </w:pPr>
    </w:p>
    <w:p w14:paraId="0F683840" w14:textId="77777777" w:rsidR="00D00418" w:rsidRDefault="00D00418" w:rsidP="00D00418">
      <w:pPr>
        <w:spacing w:after="0" w:line="240" w:lineRule="auto"/>
        <w:rPr>
          <w:rFonts w:ascii="Verdana" w:eastAsia="Geomanist Light" w:hAnsi="Verdana" w:cs="Arial"/>
        </w:rPr>
      </w:pPr>
    </w:p>
    <w:p w14:paraId="2C42B695" w14:textId="77777777" w:rsidR="00D00418" w:rsidRDefault="00D00418" w:rsidP="00D00418">
      <w:pPr>
        <w:spacing w:after="0" w:line="240" w:lineRule="auto"/>
        <w:rPr>
          <w:rFonts w:ascii="Verdana" w:eastAsia="Geomanist Light" w:hAnsi="Verdana" w:cs="Arial"/>
        </w:rPr>
      </w:pPr>
    </w:p>
    <w:p w14:paraId="166348F9" w14:textId="77777777" w:rsidR="00D00418" w:rsidRDefault="00D00418" w:rsidP="00D00418">
      <w:pPr>
        <w:spacing w:after="0" w:line="240" w:lineRule="auto"/>
        <w:rPr>
          <w:rFonts w:ascii="Verdana" w:eastAsia="Geomanist Light" w:hAnsi="Verdana" w:cs="Arial"/>
        </w:rPr>
      </w:pPr>
    </w:p>
    <w:p w14:paraId="79F33FEF" w14:textId="77777777" w:rsidR="00D00418" w:rsidRDefault="00D00418" w:rsidP="00D00418">
      <w:pPr>
        <w:spacing w:after="0" w:line="240" w:lineRule="auto"/>
        <w:rPr>
          <w:rFonts w:ascii="Verdana" w:eastAsia="Geomanist Light" w:hAnsi="Verdana" w:cs="Arial"/>
        </w:rPr>
      </w:pPr>
    </w:p>
    <w:p w14:paraId="03E8BEF8" w14:textId="65F3B903" w:rsidR="00D00418" w:rsidRPr="00960F72" w:rsidRDefault="00D00418" w:rsidP="00D00418">
      <w:pPr>
        <w:spacing w:after="0" w:line="240" w:lineRule="auto"/>
        <w:rPr>
          <w:rFonts w:ascii="Verdana" w:eastAsia="Calibri" w:hAnsi="Verdana" w:cs="Arial"/>
          <w:bCs/>
          <w:sz w:val="20"/>
          <w:szCs w:val="20"/>
          <w:lang w:eastAsia="es-ES_tradnl"/>
        </w:rPr>
      </w:pPr>
      <w:r w:rsidRPr="00960F72">
        <w:rPr>
          <w:rFonts w:ascii="Verdana" w:eastAsia="Geomanist Light" w:hAnsi="Verdana" w:cs="Arial"/>
        </w:rPr>
        <w:lastRenderedPageBreak/>
        <w:t>Bogotá D.C., </w:t>
      </w:r>
      <w:r w:rsidR="00F24943">
        <w:rPr>
          <w:rFonts w:ascii="Verdana" w:eastAsia="Geomanist Light" w:hAnsi="Verdana" w:cs="Arial"/>
        </w:rPr>
        <w:t>24 de marzo de 2026</w:t>
      </w:r>
    </w:p>
    <w:p w14:paraId="12F2EF69" w14:textId="77777777" w:rsidR="00D00418" w:rsidRDefault="00D00418" w:rsidP="00D00418">
      <w:pPr>
        <w:spacing w:after="0" w:line="240" w:lineRule="auto"/>
        <w:rPr>
          <w:rFonts w:ascii="Verdana" w:eastAsia="Calibri" w:hAnsi="Verdana" w:cs="Arial"/>
          <w:b/>
          <w:bCs/>
          <w:lang w:eastAsia="es-ES_tradnl"/>
        </w:rPr>
      </w:pPr>
    </w:p>
    <w:p w14:paraId="0CD75548" w14:textId="18D2D14E" w:rsidR="00D00418" w:rsidRPr="00CE650F" w:rsidRDefault="004E3808" w:rsidP="00D00418">
      <w:pPr>
        <w:spacing w:after="0" w:line="240" w:lineRule="auto"/>
        <w:rPr>
          <w:rFonts w:ascii="Verdana" w:eastAsia="Calibri" w:hAnsi="Verdana" w:cs="Arial"/>
          <w:b/>
          <w:lang w:val="es-ES" w:eastAsia="es-ES"/>
        </w:rPr>
      </w:pPr>
      <w:r w:rsidRPr="004E3808">
        <w:rPr>
          <w:rFonts w:ascii="Verdana" w:eastAsia="Calibri" w:hAnsi="Verdana" w:cs="Arial"/>
          <w:noProof/>
          <w:lang w:eastAsia="es-ES_tradnl"/>
        </w:rPr>
        <w:drawing>
          <wp:anchor distT="0" distB="0" distL="114300" distR="114300" simplePos="0" relativeHeight="251658240" behindDoc="1" locked="0" layoutInCell="1" allowOverlap="1" wp14:anchorId="0BA5038F" wp14:editId="67A70A3C">
            <wp:simplePos x="0" y="0"/>
            <wp:positionH relativeFrom="margin">
              <wp:align>right</wp:align>
            </wp:positionH>
            <wp:positionV relativeFrom="paragraph">
              <wp:posOffset>12065</wp:posOffset>
            </wp:positionV>
            <wp:extent cx="2400300" cy="764540"/>
            <wp:effectExtent l="0" t="0" r="0" b="0"/>
            <wp:wrapSquare wrapText="bothSides"/>
            <wp:docPr id="61872935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729353"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00300" cy="764540"/>
                    </a:xfrm>
                    <a:prstGeom prst="rect">
                      <a:avLst/>
                    </a:prstGeom>
                  </pic:spPr>
                </pic:pic>
              </a:graphicData>
            </a:graphic>
            <wp14:sizeRelH relativeFrom="page">
              <wp14:pctWidth>0</wp14:pctWidth>
            </wp14:sizeRelH>
            <wp14:sizeRelV relativeFrom="page">
              <wp14:pctHeight>0</wp14:pctHeight>
            </wp14:sizeRelV>
          </wp:anchor>
        </w:drawing>
      </w:r>
      <w:r w:rsidR="00D00418" w:rsidRPr="00CE650F">
        <w:rPr>
          <w:rFonts w:ascii="Verdana" w:eastAsia="Calibri" w:hAnsi="Verdana" w:cs="Arial"/>
          <w:b/>
          <w:lang w:val="es-ES" w:eastAsia="es-ES"/>
        </w:rPr>
        <w:t>Ciudadano(a) Anónimo(a)</w:t>
      </w:r>
    </w:p>
    <w:p w14:paraId="3BEF5F3B" w14:textId="03FCEB12" w:rsidR="00D00418" w:rsidRDefault="00D00418" w:rsidP="00D00418">
      <w:pPr>
        <w:spacing w:after="0" w:line="240" w:lineRule="auto"/>
        <w:rPr>
          <w:rFonts w:ascii="Verdana" w:eastAsia="Calibri" w:hAnsi="Verdana" w:cs="Arial"/>
          <w:lang w:eastAsia="es-ES_tradnl"/>
        </w:rPr>
      </w:pPr>
      <w:hyperlink r:id="rId11" w:history="1">
        <w:r w:rsidRPr="00C71DDA">
          <w:rPr>
            <w:rStyle w:val="Hipervnculo"/>
            <w:rFonts w:ascii="Verdana" w:eastAsia="Calibri" w:hAnsi="Verdana" w:cs="Arial"/>
            <w:lang w:eastAsia="es-ES_tradnl"/>
          </w:rPr>
          <w:t>Radicación.dokus@procuraduria.gov.co</w:t>
        </w:r>
      </w:hyperlink>
    </w:p>
    <w:p w14:paraId="69253D7D" w14:textId="12DC0233" w:rsidR="00D00418" w:rsidRPr="007211E4" w:rsidRDefault="00D00418" w:rsidP="00D00418">
      <w:pPr>
        <w:spacing w:after="0" w:line="240" w:lineRule="auto"/>
        <w:rPr>
          <w:rFonts w:ascii="Verdana" w:eastAsia="Calibri" w:hAnsi="Verdana" w:cs="Arial"/>
          <w:lang w:eastAsia="es-ES_tradnl"/>
        </w:rPr>
      </w:pPr>
      <w:hyperlink r:id="rId12" w:history="1">
        <w:r w:rsidRPr="00C71DDA">
          <w:rPr>
            <w:rStyle w:val="Hipervnculo"/>
            <w:rFonts w:ascii="Verdana" w:eastAsia="Calibri" w:hAnsi="Verdana" w:cs="Arial"/>
            <w:lang w:eastAsia="es-ES_tradnl"/>
          </w:rPr>
          <w:t>Procesosjudiciales@procuraduria.gov.co</w:t>
        </w:r>
      </w:hyperlink>
      <w:r>
        <w:rPr>
          <w:rFonts w:ascii="Verdana" w:eastAsia="Calibri" w:hAnsi="Verdana" w:cs="Arial"/>
          <w:lang w:eastAsia="es-ES_tradnl"/>
        </w:rPr>
        <w:t xml:space="preserve"> </w:t>
      </w:r>
    </w:p>
    <w:p w14:paraId="54B4C332" w14:textId="77777777" w:rsidR="00D00418" w:rsidRDefault="00D00418" w:rsidP="00D00418">
      <w:pPr>
        <w:spacing w:after="0" w:line="240" w:lineRule="auto"/>
        <w:rPr>
          <w:rFonts w:ascii="Verdana" w:eastAsia="Calibri" w:hAnsi="Verdana" w:cs="Arial"/>
          <w:lang w:eastAsia="es-ES_tradnl"/>
        </w:rPr>
      </w:pPr>
      <w:r>
        <w:rPr>
          <w:rFonts w:ascii="Verdana" w:eastAsia="Calibri" w:hAnsi="Verdana" w:cs="Arial"/>
          <w:lang w:eastAsia="es-ES_tradnl"/>
        </w:rPr>
        <w:t>Bogotá, Cundinamarca</w:t>
      </w:r>
    </w:p>
    <w:p w14:paraId="35B12663" w14:textId="77777777" w:rsidR="00D00418" w:rsidRPr="00514983" w:rsidRDefault="00D00418" w:rsidP="00D00418">
      <w:pPr>
        <w:spacing w:after="0" w:line="240" w:lineRule="auto"/>
        <w:rPr>
          <w:rFonts w:ascii="Verdana" w:eastAsia="Calibri" w:hAnsi="Verdana" w:cs="Arial"/>
          <w:lang w:eastAsia="es-ES_tradnl"/>
        </w:rPr>
      </w:pPr>
    </w:p>
    <w:p w14:paraId="7B403A22" w14:textId="77777777" w:rsidR="00003E43" w:rsidRPr="00FF060C" w:rsidRDefault="00003E43" w:rsidP="00FF060C">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00418" w:rsidRPr="00960F72" w14:paraId="3E445615" w14:textId="77777777" w:rsidTr="00A40198">
        <w:trPr>
          <w:trHeight w:val="190"/>
        </w:trPr>
        <w:tc>
          <w:tcPr>
            <w:tcW w:w="2689" w:type="dxa"/>
          </w:tcPr>
          <w:p w14:paraId="681A79E8" w14:textId="77777777" w:rsidR="00D00418" w:rsidRPr="00960F72" w:rsidRDefault="00D00418" w:rsidP="00A40198">
            <w:pPr>
              <w:jc w:val="both"/>
              <w:rPr>
                <w:rFonts w:ascii="Verdana" w:eastAsia="Calibri" w:hAnsi="Verdana" w:cs="Arial"/>
                <w:b/>
                <w:bCs/>
                <w:lang w:eastAsia="es-ES_tradnl"/>
              </w:rPr>
            </w:pPr>
          </w:p>
        </w:tc>
        <w:tc>
          <w:tcPr>
            <w:tcW w:w="6100" w:type="dxa"/>
          </w:tcPr>
          <w:p w14:paraId="5AC3A03B" w14:textId="0E40A134" w:rsidR="00D00418" w:rsidRPr="00960F72" w:rsidRDefault="00D00418" w:rsidP="00A40198">
            <w:pPr>
              <w:jc w:val="both"/>
              <w:rPr>
                <w:rFonts w:ascii="Verdana" w:eastAsia="Calibri" w:hAnsi="Verdana" w:cs="Arial"/>
                <w:b/>
                <w:bCs/>
                <w:lang w:eastAsia="es-ES"/>
              </w:rPr>
            </w:pPr>
            <w:r w:rsidRPr="00960F72">
              <w:rPr>
                <w:rFonts w:ascii="Verdana" w:eastAsia="Calibri" w:hAnsi="Verdana" w:cs="Arial"/>
                <w:b/>
                <w:bCs/>
                <w:lang w:eastAsia="es-ES"/>
              </w:rPr>
              <w:t>Concepto C-</w:t>
            </w:r>
            <w:r>
              <w:rPr>
                <w:rFonts w:ascii="Verdana" w:eastAsia="Calibri" w:hAnsi="Verdana" w:cs="Arial"/>
                <w:b/>
                <w:bCs/>
                <w:lang w:eastAsia="es-ES"/>
              </w:rPr>
              <w:t xml:space="preserve">205 </w:t>
            </w:r>
            <w:r w:rsidRPr="00960F72">
              <w:rPr>
                <w:rFonts w:ascii="Verdana" w:eastAsia="Calibri" w:hAnsi="Verdana" w:cs="Arial"/>
                <w:b/>
                <w:bCs/>
                <w:lang w:eastAsia="es-ES"/>
              </w:rPr>
              <w:t>de 202</w:t>
            </w:r>
            <w:r>
              <w:rPr>
                <w:rFonts w:ascii="Verdana" w:eastAsia="Calibri" w:hAnsi="Verdana" w:cs="Arial"/>
                <w:b/>
                <w:bCs/>
                <w:lang w:eastAsia="es-ES"/>
              </w:rPr>
              <w:t>6</w:t>
            </w:r>
          </w:p>
          <w:p w14:paraId="1DE6E74E" w14:textId="77777777" w:rsidR="00D00418" w:rsidRPr="00960F72" w:rsidRDefault="00D00418" w:rsidP="00A40198">
            <w:pPr>
              <w:jc w:val="both"/>
              <w:rPr>
                <w:rFonts w:ascii="Verdana" w:eastAsia="Calibri" w:hAnsi="Verdana" w:cs="Arial"/>
                <w:b/>
                <w:bCs/>
                <w:lang w:eastAsia="es-ES"/>
              </w:rPr>
            </w:pPr>
          </w:p>
        </w:tc>
      </w:tr>
      <w:tr w:rsidR="00D00418" w:rsidRPr="00960F72" w14:paraId="36BFF14E" w14:textId="77777777" w:rsidTr="00A40198">
        <w:trPr>
          <w:trHeight w:val="884"/>
        </w:trPr>
        <w:tc>
          <w:tcPr>
            <w:tcW w:w="2689" w:type="dxa"/>
          </w:tcPr>
          <w:p w14:paraId="5EA726B0" w14:textId="77777777" w:rsidR="00D00418" w:rsidRPr="00960F72" w:rsidRDefault="00D00418" w:rsidP="00A40198">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4D841D95" w14:textId="77777777" w:rsidR="00D00418" w:rsidRPr="00CE650F" w:rsidRDefault="00D00418" w:rsidP="00CB6EDA">
            <w:pPr>
              <w:jc w:val="both"/>
              <w:rPr>
                <w:rFonts w:ascii="Verdana" w:eastAsia="Calibri" w:hAnsi="Verdana" w:cs="Arial"/>
                <w:lang w:val="es-ES" w:eastAsia="es-ES"/>
              </w:rPr>
            </w:pPr>
            <w:r w:rsidRPr="00CE650F">
              <w:rPr>
                <w:rFonts w:ascii="Verdana" w:eastAsia="Calibri" w:hAnsi="Verdana" w:cs="Arial"/>
                <w:lang w:val="es-ES" w:eastAsia="es-ES"/>
              </w:rPr>
              <w:t>UNIVERSIDADES PÚBLICAS – Naturaleza jurídica – Régimen de contratación aplicable / UNIVERSIDADES PÚBLICAS – Aplicación del estatuto general – Obligaciones transversales – Limitaciones / MANUALES DE CONTRATACIÓN – Obligatoria observancia – Imposibilidad de desconocimiento – Ley de garantías electorales</w:t>
            </w:r>
          </w:p>
          <w:p w14:paraId="606FA954" w14:textId="77777777" w:rsidR="00D00418" w:rsidRPr="001F1B6C" w:rsidRDefault="00D00418" w:rsidP="00CB6EDA">
            <w:pPr>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D00418" w:rsidRPr="00960F72" w14:paraId="32CD5A29" w14:textId="77777777" w:rsidTr="00A40198">
        <w:tc>
          <w:tcPr>
            <w:tcW w:w="2689" w:type="dxa"/>
          </w:tcPr>
          <w:p w14:paraId="7C99057D" w14:textId="77777777" w:rsidR="00D00418" w:rsidRPr="008149BA" w:rsidRDefault="00D00418" w:rsidP="00A40198">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100" w:type="dxa"/>
          </w:tcPr>
          <w:p w14:paraId="474E1BE0" w14:textId="367301C3" w:rsidR="001C20C5" w:rsidRPr="00273620" w:rsidRDefault="00D00418" w:rsidP="001C20C5">
            <w:pPr>
              <w:spacing w:line="257" w:lineRule="auto"/>
              <w:jc w:val="both"/>
              <w:rPr>
                <w:rFonts w:ascii="Verdana" w:hAnsi="Verdana"/>
              </w:rPr>
            </w:pPr>
            <w:r w:rsidRPr="008149BA">
              <w:rPr>
                <w:rFonts w:ascii="Verdana" w:eastAsia="Calibri" w:hAnsi="Verdana" w:cs="Arial"/>
                <w:lang w:eastAsia="es-ES_tradnl"/>
              </w:rPr>
              <w:t xml:space="preserve">Respuesta a consulta con radicado </w:t>
            </w:r>
            <w:r w:rsidR="00003E43" w:rsidRPr="00FF060C">
              <w:rPr>
                <w:rFonts w:ascii="Verdana" w:eastAsia="Calibri" w:hAnsi="Verdana" w:cs="Arial"/>
                <w:lang w:eastAsia="es-ES_tradnl"/>
              </w:rPr>
              <w:t xml:space="preserve">No. </w:t>
            </w:r>
            <w:r w:rsidRPr="00FF7A06">
              <w:rPr>
                <w:rFonts w:ascii="Verdana" w:eastAsia="Calibri" w:hAnsi="Verdana" w:cs="Arial"/>
                <w:lang w:eastAsia="es-ES_tradnl"/>
              </w:rPr>
              <w:t>1_2026_02_13_001847</w:t>
            </w:r>
            <w:r w:rsidR="00992BB6">
              <w:rPr>
                <w:rFonts w:ascii="Verdana" w:eastAsia="Calibri" w:hAnsi="Verdana" w:cs="Arial"/>
                <w:lang w:eastAsia="es-ES_tradnl"/>
              </w:rPr>
              <w:t xml:space="preserve"> </w:t>
            </w:r>
            <w:proofErr w:type="gramStart"/>
            <w:r w:rsidR="001C20C5">
              <w:rPr>
                <w:rFonts w:ascii="Verdana" w:eastAsia="Calibri" w:hAnsi="Verdana" w:cs="Arial"/>
                <w:lang w:eastAsia="es-ES_tradnl"/>
              </w:rPr>
              <w:t xml:space="preserve">y </w:t>
            </w:r>
            <w:r w:rsidR="00CB6EDA" w:rsidRPr="00CB6EDA">
              <w:rPr>
                <w:rFonts w:ascii="Verdana" w:eastAsia="Calibri" w:hAnsi="Verdana" w:cs="Arial"/>
                <w:lang w:eastAsia="es-ES_tradnl"/>
              </w:rPr>
              <w:t> 1</w:t>
            </w:r>
            <w:proofErr w:type="gramEnd"/>
            <w:r w:rsidR="00CB6EDA" w:rsidRPr="00CB6EDA">
              <w:rPr>
                <w:rFonts w:ascii="Verdana" w:eastAsia="Calibri" w:hAnsi="Verdana" w:cs="Arial"/>
                <w:lang w:eastAsia="es-ES_tradnl"/>
              </w:rPr>
              <w:t xml:space="preserve">_2026_02_13_001880 </w:t>
            </w:r>
            <w:r w:rsidR="001C20C5">
              <w:rPr>
                <w:rFonts w:ascii="Verdana" w:hAnsi="Verdana"/>
              </w:rPr>
              <w:t xml:space="preserve">(acumulado) </w:t>
            </w:r>
            <w:r w:rsidR="001C20C5" w:rsidRPr="00273620">
              <w:rPr>
                <w:rFonts w:ascii="Verdana" w:hAnsi="Verdana"/>
              </w:rPr>
              <w:t xml:space="preserve"> </w:t>
            </w:r>
          </w:p>
          <w:p w14:paraId="1574898B" w14:textId="1A904ADA" w:rsidR="00D00418" w:rsidRPr="008149BA" w:rsidRDefault="00D00418" w:rsidP="00A40198">
            <w:pPr>
              <w:jc w:val="both"/>
              <w:rPr>
                <w:rFonts w:ascii="Verdana" w:eastAsia="Calibri" w:hAnsi="Verdana" w:cs="Arial"/>
                <w:lang w:eastAsia="es-ES_tradnl"/>
              </w:rPr>
            </w:pPr>
          </w:p>
        </w:tc>
      </w:tr>
    </w:tbl>
    <w:p w14:paraId="3C164414" w14:textId="77777777" w:rsidR="00E25667" w:rsidRPr="00FF060C" w:rsidRDefault="00E25667" w:rsidP="00FF060C">
      <w:pPr>
        <w:spacing w:after="0" w:line="240" w:lineRule="auto"/>
        <w:jc w:val="both"/>
        <w:rPr>
          <w:rFonts w:ascii="Verdana" w:eastAsia="Calibri" w:hAnsi="Verdana" w:cs="Arial"/>
          <w:lang w:eastAsia="es-ES_tradnl"/>
        </w:rPr>
      </w:pPr>
    </w:p>
    <w:p w14:paraId="66099E22" w14:textId="77777777" w:rsidR="00D00418" w:rsidRPr="00CE650F" w:rsidRDefault="00D00418" w:rsidP="00CB6EDA">
      <w:pPr>
        <w:spacing w:after="0" w:line="240" w:lineRule="auto"/>
        <w:jc w:val="both"/>
        <w:rPr>
          <w:rFonts w:ascii="Verdana" w:eastAsia="Calibri" w:hAnsi="Verdana" w:cs="Arial"/>
          <w:lang w:val="es-ES" w:eastAsia="es-ES"/>
        </w:rPr>
      </w:pPr>
      <w:r w:rsidRPr="00CE650F">
        <w:rPr>
          <w:rFonts w:ascii="Verdana" w:eastAsia="Calibri" w:hAnsi="Verdana" w:cs="Arial"/>
          <w:lang w:val="es-ES" w:eastAsia="es-ES"/>
        </w:rPr>
        <w:t xml:space="preserve">Estimando(a) Ciudadano(a) Anónimo(a): </w:t>
      </w:r>
    </w:p>
    <w:p w14:paraId="1A046827" w14:textId="77777777" w:rsidR="00D00418" w:rsidRDefault="00D00418" w:rsidP="00D00418">
      <w:pPr>
        <w:spacing w:after="0" w:line="276" w:lineRule="auto"/>
        <w:jc w:val="both"/>
        <w:rPr>
          <w:rFonts w:ascii="Verdana" w:eastAsia="Calibri" w:hAnsi="Verdana" w:cs="Arial"/>
          <w:lang w:eastAsia="es-ES"/>
        </w:rPr>
      </w:pPr>
    </w:p>
    <w:p w14:paraId="361C65ED" w14:textId="77777777" w:rsidR="00D00418" w:rsidRPr="00960F72" w:rsidRDefault="00D00418" w:rsidP="00D00418">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12 </w:t>
      </w:r>
      <w:r w:rsidRPr="00960F72">
        <w:rPr>
          <w:rFonts w:ascii="Verdana" w:eastAsia="Calibri" w:hAnsi="Verdana" w:cs="Arial"/>
          <w:lang w:eastAsia="es-ES"/>
        </w:rPr>
        <w:t xml:space="preserve">de </w:t>
      </w:r>
      <w:r>
        <w:rPr>
          <w:rFonts w:ascii="Verdana" w:eastAsia="Calibri" w:hAnsi="Verdana" w:cs="Arial"/>
          <w:lang w:eastAsia="es-ES"/>
        </w:rPr>
        <w:t>febrero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7A7F130E" w14:textId="77777777" w:rsidR="00D00418" w:rsidRPr="00960F72" w:rsidRDefault="00D00418" w:rsidP="00D00418">
      <w:pPr>
        <w:spacing w:after="0" w:line="276" w:lineRule="auto"/>
        <w:jc w:val="both"/>
        <w:rPr>
          <w:rFonts w:ascii="Verdana" w:eastAsia="Calibri" w:hAnsi="Verdana" w:cs="Arial"/>
          <w:lang w:eastAsia="es-ES"/>
        </w:rPr>
      </w:pPr>
    </w:p>
    <w:p w14:paraId="780AF7BE" w14:textId="77777777" w:rsidR="00D00418" w:rsidRDefault="00D00418" w:rsidP="00CB6EDA">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FF7A06">
        <w:rPr>
          <w:rFonts w:ascii="Verdana" w:eastAsia="Calibri" w:hAnsi="Verdana" w:cs="Arial"/>
          <w:sz w:val="20"/>
          <w:szCs w:val="20"/>
          <w:lang w:eastAsia="es-ES"/>
        </w:rPr>
        <w:t xml:space="preserve">En una institución de educación superior del tipo Universidad, con régimen especial de contratación, las modalidades de selección establecidas en su estatuto contractual son las siguientes: I. Contratación directa II. Invitaciones privadas III. Invitaciones públicas La modalidad de contratación directa tiene dispuesta unas situaciones, entre ellas, los contratos de prestación de servicios profesionales o de apoyo a la gestión. Las Invitaciones privadas, a su vez se subdividen en: II. a. Simple: Son aquellas con cuantías hasta cuarenta (40) salarios mínimos mensuales legales vigentes. II. b. Mínima cuantía: son aquellas con cuantías superiores a cuarenta (40) salarios y hasta quinientos (500) salarios </w:t>
      </w:r>
      <w:r w:rsidRPr="00FF7A06">
        <w:rPr>
          <w:rFonts w:ascii="Verdana" w:eastAsia="Calibri" w:hAnsi="Verdana" w:cs="Arial"/>
          <w:sz w:val="20"/>
          <w:szCs w:val="20"/>
          <w:lang w:eastAsia="es-ES"/>
        </w:rPr>
        <w:lastRenderedPageBreak/>
        <w:t xml:space="preserve">mínimos mensuales legales vigentes. II. c. Menor cuantía: son aquellas con cuantía superior a quinientos (500) y hasta mil ochocientos (1800) salarios mínimos mensuales legales vigentes. Con relación a las Invitaciones Publicas se establece: Son aquellos con cuantías superiores a mil ochocientos (1800) salarios mínimos mensuales legales vigentes. En dicho estatuto, para las modalidades de Invitaciones Privadas o Públicas, el criterio que define a cuál acudir es la cuantía, y no la naturaleza del objeto, bienes u otra circunstancia. Por otra parte, en las invitaciones privadas, como su nombre indica, no se contempla en el proceso una convocatoria o invitación pública para presentar propuestas y así seleccionar al contratista mediante un proceso público. En cambio, se dispone que se envían directamente a personas naturales o jurídicas invitaciones a cotizar o presentar propuestas para suministrar bienes y/o servicios. Como se señaló anteriormente, el procedimiento no incluye ninguna fase o etapa que haga referencia a la publicación de dichas invitaciones, por lo que su carácter es estrictamente privado. En dicho estatuto contractual, en la modalidad de selección Invitación Privada se contempla que, en la subclase de mínima cuantía, la exigencia de dos o más invitaciones y en la de menor cuantía, se requieren tres o más invitaciones. Además, como parte de este proceso, se dispone expresamente una etapa de selección del contratista, en la cual, tras recibir las propuestas, se realizan las evaluaciones jurídicas, técnicas, económicas y financieras. Con base en estos análisis, se determina cuál de los proponentes cumple con los requisitos y obtiene la mayor puntuación, para así definir con quién se celebrará el contrato. Este procedimiento difiere de la primera subclase, denominada “Simple”, en la que no existe, ni pluralidad de proponentes, como tampoco una etapa de selección formal. En este caso, el Estatuto Contractual no exige la existencia de pluralidad de invitaciones, basta con una sola invitación y, si la propuesta cumple con los requisitos técnicos, económicos y jurídicos, se procede de inmediato a su selección, sin necesidad de evaluar otras propuestas. Es importante aclarar que, en todas las subclases de la modalidad de Invitación Privada (Simple – Mínima - Menor), las invitaciones no se publican en el SECOP II, en la página web de la entidad, ni en otro medio de difusión masiva. Estas invitaciones se realizan de manera directa y enviadas en forma privada. Además, el Estatuto Contractual de la Universidad de manera expresa o tacita no contempla, ni regula un procedimiento en esta modalidad que garantice el principio de libre concurrencia, a diferencia de la modalidad de Invitación Pública, cuya reglamentación establece claramente los pasos y requisitos del proceso. Por lo anterior, en la modalidad de selección que tiene dicha Universidad en su Estatuto denominada “Invitaciones Privadas”, se puede afirmar que no se desarrolla el principio de libre concurrencia. Aunque en sus </w:t>
      </w:r>
      <w:proofErr w:type="spellStart"/>
      <w:r w:rsidRPr="00FF7A06">
        <w:rPr>
          <w:rFonts w:ascii="Verdana" w:eastAsia="Calibri" w:hAnsi="Verdana" w:cs="Arial"/>
          <w:sz w:val="20"/>
          <w:szCs w:val="20"/>
          <w:lang w:eastAsia="es-ES"/>
        </w:rPr>
        <w:t>submodalidades</w:t>
      </w:r>
      <w:proofErr w:type="spellEnd"/>
      <w:r w:rsidRPr="00FF7A06">
        <w:rPr>
          <w:rFonts w:ascii="Verdana" w:eastAsia="Calibri" w:hAnsi="Verdana" w:cs="Arial"/>
          <w:sz w:val="20"/>
          <w:szCs w:val="20"/>
          <w:lang w:eastAsia="es-ES"/>
        </w:rPr>
        <w:t xml:space="preserve">, Mínima y Menor cuantía, se permite la participación de múltiples proponentes, la convocatoria a estos no se efectúa a través de un proceso de invitación o convocatoria pública. De acuerdo con los </w:t>
      </w:r>
      <w:r w:rsidRPr="00FF7A06">
        <w:rPr>
          <w:rFonts w:ascii="Verdana" w:eastAsia="Calibri" w:hAnsi="Verdana" w:cs="Arial"/>
          <w:sz w:val="20"/>
          <w:szCs w:val="20"/>
          <w:lang w:eastAsia="es-ES"/>
        </w:rPr>
        <w:lastRenderedPageBreak/>
        <w:t xml:space="preserve">distintos antecedentes jurisprudenciales, en especial, del Consejo de Estado, así como multiplicidad de conceptos jurídicos y circulares de entidades como “Colombia Compra Eficiente”, dicha modalidad corresponde entonces al enunciado de contratación directa, aunque no se haya tipificado expresamente como tal en el Estatuto Contractual de esa Universidad, lo cual en vigencia de aplicación de la Ley 996 de 2005 (Ley de Garantías), se encuentra restringido para todos los entes del Estado incluyendo las Universidades. Es importante aclarar que el Estatuto Contractual de la Universidad no contempla ninguna norma, ya sea general o especial, expresa o tácita, que haga referencia a procedimientos, excepciones o trámites especiales durante el período de aplicación de las restricciones de la Ley de garantías. Por lo tanto, la institución no tiene la facultad de operar de manera diferenciada, como, por ejemplo, recurrir a otros mecanismos o modalidades distintas a la “Invitación privada”. En particular, no se contempla que, en ese lapso, la Universidad deje de considerar la cuantía para determinar la modalidad de selección y, de manera excepcional, adopte la modalidad de “Invitación pública”. De otro lado, en la Circular externa No. 006 del 25 de septiembre de 2025, emitida por la Agencia Nacional de Contratación Pública Colombia Compra Eficiente, en lo relacionado con la contratación directa durante la vigencia de las restricciones y prohibiciones establecidas en la Ley 996 de 2005 (Ley de Garantías), se ha señalado que, en los procesos de los regímenes especiales que contemplen modalidades con etapa de convocatoria o invitación pública, estos no se consideran contratación directa. Por tanto, quedan excluidos de las restricciones aplicables a esa modalidad. Sin embargo, a partir de esta orientación, podría interpretarse que dicha recomendación constituye una autorización para que durante el período en que rigen las restricciones de contratación directa impuestas por la Ley de Garantías, se permita incorporar la etapa de publicación de las invitaciones en modalidades de selección contractual en las que ni la normativa estatutaria ni la reglamentaria la incluyen expresamente como tal, como el caso de la “Modalidad de selección invitación privada” establecida en la Universidad en comento. Esto con el fin de cumplir el principio de libre concurrencia y evitar que el proceso se clasifique como contratación directa, por lo tanto, exento de las restricciones de la ley. </w:t>
      </w:r>
    </w:p>
    <w:p w14:paraId="57CF375F" w14:textId="77777777" w:rsidR="00D00418" w:rsidRDefault="00D00418" w:rsidP="00CB6EDA">
      <w:pPr>
        <w:spacing w:after="0" w:line="240" w:lineRule="auto"/>
        <w:ind w:left="709" w:right="709"/>
        <w:jc w:val="both"/>
        <w:rPr>
          <w:rFonts w:ascii="Verdana" w:eastAsia="Calibri" w:hAnsi="Verdana" w:cs="Arial"/>
          <w:sz w:val="20"/>
          <w:szCs w:val="20"/>
          <w:lang w:eastAsia="es-ES"/>
        </w:rPr>
      </w:pPr>
      <w:r w:rsidRPr="00FF7A06">
        <w:rPr>
          <w:rFonts w:ascii="Verdana" w:eastAsia="Calibri" w:hAnsi="Verdana" w:cs="Arial"/>
          <w:sz w:val="20"/>
          <w:szCs w:val="20"/>
          <w:lang w:eastAsia="es-ES"/>
        </w:rPr>
        <w:t xml:space="preserve">En resumen, se podría entender que, bajo la orientación emitida por Colombia Compra Eficiente, durante la vigencia de la Ley de Garantías se permite ampliar la modalidad de “invitación privada” a “invitación pública” sin necesidad de modificar previamente el estatuto contractual. </w:t>
      </w:r>
    </w:p>
    <w:p w14:paraId="438C2163" w14:textId="77777777" w:rsidR="00D00418" w:rsidRDefault="00D00418" w:rsidP="00CB6EDA">
      <w:pPr>
        <w:spacing w:after="0" w:line="240" w:lineRule="auto"/>
        <w:ind w:left="709" w:right="709"/>
        <w:jc w:val="both"/>
        <w:rPr>
          <w:rFonts w:ascii="Verdana" w:eastAsia="Calibri" w:hAnsi="Verdana" w:cs="Arial"/>
          <w:sz w:val="20"/>
          <w:szCs w:val="20"/>
          <w:lang w:eastAsia="es-ES"/>
        </w:rPr>
      </w:pPr>
      <w:r w:rsidRPr="00FF7A06">
        <w:rPr>
          <w:rFonts w:ascii="Verdana" w:eastAsia="Calibri" w:hAnsi="Verdana" w:cs="Arial"/>
          <w:sz w:val="20"/>
          <w:szCs w:val="20"/>
          <w:lang w:eastAsia="es-ES"/>
        </w:rPr>
        <w:t>Con base en lo expuesto,</w:t>
      </w:r>
    </w:p>
    <w:p w14:paraId="71E99FB0" w14:textId="77777777" w:rsidR="00D00418" w:rsidRDefault="00D00418" w:rsidP="00CB6EDA">
      <w:pPr>
        <w:spacing w:after="0" w:line="240" w:lineRule="auto"/>
        <w:ind w:left="709" w:right="709"/>
        <w:jc w:val="both"/>
        <w:rPr>
          <w:rFonts w:ascii="Verdana" w:eastAsia="Calibri" w:hAnsi="Verdana" w:cs="Arial"/>
          <w:sz w:val="20"/>
          <w:szCs w:val="20"/>
          <w:lang w:eastAsia="es-ES"/>
        </w:rPr>
      </w:pPr>
      <w:r w:rsidRPr="00FF7A06">
        <w:rPr>
          <w:rFonts w:ascii="Verdana" w:eastAsia="Calibri" w:hAnsi="Verdana" w:cs="Arial"/>
          <w:sz w:val="20"/>
          <w:szCs w:val="20"/>
          <w:lang w:eastAsia="es-ES"/>
        </w:rPr>
        <w:t xml:space="preserve"> A. ¿es posible que un caso como el mencionado cambie de una modalidad privada a una pública sin contar con una norma estatutaria o reglamentaria que lo autorice, considerando las restricciones establecidas en la Ley 996 de 2005 (Ley de Garantías) para garantizar la libre concurrencia? Además, en caso de que la respuesta sea afirmativa</w:t>
      </w:r>
      <w:r>
        <w:rPr>
          <w:rFonts w:ascii="Verdana" w:eastAsia="Calibri" w:hAnsi="Verdana" w:cs="Arial"/>
          <w:sz w:val="20"/>
          <w:szCs w:val="20"/>
          <w:lang w:eastAsia="es-ES"/>
        </w:rPr>
        <w:t>.</w:t>
      </w:r>
      <w:r w:rsidRPr="00FF7A06">
        <w:rPr>
          <w:rFonts w:ascii="Verdana" w:eastAsia="Calibri" w:hAnsi="Verdana" w:cs="Arial"/>
          <w:sz w:val="20"/>
          <w:szCs w:val="20"/>
          <w:lang w:eastAsia="es-ES"/>
        </w:rPr>
        <w:t xml:space="preserve"> </w:t>
      </w:r>
    </w:p>
    <w:p w14:paraId="2AA02324" w14:textId="77777777" w:rsidR="00D00418" w:rsidRDefault="00D00418" w:rsidP="00CB6EDA">
      <w:pPr>
        <w:spacing w:after="0" w:line="240" w:lineRule="auto"/>
        <w:ind w:left="709" w:right="709"/>
        <w:jc w:val="both"/>
        <w:rPr>
          <w:rFonts w:ascii="Verdana" w:eastAsia="Calibri" w:hAnsi="Verdana" w:cs="Arial"/>
          <w:sz w:val="20"/>
          <w:szCs w:val="20"/>
          <w:lang w:eastAsia="es-ES"/>
        </w:rPr>
      </w:pPr>
      <w:r w:rsidRPr="00FF7A06">
        <w:rPr>
          <w:rFonts w:ascii="Verdana" w:eastAsia="Calibri" w:hAnsi="Verdana" w:cs="Arial"/>
          <w:sz w:val="20"/>
          <w:szCs w:val="20"/>
          <w:lang w:eastAsia="es-ES"/>
        </w:rPr>
        <w:lastRenderedPageBreak/>
        <w:t>B. ¿podría dicha modificación en el procedimiento, sin modificar el marco estatutario, generar vicios de nulidad en el contrato, vulnerar la norma interna superior o derivar responsabilidades disciplinarias?</w:t>
      </w:r>
      <w:r>
        <w:rPr>
          <w:rFonts w:ascii="Verdana" w:eastAsia="Calibri" w:hAnsi="Verdana" w:cs="Arial"/>
          <w:sz w:val="20"/>
          <w:szCs w:val="20"/>
          <w:lang w:eastAsia="es-ES"/>
        </w:rPr>
        <w:t xml:space="preserve">”. </w:t>
      </w:r>
    </w:p>
    <w:p w14:paraId="5C70EDD3" w14:textId="77777777" w:rsidR="00D00418" w:rsidRPr="00755387" w:rsidRDefault="00D00418" w:rsidP="00D00418">
      <w:pPr>
        <w:spacing w:after="0" w:line="276" w:lineRule="auto"/>
        <w:ind w:right="709"/>
        <w:jc w:val="both"/>
        <w:rPr>
          <w:rFonts w:ascii="Verdana" w:eastAsia="Calibri" w:hAnsi="Verdana" w:cs="Arial"/>
          <w:lang w:eastAsia="es-ES"/>
        </w:rPr>
      </w:pPr>
    </w:p>
    <w:p w14:paraId="73609802" w14:textId="77777777" w:rsidR="00D00418" w:rsidRPr="00960F72" w:rsidRDefault="00D00418" w:rsidP="00D00418">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5BB47531" w14:textId="77777777" w:rsidR="00D00418" w:rsidRDefault="00D00418" w:rsidP="00D00418">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3500CB5E" w14:textId="77777777" w:rsidR="00D00418" w:rsidRPr="00960F72" w:rsidRDefault="00D00418" w:rsidP="00D00418">
      <w:pPr>
        <w:spacing w:after="0" w:line="276" w:lineRule="auto"/>
        <w:jc w:val="both"/>
        <w:rPr>
          <w:rFonts w:ascii="Verdana" w:eastAsia="Calibri" w:hAnsi="Verdana" w:cs="Arial"/>
          <w:lang w:eastAsia="es-ES"/>
        </w:rPr>
      </w:pPr>
    </w:p>
    <w:p w14:paraId="7A86A492" w14:textId="77777777" w:rsidR="00D00418" w:rsidRPr="00960F72" w:rsidRDefault="00D00418" w:rsidP="00D0041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1A646390" w14:textId="77777777" w:rsidR="00D00418" w:rsidRPr="00960F72" w:rsidRDefault="00D00418" w:rsidP="00D00418">
      <w:pPr>
        <w:tabs>
          <w:tab w:val="left" w:pos="426"/>
        </w:tabs>
        <w:spacing w:after="0" w:line="276" w:lineRule="auto"/>
        <w:jc w:val="both"/>
        <w:rPr>
          <w:rFonts w:ascii="Verdana" w:eastAsia="Century Gothic" w:hAnsi="Verdana" w:cs="Century Gothic"/>
        </w:rPr>
      </w:pPr>
    </w:p>
    <w:p w14:paraId="3F9EA23A" w14:textId="4F39DC5B" w:rsidR="00D00418" w:rsidRPr="007801A6" w:rsidRDefault="00D00418" w:rsidP="00D00418">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7801A6">
        <w:rPr>
          <w:rFonts w:ascii="Verdana" w:eastAsia="Century Gothic" w:hAnsi="Verdana" w:cs="Century Gothic"/>
        </w:rPr>
        <w:t>¿</w:t>
      </w:r>
      <w:r w:rsidRPr="009332E4">
        <w:rPr>
          <w:rFonts w:ascii="Verdana" w:eastAsia="Century Gothic" w:hAnsi="Verdana" w:cs="Century Gothic"/>
        </w:rPr>
        <w:t xml:space="preserve">Puede una universidad pública, durante la vigencia de </w:t>
      </w:r>
      <w:r w:rsidR="00873B07">
        <w:rPr>
          <w:rFonts w:ascii="Verdana" w:eastAsia="Century Gothic" w:hAnsi="Verdana" w:cs="Century Gothic"/>
        </w:rPr>
        <w:t xml:space="preserve">las </w:t>
      </w:r>
      <w:r w:rsidR="00416BD5">
        <w:rPr>
          <w:rFonts w:ascii="Verdana" w:eastAsia="Century Gothic" w:hAnsi="Verdana" w:cs="Century Gothic"/>
        </w:rPr>
        <w:t>restricciones</w:t>
      </w:r>
      <w:r w:rsidR="00873B07">
        <w:rPr>
          <w:rFonts w:ascii="Verdana" w:eastAsia="Century Gothic" w:hAnsi="Verdana" w:cs="Century Gothic"/>
        </w:rPr>
        <w:t xml:space="preserve"> </w:t>
      </w:r>
      <w:r w:rsidR="00416BD5">
        <w:rPr>
          <w:rFonts w:ascii="Verdana" w:eastAsia="Century Gothic" w:hAnsi="Verdana" w:cs="Century Gothic"/>
        </w:rPr>
        <w:t>de la</w:t>
      </w:r>
      <w:r w:rsidRPr="009332E4">
        <w:rPr>
          <w:rFonts w:ascii="Verdana" w:eastAsia="Century Gothic" w:hAnsi="Verdana" w:cs="Century Gothic"/>
        </w:rPr>
        <w:t xml:space="preserve"> Ley 996 de 2005, modificar la modalidad de “invitación privada” a “invitación pública” sin reforma previa de su estatuto contractual para evitar las restricciones a la contratación directa? Y, de ser así, ¿dicha actuación genera nulidad contractual o responsabilidades disciplinarias?</w:t>
      </w:r>
      <w:r>
        <w:rPr>
          <w:rFonts w:ascii="Verdana" w:eastAsia="Century Gothic" w:hAnsi="Verdana" w:cs="Century Gothic"/>
        </w:rPr>
        <w:t xml:space="preserve"> </w:t>
      </w:r>
    </w:p>
    <w:p w14:paraId="43C26FD9" w14:textId="77777777" w:rsidR="00D00418" w:rsidRPr="00960F72" w:rsidRDefault="00D00418" w:rsidP="00D00418">
      <w:pPr>
        <w:spacing w:after="0" w:line="276" w:lineRule="auto"/>
        <w:jc w:val="both"/>
        <w:rPr>
          <w:rFonts w:ascii="Verdana" w:eastAsia="Century Gothic" w:hAnsi="Verdana" w:cs="Century Gothic"/>
        </w:rPr>
      </w:pPr>
    </w:p>
    <w:p w14:paraId="1549BD70" w14:textId="77777777" w:rsidR="00D00418" w:rsidRDefault="00D00418" w:rsidP="00D0041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48F530DA" w14:textId="77777777" w:rsidR="00D00418" w:rsidRPr="00027E7B" w:rsidRDefault="00D00418" w:rsidP="00D00418">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00418" w:rsidRPr="00960F72" w14:paraId="01AD7F08" w14:textId="77777777" w:rsidTr="00A40198">
        <w:tc>
          <w:tcPr>
            <w:tcW w:w="8828" w:type="dxa"/>
          </w:tcPr>
          <w:p w14:paraId="015FF9C2" w14:textId="58F516CD" w:rsidR="00D00418" w:rsidRPr="00CE650F" w:rsidRDefault="00D00418" w:rsidP="00CB6EDA">
            <w:pPr>
              <w:spacing w:line="276" w:lineRule="auto"/>
              <w:jc w:val="both"/>
              <w:rPr>
                <w:rFonts w:ascii="Verdana" w:eastAsia="Calibri" w:hAnsi="Verdana" w:cs="Arial"/>
                <w:lang w:val="es-ES"/>
              </w:rPr>
            </w:pPr>
            <w:r w:rsidRPr="00CE650F">
              <w:rPr>
                <w:rFonts w:ascii="Verdana" w:eastAsia="Calibri" w:hAnsi="Verdana" w:cs="Arial"/>
                <w:lang w:val="es-ES"/>
              </w:rPr>
              <w:t>Inicialmente debe precisarse que</w:t>
            </w:r>
            <w:r w:rsidR="00F16E53" w:rsidRPr="00CE650F">
              <w:rPr>
                <w:rFonts w:ascii="Verdana" w:eastAsia="Calibri" w:hAnsi="Verdana" w:cs="Arial"/>
                <w:lang w:val="es-ES"/>
              </w:rPr>
              <w:t>,</w:t>
            </w:r>
            <w:r w:rsidRPr="00CE650F">
              <w:rPr>
                <w:rFonts w:ascii="Verdana" w:eastAsia="Calibri" w:hAnsi="Verdana" w:cs="Arial"/>
                <w:lang w:val="es-ES"/>
              </w:rPr>
              <w:t xml:space="preserve"> al regirse los procesos de contratación que adelanten las universidades públicas por el derecho privado, según lo </w:t>
            </w:r>
            <w:r w:rsidRPr="00CE650F">
              <w:rPr>
                <w:rFonts w:ascii="Verdana" w:eastAsia="Calibri" w:hAnsi="Verdana" w:cs="Arial"/>
                <w:lang w:val="es-ES"/>
              </w:rPr>
              <w:lastRenderedPageBreak/>
              <w:t xml:space="preserve">condicionado en el artículo 93 de la Ley 30 de 1992, el respectivo manual de contratación </w:t>
            </w:r>
            <w:r w:rsidR="002C2683">
              <w:rPr>
                <w:rFonts w:ascii="Verdana" w:eastAsia="Calibri" w:hAnsi="Verdana" w:cs="Arial"/>
                <w:lang w:val="es-ES"/>
              </w:rPr>
              <w:t>debe</w:t>
            </w:r>
            <w:r w:rsidRPr="00CE650F">
              <w:rPr>
                <w:rFonts w:ascii="Verdana" w:eastAsia="Calibri" w:hAnsi="Verdana" w:cs="Arial"/>
                <w:lang w:val="es-ES"/>
              </w:rPr>
              <w:t xml:space="preserve"> desarrollar las formas en la</w:t>
            </w:r>
            <w:r w:rsidR="002C2683">
              <w:rPr>
                <w:rFonts w:ascii="Verdana" w:eastAsia="Calibri" w:hAnsi="Verdana" w:cs="Arial"/>
                <w:lang w:val="es-ES"/>
              </w:rPr>
              <w:t>s que este tipo de instituciones</w:t>
            </w:r>
            <w:r w:rsidRPr="00CE650F">
              <w:rPr>
                <w:rFonts w:ascii="Verdana" w:eastAsia="Calibri" w:hAnsi="Verdana" w:cs="Arial"/>
                <w:lang w:val="es-ES"/>
              </w:rPr>
              <w:t xml:space="preserve"> adelantarán sus gestiones contractuales y garantizarán el cumplimiento de los principios de la función pública, el control fiscal y los principios rectores de la contratación estatal. De igual forma, tendrán la obligación tanto de indicar el contenido de las propuestas y los procedimientos de selección, como de realizar una descripción precisa del procedimiento, los plazos de las etapas y los criterios de evaluación y desempate, así como todos los criterios necesarios para garantizar la selección objetiva y la protección del interés general. </w:t>
            </w:r>
          </w:p>
          <w:p w14:paraId="59FD43CB" w14:textId="77777777" w:rsidR="00D00418" w:rsidRPr="00CE650F" w:rsidRDefault="00D00418" w:rsidP="00A40198">
            <w:pPr>
              <w:spacing w:before="120" w:line="276" w:lineRule="auto"/>
              <w:ind w:firstLine="709"/>
              <w:jc w:val="both"/>
              <w:rPr>
                <w:rFonts w:ascii="Verdana" w:eastAsia="Calibri" w:hAnsi="Verdana" w:cs="Arial"/>
                <w:lang w:val="es-ES"/>
              </w:rPr>
            </w:pPr>
            <w:r w:rsidRPr="00CE650F">
              <w:rPr>
                <w:rFonts w:ascii="Verdana" w:eastAsia="Calibri" w:hAnsi="Verdana" w:cs="Arial"/>
                <w:lang w:val="es-ES"/>
              </w:rPr>
              <w:t xml:space="preserve">En ese sentido, deberán cumplir unas obligaciones transversales al Sistema de Compra y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inhabilidades e incompatibilidades de sus proveedores, analizar el sector económico de los oferentes, acatar las prohibiciones contractuales dispuestas en los artículos 33 y 38 de la Ley de Garantías Electorales –Ley 996 de 2005-, entre otras. </w:t>
            </w:r>
          </w:p>
          <w:p w14:paraId="154D0549" w14:textId="1711E4B8" w:rsidR="00410A88" w:rsidRDefault="00D00418" w:rsidP="00A40198">
            <w:pPr>
              <w:spacing w:before="120" w:line="276" w:lineRule="auto"/>
              <w:ind w:firstLine="709"/>
              <w:jc w:val="both"/>
              <w:rPr>
                <w:rFonts w:ascii="Verdana" w:eastAsia="Calibri" w:hAnsi="Verdana" w:cs="Arial"/>
                <w:lang w:val="es-ES"/>
              </w:rPr>
            </w:pPr>
            <w:r w:rsidRPr="00CE650F">
              <w:rPr>
                <w:rFonts w:ascii="Verdana" w:eastAsia="Calibri" w:hAnsi="Verdana" w:cs="Arial"/>
                <w:lang w:val="es-ES"/>
              </w:rPr>
              <w:t>Sin embargo, sobre esta última obligación, resulta a bien aclarar que, al encontrarse actualmente vigente la restricción contractual dispuesta en el artículo 33 de la referida ley, tal y como lo indicó esta Agencia en la “Guía para la Gestión Contractual de Entidades Estatales con Régimen Especial”, “[…] todos los entes del Estado no podrán contratar de manera directa durante los cuatro (4) meses anteriores a la elección presidencial, hasta la realización de la segunda vuelta si fuere el caso, esto incluye tanto a las entidades públicas sometidas al Estatuto General de Contratación de la Administración Pública, como aquellas entidades exceptuadas de la aplicación de ese régimen contractual[…]”. Dichas precisiones, también fueron recogidas por esta entidad en la Circular Externa</w:t>
            </w:r>
            <w:r w:rsidRPr="00CE650F">
              <w:rPr>
                <w:rFonts w:ascii="Verdana" w:eastAsia="Aptos" w:hAnsi="Verdana" w:cs="Arial"/>
              </w:rPr>
              <w:t xml:space="preserve"> No. 006 del 25 de septiembre de 2025, </w:t>
            </w:r>
            <w:r w:rsidRPr="00CE650F">
              <w:rPr>
                <w:rFonts w:ascii="Verdana" w:eastAsia="Calibri" w:hAnsi="Verdana" w:cs="Arial"/>
                <w:lang w:val="es-ES"/>
              </w:rPr>
              <w:t xml:space="preserve">con el fin de brindar lineamientos que faciliten la interpretación y aplicación de las restricciones contenidas en el artículo 33 de la Ley 996 de 2005. </w:t>
            </w:r>
          </w:p>
          <w:p w14:paraId="06AED505" w14:textId="248023D6" w:rsidR="00D00418" w:rsidRPr="00CE650F" w:rsidRDefault="003274C2" w:rsidP="00A40198">
            <w:pPr>
              <w:spacing w:before="120" w:line="276" w:lineRule="auto"/>
              <w:ind w:firstLine="709"/>
              <w:jc w:val="both"/>
              <w:rPr>
                <w:rFonts w:ascii="Verdana" w:eastAsia="Calibri" w:hAnsi="Verdana" w:cs="Arial"/>
                <w:color w:val="000000"/>
                <w:lang w:val="es-ES_tradnl"/>
              </w:rPr>
            </w:pPr>
            <w:r>
              <w:rPr>
                <w:rFonts w:ascii="Verdana" w:eastAsia="Calibri" w:hAnsi="Verdana" w:cs="Arial"/>
                <w:lang w:val="es-ES"/>
              </w:rPr>
              <w:t>Ahora bien, l</w:t>
            </w:r>
            <w:r w:rsidR="00D00418" w:rsidRPr="00CE650F">
              <w:rPr>
                <w:rFonts w:ascii="Verdana" w:eastAsia="Calibri" w:hAnsi="Verdana" w:cs="Arial"/>
                <w:lang w:val="es-ES"/>
              </w:rPr>
              <w:t>as</w:t>
            </w:r>
            <w:r>
              <w:rPr>
                <w:rFonts w:ascii="Verdana" w:eastAsia="Calibri" w:hAnsi="Verdana" w:cs="Arial"/>
                <w:lang w:val="es-ES"/>
              </w:rPr>
              <w:t xml:space="preserve"> restricciones establecidas en la Ley de </w:t>
            </w:r>
            <w:r w:rsidR="004C4CCF">
              <w:rPr>
                <w:rFonts w:ascii="Verdana" w:eastAsia="Calibri" w:hAnsi="Verdana" w:cs="Arial"/>
                <w:lang w:val="es-ES"/>
              </w:rPr>
              <w:t>Garantías</w:t>
            </w:r>
            <w:r w:rsidR="007F3805">
              <w:rPr>
                <w:rFonts w:ascii="Verdana" w:eastAsia="Calibri" w:hAnsi="Verdana" w:cs="Arial"/>
                <w:lang w:val="es-ES"/>
              </w:rPr>
              <w:t xml:space="preserve"> </w:t>
            </w:r>
            <w:proofErr w:type="gramStart"/>
            <w:r w:rsidR="007F3805">
              <w:rPr>
                <w:rFonts w:ascii="Verdana" w:eastAsia="Calibri" w:hAnsi="Verdana" w:cs="Arial"/>
                <w:lang w:val="es-ES"/>
              </w:rPr>
              <w:t xml:space="preserve">Electorales </w:t>
            </w:r>
            <w:r w:rsidR="00D00418" w:rsidRPr="00CE650F">
              <w:rPr>
                <w:rFonts w:ascii="Verdana" w:eastAsia="Calibri" w:hAnsi="Verdana" w:cs="Arial"/>
                <w:lang w:val="es-ES"/>
              </w:rPr>
              <w:t xml:space="preserve"> precisiones</w:t>
            </w:r>
            <w:proofErr w:type="gramEnd"/>
            <w:r w:rsidR="00D00418" w:rsidRPr="00CE650F">
              <w:rPr>
                <w:rFonts w:ascii="Verdana" w:eastAsia="Calibri" w:hAnsi="Verdana" w:cs="Arial"/>
                <w:lang w:val="es-ES"/>
              </w:rPr>
              <w:t xml:space="preserve"> no pueden entenderse como una habilitación para que las entidades con regímenes especiales desconozcan las reglas dispuestas previamente en sus respectivos manuales de contratación, </w:t>
            </w:r>
            <w:r w:rsidR="00D00418" w:rsidRPr="00CE650F">
              <w:rPr>
                <w:rFonts w:ascii="Verdana" w:eastAsia="Calibri" w:hAnsi="Verdana" w:cs="Arial"/>
                <w:color w:val="000000"/>
                <w:lang w:val="es-ES_tradnl"/>
              </w:rPr>
              <w:t xml:space="preserve">pues estas se </w:t>
            </w:r>
            <w:r w:rsidR="00D00418" w:rsidRPr="00CE650F">
              <w:rPr>
                <w:rFonts w:ascii="Verdana" w:eastAsia="Calibri" w:hAnsi="Verdana" w:cs="Arial"/>
                <w:color w:val="000000"/>
                <w:lang w:val="es-ES_tradnl"/>
              </w:rPr>
              <w:lastRenderedPageBreak/>
              <w:t>obligan a cumplir su contenido. Además, teniendo en cuenta que dichos manuales corresponden a un acto administrativo y concretamente a un reglamento, le aplican los atributos propios de estos tipos de actos, entre otras cosas, la presunción de legalidad y la regla de inderogabilidad singular del reglamento</w:t>
            </w:r>
            <w:r w:rsidR="00D00418" w:rsidRPr="00CE650F">
              <w:rPr>
                <w:rFonts w:ascii="Verdana" w:eastAsia="Calibri" w:hAnsi="Verdana" w:cs="Arial"/>
                <w:color w:val="000000"/>
                <w:vertAlign w:val="superscript"/>
                <w:lang w:val="es-ES_tradnl"/>
              </w:rPr>
              <w:footnoteReference w:id="2"/>
            </w:r>
            <w:r w:rsidR="00D00418" w:rsidRPr="00CE650F">
              <w:rPr>
                <w:rFonts w:ascii="Verdana" w:eastAsia="Calibri" w:hAnsi="Verdana" w:cs="Arial"/>
                <w:color w:val="000000"/>
                <w:lang w:val="es-ES_tradnl"/>
              </w:rPr>
              <w:t>. En tal sentido, su contenido vincula a la propia entidad que lo expidió y no puede desconocerlo a su capricho en casos específicos. Ello sin perjuicio de la posibilidad de expedir un nuevo manual o de modificar el existente.</w:t>
            </w:r>
          </w:p>
          <w:p w14:paraId="7C2EC681" w14:textId="77777777" w:rsidR="00D00418" w:rsidRPr="00CE650F" w:rsidRDefault="00D00418" w:rsidP="00A40198">
            <w:pPr>
              <w:spacing w:before="120" w:after="120" w:line="276" w:lineRule="auto"/>
              <w:ind w:firstLine="709"/>
              <w:jc w:val="both"/>
              <w:rPr>
                <w:rFonts w:ascii="Verdana" w:eastAsia="Calibri" w:hAnsi="Verdana" w:cs="Arial"/>
                <w:color w:val="000000"/>
                <w:lang w:val="es-ES_tradnl"/>
              </w:rPr>
            </w:pPr>
            <w:r w:rsidRPr="00CE650F">
              <w:rPr>
                <w:rFonts w:ascii="Verdana" w:eastAsia="Calibri" w:hAnsi="Verdana" w:cs="Arial"/>
                <w:color w:val="000000"/>
                <w:lang w:val="es-ES_tradnl"/>
              </w:rPr>
              <w:t>Así pues, durante la vigencia de las restricciones contractuales dispuestas en la Ley de Garantías Electorales –Ley 996 de 2005–, las entidades con regímenes especiales de contratación –donde se encuentran inmersas las universidades públicas– podrán adelantar sus gestiones contractuales, dentro de los marcos legales dispuestos en sus respectivos manuales de contratación, pues no resulta ajustado a derecho, que con el fin de no verse “</w:t>
            </w:r>
            <w:r w:rsidRPr="00CE650F">
              <w:rPr>
                <w:rFonts w:ascii="Verdana" w:eastAsia="Calibri" w:hAnsi="Verdana" w:cs="Arial"/>
                <w:i/>
                <w:iCs/>
                <w:color w:val="000000"/>
                <w:lang w:val="es-ES_tradnl"/>
              </w:rPr>
              <w:t>afectadas</w:t>
            </w:r>
            <w:r w:rsidRPr="00CE650F">
              <w:rPr>
                <w:rFonts w:ascii="Verdana" w:eastAsia="Calibri" w:hAnsi="Verdana" w:cs="Arial"/>
                <w:color w:val="000000"/>
                <w:lang w:val="es-ES_tradnl"/>
              </w:rPr>
              <w:t>” por las referidas restricciones, adquieran sus bienes o servicios desconociendo las formas y procesos preestablecidos.</w:t>
            </w:r>
          </w:p>
          <w:p w14:paraId="01D6FA06" w14:textId="58B17C77" w:rsidR="00D52503" w:rsidRDefault="00D00418" w:rsidP="00A40198">
            <w:pPr>
              <w:spacing w:line="276" w:lineRule="auto"/>
              <w:ind w:firstLine="360"/>
              <w:contextualSpacing/>
              <w:jc w:val="both"/>
              <w:rPr>
                <w:rFonts w:ascii="Verdana" w:eastAsia="Calibri" w:hAnsi="Verdana" w:cs="Arial"/>
              </w:rPr>
            </w:pPr>
            <w:r w:rsidRPr="00CE650F">
              <w:rPr>
                <w:rFonts w:ascii="Verdana" w:eastAsia="Calibri" w:hAnsi="Verdana" w:cs="Arial"/>
              </w:rPr>
              <w:t xml:space="preserve">Finalmente debe advertirse que el análisis requerido para resolver problemas específicos a la gestión contractual de las universidades públicas en vigencia de la Ley de Garantías </w:t>
            </w:r>
          </w:p>
          <w:p w14:paraId="29822AB7" w14:textId="1ED58EE0" w:rsidR="00D00418" w:rsidRPr="00EB66F0" w:rsidRDefault="00877E47" w:rsidP="00A40198">
            <w:pPr>
              <w:spacing w:line="276" w:lineRule="auto"/>
              <w:ind w:firstLine="360"/>
              <w:contextualSpacing/>
              <w:jc w:val="both"/>
              <w:rPr>
                <w:rFonts w:ascii="Verdana" w:hAnsi="Verdana" w:cs="Arial"/>
                <w:lang w:eastAsia="es-ES"/>
              </w:rPr>
            </w:pPr>
            <w:r w:rsidRPr="00CE650F">
              <w:rPr>
                <w:rFonts w:ascii="Verdana" w:eastAsia="Calibri" w:hAnsi="Verdana" w:cs="Arial"/>
              </w:rPr>
              <w:t>Electorales</w:t>
            </w:r>
            <w:r w:rsidR="00D00418" w:rsidRPr="00CE650F">
              <w:rPr>
                <w:rFonts w:ascii="Verdana" w:eastAsia="Calibri" w:hAnsi="Verdana" w:cs="Arial"/>
              </w:rPr>
              <w:t xml:space="preserve"> debe ser realizado por quienes tengan interés en ello. De esta manera, las afirmaciones aquí realizadas no pueden ser interpretadas como </w:t>
            </w:r>
            <w:r w:rsidR="00D00418" w:rsidRPr="00CE650F">
              <w:rPr>
                <w:rFonts w:ascii="Verdana" w:eastAsia="Calibri" w:hAnsi="Verdana" w:cs="Arial"/>
              </w:rPr>
              <w:lastRenderedPageBreak/>
              <w:t>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tbl>
    <w:p w14:paraId="77EF137F" w14:textId="77777777" w:rsidR="00D00418" w:rsidRPr="00960F72" w:rsidRDefault="00D00418" w:rsidP="00D00418">
      <w:pPr>
        <w:tabs>
          <w:tab w:val="left" w:pos="142"/>
          <w:tab w:val="left" w:pos="284"/>
        </w:tabs>
        <w:spacing w:after="0" w:line="276" w:lineRule="auto"/>
        <w:jc w:val="both"/>
        <w:rPr>
          <w:rFonts w:ascii="Verdana" w:eastAsia="Century Gothic" w:hAnsi="Verdana" w:cs="Century Gothic"/>
          <w:b/>
          <w:bCs/>
        </w:rPr>
      </w:pPr>
    </w:p>
    <w:p w14:paraId="29CBD4D2" w14:textId="77777777" w:rsidR="00D00418" w:rsidRDefault="00D00418" w:rsidP="00D0041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0BB03311" w14:textId="77777777" w:rsidR="00D00418" w:rsidRDefault="00D00418" w:rsidP="00D00418">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01A3BE30" w14:textId="77777777" w:rsidR="00D00418" w:rsidRDefault="00D00418" w:rsidP="00D00418">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1C3F4F5" w14:textId="77777777" w:rsidR="00D00418" w:rsidRPr="000C6D8F" w:rsidRDefault="00D00418" w:rsidP="00D00418">
      <w:pPr>
        <w:spacing w:after="0" w:line="276" w:lineRule="auto"/>
        <w:jc w:val="both"/>
        <w:rPr>
          <w:rFonts w:ascii="Verdana" w:eastAsia="Calibri" w:hAnsi="Verdana" w:cs="Arial"/>
          <w:lang w:val="es-ES"/>
        </w:rPr>
      </w:pPr>
    </w:p>
    <w:p w14:paraId="5599135A" w14:textId="2C00D692" w:rsidR="00D00418" w:rsidRPr="00CE650F" w:rsidRDefault="00D00418" w:rsidP="00D00418">
      <w:pPr>
        <w:spacing w:after="0" w:line="276" w:lineRule="auto"/>
        <w:jc w:val="both"/>
        <w:rPr>
          <w:rFonts w:ascii="Verdana" w:eastAsia="Calibri" w:hAnsi="Verdana" w:cs="Arial"/>
        </w:rPr>
      </w:pPr>
      <w:r w:rsidRPr="00CE650F">
        <w:rPr>
          <w:rFonts w:ascii="Verdana" w:eastAsia="Calibri" w:hAnsi="Verdana" w:cs="Arial"/>
          <w:lang w:val="es-ES"/>
        </w:rPr>
        <w:t xml:space="preserve">De manera preliminar, debe precisarse que la </w:t>
      </w:r>
      <w:r w:rsidRPr="00CE650F">
        <w:rPr>
          <w:rFonts w:ascii="Verdana" w:eastAsia="Calibri" w:hAnsi="Verdana" w:cs="Arial"/>
          <w:lang w:val="es-MX" w:eastAsia="x-none"/>
        </w:rPr>
        <w:t xml:space="preserve">Constitución Política de Colombia en su artículo 69, </w:t>
      </w:r>
      <w:r w:rsidR="00B46942" w:rsidRPr="00CE650F">
        <w:rPr>
          <w:rFonts w:ascii="Verdana" w:eastAsia="Calibri" w:hAnsi="Verdana" w:cs="Arial"/>
          <w:lang w:val="es-MX" w:eastAsia="x-none"/>
        </w:rPr>
        <w:t>establece,</w:t>
      </w:r>
      <w:r w:rsidRPr="00CE650F">
        <w:rPr>
          <w:rFonts w:ascii="Verdana" w:eastAsia="Calibri" w:hAnsi="Verdana" w:cs="Arial"/>
          <w:lang w:val="es-MX" w:eastAsia="x-none"/>
        </w:rPr>
        <w:t xml:space="preserve"> por una parte, una garantía de autonomía para que las universidades establezcan sus directivas y sus estatutos de acuerdo con la ley; y por la otra, la posibilidad de que cuenten con un régimen especial que corresponde dictar al Congreso</w:t>
      </w:r>
      <w:r w:rsidRPr="00CE650F">
        <w:rPr>
          <w:rFonts w:ascii="Verdana" w:eastAsia="Calibri" w:hAnsi="Verdana" w:cs="Arial"/>
          <w:vertAlign w:val="superscript"/>
        </w:rPr>
        <w:footnoteReference w:id="3"/>
      </w:r>
      <w:r w:rsidRPr="00CE650F">
        <w:rPr>
          <w:rFonts w:ascii="Verdana" w:eastAsia="Calibri" w:hAnsi="Verdana" w:cs="Arial"/>
          <w:vertAlign w:val="subscript"/>
        </w:rPr>
        <w:t>.</w:t>
      </w:r>
      <w:r w:rsidRPr="00CE650F">
        <w:rPr>
          <w:rFonts w:ascii="Verdana" w:eastAsia="Calibri" w:hAnsi="Verdana" w:cs="Arial"/>
        </w:rPr>
        <w:t xml:space="preserve"> En desarrollo de lo anterior, se expidió la Ley 30 de 1992, mediante la cual se regularon aspectos como la naturaleza jurídica de las universidades estatales y oficiales, la forma de organizarse y el régimen de contratación aplicable. Asimismo, en el artículo 57 ibidem se consignó que el carácter especial del régimen de las universidades estatales u oficiales comprende, entre otros aspectos, el régimen de contratación</w:t>
      </w:r>
      <w:r w:rsidRPr="00CE650F">
        <w:rPr>
          <w:rFonts w:ascii="Verdana" w:eastAsia="Calibri" w:hAnsi="Verdana" w:cs="Arial"/>
          <w:vertAlign w:val="superscript"/>
        </w:rPr>
        <w:footnoteReference w:id="4"/>
      </w:r>
      <w:r w:rsidRPr="00CE650F">
        <w:rPr>
          <w:rFonts w:ascii="Verdana" w:eastAsia="Calibri" w:hAnsi="Verdana" w:cs="Arial"/>
        </w:rPr>
        <w:t xml:space="preserve">. </w:t>
      </w:r>
    </w:p>
    <w:p w14:paraId="6C883972" w14:textId="77777777" w:rsidR="00D00418" w:rsidRPr="00CE650F" w:rsidRDefault="00D00418" w:rsidP="00D00418">
      <w:pPr>
        <w:tabs>
          <w:tab w:val="left" w:pos="709"/>
        </w:tabs>
        <w:spacing w:before="120" w:after="0" w:line="276" w:lineRule="auto"/>
        <w:jc w:val="both"/>
        <w:rPr>
          <w:rFonts w:ascii="Verdana" w:eastAsia="Calibri" w:hAnsi="Verdana" w:cs="Arial"/>
          <w:lang w:val="es-ES"/>
        </w:rPr>
      </w:pPr>
      <w:r w:rsidRPr="00CE650F">
        <w:rPr>
          <w:rFonts w:ascii="Verdana" w:eastAsia="Calibri" w:hAnsi="Verdana" w:cs="Arial"/>
          <w:lang w:val="es-ES"/>
        </w:rPr>
        <w:tab/>
      </w:r>
      <w:r w:rsidRPr="00CE650F">
        <w:rPr>
          <w:rFonts w:ascii="Verdana" w:eastAsia="Calibri" w:hAnsi="Verdana" w:cs="Arial"/>
        </w:rPr>
        <w:t xml:space="preserve">De otro lado, la Ley 489 de 1998, al desarrollar la estructura y organización de la Administración Pública, establece que los entes universitarios </w:t>
      </w:r>
      <w:r w:rsidRPr="00CE650F">
        <w:rPr>
          <w:rFonts w:ascii="Verdana" w:eastAsia="Calibri" w:hAnsi="Verdana" w:cs="Arial"/>
        </w:rPr>
        <w:lastRenderedPageBreak/>
        <w:t>hacen parte integral de esta</w:t>
      </w:r>
      <w:r w:rsidRPr="00CE650F">
        <w:rPr>
          <w:rFonts w:ascii="Verdana" w:eastAsia="Calibri" w:hAnsi="Verdana" w:cs="Arial"/>
          <w:vertAlign w:val="superscript"/>
        </w:rPr>
        <w:footnoteReference w:id="5"/>
      </w:r>
      <w:r w:rsidRPr="00CE650F">
        <w:rPr>
          <w:rFonts w:ascii="Verdana" w:eastAsia="Calibri" w:hAnsi="Verdana" w:cs="Arial"/>
        </w:rPr>
        <w:t>, catalogándolos como entidades públicas de carácter autónomo a las que aplica un régimen especial</w:t>
      </w:r>
      <w:r w:rsidRPr="00CE650F">
        <w:rPr>
          <w:rFonts w:ascii="Verdana" w:eastAsia="Calibri" w:hAnsi="Verdana" w:cs="Times New Roman"/>
          <w:vertAlign w:val="superscript"/>
        </w:rPr>
        <w:footnoteReference w:id="6"/>
      </w:r>
      <w:r w:rsidRPr="00CE650F">
        <w:rPr>
          <w:rFonts w:ascii="Verdana" w:eastAsia="Calibri" w:hAnsi="Verdana" w:cs="Times New Roman"/>
        </w:rPr>
        <w:t xml:space="preserve">. </w:t>
      </w:r>
      <w:r w:rsidRPr="00CE650F">
        <w:rPr>
          <w:rFonts w:ascii="Verdana" w:eastAsia="Calibri" w:hAnsi="Verdana" w:cs="Arial"/>
        </w:rPr>
        <w:t>Al respecto, en la Sentencia C-1019 de 2012, la Corte Constitucional señaló:</w:t>
      </w:r>
    </w:p>
    <w:p w14:paraId="4110C286" w14:textId="77777777" w:rsidR="00D00418" w:rsidRPr="00CE650F" w:rsidRDefault="00D00418" w:rsidP="00D00418">
      <w:pPr>
        <w:spacing w:after="0" w:line="276" w:lineRule="auto"/>
        <w:jc w:val="both"/>
        <w:rPr>
          <w:rFonts w:ascii="Verdana" w:eastAsia="Calibri" w:hAnsi="Verdana" w:cs="Arial"/>
          <w:lang w:val="es-MX" w:eastAsia="x-none"/>
        </w:rPr>
      </w:pPr>
    </w:p>
    <w:p w14:paraId="3B036F1D" w14:textId="77777777" w:rsidR="00D00418" w:rsidRPr="00CE650F" w:rsidRDefault="00D00418" w:rsidP="00D00418">
      <w:pPr>
        <w:widowControl w:val="0"/>
        <w:autoSpaceDE w:val="0"/>
        <w:autoSpaceDN w:val="0"/>
        <w:spacing w:after="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“El régimen especial de las universidades públicas y oficiales se justifica en el hecho de que estas instituciones manejan recursos públicos y a que 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Pr="00CE650F">
        <w:rPr>
          <w:rFonts w:ascii="Verdana" w:eastAsia="Arial" w:hAnsi="Verdana" w:cs="Arial"/>
          <w:spacing w:val="49"/>
          <w:sz w:val="20"/>
          <w:szCs w:val="20"/>
          <w:lang w:val="es-ES"/>
        </w:rPr>
        <w:t xml:space="preserve"> </w:t>
      </w:r>
      <w:r w:rsidRPr="00CE650F">
        <w:rPr>
          <w:rFonts w:ascii="Verdana" w:eastAsia="Arial" w:hAnsi="Verdana" w:cs="Arial"/>
          <w:sz w:val="20"/>
          <w:szCs w:val="20"/>
          <w:lang w:val="es-ES"/>
        </w:rPr>
        <w:t>exige el cumplimiento de la obligación de colaboración armónica consagrado en el artículo 113 de la C.P. para el cumplimiento de las funciones del Estado.</w:t>
      </w:r>
    </w:p>
    <w:p w14:paraId="0DCA7C9C" w14:textId="77777777" w:rsidR="00D00418" w:rsidRPr="00CE650F" w:rsidRDefault="00D00418" w:rsidP="00D00418">
      <w:pPr>
        <w:widowControl w:val="0"/>
        <w:autoSpaceDE w:val="0"/>
        <w:autoSpaceDN w:val="0"/>
        <w:spacing w:before="120" w:after="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Aunque se establezca la participación de representantes del Estado en sus órganos de gobierno, la normatividad y la jurisprudencia han reconocido que lo anterior no significa que dichas instituciones hagan parte de la administración central o descentralizada, o se conviertan por ello en órganos dependientes y bajo el control de tutela del Estado, “pues las universidades estatales por su carácter de entes autónomos no conforman ninguna de las ramas del poder ni pueden formar parte de la administración nacional”</w:t>
      </w:r>
      <w:r w:rsidRPr="00CE650F">
        <w:rPr>
          <w:rFonts w:ascii="Verdana" w:eastAsia="Arial" w:hAnsi="Verdana" w:cs="Arial"/>
          <w:sz w:val="20"/>
          <w:szCs w:val="20"/>
          <w:vertAlign w:val="superscript"/>
          <w:lang w:val="es-ES"/>
        </w:rPr>
        <w:footnoteReference w:id="7"/>
      </w:r>
      <w:r w:rsidRPr="00CE650F">
        <w:rPr>
          <w:rFonts w:ascii="Verdana" w:eastAsia="Arial" w:hAnsi="Verdana" w:cs="Arial"/>
          <w:sz w:val="20"/>
          <w:szCs w:val="20"/>
          <w:lang w:val="es-ES"/>
        </w:rPr>
        <w:t>. De esta manera se pretende preservar a las universidades públicas y oficiales, de las injerencias e interferencias arbitrarias e indebidas del poder</w:t>
      </w:r>
      <w:r w:rsidRPr="00CE650F">
        <w:rPr>
          <w:rFonts w:ascii="Verdana" w:eastAsia="Arial" w:hAnsi="Verdana" w:cs="Arial"/>
          <w:spacing w:val="-6"/>
          <w:sz w:val="20"/>
          <w:szCs w:val="20"/>
          <w:lang w:val="es-ES"/>
        </w:rPr>
        <w:t xml:space="preserve"> </w:t>
      </w:r>
      <w:r w:rsidRPr="00CE650F">
        <w:rPr>
          <w:rFonts w:ascii="Verdana" w:eastAsia="Arial" w:hAnsi="Verdana" w:cs="Arial"/>
          <w:sz w:val="20"/>
          <w:szCs w:val="20"/>
          <w:lang w:val="es-ES"/>
        </w:rPr>
        <w:t>político”</w:t>
      </w:r>
      <w:r w:rsidRPr="00CE650F">
        <w:rPr>
          <w:rFonts w:ascii="Verdana" w:eastAsia="Arial" w:hAnsi="Verdana" w:cs="Arial"/>
          <w:sz w:val="20"/>
          <w:szCs w:val="20"/>
          <w:vertAlign w:val="superscript"/>
          <w:lang w:val="es-ES"/>
        </w:rPr>
        <w:footnoteReference w:id="8"/>
      </w:r>
      <w:r w:rsidRPr="00CE650F">
        <w:rPr>
          <w:rFonts w:ascii="Verdana" w:eastAsia="Arial" w:hAnsi="Verdana" w:cs="Arial"/>
          <w:sz w:val="20"/>
          <w:szCs w:val="20"/>
          <w:lang w:val="es-ES"/>
        </w:rPr>
        <w:t>.</w:t>
      </w:r>
    </w:p>
    <w:p w14:paraId="2C1B34AE" w14:textId="77777777" w:rsidR="00D00418" w:rsidRPr="00CE650F" w:rsidRDefault="00D00418" w:rsidP="00D00418">
      <w:pPr>
        <w:spacing w:after="0" w:line="276" w:lineRule="auto"/>
        <w:jc w:val="both"/>
        <w:rPr>
          <w:rFonts w:ascii="Verdana" w:eastAsia="Calibri" w:hAnsi="Verdana" w:cs="Arial"/>
          <w:lang w:val="es-MX" w:eastAsia="x-none"/>
        </w:rPr>
      </w:pPr>
    </w:p>
    <w:p w14:paraId="2AC0C00B" w14:textId="77777777" w:rsidR="00D00418" w:rsidRPr="00CE650F" w:rsidRDefault="00D00418" w:rsidP="00D00418">
      <w:pPr>
        <w:spacing w:after="0" w:line="276" w:lineRule="auto"/>
        <w:jc w:val="both"/>
        <w:rPr>
          <w:rFonts w:ascii="Verdana" w:eastAsia="Calibri" w:hAnsi="Verdana" w:cs="Times New Roman"/>
        </w:rPr>
      </w:pPr>
      <w:r w:rsidRPr="00CE650F">
        <w:rPr>
          <w:rFonts w:ascii="Verdana" w:eastAsia="Calibri" w:hAnsi="Verdana" w:cs="Arial"/>
          <w:lang w:val="es-MX" w:eastAsia="x-none"/>
        </w:rPr>
        <w:t xml:space="preserve">En armonía con lo anterior, se ha considerado que los entes universitarios no son entidades que hagan parte de la rama ejecutiva, ni pueden, por tanto, </w:t>
      </w:r>
      <w:r w:rsidRPr="00CE650F">
        <w:rPr>
          <w:rFonts w:ascii="Verdana" w:eastAsia="Calibri" w:hAnsi="Verdana" w:cs="Arial"/>
          <w:lang w:val="es-MX" w:eastAsia="x-none"/>
        </w:rPr>
        <w:lastRenderedPageBreak/>
        <w:t>considerarse entidades descentralizadas, sino que gozan de un régimen especial. Lo anterior fue señalado por el Consejo de Estado de la siguiente manera</w:t>
      </w:r>
      <w:r w:rsidRPr="00CE650F">
        <w:rPr>
          <w:rFonts w:ascii="Verdana" w:eastAsia="Calibri" w:hAnsi="Verdana" w:cs="Times New Roman"/>
          <w:vertAlign w:val="superscript"/>
        </w:rPr>
        <w:footnoteReference w:id="9"/>
      </w:r>
      <w:r w:rsidRPr="00CE650F">
        <w:rPr>
          <w:rFonts w:ascii="Verdana" w:eastAsia="Calibri" w:hAnsi="Verdana" w:cs="Times New Roman"/>
        </w:rPr>
        <w:t>:</w:t>
      </w:r>
    </w:p>
    <w:p w14:paraId="3F942EC0" w14:textId="77777777" w:rsidR="00D00418" w:rsidRPr="00CE650F" w:rsidRDefault="00D00418" w:rsidP="00D00418">
      <w:pPr>
        <w:spacing w:after="0" w:line="276" w:lineRule="auto"/>
        <w:jc w:val="both"/>
        <w:rPr>
          <w:rFonts w:ascii="Verdana" w:eastAsia="Calibri" w:hAnsi="Verdana" w:cs="Times New Roman"/>
        </w:rPr>
      </w:pPr>
    </w:p>
    <w:p w14:paraId="32D263E7" w14:textId="77777777" w:rsidR="00D00418" w:rsidRPr="00CE650F" w:rsidRDefault="00D00418" w:rsidP="00D00418">
      <w:pPr>
        <w:widowControl w:val="0"/>
        <w:autoSpaceDE w:val="0"/>
        <w:autoSpaceDN w:val="0"/>
        <w:spacing w:after="120" w:line="240" w:lineRule="auto"/>
        <w:ind w:left="709" w:right="709"/>
        <w:jc w:val="both"/>
        <w:rPr>
          <w:rFonts w:ascii="Verdana" w:eastAsia="Arial" w:hAnsi="Verdana" w:cs="Arial"/>
          <w:sz w:val="20"/>
          <w:szCs w:val="20"/>
          <w:lang w:val="es-ES"/>
        </w:rPr>
      </w:pPr>
      <w:r w:rsidRPr="00CE650F">
        <w:rPr>
          <w:rFonts w:ascii="Verdana" w:eastAsia="Arial" w:hAnsi="Verdana" w:cs="Arial"/>
          <w:sz w:val="21"/>
          <w:szCs w:val="21"/>
          <w:lang w:val="es-ES"/>
        </w:rPr>
        <w:t>“</w:t>
      </w:r>
      <w:r w:rsidRPr="00CE650F">
        <w:rPr>
          <w:rFonts w:ascii="Verdana" w:eastAsia="Arial" w:hAnsi="Verdana" w:cs="Arial"/>
          <w:sz w:val="20"/>
          <w:szCs w:val="20"/>
          <w:lang w:val="es-ES"/>
        </w:rPr>
        <w:t>Ahora bien, en la disposición legal [art. 57 de la Ley 30/92] se menciona que las universidades estatales u oficiales están vinculadas al Ministerio de Educación Nacional en lo que se refiere a las políticas y planeación del sector educativo, en donde la jurisprudencia constitucional ha dejado en claro que es únicamente para efectos de coordinar y planear el desarrollo de directrices educativas, y no como organismos supeditados al poder ejecutivo, de manera que deben actuar con independencia del mismo, sin estar sujetas a un control de tutela como el concebido para los establecimientos públicos, concepto que por sí mismo niega la autonomía.</w:t>
      </w:r>
    </w:p>
    <w:p w14:paraId="4C4F5AD3" w14:textId="77777777" w:rsidR="00D00418" w:rsidRPr="00CE650F" w:rsidRDefault="00D00418" w:rsidP="00D00418">
      <w:pPr>
        <w:widowControl w:val="0"/>
        <w:autoSpaceDE w:val="0"/>
        <w:autoSpaceDN w:val="0"/>
        <w:spacing w:before="1" w:after="12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w:t>
      </w:r>
    </w:p>
    <w:p w14:paraId="1B5C3C8D" w14:textId="77777777" w:rsidR="00D00418" w:rsidRPr="00CE650F" w:rsidRDefault="00D00418" w:rsidP="00D00418">
      <w:pPr>
        <w:widowControl w:val="0"/>
        <w:autoSpaceDE w:val="0"/>
        <w:autoSpaceDN w:val="0"/>
        <w:spacing w:after="12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La situación se modificó con el actual marco constitucional en donde se estableció [art. 69] la garantía a la autonomía universitaria, para que pudieran darse sus directivas y regirse por sus propios estatutos, de acuerdo con el régimen especial que previera la Ley para las universidades del Estado, por lo cual se despojaban del control de tutela que ejercía el ejecutivo sobre ellas, con el fin de garantizar la independencia académica en la educación superior, sin ningún tipo de injerencia del poder público.</w:t>
      </w:r>
    </w:p>
    <w:p w14:paraId="3C8BB647" w14:textId="77777777" w:rsidR="00D00418" w:rsidRPr="00CE650F" w:rsidRDefault="00D00418" w:rsidP="00D00418">
      <w:pPr>
        <w:widowControl w:val="0"/>
        <w:autoSpaceDE w:val="0"/>
        <w:autoSpaceDN w:val="0"/>
        <w:spacing w:after="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Lo anterior hizo que dejaran de pertenecer a la rama ejecutiva y por supuesto no hicieran parte de las demás [legislativa y judicial], al convertirse en organismos autónomos que cumplen funciones estatales de trascendental importancia para la nación, sin perder la calidad de entidades públicas […]”</w:t>
      </w:r>
      <w:r w:rsidRPr="00CE650F">
        <w:rPr>
          <w:rFonts w:ascii="Verdana" w:eastAsia="Arial" w:hAnsi="Verdana" w:cs="Arial"/>
          <w:sz w:val="20"/>
          <w:szCs w:val="20"/>
          <w:vertAlign w:val="superscript"/>
          <w:lang w:val="es-ES"/>
        </w:rPr>
        <w:footnoteReference w:id="10"/>
      </w:r>
      <w:r w:rsidRPr="00CE650F">
        <w:rPr>
          <w:rFonts w:ascii="Verdana" w:eastAsia="Arial" w:hAnsi="Verdana" w:cs="Arial"/>
          <w:sz w:val="20"/>
          <w:szCs w:val="20"/>
          <w:lang w:val="es-ES"/>
        </w:rPr>
        <w:t>.</w:t>
      </w:r>
    </w:p>
    <w:p w14:paraId="56DC9F74" w14:textId="77777777" w:rsidR="00D00418" w:rsidRPr="00CE650F" w:rsidRDefault="00D00418" w:rsidP="00D00418">
      <w:pPr>
        <w:spacing w:after="0" w:line="276" w:lineRule="auto"/>
        <w:jc w:val="both"/>
        <w:rPr>
          <w:rFonts w:ascii="Verdana" w:eastAsia="Calibri" w:hAnsi="Verdana" w:cs="Times New Roman"/>
        </w:rPr>
      </w:pPr>
    </w:p>
    <w:p w14:paraId="68DE00ED" w14:textId="77777777" w:rsidR="00D00418" w:rsidRPr="00CE650F" w:rsidRDefault="00D00418" w:rsidP="00D00418">
      <w:pPr>
        <w:spacing w:after="0" w:line="276" w:lineRule="auto"/>
        <w:jc w:val="both"/>
        <w:rPr>
          <w:rFonts w:ascii="Verdana" w:eastAsia="Calibri" w:hAnsi="Verdana" w:cs="Arial"/>
          <w:lang w:val="es-MX" w:eastAsia="x-none"/>
        </w:rPr>
      </w:pPr>
      <w:r w:rsidRPr="00CE650F">
        <w:rPr>
          <w:rFonts w:ascii="Verdana" w:eastAsia="Calibri" w:hAnsi="Verdana" w:cs="Times New Roman"/>
        </w:rPr>
        <w:t>De este modo,</w:t>
      </w:r>
      <w:r w:rsidRPr="00CE650F">
        <w:rPr>
          <w:rFonts w:ascii="Verdana" w:eastAsia="Calibri" w:hAnsi="Verdana" w:cs="Arial"/>
          <w:lang w:val="es-MX" w:eastAsia="x-none"/>
        </w:rPr>
        <w:t xml:space="preserve"> la diferenciación entre universidades públicas y entidades descentralizadas radica, entre otras cosas, en la autonomía de la que aquellas gozan. Esto, en la medida en que a las universidades públicas no les aplica un elemento característico de la descentralización denominado control de tutela, sobre el cual, en Sentencia C-727 del 21 de junio de 2000, la Corte Constitucional señaló:</w:t>
      </w:r>
    </w:p>
    <w:p w14:paraId="27D6717F" w14:textId="77777777" w:rsidR="00D00418" w:rsidRPr="00CE650F" w:rsidRDefault="00D00418" w:rsidP="00D00418">
      <w:pPr>
        <w:spacing w:after="0" w:line="276" w:lineRule="auto"/>
        <w:jc w:val="both"/>
        <w:rPr>
          <w:rFonts w:ascii="Verdana" w:eastAsia="Calibri" w:hAnsi="Verdana" w:cs="Arial"/>
          <w:lang w:val="es-MX" w:eastAsia="x-none"/>
        </w:rPr>
      </w:pPr>
    </w:p>
    <w:p w14:paraId="68CCD01A" w14:textId="77777777" w:rsidR="00D00418" w:rsidRPr="00CE650F" w:rsidRDefault="00D00418" w:rsidP="00D00418">
      <w:pPr>
        <w:widowControl w:val="0"/>
        <w:autoSpaceDE w:val="0"/>
        <w:autoSpaceDN w:val="0"/>
        <w:spacing w:after="0" w:line="240" w:lineRule="auto"/>
        <w:ind w:left="709" w:right="709"/>
        <w:jc w:val="both"/>
        <w:rPr>
          <w:rFonts w:ascii="Verdana" w:eastAsia="Arial" w:hAnsi="Verdana" w:cs="Arial"/>
          <w:sz w:val="20"/>
          <w:szCs w:val="20"/>
          <w:lang w:val="es-ES"/>
        </w:rPr>
      </w:pPr>
      <w:r w:rsidRPr="00CE650F">
        <w:rPr>
          <w:rFonts w:ascii="Verdana" w:eastAsia="Arial" w:hAnsi="Verdana" w:cs="Arial"/>
          <w:sz w:val="20"/>
          <w:szCs w:val="20"/>
          <w:lang w:val="es-ES"/>
        </w:rPr>
        <w:t xml:space="preserve">“La descentralización es una forma de organización administrativa propia de los Estados de forma unitaria, que atenúa la centralización permitiendo la transferencia de competencias a organismos distintos del poder central, que adquieren autonomía en la gestión de las respectivas funciones. No obstante, esta transferencia no implica la ruptura total del vínculo entre el </w:t>
      </w:r>
      <w:r w:rsidRPr="00CE650F">
        <w:rPr>
          <w:rFonts w:ascii="Verdana" w:eastAsia="Arial" w:hAnsi="Verdana" w:cs="Arial"/>
          <w:sz w:val="20"/>
          <w:szCs w:val="20"/>
          <w:lang w:val="es-ES"/>
        </w:rPr>
        <w:lastRenderedPageBreak/>
        <w:t>poder central y la entidad descentralizada, sino que, en aras de garantizar el principio de coordinación que gobierna la función administrativa, dicho vínculo permanece vigente a través del llamado control de tutela, existente en nuestra organización administrativa respecto de los entes funcionalmente descentralizados, con definidos perfiles jurídicos, desde la reforma constitucional y administrativa operada en</w:t>
      </w:r>
      <w:r w:rsidRPr="00CE650F">
        <w:rPr>
          <w:rFonts w:ascii="Verdana" w:eastAsia="Arial" w:hAnsi="Verdana" w:cs="Arial"/>
          <w:spacing w:val="-4"/>
          <w:sz w:val="20"/>
          <w:szCs w:val="20"/>
          <w:lang w:val="es-ES"/>
        </w:rPr>
        <w:t xml:space="preserve"> </w:t>
      </w:r>
      <w:r w:rsidRPr="00CE650F">
        <w:rPr>
          <w:rFonts w:ascii="Verdana" w:eastAsia="Arial" w:hAnsi="Verdana" w:cs="Arial"/>
          <w:sz w:val="20"/>
          <w:szCs w:val="20"/>
          <w:lang w:val="es-ES"/>
        </w:rPr>
        <w:t>1968”.</w:t>
      </w:r>
    </w:p>
    <w:p w14:paraId="145873C7" w14:textId="77777777" w:rsidR="00D00418" w:rsidRPr="00CE650F" w:rsidRDefault="00D00418" w:rsidP="00D00418">
      <w:pPr>
        <w:spacing w:after="0" w:line="276" w:lineRule="auto"/>
        <w:jc w:val="both"/>
        <w:rPr>
          <w:rFonts w:ascii="Verdana" w:eastAsia="Calibri" w:hAnsi="Verdana" w:cs="Arial"/>
          <w:lang w:val="es-MX" w:eastAsia="x-none"/>
        </w:rPr>
      </w:pPr>
    </w:p>
    <w:p w14:paraId="205E5636" w14:textId="77777777" w:rsidR="00D00418" w:rsidRPr="00CE650F" w:rsidRDefault="00D00418" w:rsidP="00D00418">
      <w:pPr>
        <w:spacing w:after="0" w:line="276" w:lineRule="auto"/>
        <w:jc w:val="both"/>
        <w:rPr>
          <w:rFonts w:ascii="Verdana" w:eastAsia="Calibri" w:hAnsi="Verdana" w:cs="Arial"/>
          <w:lang w:val="es-MX" w:eastAsia="x-none"/>
        </w:rPr>
      </w:pPr>
      <w:r w:rsidRPr="00CE650F">
        <w:rPr>
          <w:rFonts w:ascii="Verdana" w:eastAsia="Calibri" w:hAnsi="Verdana" w:cs="Arial"/>
          <w:lang w:val="es-MX" w:eastAsia="x-none"/>
        </w:rPr>
        <w:t xml:space="preserve">En suma, la descentralización involucra el ejercicio de un control de tutela que no puede aplicarse a los entes universitarios autónomos, motivo por el cual, si bien son entes del Estado, no son ni pueden ser asimiladas a entidades descentralizadas y tampoco encuadran en el concepto de entidad territorial. De esta manera, respecto al régimen contractual de las universidades estatales, el artículo 93 de la Ley 30 de 1992 estableció </w:t>
      </w:r>
      <w:r w:rsidRPr="00CE650F">
        <w:rPr>
          <w:rFonts w:ascii="Verdana" w:eastAsia="Calibri" w:hAnsi="Verdana" w:cs="Arial"/>
          <w:i/>
          <w:iCs/>
          <w:lang w:val="es-MX" w:eastAsia="x-none"/>
        </w:rPr>
        <w:t>condicionadamente</w:t>
      </w:r>
      <w:r w:rsidRPr="00CE650F">
        <w:rPr>
          <w:rFonts w:ascii="Verdana" w:eastAsia="Calibri" w:hAnsi="Verdana" w:cs="Arial"/>
          <w:lang w:val="es-MX" w:eastAsia="x-none"/>
        </w:rPr>
        <w:t xml:space="preserve">, que será el derecho privado, rigiéndose, por ende, por las normas civiles y comerciales, así: </w:t>
      </w:r>
    </w:p>
    <w:p w14:paraId="5E1E22F1" w14:textId="77777777" w:rsidR="00D00418" w:rsidRPr="00CE650F" w:rsidRDefault="00D00418" w:rsidP="00D00418">
      <w:pPr>
        <w:spacing w:after="0" w:line="276" w:lineRule="auto"/>
        <w:jc w:val="both"/>
        <w:rPr>
          <w:rFonts w:ascii="Verdana" w:eastAsia="Calibri" w:hAnsi="Verdana" w:cs="Arial"/>
          <w:lang w:val="es-MX" w:eastAsia="x-none"/>
        </w:rPr>
      </w:pPr>
    </w:p>
    <w:p w14:paraId="452F62C6" w14:textId="77777777" w:rsidR="00D00418" w:rsidRPr="00CE650F" w:rsidRDefault="00D00418" w:rsidP="00D00418">
      <w:pPr>
        <w:spacing w:after="0" w:line="276" w:lineRule="auto"/>
        <w:ind w:left="709" w:right="709"/>
        <w:jc w:val="both"/>
        <w:rPr>
          <w:rFonts w:ascii="Verdana" w:eastAsia="Calibri" w:hAnsi="Verdana" w:cs="Arial"/>
          <w:sz w:val="20"/>
          <w:szCs w:val="20"/>
          <w:lang w:val="es-MX" w:eastAsia="x-none"/>
        </w:rPr>
      </w:pPr>
      <w:r w:rsidRPr="00CE650F">
        <w:rPr>
          <w:rFonts w:ascii="Verdana" w:eastAsia="Calibri" w:hAnsi="Verdana" w:cs="Arial"/>
          <w:sz w:val="20"/>
          <w:szCs w:val="20"/>
          <w:lang w:val="es-MX" w:eastAsia="x-none"/>
        </w:rPr>
        <w:t xml:space="preserve">“Artículo 93. Salvo las excepciones consagradas en la presente ley, </w:t>
      </w:r>
      <w:r w:rsidRPr="00CE650F">
        <w:rPr>
          <w:rFonts w:ascii="Verdana" w:eastAsia="Calibri" w:hAnsi="Verdana" w:cs="Arial"/>
          <w:sz w:val="20"/>
          <w:szCs w:val="20"/>
          <w:u w:val="single"/>
          <w:lang w:val="es-MX" w:eastAsia="x-none"/>
        </w:rPr>
        <w:t>los contratos que para el cumplimiento de sus funciones celebren las universidades estatales u oficiales,</w:t>
      </w:r>
      <w:r w:rsidRPr="00CE650F">
        <w:rPr>
          <w:rFonts w:ascii="Verdana" w:eastAsia="Calibri" w:hAnsi="Verdana" w:cs="Arial"/>
          <w:sz w:val="20"/>
          <w:szCs w:val="20"/>
          <w:lang w:val="es-MX" w:eastAsia="x-none"/>
        </w:rPr>
        <w:t xml:space="preserve"> </w:t>
      </w:r>
      <w:r w:rsidRPr="00CE650F">
        <w:rPr>
          <w:rFonts w:ascii="Verdana" w:eastAsia="Calibri" w:hAnsi="Verdana" w:cs="Arial"/>
          <w:i/>
          <w:iCs/>
          <w:sz w:val="20"/>
          <w:szCs w:val="20"/>
          <w:u w:val="single"/>
          <w:lang w:val="es-MX" w:eastAsia="x-none"/>
        </w:rPr>
        <w:t>se regirán por las normas del derecho privado y sus efectos estarán sujetos a las normas civiles y comerciales</w:t>
      </w:r>
      <w:r w:rsidRPr="00CE650F">
        <w:rPr>
          <w:rFonts w:ascii="Verdana" w:eastAsia="Calibri" w:hAnsi="Verdana" w:cs="Arial"/>
          <w:sz w:val="20"/>
          <w:szCs w:val="20"/>
          <w:lang w:val="es-MX" w:eastAsia="x-none"/>
        </w:rPr>
        <w:t xml:space="preserve">, según la naturaleza de los contratos. </w:t>
      </w:r>
    </w:p>
    <w:p w14:paraId="45ED1CFF" w14:textId="77777777" w:rsidR="00D00418" w:rsidRPr="00CE650F" w:rsidRDefault="00D00418" w:rsidP="00D00418">
      <w:pPr>
        <w:spacing w:before="120" w:after="0" w:line="276" w:lineRule="auto"/>
        <w:ind w:left="709" w:right="709"/>
        <w:jc w:val="both"/>
        <w:rPr>
          <w:rFonts w:ascii="Verdana" w:eastAsia="Calibri" w:hAnsi="Verdana" w:cs="Arial"/>
          <w:sz w:val="20"/>
          <w:szCs w:val="20"/>
          <w:lang w:val="es-MX" w:eastAsia="x-none"/>
        </w:rPr>
      </w:pPr>
      <w:r w:rsidRPr="00CE650F">
        <w:rPr>
          <w:rFonts w:ascii="Verdana" w:eastAsia="Calibri" w:hAnsi="Verdana" w:cs="Arial"/>
          <w:sz w:val="20"/>
          <w:szCs w:val="20"/>
          <w:lang w:val="es-MX" w:eastAsia="x-none"/>
        </w:rPr>
        <w:t>Parágrafo. Se exceptúan de lo anterior los contratos de empréstito, los cuales se someterán a las reglas previstas para ellos por el Decreto 222 de 1983 y demás disposiciones que lo modifiquen, complementen o sustituyan”. [Énfasis fuera de texto]</w:t>
      </w:r>
    </w:p>
    <w:p w14:paraId="347E3F06" w14:textId="77777777" w:rsidR="00D00418" w:rsidRPr="00CE650F" w:rsidRDefault="00D00418" w:rsidP="00D00418">
      <w:pPr>
        <w:spacing w:after="0" w:line="276" w:lineRule="auto"/>
        <w:ind w:right="709"/>
        <w:jc w:val="both"/>
        <w:rPr>
          <w:rFonts w:ascii="Verdana" w:eastAsia="Calibri" w:hAnsi="Verdana" w:cs="Arial"/>
          <w:sz w:val="21"/>
          <w:szCs w:val="21"/>
          <w:lang w:val="es-MX" w:eastAsia="x-none"/>
        </w:rPr>
      </w:pPr>
    </w:p>
    <w:p w14:paraId="6A44A198" w14:textId="77777777" w:rsidR="00D00418" w:rsidRPr="00CE650F" w:rsidRDefault="00D00418" w:rsidP="00D00418">
      <w:pPr>
        <w:spacing w:after="0" w:line="276" w:lineRule="auto"/>
        <w:jc w:val="both"/>
        <w:rPr>
          <w:rFonts w:ascii="Verdana" w:eastAsia="Calibri" w:hAnsi="Verdana" w:cs="Arial"/>
          <w:lang w:val="es-MX" w:eastAsia="x-none"/>
        </w:rPr>
      </w:pPr>
      <w:r w:rsidRPr="00CE650F">
        <w:rPr>
          <w:rFonts w:ascii="Verdana" w:eastAsia="Calibri" w:hAnsi="Verdana" w:cs="Arial"/>
          <w:lang w:val="es-MX" w:eastAsia="x-none"/>
        </w:rPr>
        <w:t>De lo anterior podría colegirse que los entes universitarios, sólo aplicarán un régimen especial de contratación –es decir, el derecho privado– siempre y cuando el objeto a contratar sea para el cumplimiento de sus funciones propias; pero por ejemplo, cuando actúen como contratistas de otras Entidades Estatales regidas por el Estatuto General de Contratación de la Administración Pública –Ley 80 de 1993, Ley 1150 de 2007, Decreto 1082 de 2015 y demás normas que lo modifiquen o complementen–, estarán sujetas, sin que ello afecte su economía, a las reglas y restricciones que dicho estatuto contenga para ese tipo de situaciones</w:t>
      </w:r>
      <w:r w:rsidRPr="00CE650F">
        <w:rPr>
          <w:rFonts w:ascii="Verdana" w:eastAsia="Calibri" w:hAnsi="Verdana" w:cs="Arial"/>
          <w:vertAlign w:val="superscript"/>
          <w:lang w:val="es-MX" w:eastAsia="x-none"/>
        </w:rPr>
        <w:footnoteReference w:id="11"/>
      </w:r>
      <w:r w:rsidRPr="00CE650F">
        <w:rPr>
          <w:rFonts w:ascii="Verdana" w:eastAsia="Calibri" w:hAnsi="Verdana" w:cs="Arial"/>
          <w:lang w:val="es-MX" w:eastAsia="x-none"/>
        </w:rPr>
        <w:t>.</w:t>
      </w:r>
    </w:p>
    <w:p w14:paraId="65F82AF2" w14:textId="77777777" w:rsidR="00D00418" w:rsidRPr="00CE650F" w:rsidRDefault="00D00418" w:rsidP="00D00418">
      <w:pPr>
        <w:tabs>
          <w:tab w:val="left" w:pos="709"/>
        </w:tabs>
        <w:spacing w:before="120" w:after="0" w:line="276" w:lineRule="auto"/>
        <w:jc w:val="both"/>
        <w:rPr>
          <w:rFonts w:ascii="Verdana" w:eastAsia="Calibri" w:hAnsi="Verdana" w:cs="Arial"/>
          <w:lang w:val="es-ES"/>
        </w:rPr>
      </w:pPr>
      <w:r w:rsidRPr="00CE650F">
        <w:rPr>
          <w:rFonts w:ascii="Verdana" w:eastAsia="Calibri" w:hAnsi="Verdana" w:cs="Arial"/>
          <w:lang w:val="es-ES"/>
        </w:rPr>
        <w:lastRenderedPageBreak/>
        <w:tab/>
        <w:t>Ahora bien, en el respectivo manual de contratación, las universidades públicas desarrollarán las formas en la que adelantarán sus gestiones contractuales y garantizarán el cumplimiento de los principios de la función pública, el control fiscal y los principios rectores de la contratación estatal. De igual forma, tendrán la obligación tanto de indicar el contenido de las propuestas y los procedimientos de selección, como de realizar una descripción precisa del procedimiento, los plazos de las etapas y los criterios de evaluación y desempate, así como todos los criterios necesarios para garantizar la selección objetiva y la protección del interés general. Lo anterior, sin perjuicio de que algunas de estas reglas se establezcan, complementen o detallen en los documentos que se expidan en desarrollo de sus procedimientos contractuales.</w:t>
      </w:r>
    </w:p>
    <w:p w14:paraId="7C9460E0" w14:textId="77777777" w:rsidR="00D00418" w:rsidRPr="00CE650F" w:rsidRDefault="00D00418" w:rsidP="00D00418">
      <w:pPr>
        <w:spacing w:before="120" w:line="276" w:lineRule="auto"/>
        <w:ind w:firstLine="709"/>
        <w:jc w:val="both"/>
        <w:rPr>
          <w:rFonts w:ascii="Verdana" w:eastAsia="Calibri" w:hAnsi="Verdana" w:cs="Arial"/>
          <w:lang w:val="es-ES"/>
        </w:rPr>
      </w:pPr>
      <w:r w:rsidRPr="00CE650F">
        <w:rPr>
          <w:rFonts w:ascii="Verdana" w:eastAsia="Calibri" w:hAnsi="Verdana" w:cs="Arial"/>
          <w:lang w:val="es-ES"/>
        </w:rPr>
        <w:t xml:space="preserve">En ese sentido, deberán cumplir unas obligaciones transversales al Sistema de Compra y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inhabilidades e incompatibilidades de sus proveedores, analizar el sector económico de los oferentes, acatar las prohibiciones contractuales dispuestas en los artículos 33 y 38 de la Ley de Garantías Electorales –Ley 996 de 2005–, entre otras. </w:t>
      </w:r>
    </w:p>
    <w:p w14:paraId="63555ED8" w14:textId="77777777" w:rsidR="00D00418" w:rsidRPr="00CE650F" w:rsidRDefault="00D00418" w:rsidP="00D00418">
      <w:pPr>
        <w:spacing w:before="120" w:line="276" w:lineRule="auto"/>
        <w:ind w:firstLine="709"/>
        <w:jc w:val="both"/>
        <w:rPr>
          <w:rFonts w:ascii="Verdana" w:eastAsia="Calibri" w:hAnsi="Verdana" w:cs="Arial"/>
          <w:lang w:val="es-ES"/>
        </w:rPr>
      </w:pPr>
      <w:r w:rsidRPr="00CE650F">
        <w:rPr>
          <w:rFonts w:ascii="Verdana" w:eastAsia="Calibri" w:hAnsi="Verdana" w:cs="Arial"/>
          <w:lang w:val="es-ES"/>
        </w:rPr>
        <w:t>Sobre esta última obligación, resulta a bien aclarar que, al encontrarse actualmente vigente la restricción contractual dispuesta en el artículo 33 de la referida ley, tal y como lo indicó esta Agencia en la “Guía para la Gestión Contractual de Entidades Estatales con Régimen Especial”</w:t>
      </w:r>
      <w:r w:rsidRPr="00CE650F">
        <w:rPr>
          <w:rFonts w:ascii="Verdana" w:eastAsia="Calibri" w:hAnsi="Verdana" w:cs="Arial"/>
          <w:vertAlign w:val="superscript"/>
          <w:lang w:val="es-ES"/>
        </w:rPr>
        <w:t xml:space="preserve"> </w:t>
      </w:r>
      <w:r w:rsidRPr="00CE650F">
        <w:rPr>
          <w:rFonts w:ascii="Verdana" w:eastAsia="Calibri" w:hAnsi="Verdana" w:cs="Arial"/>
          <w:vertAlign w:val="superscript"/>
          <w:lang w:val="es-ES"/>
        </w:rPr>
        <w:footnoteReference w:id="12"/>
      </w:r>
      <w:r w:rsidRPr="00CE650F">
        <w:rPr>
          <w:rFonts w:ascii="Verdana" w:eastAsia="Calibri" w:hAnsi="Verdana" w:cs="Arial"/>
          <w:lang w:val="es-ES"/>
        </w:rPr>
        <w:t xml:space="preserve">, “[…] todos los entes del Estado no podrán contratar de manera directa durante los cuatro (4) meses anteriores a la elección presidencial, hasta la realización de la segunda vuelta si fuere el caso, esto incluye tanto a las entidades públicas sometidas al Estatuto General de Contratación de la Administración Pública, como aquellas entidades exceptuadas de la aplicación de ese régimen contractual[…]”. </w:t>
      </w:r>
    </w:p>
    <w:p w14:paraId="5D246CD8" w14:textId="77777777" w:rsidR="00D00418" w:rsidRPr="00CE650F" w:rsidRDefault="00D00418" w:rsidP="00D00418">
      <w:pPr>
        <w:spacing w:after="0" w:line="276" w:lineRule="auto"/>
        <w:jc w:val="both"/>
        <w:rPr>
          <w:rFonts w:ascii="Verdana" w:eastAsia="Aptos" w:hAnsi="Verdana" w:cs="Arial"/>
        </w:rPr>
      </w:pPr>
      <w:r w:rsidRPr="00CE650F">
        <w:rPr>
          <w:rFonts w:ascii="Verdana" w:eastAsia="Aptos" w:hAnsi="Verdana" w:cs="Arial"/>
        </w:rPr>
        <w:tab/>
        <w:t xml:space="preserve">Dichas recisiones, también fueron recogidas por esta entidad en la Circular Externa No. 006 del 25 de septiembre de 2025, en la que respecto del ámbito </w:t>
      </w:r>
      <w:r w:rsidRPr="00CE650F">
        <w:rPr>
          <w:rFonts w:ascii="Verdana" w:eastAsia="Aptos" w:hAnsi="Verdana" w:cs="Arial"/>
        </w:rPr>
        <w:lastRenderedPageBreak/>
        <w:t>de aplicación de la restricción contenida en el artículo 33 de la Ley 996 de 2005, indicó lo siguiente:</w:t>
      </w:r>
    </w:p>
    <w:p w14:paraId="59707548" w14:textId="77777777" w:rsidR="00D00418" w:rsidRPr="00CE650F" w:rsidRDefault="00D00418" w:rsidP="00D00418">
      <w:pPr>
        <w:spacing w:after="0" w:line="276" w:lineRule="auto"/>
        <w:jc w:val="both"/>
        <w:rPr>
          <w:rFonts w:ascii="Verdana" w:eastAsia="Aptos" w:hAnsi="Verdana" w:cs="Arial"/>
        </w:rPr>
      </w:pPr>
    </w:p>
    <w:p w14:paraId="4A502AB1" w14:textId="77777777" w:rsidR="00D00418" w:rsidRPr="00CE650F" w:rsidRDefault="00D00418" w:rsidP="00D00418">
      <w:pPr>
        <w:spacing w:after="0" w:line="240" w:lineRule="auto"/>
        <w:ind w:left="709" w:right="709"/>
        <w:jc w:val="both"/>
        <w:rPr>
          <w:rFonts w:ascii="Verdana" w:eastAsia="Aptos" w:hAnsi="Verdana" w:cs="Arial"/>
          <w:b/>
          <w:bCs/>
          <w:sz w:val="20"/>
          <w:szCs w:val="20"/>
        </w:rPr>
      </w:pPr>
      <w:r w:rsidRPr="00CE650F">
        <w:rPr>
          <w:rFonts w:ascii="Verdana" w:eastAsia="Aptos" w:hAnsi="Verdana" w:cs="Arial"/>
          <w:sz w:val="20"/>
          <w:szCs w:val="20"/>
        </w:rPr>
        <w:t xml:space="preserve">“El artículo señala que “queda prohibida la contratación directa” durante los cuatro (4) meses anteriores a las elecciones presidenciales. Para efectos de la Ley de Garantías Electorales por “(4) meses anteriores a las elecciones presidenciales. Para efectos de la Ley de Garantías Electorales por “contratación directa” se entiende </w:t>
      </w:r>
      <w:r w:rsidRPr="00CE650F">
        <w:rPr>
          <w:rFonts w:ascii="Verdana" w:eastAsia="Aptos" w:hAnsi="Verdana" w:cs="Arial"/>
          <w:i/>
          <w:iCs/>
          <w:sz w:val="20"/>
          <w:szCs w:val="20"/>
        </w:rPr>
        <w:t xml:space="preserve">cualquier </w:t>
      </w:r>
      <w:r w:rsidRPr="00CE650F">
        <w:rPr>
          <w:rFonts w:ascii="Verdana" w:eastAsia="Aptos" w:hAnsi="Verdana" w:cs="Arial"/>
          <w:b/>
          <w:bCs/>
          <w:sz w:val="20"/>
          <w:szCs w:val="20"/>
        </w:rPr>
        <w:t xml:space="preserve">sistema de selección o procedimiento de contratación que no incluya la convocatoria pública en </w:t>
      </w:r>
      <w:r w:rsidRPr="00CE650F">
        <w:rPr>
          <w:rFonts w:ascii="Verdana" w:eastAsia="Aptos" w:hAnsi="Verdana" w:cs="Arial"/>
          <w:b/>
          <w:bCs/>
          <w:i/>
          <w:iCs/>
          <w:sz w:val="20"/>
          <w:szCs w:val="20"/>
        </w:rPr>
        <w:t xml:space="preserve">alguna </w:t>
      </w:r>
      <w:r w:rsidRPr="00CE650F">
        <w:rPr>
          <w:rFonts w:ascii="Verdana" w:eastAsia="Aptos" w:hAnsi="Verdana" w:cs="Arial"/>
          <w:b/>
          <w:bCs/>
          <w:sz w:val="20"/>
          <w:szCs w:val="20"/>
        </w:rPr>
        <w:t>de sus etapas, ni permita la participación de una pluralidad de oferentes.</w:t>
      </w:r>
    </w:p>
    <w:p w14:paraId="0082927C" w14:textId="77777777" w:rsidR="00D00418" w:rsidRPr="00CE650F" w:rsidRDefault="00D00418" w:rsidP="00D00418">
      <w:pPr>
        <w:spacing w:after="0" w:line="240" w:lineRule="auto"/>
        <w:ind w:left="709" w:right="709"/>
        <w:jc w:val="both"/>
        <w:rPr>
          <w:rFonts w:ascii="Verdana" w:eastAsia="Aptos" w:hAnsi="Verdana" w:cs="Arial"/>
          <w:sz w:val="20"/>
          <w:szCs w:val="20"/>
        </w:rPr>
      </w:pPr>
      <w:r w:rsidRPr="00CE650F">
        <w:rPr>
          <w:rFonts w:ascii="Verdana" w:eastAsia="Aptos" w:hAnsi="Verdana" w:cs="Arial"/>
          <w:sz w:val="20"/>
          <w:szCs w:val="20"/>
        </w:rPr>
        <w:t xml:space="preserve">De lo anterior se desprende que </w:t>
      </w:r>
      <w:r w:rsidRPr="00CE650F">
        <w:rPr>
          <w:rFonts w:ascii="Verdana" w:eastAsia="Aptos" w:hAnsi="Verdana" w:cs="Arial"/>
          <w:b/>
          <w:bCs/>
          <w:sz w:val="20"/>
          <w:szCs w:val="20"/>
        </w:rPr>
        <w:t>la restricción aplica para celebrar cualquier contrato de forma directa, sin que exista un proceso abierto y competitivo</w:t>
      </w:r>
      <w:r w:rsidRPr="00CE650F">
        <w:rPr>
          <w:rFonts w:ascii="Verdana" w:eastAsia="Aptos" w:hAnsi="Verdana" w:cs="Arial"/>
          <w:sz w:val="20"/>
          <w:szCs w:val="20"/>
        </w:rPr>
        <w:t xml:space="preserve">. En consecuencia, </w:t>
      </w:r>
      <w:r w:rsidRPr="00CE650F">
        <w:rPr>
          <w:rFonts w:ascii="Verdana" w:eastAsia="Aptos" w:hAnsi="Verdana" w:cs="Arial"/>
          <w:sz w:val="20"/>
          <w:szCs w:val="20"/>
          <w:u w:val="single"/>
        </w:rPr>
        <w:t>no</w:t>
      </w:r>
      <w:r w:rsidRPr="00CE650F">
        <w:rPr>
          <w:rFonts w:ascii="Verdana" w:eastAsia="Aptos" w:hAnsi="Verdana" w:cs="Arial"/>
          <w:sz w:val="20"/>
          <w:szCs w:val="20"/>
        </w:rPr>
        <w:t xml:space="preserve"> se prohíbe la contratación que adelanten las entidades sometidas al Estatuto General de Contratación de la Administración Pública mediante las demás modalidades de selección previstas en la Ley 1150 de 2007, es decir, mediante la licitación pública, el concurso de méritos, la selección abreviada o la contratación de mínima cuantía, razón por la cual pueden seguir contratando bajo estas modalidades en el período preelectoral establecido en el artículo 33”. [Énfasis propio] [Negrillas fuera de texto]</w:t>
      </w:r>
    </w:p>
    <w:p w14:paraId="2C3A4BC8" w14:textId="77777777" w:rsidR="00D00418" w:rsidRPr="00CE650F" w:rsidRDefault="00D00418" w:rsidP="00D00418">
      <w:pPr>
        <w:spacing w:after="0" w:line="240" w:lineRule="auto"/>
        <w:ind w:right="709"/>
        <w:jc w:val="both"/>
        <w:rPr>
          <w:rFonts w:ascii="Verdana" w:eastAsia="Aptos" w:hAnsi="Verdana" w:cs="Arial"/>
        </w:rPr>
      </w:pPr>
    </w:p>
    <w:p w14:paraId="5379FBFE" w14:textId="77777777" w:rsidR="00D00418" w:rsidRPr="00CE650F" w:rsidRDefault="00D00418" w:rsidP="00D00418">
      <w:pPr>
        <w:spacing w:after="0" w:line="240" w:lineRule="auto"/>
        <w:jc w:val="both"/>
        <w:rPr>
          <w:rFonts w:ascii="Verdana" w:eastAsia="Aptos" w:hAnsi="Verdana" w:cs="Arial"/>
        </w:rPr>
      </w:pPr>
      <w:r w:rsidRPr="00CE650F">
        <w:rPr>
          <w:rFonts w:ascii="Verdana" w:eastAsia="Aptos" w:hAnsi="Verdana" w:cs="Arial"/>
        </w:rPr>
        <w:t>A su vez, en dicha circular esta Agencia aclaró que:</w:t>
      </w:r>
    </w:p>
    <w:p w14:paraId="09C5176E" w14:textId="77777777" w:rsidR="00D00418" w:rsidRPr="00CE650F" w:rsidRDefault="00D00418" w:rsidP="00D00418">
      <w:pPr>
        <w:spacing w:after="0" w:line="240" w:lineRule="auto"/>
        <w:ind w:right="709"/>
        <w:jc w:val="both"/>
        <w:rPr>
          <w:rFonts w:ascii="Verdana" w:eastAsia="Aptos" w:hAnsi="Verdana" w:cs="Arial"/>
        </w:rPr>
      </w:pPr>
    </w:p>
    <w:p w14:paraId="69209227" w14:textId="77777777" w:rsidR="00D00418" w:rsidRPr="00CE650F" w:rsidRDefault="00D00418" w:rsidP="00D00418">
      <w:pPr>
        <w:spacing w:before="120" w:after="0" w:line="240" w:lineRule="auto"/>
        <w:ind w:left="709" w:right="709"/>
        <w:jc w:val="both"/>
        <w:rPr>
          <w:rFonts w:ascii="Verdana" w:eastAsia="Aptos" w:hAnsi="Verdana" w:cs="Arial"/>
          <w:sz w:val="20"/>
          <w:szCs w:val="20"/>
        </w:rPr>
      </w:pPr>
      <w:r w:rsidRPr="00CE650F">
        <w:rPr>
          <w:rFonts w:ascii="Verdana" w:eastAsia="Aptos" w:hAnsi="Verdana" w:cs="Arial"/>
          <w:sz w:val="20"/>
          <w:szCs w:val="20"/>
        </w:rPr>
        <w:t>“[…], la prohibición excluye el procedimiento establecido en la Ley 1508 de 2012, reglamentada en el Título 2 del Decreto 1082 de 2015. En este supuesto, la entidad podrá contratar directamente con el originador de un proyecto de iniciativa privada, cuando ningún otro interesado manifieste interés en participar en su ejecución durante el periodo de publicación de los documentos, [...] según lo dispuesto en el artículo 19 de la Ley 1508 de 2012. Esta contratación no estará sujeta a la prohibición del artículo 33 de la Ley de Garantías Electorales.</w:t>
      </w:r>
    </w:p>
    <w:p w14:paraId="2193CF0A" w14:textId="77777777" w:rsidR="00D00418" w:rsidRPr="00CE650F" w:rsidRDefault="00D00418" w:rsidP="00D00418">
      <w:pPr>
        <w:spacing w:before="120" w:after="0" w:line="240" w:lineRule="auto"/>
        <w:ind w:left="709" w:right="709"/>
        <w:jc w:val="both"/>
        <w:rPr>
          <w:rFonts w:ascii="Verdana" w:eastAsia="Aptos" w:hAnsi="Verdana" w:cs="Arial"/>
          <w:sz w:val="20"/>
          <w:szCs w:val="20"/>
        </w:rPr>
      </w:pPr>
      <w:r w:rsidRPr="00CE650F">
        <w:rPr>
          <w:rFonts w:ascii="Verdana" w:eastAsia="Aptos" w:hAnsi="Verdana" w:cs="Arial"/>
          <w:sz w:val="20"/>
          <w:szCs w:val="20"/>
        </w:rPr>
        <w:t xml:space="preserve">Lo anterior supone que, </w:t>
      </w:r>
      <w:r w:rsidRPr="00CE650F">
        <w:rPr>
          <w:rFonts w:ascii="Verdana" w:eastAsia="Aptos" w:hAnsi="Verdana" w:cs="Arial"/>
          <w:b/>
          <w:bCs/>
          <w:sz w:val="20"/>
          <w:szCs w:val="20"/>
        </w:rPr>
        <w:t>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w:t>
      </w:r>
      <w:r w:rsidRPr="00CE650F">
        <w:rPr>
          <w:rFonts w:ascii="Verdana" w:eastAsia="Aptos" w:hAnsi="Verdana" w:cs="Arial"/>
          <w:sz w:val="20"/>
          <w:szCs w:val="20"/>
        </w:rPr>
        <w:t>.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p>
    <w:p w14:paraId="3E7A898D" w14:textId="77777777" w:rsidR="00D00418" w:rsidRPr="00CE650F" w:rsidRDefault="00D00418" w:rsidP="00D00418">
      <w:pPr>
        <w:spacing w:after="0" w:line="276" w:lineRule="auto"/>
        <w:jc w:val="both"/>
        <w:rPr>
          <w:rFonts w:ascii="Verdana" w:eastAsia="Calibri" w:hAnsi="Verdana" w:cs="Arial"/>
          <w:lang w:val="es-ES"/>
        </w:rPr>
      </w:pPr>
    </w:p>
    <w:p w14:paraId="7DFBB4AB" w14:textId="77777777" w:rsidR="00D00418" w:rsidRPr="00CE650F" w:rsidRDefault="00D00418" w:rsidP="00D00418">
      <w:pPr>
        <w:spacing w:after="0" w:line="276" w:lineRule="auto"/>
        <w:jc w:val="both"/>
        <w:rPr>
          <w:rFonts w:ascii="Verdana" w:eastAsia="Calibri" w:hAnsi="Verdana" w:cs="Arial"/>
          <w:color w:val="000000"/>
          <w:lang w:val="es-ES_tradnl"/>
        </w:rPr>
      </w:pPr>
      <w:r w:rsidRPr="00CE650F">
        <w:rPr>
          <w:rFonts w:ascii="Verdana" w:eastAsia="Calibri" w:hAnsi="Verdana" w:cs="Arial"/>
          <w:lang w:val="es-ES"/>
        </w:rPr>
        <w:lastRenderedPageBreak/>
        <w:t xml:space="preserve">Las precisiones previamente citadas, se efectúan con el fin de brindar lineamientos que faciliten la interpretación y aplicación de las restricciones contenidas en el artículo 33 de Ley 996 de 2005. Sin embargo, dichas precisiones no pueden entenderse como una habilitación para que las entidades con regímenes especiales desconozcan las reglas dispuestas previamente en sus respectivos manuales de contratación, </w:t>
      </w:r>
      <w:r w:rsidRPr="00CE650F">
        <w:rPr>
          <w:rFonts w:ascii="Verdana" w:eastAsia="Calibri" w:hAnsi="Verdana" w:cs="Arial"/>
          <w:color w:val="000000"/>
          <w:lang w:val="es-ES_tradnl"/>
        </w:rPr>
        <w:t>pues estas se obligan a cumplir su contenido. Además, teniendo en cuenta que dichos manuales corresponden a un acto administrativo y concretamente a un reglamento, le aplican los atributos propios de estos tipos de actos, entre otras cosas, la presunción de legalidad y la regla de inderogabilidad singular del reglamento</w:t>
      </w:r>
      <w:r w:rsidRPr="00CE650F">
        <w:rPr>
          <w:rFonts w:ascii="Verdana" w:eastAsia="Calibri" w:hAnsi="Verdana" w:cs="Arial"/>
          <w:color w:val="000000"/>
          <w:vertAlign w:val="superscript"/>
          <w:lang w:val="es-ES_tradnl"/>
        </w:rPr>
        <w:footnoteReference w:id="13"/>
      </w:r>
      <w:r w:rsidRPr="00CE650F">
        <w:rPr>
          <w:rFonts w:ascii="Verdana" w:eastAsia="Calibri" w:hAnsi="Verdana" w:cs="Arial"/>
          <w:color w:val="000000"/>
          <w:lang w:val="es-ES_tradnl"/>
        </w:rPr>
        <w:t>. En tal sentido, su contenido vincula a la propia entidad que lo expidió y no puede desconocerlo a su capricho en casos específicos. Ello sin perjuicio de la posibilidad de expedir un nuevo manual o de modificar el existente.</w:t>
      </w:r>
    </w:p>
    <w:p w14:paraId="3C4F0B24" w14:textId="77777777" w:rsidR="00D00418" w:rsidRPr="00CE650F" w:rsidRDefault="00D00418" w:rsidP="00D00418">
      <w:pPr>
        <w:spacing w:before="120" w:after="120" w:line="276" w:lineRule="auto"/>
        <w:ind w:firstLine="709"/>
        <w:jc w:val="both"/>
        <w:rPr>
          <w:rFonts w:ascii="Verdana" w:eastAsia="Calibri" w:hAnsi="Verdana" w:cs="Arial"/>
          <w:color w:val="000000"/>
          <w:lang w:val="es-ES_tradnl"/>
        </w:rPr>
      </w:pPr>
      <w:r w:rsidRPr="00CE650F">
        <w:rPr>
          <w:rFonts w:ascii="Verdana" w:eastAsia="Calibri" w:hAnsi="Verdana" w:cs="Arial"/>
          <w:color w:val="000000"/>
          <w:lang w:val="es-ES_tradnl"/>
        </w:rPr>
        <w:t>Así pues, durante la vigencia de las restricciones contractuales dispuestas en la Ley de Garantías Electorales –Ley 996 de 2005–, las entidades con regímenes especiales de contratación –donde se encuentran inmersas las universidades públicas– podrán adelantar sus gestiones contractuales, dentro de los marcos legales dispuestos en sus respectivos manuales de contratación, pues no resulta ajustado a derecho, que con el fin de no verse “</w:t>
      </w:r>
      <w:r w:rsidRPr="00CE650F">
        <w:rPr>
          <w:rFonts w:ascii="Verdana" w:eastAsia="Calibri" w:hAnsi="Verdana" w:cs="Arial"/>
          <w:i/>
          <w:iCs/>
          <w:color w:val="000000"/>
          <w:lang w:val="es-ES_tradnl"/>
        </w:rPr>
        <w:t>afectadas</w:t>
      </w:r>
      <w:r w:rsidRPr="00CE650F">
        <w:rPr>
          <w:rFonts w:ascii="Verdana" w:eastAsia="Calibri" w:hAnsi="Verdana" w:cs="Arial"/>
          <w:color w:val="000000"/>
          <w:lang w:val="es-ES_tradnl"/>
        </w:rPr>
        <w:t>” por las referidas restricciones, adquieran sus bienes o servicios desconociendo las formas y procesos preestablecidos.</w:t>
      </w:r>
    </w:p>
    <w:p w14:paraId="3F6B4A35" w14:textId="77777777" w:rsidR="00D00418" w:rsidRPr="00CE650F" w:rsidRDefault="00D00418" w:rsidP="00D00418">
      <w:pPr>
        <w:spacing w:before="120" w:after="0" w:line="276" w:lineRule="auto"/>
        <w:ind w:firstLine="708"/>
        <w:jc w:val="both"/>
        <w:rPr>
          <w:rFonts w:ascii="Verdana" w:eastAsia="Calibri" w:hAnsi="Verdana" w:cs="Arial"/>
        </w:rPr>
      </w:pPr>
      <w:r w:rsidRPr="00CE650F">
        <w:rPr>
          <w:rFonts w:ascii="Verdana" w:eastAsia="Calibri" w:hAnsi="Verdana" w:cs="Arial"/>
        </w:rPr>
        <w:lastRenderedPageBreak/>
        <w:t xml:space="preserve">Finalmente debe advertirse que el análisis requerido para resolver problemas específicos a la gestión contractual de las universidades públicas en vigencia de la Ley de Garantías </w:t>
      </w:r>
      <w:proofErr w:type="gramStart"/>
      <w:r w:rsidRPr="00CE650F">
        <w:rPr>
          <w:rFonts w:ascii="Verdana" w:eastAsia="Calibri" w:hAnsi="Verdana" w:cs="Arial"/>
        </w:rPr>
        <w:t>Electorales,</w:t>
      </w:r>
      <w:proofErr w:type="gramEnd"/>
      <w:r w:rsidRPr="00CE650F">
        <w:rPr>
          <w:rFonts w:ascii="Verdana" w:eastAsia="Calibri" w:hAnsi="Verdana" w:cs="Arial"/>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3C2F7F74" w14:textId="72F4DD6E" w:rsidR="00D00418" w:rsidRPr="00CE650F" w:rsidRDefault="00D00418" w:rsidP="004E3808">
      <w:pPr>
        <w:spacing w:before="120" w:after="0" w:line="276" w:lineRule="auto"/>
        <w:ind w:firstLine="708"/>
        <w:jc w:val="both"/>
        <w:rPr>
          <w:rFonts w:ascii="Verdana" w:eastAsia="Calibri" w:hAnsi="Verdana" w:cs="Arial"/>
        </w:rPr>
      </w:pPr>
      <w:r w:rsidRPr="00CE650F">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05396A73" w14:textId="77777777" w:rsidR="00D00418" w:rsidRPr="00CE650F" w:rsidRDefault="00D00418" w:rsidP="00D00418">
      <w:pPr>
        <w:widowControl w:val="0"/>
        <w:autoSpaceDE w:val="0"/>
        <w:autoSpaceDN w:val="0"/>
        <w:spacing w:before="1" w:after="0" w:line="240" w:lineRule="auto"/>
        <w:outlineLvl w:val="0"/>
        <w:rPr>
          <w:rFonts w:ascii="Verdana" w:eastAsia="Arial" w:hAnsi="Verdana" w:cs="Arial"/>
          <w:b/>
          <w:bCs/>
          <w:lang w:val="es-ES"/>
        </w:rPr>
      </w:pPr>
      <w:r w:rsidRPr="00CE650F">
        <w:rPr>
          <w:rFonts w:ascii="Verdana" w:eastAsia="Arial" w:hAnsi="Verdana" w:cs="Arial"/>
          <w:b/>
          <w:bCs/>
          <w:lang w:val="es-ES"/>
        </w:rPr>
        <w:t>4.Referencias normativas, jurisprudenciales y otras fuentes:</w:t>
      </w:r>
    </w:p>
    <w:p w14:paraId="06B56113" w14:textId="77777777" w:rsidR="00D00418" w:rsidRPr="00CE650F" w:rsidRDefault="00D00418" w:rsidP="00D00418">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00418" w:rsidRPr="00CE650F" w14:paraId="7EF81663" w14:textId="77777777" w:rsidTr="00A40198">
        <w:trPr>
          <w:trHeight w:val="870"/>
        </w:trPr>
        <w:tc>
          <w:tcPr>
            <w:tcW w:w="8647" w:type="dxa"/>
          </w:tcPr>
          <w:p w14:paraId="7759B837" w14:textId="77777777" w:rsidR="00D00418" w:rsidRPr="00CE650F" w:rsidRDefault="00D00418" w:rsidP="00A4019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Constitución Política: Artículo 69</w:t>
            </w:r>
          </w:p>
          <w:p w14:paraId="47FD1D87" w14:textId="77777777" w:rsidR="00D00418" w:rsidRPr="00CE650F" w:rsidRDefault="00D00418" w:rsidP="00A4019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Ley 30 de 1992. Artículo 57 y 93.</w:t>
            </w:r>
          </w:p>
          <w:p w14:paraId="54628E25" w14:textId="77777777" w:rsidR="00D00418" w:rsidRPr="00CE650F" w:rsidRDefault="00D00418" w:rsidP="00A4019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Ley 489 de 1998. Artículo 39 y 40.</w:t>
            </w:r>
          </w:p>
          <w:p w14:paraId="63F413EE" w14:textId="77777777" w:rsidR="00D00418" w:rsidRPr="00CE650F" w:rsidRDefault="00D00418" w:rsidP="00A4019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Ley 996 de 2005. Artículo 33 y 38.</w:t>
            </w:r>
          </w:p>
          <w:p w14:paraId="25AD8048" w14:textId="77777777" w:rsidR="00D00418" w:rsidRPr="00CE650F" w:rsidRDefault="00D00418" w:rsidP="00A4019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Colombia Compra Eficiente. Guía para la Gestión Contractual de Entidades Estatales con Régimen Especial.</w:t>
            </w:r>
          </w:p>
          <w:p w14:paraId="0C1F1670" w14:textId="77777777" w:rsidR="00D00418" w:rsidRPr="00CE650F" w:rsidRDefault="00D00418" w:rsidP="00A4019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Corte Constitucional. Sentencia C-1019 del 28 de noviembre de 2012.  M.P. Mauricio González.</w:t>
            </w:r>
          </w:p>
          <w:p w14:paraId="1FAC76B8" w14:textId="77777777" w:rsidR="00D00418" w:rsidRPr="00CE650F" w:rsidRDefault="00D00418" w:rsidP="00A4019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Corte Constitucional. Sentencia C-121 de 2003. M.P. Clara Inés Vargas Hernández.</w:t>
            </w:r>
          </w:p>
          <w:p w14:paraId="365334E1" w14:textId="77777777" w:rsidR="00D00418" w:rsidRPr="00CE650F" w:rsidRDefault="00D00418" w:rsidP="00A4019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 xml:space="preserve">Corte Constitucional. Sentencia C-727 del 21 de junio de 2000. </w:t>
            </w:r>
          </w:p>
          <w:p w14:paraId="312072E2" w14:textId="77777777" w:rsidR="00D00418" w:rsidRPr="00CE650F" w:rsidRDefault="00D00418" w:rsidP="00A4019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 xml:space="preserve">CONSEJO DE ESTADO. Sección Cuarta. Sentencia del 16 de diciembre de 2008. </w:t>
            </w:r>
            <w:proofErr w:type="spellStart"/>
            <w:r w:rsidRPr="00CE650F">
              <w:rPr>
                <w:rFonts w:ascii="Verdana" w:eastAsia="Calibri" w:hAnsi="Verdana" w:cs="Arial"/>
                <w:lang w:val="es-ES"/>
              </w:rPr>
              <w:t>Exp</w:t>
            </w:r>
            <w:proofErr w:type="spellEnd"/>
            <w:r w:rsidRPr="00CE650F">
              <w:rPr>
                <w:rFonts w:ascii="Verdana" w:eastAsia="Calibri" w:hAnsi="Verdana" w:cs="Arial"/>
                <w:lang w:val="es-ES"/>
              </w:rPr>
              <w:t>. 16.297. C.P. Martha Teresa Briceño de Valencia.</w:t>
            </w:r>
          </w:p>
          <w:p w14:paraId="44E40518" w14:textId="77777777" w:rsidR="00D00418" w:rsidRPr="00CE650F" w:rsidRDefault="00D00418" w:rsidP="00A4019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Consejo de Estado. Sala de consulta y Servicio Civil. Sentencia del 28 de junio de 2012 con Radicado No. 11001-03-06-000-2012-00016-00(2092), M.P. William Zambrano Cetina.</w:t>
            </w:r>
          </w:p>
          <w:p w14:paraId="7AA43E03" w14:textId="77777777" w:rsidR="00D00418" w:rsidRPr="00CE650F" w:rsidRDefault="00D00418" w:rsidP="00A4019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lastRenderedPageBreak/>
              <w:t xml:space="preserve">Consejo de Estado. Sección Tercera. Subsección C. Sentencia del 8 de abril de 2014. </w:t>
            </w:r>
            <w:proofErr w:type="spellStart"/>
            <w:r w:rsidRPr="00CE650F">
              <w:rPr>
                <w:rFonts w:ascii="Verdana" w:eastAsia="Calibri" w:hAnsi="Verdana" w:cs="Arial"/>
                <w:lang w:val="es-ES"/>
              </w:rPr>
              <w:t>Exp</w:t>
            </w:r>
            <w:proofErr w:type="spellEnd"/>
            <w:r w:rsidRPr="00CE650F">
              <w:rPr>
                <w:rFonts w:ascii="Verdana" w:eastAsia="Calibri" w:hAnsi="Verdana" w:cs="Arial"/>
                <w:lang w:val="es-ES"/>
              </w:rPr>
              <w:t>. 25.801 C.P. Enrique Gil Botero.</w:t>
            </w:r>
          </w:p>
          <w:p w14:paraId="39048F3E" w14:textId="52727DDF" w:rsidR="00D00418" w:rsidRPr="004E3808" w:rsidRDefault="00D00418" w:rsidP="004E380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CE650F">
              <w:rPr>
                <w:rFonts w:ascii="Verdana" w:eastAsia="Calibri" w:hAnsi="Verdana" w:cs="Arial"/>
                <w:lang w:val="es-ES"/>
              </w:rPr>
              <w:t>MARÍN CORTÉS, Fabián G. El reglamento como fuente del derecho administrativo. En: Las fuentes del derecho administrativo. Texto inédito. 2010. pp. 200-201.</w:t>
            </w:r>
          </w:p>
        </w:tc>
      </w:tr>
    </w:tbl>
    <w:p w14:paraId="0E7FBE24" w14:textId="77777777" w:rsidR="00D00418" w:rsidRPr="00CE650F" w:rsidRDefault="00D00418" w:rsidP="00D00418">
      <w:pPr>
        <w:widowControl w:val="0"/>
        <w:autoSpaceDE w:val="0"/>
        <w:autoSpaceDN w:val="0"/>
        <w:spacing w:after="0" w:line="276" w:lineRule="auto"/>
        <w:jc w:val="both"/>
        <w:rPr>
          <w:rFonts w:ascii="Verdana" w:eastAsia="Aptos" w:hAnsi="Verdana" w:cs="Arial"/>
        </w:rPr>
      </w:pPr>
    </w:p>
    <w:p w14:paraId="55AE2D63" w14:textId="77777777" w:rsidR="00D00418" w:rsidRPr="00CE650F" w:rsidRDefault="00D00418" w:rsidP="00D00418">
      <w:pPr>
        <w:widowControl w:val="0"/>
        <w:autoSpaceDE w:val="0"/>
        <w:autoSpaceDN w:val="0"/>
        <w:spacing w:before="1" w:after="0" w:line="240" w:lineRule="auto"/>
        <w:outlineLvl w:val="0"/>
        <w:rPr>
          <w:rFonts w:ascii="Verdana" w:eastAsia="Arial" w:hAnsi="Verdana" w:cs="Arial"/>
          <w:b/>
          <w:bCs/>
          <w:lang w:val="es-ES"/>
        </w:rPr>
      </w:pPr>
      <w:r w:rsidRPr="00CE650F">
        <w:rPr>
          <w:rFonts w:ascii="Verdana" w:eastAsia="Arial" w:hAnsi="Verdana" w:cs="Arial"/>
          <w:b/>
          <w:bCs/>
          <w:lang w:val="es-ES"/>
        </w:rPr>
        <w:t>5. Doctrina de la Agencia Nacional de Contratación Pública:</w:t>
      </w:r>
    </w:p>
    <w:p w14:paraId="048146B9" w14:textId="77777777" w:rsidR="00D00418" w:rsidRPr="00CE650F" w:rsidRDefault="00D00418" w:rsidP="00D00418">
      <w:pPr>
        <w:widowControl w:val="0"/>
        <w:autoSpaceDE w:val="0"/>
        <w:autoSpaceDN w:val="0"/>
        <w:spacing w:after="0" w:line="276" w:lineRule="auto"/>
        <w:jc w:val="both"/>
        <w:rPr>
          <w:rFonts w:ascii="Verdana" w:eastAsia="Calibri" w:hAnsi="Verdana" w:cs="Arial"/>
          <w:bCs/>
          <w:shd w:val="clear" w:color="auto" w:fill="FFFFFF"/>
        </w:rPr>
      </w:pPr>
      <w:r w:rsidRPr="00CE650F">
        <w:rPr>
          <w:rFonts w:ascii="Verdana" w:eastAsia="Calibri" w:hAnsi="Verdana" w:cs="Arial"/>
          <w:bCs/>
          <w:shd w:val="clear" w:color="auto" w:fill="FFFFFF"/>
        </w:rPr>
        <w:t xml:space="preserve">La Agencia Nacional de Contratación Pública – Colombia Compra Eficiente estudió el régimen de las universidades públicas, entre otros, en los conceptos C-481 de 9 de septiembre de 2021, C-204 del 12 de abril de 2022, C-675 de 6 de enero de 2022, C-759 de 22 de febrero de 2022, C-815 del 26 de noviembre de 2022, C-492 del 01 de octubre de 2024 Y C-1864 del 23 de diciembre de 2025. </w:t>
      </w:r>
      <w:r w:rsidRPr="00CE650F">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CE650F">
          <w:rPr>
            <w:rFonts w:ascii="Verdana" w:eastAsia="Aptos" w:hAnsi="Verdana" w:cs="Arial"/>
            <w:color w:val="0000FF"/>
            <w:u w:val="single"/>
            <w:shd w:val="clear" w:color="auto" w:fill="FFFFFF"/>
            <w:lang w:val="es-ES"/>
          </w:rPr>
          <w:t>https://relatoria.colombiacompra.gov.co/</w:t>
        </w:r>
      </w:hyperlink>
      <w:r w:rsidRPr="00CE650F">
        <w:rPr>
          <w:rFonts w:ascii="Verdana" w:eastAsia="Aptos" w:hAnsi="Verdana" w:cs="Arial"/>
          <w:shd w:val="clear" w:color="auto" w:fill="FFFFFF"/>
          <w:lang w:val="es-ES"/>
        </w:rPr>
        <w:t xml:space="preserve">. </w:t>
      </w:r>
    </w:p>
    <w:p w14:paraId="6E82CC85" w14:textId="77777777" w:rsidR="00D00418" w:rsidRPr="00CE650F" w:rsidRDefault="00D00418" w:rsidP="00D00418">
      <w:pPr>
        <w:spacing w:before="120" w:after="120"/>
        <w:ind w:firstLine="709"/>
        <w:jc w:val="both"/>
        <w:rPr>
          <w:rFonts w:ascii="Verdana" w:eastAsia="Aptos" w:hAnsi="Verdana" w:cs="Times New Roman"/>
        </w:rPr>
      </w:pPr>
      <w:r w:rsidRPr="00CE650F">
        <w:rPr>
          <w:rFonts w:ascii="Verdana" w:eastAsia="Aptos" w:hAnsi="Verdana" w:cs="Times New Roman"/>
        </w:rPr>
        <w:t xml:space="preserve">La sostenibilidad no es una opción, es una obligación. Por ello, la Agencia Nacional de Contratación Pública –Colombia Compra Eficiente– te invita a realizar el </w:t>
      </w:r>
      <w:r w:rsidRPr="00CE650F">
        <w:rPr>
          <w:rFonts w:ascii="Verdana" w:eastAsia="Aptos" w:hAnsi="Verdana" w:cs="Times New Roman"/>
          <w:b/>
          <w:bCs/>
        </w:rPr>
        <w:t>Curso de Contratación Pública Sostenible y Socialmente Responsable</w:t>
      </w:r>
      <w:r w:rsidRPr="00CE650F">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E650F">
        <w:rPr>
          <w:rFonts w:ascii="Verdana" w:eastAsia="Aptos" w:hAnsi="Verdana" w:cs="Times New Roman"/>
        </w:rPr>
        <w:br/>
      </w:r>
      <w:hyperlink r:id="rId14" w:tgtFrame="_new" w:history="1">
        <w:r w:rsidRPr="00CE650F">
          <w:rPr>
            <w:rFonts w:ascii="Verdana" w:eastAsia="Aptos" w:hAnsi="Verdana" w:cs="Times New Roman"/>
            <w:color w:val="0000FF"/>
            <w:u w:val="single"/>
          </w:rPr>
          <w:t>https://formacionvirtual.colombiacompra.gov.co/mod/page/view.php?id=3718</w:t>
        </w:r>
      </w:hyperlink>
    </w:p>
    <w:p w14:paraId="2AECF5B1" w14:textId="77777777" w:rsidR="00D00418" w:rsidRPr="00CE650F" w:rsidRDefault="00D00418" w:rsidP="00D00418">
      <w:pPr>
        <w:ind w:firstLine="708"/>
        <w:jc w:val="both"/>
        <w:rPr>
          <w:rFonts w:ascii="Verdana" w:eastAsia="Aptos" w:hAnsi="Verdana" w:cs="Times New Roman"/>
        </w:rPr>
      </w:pPr>
      <w:r w:rsidRPr="00CE650F">
        <w:rPr>
          <w:rFonts w:ascii="Verdana" w:eastAsia="Aptos" w:hAnsi="Verdana" w:cs="Times New Roman"/>
        </w:rPr>
        <w:t xml:space="preserve">De otro lado, te contamos que esta Agencia ha da un paso decisivo en la estandarización y modernización del </w:t>
      </w:r>
      <w:r w:rsidRPr="00CE650F">
        <w:rPr>
          <w:rFonts w:ascii="Verdana" w:eastAsia="Aptos" w:hAnsi="Verdana" w:cs="Times New Roman"/>
          <w:b/>
          <w:bCs/>
        </w:rPr>
        <w:t>sector  social</w:t>
      </w:r>
      <w:r w:rsidRPr="00CE650F">
        <w:rPr>
          <w:rFonts w:ascii="Verdana" w:eastAsia="Aptos" w:hAnsi="Verdana" w:cs="Times New Roman"/>
        </w:rPr>
        <w:t xml:space="preserve"> con la expedición de las </w:t>
      </w:r>
      <w:r w:rsidRPr="00CE650F">
        <w:rPr>
          <w:rFonts w:ascii="Verdana" w:eastAsia="Aptos" w:hAnsi="Verdana" w:cs="Times New Roman"/>
          <w:b/>
          <w:bCs/>
        </w:rPr>
        <w:t>Resoluciones 539, 540, 541, 952 y 953 de 2025</w:t>
      </w:r>
      <w:r w:rsidRPr="00CE650F">
        <w:rPr>
          <w:rFonts w:ascii="Verdana" w:eastAsia="Aptos" w:hAnsi="Verdana" w:cs="Times New Roman"/>
        </w:rPr>
        <w:t xml:space="preserve">, </w:t>
      </w:r>
      <w:r w:rsidRPr="00CE650F">
        <w:rPr>
          <w:rFonts w:ascii="Verdana" w:eastAsia="Aptos" w:hAnsi="Verdana" w:cs="Times New Roman"/>
          <w:b/>
          <w:bCs/>
        </w:rPr>
        <w:t>mediante las cuales adoptó Documentos Tipo</w:t>
      </w:r>
      <w:r w:rsidRPr="00CE650F">
        <w:rPr>
          <w:rFonts w:ascii="Verdana" w:eastAsia="Aptos" w:hAnsi="Verdana" w:cs="Times New Roman"/>
        </w:rPr>
        <w:t xml:space="preserve"> para las modalidades de selección de</w:t>
      </w:r>
      <w:r w:rsidRPr="00CE650F">
        <w:rPr>
          <w:rFonts w:ascii="Verdana" w:eastAsia="Aptos" w:hAnsi="Verdana" w:cs="Times New Roman"/>
          <w:b/>
          <w:bCs/>
        </w:rPr>
        <w:t xml:space="preserve"> licitación pública (versión 2), selección abreviada de menor cuantía, mínima cuantía, consultoría e interventoría</w:t>
      </w:r>
      <w:r w:rsidRPr="00CE650F">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CE650F">
          <w:rPr>
            <w:rFonts w:ascii="Verdana" w:eastAsia="Aptos" w:hAnsi="Verdana" w:cs="Times New Roman"/>
            <w:color w:val="0000FF"/>
            <w:u w:val="single"/>
          </w:rPr>
          <w:t>https://www.colombiacompra.gov.co/normativa-y-relatoria/documentos-tipo</w:t>
        </w:r>
      </w:hyperlink>
    </w:p>
    <w:p w14:paraId="5F9A4604" w14:textId="77777777" w:rsidR="00D00418" w:rsidRPr="00CE650F" w:rsidRDefault="00D00418" w:rsidP="00D00418">
      <w:pPr>
        <w:spacing w:after="0"/>
        <w:ind w:firstLine="708"/>
        <w:jc w:val="both"/>
        <w:rPr>
          <w:rFonts w:ascii="Verdana" w:eastAsia="Aptos" w:hAnsi="Verdana" w:cs="Times New Roman"/>
        </w:rPr>
      </w:pPr>
      <w:r w:rsidRPr="00CE650F">
        <w:rPr>
          <w:rFonts w:ascii="Verdana" w:eastAsia="Aptos" w:hAnsi="Verdana" w:cs="Times New Roman"/>
        </w:rPr>
        <w:lastRenderedPageBreak/>
        <w:t xml:space="preserve">Si quieres conocer más sobre la aplicación de Documentos Tipo puedes consultar la última versión de la </w:t>
      </w:r>
      <w:r w:rsidRPr="00CE650F">
        <w:rPr>
          <w:rFonts w:ascii="Verdana" w:eastAsia="Aptos" w:hAnsi="Verdana" w:cs="Times New Roman"/>
          <w:b/>
          <w:bCs/>
        </w:rPr>
        <w:t>Guía para la comprensión e implementación de los Documentos Tipo de obra pública de infraestructura de transporte</w:t>
      </w:r>
      <w:r w:rsidRPr="00CE650F">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E650F">
        <w:rPr>
          <w:rFonts w:ascii="Verdana" w:eastAsia="Aptos" w:hAnsi="Verdana" w:cs="Times New Roman"/>
        </w:rPr>
        <w:br/>
      </w:r>
      <w:hyperlink r:id="rId16" w:tgtFrame="_new" w:history="1">
        <w:r w:rsidRPr="00CE650F">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3C7CE291" w14:textId="77777777" w:rsidR="00D00418" w:rsidRPr="00CE650F" w:rsidRDefault="00D00418" w:rsidP="00D00418">
      <w:pPr>
        <w:widowControl w:val="0"/>
        <w:autoSpaceDE w:val="0"/>
        <w:autoSpaceDN w:val="0"/>
        <w:spacing w:after="0" w:line="276" w:lineRule="auto"/>
        <w:jc w:val="both"/>
        <w:rPr>
          <w:rFonts w:ascii="Verdana" w:eastAsia="Aptos" w:hAnsi="Verdana" w:cs="Arial"/>
          <w:shd w:val="clear" w:color="auto" w:fill="FFFFFF"/>
          <w:lang w:val="es-ES"/>
        </w:rPr>
      </w:pPr>
    </w:p>
    <w:p w14:paraId="1E0CA9B9" w14:textId="77777777" w:rsidR="00D00418" w:rsidRPr="00CE650F" w:rsidRDefault="00D00418" w:rsidP="00D00418">
      <w:pPr>
        <w:spacing w:after="0" w:line="240" w:lineRule="auto"/>
        <w:jc w:val="both"/>
        <w:rPr>
          <w:rFonts w:ascii="Verdana" w:eastAsia="Aptos" w:hAnsi="Verdana" w:cs="Times New Roman"/>
        </w:rPr>
      </w:pPr>
      <w:r w:rsidRPr="00CE650F">
        <w:rPr>
          <w:rFonts w:ascii="Verdana" w:eastAsia="Aptos" w:hAnsi="Verdana" w:cs="Times New Roman"/>
        </w:rPr>
        <w:t xml:space="preserve">Por último, lo invitamos a seguirnos en las redes sociales en las cuales se difunde información institucional: </w:t>
      </w:r>
    </w:p>
    <w:p w14:paraId="66D7D7E6" w14:textId="77777777" w:rsidR="00D00418" w:rsidRPr="00CE650F" w:rsidRDefault="00D00418" w:rsidP="00D00418">
      <w:pPr>
        <w:spacing w:after="0" w:line="240" w:lineRule="auto"/>
        <w:jc w:val="both"/>
        <w:rPr>
          <w:rFonts w:ascii="Verdana" w:eastAsia="Aptos" w:hAnsi="Verdana" w:cs="Times New Roman"/>
        </w:rPr>
      </w:pPr>
    </w:p>
    <w:p w14:paraId="01828D84" w14:textId="77777777" w:rsidR="00D00418" w:rsidRPr="00CE650F" w:rsidRDefault="00D00418" w:rsidP="00D00418">
      <w:pPr>
        <w:spacing w:after="0" w:line="240" w:lineRule="auto"/>
        <w:jc w:val="both"/>
        <w:rPr>
          <w:rFonts w:ascii="Verdana" w:eastAsia="Aptos" w:hAnsi="Verdana" w:cs="Times New Roman"/>
        </w:rPr>
      </w:pPr>
      <w:r w:rsidRPr="00CE650F">
        <w:rPr>
          <w:rFonts w:ascii="Verdana" w:eastAsia="Aptos" w:hAnsi="Verdana" w:cs="Times New Roman"/>
        </w:rPr>
        <w:t xml:space="preserve">Twitter: </w:t>
      </w:r>
      <w:r w:rsidRPr="00CE650F">
        <w:rPr>
          <w:rFonts w:ascii="Verdana" w:eastAsia="Aptos" w:hAnsi="Verdana" w:cs="Arial"/>
          <w:color w:val="0000FF"/>
          <w:u w:val="single"/>
          <w:shd w:val="clear" w:color="auto" w:fill="FFFFFF"/>
          <w:lang w:val="es-ES"/>
        </w:rPr>
        <w:t>@colombiacompra</w:t>
      </w:r>
      <w:r w:rsidRPr="00CE650F">
        <w:rPr>
          <w:rFonts w:ascii="Verdana" w:eastAsia="Aptos" w:hAnsi="Verdana" w:cs="Times New Roman"/>
          <w:color w:val="156082"/>
        </w:rPr>
        <w:t xml:space="preserve"> </w:t>
      </w:r>
    </w:p>
    <w:p w14:paraId="087BB734" w14:textId="77777777" w:rsidR="00D00418" w:rsidRPr="00CE650F" w:rsidRDefault="00D00418" w:rsidP="00D00418">
      <w:pPr>
        <w:spacing w:after="0" w:line="240" w:lineRule="auto"/>
        <w:jc w:val="both"/>
        <w:rPr>
          <w:rFonts w:ascii="Verdana" w:eastAsia="Aptos" w:hAnsi="Verdana" w:cs="Times New Roman"/>
        </w:rPr>
      </w:pPr>
      <w:r w:rsidRPr="00CE650F">
        <w:rPr>
          <w:rFonts w:ascii="Verdana" w:eastAsia="Aptos" w:hAnsi="Verdana" w:cs="Times New Roman"/>
        </w:rPr>
        <w:t xml:space="preserve">Facebook: </w:t>
      </w:r>
      <w:proofErr w:type="spellStart"/>
      <w:r w:rsidRPr="00CE650F">
        <w:rPr>
          <w:rFonts w:ascii="Verdana" w:eastAsia="Aptos" w:hAnsi="Verdana" w:cs="Arial"/>
          <w:color w:val="0000FF"/>
          <w:u w:val="single"/>
          <w:shd w:val="clear" w:color="auto" w:fill="FFFFFF"/>
          <w:lang w:val="es-ES"/>
        </w:rPr>
        <w:t>ColombiaCompraEficiente</w:t>
      </w:r>
      <w:proofErr w:type="spellEnd"/>
    </w:p>
    <w:p w14:paraId="0D300CDA" w14:textId="77777777" w:rsidR="00D00418" w:rsidRPr="00CE650F" w:rsidRDefault="00D00418" w:rsidP="00D00418">
      <w:pPr>
        <w:spacing w:after="0" w:line="240" w:lineRule="auto"/>
        <w:jc w:val="both"/>
        <w:rPr>
          <w:rFonts w:ascii="Verdana" w:eastAsia="Aptos" w:hAnsi="Verdana" w:cs="Times New Roman"/>
        </w:rPr>
      </w:pPr>
      <w:r w:rsidRPr="00CE650F">
        <w:rPr>
          <w:rFonts w:ascii="Verdana" w:eastAsia="Aptos" w:hAnsi="Verdana" w:cs="Times New Roman"/>
        </w:rPr>
        <w:t xml:space="preserve">LinkedIn: </w:t>
      </w:r>
      <w:r w:rsidRPr="00CE650F">
        <w:rPr>
          <w:rFonts w:ascii="Verdana" w:eastAsia="Aptos" w:hAnsi="Verdana" w:cs="Arial"/>
          <w:color w:val="0000FF"/>
          <w:u w:val="single"/>
          <w:shd w:val="clear" w:color="auto" w:fill="FFFFFF"/>
          <w:lang w:val="es-ES"/>
        </w:rPr>
        <w:t>Agencia Nacional de Contratación Pública - Colombia Compra Eficiente</w:t>
      </w:r>
      <w:r w:rsidRPr="00CE650F">
        <w:rPr>
          <w:rFonts w:ascii="Verdana" w:eastAsia="Aptos" w:hAnsi="Verdana" w:cs="Times New Roman"/>
          <w:color w:val="156082"/>
        </w:rPr>
        <w:t xml:space="preserve"> </w:t>
      </w:r>
      <w:r w:rsidRPr="00CE650F">
        <w:rPr>
          <w:rFonts w:ascii="Verdana" w:eastAsia="Aptos" w:hAnsi="Verdana" w:cs="Times New Roman"/>
        </w:rPr>
        <w:t xml:space="preserve">Instagram: </w:t>
      </w:r>
      <w:r w:rsidRPr="00CE650F">
        <w:rPr>
          <w:rFonts w:ascii="Verdana" w:eastAsia="Aptos" w:hAnsi="Verdana" w:cs="Arial"/>
          <w:color w:val="0000FF"/>
          <w:u w:val="single"/>
          <w:shd w:val="clear" w:color="auto" w:fill="FFFFFF"/>
          <w:lang w:val="es-ES"/>
        </w:rPr>
        <w:t>@colombiacompraeficiente_cce</w:t>
      </w:r>
    </w:p>
    <w:p w14:paraId="0769C6B3" w14:textId="77777777" w:rsidR="00D00418" w:rsidRPr="00CE650F" w:rsidRDefault="00D00418" w:rsidP="00D00418">
      <w:pPr>
        <w:widowControl w:val="0"/>
        <w:autoSpaceDE w:val="0"/>
        <w:autoSpaceDN w:val="0"/>
        <w:spacing w:after="0" w:line="276" w:lineRule="auto"/>
        <w:jc w:val="both"/>
        <w:rPr>
          <w:rFonts w:ascii="Verdana" w:eastAsia="Aptos" w:hAnsi="Verdana" w:cs="Arial"/>
        </w:rPr>
      </w:pPr>
    </w:p>
    <w:p w14:paraId="7FF88565" w14:textId="77777777" w:rsidR="00D00418" w:rsidRDefault="00D00418" w:rsidP="00D00418">
      <w:pPr>
        <w:spacing w:after="0" w:line="240" w:lineRule="auto"/>
        <w:rPr>
          <w:rFonts w:ascii="Verdana" w:eastAsia="Aptos" w:hAnsi="Verdana" w:cs="Arial"/>
          <w:lang w:val="es-ES_tradnl"/>
        </w:rPr>
      </w:pPr>
      <w:r w:rsidRPr="00CE650F">
        <w:rPr>
          <w:rFonts w:ascii="Verdana" w:eastAsia="Aptos" w:hAnsi="Verdana" w:cs="Arial"/>
        </w:rPr>
        <w:t xml:space="preserve">Este concepto tiene el alcance previsto en el artículo 28 del Código de Procedimiento Administrativo y de lo Contencioso Administrativo </w:t>
      </w:r>
      <w:r w:rsidRPr="00CE650F">
        <w:rPr>
          <w:rFonts w:ascii="Verdana" w:eastAsia="Aptos" w:hAnsi="Verdana" w:cs="Arial"/>
          <w:lang w:val="es-ES_tradnl"/>
        </w:rPr>
        <w:t>y las expresiones aquí utilizadas con mayúscula inicial deben ser entendidas con el significado que les otorga el artículo 2.2.1.1.1.3.1. del Decreto 1082 de 2015.</w:t>
      </w:r>
    </w:p>
    <w:p w14:paraId="5230898A" w14:textId="77777777" w:rsidR="00D00418" w:rsidRDefault="00D00418" w:rsidP="00D00418">
      <w:pPr>
        <w:spacing w:after="0" w:line="240" w:lineRule="auto"/>
        <w:rPr>
          <w:rFonts w:ascii="Verdana" w:eastAsia="Aptos" w:hAnsi="Verdana" w:cs="Arial"/>
          <w:lang w:val="es-ES_tradnl"/>
        </w:rPr>
      </w:pPr>
    </w:p>
    <w:p w14:paraId="077F1D8B" w14:textId="45D2FA3D" w:rsidR="00D00418" w:rsidRPr="004E3808" w:rsidRDefault="00D00418" w:rsidP="004E3808">
      <w:pPr>
        <w:spacing w:after="0" w:line="240" w:lineRule="auto"/>
        <w:rPr>
          <w:rFonts w:ascii="Verdana" w:hAnsi="Verdana" w:cs="Arial"/>
          <w:lang w:val="es-ES_tradnl" w:eastAsia="es-CO"/>
        </w:rPr>
      </w:pPr>
      <w:r w:rsidRPr="00C15525">
        <w:rPr>
          <w:rFonts w:ascii="Verdana" w:eastAsia="Times New Roman" w:hAnsi="Verdana" w:cs="Arial"/>
          <w:lang w:val="es-ES" w:eastAsia="es-CO"/>
        </w:rPr>
        <w:t>Atentamente,</w:t>
      </w:r>
      <w:r w:rsidRPr="00C15525">
        <w:rPr>
          <w:rFonts w:ascii="Verdana" w:hAnsi="Verdana" w:cs="Arial"/>
          <w:lang w:val="es-ES" w:eastAsia="es-CO"/>
        </w:rPr>
        <w:t xml:space="preserve"> </w:t>
      </w:r>
    </w:p>
    <w:p w14:paraId="329D0DD3" w14:textId="56E7CB7B" w:rsidR="00D00418" w:rsidRDefault="004E3808" w:rsidP="00D00418">
      <w:pPr>
        <w:spacing w:after="0" w:line="276" w:lineRule="auto"/>
        <w:jc w:val="center"/>
        <w:rPr>
          <w:rFonts w:ascii="Verdana" w:hAnsi="Verdana"/>
          <w:lang w:val="es-ES_tradnl"/>
        </w:rPr>
      </w:pPr>
      <w:r>
        <w:rPr>
          <w:rFonts w:ascii="Verdana" w:hAnsi="Verdana"/>
          <w:noProof/>
          <w:lang w:val="es-ES_tradnl"/>
        </w:rPr>
        <w:drawing>
          <wp:inline distT="0" distB="0" distL="0" distR="0" wp14:anchorId="15760308" wp14:editId="3EA0DA33">
            <wp:extent cx="2825109" cy="1042776"/>
            <wp:effectExtent l="0" t="0" r="0" b="5080"/>
            <wp:docPr id="97259299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592996" name="Imagen 1" descr="Texto&#10;&#10;Descripción generada automáticamente"/>
                    <pic:cNvPicPr/>
                  </pic:nvPicPr>
                  <pic:blipFill>
                    <a:blip r:embed="rId17">
                      <a:extLst>
                        <a:ext uri="{28A0092B-C50C-407E-A947-70E740481C1C}">
                          <a14:useLocalDpi xmlns:a14="http://schemas.microsoft.com/office/drawing/2010/main" val="0"/>
                        </a:ext>
                      </a:extLst>
                    </a:blip>
                    <a:stretch>
                      <a:fillRect/>
                    </a:stretch>
                  </pic:blipFill>
                  <pic:spPr>
                    <a:xfrm>
                      <a:off x="0" y="0"/>
                      <a:ext cx="2857433" cy="105470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00418" w:rsidRPr="00D53651" w14:paraId="01A003A4" w14:textId="77777777" w:rsidTr="00A40198">
        <w:trPr>
          <w:trHeight w:val="315"/>
        </w:trPr>
        <w:tc>
          <w:tcPr>
            <w:tcW w:w="893" w:type="dxa"/>
            <w:vAlign w:val="center"/>
            <w:hideMark/>
          </w:tcPr>
          <w:p w14:paraId="4E28378F" w14:textId="77777777" w:rsidR="00D00418" w:rsidRPr="00D53651" w:rsidRDefault="00D00418" w:rsidP="00A40198">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77E855F7" w14:textId="77777777" w:rsidR="00D00418" w:rsidRPr="00D53651" w:rsidRDefault="00D00418" w:rsidP="00A40198">
            <w:pPr>
              <w:spacing w:line="276" w:lineRule="auto"/>
              <w:jc w:val="both"/>
              <w:rPr>
                <w:rFonts w:ascii="Verdana" w:hAnsi="Verdana"/>
                <w:sz w:val="16"/>
                <w:szCs w:val="16"/>
              </w:rPr>
            </w:pPr>
            <w:r>
              <w:rPr>
                <w:rFonts w:ascii="Verdana" w:hAnsi="Verdana"/>
                <w:sz w:val="16"/>
                <w:szCs w:val="16"/>
              </w:rPr>
              <w:t>Gloria Elizabeth Arango Builes</w:t>
            </w:r>
          </w:p>
          <w:p w14:paraId="2736EFF3" w14:textId="77777777" w:rsidR="00D00418" w:rsidRPr="00D53651" w:rsidRDefault="00D00418" w:rsidP="00A40198">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D00418" w:rsidRPr="00D53651" w14:paraId="66771034" w14:textId="77777777" w:rsidTr="00A40198">
        <w:trPr>
          <w:trHeight w:val="330"/>
        </w:trPr>
        <w:tc>
          <w:tcPr>
            <w:tcW w:w="893" w:type="dxa"/>
            <w:vAlign w:val="center"/>
            <w:hideMark/>
          </w:tcPr>
          <w:p w14:paraId="72B84D31" w14:textId="77777777" w:rsidR="00D00418" w:rsidRPr="00D53651" w:rsidRDefault="00D00418" w:rsidP="00A40198">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23764DDC" w14:textId="77777777" w:rsidR="00D00418" w:rsidRPr="00D53651" w:rsidRDefault="00D00418" w:rsidP="00A40198">
            <w:pPr>
              <w:spacing w:line="276" w:lineRule="auto"/>
              <w:jc w:val="both"/>
              <w:rPr>
                <w:rFonts w:ascii="Verdana" w:hAnsi="Verdana"/>
                <w:sz w:val="16"/>
                <w:szCs w:val="16"/>
              </w:rPr>
            </w:pPr>
            <w:r>
              <w:rPr>
                <w:rFonts w:ascii="Verdana" w:hAnsi="Verdana"/>
                <w:sz w:val="16"/>
                <w:szCs w:val="16"/>
              </w:rPr>
              <w:t>Diana Lucía Saavedra Castañeda</w:t>
            </w:r>
          </w:p>
          <w:p w14:paraId="0C95B616" w14:textId="77777777" w:rsidR="00D00418" w:rsidRPr="00D53651" w:rsidRDefault="00D00418" w:rsidP="00A40198">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D00418" w:rsidRPr="00D53651" w14:paraId="4A39C8D1" w14:textId="77777777" w:rsidTr="00A40198">
        <w:trPr>
          <w:trHeight w:val="300"/>
        </w:trPr>
        <w:tc>
          <w:tcPr>
            <w:tcW w:w="893" w:type="dxa"/>
            <w:vAlign w:val="center"/>
            <w:hideMark/>
          </w:tcPr>
          <w:p w14:paraId="00B58D29" w14:textId="77777777" w:rsidR="00D00418" w:rsidRPr="00D53651" w:rsidRDefault="00D00418" w:rsidP="00A40198">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4FF51172" w14:textId="77777777" w:rsidR="00D00418" w:rsidRPr="00D53651" w:rsidRDefault="00D00418" w:rsidP="00A40198">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07AB1B0F" w14:textId="77777777" w:rsidR="00D00418" w:rsidRPr="00D53651" w:rsidRDefault="00D00418" w:rsidP="00A40198">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bookmarkEnd w:id="0"/>
    </w:tbl>
    <w:p w14:paraId="69BC4D14" w14:textId="3BDFB34A" w:rsidR="00C15139" w:rsidRPr="000E2B93" w:rsidRDefault="00C15139" w:rsidP="30821638">
      <w:pPr>
        <w:spacing w:after="0" w:line="240" w:lineRule="auto"/>
        <w:textAlignment w:val="baseline"/>
        <w:rPr>
          <w:rFonts w:ascii="Verdana" w:eastAsia="Verdana" w:hAnsi="Verdana" w:cs="Verdana"/>
          <w:lang w:eastAsia="es-CO"/>
        </w:rPr>
      </w:pPr>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9A9E79" w14:textId="77777777" w:rsidR="006B4D54" w:rsidRDefault="006B4D54" w:rsidP="004A1847">
      <w:pPr>
        <w:spacing w:after="0" w:line="240" w:lineRule="auto"/>
      </w:pPr>
      <w:r>
        <w:separator/>
      </w:r>
    </w:p>
  </w:endnote>
  <w:endnote w:type="continuationSeparator" w:id="0">
    <w:p w14:paraId="0BA6D8B6" w14:textId="77777777" w:rsidR="006B4D54" w:rsidRDefault="006B4D54" w:rsidP="004A1847">
      <w:pPr>
        <w:spacing w:after="0" w:line="240" w:lineRule="auto"/>
      </w:pPr>
      <w:r>
        <w:continuationSeparator/>
      </w:r>
    </w:p>
  </w:endnote>
  <w:endnote w:type="continuationNotice" w:id="1">
    <w:p w14:paraId="624A8F12" w14:textId="77777777" w:rsidR="006B4D54" w:rsidRDefault="006B4D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F4DE95" w14:textId="77777777" w:rsidR="006B4D54" w:rsidRDefault="006B4D54" w:rsidP="004A1847">
      <w:pPr>
        <w:spacing w:after="0" w:line="240" w:lineRule="auto"/>
      </w:pPr>
      <w:r>
        <w:separator/>
      </w:r>
    </w:p>
  </w:footnote>
  <w:footnote w:type="continuationSeparator" w:id="0">
    <w:p w14:paraId="62737B64" w14:textId="77777777" w:rsidR="006B4D54" w:rsidRDefault="006B4D54" w:rsidP="004A1847">
      <w:pPr>
        <w:spacing w:after="0" w:line="240" w:lineRule="auto"/>
      </w:pPr>
      <w:r>
        <w:continuationSeparator/>
      </w:r>
    </w:p>
  </w:footnote>
  <w:footnote w:type="continuationNotice" w:id="1">
    <w:p w14:paraId="6E6ADADF" w14:textId="77777777" w:rsidR="006B4D54" w:rsidRDefault="006B4D54">
      <w:pPr>
        <w:spacing w:after="0" w:line="240" w:lineRule="auto"/>
      </w:pPr>
    </w:p>
  </w:footnote>
  <w:footnote w:id="2">
    <w:p w14:paraId="286E619A" w14:textId="77777777" w:rsidR="00D00418" w:rsidRPr="00DA3655" w:rsidRDefault="00D00418" w:rsidP="00D00418">
      <w:pPr>
        <w:pStyle w:val="Textonotapie"/>
        <w:spacing w:before="120"/>
        <w:ind w:firstLine="709"/>
        <w:jc w:val="both"/>
        <w:rPr>
          <w:rFonts w:ascii="Verdana" w:hAnsi="Verdana" w:cs="Arial"/>
          <w:color w:val="000000"/>
          <w:sz w:val="18"/>
          <w:szCs w:val="18"/>
        </w:rPr>
      </w:pPr>
      <w:r w:rsidRPr="00DA3655">
        <w:rPr>
          <w:rStyle w:val="Refdenotaalpie"/>
          <w:rFonts w:ascii="Verdana" w:hAnsi="Verdana" w:cs="Arial"/>
          <w:color w:val="000000"/>
          <w:sz w:val="18"/>
          <w:szCs w:val="18"/>
        </w:rPr>
        <w:footnoteRef/>
      </w:r>
      <w:r w:rsidRPr="00DA3655">
        <w:rPr>
          <w:rFonts w:ascii="Verdana" w:hAnsi="Verdana" w:cs="Arial"/>
          <w:color w:val="000000"/>
          <w:sz w:val="18"/>
          <w:szCs w:val="18"/>
        </w:rPr>
        <w:t xml:space="preserve"> </w:t>
      </w:r>
      <w:r>
        <w:rPr>
          <w:rFonts w:ascii="Verdana" w:hAnsi="Verdana" w:cs="Arial"/>
          <w:color w:val="000000"/>
          <w:sz w:val="18"/>
          <w:szCs w:val="18"/>
        </w:rPr>
        <w:t>“</w:t>
      </w:r>
      <w:r w:rsidRPr="00DA3655">
        <w:rPr>
          <w:rFonts w:ascii="Verdana" w:hAnsi="Verdana" w:cs="Arial"/>
          <w:color w:val="000000"/>
          <w:sz w:val="18"/>
          <w:szCs w:val="18"/>
        </w:rPr>
        <w:t xml:space="preserve">La fuerza vinculante de los reglamentos –tanto para los administrados como para la propia administración– surge del hecho de ser una norma jurídica, y de compartir la naturaleza del acto administrativo, luego, de allí también se desprende que se presuman legales y sean ejecutorios. </w:t>
      </w:r>
    </w:p>
    <w:p w14:paraId="2DA310B6" w14:textId="77777777" w:rsidR="00D00418" w:rsidRPr="00DA3655" w:rsidRDefault="00D00418" w:rsidP="00D00418">
      <w:pPr>
        <w:pStyle w:val="Textonotapie"/>
        <w:spacing w:before="120"/>
        <w:ind w:firstLine="709"/>
        <w:jc w:val="both"/>
        <w:rPr>
          <w:rFonts w:ascii="Verdana" w:hAnsi="Verdana" w:cs="Arial"/>
          <w:color w:val="000000"/>
          <w:sz w:val="18"/>
          <w:szCs w:val="18"/>
        </w:rPr>
      </w:pPr>
      <w:r w:rsidRPr="00DA3655">
        <w:rPr>
          <w:rFonts w:ascii="Verdana" w:hAnsi="Verdana" w:cs="Arial"/>
          <w:color w:val="000000"/>
          <w:sz w:val="18"/>
          <w:szCs w:val="18"/>
        </w:rPr>
        <w:t xml:space="preserve">Por esta misma razón, la doctrina española –con especial fuerza– ha señalado que su observancia no queda al capricho del órgano que la expidió, pues si quisiera él lo puede desconocer. De algún modo, como acontece con todo acto administrativo, el acto cobra vida propia, y autonomía en relación con su propio creador. A este último evento se le denomina la inderogabilidad singular del reglamento, que no es otra cosa que la prohibición de insertarlo en un caso particular. </w:t>
      </w:r>
    </w:p>
    <w:p w14:paraId="63C4DFB2" w14:textId="77777777" w:rsidR="00D00418" w:rsidRPr="00DA3655" w:rsidRDefault="00D00418" w:rsidP="00D00418">
      <w:pPr>
        <w:pStyle w:val="Textonotapie"/>
        <w:spacing w:before="120"/>
        <w:ind w:firstLine="709"/>
        <w:jc w:val="both"/>
        <w:rPr>
          <w:rFonts w:ascii="Verdana" w:hAnsi="Verdana" w:cs="Arial"/>
          <w:color w:val="000000"/>
          <w:sz w:val="18"/>
          <w:szCs w:val="18"/>
          <w:lang w:val="es-CO"/>
        </w:rPr>
      </w:pPr>
      <w:r w:rsidRPr="00DA3655">
        <w:rPr>
          <w:rFonts w:ascii="Verdana" w:hAnsi="Verdana" w:cs="Arial"/>
          <w:color w:val="000000"/>
          <w:sz w:val="18"/>
          <w:szCs w:val="18"/>
        </w:rPr>
        <w:t>Esta tesis –de absoluta razonabilidad–, protege tanto al ciudadano como al ordenamiento jurídico en general, de la arbitrariedad de la administración, pues si se admitiera que pese a estar en vigencia un reglamento la propia administración que lo dictó lo pudiera inaplicar, aduciendo que si ella lo produjo entonces cuenta con la autoridad para desconocerlo, los abusos y la violación a sus propias reglas propiciaría el atropello y la corrupción</w:t>
      </w:r>
      <w:r>
        <w:rPr>
          <w:rFonts w:ascii="Verdana" w:hAnsi="Verdana" w:cs="Arial"/>
          <w:color w:val="000000"/>
          <w:sz w:val="18"/>
          <w:szCs w:val="18"/>
        </w:rPr>
        <w:t>”</w:t>
      </w:r>
      <w:r w:rsidRPr="00DA3655">
        <w:rPr>
          <w:rFonts w:ascii="Verdana" w:hAnsi="Verdana" w:cs="Arial"/>
          <w:color w:val="000000"/>
          <w:sz w:val="18"/>
          <w:szCs w:val="18"/>
        </w:rPr>
        <w:t>. (MARÍN CORTÉS, Fabián G. El reglamento como fuente del derecho administrativo. En: Las fuentes del derecho administrativo. Texto inédito. 2010. pp. 200-201).</w:t>
      </w:r>
    </w:p>
  </w:footnote>
  <w:footnote w:id="3">
    <w:p w14:paraId="12C697BE" w14:textId="77777777" w:rsidR="00D00418" w:rsidRPr="00DA3655" w:rsidRDefault="00D00418" w:rsidP="00D00418">
      <w:pPr>
        <w:spacing w:after="0"/>
        <w:ind w:right="114" w:firstLine="708"/>
        <w:jc w:val="both"/>
        <w:rPr>
          <w:rFonts w:ascii="Verdana" w:hAnsi="Verdana" w:cs="Arial"/>
          <w:sz w:val="18"/>
          <w:szCs w:val="18"/>
        </w:rPr>
      </w:pPr>
      <w:r w:rsidRPr="00DA3655">
        <w:rPr>
          <w:rStyle w:val="Refdenotaalpie"/>
          <w:rFonts w:ascii="Verdana" w:hAnsi="Verdana" w:cs="Arial"/>
          <w:sz w:val="18"/>
          <w:szCs w:val="18"/>
        </w:rPr>
        <w:footnoteRef/>
      </w:r>
      <w:r w:rsidRPr="00DA3655">
        <w:rPr>
          <w:rFonts w:ascii="Verdana" w:hAnsi="Verdana" w:cs="Arial"/>
          <w:sz w:val="18"/>
          <w:szCs w:val="18"/>
        </w:rPr>
        <w:t xml:space="preserve"> “Artículo 69. Se garantiza la autonomía universitaria. Las universidades podrán darse sus directivas y regirse por sus</w:t>
      </w:r>
      <w:r w:rsidRPr="00DA3655">
        <w:rPr>
          <w:rFonts w:ascii="Verdana" w:hAnsi="Verdana" w:cs="Arial"/>
          <w:spacing w:val="-2"/>
          <w:sz w:val="18"/>
          <w:szCs w:val="18"/>
        </w:rPr>
        <w:t xml:space="preserve"> </w:t>
      </w:r>
      <w:r w:rsidRPr="00DA3655">
        <w:rPr>
          <w:rFonts w:ascii="Verdana" w:hAnsi="Verdana" w:cs="Arial"/>
          <w:sz w:val="18"/>
          <w:szCs w:val="18"/>
        </w:rPr>
        <w:t>propios</w:t>
      </w:r>
      <w:r w:rsidRPr="00DA3655">
        <w:rPr>
          <w:rFonts w:ascii="Verdana" w:hAnsi="Verdana" w:cs="Arial"/>
          <w:spacing w:val="-2"/>
          <w:sz w:val="18"/>
          <w:szCs w:val="18"/>
        </w:rPr>
        <w:t xml:space="preserve"> </w:t>
      </w:r>
      <w:r w:rsidRPr="00DA3655">
        <w:rPr>
          <w:rFonts w:ascii="Verdana" w:hAnsi="Verdana" w:cs="Arial"/>
          <w:sz w:val="18"/>
          <w:szCs w:val="18"/>
        </w:rPr>
        <w:t>estatutos,</w:t>
      </w:r>
      <w:r w:rsidRPr="00DA3655">
        <w:rPr>
          <w:rFonts w:ascii="Verdana" w:hAnsi="Verdana" w:cs="Arial"/>
          <w:spacing w:val="-4"/>
          <w:sz w:val="18"/>
          <w:szCs w:val="18"/>
        </w:rPr>
        <w:t xml:space="preserve"> </w:t>
      </w:r>
      <w:r w:rsidRPr="00DA3655">
        <w:rPr>
          <w:rFonts w:ascii="Verdana" w:hAnsi="Verdana" w:cs="Arial"/>
          <w:sz w:val="18"/>
          <w:szCs w:val="18"/>
        </w:rPr>
        <w:t>de</w:t>
      </w:r>
      <w:r w:rsidRPr="00DA3655">
        <w:rPr>
          <w:rFonts w:ascii="Verdana" w:hAnsi="Verdana" w:cs="Arial"/>
          <w:spacing w:val="-4"/>
          <w:sz w:val="18"/>
          <w:szCs w:val="18"/>
        </w:rPr>
        <w:t xml:space="preserve"> </w:t>
      </w:r>
      <w:r w:rsidRPr="00DA3655">
        <w:rPr>
          <w:rFonts w:ascii="Verdana" w:hAnsi="Verdana" w:cs="Arial"/>
          <w:sz w:val="18"/>
          <w:szCs w:val="18"/>
        </w:rPr>
        <w:t>acuerdo</w:t>
      </w:r>
      <w:r w:rsidRPr="00DA3655">
        <w:rPr>
          <w:rFonts w:ascii="Verdana" w:hAnsi="Verdana" w:cs="Arial"/>
          <w:spacing w:val="-4"/>
          <w:sz w:val="18"/>
          <w:szCs w:val="18"/>
        </w:rPr>
        <w:t xml:space="preserve"> </w:t>
      </w:r>
      <w:r w:rsidRPr="00DA3655">
        <w:rPr>
          <w:rFonts w:ascii="Verdana" w:hAnsi="Verdana" w:cs="Arial"/>
          <w:sz w:val="18"/>
          <w:szCs w:val="18"/>
        </w:rPr>
        <w:t>con</w:t>
      </w:r>
      <w:r w:rsidRPr="00DA3655">
        <w:rPr>
          <w:rFonts w:ascii="Verdana" w:hAnsi="Verdana" w:cs="Arial"/>
          <w:spacing w:val="-1"/>
          <w:sz w:val="18"/>
          <w:szCs w:val="18"/>
        </w:rPr>
        <w:t xml:space="preserve"> </w:t>
      </w:r>
      <w:r w:rsidRPr="00DA3655">
        <w:rPr>
          <w:rFonts w:ascii="Verdana" w:hAnsi="Verdana" w:cs="Arial"/>
          <w:sz w:val="18"/>
          <w:szCs w:val="18"/>
        </w:rPr>
        <w:t>la</w:t>
      </w:r>
      <w:r w:rsidRPr="00DA3655">
        <w:rPr>
          <w:rFonts w:ascii="Verdana" w:hAnsi="Verdana" w:cs="Arial"/>
          <w:spacing w:val="-1"/>
          <w:sz w:val="18"/>
          <w:szCs w:val="18"/>
        </w:rPr>
        <w:t xml:space="preserve"> </w:t>
      </w:r>
      <w:r w:rsidRPr="00DA3655">
        <w:rPr>
          <w:rFonts w:ascii="Verdana" w:hAnsi="Verdana" w:cs="Arial"/>
          <w:sz w:val="18"/>
          <w:szCs w:val="18"/>
        </w:rPr>
        <w:t>ley.</w:t>
      </w:r>
      <w:r w:rsidRPr="00DA3655">
        <w:rPr>
          <w:rFonts w:ascii="Verdana" w:hAnsi="Verdana" w:cs="Arial"/>
          <w:spacing w:val="-2"/>
          <w:sz w:val="18"/>
          <w:szCs w:val="18"/>
        </w:rPr>
        <w:t xml:space="preserve"> </w:t>
      </w:r>
      <w:r w:rsidRPr="00DA3655">
        <w:rPr>
          <w:rFonts w:ascii="Verdana" w:hAnsi="Verdana" w:cs="Arial"/>
          <w:sz w:val="18"/>
          <w:szCs w:val="18"/>
        </w:rPr>
        <w:t>La</w:t>
      </w:r>
      <w:r w:rsidRPr="00DA3655">
        <w:rPr>
          <w:rFonts w:ascii="Verdana" w:hAnsi="Verdana" w:cs="Arial"/>
          <w:spacing w:val="-1"/>
          <w:sz w:val="18"/>
          <w:szCs w:val="18"/>
        </w:rPr>
        <w:t xml:space="preserve"> </w:t>
      </w:r>
      <w:r w:rsidRPr="00DA3655">
        <w:rPr>
          <w:rFonts w:ascii="Verdana" w:hAnsi="Verdana" w:cs="Arial"/>
          <w:sz w:val="18"/>
          <w:szCs w:val="18"/>
        </w:rPr>
        <w:t>ley</w:t>
      </w:r>
      <w:r w:rsidRPr="00DA3655">
        <w:rPr>
          <w:rFonts w:ascii="Verdana" w:hAnsi="Verdana" w:cs="Arial"/>
          <w:spacing w:val="-5"/>
          <w:sz w:val="18"/>
          <w:szCs w:val="18"/>
        </w:rPr>
        <w:t xml:space="preserve"> </w:t>
      </w:r>
      <w:r w:rsidRPr="00DA3655">
        <w:rPr>
          <w:rFonts w:ascii="Verdana" w:hAnsi="Verdana" w:cs="Arial"/>
          <w:sz w:val="18"/>
          <w:szCs w:val="18"/>
        </w:rPr>
        <w:t>establecerá</w:t>
      </w:r>
      <w:r w:rsidRPr="00DA3655">
        <w:rPr>
          <w:rFonts w:ascii="Verdana" w:hAnsi="Verdana" w:cs="Arial"/>
          <w:spacing w:val="-1"/>
          <w:sz w:val="18"/>
          <w:szCs w:val="18"/>
        </w:rPr>
        <w:t xml:space="preserve"> </w:t>
      </w:r>
      <w:r w:rsidRPr="00DA3655">
        <w:rPr>
          <w:rFonts w:ascii="Verdana" w:hAnsi="Verdana" w:cs="Arial"/>
          <w:sz w:val="18"/>
          <w:szCs w:val="18"/>
        </w:rPr>
        <w:t>un</w:t>
      </w:r>
      <w:r w:rsidRPr="00DA3655">
        <w:rPr>
          <w:rFonts w:ascii="Verdana" w:hAnsi="Verdana" w:cs="Arial"/>
          <w:spacing w:val="-1"/>
          <w:sz w:val="18"/>
          <w:szCs w:val="18"/>
        </w:rPr>
        <w:t xml:space="preserve"> </w:t>
      </w:r>
      <w:r w:rsidRPr="00DA3655">
        <w:rPr>
          <w:rFonts w:ascii="Verdana" w:hAnsi="Verdana" w:cs="Arial"/>
          <w:sz w:val="18"/>
          <w:szCs w:val="18"/>
        </w:rPr>
        <w:t>régimen</w:t>
      </w:r>
      <w:r w:rsidRPr="00DA3655">
        <w:rPr>
          <w:rFonts w:ascii="Verdana" w:hAnsi="Verdana" w:cs="Arial"/>
          <w:spacing w:val="-4"/>
          <w:sz w:val="18"/>
          <w:szCs w:val="18"/>
        </w:rPr>
        <w:t xml:space="preserve"> </w:t>
      </w:r>
      <w:r w:rsidRPr="00DA3655">
        <w:rPr>
          <w:rFonts w:ascii="Verdana" w:hAnsi="Verdana" w:cs="Arial"/>
          <w:sz w:val="18"/>
          <w:szCs w:val="18"/>
        </w:rPr>
        <w:t>especial</w:t>
      </w:r>
      <w:r w:rsidRPr="00DA3655">
        <w:rPr>
          <w:rFonts w:ascii="Verdana" w:hAnsi="Verdana" w:cs="Arial"/>
          <w:spacing w:val="-5"/>
          <w:sz w:val="18"/>
          <w:szCs w:val="18"/>
        </w:rPr>
        <w:t xml:space="preserve"> </w:t>
      </w:r>
      <w:r w:rsidRPr="00DA3655">
        <w:rPr>
          <w:rFonts w:ascii="Verdana" w:hAnsi="Verdana" w:cs="Arial"/>
          <w:sz w:val="18"/>
          <w:szCs w:val="18"/>
        </w:rPr>
        <w:t>para</w:t>
      </w:r>
      <w:r w:rsidRPr="00DA3655">
        <w:rPr>
          <w:rFonts w:ascii="Verdana" w:hAnsi="Verdana" w:cs="Arial"/>
          <w:spacing w:val="-1"/>
          <w:sz w:val="18"/>
          <w:szCs w:val="18"/>
        </w:rPr>
        <w:t xml:space="preserve"> </w:t>
      </w:r>
      <w:r w:rsidRPr="00DA3655">
        <w:rPr>
          <w:rFonts w:ascii="Verdana" w:hAnsi="Verdana" w:cs="Arial"/>
          <w:sz w:val="18"/>
          <w:szCs w:val="18"/>
        </w:rPr>
        <w:t>las</w:t>
      </w:r>
      <w:r w:rsidRPr="00DA3655">
        <w:rPr>
          <w:rFonts w:ascii="Verdana" w:hAnsi="Verdana" w:cs="Arial"/>
          <w:spacing w:val="-5"/>
          <w:sz w:val="18"/>
          <w:szCs w:val="18"/>
        </w:rPr>
        <w:t xml:space="preserve"> </w:t>
      </w:r>
      <w:r w:rsidRPr="00DA3655">
        <w:rPr>
          <w:rFonts w:ascii="Verdana" w:hAnsi="Verdana" w:cs="Arial"/>
          <w:sz w:val="18"/>
          <w:szCs w:val="18"/>
        </w:rPr>
        <w:t>universidades</w:t>
      </w:r>
      <w:r w:rsidRPr="00DA3655">
        <w:rPr>
          <w:rFonts w:ascii="Verdana" w:hAnsi="Verdana" w:cs="Arial"/>
          <w:spacing w:val="-2"/>
          <w:sz w:val="18"/>
          <w:szCs w:val="18"/>
        </w:rPr>
        <w:t xml:space="preserve"> </w:t>
      </w:r>
      <w:r w:rsidRPr="00DA3655">
        <w:rPr>
          <w:rFonts w:ascii="Verdana" w:hAnsi="Verdana" w:cs="Arial"/>
          <w:sz w:val="18"/>
          <w:szCs w:val="18"/>
        </w:rPr>
        <w:t>del</w:t>
      </w:r>
      <w:r w:rsidRPr="00DA3655">
        <w:rPr>
          <w:rFonts w:ascii="Verdana" w:hAnsi="Verdana" w:cs="Arial"/>
          <w:spacing w:val="-3"/>
          <w:sz w:val="18"/>
          <w:szCs w:val="18"/>
        </w:rPr>
        <w:t xml:space="preserve"> </w:t>
      </w:r>
      <w:r w:rsidRPr="00DA3655">
        <w:rPr>
          <w:rFonts w:ascii="Verdana" w:hAnsi="Verdana" w:cs="Arial"/>
          <w:sz w:val="18"/>
          <w:szCs w:val="18"/>
        </w:rPr>
        <w:t>Estado”.</w:t>
      </w:r>
    </w:p>
    <w:p w14:paraId="67B812F6" w14:textId="77777777" w:rsidR="00D00418" w:rsidRPr="00DA3655" w:rsidRDefault="00D00418" w:rsidP="00D00418">
      <w:pPr>
        <w:pStyle w:val="Textonotapie"/>
        <w:jc w:val="both"/>
        <w:rPr>
          <w:rFonts w:ascii="Verdana" w:hAnsi="Verdana" w:cs="Arial"/>
          <w:sz w:val="18"/>
          <w:szCs w:val="18"/>
        </w:rPr>
      </w:pPr>
      <w:r w:rsidRPr="00DA3655">
        <w:rPr>
          <w:rFonts w:ascii="Verdana" w:hAnsi="Verdana" w:cs="Arial"/>
          <w:sz w:val="18"/>
          <w:szCs w:val="18"/>
        </w:rPr>
        <w:tab/>
      </w:r>
    </w:p>
  </w:footnote>
  <w:footnote w:id="4">
    <w:p w14:paraId="1BBC5763" w14:textId="77777777" w:rsidR="00D00418" w:rsidRPr="00DA3655" w:rsidRDefault="00D00418" w:rsidP="00D00418">
      <w:pPr>
        <w:pStyle w:val="Textonotapie"/>
        <w:ind w:firstLine="708"/>
        <w:jc w:val="both"/>
        <w:rPr>
          <w:rFonts w:ascii="Verdana" w:hAnsi="Verdana" w:cs="Arial"/>
          <w:sz w:val="18"/>
          <w:szCs w:val="18"/>
        </w:rPr>
      </w:pPr>
      <w:r w:rsidRPr="00DA3655">
        <w:rPr>
          <w:rStyle w:val="Refdenotaalpie"/>
          <w:rFonts w:ascii="Verdana" w:hAnsi="Verdana" w:cs="Arial"/>
          <w:sz w:val="18"/>
          <w:szCs w:val="18"/>
        </w:rPr>
        <w:footnoteRef/>
      </w:r>
      <w:r w:rsidRPr="00DA3655">
        <w:rPr>
          <w:rFonts w:ascii="Verdana" w:hAnsi="Verdana" w:cs="Arial"/>
          <w:sz w:val="18"/>
          <w:szCs w:val="18"/>
        </w:rPr>
        <w:t xml:space="preserve"> “Artículo 57. Las universidades estatales u oficiales deben organizarse como entes universitarios autónomos, con régimen especial y vinculados al Ministerio de Educación Nacional en lo que se refiere a las políticas y la planeación del sector educativo.</w:t>
      </w:r>
    </w:p>
    <w:p w14:paraId="237139A6" w14:textId="77777777" w:rsidR="00D00418" w:rsidRPr="00DA3655" w:rsidRDefault="00D00418" w:rsidP="00D00418">
      <w:pPr>
        <w:pStyle w:val="Textonotapie"/>
        <w:spacing w:before="120"/>
        <w:ind w:firstLine="708"/>
        <w:jc w:val="both"/>
        <w:rPr>
          <w:rFonts w:ascii="Verdana" w:hAnsi="Verdana" w:cs="Arial"/>
          <w:sz w:val="18"/>
          <w:szCs w:val="18"/>
        </w:rPr>
      </w:pPr>
      <w:r w:rsidRPr="00DA3655">
        <w:rPr>
          <w:rFonts w:ascii="Verdana" w:hAnsi="Verdana" w:cs="Arial"/>
          <w:sz w:val="18"/>
          <w:szCs w:val="18"/>
        </w:rPr>
        <w:t>Los entes universitarios autónomos tendrán las siguientes características: Personería jurídica, autonomía académica, administrativa y financiera, patrimonio independiente y podrán elaborar y manejar su presupuesto de acuerdo con las funciones que le corresponden.</w:t>
      </w:r>
    </w:p>
    <w:p w14:paraId="49BD5020" w14:textId="77777777" w:rsidR="00D00418" w:rsidRPr="00DA3655" w:rsidRDefault="00D00418" w:rsidP="00D00418">
      <w:pPr>
        <w:pStyle w:val="Textonotapie"/>
        <w:spacing w:before="120"/>
        <w:jc w:val="both"/>
        <w:rPr>
          <w:rFonts w:ascii="Verdana" w:hAnsi="Verdana" w:cs="Arial"/>
          <w:sz w:val="18"/>
          <w:szCs w:val="18"/>
          <w:lang w:val="es-CO"/>
        </w:rPr>
      </w:pPr>
      <w:r w:rsidRPr="00DA3655">
        <w:rPr>
          <w:rFonts w:ascii="Verdana" w:hAnsi="Verdana" w:cs="Arial"/>
          <w:sz w:val="18"/>
          <w:szCs w:val="18"/>
        </w:rPr>
        <w:tab/>
      </w:r>
      <w:r w:rsidRPr="00DA3655">
        <w:rPr>
          <w:rFonts w:ascii="Verdana" w:hAnsi="Verdana" w:cs="Arial"/>
          <w:sz w:val="18"/>
          <w:szCs w:val="18"/>
          <w:lang w:val="es-CO"/>
        </w:rPr>
        <w:t xml:space="preserve">El carácter especial del régimen de las universidades estatales u </w:t>
      </w:r>
      <w:r w:rsidRPr="00DA3655">
        <w:rPr>
          <w:rFonts w:ascii="Verdana" w:hAnsi="Verdana" w:cs="Arial"/>
          <w:sz w:val="18"/>
          <w:szCs w:val="18"/>
          <w:lang w:val="es-CO"/>
        </w:rPr>
        <w:t>oficiales,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ley”.</w:t>
      </w:r>
    </w:p>
    <w:p w14:paraId="7EB7A5A7" w14:textId="77777777" w:rsidR="00D00418" w:rsidRPr="00DA3655" w:rsidRDefault="00D00418" w:rsidP="00D00418">
      <w:pPr>
        <w:pStyle w:val="Textonotapie"/>
        <w:jc w:val="both"/>
        <w:rPr>
          <w:rFonts w:ascii="Verdana" w:hAnsi="Verdana" w:cs="Arial"/>
          <w:sz w:val="18"/>
          <w:szCs w:val="18"/>
          <w:lang w:val="es-ES"/>
        </w:rPr>
      </w:pPr>
      <w:r>
        <w:rPr>
          <w:rFonts w:ascii="Verdana" w:hAnsi="Verdana" w:cs="Arial"/>
          <w:sz w:val="18"/>
          <w:szCs w:val="18"/>
          <w:lang w:val="es-ES"/>
        </w:rPr>
        <w:tab/>
      </w:r>
    </w:p>
  </w:footnote>
  <w:footnote w:id="5">
    <w:p w14:paraId="665AE330" w14:textId="77777777" w:rsidR="00D00418" w:rsidRPr="00DA3655" w:rsidRDefault="00D00418" w:rsidP="00D00418">
      <w:pPr>
        <w:spacing w:after="0"/>
        <w:ind w:right="106" w:firstLine="708"/>
        <w:jc w:val="both"/>
        <w:rPr>
          <w:rFonts w:ascii="Verdana" w:hAnsi="Verdana" w:cs="Arial"/>
          <w:sz w:val="18"/>
          <w:szCs w:val="18"/>
        </w:rPr>
      </w:pPr>
      <w:r w:rsidRPr="00DA3655">
        <w:rPr>
          <w:rStyle w:val="Refdenotaalpie"/>
          <w:rFonts w:ascii="Verdana" w:hAnsi="Verdana" w:cs="Arial"/>
          <w:sz w:val="18"/>
          <w:szCs w:val="18"/>
        </w:rPr>
        <w:footnoteRef/>
      </w:r>
      <w:r w:rsidRPr="00DA3655">
        <w:rPr>
          <w:rFonts w:ascii="Verdana" w:hAnsi="Verdana" w:cs="Arial"/>
          <w:sz w:val="18"/>
          <w:szCs w:val="18"/>
        </w:rPr>
        <w:t xml:space="preserve"> “Artículo 39. Integración de la Administración Pública. La Administración Pública se integra por los organismos que conforman la Rama Ejecutiva del Poder Público y por todos los demás organismos y entidades de naturaleza pública que de manera permanente tienen a su cargo el ejercicio de las actividades y funciones administrativas o la prestación de servicios públicos del Estado Colombiano”.</w:t>
      </w:r>
    </w:p>
    <w:p w14:paraId="47CA9B74" w14:textId="77777777" w:rsidR="00D00418" w:rsidRPr="00DA3655" w:rsidRDefault="00D00418" w:rsidP="00D00418">
      <w:pPr>
        <w:spacing w:after="0"/>
        <w:ind w:right="106" w:firstLine="708"/>
        <w:jc w:val="both"/>
        <w:rPr>
          <w:rFonts w:ascii="Verdana" w:hAnsi="Verdana" w:cs="Arial"/>
          <w:sz w:val="18"/>
          <w:szCs w:val="18"/>
        </w:rPr>
      </w:pPr>
    </w:p>
  </w:footnote>
  <w:footnote w:id="6">
    <w:p w14:paraId="42BA8403" w14:textId="77777777" w:rsidR="00D00418" w:rsidRPr="00DA3655" w:rsidRDefault="00D00418" w:rsidP="00D00418">
      <w:pPr>
        <w:spacing w:after="0"/>
        <w:ind w:right="106" w:firstLine="708"/>
        <w:jc w:val="both"/>
        <w:rPr>
          <w:rFonts w:ascii="Verdana" w:hAnsi="Verdana" w:cs="Arial"/>
          <w:sz w:val="18"/>
          <w:szCs w:val="18"/>
        </w:rPr>
      </w:pPr>
      <w:r w:rsidRPr="00DA3655">
        <w:rPr>
          <w:rStyle w:val="Refdenotaalpie"/>
          <w:rFonts w:ascii="Verdana" w:hAnsi="Verdana" w:cs="Arial"/>
          <w:sz w:val="18"/>
          <w:szCs w:val="18"/>
        </w:rPr>
        <w:footnoteRef/>
      </w:r>
      <w:r w:rsidRPr="00DA3655">
        <w:rPr>
          <w:rFonts w:ascii="Verdana" w:hAnsi="Verdana" w:cs="Arial"/>
          <w:sz w:val="18"/>
          <w:szCs w:val="18"/>
        </w:rPr>
        <w:t xml:space="preserve"> “Artículo 40. Entidades y organismos estatales sujetos a régimen especial. El Banco de la República, los entes universitarios autónomos, las corporaciones autónomas regionales, la Comisión Nacional de Televisión y los demás organismos y entidades con régimen especial otorgado por la Constitución Política se sujetan a las disposiciones que para ellos establezcan las respectivas leyes”.</w:t>
      </w:r>
    </w:p>
    <w:p w14:paraId="08673CE3" w14:textId="77777777" w:rsidR="00D00418" w:rsidRPr="00DA3655" w:rsidRDefault="00D00418" w:rsidP="00D00418">
      <w:pPr>
        <w:spacing w:after="0"/>
        <w:ind w:right="106" w:firstLine="708"/>
        <w:jc w:val="both"/>
        <w:rPr>
          <w:rFonts w:ascii="Verdana" w:hAnsi="Verdana" w:cs="Arial"/>
          <w:sz w:val="18"/>
          <w:szCs w:val="18"/>
        </w:rPr>
      </w:pPr>
    </w:p>
  </w:footnote>
  <w:footnote w:id="7">
    <w:p w14:paraId="7B97831D" w14:textId="77777777" w:rsidR="00D00418" w:rsidRPr="00DA3655" w:rsidRDefault="00D00418" w:rsidP="00D00418">
      <w:pPr>
        <w:spacing w:after="0"/>
        <w:ind w:firstLine="708"/>
        <w:jc w:val="both"/>
        <w:rPr>
          <w:rFonts w:ascii="Verdana" w:hAnsi="Verdana" w:cs="Arial"/>
          <w:sz w:val="18"/>
          <w:szCs w:val="18"/>
        </w:rPr>
      </w:pPr>
      <w:r w:rsidRPr="00DA3655">
        <w:rPr>
          <w:rStyle w:val="Refdenotaalpie"/>
          <w:rFonts w:ascii="Verdana" w:hAnsi="Verdana" w:cs="Arial"/>
          <w:sz w:val="18"/>
          <w:szCs w:val="18"/>
        </w:rPr>
        <w:footnoteRef/>
      </w:r>
      <w:r w:rsidRPr="00DA3655">
        <w:rPr>
          <w:rFonts w:ascii="Verdana" w:hAnsi="Verdana" w:cs="Arial"/>
          <w:sz w:val="18"/>
          <w:szCs w:val="18"/>
        </w:rPr>
        <w:t xml:space="preserve"> Corte Constitucional. Sentencia C-121 de 2003. M.P. Clara Inés Vargas Hernández.</w:t>
      </w:r>
    </w:p>
    <w:p w14:paraId="7E8DE7A4" w14:textId="77777777" w:rsidR="00D00418" w:rsidRPr="00DA3655" w:rsidRDefault="00D00418" w:rsidP="00D00418">
      <w:pPr>
        <w:spacing w:after="0"/>
        <w:jc w:val="both"/>
        <w:rPr>
          <w:rFonts w:ascii="Verdana" w:hAnsi="Verdana" w:cs="Arial"/>
          <w:sz w:val="18"/>
          <w:szCs w:val="18"/>
        </w:rPr>
      </w:pPr>
      <w:r>
        <w:rPr>
          <w:rFonts w:ascii="Verdana" w:hAnsi="Verdana" w:cs="Arial"/>
          <w:sz w:val="18"/>
          <w:szCs w:val="18"/>
        </w:rPr>
        <w:tab/>
      </w:r>
    </w:p>
  </w:footnote>
  <w:footnote w:id="8">
    <w:p w14:paraId="24FC8560" w14:textId="77777777" w:rsidR="00D00418" w:rsidRPr="00DA3655" w:rsidRDefault="00D00418" w:rsidP="00D00418">
      <w:pPr>
        <w:spacing w:after="0"/>
        <w:ind w:left="-1" w:right="110" w:firstLine="709"/>
        <w:jc w:val="both"/>
        <w:rPr>
          <w:rFonts w:ascii="Verdana" w:hAnsi="Verdana" w:cs="Arial"/>
          <w:sz w:val="18"/>
          <w:szCs w:val="18"/>
        </w:rPr>
      </w:pPr>
      <w:r w:rsidRPr="00DA3655">
        <w:rPr>
          <w:rStyle w:val="Refdenotaalpie"/>
          <w:rFonts w:ascii="Verdana" w:hAnsi="Verdana" w:cs="Arial"/>
          <w:sz w:val="18"/>
          <w:szCs w:val="18"/>
        </w:rPr>
        <w:footnoteRef/>
      </w:r>
      <w:r w:rsidRPr="00DA3655">
        <w:rPr>
          <w:rFonts w:ascii="Verdana" w:hAnsi="Verdana" w:cs="Arial"/>
          <w:sz w:val="18"/>
          <w:szCs w:val="18"/>
        </w:rPr>
        <w:t xml:space="preserve"> Corte</w:t>
      </w:r>
      <w:r w:rsidRPr="00DA3655">
        <w:rPr>
          <w:rFonts w:ascii="Verdana" w:hAnsi="Verdana" w:cs="Arial"/>
          <w:spacing w:val="10"/>
          <w:sz w:val="18"/>
          <w:szCs w:val="18"/>
        </w:rPr>
        <w:t xml:space="preserve"> </w:t>
      </w:r>
      <w:r w:rsidRPr="00DA3655">
        <w:rPr>
          <w:rFonts w:ascii="Verdana" w:hAnsi="Verdana" w:cs="Arial"/>
          <w:sz w:val="18"/>
          <w:szCs w:val="18"/>
        </w:rPr>
        <w:t>Constitucional.</w:t>
      </w:r>
      <w:r w:rsidRPr="00DA3655">
        <w:rPr>
          <w:rFonts w:ascii="Verdana" w:hAnsi="Verdana" w:cs="Arial"/>
          <w:spacing w:val="11"/>
          <w:sz w:val="18"/>
          <w:szCs w:val="18"/>
        </w:rPr>
        <w:t xml:space="preserve"> </w:t>
      </w:r>
      <w:r w:rsidRPr="00DA3655">
        <w:rPr>
          <w:rFonts w:ascii="Verdana" w:hAnsi="Verdana" w:cs="Arial"/>
          <w:sz w:val="18"/>
          <w:szCs w:val="18"/>
        </w:rPr>
        <w:t>Sentencia</w:t>
      </w:r>
      <w:r w:rsidRPr="00DA3655">
        <w:rPr>
          <w:rFonts w:ascii="Verdana" w:hAnsi="Verdana" w:cs="Arial"/>
          <w:spacing w:val="10"/>
          <w:sz w:val="18"/>
          <w:szCs w:val="18"/>
        </w:rPr>
        <w:t xml:space="preserve"> </w:t>
      </w:r>
      <w:r w:rsidRPr="00DA3655">
        <w:rPr>
          <w:rFonts w:ascii="Verdana" w:hAnsi="Verdana" w:cs="Arial"/>
          <w:sz w:val="18"/>
          <w:szCs w:val="18"/>
        </w:rPr>
        <w:t>C-1019</w:t>
      </w:r>
      <w:r w:rsidRPr="00DA3655">
        <w:rPr>
          <w:rFonts w:ascii="Verdana" w:hAnsi="Verdana" w:cs="Arial"/>
          <w:spacing w:val="10"/>
          <w:sz w:val="18"/>
          <w:szCs w:val="18"/>
        </w:rPr>
        <w:t xml:space="preserve"> </w:t>
      </w:r>
      <w:r w:rsidRPr="00DA3655">
        <w:rPr>
          <w:rFonts w:ascii="Verdana" w:hAnsi="Verdana" w:cs="Arial"/>
          <w:sz w:val="18"/>
          <w:szCs w:val="18"/>
        </w:rPr>
        <w:t>del</w:t>
      </w:r>
      <w:r w:rsidRPr="00DA3655">
        <w:rPr>
          <w:rFonts w:ascii="Verdana" w:hAnsi="Verdana" w:cs="Arial"/>
          <w:spacing w:val="9"/>
          <w:sz w:val="18"/>
          <w:szCs w:val="18"/>
        </w:rPr>
        <w:t xml:space="preserve"> </w:t>
      </w:r>
      <w:r w:rsidRPr="00DA3655">
        <w:rPr>
          <w:rFonts w:ascii="Verdana" w:hAnsi="Verdana" w:cs="Arial"/>
          <w:sz w:val="18"/>
          <w:szCs w:val="18"/>
        </w:rPr>
        <w:t>28</w:t>
      </w:r>
      <w:r w:rsidRPr="00DA3655">
        <w:rPr>
          <w:rFonts w:ascii="Verdana" w:hAnsi="Verdana" w:cs="Arial"/>
          <w:spacing w:val="10"/>
          <w:sz w:val="18"/>
          <w:szCs w:val="18"/>
        </w:rPr>
        <w:t xml:space="preserve"> </w:t>
      </w:r>
      <w:r w:rsidRPr="00DA3655">
        <w:rPr>
          <w:rFonts w:ascii="Verdana" w:hAnsi="Verdana" w:cs="Arial"/>
          <w:sz w:val="18"/>
          <w:szCs w:val="18"/>
        </w:rPr>
        <w:t>de</w:t>
      </w:r>
      <w:r w:rsidRPr="00DA3655">
        <w:rPr>
          <w:rFonts w:ascii="Verdana" w:hAnsi="Verdana" w:cs="Arial"/>
          <w:spacing w:val="10"/>
          <w:sz w:val="18"/>
          <w:szCs w:val="18"/>
        </w:rPr>
        <w:t xml:space="preserve"> </w:t>
      </w:r>
      <w:r w:rsidRPr="00DA3655">
        <w:rPr>
          <w:rFonts w:ascii="Verdana" w:hAnsi="Verdana" w:cs="Arial"/>
          <w:sz w:val="18"/>
          <w:szCs w:val="18"/>
        </w:rPr>
        <w:t>noviembre</w:t>
      </w:r>
      <w:r w:rsidRPr="00DA3655">
        <w:rPr>
          <w:rFonts w:ascii="Verdana" w:hAnsi="Verdana" w:cs="Arial"/>
          <w:spacing w:val="10"/>
          <w:sz w:val="18"/>
          <w:szCs w:val="18"/>
        </w:rPr>
        <w:t xml:space="preserve"> </w:t>
      </w:r>
      <w:r w:rsidRPr="00DA3655">
        <w:rPr>
          <w:rFonts w:ascii="Verdana" w:hAnsi="Verdana" w:cs="Arial"/>
          <w:sz w:val="18"/>
          <w:szCs w:val="18"/>
        </w:rPr>
        <w:t>de</w:t>
      </w:r>
      <w:r w:rsidRPr="00DA3655">
        <w:rPr>
          <w:rFonts w:ascii="Verdana" w:hAnsi="Verdana" w:cs="Arial"/>
          <w:spacing w:val="10"/>
          <w:sz w:val="18"/>
          <w:szCs w:val="18"/>
        </w:rPr>
        <w:t xml:space="preserve"> </w:t>
      </w:r>
      <w:r w:rsidRPr="00DA3655">
        <w:rPr>
          <w:rFonts w:ascii="Verdana" w:hAnsi="Verdana" w:cs="Arial"/>
          <w:sz w:val="18"/>
          <w:szCs w:val="18"/>
        </w:rPr>
        <w:t>2012.</w:t>
      </w:r>
      <w:r w:rsidRPr="00DA3655">
        <w:rPr>
          <w:rFonts w:ascii="Verdana" w:hAnsi="Verdana" w:cs="Arial"/>
          <w:spacing w:val="10"/>
          <w:sz w:val="18"/>
          <w:szCs w:val="18"/>
        </w:rPr>
        <w:t xml:space="preserve"> </w:t>
      </w:r>
      <w:r w:rsidRPr="00DA3655">
        <w:rPr>
          <w:rFonts w:ascii="Verdana" w:hAnsi="Verdana" w:cs="Arial"/>
          <w:sz w:val="18"/>
          <w:szCs w:val="18"/>
        </w:rPr>
        <w:t>M.P.</w:t>
      </w:r>
      <w:r w:rsidRPr="00DA3655">
        <w:rPr>
          <w:rFonts w:ascii="Verdana" w:hAnsi="Verdana" w:cs="Arial"/>
          <w:spacing w:val="10"/>
          <w:sz w:val="18"/>
          <w:szCs w:val="18"/>
        </w:rPr>
        <w:t xml:space="preserve"> </w:t>
      </w:r>
      <w:r w:rsidRPr="00DA3655">
        <w:rPr>
          <w:rFonts w:ascii="Verdana" w:hAnsi="Verdana" w:cs="Arial"/>
          <w:sz w:val="18"/>
          <w:szCs w:val="18"/>
        </w:rPr>
        <w:t>Mauricio</w:t>
      </w:r>
      <w:r w:rsidRPr="00DA3655">
        <w:rPr>
          <w:rFonts w:ascii="Verdana" w:hAnsi="Verdana" w:cs="Arial"/>
          <w:spacing w:val="8"/>
          <w:sz w:val="18"/>
          <w:szCs w:val="18"/>
        </w:rPr>
        <w:t xml:space="preserve"> </w:t>
      </w:r>
      <w:r w:rsidRPr="00DA3655">
        <w:rPr>
          <w:rFonts w:ascii="Verdana" w:hAnsi="Verdana" w:cs="Arial"/>
          <w:sz w:val="18"/>
          <w:szCs w:val="18"/>
        </w:rPr>
        <w:t>González.</w:t>
      </w:r>
    </w:p>
    <w:p w14:paraId="06958507" w14:textId="77777777" w:rsidR="00D00418" w:rsidRPr="00DA3655" w:rsidRDefault="00D00418" w:rsidP="00D00418">
      <w:pPr>
        <w:pStyle w:val="Textonotapie"/>
        <w:jc w:val="both"/>
        <w:rPr>
          <w:rFonts w:ascii="Verdana" w:hAnsi="Verdana" w:cs="Arial"/>
          <w:sz w:val="18"/>
          <w:szCs w:val="18"/>
        </w:rPr>
      </w:pPr>
    </w:p>
  </w:footnote>
  <w:footnote w:id="9">
    <w:p w14:paraId="311D0628" w14:textId="77777777" w:rsidR="00D00418" w:rsidRPr="00DA3655" w:rsidRDefault="00D00418" w:rsidP="00D00418">
      <w:pPr>
        <w:pStyle w:val="Textonotapie"/>
        <w:ind w:firstLine="708"/>
        <w:jc w:val="both"/>
        <w:rPr>
          <w:rFonts w:ascii="Verdana" w:hAnsi="Verdana" w:cs="Arial"/>
          <w:sz w:val="18"/>
          <w:szCs w:val="18"/>
          <w:lang w:val="es-ES_tradnl"/>
        </w:rPr>
      </w:pPr>
      <w:r w:rsidRPr="00DA3655">
        <w:rPr>
          <w:rStyle w:val="Refdenotaalpie"/>
          <w:rFonts w:ascii="Verdana" w:hAnsi="Verdana" w:cs="Arial"/>
          <w:sz w:val="18"/>
          <w:szCs w:val="18"/>
        </w:rPr>
        <w:footnoteRef/>
      </w:r>
      <w:r w:rsidRPr="00DA3655">
        <w:rPr>
          <w:rFonts w:ascii="Verdana" w:hAnsi="Verdana" w:cs="Arial"/>
          <w:sz w:val="18"/>
          <w:szCs w:val="18"/>
        </w:rPr>
        <w:t xml:space="preserve"> CONSEJO DE ESTADO. Sección Cuarta. Sentencia del 16 de diciembre de 2008. </w:t>
      </w:r>
      <w:r w:rsidRPr="00DA3655">
        <w:rPr>
          <w:rFonts w:ascii="Verdana" w:hAnsi="Verdana" w:cs="Arial"/>
          <w:sz w:val="18"/>
          <w:szCs w:val="18"/>
        </w:rPr>
        <w:t>Exp. 16.297. C.P. Martha Teresa Briceño de Valencia</w:t>
      </w:r>
    </w:p>
  </w:footnote>
  <w:footnote w:id="10">
    <w:p w14:paraId="4181F13E" w14:textId="77777777" w:rsidR="00D00418" w:rsidRPr="00DA3655" w:rsidRDefault="00D00418" w:rsidP="00D00418">
      <w:pPr>
        <w:pStyle w:val="Textonotapie"/>
        <w:jc w:val="both"/>
        <w:rPr>
          <w:rFonts w:ascii="Verdana" w:hAnsi="Verdana" w:cs="Arial"/>
          <w:sz w:val="18"/>
          <w:szCs w:val="18"/>
        </w:rPr>
      </w:pPr>
    </w:p>
  </w:footnote>
  <w:footnote w:id="11">
    <w:p w14:paraId="3110A0A8" w14:textId="77777777" w:rsidR="00D00418" w:rsidRPr="00DA3655" w:rsidRDefault="00D00418" w:rsidP="00D00418">
      <w:pPr>
        <w:pStyle w:val="Textonotapie"/>
        <w:ind w:firstLine="708"/>
        <w:jc w:val="both"/>
        <w:rPr>
          <w:rFonts w:ascii="Verdana" w:hAnsi="Verdana" w:cs="Arial"/>
          <w:sz w:val="18"/>
          <w:szCs w:val="18"/>
          <w:lang w:val="es-CO"/>
        </w:rPr>
      </w:pPr>
      <w:r w:rsidRPr="00DA3655">
        <w:rPr>
          <w:rStyle w:val="Refdenotaalpie"/>
          <w:rFonts w:ascii="Verdana" w:hAnsi="Verdana" w:cs="Arial"/>
          <w:sz w:val="18"/>
          <w:szCs w:val="18"/>
        </w:rPr>
        <w:footnoteRef/>
      </w:r>
      <w:r w:rsidRPr="00DA3655">
        <w:rPr>
          <w:rFonts w:ascii="Verdana" w:hAnsi="Verdana" w:cs="Arial"/>
          <w:sz w:val="18"/>
          <w:szCs w:val="18"/>
        </w:rPr>
        <w:t xml:space="preserve"> Sala de consulta y Servicio Civil del </w:t>
      </w:r>
      <w:r w:rsidRPr="00DA3655">
        <w:rPr>
          <w:rFonts w:ascii="Verdana" w:hAnsi="Verdana" w:cs="Arial"/>
          <w:sz w:val="18"/>
          <w:szCs w:val="18"/>
          <w:lang w:val="es-CO"/>
        </w:rPr>
        <w:t>Consejo de Estado, Sentencia del 28 de junio de 2012 con Radicado No. 11001-03-06-000-2012-00016-00(2092), M.P. William Zambrano Cetina.</w:t>
      </w:r>
    </w:p>
    <w:p w14:paraId="65F00B4B" w14:textId="77777777" w:rsidR="00D00418" w:rsidRPr="00DA3655" w:rsidRDefault="00D00418" w:rsidP="00D00418">
      <w:pPr>
        <w:pStyle w:val="Textonotapie"/>
        <w:ind w:firstLine="708"/>
        <w:jc w:val="both"/>
        <w:rPr>
          <w:rFonts w:ascii="Verdana" w:hAnsi="Verdana" w:cs="Arial"/>
          <w:sz w:val="18"/>
          <w:szCs w:val="18"/>
          <w:lang w:val="es-CO"/>
        </w:rPr>
      </w:pPr>
    </w:p>
  </w:footnote>
  <w:footnote w:id="12">
    <w:p w14:paraId="44EE3A47" w14:textId="77777777" w:rsidR="00D00418" w:rsidRPr="00DA3655" w:rsidRDefault="00D00418" w:rsidP="00D00418">
      <w:pPr>
        <w:pStyle w:val="Textonotapie"/>
        <w:ind w:firstLine="708"/>
        <w:jc w:val="both"/>
        <w:rPr>
          <w:rFonts w:ascii="Verdana" w:eastAsia="Calibri" w:hAnsi="Verdana" w:cs="Arial"/>
          <w:sz w:val="18"/>
          <w:szCs w:val="18"/>
          <w:lang w:val="es-ES"/>
        </w:rPr>
      </w:pPr>
      <w:r w:rsidRPr="00DA3655">
        <w:rPr>
          <w:rStyle w:val="Refdenotaalpie"/>
          <w:rFonts w:ascii="Verdana" w:hAnsi="Verdana"/>
          <w:sz w:val="18"/>
          <w:szCs w:val="18"/>
        </w:rPr>
        <w:footnoteRef/>
      </w:r>
      <w:r w:rsidRPr="00DA3655">
        <w:rPr>
          <w:rFonts w:ascii="Verdana" w:hAnsi="Verdana"/>
          <w:sz w:val="18"/>
          <w:szCs w:val="18"/>
        </w:rPr>
        <w:t xml:space="preserve"> </w:t>
      </w:r>
      <w:r w:rsidRPr="00DA3655">
        <w:rPr>
          <w:rFonts w:ascii="Verdana" w:eastAsia="Calibri" w:hAnsi="Verdana" w:cs="Arial"/>
          <w:sz w:val="18"/>
          <w:szCs w:val="18"/>
          <w:lang w:val="es-ES"/>
        </w:rPr>
        <w:t xml:space="preserve">Este documento se encuentra disponible para su consulta </w:t>
      </w:r>
      <w:hyperlink r:id="rId1" w:history="1">
        <w:r w:rsidRPr="00DA3655">
          <w:rPr>
            <w:rStyle w:val="Hipervnculo"/>
            <w:rFonts w:ascii="Verdana" w:eastAsia="Calibri" w:hAnsi="Verdana" w:cs="Arial"/>
            <w:sz w:val="18"/>
            <w:szCs w:val="18"/>
            <w:lang w:val="es-ES"/>
          </w:rPr>
          <w:t>aquí</w:t>
        </w:r>
      </w:hyperlink>
      <w:r w:rsidRPr="00DA3655">
        <w:rPr>
          <w:rFonts w:ascii="Verdana" w:eastAsia="Calibri" w:hAnsi="Verdana" w:cs="Arial"/>
          <w:sz w:val="18"/>
          <w:szCs w:val="18"/>
          <w:lang w:val="es-ES"/>
        </w:rPr>
        <w:t>.</w:t>
      </w:r>
    </w:p>
    <w:p w14:paraId="023E7D34" w14:textId="77777777" w:rsidR="00D00418" w:rsidRPr="00DA3655" w:rsidRDefault="00D00418" w:rsidP="00D00418">
      <w:pPr>
        <w:pStyle w:val="Textonotapie"/>
        <w:ind w:firstLine="708"/>
        <w:jc w:val="both"/>
        <w:rPr>
          <w:rFonts w:ascii="Verdana" w:hAnsi="Verdana"/>
          <w:sz w:val="18"/>
          <w:szCs w:val="18"/>
          <w:lang w:val="es-CO"/>
        </w:rPr>
      </w:pPr>
    </w:p>
  </w:footnote>
  <w:footnote w:id="13">
    <w:p w14:paraId="3255EB57" w14:textId="77777777" w:rsidR="00D00418" w:rsidRPr="00DA3655" w:rsidRDefault="00D00418" w:rsidP="00D00418">
      <w:pPr>
        <w:pStyle w:val="Textonotapie"/>
        <w:spacing w:before="120"/>
        <w:ind w:firstLine="709"/>
        <w:jc w:val="both"/>
        <w:rPr>
          <w:rFonts w:ascii="Verdana" w:hAnsi="Verdana" w:cs="Arial"/>
          <w:color w:val="000000"/>
          <w:sz w:val="18"/>
          <w:szCs w:val="18"/>
        </w:rPr>
      </w:pPr>
      <w:r w:rsidRPr="00DA3655">
        <w:rPr>
          <w:rStyle w:val="Refdenotaalpie"/>
          <w:rFonts w:ascii="Verdana" w:hAnsi="Verdana" w:cs="Arial"/>
          <w:color w:val="000000"/>
          <w:sz w:val="18"/>
          <w:szCs w:val="18"/>
        </w:rPr>
        <w:footnoteRef/>
      </w:r>
      <w:r w:rsidRPr="00DA3655">
        <w:rPr>
          <w:rFonts w:ascii="Verdana" w:hAnsi="Verdana" w:cs="Arial"/>
          <w:color w:val="000000"/>
          <w:sz w:val="18"/>
          <w:szCs w:val="18"/>
        </w:rPr>
        <w:t xml:space="preserve"> </w:t>
      </w:r>
      <w:r>
        <w:rPr>
          <w:rFonts w:ascii="Verdana" w:hAnsi="Verdana" w:cs="Arial"/>
          <w:color w:val="000000"/>
          <w:sz w:val="18"/>
          <w:szCs w:val="18"/>
        </w:rPr>
        <w:t>“</w:t>
      </w:r>
      <w:r w:rsidRPr="00DA3655">
        <w:rPr>
          <w:rFonts w:ascii="Verdana" w:hAnsi="Verdana" w:cs="Arial"/>
          <w:color w:val="000000"/>
          <w:sz w:val="18"/>
          <w:szCs w:val="18"/>
        </w:rPr>
        <w:t xml:space="preserve">La fuerza vinculante de los reglamentos –tanto para los administrados como para la propia administración– surge del hecho de ser una norma jurídica, y de compartir la naturaleza del acto administrativo, luego, de allí también se desprende que se presuman legales y sean ejecutorios. </w:t>
      </w:r>
    </w:p>
    <w:p w14:paraId="25322BF8" w14:textId="77777777" w:rsidR="00D00418" w:rsidRPr="00DA3655" w:rsidRDefault="00D00418" w:rsidP="00D00418">
      <w:pPr>
        <w:pStyle w:val="Textonotapie"/>
        <w:spacing w:before="120"/>
        <w:ind w:firstLine="709"/>
        <w:jc w:val="both"/>
        <w:rPr>
          <w:rFonts w:ascii="Verdana" w:hAnsi="Verdana" w:cs="Arial"/>
          <w:color w:val="000000"/>
          <w:sz w:val="18"/>
          <w:szCs w:val="18"/>
        </w:rPr>
      </w:pPr>
      <w:r w:rsidRPr="00DA3655">
        <w:rPr>
          <w:rFonts w:ascii="Verdana" w:hAnsi="Verdana" w:cs="Arial"/>
          <w:color w:val="000000"/>
          <w:sz w:val="18"/>
          <w:szCs w:val="18"/>
        </w:rPr>
        <w:t xml:space="preserve">Por esta misma razón, la doctrina española –con especial fuerza– ha señalado que su observancia no queda al capricho del órgano que la expidió, pues si quisiera él lo puede desconocer. De algún modo, como acontece con todo acto administrativo, el acto cobra vida propia, y autonomía en relación con su propio creador. A este último evento se le denomina la inderogabilidad singular del reglamento, que no es otra cosa que la prohibición de insertarlo en un caso particular. </w:t>
      </w:r>
    </w:p>
    <w:p w14:paraId="10CD9EE4" w14:textId="77777777" w:rsidR="00D00418" w:rsidRPr="00DA3655" w:rsidRDefault="00D00418" w:rsidP="00D00418">
      <w:pPr>
        <w:pStyle w:val="Textonotapie"/>
        <w:spacing w:before="120"/>
        <w:ind w:firstLine="709"/>
        <w:jc w:val="both"/>
        <w:rPr>
          <w:rFonts w:ascii="Verdana" w:hAnsi="Verdana" w:cs="Arial"/>
          <w:color w:val="000000"/>
          <w:sz w:val="18"/>
          <w:szCs w:val="18"/>
          <w:lang w:val="es-CO"/>
        </w:rPr>
      </w:pPr>
      <w:r w:rsidRPr="00DA3655">
        <w:rPr>
          <w:rFonts w:ascii="Verdana" w:hAnsi="Verdana" w:cs="Arial"/>
          <w:color w:val="000000"/>
          <w:sz w:val="18"/>
          <w:szCs w:val="18"/>
        </w:rPr>
        <w:t xml:space="preserve">Esta tesis –de absoluta razonabilidad–, protege tanto al ciudadano como al ordenamiento jurídico en general, de la arbitrariedad de la administración, pues si se admitiera </w:t>
      </w:r>
      <w:r w:rsidRPr="00DA3655">
        <w:rPr>
          <w:rFonts w:ascii="Verdana" w:hAnsi="Verdana" w:cs="Arial"/>
          <w:color w:val="000000"/>
          <w:sz w:val="18"/>
          <w:szCs w:val="18"/>
        </w:rPr>
        <w:t>que pese a estar en vigencia un reglamento la propia administración que lo dictó lo pudiera inaplicar, aduciendo que si ella lo produjo entonces cuenta con la autoridad para desconocerlo, los abusos y la violación a sus propias reglas propiciaría el atropello y la corrupción</w:t>
      </w:r>
      <w:r>
        <w:rPr>
          <w:rFonts w:ascii="Verdana" w:hAnsi="Verdana" w:cs="Arial"/>
          <w:color w:val="000000"/>
          <w:sz w:val="18"/>
          <w:szCs w:val="18"/>
        </w:rPr>
        <w:t>”</w:t>
      </w:r>
      <w:r w:rsidRPr="00DA3655">
        <w:rPr>
          <w:rFonts w:ascii="Verdana" w:hAnsi="Verdana" w:cs="Arial"/>
          <w:color w:val="000000"/>
          <w:sz w:val="18"/>
          <w:szCs w:val="18"/>
        </w:rPr>
        <w:t>. (MARÍN CORTÉS, Fabián G. El reglamento como fuente del derecho administrativo. En: Las fuentes del derecho administrativo. Texto inédito. 2010. pp. 200-201).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E43"/>
    <w:rsid w:val="00016F78"/>
    <w:rsid w:val="00046945"/>
    <w:rsid w:val="00061B2A"/>
    <w:rsid w:val="00082362"/>
    <w:rsid w:val="000A2598"/>
    <w:rsid w:val="000A683E"/>
    <w:rsid w:val="000B19B9"/>
    <w:rsid w:val="000D0334"/>
    <w:rsid w:val="000D5DA7"/>
    <w:rsid w:val="000F6486"/>
    <w:rsid w:val="00116940"/>
    <w:rsid w:val="00125105"/>
    <w:rsid w:val="00127233"/>
    <w:rsid w:val="001527DE"/>
    <w:rsid w:val="0015699B"/>
    <w:rsid w:val="00167561"/>
    <w:rsid w:val="001A33BF"/>
    <w:rsid w:val="001C20C5"/>
    <w:rsid w:val="001C561B"/>
    <w:rsid w:val="001E4177"/>
    <w:rsid w:val="001E72C0"/>
    <w:rsid w:val="001F0B24"/>
    <w:rsid w:val="001F7DC6"/>
    <w:rsid w:val="0022400B"/>
    <w:rsid w:val="002421BB"/>
    <w:rsid w:val="0025796E"/>
    <w:rsid w:val="00265AB2"/>
    <w:rsid w:val="002707A2"/>
    <w:rsid w:val="002951A0"/>
    <w:rsid w:val="002962BC"/>
    <w:rsid w:val="002A093D"/>
    <w:rsid w:val="002A0DD0"/>
    <w:rsid w:val="002A49AC"/>
    <w:rsid w:val="002A64FD"/>
    <w:rsid w:val="002C2683"/>
    <w:rsid w:val="002C7A84"/>
    <w:rsid w:val="002E2BF8"/>
    <w:rsid w:val="002E4FD9"/>
    <w:rsid w:val="0030657A"/>
    <w:rsid w:val="00322A85"/>
    <w:rsid w:val="00324168"/>
    <w:rsid w:val="003274C2"/>
    <w:rsid w:val="00330834"/>
    <w:rsid w:val="003448F4"/>
    <w:rsid w:val="00374F5E"/>
    <w:rsid w:val="00377E3E"/>
    <w:rsid w:val="003A779E"/>
    <w:rsid w:val="003D0F4D"/>
    <w:rsid w:val="003D5B0D"/>
    <w:rsid w:val="003E0499"/>
    <w:rsid w:val="003E4F80"/>
    <w:rsid w:val="003E6439"/>
    <w:rsid w:val="003F3941"/>
    <w:rsid w:val="00406575"/>
    <w:rsid w:val="00410A88"/>
    <w:rsid w:val="00414C74"/>
    <w:rsid w:val="00416BD5"/>
    <w:rsid w:val="0042722E"/>
    <w:rsid w:val="0044528D"/>
    <w:rsid w:val="00466E39"/>
    <w:rsid w:val="004A1847"/>
    <w:rsid w:val="004A305D"/>
    <w:rsid w:val="004C4CCF"/>
    <w:rsid w:val="004E3808"/>
    <w:rsid w:val="004F21C4"/>
    <w:rsid w:val="004F685F"/>
    <w:rsid w:val="005566E8"/>
    <w:rsid w:val="00574867"/>
    <w:rsid w:val="0059024C"/>
    <w:rsid w:val="00591460"/>
    <w:rsid w:val="005A65E0"/>
    <w:rsid w:val="005C3777"/>
    <w:rsid w:val="005C5CDC"/>
    <w:rsid w:val="005D476C"/>
    <w:rsid w:val="00603211"/>
    <w:rsid w:val="006200BF"/>
    <w:rsid w:val="006219F8"/>
    <w:rsid w:val="006302F7"/>
    <w:rsid w:val="00646B9F"/>
    <w:rsid w:val="00665D70"/>
    <w:rsid w:val="006900D9"/>
    <w:rsid w:val="006B4D54"/>
    <w:rsid w:val="00706C16"/>
    <w:rsid w:val="007340C3"/>
    <w:rsid w:val="00745956"/>
    <w:rsid w:val="0075235A"/>
    <w:rsid w:val="0075667A"/>
    <w:rsid w:val="00756841"/>
    <w:rsid w:val="007649AB"/>
    <w:rsid w:val="00771D0C"/>
    <w:rsid w:val="007833AC"/>
    <w:rsid w:val="00785FAD"/>
    <w:rsid w:val="007B268C"/>
    <w:rsid w:val="007B7171"/>
    <w:rsid w:val="007C0C0F"/>
    <w:rsid w:val="007C3DC2"/>
    <w:rsid w:val="007E5497"/>
    <w:rsid w:val="007F3805"/>
    <w:rsid w:val="00806F5F"/>
    <w:rsid w:val="00820278"/>
    <w:rsid w:val="008258C9"/>
    <w:rsid w:val="00844AE9"/>
    <w:rsid w:val="00867F95"/>
    <w:rsid w:val="00873B07"/>
    <w:rsid w:val="00877E47"/>
    <w:rsid w:val="008843B6"/>
    <w:rsid w:val="00891588"/>
    <w:rsid w:val="00891928"/>
    <w:rsid w:val="008A446D"/>
    <w:rsid w:val="008B25F1"/>
    <w:rsid w:val="008D180B"/>
    <w:rsid w:val="008D33A7"/>
    <w:rsid w:val="008F0EA7"/>
    <w:rsid w:val="009127AE"/>
    <w:rsid w:val="00913733"/>
    <w:rsid w:val="00923EEF"/>
    <w:rsid w:val="009419F9"/>
    <w:rsid w:val="0095685E"/>
    <w:rsid w:val="00957CD6"/>
    <w:rsid w:val="00961B09"/>
    <w:rsid w:val="00965334"/>
    <w:rsid w:val="0097093E"/>
    <w:rsid w:val="00992BB6"/>
    <w:rsid w:val="009A0DFA"/>
    <w:rsid w:val="009A1C6F"/>
    <w:rsid w:val="009B2D26"/>
    <w:rsid w:val="009C71FA"/>
    <w:rsid w:val="009C72E7"/>
    <w:rsid w:val="009C7F7E"/>
    <w:rsid w:val="009D3058"/>
    <w:rsid w:val="009F3A13"/>
    <w:rsid w:val="00A122D3"/>
    <w:rsid w:val="00A14468"/>
    <w:rsid w:val="00A17F13"/>
    <w:rsid w:val="00A20739"/>
    <w:rsid w:val="00A23AF9"/>
    <w:rsid w:val="00A30F55"/>
    <w:rsid w:val="00A33C78"/>
    <w:rsid w:val="00A359F7"/>
    <w:rsid w:val="00AA1E6A"/>
    <w:rsid w:val="00AB0ADB"/>
    <w:rsid w:val="00B00C0E"/>
    <w:rsid w:val="00B01B1A"/>
    <w:rsid w:val="00B0381D"/>
    <w:rsid w:val="00B37FF7"/>
    <w:rsid w:val="00B44A47"/>
    <w:rsid w:val="00B46942"/>
    <w:rsid w:val="00B72467"/>
    <w:rsid w:val="00B72CD3"/>
    <w:rsid w:val="00B72E6D"/>
    <w:rsid w:val="00B72FFF"/>
    <w:rsid w:val="00BC3D36"/>
    <w:rsid w:val="00BD54A6"/>
    <w:rsid w:val="00BD7F72"/>
    <w:rsid w:val="00BF5190"/>
    <w:rsid w:val="00BF7425"/>
    <w:rsid w:val="00C04FB3"/>
    <w:rsid w:val="00C11D8B"/>
    <w:rsid w:val="00C15139"/>
    <w:rsid w:val="00C330EB"/>
    <w:rsid w:val="00C50D69"/>
    <w:rsid w:val="00C5365C"/>
    <w:rsid w:val="00C754BE"/>
    <w:rsid w:val="00C76B1C"/>
    <w:rsid w:val="00C925AC"/>
    <w:rsid w:val="00CB6357"/>
    <w:rsid w:val="00CB6EDA"/>
    <w:rsid w:val="00CC1B26"/>
    <w:rsid w:val="00CF07CC"/>
    <w:rsid w:val="00D00418"/>
    <w:rsid w:val="00D14FA8"/>
    <w:rsid w:val="00D361FD"/>
    <w:rsid w:val="00D423A2"/>
    <w:rsid w:val="00D44E26"/>
    <w:rsid w:val="00D520D8"/>
    <w:rsid w:val="00D52503"/>
    <w:rsid w:val="00D56317"/>
    <w:rsid w:val="00D63AC2"/>
    <w:rsid w:val="00D7383B"/>
    <w:rsid w:val="00D7788A"/>
    <w:rsid w:val="00D806DA"/>
    <w:rsid w:val="00DA231B"/>
    <w:rsid w:val="00DC39FC"/>
    <w:rsid w:val="00DF5254"/>
    <w:rsid w:val="00E02524"/>
    <w:rsid w:val="00E16408"/>
    <w:rsid w:val="00E20894"/>
    <w:rsid w:val="00E245AB"/>
    <w:rsid w:val="00E25667"/>
    <w:rsid w:val="00E2764C"/>
    <w:rsid w:val="00E27F2E"/>
    <w:rsid w:val="00E50AFE"/>
    <w:rsid w:val="00E56B90"/>
    <w:rsid w:val="00E75C92"/>
    <w:rsid w:val="00E771DC"/>
    <w:rsid w:val="00E8772A"/>
    <w:rsid w:val="00E90F6B"/>
    <w:rsid w:val="00E92C27"/>
    <w:rsid w:val="00EA0E3D"/>
    <w:rsid w:val="00EB06FB"/>
    <w:rsid w:val="00EC38A7"/>
    <w:rsid w:val="00EE1AA8"/>
    <w:rsid w:val="00F16E53"/>
    <w:rsid w:val="00F23FEA"/>
    <w:rsid w:val="00F24943"/>
    <w:rsid w:val="00F26397"/>
    <w:rsid w:val="00F31EDC"/>
    <w:rsid w:val="00F462B3"/>
    <w:rsid w:val="00F53F03"/>
    <w:rsid w:val="00F5664F"/>
    <w:rsid w:val="00F666C4"/>
    <w:rsid w:val="00F76AFC"/>
    <w:rsid w:val="00FA47C0"/>
    <w:rsid w:val="00FB5DD1"/>
    <w:rsid w:val="00FC2B5D"/>
    <w:rsid w:val="00FF060C"/>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D0041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D0041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Procesosjudiciales@procuraduria.gov.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adicaci&#243;n.dokus@procuraduria.gov.co"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5/09/Guia-para-la-gestion-contractual-de-Entidades-Estatales-con-Regimen-Especial-VF-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312E8AB2-4948-4CA9-A0E0-F0FB7560BD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18</Pages>
  <Words>5943</Words>
  <Characters>33819</Characters>
  <Application>Microsoft Office Word</Application>
  <DocSecurity>0</DocSecurity>
  <Lines>663</Lines>
  <Paragraphs>127</Paragraphs>
  <ScaleCrop>false</ScaleCrop>
  <Company/>
  <LinksUpToDate>false</LinksUpToDate>
  <CharactersWithSpaces>39635</CharactersWithSpaces>
  <SharedDoc>false</SharedDoc>
  <HLinks>
    <vt:vector size="42" baseType="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1900622</vt:i4>
      </vt:variant>
      <vt:variant>
        <vt:i4>6</vt:i4>
      </vt:variant>
      <vt:variant>
        <vt:i4>0</vt:i4>
      </vt:variant>
      <vt:variant>
        <vt:i4>5</vt:i4>
      </vt:variant>
      <vt:variant>
        <vt:lpwstr>https://relatoria.colombiacompra.gov.co/</vt:lpwstr>
      </vt:variant>
      <vt:variant>
        <vt:lpwstr/>
      </vt:variant>
      <vt:variant>
        <vt:i4>3670089</vt:i4>
      </vt:variant>
      <vt:variant>
        <vt:i4>3</vt:i4>
      </vt:variant>
      <vt:variant>
        <vt:i4>0</vt:i4>
      </vt:variant>
      <vt:variant>
        <vt:i4>5</vt:i4>
      </vt:variant>
      <vt:variant>
        <vt:lpwstr>mailto:Procesosjudiciales@procuraduria.gov.co</vt:lpwstr>
      </vt:variant>
      <vt:variant>
        <vt:lpwstr/>
      </vt:variant>
      <vt:variant>
        <vt:i4>9764896</vt:i4>
      </vt:variant>
      <vt:variant>
        <vt:i4>0</vt:i4>
      </vt:variant>
      <vt:variant>
        <vt:i4>0</vt:i4>
      </vt:variant>
      <vt:variant>
        <vt:i4>5</vt:i4>
      </vt:variant>
      <vt:variant>
        <vt:lpwstr>mailto:Radicación.dokus@procuraduria.gov.co</vt:lpwstr>
      </vt:variant>
      <vt:variant>
        <vt:lpwstr/>
      </vt:variant>
      <vt:variant>
        <vt:i4>4522048</vt:i4>
      </vt:variant>
      <vt:variant>
        <vt:i4>0</vt:i4>
      </vt:variant>
      <vt:variant>
        <vt:i4>0</vt:i4>
      </vt:variant>
      <vt:variant>
        <vt:i4>5</vt:i4>
      </vt:variant>
      <vt:variant>
        <vt:lpwstr>https://www.colombiacompra.gov.co/wp-content/uploads/2025/09/Guia-para-la-gestion-contractual-de-Entidades-Estatales-con-Regimen-Especial-VF-2-1.pdf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2026-03-25T23:59:00Z</dcterms:created>
  <dcterms:modified xsi:type="dcterms:W3CDTF">2026-03-26T22:23:00Z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