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3CECD" w14:textId="39232B05" w:rsidR="007623B3" w:rsidRPr="007623B3" w:rsidRDefault="007623B3" w:rsidP="007623B3">
      <w:pPr>
        <w:spacing w:after="0"/>
        <w:rPr>
          <w:rFonts w:ascii="Verdana" w:eastAsia="Verdana" w:hAnsi="Verdana" w:cs="Verdana"/>
        </w:rPr>
      </w:pPr>
      <w:bookmarkStart w:id="0" w:name="_Hlk143780582"/>
      <w:r w:rsidRPr="007623B3">
        <w:rPr>
          <w:rFonts w:ascii="Verdana" w:eastAsia="Calibri" w:hAnsi="Verdana" w:cs="Arial"/>
          <w:b/>
          <w:bCs/>
          <w:color w:val="000000"/>
          <w:kern w:val="2"/>
          <w:lang w:val="es-ES" w:eastAsia="es-CO"/>
          <w14:ligatures w14:val="standardContextual"/>
        </w:rPr>
        <w:t>INALTERABILIDAD – Documentos Tipo</w:t>
      </w:r>
    </w:p>
    <w:p w14:paraId="56419591" w14:textId="77777777" w:rsidR="007623B3" w:rsidRPr="007623B3" w:rsidRDefault="007623B3" w:rsidP="007623B3">
      <w:pPr>
        <w:spacing w:after="0"/>
        <w:jc w:val="both"/>
        <w:rPr>
          <w:rFonts w:ascii="Verdana" w:eastAsia="Calibri" w:hAnsi="Verdana" w:cs="Arial"/>
          <w:b/>
          <w:bCs/>
          <w:color w:val="000000"/>
          <w:kern w:val="2"/>
          <w:lang w:val="es-ES" w:eastAsia="es-CO"/>
          <w14:ligatures w14:val="standardContextual"/>
        </w:rPr>
      </w:pPr>
    </w:p>
    <w:p w14:paraId="4BE03D40" w14:textId="23E7CB4D" w:rsidR="00666FC0" w:rsidRDefault="00666FC0" w:rsidP="005401AC">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5401AC">
        <w:rPr>
          <w:rFonts w:ascii="Verdana" w:eastAsia="Times New Roman" w:hAnsi="Verdana" w:cs="Arial"/>
          <w:sz w:val="20"/>
          <w:szCs w:val="20"/>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5401AC">
        <w:rPr>
          <w:rFonts w:ascii="Verdana" w:eastAsia="Times New Roman" w:hAnsi="Verdana" w:cs="Arial"/>
          <w:i/>
          <w:iCs/>
          <w:sz w:val="20"/>
          <w:szCs w:val="20"/>
          <w:shd w:val="clear" w:color="auto" w:fill="FFFFFF"/>
          <w:lang w:val="es-ES_tradnl" w:eastAsia="es-ES_tradnl"/>
        </w:rPr>
        <w:t>Documentos del Proceso</w:t>
      </w:r>
      <w:r w:rsidRPr="005401AC">
        <w:rPr>
          <w:rFonts w:ascii="Verdana" w:eastAsia="Times New Roman" w:hAnsi="Verdana" w:cs="Arial"/>
          <w:sz w:val="20"/>
          <w:szCs w:val="20"/>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8AC29DA" w14:textId="77777777" w:rsidR="005401AC" w:rsidRPr="005401AC" w:rsidRDefault="005401AC" w:rsidP="005401AC">
      <w:pPr>
        <w:snapToGrid w:val="0"/>
        <w:spacing w:after="0" w:line="240" w:lineRule="auto"/>
        <w:jc w:val="both"/>
        <w:rPr>
          <w:rFonts w:ascii="Verdana" w:eastAsia="Calibri" w:hAnsi="Verdana" w:cs="Arial"/>
          <w:sz w:val="20"/>
          <w:szCs w:val="20"/>
          <w:lang w:val="es-ES" w:eastAsia="es-ES"/>
        </w:rPr>
      </w:pPr>
    </w:p>
    <w:p w14:paraId="749A94FE" w14:textId="6D7E43E3" w:rsidR="00666FC0" w:rsidRPr="005401AC" w:rsidRDefault="00666FC0" w:rsidP="005401AC">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5401AC">
        <w:rPr>
          <w:rFonts w:ascii="Verdana" w:eastAsia="Times New Roman" w:hAnsi="Verdana" w:cs="Arial"/>
          <w:sz w:val="20"/>
          <w:szCs w:val="20"/>
          <w:shd w:val="clear" w:color="auto" w:fill="FFFFFF"/>
          <w:lang w:val="es-ES_tradnl" w:eastAsia="es-ES_tradnl"/>
        </w:rPr>
        <w:t>El fundamento legal vigente de la regla de inalterabilidad se encuentra en el artículo 1 de la Ley 2022 de 2020, según el cual “</w:t>
      </w:r>
      <w:r w:rsidRPr="005401AC">
        <w:rPr>
          <w:rFonts w:ascii="Verdana" w:eastAsia="Times New Roman" w:hAnsi="Verdana" w:cs="Arial"/>
          <w:sz w:val="20"/>
          <w:szCs w:val="20"/>
          <w:lang w:val="es-ES_tradnl" w:eastAsia="es-ES_tradnl"/>
        </w:rPr>
        <w:t xml:space="preserve">[…] </w:t>
      </w:r>
      <w:r w:rsidRPr="005401AC">
        <w:rPr>
          <w:rFonts w:ascii="Verdana" w:eastAsia="Times New Roman" w:hAnsi="Verdana" w:cs="Arial"/>
          <w:sz w:val="20"/>
          <w:szCs w:val="20"/>
          <w:shd w:val="clear" w:color="auto" w:fill="FFFFFF"/>
          <w:lang w:val="es-ES_tradnl" w:eastAsia="es-ES_tradn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5401AC">
        <w:rPr>
          <w:rFonts w:ascii="Verdana" w:eastAsia="Times New Roman" w:hAnsi="Verdana" w:cs="Arial"/>
          <w:sz w:val="20"/>
          <w:szCs w:val="20"/>
          <w:shd w:val="clear" w:color="auto" w:fill="FFFFFF"/>
          <w:lang w:val="es-ES" w:eastAsia="es-ES"/>
        </w:rPr>
        <w:tab/>
      </w:r>
    </w:p>
    <w:p w14:paraId="357B1B2A" w14:textId="77777777" w:rsidR="007623B3" w:rsidRPr="007623B3" w:rsidRDefault="007623B3" w:rsidP="007623B3">
      <w:pPr>
        <w:spacing w:after="0"/>
        <w:jc w:val="both"/>
        <w:rPr>
          <w:rFonts w:ascii="Verdana" w:eastAsia="Calibri" w:hAnsi="Verdana" w:cs="Arial"/>
          <w:b/>
          <w:bCs/>
          <w:color w:val="000000"/>
          <w:kern w:val="2"/>
          <w:lang w:val="es-ES" w:eastAsia="es-CO"/>
          <w14:ligatures w14:val="standardContextual"/>
        </w:rPr>
      </w:pPr>
    </w:p>
    <w:p w14:paraId="4ECDD9CC" w14:textId="77777777" w:rsidR="007623B3" w:rsidRPr="007623B3" w:rsidRDefault="007623B3" w:rsidP="007623B3">
      <w:pPr>
        <w:spacing w:after="0"/>
        <w:jc w:val="both"/>
        <w:rPr>
          <w:rFonts w:ascii="Verdana" w:eastAsia="Calibri" w:hAnsi="Verdana" w:cs="Times New Roman"/>
        </w:rPr>
      </w:pPr>
      <w:r w:rsidRPr="007623B3">
        <w:rPr>
          <w:rFonts w:ascii="Verdana" w:eastAsia="Calibri" w:hAnsi="Verdana" w:cs="Arial"/>
          <w:b/>
          <w:bCs/>
          <w:color w:val="000000"/>
          <w:kern w:val="2"/>
          <w:lang w:val="es-ES" w:eastAsia="es-CO"/>
          <w14:ligatures w14:val="standardContextual"/>
        </w:rPr>
        <w:t xml:space="preserve">INDUSTRIA NACIONAL – Puntaje adicional – Decreto 680 de 2021 </w:t>
      </w:r>
    </w:p>
    <w:p w14:paraId="4A294226" w14:textId="77777777" w:rsidR="007623B3" w:rsidRPr="00B83BAB" w:rsidRDefault="007623B3" w:rsidP="007623B3">
      <w:pPr>
        <w:snapToGrid w:val="0"/>
        <w:spacing w:after="0" w:line="240" w:lineRule="auto"/>
        <w:jc w:val="both"/>
        <w:rPr>
          <w:rFonts w:ascii="Verdana" w:eastAsia="Arial" w:hAnsi="Verdana" w:cs="Arial"/>
          <w:color w:val="000000"/>
          <w:kern w:val="2"/>
          <w:lang w:val="es-ES"/>
          <w14:ligatures w14:val="standardContextual"/>
        </w:rPr>
      </w:pPr>
    </w:p>
    <w:p w14:paraId="4735D091" w14:textId="77777777" w:rsidR="00CB6E9F" w:rsidRDefault="00CB6E9F" w:rsidP="00E079DB">
      <w:pPr>
        <w:tabs>
          <w:tab w:val="left" w:pos="0"/>
        </w:tabs>
        <w:spacing w:after="0" w:line="240" w:lineRule="auto"/>
        <w:jc w:val="both"/>
        <w:rPr>
          <w:rFonts w:ascii="Verdana" w:eastAsia="Calibri" w:hAnsi="Verdana" w:cs="Arial"/>
          <w:bCs/>
          <w:color w:val="000000"/>
          <w:sz w:val="20"/>
          <w:szCs w:val="20"/>
          <w:lang w:val="es-ES_tradnl"/>
        </w:rPr>
      </w:pPr>
      <w:r w:rsidRPr="00E079DB">
        <w:rPr>
          <w:rFonts w:ascii="Verdana" w:eastAsia="Calibri" w:hAnsi="Verdana" w:cs="Arial"/>
          <w:bCs/>
          <w:color w:val="000000"/>
          <w:sz w:val="20"/>
          <w:szCs w:val="20"/>
          <w:lang w:val="es-ES_tradnl"/>
        </w:rPr>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E079DB">
        <w:rPr>
          <w:rFonts w:ascii="Verdana" w:eastAsia="Calibri" w:hAnsi="Verdana" w:cs="Arial"/>
          <w:sz w:val="20"/>
          <w:szCs w:val="20"/>
          <w:lang w:val="es-ES_tradnl"/>
        </w:rPr>
        <w:t xml:space="preserve">[…] </w:t>
      </w:r>
      <w:r w:rsidRPr="00E079DB">
        <w:rPr>
          <w:rFonts w:ascii="Verdana" w:eastAsia="Calibri" w:hAnsi="Verdana" w:cs="Arial"/>
          <w:bCs/>
          <w:color w:val="000000"/>
          <w:sz w:val="20"/>
          <w:szCs w:val="20"/>
          <w:lang w:val="es-ES_tradnl"/>
        </w:rPr>
        <w:t xml:space="preserve">un puntaje comprendido entre el diez (10) y el veinte por ciento (20%)” para estimular la industria nacional, cuando se oferten bienes o servicios nacionales” –inciso primero o “Franja 1”–. Adicionalmente, la norma indica que, si no se ofertan bienes o servicios nacionales, sino bienes o servicios </w:t>
      </w:r>
      <w:r w:rsidRPr="00E079DB">
        <w:rPr>
          <w:rFonts w:ascii="Verdana" w:eastAsia="Calibri" w:hAnsi="Verdana" w:cs="Arial"/>
          <w:bCs/>
          <w:i/>
          <w:iCs/>
          <w:color w:val="000000"/>
          <w:sz w:val="20"/>
          <w:szCs w:val="20"/>
          <w:lang w:val="es-ES_tradnl"/>
        </w:rPr>
        <w:t>extranjeros</w:t>
      </w:r>
      <w:r w:rsidRPr="00E079DB">
        <w:rPr>
          <w:rFonts w:ascii="Verdana" w:eastAsia="Calibri" w:hAnsi="Verdana" w:cs="Arial"/>
          <w:bCs/>
          <w:color w:val="000000"/>
          <w:sz w:val="20"/>
          <w:szCs w:val="2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E079DB">
        <w:rPr>
          <w:rFonts w:ascii="Verdana" w:eastAsia="Calibri" w:hAnsi="Verdana" w:cs="Arial"/>
          <w:bCs/>
          <w:color w:val="000000"/>
          <w:sz w:val="20"/>
          <w:szCs w:val="20"/>
        </w:rPr>
        <w:t>“</w:t>
      </w:r>
      <w:r w:rsidRPr="00E079DB">
        <w:rPr>
          <w:rFonts w:ascii="Verdana" w:eastAsia="Calibri" w:hAnsi="Verdana" w:cs="Arial"/>
          <w:bCs/>
          <w:color w:val="000000"/>
          <w:sz w:val="20"/>
          <w:szCs w:val="20"/>
          <w:lang w:val="es-ES_tradnl"/>
        </w:rPr>
        <w:t xml:space="preserve">Franja 2”–. </w:t>
      </w:r>
    </w:p>
    <w:p w14:paraId="5FDA5480" w14:textId="77777777" w:rsidR="00B83BAB" w:rsidRPr="00E079DB" w:rsidRDefault="00B83BAB" w:rsidP="00E079DB">
      <w:pPr>
        <w:tabs>
          <w:tab w:val="left" w:pos="0"/>
        </w:tabs>
        <w:spacing w:after="0" w:line="240" w:lineRule="auto"/>
        <w:jc w:val="both"/>
        <w:rPr>
          <w:rFonts w:ascii="Verdana" w:eastAsia="Calibri" w:hAnsi="Verdana" w:cs="Arial"/>
          <w:bCs/>
          <w:color w:val="000000"/>
          <w:sz w:val="20"/>
          <w:szCs w:val="20"/>
          <w:lang w:val="es-ES_tradnl"/>
        </w:rPr>
      </w:pPr>
    </w:p>
    <w:p w14:paraId="768F3512" w14:textId="0F5B0EA7" w:rsidR="00CB6E9F" w:rsidRPr="00E079DB" w:rsidRDefault="00CB6E9F" w:rsidP="00E079DB">
      <w:pPr>
        <w:spacing w:after="0" w:line="240" w:lineRule="auto"/>
        <w:jc w:val="both"/>
        <w:rPr>
          <w:rFonts w:ascii="Verdana" w:eastAsia="Calibri" w:hAnsi="Verdana" w:cs="Arial"/>
          <w:color w:val="000000"/>
          <w:sz w:val="20"/>
          <w:szCs w:val="20"/>
          <w:lang w:val="es-ES"/>
        </w:rPr>
      </w:pPr>
      <w:r w:rsidRPr="00E079DB">
        <w:rPr>
          <w:rFonts w:ascii="Verdana" w:eastAsia="Calibri" w:hAnsi="Verdana" w:cs="Arial"/>
          <w:color w:val="000000"/>
          <w:sz w:val="20"/>
          <w:szCs w:val="2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E079DB">
        <w:rPr>
          <w:rFonts w:ascii="Verdana" w:eastAsia="Calibri" w:hAnsi="Verdana" w:cs="Arial"/>
          <w:i/>
          <w:iCs/>
          <w:color w:val="000000"/>
          <w:sz w:val="20"/>
          <w:szCs w:val="20"/>
          <w:lang w:val="es-ES"/>
        </w:rPr>
        <w:t>Servicios Nacionales</w:t>
      </w:r>
      <w:r w:rsidRPr="00E079DB">
        <w:rPr>
          <w:rFonts w:ascii="Verdana" w:eastAsia="Calibri" w:hAnsi="Verdana" w:cs="Arial"/>
          <w:color w:val="000000"/>
          <w:sz w:val="20"/>
          <w:szCs w:val="20"/>
          <w:lang w:val="es-ES"/>
        </w:rPr>
        <w:t xml:space="preserve"> en forma distinta, así:</w:t>
      </w:r>
    </w:p>
    <w:p w14:paraId="0F118FFE" w14:textId="77777777" w:rsidR="007623B3" w:rsidRPr="00E079DB" w:rsidRDefault="007623B3" w:rsidP="00E079DB">
      <w:pPr>
        <w:spacing w:after="0" w:line="240" w:lineRule="auto"/>
        <w:jc w:val="both"/>
        <w:rPr>
          <w:rFonts w:ascii="Verdana" w:eastAsia="Calibri" w:hAnsi="Verdana" w:cs="Arial"/>
          <w:color w:val="000000"/>
          <w:sz w:val="20"/>
          <w:szCs w:val="20"/>
          <w:lang w:val="es-ES"/>
        </w:rPr>
      </w:pPr>
      <w:r w:rsidRPr="00E079DB">
        <w:rPr>
          <w:rFonts w:ascii="Verdana" w:eastAsia="Calibri" w:hAnsi="Verdana" w:cs="Arial"/>
          <w:color w:val="000000"/>
          <w:sz w:val="20"/>
          <w:szCs w:val="20"/>
          <w:lang w:val="es-ES"/>
        </w:rPr>
        <w:lastRenderedPageBreak/>
        <w:t>[…]</w:t>
      </w:r>
    </w:p>
    <w:p w14:paraId="17122290" w14:textId="77777777" w:rsidR="00734C1C" w:rsidRPr="00E079DB" w:rsidRDefault="00734C1C" w:rsidP="00E079DB">
      <w:pPr>
        <w:tabs>
          <w:tab w:val="left" w:pos="0"/>
        </w:tabs>
        <w:spacing w:after="0" w:line="240" w:lineRule="auto"/>
        <w:jc w:val="both"/>
        <w:rPr>
          <w:rFonts w:ascii="Verdana" w:eastAsia="Calibri" w:hAnsi="Verdana" w:cs="Arial"/>
          <w:bCs/>
          <w:color w:val="000000"/>
          <w:sz w:val="20"/>
          <w:szCs w:val="20"/>
          <w:lang w:val="es-ES_tradnl"/>
        </w:rPr>
      </w:pPr>
      <w:r w:rsidRPr="00E079DB">
        <w:rPr>
          <w:rFonts w:ascii="Verdana" w:eastAsia="Calibri" w:hAnsi="Verdana" w:cs="Arial"/>
          <w:bCs/>
          <w:color w:val="000000"/>
          <w:sz w:val="20"/>
          <w:szCs w:val="20"/>
          <w:lang w:val="es-ES_tradnl"/>
        </w:rPr>
        <w:t xml:space="preserve">De acuerdo con lo anterior, la noción de </w:t>
      </w:r>
      <w:r w:rsidRPr="00E079DB">
        <w:rPr>
          <w:rFonts w:ascii="Verdana" w:eastAsia="Calibri" w:hAnsi="Verdana" w:cs="Arial"/>
          <w:bCs/>
          <w:i/>
          <w:iCs/>
          <w:color w:val="000000"/>
          <w:sz w:val="20"/>
          <w:szCs w:val="20"/>
          <w:lang w:val="es-ES_tradnl"/>
        </w:rPr>
        <w:t>Servicios Nacionales</w:t>
      </w:r>
      <w:r w:rsidRPr="00E079DB">
        <w:rPr>
          <w:rFonts w:ascii="Verdana" w:eastAsia="Calibri" w:hAnsi="Verdana" w:cs="Arial"/>
          <w:bCs/>
          <w:color w:val="000000"/>
          <w:sz w:val="20"/>
          <w:szCs w:val="20"/>
          <w:lang w:val="es-ES_tradnl"/>
        </w:rPr>
        <w:t xml:space="preserv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E079DB">
        <w:rPr>
          <w:rFonts w:ascii="Verdana" w:eastAsia="Calibri" w:hAnsi="Verdana" w:cs="Arial"/>
          <w:bCs/>
          <w:i/>
          <w:iCs/>
          <w:color w:val="000000"/>
          <w:sz w:val="20"/>
          <w:szCs w:val="20"/>
          <w:lang w:val="es-ES_tradnl"/>
        </w:rPr>
        <w:t xml:space="preserve">Servicios Nacionales </w:t>
      </w:r>
      <w:r w:rsidRPr="00E079DB">
        <w:rPr>
          <w:rFonts w:ascii="Verdana" w:eastAsia="Calibri" w:hAnsi="Verdana" w:cs="Arial"/>
          <w:bCs/>
          <w:color w:val="000000"/>
          <w:sz w:val="20"/>
          <w:szCs w:val="20"/>
          <w:lang w:val="es-ES_tradnl"/>
        </w:rPr>
        <w:t xml:space="preserve">remite a la noción de </w:t>
      </w:r>
      <w:r w:rsidRPr="00E079DB">
        <w:rPr>
          <w:rFonts w:ascii="Verdana" w:eastAsia="Calibri" w:hAnsi="Verdana" w:cs="Arial"/>
          <w:bCs/>
          <w:i/>
          <w:iCs/>
          <w:color w:val="000000"/>
          <w:sz w:val="20"/>
          <w:szCs w:val="20"/>
          <w:lang w:val="es-ES_tradnl"/>
        </w:rPr>
        <w:t>Bienes Nacionales</w:t>
      </w:r>
      <w:r w:rsidRPr="00E079DB">
        <w:rPr>
          <w:rFonts w:ascii="Verdana" w:eastAsia="Calibri" w:hAnsi="Verdana" w:cs="Arial"/>
          <w:bCs/>
          <w:color w:val="000000"/>
          <w:sz w:val="20"/>
          <w:szCs w:val="20"/>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p>
    <w:p w14:paraId="022AD274" w14:textId="77777777" w:rsidR="007623B3" w:rsidRPr="007623B3" w:rsidRDefault="007623B3" w:rsidP="007623B3">
      <w:pPr>
        <w:snapToGrid w:val="0"/>
        <w:spacing w:after="0" w:line="240" w:lineRule="auto"/>
        <w:jc w:val="both"/>
        <w:rPr>
          <w:rFonts w:ascii="Verdana" w:eastAsia="Calibri" w:hAnsi="Verdana" w:cs="Arial"/>
          <w:b/>
          <w:bCs/>
          <w:color w:val="000000"/>
          <w:kern w:val="2"/>
          <w:lang w:val="es-ES" w:eastAsia="es-CO"/>
          <w14:ligatures w14:val="standardContextual"/>
        </w:rPr>
      </w:pPr>
    </w:p>
    <w:p w14:paraId="3FD84D1C" w14:textId="77777777" w:rsidR="007623B3" w:rsidRPr="007623B3" w:rsidRDefault="007623B3" w:rsidP="007623B3">
      <w:pPr>
        <w:snapToGrid w:val="0"/>
        <w:spacing w:after="0" w:line="276" w:lineRule="auto"/>
        <w:jc w:val="both"/>
        <w:rPr>
          <w:rFonts w:ascii="Verdana" w:eastAsia="Calibri" w:hAnsi="Verdana" w:cs="Arial"/>
          <w:b/>
          <w:bCs/>
          <w:color w:val="000000"/>
          <w:kern w:val="2"/>
          <w:lang w:val="es-ES" w:eastAsia="es-CO"/>
          <w14:ligatures w14:val="standardContextual"/>
        </w:rPr>
      </w:pPr>
      <w:r w:rsidRPr="007623B3">
        <w:rPr>
          <w:rFonts w:ascii="Verdana" w:eastAsia="Calibri" w:hAnsi="Verdana" w:cs="Arial"/>
          <w:b/>
          <w:bCs/>
          <w:color w:val="000000"/>
          <w:kern w:val="2"/>
          <w:lang w:val="es-ES" w:eastAsia="es-CO"/>
          <w14:ligatures w14:val="standardContextual"/>
        </w:rPr>
        <w:t xml:space="preserve">DOCUMENTOS TIPO DE LICITACIÓN DE INFRAESTRUCTURA DE TRANSPORTE – Apoyo a la industria nacional – Promoción de servicios nacionales o con trato nacional </w:t>
      </w:r>
    </w:p>
    <w:p w14:paraId="68130204" w14:textId="77777777" w:rsidR="007623B3" w:rsidRPr="007623B3" w:rsidRDefault="007623B3" w:rsidP="007623B3">
      <w:pPr>
        <w:snapToGrid w:val="0"/>
        <w:spacing w:after="0" w:line="240" w:lineRule="auto"/>
        <w:jc w:val="both"/>
        <w:rPr>
          <w:rFonts w:ascii="Verdana" w:eastAsia="Calibri" w:hAnsi="Verdana" w:cs="Arial"/>
          <w:b/>
          <w:bCs/>
          <w:color w:val="000000"/>
          <w:kern w:val="2"/>
          <w:lang w:val="es-ES" w:eastAsia="es-CO"/>
          <w14:ligatures w14:val="standardContextual"/>
        </w:rPr>
      </w:pPr>
    </w:p>
    <w:p w14:paraId="3C4131F0" w14:textId="184FB7DD" w:rsidR="007623B3" w:rsidRPr="00B83BAB" w:rsidRDefault="007623B3" w:rsidP="00F34232">
      <w:pPr>
        <w:spacing w:after="0" w:line="240" w:lineRule="auto"/>
        <w:jc w:val="both"/>
        <w:rPr>
          <w:rFonts w:ascii="Verdana" w:eastAsia="Calibri" w:hAnsi="Verdana" w:cs="Arial"/>
          <w:color w:val="000000"/>
          <w:sz w:val="20"/>
          <w:szCs w:val="20"/>
        </w:rPr>
      </w:pPr>
      <w:r w:rsidRPr="00B83BAB">
        <w:rPr>
          <w:rFonts w:ascii="Verdana" w:eastAsia="Calibri" w:hAnsi="Verdana" w:cs="Arial"/>
          <w:color w:val="000000"/>
          <w:sz w:val="20"/>
          <w:szCs w:val="20"/>
        </w:rPr>
        <w:t xml:space="preserve">[…] </w:t>
      </w:r>
      <w:r w:rsidR="00734C1C" w:rsidRPr="00B83BAB">
        <w:rPr>
          <w:rFonts w:ascii="Verdana" w:eastAsia="Calibri" w:hAnsi="Verdana" w:cs="Arial"/>
          <w:color w:val="000000"/>
          <w:sz w:val="20"/>
          <w:szCs w:val="20"/>
        </w:rPr>
        <w:t xml:space="preserve">el numeral 4.3 </w:t>
      </w:r>
      <w:r w:rsidR="00734C1C" w:rsidRPr="00B83BAB">
        <w:rPr>
          <w:rFonts w:ascii="Verdana" w:eastAsia="Calibri" w:hAnsi="Verdana" w:cs="Arial"/>
          <w:i/>
          <w:iCs/>
          <w:color w:val="000000"/>
          <w:sz w:val="20"/>
          <w:szCs w:val="20"/>
        </w:rPr>
        <w:t>“Apoyo a la Industria Nacional”</w:t>
      </w:r>
      <w:r w:rsidR="00734C1C" w:rsidRPr="00B83BAB">
        <w:rPr>
          <w:rFonts w:ascii="Verdana" w:eastAsia="Calibri" w:hAnsi="Verdana" w:cs="Arial"/>
          <w:color w:val="000000"/>
          <w:sz w:val="20"/>
          <w:szCs w:val="20"/>
        </w:rPr>
        <w:t xml:space="preserve"> del documento base de los documentos tipo de licitación de obra pública de infraestructura de transporte –Versión 4– indica que, </w:t>
      </w:r>
      <w:r w:rsidR="00734C1C" w:rsidRPr="00B83BAB">
        <w:rPr>
          <w:rFonts w:ascii="Verdana" w:eastAsia="Calibri" w:hAnsi="Verdana" w:cs="Arial"/>
          <w:i/>
          <w:iCs/>
          <w:color w:val="000000"/>
          <w:sz w:val="20"/>
          <w:szCs w:val="20"/>
        </w:rPr>
        <w:t xml:space="preserve">“los proponentes pueden obtener puntaje de apoyo a la industria nacional por: i) Servicios Nacionales o con Trato Nacional o por ii) la incorporación de componente nacional en servicios extranjeros […]”, </w:t>
      </w:r>
      <w:r w:rsidR="00734C1C" w:rsidRPr="00B83BAB">
        <w:rPr>
          <w:rFonts w:ascii="Verdana" w:eastAsia="Calibri" w:hAnsi="Verdana" w:cs="Arial"/>
          <w:color w:val="000000"/>
          <w:sz w:val="20"/>
          <w:szCs w:val="20"/>
        </w:rPr>
        <w:t>es decir, que el proponente deberá verificar en primer lugar si accederá al referido puntaje mediante alguno de los dos conceptos mencionados que se relacionan así en la siguiente tabla:</w:t>
      </w:r>
    </w:p>
    <w:p w14:paraId="2C259FE7" w14:textId="77777777" w:rsidR="007623B3" w:rsidRPr="00B83BAB" w:rsidRDefault="007623B3" w:rsidP="00F34232">
      <w:pPr>
        <w:spacing w:after="0" w:line="240" w:lineRule="auto"/>
        <w:jc w:val="both"/>
        <w:rPr>
          <w:rFonts w:ascii="Verdana" w:eastAsia="Calibri" w:hAnsi="Verdana" w:cs="Arial"/>
          <w:color w:val="000000"/>
          <w:sz w:val="20"/>
          <w:szCs w:val="20"/>
        </w:rPr>
      </w:pPr>
      <w:r w:rsidRPr="00B83BAB">
        <w:rPr>
          <w:rFonts w:ascii="Verdana" w:eastAsia="Calibri" w:hAnsi="Verdana" w:cs="Arial"/>
          <w:color w:val="000000"/>
          <w:sz w:val="20"/>
          <w:szCs w:val="20"/>
        </w:rPr>
        <w:t>[…]</w:t>
      </w:r>
    </w:p>
    <w:p w14:paraId="3A7420FB" w14:textId="5BA1DB89" w:rsidR="007623B3" w:rsidRPr="00B83BAB" w:rsidRDefault="00734C1C" w:rsidP="00F34232">
      <w:pPr>
        <w:spacing w:after="0" w:line="240" w:lineRule="auto"/>
        <w:jc w:val="both"/>
        <w:rPr>
          <w:rFonts w:ascii="Verdana" w:eastAsia="Arial" w:hAnsi="Verdana" w:cs="Arial"/>
          <w:color w:val="000000"/>
          <w:sz w:val="20"/>
          <w:szCs w:val="20"/>
        </w:rPr>
      </w:pPr>
      <w:r w:rsidRPr="00B83BAB">
        <w:rPr>
          <w:rFonts w:ascii="Verdana" w:eastAsia="Calibri" w:hAnsi="Verdana" w:cs="Arial"/>
          <w:color w:val="000000"/>
          <w:sz w:val="20"/>
          <w:szCs w:val="20"/>
        </w:rPr>
        <w:t xml:space="preserve">Asimismo, el numeral 4.3.1 </w:t>
      </w:r>
      <w:r w:rsidRPr="00B83BAB">
        <w:rPr>
          <w:rFonts w:ascii="Verdana" w:eastAsia="Calibri" w:hAnsi="Verdana" w:cs="Arial"/>
          <w:i/>
          <w:iCs/>
          <w:color w:val="000000"/>
          <w:sz w:val="20"/>
          <w:szCs w:val="20"/>
        </w:rPr>
        <w:t>ibidem</w:t>
      </w:r>
      <w:r w:rsidRPr="00B83BAB">
        <w:rPr>
          <w:rFonts w:ascii="Verdana" w:eastAsia="Calibri" w:hAnsi="Verdana" w:cs="Arial"/>
          <w:sz w:val="20"/>
          <w:szCs w:val="20"/>
        </w:rPr>
        <w:t xml:space="preserve"> </w:t>
      </w:r>
      <w:r w:rsidRPr="00B83BAB">
        <w:rPr>
          <w:rFonts w:ascii="Verdana" w:eastAsia="Calibri" w:hAnsi="Verdana" w:cs="Arial"/>
          <w:i/>
          <w:iCs/>
          <w:color w:val="000000"/>
          <w:sz w:val="20"/>
          <w:szCs w:val="20"/>
        </w:rPr>
        <w:t>“Promoción de Servicios Nacionales o con Trato Nacional”</w:t>
      </w:r>
      <w:r w:rsidRPr="00B83BAB">
        <w:rPr>
          <w:rFonts w:ascii="Verdana" w:eastAsia="Calibri" w:hAnsi="Verdana" w:cs="Arial"/>
          <w:color w:val="000000"/>
          <w:sz w:val="20"/>
          <w:szCs w:val="20"/>
        </w:rPr>
        <w:t xml:space="preserve"> explica cómo el proponente se hace acreedor para el otorgamiento de puntaje, las reglas que las entidades deben tener en cuenta para definir los Bienes Nacionales Relevantes y el porcentaje de empleados o contratistas por prestación de servicios colombianos al que deberán comprometerse los proponentes en caso de que </w:t>
      </w:r>
      <w:r w:rsidRPr="00B83BAB">
        <w:rPr>
          <w:rFonts w:ascii="Verdana" w:eastAsia="Arial" w:hAnsi="Verdana" w:cs="Arial"/>
          <w:color w:val="000000"/>
          <w:sz w:val="20"/>
          <w:szCs w:val="20"/>
        </w:rPr>
        <w:t xml:space="preserve">ninguno de los bienes relevantes están incluidos en el Registro de Productores de Bienes Nacionales, con el fin de que la entidad estatal otorgue el puntaje. De igual forma, para la </w:t>
      </w:r>
      <w:r w:rsidRPr="00B83BAB">
        <w:rPr>
          <w:rFonts w:ascii="Verdana" w:eastAsia="Calibri" w:hAnsi="Verdana" w:cs="Arial"/>
          <w:i/>
          <w:iCs/>
          <w:color w:val="000000"/>
          <w:sz w:val="20"/>
          <w:szCs w:val="20"/>
        </w:rPr>
        <w:t>“</w:t>
      </w:r>
      <w:r w:rsidRPr="00B83BAB">
        <w:rPr>
          <w:rFonts w:ascii="Verdana" w:eastAsia="Arial" w:hAnsi="Verdana" w:cs="Arial"/>
          <w:bCs/>
          <w:i/>
          <w:iCs/>
          <w:color w:val="000000"/>
          <w:sz w:val="20"/>
          <w:szCs w:val="20"/>
        </w:rPr>
        <w:t>Acreditación del Puntaje por Servicios Nacionales o Con Trato Nacional</w:t>
      </w:r>
      <w:r w:rsidRPr="00B83BAB">
        <w:rPr>
          <w:rFonts w:ascii="Verdana" w:eastAsia="Calibri" w:hAnsi="Verdana" w:cs="Arial"/>
          <w:i/>
          <w:iCs/>
          <w:color w:val="000000"/>
          <w:sz w:val="20"/>
          <w:szCs w:val="20"/>
        </w:rPr>
        <w:t>”</w:t>
      </w:r>
      <w:r w:rsidRPr="00B83BAB">
        <w:rPr>
          <w:rFonts w:ascii="Verdana" w:eastAsia="Arial" w:hAnsi="Verdana" w:cs="Arial"/>
          <w:bCs/>
          <w:i/>
          <w:iCs/>
          <w:color w:val="000000"/>
          <w:sz w:val="20"/>
          <w:szCs w:val="20"/>
        </w:rPr>
        <w:t xml:space="preserve"> </w:t>
      </w:r>
      <w:r w:rsidRPr="00B83BAB">
        <w:rPr>
          <w:rFonts w:ascii="Verdana" w:eastAsia="Arial" w:hAnsi="Verdana" w:cs="Arial"/>
          <w:bCs/>
          <w:color w:val="000000"/>
          <w:sz w:val="20"/>
          <w:szCs w:val="20"/>
        </w:rPr>
        <w:t>el numeral 4.3.2 prevé lo siguiente:</w:t>
      </w:r>
      <w:r w:rsidR="00B83BAB" w:rsidRPr="00B83BAB">
        <w:rPr>
          <w:rFonts w:ascii="Verdana" w:eastAsia="Arial" w:hAnsi="Verdana" w:cs="Arial"/>
          <w:color w:val="000000"/>
          <w:sz w:val="20"/>
          <w:szCs w:val="20"/>
        </w:rPr>
        <w:t xml:space="preserve"> </w:t>
      </w:r>
      <w:r w:rsidR="007623B3" w:rsidRPr="00B83BAB">
        <w:rPr>
          <w:rFonts w:ascii="Verdana" w:eastAsia="Arial" w:hAnsi="Verdana" w:cs="Arial"/>
          <w:bCs/>
          <w:color w:val="000000"/>
          <w:sz w:val="20"/>
          <w:szCs w:val="20"/>
        </w:rPr>
        <w:t>[…]</w:t>
      </w:r>
    </w:p>
    <w:p w14:paraId="142222A4" w14:textId="77777777" w:rsidR="007623B3" w:rsidRPr="007623B3" w:rsidRDefault="007623B3" w:rsidP="007623B3">
      <w:pPr>
        <w:tabs>
          <w:tab w:val="left" w:pos="709"/>
        </w:tabs>
        <w:spacing w:after="0" w:line="240" w:lineRule="auto"/>
        <w:jc w:val="both"/>
        <w:rPr>
          <w:rFonts w:ascii="Verdana" w:eastAsia="Calibri" w:hAnsi="Verdana" w:cs="Arial"/>
          <w:bCs/>
          <w:color w:val="000000"/>
          <w:kern w:val="2"/>
          <w:lang w:val="es-ES_tradnl"/>
          <w14:ligatures w14:val="standardContextual"/>
        </w:rPr>
      </w:pPr>
    </w:p>
    <w:p w14:paraId="7C979ECD" w14:textId="77777777" w:rsidR="007623B3" w:rsidRPr="007623B3" w:rsidRDefault="007623B3" w:rsidP="007623B3">
      <w:pPr>
        <w:tabs>
          <w:tab w:val="left" w:pos="709"/>
        </w:tabs>
        <w:adjustRightInd w:val="0"/>
        <w:snapToGrid w:val="0"/>
        <w:spacing w:after="0" w:line="276" w:lineRule="auto"/>
        <w:jc w:val="both"/>
        <w:rPr>
          <w:rFonts w:ascii="Verdana" w:eastAsia="Aptos" w:hAnsi="Verdana" w:cs="Arial"/>
          <w:b/>
          <w:bCs/>
          <w:kern w:val="2"/>
          <w:lang w:val="es-ES_tradnl"/>
          <w14:ligatures w14:val="standardContextual"/>
        </w:rPr>
      </w:pPr>
      <w:r w:rsidRPr="007623B3">
        <w:rPr>
          <w:rFonts w:ascii="Verdana" w:eastAsia="Aptos" w:hAnsi="Verdana" w:cs="Arial"/>
          <w:b/>
          <w:bCs/>
          <w:kern w:val="2"/>
          <w:lang w:val="es-ES_tradnl"/>
          <w14:ligatures w14:val="standardContextual"/>
        </w:rPr>
        <w:t>DOCUMENTOS TIPO DE LICITACIÓN DE INFRAESTRUCTURA DE TRANSPORTE – Matriz 4 – Bienes nacionales relevantes para la obra pública del sector transporte – Registro de Productores de Bienes Nacionales – Vigencia</w:t>
      </w:r>
    </w:p>
    <w:p w14:paraId="5FB42BA3" w14:textId="77777777" w:rsidR="007623B3" w:rsidRPr="007623B3" w:rsidRDefault="007623B3" w:rsidP="007623B3">
      <w:pPr>
        <w:snapToGrid w:val="0"/>
        <w:spacing w:after="0" w:line="240" w:lineRule="auto"/>
        <w:jc w:val="both"/>
        <w:rPr>
          <w:rFonts w:ascii="Verdana" w:eastAsia="Calibri" w:hAnsi="Verdana" w:cs="Arial"/>
          <w:b/>
          <w:bCs/>
          <w:color w:val="000000"/>
          <w:kern w:val="2"/>
          <w:lang w:val="es-ES" w:eastAsia="es-CO"/>
          <w14:ligatures w14:val="standardContextual"/>
        </w:rPr>
      </w:pPr>
    </w:p>
    <w:p w14:paraId="1DFAEE26" w14:textId="03E893FD" w:rsidR="007623B3" w:rsidRPr="00F34232" w:rsidRDefault="007623B3" w:rsidP="00F34232">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F34232">
        <w:rPr>
          <w:rFonts w:ascii="Verdana" w:eastAsia="Calibri" w:hAnsi="Verdana" w:cs="Arial"/>
          <w:bCs/>
          <w:color w:val="000000"/>
          <w:kern w:val="2"/>
          <w:sz w:val="20"/>
          <w:szCs w:val="20"/>
          <w:lang w:val="es-ES_tradnl"/>
          <w14:ligatures w14:val="standardContextual"/>
        </w:rPr>
        <w:t xml:space="preserve">[…] </w:t>
      </w:r>
      <w:r w:rsidR="004C1868" w:rsidRPr="00F34232">
        <w:rPr>
          <w:rFonts w:ascii="Verdana" w:eastAsia="Calibri" w:hAnsi="Verdana" w:cs="Arial"/>
          <w:bCs/>
          <w:color w:val="000000"/>
          <w:kern w:val="2"/>
          <w:sz w:val="20"/>
          <w:szCs w:val="20"/>
          <w:lang w:val="es-ES_tradnl"/>
          <w14:ligatures w14:val="standardContextual"/>
        </w:rPr>
        <w:t xml:space="preserve">la “Matriz 4 – Bienes nacionales relevantes para la obra pública del sector transporte” señala la metodología para identificar los bienes nacionales relevantes para la ejecución </w:t>
      </w:r>
      <w:r w:rsidR="004C1868" w:rsidRPr="00F34232">
        <w:rPr>
          <w:rFonts w:ascii="Verdana" w:eastAsia="Calibri" w:hAnsi="Verdana" w:cs="Arial"/>
          <w:bCs/>
          <w:color w:val="000000"/>
          <w:kern w:val="2"/>
          <w:sz w:val="20"/>
          <w:szCs w:val="20"/>
          <w:lang w:val="es-ES_tradnl"/>
          <w14:ligatures w14:val="standardContextual"/>
        </w:rPr>
        <w:lastRenderedPageBreak/>
        <w:t>del objeto a contratar. Particularmente, sobre las preguntas objeto de su consulta, indica:</w:t>
      </w:r>
    </w:p>
    <w:p w14:paraId="3E8EEACA" w14:textId="77777777" w:rsidR="007623B3" w:rsidRPr="00F34232" w:rsidRDefault="007623B3" w:rsidP="00F34232">
      <w:pPr>
        <w:tabs>
          <w:tab w:val="left" w:pos="709"/>
        </w:tabs>
        <w:adjustRightInd w:val="0"/>
        <w:snapToGrid w:val="0"/>
        <w:spacing w:after="0" w:line="240" w:lineRule="auto"/>
        <w:ind w:right="709"/>
        <w:jc w:val="both"/>
        <w:rPr>
          <w:rFonts w:ascii="Verdana" w:eastAsia="Calibri" w:hAnsi="Verdana" w:cs="Arial"/>
          <w:bCs/>
          <w:color w:val="000000"/>
          <w:kern w:val="2"/>
          <w:sz w:val="20"/>
          <w:szCs w:val="20"/>
          <w:lang w:val="es-ES_tradnl"/>
          <w14:ligatures w14:val="standardContextual"/>
        </w:rPr>
      </w:pPr>
      <w:r w:rsidRPr="00F34232">
        <w:rPr>
          <w:rFonts w:ascii="Verdana" w:eastAsia="Calibri" w:hAnsi="Verdana" w:cs="Arial"/>
          <w:bCs/>
          <w:color w:val="000000"/>
          <w:kern w:val="2"/>
          <w:sz w:val="20"/>
          <w:szCs w:val="20"/>
          <w:lang w:val="es-ES_tradnl"/>
          <w14:ligatures w14:val="standardContextual"/>
        </w:rPr>
        <w:t>[…]</w:t>
      </w:r>
    </w:p>
    <w:p w14:paraId="3E7F39BA" w14:textId="77777777" w:rsidR="00A06105" w:rsidRDefault="005401AC" w:rsidP="00A06105">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F34232">
        <w:rPr>
          <w:rFonts w:ascii="Verdana" w:eastAsia="Calibri" w:hAnsi="Verdana" w:cs="Arial"/>
          <w:bCs/>
          <w:color w:val="000000"/>
          <w:kern w:val="2"/>
          <w:sz w:val="20"/>
          <w:szCs w:val="20"/>
          <w:lang w:val="es-ES_tradnl"/>
          <w14:ligatures w14:val="standardContextual"/>
        </w:rPr>
        <w:t xml:space="preserve">Conforme a la metodología anterior, la entidad contratante deberá verificar, al momento de publicar el pliego de condiciones definitivo, que el registro del bien o insumo se encuentre vigente hasta una fecha posterior a la del cierre del proceso de proceso de contratación, entendiéndose por </w:t>
      </w:r>
      <w:r w:rsidRPr="00F34232">
        <w:rPr>
          <w:rFonts w:ascii="Verdana" w:eastAsia="Calibri" w:hAnsi="Verdana" w:cs="Arial"/>
          <w:bCs/>
          <w:i/>
          <w:iCs/>
          <w:color w:val="000000"/>
          <w:kern w:val="2"/>
          <w:sz w:val="20"/>
          <w:szCs w:val="20"/>
          <w:lang w:val="es-ES_tradnl"/>
          <w14:ligatures w14:val="standardContextual"/>
        </w:rPr>
        <w:t>fecha de cierre</w:t>
      </w:r>
      <w:r w:rsidRPr="00F34232">
        <w:rPr>
          <w:rFonts w:ascii="Verdana" w:eastAsia="Calibri" w:hAnsi="Verdana" w:cs="Arial"/>
          <w:bCs/>
          <w:color w:val="000000"/>
          <w:kern w:val="2"/>
          <w:sz w:val="20"/>
          <w:szCs w:val="20"/>
          <w:lang w:val="es-ES_tradnl"/>
          <w14:ligatures w14:val="standardContextual"/>
        </w:rPr>
        <w:t xml:space="preserve"> la publicada en el pliego de condiciones definitivo. Una vez verificada la fecha de registro de estos bienes, estos serán los que se incluyan en el numeral 4.3.1 del documento base.</w:t>
      </w:r>
    </w:p>
    <w:p w14:paraId="1FC777CE" w14:textId="77777777" w:rsidR="00A06105" w:rsidRDefault="00A06105" w:rsidP="00A06105">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p>
    <w:p w14:paraId="29271543" w14:textId="51C99C55" w:rsidR="005401AC" w:rsidRPr="00F34232" w:rsidRDefault="005401AC" w:rsidP="00A06105">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F34232">
        <w:rPr>
          <w:rFonts w:ascii="Verdana" w:eastAsia="Calibri" w:hAnsi="Verdana" w:cs="Arial"/>
          <w:bCs/>
          <w:color w:val="000000"/>
          <w:kern w:val="2"/>
          <w:sz w:val="20"/>
          <w:szCs w:val="20"/>
          <w:lang w:val="es-ES_tradnl"/>
          <w14:ligatures w14:val="standardContextual"/>
        </w:rPr>
        <w:t xml:space="preserve">De esta manera, la Matriz 4 precisa que la fecha de cierre del proceso corresponderá a la señalada en el pliego de condiciones definitivo, y que corresponde a la entidad verificar, con la publicación del pliego de condiciones definitivo, que el registro del bien o insumo esté vigente hasta una fecha posterior a la del cierre del proceso. </w:t>
      </w:r>
    </w:p>
    <w:p w14:paraId="563D71DC" w14:textId="77777777" w:rsidR="007623B3" w:rsidRPr="007623B3" w:rsidRDefault="007623B3" w:rsidP="007623B3">
      <w:pPr>
        <w:spacing w:after="0" w:line="276" w:lineRule="auto"/>
        <w:jc w:val="both"/>
        <w:rPr>
          <w:rFonts w:ascii="Verdana" w:eastAsia="Calibri" w:hAnsi="Verdana" w:cs="Times New Roman"/>
          <w:lang w:val="es-ES_tradnl"/>
        </w:rPr>
      </w:pPr>
    </w:p>
    <w:p w14:paraId="0E45F073" w14:textId="77777777" w:rsidR="007623B3" w:rsidRPr="007623B3" w:rsidRDefault="007623B3" w:rsidP="007623B3">
      <w:pPr>
        <w:spacing w:after="0" w:line="240" w:lineRule="auto"/>
        <w:jc w:val="both"/>
        <w:rPr>
          <w:rFonts w:ascii="Verdana" w:eastAsia="Calibri" w:hAnsi="Verdana" w:cs="Times New Roman"/>
          <w:lang w:val="es-ES_tradnl"/>
        </w:rPr>
      </w:pPr>
    </w:p>
    <w:p w14:paraId="2C2611FE" w14:textId="77777777" w:rsidR="007623B3" w:rsidRPr="007623B3" w:rsidRDefault="007623B3" w:rsidP="007623B3">
      <w:pPr>
        <w:spacing w:after="0" w:line="240" w:lineRule="auto"/>
        <w:jc w:val="both"/>
        <w:rPr>
          <w:rFonts w:ascii="Verdana" w:eastAsia="Calibri" w:hAnsi="Verdana" w:cs="Times New Roman"/>
          <w:lang w:val="es-ES_tradnl"/>
        </w:rPr>
      </w:pPr>
    </w:p>
    <w:p w14:paraId="4B8D092D" w14:textId="77777777" w:rsidR="007623B3" w:rsidRPr="007623B3" w:rsidRDefault="007623B3" w:rsidP="007623B3">
      <w:pPr>
        <w:spacing w:after="0" w:line="240" w:lineRule="auto"/>
        <w:jc w:val="both"/>
        <w:rPr>
          <w:rFonts w:ascii="Verdana" w:eastAsia="Calibri" w:hAnsi="Verdana" w:cs="Times New Roman"/>
          <w:lang w:val="es-ES_tradnl"/>
        </w:rPr>
      </w:pPr>
    </w:p>
    <w:p w14:paraId="7CA5DD42" w14:textId="77777777" w:rsidR="007623B3" w:rsidRPr="007623B3" w:rsidRDefault="007623B3" w:rsidP="007623B3">
      <w:pPr>
        <w:spacing w:after="0" w:line="240" w:lineRule="auto"/>
        <w:jc w:val="both"/>
        <w:rPr>
          <w:rFonts w:ascii="Verdana" w:eastAsia="Calibri" w:hAnsi="Verdana" w:cs="Times New Roman"/>
          <w:lang w:val="es-ES_tradnl"/>
        </w:rPr>
      </w:pPr>
    </w:p>
    <w:p w14:paraId="02262BFC" w14:textId="77777777" w:rsidR="007623B3" w:rsidRPr="007623B3" w:rsidRDefault="007623B3" w:rsidP="007623B3">
      <w:pPr>
        <w:spacing w:after="0" w:line="240" w:lineRule="auto"/>
        <w:jc w:val="both"/>
        <w:rPr>
          <w:rFonts w:ascii="Verdana" w:eastAsia="Calibri" w:hAnsi="Verdana" w:cs="Times New Roman"/>
          <w:lang w:val="es-ES_tradnl"/>
        </w:rPr>
      </w:pPr>
    </w:p>
    <w:p w14:paraId="0D721188" w14:textId="77777777" w:rsidR="007623B3" w:rsidRPr="007623B3" w:rsidRDefault="007623B3" w:rsidP="007623B3">
      <w:pPr>
        <w:spacing w:after="0" w:line="240" w:lineRule="auto"/>
        <w:jc w:val="both"/>
        <w:rPr>
          <w:rFonts w:ascii="Verdana" w:eastAsia="Calibri" w:hAnsi="Verdana" w:cs="Times New Roman"/>
          <w:lang w:val="es-ES_tradnl"/>
        </w:rPr>
      </w:pPr>
    </w:p>
    <w:p w14:paraId="6C173D9C" w14:textId="77777777" w:rsidR="007623B3" w:rsidRPr="007623B3" w:rsidRDefault="007623B3" w:rsidP="007623B3">
      <w:pPr>
        <w:spacing w:after="0" w:line="240" w:lineRule="auto"/>
        <w:jc w:val="both"/>
        <w:rPr>
          <w:rFonts w:ascii="Verdana" w:eastAsia="Calibri" w:hAnsi="Verdana" w:cs="Times New Roman"/>
          <w:lang w:val="es-ES_tradnl"/>
        </w:rPr>
      </w:pPr>
    </w:p>
    <w:p w14:paraId="52A38B26" w14:textId="77777777" w:rsidR="007623B3" w:rsidRPr="007623B3" w:rsidRDefault="007623B3" w:rsidP="007623B3">
      <w:pPr>
        <w:spacing w:after="0" w:line="240" w:lineRule="auto"/>
        <w:jc w:val="both"/>
        <w:rPr>
          <w:rFonts w:ascii="Verdana" w:eastAsia="Calibri" w:hAnsi="Verdana" w:cs="Times New Roman"/>
          <w:lang w:val="es-ES_tradnl"/>
        </w:rPr>
      </w:pPr>
    </w:p>
    <w:p w14:paraId="671E05D9" w14:textId="77777777" w:rsidR="007623B3" w:rsidRPr="007623B3" w:rsidRDefault="007623B3" w:rsidP="007623B3">
      <w:pPr>
        <w:spacing w:after="0" w:line="240" w:lineRule="auto"/>
        <w:jc w:val="both"/>
        <w:rPr>
          <w:rFonts w:ascii="Verdana" w:eastAsia="Calibri" w:hAnsi="Verdana" w:cs="Times New Roman"/>
          <w:lang w:val="es-ES_tradnl"/>
        </w:rPr>
      </w:pPr>
    </w:p>
    <w:p w14:paraId="05D335E5" w14:textId="77777777" w:rsidR="007623B3" w:rsidRPr="007623B3" w:rsidRDefault="007623B3" w:rsidP="007623B3">
      <w:pPr>
        <w:spacing w:after="0" w:line="240" w:lineRule="auto"/>
        <w:jc w:val="both"/>
        <w:rPr>
          <w:rFonts w:ascii="Verdana" w:eastAsia="Calibri" w:hAnsi="Verdana" w:cs="Times New Roman"/>
          <w:lang w:val="es-ES_tradnl"/>
        </w:rPr>
      </w:pPr>
    </w:p>
    <w:p w14:paraId="12C7406D" w14:textId="77777777" w:rsidR="007623B3" w:rsidRPr="007623B3" w:rsidRDefault="007623B3" w:rsidP="007623B3">
      <w:pPr>
        <w:spacing w:after="0" w:line="240" w:lineRule="auto"/>
        <w:jc w:val="both"/>
        <w:rPr>
          <w:rFonts w:ascii="Verdana" w:eastAsia="Calibri" w:hAnsi="Verdana" w:cs="Times New Roman"/>
          <w:lang w:val="es-ES_tradnl"/>
        </w:rPr>
      </w:pPr>
    </w:p>
    <w:p w14:paraId="00FF4BDA" w14:textId="77777777" w:rsidR="007623B3" w:rsidRPr="007623B3" w:rsidRDefault="007623B3" w:rsidP="007623B3">
      <w:pPr>
        <w:spacing w:after="0" w:line="240" w:lineRule="auto"/>
        <w:jc w:val="both"/>
        <w:rPr>
          <w:rFonts w:ascii="Verdana" w:eastAsia="Calibri" w:hAnsi="Verdana" w:cs="Times New Roman"/>
          <w:lang w:val="es-ES_tradnl"/>
        </w:rPr>
      </w:pPr>
    </w:p>
    <w:p w14:paraId="5D0D8ACA" w14:textId="77777777" w:rsidR="007623B3" w:rsidRPr="007623B3" w:rsidRDefault="007623B3" w:rsidP="007623B3">
      <w:pPr>
        <w:spacing w:after="0" w:line="240" w:lineRule="auto"/>
        <w:jc w:val="both"/>
        <w:rPr>
          <w:rFonts w:ascii="Verdana" w:eastAsia="Calibri" w:hAnsi="Verdana" w:cs="Times New Roman"/>
          <w:lang w:val="es-ES_tradnl"/>
        </w:rPr>
      </w:pPr>
    </w:p>
    <w:p w14:paraId="6B9241BF" w14:textId="77777777" w:rsidR="007623B3" w:rsidRPr="007623B3" w:rsidRDefault="007623B3" w:rsidP="007623B3">
      <w:pPr>
        <w:spacing w:after="0" w:line="240" w:lineRule="auto"/>
        <w:jc w:val="both"/>
        <w:rPr>
          <w:rFonts w:ascii="Verdana" w:eastAsia="Calibri" w:hAnsi="Verdana" w:cs="Times New Roman"/>
          <w:lang w:val="es-ES_tradnl"/>
        </w:rPr>
      </w:pPr>
    </w:p>
    <w:p w14:paraId="64F123F0" w14:textId="77777777" w:rsidR="007623B3" w:rsidRPr="007623B3" w:rsidRDefault="007623B3" w:rsidP="007623B3">
      <w:pPr>
        <w:spacing w:after="0" w:line="240" w:lineRule="auto"/>
        <w:jc w:val="both"/>
        <w:rPr>
          <w:rFonts w:ascii="Verdana" w:eastAsia="Calibri" w:hAnsi="Verdana" w:cs="Times New Roman"/>
          <w:lang w:val="es-ES_tradnl"/>
        </w:rPr>
      </w:pPr>
    </w:p>
    <w:p w14:paraId="11FC893A" w14:textId="77777777" w:rsidR="007623B3" w:rsidRPr="007623B3" w:rsidRDefault="007623B3" w:rsidP="007623B3">
      <w:pPr>
        <w:spacing w:after="0" w:line="240" w:lineRule="auto"/>
        <w:jc w:val="both"/>
        <w:rPr>
          <w:rFonts w:ascii="Verdana" w:eastAsia="Calibri" w:hAnsi="Verdana" w:cs="Times New Roman"/>
          <w:lang w:val="es-ES_tradnl"/>
        </w:rPr>
      </w:pPr>
    </w:p>
    <w:p w14:paraId="20294426" w14:textId="77777777" w:rsidR="007623B3" w:rsidRPr="007623B3" w:rsidRDefault="007623B3" w:rsidP="007623B3">
      <w:pPr>
        <w:spacing w:after="0" w:line="240" w:lineRule="auto"/>
        <w:jc w:val="both"/>
        <w:rPr>
          <w:rFonts w:ascii="Verdana" w:eastAsia="Calibri" w:hAnsi="Verdana" w:cs="Times New Roman"/>
          <w:lang w:val="es-ES_tradnl"/>
        </w:rPr>
      </w:pPr>
    </w:p>
    <w:p w14:paraId="6A28239E" w14:textId="77777777" w:rsidR="007623B3" w:rsidRPr="007623B3" w:rsidRDefault="007623B3" w:rsidP="007623B3">
      <w:pPr>
        <w:spacing w:after="0" w:line="240" w:lineRule="auto"/>
        <w:jc w:val="both"/>
        <w:rPr>
          <w:rFonts w:ascii="Verdana" w:eastAsia="Calibri" w:hAnsi="Verdana" w:cs="Times New Roman"/>
          <w:lang w:val="es-ES_tradnl"/>
        </w:rPr>
      </w:pPr>
    </w:p>
    <w:p w14:paraId="20EB5EFC" w14:textId="77777777" w:rsidR="007623B3" w:rsidRPr="007623B3" w:rsidRDefault="007623B3" w:rsidP="007623B3">
      <w:pPr>
        <w:spacing w:after="0" w:line="240" w:lineRule="auto"/>
        <w:jc w:val="both"/>
        <w:rPr>
          <w:rFonts w:ascii="Verdana" w:eastAsia="Calibri" w:hAnsi="Verdana" w:cs="Times New Roman"/>
          <w:lang w:val="es-ES_tradnl"/>
        </w:rPr>
      </w:pPr>
    </w:p>
    <w:p w14:paraId="00A7A352" w14:textId="77777777" w:rsidR="007623B3" w:rsidRPr="007623B3" w:rsidRDefault="007623B3" w:rsidP="007623B3">
      <w:pPr>
        <w:spacing w:after="0" w:line="240" w:lineRule="auto"/>
        <w:jc w:val="both"/>
        <w:rPr>
          <w:rFonts w:ascii="Verdana" w:eastAsia="Calibri" w:hAnsi="Verdana" w:cs="Times New Roman"/>
          <w:lang w:val="es-ES_tradnl"/>
        </w:rPr>
      </w:pPr>
    </w:p>
    <w:p w14:paraId="3A3135FD" w14:textId="77777777" w:rsidR="007623B3" w:rsidRPr="007623B3" w:rsidRDefault="007623B3" w:rsidP="007623B3">
      <w:pPr>
        <w:spacing w:after="0" w:line="240" w:lineRule="auto"/>
        <w:jc w:val="both"/>
        <w:rPr>
          <w:rFonts w:ascii="Verdana" w:eastAsia="Calibri" w:hAnsi="Verdana" w:cs="Times New Roman"/>
          <w:lang w:val="es-ES_tradnl"/>
        </w:rPr>
      </w:pPr>
    </w:p>
    <w:p w14:paraId="0CF10368" w14:textId="77777777" w:rsidR="007623B3" w:rsidRPr="007623B3" w:rsidRDefault="007623B3" w:rsidP="007623B3">
      <w:pPr>
        <w:spacing w:after="0" w:line="240" w:lineRule="auto"/>
        <w:jc w:val="both"/>
        <w:rPr>
          <w:rFonts w:ascii="Verdana" w:eastAsia="Calibri" w:hAnsi="Verdana" w:cs="Times New Roman"/>
          <w:lang w:val="es-ES_tradnl"/>
        </w:rPr>
      </w:pPr>
    </w:p>
    <w:p w14:paraId="151C5937" w14:textId="77777777" w:rsidR="007623B3" w:rsidRPr="007623B3" w:rsidRDefault="007623B3" w:rsidP="007623B3">
      <w:pPr>
        <w:spacing w:after="0" w:line="240" w:lineRule="auto"/>
        <w:jc w:val="both"/>
        <w:rPr>
          <w:rFonts w:ascii="Verdana" w:eastAsia="Calibri" w:hAnsi="Verdana" w:cs="Times New Roman"/>
          <w:lang w:val="es-ES_tradnl"/>
        </w:rPr>
      </w:pPr>
    </w:p>
    <w:p w14:paraId="7B9761CD" w14:textId="77777777" w:rsidR="007623B3" w:rsidRPr="007623B3" w:rsidRDefault="007623B3" w:rsidP="007623B3">
      <w:pPr>
        <w:spacing w:after="0" w:line="240" w:lineRule="auto"/>
        <w:jc w:val="both"/>
        <w:rPr>
          <w:rFonts w:ascii="Verdana" w:eastAsia="Calibri" w:hAnsi="Verdana" w:cs="Times New Roman"/>
          <w:lang w:val="es-ES_tradnl"/>
        </w:rPr>
      </w:pPr>
    </w:p>
    <w:p w14:paraId="798FF8F8" w14:textId="77777777" w:rsidR="007623B3" w:rsidRPr="007623B3" w:rsidRDefault="007623B3" w:rsidP="007623B3">
      <w:pPr>
        <w:spacing w:after="0" w:line="240" w:lineRule="auto"/>
        <w:jc w:val="both"/>
        <w:rPr>
          <w:rFonts w:ascii="Verdana" w:eastAsia="Calibri" w:hAnsi="Verdana" w:cs="Times New Roman"/>
          <w:lang w:val="es-ES_tradnl"/>
        </w:rPr>
      </w:pPr>
    </w:p>
    <w:p w14:paraId="234F39E8" w14:textId="77777777" w:rsidR="007623B3" w:rsidRPr="007623B3" w:rsidRDefault="007623B3" w:rsidP="007623B3">
      <w:pPr>
        <w:spacing w:after="0" w:line="240" w:lineRule="auto"/>
        <w:jc w:val="both"/>
        <w:rPr>
          <w:rFonts w:ascii="Verdana" w:eastAsia="Calibri" w:hAnsi="Verdana" w:cs="Times New Roman"/>
          <w:lang w:val="es-ES_tradnl"/>
        </w:rPr>
      </w:pPr>
    </w:p>
    <w:p w14:paraId="46EA42A9" w14:textId="77777777" w:rsidR="007623B3" w:rsidRDefault="007623B3" w:rsidP="007623B3">
      <w:pPr>
        <w:spacing w:after="0" w:line="240" w:lineRule="auto"/>
        <w:jc w:val="both"/>
        <w:rPr>
          <w:rFonts w:ascii="Verdana" w:eastAsia="Calibri" w:hAnsi="Verdana" w:cs="Times New Roman"/>
        </w:rPr>
      </w:pPr>
    </w:p>
    <w:p w14:paraId="2F8B8EC9" w14:textId="77777777" w:rsidR="000C1E03" w:rsidRDefault="000C1E03" w:rsidP="007623B3">
      <w:pPr>
        <w:spacing w:after="0" w:line="240" w:lineRule="auto"/>
        <w:jc w:val="both"/>
        <w:rPr>
          <w:rFonts w:ascii="Verdana" w:eastAsia="Calibri" w:hAnsi="Verdana" w:cs="Times New Roman"/>
        </w:rPr>
      </w:pPr>
    </w:p>
    <w:p w14:paraId="293BDD02" w14:textId="4E181A83" w:rsidR="000C1E03" w:rsidRDefault="000C1E03" w:rsidP="007623B3">
      <w:pPr>
        <w:spacing w:after="0" w:line="240" w:lineRule="auto"/>
        <w:jc w:val="both"/>
        <w:rPr>
          <w:rFonts w:ascii="Verdana" w:eastAsia="Verdana" w:hAnsi="Verdana" w:cs="Verdana"/>
        </w:rPr>
      </w:pPr>
      <w:r w:rsidRPr="30821638">
        <w:rPr>
          <w:rFonts w:ascii="Verdana" w:eastAsia="Verdana" w:hAnsi="Verdana" w:cs="Verdana"/>
        </w:rPr>
        <w:lastRenderedPageBreak/>
        <w:t>Bogotá D.C.,</w:t>
      </w:r>
      <w:r w:rsidR="007B67A7">
        <w:rPr>
          <w:rFonts w:ascii="Verdana" w:eastAsia="Verdana" w:hAnsi="Verdana" w:cs="Verdana"/>
        </w:rPr>
        <w:t xml:space="preserve"> 20 Marzo 2026</w:t>
      </w:r>
    </w:p>
    <w:p w14:paraId="240C3A44" w14:textId="30FE5413" w:rsidR="007623B3" w:rsidRPr="007623B3" w:rsidRDefault="007B67A7" w:rsidP="007B67A7">
      <w:pPr>
        <w:spacing w:after="0" w:line="240" w:lineRule="auto"/>
        <w:jc w:val="right"/>
        <w:rPr>
          <w:rFonts w:ascii="Verdana" w:eastAsia="Calibri" w:hAnsi="Verdana" w:cs="Arial"/>
          <w:lang w:val="es-ES_tradnl"/>
        </w:rPr>
      </w:pPr>
      <w:r>
        <w:rPr>
          <w:rFonts w:ascii="Verdana" w:eastAsia="Calibri" w:hAnsi="Verdana" w:cs="Arial"/>
          <w:noProof/>
          <w:lang w:val="es-ES_tradnl"/>
        </w:rPr>
        <w:drawing>
          <wp:inline distT="0" distB="0" distL="0" distR="0" wp14:anchorId="27EC35FA" wp14:editId="30ECFE74">
            <wp:extent cx="2456632" cy="694067"/>
            <wp:effectExtent l="0" t="0" r="0" b="4445"/>
            <wp:docPr id="7712624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2414" name="Imagen 771262414"/>
                    <pic:cNvPicPr/>
                  </pic:nvPicPr>
                  <pic:blipFill>
                    <a:blip r:embed="rId10">
                      <a:extLst>
                        <a:ext uri="{28A0092B-C50C-407E-A947-70E740481C1C}">
                          <a14:useLocalDpi xmlns:a14="http://schemas.microsoft.com/office/drawing/2010/main" val="0"/>
                        </a:ext>
                      </a:extLst>
                    </a:blip>
                    <a:stretch>
                      <a:fillRect/>
                    </a:stretch>
                  </pic:blipFill>
                  <pic:spPr>
                    <a:xfrm>
                      <a:off x="0" y="0"/>
                      <a:ext cx="2468839" cy="697516"/>
                    </a:xfrm>
                    <a:prstGeom prst="rect">
                      <a:avLst/>
                    </a:prstGeom>
                  </pic:spPr>
                </pic:pic>
              </a:graphicData>
            </a:graphic>
          </wp:inline>
        </w:drawing>
      </w:r>
    </w:p>
    <w:p w14:paraId="042419A0" w14:textId="77777777" w:rsidR="007623B3" w:rsidRPr="007623B3" w:rsidRDefault="007623B3" w:rsidP="007623B3">
      <w:pPr>
        <w:spacing w:after="0" w:line="240" w:lineRule="auto"/>
        <w:jc w:val="both"/>
        <w:rPr>
          <w:rFonts w:ascii="Verdana" w:eastAsia="Calibri" w:hAnsi="Verdana" w:cs="Arial"/>
          <w:lang w:val="es-ES_tradnl" w:eastAsia="es-ES"/>
        </w:rPr>
      </w:pPr>
      <w:r w:rsidRPr="007623B3">
        <w:rPr>
          <w:rFonts w:ascii="Verdana" w:eastAsia="Calibri" w:hAnsi="Verdana" w:cs="Arial"/>
          <w:lang w:val="es-ES_tradnl" w:eastAsia="es-ES"/>
        </w:rPr>
        <w:t>Señor</w:t>
      </w:r>
    </w:p>
    <w:p w14:paraId="77F7B735" w14:textId="77777777" w:rsidR="007623B3" w:rsidRPr="007623B3" w:rsidRDefault="007623B3" w:rsidP="007623B3">
      <w:pPr>
        <w:spacing w:after="0" w:line="240" w:lineRule="auto"/>
        <w:rPr>
          <w:rFonts w:ascii="Verdana" w:eastAsia="Calibri" w:hAnsi="Verdana" w:cs="Arial"/>
          <w:b/>
          <w:lang w:val="es-ES_tradnl" w:eastAsia="es-ES_tradnl"/>
        </w:rPr>
      </w:pPr>
      <w:r w:rsidRPr="007623B3">
        <w:rPr>
          <w:rFonts w:ascii="Verdana" w:eastAsia="Calibri" w:hAnsi="Verdana" w:cs="Arial"/>
          <w:b/>
          <w:lang w:val="es-ES_tradnl" w:eastAsia="es-ES_tradnl"/>
        </w:rPr>
        <w:t>Jorge Eliecer Monroy Zabaleta</w:t>
      </w:r>
    </w:p>
    <w:p w14:paraId="753C7346" w14:textId="77777777" w:rsidR="007623B3" w:rsidRPr="007623B3" w:rsidRDefault="007623B3" w:rsidP="007623B3">
      <w:pPr>
        <w:spacing w:after="0" w:line="240" w:lineRule="auto"/>
        <w:rPr>
          <w:rFonts w:ascii="Verdana" w:eastAsia="Calibri" w:hAnsi="Verdana" w:cs="Arial"/>
          <w:b/>
          <w:bCs/>
          <w:lang w:val="es-ES_tradnl" w:eastAsia="es-ES"/>
        </w:rPr>
      </w:pPr>
      <w:r w:rsidRPr="007623B3">
        <w:rPr>
          <w:rFonts w:ascii="Verdana" w:eastAsia="Calibri" w:hAnsi="Verdana" w:cs="Arial"/>
          <w:lang w:val="es-ES_tradnl" w:eastAsia="es-ES"/>
        </w:rPr>
        <w:t>Cartagena, Bolívar</w:t>
      </w:r>
    </w:p>
    <w:p w14:paraId="2B1F2A8F" w14:textId="77777777" w:rsidR="007623B3" w:rsidRPr="007623B3" w:rsidRDefault="007623B3" w:rsidP="007623B3">
      <w:pPr>
        <w:spacing w:after="0" w:line="240" w:lineRule="auto"/>
        <w:rPr>
          <w:rFonts w:ascii="Verdana" w:eastAsia="Calibri" w:hAnsi="Verdana" w:cs="Arial"/>
          <w:b/>
          <w:bCs/>
          <w:lang w:val="es-ES_tradnl" w:eastAsia="es-ES_tradnl"/>
        </w:rPr>
      </w:pPr>
    </w:p>
    <w:p w14:paraId="65B0799A" w14:textId="77777777" w:rsidR="007623B3" w:rsidRPr="007623B3" w:rsidRDefault="007623B3" w:rsidP="007623B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623B3" w:rsidRPr="007623B3" w14:paraId="7F6010BF" w14:textId="77777777" w:rsidTr="009C46E9">
        <w:trPr>
          <w:trHeight w:val="884"/>
        </w:trPr>
        <w:tc>
          <w:tcPr>
            <w:tcW w:w="2689" w:type="dxa"/>
          </w:tcPr>
          <w:p w14:paraId="3E35F7FD" w14:textId="77777777" w:rsidR="007623B3" w:rsidRPr="007623B3" w:rsidRDefault="007623B3" w:rsidP="007623B3">
            <w:pPr>
              <w:jc w:val="both"/>
              <w:rPr>
                <w:rFonts w:ascii="Verdana" w:eastAsia="Calibri" w:hAnsi="Verdana" w:cs="Arial"/>
                <w:b/>
                <w:bCs/>
                <w:lang w:val="es-ES_tradnl" w:eastAsia="es-ES_tradnl"/>
              </w:rPr>
            </w:pPr>
          </w:p>
        </w:tc>
        <w:tc>
          <w:tcPr>
            <w:tcW w:w="6100" w:type="dxa"/>
          </w:tcPr>
          <w:p w14:paraId="37778618" w14:textId="77777777" w:rsidR="007623B3" w:rsidRPr="007623B3" w:rsidRDefault="007623B3" w:rsidP="007623B3">
            <w:pPr>
              <w:jc w:val="both"/>
              <w:rPr>
                <w:rFonts w:ascii="Verdana" w:eastAsia="Calibri" w:hAnsi="Verdana" w:cs="Arial"/>
                <w:b/>
                <w:bCs/>
                <w:lang w:val="es-ES_tradnl" w:eastAsia="es-ES"/>
              </w:rPr>
            </w:pPr>
            <w:r w:rsidRPr="007623B3">
              <w:rPr>
                <w:rFonts w:ascii="Verdana" w:eastAsia="Calibri" w:hAnsi="Verdana" w:cs="Arial"/>
                <w:b/>
                <w:bCs/>
                <w:lang w:val="es-ES_tradnl" w:eastAsia="es-ES"/>
              </w:rPr>
              <w:t>Concepto C – 218 de 2026</w:t>
            </w:r>
          </w:p>
        </w:tc>
      </w:tr>
      <w:tr w:rsidR="007623B3" w:rsidRPr="007623B3" w14:paraId="03FD537C" w14:textId="77777777" w:rsidTr="009C46E9">
        <w:trPr>
          <w:trHeight w:val="884"/>
        </w:trPr>
        <w:tc>
          <w:tcPr>
            <w:tcW w:w="2689" w:type="dxa"/>
          </w:tcPr>
          <w:p w14:paraId="236F5AE9" w14:textId="77777777" w:rsidR="007623B3" w:rsidRPr="007623B3" w:rsidRDefault="007623B3" w:rsidP="007623B3">
            <w:pPr>
              <w:jc w:val="both"/>
              <w:rPr>
                <w:rFonts w:ascii="Verdana" w:eastAsia="Calibri" w:hAnsi="Verdana" w:cs="Arial"/>
                <w:lang w:val="es-ES_tradnl" w:eastAsia="es-ES_tradnl"/>
              </w:rPr>
            </w:pPr>
            <w:r w:rsidRPr="007623B3">
              <w:rPr>
                <w:rFonts w:ascii="Verdana" w:eastAsia="Calibri" w:hAnsi="Verdana" w:cs="Arial"/>
                <w:b/>
                <w:lang w:val="es-ES_tradnl" w:eastAsia="es-ES_tradnl"/>
              </w:rPr>
              <w:t>Temas:</w:t>
            </w:r>
            <w:r w:rsidRPr="007623B3">
              <w:rPr>
                <w:rFonts w:ascii="Verdana" w:eastAsia="Calibri" w:hAnsi="Verdana" w:cs="Arial"/>
                <w:lang w:val="es-ES_tradnl" w:eastAsia="es-ES_tradnl"/>
              </w:rPr>
              <w:t xml:space="preserve">                   </w:t>
            </w:r>
          </w:p>
        </w:tc>
        <w:tc>
          <w:tcPr>
            <w:tcW w:w="6100" w:type="dxa"/>
          </w:tcPr>
          <w:p w14:paraId="01FF694D" w14:textId="77777777" w:rsidR="007623B3" w:rsidRPr="007623B3" w:rsidRDefault="007623B3" w:rsidP="007623B3">
            <w:pPr>
              <w:tabs>
                <w:tab w:val="left" w:pos="709"/>
              </w:tabs>
              <w:adjustRightInd w:val="0"/>
              <w:snapToGrid w:val="0"/>
              <w:spacing w:line="276" w:lineRule="auto"/>
              <w:jc w:val="both"/>
              <w:rPr>
                <w:rFonts w:ascii="Verdana" w:eastAsia="Aptos" w:hAnsi="Verdana" w:cs="Arial"/>
                <w:lang w:val="es-ES_tradnl"/>
              </w:rPr>
            </w:pPr>
            <w:r w:rsidRPr="007623B3">
              <w:rPr>
                <w:rFonts w:ascii="Verdana" w:eastAsia="Calibri" w:hAnsi="Verdana" w:cs="Arial"/>
                <w:color w:val="000000"/>
                <w:lang w:val="es-ES" w:eastAsia="es-CO"/>
              </w:rPr>
              <w:t xml:space="preserve">INALTERABILIDAD – Documentos Tipo / INDUSTRIA NACIONAL – Puntaje adicional – Decreto 680 de 2021 / DOCUMENTOS TIPO DE LICITACIÓN DE INFRAESTRUCTURA DE TRANSPORTE – Apoyo a la industria nacional – Promoción de servicios nacionales o con trato nacional / </w:t>
            </w:r>
            <w:r w:rsidRPr="007623B3">
              <w:rPr>
                <w:rFonts w:ascii="Verdana" w:eastAsia="Aptos" w:hAnsi="Verdana" w:cs="Arial"/>
                <w:lang w:val="es-ES_tradnl"/>
              </w:rPr>
              <w:t>DOCUMENTOS TIPO DE LICITACIÓN DE INFRAESTRUCTURA DE TRANSPORTE – Matriz 4 – Bienes nacionales relevantes para la obra pública del sector transporte – Registro de Productores de Bienes Nacionales – Vigencia</w:t>
            </w:r>
          </w:p>
          <w:p w14:paraId="3E775B7B" w14:textId="77777777" w:rsidR="007623B3" w:rsidRPr="007623B3" w:rsidRDefault="007623B3" w:rsidP="007623B3">
            <w:pPr>
              <w:jc w:val="both"/>
              <w:rPr>
                <w:rFonts w:ascii="Verdana" w:eastAsia="Calibri" w:hAnsi="Verdana" w:cs="Times New Roman"/>
              </w:rPr>
            </w:pPr>
          </w:p>
        </w:tc>
      </w:tr>
      <w:tr w:rsidR="007623B3" w:rsidRPr="007623B3" w14:paraId="4E4AB2B3" w14:textId="77777777" w:rsidTr="009C46E9">
        <w:tc>
          <w:tcPr>
            <w:tcW w:w="2689" w:type="dxa"/>
          </w:tcPr>
          <w:p w14:paraId="28785F57" w14:textId="77777777" w:rsidR="007623B3" w:rsidRPr="007623B3" w:rsidRDefault="007623B3" w:rsidP="007623B3">
            <w:pPr>
              <w:jc w:val="both"/>
              <w:rPr>
                <w:rFonts w:ascii="Verdana" w:eastAsia="Calibri" w:hAnsi="Verdana" w:cs="Arial"/>
                <w:b/>
                <w:lang w:val="es-ES_tradnl" w:eastAsia="es-ES_tradnl"/>
              </w:rPr>
            </w:pPr>
            <w:r w:rsidRPr="007623B3">
              <w:rPr>
                <w:rFonts w:ascii="Verdana" w:eastAsia="Calibri" w:hAnsi="Verdana" w:cs="Arial"/>
                <w:b/>
                <w:lang w:val="es-ES_tradnl" w:eastAsia="es-ES_tradnl"/>
              </w:rPr>
              <w:t>Radicación:</w:t>
            </w:r>
            <w:r w:rsidRPr="007623B3">
              <w:rPr>
                <w:rFonts w:ascii="Verdana" w:eastAsia="Calibri" w:hAnsi="Verdana" w:cs="Arial"/>
                <w:lang w:val="es-ES_tradnl" w:eastAsia="es-ES_tradnl"/>
              </w:rPr>
              <w:t xml:space="preserve">               </w:t>
            </w:r>
          </w:p>
        </w:tc>
        <w:tc>
          <w:tcPr>
            <w:tcW w:w="6100" w:type="dxa"/>
          </w:tcPr>
          <w:p w14:paraId="2CEE554A" w14:textId="77777777" w:rsidR="007623B3" w:rsidRPr="007623B3" w:rsidRDefault="007623B3" w:rsidP="007623B3">
            <w:pPr>
              <w:jc w:val="both"/>
              <w:rPr>
                <w:rFonts w:ascii="Verdana" w:eastAsia="Calibri" w:hAnsi="Verdana" w:cs="Arial"/>
                <w:lang w:val="es-ES_tradnl" w:eastAsia="es-ES_tradnl"/>
              </w:rPr>
            </w:pPr>
            <w:r w:rsidRPr="007623B3">
              <w:rPr>
                <w:rFonts w:ascii="Verdana" w:eastAsia="Calibri" w:hAnsi="Verdana" w:cs="Arial"/>
                <w:lang w:val="es-ES_tradnl" w:eastAsia="es-ES_tradnl"/>
              </w:rPr>
              <w:t>Respuesta a consulta con radicado No. 1_2026_02_13_001923</w:t>
            </w:r>
          </w:p>
        </w:tc>
      </w:tr>
    </w:tbl>
    <w:p w14:paraId="22B66D6C" w14:textId="77777777" w:rsidR="007623B3" w:rsidRPr="007623B3" w:rsidRDefault="007623B3" w:rsidP="007623B3">
      <w:pPr>
        <w:spacing w:after="0" w:line="240" w:lineRule="auto"/>
        <w:jc w:val="both"/>
        <w:rPr>
          <w:rFonts w:ascii="Verdana" w:eastAsia="Calibri" w:hAnsi="Verdana" w:cs="Arial"/>
          <w:lang w:val="es-ES_tradnl" w:eastAsia="es-ES_tradnl"/>
        </w:rPr>
      </w:pPr>
    </w:p>
    <w:p w14:paraId="4B908D65" w14:textId="77777777" w:rsidR="007623B3" w:rsidRPr="007623B3" w:rsidRDefault="007623B3" w:rsidP="007623B3">
      <w:pPr>
        <w:spacing w:after="0" w:line="240" w:lineRule="auto"/>
        <w:jc w:val="both"/>
        <w:rPr>
          <w:rFonts w:ascii="Verdana" w:eastAsia="Calibri" w:hAnsi="Verdana" w:cs="Arial"/>
          <w:lang w:val="es-ES_tradnl" w:eastAsia="es-ES_tradnl"/>
        </w:rPr>
      </w:pPr>
    </w:p>
    <w:p w14:paraId="038D2846" w14:textId="77777777" w:rsidR="007623B3" w:rsidRPr="007623B3" w:rsidRDefault="007623B3" w:rsidP="007623B3">
      <w:pPr>
        <w:spacing w:after="0" w:line="276" w:lineRule="auto"/>
        <w:jc w:val="both"/>
        <w:rPr>
          <w:rFonts w:ascii="Verdana" w:eastAsia="Calibri" w:hAnsi="Verdana" w:cs="Arial"/>
          <w:lang w:val="es-ES_tradnl" w:eastAsia="es-ES"/>
        </w:rPr>
      </w:pPr>
      <w:r w:rsidRPr="007623B3">
        <w:rPr>
          <w:rFonts w:ascii="Verdana" w:eastAsia="Calibri" w:hAnsi="Verdana" w:cs="Arial"/>
          <w:lang w:val="es-ES_tradnl" w:eastAsia="es-ES"/>
        </w:rPr>
        <w:t xml:space="preserve">Estimado señor Monroy Zabaleta: </w:t>
      </w:r>
    </w:p>
    <w:p w14:paraId="594EAAF8" w14:textId="77777777" w:rsidR="007623B3" w:rsidRPr="007623B3" w:rsidRDefault="007623B3" w:rsidP="007623B3">
      <w:pPr>
        <w:tabs>
          <w:tab w:val="left" w:pos="3768"/>
        </w:tabs>
        <w:spacing w:after="0" w:line="276" w:lineRule="auto"/>
        <w:jc w:val="both"/>
        <w:rPr>
          <w:rFonts w:ascii="Verdana" w:eastAsia="Calibri" w:hAnsi="Verdana" w:cs="Arial"/>
          <w:lang w:val="es-ES_tradnl" w:eastAsia="es-ES"/>
        </w:rPr>
      </w:pPr>
      <w:r w:rsidRPr="007623B3">
        <w:rPr>
          <w:rFonts w:ascii="Verdana" w:eastAsia="Calibri" w:hAnsi="Verdana" w:cs="Arial"/>
          <w:lang w:val="es-ES_tradnl" w:eastAsia="es-ES"/>
        </w:rPr>
        <w:tab/>
      </w:r>
    </w:p>
    <w:p w14:paraId="3A01C602" w14:textId="78266979" w:rsidR="007623B3" w:rsidRPr="007623B3" w:rsidRDefault="007623B3" w:rsidP="007623B3">
      <w:pPr>
        <w:spacing w:after="0" w:line="276" w:lineRule="auto"/>
        <w:jc w:val="both"/>
        <w:rPr>
          <w:rFonts w:ascii="Verdana" w:eastAsia="Calibri" w:hAnsi="Verdana" w:cs="Arial"/>
          <w:lang w:val="es-ES" w:eastAsia="es-ES"/>
        </w:rPr>
      </w:pPr>
      <w:r w:rsidRPr="007623B3">
        <w:rPr>
          <w:rFonts w:ascii="Verdana" w:eastAsia="Calibri" w:hAnsi="Verdana" w:cs="Arial"/>
          <w:lang w:val="es-ES" w:eastAsia="es-ES"/>
        </w:rPr>
        <w:t>En ejercicio de la competencia otorgada por los artículos 3, numeral 5º, y 11, numeral 8º, del Decreto Ley 4170 de 2011,</w:t>
      </w:r>
      <w:r w:rsidRPr="007623B3">
        <w:rPr>
          <w:rFonts w:ascii="Verdana" w:eastAsia="Arial MT" w:hAnsi="Verdana" w:cs="Arial MT"/>
          <w:lang w:val="es-ES" w:eastAsia="es-ES"/>
        </w:rPr>
        <w:t xml:space="preserve"> </w:t>
      </w:r>
      <w:r w:rsidRPr="007623B3">
        <w:rPr>
          <w:rFonts w:ascii="Verdana" w:eastAsia="Calibri" w:hAnsi="Verdana" w:cs="Arial"/>
          <w:lang w:val="es-ES"/>
        </w:rPr>
        <w:t>así como lo establecido</w:t>
      </w:r>
      <w:r w:rsidR="00C8185F">
        <w:rPr>
          <w:rFonts w:ascii="Verdana" w:eastAsia="Calibri" w:hAnsi="Verdana" w:cs="Arial"/>
          <w:lang w:val="es-ES"/>
        </w:rPr>
        <w:t xml:space="preserve"> la </w:t>
      </w:r>
      <w:r w:rsidR="00C8185F" w:rsidRPr="00A9105E">
        <w:rPr>
          <w:rFonts w:ascii="Verdana" w:eastAsia="Calibri" w:hAnsi="Verdana" w:cs="Arial"/>
          <w:lang w:eastAsia="es-MX"/>
        </w:rPr>
        <w:t>Resolución 469 de 2025</w:t>
      </w:r>
      <w:r w:rsidR="00C8185F">
        <w:rPr>
          <w:rFonts w:ascii="Verdana" w:eastAsia="Calibri" w:hAnsi="Verdana" w:cs="Arial"/>
          <w:lang w:eastAsia="es-MX"/>
        </w:rPr>
        <w:t xml:space="preserve"> </w:t>
      </w:r>
      <w:r w:rsidRPr="007623B3">
        <w:rPr>
          <w:rFonts w:ascii="Verdana" w:eastAsia="Calibri" w:hAnsi="Verdana" w:cs="Arial"/>
          <w:lang w:val="es-ES"/>
        </w:rPr>
        <w:t xml:space="preserve">expedida por esta Entidad, </w:t>
      </w:r>
      <w:r w:rsidRPr="007623B3">
        <w:rPr>
          <w:rFonts w:ascii="Verdana" w:eastAsia="Calibri" w:hAnsi="Verdana" w:cs="Arial"/>
          <w:lang w:val="es-ES" w:eastAsia="es-ES"/>
        </w:rPr>
        <w:t>la Agencia Nacional de Contratación Pública –Colombia Compra Eficiente– responde su solicitud de consulta de fecha 13 de febrero de 2026. En relación con los documentos tipo de licitación de obra pública de infraestructura de transporte, usted pregunta lo siguiente:</w:t>
      </w:r>
    </w:p>
    <w:p w14:paraId="7116135D" w14:textId="77777777" w:rsidR="007623B3" w:rsidRPr="007623B3" w:rsidRDefault="007623B3" w:rsidP="007623B3">
      <w:pPr>
        <w:tabs>
          <w:tab w:val="left" w:pos="142"/>
          <w:tab w:val="left" w:pos="284"/>
        </w:tabs>
        <w:spacing w:line="276" w:lineRule="auto"/>
        <w:contextualSpacing/>
        <w:jc w:val="both"/>
        <w:rPr>
          <w:rFonts w:ascii="Verdana" w:eastAsia="Century Gothic" w:hAnsi="Verdana" w:cs="Century Gothic"/>
          <w:b/>
          <w:bCs/>
          <w:lang w:val="es-ES_tradnl"/>
        </w:rPr>
      </w:pPr>
    </w:p>
    <w:p w14:paraId="76F1D26A" w14:textId="77777777" w:rsidR="007623B3" w:rsidRPr="007623B3" w:rsidRDefault="007623B3" w:rsidP="007623B3">
      <w:pPr>
        <w:spacing w:after="0" w:line="240" w:lineRule="auto"/>
        <w:ind w:left="709" w:right="709"/>
        <w:jc w:val="both"/>
        <w:rPr>
          <w:rFonts w:ascii="Verdana" w:eastAsia="Century Gothic" w:hAnsi="Verdana" w:cs="Century Gothic"/>
          <w:sz w:val="21"/>
          <w:szCs w:val="21"/>
          <w:lang w:val="es-ES"/>
        </w:rPr>
      </w:pPr>
      <w:r w:rsidRPr="007623B3">
        <w:rPr>
          <w:rFonts w:ascii="Verdana" w:eastAsia="Century Gothic" w:hAnsi="Verdana" w:cs="Century Gothic"/>
          <w:sz w:val="21"/>
          <w:szCs w:val="21"/>
          <w:lang w:val="es-ES"/>
        </w:rPr>
        <w:lastRenderedPageBreak/>
        <w:t>“1. ¿Es jurídicamente procedente que una entidad estatal considere como “bien nacional relevante” un registro cuya vigencia haya expirado antes de la fecha de cierre del proceso de selección, aun cuando existan registros vigentes del mismo bien en el Registro de Productores de Bienes Nacionales?</w:t>
      </w:r>
    </w:p>
    <w:p w14:paraId="3622219F" w14:textId="77777777" w:rsidR="007623B3" w:rsidRPr="007623B3" w:rsidRDefault="007623B3" w:rsidP="007623B3">
      <w:pPr>
        <w:spacing w:after="0" w:line="240" w:lineRule="auto"/>
        <w:ind w:left="709" w:right="709"/>
        <w:jc w:val="both"/>
        <w:rPr>
          <w:rFonts w:ascii="Verdana" w:eastAsia="Century Gothic" w:hAnsi="Verdana" w:cs="Century Gothic"/>
          <w:sz w:val="21"/>
          <w:szCs w:val="21"/>
          <w:lang w:val="es-ES"/>
        </w:rPr>
      </w:pPr>
    </w:p>
    <w:p w14:paraId="5670A701" w14:textId="77777777" w:rsidR="007623B3" w:rsidRPr="007623B3" w:rsidRDefault="007623B3" w:rsidP="007623B3">
      <w:pPr>
        <w:spacing w:after="0" w:line="240" w:lineRule="auto"/>
        <w:ind w:left="709" w:right="709"/>
        <w:jc w:val="both"/>
        <w:rPr>
          <w:rFonts w:ascii="Verdana" w:eastAsia="Century Gothic" w:hAnsi="Verdana" w:cs="Century Gothic"/>
          <w:sz w:val="21"/>
          <w:szCs w:val="21"/>
          <w:lang w:val="es-ES"/>
        </w:rPr>
      </w:pPr>
      <w:r w:rsidRPr="007623B3">
        <w:rPr>
          <w:rFonts w:ascii="Verdana" w:eastAsia="Century Gothic" w:hAnsi="Verdana" w:cs="Century Gothic"/>
          <w:sz w:val="21"/>
          <w:szCs w:val="21"/>
          <w:lang w:val="es-ES"/>
        </w:rPr>
        <w:t>2. De acuerdo con la metodología establecida en la Matriz No. 4 de los Documentos Tipo, el análisis de vigencia de los bienes relevantes debe referirse a la fecha de cierre del proceso de selección o puede la entidad basarse en registros cuya vigencia expira con anterioridad a dicha fecha?</w:t>
      </w:r>
    </w:p>
    <w:p w14:paraId="3AC3ADD3" w14:textId="77777777" w:rsidR="007623B3" w:rsidRPr="007623B3" w:rsidRDefault="007623B3" w:rsidP="007623B3">
      <w:pPr>
        <w:spacing w:after="0" w:line="240" w:lineRule="auto"/>
        <w:ind w:left="709" w:right="709"/>
        <w:jc w:val="both"/>
        <w:rPr>
          <w:rFonts w:ascii="Verdana" w:eastAsia="Century Gothic" w:hAnsi="Verdana" w:cs="Century Gothic"/>
          <w:sz w:val="21"/>
          <w:szCs w:val="21"/>
          <w:lang w:val="es-ES"/>
        </w:rPr>
      </w:pPr>
    </w:p>
    <w:p w14:paraId="7FF05708" w14:textId="77777777" w:rsidR="007623B3" w:rsidRPr="007623B3" w:rsidRDefault="007623B3" w:rsidP="007623B3">
      <w:pPr>
        <w:spacing w:after="0" w:line="240" w:lineRule="auto"/>
        <w:ind w:left="709" w:right="709"/>
        <w:jc w:val="both"/>
        <w:rPr>
          <w:rFonts w:ascii="Verdana" w:eastAsia="Century Gothic" w:hAnsi="Verdana" w:cs="Century Gothic"/>
          <w:sz w:val="21"/>
          <w:szCs w:val="21"/>
          <w:lang w:val="es-ES"/>
        </w:rPr>
      </w:pPr>
      <w:r w:rsidRPr="007623B3">
        <w:rPr>
          <w:rFonts w:ascii="Verdana" w:eastAsia="Century Gothic" w:hAnsi="Verdana" w:cs="Century Gothic"/>
          <w:sz w:val="21"/>
          <w:szCs w:val="21"/>
          <w:lang w:val="es-ES"/>
        </w:rPr>
        <w:t>3. En aplicación estricta de los Documentos Tipo, ¿el ofrecimiento de un bien nacional relevante vigente al cierre del proceso por parte de un proponente resulta ajustado a la metodología, incluso si la entidad incluyó en el pliego un registro distinto cuya vigencia ya había expirado?</w:t>
      </w:r>
    </w:p>
    <w:p w14:paraId="4247D6E0" w14:textId="77777777" w:rsidR="007623B3" w:rsidRPr="007623B3" w:rsidRDefault="007623B3" w:rsidP="007623B3">
      <w:pPr>
        <w:spacing w:after="0" w:line="240" w:lineRule="auto"/>
        <w:ind w:left="709" w:right="709"/>
        <w:jc w:val="both"/>
        <w:rPr>
          <w:rFonts w:ascii="Verdana" w:eastAsia="Century Gothic" w:hAnsi="Verdana" w:cs="Century Gothic"/>
          <w:sz w:val="21"/>
          <w:szCs w:val="21"/>
          <w:lang w:val="es-ES"/>
        </w:rPr>
      </w:pPr>
    </w:p>
    <w:p w14:paraId="590B2AB6" w14:textId="77777777" w:rsidR="007623B3" w:rsidRPr="007623B3" w:rsidRDefault="007623B3" w:rsidP="007623B3">
      <w:pPr>
        <w:spacing w:after="0" w:line="240" w:lineRule="auto"/>
        <w:ind w:left="709" w:right="709"/>
        <w:jc w:val="both"/>
        <w:rPr>
          <w:rFonts w:ascii="Verdana" w:eastAsia="Century Gothic" w:hAnsi="Verdana" w:cs="Century Gothic"/>
          <w:sz w:val="21"/>
          <w:szCs w:val="21"/>
          <w:lang w:val="es-ES"/>
        </w:rPr>
      </w:pPr>
      <w:r w:rsidRPr="007623B3">
        <w:rPr>
          <w:rFonts w:ascii="Verdana" w:eastAsia="Century Gothic" w:hAnsi="Verdana" w:cs="Century Gothic"/>
          <w:sz w:val="21"/>
          <w:szCs w:val="21"/>
          <w:lang w:val="es-ES"/>
        </w:rPr>
        <w:t>4. ¿El carácter obligatorio y reglado de los Documentos Tipo implica que tanto las entidades estatales como los proponentes deben sujetarse a la verificación objetiva de la vigencia de los bienes relevantes al momento de la presentación de las ofertas?”</w:t>
      </w:r>
    </w:p>
    <w:p w14:paraId="1C727211" w14:textId="77777777" w:rsidR="007623B3" w:rsidRPr="007623B3" w:rsidRDefault="007623B3" w:rsidP="007623B3">
      <w:pPr>
        <w:spacing w:after="0" w:line="276" w:lineRule="auto"/>
        <w:ind w:left="709" w:right="709"/>
        <w:jc w:val="both"/>
        <w:rPr>
          <w:rFonts w:ascii="Verdana" w:eastAsia="Century Gothic" w:hAnsi="Verdana" w:cs="Century Gothic"/>
          <w:lang w:val="es-ES_tradnl"/>
        </w:rPr>
      </w:pPr>
      <w:r w:rsidRPr="007623B3">
        <w:rPr>
          <w:rFonts w:ascii="Verdana" w:eastAsia="Century Gothic" w:hAnsi="Verdana" w:cs="Century Gothic"/>
          <w:sz w:val="20"/>
          <w:szCs w:val="20"/>
          <w:lang w:val="es-ES_tradnl"/>
        </w:rPr>
        <w:t xml:space="preserve">   </w:t>
      </w:r>
    </w:p>
    <w:p w14:paraId="6D8EC9DE" w14:textId="77777777" w:rsidR="007623B3" w:rsidRPr="007623B3" w:rsidRDefault="007623B3" w:rsidP="007623B3">
      <w:pPr>
        <w:spacing w:after="120" w:line="276" w:lineRule="auto"/>
        <w:ind w:firstLine="709"/>
        <w:jc w:val="both"/>
        <w:rPr>
          <w:rFonts w:ascii="Verdana" w:eastAsia="Calibri" w:hAnsi="Verdana" w:cs="Arial"/>
          <w:lang w:val="es-ES" w:eastAsia="es-ES"/>
        </w:rPr>
      </w:pPr>
      <w:r w:rsidRPr="007623B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623B3">
        <w:rPr>
          <w:rFonts w:ascii="Calibri" w:eastAsia="Calibri" w:hAnsi="Calibri" w:cs="Times New Roman"/>
        </w:rPr>
        <w:tab/>
      </w:r>
    </w:p>
    <w:p w14:paraId="19E345BB" w14:textId="77777777" w:rsidR="007623B3" w:rsidRPr="007623B3" w:rsidRDefault="007623B3" w:rsidP="007623B3">
      <w:pPr>
        <w:snapToGrid w:val="0"/>
        <w:spacing w:after="0" w:line="276" w:lineRule="auto"/>
        <w:ind w:firstLine="709"/>
        <w:jc w:val="both"/>
        <w:rPr>
          <w:rFonts w:ascii="Verdana" w:eastAsia="Calibri" w:hAnsi="Verdana" w:cs="Arial"/>
          <w:lang w:val="es-ES_tradnl" w:eastAsia="es-ES"/>
        </w:rPr>
      </w:pPr>
      <w:r w:rsidRPr="007623B3">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EF6E8FB" w14:textId="77777777" w:rsidR="007623B3" w:rsidRPr="007623B3" w:rsidRDefault="007623B3" w:rsidP="007623B3">
      <w:pPr>
        <w:snapToGrid w:val="0"/>
        <w:spacing w:after="0" w:line="276" w:lineRule="auto"/>
        <w:ind w:firstLine="709"/>
        <w:jc w:val="both"/>
        <w:rPr>
          <w:rFonts w:ascii="Verdana" w:eastAsia="Calibri" w:hAnsi="Verdana" w:cs="Arial"/>
          <w:lang w:val="es-ES_tradnl" w:eastAsia="es-ES"/>
        </w:rPr>
      </w:pPr>
    </w:p>
    <w:p w14:paraId="2154BB0E" w14:textId="77777777" w:rsidR="007623B3" w:rsidRPr="007623B3" w:rsidRDefault="007623B3" w:rsidP="007623B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623B3">
        <w:rPr>
          <w:rFonts w:ascii="Verdana" w:eastAsia="Century Gothic" w:hAnsi="Verdana" w:cs="Century Gothic"/>
          <w:b/>
          <w:bCs/>
          <w:lang w:val="es-ES_tradnl"/>
        </w:rPr>
        <w:t>Problema planteado:</w:t>
      </w:r>
    </w:p>
    <w:p w14:paraId="4A98C1B5" w14:textId="77777777" w:rsidR="007623B3" w:rsidRPr="007623B3" w:rsidRDefault="007623B3" w:rsidP="007623B3">
      <w:pPr>
        <w:tabs>
          <w:tab w:val="left" w:pos="426"/>
        </w:tabs>
        <w:snapToGrid w:val="0"/>
        <w:spacing w:after="0" w:line="276" w:lineRule="auto"/>
        <w:jc w:val="both"/>
        <w:rPr>
          <w:rFonts w:ascii="Verdana" w:eastAsia="Century Gothic" w:hAnsi="Verdana" w:cs="Century Gothic"/>
          <w:lang w:val="es-ES_tradnl"/>
        </w:rPr>
      </w:pPr>
    </w:p>
    <w:p w14:paraId="614C0A61" w14:textId="77777777" w:rsidR="007623B3" w:rsidRPr="007623B3" w:rsidRDefault="007623B3" w:rsidP="007623B3">
      <w:pPr>
        <w:snapToGrid w:val="0"/>
        <w:spacing w:after="0" w:line="276" w:lineRule="auto"/>
        <w:jc w:val="both"/>
        <w:rPr>
          <w:rFonts w:ascii="Verdana" w:eastAsia="Century Gothic" w:hAnsi="Verdana" w:cs="Century Gothic"/>
          <w:lang w:val="es-ES_tradnl"/>
        </w:rPr>
      </w:pPr>
      <w:r w:rsidRPr="007623B3">
        <w:rPr>
          <w:rFonts w:ascii="Verdana" w:eastAsia="Century Gothic" w:hAnsi="Verdana" w:cs="Century Gothic"/>
          <w:lang w:val="es-ES_tradnl"/>
        </w:rPr>
        <w:t>De acuerdo con el contenido de su solicitud, esta Agencia resolverá el siguiente problema jurídico: ¿cómo debe ser entendida la vigencia de los bienes en el Registro de Productores de Bienes Nacionales, conforme a la Matriz 4 de los documentos tipo de licitación de infraestructura de transporte?</w:t>
      </w:r>
    </w:p>
    <w:p w14:paraId="3D370BF9" w14:textId="77777777" w:rsidR="007623B3" w:rsidRPr="007623B3" w:rsidRDefault="007623B3" w:rsidP="007623B3">
      <w:pPr>
        <w:snapToGrid w:val="0"/>
        <w:spacing w:after="0" w:line="276" w:lineRule="auto"/>
        <w:jc w:val="both"/>
        <w:rPr>
          <w:rFonts w:ascii="Verdana" w:eastAsia="Century Gothic" w:hAnsi="Verdana" w:cs="Century Gothic"/>
          <w:lang w:val="es-ES_tradnl"/>
        </w:rPr>
      </w:pPr>
    </w:p>
    <w:p w14:paraId="03D3160B" w14:textId="77777777" w:rsidR="007623B3" w:rsidRPr="007623B3" w:rsidRDefault="007623B3" w:rsidP="007623B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623B3">
        <w:rPr>
          <w:rFonts w:ascii="Verdana" w:eastAsia="Century Gothic" w:hAnsi="Verdana" w:cs="Century Gothic"/>
          <w:b/>
          <w:bCs/>
          <w:lang w:val="es-ES_tradnl"/>
        </w:rPr>
        <w:t>Respuesta:</w:t>
      </w:r>
    </w:p>
    <w:p w14:paraId="54015B84" w14:textId="77777777" w:rsidR="007623B3" w:rsidRPr="007623B3" w:rsidRDefault="007623B3" w:rsidP="007623B3">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623B3" w:rsidRPr="007623B3" w14:paraId="12703035" w14:textId="77777777" w:rsidTr="4CB9639E">
        <w:tc>
          <w:tcPr>
            <w:tcW w:w="8828" w:type="dxa"/>
          </w:tcPr>
          <w:p w14:paraId="5320C7A5" w14:textId="77777777" w:rsidR="007623B3" w:rsidRPr="007623B3" w:rsidRDefault="007623B3" w:rsidP="007623B3">
            <w:pPr>
              <w:snapToGrid w:val="0"/>
              <w:spacing w:after="120" w:line="276" w:lineRule="auto"/>
              <w:jc w:val="both"/>
              <w:rPr>
                <w:rFonts w:ascii="Verdana" w:eastAsia="Calibri" w:hAnsi="Verdana" w:cs="Arial"/>
                <w:lang w:val="es-ES" w:eastAsia="es-ES"/>
              </w:rPr>
            </w:pPr>
            <w:r w:rsidRPr="007623B3">
              <w:rPr>
                <w:rFonts w:ascii="Verdana" w:eastAsia="Times New Roman" w:hAnsi="Verdana" w:cs="Arial"/>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7623B3">
              <w:rPr>
                <w:rFonts w:ascii="Verdana" w:eastAsia="Times New Roman" w:hAnsi="Verdana" w:cs="Arial"/>
                <w:i/>
                <w:iCs/>
                <w:shd w:val="clear" w:color="auto" w:fill="FFFFFF"/>
                <w:lang w:val="es-ES_tradnl" w:eastAsia="es-ES_tradnl"/>
              </w:rPr>
              <w:t>Documentos del Proceso</w:t>
            </w:r>
            <w:r w:rsidRPr="007623B3">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B97E5FA" w14:textId="77777777" w:rsidR="007623B3" w:rsidRPr="007623B3" w:rsidRDefault="007623B3" w:rsidP="007623B3">
            <w:pPr>
              <w:tabs>
                <w:tab w:val="left" w:pos="709"/>
              </w:tabs>
              <w:adjustRightInd w:val="0"/>
              <w:snapToGrid w:val="0"/>
              <w:spacing w:after="120" w:line="276" w:lineRule="auto"/>
              <w:ind w:firstLine="709"/>
              <w:jc w:val="both"/>
              <w:rPr>
                <w:rFonts w:ascii="Verdana" w:eastAsia="Times New Roman" w:hAnsi="Verdana" w:cs="Arial"/>
                <w:shd w:val="clear" w:color="auto" w:fill="FFFFFF"/>
                <w:lang w:val="es-ES" w:eastAsia="es-ES"/>
              </w:rPr>
            </w:pPr>
            <w:r w:rsidRPr="007623B3">
              <w:rPr>
                <w:rFonts w:ascii="Verdana" w:eastAsia="Times New Roman" w:hAnsi="Verdana" w:cs="Arial"/>
                <w:shd w:val="clear" w:color="auto" w:fill="FFFFFF"/>
                <w:lang w:val="es-ES" w:eastAsia="es-ES"/>
              </w:rPr>
              <w:t>En virtud de la regla de inalterabilidad aludida, los documentos tipo solo pueden ser modificados en los aspectos en que estos lo permitan. Esto corresponde a aquellos aspectos que se encuentran entre corchetes y resaltados en gris –</w:t>
            </w:r>
            <w:r w:rsidRPr="007623B3">
              <w:rPr>
                <w:rFonts w:ascii="Verdana" w:eastAsia="Times New Roman" w:hAnsi="Verdana" w:cs="Arial"/>
                <w:highlight w:val="lightGray"/>
                <w:shd w:val="clear" w:color="auto" w:fill="FFFFFF"/>
                <w:lang w:val="es-ES" w:eastAsia="es-ES"/>
              </w:rPr>
              <w:t>[texto]</w:t>
            </w:r>
            <w:r w:rsidRPr="007623B3">
              <w:rPr>
                <w:rFonts w:ascii="Verdana" w:eastAsia="Times New Roman" w:hAnsi="Verdana" w:cs="Arial"/>
                <w:shd w:val="clear" w:color="auto" w:fill="FFFFFF"/>
                <w:lang w:val="es-ES" w:eastAsia="es-ES"/>
              </w:rPr>
              <w:t>–, para lo cual deberán observarse las instrucciones contenidas en los mismos para su diligenciamiento.</w:t>
            </w:r>
          </w:p>
          <w:p w14:paraId="7D5E63E9"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Por su parte, el documento base de los documentos tipo de licitación de infraestructura de transporte – Versión 4, contempla dos (2) opciones para la asignación del puntaje correspondiente a la </w:t>
            </w:r>
            <w:r w:rsidRPr="007623B3">
              <w:rPr>
                <w:rFonts w:ascii="Verdana" w:eastAsia="Calibri" w:hAnsi="Verdana" w:cs="Arial"/>
                <w:i/>
                <w:iCs/>
                <w:color w:val="000000"/>
              </w:rPr>
              <w:t xml:space="preserve">“Promoción de Servicios Nacionales o con Trato Nacional”, </w:t>
            </w:r>
            <w:r w:rsidRPr="007623B3">
              <w:rPr>
                <w:rFonts w:ascii="Verdana" w:eastAsia="Calibri" w:hAnsi="Verdana" w:cs="Arial"/>
                <w:color w:val="000000"/>
              </w:rPr>
              <w:t xml:space="preserve">que dependen de si se logran identificar bienes relevantes registrados en el Registro de Productores de Bienes Nacionales. </w:t>
            </w:r>
          </w:p>
          <w:p w14:paraId="292BD569" w14:textId="77777777" w:rsidR="007623B3" w:rsidRPr="007623B3" w:rsidRDefault="007623B3" w:rsidP="007623B3">
            <w:pPr>
              <w:tabs>
                <w:tab w:val="left" w:pos="709"/>
              </w:tabs>
              <w:adjustRightInd w:val="0"/>
              <w:snapToGrid w:val="0"/>
              <w:spacing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lastRenderedPageBreak/>
              <w:t>En línea con lo anterior, la “Matriz 4 – Bienes nacionales relevantes para la obra pública del sector transporte” señala la metodología para identificar los bienes nacionales relevantes para la ejecución del objeto a contratar. Particularmente, sobre las preguntas objeto de su consulta, indica:</w:t>
            </w:r>
          </w:p>
          <w:p w14:paraId="11A6E90D" w14:textId="77777777" w:rsidR="007623B3" w:rsidRPr="007623B3" w:rsidRDefault="007623B3" w:rsidP="007623B3">
            <w:pPr>
              <w:tabs>
                <w:tab w:val="left" w:pos="709"/>
              </w:tabs>
              <w:adjustRightInd w:val="0"/>
              <w:snapToGrid w:val="0"/>
              <w:spacing w:line="276" w:lineRule="auto"/>
              <w:jc w:val="both"/>
              <w:rPr>
                <w:rFonts w:ascii="Verdana" w:eastAsia="Calibri" w:hAnsi="Verdana" w:cs="Arial"/>
                <w:bCs/>
                <w:color w:val="000000"/>
                <w:lang w:val="es-ES_tradnl"/>
              </w:rPr>
            </w:pPr>
          </w:p>
          <w:p w14:paraId="4B474B46"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 la Entidad Estatal deberá desarrollar la siguiente metodología para identificar los bienes nacionales relevantes para la ejecución del objeto a contratar:</w:t>
            </w:r>
          </w:p>
          <w:p w14:paraId="091F9513"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w:t>
            </w:r>
          </w:p>
          <w:p w14:paraId="1BA6A8CF" w14:textId="77777777" w:rsidR="007623B3" w:rsidRPr="007623B3" w:rsidRDefault="007623B3" w:rsidP="4CB9639E">
            <w:pPr>
              <w:tabs>
                <w:tab w:val="left" w:pos="709"/>
              </w:tabs>
              <w:adjustRightInd w:val="0"/>
              <w:snapToGrid w:val="0"/>
              <w:ind w:left="709" w:right="709"/>
              <w:jc w:val="both"/>
              <w:rPr>
                <w:rFonts w:ascii="Verdana" w:eastAsia="Calibri" w:hAnsi="Verdana" w:cs="Arial"/>
                <w:color w:val="000000"/>
                <w:sz w:val="21"/>
                <w:szCs w:val="21"/>
                <w:lang w:val="es-ES"/>
              </w:rPr>
            </w:pPr>
            <w:r w:rsidRPr="4CB9639E">
              <w:rPr>
                <w:rFonts w:ascii="Verdana" w:eastAsia="Calibri" w:hAnsi="Verdana" w:cs="Arial"/>
                <w:color w:val="000000" w:themeColor="text1"/>
                <w:sz w:val="21"/>
                <w:szCs w:val="21"/>
                <w:lang w:val="es-ES"/>
              </w:rPr>
              <w:t>9.</w:t>
            </w:r>
            <w:r>
              <w:tab/>
            </w:r>
            <w:r w:rsidRPr="4CB9639E">
              <w:rPr>
                <w:rFonts w:ascii="Verdana" w:eastAsia="Calibri" w:hAnsi="Verdana" w:cs="Arial"/>
                <w:color w:val="000000" w:themeColor="text1"/>
                <w:sz w:val="21"/>
                <w:szCs w:val="21"/>
                <w:lang w:val="es-ES"/>
              </w:rPr>
              <w:t>Verificar si uno o varios bienes que cumplan con lo previsto en el numeral anterior se encuentran incluidos en el Registro de Productores de Bienes Nacionales, en los términos del Decreto 2680 de 2009. De estar incorporados, la Entidad Estatal verificará al momento de publicar el pliego de condiciones definitivo que el registro del bien o insumo esté vigente hasta una fecha posterior a la del cierre del proceso. Para tal efecto, se entiende por fecha del cierre la publicada en el pliego de condiciones definitivo. Verificada la fecha de registro de estos bienes estos serán los que incluya en el numeral 4.3.1 del Pliego de Condiciones.</w:t>
            </w:r>
          </w:p>
          <w:p w14:paraId="63A6DBCC"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1"/>
                <w:szCs w:val="21"/>
                <w:lang w:val="es-ES_tradnl"/>
              </w:rPr>
            </w:pPr>
          </w:p>
          <w:p w14:paraId="134B0FB5" w14:textId="77777777" w:rsidR="007623B3" w:rsidRPr="007623B3" w:rsidRDefault="007623B3" w:rsidP="4CB9639E">
            <w:pPr>
              <w:tabs>
                <w:tab w:val="left" w:pos="709"/>
              </w:tabs>
              <w:adjustRightInd w:val="0"/>
              <w:snapToGrid w:val="0"/>
              <w:ind w:left="709" w:right="709"/>
              <w:jc w:val="both"/>
              <w:rPr>
                <w:rFonts w:ascii="Verdana" w:eastAsia="Calibri" w:hAnsi="Verdana" w:cs="Arial"/>
                <w:color w:val="000000"/>
                <w:sz w:val="21"/>
                <w:szCs w:val="21"/>
                <w:lang w:val="es-ES"/>
              </w:rPr>
            </w:pPr>
            <w:r w:rsidRPr="4CB9639E">
              <w:rPr>
                <w:rFonts w:ascii="Verdana" w:eastAsia="Calibri" w:hAnsi="Verdana" w:cs="Arial"/>
                <w:color w:val="000000" w:themeColor="text1"/>
                <w:sz w:val="21"/>
                <w:szCs w:val="21"/>
                <w:lang w:val="es-ES"/>
              </w:rPr>
              <w:t>10.</w:t>
            </w:r>
            <w:r>
              <w:tab/>
            </w:r>
            <w:r w:rsidRPr="4CB9639E">
              <w:rPr>
                <w:rFonts w:ascii="Verdana" w:eastAsia="Calibri" w:hAnsi="Verdana" w:cs="Arial"/>
                <w:color w:val="000000" w:themeColor="text1"/>
                <w:sz w:val="21"/>
                <w:szCs w:val="21"/>
                <w:lang w:val="es-ES"/>
              </w:rPr>
              <w:t xml:space="preserve">Si ninguno de los bienes relevantes están incluidos en el Registro de Productores de Bienes Nacionales, la Entidad Estatal otorgará el puntaje a los Proponentes que se comprometan a vincular un porcentaje de empleados o contratistas por prestación de servicios colombianos de al menos el </w:t>
            </w:r>
            <w:r w:rsidRPr="4CB9639E">
              <w:rPr>
                <w:rFonts w:ascii="Verdana" w:eastAsia="Calibri" w:hAnsi="Verdana" w:cs="Arial"/>
                <w:color w:val="000000" w:themeColor="text1"/>
                <w:sz w:val="21"/>
                <w:szCs w:val="21"/>
                <w:highlight w:val="lightGray"/>
                <w:lang w:val="es-ES"/>
              </w:rPr>
              <w:t>[la Entidad Estatal incluirá el porcentaje definido en el numeral 4.3.1 del documento base]</w:t>
            </w:r>
            <w:r w:rsidRPr="4CB9639E">
              <w:rPr>
                <w:rFonts w:ascii="Verdana" w:eastAsia="Calibri" w:hAnsi="Verdana" w:cs="Arial"/>
                <w:color w:val="000000" w:themeColor="text1"/>
                <w:sz w:val="21"/>
                <w:szCs w:val="21"/>
                <w:lang w:val="es-ES"/>
              </w:rPr>
              <w:t xml:space="preserve"> del personal requerido para el cumplimiento del contrato. </w:t>
            </w:r>
          </w:p>
          <w:p w14:paraId="41A64A20"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1"/>
                <w:szCs w:val="21"/>
                <w:lang w:val="es-ES_tradnl"/>
              </w:rPr>
            </w:pPr>
          </w:p>
          <w:p w14:paraId="23769062"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 xml:space="preserve">La Agencia Nacional de Contratación Pública ha elaborado el siguiente listado de los bienes relevantes más comunes en el desarrollo de la obra pública de infraestructura de transporte, el cual tiene carácter meramente enunciativo. No obstante, es la Entidad quien producto del análisis de las condiciones económicas del sector, de los oferentes, de la existencia de bienes en el Registro de Productores de Bienes Nacionales y de las reglas previamente definidas, la que debe establecer los bienes nacionales relevantes para el Proceso de Contratación, de conformidad con el artículo 2.2.1.2.4.2.9. del Decreto 1082 de 2015, adicionado por el Decreto 680 de 2021. </w:t>
            </w:r>
          </w:p>
          <w:p w14:paraId="168DC284"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1"/>
                <w:szCs w:val="21"/>
                <w:lang w:val="es-ES_tradnl"/>
              </w:rPr>
            </w:pPr>
          </w:p>
          <w:p w14:paraId="576BFD4C"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 xml:space="preserve">Los bienes que se enuncian se presentan de forma generalizada para los diferentes tipos de infraestructura y actividades categorizadas en </w:t>
            </w:r>
            <w:r w:rsidRPr="007623B3">
              <w:rPr>
                <w:rFonts w:ascii="Verdana" w:eastAsia="Calibri" w:hAnsi="Verdana" w:cs="Arial"/>
                <w:bCs/>
                <w:color w:val="000000"/>
                <w:sz w:val="21"/>
                <w:szCs w:val="21"/>
                <w:lang w:val="es-ES_tradnl"/>
              </w:rPr>
              <w:lastRenderedPageBreak/>
              <w:t>la Matriz 1 – Experiencia de los Documentos Tipo de obra pública de infraestructura de transporte”.</w:t>
            </w:r>
          </w:p>
          <w:p w14:paraId="64E1210D" w14:textId="77777777" w:rsidR="007623B3" w:rsidRPr="007623B3" w:rsidRDefault="007623B3" w:rsidP="007623B3">
            <w:pPr>
              <w:tabs>
                <w:tab w:val="left" w:pos="709"/>
              </w:tabs>
              <w:adjustRightInd w:val="0"/>
              <w:snapToGrid w:val="0"/>
              <w:ind w:left="709" w:right="709"/>
              <w:jc w:val="both"/>
              <w:rPr>
                <w:rFonts w:ascii="Verdana" w:eastAsia="Calibri" w:hAnsi="Verdana" w:cs="Arial"/>
                <w:bCs/>
                <w:color w:val="000000"/>
                <w:sz w:val="24"/>
                <w:szCs w:val="24"/>
                <w:lang w:val="es-ES_tradnl"/>
              </w:rPr>
            </w:pPr>
          </w:p>
          <w:p w14:paraId="2BBDE4C3"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Conforme a la metodología anterior, la entidad contratante deberá verificar, al momento de publicar el pliego de condiciones definitivo, que el registro del bien o insumo se encuentre vigente hasta una fecha posterior a la del cierre del proceso de proceso de contratación, entendiéndose por </w:t>
            </w:r>
            <w:r w:rsidRPr="007623B3">
              <w:rPr>
                <w:rFonts w:ascii="Verdana" w:eastAsia="Calibri" w:hAnsi="Verdana" w:cs="Arial"/>
                <w:bCs/>
                <w:i/>
                <w:iCs/>
                <w:color w:val="000000"/>
                <w:lang w:val="es-ES_tradnl"/>
              </w:rPr>
              <w:t>fecha de cierre</w:t>
            </w:r>
            <w:r w:rsidRPr="007623B3">
              <w:rPr>
                <w:rFonts w:ascii="Verdana" w:eastAsia="Calibri" w:hAnsi="Verdana" w:cs="Arial"/>
                <w:bCs/>
                <w:color w:val="000000"/>
                <w:lang w:val="es-ES_tradnl"/>
              </w:rPr>
              <w:t xml:space="preserve"> la publicada en el pliego de condiciones definitivo. Una vez verificada la fecha de registro de estos bienes, estos serán los que se incluyan en el numeral 4.3.1 del documento base. </w:t>
            </w:r>
          </w:p>
          <w:p w14:paraId="2EFDDC0A"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De esta manera, la Matriz 4 precisa que la fecha de cierre del proceso corresponderá a la señalada en el pliego de condiciones definitivo, y que corresponde a la entidad verificar, con la publicación del pliego de condiciones definitivo, que el registro del bien o insumo esté vigente hasta una fecha posterior a la del cierre del proceso. </w:t>
            </w:r>
          </w:p>
          <w:p w14:paraId="5BEF453F"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Por el contrario, si en la oportunidad señalada en el párrafo anterior la entidad determina que ninguno de los bienes relevantes está incluido en el Registro de Productores de Bienes Nacionales, otorgará el puntaje a los proponentes que se comprometan a vincular un determinado porcentaje de empleados o contratistas por prestación de servicios colombianos, de acuerdo con el numeral 4.3.1 del documento base.</w:t>
            </w:r>
          </w:p>
          <w:p w14:paraId="05406505" w14:textId="77777777" w:rsidR="007623B3" w:rsidRPr="007623B3" w:rsidRDefault="007623B3" w:rsidP="007623B3">
            <w:pPr>
              <w:tabs>
                <w:tab w:val="left" w:pos="709"/>
              </w:tabs>
              <w:adjustRightInd w:val="0"/>
              <w:snapToGrid w:val="0"/>
              <w:spacing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En todo caso, corresponde a las entidades estatales adelantar sus procesos de contratación, conforme al marco normativo vigente y realizando una adecuada aplicación de los documentos tipo. Asimismo, los proponentes deberán observar las reglas que establezcan las entidades en los pliegos de condiciones, y no podrán modificar los documentos tipo, salvo en aquellos aspectos que los mismos permitan de forma expresa, en los términos expuestos en este concepto. </w:t>
            </w:r>
          </w:p>
        </w:tc>
      </w:tr>
    </w:tbl>
    <w:p w14:paraId="74F62E5A" w14:textId="77777777" w:rsidR="007623B3" w:rsidRPr="007623B3" w:rsidRDefault="007623B3" w:rsidP="007623B3">
      <w:pPr>
        <w:tabs>
          <w:tab w:val="left" w:pos="142"/>
          <w:tab w:val="left" w:pos="284"/>
        </w:tabs>
        <w:snapToGrid w:val="0"/>
        <w:spacing w:after="0" w:line="276" w:lineRule="auto"/>
        <w:jc w:val="both"/>
        <w:rPr>
          <w:rFonts w:ascii="Verdana" w:eastAsia="Century Gothic" w:hAnsi="Verdana" w:cs="Century Gothic"/>
          <w:b/>
          <w:bCs/>
          <w:lang w:val="es-ES_tradnl"/>
        </w:rPr>
      </w:pPr>
    </w:p>
    <w:p w14:paraId="235D2F61" w14:textId="77777777" w:rsidR="007623B3" w:rsidRPr="007623B3" w:rsidRDefault="007623B3" w:rsidP="007623B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623B3">
        <w:rPr>
          <w:rFonts w:ascii="Verdana" w:eastAsia="Century Gothic" w:hAnsi="Verdana" w:cs="Century Gothic"/>
          <w:b/>
          <w:bCs/>
          <w:lang w:val="es-ES_tradnl"/>
        </w:rPr>
        <w:t>Razones de la respuesta:</w:t>
      </w:r>
    </w:p>
    <w:p w14:paraId="48EF594E" w14:textId="77777777" w:rsidR="007623B3" w:rsidRPr="007623B3" w:rsidRDefault="007623B3" w:rsidP="007623B3">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2141E09A" w14:textId="77777777" w:rsidR="007623B3" w:rsidRPr="007623B3" w:rsidRDefault="007623B3" w:rsidP="007623B3">
      <w:pPr>
        <w:snapToGrid w:val="0"/>
        <w:spacing w:after="0" w:line="276" w:lineRule="auto"/>
        <w:jc w:val="both"/>
        <w:rPr>
          <w:rFonts w:ascii="Verdana" w:eastAsia="Calibri" w:hAnsi="Verdana" w:cs="Arial"/>
          <w:lang w:val="es-ES_tradnl"/>
        </w:rPr>
      </w:pPr>
      <w:r w:rsidRPr="007623B3">
        <w:rPr>
          <w:rFonts w:ascii="Verdana" w:eastAsia="Calibri" w:hAnsi="Verdana" w:cs="Arial"/>
          <w:lang w:val="es-ES_tradnl"/>
        </w:rPr>
        <w:t xml:space="preserve">Lo anterior se sustenta en las siguientes consideraciones: </w:t>
      </w:r>
    </w:p>
    <w:p w14:paraId="7752308F" w14:textId="77777777" w:rsidR="007623B3" w:rsidRPr="007623B3" w:rsidRDefault="007623B3" w:rsidP="007623B3">
      <w:pPr>
        <w:snapToGrid w:val="0"/>
        <w:spacing w:after="0" w:line="276" w:lineRule="auto"/>
        <w:jc w:val="both"/>
        <w:rPr>
          <w:rFonts w:ascii="Verdana" w:eastAsia="Calibri" w:hAnsi="Verdana" w:cs="Arial"/>
          <w:lang w:val="es-ES_tradnl"/>
        </w:rPr>
      </w:pPr>
    </w:p>
    <w:p w14:paraId="271DDC21" w14:textId="77777777" w:rsidR="007623B3" w:rsidRPr="007623B3" w:rsidRDefault="007623B3" w:rsidP="007623B3">
      <w:pPr>
        <w:spacing w:after="120"/>
        <w:jc w:val="both"/>
        <w:rPr>
          <w:rFonts w:ascii="Verdana" w:eastAsia="Aptos" w:hAnsi="Verdana" w:cs="ArialMT"/>
        </w:rPr>
      </w:pPr>
      <w:r w:rsidRPr="007623B3">
        <w:rPr>
          <w:rFonts w:ascii="Verdana" w:eastAsia="Aptos" w:hAnsi="Verdana" w:cs="Arial"/>
        </w:rPr>
        <w:t xml:space="preserve">Los documentos tipo expedidos por la Agencia Nacional de Contratación Pública </w:t>
      </w:r>
      <w:r w:rsidRPr="007623B3">
        <w:rPr>
          <w:rFonts w:ascii="Verdana" w:eastAsia="Aptos" w:hAnsi="Verdana" w:cs="ArialMT"/>
        </w:rPr>
        <w:t xml:space="preserve">– Colombia Compra Eficiente </w:t>
      </w:r>
      <w:r w:rsidRPr="007623B3">
        <w:rPr>
          <w:rFonts w:ascii="Verdana" w:eastAsia="Aptos" w:hAnsi="Verdana" w:cs="Arial"/>
        </w:rPr>
        <w:t>en ejercicio de la potestad otorgada</w:t>
      </w:r>
      <w:r w:rsidRPr="007623B3">
        <w:rPr>
          <w:rFonts w:ascii="Verdana" w:eastAsia="Aptos" w:hAnsi="Verdana" w:cs="ArialMT"/>
        </w:rPr>
        <w:t xml:space="preserve"> por la Ley 2022 de 2020 son de obligatoria observancia por parte de las Entidades Estatales </w:t>
      </w:r>
      <w:r w:rsidRPr="007623B3">
        <w:rPr>
          <w:rFonts w:ascii="Verdana" w:eastAsia="Aptos" w:hAnsi="Verdana" w:cs="ArialMT"/>
        </w:rPr>
        <w:lastRenderedPageBreak/>
        <w:t>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3F92B355" w14:textId="77777777" w:rsidR="007623B3" w:rsidRPr="007623B3" w:rsidRDefault="007623B3" w:rsidP="007623B3">
      <w:pPr>
        <w:spacing w:after="120"/>
        <w:ind w:firstLine="708"/>
        <w:jc w:val="both"/>
        <w:rPr>
          <w:rFonts w:ascii="Verdana" w:eastAsia="Aptos" w:hAnsi="Verdana" w:cs="ArialMT"/>
        </w:rPr>
      </w:pPr>
      <w:r w:rsidRPr="007623B3">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7623B3">
        <w:rPr>
          <w:rFonts w:ascii="Verdana" w:eastAsia="Calibri" w:hAnsi="Verdana" w:cs="Times New Roman"/>
          <w:vertAlign w:val="superscript"/>
        </w:rPr>
        <w:footnoteReference w:id="1"/>
      </w:r>
      <w:r w:rsidRPr="007623B3">
        <w:rPr>
          <w:rFonts w:ascii="Verdana" w:eastAsia="Aptos" w:hAnsi="Verdana" w:cs="ArialMT"/>
        </w:rPr>
        <w:t xml:space="preserve">. </w:t>
      </w:r>
    </w:p>
    <w:p w14:paraId="79F69972" w14:textId="77777777" w:rsidR="007623B3" w:rsidRPr="007623B3" w:rsidRDefault="007623B3" w:rsidP="007623B3">
      <w:pPr>
        <w:spacing w:after="120"/>
        <w:ind w:firstLine="708"/>
        <w:jc w:val="both"/>
        <w:rPr>
          <w:rFonts w:ascii="Verdana" w:eastAsia="Aptos" w:hAnsi="Verdana" w:cs="ArialMT"/>
        </w:rPr>
      </w:pPr>
      <w:r w:rsidRPr="007623B3">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7623B3">
        <w:rPr>
          <w:rFonts w:ascii="Verdana" w:eastAsia="Calibri" w:hAnsi="Verdana" w:cs="Times New Roman"/>
          <w:vertAlign w:val="superscript"/>
        </w:rPr>
        <w:footnoteReference w:id="2"/>
      </w:r>
      <w:r w:rsidRPr="007623B3">
        <w:rPr>
          <w:rFonts w:ascii="Verdana" w:eastAsia="Aptos" w:hAnsi="Verdana" w:cs="ArialMT"/>
        </w:rPr>
        <w:t xml:space="preserve">. </w:t>
      </w:r>
    </w:p>
    <w:p w14:paraId="046994E4" w14:textId="77777777" w:rsidR="007623B3" w:rsidRPr="007623B3" w:rsidRDefault="007623B3" w:rsidP="007623B3">
      <w:pPr>
        <w:snapToGrid w:val="0"/>
        <w:spacing w:after="120" w:line="276" w:lineRule="auto"/>
        <w:jc w:val="both"/>
        <w:rPr>
          <w:rFonts w:ascii="Verdana" w:eastAsia="Calibri" w:hAnsi="Verdana" w:cs="Arial"/>
          <w:lang w:val="es-ES" w:eastAsia="es-ES"/>
        </w:rPr>
      </w:pPr>
      <w:r w:rsidRPr="007623B3">
        <w:rPr>
          <w:rFonts w:ascii="Verdana" w:eastAsia="Times New Roman" w:hAnsi="Verdana" w:cs="Arial"/>
          <w:shd w:val="clear" w:color="auto" w:fill="FFFFFF"/>
          <w:lang w:val="es-ES_tradnl" w:eastAsia="es-ES_tradnl"/>
        </w:rPr>
        <w:lastRenderedPageBreak/>
        <w:tab/>
        <w:t>Todas las resoluciones expedidas por la Agencia Nacional de Contratación Pública – Colombia Compra Eficiente, mediante las cuales se han adoptado los documentos tipo, consagran la regla de la inalterabilidad</w:t>
      </w:r>
      <w:r w:rsidRPr="007623B3">
        <w:rPr>
          <w:rFonts w:ascii="Verdana" w:eastAsia="Aptos" w:hAnsi="Verdana" w:cs="Times New Roman"/>
          <w:shd w:val="clear" w:color="auto" w:fill="FFFFFF"/>
          <w:vertAlign w:val="superscript"/>
          <w:lang w:val="es-ES_tradnl" w:eastAsia="es-ES_tradnl"/>
        </w:rPr>
        <w:footnoteReference w:id="3"/>
      </w:r>
      <w:r w:rsidRPr="007623B3">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7623B3">
        <w:rPr>
          <w:rFonts w:ascii="Verdana" w:eastAsia="Times New Roman" w:hAnsi="Verdana" w:cs="Arial"/>
          <w:i/>
          <w:iCs/>
          <w:shd w:val="clear" w:color="auto" w:fill="FFFFFF"/>
          <w:lang w:val="es-ES_tradnl" w:eastAsia="es-ES_tradnl"/>
        </w:rPr>
        <w:t>Documentos del Proceso</w:t>
      </w:r>
      <w:r w:rsidRPr="007623B3">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181A6A6" w14:textId="77777777" w:rsidR="007623B3" w:rsidRPr="007623B3" w:rsidRDefault="007623B3" w:rsidP="007623B3">
      <w:pPr>
        <w:snapToGrid w:val="0"/>
        <w:spacing w:after="120" w:line="276" w:lineRule="auto"/>
        <w:jc w:val="both"/>
        <w:rPr>
          <w:rFonts w:ascii="Verdana" w:eastAsia="Times New Roman" w:hAnsi="Verdana" w:cs="Arial"/>
          <w:shd w:val="clear" w:color="auto" w:fill="FFFFFF"/>
          <w:lang w:val="es-ES_tradnl" w:eastAsia="es-ES_tradnl"/>
        </w:rPr>
      </w:pPr>
      <w:r w:rsidRPr="007623B3">
        <w:rPr>
          <w:rFonts w:ascii="Verdana" w:eastAsia="Calibri" w:hAnsi="Verdana" w:cs="Arial"/>
          <w:lang w:val="es-ES" w:eastAsia="es-ES"/>
        </w:rPr>
        <w:tab/>
      </w:r>
      <w:r w:rsidRPr="007623B3">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7623B3">
        <w:rPr>
          <w:rFonts w:ascii="Verdana" w:eastAsia="Times New Roman" w:hAnsi="Verdana" w:cs="Arial"/>
          <w:lang w:val="es-ES_tradnl" w:eastAsia="es-ES_tradnl"/>
        </w:rPr>
        <w:t xml:space="preserve">[…] </w:t>
      </w:r>
      <w:r w:rsidRPr="007623B3">
        <w:rPr>
          <w:rFonts w:ascii="Verdana" w:eastAsia="Times New Roman" w:hAnsi="Verdana" w:cs="Arial"/>
          <w:shd w:val="clear" w:color="auto" w:fill="FFFFFF"/>
          <w:lang w:val="es-ES_tradnl" w:eastAsia="es-ES_tradn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7623B3">
        <w:rPr>
          <w:rFonts w:ascii="Verdana" w:eastAsia="Times New Roman" w:hAnsi="Verdana" w:cs="Arial"/>
          <w:shd w:val="clear" w:color="auto" w:fill="FFFFFF"/>
          <w:lang w:val="es-ES" w:eastAsia="es-ES"/>
        </w:rPr>
        <w:tab/>
      </w:r>
    </w:p>
    <w:p w14:paraId="45E31482" w14:textId="77777777" w:rsidR="007623B3" w:rsidRPr="007623B3" w:rsidRDefault="007623B3" w:rsidP="007623B3">
      <w:pPr>
        <w:snapToGrid w:val="0"/>
        <w:spacing w:after="120" w:line="276" w:lineRule="auto"/>
        <w:jc w:val="both"/>
        <w:rPr>
          <w:rFonts w:ascii="Verdana" w:eastAsia="Times New Roman" w:hAnsi="Verdana" w:cs="Arial"/>
          <w:shd w:val="clear" w:color="auto" w:fill="FFFFFF"/>
          <w:lang w:val="es-ES" w:eastAsia="es-ES"/>
        </w:rPr>
      </w:pPr>
      <w:r w:rsidRPr="007623B3">
        <w:rPr>
          <w:rFonts w:ascii="Verdana" w:eastAsia="Times New Roman" w:hAnsi="Verdana" w:cs="Arial"/>
          <w:shd w:val="clear" w:color="auto" w:fill="FFFFFF"/>
          <w:lang w:val="es-ES_tradnl" w:eastAsia="es-ES_tradnl"/>
        </w:rPr>
        <w:tab/>
      </w:r>
      <w:r w:rsidRPr="007623B3">
        <w:rPr>
          <w:rFonts w:ascii="Verdana" w:eastAsia="Times New Roman" w:hAnsi="Verdana" w:cs="Arial"/>
          <w:shd w:val="clear" w:color="auto" w:fill="FFFFFF"/>
          <w:lang w:val="es-ES" w:eastAsia="es-ES"/>
        </w:rPr>
        <w:t>En consecuencia, en virtud de la regla de inalterabilidad aludida, los documentos tipo solo pueden ser modificados en los aspectos en que estos lo permitan. Esto corresponde a aquellos aspectos que se encuentran entre corchetes y resaltados en gris –</w:t>
      </w:r>
      <w:r w:rsidRPr="007623B3">
        <w:rPr>
          <w:rFonts w:ascii="Verdana" w:eastAsia="Times New Roman" w:hAnsi="Verdana" w:cs="Arial"/>
          <w:highlight w:val="lightGray"/>
          <w:shd w:val="clear" w:color="auto" w:fill="FFFFFF"/>
          <w:lang w:val="es-ES" w:eastAsia="es-ES"/>
        </w:rPr>
        <w:t>[texto]</w:t>
      </w:r>
      <w:r w:rsidRPr="007623B3">
        <w:rPr>
          <w:rFonts w:ascii="Verdana" w:eastAsia="Times New Roman" w:hAnsi="Verdana" w:cs="Arial"/>
          <w:shd w:val="clear" w:color="auto" w:fill="FFFFFF"/>
          <w:lang w:val="es-ES" w:eastAsia="es-ES"/>
        </w:rPr>
        <w:t>–, para lo cual deberán observarse las instrucciones contenidas en los mismos para su diligenciamiento.</w:t>
      </w:r>
      <w:r w:rsidRPr="007623B3">
        <w:rPr>
          <w:rFonts w:ascii="Verdana" w:eastAsia="Times New Roman" w:hAnsi="Verdana" w:cs="Arial"/>
          <w:shd w:val="clear" w:color="auto" w:fill="FFFFFF"/>
          <w:lang w:val="es-ES_tradnl" w:eastAsia="es-ES_tradnl"/>
        </w:rPr>
        <w:tab/>
      </w:r>
    </w:p>
    <w:p w14:paraId="33968FC7" w14:textId="77777777" w:rsidR="007623B3" w:rsidRPr="007623B3" w:rsidRDefault="007623B3" w:rsidP="007623B3">
      <w:pPr>
        <w:snapToGrid w:val="0"/>
        <w:spacing w:after="120" w:line="276" w:lineRule="auto"/>
        <w:jc w:val="both"/>
        <w:rPr>
          <w:rFonts w:ascii="Verdana" w:eastAsia="Times New Roman" w:hAnsi="Verdana" w:cs="Arial"/>
          <w:shd w:val="clear" w:color="auto" w:fill="FFFFFF"/>
          <w:lang w:val="es-ES_tradnl" w:eastAsia="es-ES_tradnl"/>
        </w:rPr>
      </w:pPr>
      <w:r w:rsidRPr="007623B3">
        <w:rPr>
          <w:rFonts w:ascii="Verdana" w:eastAsia="Times New Roman" w:hAnsi="Verdana" w:cs="Arial"/>
          <w:shd w:val="clear" w:color="auto" w:fill="FFFFFF"/>
          <w:lang w:val="es-ES_tradnl" w:eastAsia="es-ES_tradnl"/>
        </w:rPr>
        <w:lastRenderedPageBreak/>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21682E3" w14:textId="77777777" w:rsidR="007623B3" w:rsidRPr="007623B3" w:rsidRDefault="007623B3" w:rsidP="007623B3">
      <w:pPr>
        <w:snapToGrid w:val="0"/>
        <w:spacing w:after="0" w:line="276" w:lineRule="auto"/>
        <w:jc w:val="both"/>
        <w:rPr>
          <w:rFonts w:ascii="Verdana" w:eastAsia="Calibri" w:hAnsi="Verdana" w:cs="Arial"/>
          <w:lang w:val="es-MX"/>
        </w:rPr>
      </w:pPr>
      <w:r w:rsidRPr="007623B3">
        <w:rPr>
          <w:rFonts w:ascii="Verdana" w:eastAsia="Times New Roman" w:hAnsi="Verdana" w:cs="Arial"/>
          <w:shd w:val="clear" w:color="auto" w:fill="FFFFFF"/>
          <w:lang w:val="es-ES_tradnl" w:eastAsia="es-ES_tradnl"/>
        </w:rPr>
        <w:tab/>
        <w:t xml:space="preserve">En relación </w:t>
      </w:r>
      <w:bookmarkStart w:id="1" w:name="_Hlk87025618"/>
      <w:r w:rsidRPr="007623B3">
        <w:rPr>
          <w:rFonts w:ascii="Verdana" w:eastAsia="Times New Roman" w:hAnsi="Verdana" w:cs="Arial"/>
          <w:shd w:val="clear" w:color="auto" w:fill="FFFFFF"/>
          <w:lang w:val="es-ES_tradnl" w:eastAsia="es-ES_tradnl"/>
        </w:rPr>
        <w:t xml:space="preserve">con su solicitud, le indicamos que, </w:t>
      </w:r>
      <w:r w:rsidRPr="007623B3">
        <w:rPr>
          <w:rFonts w:ascii="Verdana" w:eastAsia="Arial" w:hAnsi="Verdana" w:cs="Arial"/>
          <w:color w:val="000000"/>
          <w:lang w:val="es-ES" w:eastAsia="es-CO"/>
        </w:rPr>
        <w:t>la Ley 816 de 2003 “Por medio de la cual se apoya a la industria nacional a través de la contratación pública”, tiene como objetivo promover una mayor participación de los proveedores de bienes y servicios de origen colombiano en las compras de las entidades públicas. De igual manera, se adoptó con el propósito de crear un factor de preferencia para las propuestas que ofrezcan productos o servicios nacionales</w:t>
      </w:r>
      <w:r w:rsidRPr="007623B3">
        <w:rPr>
          <w:rFonts w:ascii="Verdana" w:eastAsia="Arial" w:hAnsi="Verdana" w:cs="Arial"/>
          <w:color w:val="000000"/>
          <w:vertAlign w:val="superscript"/>
          <w:lang w:eastAsia="es-CO"/>
        </w:rPr>
        <w:footnoteReference w:id="4"/>
      </w:r>
      <w:r w:rsidRPr="007623B3">
        <w:rPr>
          <w:rFonts w:ascii="Verdana" w:eastAsia="Arial" w:hAnsi="Verdana" w:cs="Arial"/>
          <w:color w:val="000000"/>
          <w:lang w:val="es-ES" w:eastAsia="es-CO"/>
        </w:rPr>
        <w:t xml:space="preserve">. </w:t>
      </w:r>
      <w:r w:rsidRPr="007623B3">
        <w:rPr>
          <w:rFonts w:ascii="Verdana" w:eastAsia="Calibri" w:hAnsi="Verdana" w:cs="Arial"/>
          <w:bCs/>
          <w:color w:val="000000"/>
          <w:lang w:val="es-ES_tradnl"/>
        </w:rPr>
        <w:t>Para ello, el artículo 1 dispone que las entidades estatales, en los procedimientos de selección que realicen e independientemente del régimen contractual que les sea aplicable, deben adoptar criterios que apoyen la industria nacional. En consonancia con lo anterior, el parágrafo de dicho artículo indica que:</w:t>
      </w:r>
    </w:p>
    <w:p w14:paraId="24A7FDC8" w14:textId="77777777" w:rsidR="007623B3" w:rsidRPr="007623B3" w:rsidRDefault="007623B3" w:rsidP="007623B3">
      <w:pPr>
        <w:tabs>
          <w:tab w:val="left" w:pos="0"/>
        </w:tabs>
        <w:spacing w:after="0" w:line="276" w:lineRule="auto"/>
        <w:ind w:left="709" w:right="709"/>
        <w:jc w:val="both"/>
        <w:rPr>
          <w:rFonts w:ascii="Verdana" w:eastAsia="Calibri" w:hAnsi="Verdana" w:cs="Arial"/>
          <w:bCs/>
          <w:color w:val="000000"/>
          <w:lang w:val="es-ES_tradnl"/>
        </w:rPr>
      </w:pPr>
    </w:p>
    <w:p w14:paraId="5BBFA7CA"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p>
    <w:p w14:paraId="6294CAD2" w14:textId="77777777" w:rsidR="007623B3" w:rsidRPr="007623B3" w:rsidRDefault="007623B3" w:rsidP="007623B3">
      <w:pPr>
        <w:tabs>
          <w:tab w:val="left" w:pos="0"/>
        </w:tabs>
        <w:spacing w:after="0" w:line="276" w:lineRule="auto"/>
        <w:jc w:val="both"/>
        <w:rPr>
          <w:rFonts w:ascii="Verdana" w:eastAsia="Calibri" w:hAnsi="Verdana" w:cs="Arial"/>
          <w:bCs/>
          <w:color w:val="000000"/>
          <w:lang w:val="es-ES_tradnl"/>
        </w:rPr>
      </w:pPr>
    </w:p>
    <w:p w14:paraId="0135BD59" w14:textId="77777777" w:rsidR="007623B3" w:rsidRPr="007623B3" w:rsidRDefault="007623B3" w:rsidP="007623B3">
      <w:pPr>
        <w:tabs>
          <w:tab w:val="left" w:pos="0"/>
        </w:tabs>
        <w:spacing w:after="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En materia de contratación pública, dicho trato nacional es aplicable a los proponentes que ofrezcan bienes y servicios nacionales, de conformidad con las definiciones del artículo 2.2.1.1.1.3.1 del Decreto 1082 de 2015, así como a los extranjeros que cumplan con los criterios que se encuentran regulados en el artículo 2.2.1.2.4.1.3. del mismo Decreto</w:t>
      </w:r>
      <w:r w:rsidRPr="007623B3">
        <w:rPr>
          <w:rFonts w:ascii="Verdana" w:eastAsia="Calibri" w:hAnsi="Verdana" w:cs="Arial"/>
          <w:bCs/>
          <w:color w:val="000000"/>
          <w:vertAlign w:val="superscript"/>
          <w:lang w:val="es-ES_tradnl"/>
        </w:rPr>
        <w:footnoteReference w:id="5"/>
      </w:r>
      <w:r w:rsidRPr="007623B3">
        <w:rPr>
          <w:rFonts w:ascii="Verdana" w:eastAsia="Calibri" w:hAnsi="Verdana" w:cs="Arial"/>
          <w:bCs/>
          <w:color w:val="000000"/>
          <w:lang w:val="es-ES_tradnl"/>
        </w:rPr>
        <w:t xml:space="preserve">, en el que se establece la forma como </w:t>
      </w:r>
      <w:r w:rsidRPr="007623B3">
        <w:rPr>
          <w:rFonts w:ascii="Verdana" w:eastAsia="Calibri" w:hAnsi="Verdana" w:cs="Arial"/>
          <w:bCs/>
          <w:color w:val="000000"/>
          <w:lang w:val="es-ES_tradnl"/>
        </w:rPr>
        <w:lastRenderedPageBreak/>
        <w:t>se debe acreditar la existencia de trato nacional para extranjeros, dependiendo del fundamento de este y exigiendo el certificado expedido por el Ministerio de Relaciones Exteriores, cuando no exista tratado, ni regulación andina aplicable. Por otra parte, las entidades estatales deben aplicar en sus procedimientos de selección lo previsto en el artículo 2 de la Ley 816 de 2003, que establece un criterio de calificación diferencial, en los siguientes términos:</w:t>
      </w:r>
    </w:p>
    <w:p w14:paraId="05ADB7C2" w14:textId="77777777" w:rsidR="007623B3" w:rsidRPr="007623B3" w:rsidRDefault="007623B3" w:rsidP="007623B3">
      <w:pPr>
        <w:tabs>
          <w:tab w:val="left" w:pos="0"/>
        </w:tabs>
        <w:spacing w:after="0" w:line="276" w:lineRule="auto"/>
        <w:ind w:left="709" w:right="709"/>
        <w:jc w:val="both"/>
        <w:rPr>
          <w:rFonts w:ascii="Verdana" w:eastAsia="Calibri" w:hAnsi="Verdana" w:cs="Arial"/>
          <w:bCs/>
          <w:color w:val="000000"/>
          <w:lang w:val="es-ES_tradnl"/>
        </w:rPr>
      </w:pPr>
    </w:p>
    <w:p w14:paraId="746F3855"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69D11CAE"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16462D49"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1D43F67B"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53537F8F"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Si una vez efectuada la calificación correspondiente, la oferta de un proponente extranjero se encuentra en igualdad de condiciones con la de un proponente nacional, se adjudicará al nacional”.</w:t>
      </w:r>
    </w:p>
    <w:p w14:paraId="4551779A" w14:textId="77777777" w:rsidR="007623B3" w:rsidRPr="007623B3" w:rsidRDefault="007623B3" w:rsidP="007623B3">
      <w:pPr>
        <w:tabs>
          <w:tab w:val="left" w:pos="0"/>
        </w:tabs>
        <w:spacing w:after="0" w:line="276" w:lineRule="auto"/>
        <w:jc w:val="both"/>
        <w:rPr>
          <w:rFonts w:ascii="Verdana" w:eastAsia="Calibri" w:hAnsi="Verdana" w:cs="Arial"/>
          <w:bCs/>
          <w:color w:val="000000"/>
          <w:lang w:val="es-ES_tradnl"/>
        </w:rPr>
      </w:pPr>
      <w:r w:rsidRPr="007623B3">
        <w:rPr>
          <w:rFonts w:ascii="Verdana" w:eastAsia="Calibri" w:hAnsi="Verdana" w:cs="Arial"/>
          <w:bCs/>
          <w:color w:val="000000"/>
          <w:lang w:val="es-ES_tradnl"/>
        </w:rPr>
        <w:tab/>
      </w:r>
    </w:p>
    <w:p w14:paraId="616622F0" w14:textId="77777777" w:rsidR="007623B3" w:rsidRPr="007623B3" w:rsidRDefault="007623B3" w:rsidP="007623B3">
      <w:pPr>
        <w:tabs>
          <w:tab w:val="left" w:pos="0"/>
        </w:tabs>
        <w:spacing w:after="0" w:line="276" w:lineRule="auto"/>
        <w:jc w:val="both"/>
        <w:rPr>
          <w:rFonts w:ascii="Verdana" w:eastAsia="Calibri" w:hAnsi="Verdana" w:cs="Arial"/>
          <w:bCs/>
          <w:color w:val="000000"/>
          <w:lang w:val="es-ES_tradnl"/>
        </w:rPr>
      </w:pPr>
      <w:r w:rsidRPr="007623B3">
        <w:rPr>
          <w:rFonts w:ascii="Verdana" w:eastAsia="Calibri" w:hAnsi="Verdana" w:cs="Arial"/>
          <w:bCs/>
          <w:color w:val="000000"/>
          <w:lang w:val="es-ES_tradnl"/>
        </w:rPr>
        <w:lastRenderedPageBreak/>
        <w:tab/>
        <w:t>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debe fijar los criterios de asignación de puntaje –o factores de 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265742C8" w14:textId="77777777" w:rsidR="007623B3" w:rsidRPr="007623B3" w:rsidRDefault="007623B3" w:rsidP="007623B3">
      <w:pPr>
        <w:tabs>
          <w:tab w:val="left" w:pos="0"/>
        </w:tabs>
        <w:spacing w:before="120" w:after="120" w:line="276" w:lineRule="auto"/>
        <w:jc w:val="both"/>
        <w:rPr>
          <w:rFonts w:ascii="Verdana" w:eastAsia="Calibri" w:hAnsi="Verdana" w:cs="Arial"/>
          <w:bCs/>
          <w:color w:val="000000"/>
          <w:lang w:val="es-ES_tradnl"/>
        </w:rPr>
      </w:pPr>
      <w:r w:rsidRPr="007623B3">
        <w:rPr>
          <w:rFonts w:ascii="Verdana" w:eastAsia="Calibri" w:hAnsi="Verdana" w:cs="Arial"/>
          <w:bCs/>
          <w:color w:val="000000"/>
          <w:lang w:val="es-ES_tradnl"/>
        </w:rPr>
        <w:tab/>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7623B3">
        <w:rPr>
          <w:rFonts w:ascii="Verdana" w:eastAsia="Calibri" w:hAnsi="Verdana" w:cs="Arial"/>
          <w:lang w:val="es-ES_tradnl"/>
        </w:rPr>
        <w:t xml:space="preserve">[…] </w:t>
      </w:r>
      <w:r w:rsidRPr="007623B3">
        <w:rPr>
          <w:rFonts w:ascii="Verdana" w:eastAsia="Calibri" w:hAnsi="Verdana" w:cs="Arial"/>
          <w:bCs/>
          <w:color w:val="000000"/>
          <w:lang w:val="es-ES_tradnl"/>
        </w:rPr>
        <w:t xml:space="preserve">un puntaje comprendido entre el diez (10) y el veinte por ciento (20%)” para estimular la industria nacional, cuando se oferten bienes o servicios nacionales” –inciso primero o “Franja 1”–. Adicionalmente, la norma indica que, si no se ofertan bienes o servicios nacionales, sino bienes o servicios </w:t>
      </w:r>
      <w:r w:rsidRPr="007623B3">
        <w:rPr>
          <w:rFonts w:ascii="Verdana" w:eastAsia="Calibri" w:hAnsi="Verdana" w:cs="Arial"/>
          <w:bCs/>
          <w:i/>
          <w:iCs/>
          <w:color w:val="000000"/>
          <w:lang w:val="es-ES_tradnl"/>
        </w:rPr>
        <w:t>extranjeros</w:t>
      </w:r>
      <w:r w:rsidRPr="007623B3">
        <w:rPr>
          <w:rFonts w:ascii="Verdana" w:eastAsia="Calibri" w:hAnsi="Verdana" w:cs="Arial"/>
          <w:bCs/>
          <w:color w:val="00000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7623B3">
        <w:rPr>
          <w:rFonts w:ascii="Verdana" w:eastAsia="Calibri" w:hAnsi="Verdana" w:cs="Arial"/>
          <w:bCs/>
          <w:color w:val="000000"/>
        </w:rPr>
        <w:t>“</w:t>
      </w:r>
      <w:r w:rsidRPr="007623B3">
        <w:rPr>
          <w:rFonts w:ascii="Verdana" w:eastAsia="Calibri" w:hAnsi="Verdana" w:cs="Arial"/>
          <w:bCs/>
          <w:color w:val="000000"/>
          <w:lang w:val="es-ES_tradnl"/>
        </w:rPr>
        <w:t xml:space="preserve">Franja 2”–. </w:t>
      </w:r>
    </w:p>
    <w:p w14:paraId="7CA9B437" w14:textId="77777777" w:rsidR="007623B3" w:rsidRPr="007623B3" w:rsidRDefault="007623B3" w:rsidP="007623B3">
      <w:pPr>
        <w:spacing w:after="0" w:line="276" w:lineRule="auto"/>
        <w:jc w:val="both"/>
        <w:rPr>
          <w:rFonts w:ascii="Verdana" w:eastAsia="Calibri" w:hAnsi="Verdana" w:cs="Arial"/>
          <w:color w:val="000000"/>
          <w:lang w:val="es-ES"/>
        </w:rPr>
      </w:pPr>
      <w:r w:rsidRPr="007623B3">
        <w:rPr>
          <w:rFonts w:ascii="Verdana" w:eastAsia="Calibri" w:hAnsi="Verdana" w:cs="Arial"/>
          <w:bCs/>
          <w:color w:val="000000"/>
          <w:lang w:val="es-ES_tradnl"/>
        </w:rPr>
        <w:tab/>
      </w:r>
      <w:r w:rsidRPr="007623B3">
        <w:rPr>
          <w:rFonts w:ascii="Verdana" w:eastAsia="Calibri" w:hAnsi="Verdana" w:cs="Arial"/>
          <w:color w:val="00000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7623B3">
        <w:rPr>
          <w:rFonts w:ascii="Verdana" w:eastAsia="Calibri" w:hAnsi="Verdana" w:cs="Arial"/>
          <w:i/>
          <w:iCs/>
          <w:color w:val="000000"/>
          <w:lang w:val="es-ES"/>
        </w:rPr>
        <w:t>Servicios Nacionales</w:t>
      </w:r>
      <w:r w:rsidRPr="007623B3">
        <w:rPr>
          <w:rFonts w:ascii="Verdana" w:eastAsia="Calibri" w:hAnsi="Verdana" w:cs="Arial"/>
          <w:color w:val="000000"/>
          <w:lang w:val="es-ES"/>
        </w:rPr>
        <w:t xml:space="preserve"> en forma distinta, así:</w:t>
      </w:r>
    </w:p>
    <w:p w14:paraId="15739FB7" w14:textId="77777777" w:rsidR="007623B3" w:rsidRPr="007623B3" w:rsidRDefault="007623B3" w:rsidP="007623B3">
      <w:pPr>
        <w:spacing w:after="0" w:line="276" w:lineRule="auto"/>
        <w:jc w:val="both"/>
        <w:rPr>
          <w:rFonts w:ascii="Verdana" w:eastAsia="Calibri" w:hAnsi="Verdana" w:cs="Arial"/>
          <w:bCs/>
          <w:color w:val="000000"/>
          <w:lang w:val="es-ES_tradnl"/>
        </w:rPr>
      </w:pPr>
    </w:p>
    <w:p w14:paraId="0FC2DB2B"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 xml:space="preserve">“Servicios Nacionales. En los contratos que deban cumplirse en Colombia, un servicio es colombiano si además de ser prestado por una persona natural colombiana o por un residente en Colombia, por </w:t>
      </w:r>
      <w:r w:rsidRPr="007623B3">
        <w:rPr>
          <w:rFonts w:ascii="Verdana" w:eastAsia="Calibri" w:hAnsi="Verdana" w:cs="Arial"/>
          <w:bCs/>
          <w:color w:val="000000"/>
          <w:sz w:val="21"/>
          <w:szCs w:val="21"/>
          <w:lang w:val="es-ES_tradnl"/>
        </w:rPr>
        <w:lastRenderedPageBreak/>
        <w:t>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415EB020"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68979B9B"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1B397D4D"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0788AD58"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p>
    <w:p w14:paraId="216ECF8E" w14:textId="77777777" w:rsidR="007623B3" w:rsidRPr="007623B3" w:rsidRDefault="007623B3" w:rsidP="007623B3">
      <w:pPr>
        <w:tabs>
          <w:tab w:val="left" w:pos="0"/>
        </w:tabs>
        <w:spacing w:after="0" w:line="278" w:lineRule="auto"/>
        <w:ind w:left="709" w:right="709"/>
        <w:jc w:val="both"/>
        <w:rPr>
          <w:rFonts w:ascii="Verdana" w:eastAsia="Calibri" w:hAnsi="Verdana" w:cs="Arial"/>
          <w:bCs/>
          <w:color w:val="000000"/>
          <w:lang w:val="es-ES_tradnl"/>
        </w:rPr>
      </w:pPr>
    </w:p>
    <w:p w14:paraId="331D321C" w14:textId="77777777" w:rsidR="007623B3" w:rsidRPr="007623B3" w:rsidRDefault="007623B3" w:rsidP="007623B3">
      <w:pPr>
        <w:tabs>
          <w:tab w:val="left" w:pos="0"/>
        </w:tabs>
        <w:spacing w:after="0" w:line="276" w:lineRule="auto"/>
        <w:ind w:firstLine="709"/>
        <w:jc w:val="both"/>
        <w:rPr>
          <w:rFonts w:ascii="Verdana" w:eastAsia="Calibri" w:hAnsi="Verdana" w:cs="Arial"/>
          <w:bCs/>
          <w:color w:val="000000"/>
          <w:lang w:val="es-ES_tradnl"/>
        </w:rPr>
      </w:pPr>
      <w:bookmarkStart w:id="3" w:name="_Hlk86820071"/>
      <w:r w:rsidRPr="007623B3">
        <w:rPr>
          <w:rFonts w:ascii="Verdana" w:eastAsia="Calibri" w:hAnsi="Verdana" w:cs="Arial"/>
          <w:bCs/>
          <w:color w:val="000000"/>
          <w:lang w:val="es-ES_tradnl"/>
        </w:rPr>
        <w:t xml:space="preserve">De acuerdo con lo anterior, la noción de </w:t>
      </w:r>
      <w:r w:rsidRPr="007623B3">
        <w:rPr>
          <w:rFonts w:ascii="Verdana" w:eastAsia="Calibri" w:hAnsi="Verdana" w:cs="Arial"/>
          <w:bCs/>
          <w:i/>
          <w:iCs/>
          <w:color w:val="000000"/>
          <w:lang w:val="es-ES_tradnl"/>
        </w:rPr>
        <w:t>Servicios Nacionales</w:t>
      </w:r>
      <w:r w:rsidRPr="007623B3">
        <w:rPr>
          <w:rFonts w:ascii="Verdana" w:eastAsia="Calibri" w:hAnsi="Verdana" w:cs="Arial"/>
          <w:bCs/>
          <w:color w:val="000000"/>
          <w:lang w:val="es-ES_tradnl"/>
        </w:rPr>
        <w:t xml:space="preserv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7623B3">
        <w:rPr>
          <w:rFonts w:ascii="Verdana" w:eastAsia="Calibri" w:hAnsi="Verdana" w:cs="Arial"/>
          <w:bCs/>
          <w:i/>
          <w:iCs/>
          <w:color w:val="000000"/>
          <w:lang w:val="es-ES_tradnl"/>
        </w:rPr>
        <w:t xml:space="preserve">Servicios Nacionales </w:t>
      </w:r>
      <w:r w:rsidRPr="007623B3">
        <w:rPr>
          <w:rFonts w:ascii="Verdana" w:eastAsia="Calibri" w:hAnsi="Verdana" w:cs="Arial"/>
          <w:bCs/>
          <w:color w:val="000000"/>
          <w:lang w:val="es-ES_tradnl"/>
        </w:rPr>
        <w:t xml:space="preserve">remite a la noción de </w:t>
      </w:r>
      <w:r w:rsidRPr="007623B3">
        <w:rPr>
          <w:rFonts w:ascii="Verdana" w:eastAsia="Calibri" w:hAnsi="Verdana" w:cs="Arial"/>
          <w:bCs/>
          <w:i/>
          <w:iCs/>
          <w:color w:val="000000"/>
          <w:lang w:val="es-ES_tradnl"/>
        </w:rPr>
        <w:t>Bienes Nacionales</w:t>
      </w:r>
      <w:r w:rsidRPr="007623B3">
        <w:rPr>
          <w:rFonts w:ascii="Verdana" w:eastAsia="Calibri" w:hAnsi="Verdana" w:cs="Arial"/>
          <w:bCs/>
          <w:color w:val="000000"/>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bookmarkEnd w:id="3"/>
      <w:r w:rsidRPr="007623B3">
        <w:rPr>
          <w:rFonts w:ascii="Verdana" w:eastAsia="Calibri" w:hAnsi="Verdana" w:cs="Arial"/>
          <w:bCs/>
          <w:color w:val="000000"/>
          <w:lang w:val="es-ES_tradnl"/>
        </w:rPr>
        <w:t>”.</w:t>
      </w:r>
    </w:p>
    <w:p w14:paraId="02182681" w14:textId="77777777" w:rsidR="007623B3" w:rsidRPr="007623B3" w:rsidRDefault="007623B3" w:rsidP="007623B3">
      <w:pPr>
        <w:tabs>
          <w:tab w:val="left" w:pos="0"/>
        </w:tabs>
        <w:spacing w:before="120" w:after="12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En consecuencia, si el contrato debe cumplirse en Colombia, la entidad estatal debe definir los bienes nacionales relevantes, pues el uso de estos por </w:t>
      </w:r>
      <w:r w:rsidRPr="007623B3">
        <w:rPr>
          <w:rFonts w:ascii="Verdana" w:eastAsia="Calibri" w:hAnsi="Verdana" w:cs="Arial"/>
          <w:bCs/>
          <w:color w:val="000000"/>
          <w:lang w:val="es-ES_tradnl"/>
        </w:rPr>
        <w:lastRenderedPageBreak/>
        <w:t>parte del proponente es uno de los criterios que permiten establecer si el servicio puede calificarse como nacional –el otro criterio es la vinculación del porcentaje mínimo de personal colombiano, según corresponda–. Si el contrato no debe cumplirse en Colombia, para que el servicio sea nacional, no es necesario que se usen bienes o personal colombianos, sino que basta con que sea prestado “por una persona natural colombiana o por un residente en Colombia, por una persona jurídica constituida de conformidad con la legislación colombiana o un proponente plural conformado por estos”. Lo anterior en consonancia con el artículo 1 del Decreto 680 de 2021.</w:t>
      </w:r>
    </w:p>
    <w:p w14:paraId="7389DD88" w14:textId="77777777" w:rsidR="007623B3" w:rsidRPr="007623B3" w:rsidRDefault="007623B3" w:rsidP="007623B3">
      <w:pPr>
        <w:tabs>
          <w:tab w:val="left" w:pos="0"/>
        </w:tabs>
        <w:spacing w:before="120" w:after="12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De otra parte, el último inciso de la definición transcrita establece una prerrogativa aplicable solo a los proponentes extranjeros con derecho a trato nacional. Conforme a esta, es posible establecer si se acoge la regla de origen establecida en el Decreto 1082 de 2015, o si por el contrario se acredita el origen de los servicios conforme a las reglas de sus correspondientes países o las contemplada en los respectivos Acuerdos Comerciales. Esto es aplicable oferentes de países con Acuerdos Comerciales vigentes, los provenientes de países que tengan trato nacional por reciprocidad y a los miembros de la Comunidad Andina de Naciones.  </w:t>
      </w:r>
    </w:p>
    <w:p w14:paraId="0B048CDE" w14:textId="77777777" w:rsidR="007623B3" w:rsidRPr="007623B3" w:rsidRDefault="007623B3" w:rsidP="007623B3">
      <w:pPr>
        <w:tabs>
          <w:tab w:val="left" w:pos="0"/>
        </w:tabs>
        <w:spacing w:after="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De otra parte, el Decreto 680 de 2021 consagra, en el artículo 2, unos lineamientos que deben seguir las entidades estatales para definir los </w:t>
      </w:r>
      <w:r w:rsidRPr="007623B3">
        <w:rPr>
          <w:rFonts w:ascii="Verdana" w:eastAsia="Calibri" w:hAnsi="Verdana" w:cs="Arial"/>
          <w:bCs/>
          <w:i/>
          <w:iCs/>
          <w:color w:val="000000"/>
          <w:lang w:val="es-ES_tradnl"/>
        </w:rPr>
        <w:t>bienes colombianos relevantes</w:t>
      </w:r>
      <w:r w:rsidRPr="007623B3">
        <w:rPr>
          <w:rFonts w:ascii="Verdana" w:eastAsia="Calibri" w:hAnsi="Verdana" w:cs="Arial"/>
          <w:bCs/>
          <w:color w:val="000000"/>
          <w:lang w:val="es-ES_tradnl"/>
        </w:rPr>
        <w:t xml:space="preserve"> y otorgar el puntaje de que trata el inciso 1 del artículo 2 de la Ley 816 de 2003. En efecto, el artículo 2 del Decreto en comento, establece: </w:t>
      </w:r>
    </w:p>
    <w:p w14:paraId="489CDEC4" w14:textId="77777777" w:rsidR="007623B3" w:rsidRPr="007623B3" w:rsidRDefault="007623B3" w:rsidP="007623B3">
      <w:pPr>
        <w:tabs>
          <w:tab w:val="left" w:pos="0"/>
        </w:tabs>
        <w:spacing w:after="0" w:line="276" w:lineRule="auto"/>
        <w:ind w:left="709" w:right="709"/>
        <w:jc w:val="both"/>
        <w:rPr>
          <w:rFonts w:ascii="Verdana" w:eastAsia="Calibri" w:hAnsi="Verdana" w:cs="Arial"/>
          <w:bCs/>
          <w:color w:val="000000"/>
          <w:lang w:val="es-ES_tradnl"/>
        </w:rPr>
      </w:pPr>
    </w:p>
    <w:p w14:paraId="451ACEEF"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30817679"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71AADD04"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ARTÍCULO 2.2.1.2.4.2.9. Puntaje para la promoción de la industria nacional en los Procesos de Contratación de servicios. La Entidad Estatal en los Procesos de Contratación de servicios, otorgará el puntaje de que trata el inciso primero del artículo 2 de la Ley 816 de 2003 al proponente que oferte Servicios Nacionales o servicios extranjeros con trato nacional de acuerdo con la regla de origen aplicable.</w:t>
      </w:r>
    </w:p>
    <w:p w14:paraId="42EDD338"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38CCF36B"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lastRenderedPageBreak/>
        <w:t>En los contratos que deban cumplirse en Colombia, la Entidad Estatal definirá de manera razonable y proporcionada los bienes colombianos relevantes teniendo en cuenta:</w:t>
      </w:r>
    </w:p>
    <w:p w14:paraId="29A3352D"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753BC900"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1. El análisis del sector económico y de los oferentes, y, toda aquella información adicional con la que cuente la Entidad Estatal en la etapa de planeación del Proceso de Contratación;</w:t>
      </w:r>
    </w:p>
    <w:p w14:paraId="119AF40C"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00912B55"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2. El porcentaje de participación de los bienes en el presupuesto del Proceso de Contratación; y</w:t>
      </w:r>
    </w:p>
    <w:p w14:paraId="5C380D7B"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6D6A0AF6"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3. La existencia de los bienes en el Registro de Productores de Bienes Nacionales, en los términos del Decreto 2680 de 2009 o las normas que lo modifiquen, aclaren, adicionen o sustituyan.</w:t>
      </w:r>
    </w:p>
    <w:p w14:paraId="18337E86"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0A89979A"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empleados y contratistas asociados al cumplimiento del contrato.</w:t>
      </w:r>
    </w:p>
    <w:p w14:paraId="5B8995E8"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p>
    <w:p w14:paraId="4848D081" w14:textId="77777777" w:rsidR="007623B3" w:rsidRPr="007623B3" w:rsidRDefault="007623B3" w:rsidP="007623B3">
      <w:pPr>
        <w:tabs>
          <w:tab w:val="left" w:pos="0"/>
        </w:tabs>
        <w:spacing w:after="0" w:line="240" w:lineRule="auto"/>
        <w:ind w:left="709" w:right="709"/>
        <w:jc w:val="both"/>
        <w:rPr>
          <w:rFonts w:ascii="Verdana" w:eastAsia="Calibri" w:hAnsi="Verdana" w:cs="Arial"/>
          <w:bCs/>
          <w:color w:val="000000"/>
          <w:sz w:val="21"/>
          <w:szCs w:val="21"/>
          <w:lang w:val="es-ES_tradnl"/>
        </w:rPr>
      </w:pPr>
      <w:r w:rsidRPr="007623B3">
        <w:rPr>
          <w:rFonts w:ascii="Verdana" w:eastAsia="Calibri" w:hAnsi="Verdana" w:cs="Arial"/>
          <w:bCs/>
          <w:color w:val="000000"/>
          <w:sz w:val="21"/>
          <w:szCs w:val="21"/>
          <w:lang w:val="es-ES_tradnl"/>
        </w:rPr>
        <w:t>La Entidad Estatal documentará este análisis y dejará constancia en los Documentos del Proceso”.</w:t>
      </w:r>
    </w:p>
    <w:p w14:paraId="2C73BBEE" w14:textId="77777777" w:rsidR="007623B3" w:rsidRPr="007623B3" w:rsidRDefault="007623B3" w:rsidP="007623B3">
      <w:pPr>
        <w:tabs>
          <w:tab w:val="left" w:pos="0"/>
        </w:tabs>
        <w:spacing w:after="0" w:line="276" w:lineRule="auto"/>
        <w:ind w:left="709" w:right="709"/>
        <w:jc w:val="both"/>
        <w:rPr>
          <w:rFonts w:ascii="Verdana" w:eastAsia="Calibri" w:hAnsi="Verdana" w:cs="Arial"/>
          <w:bCs/>
          <w:color w:val="000000"/>
          <w:lang w:val="es-ES_tradnl"/>
        </w:rPr>
      </w:pPr>
    </w:p>
    <w:p w14:paraId="6EFD75D8" w14:textId="77777777" w:rsidR="007623B3" w:rsidRPr="007623B3" w:rsidRDefault="007623B3" w:rsidP="007623B3">
      <w:pPr>
        <w:tabs>
          <w:tab w:val="left" w:pos="0"/>
        </w:tabs>
        <w:spacing w:after="120" w:line="276" w:lineRule="auto"/>
        <w:ind w:firstLine="709"/>
        <w:jc w:val="both"/>
        <w:rPr>
          <w:rFonts w:ascii="Verdana" w:eastAsia="Calibri" w:hAnsi="Verdana" w:cs="Arial"/>
          <w:color w:val="000000"/>
          <w:lang w:val="es-ES"/>
        </w:rPr>
      </w:pPr>
      <w:bookmarkStart w:id="4" w:name="_Hlk86820149"/>
      <w:bookmarkStart w:id="5" w:name="_Hlk87025682"/>
      <w:r w:rsidRPr="007623B3">
        <w:rPr>
          <w:rFonts w:ascii="Verdana" w:eastAsia="Calibri" w:hAnsi="Verdana" w:cs="Arial"/>
          <w:color w:val="000000"/>
          <w:lang w:val="es-ES"/>
        </w:rPr>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toda la  aquella información recabada en la etapa de planeación proceso, ii) el porcentaje de participación de los bienes en el presupuesto del contratos y iii) la existencia de los bienes en el Registro de Productores de Bienes Nacionales, en los términos del Decreto 2680 de 2009. Las entidades estatales deben valerse de estos criterios para analizar los insumos requeridos para la ejecución del objeto contractual ofertado y establecer cuáles constituyen los bienes nacionales relevantes, análisis que debe constar en los Documentos del Proceso.  Se considera importante que en los pliegos de condiciones o documentos equivalentes se establezca con claridad qué bienes colombianos deben incluir en </w:t>
      </w:r>
      <w:r w:rsidRPr="007623B3">
        <w:rPr>
          <w:rFonts w:ascii="Verdana" w:eastAsia="Calibri" w:hAnsi="Verdana" w:cs="Arial"/>
          <w:color w:val="000000"/>
          <w:lang w:val="es-ES"/>
        </w:rPr>
        <w:lastRenderedPageBreak/>
        <w:t xml:space="preserve">las propuestas para que puedan ser consideradas de origen nacional y, en consecuencia, optar al puntaje por apoyo a la industria nacional.   </w:t>
      </w:r>
    </w:p>
    <w:bookmarkEnd w:id="4"/>
    <w:p w14:paraId="0C9EDE40" w14:textId="77777777" w:rsidR="007623B3" w:rsidRPr="007623B3" w:rsidRDefault="007623B3" w:rsidP="007623B3">
      <w:pPr>
        <w:tabs>
          <w:tab w:val="left" w:pos="0"/>
        </w:tabs>
        <w:spacing w:after="120" w:line="276" w:lineRule="auto"/>
        <w:ind w:firstLine="709"/>
        <w:jc w:val="both"/>
        <w:rPr>
          <w:rFonts w:ascii="Verdana" w:eastAsia="Calibri" w:hAnsi="Verdana" w:cs="Arial"/>
          <w:bCs/>
          <w:color w:val="000000"/>
          <w:lang w:val="es-ES_tradnl"/>
        </w:rPr>
      </w:pPr>
      <w:r w:rsidRPr="007623B3">
        <w:rPr>
          <w:rFonts w:ascii="Verdana" w:eastAsia="Calibri" w:hAnsi="Verdana" w:cs="Arial"/>
          <w:bCs/>
          <w:color w:val="000000"/>
          <w:lang w:val="es-ES_tradnl"/>
        </w:rPr>
        <w:t xml:space="preserve">El penúltimo inciso del artículo del 2.2.1.2.4.2.9 del Decreto 1082 de 2015, adicionado por el Decreto 680 de 2021, establece una regla subsidiaria para otorgar el puntaje de industria nacional en procesos de contratación en los que, en atención al objeto contractual, no existan bienes colombianos relevantes o no exista oferta nacional de los bienes relevantes en el Registro de Productores de Bienes Nacionales. Esta regla consiste en otorgar el puntaje, al proponente que vincule el porcentaje mínimo de empleados o contratistas por prestación de servicios colombianos establecido por la entidad estatal, el cual no podrá ser inferior al 40% del total de empleados y contratistas asociados al cumplimiento del contrato. Conforme a esta regla residual, cuando en el marco de la planeación, la entidad estatal no logre establecer que el objeto contractual requiera de bienes nacionales que se ajusten a los referidos criterios, deberá otorgar el puntaje por apoyo a la industria nacional a los proponentes que ejecuten el contrato garantizando la participación de personal colombiano en el correspondiente porcentaje mínimo.    </w:t>
      </w:r>
    </w:p>
    <w:bookmarkEnd w:id="5"/>
    <w:p w14:paraId="45C0FD9D" w14:textId="77777777" w:rsidR="007623B3" w:rsidRPr="007623B3" w:rsidRDefault="007623B3" w:rsidP="007623B3">
      <w:pPr>
        <w:tabs>
          <w:tab w:val="left" w:pos="0"/>
        </w:tabs>
        <w:spacing w:before="120" w:line="276" w:lineRule="auto"/>
        <w:jc w:val="both"/>
        <w:rPr>
          <w:rFonts w:ascii="Verdana" w:eastAsia="Calibri" w:hAnsi="Verdana" w:cs="Arial"/>
          <w:bCs/>
          <w:color w:val="000000"/>
        </w:rPr>
      </w:pPr>
      <w:r w:rsidRPr="007623B3">
        <w:rPr>
          <w:rFonts w:ascii="Verdana" w:eastAsia="Calibri" w:hAnsi="Verdana" w:cs="Arial"/>
          <w:bCs/>
          <w:color w:val="000000"/>
        </w:rPr>
        <w:tab/>
        <w:t>De acuerdo con lo anterior, corresponde a las entidades estatales, dentro de la planeación de los procesos de selección competitivos que adelantan, establecer cuál de las dos alternativas para el otorgamiento de puntaje por apoyo a la industria nacional tendrá aplicación, para lo cual deben realizar un análisis que conste en los Documentos del Proceso. Adicionalmente, en la medida en que el Decreto 680 de 2021 no establece ninguna regla específica al respecto, se estima indispensable que las entidades estatales, de conformidad con el artículo 2.2.1.1.2.1.3 del Decreto 1082 de 2015</w:t>
      </w:r>
      <w:r w:rsidRPr="007623B3">
        <w:rPr>
          <w:rFonts w:ascii="Verdana" w:eastAsia="Calibri" w:hAnsi="Verdana" w:cs="Arial"/>
          <w:bCs/>
          <w:color w:val="000000"/>
          <w:vertAlign w:val="superscript"/>
        </w:rPr>
        <w:footnoteReference w:id="6"/>
      </w:r>
      <w:r w:rsidRPr="007623B3">
        <w:rPr>
          <w:rFonts w:ascii="Verdana" w:eastAsia="Calibri" w:hAnsi="Verdana" w:cs="Arial"/>
          <w:bCs/>
          <w:color w:val="000000"/>
        </w:rPr>
        <w:t xml:space="preserve">, establezcan en los pliegos de condiciones las reglas por las que deben seguirse los proponentes al momento de presentar sus ofertas para poder obtener el puntaje por apoyo a la industria nacional. </w:t>
      </w:r>
    </w:p>
    <w:p w14:paraId="17CE4B00" w14:textId="77777777" w:rsidR="007623B3" w:rsidRPr="007623B3" w:rsidRDefault="007623B3" w:rsidP="007623B3">
      <w:pPr>
        <w:tabs>
          <w:tab w:val="left" w:pos="0"/>
        </w:tabs>
        <w:spacing w:before="120" w:line="276" w:lineRule="auto"/>
        <w:jc w:val="both"/>
        <w:rPr>
          <w:rFonts w:ascii="Verdana" w:eastAsia="Calibri" w:hAnsi="Verdana" w:cs="Arial"/>
          <w:bCs/>
          <w:color w:val="000000"/>
        </w:rPr>
      </w:pPr>
      <w:r w:rsidRPr="007623B3">
        <w:rPr>
          <w:rFonts w:ascii="Verdana" w:eastAsia="Calibri" w:hAnsi="Verdana" w:cs="Arial"/>
          <w:bCs/>
          <w:color w:val="000000"/>
        </w:rPr>
        <w:lastRenderedPageBreak/>
        <w:tab/>
        <w:t xml:space="preserve">En consonancia con lo aquí explicado, tales reglas aplicables a la asignación del puntaje por apoyo a la industria nacional no solo deberán reparar en si el oferente es una persona natural colombiana, una persona jurídica constituida conforme a la ley nacional, un proponente extranjero con derecho a trata nacional o un proponente plural conformado por estos, sino que además deben procurar en que se satisfaga el criterio adicional necesario para hablar de </w:t>
      </w:r>
      <w:r w:rsidRPr="007623B3">
        <w:rPr>
          <w:rFonts w:ascii="Verdana" w:eastAsia="Calibri" w:hAnsi="Verdana" w:cs="Arial"/>
          <w:bCs/>
          <w:i/>
          <w:iCs/>
          <w:color w:val="000000"/>
        </w:rPr>
        <w:t>Servicio Nacional</w:t>
      </w:r>
      <w:r w:rsidRPr="007623B3">
        <w:rPr>
          <w:rFonts w:ascii="Verdana" w:eastAsia="Calibri" w:hAnsi="Verdana" w:cs="Arial"/>
          <w:bCs/>
          <w:color w:val="000000"/>
        </w:rPr>
        <w:t xml:space="preserve">, en cualquiera de las dos alternativas por las que se haya decantado la entidad tras aplicar el </w:t>
      </w:r>
      <w:r w:rsidRPr="007623B3">
        <w:rPr>
          <w:rFonts w:ascii="Verdana" w:eastAsia="Calibri" w:hAnsi="Verdana" w:cs="Arial"/>
          <w:bCs/>
          <w:color w:val="000000"/>
          <w:lang w:val="es-ES_tradnl"/>
        </w:rPr>
        <w:t xml:space="preserve">artículo del 2.2.1.2.4.2.9 del Decreto 1082 de 2015, adicionado por el Decreto 680 de 2021. En ese sentido, si se determinó que existen bienes con una participación importante en el presupuesto incluidos en el Registro de Productores de Bienes Nacionales, para otorgar el puntaje la entidad deberá verificar que el oferente efectivamente se haya comprometido a hacer uso de esos bienes en la ejecución del contrato en caso de resultar adjudicatario, o en su defecto, que se haya hecho el compromiso de vincular el personal mínimo establecido por la entidad, el cual, se reitera, no podrá ser inferior al 40%.    </w:t>
      </w:r>
    </w:p>
    <w:p w14:paraId="6020061B" w14:textId="77777777" w:rsidR="007623B3" w:rsidRPr="007623B3" w:rsidRDefault="007623B3" w:rsidP="007623B3">
      <w:pPr>
        <w:tabs>
          <w:tab w:val="left" w:pos="0"/>
        </w:tabs>
        <w:spacing w:before="120" w:line="276" w:lineRule="auto"/>
        <w:jc w:val="both"/>
        <w:rPr>
          <w:rFonts w:ascii="Verdana" w:eastAsia="Calibri" w:hAnsi="Verdana" w:cs="Arial"/>
          <w:bCs/>
          <w:color w:val="000000"/>
          <w:lang w:val="es-ES_tradnl"/>
        </w:rPr>
      </w:pPr>
      <w:r w:rsidRPr="007623B3">
        <w:rPr>
          <w:rFonts w:ascii="Verdana" w:eastAsia="Calibri" w:hAnsi="Verdana" w:cs="Arial"/>
          <w:bCs/>
          <w:color w:val="000000"/>
        </w:rPr>
        <w:tab/>
        <w:t xml:space="preserve">Ahora bien, bajo el marco normativo establecido con anterioridad, para efectos del problema jurídico planteado en este concepto, es pertinente referirse a la </w:t>
      </w:r>
      <w:bookmarkEnd w:id="1"/>
      <w:r w:rsidRPr="007623B3">
        <w:rPr>
          <w:rFonts w:ascii="Verdana" w:eastAsia="Calibri" w:hAnsi="Verdana" w:cs="Arial"/>
          <w:bCs/>
          <w:color w:val="000000"/>
          <w:lang w:val="es-ES_tradnl"/>
        </w:rPr>
        <w:t>regulación del puntaje por apoyo a la industria nacional en procesos adelantados con documentos tipo.</w:t>
      </w:r>
    </w:p>
    <w:p w14:paraId="4797221C" w14:textId="77777777" w:rsidR="007623B3" w:rsidRPr="007623B3" w:rsidRDefault="007623B3" w:rsidP="007623B3">
      <w:pPr>
        <w:spacing w:before="120" w:after="0" w:line="276" w:lineRule="auto"/>
        <w:ind w:firstLine="709"/>
        <w:jc w:val="both"/>
        <w:rPr>
          <w:rFonts w:ascii="Verdana" w:eastAsia="Calibri" w:hAnsi="Verdana" w:cs="Arial"/>
          <w:color w:val="000000"/>
        </w:rPr>
      </w:pPr>
      <w:bookmarkStart w:id="6" w:name="_Hlk96463303"/>
      <w:r w:rsidRPr="007623B3">
        <w:rPr>
          <w:rFonts w:ascii="Verdana" w:eastAsia="Calibri" w:hAnsi="Verdana" w:cs="Arial"/>
          <w:bCs/>
          <w:color w:val="000000"/>
          <w:lang w:val="es-ES_tradnl"/>
        </w:rPr>
        <w:t xml:space="preserve">Sobre el particular, </w:t>
      </w:r>
      <w:bookmarkEnd w:id="6"/>
      <w:r w:rsidRPr="007623B3">
        <w:rPr>
          <w:rFonts w:ascii="Verdana" w:eastAsia="Calibri" w:hAnsi="Verdana" w:cs="Arial"/>
          <w:color w:val="000000"/>
        </w:rPr>
        <w:t xml:space="preserve">el numeral 4.3 </w:t>
      </w:r>
      <w:r w:rsidRPr="007623B3">
        <w:rPr>
          <w:rFonts w:ascii="Verdana" w:eastAsia="Calibri" w:hAnsi="Verdana" w:cs="Arial"/>
          <w:i/>
          <w:iCs/>
          <w:color w:val="000000"/>
        </w:rPr>
        <w:t>“Apoyo a la Industria Nacional”</w:t>
      </w:r>
      <w:r w:rsidRPr="007623B3">
        <w:rPr>
          <w:rFonts w:ascii="Verdana" w:eastAsia="Calibri" w:hAnsi="Verdana" w:cs="Arial"/>
          <w:color w:val="000000"/>
        </w:rPr>
        <w:t xml:space="preserve"> del documento base de los documentos tipo de licitación de obra pública de infraestructura de transporte –Versión 4– indica que, </w:t>
      </w:r>
      <w:r w:rsidRPr="007623B3">
        <w:rPr>
          <w:rFonts w:ascii="Verdana" w:eastAsia="Calibri" w:hAnsi="Verdana" w:cs="Arial"/>
          <w:i/>
          <w:iCs/>
          <w:color w:val="000000"/>
        </w:rPr>
        <w:t xml:space="preserve">“los proponentes pueden obtener puntaje de apoyo a la industria nacional por: i) Servicios Nacionales o con Trato Nacional o por ii) la incorporación de componente nacional en servicios extranjeros […]”, </w:t>
      </w:r>
      <w:r w:rsidRPr="007623B3">
        <w:rPr>
          <w:rFonts w:ascii="Verdana" w:eastAsia="Calibri" w:hAnsi="Verdana" w:cs="Arial"/>
          <w:color w:val="000000"/>
        </w:rPr>
        <w:t>es decir, que el proponente deberá verificar en primer lugar si accederá al referido puntaje mediante alguno de los dos conceptos mencionados que se relacionan así en la siguiente tabla:</w:t>
      </w:r>
    </w:p>
    <w:p w14:paraId="0C046005" w14:textId="77777777" w:rsidR="007623B3" w:rsidRPr="007623B3" w:rsidRDefault="007623B3" w:rsidP="007623B3">
      <w:pPr>
        <w:spacing w:after="0" w:line="276" w:lineRule="auto"/>
        <w:ind w:firstLine="709"/>
        <w:jc w:val="both"/>
        <w:rPr>
          <w:rFonts w:ascii="Verdana" w:eastAsia="Calibri" w:hAnsi="Verdana" w:cs="Arial"/>
          <w:color w:val="000000"/>
        </w:rPr>
      </w:pP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7623B3" w:rsidRPr="007623B3" w14:paraId="32958170" w14:textId="77777777" w:rsidTr="009C46E9">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1EE45D1C" w14:textId="77777777" w:rsidR="007623B3" w:rsidRPr="007623B3" w:rsidRDefault="007623B3" w:rsidP="007623B3">
            <w:pPr>
              <w:spacing w:line="276" w:lineRule="auto"/>
              <w:jc w:val="center"/>
              <w:rPr>
                <w:rFonts w:ascii="Verdana" w:eastAsia="Calibri" w:hAnsi="Verdana" w:cs="Arial"/>
                <w:b/>
                <w:caps/>
                <w:noProof/>
                <w:sz w:val="20"/>
                <w:szCs w:val="18"/>
                <w:lang w:val="es-ES"/>
              </w:rPr>
            </w:pPr>
            <w:r w:rsidRPr="007623B3">
              <w:rPr>
                <w:rFonts w:ascii="Verdana" w:eastAsia="Calibri" w:hAnsi="Verdana" w:cs="Arial"/>
                <w:b/>
                <w:bCs/>
                <w:noProof/>
                <w:sz w:val="20"/>
                <w:szCs w:val="18"/>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39D4C4FA" w14:textId="77777777" w:rsidR="007623B3" w:rsidRPr="007623B3" w:rsidRDefault="007623B3" w:rsidP="007623B3">
            <w:pPr>
              <w:spacing w:line="276" w:lineRule="auto"/>
              <w:jc w:val="center"/>
              <w:rPr>
                <w:rFonts w:ascii="Verdana" w:eastAsia="Calibri" w:hAnsi="Verdana" w:cs="Arial"/>
                <w:b/>
                <w:caps/>
                <w:noProof/>
                <w:sz w:val="20"/>
                <w:szCs w:val="18"/>
                <w:lang w:val="es-ES"/>
              </w:rPr>
            </w:pPr>
            <w:r w:rsidRPr="007623B3">
              <w:rPr>
                <w:rFonts w:ascii="Verdana" w:eastAsia="Calibri" w:hAnsi="Verdana" w:cs="Arial"/>
                <w:b/>
                <w:bCs/>
                <w:noProof/>
                <w:sz w:val="20"/>
                <w:szCs w:val="18"/>
                <w:lang w:val="es-ES"/>
              </w:rPr>
              <w:t>Puntaje</w:t>
            </w:r>
          </w:p>
        </w:tc>
      </w:tr>
      <w:tr w:rsidR="007623B3" w:rsidRPr="007623B3" w14:paraId="5836622E" w14:textId="77777777" w:rsidTr="009C46E9">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2C937EA1" w14:textId="77777777" w:rsidR="007623B3" w:rsidRPr="007623B3" w:rsidRDefault="007623B3" w:rsidP="007623B3">
            <w:pPr>
              <w:spacing w:line="276" w:lineRule="auto"/>
              <w:jc w:val="both"/>
              <w:rPr>
                <w:rFonts w:ascii="Verdana" w:eastAsia="Calibri" w:hAnsi="Verdana" w:cs="Arial"/>
                <w:caps/>
                <w:sz w:val="20"/>
                <w:szCs w:val="18"/>
                <w:lang w:val="es-ES"/>
              </w:rPr>
            </w:pPr>
            <w:r w:rsidRPr="007623B3">
              <w:rPr>
                <w:rFonts w:ascii="Verdana" w:eastAsia="Calibri" w:hAnsi="Verdana" w:cs="Arial"/>
                <w:sz w:val="20"/>
                <w:szCs w:val="18"/>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316DB145" w14:textId="77777777" w:rsidR="007623B3" w:rsidRPr="007623B3" w:rsidRDefault="007623B3" w:rsidP="007623B3">
            <w:pPr>
              <w:spacing w:line="276" w:lineRule="auto"/>
              <w:jc w:val="center"/>
              <w:rPr>
                <w:rFonts w:ascii="Verdana" w:eastAsia="Calibri" w:hAnsi="Verdana" w:cs="Arial"/>
                <w:caps/>
                <w:sz w:val="20"/>
                <w:szCs w:val="18"/>
                <w:lang w:val="es-ES"/>
              </w:rPr>
            </w:pPr>
            <w:r w:rsidRPr="007623B3">
              <w:rPr>
                <w:rFonts w:ascii="Verdana" w:eastAsia="Calibri" w:hAnsi="Verdana" w:cs="Arial"/>
                <w:sz w:val="20"/>
                <w:szCs w:val="18"/>
                <w:lang w:val="es-ES"/>
              </w:rPr>
              <w:t>20</w:t>
            </w:r>
          </w:p>
        </w:tc>
      </w:tr>
      <w:tr w:rsidR="007623B3" w:rsidRPr="007623B3" w14:paraId="0387061D" w14:textId="77777777" w:rsidTr="009C46E9">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39616ECE" w14:textId="77777777" w:rsidR="007623B3" w:rsidRPr="007623B3" w:rsidRDefault="007623B3" w:rsidP="007623B3">
            <w:pPr>
              <w:spacing w:after="0" w:line="276" w:lineRule="auto"/>
              <w:jc w:val="both"/>
              <w:rPr>
                <w:rFonts w:ascii="Verdana" w:eastAsia="Calibri" w:hAnsi="Verdana" w:cs="Arial"/>
                <w:caps/>
                <w:noProof/>
                <w:sz w:val="20"/>
                <w:szCs w:val="18"/>
                <w:lang w:val="es-ES"/>
              </w:rPr>
            </w:pPr>
            <w:r w:rsidRPr="007623B3">
              <w:rPr>
                <w:rFonts w:ascii="Verdana" w:eastAsia="Calibri" w:hAnsi="Verdana" w:cs="Arial"/>
                <w:noProof/>
                <w:sz w:val="20"/>
                <w:szCs w:val="18"/>
                <w:lang w:val="es-ES"/>
              </w:rPr>
              <w:lastRenderedPageBreak/>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69E4A47C" w14:textId="77777777" w:rsidR="007623B3" w:rsidRPr="007623B3" w:rsidRDefault="007623B3" w:rsidP="007623B3">
            <w:pPr>
              <w:spacing w:after="0" w:line="276" w:lineRule="auto"/>
              <w:jc w:val="center"/>
              <w:rPr>
                <w:rFonts w:ascii="Verdana" w:eastAsia="Calibri" w:hAnsi="Verdana" w:cs="Arial"/>
                <w:caps/>
                <w:noProof/>
                <w:sz w:val="20"/>
                <w:szCs w:val="18"/>
                <w:lang w:val="es-ES"/>
              </w:rPr>
            </w:pPr>
            <w:r w:rsidRPr="007623B3">
              <w:rPr>
                <w:rFonts w:ascii="Verdana" w:eastAsia="Calibri" w:hAnsi="Verdana" w:cs="Arial"/>
                <w:noProof/>
                <w:sz w:val="20"/>
                <w:szCs w:val="18"/>
                <w:lang w:val="es-ES"/>
              </w:rPr>
              <w:t>5</w:t>
            </w:r>
          </w:p>
        </w:tc>
      </w:tr>
    </w:tbl>
    <w:p w14:paraId="6E022A93" w14:textId="77777777" w:rsidR="007623B3" w:rsidRPr="007623B3" w:rsidRDefault="007623B3" w:rsidP="007623B3">
      <w:pPr>
        <w:spacing w:after="0" w:line="276" w:lineRule="auto"/>
        <w:ind w:firstLine="709"/>
        <w:jc w:val="both"/>
        <w:rPr>
          <w:rFonts w:ascii="Verdana" w:eastAsia="Calibri" w:hAnsi="Verdana" w:cs="Arial"/>
          <w:color w:val="000000"/>
        </w:rPr>
      </w:pPr>
    </w:p>
    <w:p w14:paraId="64283167" w14:textId="77777777" w:rsidR="007623B3" w:rsidRPr="007623B3" w:rsidRDefault="007623B3" w:rsidP="007623B3">
      <w:pPr>
        <w:spacing w:after="0" w:line="276" w:lineRule="auto"/>
        <w:ind w:firstLine="709"/>
        <w:jc w:val="both"/>
        <w:rPr>
          <w:rFonts w:ascii="Verdana" w:eastAsia="Arial" w:hAnsi="Verdana" w:cs="Arial"/>
          <w:color w:val="000000"/>
        </w:rPr>
      </w:pPr>
      <w:r w:rsidRPr="007623B3">
        <w:rPr>
          <w:rFonts w:ascii="Verdana" w:eastAsia="Calibri" w:hAnsi="Verdana" w:cs="Arial"/>
          <w:color w:val="000000"/>
        </w:rPr>
        <w:t xml:space="preserve">Asimismo, el numeral 4.3.1 </w:t>
      </w:r>
      <w:r w:rsidRPr="007623B3">
        <w:rPr>
          <w:rFonts w:ascii="Verdana" w:eastAsia="Calibri" w:hAnsi="Verdana" w:cs="Arial"/>
          <w:i/>
          <w:iCs/>
          <w:color w:val="000000"/>
        </w:rPr>
        <w:t>ibidem</w:t>
      </w:r>
      <w:r w:rsidRPr="007623B3">
        <w:rPr>
          <w:rFonts w:ascii="Verdana" w:eastAsia="Calibri" w:hAnsi="Verdana" w:cs="Arial"/>
        </w:rPr>
        <w:t xml:space="preserve"> </w:t>
      </w:r>
      <w:r w:rsidRPr="007623B3">
        <w:rPr>
          <w:rFonts w:ascii="Verdana" w:eastAsia="Calibri" w:hAnsi="Verdana" w:cs="Arial"/>
          <w:i/>
          <w:iCs/>
          <w:color w:val="000000"/>
        </w:rPr>
        <w:t>“Promoción de Servicios Nacionales o con Trato Nacional”</w:t>
      </w:r>
      <w:r w:rsidRPr="007623B3">
        <w:rPr>
          <w:rFonts w:ascii="Verdana" w:eastAsia="Calibri" w:hAnsi="Verdana" w:cs="Arial"/>
          <w:color w:val="000000"/>
        </w:rPr>
        <w:t xml:space="preserve"> explica cómo el proponente se hace acreedor para el otorgamiento de puntaje, las reglas que las entidades deben tener en cuenta para definir los Bienes Nacionales Relevantes y el porcentaje de empleados o contratistas por prestación de servicios colombianos al que deberán comprometerse los proponentes en caso de que </w:t>
      </w:r>
      <w:r w:rsidRPr="007623B3">
        <w:rPr>
          <w:rFonts w:ascii="Verdana" w:eastAsia="Arial" w:hAnsi="Verdana" w:cs="Arial"/>
          <w:color w:val="000000"/>
        </w:rPr>
        <w:t xml:space="preserve">ninguno de los bienes relevantes están incluidos en el Registro de Productores de Bienes Nacionales, con el fin de que la entidad estatal otorgue el puntaje. De igual forma, para la </w:t>
      </w:r>
      <w:bookmarkStart w:id="7" w:name="_Toc84413961"/>
      <w:r w:rsidRPr="007623B3">
        <w:rPr>
          <w:rFonts w:ascii="Verdana" w:eastAsia="Calibri" w:hAnsi="Verdana" w:cs="Arial"/>
          <w:i/>
          <w:iCs/>
          <w:color w:val="000000"/>
        </w:rPr>
        <w:t>“</w:t>
      </w:r>
      <w:r w:rsidRPr="007623B3">
        <w:rPr>
          <w:rFonts w:ascii="Verdana" w:eastAsia="Arial" w:hAnsi="Verdana" w:cs="Arial"/>
          <w:bCs/>
          <w:i/>
          <w:iCs/>
          <w:color w:val="000000"/>
        </w:rPr>
        <w:t>Acreditación del Puntaje por Servicios Nacionales o Con Trato Nacional</w:t>
      </w:r>
      <w:bookmarkEnd w:id="7"/>
      <w:r w:rsidRPr="007623B3">
        <w:rPr>
          <w:rFonts w:ascii="Verdana" w:eastAsia="Calibri" w:hAnsi="Verdana" w:cs="Arial"/>
          <w:i/>
          <w:iCs/>
          <w:color w:val="000000"/>
        </w:rPr>
        <w:t>”</w:t>
      </w:r>
      <w:r w:rsidRPr="007623B3">
        <w:rPr>
          <w:rFonts w:ascii="Verdana" w:eastAsia="Arial" w:hAnsi="Verdana" w:cs="Arial"/>
          <w:bCs/>
          <w:i/>
          <w:iCs/>
          <w:color w:val="000000"/>
        </w:rPr>
        <w:t xml:space="preserve"> </w:t>
      </w:r>
      <w:bookmarkStart w:id="8" w:name="_Hlk104209941"/>
      <w:r w:rsidRPr="007623B3">
        <w:rPr>
          <w:rFonts w:ascii="Verdana" w:eastAsia="Arial" w:hAnsi="Verdana" w:cs="Arial"/>
          <w:bCs/>
          <w:color w:val="000000"/>
        </w:rPr>
        <w:t>el numeral 4.3.2</w:t>
      </w:r>
      <w:bookmarkEnd w:id="8"/>
      <w:r w:rsidRPr="007623B3">
        <w:rPr>
          <w:rFonts w:ascii="Verdana" w:eastAsia="Arial" w:hAnsi="Verdana" w:cs="Arial"/>
          <w:bCs/>
          <w:color w:val="000000"/>
        </w:rPr>
        <w:t xml:space="preserve"> prevé lo siguiente:</w:t>
      </w:r>
    </w:p>
    <w:p w14:paraId="74FC1AC0" w14:textId="77777777" w:rsidR="007623B3" w:rsidRPr="007623B3" w:rsidRDefault="007623B3" w:rsidP="007623B3">
      <w:pPr>
        <w:spacing w:after="0" w:line="276" w:lineRule="auto"/>
        <w:ind w:firstLine="709"/>
        <w:jc w:val="both"/>
        <w:rPr>
          <w:rFonts w:ascii="Verdana" w:eastAsia="Arial" w:hAnsi="Verdana" w:cs="Arial"/>
          <w:color w:val="000000"/>
        </w:rPr>
      </w:pPr>
    </w:p>
    <w:p w14:paraId="069B2BE5" w14:textId="77777777" w:rsidR="007623B3" w:rsidRPr="007623B3" w:rsidRDefault="007623B3" w:rsidP="007623B3">
      <w:pPr>
        <w:tabs>
          <w:tab w:val="left" w:pos="1276"/>
          <w:tab w:val="left" w:pos="1560"/>
          <w:tab w:val="left" w:pos="1701"/>
        </w:tabs>
        <w:spacing w:after="0" w:line="240" w:lineRule="auto"/>
        <w:ind w:left="709" w:right="709"/>
        <w:jc w:val="both"/>
        <w:rPr>
          <w:rFonts w:ascii="Verdana" w:eastAsia="Calibri" w:hAnsi="Verdana" w:cs="Arial"/>
          <w:iCs/>
          <w:color w:val="000000"/>
          <w:sz w:val="21"/>
          <w:szCs w:val="21"/>
        </w:rPr>
      </w:pPr>
      <w:r w:rsidRPr="007623B3">
        <w:rPr>
          <w:rFonts w:ascii="Verdana" w:eastAsia="Calibri" w:hAnsi="Verdana" w:cs="Arial"/>
          <w:iCs/>
          <w:color w:val="000000"/>
          <w:sz w:val="21"/>
          <w:szCs w:val="21"/>
        </w:rPr>
        <w:t xml:space="preserve">“La Entidad asignará hasta veinte (20) puntos a la oferta de: i) Servicios Nacionales o ii) con Trato Nacional. </w:t>
      </w:r>
    </w:p>
    <w:p w14:paraId="09EF924A" w14:textId="77777777" w:rsidR="007623B3" w:rsidRPr="007623B3" w:rsidRDefault="007623B3" w:rsidP="007623B3">
      <w:pPr>
        <w:tabs>
          <w:tab w:val="left" w:pos="1276"/>
          <w:tab w:val="left" w:pos="1560"/>
          <w:tab w:val="left" w:pos="1701"/>
        </w:tabs>
        <w:spacing w:after="0" w:line="240" w:lineRule="auto"/>
        <w:ind w:left="709" w:right="709"/>
        <w:jc w:val="both"/>
        <w:rPr>
          <w:rFonts w:ascii="Verdana" w:eastAsia="Calibri" w:hAnsi="Verdana" w:cs="Arial"/>
          <w:iCs/>
          <w:color w:val="000000"/>
          <w:sz w:val="21"/>
          <w:szCs w:val="21"/>
        </w:rPr>
      </w:pPr>
    </w:p>
    <w:p w14:paraId="46CBC6CC" w14:textId="77777777" w:rsidR="007623B3" w:rsidRPr="007623B3" w:rsidRDefault="007623B3" w:rsidP="007623B3">
      <w:pPr>
        <w:spacing w:after="0" w:line="240" w:lineRule="auto"/>
        <w:ind w:left="709" w:right="709"/>
        <w:jc w:val="both"/>
        <w:rPr>
          <w:rFonts w:ascii="Verdana" w:eastAsia="Calibri" w:hAnsi="Verdana" w:cs="Arial"/>
          <w:iCs/>
          <w:sz w:val="21"/>
          <w:szCs w:val="21"/>
        </w:rPr>
      </w:pPr>
      <w:r w:rsidRPr="007623B3">
        <w:rPr>
          <w:rFonts w:ascii="Verdana" w:eastAsia="Calibri" w:hAnsi="Verdana" w:cs="Arial"/>
          <w:iCs/>
          <w:sz w:val="21"/>
          <w:szCs w:val="21"/>
        </w:rPr>
        <w:t>Para que el Proponente nacional obtenga puntaje por Servicios Nacionales debe presentar, además del Formato 9 A – Promoción de Servicios Nacionales o con Trato Nacional, alguno de los siguientes documentos, según corresponda:</w:t>
      </w:r>
    </w:p>
    <w:p w14:paraId="12965681" w14:textId="77777777" w:rsidR="007623B3" w:rsidRPr="007623B3" w:rsidRDefault="007623B3" w:rsidP="007623B3">
      <w:pPr>
        <w:spacing w:after="0" w:line="240" w:lineRule="auto"/>
        <w:ind w:left="709" w:right="709"/>
        <w:jc w:val="both"/>
        <w:rPr>
          <w:rFonts w:ascii="Verdana" w:eastAsia="Calibri" w:hAnsi="Verdana" w:cs="Arial"/>
          <w:iCs/>
          <w:sz w:val="21"/>
          <w:szCs w:val="21"/>
        </w:rPr>
      </w:pPr>
    </w:p>
    <w:p w14:paraId="2C8156E6" w14:textId="77777777" w:rsidR="007623B3" w:rsidRPr="007623B3" w:rsidRDefault="007623B3" w:rsidP="007623B3">
      <w:pPr>
        <w:spacing w:after="0" w:line="240" w:lineRule="auto"/>
        <w:ind w:left="709" w:right="709"/>
        <w:jc w:val="both"/>
        <w:rPr>
          <w:rFonts w:ascii="Verdana" w:eastAsia="Calibri" w:hAnsi="Verdana" w:cs="Arial"/>
          <w:iCs/>
          <w:sz w:val="21"/>
          <w:szCs w:val="21"/>
        </w:rPr>
      </w:pPr>
      <w:r w:rsidRPr="007623B3">
        <w:rPr>
          <w:rFonts w:ascii="Verdana" w:eastAsia="Calibri" w:hAnsi="Verdana" w:cs="Arial"/>
          <w:iCs/>
          <w:sz w:val="21"/>
          <w:szCs w:val="21"/>
        </w:rPr>
        <w:t>A. Persona natural colombiana: La cédula de ciudadanía del Proponente.</w:t>
      </w:r>
    </w:p>
    <w:p w14:paraId="78EF8CB1" w14:textId="77777777" w:rsidR="007623B3" w:rsidRPr="007623B3" w:rsidRDefault="007623B3" w:rsidP="007623B3">
      <w:pPr>
        <w:spacing w:after="0" w:line="240" w:lineRule="auto"/>
        <w:ind w:left="709" w:right="709"/>
        <w:jc w:val="both"/>
        <w:rPr>
          <w:rFonts w:ascii="Verdana" w:eastAsia="Calibri" w:hAnsi="Verdana" w:cs="Arial"/>
          <w:iCs/>
          <w:sz w:val="21"/>
          <w:szCs w:val="21"/>
        </w:rPr>
      </w:pPr>
      <w:bookmarkStart w:id="9" w:name="_Hlk80648891"/>
    </w:p>
    <w:p w14:paraId="18F56C06" w14:textId="77777777" w:rsidR="007623B3" w:rsidRPr="007623B3" w:rsidRDefault="007623B3" w:rsidP="007623B3">
      <w:pPr>
        <w:spacing w:after="0" w:line="240" w:lineRule="auto"/>
        <w:ind w:left="709" w:right="709"/>
        <w:jc w:val="both"/>
        <w:rPr>
          <w:rFonts w:ascii="Verdana" w:eastAsia="Calibri" w:hAnsi="Verdana" w:cs="Arial"/>
          <w:iCs/>
          <w:sz w:val="21"/>
          <w:szCs w:val="21"/>
        </w:rPr>
      </w:pPr>
      <w:r w:rsidRPr="007623B3">
        <w:rPr>
          <w:rFonts w:ascii="Verdana" w:eastAsia="Calibri" w:hAnsi="Verdana" w:cs="Arial"/>
          <w:iCs/>
          <w:sz w:val="21"/>
          <w:szCs w:val="21"/>
        </w:rPr>
        <w:t xml:space="preserve">B. Persona natural extranjera residente en Colombia: La visa de residencia que le permita la ejecución del objeto contractual de conformidad con la ley. </w:t>
      </w:r>
      <w:bookmarkEnd w:id="9"/>
    </w:p>
    <w:p w14:paraId="1A3DD043" w14:textId="77777777" w:rsidR="007623B3" w:rsidRPr="007623B3" w:rsidRDefault="007623B3" w:rsidP="007623B3">
      <w:pPr>
        <w:spacing w:after="0" w:line="240" w:lineRule="auto"/>
        <w:ind w:left="709" w:right="709"/>
        <w:jc w:val="both"/>
        <w:rPr>
          <w:rFonts w:ascii="Verdana" w:eastAsia="Calibri" w:hAnsi="Verdana" w:cs="Arial"/>
          <w:iCs/>
          <w:sz w:val="21"/>
          <w:szCs w:val="21"/>
        </w:rPr>
      </w:pPr>
    </w:p>
    <w:p w14:paraId="506B6904" w14:textId="77777777" w:rsidR="007623B3" w:rsidRPr="007623B3" w:rsidRDefault="007623B3" w:rsidP="007623B3">
      <w:pPr>
        <w:spacing w:after="0" w:line="240" w:lineRule="auto"/>
        <w:ind w:left="709" w:right="709"/>
        <w:jc w:val="both"/>
        <w:rPr>
          <w:rFonts w:ascii="Verdana" w:eastAsia="Calibri" w:hAnsi="Verdana" w:cs="Arial"/>
          <w:iCs/>
          <w:sz w:val="21"/>
          <w:szCs w:val="21"/>
        </w:rPr>
      </w:pPr>
      <w:r w:rsidRPr="007623B3">
        <w:rPr>
          <w:rFonts w:ascii="Verdana" w:eastAsia="Calibri" w:hAnsi="Verdana" w:cs="Arial"/>
          <w:iCs/>
          <w:sz w:val="21"/>
          <w:szCs w:val="21"/>
        </w:rPr>
        <w:t>C. Persona jurídica constituida en Colombia: El certificado de existencia y representación legal emitido por alguna de las cámaras de comercio del país.</w:t>
      </w:r>
    </w:p>
    <w:p w14:paraId="43A88DA7" w14:textId="77777777" w:rsidR="007623B3" w:rsidRPr="007623B3" w:rsidRDefault="007623B3" w:rsidP="007623B3">
      <w:pPr>
        <w:spacing w:after="0" w:line="240" w:lineRule="auto"/>
        <w:ind w:left="709" w:right="709"/>
        <w:jc w:val="both"/>
        <w:rPr>
          <w:rFonts w:ascii="Verdana" w:eastAsia="Calibri" w:hAnsi="Verdana" w:cs="Arial"/>
          <w:iCs/>
          <w:sz w:val="21"/>
          <w:szCs w:val="21"/>
        </w:rPr>
      </w:pPr>
      <w:r w:rsidRPr="007623B3">
        <w:rPr>
          <w:rFonts w:ascii="Verdana" w:eastAsia="Calibri" w:hAnsi="Verdana" w:cs="Arial"/>
          <w:iCs/>
          <w:sz w:val="21"/>
          <w:szCs w:val="21"/>
        </w:rPr>
        <w:t>[…]”</w:t>
      </w:r>
    </w:p>
    <w:p w14:paraId="344F1949" w14:textId="77777777" w:rsidR="007623B3" w:rsidRPr="007623B3" w:rsidRDefault="007623B3" w:rsidP="007623B3">
      <w:pPr>
        <w:spacing w:after="0" w:line="240" w:lineRule="auto"/>
        <w:ind w:left="709" w:right="709"/>
        <w:jc w:val="both"/>
        <w:rPr>
          <w:rFonts w:ascii="Verdana" w:eastAsia="Calibri" w:hAnsi="Verdana" w:cs="Arial"/>
          <w:iCs/>
        </w:rPr>
      </w:pPr>
    </w:p>
    <w:p w14:paraId="5989C249" w14:textId="77777777" w:rsidR="007623B3" w:rsidRPr="007623B3" w:rsidRDefault="007623B3" w:rsidP="007623B3">
      <w:pPr>
        <w:tabs>
          <w:tab w:val="left" w:pos="709"/>
        </w:tabs>
        <w:adjustRightInd w:val="0"/>
        <w:snapToGrid w:val="0"/>
        <w:spacing w:after="0" w:line="276" w:lineRule="auto"/>
        <w:ind w:firstLine="709"/>
        <w:jc w:val="both"/>
        <w:rPr>
          <w:rFonts w:ascii="Verdana" w:eastAsia="Calibri" w:hAnsi="Verdana" w:cs="Arial"/>
          <w:bCs/>
          <w:i/>
          <w:i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t xml:space="preserve">A su vez, el numeral 4.3.3 del documento base en comento dispone lo siguiente sobre la </w:t>
      </w:r>
      <w:r w:rsidRPr="007623B3">
        <w:rPr>
          <w:rFonts w:ascii="Verdana" w:eastAsia="Calibri" w:hAnsi="Verdana" w:cs="Arial"/>
          <w:bCs/>
          <w:i/>
          <w:iCs/>
          <w:color w:val="000000"/>
          <w:kern w:val="2"/>
          <w:lang w:val="es-ES_tradnl"/>
          <w14:ligatures w14:val="standardContextual"/>
        </w:rPr>
        <w:t>“Incorporación de Componente Nacional en Servicios Extranjeros”:</w:t>
      </w:r>
    </w:p>
    <w:p w14:paraId="14EF5046" w14:textId="77777777" w:rsidR="007623B3" w:rsidRPr="007623B3" w:rsidRDefault="007623B3" w:rsidP="007623B3">
      <w:pPr>
        <w:tabs>
          <w:tab w:val="left" w:pos="709"/>
        </w:tabs>
        <w:adjustRightInd w:val="0"/>
        <w:snapToGrid w:val="0"/>
        <w:spacing w:after="0" w:line="276" w:lineRule="auto"/>
        <w:ind w:firstLine="709"/>
        <w:jc w:val="both"/>
        <w:rPr>
          <w:rFonts w:ascii="Verdana" w:eastAsia="Calibri" w:hAnsi="Verdana" w:cs="Arial"/>
          <w:bCs/>
          <w:i/>
          <w:iCs/>
          <w:color w:val="000000"/>
          <w:kern w:val="2"/>
          <w:lang w:val="es-ES_tradnl"/>
          <w14:ligatures w14:val="standardContextual"/>
        </w:rPr>
      </w:pPr>
    </w:p>
    <w:p w14:paraId="3BE75A88"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7623B3">
        <w:rPr>
          <w:rFonts w:ascii="Verdana" w:eastAsia="Calibri" w:hAnsi="Verdana" w:cs="Arial"/>
          <w:bCs/>
          <w:color w:val="000000"/>
          <w:kern w:val="2"/>
          <w:sz w:val="21"/>
          <w:szCs w:val="21"/>
          <w:lang w:val="es-ES_tradnl"/>
          <w14:ligatures w14:val="standardContextual"/>
        </w:rPr>
        <w:t>“La Entidad Estatal asignará cinco (5) puntos a los Proponentes extranjeros sin derecho a Trato Nacional o a Proponentes Plurales en los que al menos uno de sus integrantes sea un extranjero sin derecho a Trato Nacional, que incorporen a la ejecución del contrato más del noventa por ciento (90 %) del personal técnico, operativo y profesional de origen colombiano”.</w:t>
      </w:r>
    </w:p>
    <w:p w14:paraId="3588E9B9"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lang w:val="es-ES_tradnl"/>
          <w14:ligatures w14:val="standardContextual"/>
        </w:rPr>
      </w:pPr>
    </w:p>
    <w:p w14:paraId="607B41A3"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t xml:space="preserve">Ahora bien, conforme al objeto de la consulta, es importante precisar que, tratándose de la </w:t>
      </w:r>
      <w:r w:rsidRPr="007623B3">
        <w:rPr>
          <w:rFonts w:ascii="Verdana" w:eastAsia="Calibri" w:hAnsi="Verdana" w:cs="Arial"/>
          <w:i/>
          <w:iCs/>
          <w:color w:val="000000"/>
        </w:rPr>
        <w:t xml:space="preserve">“Promoción de Servicios Nacionales o con Trato Nacional”, </w:t>
      </w:r>
      <w:r w:rsidRPr="007623B3">
        <w:rPr>
          <w:rFonts w:ascii="Verdana" w:eastAsia="Calibri" w:hAnsi="Verdana" w:cs="Arial"/>
          <w:bCs/>
          <w:color w:val="000000"/>
          <w:kern w:val="2"/>
          <w:lang w:val="es-ES_tradnl"/>
          <w14:ligatures w14:val="standardContextual"/>
        </w:rPr>
        <w:t>para determinar uno o varios bienes nacionales relevantes, la Entidad Estatal debe aplicar los criterios establecidos en el artículo 2.2.1.2.4.2.9 del Decreto 1082 de 2015, lo cual constará en los estudios y documentos previos y en las reglas definidas en la “Matriz 4 – Bienes nacionales relevantes para la obra pública del sector transporte”.</w:t>
      </w:r>
    </w:p>
    <w:p w14:paraId="7391E57A" w14:textId="77777777" w:rsidR="007623B3" w:rsidRPr="007623B3" w:rsidRDefault="007623B3" w:rsidP="007623B3">
      <w:pPr>
        <w:tabs>
          <w:tab w:val="left" w:pos="709"/>
        </w:tabs>
        <w:adjustRightInd w:val="0"/>
        <w:snapToGrid w:val="0"/>
        <w:spacing w:after="0" w:line="276" w:lineRule="auto"/>
        <w:ind w:firstLine="709"/>
        <w:jc w:val="both"/>
        <w:rPr>
          <w:rFonts w:ascii="Verdana" w:eastAsia="Calibri" w:hAnsi="Verdana" w:cs="Arial"/>
          <w:color w:val="000000"/>
        </w:rPr>
      </w:pPr>
      <w:r w:rsidRPr="007623B3">
        <w:rPr>
          <w:rFonts w:ascii="Verdana" w:eastAsia="Calibri" w:hAnsi="Verdana" w:cs="Arial"/>
          <w:bCs/>
          <w:color w:val="000000"/>
          <w:kern w:val="2"/>
          <w:lang w:val="es-ES_tradnl"/>
          <w14:ligatures w14:val="standardContextual"/>
        </w:rPr>
        <w:t xml:space="preserve">El documento base de licitación de infraestructura de transporte contempla dos (2) opciones para la asignación del puntaje correspondiente a la </w:t>
      </w:r>
      <w:r w:rsidRPr="007623B3">
        <w:rPr>
          <w:rFonts w:ascii="Verdana" w:eastAsia="Calibri" w:hAnsi="Verdana" w:cs="Arial"/>
          <w:i/>
          <w:iCs/>
          <w:color w:val="000000"/>
        </w:rPr>
        <w:t xml:space="preserve">“Promoción de Servicios Nacionales o con Trato Nacional”, </w:t>
      </w:r>
      <w:r w:rsidRPr="007623B3">
        <w:rPr>
          <w:rFonts w:ascii="Verdana" w:eastAsia="Calibri" w:hAnsi="Verdana" w:cs="Arial"/>
          <w:color w:val="000000"/>
        </w:rPr>
        <w:t>que dependen de si se logran identificar bienes relevantes registrados en el Registro de Productores de Bienes Nacionales. Estas opciones se consagran en el numeral 4.3.1 del documento base, así:</w:t>
      </w:r>
    </w:p>
    <w:p w14:paraId="3F1D5C4D" w14:textId="77777777" w:rsidR="007623B3" w:rsidRPr="007623B3" w:rsidRDefault="007623B3" w:rsidP="007623B3">
      <w:pPr>
        <w:tabs>
          <w:tab w:val="left" w:pos="709"/>
        </w:tabs>
        <w:adjustRightInd w:val="0"/>
        <w:snapToGrid w:val="0"/>
        <w:spacing w:after="0" w:line="276" w:lineRule="auto"/>
        <w:jc w:val="both"/>
        <w:rPr>
          <w:rFonts w:ascii="Verdana" w:eastAsia="Calibri" w:hAnsi="Verdana" w:cs="Arial"/>
          <w:bCs/>
          <w:color w:val="000000"/>
          <w:kern w:val="2"/>
          <w:lang w:val="es-ES_tradnl"/>
          <w14:ligatures w14:val="standardContextual"/>
        </w:rPr>
      </w:pPr>
    </w:p>
    <w:p w14:paraId="646ACDDD" w14:textId="77777777" w:rsidR="007623B3" w:rsidRPr="007623B3" w:rsidRDefault="007623B3" w:rsidP="007623B3">
      <w:pPr>
        <w:spacing w:after="0" w:line="240" w:lineRule="auto"/>
        <w:ind w:left="709" w:right="709"/>
        <w:jc w:val="both"/>
        <w:rPr>
          <w:rFonts w:ascii="Verdana" w:eastAsia="Aptos" w:hAnsi="Verdana" w:cs="Times New Roman"/>
          <w:kern w:val="2"/>
          <w:sz w:val="21"/>
          <w:szCs w:val="21"/>
          <w:lang w:val="es-MX"/>
          <w14:ligatures w14:val="standardContextual"/>
        </w:rPr>
      </w:pPr>
      <w:r w:rsidRPr="007623B3">
        <w:rPr>
          <w:rFonts w:ascii="Verdana" w:eastAsia="Aptos" w:hAnsi="Verdana" w:cs="Times New Roman"/>
          <w:kern w:val="2"/>
          <w:sz w:val="21"/>
          <w:szCs w:val="21"/>
          <w:lang w:val="es-MX"/>
          <w14:ligatures w14:val="standardContextual"/>
        </w:rPr>
        <w:t>“</w:t>
      </w:r>
      <w:r w:rsidRPr="007623B3">
        <w:rPr>
          <w:rFonts w:ascii="Verdana" w:eastAsia="Aptos" w:hAnsi="Verdana" w:cs="Times New Roman"/>
          <w:kern w:val="2"/>
          <w:sz w:val="21"/>
          <w:szCs w:val="21"/>
          <w:highlight w:val="lightGray"/>
          <w:lang w:val="es-MX"/>
          <w14:ligatures w14:val="standardContextual"/>
        </w:rPr>
        <w:t>[</w:t>
      </w:r>
      <w:r w:rsidRPr="007623B3">
        <w:rPr>
          <w:rFonts w:ascii="Verdana" w:eastAsia="Aptos" w:hAnsi="Verdana" w:cs="Times New Roman"/>
          <w:b/>
          <w:bCs/>
          <w:kern w:val="2"/>
          <w:sz w:val="21"/>
          <w:szCs w:val="21"/>
          <w:highlight w:val="lightGray"/>
          <w:lang w:val="es-MX"/>
          <w14:ligatures w14:val="standardContextual"/>
        </w:rPr>
        <w:t>Opción 1.</w:t>
      </w:r>
      <w:r w:rsidRPr="007623B3">
        <w:rPr>
          <w:rFonts w:ascii="Verdana" w:eastAsia="Aptos" w:hAnsi="Verdana" w:cs="Times New Roman"/>
          <w:kern w:val="2"/>
          <w:sz w:val="21"/>
          <w:szCs w:val="21"/>
          <w:highlight w:val="lightGray"/>
          <w:lang w:val="es-MX"/>
          <w14:ligatures w14:val="standardContextual"/>
        </w:rPr>
        <w:t xml:space="preserve"> Si la Entidad Estatal luego de aplicar la metodología para identificar los bienes nacionales relevantes prevista en la Matriz 4, determina uno o varios bienes nacionales relevantes para el Proceso de Contratación, incluirá los siguientes párrafos:]</w:t>
      </w:r>
    </w:p>
    <w:p w14:paraId="70687398" w14:textId="77777777" w:rsidR="007623B3" w:rsidRPr="007623B3" w:rsidRDefault="007623B3" w:rsidP="007623B3">
      <w:pPr>
        <w:spacing w:after="0" w:line="240" w:lineRule="auto"/>
        <w:ind w:left="709" w:right="709"/>
        <w:jc w:val="both"/>
        <w:rPr>
          <w:rFonts w:ascii="Verdana" w:eastAsia="Aptos" w:hAnsi="Verdana" w:cs="Times New Roman"/>
          <w:kern w:val="2"/>
          <w:sz w:val="21"/>
          <w:szCs w:val="21"/>
          <w:lang w:val="es-MX"/>
          <w14:ligatures w14:val="standardContextual"/>
        </w:rPr>
      </w:pPr>
    </w:p>
    <w:p w14:paraId="72278607" w14:textId="77777777" w:rsidR="007623B3" w:rsidRPr="007623B3" w:rsidRDefault="007623B3" w:rsidP="007623B3">
      <w:pPr>
        <w:spacing w:after="0" w:line="240" w:lineRule="auto"/>
        <w:ind w:left="709" w:right="709"/>
        <w:jc w:val="both"/>
        <w:rPr>
          <w:rFonts w:ascii="Verdana" w:eastAsia="Aptos" w:hAnsi="Verdana" w:cs="Times New Roman"/>
          <w:kern w:val="2"/>
          <w:sz w:val="21"/>
          <w:szCs w:val="21"/>
          <w:lang w:val="es-MX"/>
          <w14:ligatures w14:val="standardContextual"/>
        </w:rPr>
      </w:pPr>
      <w:r w:rsidRPr="007623B3">
        <w:rPr>
          <w:rFonts w:ascii="Verdana" w:eastAsia="Aptos" w:hAnsi="Verdana" w:cs="Times New Roman"/>
          <w:kern w:val="2"/>
          <w:sz w:val="21"/>
          <w:szCs w:val="21"/>
          <w:lang w:val="es-MX"/>
          <w14:ligatures w14:val="standardContextual"/>
        </w:rPr>
        <w:t xml:space="preserve">En el presente Proceso de Contratación los bienes nacionales relevantes son: </w:t>
      </w:r>
    </w:p>
    <w:p w14:paraId="714DA577" w14:textId="77777777" w:rsidR="007623B3" w:rsidRPr="007623B3" w:rsidRDefault="007623B3" w:rsidP="007623B3">
      <w:pPr>
        <w:spacing w:after="0" w:line="240" w:lineRule="auto"/>
        <w:ind w:left="709" w:right="709"/>
        <w:jc w:val="both"/>
        <w:rPr>
          <w:rFonts w:ascii="Verdana" w:eastAsia="Aptos" w:hAnsi="Verdana" w:cs="Times New Roman"/>
          <w:kern w:val="2"/>
          <w:sz w:val="21"/>
          <w:szCs w:val="21"/>
          <w:lang w:val="es-MX"/>
          <w14:ligatures w14:val="standardContextual"/>
        </w:rPr>
      </w:pPr>
    </w:p>
    <w:p w14:paraId="4AD1A7DD" w14:textId="77777777" w:rsidR="007623B3" w:rsidRPr="007623B3" w:rsidRDefault="007623B3" w:rsidP="007623B3">
      <w:pPr>
        <w:spacing w:after="0" w:line="240" w:lineRule="auto"/>
        <w:ind w:left="709" w:right="709"/>
        <w:jc w:val="both"/>
        <w:rPr>
          <w:rFonts w:ascii="Verdana" w:eastAsia="Aptos" w:hAnsi="Verdana" w:cs="Times New Roman"/>
          <w:kern w:val="2"/>
          <w:sz w:val="21"/>
          <w:szCs w:val="21"/>
          <w:lang w:val="es-MX"/>
          <w14:ligatures w14:val="standardContextual"/>
        </w:rPr>
      </w:pPr>
      <w:r w:rsidRPr="007623B3">
        <w:rPr>
          <w:rFonts w:ascii="Verdana" w:eastAsia="Aptos" w:hAnsi="Verdana" w:cs="Times New Roman"/>
          <w:kern w:val="2"/>
          <w:sz w:val="21"/>
          <w:szCs w:val="21"/>
          <w:highlight w:val="lightGray"/>
          <w:lang w:val="es-MX"/>
          <w14:ligatures w14:val="standardContextual"/>
        </w:rPr>
        <w:t>[La Entidad debe diligenciar la siguiente tabla con la información tomada del Registro de Productores de Bienes Nacionales]</w:t>
      </w:r>
    </w:p>
    <w:p w14:paraId="682196D5"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7623B3">
        <w:rPr>
          <w:rFonts w:ascii="Verdana" w:eastAsia="Calibri" w:hAnsi="Verdana" w:cs="Arial"/>
          <w:bCs/>
          <w:color w:val="000000"/>
          <w:kern w:val="2"/>
          <w:sz w:val="21"/>
          <w:szCs w:val="21"/>
          <w:lang w:val="es-ES_tradnl"/>
          <w14:ligatures w14:val="standardContextual"/>
        </w:rPr>
        <w:t>[…]</w:t>
      </w:r>
    </w:p>
    <w:p w14:paraId="6BA46981"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p>
    <w:p w14:paraId="1D706AEF" w14:textId="77777777" w:rsidR="007623B3" w:rsidRPr="007623B3" w:rsidRDefault="007623B3" w:rsidP="007623B3">
      <w:pPr>
        <w:spacing w:after="0" w:line="240" w:lineRule="auto"/>
        <w:ind w:left="709" w:right="709"/>
        <w:jc w:val="both"/>
        <w:rPr>
          <w:rFonts w:ascii="Verdana" w:eastAsia="Aptos" w:hAnsi="Verdana" w:cs="Arial"/>
          <w:iCs/>
          <w:color w:val="000000"/>
          <w:kern w:val="2"/>
          <w:sz w:val="21"/>
          <w:szCs w:val="21"/>
          <w14:ligatures w14:val="standardContextual"/>
        </w:rPr>
      </w:pPr>
      <w:r w:rsidRPr="007623B3">
        <w:rPr>
          <w:rFonts w:ascii="Verdana" w:eastAsia="Aptos" w:hAnsi="Verdana" w:cs="Arial"/>
          <w:iCs/>
          <w:color w:val="000000"/>
          <w:kern w:val="2"/>
          <w:sz w:val="21"/>
          <w:szCs w:val="21"/>
          <w:highlight w:val="lightGray"/>
          <w14:ligatures w14:val="standardContextual"/>
        </w:rPr>
        <w:t>[</w:t>
      </w:r>
      <w:r w:rsidRPr="007623B3">
        <w:rPr>
          <w:rFonts w:ascii="Verdana" w:eastAsia="Aptos" w:hAnsi="Verdana" w:cs="Arial"/>
          <w:b/>
          <w:bCs/>
          <w:iCs/>
          <w:color w:val="000000"/>
          <w:kern w:val="2"/>
          <w:sz w:val="21"/>
          <w:szCs w:val="21"/>
          <w:highlight w:val="lightGray"/>
          <w14:ligatures w14:val="standardContextual"/>
        </w:rPr>
        <w:t xml:space="preserve">Opción 2. </w:t>
      </w:r>
      <w:r w:rsidRPr="007623B3">
        <w:rPr>
          <w:rFonts w:ascii="Verdana" w:eastAsia="Aptos" w:hAnsi="Verdana" w:cs="Arial"/>
          <w:iCs/>
          <w:color w:val="000000"/>
          <w:kern w:val="2"/>
          <w:sz w:val="21"/>
          <w:szCs w:val="21"/>
          <w:highlight w:val="lightGray"/>
          <w14:ligatures w14:val="standardContextual"/>
        </w:rPr>
        <w:t xml:space="preserve">Si luego de aplicar la metodología para identificar los bienes nacionales relevantes descritos en la Matriz 4 - Bienes nacionales relevantes para la obra pública del sector transporte, la Entidad Estatal demuestra que los bienes relevantes no están registrados en el Registro de Productores de Bienes Nacionales, se otorgará el puntaje a los Proponentes que se comprometan a vincular </w:t>
      </w:r>
      <w:r w:rsidRPr="007623B3">
        <w:rPr>
          <w:rFonts w:ascii="Verdana" w:eastAsia="Aptos" w:hAnsi="Verdana" w:cs="Arial"/>
          <w:iCs/>
          <w:color w:val="000000"/>
          <w:kern w:val="2"/>
          <w:sz w:val="21"/>
          <w:szCs w:val="21"/>
          <w:highlight w:val="lightGray"/>
          <w14:ligatures w14:val="standardContextual"/>
        </w:rPr>
        <w:lastRenderedPageBreak/>
        <w:t>al desarrollo del objeto contractual un porcentaje de empleados o contratistas por prestación de servicios colombianos de al menos el cuarenta por ciento (40%) del personal requerido para el cumplimiento del contrato. Para estos casos deberán incluirse los siguientes párrafos en el Pliego de Condiciones.]</w:t>
      </w:r>
    </w:p>
    <w:p w14:paraId="7CC30A0B" w14:textId="77777777" w:rsidR="007623B3" w:rsidRPr="007623B3" w:rsidRDefault="007623B3" w:rsidP="007623B3">
      <w:pPr>
        <w:spacing w:after="0" w:line="240" w:lineRule="auto"/>
        <w:ind w:left="709" w:right="709"/>
        <w:jc w:val="both"/>
        <w:rPr>
          <w:rFonts w:ascii="Verdana" w:eastAsia="Aptos" w:hAnsi="Verdana" w:cs="Arial"/>
          <w:iCs/>
          <w:color w:val="000000"/>
          <w:kern w:val="2"/>
          <w:sz w:val="21"/>
          <w:szCs w:val="21"/>
          <w14:ligatures w14:val="standardContextual"/>
        </w:rPr>
      </w:pPr>
    </w:p>
    <w:p w14:paraId="6165432D" w14:textId="77777777" w:rsidR="007623B3" w:rsidRPr="007623B3" w:rsidRDefault="007623B3" w:rsidP="007623B3">
      <w:pPr>
        <w:spacing w:after="0" w:line="240" w:lineRule="auto"/>
        <w:ind w:left="709" w:right="709"/>
        <w:jc w:val="both"/>
        <w:rPr>
          <w:rFonts w:ascii="Verdana" w:eastAsia="Aptos" w:hAnsi="Verdana" w:cs="Arial"/>
          <w:iCs/>
          <w:color w:val="000000"/>
          <w:kern w:val="2"/>
          <w:sz w:val="21"/>
          <w:szCs w:val="21"/>
          <w14:ligatures w14:val="standardContextual"/>
        </w:rPr>
      </w:pPr>
      <w:r w:rsidRPr="007623B3">
        <w:rPr>
          <w:rFonts w:ascii="Verdana" w:eastAsia="Aptos" w:hAnsi="Verdana" w:cs="Arial"/>
          <w:iCs/>
          <w:color w:val="000000"/>
          <w:kern w:val="2"/>
          <w:sz w:val="21"/>
          <w:szCs w:val="21"/>
          <w14:ligatures w14:val="standardContextual"/>
        </w:rPr>
        <w:t xml:space="preserve">De conformidad con la consulta del Registro de Productores de Bienes Nacionales, realizada en fecha </w:t>
      </w:r>
      <w:r w:rsidRPr="007623B3">
        <w:rPr>
          <w:rFonts w:ascii="Verdana" w:eastAsia="Aptos" w:hAnsi="Verdana" w:cs="Arial"/>
          <w:iCs/>
          <w:color w:val="000000"/>
          <w:kern w:val="2"/>
          <w:sz w:val="21"/>
          <w:szCs w:val="21"/>
          <w:highlight w:val="lightGray"/>
          <w14:ligatures w14:val="standardContextual"/>
        </w:rPr>
        <w:t>[Ingresar fecha en formato DD/MM/AAAA],</w:t>
      </w:r>
      <w:r w:rsidRPr="007623B3">
        <w:rPr>
          <w:rFonts w:ascii="Verdana" w:eastAsia="Aptos" w:hAnsi="Verdana" w:cs="Arial"/>
          <w:iCs/>
          <w:color w:val="000000"/>
          <w:kern w:val="2"/>
          <w:sz w:val="21"/>
          <w:szCs w:val="21"/>
          <w14:ligatures w14:val="standardContextual"/>
        </w:rPr>
        <w:t xml:space="preserve"> se determinó que los bienes relevantes para el desarrollo de la obra no se encuentran incluidos en dicho registro de conformidad con el numeral 3 del artículo 2.2.1.2.4.2.9. del Decreto 1082 de 2015. Por tal motivo, se otorgará el puntaje de apoyo a la industria nacional a los Proponentes que se comprometan a vincular al desarrollo del objeto contractual un porcentaje de empleados o contratistas por prestación de servicios colombianos, de al menos el </w:t>
      </w:r>
      <w:r w:rsidRPr="007623B3">
        <w:rPr>
          <w:rFonts w:ascii="Verdana" w:eastAsia="Aptos" w:hAnsi="Verdana" w:cs="Arial"/>
          <w:iCs/>
          <w:color w:val="000000"/>
          <w:kern w:val="2"/>
          <w:sz w:val="21"/>
          <w:szCs w:val="21"/>
          <w:highlight w:val="lightGray"/>
          <w14:ligatures w14:val="standardContextual"/>
        </w:rPr>
        <w:t>[la Entidad Estatal definirá el porcentaje requerido que sea por lo menos del cuarenta por ciento (40 %), sin perjuicio de incluir uno superior]</w:t>
      </w:r>
      <w:r w:rsidRPr="007623B3">
        <w:rPr>
          <w:rFonts w:ascii="Verdana" w:eastAsia="Aptos" w:hAnsi="Verdana" w:cs="Arial"/>
          <w:iCs/>
          <w:color w:val="000000"/>
          <w:kern w:val="2"/>
          <w:sz w:val="21"/>
          <w:szCs w:val="21"/>
          <w14:ligatures w14:val="standardContextual"/>
        </w:rPr>
        <w:t xml:space="preserve"> del personal requerido para el cumplimiento del contrato. </w:t>
      </w:r>
    </w:p>
    <w:p w14:paraId="04CF06DE"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7623B3">
        <w:rPr>
          <w:rFonts w:ascii="Verdana" w:eastAsia="Calibri" w:hAnsi="Verdana" w:cs="Arial"/>
          <w:bCs/>
          <w:color w:val="000000"/>
          <w:kern w:val="2"/>
          <w:sz w:val="21"/>
          <w:szCs w:val="21"/>
          <w:lang w:val="es-ES_tradnl"/>
          <w14:ligatures w14:val="standardContextual"/>
        </w:rPr>
        <w:t>[…]”</w:t>
      </w:r>
    </w:p>
    <w:p w14:paraId="15472D3F"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lang w:val="es-ES_tradnl"/>
          <w14:ligatures w14:val="standardContextual"/>
        </w:rPr>
      </w:pPr>
    </w:p>
    <w:p w14:paraId="669F7F02" w14:textId="77777777" w:rsidR="007623B3" w:rsidRPr="007623B3" w:rsidRDefault="007623B3" w:rsidP="007623B3">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t>En línea con lo anterior, la “Matriz 4 – Bienes nacionales relevantes para la obra pública del sector transporte” señala la metodología para identificar los bienes nacionales relevantes para la ejecución del objeto a contratar. Particularmente, sobre las preguntas objeto de su consulta, indica:</w:t>
      </w:r>
    </w:p>
    <w:p w14:paraId="0FD8679D" w14:textId="77777777" w:rsidR="007623B3" w:rsidRPr="007623B3" w:rsidRDefault="007623B3" w:rsidP="007623B3">
      <w:pPr>
        <w:tabs>
          <w:tab w:val="left" w:pos="709"/>
        </w:tabs>
        <w:adjustRightInd w:val="0"/>
        <w:snapToGrid w:val="0"/>
        <w:spacing w:after="0" w:line="276" w:lineRule="auto"/>
        <w:jc w:val="both"/>
        <w:rPr>
          <w:rFonts w:ascii="Verdana" w:eastAsia="Calibri" w:hAnsi="Verdana" w:cs="Arial"/>
          <w:bCs/>
          <w:color w:val="000000"/>
          <w:kern w:val="2"/>
          <w:lang w:val="es-ES_tradnl"/>
          <w14:ligatures w14:val="standardContextual"/>
        </w:rPr>
      </w:pPr>
    </w:p>
    <w:p w14:paraId="7C0BBD7C"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7623B3">
        <w:rPr>
          <w:rFonts w:ascii="Verdana" w:eastAsia="Calibri" w:hAnsi="Verdana" w:cs="Arial"/>
          <w:bCs/>
          <w:color w:val="000000"/>
          <w:kern w:val="2"/>
          <w:sz w:val="21"/>
          <w:szCs w:val="21"/>
          <w:lang w:val="es-ES_tradnl"/>
          <w14:ligatures w14:val="standardContextual"/>
        </w:rPr>
        <w:t>“[…] la Entidad Estatal deberá desarrollar la siguiente metodología para identificar los bienes nacionales relevantes para la ejecución del objeto a contratar:</w:t>
      </w:r>
    </w:p>
    <w:p w14:paraId="69713AE0"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7623B3">
        <w:rPr>
          <w:rFonts w:ascii="Verdana" w:eastAsia="Calibri" w:hAnsi="Verdana" w:cs="Arial"/>
          <w:bCs/>
          <w:color w:val="000000"/>
          <w:kern w:val="2"/>
          <w:sz w:val="21"/>
          <w:szCs w:val="21"/>
          <w:lang w:val="es-ES_tradnl"/>
          <w14:ligatures w14:val="standardContextual"/>
        </w:rPr>
        <w:t>[…]</w:t>
      </w:r>
    </w:p>
    <w:p w14:paraId="37EC94E4" w14:textId="77777777" w:rsidR="007623B3" w:rsidRPr="007623B3" w:rsidRDefault="007623B3" w:rsidP="4CB9639E">
      <w:pPr>
        <w:tabs>
          <w:tab w:val="left" w:pos="709"/>
        </w:tabs>
        <w:adjustRightInd w:val="0"/>
        <w:snapToGrid w:val="0"/>
        <w:spacing w:after="0" w:line="240" w:lineRule="auto"/>
        <w:ind w:left="709" w:right="709"/>
        <w:jc w:val="both"/>
        <w:rPr>
          <w:rFonts w:ascii="Verdana" w:eastAsia="Calibri" w:hAnsi="Verdana" w:cs="Arial"/>
          <w:color w:val="000000"/>
          <w:kern w:val="2"/>
          <w:sz w:val="21"/>
          <w:szCs w:val="21"/>
          <w:lang w:val="es-ES"/>
          <w14:ligatures w14:val="standardContextual"/>
        </w:rPr>
      </w:pPr>
      <w:r w:rsidRPr="4CB9639E">
        <w:rPr>
          <w:rFonts w:ascii="Verdana" w:eastAsia="Calibri" w:hAnsi="Verdana" w:cs="Arial"/>
          <w:color w:val="000000"/>
          <w:kern w:val="2"/>
          <w:sz w:val="21"/>
          <w:szCs w:val="21"/>
          <w:lang w:val="es-ES"/>
          <w14:ligatures w14:val="standardContextual"/>
        </w:rPr>
        <w:t>9.</w:t>
      </w:r>
      <w:r w:rsidRPr="007623B3">
        <w:rPr>
          <w:rFonts w:ascii="Verdana" w:eastAsia="Calibri" w:hAnsi="Verdana" w:cs="Arial"/>
          <w:bCs/>
          <w:color w:val="000000"/>
          <w:kern w:val="2"/>
          <w:sz w:val="21"/>
          <w:szCs w:val="21"/>
          <w:lang w:val="es-ES_tradnl"/>
          <w14:ligatures w14:val="standardContextual"/>
        </w:rPr>
        <w:tab/>
      </w:r>
      <w:r w:rsidRPr="4CB9639E">
        <w:rPr>
          <w:rFonts w:ascii="Verdana" w:eastAsia="Calibri" w:hAnsi="Verdana" w:cs="Arial"/>
          <w:color w:val="000000"/>
          <w:kern w:val="2"/>
          <w:sz w:val="21"/>
          <w:szCs w:val="21"/>
          <w:lang w:val="es-ES"/>
          <w14:ligatures w14:val="standardContextual"/>
        </w:rPr>
        <w:t>Verificar si uno o varios bienes que cumplan con lo previsto en el numeral anterior se encuentran incluidos en el Registro de Productores de Bienes Nacionales, en los términos del Decreto 2680 de 2009. De estar incorporados, la Entidad Estatal verificará al momento de publicar el pliego de condiciones definitivo que el registro del bien o insumo esté vigente hasta una fecha posterior a la del cierre del proceso. Para tal efecto, se entiende por fecha del cierre la publicada en el pliego de condiciones definitivo. Verificada la fecha de registro de estos bienes estos serán los que incluya en el numeral 4.3.1 del Pliego de Condiciones.</w:t>
      </w:r>
    </w:p>
    <w:p w14:paraId="0A18CFCA"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p>
    <w:p w14:paraId="74E82D81" w14:textId="77777777" w:rsidR="007623B3" w:rsidRPr="007623B3" w:rsidRDefault="007623B3" w:rsidP="4CB9639E">
      <w:pPr>
        <w:tabs>
          <w:tab w:val="left" w:pos="709"/>
        </w:tabs>
        <w:adjustRightInd w:val="0"/>
        <w:snapToGrid w:val="0"/>
        <w:spacing w:after="0" w:line="240" w:lineRule="auto"/>
        <w:ind w:left="709" w:right="709"/>
        <w:jc w:val="both"/>
        <w:rPr>
          <w:rFonts w:ascii="Verdana" w:eastAsia="Calibri" w:hAnsi="Verdana" w:cs="Arial"/>
          <w:color w:val="000000"/>
          <w:kern w:val="2"/>
          <w:sz w:val="21"/>
          <w:szCs w:val="21"/>
          <w:lang w:val="es-ES"/>
          <w14:ligatures w14:val="standardContextual"/>
        </w:rPr>
      </w:pPr>
      <w:r w:rsidRPr="4CB9639E">
        <w:rPr>
          <w:rFonts w:ascii="Verdana" w:eastAsia="Calibri" w:hAnsi="Verdana" w:cs="Arial"/>
          <w:color w:val="000000"/>
          <w:kern w:val="2"/>
          <w:sz w:val="21"/>
          <w:szCs w:val="21"/>
          <w:lang w:val="es-ES"/>
          <w14:ligatures w14:val="standardContextual"/>
        </w:rPr>
        <w:t>10.</w:t>
      </w:r>
      <w:r w:rsidRPr="007623B3">
        <w:rPr>
          <w:rFonts w:ascii="Verdana" w:eastAsia="Calibri" w:hAnsi="Verdana" w:cs="Arial"/>
          <w:bCs/>
          <w:color w:val="000000"/>
          <w:kern w:val="2"/>
          <w:sz w:val="21"/>
          <w:szCs w:val="21"/>
          <w:lang w:val="es-ES_tradnl"/>
          <w14:ligatures w14:val="standardContextual"/>
        </w:rPr>
        <w:tab/>
      </w:r>
      <w:r w:rsidRPr="4CB9639E">
        <w:rPr>
          <w:rFonts w:ascii="Verdana" w:eastAsia="Calibri" w:hAnsi="Verdana" w:cs="Arial"/>
          <w:color w:val="000000"/>
          <w:kern w:val="2"/>
          <w:sz w:val="21"/>
          <w:szCs w:val="21"/>
          <w:lang w:val="es-ES"/>
          <w14:ligatures w14:val="standardContextual"/>
        </w:rPr>
        <w:t xml:space="preserve">Si ninguno de los bienes relevantes están incluidos en el Registro de Productores de Bienes Nacionales, la Entidad Estatal otorgará el puntaje a los Proponentes que se comprometan a vincular </w:t>
      </w:r>
      <w:r w:rsidRPr="4CB9639E">
        <w:rPr>
          <w:rFonts w:ascii="Verdana" w:eastAsia="Calibri" w:hAnsi="Verdana" w:cs="Arial"/>
          <w:color w:val="000000"/>
          <w:kern w:val="2"/>
          <w:sz w:val="21"/>
          <w:szCs w:val="21"/>
          <w:lang w:val="es-ES"/>
          <w14:ligatures w14:val="standardContextual"/>
        </w:rPr>
        <w:lastRenderedPageBreak/>
        <w:t xml:space="preserve">un porcentaje de empleados o contratistas por prestación de servicios colombianos de al menos el </w:t>
      </w:r>
      <w:r w:rsidRPr="4CB9639E">
        <w:rPr>
          <w:rFonts w:ascii="Verdana" w:eastAsia="Calibri" w:hAnsi="Verdana" w:cs="Arial"/>
          <w:color w:val="000000"/>
          <w:kern w:val="2"/>
          <w:sz w:val="21"/>
          <w:szCs w:val="21"/>
          <w:highlight w:val="lightGray"/>
          <w:lang w:val="es-ES"/>
          <w14:ligatures w14:val="standardContextual"/>
        </w:rPr>
        <w:t>[la Entidad Estatal incluirá el porcentaje definido en el numeral 4.3.1 del documento base]</w:t>
      </w:r>
      <w:r w:rsidRPr="4CB9639E">
        <w:rPr>
          <w:rFonts w:ascii="Verdana" w:eastAsia="Calibri" w:hAnsi="Verdana" w:cs="Arial"/>
          <w:color w:val="000000"/>
          <w:kern w:val="2"/>
          <w:sz w:val="21"/>
          <w:szCs w:val="21"/>
          <w:lang w:val="es-ES"/>
          <w14:ligatures w14:val="standardContextual"/>
        </w:rPr>
        <w:t xml:space="preserve"> del personal requerido para el cumplimiento del contrato. </w:t>
      </w:r>
    </w:p>
    <w:p w14:paraId="0A26A5C1"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p>
    <w:p w14:paraId="07B18235"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7623B3">
        <w:rPr>
          <w:rFonts w:ascii="Verdana" w:eastAsia="Calibri" w:hAnsi="Verdana" w:cs="Arial"/>
          <w:bCs/>
          <w:color w:val="000000"/>
          <w:kern w:val="2"/>
          <w:sz w:val="21"/>
          <w:szCs w:val="21"/>
          <w:lang w:val="es-ES_tradnl"/>
          <w14:ligatures w14:val="standardContextual"/>
        </w:rPr>
        <w:t xml:space="preserve">La Agencia Nacional de Contratación Pública ha elaborado el siguiente listado de los bienes relevantes más comunes en el desarrollo de la obra pública de infraestructura de transporte, el cual tiene carácter meramente enunciativo. No obstante, es la Entidad quien producto del análisis de las condiciones económicas del sector, de los oferentes, de la existencia de bienes en el Registro de Productores de Bienes Nacionales y de las reglas previamente definidas, la que debe establecer los bienes nacionales relevantes para el Proceso de Contratación, de conformidad con el artículo 2.2.1.2.4.2.9. del Decreto 1082 de 2015, adicionado por el Decreto 680 de 2021. </w:t>
      </w:r>
    </w:p>
    <w:p w14:paraId="3FDCDB5C"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p>
    <w:p w14:paraId="16D8236E"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7623B3">
        <w:rPr>
          <w:rFonts w:ascii="Verdana" w:eastAsia="Calibri" w:hAnsi="Verdana" w:cs="Arial"/>
          <w:bCs/>
          <w:color w:val="000000"/>
          <w:kern w:val="2"/>
          <w:sz w:val="21"/>
          <w:szCs w:val="21"/>
          <w:lang w:val="es-ES_tradnl"/>
          <w14:ligatures w14:val="standardContextual"/>
        </w:rPr>
        <w:t>Los bienes que se enuncian se presentan de forma generalizada para los diferentes tipos de infraestructura y actividades categorizadas en la Matriz 1 – Experiencia de los Documentos Tipo de obra pública de infraestructura de transporte”.</w:t>
      </w:r>
    </w:p>
    <w:p w14:paraId="7CD3DF9D" w14:textId="77777777" w:rsidR="007623B3" w:rsidRPr="007623B3" w:rsidRDefault="007623B3" w:rsidP="007623B3">
      <w:pPr>
        <w:tabs>
          <w:tab w:val="left" w:pos="709"/>
        </w:tabs>
        <w:adjustRightInd w:val="0"/>
        <w:snapToGrid w:val="0"/>
        <w:spacing w:after="0" w:line="240" w:lineRule="auto"/>
        <w:ind w:left="709" w:right="709"/>
        <w:jc w:val="both"/>
        <w:rPr>
          <w:rFonts w:ascii="Verdana" w:eastAsia="Calibri" w:hAnsi="Verdana" w:cs="Arial"/>
          <w:bCs/>
          <w:color w:val="000000"/>
          <w:kern w:val="2"/>
          <w:sz w:val="24"/>
          <w:szCs w:val="24"/>
          <w:lang w:val="es-ES_tradnl"/>
          <w14:ligatures w14:val="standardContextual"/>
        </w:rPr>
      </w:pPr>
    </w:p>
    <w:p w14:paraId="67369420"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t xml:space="preserve">Conforme a la metodología anterior, la entidad contratante deberá verificar, al momento de publicar el pliego de condiciones definitivo, que el registro del bien o insumo se encuentre vigente hasta una fecha posterior a la del cierre del proceso de proceso de contratación, entendiéndose por </w:t>
      </w:r>
      <w:r w:rsidRPr="007623B3">
        <w:rPr>
          <w:rFonts w:ascii="Verdana" w:eastAsia="Calibri" w:hAnsi="Verdana" w:cs="Arial"/>
          <w:bCs/>
          <w:i/>
          <w:iCs/>
          <w:color w:val="000000"/>
          <w:kern w:val="2"/>
          <w:lang w:val="es-ES_tradnl"/>
          <w14:ligatures w14:val="standardContextual"/>
        </w:rPr>
        <w:t>fecha de cierre</w:t>
      </w:r>
      <w:r w:rsidRPr="007623B3">
        <w:rPr>
          <w:rFonts w:ascii="Verdana" w:eastAsia="Calibri" w:hAnsi="Verdana" w:cs="Arial"/>
          <w:bCs/>
          <w:color w:val="000000"/>
          <w:kern w:val="2"/>
          <w:lang w:val="es-ES_tradnl"/>
          <w14:ligatures w14:val="standardContextual"/>
        </w:rPr>
        <w:t xml:space="preserve"> la publicada en el pliego de condiciones definitivo. Una vez verificada la fecha de registro de estos bienes, estos serán los que se incluyan en el numeral 4.3.1 del documento base. </w:t>
      </w:r>
    </w:p>
    <w:p w14:paraId="33DD86D6"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t xml:space="preserve">De esta manera, la Matriz 4 precisa que la fecha de cierre del proceso corresponderá a la señalada en el pliego de condiciones definitivo, y que corresponde a la entidad verificar, con la publicación del pliego de condiciones definitivo, que el registro del bien o insumo esté vigente hasta una fecha posterior a la del cierre del proceso. </w:t>
      </w:r>
    </w:p>
    <w:p w14:paraId="548A9935" w14:textId="77777777" w:rsidR="007623B3" w:rsidRPr="007623B3" w:rsidRDefault="007623B3" w:rsidP="007623B3">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t>Por el contrario, si en la oportunidad señalada en el párrafo anterior la entidad determina que ninguno de los bienes relevantes está incluido en el Registro de Productores de Bienes Nacionales, otorgará el puntaje a los proponentes que se comprometan a vincular un determinado porcentaje de empleados o contratistas por prestación de servicios colombianos, de acuerdo con el numeral 4.3.1 del documento base.</w:t>
      </w:r>
    </w:p>
    <w:p w14:paraId="64245B72" w14:textId="77777777" w:rsidR="007623B3" w:rsidRPr="007623B3" w:rsidRDefault="007623B3" w:rsidP="007623B3">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lastRenderedPageBreak/>
        <w:t xml:space="preserve">En todo caso, corresponde a las entidades estatales adelantar sus procesos de contratación, conforme al marco normativo vigente y realizando una adecuada aplicación de los documentos tipo. Asimismo, los proponentes deberán observar las reglas que establezcan las entidades en los pliegos de condiciones, y no podrán modificar los documentos tipo, salvo en aquellos aspectos que los mismos permitan de forma expresa, en los términos expuestos en este concepto. </w:t>
      </w:r>
    </w:p>
    <w:p w14:paraId="61D51268" w14:textId="77777777" w:rsidR="007623B3" w:rsidRPr="007623B3" w:rsidRDefault="007623B3" w:rsidP="007623B3">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7623B3">
        <w:rPr>
          <w:rFonts w:ascii="Verdana" w:eastAsia="Calibri" w:hAnsi="Verdana" w:cs="Arial"/>
          <w:bCs/>
          <w:color w:val="000000"/>
          <w:kern w:val="2"/>
          <w:lang w:val="es-ES_tradnl"/>
          <w14:ligatures w14:val="standardContextual"/>
        </w:rPr>
        <w:t xml:space="preserve"> </w:t>
      </w:r>
    </w:p>
    <w:p w14:paraId="4630127F" w14:textId="77777777" w:rsidR="007623B3" w:rsidRPr="007623B3" w:rsidRDefault="007623B3" w:rsidP="007623B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623B3">
        <w:rPr>
          <w:rFonts w:ascii="Verdana" w:eastAsia="Century Gothic" w:hAnsi="Verdana" w:cs="Century Gothic"/>
          <w:b/>
          <w:bCs/>
          <w:lang w:val="es-ES_tradnl"/>
        </w:rPr>
        <w:t>Referencias normativas, jurisprudenciales y otras fuentes:</w:t>
      </w:r>
    </w:p>
    <w:p w14:paraId="3D426F7F" w14:textId="77777777" w:rsidR="007623B3" w:rsidRPr="007623B3" w:rsidRDefault="007623B3" w:rsidP="007623B3">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7623B3" w:rsidRPr="007623B3" w14:paraId="08BBFAED" w14:textId="77777777" w:rsidTr="009C46E9">
        <w:trPr>
          <w:trHeight w:val="870"/>
        </w:trPr>
        <w:tc>
          <w:tcPr>
            <w:tcW w:w="8647" w:type="dxa"/>
          </w:tcPr>
          <w:p w14:paraId="38BC416A" w14:textId="77777777" w:rsidR="007623B3" w:rsidRPr="007623B3" w:rsidRDefault="007623B3" w:rsidP="007623B3">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7623B3">
              <w:rPr>
                <w:rFonts w:ascii="Verdana" w:eastAsia="Calibri" w:hAnsi="Verdana" w:cs="Arial"/>
                <w:lang w:val="es-ES_tradnl"/>
              </w:rPr>
              <w:t>Ley 816 de 2003, artículo 2.</w:t>
            </w:r>
          </w:p>
          <w:p w14:paraId="29265707" w14:textId="77777777" w:rsidR="007623B3" w:rsidRPr="007623B3" w:rsidRDefault="007623B3" w:rsidP="007623B3">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7623B3">
              <w:rPr>
                <w:rFonts w:ascii="Verdana" w:eastAsia="Calibri" w:hAnsi="Verdana" w:cs="Arial"/>
                <w:lang w:val="es-ES_tradnl"/>
              </w:rPr>
              <w:t>Ley 2022 de 2020, artículo 1.</w:t>
            </w:r>
          </w:p>
          <w:p w14:paraId="3EE56103" w14:textId="77777777" w:rsidR="007623B3" w:rsidRPr="007623B3" w:rsidRDefault="007623B3" w:rsidP="007623B3">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7623B3">
              <w:rPr>
                <w:rFonts w:ascii="Verdana" w:eastAsia="Calibri" w:hAnsi="Verdana" w:cs="Arial"/>
                <w:lang w:val="es-ES_tradnl"/>
              </w:rPr>
              <w:t>Decreto 680 de 2021, artículos 1 y 2.</w:t>
            </w:r>
          </w:p>
          <w:p w14:paraId="00C79625" w14:textId="77777777" w:rsidR="007623B3" w:rsidRPr="007623B3" w:rsidRDefault="007623B3" w:rsidP="007623B3">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7623B3">
              <w:rPr>
                <w:rFonts w:ascii="Verdana" w:eastAsia="Calibri" w:hAnsi="Verdana" w:cs="Arial"/>
                <w:lang w:val="es-ES_tradnl"/>
              </w:rPr>
              <w:t>Decreto 1082 de 2015, artículos 2.2.1.1.1.3.1 y 2.2.1.2.4.2.9.</w:t>
            </w:r>
          </w:p>
          <w:p w14:paraId="03D7CC0F" w14:textId="77777777" w:rsidR="007623B3" w:rsidRPr="007623B3" w:rsidRDefault="007623B3" w:rsidP="007623B3">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7623B3">
              <w:rPr>
                <w:rFonts w:ascii="Verdana" w:eastAsia="Aptos" w:hAnsi="Verdana" w:cs="Arial"/>
                <w:spacing w:val="2"/>
                <w:lang w:val="es-ES_tradnl" w:eastAsia="es-CO"/>
              </w:rPr>
              <w:t xml:space="preserve">Documentos tipo de licitación de obra pública de infraestructura de transporte – Versión 4. Disponibles en: </w:t>
            </w:r>
            <w:hyperlink r:id="rId11" w:history="1">
              <w:r w:rsidRPr="007623B3">
                <w:rPr>
                  <w:rFonts w:ascii="Verdana" w:eastAsia="Aptos" w:hAnsi="Verdana" w:cs="Arial"/>
                  <w:color w:val="467886"/>
                  <w:spacing w:val="2"/>
                  <w:u w:val="single"/>
                  <w:lang w:val="es-ES_tradnl" w:eastAsia="es-CO"/>
                </w:rPr>
                <w:t>https://www.colombiacompra.gov.co/normativa-y-relatoria/documentos-tipo</w:t>
              </w:r>
            </w:hyperlink>
            <w:r w:rsidRPr="007623B3">
              <w:rPr>
                <w:rFonts w:ascii="Verdana" w:eastAsia="Aptos" w:hAnsi="Verdana" w:cs="Arial"/>
                <w:spacing w:val="2"/>
                <w:lang w:val="es-ES_tradnl" w:eastAsia="es-CO"/>
              </w:rPr>
              <w:t xml:space="preserve">. </w:t>
            </w:r>
          </w:p>
        </w:tc>
      </w:tr>
    </w:tbl>
    <w:p w14:paraId="2E95F9CC" w14:textId="77777777" w:rsidR="007623B3" w:rsidRPr="007623B3" w:rsidRDefault="007623B3" w:rsidP="007623B3">
      <w:pPr>
        <w:widowControl w:val="0"/>
        <w:autoSpaceDE w:val="0"/>
        <w:autoSpaceDN w:val="0"/>
        <w:spacing w:after="0" w:line="276" w:lineRule="auto"/>
        <w:jc w:val="both"/>
        <w:rPr>
          <w:rFonts w:ascii="Verdana" w:eastAsia="Calibri" w:hAnsi="Verdana" w:cs="Arial"/>
          <w:lang w:val="es-ES_tradnl"/>
        </w:rPr>
      </w:pPr>
    </w:p>
    <w:p w14:paraId="4A9CDB4F" w14:textId="77777777" w:rsidR="007623B3" w:rsidRPr="007623B3" w:rsidRDefault="007623B3" w:rsidP="007623B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623B3">
        <w:rPr>
          <w:rFonts w:ascii="Verdana" w:eastAsia="Century Gothic" w:hAnsi="Verdana" w:cs="Century Gothic"/>
          <w:b/>
          <w:bCs/>
          <w:lang w:val="es-ES_tradnl"/>
        </w:rPr>
        <w:t>Doctrina de la Agencia Nacional de Contratación Pública:</w:t>
      </w:r>
    </w:p>
    <w:p w14:paraId="7E964DB2" w14:textId="77777777" w:rsidR="007623B3" w:rsidRPr="007623B3" w:rsidRDefault="007623B3" w:rsidP="007623B3">
      <w:pPr>
        <w:widowControl w:val="0"/>
        <w:autoSpaceDE w:val="0"/>
        <w:autoSpaceDN w:val="0"/>
        <w:spacing w:after="0" w:line="276" w:lineRule="auto"/>
        <w:jc w:val="both"/>
        <w:rPr>
          <w:rFonts w:ascii="Verdana" w:eastAsia="Calibri" w:hAnsi="Verdana" w:cs="Arial"/>
          <w:lang w:val="es-ES_tradnl"/>
        </w:rPr>
      </w:pPr>
    </w:p>
    <w:p w14:paraId="672FAA5C" w14:textId="77777777" w:rsidR="007623B3" w:rsidRPr="007623B3" w:rsidRDefault="007623B3" w:rsidP="007623B3">
      <w:pPr>
        <w:spacing w:after="0" w:line="276" w:lineRule="auto"/>
        <w:jc w:val="both"/>
        <w:textAlignment w:val="baseline"/>
        <w:rPr>
          <w:rFonts w:ascii="Verdana" w:eastAsia="Calibri" w:hAnsi="Verdana" w:cs="Arial"/>
          <w:shd w:val="clear" w:color="auto" w:fill="FFFFFF"/>
        </w:rPr>
      </w:pPr>
      <w:r w:rsidRPr="007623B3">
        <w:rPr>
          <w:rFonts w:ascii="Verdana" w:eastAsia="Calibri" w:hAnsi="Verdana" w:cs="Arial"/>
          <w:shd w:val="clear" w:color="auto" w:fill="FFFFFF"/>
          <w:lang w:val="es-ES"/>
        </w:rPr>
        <w:t xml:space="preserve">La Agencia Nacional de Contratación Pública – Colombia Compra Eficiente se pronunció sobre la aplicación del Decreto 680 de 2021 y el otorgamiento del puntaje por apoyo a la industria nacional en los procedimientos de selección en los conceptos C-527 del 08 de agosto de 2022, C-528 del 17 de agosto de 2022, C-600 del 21 de septiembre de 2022, C-291 de 21 de julio de 2023, C-467 del 5 de diciembre de 2023, C-382 del 6 de mayo de 2025, C-1482 del 24 de noviembre de 2025, entre otros conceptos. </w:t>
      </w:r>
      <w:r w:rsidRPr="007623B3">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7623B3">
          <w:rPr>
            <w:rFonts w:ascii="Verdana" w:eastAsia="Times New Roman" w:hAnsi="Verdana" w:cs="Arial"/>
            <w:kern w:val="2"/>
            <w:shd w:val="clear" w:color="auto" w:fill="FFFFFF"/>
            <w:lang w:val="es-ES"/>
            <w14:ligatures w14:val="standardContextual"/>
          </w:rPr>
          <w:t>https://relatoria.colombiacompra.gov.co/</w:t>
        </w:r>
      </w:hyperlink>
      <w:r w:rsidRPr="007623B3">
        <w:rPr>
          <w:rFonts w:ascii="Verdana" w:eastAsia="Times New Roman" w:hAnsi="Verdana" w:cs="Arial"/>
          <w:kern w:val="2"/>
          <w:shd w:val="clear" w:color="auto" w:fill="FFFFFF"/>
          <w:lang w:val="es-ES"/>
          <w14:ligatures w14:val="standardContextual"/>
        </w:rPr>
        <w:t>.</w:t>
      </w:r>
    </w:p>
    <w:p w14:paraId="2AA77FA3" w14:textId="77777777" w:rsidR="007623B3" w:rsidRPr="007623B3" w:rsidRDefault="007623B3" w:rsidP="007623B3">
      <w:pPr>
        <w:spacing w:after="0" w:line="240" w:lineRule="auto"/>
        <w:jc w:val="both"/>
        <w:rPr>
          <w:rFonts w:ascii="Verdana" w:eastAsia="Calibri" w:hAnsi="Verdana" w:cs="Arial"/>
          <w:color w:val="000000"/>
          <w:kern w:val="2"/>
          <w:shd w:val="clear" w:color="auto" w:fill="FFFFFF"/>
          <w:lang w:val="es-ES_tradnl"/>
          <w14:ligatures w14:val="standardContextual"/>
        </w:rPr>
      </w:pPr>
    </w:p>
    <w:p w14:paraId="76D85F7C" w14:textId="77777777" w:rsidR="007623B3" w:rsidRPr="007623B3" w:rsidRDefault="007623B3" w:rsidP="007623B3">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623B3">
        <w:rPr>
          <w:rFonts w:ascii="Verdana" w:eastAsia="Calibri" w:hAnsi="Verdana" w:cs="Arial"/>
          <w:kern w:val="2"/>
          <w:shd w:val="clear" w:color="auto" w:fill="FFFFFF"/>
          <w:lang w:val="es-ES_tradnl"/>
          <w14:ligatures w14:val="standardContextual"/>
        </w:rPr>
        <w:t>La</w:t>
      </w:r>
      <w:r w:rsidRPr="007623B3">
        <w:rPr>
          <w:rFonts w:ascii="Verdana" w:eastAsia="Calibri" w:hAnsi="Verdana" w:cs="Arial"/>
          <w:b/>
          <w:bCs/>
          <w:kern w:val="2"/>
          <w:shd w:val="clear" w:color="auto" w:fill="FFFFFF"/>
          <w:lang w:val="es-ES_tradnl"/>
          <w14:ligatures w14:val="standardContextual"/>
        </w:rPr>
        <w:t xml:space="preserve"> Agencia Nacional de Contratación Pública - Colombia Compra </w:t>
      </w:r>
      <w:r w:rsidRPr="007623B3">
        <w:rPr>
          <w:rFonts w:ascii="Verdana" w:eastAsia="Calibri" w:hAnsi="Verdana" w:cs="Arial"/>
          <w:b/>
          <w:bCs/>
          <w:kern w:val="2"/>
          <w:shd w:val="clear" w:color="auto" w:fill="FFFFFF"/>
          <w:lang w:val="es-ES_tradnl"/>
          <w14:ligatures w14:val="standardContextual"/>
        </w:rPr>
        <w:lastRenderedPageBreak/>
        <w:t>Eficiente</w:t>
      </w:r>
      <w:r w:rsidRPr="007623B3">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7623B3">
        <w:rPr>
          <w:rFonts w:ascii="Verdana" w:eastAsia="Calibri" w:hAnsi="Verdana" w:cs="Arial"/>
          <w:b/>
          <w:bCs/>
          <w:kern w:val="2"/>
          <w:shd w:val="clear" w:color="auto" w:fill="FFFFFF"/>
          <w:lang w:val="es-ES_tradnl"/>
          <w14:ligatures w14:val="standardContextual"/>
        </w:rPr>
        <w:t>Documentos Tipo</w:t>
      </w:r>
      <w:r w:rsidRPr="007623B3">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7623B3">
        <w:rPr>
          <w:rFonts w:ascii="Verdana" w:eastAsia="Calibri" w:hAnsi="Verdana" w:cs="Arial"/>
          <w:b/>
          <w:bCs/>
          <w:kern w:val="2"/>
          <w:shd w:val="clear" w:color="auto" w:fill="FFFFFF"/>
          <w:lang w:val="es-ES_tradnl"/>
          <w14:ligatures w14:val="standardContextual"/>
        </w:rPr>
        <w:t>transparencia</w:t>
      </w:r>
      <w:r w:rsidRPr="007623B3">
        <w:rPr>
          <w:rFonts w:ascii="Verdana" w:eastAsia="Calibri" w:hAnsi="Verdana" w:cs="Arial"/>
          <w:kern w:val="2"/>
          <w:shd w:val="clear" w:color="auto" w:fill="FFFFFF"/>
          <w:lang w:val="es-ES_tradnl"/>
          <w14:ligatures w14:val="standardContextual"/>
        </w:rPr>
        <w:t> y promover un proceso de </w:t>
      </w:r>
      <w:r w:rsidRPr="007623B3">
        <w:rPr>
          <w:rFonts w:ascii="Verdana" w:eastAsia="Calibri" w:hAnsi="Verdana" w:cs="Arial"/>
          <w:b/>
          <w:bCs/>
          <w:kern w:val="2"/>
          <w:shd w:val="clear" w:color="auto" w:fill="FFFFFF"/>
          <w:lang w:val="es-ES_tradnl"/>
          <w14:ligatures w14:val="standardContextual"/>
        </w:rPr>
        <w:t>selección objetiva</w:t>
      </w:r>
      <w:r w:rsidRPr="007623B3">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65D41EFE" w14:textId="77777777" w:rsidR="007623B3" w:rsidRPr="007623B3" w:rsidRDefault="007623B3" w:rsidP="007623B3">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5B5D55C" w14:textId="77777777" w:rsidR="007623B3" w:rsidRPr="007623B3" w:rsidRDefault="007623B3" w:rsidP="007623B3">
      <w:pPr>
        <w:spacing w:after="0" w:line="276" w:lineRule="auto"/>
        <w:jc w:val="both"/>
        <w:rPr>
          <w:rFonts w:ascii="Verdana" w:eastAsia="Aptos" w:hAnsi="Verdana" w:cs="Times New Roman"/>
          <w:kern w:val="2"/>
          <w:lang w:val="es-ES_tradnl"/>
          <w14:ligatures w14:val="standardContextual"/>
        </w:rPr>
      </w:pPr>
      <w:r w:rsidRPr="007623B3">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7623B3">
        <w:rPr>
          <w:rFonts w:ascii="Verdana" w:eastAsia="Aptos" w:hAnsi="Verdana" w:cs="Times New Roman"/>
          <w:b/>
          <w:bCs/>
          <w:kern w:val="2"/>
          <w:lang w:val="es-ES_tradnl"/>
          <w14:ligatures w14:val="standardContextual"/>
        </w:rPr>
        <w:t>Curso de Contratación Pública Sostenible y Socialmente Responsable</w:t>
      </w:r>
      <w:r w:rsidRPr="007623B3">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623B3">
        <w:rPr>
          <w:rFonts w:ascii="Verdana" w:eastAsia="Aptos" w:hAnsi="Verdana" w:cs="Times New Roman"/>
          <w:kern w:val="2"/>
          <w:lang w:val="es-ES_tradnl"/>
          <w14:ligatures w14:val="standardContextual"/>
        </w:rPr>
        <w:br/>
      </w:r>
      <w:hyperlink r:id="rId13" w:tgtFrame="_new" w:history="1">
        <w:r w:rsidRPr="007623B3">
          <w:rPr>
            <w:rFonts w:ascii="Verdana" w:eastAsia="Aptos" w:hAnsi="Verdana" w:cs="Times New Roman"/>
            <w:color w:val="0000FF"/>
            <w:kern w:val="2"/>
            <w:u w:val="single"/>
            <w:lang w:val="es-ES_tradnl"/>
            <w14:ligatures w14:val="standardContextual"/>
          </w:rPr>
          <w:t>https://formacionvirtual.colombiacompra.gov.co/mod/page/view.php?id=3718</w:t>
        </w:r>
      </w:hyperlink>
    </w:p>
    <w:p w14:paraId="7BC6F127" w14:textId="77777777" w:rsidR="007623B3" w:rsidRPr="007623B3" w:rsidRDefault="007623B3" w:rsidP="007623B3">
      <w:pPr>
        <w:spacing w:after="0" w:line="276" w:lineRule="auto"/>
        <w:jc w:val="both"/>
        <w:rPr>
          <w:rFonts w:ascii="Verdana" w:eastAsia="Aptos" w:hAnsi="Verdana" w:cs="Times New Roman"/>
          <w:kern w:val="2"/>
          <w:lang w:val="es-ES_tradnl"/>
          <w14:ligatures w14:val="standardContextual"/>
        </w:rPr>
      </w:pPr>
    </w:p>
    <w:p w14:paraId="1A1E50FE" w14:textId="77777777" w:rsidR="007623B3" w:rsidRPr="007623B3" w:rsidRDefault="007623B3" w:rsidP="007623B3">
      <w:pPr>
        <w:spacing w:after="0" w:line="276" w:lineRule="auto"/>
        <w:jc w:val="both"/>
        <w:rPr>
          <w:rFonts w:ascii="Verdana" w:eastAsia="Aptos" w:hAnsi="Verdana" w:cs="Times New Roman"/>
          <w:kern w:val="2"/>
          <w:lang w:val="es-ES_tradnl"/>
          <w14:ligatures w14:val="standardContextual"/>
        </w:rPr>
      </w:pPr>
      <w:r w:rsidRPr="007623B3">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7623B3">
        <w:rPr>
          <w:rFonts w:ascii="Verdana" w:eastAsia="Aptos" w:hAnsi="Verdana" w:cs="Times New Roman"/>
          <w:b/>
          <w:bCs/>
          <w:kern w:val="2"/>
          <w:lang w:val="es-ES_tradnl"/>
          <w14:ligatures w14:val="standardContextual"/>
        </w:rPr>
        <w:t>sector  social</w:t>
      </w:r>
      <w:r w:rsidRPr="007623B3">
        <w:rPr>
          <w:rFonts w:ascii="Verdana" w:eastAsia="Aptos" w:hAnsi="Verdana" w:cs="Times New Roman"/>
          <w:kern w:val="2"/>
          <w:lang w:val="es-ES_tradnl"/>
          <w14:ligatures w14:val="standardContextual"/>
        </w:rPr>
        <w:t xml:space="preserve"> con la expedición de las </w:t>
      </w:r>
      <w:r w:rsidRPr="007623B3">
        <w:rPr>
          <w:rFonts w:ascii="Verdana" w:eastAsia="Aptos" w:hAnsi="Verdana" w:cs="Times New Roman"/>
          <w:b/>
          <w:bCs/>
          <w:kern w:val="2"/>
          <w:lang w:val="es-ES_tradnl"/>
          <w14:ligatures w14:val="standardContextual"/>
        </w:rPr>
        <w:t>Resoluciones 539, 540, 541, 952 y 953 de 2025</w:t>
      </w:r>
      <w:r w:rsidRPr="007623B3">
        <w:rPr>
          <w:rFonts w:ascii="Verdana" w:eastAsia="Aptos" w:hAnsi="Verdana" w:cs="Times New Roman"/>
          <w:kern w:val="2"/>
          <w:lang w:val="es-ES_tradnl"/>
          <w14:ligatures w14:val="standardContextual"/>
        </w:rPr>
        <w:t xml:space="preserve">, </w:t>
      </w:r>
      <w:r w:rsidRPr="007623B3">
        <w:rPr>
          <w:rFonts w:ascii="Verdana" w:eastAsia="Aptos" w:hAnsi="Verdana" w:cs="Times New Roman"/>
          <w:b/>
          <w:bCs/>
          <w:kern w:val="2"/>
          <w:lang w:val="es-ES_tradnl"/>
          <w14:ligatures w14:val="standardContextual"/>
        </w:rPr>
        <w:t>mediante las cuales adoptó Documentos Tipo</w:t>
      </w:r>
      <w:r w:rsidRPr="007623B3">
        <w:rPr>
          <w:rFonts w:ascii="Verdana" w:eastAsia="Aptos" w:hAnsi="Verdana" w:cs="Times New Roman"/>
          <w:kern w:val="2"/>
          <w:lang w:val="es-ES_tradnl"/>
          <w14:ligatures w14:val="standardContextual"/>
        </w:rPr>
        <w:t xml:space="preserve"> para las modalidades de selección de</w:t>
      </w:r>
      <w:r w:rsidRPr="007623B3">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7623B3">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623B3">
          <w:rPr>
            <w:rFonts w:ascii="Verdana" w:eastAsia="Aptos" w:hAnsi="Verdana" w:cs="Times New Roman"/>
            <w:color w:val="0000FF"/>
            <w:kern w:val="2"/>
            <w:u w:val="single"/>
            <w:lang w:val="es-ES_tradnl"/>
            <w14:ligatures w14:val="standardContextual"/>
          </w:rPr>
          <w:t>https://www.colombiacompra.gov.co/normativa-y-relatoria/documentos-tipo</w:t>
        </w:r>
      </w:hyperlink>
    </w:p>
    <w:p w14:paraId="1815E270" w14:textId="77777777" w:rsidR="007623B3" w:rsidRPr="007623B3" w:rsidRDefault="007623B3" w:rsidP="007623B3">
      <w:pPr>
        <w:spacing w:after="0" w:line="276" w:lineRule="auto"/>
        <w:jc w:val="both"/>
        <w:rPr>
          <w:rFonts w:ascii="Verdana" w:eastAsia="Aptos" w:hAnsi="Verdana" w:cs="Times New Roman"/>
          <w:kern w:val="2"/>
          <w:lang w:val="es-ES_tradnl"/>
          <w14:ligatures w14:val="standardContextual"/>
        </w:rPr>
      </w:pPr>
    </w:p>
    <w:p w14:paraId="1A9CA514" w14:textId="77777777" w:rsidR="007623B3" w:rsidRPr="007623B3" w:rsidRDefault="007623B3" w:rsidP="007623B3">
      <w:pPr>
        <w:spacing w:after="0" w:line="276" w:lineRule="auto"/>
        <w:jc w:val="both"/>
        <w:rPr>
          <w:rFonts w:ascii="Aptos" w:eastAsia="Aptos" w:hAnsi="Aptos" w:cs="Times New Roman"/>
          <w:kern w:val="2"/>
          <w:sz w:val="24"/>
          <w:szCs w:val="24"/>
          <w14:ligatures w14:val="standardContextual"/>
        </w:rPr>
      </w:pPr>
      <w:r w:rsidRPr="007623B3">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7623B3">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7623B3">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w:t>
      </w:r>
      <w:r w:rsidRPr="007623B3">
        <w:rPr>
          <w:rFonts w:ascii="Verdana" w:eastAsia="Aptos" w:hAnsi="Verdana" w:cs="Times New Roman"/>
          <w:kern w:val="2"/>
          <w:lang w:val="es-ES_tradnl"/>
          <w14:ligatures w14:val="standardContextual"/>
        </w:rPr>
        <w:lastRenderedPageBreak/>
        <w:t>se incluyeron lineamientos que orientan la implementación de los criterios ambientales y sociales incluidos en los documentos tipo. Consulta la guía aquí:</w:t>
      </w:r>
      <w:r w:rsidRPr="007623B3">
        <w:rPr>
          <w:rFonts w:ascii="Verdana" w:eastAsia="Aptos" w:hAnsi="Verdana" w:cs="Times New Roman"/>
          <w:kern w:val="2"/>
          <w:lang w:val="es-ES_tradnl"/>
          <w14:ligatures w14:val="standardContextual"/>
        </w:rPr>
        <w:br/>
      </w:r>
      <w:hyperlink r:id="rId15" w:tgtFrame="_new" w:history="1">
        <w:r w:rsidRPr="007623B3">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0675A133" w14:textId="77777777" w:rsidR="007623B3" w:rsidRPr="007623B3" w:rsidRDefault="007623B3" w:rsidP="007623B3">
      <w:pPr>
        <w:spacing w:after="0" w:line="276" w:lineRule="auto"/>
        <w:jc w:val="both"/>
        <w:rPr>
          <w:rFonts w:ascii="Verdana" w:eastAsia="Aptos" w:hAnsi="Verdana" w:cs="Times New Roman"/>
          <w:kern w:val="2"/>
          <w:lang w:val="es-ES_tradnl"/>
          <w14:ligatures w14:val="standardContextual"/>
        </w:rPr>
      </w:pPr>
    </w:p>
    <w:p w14:paraId="69B5C617" w14:textId="77777777" w:rsidR="007623B3" w:rsidRPr="007623B3" w:rsidRDefault="007623B3" w:rsidP="007623B3">
      <w:pPr>
        <w:spacing w:after="0" w:line="276" w:lineRule="auto"/>
        <w:jc w:val="both"/>
        <w:rPr>
          <w:rFonts w:ascii="Verdana" w:eastAsia="Calibri" w:hAnsi="Verdana" w:cs="Times New Roman"/>
          <w:kern w:val="2"/>
          <w:lang w:val="es-ES_tradnl"/>
          <w14:ligatures w14:val="standardContextual"/>
        </w:rPr>
      </w:pPr>
      <w:r w:rsidRPr="007623B3">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D7D52C4" w14:textId="77777777" w:rsidR="007623B3" w:rsidRPr="007623B3" w:rsidRDefault="007623B3" w:rsidP="007623B3">
      <w:pPr>
        <w:spacing w:after="0" w:line="240" w:lineRule="auto"/>
        <w:jc w:val="both"/>
        <w:rPr>
          <w:rFonts w:ascii="Verdana" w:eastAsia="Calibri" w:hAnsi="Verdana" w:cs="Times New Roman"/>
          <w:kern w:val="2"/>
          <w:lang w:val="es-ES_tradnl"/>
          <w14:ligatures w14:val="standardContextual"/>
        </w:rPr>
      </w:pPr>
    </w:p>
    <w:p w14:paraId="4BDD376B" w14:textId="77777777" w:rsidR="007623B3" w:rsidRPr="007623B3" w:rsidRDefault="007623B3" w:rsidP="007623B3">
      <w:pPr>
        <w:spacing w:after="0" w:line="240" w:lineRule="auto"/>
        <w:jc w:val="both"/>
        <w:rPr>
          <w:rFonts w:ascii="Verdana" w:eastAsia="Calibri" w:hAnsi="Verdana" w:cs="Times New Roman"/>
          <w:kern w:val="2"/>
          <w:lang w:val="es-ES_tradnl"/>
          <w14:ligatures w14:val="standardContextual"/>
        </w:rPr>
      </w:pPr>
      <w:r w:rsidRPr="007623B3">
        <w:rPr>
          <w:rFonts w:ascii="Verdana" w:eastAsia="Calibri" w:hAnsi="Verdana" w:cs="Times New Roman"/>
          <w:kern w:val="2"/>
          <w:lang w:val="es-ES_tradnl"/>
          <w14:ligatures w14:val="standardContextual"/>
        </w:rPr>
        <w:t xml:space="preserve">X: </w:t>
      </w:r>
      <w:r w:rsidRPr="007623B3">
        <w:rPr>
          <w:rFonts w:ascii="Verdana" w:eastAsia="Calibri" w:hAnsi="Verdana" w:cs="Times New Roman"/>
          <w:kern w:val="2"/>
          <w:u w:val="single"/>
          <w:lang w:val="es-ES_tradnl"/>
          <w14:ligatures w14:val="standardContextual"/>
        </w:rPr>
        <w:t>@colombiacompra</w:t>
      </w:r>
      <w:r w:rsidRPr="007623B3">
        <w:rPr>
          <w:rFonts w:ascii="Verdana" w:eastAsia="Calibri" w:hAnsi="Verdana" w:cs="Times New Roman"/>
          <w:kern w:val="2"/>
          <w:lang w:val="es-ES_tradnl"/>
          <w14:ligatures w14:val="standardContextual"/>
        </w:rPr>
        <w:t xml:space="preserve"> </w:t>
      </w:r>
    </w:p>
    <w:p w14:paraId="00A3D46C" w14:textId="77777777" w:rsidR="007623B3" w:rsidRPr="007623B3" w:rsidRDefault="007623B3" w:rsidP="007623B3">
      <w:pPr>
        <w:spacing w:after="0" w:line="240" w:lineRule="auto"/>
        <w:jc w:val="both"/>
        <w:rPr>
          <w:rFonts w:ascii="Verdana" w:eastAsia="Calibri" w:hAnsi="Verdana" w:cs="Times New Roman"/>
          <w:kern w:val="2"/>
          <w:lang w:val="es-ES"/>
          <w14:ligatures w14:val="standardContextual"/>
        </w:rPr>
      </w:pPr>
      <w:r w:rsidRPr="007623B3">
        <w:rPr>
          <w:rFonts w:ascii="Verdana" w:eastAsia="Calibri" w:hAnsi="Verdana" w:cs="Times New Roman"/>
          <w:kern w:val="2"/>
          <w:lang w:val="es-ES"/>
          <w14:ligatures w14:val="standardContextual"/>
        </w:rPr>
        <w:t xml:space="preserve">Facebook: </w:t>
      </w:r>
      <w:r w:rsidRPr="007623B3">
        <w:rPr>
          <w:rFonts w:ascii="Verdana" w:eastAsia="Calibri" w:hAnsi="Verdana" w:cs="Times New Roman"/>
          <w:kern w:val="2"/>
          <w:u w:val="single"/>
          <w:lang w:val="es-ES"/>
          <w14:ligatures w14:val="standardContextual"/>
        </w:rPr>
        <w:t>ColombiaCompraEficiente</w:t>
      </w:r>
    </w:p>
    <w:p w14:paraId="2818F0D4" w14:textId="77777777" w:rsidR="007623B3" w:rsidRPr="007623B3" w:rsidRDefault="007623B3" w:rsidP="007623B3">
      <w:pPr>
        <w:spacing w:after="0" w:line="240" w:lineRule="auto"/>
        <w:jc w:val="both"/>
        <w:rPr>
          <w:rFonts w:ascii="Verdana" w:eastAsia="Calibri" w:hAnsi="Verdana" w:cs="Times New Roman"/>
          <w:kern w:val="2"/>
          <w:lang w:val="es-ES_tradnl"/>
          <w14:ligatures w14:val="standardContextual"/>
        </w:rPr>
      </w:pPr>
      <w:r w:rsidRPr="007623B3">
        <w:rPr>
          <w:rFonts w:ascii="Verdana" w:eastAsia="Calibri" w:hAnsi="Verdana" w:cs="Times New Roman"/>
          <w:kern w:val="2"/>
          <w:lang w:val="es-ES_tradnl"/>
          <w14:ligatures w14:val="standardContextual"/>
        </w:rPr>
        <w:t xml:space="preserve">LinkedIn: </w:t>
      </w:r>
      <w:r w:rsidRPr="007623B3">
        <w:rPr>
          <w:rFonts w:ascii="Verdana" w:eastAsia="Calibri" w:hAnsi="Verdana" w:cs="Times New Roman"/>
          <w:kern w:val="2"/>
          <w:u w:val="single"/>
          <w:lang w:val="es-ES_tradnl"/>
          <w14:ligatures w14:val="standardContextual"/>
        </w:rPr>
        <w:t>Agencia Nacional de Contratación Pública - Colombia Compra Eficiente</w:t>
      </w:r>
      <w:r w:rsidRPr="007623B3">
        <w:rPr>
          <w:rFonts w:ascii="Verdana" w:eastAsia="Calibri" w:hAnsi="Verdana" w:cs="Times New Roman"/>
          <w:kern w:val="2"/>
          <w:lang w:val="es-ES_tradnl"/>
          <w14:ligatures w14:val="standardContextual"/>
        </w:rPr>
        <w:t xml:space="preserve"> Instagram: </w:t>
      </w:r>
      <w:r w:rsidRPr="007623B3">
        <w:rPr>
          <w:rFonts w:ascii="Verdana" w:eastAsia="Calibri" w:hAnsi="Verdana" w:cs="Times New Roman"/>
          <w:kern w:val="2"/>
          <w:u w:val="single"/>
          <w:lang w:val="es-ES_tradnl"/>
          <w14:ligatures w14:val="standardContextual"/>
        </w:rPr>
        <w:t>@colombiacompraeficiente_cce</w:t>
      </w:r>
    </w:p>
    <w:p w14:paraId="5FDBB454" w14:textId="77777777" w:rsidR="007623B3" w:rsidRPr="007623B3" w:rsidRDefault="007623B3" w:rsidP="007623B3">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0AA1F284" w14:textId="77777777" w:rsidR="007623B3" w:rsidRPr="007623B3" w:rsidRDefault="007623B3" w:rsidP="007623B3">
      <w:pPr>
        <w:widowControl w:val="0"/>
        <w:autoSpaceDE w:val="0"/>
        <w:autoSpaceDN w:val="0"/>
        <w:spacing w:after="0" w:line="276" w:lineRule="auto"/>
        <w:jc w:val="both"/>
        <w:rPr>
          <w:rFonts w:ascii="Verdana" w:eastAsia="Calibri" w:hAnsi="Verdana" w:cs="Arial"/>
          <w:kern w:val="2"/>
          <w:lang w:val="es-ES_tradnl"/>
          <w14:ligatures w14:val="standardContextual"/>
        </w:rPr>
      </w:pPr>
      <w:r w:rsidRPr="007623B3">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1E174A5" w14:textId="77777777" w:rsidR="007623B3" w:rsidRPr="007623B3" w:rsidRDefault="007623B3" w:rsidP="007623B3">
      <w:pPr>
        <w:widowControl w:val="0"/>
        <w:autoSpaceDE w:val="0"/>
        <w:autoSpaceDN w:val="0"/>
        <w:spacing w:after="0" w:line="276" w:lineRule="auto"/>
        <w:jc w:val="both"/>
        <w:rPr>
          <w:rFonts w:ascii="Verdana" w:eastAsia="Calibri" w:hAnsi="Verdana" w:cs="Arial"/>
          <w:lang w:val="es-ES_tradnl"/>
        </w:rPr>
      </w:pPr>
    </w:p>
    <w:p w14:paraId="41448461" w14:textId="77777777" w:rsidR="007623B3" w:rsidRPr="007623B3" w:rsidRDefault="007623B3" w:rsidP="007623B3">
      <w:pPr>
        <w:widowControl w:val="0"/>
        <w:autoSpaceDE w:val="0"/>
        <w:autoSpaceDN w:val="0"/>
        <w:spacing w:after="0" w:line="276" w:lineRule="auto"/>
        <w:jc w:val="both"/>
        <w:rPr>
          <w:rFonts w:ascii="Verdana" w:eastAsia="Calibri" w:hAnsi="Verdana" w:cs="Arial"/>
          <w:lang w:val="es-ES_tradnl"/>
        </w:rPr>
      </w:pPr>
    </w:p>
    <w:p w14:paraId="7C975E0B" w14:textId="77777777" w:rsidR="007623B3" w:rsidRPr="007623B3" w:rsidRDefault="007623B3" w:rsidP="007623B3">
      <w:pPr>
        <w:spacing w:after="0" w:line="240" w:lineRule="auto"/>
        <w:rPr>
          <w:rFonts w:ascii="Verdana" w:eastAsia="Calibri" w:hAnsi="Verdana" w:cs="Arial"/>
          <w:lang w:val="es-ES_tradnl" w:eastAsia="es-CO"/>
        </w:rPr>
      </w:pPr>
      <w:r w:rsidRPr="007623B3">
        <w:rPr>
          <w:rFonts w:ascii="Verdana" w:eastAsia="Times New Roman" w:hAnsi="Verdana" w:cs="Arial"/>
          <w:lang w:val="es-ES_tradnl" w:eastAsia="es-CO"/>
        </w:rPr>
        <w:t>Atentamente,</w:t>
      </w:r>
      <w:r w:rsidRPr="007623B3">
        <w:rPr>
          <w:rFonts w:ascii="Verdana" w:eastAsia="Calibri" w:hAnsi="Verdana" w:cs="Arial"/>
          <w:lang w:val="es-ES_tradnl" w:eastAsia="es-CO"/>
        </w:rPr>
        <w:t xml:space="preserve"> </w:t>
      </w:r>
    </w:p>
    <w:p w14:paraId="55FFD6EA" w14:textId="08CBBFF1" w:rsidR="007623B3" w:rsidRPr="007623B3" w:rsidRDefault="00985941" w:rsidP="007623B3">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0B8F48DC" wp14:editId="12EADE44">
            <wp:extent cx="3424773" cy="1271317"/>
            <wp:effectExtent l="0" t="0" r="4445"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439772" cy="127688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623B3" w:rsidRPr="007623B3" w14:paraId="63A37781" w14:textId="77777777" w:rsidTr="4CB9639E">
        <w:trPr>
          <w:trHeight w:val="315"/>
        </w:trPr>
        <w:tc>
          <w:tcPr>
            <w:tcW w:w="893" w:type="dxa"/>
            <w:vAlign w:val="center"/>
            <w:hideMark/>
          </w:tcPr>
          <w:p w14:paraId="52E49FDB" w14:textId="77777777" w:rsidR="007623B3" w:rsidRPr="007623B3" w:rsidRDefault="007623B3" w:rsidP="007623B3">
            <w:pPr>
              <w:rPr>
                <w:rFonts w:ascii="Verdana" w:eastAsia="Calibri" w:hAnsi="Verdana" w:cs="Arial"/>
                <w:sz w:val="16"/>
                <w:szCs w:val="16"/>
                <w:lang w:val="es-ES_tradnl" w:eastAsia="es-ES"/>
              </w:rPr>
            </w:pPr>
            <w:r w:rsidRPr="007623B3">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27D56E06" w14:textId="77777777" w:rsidR="007623B3" w:rsidRPr="007623B3" w:rsidRDefault="007623B3" w:rsidP="4CB9639E">
            <w:pPr>
              <w:rPr>
                <w:rFonts w:ascii="Verdana" w:eastAsia="Arial" w:hAnsi="Verdana" w:cs="Arial"/>
                <w:sz w:val="16"/>
                <w:szCs w:val="16"/>
                <w:lang w:val="es-ES"/>
              </w:rPr>
            </w:pPr>
            <w:r w:rsidRPr="4CB9639E">
              <w:rPr>
                <w:rFonts w:ascii="Verdana" w:eastAsia="Arial" w:hAnsi="Verdana" w:cs="Arial"/>
                <w:sz w:val="16"/>
                <w:szCs w:val="16"/>
                <w:lang w:val="es-ES"/>
              </w:rPr>
              <w:t>Kevin Arlid Herrera Santa</w:t>
            </w:r>
          </w:p>
          <w:p w14:paraId="41EAB160" w14:textId="77777777" w:rsidR="007623B3" w:rsidRPr="007623B3" w:rsidRDefault="007623B3" w:rsidP="007623B3">
            <w:pPr>
              <w:rPr>
                <w:rFonts w:ascii="Verdana" w:eastAsia="Arial" w:hAnsi="Verdana" w:cs="Arial"/>
                <w:sz w:val="16"/>
                <w:szCs w:val="16"/>
                <w:lang w:val="es-ES_tradnl"/>
              </w:rPr>
            </w:pPr>
            <w:r w:rsidRPr="007623B3">
              <w:rPr>
                <w:rFonts w:ascii="Verdana" w:eastAsia="Arial" w:hAnsi="Verdana" w:cs="Arial"/>
                <w:sz w:val="16"/>
                <w:szCs w:val="16"/>
                <w:lang w:val="es-ES_tradnl"/>
              </w:rPr>
              <w:t>Contratista de la Subdirección de Gestión Contractual</w:t>
            </w:r>
          </w:p>
        </w:tc>
      </w:tr>
      <w:tr w:rsidR="007623B3" w:rsidRPr="007623B3" w14:paraId="34F3EF83" w14:textId="77777777" w:rsidTr="4CB9639E">
        <w:trPr>
          <w:trHeight w:val="330"/>
        </w:trPr>
        <w:tc>
          <w:tcPr>
            <w:tcW w:w="893" w:type="dxa"/>
            <w:vAlign w:val="center"/>
            <w:hideMark/>
          </w:tcPr>
          <w:p w14:paraId="112C8295" w14:textId="77777777" w:rsidR="007623B3" w:rsidRPr="007623B3" w:rsidRDefault="007623B3" w:rsidP="007623B3">
            <w:pPr>
              <w:rPr>
                <w:rFonts w:ascii="Verdana" w:eastAsia="Calibri" w:hAnsi="Verdana" w:cs="Arial"/>
                <w:sz w:val="16"/>
                <w:szCs w:val="16"/>
                <w:lang w:val="es-ES_tradnl" w:eastAsia="es-ES"/>
              </w:rPr>
            </w:pPr>
            <w:r w:rsidRPr="007623B3">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9A4520" w14:textId="77777777" w:rsidR="007623B3" w:rsidRPr="007623B3" w:rsidRDefault="007623B3" w:rsidP="007623B3">
            <w:pPr>
              <w:textAlignment w:val="baseline"/>
              <w:rPr>
                <w:rFonts w:ascii="Verdana" w:eastAsia="Times New Roman" w:hAnsi="Verdana" w:cs="Segoe UI"/>
                <w:sz w:val="16"/>
                <w:szCs w:val="16"/>
                <w:lang w:val="es-ES_tradnl" w:eastAsia="es-ES_tradnl"/>
              </w:rPr>
            </w:pPr>
            <w:r w:rsidRPr="007623B3">
              <w:rPr>
                <w:rFonts w:ascii="Verdana" w:eastAsia="Times New Roman" w:hAnsi="Verdana" w:cs="Segoe UI"/>
                <w:sz w:val="16"/>
                <w:szCs w:val="16"/>
                <w:lang w:val="es-ES_tradnl" w:eastAsia="es-ES_tradnl"/>
              </w:rPr>
              <w:t>Adriana Katerine López Rodríguez</w:t>
            </w:r>
          </w:p>
          <w:p w14:paraId="005AC2E8" w14:textId="77777777" w:rsidR="007623B3" w:rsidRPr="007623B3" w:rsidRDefault="007623B3" w:rsidP="007623B3">
            <w:pPr>
              <w:textAlignment w:val="baseline"/>
              <w:rPr>
                <w:rFonts w:ascii="Verdana" w:eastAsia="Times New Roman" w:hAnsi="Verdana" w:cs="Segoe UI"/>
                <w:sz w:val="16"/>
                <w:szCs w:val="16"/>
                <w:lang w:val="es-ES_tradnl" w:eastAsia="es-ES_tradnl"/>
              </w:rPr>
            </w:pPr>
            <w:r w:rsidRPr="007623B3">
              <w:rPr>
                <w:rFonts w:ascii="Verdana" w:eastAsia="Times New Roman" w:hAnsi="Verdana" w:cs="Arial"/>
                <w:sz w:val="16"/>
                <w:szCs w:val="16"/>
                <w:lang w:val="es-ES_tradnl" w:eastAsia="es-ES_tradnl"/>
              </w:rPr>
              <w:t>Contratista de la Subdirección de Gestión Contractual </w:t>
            </w:r>
          </w:p>
        </w:tc>
      </w:tr>
      <w:tr w:rsidR="007623B3" w:rsidRPr="007623B3" w14:paraId="38F7EA05" w14:textId="77777777" w:rsidTr="4CB9639E">
        <w:trPr>
          <w:trHeight w:val="300"/>
        </w:trPr>
        <w:tc>
          <w:tcPr>
            <w:tcW w:w="893" w:type="dxa"/>
            <w:vAlign w:val="center"/>
          </w:tcPr>
          <w:p w14:paraId="0D383508" w14:textId="77777777" w:rsidR="007623B3" w:rsidRPr="007623B3" w:rsidRDefault="007623B3" w:rsidP="007623B3">
            <w:pPr>
              <w:rPr>
                <w:rFonts w:ascii="Verdana" w:eastAsia="Calibri" w:hAnsi="Verdana" w:cs="Arial"/>
                <w:sz w:val="16"/>
                <w:szCs w:val="16"/>
                <w:lang w:val="es-ES_tradnl" w:eastAsia="es-ES"/>
              </w:rPr>
            </w:pPr>
            <w:r w:rsidRPr="007623B3">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0573DDC" w14:textId="77777777" w:rsidR="007623B3" w:rsidRPr="007623B3" w:rsidRDefault="007623B3" w:rsidP="007623B3">
            <w:pPr>
              <w:rPr>
                <w:rFonts w:ascii="Verdana" w:eastAsia="Calibri" w:hAnsi="Verdana" w:cs="Arial"/>
                <w:sz w:val="16"/>
                <w:szCs w:val="16"/>
                <w:lang w:val="es-ES" w:eastAsia="es-ES"/>
              </w:rPr>
            </w:pPr>
            <w:r w:rsidRPr="007623B3">
              <w:rPr>
                <w:rFonts w:ascii="Verdana" w:eastAsia="Calibri" w:hAnsi="Verdana" w:cs="Arial"/>
                <w:sz w:val="16"/>
                <w:szCs w:val="16"/>
                <w:lang w:val="es-ES" w:eastAsia="es-ES"/>
              </w:rPr>
              <w:t>Carolina Quintero Gacharná</w:t>
            </w:r>
          </w:p>
          <w:p w14:paraId="6DED0579" w14:textId="77777777" w:rsidR="007623B3" w:rsidRPr="007623B3" w:rsidRDefault="007623B3" w:rsidP="007623B3">
            <w:pPr>
              <w:rPr>
                <w:rFonts w:ascii="Verdana" w:eastAsia="Calibri" w:hAnsi="Verdana" w:cs="Arial"/>
                <w:sz w:val="16"/>
                <w:szCs w:val="16"/>
                <w:lang w:val="es-ES_tradnl" w:eastAsia="es-ES"/>
              </w:rPr>
            </w:pPr>
            <w:r w:rsidRPr="007623B3">
              <w:rPr>
                <w:rFonts w:ascii="Verdana" w:eastAsia="Calibri" w:hAnsi="Verdana" w:cs="Arial"/>
                <w:sz w:val="16"/>
                <w:szCs w:val="16"/>
                <w:lang w:val="es-ES_tradnl" w:eastAsia="es-ES"/>
              </w:rPr>
              <w:t>Subdirectora de Gestión Contractual ANCP – CCE</w:t>
            </w:r>
          </w:p>
        </w:tc>
      </w:tr>
    </w:tbl>
    <w:p w14:paraId="69BC4D14" w14:textId="3664614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C4B4F" w14:textId="77777777" w:rsidR="00B626C6" w:rsidRDefault="00B626C6" w:rsidP="004A1847">
      <w:pPr>
        <w:spacing w:after="0" w:line="240" w:lineRule="auto"/>
      </w:pPr>
      <w:r>
        <w:separator/>
      </w:r>
    </w:p>
  </w:endnote>
  <w:endnote w:type="continuationSeparator" w:id="0">
    <w:p w14:paraId="0BBD9D5B" w14:textId="77777777" w:rsidR="00B626C6" w:rsidRDefault="00B626C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20B0604020202020204"/>
    <w:charset w:val="00"/>
    <w:family w:val="roman"/>
    <w:notTrueType/>
    <w:pitch w:val="default"/>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FC706" w14:textId="77777777" w:rsidR="00B626C6" w:rsidRDefault="00B626C6" w:rsidP="004A1847">
      <w:pPr>
        <w:spacing w:after="0" w:line="240" w:lineRule="auto"/>
      </w:pPr>
      <w:r>
        <w:separator/>
      </w:r>
    </w:p>
  </w:footnote>
  <w:footnote w:type="continuationSeparator" w:id="0">
    <w:p w14:paraId="7DB33019" w14:textId="77777777" w:rsidR="00B626C6" w:rsidRDefault="00B626C6" w:rsidP="004A1847">
      <w:pPr>
        <w:spacing w:after="0" w:line="240" w:lineRule="auto"/>
      </w:pPr>
      <w:r>
        <w:continuationSeparator/>
      </w:r>
    </w:p>
  </w:footnote>
  <w:footnote w:id="1">
    <w:p w14:paraId="11DCFF5C" w14:textId="77777777" w:rsidR="007623B3" w:rsidRPr="005264ED" w:rsidRDefault="007623B3" w:rsidP="007623B3">
      <w:pPr>
        <w:pStyle w:val="Textonotapie"/>
        <w:ind w:firstLine="708"/>
        <w:jc w:val="both"/>
        <w:rPr>
          <w:rFonts w:ascii="Verdana" w:hAnsi="Verdana"/>
          <w:color w:val="000000"/>
          <w:sz w:val="18"/>
          <w:szCs w:val="18"/>
          <w:lang w:val="es-CO"/>
        </w:rPr>
      </w:pPr>
      <w:r w:rsidRPr="005264ED">
        <w:rPr>
          <w:rStyle w:val="Refdenotaalpie"/>
          <w:rFonts w:ascii="Verdana" w:hAnsi="Verdana"/>
          <w:color w:val="000000"/>
          <w:sz w:val="18"/>
          <w:szCs w:val="18"/>
          <w:lang w:val="es-CO"/>
        </w:rPr>
        <w:footnoteRef/>
      </w:r>
      <w:r w:rsidRPr="005264ED">
        <w:rPr>
          <w:rFonts w:ascii="Verdana" w:hAnsi="Verdana"/>
          <w:color w:val="000000"/>
          <w:sz w:val="18"/>
          <w:szCs w:val="18"/>
          <w:lang w:val="es-CO"/>
        </w:rPr>
        <w:t xml:space="preserve"> Estos Documentos Tipo pueden ser consultados en la página web de Colombia Compra Eficiente, a través del siguiente enlace: </w:t>
      </w:r>
      <w:hyperlink r:id="rId1" w:history="1">
        <w:r w:rsidRPr="005264ED">
          <w:rPr>
            <w:rStyle w:val="Hipervnculo"/>
            <w:rFonts w:ascii="Verdana" w:hAnsi="Verdana"/>
            <w:color w:val="000000"/>
            <w:sz w:val="18"/>
            <w:szCs w:val="18"/>
            <w:lang w:val="es-CO"/>
          </w:rPr>
          <w:t>https://www.colombiacompra.gov.co/documentos-tipo/documentos-tipo</w:t>
        </w:r>
      </w:hyperlink>
      <w:r w:rsidRPr="005264ED">
        <w:rPr>
          <w:rFonts w:ascii="Verdana" w:hAnsi="Verdana"/>
          <w:color w:val="000000"/>
          <w:sz w:val="18"/>
          <w:szCs w:val="18"/>
          <w:lang w:val="es-CO"/>
        </w:rPr>
        <w:t xml:space="preserve"> </w:t>
      </w:r>
    </w:p>
  </w:footnote>
  <w:footnote w:id="2">
    <w:p w14:paraId="663D22BE" w14:textId="77777777" w:rsidR="007623B3" w:rsidRPr="005264ED" w:rsidRDefault="007623B3" w:rsidP="007623B3">
      <w:pPr>
        <w:spacing w:after="0" w:line="240" w:lineRule="auto"/>
        <w:jc w:val="both"/>
        <w:rPr>
          <w:rFonts w:ascii="Verdana" w:hAnsi="Verdana"/>
          <w:color w:val="000000"/>
          <w:sz w:val="18"/>
          <w:szCs w:val="18"/>
        </w:rPr>
      </w:pPr>
    </w:p>
    <w:p w14:paraId="526AC750" w14:textId="77777777" w:rsidR="007623B3" w:rsidRPr="005264ED" w:rsidRDefault="007623B3" w:rsidP="007623B3">
      <w:pPr>
        <w:spacing w:after="0" w:line="240" w:lineRule="auto"/>
        <w:ind w:firstLine="708"/>
        <w:jc w:val="both"/>
        <w:rPr>
          <w:rFonts w:ascii="Verdana" w:eastAsia="Calibri" w:hAnsi="Verdana" w:cs="Arial"/>
          <w:bCs/>
          <w:color w:val="000000"/>
          <w:sz w:val="18"/>
          <w:szCs w:val="18"/>
        </w:rPr>
      </w:pPr>
      <w:r w:rsidRPr="005264ED">
        <w:rPr>
          <w:rStyle w:val="Refdenotaalpie"/>
          <w:rFonts w:ascii="Verdana" w:hAnsi="Verdana"/>
          <w:color w:val="000000"/>
          <w:sz w:val="18"/>
          <w:szCs w:val="18"/>
        </w:rPr>
        <w:footnoteRef/>
      </w:r>
      <w:r w:rsidRPr="005264ED">
        <w:rPr>
          <w:rFonts w:ascii="Verdana" w:hAnsi="Verdana"/>
          <w:color w:val="000000"/>
          <w:sz w:val="18"/>
          <w:szCs w:val="18"/>
        </w:rPr>
        <w:t xml:space="preserve"> </w:t>
      </w:r>
      <w:r w:rsidRPr="005264ED">
        <w:rPr>
          <w:rFonts w:ascii="Verdana" w:eastAsia="Calibri" w:hAnsi="Verdana" w:cs="Arial"/>
          <w:bCs/>
          <w:color w:val="000000"/>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56D1E4E" w14:textId="77777777" w:rsidR="007623B3" w:rsidRPr="005264ED" w:rsidRDefault="007623B3" w:rsidP="007623B3">
      <w:pPr>
        <w:spacing w:after="0" w:line="240" w:lineRule="auto"/>
        <w:ind w:firstLine="708"/>
        <w:jc w:val="both"/>
        <w:rPr>
          <w:rFonts w:ascii="Verdana" w:eastAsia="Calibri" w:hAnsi="Verdana" w:cs="Arial"/>
          <w:bCs/>
          <w:color w:val="000000"/>
          <w:sz w:val="18"/>
          <w:szCs w:val="18"/>
        </w:rPr>
      </w:pPr>
      <w:r w:rsidRPr="005264ED">
        <w:rPr>
          <w:rFonts w:ascii="Verdana" w:eastAsia="Calibri" w:hAnsi="Verdana" w:cs="Arial"/>
          <w:bCs/>
          <w:color w:val="000000"/>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263072CD" w14:textId="77777777" w:rsidR="007623B3" w:rsidRPr="005264ED" w:rsidRDefault="007623B3" w:rsidP="007623B3">
      <w:pPr>
        <w:spacing w:after="0" w:line="240" w:lineRule="auto"/>
        <w:ind w:firstLine="708"/>
        <w:jc w:val="both"/>
        <w:rPr>
          <w:rFonts w:ascii="Verdana" w:eastAsia="Calibri" w:hAnsi="Verdana" w:cs="Arial"/>
          <w:bCs/>
          <w:color w:val="000000"/>
          <w:sz w:val="18"/>
          <w:szCs w:val="18"/>
        </w:rPr>
      </w:pPr>
      <w:r w:rsidRPr="005264ED">
        <w:rPr>
          <w:rFonts w:ascii="Verdana" w:eastAsia="Calibri" w:hAnsi="Verdana" w:cs="Arial"/>
          <w:bCs/>
          <w:color w:val="000000"/>
          <w:sz w:val="18"/>
          <w:szCs w:val="18"/>
        </w:rPr>
        <w:t xml:space="preserve">Resolución 464 del 10 de septiembre de 2024: “Por la cual se actualizan los documentos tipo para los procesos de obra pública de infraestructura de transporte adelantados bajo la modalidad de mínima cuantía”. </w:t>
      </w:r>
    </w:p>
    <w:p w14:paraId="2BB0DB7F" w14:textId="77777777" w:rsidR="007623B3" w:rsidRPr="005264ED" w:rsidRDefault="007623B3" w:rsidP="007623B3">
      <w:pPr>
        <w:spacing w:after="0" w:line="240" w:lineRule="auto"/>
        <w:ind w:firstLine="708"/>
        <w:jc w:val="both"/>
        <w:rPr>
          <w:rFonts w:ascii="Verdana" w:eastAsia="Calibri" w:hAnsi="Verdana" w:cs="Arial"/>
          <w:bCs/>
          <w:color w:val="000000"/>
          <w:sz w:val="18"/>
          <w:szCs w:val="18"/>
        </w:rPr>
      </w:pPr>
      <w:r w:rsidRPr="005264ED">
        <w:rPr>
          <w:rFonts w:ascii="Verdana" w:eastAsia="Calibri" w:hAnsi="Verdana" w:cs="Arial"/>
          <w:bCs/>
          <w:color w:val="000000"/>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3AE15361" w14:textId="77777777" w:rsidR="007623B3" w:rsidRPr="005264ED" w:rsidRDefault="007623B3" w:rsidP="007623B3">
      <w:pPr>
        <w:spacing w:after="0" w:line="240" w:lineRule="auto"/>
        <w:ind w:firstLine="708"/>
        <w:jc w:val="both"/>
        <w:rPr>
          <w:rFonts w:ascii="Verdana" w:eastAsia="Calibri" w:hAnsi="Verdana" w:cs="Arial"/>
          <w:bCs/>
          <w:color w:val="000000"/>
          <w:sz w:val="18"/>
          <w:szCs w:val="18"/>
        </w:rPr>
      </w:pPr>
      <w:r w:rsidRPr="005264ED">
        <w:rPr>
          <w:rFonts w:ascii="Verdana" w:eastAsia="Calibri" w:hAnsi="Verdana" w:cs="Arial"/>
          <w:bCs/>
          <w:color w:val="000000"/>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71488B93" w14:textId="77777777" w:rsidR="007623B3" w:rsidRPr="005264ED" w:rsidRDefault="007623B3" w:rsidP="007623B3">
      <w:pPr>
        <w:pStyle w:val="Textonotapie"/>
        <w:jc w:val="both"/>
        <w:rPr>
          <w:rFonts w:ascii="Verdana" w:hAnsi="Verdana"/>
          <w:color w:val="000000"/>
          <w:sz w:val="18"/>
          <w:szCs w:val="18"/>
          <w:lang w:val="es-CO"/>
        </w:rPr>
      </w:pPr>
    </w:p>
  </w:footnote>
  <w:footnote w:id="3">
    <w:p w14:paraId="071F705B" w14:textId="77777777" w:rsidR="007623B3" w:rsidRDefault="007623B3" w:rsidP="007623B3">
      <w:pPr>
        <w:spacing w:after="0" w:line="240" w:lineRule="auto"/>
        <w:ind w:firstLine="708"/>
        <w:jc w:val="both"/>
        <w:rPr>
          <w:rFonts w:ascii="Verdana" w:hAnsi="Verdana"/>
          <w:color w:val="000000"/>
          <w:sz w:val="18"/>
          <w:szCs w:val="18"/>
        </w:rPr>
      </w:pPr>
      <w:r w:rsidRPr="005264ED">
        <w:rPr>
          <w:rStyle w:val="Refdenotaalpie"/>
          <w:rFonts w:ascii="Verdana" w:hAnsi="Verdana" w:cs="Arial"/>
          <w:color w:val="000000"/>
          <w:sz w:val="18"/>
          <w:szCs w:val="18"/>
        </w:rPr>
        <w:footnoteRef/>
      </w:r>
      <w:r w:rsidRPr="005264ED">
        <w:rPr>
          <w:rFonts w:ascii="Verdana" w:hAnsi="Verdana" w:cs="Arial"/>
          <w:color w:val="000000"/>
          <w:sz w:val="18"/>
          <w:szCs w:val="18"/>
        </w:rPr>
        <w:t xml:space="preserve"> </w:t>
      </w:r>
      <w:r w:rsidRPr="005264ED">
        <w:rPr>
          <w:rFonts w:ascii="Verdana" w:eastAsia="Calibri" w:hAnsi="Verdana" w:cs="Arial"/>
          <w:bCs/>
          <w:color w:val="000000"/>
          <w:sz w:val="18"/>
          <w:szCs w:val="18"/>
        </w:rPr>
        <w:t>Entre estas se encuentra el artículo 3 de la Resolución 725 del 19 de diciembre de 2024, que dispone: “</w:t>
      </w:r>
      <w:r w:rsidRPr="005264ED">
        <w:rPr>
          <w:rFonts w:ascii="Verdana" w:hAnsi="Verdana"/>
          <w:color w:val="000000"/>
          <w:sz w:val="18"/>
          <w:szCs w:val="18"/>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p w14:paraId="5C26008A" w14:textId="77777777" w:rsidR="007623B3" w:rsidRPr="005264ED" w:rsidRDefault="007623B3" w:rsidP="007623B3">
      <w:pPr>
        <w:spacing w:after="0" w:line="240" w:lineRule="auto"/>
        <w:ind w:firstLine="708"/>
        <w:jc w:val="both"/>
        <w:rPr>
          <w:rFonts w:ascii="Verdana" w:eastAsia="Calibri" w:hAnsi="Verdana" w:cs="Arial"/>
          <w:bCs/>
          <w:color w:val="000000"/>
          <w:sz w:val="18"/>
          <w:szCs w:val="18"/>
        </w:rPr>
      </w:pPr>
    </w:p>
  </w:footnote>
  <w:footnote w:id="4">
    <w:p w14:paraId="59B8BC30" w14:textId="712EF08B" w:rsidR="007623B3" w:rsidRPr="000C1E03" w:rsidRDefault="007623B3" w:rsidP="000C1E03">
      <w:pPr>
        <w:pStyle w:val="Textonotapie"/>
        <w:ind w:firstLine="708"/>
        <w:jc w:val="both"/>
        <w:rPr>
          <w:rFonts w:ascii="Verdana" w:hAnsi="Verdana"/>
          <w:sz w:val="18"/>
          <w:szCs w:val="18"/>
        </w:rPr>
      </w:pPr>
      <w:r w:rsidRPr="005264ED">
        <w:rPr>
          <w:rStyle w:val="Refdenotaalpie"/>
          <w:rFonts w:ascii="Verdana" w:hAnsi="Verdana" w:cs="Arial"/>
          <w:color w:val="000000"/>
          <w:sz w:val="18"/>
          <w:szCs w:val="18"/>
        </w:rPr>
        <w:footnoteRef/>
      </w:r>
      <w:r w:rsidRPr="005264ED">
        <w:rPr>
          <w:rFonts w:ascii="Verdana" w:hAnsi="Verdana" w:cs="Arial"/>
          <w:color w:val="000000"/>
          <w:sz w:val="18"/>
          <w:szCs w:val="18"/>
        </w:rPr>
        <w:t xml:space="preserve"> </w:t>
      </w:r>
      <w:r w:rsidRPr="005264ED">
        <w:rPr>
          <w:rFonts w:ascii="Verdana" w:hAnsi="Verdana" w:cs="Arial"/>
          <w:color w:val="000000"/>
          <w:sz w:val="18"/>
          <w:szCs w:val="18"/>
          <w:lang w:val="es-ES"/>
        </w:rPr>
        <w:t xml:space="preserve">Gaceta del Congreso. Cámara de Representantes. Año X – No. 642, 11 de diciembre de 2001. Disponible en: </w:t>
      </w:r>
      <w:hyperlink r:id="rId2" w:history="1">
        <w:r w:rsidRPr="005264ED">
          <w:rPr>
            <w:rFonts w:ascii="Verdana" w:hAnsi="Verdana" w:cs="Arial"/>
            <w:color w:val="000000"/>
            <w:sz w:val="18"/>
            <w:szCs w:val="18"/>
            <w:lang w:val="es-ES"/>
          </w:rPr>
          <w:t>GACETAS DEL CONGRESO (imprenta.gov.co)</w:t>
        </w:r>
      </w:hyperlink>
      <w:r w:rsidRPr="005264ED">
        <w:rPr>
          <w:rFonts w:ascii="Verdana" w:hAnsi="Verdana"/>
          <w:sz w:val="18"/>
          <w:szCs w:val="18"/>
        </w:rPr>
        <w:t>.</w:t>
      </w:r>
    </w:p>
  </w:footnote>
  <w:footnote w:id="5">
    <w:p w14:paraId="1F18540F" w14:textId="77777777" w:rsidR="007623B3" w:rsidRPr="005264ED" w:rsidRDefault="007623B3" w:rsidP="007623B3">
      <w:pPr>
        <w:pStyle w:val="NormalWeb"/>
        <w:shd w:val="clear" w:color="auto" w:fill="FFFFFF"/>
        <w:spacing w:after="0"/>
        <w:ind w:firstLine="709"/>
        <w:jc w:val="both"/>
        <w:rPr>
          <w:rFonts w:ascii="Verdana" w:hAnsi="Verdana" w:cs="Arial"/>
          <w:color w:val="000000"/>
          <w:sz w:val="18"/>
          <w:szCs w:val="18"/>
        </w:rPr>
      </w:pPr>
      <w:r w:rsidRPr="005264ED">
        <w:rPr>
          <w:rStyle w:val="Refdenotaalpie"/>
          <w:rFonts w:ascii="Verdana" w:hAnsi="Verdana" w:cs="Arial"/>
          <w:color w:val="000000"/>
          <w:sz w:val="18"/>
          <w:szCs w:val="18"/>
        </w:rPr>
        <w:footnoteRef/>
      </w:r>
      <w:r w:rsidRPr="005264ED">
        <w:rPr>
          <w:rFonts w:ascii="Verdana" w:hAnsi="Verdana" w:cs="Arial"/>
          <w:color w:val="000000"/>
          <w:sz w:val="18"/>
          <w:szCs w:val="18"/>
        </w:rPr>
        <w:t xml:space="preserve"> Decreto 1082 de 2015: “Artículo </w:t>
      </w:r>
      <w:bookmarkStart w:id="2" w:name="2.2.1.2.4.1.3"/>
      <w:bookmarkEnd w:id="2"/>
      <w:r w:rsidRPr="005264ED">
        <w:rPr>
          <w:rFonts w:ascii="Verdana" w:hAnsi="Verdana" w:cs="Arial"/>
          <w:color w:val="000000"/>
          <w:sz w:val="18"/>
          <w:szCs w:val="18"/>
        </w:rPr>
        <w:t>2.2.1.2.4.1.3.</w:t>
      </w:r>
      <w:r w:rsidRPr="005264ED">
        <w:rPr>
          <w:rFonts w:ascii="Verdana" w:hAnsi="Verdana" w:cs="Arial"/>
          <w:i/>
          <w:iCs/>
          <w:color w:val="000000"/>
          <w:sz w:val="18"/>
          <w:szCs w:val="18"/>
        </w:rPr>
        <w:t> </w:t>
      </w:r>
      <w:r w:rsidRPr="005264ED">
        <w:rPr>
          <w:rFonts w:ascii="Verdana" w:hAnsi="Verdana" w:cs="Arial"/>
          <w:color w:val="000000"/>
          <w:sz w:val="18"/>
          <w:szCs w:val="18"/>
        </w:rPr>
        <w:t> </w:t>
      </w:r>
      <w:r w:rsidRPr="005264ED">
        <w:rPr>
          <w:rFonts w:ascii="Verdana" w:hAnsi="Verdana" w:cs="Arial"/>
          <w:i/>
          <w:iCs/>
          <w:color w:val="000000"/>
          <w:sz w:val="18"/>
          <w:szCs w:val="18"/>
        </w:rPr>
        <w:t>Existencia de trato nacional.</w:t>
      </w:r>
      <w:r w:rsidRPr="005264ED">
        <w:rPr>
          <w:rFonts w:ascii="Verdana" w:hAnsi="Verdana" w:cs="Arial"/>
          <w:color w:val="000000"/>
          <w:sz w:val="18"/>
          <w:szCs w:val="18"/>
        </w:rPr>
        <w:t xml:space="preserve">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(e) a los servicios prestados por oferentes miembros de la Comunidad Andina de Naciones teniendo en cuenta la regulación andina aplicable a la materia.</w:t>
      </w:r>
    </w:p>
    <w:p w14:paraId="035D7608" w14:textId="77777777" w:rsidR="007623B3" w:rsidRPr="005264ED" w:rsidRDefault="007623B3" w:rsidP="007623B3">
      <w:pPr>
        <w:shd w:val="clear" w:color="auto" w:fill="FFFFFF"/>
        <w:spacing w:after="0" w:line="240" w:lineRule="auto"/>
        <w:ind w:firstLine="709"/>
        <w:jc w:val="both"/>
        <w:rPr>
          <w:rFonts w:ascii="Verdana" w:hAnsi="Verdana" w:cs="Arial"/>
          <w:color w:val="000000"/>
          <w:sz w:val="18"/>
          <w:szCs w:val="18"/>
          <w:lang w:eastAsia="es-CO"/>
        </w:rPr>
      </w:pPr>
      <w:r w:rsidRPr="005264ED">
        <w:rPr>
          <w:rFonts w:ascii="Verdana" w:hAnsi="Verdana" w:cs="Arial"/>
          <w:color w:val="000000"/>
          <w:sz w:val="18"/>
          <w:szCs w:val="18"/>
          <w:lang w:eastAsia="es-CO"/>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3385B553" w14:textId="77777777" w:rsidR="007623B3" w:rsidRPr="005264ED" w:rsidRDefault="007623B3" w:rsidP="007623B3">
      <w:pPr>
        <w:shd w:val="clear" w:color="auto" w:fill="FFFFFF"/>
        <w:spacing w:after="0" w:line="240" w:lineRule="auto"/>
        <w:ind w:firstLine="708"/>
        <w:jc w:val="both"/>
        <w:rPr>
          <w:rFonts w:ascii="Verdana" w:hAnsi="Verdana" w:cs="Arial"/>
          <w:color w:val="000000"/>
          <w:sz w:val="18"/>
          <w:szCs w:val="18"/>
          <w:lang w:eastAsia="es-CO"/>
        </w:rPr>
      </w:pPr>
      <w:r w:rsidRPr="005264ED">
        <w:rPr>
          <w:rFonts w:ascii="Verdana" w:hAnsi="Verdana" w:cs="Arial"/>
          <w:color w:val="000000"/>
          <w:sz w:val="18"/>
          <w:szCs w:val="18"/>
          <w:lang w:eastAsia="es-CO"/>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footnote>
  <w:footnote w:id="6">
    <w:p w14:paraId="2B89EF45" w14:textId="77777777" w:rsidR="007623B3" w:rsidRPr="005264ED" w:rsidRDefault="007623B3" w:rsidP="007623B3">
      <w:pPr>
        <w:spacing w:after="0" w:line="240" w:lineRule="auto"/>
        <w:ind w:firstLine="708"/>
        <w:jc w:val="both"/>
        <w:rPr>
          <w:rFonts w:ascii="Verdana" w:hAnsi="Verdana" w:cs="Arial"/>
          <w:color w:val="000000"/>
          <w:sz w:val="18"/>
          <w:szCs w:val="18"/>
          <w:lang w:eastAsia="es-CO"/>
        </w:rPr>
      </w:pPr>
      <w:r w:rsidRPr="005264ED">
        <w:rPr>
          <w:rStyle w:val="Refdenotaalpie"/>
          <w:rFonts w:ascii="Verdana" w:hAnsi="Verdana" w:cs="Arial"/>
          <w:color w:val="000000"/>
          <w:sz w:val="18"/>
          <w:szCs w:val="18"/>
        </w:rPr>
        <w:footnoteRef/>
      </w:r>
      <w:r w:rsidRPr="005264ED">
        <w:rPr>
          <w:rFonts w:ascii="Verdana" w:hAnsi="Verdana" w:cs="Arial"/>
          <w:color w:val="000000"/>
          <w:sz w:val="18"/>
          <w:szCs w:val="18"/>
        </w:rPr>
        <w:t xml:space="preserve"> Decreto 1082 de 2015: </w:t>
      </w:r>
      <w:r w:rsidRPr="005264ED">
        <w:rPr>
          <w:rFonts w:ascii="Verdana" w:hAnsi="Verdana" w:cs="Arial"/>
          <w:b/>
          <w:bCs/>
          <w:color w:val="000000"/>
          <w:sz w:val="18"/>
          <w:szCs w:val="18"/>
          <w:lang w:eastAsia="es-CO"/>
        </w:rPr>
        <w:t>“</w:t>
      </w:r>
      <w:r w:rsidRPr="005264ED">
        <w:rPr>
          <w:rFonts w:ascii="Verdana" w:hAnsi="Verdana" w:cs="Arial"/>
          <w:color w:val="000000"/>
          <w:sz w:val="18"/>
          <w:szCs w:val="18"/>
          <w:lang w:eastAsia="es-CO"/>
        </w:rPr>
        <w:t>Artículo 2.2.1.1.2.1.3. Pliegos de condiciones. Los pliegos de condiciones deben contener por lo menos la siguiente información: </w:t>
      </w:r>
    </w:p>
    <w:p w14:paraId="65ACF3CB" w14:textId="77777777" w:rsidR="007623B3" w:rsidRPr="005264ED" w:rsidRDefault="007623B3" w:rsidP="007623B3">
      <w:pPr>
        <w:spacing w:after="0" w:line="240" w:lineRule="auto"/>
        <w:ind w:firstLine="708"/>
        <w:jc w:val="both"/>
        <w:rPr>
          <w:rFonts w:ascii="Verdana" w:hAnsi="Verdana" w:cs="Arial"/>
          <w:color w:val="000000"/>
          <w:sz w:val="18"/>
          <w:szCs w:val="18"/>
          <w:lang w:eastAsia="es-CO"/>
        </w:rPr>
      </w:pPr>
      <w:r w:rsidRPr="005264ED">
        <w:rPr>
          <w:rFonts w:ascii="Verdana" w:hAnsi="Verdana" w:cs="Arial"/>
          <w:color w:val="000000"/>
          <w:sz w:val="18"/>
          <w:szCs w:val="18"/>
          <w:lang w:eastAsia="es-CO"/>
        </w:rPr>
        <w:t>[…]</w:t>
      </w:r>
    </w:p>
    <w:p w14:paraId="3711A8C2" w14:textId="77777777" w:rsidR="007623B3" w:rsidRPr="005264ED" w:rsidRDefault="007623B3" w:rsidP="007623B3">
      <w:pPr>
        <w:spacing w:after="0" w:line="240" w:lineRule="auto"/>
        <w:jc w:val="both"/>
        <w:rPr>
          <w:rFonts w:ascii="Verdana" w:hAnsi="Verdana" w:cs="Arial"/>
          <w:color w:val="000000"/>
          <w:sz w:val="18"/>
          <w:szCs w:val="18"/>
          <w:lang w:eastAsia="es-CO"/>
        </w:rPr>
      </w:pPr>
      <w:r w:rsidRPr="005264ED">
        <w:rPr>
          <w:rFonts w:ascii="Verdana" w:hAnsi="Verdana" w:cs="Arial"/>
          <w:color w:val="000000"/>
          <w:sz w:val="18"/>
          <w:szCs w:val="18"/>
          <w:lang w:eastAsia="es-CO"/>
        </w:rPr>
        <w:t>  </w:t>
      </w:r>
      <w:r w:rsidRPr="005264ED">
        <w:rPr>
          <w:rFonts w:ascii="Verdana" w:hAnsi="Verdana" w:cs="Arial"/>
          <w:color w:val="000000"/>
          <w:sz w:val="18"/>
          <w:szCs w:val="18"/>
          <w:lang w:eastAsia="es-CO"/>
        </w:rPr>
        <w:tab/>
        <w:t>3. Los criterios de selección, incluyendo los factores de desempate y los incentivos cuando a ello haya lugar. </w:t>
      </w:r>
    </w:p>
    <w:p w14:paraId="3B83F78A" w14:textId="77777777" w:rsidR="007623B3" w:rsidRPr="005264ED" w:rsidRDefault="007623B3" w:rsidP="007623B3">
      <w:pPr>
        <w:spacing w:after="0" w:line="240" w:lineRule="auto"/>
        <w:jc w:val="both"/>
        <w:rPr>
          <w:rFonts w:ascii="Verdana" w:hAnsi="Verdana" w:cs="Arial"/>
          <w:color w:val="000000"/>
          <w:sz w:val="18"/>
          <w:szCs w:val="18"/>
          <w:lang w:eastAsia="es-CO"/>
        </w:rPr>
      </w:pPr>
      <w:r w:rsidRPr="005264ED">
        <w:rPr>
          <w:rFonts w:ascii="Verdana" w:hAnsi="Verdana" w:cs="Arial"/>
          <w:color w:val="000000"/>
          <w:sz w:val="18"/>
          <w:szCs w:val="18"/>
          <w:lang w:eastAsia="es-CO"/>
        </w:rPr>
        <w:t>  </w:t>
      </w:r>
      <w:r w:rsidRPr="005264ED">
        <w:rPr>
          <w:rFonts w:ascii="Verdana" w:hAnsi="Verdana" w:cs="Arial"/>
          <w:color w:val="000000"/>
          <w:sz w:val="18"/>
          <w:szCs w:val="18"/>
          <w:lang w:eastAsia="es-CO"/>
        </w:rPr>
        <w:tab/>
        <w:t>[…]</w:t>
      </w:r>
    </w:p>
    <w:p w14:paraId="50BC3389" w14:textId="77777777" w:rsidR="007623B3" w:rsidRPr="005264ED" w:rsidRDefault="007623B3" w:rsidP="007623B3">
      <w:pPr>
        <w:spacing w:after="0" w:line="240" w:lineRule="auto"/>
        <w:ind w:firstLine="708"/>
        <w:jc w:val="both"/>
        <w:rPr>
          <w:rFonts w:ascii="Verdana" w:hAnsi="Verdana" w:cs="Arial"/>
          <w:color w:val="000000"/>
          <w:sz w:val="18"/>
          <w:szCs w:val="18"/>
          <w:lang w:eastAsia="es-CO"/>
        </w:rPr>
      </w:pPr>
      <w:r w:rsidRPr="005264ED">
        <w:rPr>
          <w:rFonts w:ascii="Verdana" w:hAnsi="Verdana" w:cs="Arial"/>
          <w:color w:val="000000"/>
          <w:sz w:val="18"/>
          <w:szCs w:val="18"/>
          <w:lang w:eastAsia="es-CO"/>
        </w:rPr>
        <w:t>5. Las reglas aplicables a la presentación de las ofertas, su evaluación y a la adjudicación del contrato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1E03"/>
    <w:rsid w:val="000D0334"/>
    <w:rsid w:val="000D5DA7"/>
    <w:rsid w:val="000F6486"/>
    <w:rsid w:val="00116940"/>
    <w:rsid w:val="00125105"/>
    <w:rsid w:val="00127233"/>
    <w:rsid w:val="0015699B"/>
    <w:rsid w:val="001A33BF"/>
    <w:rsid w:val="001B3629"/>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2D37"/>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2BC2"/>
    <w:rsid w:val="00466E39"/>
    <w:rsid w:val="004A1847"/>
    <w:rsid w:val="004A305D"/>
    <w:rsid w:val="004C1868"/>
    <w:rsid w:val="004F21C4"/>
    <w:rsid w:val="004F685F"/>
    <w:rsid w:val="005401AC"/>
    <w:rsid w:val="005566E8"/>
    <w:rsid w:val="00574867"/>
    <w:rsid w:val="00591460"/>
    <w:rsid w:val="005A65E0"/>
    <w:rsid w:val="005C3777"/>
    <w:rsid w:val="005C5CDC"/>
    <w:rsid w:val="005D476C"/>
    <w:rsid w:val="006200BF"/>
    <w:rsid w:val="006219F8"/>
    <w:rsid w:val="006302F7"/>
    <w:rsid w:val="00646B9F"/>
    <w:rsid w:val="00665D70"/>
    <w:rsid w:val="00666FC0"/>
    <w:rsid w:val="006900D9"/>
    <w:rsid w:val="00706C16"/>
    <w:rsid w:val="007340C3"/>
    <w:rsid w:val="00734C1C"/>
    <w:rsid w:val="0075235A"/>
    <w:rsid w:val="00756841"/>
    <w:rsid w:val="007623B3"/>
    <w:rsid w:val="007649AB"/>
    <w:rsid w:val="00771D0C"/>
    <w:rsid w:val="007833AC"/>
    <w:rsid w:val="007B268C"/>
    <w:rsid w:val="007B67A7"/>
    <w:rsid w:val="007B7171"/>
    <w:rsid w:val="007C0C0F"/>
    <w:rsid w:val="007C3DC2"/>
    <w:rsid w:val="007E5497"/>
    <w:rsid w:val="00806F5F"/>
    <w:rsid w:val="00820278"/>
    <w:rsid w:val="008258C9"/>
    <w:rsid w:val="00844AE9"/>
    <w:rsid w:val="00867F95"/>
    <w:rsid w:val="008843B6"/>
    <w:rsid w:val="00891928"/>
    <w:rsid w:val="008A4360"/>
    <w:rsid w:val="008A446D"/>
    <w:rsid w:val="008B25F1"/>
    <w:rsid w:val="008D180B"/>
    <w:rsid w:val="008F0EA7"/>
    <w:rsid w:val="00923EEF"/>
    <w:rsid w:val="009419F9"/>
    <w:rsid w:val="0095685E"/>
    <w:rsid w:val="00961B09"/>
    <w:rsid w:val="00965334"/>
    <w:rsid w:val="0097093E"/>
    <w:rsid w:val="00985941"/>
    <w:rsid w:val="009A0DFA"/>
    <w:rsid w:val="009A1C6F"/>
    <w:rsid w:val="009B2D26"/>
    <w:rsid w:val="009C71FA"/>
    <w:rsid w:val="009C72E7"/>
    <w:rsid w:val="009C7F7E"/>
    <w:rsid w:val="009D3058"/>
    <w:rsid w:val="009F3A13"/>
    <w:rsid w:val="00A06105"/>
    <w:rsid w:val="00A122D3"/>
    <w:rsid w:val="00A14468"/>
    <w:rsid w:val="00A17F13"/>
    <w:rsid w:val="00A20739"/>
    <w:rsid w:val="00A23AF9"/>
    <w:rsid w:val="00A33C78"/>
    <w:rsid w:val="00AB0ADB"/>
    <w:rsid w:val="00B00C0E"/>
    <w:rsid w:val="00B01B1A"/>
    <w:rsid w:val="00B0381D"/>
    <w:rsid w:val="00B44A47"/>
    <w:rsid w:val="00B626C6"/>
    <w:rsid w:val="00B72CD3"/>
    <w:rsid w:val="00B72FFF"/>
    <w:rsid w:val="00B83BAB"/>
    <w:rsid w:val="00BC3D36"/>
    <w:rsid w:val="00BD54A6"/>
    <w:rsid w:val="00BD7F72"/>
    <w:rsid w:val="00BF7425"/>
    <w:rsid w:val="00C04FB3"/>
    <w:rsid w:val="00C11D8B"/>
    <w:rsid w:val="00C15139"/>
    <w:rsid w:val="00C330EB"/>
    <w:rsid w:val="00C342E4"/>
    <w:rsid w:val="00C50D69"/>
    <w:rsid w:val="00C5365C"/>
    <w:rsid w:val="00C754BE"/>
    <w:rsid w:val="00C76B1C"/>
    <w:rsid w:val="00C8185F"/>
    <w:rsid w:val="00C925AC"/>
    <w:rsid w:val="00CB6357"/>
    <w:rsid w:val="00CB6E9F"/>
    <w:rsid w:val="00CC1B26"/>
    <w:rsid w:val="00D361FD"/>
    <w:rsid w:val="00D423A2"/>
    <w:rsid w:val="00D44E26"/>
    <w:rsid w:val="00D520D8"/>
    <w:rsid w:val="00D63AC2"/>
    <w:rsid w:val="00D7383B"/>
    <w:rsid w:val="00D7788A"/>
    <w:rsid w:val="00DA231B"/>
    <w:rsid w:val="00DC39FC"/>
    <w:rsid w:val="00DF5254"/>
    <w:rsid w:val="00E02524"/>
    <w:rsid w:val="00E079DB"/>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4232"/>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4CB9639E"/>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623B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vrpubindc.imprenta.gov.co/senad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D3B2D7-D73D-4944-96EA-2F331B8B93A8}"/>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25</Pages>
  <Words>8387</Words>
  <Characters>44538</Characters>
  <Application>Microsoft Office Word</Application>
  <DocSecurity>0</DocSecurity>
  <Lines>968</Lines>
  <Paragraphs>204</Paragraphs>
  <ScaleCrop>false</ScaleCrop>
  <Company/>
  <LinksUpToDate>false</LinksUpToDate>
  <CharactersWithSpaces>52721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2026-03-20T23:44:00Z</dcterms:created>
  <dcterms:modified xsi:type="dcterms:W3CDTF">2026-03-20T23:46:00Z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