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21F94" w14:textId="5E5A2FAE" w:rsidR="006D5FBF" w:rsidRDefault="006D5FBF" w:rsidP="00FF6D1E">
      <w:pPr>
        <w:spacing w:after="0"/>
        <w:rPr>
          <w:rFonts w:ascii="Verdana" w:hAnsi="Verdana" w:cs="Arial"/>
          <w:b/>
          <w:lang w:val="es-MX" w:eastAsia="es-ES_tradnl"/>
        </w:rPr>
      </w:pPr>
      <w:bookmarkStart w:id="0" w:name="_Hlk143780582"/>
      <w:r w:rsidRPr="006D5FBF">
        <w:rPr>
          <w:rFonts w:ascii="Verdana" w:hAnsi="Verdana" w:cs="Arial"/>
          <w:b/>
          <w:lang w:val="es-MX" w:eastAsia="es-ES_tradnl"/>
        </w:rPr>
        <w:t>LEY 2166 DE 2021 – Organismos de Acción Comunal – Artículo 95 – Convenios solidarios – Contratación directa</w:t>
      </w:r>
    </w:p>
    <w:p w14:paraId="7E8BAD4F" w14:textId="77777777" w:rsidR="006D5FBF" w:rsidRDefault="006D5FBF" w:rsidP="00FF6D1E">
      <w:pPr>
        <w:spacing w:after="0"/>
        <w:rPr>
          <w:rFonts w:ascii="Verdana" w:hAnsi="Verdana" w:cs="Arial"/>
          <w:b/>
          <w:lang w:val="es-MX" w:eastAsia="es-ES_tradnl"/>
        </w:rPr>
      </w:pPr>
    </w:p>
    <w:p w14:paraId="47ADA63D" w14:textId="77777777" w:rsidR="006D5FBF" w:rsidRDefault="006D5FBF" w:rsidP="006D5FBF">
      <w:pPr>
        <w:snapToGrid w:val="0"/>
        <w:spacing w:after="0" w:line="240" w:lineRule="auto"/>
        <w:contextualSpacing/>
        <w:jc w:val="both"/>
        <w:rPr>
          <w:rFonts w:ascii="Verdana" w:hAnsi="Verdana" w:cs="Arial"/>
          <w:color w:val="000000" w:themeColor="text1"/>
          <w:sz w:val="20"/>
          <w:szCs w:val="20"/>
          <w:lang w:val="es-ES"/>
        </w:rPr>
      </w:pPr>
      <w:r w:rsidRPr="007D7C4F">
        <w:rPr>
          <w:rFonts w:ascii="Verdana" w:hAnsi="Verdana" w:cs="Arial"/>
          <w:color w:val="000000" w:themeColor="text1"/>
          <w:sz w:val="20"/>
          <w:szCs w:val="20"/>
          <w:lang w:val="es-ES"/>
        </w:rPr>
        <w:t>En este sentido, la celebración de convenios solidarios establecida en la Ley 2166 de 2021 establece una regla de contratación prevalente por su especificidad, la cual requiere que concurran los siguientes requisitos: 1) que las partes intervinientes sean, por un lado, entidades de orden nacional, departamental, distrital o municipal y, por otro, Organismos de Acción Comunal; 2) que el objeto contractual consista únicamente en la ejecución de obras; y 3) que el contrato no supere la menor cuantía. De concurrir las anteriores circunstancias, la norma autoriza la contratación directa entre dichas entidades y el respectivo Organismo de Acción Comunal, previamente legalizado y reconocido. En todo caso, esta contratación debe tomar como personal para la ejecución de la obra a los habitantes de la comunidad.</w:t>
      </w:r>
    </w:p>
    <w:p w14:paraId="62BBECFF" w14:textId="77777777" w:rsidR="006D5FBF" w:rsidRPr="007D7C4F" w:rsidRDefault="006D5FBF" w:rsidP="006D5FBF">
      <w:pPr>
        <w:snapToGrid w:val="0"/>
        <w:spacing w:after="0" w:line="240" w:lineRule="auto"/>
        <w:contextualSpacing/>
        <w:jc w:val="both"/>
        <w:rPr>
          <w:rFonts w:ascii="Verdana" w:eastAsia="Verdana" w:hAnsi="Verdana" w:cs="Verdana"/>
          <w:sz w:val="20"/>
          <w:szCs w:val="20"/>
          <w:lang w:val="es-ES"/>
        </w:rPr>
      </w:pPr>
    </w:p>
    <w:p w14:paraId="2D0A28F2" w14:textId="77777777" w:rsidR="006D5FBF" w:rsidRPr="006D5FBF" w:rsidRDefault="006D5FBF" w:rsidP="00FF6D1E">
      <w:pPr>
        <w:spacing w:after="0"/>
        <w:rPr>
          <w:rFonts w:ascii="Verdana" w:eastAsia="Verdana" w:hAnsi="Verdana" w:cs="Verdana"/>
          <w:b/>
          <w:lang w:val="es-ES"/>
        </w:rPr>
      </w:pPr>
    </w:p>
    <w:p w14:paraId="55DFACD2" w14:textId="77777777" w:rsidR="006D5FBF" w:rsidRDefault="006D5FBF">
      <w:pPr>
        <w:rPr>
          <w:rFonts w:ascii="Verdana" w:eastAsia="Verdana" w:hAnsi="Verdana" w:cs="Verdana"/>
          <w:b/>
        </w:rPr>
      </w:pPr>
      <w:r w:rsidRPr="006D5FBF">
        <w:rPr>
          <w:rFonts w:ascii="Verdana" w:hAnsi="Verdana" w:cs="Arial"/>
          <w:b/>
          <w:lang w:val="es-ES" w:eastAsia="es-ES"/>
        </w:rPr>
        <w:t xml:space="preserve">DOCUMENTOS TIPO DE CONVENIOS SOLIDARIOS – Generalidades – Contratación directa – Menor cuantía – Organismos de Acción Comunal - </w:t>
      </w:r>
      <w:r w:rsidRPr="006D5FBF">
        <w:rPr>
          <w:rFonts w:ascii="Verdana" w:hAnsi="Verdana" w:cs="Arial"/>
          <w:b/>
          <w:lang w:val="es-MX" w:eastAsia="es-ES_tradnl"/>
        </w:rPr>
        <w:t>Pagos anticipado</w:t>
      </w:r>
      <w:r w:rsidRPr="006D5FBF">
        <w:rPr>
          <w:rFonts w:ascii="Verdana" w:eastAsia="Verdana" w:hAnsi="Verdana" w:cs="Verdana"/>
          <w:b/>
        </w:rPr>
        <w:t xml:space="preserve"> </w:t>
      </w:r>
    </w:p>
    <w:p w14:paraId="73DCF808" w14:textId="77777777" w:rsidR="006D5FBF" w:rsidRDefault="006D5FBF" w:rsidP="006D5FBF">
      <w:pPr>
        <w:spacing w:after="0"/>
        <w:rPr>
          <w:rFonts w:ascii="Verdana" w:eastAsia="Verdana" w:hAnsi="Verdana" w:cs="Verdana"/>
          <w:b/>
        </w:rPr>
      </w:pPr>
    </w:p>
    <w:p w14:paraId="7F244D5B" w14:textId="77777777" w:rsidR="006D5FBF" w:rsidRPr="007D7C4F" w:rsidRDefault="006D5FBF" w:rsidP="006D5FBF">
      <w:pPr>
        <w:snapToGrid w:val="0"/>
        <w:spacing w:after="0" w:line="240" w:lineRule="auto"/>
        <w:contextualSpacing/>
        <w:jc w:val="both"/>
        <w:rPr>
          <w:rFonts w:ascii="Verdana" w:eastAsia="Verdana" w:hAnsi="Verdana" w:cs="Verdana"/>
          <w:sz w:val="20"/>
          <w:szCs w:val="20"/>
          <w:lang w:val="es-ES"/>
        </w:rPr>
      </w:pPr>
      <w:r w:rsidRPr="007D7C4F">
        <w:rPr>
          <w:rFonts w:ascii="Verdana" w:hAnsi="Verdana" w:cs="Arial"/>
          <w:color w:val="000000" w:themeColor="text1"/>
          <w:sz w:val="20"/>
          <w:szCs w:val="20"/>
          <w:lang w:val="es-ES"/>
        </w:rPr>
        <w:t xml:space="preserve">El </w:t>
      </w:r>
      <w:r w:rsidRPr="007D7C4F">
        <w:rPr>
          <w:rFonts w:ascii="Verdana" w:hAnsi="Verdana" w:cs="Arial"/>
          <w:b/>
          <w:bCs/>
          <w:i/>
          <w:color w:val="000000" w:themeColor="text1"/>
          <w:sz w:val="20"/>
          <w:szCs w:val="20"/>
          <w:lang w:val="es-ES"/>
        </w:rPr>
        <w:t>primer régimen</w:t>
      </w:r>
      <w:r w:rsidRPr="007D7C4F">
        <w:rPr>
          <w:rFonts w:ascii="Verdana" w:hAnsi="Verdana" w:cs="Arial"/>
          <w:color w:val="000000" w:themeColor="text1"/>
          <w:sz w:val="20"/>
          <w:szCs w:val="20"/>
          <w:lang w:val="es-ES"/>
        </w:rPr>
        <w:t xml:space="preserve"> encuentra su fundamento en el parágrafo cuarto del artículo 3 de la Ley 136 de 1994, el artículo 95 de la Ley 2166 de 2021 y el artículo 15 del Decreto 142 de 2023, que adicionó el artículo 2.2.15.1.2. del Decreto 1082 de 2015. </w:t>
      </w:r>
      <w:r w:rsidRPr="007D7C4F">
        <w:rPr>
          <w:rFonts w:ascii="Verdana" w:eastAsia="Calibri" w:hAnsi="Verdana" w:cs="Arial"/>
          <w:bCs/>
          <w:color w:val="000000"/>
          <w:sz w:val="20"/>
          <w:szCs w:val="20"/>
          <w:lang w:val="es-ES" w:eastAsia="es-MX"/>
        </w:rPr>
        <w:t xml:space="preserve">La Ley 2166 de 2021 desarrolla el artículo 38 de la Constitución Política de Colombia en lo referente a los Organismos de Acción Comunal y establece lineamientos para la formulación e implementación de la política pública de los Organismos de Acción Comunal y de sus afiliados. Esta norma derogó lo dispuesto en la Ley 743 de 2002 sobre la celebración directa de convenios solidarios, estableciendo cambios importantes en relación con los sujetos, la cuantía del contrato y la ejecución de dichos convenios. </w:t>
      </w:r>
    </w:p>
    <w:p w14:paraId="2EB88A94" w14:textId="77777777" w:rsidR="006D5FBF" w:rsidRPr="007D7C4F" w:rsidRDefault="006D5FBF" w:rsidP="006D5FBF">
      <w:pPr>
        <w:snapToGrid w:val="0"/>
        <w:spacing w:after="0" w:line="240" w:lineRule="auto"/>
        <w:contextualSpacing/>
        <w:jc w:val="both"/>
        <w:rPr>
          <w:rFonts w:ascii="Verdana" w:hAnsi="Verdana" w:cs="Arial"/>
          <w:bCs/>
          <w:color w:val="000000"/>
          <w:kern w:val="2"/>
          <w:sz w:val="20"/>
          <w:szCs w:val="20"/>
          <w:lang w:val="es-ES"/>
          <w14:ligatures w14:val="standardContextual"/>
        </w:rPr>
      </w:pPr>
    </w:p>
    <w:p w14:paraId="30475BE0" w14:textId="00F5E19D" w:rsidR="006D5FBF" w:rsidRPr="006D5FBF" w:rsidRDefault="006D5FBF">
      <w:pPr>
        <w:rPr>
          <w:rFonts w:ascii="Verdana" w:eastAsia="Verdana" w:hAnsi="Verdana" w:cs="Verdana"/>
          <w:b/>
        </w:rPr>
      </w:pPr>
      <w:r w:rsidRPr="006D5FBF">
        <w:rPr>
          <w:rFonts w:ascii="Verdana" w:eastAsia="Verdana" w:hAnsi="Verdana" w:cs="Verdana"/>
          <w:b/>
        </w:rPr>
        <w:br w:type="page"/>
      </w:r>
    </w:p>
    <w:p w14:paraId="15217B25" w14:textId="43AE7514" w:rsidR="0048667B" w:rsidRPr="00FF6D1E" w:rsidRDefault="00F035C0" w:rsidP="00FF6D1E">
      <w:pPr>
        <w:spacing w:after="0"/>
        <w:rPr>
          <w:rFonts w:ascii="Verdana" w:hAnsi="Verdana"/>
          <w:sz w:val="20"/>
          <w:szCs w:val="20"/>
        </w:rPr>
      </w:pPr>
      <w:r w:rsidRPr="00F035C0">
        <w:rPr>
          <w:rFonts w:ascii="Verdana" w:hAnsi="Verdana"/>
          <w:noProof/>
          <w:sz w:val="20"/>
          <w:szCs w:val="20"/>
        </w:rPr>
        <w:lastRenderedPageBreak/>
        <w:drawing>
          <wp:anchor distT="0" distB="0" distL="114300" distR="114300" simplePos="0" relativeHeight="251660288" behindDoc="1" locked="0" layoutInCell="1" allowOverlap="1" wp14:anchorId="48E4F290" wp14:editId="271DE4E7">
            <wp:simplePos x="0" y="0"/>
            <wp:positionH relativeFrom="page">
              <wp:posOffset>4591050</wp:posOffset>
            </wp:positionH>
            <wp:positionV relativeFrom="paragraph">
              <wp:posOffset>198755</wp:posOffset>
            </wp:positionV>
            <wp:extent cx="2711450" cy="939800"/>
            <wp:effectExtent l="0" t="0" r="0" b="0"/>
            <wp:wrapTight wrapText="bothSides">
              <wp:wrapPolygon edited="0">
                <wp:start x="0" y="0"/>
                <wp:lineTo x="0" y="21016"/>
                <wp:lineTo x="21398" y="21016"/>
                <wp:lineTo x="21398" y="0"/>
                <wp:lineTo x="0" y="0"/>
              </wp:wrapPolygon>
            </wp:wrapTight>
            <wp:docPr id="10864668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466825" name=""/>
                    <pic:cNvPicPr/>
                  </pic:nvPicPr>
                  <pic:blipFill>
                    <a:blip r:embed="rId11">
                      <a:extLst>
                        <a:ext uri="{28A0092B-C50C-407E-A947-70E740481C1C}">
                          <a14:useLocalDpi xmlns:a14="http://schemas.microsoft.com/office/drawing/2010/main" val="0"/>
                        </a:ext>
                      </a:extLst>
                    </a:blip>
                    <a:stretch>
                      <a:fillRect/>
                    </a:stretch>
                  </pic:blipFill>
                  <pic:spPr>
                    <a:xfrm>
                      <a:off x="0" y="0"/>
                      <a:ext cx="2711450" cy="939800"/>
                    </a:xfrm>
                    <a:prstGeom prst="rect">
                      <a:avLst/>
                    </a:prstGeom>
                  </pic:spPr>
                </pic:pic>
              </a:graphicData>
            </a:graphic>
            <wp14:sizeRelH relativeFrom="margin">
              <wp14:pctWidth>0</wp14:pctWidth>
            </wp14:sizeRelH>
            <wp14:sizeRelV relativeFrom="margin">
              <wp14:pctHeight>0</wp14:pctHeight>
            </wp14:sizeRelV>
          </wp:anchor>
        </w:drawing>
      </w:r>
      <w:r w:rsidR="00C15139" w:rsidRPr="00FF6D1E">
        <w:rPr>
          <w:rFonts w:ascii="Verdana" w:eastAsia="Verdana" w:hAnsi="Verdana" w:cs="Verdana"/>
          <w:sz w:val="20"/>
          <w:szCs w:val="20"/>
        </w:rPr>
        <w:t xml:space="preserve">Bogotá D.C., </w:t>
      </w:r>
      <w:r w:rsidR="00C15139" w:rsidRPr="00FF6D1E">
        <w:rPr>
          <w:rFonts w:ascii="Verdana" w:hAnsi="Verdana"/>
          <w:sz w:val="20"/>
          <w:szCs w:val="20"/>
        </w:rPr>
        <w:tab/>
      </w:r>
      <w:r w:rsidR="00E52D8C">
        <w:rPr>
          <w:rFonts w:ascii="Verdana" w:hAnsi="Verdana"/>
          <w:sz w:val="20"/>
          <w:szCs w:val="20"/>
        </w:rPr>
        <w:t>16 marz</w:t>
      </w:r>
      <w:r w:rsidR="004D4724">
        <w:rPr>
          <w:rFonts w:ascii="Verdana" w:hAnsi="Verdana"/>
          <w:sz w:val="20"/>
          <w:szCs w:val="20"/>
        </w:rPr>
        <w:t>o</w:t>
      </w:r>
      <w:r w:rsidR="00E52D8C">
        <w:rPr>
          <w:rFonts w:ascii="Verdana" w:hAnsi="Verdana"/>
          <w:sz w:val="20"/>
          <w:szCs w:val="20"/>
        </w:rPr>
        <w:t xml:space="preserve"> 2026</w:t>
      </w:r>
      <w:r w:rsidR="00C15139" w:rsidRPr="00FF6D1E">
        <w:rPr>
          <w:rFonts w:ascii="Verdana" w:hAnsi="Verdana"/>
          <w:sz w:val="20"/>
          <w:szCs w:val="20"/>
        </w:rPr>
        <w:br/>
      </w:r>
    </w:p>
    <w:p w14:paraId="6B645573" w14:textId="2B5AA6B9" w:rsidR="0048667B" w:rsidRPr="00204C2F" w:rsidRDefault="0048667B" w:rsidP="00FF6D1E">
      <w:pPr>
        <w:spacing w:after="0"/>
        <w:rPr>
          <w:rFonts w:ascii="Verdana" w:hAnsi="Verdana"/>
        </w:rPr>
      </w:pPr>
      <w:r w:rsidRPr="00204C2F">
        <w:rPr>
          <w:rFonts w:ascii="Verdana" w:hAnsi="Verdana"/>
        </w:rPr>
        <w:t xml:space="preserve">Señor </w:t>
      </w:r>
    </w:p>
    <w:p w14:paraId="1A2B3CF3" w14:textId="7B401E56" w:rsidR="00D904B6" w:rsidRPr="00204C2F" w:rsidRDefault="00D904B6" w:rsidP="00FF6D1E">
      <w:pPr>
        <w:spacing w:after="0"/>
        <w:rPr>
          <w:rFonts w:ascii="Verdana" w:hAnsi="Verdana"/>
          <w:b/>
          <w:bCs/>
        </w:rPr>
      </w:pPr>
      <w:r w:rsidRPr="00204C2F">
        <w:rPr>
          <w:rFonts w:ascii="Verdana" w:hAnsi="Verdana"/>
          <w:b/>
          <w:bCs/>
        </w:rPr>
        <w:t xml:space="preserve">Wilfer Javier Cuellar Gómez </w:t>
      </w:r>
    </w:p>
    <w:p w14:paraId="47421CEB" w14:textId="3F94B376" w:rsidR="00D904B6" w:rsidRPr="00204C2F" w:rsidRDefault="00D904B6" w:rsidP="00FF6D1E">
      <w:pPr>
        <w:spacing w:after="0"/>
        <w:rPr>
          <w:rFonts w:ascii="Verdana" w:hAnsi="Verdana"/>
        </w:rPr>
      </w:pPr>
      <w:hyperlink r:id="rId12" w:history="1">
        <w:r w:rsidRPr="00204C2F">
          <w:rPr>
            <w:rStyle w:val="Hipervnculo"/>
            <w:rFonts w:ascii="Verdana" w:hAnsi="Verdana"/>
          </w:rPr>
          <w:t>javiercuellarg@gmail.com</w:t>
        </w:r>
      </w:hyperlink>
    </w:p>
    <w:p w14:paraId="69BE5A22" w14:textId="7F8AD1C7" w:rsidR="00D904B6" w:rsidRPr="00204C2F" w:rsidRDefault="00D904B6" w:rsidP="00FF6D1E">
      <w:pPr>
        <w:spacing w:after="0"/>
        <w:rPr>
          <w:rFonts w:ascii="Verdana" w:hAnsi="Verdana"/>
        </w:rPr>
      </w:pPr>
      <w:r w:rsidRPr="00204C2F">
        <w:rPr>
          <w:rFonts w:ascii="Verdana" w:hAnsi="Verdana"/>
        </w:rPr>
        <w:t xml:space="preserve">Neiva, Colombia </w:t>
      </w:r>
    </w:p>
    <w:p w14:paraId="7B8E41ED" w14:textId="653C6CBD" w:rsidR="00D904B6" w:rsidRPr="00204C2F" w:rsidRDefault="00D904B6" w:rsidP="00FF6D1E">
      <w:pPr>
        <w:spacing w:after="0"/>
        <w:rPr>
          <w:rFonts w:ascii="Verdana" w:hAnsi="Verdana"/>
        </w:rPr>
      </w:pPr>
    </w:p>
    <w:p w14:paraId="56881244" w14:textId="40E34397" w:rsidR="001C1683" w:rsidRPr="00204C2F" w:rsidRDefault="00F035C0" w:rsidP="00F035C0">
      <w:pPr>
        <w:tabs>
          <w:tab w:val="left" w:pos="6610"/>
        </w:tabs>
        <w:spacing w:after="0"/>
        <w:rPr>
          <w:rFonts w:ascii="Verdana" w:hAnsi="Verdana"/>
        </w:rPr>
      </w:pPr>
      <w:r w:rsidRPr="00204C2F">
        <w:rPr>
          <w:rFonts w:ascii="Verdana" w:hAnsi="Verdana"/>
        </w:rPr>
        <w:tab/>
      </w: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C1683" w:rsidRPr="00204C2F" w14:paraId="638F83AF" w14:textId="77777777">
        <w:trPr>
          <w:trHeight w:val="884"/>
        </w:trPr>
        <w:tc>
          <w:tcPr>
            <w:tcW w:w="2689" w:type="dxa"/>
          </w:tcPr>
          <w:p w14:paraId="3D319990" w14:textId="77777777" w:rsidR="001C1683" w:rsidRPr="00204C2F" w:rsidRDefault="001C1683" w:rsidP="00FF6D1E">
            <w:pPr>
              <w:spacing w:after="160" w:line="259" w:lineRule="auto"/>
              <w:ind w:left="720"/>
              <w:contextualSpacing/>
              <w:jc w:val="both"/>
              <w:rPr>
                <w:rFonts w:ascii="Verdana" w:hAnsi="Verdana" w:cs="Arial"/>
                <w:b/>
                <w:bCs/>
                <w:color w:val="7030A0"/>
                <w:lang w:val="es-ES_tradnl" w:eastAsia="es-ES_tradnl"/>
              </w:rPr>
            </w:pPr>
          </w:p>
        </w:tc>
        <w:tc>
          <w:tcPr>
            <w:tcW w:w="6100" w:type="dxa"/>
          </w:tcPr>
          <w:p w14:paraId="32DD0181" w14:textId="580FB4A9" w:rsidR="001C1683" w:rsidRPr="00204C2F" w:rsidRDefault="001C1683" w:rsidP="00FF6D1E">
            <w:pPr>
              <w:spacing w:after="160" w:line="259" w:lineRule="auto"/>
              <w:ind w:left="720"/>
              <w:contextualSpacing/>
              <w:jc w:val="both"/>
              <w:rPr>
                <w:rFonts w:ascii="Verdana" w:hAnsi="Verdana" w:cs="Arial"/>
                <w:b/>
                <w:bCs/>
                <w:color w:val="7030A0"/>
                <w:lang w:val="es-ES" w:eastAsia="es-ES"/>
              </w:rPr>
            </w:pPr>
            <w:r w:rsidRPr="00204C2F">
              <w:rPr>
                <w:rFonts w:ascii="Verdana" w:hAnsi="Verdana" w:cs="Arial"/>
                <w:b/>
                <w:bCs/>
                <w:lang w:val="es-ES" w:eastAsia="es-ES"/>
              </w:rPr>
              <w:t>Concepto C- 2</w:t>
            </w:r>
            <w:r w:rsidR="00656A71" w:rsidRPr="00204C2F">
              <w:rPr>
                <w:rFonts w:ascii="Verdana" w:hAnsi="Verdana" w:cs="Arial"/>
                <w:b/>
                <w:bCs/>
                <w:lang w:val="es-ES" w:eastAsia="es-ES"/>
              </w:rPr>
              <w:t>30</w:t>
            </w:r>
            <w:r w:rsidRPr="00204C2F">
              <w:rPr>
                <w:rFonts w:ascii="Verdana" w:hAnsi="Verdana" w:cs="Arial"/>
                <w:b/>
                <w:bCs/>
                <w:lang w:val="es-ES" w:eastAsia="es-ES"/>
              </w:rPr>
              <w:t xml:space="preserve"> de 202</w:t>
            </w:r>
            <w:r w:rsidR="00656A71" w:rsidRPr="00204C2F">
              <w:rPr>
                <w:rFonts w:ascii="Verdana" w:hAnsi="Verdana" w:cs="Arial"/>
                <w:b/>
                <w:bCs/>
                <w:lang w:val="es-ES" w:eastAsia="es-ES"/>
              </w:rPr>
              <w:t>6</w:t>
            </w:r>
          </w:p>
        </w:tc>
      </w:tr>
      <w:tr w:rsidR="001C1683" w:rsidRPr="00204C2F" w14:paraId="2196106C" w14:textId="77777777">
        <w:trPr>
          <w:trHeight w:val="884"/>
        </w:trPr>
        <w:tc>
          <w:tcPr>
            <w:tcW w:w="2689" w:type="dxa"/>
          </w:tcPr>
          <w:p w14:paraId="13BBB7E7" w14:textId="77777777" w:rsidR="001C1683" w:rsidRPr="00204C2F" w:rsidRDefault="001C1683" w:rsidP="00FF6D1E">
            <w:pPr>
              <w:spacing w:after="160" w:line="259" w:lineRule="auto"/>
              <w:ind w:left="720"/>
              <w:contextualSpacing/>
              <w:jc w:val="both"/>
              <w:rPr>
                <w:rFonts w:ascii="Verdana" w:hAnsi="Verdana" w:cs="Arial"/>
                <w:lang w:val="es-ES_tradnl" w:eastAsia="es-ES_tradnl"/>
              </w:rPr>
            </w:pPr>
            <w:r w:rsidRPr="00204C2F">
              <w:rPr>
                <w:rFonts w:ascii="Verdana" w:hAnsi="Verdana" w:cs="Arial"/>
                <w:b/>
                <w:lang w:val="es-ES_tradnl" w:eastAsia="es-ES_tradnl"/>
              </w:rPr>
              <w:t>Temas:</w:t>
            </w:r>
            <w:r w:rsidRPr="00204C2F">
              <w:rPr>
                <w:rFonts w:ascii="Verdana" w:hAnsi="Verdana" w:cs="Arial"/>
                <w:lang w:val="es-ES_tradnl" w:eastAsia="es-ES_tradnl"/>
              </w:rPr>
              <w:t xml:space="preserve">                   </w:t>
            </w:r>
          </w:p>
        </w:tc>
        <w:tc>
          <w:tcPr>
            <w:tcW w:w="6100" w:type="dxa"/>
          </w:tcPr>
          <w:p w14:paraId="238ADEE7" w14:textId="62798188" w:rsidR="001C1683" w:rsidRPr="00204C2F" w:rsidRDefault="001C1683" w:rsidP="00FF6D1E">
            <w:pPr>
              <w:spacing w:after="160" w:line="276" w:lineRule="auto"/>
              <w:ind w:left="720"/>
              <w:contextualSpacing/>
              <w:jc w:val="both"/>
              <w:rPr>
                <w:rFonts w:ascii="Verdana" w:hAnsi="Verdana" w:cs="Arial"/>
                <w:lang w:val="es-ES"/>
              </w:rPr>
            </w:pPr>
            <w:r w:rsidRPr="00204C2F">
              <w:rPr>
                <w:rFonts w:ascii="Verdana" w:hAnsi="Verdana" w:cs="Arial"/>
                <w:bCs/>
                <w:lang w:val="es-MX" w:eastAsia="es-ES_tradnl"/>
              </w:rPr>
              <w:t xml:space="preserve">LEY 2166 DE 2021 – Organismos de Acción Comunal – Artículo 95 – Convenios solidarios – Contratación directa / </w:t>
            </w:r>
            <w:r w:rsidRPr="00204C2F">
              <w:rPr>
                <w:rFonts w:ascii="Verdana" w:hAnsi="Verdana" w:cs="Arial"/>
                <w:bCs/>
                <w:lang w:val="es-ES" w:eastAsia="es-ES"/>
              </w:rPr>
              <w:t>DOCUMENTOS TIPO DE CONVENIOS SOLIDARIOS – Generalidades – Contratación directa – Menor cuantía – Organismos de Acción Comunal</w:t>
            </w:r>
            <w:r w:rsidR="00AD4CA8" w:rsidRPr="00204C2F">
              <w:rPr>
                <w:rFonts w:ascii="Verdana" w:hAnsi="Verdana" w:cs="Arial"/>
                <w:bCs/>
                <w:lang w:val="es-ES" w:eastAsia="es-ES"/>
              </w:rPr>
              <w:t xml:space="preserve"> - </w:t>
            </w:r>
            <w:r w:rsidR="00AD4CA8" w:rsidRPr="00204C2F">
              <w:rPr>
                <w:rFonts w:ascii="Verdana" w:hAnsi="Verdana" w:cs="Arial"/>
                <w:bCs/>
                <w:lang w:val="es-MX" w:eastAsia="es-ES_tradnl"/>
              </w:rPr>
              <w:t>Pago</w:t>
            </w:r>
            <w:r w:rsidR="00BB228E" w:rsidRPr="00204C2F">
              <w:rPr>
                <w:rFonts w:ascii="Verdana" w:hAnsi="Verdana" w:cs="Arial"/>
                <w:bCs/>
                <w:lang w:val="es-MX" w:eastAsia="es-ES_tradnl"/>
              </w:rPr>
              <w:t>s</w:t>
            </w:r>
            <w:r w:rsidR="00AD4CA8" w:rsidRPr="00204C2F">
              <w:rPr>
                <w:rFonts w:ascii="Verdana" w:hAnsi="Verdana" w:cs="Arial"/>
                <w:bCs/>
                <w:lang w:val="es-MX" w:eastAsia="es-ES_tradnl"/>
              </w:rPr>
              <w:t xml:space="preserve"> anticipado</w:t>
            </w:r>
          </w:p>
        </w:tc>
      </w:tr>
      <w:tr w:rsidR="001C1683" w:rsidRPr="00204C2F" w14:paraId="19319C4D" w14:textId="77777777">
        <w:trPr>
          <w:trHeight w:val="89"/>
        </w:trPr>
        <w:tc>
          <w:tcPr>
            <w:tcW w:w="2689" w:type="dxa"/>
          </w:tcPr>
          <w:p w14:paraId="1500C42C" w14:textId="77777777" w:rsidR="001C1683" w:rsidRPr="00204C2F" w:rsidRDefault="001C1683" w:rsidP="00FF6D1E">
            <w:pPr>
              <w:spacing w:after="160" w:line="259" w:lineRule="auto"/>
              <w:ind w:left="720"/>
              <w:contextualSpacing/>
              <w:jc w:val="both"/>
              <w:rPr>
                <w:rFonts w:ascii="Verdana" w:hAnsi="Verdana" w:cs="Arial"/>
                <w:b/>
                <w:lang w:val="es-ES_tradnl" w:eastAsia="es-ES_tradnl"/>
              </w:rPr>
            </w:pPr>
            <w:r w:rsidRPr="00204C2F">
              <w:rPr>
                <w:rFonts w:ascii="Verdana" w:hAnsi="Verdana" w:cs="Arial"/>
                <w:b/>
                <w:lang w:val="es-ES_tradnl" w:eastAsia="es-ES_tradnl"/>
              </w:rPr>
              <w:t>Radicación:</w:t>
            </w:r>
            <w:r w:rsidRPr="00204C2F">
              <w:rPr>
                <w:rFonts w:ascii="Verdana" w:hAnsi="Verdana" w:cs="Arial"/>
                <w:lang w:val="es-ES_tradnl" w:eastAsia="es-ES_tradnl"/>
              </w:rPr>
              <w:t xml:space="preserve">               </w:t>
            </w:r>
          </w:p>
        </w:tc>
        <w:tc>
          <w:tcPr>
            <w:tcW w:w="6100" w:type="dxa"/>
          </w:tcPr>
          <w:p w14:paraId="73DBE69A" w14:textId="07396499" w:rsidR="0013448A" w:rsidRPr="00204C2F" w:rsidRDefault="001C1683" w:rsidP="00FF6D1E">
            <w:pPr>
              <w:spacing w:after="160" w:line="276" w:lineRule="auto"/>
              <w:ind w:left="720"/>
              <w:contextualSpacing/>
              <w:jc w:val="both"/>
              <w:rPr>
                <w:rFonts w:ascii="Verdana" w:hAnsi="Verdana" w:cs="Calibri"/>
                <w:lang w:val="es-ES"/>
              </w:rPr>
            </w:pPr>
            <w:r w:rsidRPr="00204C2F">
              <w:rPr>
                <w:rFonts w:ascii="Verdana" w:hAnsi="Verdana" w:cs="Arial"/>
                <w:lang w:val="es-ES_tradnl" w:eastAsia="es-ES_tradnl"/>
              </w:rPr>
              <w:t xml:space="preserve">Respuesta a consulta con radicado No. </w:t>
            </w:r>
            <w:r w:rsidR="0013448A" w:rsidRPr="00204C2F">
              <w:rPr>
                <w:rFonts w:ascii="Verdana" w:hAnsi="Verdana" w:cs="Calibri"/>
              </w:rPr>
              <w:t>1_2026_02_16_001996</w:t>
            </w:r>
          </w:p>
          <w:p w14:paraId="597283A8" w14:textId="1FE0C477" w:rsidR="001C1683" w:rsidRPr="00204C2F" w:rsidRDefault="001C1683" w:rsidP="00FF6D1E">
            <w:pPr>
              <w:spacing w:after="160" w:line="276" w:lineRule="auto"/>
              <w:ind w:left="720"/>
              <w:contextualSpacing/>
              <w:jc w:val="both"/>
              <w:rPr>
                <w:rFonts w:ascii="Verdana" w:hAnsi="Verdana" w:cs="Calibri"/>
                <w:lang w:val="es-ES"/>
              </w:rPr>
            </w:pPr>
          </w:p>
        </w:tc>
      </w:tr>
    </w:tbl>
    <w:p w14:paraId="1F45E867" w14:textId="77777777" w:rsidR="001C1683" w:rsidRPr="009A726D" w:rsidRDefault="001C1683" w:rsidP="001C1683">
      <w:pPr>
        <w:spacing w:after="0" w:line="240" w:lineRule="auto"/>
        <w:jc w:val="both"/>
        <w:rPr>
          <w:rFonts w:ascii="Verdana" w:eastAsia="Times New Roman" w:hAnsi="Verdana" w:cs="Arial"/>
          <w:color w:val="000000"/>
          <w:lang w:val="es-ES_tradnl" w:eastAsia="es-ES_tradnl"/>
        </w:rPr>
      </w:pPr>
    </w:p>
    <w:p w14:paraId="57F17442" w14:textId="77777777" w:rsidR="001C1683" w:rsidRPr="009A726D" w:rsidRDefault="001C1683" w:rsidP="001C1683">
      <w:pPr>
        <w:spacing w:after="0" w:line="240" w:lineRule="auto"/>
        <w:jc w:val="both"/>
        <w:rPr>
          <w:rFonts w:ascii="Verdana" w:eastAsia="Times New Roman" w:hAnsi="Verdana" w:cs="Arial"/>
          <w:color w:val="000000"/>
          <w:lang w:val="es-ES_tradnl" w:eastAsia="es-ES_tradnl"/>
        </w:rPr>
      </w:pPr>
    </w:p>
    <w:p w14:paraId="6505F4B2" w14:textId="2D084A54" w:rsidR="001C1683" w:rsidRPr="009A726D" w:rsidRDefault="001C1683" w:rsidP="001C1683">
      <w:pPr>
        <w:spacing w:after="0" w:line="276" w:lineRule="auto"/>
        <w:jc w:val="both"/>
        <w:rPr>
          <w:rFonts w:ascii="Verdana" w:eastAsia="Times New Roman" w:hAnsi="Verdana" w:cs="Arial"/>
          <w:lang w:val="es-ES" w:eastAsia="es-ES"/>
        </w:rPr>
      </w:pPr>
      <w:r w:rsidRPr="009A726D">
        <w:rPr>
          <w:rFonts w:ascii="Verdana" w:eastAsia="Times New Roman" w:hAnsi="Verdana" w:cs="Arial"/>
          <w:lang w:val="es-ES" w:eastAsia="es-ES"/>
        </w:rPr>
        <w:t xml:space="preserve">Estimado </w:t>
      </w:r>
      <w:r w:rsidR="006D5FBF">
        <w:rPr>
          <w:rFonts w:ascii="Verdana" w:eastAsia="Times New Roman" w:hAnsi="Verdana" w:cs="Arial"/>
          <w:lang w:val="es-ES" w:eastAsia="es-ES"/>
        </w:rPr>
        <w:t>Gutiérrez</w:t>
      </w:r>
      <w:r w:rsidRPr="009A726D">
        <w:rPr>
          <w:rFonts w:ascii="Verdana" w:eastAsia="Times New Roman" w:hAnsi="Verdana" w:cs="Arial"/>
          <w:lang w:val="es-ES" w:eastAsia="es-ES"/>
        </w:rPr>
        <w:t xml:space="preserve">: </w:t>
      </w:r>
    </w:p>
    <w:p w14:paraId="30894002" w14:textId="77777777" w:rsidR="001C1683" w:rsidRPr="009A726D" w:rsidRDefault="001C1683" w:rsidP="001C1683">
      <w:pPr>
        <w:tabs>
          <w:tab w:val="left" w:pos="3768"/>
        </w:tabs>
        <w:spacing w:after="0" w:line="276" w:lineRule="auto"/>
        <w:jc w:val="both"/>
        <w:rPr>
          <w:rFonts w:ascii="Verdana" w:eastAsia="Times New Roman" w:hAnsi="Verdana" w:cs="Arial"/>
          <w:lang w:val="es-ES" w:eastAsia="es-ES"/>
        </w:rPr>
      </w:pPr>
      <w:r w:rsidRPr="009A726D">
        <w:rPr>
          <w:rFonts w:ascii="Verdana" w:eastAsia="Times New Roman" w:hAnsi="Verdana" w:cs="Arial"/>
          <w:lang w:val="es-ES" w:eastAsia="es-ES"/>
        </w:rPr>
        <w:tab/>
      </w:r>
    </w:p>
    <w:p w14:paraId="1C69636C" w14:textId="7DF3B732" w:rsidR="001C1683" w:rsidRPr="009A726D" w:rsidRDefault="001C1683" w:rsidP="001C1683">
      <w:pPr>
        <w:spacing w:after="0" w:line="276" w:lineRule="auto"/>
        <w:jc w:val="both"/>
        <w:rPr>
          <w:rFonts w:ascii="Verdana" w:eastAsia="Times New Roman" w:hAnsi="Verdana" w:cs="Arial"/>
          <w:lang w:val="es-ES" w:eastAsia="es-ES"/>
        </w:rPr>
      </w:pPr>
      <w:r w:rsidRPr="009A726D">
        <w:rPr>
          <w:rFonts w:ascii="Verdana" w:eastAsia="Times New Roman" w:hAnsi="Verdana" w:cs="Arial"/>
          <w:lang w:val="es-ES" w:eastAsia="es-ES"/>
        </w:rPr>
        <w:t>En ejercicio de la competencia otorgada por los artículos 3, numeral 5º, y 11, numeral 8º, del Decreto Ley 4170 de 2011,</w:t>
      </w:r>
      <w:r w:rsidRPr="009A726D">
        <w:rPr>
          <w:rFonts w:ascii="Verdana" w:eastAsia="Times New Roman" w:hAnsi="Verdana" w:cs="Arial MT"/>
          <w:lang w:val="es-ES" w:eastAsia="es-ES"/>
        </w:rPr>
        <w:t xml:space="preserve"> </w:t>
      </w:r>
      <w:r w:rsidRPr="009A726D">
        <w:rPr>
          <w:rFonts w:ascii="Verdana" w:eastAsia="Times New Roman" w:hAnsi="Verdana" w:cs="Arial"/>
        </w:rPr>
        <w:t xml:space="preserve">así como lo establecido en el artículo 4 de la Resolución 1707 de 2018 expedida por esta Entidad, </w:t>
      </w:r>
      <w:r w:rsidRPr="009A726D">
        <w:rPr>
          <w:rFonts w:ascii="Verdana" w:eastAsia="Times New Roman" w:hAnsi="Verdana" w:cs="Arial"/>
          <w:lang w:val="es-ES" w:eastAsia="es-ES"/>
        </w:rPr>
        <w:t xml:space="preserve">la Agencia Nacional de Contratación Pública – Colombia Compra Eficiente– responde su solicitud de consulta de fecha </w:t>
      </w:r>
      <w:r w:rsidR="00B66EBF">
        <w:rPr>
          <w:rFonts w:ascii="Verdana" w:eastAsia="Times New Roman" w:hAnsi="Verdana" w:cs="Arial"/>
          <w:lang w:val="es-ES" w:eastAsia="es-ES"/>
        </w:rPr>
        <w:t>16 de febrero de 2026</w:t>
      </w:r>
      <w:r w:rsidRPr="009A726D">
        <w:rPr>
          <w:rFonts w:ascii="Verdana" w:eastAsia="Times New Roman" w:hAnsi="Verdana" w:cs="Arial"/>
          <w:lang w:val="es-ES" w:eastAsia="es-ES"/>
        </w:rPr>
        <w:t xml:space="preserve">, en la cual manifiesta lo siguiente: </w:t>
      </w:r>
    </w:p>
    <w:p w14:paraId="0411B7F7" w14:textId="77777777" w:rsidR="00B66EBF" w:rsidRDefault="00B66EBF" w:rsidP="001C1683">
      <w:pPr>
        <w:spacing w:after="120" w:line="276" w:lineRule="auto"/>
        <w:ind w:firstLine="709"/>
        <w:jc w:val="both"/>
        <w:rPr>
          <w:rFonts w:ascii="Verdana" w:eastAsia="Times New Roman" w:hAnsi="Verdana" w:cs="Century Gothic"/>
          <w:i/>
          <w:iCs/>
          <w:sz w:val="20"/>
          <w:szCs w:val="20"/>
          <w:lang w:val="es-ES"/>
        </w:rPr>
      </w:pPr>
    </w:p>
    <w:p w14:paraId="1C4F08B8" w14:textId="15A73326" w:rsidR="00B66EBF" w:rsidRPr="00D11523" w:rsidRDefault="00B66EBF" w:rsidP="00D11523">
      <w:pPr>
        <w:spacing w:after="360" w:line="276" w:lineRule="auto"/>
        <w:ind w:firstLine="709"/>
        <w:jc w:val="both"/>
        <w:rPr>
          <w:rFonts w:ascii="Verdana" w:eastAsia="Times New Roman" w:hAnsi="Verdana" w:cs="Century Gothic"/>
          <w:i/>
          <w:iCs/>
          <w:sz w:val="21"/>
          <w:szCs w:val="21"/>
          <w:lang w:val="es-ES"/>
        </w:rPr>
      </w:pPr>
      <w:r>
        <w:rPr>
          <w:rFonts w:ascii="Verdana" w:eastAsia="Times New Roman" w:hAnsi="Verdana" w:cs="Century Gothic"/>
          <w:i/>
          <w:iCs/>
          <w:sz w:val="21"/>
          <w:szCs w:val="21"/>
          <w:lang w:val="es-ES"/>
        </w:rPr>
        <w:t xml:space="preserve">“De acuerdo con lo estipulado en el Artículo 95 de la Ley 2166 de 2021 sobre convenios </w:t>
      </w:r>
      <w:r w:rsidR="009006C4">
        <w:rPr>
          <w:rFonts w:ascii="Verdana" w:eastAsia="Times New Roman" w:hAnsi="Verdana" w:cs="Century Gothic"/>
          <w:i/>
          <w:iCs/>
          <w:sz w:val="21"/>
          <w:szCs w:val="21"/>
          <w:lang w:val="es-ES"/>
        </w:rPr>
        <w:t xml:space="preserve">solidarios con Organismos de Acción Comunal, es obligatorio exigir la presentación de la póliza correspondiente al pago anticipado y/o anticipo cuando la entidad gira un porcentaje de los recursos </w:t>
      </w:r>
      <w:r w:rsidR="00ED6C0D">
        <w:rPr>
          <w:rFonts w:ascii="Verdana" w:eastAsia="Times New Roman" w:hAnsi="Verdana" w:cs="Century Gothic"/>
          <w:i/>
          <w:iCs/>
          <w:sz w:val="21"/>
          <w:szCs w:val="21"/>
          <w:lang w:val="es-ES"/>
        </w:rPr>
        <w:t xml:space="preserve">(505 y/o cualquier porcentaje de recursos) establecidos en el convenio a la cuenta conjunta aperturada entre el OAC </w:t>
      </w:r>
      <w:r w:rsidR="00ED6C0D">
        <w:rPr>
          <w:rFonts w:ascii="Verdana" w:eastAsia="Times New Roman" w:hAnsi="Verdana" w:cs="Century Gothic"/>
          <w:i/>
          <w:iCs/>
          <w:sz w:val="21"/>
          <w:szCs w:val="21"/>
          <w:lang w:val="es-ES"/>
        </w:rPr>
        <w:lastRenderedPageBreak/>
        <w:t>y la supervisión o interventoría</w:t>
      </w:r>
      <w:r w:rsidR="00B37A75">
        <w:rPr>
          <w:rFonts w:ascii="Verdana" w:eastAsia="Times New Roman" w:hAnsi="Verdana" w:cs="Century Gothic"/>
          <w:i/>
          <w:iCs/>
          <w:sz w:val="21"/>
          <w:szCs w:val="21"/>
          <w:lang w:val="es-ES"/>
        </w:rPr>
        <w:t xml:space="preserve"> conforme a los documentos tipo aplicables a los convenios solidarios</w:t>
      </w:r>
      <w:r w:rsidR="00D43B78">
        <w:rPr>
          <w:rFonts w:ascii="Verdana" w:eastAsia="Times New Roman" w:hAnsi="Verdana" w:cs="Century Gothic"/>
          <w:i/>
          <w:iCs/>
          <w:sz w:val="21"/>
          <w:szCs w:val="21"/>
          <w:lang w:val="es-ES"/>
        </w:rPr>
        <w:t>”</w:t>
      </w:r>
      <w:r w:rsidR="006F20D7">
        <w:rPr>
          <w:rFonts w:ascii="Verdana" w:eastAsia="Times New Roman" w:hAnsi="Verdana" w:cs="Century Gothic"/>
          <w:i/>
          <w:iCs/>
          <w:sz w:val="21"/>
          <w:szCs w:val="21"/>
          <w:lang w:val="es-ES"/>
        </w:rPr>
        <w:t>.</w:t>
      </w:r>
      <w:r w:rsidR="00D43B78">
        <w:rPr>
          <w:rFonts w:ascii="Verdana" w:eastAsia="Times New Roman" w:hAnsi="Verdana" w:cs="Century Gothic"/>
          <w:i/>
          <w:iCs/>
          <w:sz w:val="21"/>
          <w:szCs w:val="21"/>
          <w:lang w:val="es-ES"/>
        </w:rPr>
        <w:t xml:space="preserve"> </w:t>
      </w:r>
      <w:r w:rsidR="00B37A75">
        <w:rPr>
          <w:rFonts w:ascii="Verdana" w:eastAsia="Times New Roman" w:hAnsi="Verdana" w:cs="Century Gothic"/>
          <w:i/>
          <w:iCs/>
          <w:sz w:val="21"/>
          <w:szCs w:val="21"/>
          <w:lang w:val="es-ES"/>
        </w:rPr>
        <w:t xml:space="preserve"> </w:t>
      </w:r>
    </w:p>
    <w:p w14:paraId="56E20C94" w14:textId="508BBFEF" w:rsidR="001C1683" w:rsidRPr="009A726D" w:rsidRDefault="001C1683" w:rsidP="001C1683">
      <w:pPr>
        <w:spacing w:after="120" w:line="276" w:lineRule="auto"/>
        <w:ind w:firstLine="709"/>
        <w:jc w:val="both"/>
        <w:rPr>
          <w:rFonts w:ascii="Verdana" w:eastAsia="Times New Roman" w:hAnsi="Verdana" w:cs="Arial"/>
          <w:color w:val="000000"/>
          <w:szCs w:val="24"/>
          <w:lang w:val="es-ES_tradnl" w:eastAsia="es-ES_tradnl"/>
        </w:rPr>
      </w:pPr>
      <w:r w:rsidRPr="009A726D">
        <w:rPr>
          <w:rFonts w:ascii="Verdana" w:eastAsia="Times New Roman" w:hAnsi="Verdana" w:cs="Arial"/>
          <w:color w:val="000000"/>
          <w:lang w:val="es-ES" w:eastAsia="es-ES"/>
        </w:rPr>
        <w:t xml:space="preserve">De manera preliminar, resulta necesario precisar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A726D">
        <w:rPr>
          <w:rFonts w:ascii="Verdana" w:eastAsia="Times New Roman" w:hAnsi="Verdana" w:cs="Arial"/>
          <w:color w:val="000000"/>
          <w:szCs w:val="24"/>
          <w:lang w:val="es-ES_tradnl" w:eastAsia="es-ES_tradnl"/>
        </w:rPr>
        <w:tab/>
      </w:r>
    </w:p>
    <w:p w14:paraId="39096B2C" w14:textId="77777777" w:rsidR="001C1683" w:rsidRPr="009A726D" w:rsidRDefault="001C1683" w:rsidP="001C1683">
      <w:pPr>
        <w:spacing w:after="0" w:line="276" w:lineRule="auto"/>
        <w:ind w:firstLine="709"/>
        <w:jc w:val="both"/>
        <w:rPr>
          <w:rFonts w:ascii="Verdana" w:eastAsia="Times New Roman" w:hAnsi="Verdana" w:cs="Arial"/>
          <w:lang w:val="es-ES" w:eastAsia="es-ES"/>
        </w:rPr>
      </w:pPr>
      <w:r w:rsidRPr="009A726D">
        <w:rPr>
          <w:rFonts w:ascii="Verdana" w:eastAsia="Times New Roman"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96155EB" w14:textId="77777777" w:rsidR="001C1683" w:rsidRPr="009A726D" w:rsidRDefault="001C1683" w:rsidP="001C1683">
      <w:pPr>
        <w:spacing w:after="0" w:line="276" w:lineRule="auto"/>
        <w:jc w:val="both"/>
        <w:rPr>
          <w:rFonts w:ascii="Verdana" w:eastAsia="Times New Roman" w:hAnsi="Verdana" w:cs="Arial"/>
          <w:color w:val="000000"/>
          <w:lang w:val="es-ES" w:eastAsia="es-ES"/>
        </w:rPr>
      </w:pPr>
    </w:p>
    <w:p w14:paraId="4466369F" w14:textId="19BCAD1D" w:rsidR="00D11523" w:rsidRDefault="001C1683" w:rsidP="00D11523">
      <w:pPr>
        <w:numPr>
          <w:ilvl w:val="0"/>
          <w:numId w:val="16"/>
        </w:numPr>
        <w:tabs>
          <w:tab w:val="left" w:pos="142"/>
          <w:tab w:val="left" w:pos="284"/>
        </w:tabs>
        <w:spacing w:after="0" w:line="276" w:lineRule="auto"/>
        <w:ind w:left="0" w:firstLine="0"/>
        <w:contextualSpacing/>
        <w:jc w:val="both"/>
        <w:rPr>
          <w:rFonts w:ascii="Verdana" w:eastAsia="Times New Roman" w:hAnsi="Verdana" w:cs="Century Gothic"/>
          <w:b/>
          <w:bCs/>
          <w:lang w:val="es-ES"/>
        </w:rPr>
      </w:pPr>
      <w:r w:rsidRPr="009A726D">
        <w:rPr>
          <w:rFonts w:ascii="Verdana" w:eastAsia="Times New Roman" w:hAnsi="Verdana" w:cs="Century Gothic"/>
          <w:b/>
          <w:bCs/>
          <w:lang w:val="es-ES"/>
        </w:rPr>
        <w:t>Problema planteado:</w:t>
      </w:r>
    </w:p>
    <w:p w14:paraId="0D6D440C" w14:textId="77777777" w:rsidR="00A820E7" w:rsidRDefault="00A820E7" w:rsidP="00A820E7">
      <w:pPr>
        <w:tabs>
          <w:tab w:val="left" w:pos="142"/>
          <w:tab w:val="left" w:pos="284"/>
        </w:tabs>
        <w:spacing w:after="0" w:line="276" w:lineRule="auto"/>
        <w:contextualSpacing/>
        <w:jc w:val="both"/>
        <w:rPr>
          <w:rFonts w:ascii="Verdana" w:eastAsia="Times New Roman" w:hAnsi="Verdana" w:cs="Century Gothic"/>
          <w:b/>
          <w:bCs/>
          <w:lang w:val="es-ES"/>
        </w:rPr>
      </w:pPr>
    </w:p>
    <w:p w14:paraId="09DBD850" w14:textId="7BCB75E9" w:rsidR="00A820E7" w:rsidRDefault="00A820E7" w:rsidP="00A820E7">
      <w:pPr>
        <w:tabs>
          <w:tab w:val="left" w:pos="142"/>
          <w:tab w:val="left" w:pos="284"/>
        </w:tabs>
        <w:spacing w:after="0" w:line="276" w:lineRule="auto"/>
        <w:contextualSpacing/>
        <w:jc w:val="both"/>
        <w:rPr>
          <w:rFonts w:ascii="Verdana" w:eastAsia="Times New Roman" w:hAnsi="Verdana" w:cs="Century Gothic"/>
        </w:rPr>
      </w:pPr>
      <w:r>
        <w:rPr>
          <w:rFonts w:ascii="Verdana" w:eastAsia="Times New Roman" w:hAnsi="Verdana" w:cs="Century Gothic"/>
          <w:lang w:val="es-ES"/>
        </w:rPr>
        <w:t xml:space="preserve">De acuerdo con el contenido de su solicitud, esta Agencia resolverá el siguiente problema jurídico: </w:t>
      </w:r>
      <w:r w:rsidR="008468AD" w:rsidRPr="008468AD">
        <w:rPr>
          <w:rFonts w:ascii="Verdana" w:eastAsia="Times New Roman" w:hAnsi="Verdana" w:cs="Century Gothic"/>
        </w:rPr>
        <w:t>¿</w:t>
      </w:r>
      <w:r w:rsidR="00150038">
        <w:rPr>
          <w:rFonts w:ascii="Verdana" w:eastAsia="Times New Roman" w:hAnsi="Verdana" w:cs="Century Gothic"/>
        </w:rPr>
        <w:t>S</w:t>
      </w:r>
      <w:r w:rsidR="001B0E02">
        <w:rPr>
          <w:rFonts w:ascii="Verdana" w:eastAsia="Times New Roman" w:hAnsi="Verdana" w:cs="Century Gothic"/>
        </w:rPr>
        <w:t>e de</w:t>
      </w:r>
      <w:r w:rsidR="008468AD" w:rsidRPr="008468AD">
        <w:rPr>
          <w:rFonts w:ascii="Verdana" w:eastAsia="Times New Roman" w:hAnsi="Verdana" w:cs="Century Gothic"/>
        </w:rPr>
        <w:t>be</w:t>
      </w:r>
      <w:r w:rsidR="001B0E02">
        <w:rPr>
          <w:rFonts w:ascii="Verdana" w:eastAsia="Times New Roman" w:hAnsi="Verdana" w:cs="Century Gothic"/>
        </w:rPr>
        <w:t xml:space="preserve"> </w:t>
      </w:r>
      <w:r w:rsidR="008468AD" w:rsidRPr="008468AD">
        <w:rPr>
          <w:rFonts w:ascii="Verdana" w:eastAsia="Times New Roman" w:hAnsi="Verdana" w:cs="Century Gothic"/>
        </w:rPr>
        <w:t xml:space="preserve">exigir póliza </w:t>
      </w:r>
      <w:r w:rsidR="00D752D2">
        <w:rPr>
          <w:rFonts w:ascii="Verdana" w:eastAsia="Times New Roman" w:hAnsi="Verdana" w:cs="Century Gothic"/>
        </w:rPr>
        <w:t xml:space="preserve">de </w:t>
      </w:r>
      <w:r w:rsidR="008468AD" w:rsidRPr="008468AD">
        <w:rPr>
          <w:rFonts w:ascii="Verdana" w:eastAsia="Times New Roman" w:hAnsi="Verdana" w:cs="Century Gothic"/>
        </w:rPr>
        <w:t xml:space="preserve">anticipo en un convenio solidario celebrado entre </w:t>
      </w:r>
      <w:r w:rsidR="00B25638">
        <w:rPr>
          <w:rFonts w:ascii="Verdana" w:eastAsia="Times New Roman" w:hAnsi="Verdana" w:cs="Century Gothic"/>
        </w:rPr>
        <w:t>un</w:t>
      </w:r>
      <w:r w:rsidR="001B0E02">
        <w:rPr>
          <w:rFonts w:ascii="Verdana" w:eastAsia="Times New Roman" w:hAnsi="Verdana" w:cs="Century Gothic"/>
        </w:rPr>
        <w:t xml:space="preserve">a entidad estatal y </w:t>
      </w:r>
      <w:r w:rsidR="00C431A9">
        <w:rPr>
          <w:rFonts w:ascii="Verdana" w:eastAsia="Times New Roman" w:hAnsi="Verdana" w:cs="Century Gothic"/>
        </w:rPr>
        <w:t>un Organismo de Acción comunal</w:t>
      </w:r>
      <w:r w:rsidR="008468AD" w:rsidRPr="008468AD">
        <w:rPr>
          <w:rFonts w:ascii="Verdana" w:eastAsia="Times New Roman" w:hAnsi="Verdana" w:cs="Century Gothic"/>
        </w:rPr>
        <w:t xml:space="preserve"> </w:t>
      </w:r>
      <w:r w:rsidR="00C431A9">
        <w:rPr>
          <w:rFonts w:ascii="Verdana" w:eastAsia="Times New Roman" w:hAnsi="Verdana" w:cs="Century Gothic"/>
        </w:rPr>
        <w:t>(</w:t>
      </w:r>
      <w:r w:rsidR="008468AD" w:rsidRPr="008468AD">
        <w:rPr>
          <w:rFonts w:ascii="Verdana" w:eastAsia="Times New Roman" w:hAnsi="Verdana" w:cs="Century Gothic"/>
        </w:rPr>
        <w:t>OAC</w:t>
      </w:r>
      <w:r w:rsidR="00C431A9">
        <w:rPr>
          <w:rFonts w:ascii="Verdana" w:eastAsia="Times New Roman" w:hAnsi="Verdana" w:cs="Century Gothic"/>
        </w:rPr>
        <w:t xml:space="preserve">) </w:t>
      </w:r>
      <w:r w:rsidR="00D752D2" w:rsidRPr="008468AD">
        <w:rPr>
          <w:rFonts w:ascii="Verdana" w:eastAsia="Times New Roman" w:hAnsi="Verdana" w:cs="Century Gothic"/>
        </w:rPr>
        <w:t>cuando los recursos se giran a una cuenta conjunta</w:t>
      </w:r>
      <w:r w:rsidR="00D752D2">
        <w:rPr>
          <w:rFonts w:ascii="Verdana" w:eastAsia="Times New Roman" w:hAnsi="Verdana" w:cs="Century Gothic"/>
        </w:rPr>
        <w:t>?</w:t>
      </w:r>
    </w:p>
    <w:p w14:paraId="49F7EE92" w14:textId="77777777" w:rsidR="00150038" w:rsidRDefault="00150038" w:rsidP="00A820E7">
      <w:pPr>
        <w:tabs>
          <w:tab w:val="left" w:pos="142"/>
          <w:tab w:val="left" w:pos="284"/>
        </w:tabs>
        <w:spacing w:after="0" w:line="276" w:lineRule="auto"/>
        <w:contextualSpacing/>
        <w:jc w:val="both"/>
        <w:rPr>
          <w:rFonts w:ascii="Verdana" w:eastAsia="Times New Roman" w:hAnsi="Verdana" w:cs="Century Gothic"/>
        </w:rPr>
      </w:pPr>
    </w:p>
    <w:p w14:paraId="5096C497" w14:textId="064AD025" w:rsidR="00150038" w:rsidRPr="00E73676" w:rsidRDefault="00150038" w:rsidP="00A820E7">
      <w:pPr>
        <w:tabs>
          <w:tab w:val="left" w:pos="142"/>
          <w:tab w:val="left" w:pos="284"/>
        </w:tabs>
        <w:spacing w:after="0" w:line="276" w:lineRule="auto"/>
        <w:contextualSpacing/>
        <w:jc w:val="both"/>
        <w:rPr>
          <w:rFonts w:ascii="Verdana" w:eastAsia="Times New Roman" w:hAnsi="Verdana" w:cs="Century Gothic"/>
          <w:b/>
          <w:bCs/>
        </w:rPr>
      </w:pPr>
      <w:r w:rsidRPr="00E73676">
        <w:rPr>
          <w:rFonts w:ascii="Verdana" w:eastAsia="Times New Roman" w:hAnsi="Verdana" w:cs="Century Gothic"/>
          <w:b/>
          <w:bCs/>
        </w:rPr>
        <w:t xml:space="preserve">2. </w:t>
      </w:r>
      <w:r w:rsidR="00710CB5" w:rsidRPr="00E73676">
        <w:rPr>
          <w:rFonts w:ascii="Verdana" w:eastAsia="Times New Roman" w:hAnsi="Verdana" w:cs="Century Gothic"/>
          <w:b/>
          <w:bCs/>
        </w:rPr>
        <w:t xml:space="preserve">Respuesta: </w:t>
      </w:r>
    </w:p>
    <w:p w14:paraId="318651A7" w14:textId="77777777" w:rsidR="00CD0EDC" w:rsidRDefault="00CD0EDC" w:rsidP="00A820E7">
      <w:pPr>
        <w:tabs>
          <w:tab w:val="left" w:pos="142"/>
          <w:tab w:val="left" w:pos="284"/>
        </w:tabs>
        <w:spacing w:after="0" w:line="276" w:lineRule="auto"/>
        <w:contextualSpacing/>
        <w:jc w:val="both"/>
        <w:rPr>
          <w:rFonts w:ascii="Verdana" w:eastAsia="Times New Roman" w:hAnsi="Verdana" w:cs="Century Gothic"/>
        </w:rPr>
      </w:pPr>
    </w:p>
    <w:p w14:paraId="4889642A" w14:textId="7868F490" w:rsidR="006A6268" w:rsidRDefault="007139E1" w:rsidP="00140F48">
      <w:pPr>
        <w:pBdr>
          <w:top w:val="single" w:sz="4" w:space="1" w:color="auto"/>
          <w:left w:val="single" w:sz="4" w:space="4" w:color="auto"/>
          <w:bottom w:val="single" w:sz="4" w:space="1" w:color="auto"/>
          <w:right w:val="single" w:sz="4" w:space="4" w:color="auto"/>
        </w:pBdr>
        <w:tabs>
          <w:tab w:val="left" w:pos="142"/>
          <w:tab w:val="left" w:pos="284"/>
        </w:tabs>
        <w:spacing w:after="0" w:line="276" w:lineRule="auto"/>
        <w:contextualSpacing/>
        <w:jc w:val="both"/>
        <w:rPr>
          <w:rFonts w:ascii="Verdana" w:eastAsia="Times New Roman" w:hAnsi="Verdana" w:cs="Century Gothic"/>
        </w:rPr>
      </w:pPr>
      <w:r>
        <w:rPr>
          <w:rFonts w:ascii="Verdana" w:eastAsia="Times New Roman" w:hAnsi="Verdana" w:cs="Century Gothic"/>
        </w:rPr>
        <w:t xml:space="preserve">Para </w:t>
      </w:r>
      <w:r w:rsidR="00E73676">
        <w:rPr>
          <w:rFonts w:ascii="Verdana" w:eastAsia="Times New Roman" w:hAnsi="Verdana" w:cs="Century Gothic"/>
        </w:rPr>
        <w:t xml:space="preserve">responder el problema jurídico </w:t>
      </w:r>
      <w:r w:rsidR="00776A17">
        <w:rPr>
          <w:rFonts w:ascii="Verdana" w:eastAsia="Times New Roman" w:hAnsi="Verdana" w:cs="Century Gothic"/>
        </w:rPr>
        <w:t>planteado, es menester</w:t>
      </w:r>
      <w:r w:rsidR="0046670B">
        <w:rPr>
          <w:rFonts w:ascii="Verdana" w:eastAsia="Times New Roman" w:hAnsi="Verdana" w:cs="Century Gothic"/>
        </w:rPr>
        <w:t xml:space="preserve"> mencionar que, </w:t>
      </w:r>
      <w:r w:rsidR="00E73676">
        <w:rPr>
          <w:rFonts w:ascii="Verdana" w:eastAsia="Times New Roman" w:hAnsi="Verdana" w:cs="Century Gothic"/>
        </w:rPr>
        <w:t>n</w:t>
      </w:r>
      <w:r w:rsidR="00756602">
        <w:rPr>
          <w:rFonts w:ascii="Verdana" w:eastAsia="Times New Roman" w:hAnsi="Verdana" w:cs="Century Gothic"/>
        </w:rPr>
        <w:t xml:space="preserve">o es posible establecer un anticipo o un pago anticipado, dado que no se trata de un contrato conmutativo, en el que se establece un valor del contrato como contraprestación que la entidad </w:t>
      </w:r>
      <w:r w:rsidR="00C6728A">
        <w:rPr>
          <w:rFonts w:ascii="Verdana" w:eastAsia="Times New Roman" w:hAnsi="Verdana" w:cs="Century Gothic"/>
        </w:rPr>
        <w:t>pública</w:t>
      </w:r>
      <w:r w:rsidR="00756602">
        <w:rPr>
          <w:rFonts w:ascii="Verdana" w:eastAsia="Times New Roman" w:hAnsi="Verdana" w:cs="Century Gothic"/>
        </w:rPr>
        <w:t xml:space="preserve"> le entregue al contratista para la ejecución del contrato</w:t>
      </w:r>
      <w:r w:rsidR="005B7A7E">
        <w:rPr>
          <w:rFonts w:ascii="Verdana" w:eastAsia="Times New Roman" w:hAnsi="Verdana" w:cs="Century Gothic"/>
        </w:rPr>
        <w:t xml:space="preserve">. Por el contrario, el objetivo de los convenios solidarios es esfuerzos institucionales, comunales y sociales para llevar a cabo obras que </w:t>
      </w:r>
      <w:r w:rsidR="005B7A7E">
        <w:rPr>
          <w:rFonts w:ascii="Verdana" w:eastAsia="Times New Roman" w:hAnsi="Verdana" w:cs="Century Gothic"/>
        </w:rPr>
        <w:lastRenderedPageBreak/>
        <w:t xml:space="preserve">satisfagan </w:t>
      </w:r>
      <w:r w:rsidR="00EA3F2F">
        <w:rPr>
          <w:rFonts w:ascii="Verdana" w:eastAsia="Times New Roman" w:hAnsi="Verdana" w:cs="Century Gothic"/>
        </w:rPr>
        <w:t>necesidades del territorio. De esta forma, no se habla de pagos sino de aportes de las partes y de giros de los recursos para la correcta ejecución del convenio. Por esto, no procede bajo ninguna figura</w:t>
      </w:r>
      <w:r w:rsidR="002F1D83">
        <w:rPr>
          <w:rFonts w:ascii="Verdana" w:eastAsia="Times New Roman" w:hAnsi="Verdana" w:cs="Century Gothic"/>
        </w:rPr>
        <w:t xml:space="preserve"> el anticipo o pago anticipado. </w:t>
      </w:r>
    </w:p>
    <w:p w14:paraId="1EF3A6CB" w14:textId="77777777" w:rsidR="005A1459" w:rsidRDefault="005A1459" w:rsidP="00140F48">
      <w:pPr>
        <w:pBdr>
          <w:top w:val="single" w:sz="4" w:space="1" w:color="auto"/>
          <w:left w:val="single" w:sz="4" w:space="4" w:color="auto"/>
          <w:bottom w:val="single" w:sz="4" w:space="1" w:color="auto"/>
          <w:right w:val="single" w:sz="4" w:space="4" w:color="auto"/>
        </w:pBdr>
        <w:tabs>
          <w:tab w:val="left" w:pos="142"/>
          <w:tab w:val="left" w:pos="284"/>
        </w:tabs>
        <w:spacing w:after="0" w:line="276" w:lineRule="auto"/>
        <w:contextualSpacing/>
        <w:jc w:val="both"/>
        <w:rPr>
          <w:rFonts w:ascii="Verdana" w:eastAsia="Times New Roman" w:hAnsi="Verdana" w:cs="Century Gothic"/>
        </w:rPr>
      </w:pPr>
    </w:p>
    <w:p w14:paraId="2BABC70E" w14:textId="297C2590" w:rsidR="002F1D83" w:rsidRDefault="00E73676" w:rsidP="00140F48">
      <w:pPr>
        <w:pBdr>
          <w:top w:val="single" w:sz="4" w:space="1" w:color="auto"/>
          <w:left w:val="single" w:sz="4" w:space="4" w:color="auto"/>
          <w:bottom w:val="single" w:sz="4" w:space="1" w:color="auto"/>
          <w:right w:val="single" w:sz="4" w:space="4" w:color="auto"/>
        </w:pBdr>
        <w:tabs>
          <w:tab w:val="left" w:pos="142"/>
          <w:tab w:val="left" w:pos="284"/>
        </w:tabs>
        <w:spacing w:after="0" w:line="276" w:lineRule="auto"/>
        <w:contextualSpacing/>
        <w:jc w:val="both"/>
        <w:rPr>
          <w:rFonts w:ascii="Verdana" w:eastAsia="Times New Roman" w:hAnsi="Verdana" w:cs="Century Gothic"/>
        </w:rPr>
      </w:pPr>
      <w:r>
        <w:rPr>
          <w:rFonts w:ascii="Verdana" w:eastAsia="Times New Roman" w:hAnsi="Verdana" w:cs="Century Gothic"/>
        </w:rPr>
        <w:t>Por otro lado</w:t>
      </w:r>
      <w:r w:rsidR="002F1D83">
        <w:rPr>
          <w:rFonts w:ascii="Verdana" w:eastAsia="Times New Roman" w:hAnsi="Verdana" w:cs="Century Gothic"/>
        </w:rPr>
        <w:t>, en el caso de Documentos tipo para convenios solidar</w:t>
      </w:r>
      <w:r w:rsidR="00414F50">
        <w:rPr>
          <w:rFonts w:ascii="Verdana" w:eastAsia="Times New Roman" w:hAnsi="Verdana" w:cs="Century Gothic"/>
        </w:rPr>
        <w:t>ios, se incluyó la “Clausula 7 Giro de los recursos</w:t>
      </w:r>
      <w:r w:rsidR="00EC2B69">
        <w:rPr>
          <w:rFonts w:ascii="Verdana" w:eastAsia="Times New Roman" w:hAnsi="Verdana" w:cs="Century Gothic"/>
        </w:rPr>
        <w:t>” que establece tre</w:t>
      </w:r>
      <w:r w:rsidR="009B4294">
        <w:rPr>
          <w:rFonts w:ascii="Verdana" w:eastAsia="Times New Roman" w:hAnsi="Verdana" w:cs="Century Gothic"/>
        </w:rPr>
        <w:t xml:space="preserve">s (3) opciones para que la entidad estatal decida el mecanismo que </w:t>
      </w:r>
      <w:r w:rsidR="00C6728A">
        <w:rPr>
          <w:rFonts w:ascii="Verdana" w:eastAsia="Times New Roman" w:hAnsi="Verdana" w:cs="Century Gothic"/>
        </w:rPr>
        <w:t>más</w:t>
      </w:r>
      <w:r w:rsidR="009B4294">
        <w:rPr>
          <w:rFonts w:ascii="Verdana" w:eastAsia="Times New Roman" w:hAnsi="Verdana" w:cs="Century Gothic"/>
        </w:rPr>
        <w:t xml:space="preserve"> se adecúe a la necesidad y características propias de cada convenio solidario </w:t>
      </w:r>
      <w:r w:rsidR="00B71B5E">
        <w:rPr>
          <w:rFonts w:ascii="Verdana" w:eastAsia="Times New Roman" w:hAnsi="Verdana" w:cs="Century Gothic"/>
        </w:rPr>
        <w:t>que se</w:t>
      </w:r>
      <w:r w:rsidR="009B4294">
        <w:rPr>
          <w:rFonts w:ascii="Verdana" w:eastAsia="Times New Roman" w:hAnsi="Verdana" w:cs="Century Gothic"/>
        </w:rPr>
        <w:t xml:space="preserve"> pretenda adelantar.</w:t>
      </w:r>
    </w:p>
    <w:p w14:paraId="1541B732" w14:textId="77777777" w:rsidR="00E73676" w:rsidRDefault="00E73676" w:rsidP="00140F48">
      <w:pPr>
        <w:pBdr>
          <w:top w:val="single" w:sz="4" w:space="1" w:color="auto"/>
          <w:left w:val="single" w:sz="4" w:space="4" w:color="auto"/>
          <w:bottom w:val="single" w:sz="4" w:space="1" w:color="auto"/>
          <w:right w:val="single" w:sz="4" w:space="4" w:color="auto"/>
        </w:pBdr>
        <w:tabs>
          <w:tab w:val="left" w:pos="142"/>
          <w:tab w:val="left" w:pos="284"/>
        </w:tabs>
        <w:spacing w:after="0" w:line="276" w:lineRule="auto"/>
        <w:contextualSpacing/>
        <w:jc w:val="both"/>
        <w:rPr>
          <w:rFonts w:ascii="Verdana" w:eastAsia="Times New Roman" w:hAnsi="Verdana" w:cs="Century Gothic"/>
        </w:rPr>
      </w:pPr>
    </w:p>
    <w:p w14:paraId="695FADE9" w14:textId="0B0DE901" w:rsidR="00EC7DF1" w:rsidRDefault="00E73676" w:rsidP="00140F48">
      <w:pPr>
        <w:pBdr>
          <w:top w:val="single" w:sz="4" w:space="1" w:color="auto"/>
          <w:left w:val="single" w:sz="4" w:space="4" w:color="auto"/>
          <w:bottom w:val="single" w:sz="4" w:space="1" w:color="auto"/>
          <w:right w:val="single" w:sz="4" w:space="4" w:color="auto"/>
        </w:pBdr>
        <w:tabs>
          <w:tab w:val="left" w:pos="142"/>
          <w:tab w:val="left" w:pos="284"/>
        </w:tabs>
        <w:spacing w:after="0" w:line="276" w:lineRule="auto"/>
        <w:contextualSpacing/>
        <w:jc w:val="both"/>
        <w:rPr>
          <w:rFonts w:ascii="Verdana" w:eastAsia="Times New Roman" w:hAnsi="Verdana" w:cs="Century Gothic"/>
        </w:rPr>
      </w:pPr>
      <w:r>
        <w:rPr>
          <w:rFonts w:ascii="Verdana" w:eastAsia="Times New Roman" w:hAnsi="Verdana" w:cs="Century Gothic"/>
        </w:rPr>
        <w:t xml:space="preserve">Ahora bien, </w:t>
      </w:r>
      <w:r w:rsidR="00FB330E">
        <w:rPr>
          <w:rFonts w:ascii="Verdana" w:eastAsia="Times New Roman" w:hAnsi="Verdana" w:cs="Century Gothic"/>
        </w:rPr>
        <w:t>e</w:t>
      </w:r>
      <w:r w:rsidR="00EC7DF1" w:rsidRPr="00EC7DF1">
        <w:rPr>
          <w:rFonts w:ascii="Verdana" w:eastAsia="Times New Roman" w:hAnsi="Verdana" w:cs="Century Gothic"/>
        </w:rPr>
        <w:t xml:space="preserve">n los </w:t>
      </w:r>
      <w:r w:rsidR="00EC7DF1" w:rsidRPr="00FB330E">
        <w:rPr>
          <w:rFonts w:ascii="Verdana" w:eastAsia="Times New Roman" w:hAnsi="Verdana" w:cs="Century Gothic"/>
        </w:rPr>
        <w:t>convenios solidarios con Organismos de Acción</w:t>
      </w:r>
      <w:r w:rsidR="00EC7DF1" w:rsidRPr="00EC7DF1">
        <w:rPr>
          <w:rFonts w:ascii="Verdana" w:eastAsia="Times New Roman" w:hAnsi="Verdana" w:cs="Century Gothic"/>
          <w:b/>
          <w:bCs/>
        </w:rPr>
        <w:t xml:space="preserve"> </w:t>
      </w:r>
      <w:r w:rsidR="00EC7DF1" w:rsidRPr="00FB330E">
        <w:rPr>
          <w:rFonts w:ascii="Verdana" w:eastAsia="Times New Roman" w:hAnsi="Verdana" w:cs="Century Gothic"/>
        </w:rPr>
        <w:t>Comuna</w:t>
      </w:r>
      <w:r w:rsidR="00EC7DF1" w:rsidRPr="00EC7DF1">
        <w:rPr>
          <w:rFonts w:ascii="Verdana" w:eastAsia="Times New Roman" w:hAnsi="Verdana" w:cs="Century Gothic"/>
          <w:b/>
          <w:bCs/>
        </w:rPr>
        <w:t>l</w:t>
      </w:r>
      <w:r w:rsidR="00EC7DF1" w:rsidRPr="00EC7DF1">
        <w:rPr>
          <w:rFonts w:ascii="Verdana" w:eastAsia="Times New Roman" w:hAnsi="Verdana" w:cs="Century Gothic"/>
        </w:rPr>
        <w:t xml:space="preserve">, al tratarse de una modalidad de </w:t>
      </w:r>
      <w:r w:rsidR="00EC7DF1" w:rsidRPr="00FB330E">
        <w:rPr>
          <w:rFonts w:ascii="Verdana" w:eastAsia="Times New Roman" w:hAnsi="Verdana" w:cs="Century Gothic"/>
        </w:rPr>
        <w:t>contratación directa</w:t>
      </w:r>
      <w:r w:rsidR="00EC7DF1" w:rsidRPr="00EC7DF1">
        <w:rPr>
          <w:rFonts w:ascii="Verdana" w:eastAsia="Times New Roman" w:hAnsi="Verdana" w:cs="Century Gothic"/>
        </w:rPr>
        <w:t xml:space="preserve">, la exigencia de garantías no es automática ni obligatoria. Conforme al </w:t>
      </w:r>
      <w:r w:rsidR="00EC7DF1" w:rsidRPr="00FB330E">
        <w:rPr>
          <w:rFonts w:ascii="Verdana" w:eastAsia="Times New Roman" w:hAnsi="Verdana" w:cs="Century Gothic"/>
        </w:rPr>
        <w:t>Decreto 1082 de 2015</w:t>
      </w:r>
      <w:r w:rsidR="00EC7DF1" w:rsidRPr="00EC7DF1">
        <w:rPr>
          <w:rFonts w:ascii="Verdana" w:eastAsia="Times New Roman" w:hAnsi="Verdana" w:cs="Century Gothic"/>
        </w:rPr>
        <w:t>, la entidad estatal debe justificar en los estudios y documentos previos la necesidad o no de exigir pólizas, atendiendo a la naturaleza del convenio, los riesgos asociados y la forma de ejecución de los recursos.</w:t>
      </w:r>
    </w:p>
    <w:p w14:paraId="3DCFE05D" w14:textId="77777777" w:rsidR="00942980" w:rsidRDefault="00942980" w:rsidP="00140F48">
      <w:pPr>
        <w:pBdr>
          <w:top w:val="single" w:sz="4" w:space="1" w:color="auto"/>
          <w:left w:val="single" w:sz="4" w:space="4" w:color="auto"/>
          <w:bottom w:val="single" w:sz="4" w:space="1" w:color="auto"/>
          <w:right w:val="single" w:sz="4" w:space="4" w:color="auto"/>
        </w:pBdr>
        <w:tabs>
          <w:tab w:val="left" w:pos="142"/>
          <w:tab w:val="left" w:pos="284"/>
        </w:tabs>
        <w:spacing w:after="0" w:line="276" w:lineRule="auto"/>
        <w:contextualSpacing/>
        <w:jc w:val="both"/>
        <w:rPr>
          <w:rFonts w:ascii="Verdana" w:eastAsia="Times New Roman" w:hAnsi="Verdana" w:cs="Century Gothic"/>
        </w:rPr>
      </w:pPr>
    </w:p>
    <w:p w14:paraId="69CBDD14" w14:textId="34B7CD46" w:rsidR="00942980" w:rsidRPr="00942980" w:rsidRDefault="00942980" w:rsidP="00140F48">
      <w:pPr>
        <w:pBdr>
          <w:top w:val="single" w:sz="4" w:space="1" w:color="auto"/>
          <w:left w:val="single" w:sz="4" w:space="4" w:color="auto"/>
          <w:bottom w:val="single" w:sz="4" w:space="1" w:color="auto"/>
          <w:right w:val="single" w:sz="4" w:space="4" w:color="auto"/>
        </w:pBdr>
        <w:tabs>
          <w:tab w:val="left" w:pos="142"/>
          <w:tab w:val="left" w:pos="284"/>
        </w:tabs>
        <w:spacing w:after="0" w:line="276" w:lineRule="auto"/>
        <w:contextualSpacing/>
        <w:jc w:val="both"/>
        <w:rPr>
          <w:rFonts w:ascii="Verdana" w:eastAsia="Times New Roman" w:hAnsi="Verdana" w:cs="Century Gothic"/>
        </w:rPr>
      </w:pPr>
      <w:r>
        <w:rPr>
          <w:rFonts w:ascii="Verdana" w:eastAsia="Times New Roman" w:hAnsi="Verdana" w:cs="Century Gothic"/>
        </w:rPr>
        <w:t>En conclusión</w:t>
      </w:r>
      <w:r w:rsidRPr="00942980">
        <w:rPr>
          <w:rFonts w:ascii="Verdana" w:eastAsia="Times New Roman" w:hAnsi="Verdana" w:cs="Century Gothic"/>
        </w:rPr>
        <w:t>, la naturaleza jurídica del convenio solidario no corresponde estrictamente a un contrato oneroso típico, sino a un instrumento de cooperación</w:t>
      </w:r>
      <w:r w:rsidR="00B114DA">
        <w:rPr>
          <w:rFonts w:ascii="Verdana" w:eastAsia="Times New Roman" w:hAnsi="Verdana" w:cs="Century Gothic"/>
        </w:rPr>
        <w:t xml:space="preserve">, </w:t>
      </w:r>
      <w:r w:rsidR="001F0228">
        <w:rPr>
          <w:rFonts w:ascii="Verdana" w:eastAsia="Times New Roman" w:hAnsi="Verdana" w:cs="Century Gothic"/>
        </w:rPr>
        <w:t xml:space="preserve">donde la entidad estatal </w:t>
      </w:r>
      <w:r w:rsidR="006626E3">
        <w:rPr>
          <w:rFonts w:ascii="Verdana" w:eastAsia="Times New Roman" w:hAnsi="Verdana" w:cs="Century Gothic"/>
        </w:rPr>
        <w:t>y</w:t>
      </w:r>
      <w:r w:rsidR="001F0228">
        <w:rPr>
          <w:rFonts w:ascii="Verdana" w:eastAsia="Times New Roman" w:hAnsi="Verdana" w:cs="Century Gothic"/>
        </w:rPr>
        <w:t xml:space="preserve"> los organismos de acción comunal aúnan esfuerzos</w:t>
      </w:r>
      <w:r w:rsidRPr="00942980">
        <w:rPr>
          <w:rFonts w:ascii="Verdana" w:eastAsia="Times New Roman" w:hAnsi="Verdana" w:cs="Century Gothic"/>
        </w:rPr>
        <w:t xml:space="preserve"> para la ejecución de actividades de interés comunitario. En ese sentido, los recursos que entrega la entidad no necesariamente constituyen anticipos o pagos anticipados, sino desembolsos o transferencias para la ejecución del</w:t>
      </w:r>
      <w:r w:rsidRPr="00942980">
        <w:rPr>
          <w:rFonts w:ascii="Verdana" w:eastAsia="Times New Roman" w:hAnsi="Verdana" w:cs="Century Gothic"/>
          <w:b/>
          <w:bCs/>
        </w:rPr>
        <w:t xml:space="preserve"> </w:t>
      </w:r>
      <w:r w:rsidRPr="00942980">
        <w:rPr>
          <w:rFonts w:ascii="Verdana" w:eastAsia="Times New Roman" w:hAnsi="Verdana" w:cs="Century Gothic"/>
        </w:rPr>
        <w:t>convenio, lo que puede justificar que no se exija una garantía de manejo de anticipo cuando no exista dicha figura contractual.</w:t>
      </w:r>
      <w:r w:rsidR="00480A2A">
        <w:rPr>
          <w:rFonts w:ascii="Verdana" w:eastAsia="Times New Roman" w:hAnsi="Verdana" w:cs="Century Gothic"/>
        </w:rPr>
        <w:t xml:space="preserve"> </w:t>
      </w:r>
      <w:r w:rsidRPr="00942980">
        <w:rPr>
          <w:rFonts w:ascii="Verdana" w:eastAsia="Times New Roman" w:hAnsi="Verdana" w:cs="Century Gothic"/>
        </w:rPr>
        <w:t>Por tanto, la exigencia de póliza en los convenios solidarios no es obligatoria per se, sino que depende de la evaluación que realice la entidad en los estudios previos sobre los riesgos del convenio y la forma de administración de los recursos.</w:t>
      </w:r>
    </w:p>
    <w:p w14:paraId="0FF05DEB" w14:textId="77777777" w:rsidR="00942980" w:rsidRDefault="00942980" w:rsidP="00A820E7">
      <w:pPr>
        <w:tabs>
          <w:tab w:val="left" w:pos="142"/>
          <w:tab w:val="left" w:pos="284"/>
        </w:tabs>
        <w:spacing w:after="0" w:line="276" w:lineRule="auto"/>
        <w:contextualSpacing/>
        <w:jc w:val="both"/>
        <w:rPr>
          <w:rFonts w:ascii="Verdana" w:eastAsia="Times New Roman" w:hAnsi="Verdana" w:cs="Century Gothic"/>
        </w:rPr>
      </w:pPr>
    </w:p>
    <w:p w14:paraId="4119E5B1" w14:textId="0D95DAF9" w:rsidR="003C7702" w:rsidRDefault="003C7702" w:rsidP="00A820E7">
      <w:pPr>
        <w:tabs>
          <w:tab w:val="left" w:pos="142"/>
          <w:tab w:val="left" w:pos="284"/>
        </w:tabs>
        <w:spacing w:after="0" w:line="276" w:lineRule="auto"/>
        <w:contextualSpacing/>
        <w:jc w:val="both"/>
        <w:rPr>
          <w:rFonts w:ascii="Verdana" w:eastAsia="Times New Roman" w:hAnsi="Verdana" w:cs="Century Gothic"/>
        </w:rPr>
      </w:pPr>
    </w:p>
    <w:p w14:paraId="7854AC8B" w14:textId="09DE827A" w:rsidR="001347E9" w:rsidRDefault="001347E9" w:rsidP="001347E9">
      <w:pPr>
        <w:tabs>
          <w:tab w:val="left" w:pos="142"/>
          <w:tab w:val="left" w:pos="284"/>
        </w:tabs>
        <w:spacing w:after="0" w:line="276" w:lineRule="auto"/>
        <w:jc w:val="both"/>
        <w:rPr>
          <w:rFonts w:ascii="Verdana" w:eastAsia="Times New Roman" w:hAnsi="Verdana" w:cs="Century Gothic"/>
          <w:b/>
          <w:bCs/>
          <w:lang w:val="es-ES"/>
        </w:rPr>
      </w:pPr>
      <w:r>
        <w:rPr>
          <w:rFonts w:ascii="Verdana" w:eastAsia="Times New Roman" w:hAnsi="Verdana" w:cs="Century Gothic"/>
          <w:b/>
          <w:bCs/>
          <w:lang w:val="es-ES"/>
        </w:rPr>
        <w:t xml:space="preserve">3. </w:t>
      </w:r>
      <w:r w:rsidRPr="009A726D">
        <w:rPr>
          <w:rFonts w:ascii="Verdana" w:eastAsia="Times New Roman" w:hAnsi="Verdana" w:cs="Century Gothic"/>
          <w:b/>
          <w:bCs/>
          <w:lang w:val="es-ES"/>
        </w:rPr>
        <w:t>Razones de la respuesta:</w:t>
      </w:r>
    </w:p>
    <w:p w14:paraId="0F909CD8" w14:textId="77777777" w:rsidR="006A6268" w:rsidRDefault="006A6268" w:rsidP="001347E9">
      <w:pPr>
        <w:tabs>
          <w:tab w:val="left" w:pos="142"/>
          <w:tab w:val="left" w:pos="284"/>
        </w:tabs>
        <w:spacing w:after="0" w:line="276" w:lineRule="auto"/>
        <w:jc w:val="both"/>
        <w:rPr>
          <w:rFonts w:ascii="Verdana" w:eastAsia="Times New Roman" w:hAnsi="Verdana" w:cs="Century Gothic"/>
          <w:b/>
          <w:bCs/>
          <w:lang w:val="es-ES"/>
        </w:rPr>
      </w:pPr>
    </w:p>
    <w:p w14:paraId="4E916711" w14:textId="77777777" w:rsidR="001347E9" w:rsidRPr="009A726D" w:rsidRDefault="001347E9" w:rsidP="001347E9">
      <w:pPr>
        <w:spacing w:after="0" w:line="276" w:lineRule="auto"/>
        <w:jc w:val="both"/>
        <w:rPr>
          <w:rFonts w:ascii="Verdana" w:eastAsia="Times New Roman" w:hAnsi="Verdana" w:cs="Arial"/>
          <w:lang w:val="es-ES"/>
        </w:rPr>
      </w:pPr>
      <w:r w:rsidRPr="009A726D">
        <w:rPr>
          <w:rFonts w:ascii="Verdana" w:eastAsia="Times New Roman" w:hAnsi="Verdana" w:cs="Arial"/>
          <w:lang w:val="es-ES"/>
        </w:rPr>
        <w:t>Lo anterior se sustenta en las siguientes consideraciones:</w:t>
      </w:r>
    </w:p>
    <w:p w14:paraId="3B2BC8B3" w14:textId="77777777" w:rsidR="001347E9" w:rsidRPr="009A726D" w:rsidRDefault="001347E9" w:rsidP="001347E9">
      <w:pPr>
        <w:spacing w:after="0" w:line="276" w:lineRule="auto"/>
        <w:jc w:val="both"/>
        <w:rPr>
          <w:rFonts w:ascii="Verdana" w:eastAsia="Times New Roman" w:hAnsi="Verdana" w:cs="Arial"/>
          <w:lang w:val="es-ES"/>
        </w:rPr>
      </w:pPr>
    </w:p>
    <w:p w14:paraId="19BF467C" w14:textId="77777777" w:rsidR="001347E9" w:rsidRPr="009A726D" w:rsidRDefault="001347E9" w:rsidP="001347E9">
      <w:pPr>
        <w:spacing w:after="120" w:line="276" w:lineRule="auto"/>
        <w:ind w:firstLine="709"/>
        <w:jc w:val="both"/>
        <w:rPr>
          <w:rFonts w:ascii="Verdana" w:eastAsia="Times New Roman" w:hAnsi="Verdana" w:cs="Times New Roman"/>
        </w:rPr>
      </w:pPr>
      <w:r w:rsidRPr="009A726D">
        <w:rPr>
          <w:rFonts w:ascii="Verdana" w:eastAsia="Times New Roman" w:hAnsi="Verdana" w:cs="Times New Roman"/>
        </w:rPr>
        <w:t xml:space="preserve">Con la expedición de la Ley 2166 de 2021 se deroga la Ley 743 de 2002, se desarrolla el artículo 38 de la Constitución Política de Colombia en lo referente a los organismos de acción comunal y se establecen lineamientos para la </w:t>
      </w:r>
      <w:r w:rsidRPr="009A726D">
        <w:rPr>
          <w:rFonts w:ascii="Verdana" w:eastAsia="Times New Roman" w:hAnsi="Verdana" w:cs="Times New Roman"/>
        </w:rPr>
        <w:lastRenderedPageBreak/>
        <w:t>formulación e implementación de la política pública de los organismos de acción comunal y de sus afiliados. De acuerdo con el artículo 1 de dicho cuerpo normativo esta ley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p>
    <w:p w14:paraId="59FFB326" w14:textId="77777777" w:rsidR="001347E9" w:rsidRDefault="001347E9" w:rsidP="001347E9">
      <w:pPr>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bCs/>
          <w:color w:val="000000"/>
          <w:lang w:eastAsia="es-MX"/>
        </w:rPr>
        <w:t xml:space="preserve">En desarrollo de lo anterior, el artículo 95 de dicha ley contempla la celebración directa de convenios solidarios entre organismos de acción comunal y “los entes del orden Nacional, Departamental, Distrital y Municipal”, prescribiendo lo siguiente: </w:t>
      </w:r>
    </w:p>
    <w:p w14:paraId="11199C2A" w14:textId="77777777" w:rsidR="00211444" w:rsidRDefault="00211444" w:rsidP="001347E9">
      <w:pPr>
        <w:spacing w:after="120" w:line="276" w:lineRule="auto"/>
        <w:ind w:firstLine="709"/>
        <w:jc w:val="both"/>
        <w:rPr>
          <w:rFonts w:ascii="Verdana" w:eastAsia="Times New Roman" w:hAnsi="Verdana" w:cs="Arial"/>
          <w:bCs/>
          <w:color w:val="000000"/>
          <w:lang w:eastAsia="es-MX"/>
        </w:rPr>
      </w:pPr>
    </w:p>
    <w:p w14:paraId="319F649B" w14:textId="77777777" w:rsidR="00211444" w:rsidRDefault="00211444" w:rsidP="00211444">
      <w:pPr>
        <w:shd w:val="clear" w:color="auto" w:fill="FFFFFF"/>
        <w:spacing w:after="0" w:line="240" w:lineRule="auto"/>
        <w:ind w:left="709" w:right="709"/>
        <w:jc w:val="both"/>
        <w:rPr>
          <w:rFonts w:ascii="Verdana" w:eastAsia="Times New Roman" w:hAnsi="Verdana" w:cs="Arial"/>
          <w:color w:val="000000"/>
          <w:sz w:val="21"/>
          <w:szCs w:val="21"/>
        </w:rPr>
      </w:pPr>
      <w:r w:rsidRPr="00211444">
        <w:rPr>
          <w:rFonts w:ascii="Verdana" w:eastAsia="Times New Roman" w:hAnsi="Verdana" w:cs="Arial"/>
          <w:color w:val="000000"/>
          <w:sz w:val="21"/>
          <w:szCs w:val="21"/>
        </w:rPr>
        <w:t>“Artículo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5A3DEAAB" w14:textId="77777777" w:rsidR="00211444" w:rsidRPr="00211444" w:rsidRDefault="00211444" w:rsidP="00211444">
      <w:pPr>
        <w:shd w:val="clear" w:color="auto" w:fill="FFFFFF"/>
        <w:spacing w:after="0" w:line="240" w:lineRule="auto"/>
        <w:ind w:left="709" w:right="709"/>
        <w:jc w:val="both"/>
        <w:rPr>
          <w:rFonts w:ascii="Verdana" w:eastAsia="Times New Roman" w:hAnsi="Verdana" w:cs="Arial"/>
          <w:color w:val="000000"/>
          <w:sz w:val="21"/>
          <w:szCs w:val="21"/>
        </w:rPr>
      </w:pPr>
    </w:p>
    <w:p w14:paraId="4AE36E24" w14:textId="77777777" w:rsidR="00211444" w:rsidRDefault="00211444" w:rsidP="00211444">
      <w:pPr>
        <w:shd w:val="clear" w:color="auto" w:fill="FFFFFF"/>
        <w:spacing w:after="0" w:line="240" w:lineRule="auto"/>
        <w:ind w:left="709" w:right="709"/>
        <w:jc w:val="both"/>
        <w:rPr>
          <w:rFonts w:ascii="Verdana" w:eastAsia="Times New Roman" w:hAnsi="Verdana" w:cs="Arial"/>
          <w:color w:val="000000"/>
          <w:sz w:val="21"/>
          <w:szCs w:val="21"/>
        </w:rPr>
      </w:pPr>
      <w:r w:rsidRPr="00211444">
        <w:rPr>
          <w:rFonts w:ascii="Verdana" w:eastAsia="Times New Roman" w:hAnsi="Verdana" w:cs="Arial"/>
          <w:color w:val="000000"/>
          <w:sz w:val="21"/>
          <w:szCs w:val="21"/>
        </w:rPr>
        <w:t xml:space="preserve">Parágrafo 1. Los entes territoriales podrán incluir en el monto total de los Convenios Solidarios los costos directos, los costos administrativos y el Subsidio al dignatario representante legal para transportes de que trata el literal c) del artículo 38 de la presente ley. </w:t>
      </w:r>
    </w:p>
    <w:p w14:paraId="557A72C9" w14:textId="77777777" w:rsidR="00211444" w:rsidRPr="00211444" w:rsidRDefault="00211444" w:rsidP="00211444">
      <w:pPr>
        <w:shd w:val="clear" w:color="auto" w:fill="FFFFFF"/>
        <w:spacing w:after="0" w:line="240" w:lineRule="auto"/>
        <w:ind w:left="709" w:right="709"/>
        <w:jc w:val="both"/>
        <w:rPr>
          <w:rFonts w:ascii="Verdana" w:eastAsia="Times New Roman" w:hAnsi="Verdana" w:cs="Arial"/>
          <w:color w:val="000000"/>
          <w:sz w:val="21"/>
          <w:szCs w:val="21"/>
        </w:rPr>
      </w:pPr>
    </w:p>
    <w:p w14:paraId="12D60FD4" w14:textId="1F00D7B8" w:rsidR="004D66B8" w:rsidRDefault="00211444" w:rsidP="004D66B8">
      <w:pPr>
        <w:spacing w:after="0" w:line="240" w:lineRule="auto"/>
        <w:ind w:left="709" w:right="709"/>
        <w:jc w:val="both"/>
        <w:rPr>
          <w:rFonts w:ascii="Verdana" w:eastAsia="Times New Roman" w:hAnsi="Verdana" w:cs="Arial"/>
          <w:color w:val="000000"/>
          <w:sz w:val="21"/>
          <w:szCs w:val="21"/>
        </w:rPr>
      </w:pPr>
      <w:r w:rsidRPr="00211444">
        <w:rPr>
          <w:rFonts w:ascii="Verdana" w:eastAsia="Times New Roman" w:hAnsi="Verdana" w:cs="Arial"/>
          <w:color w:val="000000"/>
          <w:sz w:val="21"/>
          <w:szCs w:val="21"/>
        </w:rPr>
        <w:t>Parágrafo 2. Adicional del monto del Convenio Solidario, los entes territoriales deberán contar o disponer de personal técnico y administrativo-contable, para supervisar y apoyar a los Organismos de Acción Comunal en la ejecución de las obras</w:t>
      </w:r>
      <w:r w:rsidR="004D66B8">
        <w:rPr>
          <w:rFonts w:ascii="Verdana" w:eastAsia="Times New Roman" w:hAnsi="Verdana" w:cs="Arial"/>
          <w:color w:val="000000"/>
          <w:sz w:val="21"/>
          <w:szCs w:val="21"/>
        </w:rPr>
        <w:t>”</w:t>
      </w:r>
      <w:r w:rsidR="0093286C">
        <w:rPr>
          <w:rStyle w:val="Refdenotaalpie"/>
          <w:rFonts w:ascii="Verdana" w:eastAsia="Times New Roman" w:hAnsi="Verdana" w:cs="Arial"/>
          <w:color w:val="000000"/>
          <w:sz w:val="21"/>
          <w:szCs w:val="21"/>
        </w:rPr>
        <w:footnoteReference w:id="1"/>
      </w:r>
      <w:r w:rsidR="004D66B8">
        <w:rPr>
          <w:rFonts w:ascii="Verdana" w:eastAsia="Times New Roman" w:hAnsi="Verdana" w:cs="Arial"/>
          <w:color w:val="000000"/>
          <w:sz w:val="21"/>
          <w:szCs w:val="21"/>
        </w:rPr>
        <w:t xml:space="preserve">. </w:t>
      </w:r>
    </w:p>
    <w:p w14:paraId="00D8E53A" w14:textId="77777777" w:rsidR="00472E21" w:rsidRDefault="00472E21" w:rsidP="004D66B8">
      <w:pPr>
        <w:spacing w:after="0" w:line="240" w:lineRule="auto"/>
        <w:ind w:left="709" w:right="709"/>
        <w:jc w:val="both"/>
        <w:rPr>
          <w:rFonts w:ascii="Verdana" w:eastAsia="Times New Roman" w:hAnsi="Verdana" w:cs="Arial"/>
          <w:color w:val="000000"/>
          <w:sz w:val="21"/>
          <w:szCs w:val="21"/>
        </w:rPr>
      </w:pPr>
    </w:p>
    <w:p w14:paraId="3791252F" w14:textId="77777777" w:rsidR="004B2525" w:rsidRPr="009A726D" w:rsidRDefault="004B2525" w:rsidP="004B2525">
      <w:pPr>
        <w:shd w:val="clear" w:color="auto" w:fill="FFFFFF"/>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bCs/>
          <w:color w:val="000000"/>
          <w:lang w:eastAsia="es-MX"/>
        </w:rPr>
        <w:t xml:space="preserve">Según se evidencia, esta norma desarrolla las siguientes reglas: </w:t>
      </w:r>
    </w:p>
    <w:p w14:paraId="45F94393" w14:textId="564C56F6" w:rsidR="00472E21" w:rsidRDefault="004B2525" w:rsidP="004B2525">
      <w:pPr>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bCs/>
          <w:color w:val="000000"/>
          <w:lang w:eastAsia="es-MX"/>
        </w:rPr>
        <w:t xml:space="preserve">i) Las </w:t>
      </w:r>
      <w:r w:rsidRPr="009A726D">
        <w:rPr>
          <w:rFonts w:ascii="Verdana" w:eastAsia="Times New Roman" w:hAnsi="Verdana" w:cs="Arial"/>
          <w:color w:val="000000"/>
          <w:lang w:val="es-ES_tradnl"/>
        </w:rPr>
        <w:t>“</w:t>
      </w:r>
      <w:r w:rsidRPr="009A726D">
        <w:rPr>
          <w:rFonts w:ascii="Verdana" w:eastAsia="Times New Roman" w:hAnsi="Verdana" w:cs="Arial"/>
          <w:bCs/>
          <w:color w:val="000000"/>
          <w:lang w:eastAsia="es-MX"/>
        </w:rPr>
        <w:t>entidades del</w:t>
      </w:r>
      <w:r w:rsidRPr="009A726D">
        <w:rPr>
          <w:rFonts w:ascii="Verdana" w:eastAsia="Times New Roman" w:hAnsi="Verdana" w:cs="Arial"/>
          <w:color w:val="000000"/>
          <w:lang w:val="es-ES_tradnl"/>
        </w:rPr>
        <w:t xml:space="preserve"> </w:t>
      </w:r>
      <w:r w:rsidRPr="009A726D">
        <w:rPr>
          <w:rFonts w:ascii="Verdana" w:eastAsia="Times New Roman" w:hAnsi="Verdana" w:cs="Arial"/>
          <w:color w:val="000000"/>
        </w:rPr>
        <w:t>orden Nacional, Departamental, Distrital y municipal</w:t>
      </w:r>
      <w:r w:rsidRPr="009A726D">
        <w:rPr>
          <w:rFonts w:ascii="Verdana" w:eastAsia="Times New Roman" w:hAnsi="Verdana" w:cs="Arial"/>
          <w:color w:val="000000"/>
          <w:lang w:val="es-ES_tradnl"/>
        </w:rPr>
        <w:t xml:space="preserve">” y los organismos de acción comunal podrán celebrar directamente convenios solidarios, es decir, la modalidad de contratación establecida para este caso es la contratación directa. Para el efecto, debe tenerse en cuenta la clasificación que realiza el artículo 7 de la Ley 2166 de 2021 de los organismos de acción </w:t>
      </w:r>
      <w:r w:rsidRPr="009A726D">
        <w:rPr>
          <w:rFonts w:ascii="Verdana" w:eastAsia="Times New Roman" w:hAnsi="Verdana" w:cs="Arial"/>
          <w:color w:val="000000"/>
          <w:lang w:val="es-ES_tradnl"/>
        </w:rPr>
        <w:lastRenderedPageBreak/>
        <w:t>comunal, de manera que la celebración de estos convenios puede realizarse con cualquiera de los organismos de acción comunal allí contemplados, pues la norma se refiere de forma general a los organismos de acción comunal</w:t>
      </w:r>
      <w:r w:rsidRPr="009A726D">
        <w:rPr>
          <w:rFonts w:ascii="Verdana" w:eastAsia="Times New Roman" w:hAnsi="Verdana" w:cs="Times New Roman"/>
          <w:kern w:val="2"/>
          <w:vertAlign w:val="superscript"/>
          <w:lang w:val="es-ES_tradnl"/>
        </w:rPr>
        <w:footnoteReference w:id="2"/>
      </w:r>
      <w:r w:rsidRPr="009A726D">
        <w:rPr>
          <w:rFonts w:ascii="Verdana" w:eastAsia="Times New Roman" w:hAnsi="Verdana" w:cs="Arial"/>
          <w:color w:val="000000"/>
          <w:lang w:val="es-ES_tradnl"/>
        </w:rPr>
        <w:t>.</w:t>
      </w:r>
    </w:p>
    <w:p w14:paraId="69997D22" w14:textId="77777777" w:rsidR="003878EE" w:rsidRPr="009A726D" w:rsidRDefault="003878EE" w:rsidP="003878EE">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color w:val="000000"/>
          <w:lang w:val="es-ES"/>
        </w:rPr>
        <w:t xml:space="preserve">ii) Estos convenios solidarios deben tener por objeto únicamente la ejecución de obras. Esto significa que no pueden desarrollarse otros objetos distintos a la obra con fundamento en este artículo. </w:t>
      </w:r>
    </w:p>
    <w:p w14:paraId="40626382" w14:textId="77777777" w:rsidR="003878EE" w:rsidRDefault="003878EE" w:rsidP="003878EE">
      <w:pPr>
        <w:shd w:val="clear" w:color="auto" w:fill="FFFFFF"/>
        <w:spacing w:after="120" w:line="276" w:lineRule="auto"/>
        <w:ind w:firstLine="709"/>
        <w:jc w:val="both"/>
        <w:rPr>
          <w:rFonts w:ascii="Verdana" w:eastAsia="Times New Roman" w:hAnsi="Verdana" w:cs="Arial"/>
          <w:color w:val="000000"/>
          <w:lang w:val="es-ES"/>
        </w:rPr>
      </w:pPr>
      <w:r w:rsidRPr="009A726D">
        <w:rPr>
          <w:rFonts w:ascii="Verdana" w:eastAsia="Times New Roman" w:hAnsi="Verdana" w:cs="Arial"/>
          <w:color w:val="000000"/>
          <w:lang w:val="es-ES"/>
        </w:rPr>
        <w:t xml:space="preserve">iii) El convenio solidario tiene un límite consistente en que no podrá exceder la menor cuantía de la entidad. Por tanto, los sujetos señalados en la norma están facultados para celebrar estos convenios hasta por la menor cuantía de la entidad, para lo cual se atenderá lo previsto en el literal b) del artículo 2 de la Ley 1150 de 2007 para determinar el tope de la menor cuantía de la entidad estatal. </w:t>
      </w:r>
    </w:p>
    <w:p w14:paraId="6EBAD773" w14:textId="77777777" w:rsidR="00E203E9" w:rsidRPr="009A726D" w:rsidRDefault="00E203E9" w:rsidP="00E203E9">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color w:val="000000"/>
          <w:lang w:val="es-ES"/>
        </w:rPr>
        <w:t>iv) Para la ejecución de las obras se establece el deber de contratar con los habitantes de la comunidad.</w:t>
      </w:r>
    </w:p>
    <w:p w14:paraId="10E84440" w14:textId="77777777" w:rsidR="00E203E9" w:rsidRPr="009A726D" w:rsidRDefault="00E203E9" w:rsidP="00E203E9">
      <w:pPr>
        <w:shd w:val="clear" w:color="auto" w:fill="FFFFFF"/>
        <w:spacing w:after="120" w:line="276" w:lineRule="auto"/>
        <w:ind w:firstLine="709"/>
        <w:jc w:val="both"/>
        <w:rPr>
          <w:rFonts w:ascii="Verdana" w:eastAsia="Times New Roman" w:hAnsi="Verdana" w:cs="Arial"/>
          <w:color w:val="000000"/>
        </w:rPr>
      </w:pPr>
      <w:r w:rsidRPr="009A726D">
        <w:rPr>
          <w:rFonts w:ascii="Verdana" w:eastAsia="Times New Roman" w:hAnsi="Verdana" w:cs="Arial"/>
          <w:color w:val="000000"/>
          <w:lang w:val="es-ES_tradnl"/>
        </w:rPr>
        <w:t xml:space="preserve">v) En el valor total del convenio la entidad podrá incluir los costos directos, los costos administrativos y el subsidio </w:t>
      </w:r>
      <w:r w:rsidRPr="009A726D">
        <w:rPr>
          <w:rFonts w:ascii="Verdana" w:eastAsia="Times New Roman" w:hAnsi="Verdana" w:cs="Arial"/>
          <w:color w:val="000000"/>
        </w:rPr>
        <w:t xml:space="preserve">al dignatario representante legal para transportes de que trata el literal c) del artículo 38 de la Ley 2166 de 2021. Estos </w:t>
      </w:r>
      <w:r w:rsidRPr="009A726D">
        <w:rPr>
          <w:rFonts w:ascii="Verdana" w:eastAsia="Times New Roman" w:hAnsi="Verdana" w:cs="Arial"/>
          <w:color w:val="000000"/>
        </w:rPr>
        <w:lastRenderedPageBreak/>
        <w:t>costos deberán incluirse en el ejercicio de planeación que realice la entidad y estar debidamente justificados.</w:t>
      </w:r>
    </w:p>
    <w:p w14:paraId="398F0D43" w14:textId="77777777" w:rsidR="00E203E9" w:rsidRDefault="00E203E9" w:rsidP="00E203E9">
      <w:pPr>
        <w:shd w:val="clear" w:color="auto" w:fill="FFFFFF"/>
        <w:spacing w:after="120" w:line="276" w:lineRule="auto"/>
        <w:ind w:firstLine="709"/>
        <w:jc w:val="both"/>
        <w:rPr>
          <w:rFonts w:ascii="Verdana" w:eastAsia="Times New Roman" w:hAnsi="Verdana" w:cs="Arial"/>
          <w:color w:val="000000"/>
        </w:rPr>
      </w:pPr>
      <w:r w:rsidRPr="009A726D">
        <w:rPr>
          <w:rFonts w:ascii="Verdana" w:eastAsia="Times New Roman" w:hAnsi="Verdana" w:cs="Arial"/>
          <w:color w:val="000000"/>
        </w:rPr>
        <w:t>vi) Las 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p>
    <w:p w14:paraId="04EB0373" w14:textId="4C8D5446" w:rsidR="009D5805" w:rsidRDefault="009D5805" w:rsidP="00E203E9">
      <w:pPr>
        <w:shd w:val="clear" w:color="auto" w:fill="FFFFFF"/>
        <w:spacing w:after="120" w:line="276" w:lineRule="auto"/>
        <w:ind w:firstLine="709"/>
        <w:jc w:val="both"/>
        <w:rPr>
          <w:rFonts w:ascii="Verdana" w:eastAsia="Times New Roman" w:hAnsi="Verdana" w:cs="Arial"/>
          <w:color w:val="000000"/>
        </w:rPr>
      </w:pPr>
      <w:r>
        <w:rPr>
          <w:rFonts w:ascii="Verdana" w:eastAsia="Times New Roman" w:hAnsi="Verdana" w:cs="Arial"/>
          <w:color w:val="000000"/>
        </w:rPr>
        <w:t>Como se observa, el artículo 95 de la Ley 2166 de 2021 determina la celebración de contratación directa de convenios solidarios, este régimen de contratación ya se había contemplado inicialmente en el parágrafo 4 del artículo 3 de la Ley 136 de 1994</w:t>
      </w:r>
      <w:r w:rsidR="004B2FA0">
        <w:rPr>
          <w:rFonts w:ascii="Verdana" w:eastAsia="Times New Roman" w:hAnsi="Verdana" w:cs="Arial"/>
          <w:color w:val="000000"/>
        </w:rPr>
        <w:t xml:space="preserve">. Sin embargo, el contenido del artículo 95 es </w:t>
      </w:r>
      <w:r w:rsidR="00166A54">
        <w:rPr>
          <w:rFonts w:ascii="Verdana" w:eastAsia="Times New Roman" w:hAnsi="Verdana" w:cs="Arial"/>
          <w:color w:val="000000"/>
        </w:rPr>
        <w:t>más</w:t>
      </w:r>
      <w:r w:rsidR="004B2FA0">
        <w:rPr>
          <w:rFonts w:ascii="Verdana" w:eastAsia="Times New Roman" w:hAnsi="Verdana" w:cs="Arial"/>
          <w:color w:val="000000"/>
        </w:rPr>
        <w:t xml:space="preserve"> amplio en relación con los sujetos</w:t>
      </w:r>
      <w:r w:rsidR="00166A54">
        <w:rPr>
          <w:rFonts w:ascii="Verdana" w:eastAsia="Times New Roman" w:hAnsi="Verdana" w:cs="Arial"/>
          <w:color w:val="000000"/>
        </w:rPr>
        <w:t>, la cuantía del contrato y la ejecución de dichos convenios.</w:t>
      </w:r>
    </w:p>
    <w:p w14:paraId="3B172027" w14:textId="14536DB4" w:rsidR="004955B9" w:rsidRDefault="00166A54" w:rsidP="004955B9">
      <w:pPr>
        <w:shd w:val="clear" w:color="auto" w:fill="FFFFFF"/>
        <w:spacing w:after="120" w:line="276" w:lineRule="auto"/>
        <w:ind w:firstLine="709"/>
        <w:jc w:val="both"/>
        <w:rPr>
          <w:rFonts w:ascii="Verdana" w:eastAsia="Times New Roman" w:hAnsi="Verdana" w:cs="Arial"/>
          <w:color w:val="000000"/>
        </w:rPr>
      </w:pPr>
      <w:r>
        <w:rPr>
          <w:rFonts w:ascii="Verdana" w:eastAsia="Times New Roman" w:hAnsi="Verdana" w:cs="Arial"/>
          <w:color w:val="000000"/>
        </w:rPr>
        <w:t xml:space="preserve">En ese sentido, el artículo </w:t>
      </w:r>
      <w:r w:rsidR="006A6484">
        <w:rPr>
          <w:rFonts w:ascii="Verdana" w:eastAsia="Times New Roman" w:hAnsi="Verdana" w:cs="Arial"/>
          <w:color w:val="000000"/>
        </w:rPr>
        <w:t xml:space="preserve">95 incluye a los “entes del orden nacional”, Departamental, Distrital y Municipal” y a los “organismos de acción comunal”, es decir, conforme a esta Ley </w:t>
      </w:r>
      <w:r w:rsidR="00C4296D">
        <w:rPr>
          <w:rFonts w:ascii="Verdana" w:eastAsia="Times New Roman" w:hAnsi="Verdana" w:cs="Arial"/>
          <w:color w:val="000000"/>
        </w:rPr>
        <w:t xml:space="preserve">podrán celebrar convenios solidarios directamente, no solo en los entes territoriales del orden departamental, municipal y distrital, sino también a las entidades del orden nacional, y se podrán celebrar </w:t>
      </w:r>
      <w:r w:rsidR="00092533">
        <w:rPr>
          <w:rFonts w:ascii="Verdana" w:eastAsia="Times New Roman" w:hAnsi="Verdana" w:cs="Arial"/>
          <w:color w:val="000000"/>
        </w:rPr>
        <w:t>con todos</w:t>
      </w:r>
      <w:r w:rsidR="00C4296D">
        <w:rPr>
          <w:rFonts w:ascii="Verdana" w:eastAsia="Times New Roman" w:hAnsi="Verdana" w:cs="Arial"/>
          <w:color w:val="000000"/>
        </w:rPr>
        <w:t xml:space="preserve"> los </w:t>
      </w:r>
      <w:r w:rsidR="00092533">
        <w:rPr>
          <w:rFonts w:ascii="Verdana" w:eastAsia="Times New Roman" w:hAnsi="Verdana" w:cs="Arial"/>
          <w:color w:val="000000"/>
        </w:rPr>
        <w:t>organismos</w:t>
      </w:r>
      <w:r w:rsidR="00C4296D">
        <w:rPr>
          <w:rFonts w:ascii="Verdana" w:eastAsia="Times New Roman" w:hAnsi="Verdana" w:cs="Arial"/>
          <w:color w:val="000000"/>
        </w:rPr>
        <w:t xml:space="preserve"> de acción comunal y no únicamente con la</w:t>
      </w:r>
      <w:r w:rsidR="00092533">
        <w:rPr>
          <w:rFonts w:ascii="Verdana" w:eastAsia="Times New Roman" w:hAnsi="Verdana" w:cs="Arial"/>
          <w:color w:val="000000"/>
        </w:rPr>
        <w:t>s juntas de acción comunal. Además, se amplía la cuantía de los convenios permitiendo que se contraten hasta por la menor cuantía y no solo por la mínima cuantía</w:t>
      </w:r>
      <w:r w:rsidR="004955B9">
        <w:rPr>
          <w:rFonts w:ascii="Verdana" w:eastAsia="Times New Roman" w:hAnsi="Verdana" w:cs="Arial"/>
          <w:color w:val="000000"/>
        </w:rPr>
        <w:t>. En cuanto al objeto, las normas son claras en señalar que se trata de la ejecución de obra</w:t>
      </w:r>
      <w:r w:rsidR="00CF5308">
        <w:rPr>
          <w:rFonts w:ascii="Verdana" w:eastAsia="Times New Roman" w:hAnsi="Verdana" w:cs="Arial"/>
          <w:color w:val="000000"/>
        </w:rPr>
        <w:t>. Por lo demás, dichos aspectos se sintetizan en el desarrollo reglamentario del Decreto 142 de 2023, el cual adiciona el artículo 2.2.1.</w:t>
      </w:r>
      <w:r w:rsidR="00A51791">
        <w:rPr>
          <w:rFonts w:ascii="Verdana" w:eastAsia="Times New Roman" w:hAnsi="Verdana" w:cs="Arial"/>
          <w:color w:val="000000"/>
        </w:rPr>
        <w:t xml:space="preserve">5.1.2 del Decreto 1082 de 2015 en los siguientes términos: </w:t>
      </w:r>
    </w:p>
    <w:p w14:paraId="3B55B01D" w14:textId="77777777" w:rsidR="00A51791" w:rsidRPr="008F42FA" w:rsidRDefault="00A51791" w:rsidP="00BB0F64">
      <w:pPr>
        <w:shd w:val="clear" w:color="auto" w:fill="FFFFFF"/>
        <w:spacing w:after="0" w:line="240" w:lineRule="auto"/>
        <w:ind w:left="709" w:right="709"/>
        <w:jc w:val="both"/>
        <w:rPr>
          <w:rFonts w:ascii="Verdana" w:eastAsia="Times New Roman" w:hAnsi="Verdana" w:cs="Arial"/>
          <w:color w:val="000000"/>
          <w:sz w:val="21"/>
          <w:szCs w:val="21"/>
        </w:rPr>
      </w:pPr>
    </w:p>
    <w:p w14:paraId="660E364F" w14:textId="77777777" w:rsidR="008F42FA" w:rsidRPr="008F42FA" w:rsidRDefault="008F42FA" w:rsidP="00BB0F64">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8F42FA">
        <w:rPr>
          <w:rFonts w:ascii="Verdana" w:eastAsia="Times New Roman" w:hAnsi="Verdana" w:cs="Arial"/>
          <w:bCs/>
          <w:color w:val="000000"/>
          <w:sz w:val="21"/>
          <w:szCs w:val="21"/>
          <w:lang w:eastAsia="es-MX"/>
        </w:rPr>
        <w:t>“Artículo 2.2.15.1.2. Convenios solidarios para la ejecución de obras. De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4A46737A" w14:textId="77777777" w:rsidR="008F42FA" w:rsidRPr="008F42FA" w:rsidRDefault="008F42FA" w:rsidP="00BB0F64">
      <w:pPr>
        <w:shd w:val="clear" w:color="auto" w:fill="FFFFFF"/>
        <w:spacing w:after="0" w:line="240" w:lineRule="auto"/>
        <w:ind w:left="709" w:right="709"/>
        <w:jc w:val="both"/>
        <w:rPr>
          <w:rFonts w:ascii="Verdana" w:eastAsia="Times New Roman" w:hAnsi="Verdana" w:cs="Arial"/>
          <w:bCs/>
          <w:color w:val="000000"/>
          <w:sz w:val="21"/>
          <w:szCs w:val="21"/>
          <w:lang w:eastAsia="es-MX"/>
        </w:rPr>
      </w:pPr>
    </w:p>
    <w:p w14:paraId="0BC8F60D" w14:textId="77777777" w:rsidR="008F42FA" w:rsidRPr="008F42FA" w:rsidRDefault="008F42FA" w:rsidP="00BB0F64">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8F42FA">
        <w:rPr>
          <w:rFonts w:ascii="Verdana" w:eastAsia="Times New Roman" w:hAnsi="Verdana" w:cs="Arial"/>
          <w:bCs/>
          <w:color w:val="000000"/>
          <w:sz w:val="21"/>
          <w:szCs w:val="21"/>
          <w:lang w:eastAsia="es-MX"/>
        </w:rPr>
        <w:lastRenderedPageBreak/>
        <w:t>Estos convenios solidarios solo podrán tener por objeto la ejecución de obras. Para la ejecución de estas obras los Organismos de Acción Comunal deberán procurar vincular a los habitantes de la comunidad”.</w:t>
      </w:r>
    </w:p>
    <w:p w14:paraId="37940553" w14:textId="77777777" w:rsidR="008F42FA" w:rsidRPr="009A726D" w:rsidRDefault="008F42FA" w:rsidP="008F42FA">
      <w:pPr>
        <w:shd w:val="clear" w:color="auto" w:fill="FFFFFF"/>
        <w:spacing w:after="0" w:line="276" w:lineRule="auto"/>
        <w:jc w:val="both"/>
        <w:rPr>
          <w:rFonts w:ascii="Verdana" w:eastAsia="Times New Roman" w:hAnsi="Verdana" w:cs="Arial"/>
          <w:bCs/>
          <w:color w:val="000000"/>
          <w:lang w:eastAsia="es-MX"/>
        </w:rPr>
      </w:pPr>
    </w:p>
    <w:p w14:paraId="4C9365FA" w14:textId="77777777" w:rsidR="008506C6" w:rsidRDefault="008506C6" w:rsidP="00342B6F">
      <w:pPr>
        <w:shd w:val="clear" w:color="auto" w:fill="FFFFFF"/>
        <w:spacing w:after="120" w:line="276" w:lineRule="auto"/>
        <w:ind w:firstLine="709"/>
        <w:jc w:val="both"/>
        <w:rPr>
          <w:rFonts w:ascii="Verdana" w:eastAsia="Times New Roman" w:hAnsi="Verdana" w:cs="Arial"/>
          <w:color w:val="000000"/>
          <w:lang w:val="es-ES_tradnl"/>
        </w:rPr>
      </w:pPr>
      <w:r w:rsidRPr="009A726D">
        <w:rPr>
          <w:rFonts w:ascii="Verdana" w:eastAsia="Times New Roman" w:hAnsi="Verdana" w:cs="Arial"/>
          <w:bCs/>
          <w:color w:val="000000"/>
          <w:lang w:eastAsia="es-MX"/>
        </w:rPr>
        <w:t xml:space="preserve">De acuerdo con lo señalado, el documento tipo adoptado por la Agencia Nacional de Contratación Pública </w:t>
      </w:r>
      <w:r w:rsidRPr="009A726D">
        <w:rPr>
          <w:rFonts w:ascii="Verdana" w:eastAsia="Times New Roman" w:hAnsi="Verdana" w:cs="Arial"/>
          <w:color w:val="000000"/>
          <w:lang w:val="es-ES" w:eastAsia="es-ES"/>
        </w:rPr>
        <w:t>– Colombia Compra Eficiente</w:t>
      </w:r>
      <w:r w:rsidRPr="009A726D">
        <w:rPr>
          <w:rFonts w:ascii="Verdana" w:eastAsia="Times New Roman" w:hAnsi="Verdana" w:cs="Arial"/>
          <w:spacing w:val="2"/>
          <w:lang w:eastAsia="es-CO"/>
        </w:rPr>
        <w:t xml:space="preserve"> </w:t>
      </w:r>
      <w:r w:rsidRPr="009A726D">
        <w:rPr>
          <w:rFonts w:ascii="Verdana" w:eastAsia="Times New Roman" w:hAnsi="Verdana" w:cs="Arial"/>
          <w:bCs/>
          <w:color w:val="000000"/>
          <w:lang w:eastAsia="es-MX"/>
        </w:rPr>
        <w:t>mediante la Resolución 358 del 30 de junio de 2023, tiene como fundamento el régimen de contratación directa de los convenios solidarios señalado en el artículo 95 de la Ley 2166 de 2021, por lo que únicamente puede realizarse conforme a lo dispuesto en dicha norma, de manera que podrán celebrarse hasta por l</w:t>
      </w:r>
      <w:r w:rsidRPr="009A726D">
        <w:rPr>
          <w:rFonts w:ascii="Verdana" w:eastAsia="Times New Roman" w:hAnsi="Verdana" w:cs="Arial"/>
          <w:color w:val="000000"/>
          <w:lang w:val="es-ES_tradnl"/>
        </w:rPr>
        <w:t>a menor cuantía de la entidad estatal sometida al Estatuto General de Contratación de la Administración Pública.</w:t>
      </w:r>
    </w:p>
    <w:p w14:paraId="3E5F8128" w14:textId="77777777" w:rsidR="00342B6F" w:rsidRPr="009A726D" w:rsidRDefault="00342B6F" w:rsidP="00342B6F">
      <w:pPr>
        <w:shd w:val="clear" w:color="auto" w:fill="FFFFFF"/>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bCs/>
          <w:color w:val="000000"/>
          <w:lang w:eastAsia="es-MX"/>
        </w:rPr>
        <w:t>Respecto a la determinación de la menor cuantía de la entidad, debe observarse lo previsto en el literal b) del numeral 2 del artículo 2 de la Ley 1150 de 2007, el cual prescribe lo siguiente:</w:t>
      </w:r>
    </w:p>
    <w:p w14:paraId="70EA9DFD" w14:textId="77777777" w:rsidR="00342B6F" w:rsidRPr="009A726D" w:rsidRDefault="00342B6F" w:rsidP="00342B6F">
      <w:pPr>
        <w:shd w:val="clear" w:color="auto" w:fill="FFFFFF"/>
        <w:spacing w:after="0" w:line="276" w:lineRule="auto"/>
        <w:ind w:firstLine="709"/>
        <w:jc w:val="both"/>
        <w:rPr>
          <w:rFonts w:ascii="Verdana" w:eastAsia="Times New Roman" w:hAnsi="Verdana" w:cs="Arial"/>
          <w:bCs/>
          <w:color w:val="000000"/>
          <w:lang w:eastAsia="es-MX"/>
        </w:rPr>
      </w:pPr>
    </w:p>
    <w:p w14:paraId="73BBF788"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w:t>
      </w:r>
    </w:p>
    <w:p w14:paraId="0D1409BB"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b) La contratación de menor cuantía. Se entenderá por menor cuantía los valores que a continuación se relacionan, determinados en función de los presupuestos anuales de las entidades públicas expresados en salarios mínimos legales mensuales. </w:t>
      </w:r>
    </w:p>
    <w:p w14:paraId="54C5FF02"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p>
    <w:p w14:paraId="4AD4D2C8"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Para las entidades que tengan un presupuesto anual superior o igual a 1.200.000 salarios mínimos legales mensuales, la menor cuantía será hasta 1.000 salarios mínimos legales mensuales. </w:t>
      </w:r>
    </w:p>
    <w:p w14:paraId="61A72170"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  </w:t>
      </w:r>
    </w:p>
    <w:p w14:paraId="63BABD45"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Las que tengan un presupuesto anual superior o igual a 850.000 salarios mínimos legales mensuales e inferiores a 1.200.000 salarios mínimos legales mensuales, la menor cuantía será hasta 850 salarios mínimos legales mensuales. </w:t>
      </w:r>
    </w:p>
    <w:p w14:paraId="0DFBFC60"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  </w:t>
      </w:r>
    </w:p>
    <w:p w14:paraId="170DAF77"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Las que tengan un presupuesto anual superior o igual a 400.000 salarios mínimos legales mensuales e inferior a 850.000 salarios mínimos legales mensuales, la menor cuantía será hasta 650 salarios mínimos legales mensuales. </w:t>
      </w:r>
    </w:p>
    <w:p w14:paraId="3DAF61B9" w14:textId="77777777" w:rsidR="00E213B8" w:rsidRDefault="00342B6F" w:rsidP="00E213B8">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  </w:t>
      </w:r>
    </w:p>
    <w:p w14:paraId="45ADDA67" w14:textId="37C28D31" w:rsidR="00342B6F" w:rsidRPr="00342B6F" w:rsidRDefault="00342B6F" w:rsidP="00E213B8">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 xml:space="preserve">Las que tengan un presupuesto anual superior o igual a 120.000 salarios mínimos legales mensuales e inferior a 400.000 salarios mínimos legales mensuales, la menor cuantía será hasta 450 salarios mínimos legales mensuales. </w:t>
      </w:r>
    </w:p>
    <w:p w14:paraId="39A08AD8" w14:textId="77777777" w:rsidR="00342B6F" w:rsidRP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lastRenderedPageBreak/>
        <w:t xml:space="preserve">  </w:t>
      </w:r>
    </w:p>
    <w:p w14:paraId="5EFB60C0" w14:textId="77777777" w:rsidR="00342B6F" w:rsidRDefault="00342B6F"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r w:rsidRPr="00342B6F">
        <w:rPr>
          <w:rFonts w:ascii="Verdana" w:eastAsia="Times New Roman" w:hAnsi="Verdana" w:cs="Arial"/>
          <w:bCs/>
          <w:color w:val="000000"/>
          <w:sz w:val="21"/>
          <w:szCs w:val="21"/>
          <w:lang w:eastAsia="es-MX"/>
        </w:rPr>
        <w:t>Las que tengan un presupuesto anual inferior a 120.000 salarios mínimos legales mensuales, la menor cuantía será hasta 280 salarios mínimos legales mensuales; […]”</w:t>
      </w:r>
    </w:p>
    <w:p w14:paraId="611F4790" w14:textId="77777777" w:rsidR="00E213B8" w:rsidRDefault="00E213B8" w:rsidP="00342B6F">
      <w:pPr>
        <w:shd w:val="clear" w:color="auto" w:fill="FFFFFF"/>
        <w:spacing w:after="0" w:line="240" w:lineRule="auto"/>
        <w:ind w:left="709" w:right="709"/>
        <w:jc w:val="both"/>
        <w:rPr>
          <w:rFonts w:ascii="Verdana" w:eastAsia="Times New Roman" w:hAnsi="Verdana" w:cs="Arial"/>
          <w:bCs/>
          <w:color w:val="000000"/>
          <w:sz w:val="21"/>
          <w:szCs w:val="21"/>
          <w:lang w:eastAsia="es-MX"/>
        </w:rPr>
      </w:pPr>
    </w:p>
    <w:p w14:paraId="7FFC9922" w14:textId="77777777" w:rsidR="00E213B8" w:rsidRPr="009A726D" w:rsidRDefault="00E213B8" w:rsidP="00E213B8">
      <w:pPr>
        <w:shd w:val="clear" w:color="auto" w:fill="FFFFFF"/>
        <w:spacing w:after="120" w:line="276" w:lineRule="auto"/>
        <w:ind w:firstLine="709"/>
        <w:jc w:val="both"/>
        <w:rPr>
          <w:rFonts w:ascii="Verdana" w:eastAsia="Times New Roman" w:hAnsi="Verdana" w:cs="Arial"/>
          <w:color w:val="000000"/>
        </w:rPr>
      </w:pPr>
      <w:r w:rsidRPr="009A726D">
        <w:rPr>
          <w:rFonts w:ascii="Verdana" w:eastAsia="Times New Roman" w:hAnsi="Verdana" w:cs="Arial"/>
          <w:bCs/>
          <w:color w:val="000000"/>
          <w:lang w:eastAsia="es-MX"/>
        </w:rPr>
        <w:t>Como puede apreciarse, la norma transcrita señala que la determinación de la menor cuantía de la entidad depende de su presupuesto anual expresado en salarios mínimos legales mensuales vigentes. Una vez se realice esta operación, deberán observarse los rangos establecidos en el precitado artículo, para efectos de determinar la procedencia de celebrar un convenio solidario de obra con un Organismo de Acción Comunal.</w:t>
      </w:r>
    </w:p>
    <w:p w14:paraId="188BA756" w14:textId="77777777" w:rsidR="00E213B8" w:rsidRPr="009A726D" w:rsidRDefault="00E213B8" w:rsidP="00E213B8">
      <w:pPr>
        <w:shd w:val="clear" w:color="auto" w:fill="FFFFFF"/>
        <w:spacing w:after="120" w:line="276" w:lineRule="auto"/>
        <w:ind w:firstLine="709"/>
        <w:jc w:val="both"/>
        <w:rPr>
          <w:rFonts w:ascii="Verdana" w:eastAsia="Times New Roman" w:hAnsi="Verdana" w:cs="Arial"/>
          <w:bCs/>
          <w:lang w:eastAsia="es-MX"/>
        </w:rPr>
      </w:pPr>
      <w:r w:rsidRPr="009A726D">
        <w:rPr>
          <w:rFonts w:ascii="Verdana" w:eastAsia="Times New Roman" w:hAnsi="Verdana" w:cs="Arial"/>
          <w:bCs/>
          <w:lang w:eastAsia="es-MX"/>
        </w:rPr>
        <w:t>En relación con los sujetos, es importante señalar que,</w:t>
      </w:r>
      <w:r w:rsidRPr="009A726D">
        <w:rPr>
          <w:rFonts w:ascii="Verdana" w:eastAsia="Times New Roman" w:hAnsi="Verdana" w:cs="Arial"/>
          <w:lang w:val="es-ES_tradnl"/>
        </w:rPr>
        <w:t xml:space="preserve"> aunque la norma de forma imprecisa incluye como parte de los “entes territoriales” a las entidades del orden nacional</w:t>
      </w:r>
      <w:r w:rsidRPr="009A726D">
        <w:rPr>
          <w:rFonts w:ascii="Verdana" w:eastAsia="Times New Roman" w:hAnsi="Verdana" w:cs="Arial"/>
          <w:vertAlign w:val="superscript"/>
          <w:lang w:val="es-ES_tradnl"/>
        </w:rPr>
        <w:footnoteReference w:id="3"/>
      </w:r>
      <w:r w:rsidRPr="009A726D">
        <w:rPr>
          <w:rFonts w:ascii="Verdana" w:eastAsia="Times New Roman" w:hAnsi="Verdana" w:cs="Arial"/>
          <w:lang w:val="es-ES_tradnl"/>
        </w:rPr>
        <w:t xml:space="preserve">, a juicio de esta Agencia su intención no es otra que incluir a las entidades del orden nacional dentro de los sujetos que pueden celebrar estos convenios solidarios con los Organismos de Acción Comunal. Esta interpretación resulta coherente </w:t>
      </w:r>
      <w:r w:rsidRPr="009A726D">
        <w:rPr>
          <w:rFonts w:ascii="Verdana" w:eastAsia="Times New Roman" w:hAnsi="Verdana" w:cs="Arial"/>
          <w:bCs/>
          <w:lang w:eastAsia="es-MX"/>
        </w:rPr>
        <w:t xml:space="preserve">con lo señalado en el trámite legislativo en el Congreso de la República de la Ley 2166 de 2021, conforme al cual esta iniciativa legislativa pretende fortalecer las organizaciones comunales </w:t>
      </w:r>
      <w:r w:rsidRPr="009A726D">
        <w:rPr>
          <w:rFonts w:ascii="Verdana" w:eastAsia="Times New Roman" w:hAnsi="Verdana" w:cs="Arial"/>
          <w:lang w:val="es-ES_tradnl"/>
        </w:rPr>
        <w:t>“</w:t>
      </w:r>
      <w:r w:rsidRPr="009A726D">
        <w:rPr>
          <w:rFonts w:ascii="Verdana" w:eastAsia="Times New Roman" w:hAnsi="Verdana" w:cs="Arial"/>
          <w:bCs/>
          <w:lang w:eastAsia="es-MX"/>
        </w:rPr>
        <w:t xml:space="preserve">incentivando la formulación y ejecución de los Planes de Desarrollo Estratégicos Comunales y </w:t>
      </w:r>
      <w:r w:rsidRPr="009A726D">
        <w:rPr>
          <w:rFonts w:ascii="Verdana" w:eastAsia="Times New Roman" w:hAnsi="Verdana" w:cs="Arial"/>
          <w:bCs/>
          <w:i/>
          <w:iCs/>
          <w:lang w:eastAsia="es-MX"/>
        </w:rPr>
        <w:t>su capacidad de contratación social con el Estado</w:t>
      </w:r>
      <w:r w:rsidRPr="009A726D">
        <w:rPr>
          <w:rFonts w:ascii="Verdana" w:eastAsia="Times New Roman" w:hAnsi="Verdana" w:cs="Arial"/>
          <w:bCs/>
          <w:lang w:eastAsia="es-MX"/>
        </w:rPr>
        <w:t xml:space="preserve"> a través de herramientas que beneficien el desarrollo de los territorios y sus comunidades</w:t>
      </w:r>
      <w:r w:rsidRPr="009A726D">
        <w:rPr>
          <w:rFonts w:ascii="Verdana" w:eastAsia="Times New Roman" w:hAnsi="Verdana" w:cs="Arial"/>
          <w:lang w:val="es-ES_tradnl"/>
        </w:rPr>
        <w:t>”</w:t>
      </w:r>
      <w:r w:rsidRPr="009A726D">
        <w:rPr>
          <w:rFonts w:ascii="Verdana" w:eastAsia="Times New Roman" w:hAnsi="Verdana" w:cs="Arial"/>
          <w:vertAlign w:val="superscript"/>
          <w:lang w:val="es-ES_tradnl"/>
        </w:rPr>
        <w:footnoteReference w:id="4"/>
      </w:r>
      <w:r w:rsidRPr="009A726D">
        <w:rPr>
          <w:rFonts w:ascii="Verdana" w:eastAsia="Times New Roman" w:hAnsi="Verdana" w:cs="Arial"/>
          <w:lang w:val="es-ES_tradnl"/>
        </w:rPr>
        <w:t xml:space="preserve"> (Énfasis por fuera de texto)</w:t>
      </w:r>
      <w:r w:rsidRPr="009A726D">
        <w:rPr>
          <w:rFonts w:ascii="Verdana" w:eastAsia="Times New Roman" w:hAnsi="Verdana" w:cs="Arial"/>
          <w:bCs/>
          <w:lang w:eastAsia="es-MX"/>
        </w:rPr>
        <w:t xml:space="preserve">. </w:t>
      </w:r>
    </w:p>
    <w:p w14:paraId="409F5CFE" w14:textId="77777777" w:rsidR="00E213B8" w:rsidRDefault="00E213B8" w:rsidP="00E213B8">
      <w:pPr>
        <w:shd w:val="clear" w:color="auto" w:fill="FFFFFF"/>
        <w:spacing w:after="120" w:line="276" w:lineRule="auto"/>
        <w:ind w:firstLine="709"/>
        <w:jc w:val="both"/>
        <w:rPr>
          <w:rFonts w:ascii="Verdana" w:eastAsia="Times New Roman" w:hAnsi="Verdana" w:cs="Arial"/>
          <w:bCs/>
          <w:lang w:eastAsia="es-MX"/>
        </w:rPr>
      </w:pPr>
      <w:r w:rsidRPr="009A726D">
        <w:rPr>
          <w:rFonts w:ascii="Verdana" w:eastAsia="Times New Roman" w:hAnsi="Verdana" w:cs="Arial"/>
          <w:bCs/>
          <w:lang w:eastAsia="es-MX"/>
        </w:rPr>
        <w:t xml:space="preserve">Asimismo, el artículo 1 de la Ley 2166 de 2021 señala como objetivo de esta </w:t>
      </w:r>
      <w:r w:rsidRPr="009A726D">
        <w:rPr>
          <w:rFonts w:ascii="Verdana" w:eastAsia="Times New Roman" w:hAnsi="Verdana" w:cs="Arial"/>
          <w:lang w:val="es-ES_tradnl"/>
        </w:rPr>
        <w:t>“</w:t>
      </w:r>
      <w:r w:rsidRPr="009A726D">
        <w:rPr>
          <w:rFonts w:ascii="Verdana" w:eastAsia="Times New Roman" w:hAnsi="Verdana" w:cs="Arial"/>
        </w:rPr>
        <w:t>establecer un marco jurídico para sus relaciones con el Estado y con los particulares, así como para el cabal ejercicio de derechos y deberes</w:t>
      </w:r>
      <w:r w:rsidRPr="009A726D">
        <w:rPr>
          <w:rFonts w:ascii="Verdana" w:eastAsia="Times New Roman" w:hAnsi="Verdana" w:cs="Arial"/>
          <w:lang w:val="es-ES_tradnl"/>
        </w:rPr>
        <w:t>”</w:t>
      </w:r>
      <w:r w:rsidRPr="009A726D">
        <w:rPr>
          <w:rFonts w:ascii="Verdana" w:eastAsia="Times New Roman" w:hAnsi="Verdana" w:cs="Arial"/>
          <w:bCs/>
          <w:lang w:eastAsia="es-MX"/>
        </w:rPr>
        <w:t xml:space="preserve">. De esta manera, el artículo 95 </w:t>
      </w:r>
      <w:r w:rsidRPr="009A726D">
        <w:rPr>
          <w:rFonts w:ascii="Verdana" w:eastAsia="Times New Roman" w:hAnsi="Verdana" w:cs="Arial"/>
          <w:bCs/>
          <w:i/>
          <w:iCs/>
          <w:lang w:eastAsia="es-MX"/>
        </w:rPr>
        <w:t xml:space="preserve">ibidem </w:t>
      </w:r>
      <w:r w:rsidRPr="009A726D">
        <w:rPr>
          <w:rFonts w:ascii="Verdana" w:eastAsia="Times New Roman" w:hAnsi="Verdana" w:cs="Arial"/>
          <w:bCs/>
          <w:lang w:eastAsia="es-MX"/>
        </w:rPr>
        <w:t>desarrolla estos objetivos y</w:t>
      </w:r>
      <w:r w:rsidRPr="009A726D">
        <w:rPr>
          <w:rFonts w:ascii="Verdana" w:eastAsia="Times New Roman" w:hAnsi="Verdana" w:cs="Arial"/>
          <w:bCs/>
          <w:i/>
          <w:iCs/>
          <w:lang w:eastAsia="es-MX"/>
        </w:rPr>
        <w:t xml:space="preserve"> </w:t>
      </w:r>
      <w:r w:rsidRPr="009A726D">
        <w:rPr>
          <w:rFonts w:ascii="Verdana" w:eastAsia="Times New Roman" w:hAnsi="Verdana" w:cs="Arial"/>
          <w:bCs/>
          <w:lang w:eastAsia="es-MX"/>
        </w:rPr>
        <w:t xml:space="preserve">permite la celebración de convenios solidarios con entidades territoriales del orden departamental, municipal y distrital, así como con las entidades del orden nacional.  </w:t>
      </w:r>
    </w:p>
    <w:p w14:paraId="132EB4AE" w14:textId="77777777" w:rsidR="005A50F4" w:rsidRPr="009A726D" w:rsidRDefault="005A50F4" w:rsidP="005A50F4">
      <w:pPr>
        <w:shd w:val="clear" w:color="auto" w:fill="FFFFFF"/>
        <w:spacing w:after="120" w:line="276" w:lineRule="auto"/>
        <w:ind w:firstLine="709"/>
        <w:jc w:val="both"/>
        <w:rPr>
          <w:rFonts w:ascii="Verdana" w:eastAsia="Times New Roman" w:hAnsi="Verdana" w:cs="Arial"/>
          <w:bCs/>
          <w:color w:val="000000" w:themeColor="text1"/>
          <w:lang w:eastAsia="es-MX"/>
        </w:rPr>
      </w:pPr>
      <w:r w:rsidRPr="009A726D">
        <w:rPr>
          <w:rFonts w:ascii="Verdana" w:eastAsia="Times New Roman" w:hAnsi="Verdana" w:cs="Arial"/>
          <w:bCs/>
          <w:color w:val="000000" w:themeColor="text1"/>
          <w:lang w:eastAsia="es-MX"/>
        </w:rPr>
        <w:lastRenderedPageBreak/>
        <w:t>En este sentido, el régimen de contratación directa de los convenios solidarios señalado en el artículo 95 de la Ley 2166 de 2021 únicamente puede realizarse conforme a lo dispuesto en dicha norma, de manera que no podrá extenderse a otros objetos distintos al de obra, siempre que se cumplan con los demás presupuestos indicados.</w:t>
      </w:r>
    </w:p>
    <w:p w14:paraId="01D63089" w14:textId="77777777" w:rsidR="005A50F4" w:rsidRPr="009A726D" w:rsidRDefault="005A50F4" w:rsidP="005A50F4">
      <w:pPr>
        <w:shd w:val="clear" w:color="auto" w:fill="FFFFFF"/>
        <w:spacing w:after="120" w:line="276" w:lineRule="auto"/>
        <w:ind w:firstLine="709"/>
        <w:jc w:val="both"/>
        <w:rPr>
          <w:rFonts w:ascii="Verdana" w:eastAsia="Times New Roman" w:hAnsi="Verdana" w:cs="Arial"/>
          <w:color w:val="000000" w:themeColor="text1"/>
          <w:lang w:eastAsia="es-MX"/>
        </w:rPr>
      </w:pPr>
      <w:r w:rsidRPr="009A726D">
        <w:rPr>
          <w:rFonts w:ascii="Verdana" w:eastAsia="Times New Roman" w:hAnsi="Verdana" w:cs="Arial"/>
          <w:bCs/>
          <w:color w:val="000000" w:themeColor="text1"/>
          <w:lang w:eastAsia="es-MX"/>
        </w:rPr>
        <w:t xml:space="preserve">Es preciso señalar que conforme con el artículo 63 de la </w:t>
      </w:r>
      <w:r w:rsidRPr="009A726D">
        <w:rPr>
          <w:rFonts w:ascii="Verdana" w:eastAsia="Times New Roman" w:hAnsi="Verdana" w:cs="Arial"/>
          <w:color w:val="000000" w:themeColor="text1"/>
          <w:lang w:eastAsia="es-MX"/>
        </w:rPr>
        <w:t xml:space="preserve">Ley 2166 de 2021, las organizaciones comunales cuentan con la posibilidad de vincularse al desarrollo y mejoramiento municipal mediante la participación en el ejercicio de las funciones, la prestación de servicios o la ejecución de obras públicas a cargo de la administración central o descentralizada. El tenor literal de este artículo es el siguiente: </w:t>
      </w:r>
    </w:p>
    <w:p w14:paraId="1110A986" w14:textId="77777777" w:rsidR="005A50F4" w:rsidRPr="009A726D" w:rsidRDefault="005A50F4" w:rsidP="005A50F4">
      <w:pPr>
        <w:shd w:val="clear" w:color="auto" w:fill="FFFFFF" w:themeFill="background1"/>
        <w:spacing w:after="0" w:line="276" w:lineRule="auto"/>
        <w:ind w:firstLine="709"/>
        <w:jc w:val="both"/>
        <w:rPr>
          <w:rFonts w:ascii="Verdana" w:eastAsia="Times New Roman" w:hAnsi="Verdana" w:cs="Arial"/>
          <w:color w:val="000000" w:themeColor="text1"/>
          <w:lang w:val="es-ES" w:eastAsia="es-MX"/>
        </w:rPr>
      </w:pPr>
    </w:p>
    <w:p w14:paraId="47444489" w14:textId="77777777" w:rsidR="005A50F4" w:rsidRPr="006A2A7D" w:rsidRDefault="005A50F4" w:rsidP="005A50F4">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1"/>
          <w:szCs w:val="21"/>
          <w:lang w:val="es-ES"/>
        </w:rPr>
      </w:pPr>
      <w:bookmarkStart w:id="2" w:name="63"/>
      <w:bookmarkEnd w:id="2"/>
      <w:r w:rsidRPr="006A2A7D">
        <w:rPr>
          <w:rFonts w:ascii="Verdana" w:eastAsia="Times New Roman" w:hAnsi="Verdana" w:cs="Arial"/>
          <w:color w:val="000000" w:themeColor="text1"/>
          <w:sz w:val="21"/>
          <w:szCs w:val="21"/>
          <w:lang w:val="es-ES"/>
        </w:rPr>
        <w:t>“Artículo 63. Conforme con el artículo </w:t>
      </w:r>
      <w:hyperlink r:id="rId13" w:anchor="141" w:history="1">
        <w:r w:rsidRPr="006A2A7D">
          <w:rPr>
            <w:rFonts w:ascii="Verdana" w:eastAsia="Times New Roman" w:hAnsi="Verdana" w:cs="Arial"/>
            <w:color w:val="000000" w:themeColor="text1"/>
            <w:sz w:val="21"/>
            <w:szCs w:val="21"/>
            <w:lang w:val="es-ES"/>
          </w:rPr>
          <w:t>141</w:t>
        </w:r>
      </w:hyperlink>
      <w:r w:rsidRPr="006A2A7D">
        <w:rPr>
          <w:rFonts w:ascii="Verdana" w:eastAsia="Times New Roman" w:hAnsi="Verdana" w:cs="Arial"/>
          <w:color w:val="000000" w:themeColor="text1"/>
          <w:sz w:val="21"/>
          <w:szCs w:val="21"/>
          <w:lang w:val="es-ES"/>
        </w:rPr>
        <w:t> de la Ley 136 de 1994, los organismos comunales podrán vincularse al desarrollo y mejoramiento municipal, mediante su participación en el ejercicio de sus funciones, la prestación de bienes y servicios o la ejecución de obras públicas a cargo de la administración central o descentralizada. Los contratos o convenios que celebren con los organismos comunales se realizarán de acuerdo con la ley y sus objetivos, se regularán por el régimen vigente de contratación para organizaciones solidarias.</w:t>
      </w:r>
    </w:p>
    <w:p w14:paraId="210617DC" w14:textId="77777777" w:rsidR="005A50F4" w:rsidRPr="006A2A7D" w:rsidRDefault="005A50F4" w:rsidP="005A50F4">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1"/>
          <w:szCs w:val="21"/>
          <w:lang w:val="es-ES"/>
        </w:rPr>
      </w:pPr>
    </w:p>
    <w:p w14:paraId="01CE0F78" w14:textId="77777777" w:rsidR="005A50F4" w:rsidRPr="006A2A7D" w:rsidRDefault="005A50F4" w:rsidP="005A50F4">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1"/>
          <w:szCs w:val="21"/>
          <w:lang w:val="es-ES"/>
        </w:rPr>
      </w:pPr>
      <w:r w:rsidRPr="006A2A7D">
        <w:rPr>
          <w:rFonts w:ascii="Verdana" w:eastAsia="Times New Roman" w:hAnsi="Verdana" w:cs="Arial"/>
          <w:color w:val="000000" w:themeColor="text1"/>
          <w:sz w:val="21"/>
          <w:szCs w:val="21"/>
          <w:lang w:val="es-ES"/>
        </w:rPr>
        <w:t>PARÁGRAFO 1o. Los organismos de Acción Comunal podrán contratar con las entidades territoriales hasta por la menor cuantía de dicha entidad de conformidad con la ley.</w:t>
      </w:r>
    </w:p>
    <w:p w14:paraId="59341914" w14:textId="77777777" w:rsidR="005A50F4" w:rsidRPr="006A2A7D" w:rsidRDefault="005A50F4" w:rsidP="005A50F4">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1"/>
          <w:szCs w:val="21"/>
          <w:lang w:val="es-ES"/>
        </w:rPr>
      </w:pPr>
    </w:p>
    <w:p w14:paraId="3EB2EDBC" w14:textId="77777777" w:rsidR="005A50F4" w:rsidRPr="006A2A7D" w:rsidRDefault="005A50F4" w:rsidP="005A50F4">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1"/>
          <w:szCs w:val="21"/>
          <w:lang w:val="es-ES"/>
        </w:rPr>
      </w:pPr>
      <w:r w:rsidRPr="006A2A7D">
        <w:rPr>
          <w:rFonts w:ascii="Verdana" w:eastAsia="Times New Roman" w:hAnsi="Verdana" w:cs="Arial"/>
          <w:color w:val="000000" w:themeColor="text1"/>
          <w:sz w:val="21"/>
          <w:szCs w:val="21"/>
          <w:lang w:val="es-ES"/>
        </w:rPr>
        <w:t xml:space="preserve">PARÁGRAFO 2o. Los denominados convenios solidarios y contratos interadministrativos de mínima, que trata el presente artículo también podrán ser celebrados </w:t>
      </w:r>
      <w:bookmarkStart w:id="3" w:name="_Hlk98592569"/>
      <w:r w:rsidRPr="006A2A7D">
        <w:rPr>
          <w:rFonts w:ascii="Verdana" w:eastAsia="Times New Roman" w:hAnsi="Verdana" w:cs="Arial"/>
          <w:color w:val="000000" w:themeColor="text1"/>
          <w:sz w:val="21"/>
          <w:szCs w:val="21"/>
          <w:lang w:val="es-ES"/>
        </w:rPr>
        <w:t xml:space="preserve">entre las entidades del orden nacional, departamental, distrital, local y municipal y los organismos de acción comunal </w:t>
      </w:r>
      <w:bookmarkEnd w:id="3"/>
      <w:r w:rsidRPr="006A2A7D">
        <w:rPr>
          <w:rFonts w:ascii="Verdana" w:eastAsia="Times New Roman" w:hAnsi="Verdana" w:cs="Arial"/>
          <w:color w:val="000000" w:themeColor="text1"/>
          <w:sz w:val="21"/>
          <w:szCs w:val="21"/>
          <w:lang w:val="es-ES"/>
        </w:rPr>
        <w:t>para la ejecución de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w:t>
      </w:r>
      <w:hyperlink r:id="rId14" w:anchor="281" w:history="1">
        <w:r w:rsidRPr="006A2A7D">
          <w:rPr>
            <w:rFonts w:ascii="Verdana" w:eastAsia="Times New Roman" w:hAnsi="Verdana" w:cs="Arial"/>
            <w:color w:val="000000" w:themeColor="text1"/>
            <w:sz w:val="21"/>
            <w:szCs w:val="21"/>
            <w:lang w:val="es-ES"/>
          </w:rPr>
          <w:t>281</w:t>
        </w:r>
      </w:hyperlink>
      <w:r w:rsidRPr="006A2A7D">
        <w:rPr>
          <w:rFonts w:ascii="Verdana" w:eastAsia="Times New Roman" w:hAnsi="Verdana" w:cs="Arial"/>
          <w:color w:val="000000" w:themeColor="text1"/>
          <w:sz w:val="21"/>
          <w:szCs w:val="21"/>
          <w:lang w:val="es-ES"/>
        </w:rPr>
        <w:t> de la Ley 1955 de 2019”.</w:t>
      </w:r>
    </w:p>
    <w:p w14:paraId="71570B21" w14:textId="77777777" w:rsidR="005A50F4" w:rsidRDefault="005A50F4" w:rsidP="005A50F4">
      <w:pPr>
        <w:shd w:val="clear" w:color="auto" w:fill="FFFFFF" w:themeFill="background1"/>
        <w:spacing w:after="120" w:line="240" w:lineRule="auto"/>
        <w:ind w:left="720" w:right="709"/>
        <w:contextualSpacing/>
        <w:jc w:val="both"/>
        <w:rPr>
          <w:rFonts w:ascii="Verdana" w:eastAsia="Times New Roman" w:hAnsi="Verdana" w:cs="Arial"/>
          <w:color w:val="000000" w:themeColor="text1"/>
          <w:sz w:val="21"/>
          <w:szCs w:val="21"/>
          <w:lang w:val="es-ES"/>
        </w:rPr>
      </w:pPr>
    </w:p>
    <w:p w14:paraId="3FF6072D" w14:textId="77777777" w:rsidR="003277F8" w:rsidRPr="003277F8" w:rsidRDefault="003277F8" w:rsidP="003277F8">
      <w:pPr>
        <w:shd w:val="clear" w:color="auto" w:fill="FFFFFF"/>
        <w:spacing w:after="120" w:line="276" w:lineRule="auto"/>
        <w:ind w:firstLine="709"/>
        <w:jc w:val="both"/>
        <w:rPr>
          <w:rFonts w:ascii="Verdana" w:eastAsia="Times New Roman" w:hAnsi="Verdana" w:cs="Arial"/>
          <w:color w:val="000000"/>
          <w:lang w:eastAsia="es-MX"/>
        </w:rPr>
      </w:pPr>
      <w:r w:rsidRPr="003277F8">
        <w:rPr>
          <w:rFonts w:ascii="Verdana" w:eastAsia="Times New Roman" w:hAnsi="Verdana" w:cs="Arial"/>
          <w:color w:val="000000"/>
          <w:lang w:val="es-ES" w:eastAsia="es-MX"/>
        </w:rPr>
        <w:t xml:space="preserve">Es necesario tener en cuenta que </w:t>
      </w:r>
      <w:r w:rsidRPr="003277F8">
        <w:rPr>
          <w:rFonts w:ascii="Verdana" w:eastAsia="Times New Roman" w:hAnsi="Verdana" w:cs="Arial"/>
          <w:color w:val="000000"/>
          <w:lang w:eastAsia="es-MX"/>
        </w:rPr>
        <w:t xml:space="preserve">esta </w:t>
      </w:r>
      <w:r w:rsidRPr="003277F8">
        <w:rPr>
          <w:rFonts w:ascii="Verdana" w:eastAsia="Times New Roman" w:hAnsi="Verdana" w:cs="Arial"/>
          <w:color w:val="000000"/>
          <w:lang w:val="es-ES" w:eastAsia="es-MX"/>
        </w:rPr>
        <w:t xml:space="preserve">disposición contempla supuestos distintos al establecido en el artículo 95 de la Ley 2166 de 2021. En efecto, el parágrafo 2 del artículo 63 </w:t>
      </w:r>
      <w:r w:rsidRPr="003277F8">
        <w:rPr>
          <w:rFonts w:ascii="Verdana" w:eastAsia="Times New Roman" w:hAnsi="Verdana" w:cs="Arial"/>
          <w:i/>
          <w:iCs/>
          <w:color w:val="000000"/>
          <w:lang w:val="es-ES" w:eastAsia="es-MX"/>
        </w:rPr>
        <w:t xml:space="preserve">ibidem </w:t>
      </w:r>
      <w:r w:rsidRPr="003277F8">
        <w:rPr>
          <w:rFonts w:ascii="Verdana" w:eastAsia="Times New Roman" w:hAnsi="Verdana" w:cs="Arial"/>
          <w:color w:val="000000"/>
          <w:lang w:val="es-ES" w:eastAsia="es-MX"/>
        </w:rPr>
        <w:t xml:space="preserve">permite la celebración de convenios solidarios </w:t>
      </w:r>
      <w:r w:rsidRPr="003277F8">
        <w:rPr>
          <w:rFonts w:ascii="Verdana" w:eastAsia="Times New Roman" w:hAnsi="Verdana" w:cs="Arial"/>
          <w:color w:val="000000"/>
          <w:lang w:val="es-ES" w:eastAsia="es-MX"/>
        </w:rPr>
        <w:lastRenderedPageBreak/>
        <w:t xml:space="preserve">con </w:t>
      </w:r>
      <w:r w:rsidRPr="003277F8">
        <w:rPr>
          <w:rFonts w:ascii="Verdana" w:eastAsia="Times New Roman" w:hAnsi="Verdana" w:cs="Arial"/>
          <w:color w:val="000000"/>
          <w:lang w:eastAsia="es-MX"/>
        </w:rPr>
        <w:t>Organismos de Acción Comunal con la finalidad de que estos se vinculen al desarrollo y mejoramiento municipal mediante:</w:t>
      </w:r>
    </w:p>
    <w:p w14:paraId="5C7E2DFA" w14:textId="77777777" w:rsidR="003277F8" w:rsidRPr="003277F8" w:rsidRDefault="003277F8" w:rsidP="003277F8">
      <w:pPr>
        <w:shd w:val="clear" w:color="auto" w:fill="FFFFFF"/>
        <w:spacing w:after="0" w:line="276" w:lineRule="auto"/>
        <w:ind w:firstLine="709"/>
        <w:jc w:val="both"/>
        <w:rPr>
          <w:rFonts w:ascii="Verdana" w:eastAsia="Times New Roman" w:hAnsi="Verdana" w:cs="Arial"/>
          <w:color w:val="000000"/>
          <w:lang w:eastAsia="es-MX"/>
        </w:rPr>
      </w:pPr>
      <w:r w:rsidRPr="003277F8">
        <w:rPr>
          <w:rFonts w:ascii="Verdana" w:eastAsia="Times New Roman" w:hAnsi="Verdana" w:cs="Arial"/>
          <w:color w:val="000000"/>
          <w:lang w:eastAsia="es-MX"/>
        </w:rPr>
        <w:t xml:space="preserve"> </w:t>
      </w:r>
    </w:p>
    <w:p w14:paraId="6FB6A77C" w14:textId="77777777" w:rsidR="003277F8" w:rsidRPr="00A30D4A" w:rsidRDefault="003277F8" w:rsidP="003277F8">
      <w:pPr>
        <w:numPr>
          <w:ilvl w:val="0"/>
          <w:numId w:val="17"/>
        </w:numPr>
        <w:shd w:val="clear" w:color="auto" w:fill="FFFFFF"/>
        <w:spacing w:after="0" w:line="240" w:lineRule="auto"/>
        <w:ind w:left="709" w:right="709" w:firstLine="0"/>
        <w:contextualSpacing/>
        <w:jc w:val="both"/>
        <w:rPr>
          <w:rFonts w:ascii="Verdana" w:eastAsia="Times New Roman" w:hAnsi="Verdana" w:cs="Arial"/>
          <w:color w:val="000000"/>
          <w:sz w:val="21"/>
          <w:szCs w:val="21"/>
          <w:lang w:val="es-ES" w:eastAsia="es-MX"/>
        </w:rPr>
      </w:pPr>
      <w:r w:rsidRPr="00A30D4A">
        <w:rPr>
          <w:rFonts w:ascii="Verdana" w:eastAsia="Times New Roman" w:hAnsi="Verdana" w:cs="Arial"/>
          <w:color w:val="000000"/>
          <w:sz w:val="21"/>
          <w:szCs w:val="21"/>
          <w:lang w:val="es-ES" w:eastAsia="es-MX"/>
        </w:rPr>
        <w:t xml:space="preserve">Su participación en el ejercicio de sus funciones, </w:t>
      </w:r>
    </w:p>
    <w:p w14:paraId="4D442DD1" w14:textId="77777777" w:rsidR="003277F8" w:rsidRPr="00A30D4A" w:rsidRDefault="003277F8" w:rsidP="003277F8">
      <w:pPr>
        <w:numPr>
          <w:ilvl w:val="0"/>
          <w:numId w:val="17"/>
        </w:numPr>
        <w:shd w:val="clear" w:color="auto" w:fill="FFFFFF"/>
        <w:spacing w:after="0" w:line="240" w:lineRule="auto"/>
        <w:ind w:left="709" w:right="709" w:firstLine="0"/>
        <w:contextualSpacing/>
        <w:jc w:val="both"/>
        <w:rPr>
          <w:rFonts w:ascii="Verdana" w:eastAsia="Times New Roman" w:hAnsi="Verdana" w:cs="Arial"/>
          <w:color w:val="000000"/>
          <w:sz w:val="21"/>
          <w:szCs w:val="21"/>
          <w:lang w:val="es-ES" w:eastAsia="es-MX"/>
        </w:rPr>
      </w:pPr>
      <w:r w:rsidRPr="00A30D4A">
        <w:rPr>
          <w:rFonts w:ascii="Verdana" w:eastAsia="Times New Roman" w:hAnsi="Verdana" w:cs="Arial"/>
          <w:color w:val="000000"/>
          <w:sz w:val="21"/>
          <w:szCs w:val="21"/>
          <w:lang w:val="es-ES" w:eastAsia="es-MX"/>
        </w:rPr>
        <w:t xml:space="preserve">la prestación de bienes y servicios o </w:t>
      </w:r>
    </w:p>
    <w:p w14:paraId="4B9E88D0" w14:textId="77777777" w:rsidR="003277F8" w:rsidRPr="00A30D4A" w:rsidRDefault="003277F8" w:rsidP="003277F8">
      <w:pPr>
        <w:numPr>
          <w:ilvl w:val="0"/>
          <w:numId w:val="17"/>
        </w:numPr>
        <w:shd w:val="clear" w:color="auto" w:fill="FFFFFF"/>
        <w:spacing w:after="0" w:line="240" w:lineRule="auto"/>
        <w:ind w:left="709" w:right="709" w:firstLine="0"/>
        <w:contextualSpacing/>
        <w:jc w:val="both"/>
        <w:rPr>
          <w:rFonts w:ascii="Verdana" w:eastAsia="Times New Roman" w:hAnsi="Verdana" w:cs="Arial"/>
          <w:bCs/>
          <w:color w:val="000000"/>
          <w:sz w:val="21"/>
          <w:szCs w:val="21"/>
          <w:lang w:val="es-ES" w:eastAsia="es-MX"/>
        </w:rPr>
      </w:pPr>
      <w:r w:rsidRPr="00A30D4A">
        <w:rPr>
          <w:rFonts w:ascii="Verdana" w:eastAsia="Times New Roman" w:hAnsi="Verdana" w:cs="Arial"/>
          <w:color w:val="000000"/>
          <w:sz w:val="21"/>
          <w:szCs w:val="21"/>
          <w:lang w:val="es-ES" w:eastAsia="es-MX"/>
        </w:rPr>
        <w:t>la ejecución de obras públicas</w:t>
      </w:r>
      <w:r w:rsidRPr="00A30D4A">
        <w:rPr>
          <w:rFonts w:ascii="Verdana" w:eastAsia="Times New Roman" w:hAnsi="Verdana" w:cs="Arial"/>
          <w:color w:val="000000"/>
          <w:sz w:val="21"/>
          <w:szCs w:val="21"/>
          <w:lang w:val="es-ES"/>
        </w:rPr>
        <w:t xml:space="preserve"> </w:t>
      </w:r>
      <w:r w:rsidRPr="00A30D4A">
        <w:rPr>
          <w:rFonts w:ascii="Verdana" w:eastAsia="Times New Roman" w:hAnsi="Verdana" w:cs="Arial"/>
          <w:color w:val="000000"/>
          <w:sz w:val="21"/>
          <w:szCs w:val="21"/>
          <w:lang w:val="es-ES" w:eastAsia="es-MX"/>
        </w:rPr>
        <w:t xml:space="preserve">cargo de la administración central o descentralizada, todos estos objetos contractuales </w:t>
      </w:r>
      <w:r w:rsidRPr="00A30D4A">
        <w:rPr>
          <w:rFonts w:ascii="Verdana" w:eastAsia="Times New Roman" w:hAnsi="Verdana" w:cs="Arial"/>
          <w:color w:val="000000"/>
          <w:sz w:val="21"/>
          <w:szCs w:val="21"/>
          <w:lang w:val="es-ES"/>
        </w:rPr>
        <w:t>hasta por la menor cuantía de la Entidad</w:t>
      </w:r>
      <w:r w:rsidRPr="00A30D4A">
        <w:rPr>
          <w:rFonts w:ascii="Verdana" w:eastAsia="Times New Roman" w:hAnsi="Verdana" w:cs="Arial"/>
          <w:color w:val="000000"/>
          <w:sz w:val="21"/>
          <w:szCs w:val="21"/>
          <w:lang w:val="es-ES" w:eastAsia="es-MX"/>
        </w:rPr>
        <w:t xml:space="preserve">. </w:t>
      </w:r>
    </w:p>
    <w:p w14:paraId="1BF35DE5" w14:textId="77777777" w:rsidR="003277F8" w:rsidRPr="003277F8" w:rsidRDefault="003277F8" w:rsidP="003277F8">
      <w:pPr>
        <w:shd w:val="clear" w:color="auto" w:fill="FFFFFF"/>
        <w:spacing w:after="0" w:line="276" w:lineRule="auto"/>
        <w:jc w:val="both"/>
        <w:rPr>
          <w:rFonts w:ascii="Verdana" w:eastAsia="Times New Roman" w:hAnsi="Verdana" w:cs="Arial"/>
          <w:color w:val="000000"/>
          <w:lang w:val="es-ES" w:eastAsia="es-MX"/>
        </w:rPr>
      </w:pPr>
    </w:p>
    <w:p w14:paraId="6265D4DC" w14:textId="77777777" w:rsidR="003277F8" w:rsidRDefault="003277F8" w:rsidP="003277F8">
      <w:pPr>
        <w:shd w:val="clear" w:color="auto" w:fill="FFFFFF"/>
        <w:spacing w:after="120" w:line="276" w:lineRule="auto"/>
        <w:ind w:firstLine="709"/>
        <w:jc w:val="both"/>
        <w:rPr>
          <w:rFonts w:ascii="Verdana" w:eastAsia="Times New Roman" w:hAnsi="Verdana" w:cs="Arial"/>
          <w:color w:val="000000"/>
          <w:lang w:eastAsia="es-MX"/>
        </w:rPr>
      </w:pPr>
      <w:r w:rsidRPr="003277F8">
        <w:rPr>
          <w:rFonts w:ascii="Verdana" w:eastAsia="Times New Roman" w:hAnsi="Verdana" w:cs="Arial"/>
          <w:color w:val="000000"/>
          <w:lang w:eastAsia="es-MX"/>
        </w:rPr>
        <w:t xml:space="preserve">Además, con fundamento en este artículo, las entidades del orden nacional, departamental, distrital, local y municipal y los Organismos de Acción Comunal podrán ejecutar los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de que trata el artículo </w:t>
      </w:r>
      <w:hyperlink r:id="rId15" w:anchor="281" w:history="1">
        <w:r w:rsidRPr="003277F8">
          <w:rPr>
            <w:rFonts w:ascii="Verdana" w:eastAsia="Times New Roman" w:hAnsi="Verdana" w:cs="Arial"/>
            <w:color w:val="000000"/>
            <w:u w:val="single"/>
            <w:lang w:eastAsia="es-MX"/>
          </w:rPr>
          <w:t>281</w:t>
        </w:r>
      </w:hyperlink>
      <w:r w:rsidRPr="003277F8">
        <w:rPr>
          <w:rFonts w:ascii="Verdana" w:eastAsia="Times New Roman" w:hAnsi="Verdana" w:cs="Arial"/>
          <w:color w:val="000000"/>
          <w:lang w:eastAsia="es-MX"/>
        </w:rPr>
        <w:t xml:space="preserve"> de la Ley 1955 de 2019. </w:t>
      </w:r>
    </w:p>
    <w:p w14:paraId="33E52CC5" w14:textId="77777777" w:rsidR="004B5C79" w:rsidRDefault="004B5C79" w:rsidP="004B5C79">
      <w:pPr>
        <w:shd w:val="clear" w:color="auto" w:fill="FFFFFF"/>
        <w:spacing w:after="120" w:line="276" w:lineRule="auto"/>
        <w:ind w:firstLine="709"/>
        <w:jc w:val="both"/>
        <w:rPr>
          <w:rFonts w:ascii="Verdana" w:eastAsia="Times New Roman" w:hAnsi="Verdana" w:cs="Arial"/>
          <w:bCs/>
          <w:color w:val="000000"/>
          <w:lang w:eastAsia="es-MX"/>
        </w:rPr>
      </w:pPr>
      <w:r w:rsidRPr="009A726D">
        <w:rPr>
          <w:rFonts w:ascii="Verdana" w:eastAsia="Times New Roman" w:hAnsi="Verdana" w:cs="Arial"/>
          <w:color w:val="000000"/>
          <w:lang w:eastAsia="es-MX"/>
        </w:rPr>
        <w:t xml:space="preserve">Como se observa, la norma señalada contempla diversos objetos para la celebración de convenios solidarios, mientras que en contraste el artículo 95 </w:t>
      </w:r>
      <w:r w:rsidRPr="009A726D">
        <w:rPr>
          <w:rFonts w:ascii="Verdana" w:eastAsia="Times New Roman" w:hAnsi="Verdana" w:cs="Arial"/>
          <w:color w:val="000000"/>
          <w:lang w:val="es-ES" w:eastAsia="es-MX"/>
        </w:rPr>
        <w:t xml:space="preserve">de la Ley 2166 de 2021 permite la ejecución de obras. De hecho, este aspecto también fue reglamentado por el Decreto 142 de 2023, el cual </w:t>
      </w:r>
      <w:r w:rsidRPr="009A726D">
        <w:rPr>
          <w:rFonts w:ascii="Verdana" w:eastAsia="Times New Roman" w:hAnsi="Verdana" w:cs="Arial"/>
          <w:bCs/>
          <w:color w:val="000000"/>
          <w:lang w:eastAsia="es-MX"/>
        </w:rPr>
        <w:t>adiciona el artículo 2.2.15.1.2 del Decreto 1082 de 2015 prescribiendo lo siguiente:</w:t>
      </w:r>
    </w:p>
    <w:p w14:paraId="2DA03966" w14:textId="77777777" w:rsidR="004B5C79" w:rsidRPr="004C449A" w:rsidRDefault="004B5C79" w:rsidP="004B5C79">
      <w:pPr>
        <w:shd w:val="clear" w:color="auto" w:fill="FFFFFF"/>
        <w:spacing w:after="120" w:line="276" w:lineRule="auto"/>
        <w:ind w:firstLine="709"/>
        <w:jc w:val="both"/>
        <w:rPr>
          <w:rFonts w:ascii="Verdana" w:eastAsia="Times New Roman" w:hAnsi="Verdana" w:cs="Arial"/>
          <w:bCs/>
          <w:color w:val="000000"/>
          <w:sz w:val="21"/>
          <w:szCs w:val="21"/>
          <w:lang w:eastAsia="es-MX"/>
        </w:rPr>
      </w:pPr>
    </w:p>
    <w:p w14:paraId="387D7E03" w14:textId="77777777" w:rsidR="004C449A" w:rsidRPr="004C449A" w:rsidRDefault="004C449A" w:rsidP="004C449A">
      <w:pPr>
        <w:shd w:val="clear" w:color="auto" w:fill="FFFFFF"/>
        <w:spacing w:after="120" w:line="240" w:lineRule="auto"/>
        <w:ind w:left="709" w:right="709"/>
        <w:jc w:val="both"/>
        <w:rPr>
          <w:rFonts w:ascii="Verdana" w:eastAsia="Times New Roman" w:hAnsi="Verdana" w:cs="Arial"/>
          <w:bCs/>
          <w:color w:val="000000"/>
          <w:sz w:val="21"/>
          <w:szCs w:val="21"/>
          <w:lang w:val="es-MX" w:eastAsia="es-MX"/>
        </w:rPr>
      </w:pPr>
      <w:r w:rsidRPr="004C449A">
        <w:rPr>
          <w:rFonts w:ascii="Verdana" w:eastAsia="Times New Roman" w:hAnsi="Verdana" w:cs="Arial"/>
          <w:bCs/>
          <w:color w:val="000000"/>
          <w:sz w:val="21"/>
          <w:szCs w:val="21"/>
          <w:lang w:val="es-MX" w:eastAsia="es-MX"/>
        </w:rPr>
        <w:t>“Artículo 2.2.15.1.3. Convenios solidarios para el desarrollo de programas. En el marco de lo dispuesto en el numeral 16 del artículo 3° de la Ley 136 de 1994, modificado por el artículo 6° de la Ley 1551 de 2012, y el parágrafo 2° del artículo 63 de la Ley 2166 de 2021 entidades del orden nacional, departamental, distrital, local y municipal podrán celebrar convenios solidarios con los cabildos, las autoridades y organizaciones indígenas, los organismos de acción comunal y demás organizaciones civiles y asociaciones residentes en el territorio, para el desarrollo conjunto de programas. </w:t>
      </w:r>
    </w:p>
    <w:p w14:paraId="4158182D" w14:textId="77777777" w:rsidR="004C449A" w:rsidRDefault="004C449A" w:rsidP="004C449A">
      <w:pPr>
        <w:shd w:val="clear" w:color="auto" w:fill="FFFFFF"/>
        <w:spacing w:after="0" w:line="240" w:lineRule="auto"/>
        <w:ind w:left="709" w:right="709"/>
        <w:jc w:val="both"/>
        <w:rPr>
          <w:rFonts w:ascii="Verdana" w:eastAsia="Times New Roman" w:hAnsi="Verdana" w:cs="Arial"/>
          <w:bCs/>
          <w:color w:val="000000"/>
          <w:sz w:val="21"/>
          <w:szCs w:val="21"/>
          <w:lang w:val="es-MX" w:eastAsia="es-MX"/>
        </w:rPr>
      </w:pPr>
      <w:r w:rsidRPr="004C449A">
        <w:rPr>
          <w:rFonts w:ascii="Verdana" w:eastAsia="Times New Roman" w:hAnsi="Verdana" w:cs="Arial"/>
          <w:bCs/>
          <w:color w:val="000000"/>
          <w:sz w:val="21"/>
          <w:szCs w:val="21"/>
          <w:lang w:val="es-MX" w:eastAsia="es-MX"/>
        </w:rPr>
        <w:t>El objeto de estos convenios solidarios debe estar dirigido al impulso de programas y actividades de interés público acordes con los planes de desarrollo territoriales o el plan nacional de desarrollo. En consideración a este alcance es necesario que previo al proceso de planeación, selección y contratación, se verifique que el objeto derive de una consagración expresa en el instrumento de planificación de la escala respectiva”. </w:t>
      </w:r>
    </w:p>
    <w:p w14:paraId="392ACB41" w14:textId="77777777" w:rsidR="00A30D4A" w:rsidRDefault="00A30D4A" w:rsidP="004C449A">
      <w:pPr>
        <w:shd w:val="clear" w:color="auto" w:fill="FFFFFF"/>
        <w:spacing w:after="0" w:line="240" w:lineRule="auto"/>
        <w:ind w:left="709" w:right="709"/>
        <w:jc w:val="both"/>
        <w:rPr>
          <w:rFonts w:ascii="Verdana" w:eastAsia="Times New Roman" w:hAnsi="Verdana" w:cs="Arial"/>
          <w:bCs/>
          <w:color w:val="000000"/>
          <w:sz w:val="21"/>
          <w:szCs w:val="21"/>
          <w:lang w:val="es-MX" w:eastAsia="es-MX"/>
        </w:rPr>
      </w:pPr>
    </w:p>
    <w:p w14:paraId="62CA51AC" w14:textId="77777777" w:rsidR="0081406C" w:rsidRPr="0081406C" w:rsidRDefault="0081406C" w:rsidP="0081406C">
      <w:pPr>
        <w:shd w:val="clear" w:color="auto" w:fill="FFFFFF" w:themeFill="background1"/>
        <w:spacing w:after="120" w:line="276" w:lineRule="auto"/>
        <w:ind w:firstLine="709"/>
        <w:jc w:val="both"/>
        <w:rPr>
          <w:rFonts w:ascii="Verdana" w:eastAsia="Times New Roman" w:hAnsi="Verdana" w:cs="Arial"/>
          <w:color w:val="000000" w:themeColor="text1"/>
          <w:lang w:eastAsia="es-MX"/>
        </w:rPr>
      </w:pPr>
      <w:r w:rsidRPr="0081406C">
        <w:rPr>
          <w:rFonts w:ascii="Verdana" w:eastAsia="Times New Roman" w:hAnsi="Verdana" w:cs="Arial"/>
          <w:color w:val="000000" w:themeColor="text1"/>
          <w:lang w:eastAsia="es-MX"/>
        </w:rPr>
        <w:t xml:space="preserve">Aunado a lo anterior, para la celebración de dichos convenios el inciso primero del citado artículo 63 remite al artículo 141 de la Ley 136 de 1994, en virtud del cual </w:t>
      </w:r>
      <w:r w:rsidRPr="0081406C">
        <w:rPr>
          <w:rFonts w:ascii="Verdana" w:eastAsia="Times New Roman" w:hAnsi="Verdana" w:cs="Arial"/>
          <w:color w:val="000000" w:themeColor="text1"/>
          <w:lang w:val="es-ES_tradnl"/>
        </w:rPr>
        <w:t>“</w:t>
      </w:r>
      <w:r w:rsidRPr="0081406C">
        <w:rPr>
          <w:rFonts w:ascii="Verdana" w:eastAsia="Times New Roman" w:hAnsi="Verdana" w:cs="Arial"/>
          <w:color w:val="000000" w:themeColor="text1"/>
          <w:lang w:eastAsia="es-MX"/>
        </w:rPr>
        <w:t xml:space="preserve">Los contratos o convenios que se celebren en desarrollo del artículo anterior, se sujetarán a lo dispuesto por los artículos </w:t>
      </w:r>
      <w:hyperlink r:id="rId16" w:anchor="375" w:history="1">
        <w:r w:rsidRPr="0081406C">
          <w:rPr>
            <w:rFonts w:ascii="Verdana" w:eastAsia="Times New Roman" w:hAnsi="Verdana" w:cs="Arial"/>
            <w:color w:val="000000" w:themeColor="text1"/>
            <w:u w:val="single"/>
            <w:lang w:eastAsia="es-MX"/>
          </w:rPr>
          <w:t>375</w:t>
        </w:r>
      </w:hyperlink>
      <w:r w:rsidRPr="0081406C">
        <w:rPr>
          <w:rFonts w:ascii="Verdana" w:eastAsia="Times New Roman" w:hAnsi="Verdana" w:cs="Arial"/>
          <w:color w:val="000000" w:themeColor="text1"/>
          <w:lang w:eastAsia="es-MX"/>
        </w:rPr>
        <w:t xml:space="preserve"> a </w:t>
      </w:r>
      <w:hyperlink r:id="rId17" w:anchor="378" w:history="1">
        <w:r w:rsidRPr="0081406C">
          <w:rPr>
            <w:rFonts w:ascii="Verdana" w:eastAsia="Times New Roman" w:hAnsi="Verdana" w:cs="Arial"/>
            <w:color w:val="000000" w:themeColor="text1"/>
            <w:u w:val="single"/>
            <w:lang w:eastAsia="es-MX"/>
          </w:rPr>
          <w:t>378</w:t>
        </w:r>
      </w:hyperlink>
      <w:r w:rsidRPr="0081406C">
        <w:rPr>
          <w:rFonts w:ascii="Verdana" w:eastAsia="Times New Roman" w:hAnsi="Verdana" w:cs="Arial"/>
          <w:color w:val="000000" w:themeColor="text1"/>
          <w:lang w:eastAsia="es-MX"/>
        </w:rPr>
        <w:t xml:space="preserve"> del Decreto 1333 de 1986 y la Ley </w:t>
      </w:r>
      <w:hyperlink r:id="rId18" w:anchor="inicio" w:history="1">
        <w:r w:rsidRPr="0081406C">
          <w:rPr>
            <w:rFonts w:ascii="Verdana" w:eastAsia="Times New Roman" w:hAnsi="Verdana" w:cs="Arial"/>
            <w:color w:val="000000" w:themeColor="text1"/>
            <w:u w:val="single"/>
            <w:lang w:eastAsia="es-MX"/>
          </w:rPr>
          <w:t>80</w:t>
        </w:r>
      </w:hyperlink>
      <w:r w:rsidRPr="0081406C">
        <w:rPr>
          <w:rFonts w:ascii="Verdana" w:eastAsia="Times New Roman" w:hAnsi="Verdana" w:cs="Arial"/>
          <w:color w:val="000000" w:themeColor="text1"/>
          <w:lang w:eastAsia="es-MX"/>
        </w:rPr>
        <w:t xml:space="preserve"> de 1993</w:t>
      </w:r>
      <w:r w:rsidRPr="0081406C">
        <w:rPr>
          <w:rFonts w:ascii="Verdana" w:eastAsia="Times New Roman" w:hAnsi="Verdana" w:cs="Arial"/>
          <w:color w:val="000000" w:themeColor="text1"/>
          <w:lang w:val="es-ES_tradnl"/>
        </w:rPr>
        <w:t>”</w:t>
      </w:r>
      <w:r w:rsidRPr="0081406C">
        <w:rPr>
          <w:rFonts w:ascii="Verdana" w:eastAsia="Times New Roman" w:hAnsi="Verdana" w:cs="Arial"/>
          <w:color w:val="000000" w:themeColor="text1"/>
          <w:lang w:eastAsia="es-MX"/>
        </w:rPr>
        <w:t xml:space="preserve">. </w:t>
      </w:r>
    </w:p>
    <w:p w14:paraId="06AC2F1F" w14:textId="77777777" w:rsidR="0081406C" w:rsidRPr="0081406C" w:rsidRDefault="0081406C" w:rsidP="0081406C">
      <w:pPr>
        <w:shd w:val="clear" w:color="auto" w:fill="FFFFFF" w:themeFill="background1"/>
        <w:spacing w:after="120" w:line="276" w:lineRule="auto"/>
        <w:ind w:firstLine="709"/>
        <w:jc w:val="both"/>
        <w:rPr>
          <w:rFonts w:ascii="Verdana" w:eastAsia="Times New Roman" w:hAnsi="Verdana" w:cs="Arial"/>
          <w:color w:val="000000" w:themeColor="text1"/>
          <w:lang w:eastAsia="es-MX"/>
        </w:rPr>
      </w:pPr>
      <w:r w:rsidRPr="0081406C">
        <w:rPr>
          <w:rFonts w:ascii="Verdana" w:eastAsia="Times New Roman" w:hAnsi="Verdana" w:cs="Arial"/>
          <w:color w:val="000000" w:themeColor="text1"/>
          <w:lang w:eastAsia="es-MX"/>
        </w:rPr>
        <w:t>En este sentido, retomando las consideraciones de los conceptos de esta Agencia, en este caso resulta aplicable el tercer régimen expuesto. Esto implica que los convenios solidarios que se celebren con fundamento el artículo 63 de la Ley 2166 de 2021</w:t>
      </w:r>
      <w:r w:rsidRPr="0081406C">
        <w:rPr>
          <w:rFonts w:ascii="Verdana" w:eastAsia="Times New Roman" w:hAnsi="Verdana" w:cs="Arial"/>
          <w:color w:val="000000" w:themeColor="text1"/>
        </w:rPr>
        <w:t xml:space="preserve"> deben interpretarse armónicamente con </w:t>
      </w:r>
      <w:r w:rsidRPr="0081406C">
        <w:rPr>
          <w:rFonts w:ascii="Verdana" w:eastAsia="Times New Roman" w:hAnsi="Verdana" w:cs="Arial"/>
          <w:color w:val="000000" w:themeColor="text1"/>
          <w:lang w:eastAsia="es-MX"/>
        </w:rPr>
        <w:t xml:space="preserve">el artículo 141 de la Ley 136 de 1994 y </w:t>
      </w:r>
      <w:r w:rsidRPr="0081406C">
        <w:rPr>
          <w:rFonts w:ascii="Verdana" w:eastAsia="Times New Roman" w:hAnsi="Verdana" w:cs="Arial"/>
          <w:color w:val="000000" w:themeColor="text1"/>
        </w:rPr>
        <w:t>los parágrafos tercero y quinto del artículo tercero de la Ley 136 de 1994</w:t>
      </w:r>
      <w:r w:rsidRPr="0081406C">
        <w:rPr>
          <w:rFonts w:ascii="Verdana" w:eastAsia="Times New Roman" w:hAnsi="Verdana" w:cs="Arial"/>
          <w:color w:val="000000" w:themeColor="text1"/>
          <w:lang w:eastAsia="es-MX"/>
        </w:rPr>
        <w:t xml:space="preserve">, por lo que podrán aplicarse lo dispuesto en los artículos 375 a 378 del Decreto 1333 de 1986 y el </w:t>
      </w:r>
      <w:r w:rsidRPr="0081406C">
        <w:rPr>
          <w:rFonts w:ascii="Verdana" w:eastAsia="Times New Roman" w:hAnsi="Verdana" w:cs="Arial"/>
          <w:color w:val="000000" w:themeColor="text1"/>
        </w:rPr>
        <w:t>EGCAP, salvo no exista otra forma especial de contratación como puede ser la consagrada en el Decreto 092 de 2017 para la ejecución de programas</w:t>
      </w:r>
      <w:r w:rsidRPr="0081406C">
        <w:rPr>
          <w:rFonts w:ascii="Verdana" w:eastAsia="Times New Roman" w:hAnsi="Verdana" w:cs="Arial"/>
          <w:color w:val="000000" w:themeColor="text1"/>
          <w:lang w:eastAsia="es-MX"/>
        </w:rPr>
        <w:t xml:space="preserve">. No obstante, se considera que en el caso en que el objeto del convenio involucre únicamente la ejecución una obra por parte de la organización comunal, sin superar el monto de la menor cuantía, la entidad podrá aplicar el régimen previsto en el artículo 95 de la Ley 2166 de 2021 y cumplir con los presupuestos allí contemplados. </w:t>
      </w:r>
    </w:p>
    <w:p w14:paraId="16986080" w14:textId="77777777" w:rsidR="0081406C" w:rsidRPr="0081406C" w:rsidRDefault="0081406C" w:rsidP="0081406C">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81406C">
        <w:rPr>
          <w:rFonts w:ascii="Verdana" w:eastAsia="Times New Roman" w:hAnsi="Verdana" w:cs="Arial"/>
          <w:lang w:eastAsia="es-MX"/>
        </w:rPr>
        <w:t>Adicionalmente, además de que cada organismo debe acreditar su existencia y representación legal en los términos del artículo 78 de la Ley 2166 de 2021</w:t>
      </w:r>
      <w:r w:rsidRPr="0081406C">
        <w:rPr>
          <w:rFonts w:ascii="Verdana" w:eastAsia="Times New Roman" w:hAnsi="Verdana" w:cs="Arial"/>
          <w:vertAlign w:val="superscript"/>
          <w:lang w:eastAsia="es-MX"/>
        </w:rPr>
        <w:footnoteReference w:id="5"/>
      </w:r>
      <w:r w:rsidRPr="0081406C">
        <w:rPr>
          <w:rFonts w:ascii="Verdana" w:eastAsia="Times New Roman" w:hAnsi="Verdana" w:cs="Arial"/>
          <w:lang w:eastAsia="es-MX"/>
        </w:rPr>
        <w:t xml:space="preserve">, </w:t>
      </w:r>
      <w:r w:rsidRPr="0081406C">
        <w:rPr>
          <w:rFonts w:ascii="Verdana" w:eastAsia="Times New Roman" w:hAnsi="Verdana" w:cs="Arial"/>
          <w:bCs/>
          <w:color w:val="000000" w:themeColor="text1"/>
          <w:lang w:val="es-MX" w:eastAsia="es-MX"/>
        </w:rPr>
        <w:t xml:space="preserve">teniendo en cuenta la naturaleza de las Juntas de Acción Comunal y la incidencia que en ellas tiene el principio de participación, es importante realzar que la territorialidad </w:t>
      </w:r>
      <w:r w:rsidRPr="0081406C">
        <w:rPr>
          <w:rFonts w:ascii="Verdana" w:eastAsia="Times New Roman" w:hAnsi="Verdana" w:cs="Arial"/>
          <w:color w:val="000000" w:themeColor="text1"/>
          <w:lang w:val="es-MX" w:eastAsia="es-MX"/>
        </w:rPr>
        <w:t>de</w:t>
      </w:r>
      <w:r w:rsidRPr="0081406C">
        <w:rPr>
          <w:rFonts w:ascii="Verdana" w:eastAsia="Times New Roman" w:hAnsi="Verdana" w:cs="Arial"/>
          <w:bCs/>
          <w:color w:val="000000" w:themeColor="text1"/>
          <w:lang w:val="es-MX" w:eastAsia="es-MX"/>
        </w:rPr>
        <w:t xml:space="preserve"> la cual hace parte es el único lugar en el cual puede desarrollar sus actividades, pues sólo así se garantizaría una verdadera </w:t>
      </w:r>
      <w:r w:rsidRPr="0081406C">
        <w:rPr>
          <w:rFonts w:ascii="Verdana" w:eastAsia="Times New Roman" w:hAnsi="Verdana" w:cs="Arial"/>
          <w:bCs/>
          <w:color w:val="000000" w:themeColor="text1"/>
          <w:lang w:val="es-MX" w:eastAsia="es-MX"/>
        </w:rPr>
        <w:lastRenderedPageBreak/>
        <w:t xml:space="preserve">participación de la comunidad en la formulación, ejecución y administración de planes, programas y proyectos en su territorio, por lo que resultaría contrario al principio de participación que las Juntas de Acción Comunal pudieran ejecutar contratos en sitios donde no tienen representación participativa. </w:t>
      </w:r>
    </w:p>
    <w:p w14:paraId="6EBAD6BA" w14:textId="77777777" w:rsidR="0081406C" w:rsidRDefault="0081406C" w:rsidP="0081406C">
      <w:pPr>
        <w:shd w:val="clear" w:color="auto" w:fill="FFFFFF" w:themeFill="background1"/>
        <w:spacing w:after="120" w:line="276" w:lineRule="auto"/>
        <w:ind w:firstLine="709"/>
        <w:jc w:val="both"/>
        <w:rPr>
          <w:rFonts w:ascii="Verdana" w:eastAsia="Times New Roman" w:hAnsi="Verdana" w:cs="Arial"/>
          <w:lang w:eastAsia="es-MX"/>
        </w:rPr>
      </w:pPr>
      <w:r w:rsidRPr="0081406C">
        <w:rPr>
          <w:rFonts w:ascii="Verdana" w:eastAsia="Times New Roman" w:hAnsi="Verdana" w:cs="Arial"/>
          <w:lang w:eastAsia="es-MX"/>
        </w:rPr>
        <w:t>De esta forma, el desarrollo normativo que trajo consigo la Ley 2166 de 2021 con el objetivo de promover, facilitar, estructurar y fortalecer la organización democrática, moderna, participativa y representativa de la acción comunal en sus respectivos grados asociativos, dispuso en su artículo 7 una nueva definición de Junta de Acción Comunal:</w:t>
      </w:r>
    </w:p>
    <w:p w14:paraId="199F1ADB" w14:textId="77777777" w:rsidR="0081406C" w:rsidRDefault="0081406C" w:rsidP="0081406C">
      <w:pPr>
        <w:shd w:val="clear" w:color="auto" w:fill="FFFFFF" w:themeFill="background1"/>
        <w:spacing w:after="120" w:line="276" w:lineRule="auto"/>
        <w:ind w:firstLine="709"/>
        <w:jc w:val="both"/>
        <w:rPr>
          <w:rFonts w:ascii="Verdana" w:eastAsia="Times New Roman" w:hAnsi="Verdana" w:cs="Arial"/>
          <w:lang w:eastAsia="es-MX"/>
        </w:rPr>
      </w:pPr>
    </w:p>
    <w:p w14:paraId="1FDC1D05" w14:textId="77777777" w:rsidR="007D405C" w:rsidRPr="007D405C" w:rsidRDefault="007D405C" w:rsidP="007D405C">
      <w:pPr>
        <w:shd w:val="clear" w:color="auto" w:fill="FFFFFF" w:themeFill="background1"/>
        <w:spacing w:after="0" w:line="240" w:lineRule="auto"/>
        <w:ind w:left="709" w:right="709"/>
        <w:jc w:val="both"/>
        <w:rPr>
          <w:rFonts w:ascii="Verdana" w:eastAsia="Times New Roman" w:hAnsi="Verdana" w:cs="Arial"/>
          <w:bCs/>
          <w:color w:val="000000" w:themeColor="text1"/>
          <w:sz w:val="21"/>
          <w:szCs w:val="21"/>
          <w:lang w:val="es-MX" w:eastAsia="es-MX"/>
        </w:rPr>
      </w:pPr>
    </w:p>
    <w:p w14:paraId="5A520F19" w14:textId="77777777" w:rsidR="007D405C" w:rsidRPr="007D405C" w:rsidRDefault="007D405C" w:rsidP="007D405C">
      <w:pPr>
        <w:shd w:val="clear" w:color="auto" w:fill="FFFFFF" w:themeFill="background1"/>
        <w:spacing w:after="0" w:line="240" w:lineRule="auto"/>
        <w:ind w:left="709" w:right="709"/>
        <w:contextualSpacing/>
        <w:jc w:val="both"/>
        <w:rPr>
          <w:rFonts w:ascii="Verdana" w:eastAsia="Times New Roman" w:hAnsi="Verdana" w:cs="Arial"/>
          <w:sz w:val="21"/>
          <w:szCs w:val="21"/>
          <w:lang w:val="es-ES" w:eastAsia="es-MX"/>
        </w:rPr>
      </w:pPr>
      <w:r w:rsidRPr="007D405C">
        <w:rPr>
          <w:rFonts w:ascii="Verdana" w:eastAsia="Times New Roman" w:hAnsi="Verdana" w:cs="Arial"/>
          <w:sz w:val="21"/>
          <w:szCs w:val="21"/>
          <w:lang w:val="es-ES" w:eastAsia="es-MX"/>
        </w:rPr>
        <w:t xml:space="preserve">“ARTÍCULO 7. Organismos de la acción comunal. </w:t>
      </w:r>
    </w:p>
    <w:p w14:paraId="191A1A76" w14:textId="77777777" w:rsidR="007D405C" w:rsidRPr="007D405C" w:rsidRDefault="007D405C" w:rsidP="007D405C">
      <w:pPr>
        <w:shd w:val="clear" w:color="auto" w:fill="FFFFFF" w:themeFill="background1"/>
        <w:spacing w:after="0" w:line="240" w:lineRule="auto"/>
        <w:ind w:left="709" w:right="709"/>
        <w:contextualSpacing/>
        <w:jc w:val="both"/>
        <w:rPr>
          <w:rFonts w:ascii="Verdana" w:eastAsia="Times New Roman" w:hAnsi="Verdana" w:cs="Arial"/>
          <w:sz w:val="21"/>
          <w:szCs w:val="21"/>
          <w:lang w:val="es-ES" w:eastAsia="es-MX"/>
        </w:rPr>
      </w:pPr>
    </w:p>
    <w:p w14:paraId="1975D552" w14:textId="77777777" w:rsidR="007D405C" w:rsidRPr="007D405C" w:rsidRDefault="007D405C" w:rsidP="007D405C">
      <w:pPr>
        <w:shd w:val="clear" w:color="auto" w:fill="FFFFFF" w:themeFill="background1"/>
        <w:spacing w:after="0" w:line="240" w:lineRule="auto"/>
        <w:ind w:left="709" w:right="709"/>
        <w:contextualSpacing/>
        <w:jc w:val="both"/>
        <w:rPr>
          <w:rFonts w:ascii="Verdana" w:eastAsia="Times New Roman" w:hAnsi="Verdana" w:cs="Arial"/>
          <w:color w:val="000000" w:themeColor="text1"/>
          <w:sz w:val="21"/>
          <w:szCs w:val="21"/>
          <w:lang w:val="es-ES_tradnl"/>
        </w:rPr>
      </w:pPr>
      <w:r w:rsidRPr="007D405C">
        <w:rPr>
          <w:rFonts w:ascii="Verdana" w:eastAsia="Times New Roman" w:hAnsi="Verdana" w:cs="Arial"/>
          <w:sz w:val="21"/>
          <w:szCs w:val="21"/>
          <w:lang w:val="es-ES" w:eastAsia="es-MX"/>
        </w:rPr>
        <w:t>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r w:rsidRPr="007D405C">
        <w:rPr>
          <w:rFonts w:ascii="Verdana" w:eastAsia="Times New Roman" w:hAnsi="Verdana" w:cs="Arial"/>
          <w:color w:val="000000" w:themeColor="text1"/>
          <w:sz w:val="21"/>
          <w:szCs w:val="21"/>
          <w:lang w:val="es-ES_tradnl"/>
        </w:rPr>
        <w:t>”.</w:t>
      </w:r>
    </w:p>
    <w:p w14:paraId="36088ABA" w14:textId="77777777" w:rsidR="0081406C" w:rsidRPr="007D405C" w:rsidRDefault="0081406C" w:rsidP="007D405C">
      <w:pPr>
        <w:shd w:val="clear" w:color="auto" w:fill="FFFFFF" w:themeFill="background1"/>
        <w:spacing w:after="0" w:line="240" w:lineRule="auto"/>
        <w:ind w:left="709" w:right="709"/>
        <w:jc w:val="both"/>
        <w:rPr>
          <w:rFonts w:ascii="Verdana" w:eastAsia="Times New Roman" w:hAnsi="Verdana" w:cs="Arial"/>
          <w:bCs/>
          <w:color w:val="000000" w:themeColor="text1"/>
          <w:sz w:val="21"/>
          <w:szCs w:val="21"/>
          <w:lang w:val="es-ES_tradnl" w:eastAsia="es-MX"/>
        </w:rPr>
      </w:pPr>
    </w:p>
    <w:p w14:paraId="39CE4D7D" w14:textId="77777777" w:rsidR="00A30D4A" w:rsidRPr="004C449A" w:rsidRDefault="00A30D4A" w:rsidP="004C449A">
      <w:pPr>
        <w:shd w:val="clear" w:color="auto" w:fill="FFFFFF"/>
        <w:spacing w:after="0" w:line="240" w:lineRule="auto"/>
        <w:ind w:left="709" w:right="709"/>
        <w:jc w:val="both"/>
        <w:rPr>
          <w:rFonts w:ascii="Verdana" w:eastAsia="Times New Roman" w:hAnsi="Verdana" w:cs="Arial"/>
          <w:bCs/>
          <w:color w:val="000000"/>
          <w:sz w:val="21"/>
          <w:szCs w:val="21"/>
          <w:lang w:val="es-MX" w:eastAsia="es-MX"/>
        </w:rPr>
      </w:pPr>
    </w:p>
    <w:p w14:paraId="58CF5137" w14:textId="77777777" w:rsidR="00A470B4" w:rsidRPr="009A726D" w:rsidRDefault="00A470B4" w:rsidP="00A470B4">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9A726D">
        <w:rPr>
          <w:rFonts w:ascii="Verdana" w:eastAsia="Times New Roman" w:hAnsi="Verdana" w:cs="Arial"/>
          <w:bCs/>
          <w:color w:val="000000" w:themeColor="text1"/>
          <w:lang w:val="es-MX" w:eastAsia="es-MX"/>
        </w:rPr>
        <w:t xml:space="preserve">Asimismo, el artículo 9 </w:t>
      </w:r>
      <w:r w:rsidRPr="009A726D">
        <w:rPr>
          <w:rFonts w:ascii="Verdana" w:eastAsia="Times New Roman" w:hAnsi="Verdana" w:cs="Arial"/>
          <w:bCs/>
          <w:i/>
          <w:iCs/>
          <w:color w:val="000000" w:themeColor="text1"/>
          <w:lang w:val="es-MX" w:eastAsia="es-MX"/>
        </w:rPr>
        <w:t>ibidem</w:t>
      </w:r>
      <w:r w:rsidRPr="009A726D">
        <w:rPr>
          <w:rFonts w:ascii="Verdana" w:eastAsia="Times New Roman" w:hAnsi="Verdana" w:cs="Arial"/>
          <w:bCs/>
          <w:color w:val="000000" w:themeColor="text1"/>
          <w:lang w:val="es-MX" w:eastAsia="es-MX"/>
        </w:rPr>
        <w:t xml:space="preserve"> dispuso que </w:t>
      </w:r>
      <w:r w:rsidRPr="009A726D">
        <w:rPr>
          <w:rFonts w:ascii="Verdana" w:eastAsia="Times New Roman" w:hAnsi="Verdana" w:cs="Arial"/>
          <w:i/>
          <w:iCs/>
          <w:color w:val="000000" w:themeColor="text1"/>
        </w:rPr>
        <w:t>“</w:t>
      </w:r>
      <w:r w:rsidRPr="009A726D">
        <w:rPr>
          <w:rFonts w:ascii="Verdana" w:eastAsia="Times New Roman" w:hAnsi="Verdana" w:cs="Arial"/>
          <w:bCs/>
          <w:i/>
          <w:iCs/>
          <w:color w:val="000000" w:themeColor="text1"/>
          <w:lang w:val="es-MX" w:eastAsia="es-MX"/>
        </w:rPr>
        <w:t>cada organismo de acción comunal desarrollará sus actividades dentro de un territorio delimitado</w:t>
      </w:r>
      <w:r w:rsidRPr="009A726D">
        <w:rPr>
          <w:rFonts w:ascii="Verdana" w:eastAsia="Times New Roman" w:hAnsi="Verdana" w:cs="Arial"/>
          <w:i/>
          <w:iCs/>
          <w:color w:val="000000" w:themeColor="text1"/>
          <w:lang w:val="es-ES_tradnl"/>
        </w:rPr>
        <w:t>”,</w:t>
      </w:r>
      <w:r w:rsidRPr="009A726D">
        <w:rPr>
          <w:rFonts w:ascii="Verdana" w:eastAsia="Times New Roman" w:hAnsi="Verdana" w:cs="Arial"/>
          <w:color w:val="000000" w:themeColor="text1"/>
          <w:lang w:val="es-ES_tradnl"/>
        </w:rPr>
        <w:t xml:space="preserve"> indicando las orientaciones para dicha limitación. Es así como en las capitales</w:t>
      </w:r>
      <w:r w:rsidRPr="009A726D">
        <w:rPr>
          <w:rFonts w:ascii="Verdana" w:eastAsia="Times New Roman" w:hAnsi="Verdana" w:cs="Arial"/>
          <w:bCs/>
          <w:color w:val="000000" w:themeColor="text1"/>
          <w:lang w:val="es-MX" w:eastAsia="es-MX"/>
        </w:rPr>
        <w:t xml:space="preserve"> de departamentos y en las ciudades del territorio nacional, se podrá constituir una junta por cada barrio, conjunto residencial, sector o etapa del mismo, según la división establecida por la correspondiente autoridad municipal o distrital. Por su parte, en las demás cabeceras de municipio y en las de corregimientos o inspecciones de policía podrá reconocerse más de una junta si existen las divisiones urbanas a que se refiere el literal anterior, por lo que en las poblaciones donde no exista delimitación por barrios la junta podrá abarcar toda el área urbana.</w:t>
      </w:r>
    </w:p>
    <w:p w14:paraId="246BA258" w14:textId="77777777" w:rsidR="00A470B4" w:rsidRPr="009A726D" w:rsidRDefault="00A470B4" w:rsidP="00A470B4">
      <w:pPr>
        <w:shd w:val="clear" w:color="auto" w:fill="FFFFFF" w:themeFill="background1"/>
        <w:spacing w:after="120" w:line="276" w:lineRule="auto"/>
        <w:ind w:firstLine="709"/>
        <w:jc w:val="both"/>
        <w:rPr>
          <w:rFonts w:ascii="Verdana" w:eastAsia="Times New Roman" w:hAnsi="Verdana" w:cs="Arial"/>
          <w:bCs/>
          <w:color w:val="000000" w:themeColor="text1"/>
          <w:lang w:val="es-MX" w:eastAsia="es-MX"/>
        </w:rPr>
      </w:pPr>
      <w:r w:rsidRPr="009A726D">
        <w:rPr>
          <w:rFonts w:ascii="Verdana" w:eastAsia="Times New Roman" w:hAnsi="Verdana" w:cs="Arial"/>
          <w:bCs/>
          <w:color w:val="000000" w:themeColor="text1"/>
          <w:lang w:val="es-MX" w:eastAsia="es-MX"/>
        </w:rPr>
        <w:t xml:space="preserve">Dicha norma indica que en cada caserío o vereda sólo podrá constituirse una junta de acción comunal, pero la autoridad competente podrá autorizar, mediante resolución motivada, la constitución de más de una junta si la </w:t>
      </w:r>
      <w:r w:rsidRPr="009A726D">
        <w:rPr>
          <w:rFonts w:ascii="Verdana" w:eastAsia="Times New Roman" w:hAnsi="Verdana" w:cs="Arial"/>
          <w:bCs/>
          <w:color w:val="000000" w:themeColor="text1"/>
          <w:lang w:val="es-MX" w:eastAsia="es-MX"/>
        </w:rPr>
        <w:lastRenderedPageBreak/>
        <w:t xml:space="preserve">respectiva extensión territorial lo aconsejare. </w:t>
      </w:r>
      <w:r w:rsidRPr="009A726D">
        <w:rPr>
          <w:rFonts w:ascii="Verdana" w:eastAsia="Times New Roman" w:hAnsi="Verdana" w:cs="Arial"/>
          <w:bCs/>
          <w:color w:val="000000" w:themeColor="text1"/>
          <w:lang w:eastAsia="es-MX"/>
        </w:rPr>
        <w:t xml:space="preserve">De otra parte, la Ley 2166 de 2021 trajo consigo también una regla para denominación social de estos Organismos de Acción Comunal, señalando en su artículo 8 que </w:t>
      </w:r>
      <w:r w:rsidRPr="009A726D">
        <w:rPr>
          <w:rFonts w:ascii="Verdana" w:eastAsia="Times New Roman" w:hAnsi="Verdana" w:cs="Arial"/>
          <w:bCs/>
          <w:color w:val="000000" w:themeColor="text1"/>
          <w:lang w:val="es-MX" w:eastAsia="es-MX"/>
        </w:rPr>
        <w:t>dichas organizaciones conformaran su nombre legal con el de su territorio seguido del nombre de la entidad territorial a la que pertenezca y en la cual desarrolle sus actividades.</w:t>
      </w:r>
    </w:p>
    <w:p w14:paraId="503FCB01" w14:textId="77777777" w:rsidR="00A470B4" w:rsidRDefault="00A470B4" w:rsidP="00087508">
      <w:pPr>
        <w:shd w:val="clear" w:color="auto" w:fill="FFFFFF" w:themeFill="background1"/>
        <w:spacing w:after="120" w:line="276" w:lineRule="auto"/>
        <w:ind w:firstLine="709"/>
        <w:jc w:val="both"/>
        <w:rPr>
          <w:rFonts w:ascii="Verdana" w:eastAsia="Times New Roman" w:hAnsi="Verdana" w:cs="Arial"/>
          <w:lang w:eastAsia="es-MX"/>
        </w:rPr>
      </w:pPr>
      <w:r w:rsidRPr="009A726D">
        <w:rPr>
          <w:rFonts w:ascii="Verdana" w:eastAsia="Times New Roman" w:hAnsi="Verdana" w:cs="Arial"/>
          <w:lang w:eastAsia="es-MX"/>
        </w:rPr>
        <w:t>Téngase en cuenta que, con base en el principio de participación, el objeto social de las Juntas de Acción Comunal está definido y limitado a la territorialidad a la cual pertenece y tiene jurisdicción, por lo tanto no podrá ejecutar actividades por fuera de esta, pues sólo así se garantizaría que el desarrollo de la comunidad, se dé a través de un proceso territorial que integren los esfuerzos de su población, organismos y el Estado, para mejorar la calidad de vida de las comunidades, fortaleciendo así la construcción de las mismas, a partir de los planes de desarrollo comunales y comunitarios construidos y concertados por los afiliados a los organismos comunales, en articulación con las autoridades de cada uno de sus territorios.</w:t>
      </w:r>
    </w:p>
    <w:p w14:paraId="771F69CB" w14:textId="15B055FD" w:rsidR="00087508" w:rsidRDefault="00422999" w:rsidP="00087508">
      <w:pPr>
        <w:tabs>
          <w:tab w:val="left" w:pos="142"/>
          <w:tab w:val="left" w:pos="284"/>
        </w:tabs>
        <w:spacing w:after="120" w:line="276" w:lineRule="auto"/>
        <w:ind w:firstLine="709"/>
        <w:contextualSpacing/>
        <w:jc w:val="both"/>
        <w:rPr>
          <w:rFonts w:ascii="Verdana" w:eastAsia="Times New Roman" w:hAnsi="Verdana" w:cs="Century Gothic"/>
        </w:rPr>
      </w:pPr>
      <w:r>
        <w:rPr>
          <w:rFonts w:ascii="Verdana" w:eastAsia="Times New Roman" w:hAnsi="Verdana" w:cs="Arial"/>
          <w:lang w:eastAsia="es-MX"/>
        </w:rPr>
        <w:t xml:space="preserve">Por otra parte, respecto del problema planteado </w:t>
      </w:r>
      <w:r>
        <w:rPr>
          <w:rFonts w:ascii="Verdana" w:eastAsia="Times New Roman" w:hAnsi="Verdana" w:cs="Century Gothic"/>
        </w:rPr>
        <w:t>no es posible establecer un anticipo o un pago anticipado, dado que no se trata de un contrato conmutativo, en el que se establece un valor del contrato como contraprestación que la entidad pública le entregue al contratista para la ejecución del contrato. Por el contrario, el objetivo de los convenios solidarios es esfuerzos institucionales, comunales y sociales para llevar a cabo obras que satisfagan necesidades del territorio. De esta forma, no se habla de pagos sino de aportes de las partes y de giros de los recursos para la correcta ejecución del convenio. Por esto, no procede bajo ninguna figura el anticipo o pago anticipado</w:t>
      </w:r>
      <w:r w:rsidR="00A035E6">
        <w:rPr>
          <w:rStyle w:val="Refdenotaalpie"/>
          <w:rFonts w:ascii="Verdana" w:eastAsia="Times New Roman" w:hAnsi="Verdana" w:cs="Century Gothic"/>
        </w:rPr>
        <w:footnoteReference w:id="6"/>
      </w:r>
      <w:r w:rsidR="00A035E6">
        <w:rPr>
          <w:rFonts w:ascii="Verdana" w:eastAsia="Times New Roman" w:hAnsi="Verdana" w:cs="Century Gothic"/>
        </w:rPr>
        <w:t>.</w:t>
      </w:r>
    </w:p>
    <w:p w14:paraId="40EA71FD" w14:textId="77777777" w:rsidR="00087508" w:rsidRDefault="00422999" w:rsidP="00087508">
      <w:pPr>
        <w:tabs>
          <w:tab w:val="left" w:pos="142"/>
          <w:tab w:val="left" w:pos="284"/>
        </w:tabs>
        <w:spacing w:after="120" w:line="276" w:lineRule="auto"/>
        <w:ind w:firstLine="709"/>
        <w:contextualSpacing/>
        <w:jc w:val="both"/>
        <w:rPr>
          <w:rFonts w:ascii="Verdana" w:eastAsia="Times New Roman" w:hAnsi="Verdana" w:cs="Century Gothic"/>
        </w:rPr>
      </w:pPr>
      <w:r>
        <w:rPr>
          <w:rFonts w:ascii="Verdana" w:eastAsia="Times New Roman" w:hAnsi="Verdana" w:cs="Century Gothic"/>
        </w:rPr>
        <w:t>Por otro lado, en el caso de Documentos tipo para convenios solidarios, se incluyó la “Clausula 7 Giro de los recursos” que establece tres (3) opciones para que la entidad estatal decida el mecanismo que más se adecúe a la necesidad y características propias de cada convenio solidario que se pretenda adelantar.</w:t>
      </w:r>
    </w:p>
    <w:p w14:paraId="4AD50452" w14:textId="77777777" w:rsidR="00087508" w:rsidRDefault="00422999" w:rsidP="00087508">
      <w:pPr>
        <w:tabs>
          <w:tab w:val="left" w:pos="142"/>
          <w:tab w:val="left" w:pos="284"/>
        </w:tabs>
        <w:spacing w:after="120" w:line="276" w:lineRule="auto"/>
        <w:ind w:firstLine="709"/>
        <w:contextualSpacing/>
        <w:jc w:val="both"/>
        <w:rPr>
          <w:rFonts w:ascii="Verdana" w:eastAsia="Times New Roman" w:hAnsi="Verdana" w:cs="Century Gothic"/>
        </w:rPr>
      </w:pPr>
      <w:r>
        <w:rPr>
          <w:rFonts w:ascii="Verdana" w:eastAsia="Times New Roman" w:hAnsi="Verdana" w:cs="Century Gothic"/>
        </w:rPr>
        <w:t>Ahora bien, e</w:t>
      </w:r>
      <w:r w:rsidRPr="00EC7DF1">
        <w:rPr>
          <w:rFonts w:ascii="Verdana" w:eastAsia="Times New Roman" w:hAnsi="Verdana" w:cs="Century Gothic"/>
        </w:rPr>
        <w:t xml:space="preserve">n los </w:t>
      </w:r>
      <w:r w:rsidRPr="00FB330E">
        <w:rPr>
          <w:rFonts w:ascii="Verdana" w:eastAsia="Times New Roman" w:hAnsi="Verdana" w:cs="Century Gothic"/>
        </w:rPr>
        <w:t>convenios solidarios con Organismos de Acción</w:t>
      </w:r>
      <w:r w:rsidRPr="00EC7DF1">
        <w:rPr>
          <w:rFonts w:ascii="Verdana" w:eastAsia="Times New Roman" w:hAnsi="Verdana" w:cs="Century Gothic"/>
          <w:b/>
          <w:bCs/>
        </w:rPr>
        <w:t xml:space="preserve"> </w:t>
      </w:r>
      <w:r w:rsidRPr="00FB330E">
        <w:rPr>
          <w:rFonts w:ascii="Verdana" w:eastAsia="Times New Roman" w:hAnsi="Verdana" w:cs="Century Gothic"/>
        </w:rPr>
        <w:t>Comuna</w:t>
      </w:r>
      <w:r w:rsidRPr="00EC7DF1">
        <w:rPr>
          <w:rFonts w:ascii="Verdana" w:eastAsia="Times New Roman" w:hAnsi="Verdana" w:cs="Century Gothic"/>
          <w:b/>
          <w:bCs/>
        </w:rPr>
        <w:t>l</w:t>
      </w:r>
      <w:r w:rsidRPr="00EC7DF1">
        <w:rPr>
          <w:rFonts w:ascii="Verdana" w:eastAsia="Times New Roman" w:hAnsi="Verdana" w:cs="Century Gothic"/>
        </w:rPr>
        <w:t xml:space="preserve">, al tratarse de una modalidad de </w:t>
      </w:r>
      <w:r w:rsidRPr="00FB330E">
        <w:rPr>
          <w:rFonts w:ascii="Verdana" w:eastAsia="Times New Roman" w:hAnsi="Verdana" w:cs="Century Gothic"/>
        </w:rPr>
        <w:t>contratación directa</w:t>
      </w:r>
      <w:r w:rsidRPr="00EC7DF1">
        <w:rPr>
          <w:rFonts w:ascii="Verdana" w:eastAsia="Times New Roman" w:hAnsi="Verdana" w:cs="Century Gothic"/>
        </w:rPr>
        <w:t xml:space="preserve">, la exigencia de garantías no es automática ni obligatoria. Conforme al </w:t>
      </w:r>
      <w:r w:rsidRPr="00FB330E">
        <w:rPr>
          <w:rFonts w:ascii="Verdana" w:eastAsia="Times New Roman" w:hAnsi="Verdana" w:cs="Century Gothic"/>
        </w:rPr>
        <w:t>Decreto 1082 de 2015</w:t>
      </w:r>
      <w:r w:rsidRPr="00EC7DF1">
        <w:rPr>
          <w:rFonts w:ascii="Verdana" w:eastAsia="Times New Roman" w:hAnsi="Verdana" w:cs="Century Gothic"/>
        </w:rPr>
        <w:t xml:space="preserve">, la entidad estatal debe justificar en los estudios y documentos previos la </w:t>
      </w:r>
      <w:r w:rsidRPr="00EC7DF1">
        <w:rPr>
          <w:rFonts w:ascii="Verdana" w:eastAsia="Times New Roman" w:hAnsi="Verdana" w:cs="Century Gothic"/>
        </w:rPr>
        <w:lastRenderedPageBreak/>
        <w:t>necesidad o no de exigir pólizas, atendiendo a la naturaleza del convenio, los riesgos asociados y la forma de ejecución de los recursos.</w:t>
      </w:r>
    </w:p>
    <w:p w14:paraId="3A5BD8AE" w14:textId="31815CE1" w:rsidR="00A470B4" w:rsidRDefault="00A470B4" w:rsidP="002462D4">
      <w:pPr>
        <w:tabs>
          <w:tab w:val="left" w:pos="142"/>
          <w:tab w:val="left" w:pos="284"/>
        </w:tabs>
        <w:spacing w:before="240" w:after="120" w:line="276" w:lineRule="auto"/>
        <w:ind w:firstLine="709"/>
        <w:contextualSpacing/>
        <w:jc w:val="both"/>
        <w:rPr>
          <w:rFonts w:ascii="Verdana" w:eastAsia="Times New Roman" w:hAnsi="Verdana" w:cs="Arial"/>
          <w:color w:val="000000"/>
          <w:lang w:val="es-ES"/>
        </w:rPr>
      </w:pPr>
      <w:r w:rsidRPr="009A726D">
        <w:rPr>
          <w:rFonts w:ascii="Verdana" w:eastAsia="Times New Roman" w:hAnsi="Verdana" w:cs="Arial"/>
          <w:lang w:eastAsia="es-MX"/>
        </w:rPr>
        <w:t>En conclusión, conforme a lo señalado en la norma</w:t>
      </w:r>
      <w:r w:rsidRPr="009A726D">
        <w:rPr>
          <w:rFonts w:ascii="Verdana" w:eastAsia="Times New Roman" w:hAnsi="Verdana" w:cs="Times New Roman"/>
          <w:iCs/>
          <w:vertAlign w:val="superscript"/>
        </w:rPr>
        <w:footnoteReference w:id="7"/>
      </w:r>
      <w:r w:rsidRPr="009A726D">
        <w:rPr>
          <w:rFonts w:ascii="Verdana" w:eastAsia="Times New Roman" w:hAnsi="Verdana" w:cs="Arial"/>
          <w:lang w:eastAsia="es-MX"/>
        </w:rPr>
        <w:t xml:space="preserve"> </w:t>
      </w:r>
      <w:r w:rsidRPr="009A726D">
        <w:rPr>
          <w:rFonts w:ascii="Verdana" w:eastAsia="Times New Roman" w:hAnsi="Verdana" w:cs="Times New Roman"/>
          <w:iCs/>
        </w:rPr>
        <w:t>el legislador concedió la posibilidad a los organismos de Acción Comunal de celebrar en la modalidad de contratación directa, convenios solidarios para ejecutar únicamente proyectos de obras con Entidades Públicas del orden Nacional, Departamental, Distrital y Municipal. No obstante, es menester precisar que e</w:t>
      </w:r>
      <w:r w:rsidRPr="009A726D">
        <w:rPr>
          <w:rFonts w:ascii="Verdana" w:eastAsia="Times New Roman" w:hAnsi="Verdana" w:cs="Arial"/>
          <w:color w:val="000000"/>
          <w:lang w:val="es-ES"/>
        </w:rPr>
        <w:t>l convenio solidario tiene un límite consistente en que no podrá exceder la menor cuantía de la Entidad</w:t>
      </w:r>
      <w:r w:rsidRPr="009A726D">
        <w:rPr>
          <w:rFonts w:ascii="Verdana" w:eastAsia="Times New Roman" w:hAnsi="Verdana" w:cs="Arial"/>
          <w:color w:val="000000"/>
          <w:vertAlign w:val="superscript"/>
          <w:lang w:val="es-ES"/>
        </w:rPr>
        <w:footnoteReference w:id="8"/>
      </w:r>
      <w:r w:rsidRPr="009A726D">
        <w:rPr>
          <w:rFonts w:ascii="Verdana" w:eastAsia="Times New Roman" w:hAnsi="Verdana" w:cs="Arial"/>
          <w:color w:val="000000"/>
          <w:lang w:val="es-ES"/>
        </w:rPr>
        <w:t>. Por tanto, los sujetos señalados en la Ley están sometidos al imperio del Estatuto General de la Contratación Pública y facultados para celebrar estos convenios hasta por la menor cuantía de la Entidad, para lo cual se atenderá lo previsto en el literal b) del artículo 2 de la Ley 1150 de 2007 para determinar el tope de la menor cuantía de la entidad estatal.</w:t>
      </w:r>
    </w:p>
    <w:p w14:paraId="29C7E136" w14:textId="77777777" w:rsidR="00C6698B" w:rsidRPr="004F7B86" w:rsidRDefault="00C6698B" w:rsidP="00C6698B">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7417AF21" w14:textId="77777777" w:rsidR="00C6698B" w:rsidRDefault="00C6698B" w:rsidP="00C6698B">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15250AAD" w14:textId="77777777" w:rsidR="004D1FFE" w:rsidRDefault="004D1FFE" w:rsidP="00C6698B">
      <w:pPr>
        <w:spacing w:after="0" w:line="276" w:lineRule="auto"/>
        <w:ind w:firstLine="708"/>
        <w:jc w:val="both"/>
        <w:rPr>
          <w:rFonts w:ascii="Verdana" w:eastAsia="Calibri" w:hAnsi="Verdana" w:cs="Times New Roman"/>
          <w:lang w:val="es-ES"/>
        </w:rPr>
      </w:pPr>
    </w:p>
    <w:p w14:paraId="1A4981D1" w14:textId="77777777" w:rsidR="004D1FFE" w:rsidRPr="004D1FFE" w:rsidRDefault="004D1FFE" w:rsidP="004D1FFE">
      <w:pPr>
        <w:tabs>
          <w:tab w:val="left" w:pos="142"/>
          <w:tab w:val="left" w:pos="284"/>
        </w:tabs>
        <w:spacing w:before="240" w:after="120" w:line="276" w:lineRule="auto"/>
        <w:contextualSpacing/>
        <w:jc w:val="both"/>
        <w:rPr>
          <w:rFonts w:ascii="Verdana" w:eastAsia="Times New Roman" w:hAnsi="Verdana" w:cs="Century Gothic"/>
          <w:b/>
          <w:bCs/>
          <w:lang w:val="es-ES"/>
        </w:rPr>
      </w:pPr>
      <w:r w:rsidRPr="004D1FFE">
        <w:rPr>
          <w:rFonts w:ascii="Verdana" w:eastAsia="Times New Roman" w:hAnsi="Verdana" w:cs="Century Gothic"/>
          <w:b/>
          <w:bCs/>
          <w:lang w:val="es-ES"/>
        </w:rPr>
        <w:t xml:space="preserve">4. Referencias normativa, jurisprudenciales y otras fuentes: </w:t>
      </w:r>
    </w:p>
    <w:p w14:paraId="1105E4A7" w14:textId="77777777" w:rsidR="004D1FFE" w:rsidRDefault="004D1FFE" w:rsidP="004D1FFE">
      <w:pPr>
        <w:tabs>
          <w:tab w:val="left" w:pos="142"/>
          <w:tab w:val="left" w:pos="284"/>
        </w:tabs>
        <w:spacing w:before="240" w:after="120" w:line="276" w:lineRule="auto"/>
        <w:contextualSpacing/>
        <w:jc w:val="both"/>
        <w:rPr>
          <w:rFonts w:ascii="Verdana" w:eastAsia="Times New Roman" w:hAnsi="Verdana" w:cs="Century Gothic"/>
          <w:lang w:val="es-ES"/>
        </w:rPr>
      </w:pPr>
    </w:p>
    <w:p w14:paraId="2A219736" w14:textId="77777777" w:rsidR="004D1FFE" w:rsidRPr="009A726D" w:rsidRDefault="004D1FFE" w:rsidP="004D1FFE">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hAnsi="Verdana" w:cs="Arial"/>
          <w:lang w:val="es-ES"/>
        </w:rPr>
      </w:pPr>
      <w:r w:rsidRPr="009A726D">
        <w:rPr>
          <w:rFonts w:ascii="Verdana" w:hAnsi="Verdana" w:cs="Arial"/>
          <w:lang w:val="es-ES"/>
        </w:rPr>
        <w:t xml:space="preserve">Ley 2022 de 2020, artículo 1. </w:t>
      </w:r>
    </w:p>
    <w:p w14:paraId="65B2C376" w14:textId="77777777" w:rsidR="004D1FFE" w:rsidRPr="009A726D" w:rsidRDefault="004D1FFE" w:rsidP="004D1FFE">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hAnsi="Verdana" w:cs="Arial"/>
          <w:lang w:val="es-ES"/>
        </w:rPr>
      </w:pPr>
      <w:r w:rsidRPr="009A726D">
        <w:rPr>
          <w:rFonts w:ascii="Verdana" w:hAnsi="Verdana" w:cs="Arial"/>
          <w:lang w:val="es-ES"/>
        </w:rPr>
        <w:t>Ley 2166 de 2021, artículos 7, 9, 15, 38 y 95.</w:t>
      </w:r>
    </w:p>
    <w:p w14:paraId="160185B3" w14:textId="77777777" w:rsidR="004D1FFE" w:rsidRPr="004D1FFE" w:rsidRDefault="004D1FFE" w:rsidP="004D1FFE">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hAnsi="Verdana" w:cs="Arial"/>
          <w:lang w:val="es-ES"/>
        </w:rPr>
      </w:pPr>
      <w:r w:rsidRPr="009A726D">
        <w:rPr>
          <w:rFonts w:ascii="Verdana" w:hAnsi="Verdana" w:cs="Arial"/>
          <w:lang w:val="es-ES"/>
        </w:rPr>
        <w:t>Decreto 1501 de 2023</w:t>
      </w:r>
      <w:r>
        <w:rPr>
          <w:rFonts w:ascii="Verdana" w:hAnsi="Verdana" w:cs="Arial"/>
          <w:spacing w:val="2"/>
          <w:lang w:val="es-ES" w:eastAsia="es-CO"/>
        </w:rPr>
        <w:t>.</w:t>
      </w:r>
    </w:p>
    <w:p w14:paraId="5372D2DB" w14:textId="77777777" w:rsidR="004D1FFE" w:rsidRPr="004D1FFE" w:rsidRDefault="004D1FFE" w:rsidP="004D1FFE">
      <w:pPr>
        <w:widowControl w:val="0"/>
        <w:numPr>
          <w:ilvl w:val="0"/>
          <w:numId w:val="18"/>
        </w:numPr>
        <w:pBdr>
          <w:top w:val="single" w:sz="4" w:space="1" w:color="auto"/>
          <w:left w:val="single" w:sz="4" w:space="4" w:color="auto"/>
          <w:bottom w:val="single" w:sz="4" w:space="1" w:color="auto"/>
          <w:right w:val="single" w:sz="4" w:space="4" w:color="auto"/>
        </w:pBdr>
        <w:autoSpaceDE w:val="0"/>
        <w:autoSpaceDN w:val="0"/>
        <w:spacing w:after="120" w:line="276" w:lineRule="auto"/>
        <w:contextualSpacing/>
        <w:jc w:val="both"/>
        <w:rPr>
          <w:rFonts w:ascii="Verdana" w:hAnsi="Verdana" w:cs="Arial"/>
          <w:lang w:val="es-ES"/>
        </w:rPr>
      </w:pPr>
      <w:r w:rsidRPr="004D1FFE">
        <w:rPr>
          <w:rFonts w:ascii="Verdana" w:hAnsi="Verdana" w:cs="Arial"/>
          <w:spacing w:val="2"/>
          <w:lang w:val="es-ES" w:eastAsia="es-CO"/>
        </w:rPr>
        <w:t>Resolución 358 de 2023 “</w:t>
      </w:r>
      <w:hyperlink r:id="rId19" w:history="1">
        <w:r w:rsidRPr="004D1FFE">
          <w:rPr>
            <w:rFonts w:ascii="Verdana" w:hAnsi="Verdana" w:cs="Arial"/>
            <w:spacing w:val="2"/>
            <w:lang w:val="es-ES" w:eastAsia="es-CO"/>
          </w:rPr>
          <w:t xml:space="preserve">Por la cual se adopta el documento tipo para la contratación directa de convenios solidarios para la ejecución de obras hasta la menor cuantía con organismos de Acción Comunal”. Disponible en: </w:t>
        </w:r>
      </w:hyperlink>
      <w:r w:rsidRPr="004D1FFE">
        <w:rPr>
          <w:rFonts w:ascii="Aptos" w:hAnsi="Aptos"/>
          <w:lang w:val="es-ES_tradnl"/>
        </w:rPr>
        <w:t xml:space="preserve"> </w:t>
      </w:r>
      <w:hyperlink r:id="rId20" w:history="1">
        <w:r w:rsidRPr="004D1FFE">
          <w:rPr>
            <w:rFonts w:ascii="Verdana" w:hAnsi="Verdana" w:cs="Arial"/>
            <w:color w:val="0000FF"/>
            <w:spacing w:val="2"/>
            <w:u w:val="single"/>
            <w:lang w:val="es-ES" w:eastAsia="es-CO"/>
          </w:rPr>
          <w:t>https://www.colombiacompra.gov.co/content/documento-tipo-para-la-contratacion-directa-de-convenios-solidarios-para-la-ejecucion-de</w:t>
        </w:r>
      </w:hyperlink>
    </w:p>
    <w:p w14:paraId="7710098D" w14:textId="77777777" w:rsidR="004D1FFE" w:rsidRPr="009A726D" w:rsidRDefault="004D1FFE" w:rsidP="004D1FFE">
      <w:pPr>
        <w:shd w:val="clear" w:color="auto" w:fill="FFFFFF"/>
        <w:spacing w:after="0" w:line="276" w:lineRule="auto"/>
        <w:jc w:val="both"/>
        <w:rPr>
          <w:rFonts w:ascii="Verdana" w:eastAsia="Times New Roman" w:hAnsi="Verdana" w:cs="Arial"/>
          <w:bCs/>
          <w:color w:val="000000"/>
          <w:lang w:eastAsia="es-MX"/>
        </w:rPr>
      </w:pPr>
    </w:p>
    <w:p w14:paraId="0E9FCCA0" w14:textId="77777777" w:rsidR="004D1FFE" w:rsidRPr="00B271EE" w:rsidRDefault="004D1FFE" w:rsidP="004D1FFE">
      <w:pPr>
        <w:shd w:val="clear" w:color="auto" w:fill="FFFFFF" w:themeFill="background1"/>
        <w:spacing w:after="120" w:line="276" w:lineRule="auto"/>
        <w:contextualSpacing/>
        <w:jc w:val="both"/>
        <w:rPr>
          <w:rFonts w:ascii="Verdana" w:eastAsia="Times New Roman" w:hAnsi="Verdana" w:cs="Arial"/>
          <w:b/>
          <w:bCs/>
          <w:color w:val="000000"/>
          <w:lang w:eastAsia="es-MX"/>
        </w:rPr>
      </w:pPr>
    </w:p>
    <w:p w14:paraId="77B7BE0F" w14:textId="6DAE2F61" w:rsidR="004D1FFE" w:rsidRPr="00B271EE" w:rsidRDefault="004D1FFE" w:rsidP="004D1FFE">
      <w:pPr>
        <w:shd w:val="clear" w:color="auto" w:fill="FFFFFF" w:themeFill="background1"/>
        <w:spacing w:after="120" w:line="276" w:lineRule="auto"/>
        <w:contextualSpacing/>
        <w:jc w:val="both"/>
        <w:rPr>
          <w:rFonts w:ascii="Verdana" w:eastAsia="Times New Roman" w:hAnsi="Verdana" w:cs="Arial"/>
          <w:b/>
          <w:bCs/>
          <w:color w:val="000000"/>
          <w:lang w:eastAsia="es-MX"/>
        </w:rPr>
      </w:pPr>
      <w:r w:rsidRPr="00B271EE">
        <w:rPr>
          <w:rFonts w:ascii="Verdana" w:eastAsia="Times New Roman" w:hAnsi="Verdana" w:cs="Arial"/>
          <w:b/>
          <w:bCs/>
          <w:color w:val="000000"/>
          <w:lang w:eastAsia="es-MX"/>
        </w:rPr>
        <w:t xml:space="preserve">5. Doctrina de la Agencia Nacional de Contratación Pública: </w:t>
      </w:r>
    </w:p>
    <w:p w14:paraId="50F337EB" w14:textId="77777777" w:rsidR="004D1FFE" w:rsidRDefault="004D1FFE" w:rsidP="004D1FFE">
      <w:pPr>
        <w:shd w:val="clear" w:color="auto" w:fill="FFFFFF" w:themeFill="background1"/>
        <w:spacing w:after="120" w:line="276" w:lineRule="auto"/>
        <w:contextualSpacing/>
        <w:jc w:val="both"/>
        <w:rPr>
          <w:rFonts w:ascii="Verdana" w:eastAsia="Times New Roman" w:hAnsi="Verdana" w:cs="Arial"/>
          <w:color w:val="000000"/>
          <w:lang w:eastAsia="es-MX"/>
        </w:rPr>
      </w:pPr>
    </w:p>
    <w:p w14:paraId="1C6F5B53" w14:textId="1AC43057" w:rsidR="001348A9" w:rsidRPr="00D12DAA" w:rsidRDefault="00B271EE" w:rsidP="00D12DAA">
      <w:pPr>
        <w:jc w:val="both"/>
        <w:rPr>
          <w:rFonts w:ascii="Verdana" w:eastAsia="Times New Roman" w:hAnsi="Verdana" w:cs="Arial"/>
          <w:shd w:val="clear" w:color="auto" w:fill="FFFFFF"/>
        </w:rPr>
      </w:pPr>
      <w:r w:rsidRPr="009A726D">
        <w:rPr>
          <w:rFonts w:ascii="Verdana" w:eastAsia="Times New Roman" w:hAnsi="Verdana" w:cs="Arial"/>
          <w:shd w:val="clear" w:color="auto" w:fill="FFFFFF"/>
          <w:lang w:val="es-ES"/>
        </w:rPr>
        <w:t>La Agencia Nacional de Contratación Pública − Colombia Compra Eficiente se pronunció en los Conceptos C-435 del 6 de julio de 2022, C-455 del 15 de julio de 2022, C-465 del 21 de julio de 2022, C-559 del 2 de septiembre de 2022, 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 C-068 del 9 de marzo de 2023, C-040 del 24 de marzo de 2023, C-052 del 21 de abril de 2023,C-0117 del 21 de abril de 2023, C-094 del 4 de mayo de 2023, C-209 del 21 de junio de 2023, C-287 del 9 de octubre de 2023, C-469 del 5 de febrero de 2024, C-020 del 23 de febrero de 2024, C-057 del 26 de Abril de 2024 y C-051 del 3 de mayo de 2024, entre otros, analizó los convenios solidarios, su alcance y su régimen contractual.</w:t>
      </w:r>
      <w:r w:rsidRPr="009A726D">
        <w:rPr>
          <w:rFonts w:ascii="Verdana" w:eastAsia="Times New Roman" w:hAnsi="Verdana" w:cs="Times New Roman"/>
        </w:rPr>
        <w:t xml:space="preserve"> </w:t>
      </w:r>
      <w:r w:rsidRPr="009A726D">
        <w:rPr>
          <w:rFonts w:ascii="Verdana" w:eastAsia="Times New Roman"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21" w:tgtFrame="_blank" w:tooltip="Dirección URL original: https://relatoria.colombiacompra.gov.co/. Haga clic o pulse si confía en este vínculo." w:history="1">
        <w:r w:rsidRPr="009A726D">
          <w:rPr>
            <w:rFonts w:ascii="Verdana" w:eastAsia="Times New Roman" w:hAnsi="Verdana" w:cs="Arial"/>
            <w:color w:val="0000FF"/>
            <w:u w:val="single"/>
            <w:shd w:val="clear" w:color="auto" w:fill="FFFFFF"/>
          </w:rPr>
          <w:t>https://relatoria.colombiacompra.gov.co/</w:t>
        </w:r>
      </w:hyperlink>
      <w:r w:rsidRPr="009A726D">
        <w:rPr>
          <w:rFonts w:ascii="Verdana" w:eastAsia="Times New Roman" w:hAnsi="Verdana" w:cs="Arial"/>
          <w:shd w:val="clear" w:color="auto" w:fill="FFFFFF"/>
        </w:rPr>
        <w:t>.</w:t>
      </w:r>
      <w:r w:rsidR="00D12DAA">
        <w:rPr>
          <w:rFonts w:ascii="Verdana" w:eastAsia="Times New Roman" w:hAnsi="Verdana" w:cs="Arial"/>
          <w:shd w:val="clear" w:color="auto" w:fill="FFFFFF"/>
        </w:rPr>
        <w:t xml:space="preserve"> </w:t>
      </w:r>
    </w:p>
    <w:p w14:paraId="6866CA35" w14:textId="77777777" w:rsidR="009B63EC" w:rsidRDefault="009B63EC" w:rsidP="00D52B64">
      <w:pPr>
        <w:spacing w:after="0"/>
        <w:jc w:val="both"/>
        <w:rPr>
          <w:rFonts w:ascii="Verdana" w:eastAsia="Times New Roman" w:hAnsi="Verdana" w:cs="Arial"/>
          <w:shd w:val="clear" w:color="auto" w:fill="FFFFFF"/>
        </w:rPr>
      </w:pPr>
    </w:p>
    <w:p w14:paraId="3EA3976B" w14:textId="200E873C" w:rsidR="00D52B64" w:rsidRPr="009A385A" w:rsidRDefault="00D52B64" w:rsidP="00D52B64">
      <w:pPr>
        <w:spacing w:after="0"/>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 xml:space="preserve">Curso de Contratación Pública Sostenible y Socialmente </w:t>
      </w:r>
      <w:r w:rsidRPr="009A385A">
        <w:rPr>
          <w:rFonts w:ascii="Verdana" w:hAnsi="Verdana"/>
          <w:b/>
          <w:bCs/>
        </w:rPr>
        <w:lastRenderedPageBreak/>
        <w:t>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22" w:tgtFrame="_new" w:history="1">
        <w:r w:rsidRPr="009A385A">
          <w:rPr>
            <w:rStyle w:val="Hipervnculo"/>
            <w:rFonts w:ascii="Verdana" w:hAnsi="Verdana"/>
          </w:rPr>
          <w:t>https://formacionvirtual.colombiacompra.gov.co/mod/page/view.php?id=3718</w:t>
        </w:r>
      </w:hyperlink>
    </w:p>
    <w:p w14:paraId="24F4AA4E" w14:textId="77777777" w:rsidR="00D52B64" w:rsidRDefault="00D52B64" w:rsidP="00D52B64">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23" w:tgtFrame="_new" w:history="1">
        <w:r w:rsidRPr="00635F16">
          <w:rPr>
            <w:rStyle w:val="Hipervnculo"/>
            <w:rFonts w:ascii="Verdana" w:hAnsi="Verdana"/>
          </w:rPr>
          <w:t>https://www.colombiacompra.gov.co/normativa-y-relatoria/documentos-tipo</w:t>
        </w:r>
      </w:hyperlink>
    </w:p>
    <w:p w14:paraId="59364249" w14:textId="77777777" w:rsidR="00D52B64" w:rsidRDefault="00D52B64" w:rsidP="00D52B64">
      <w:pPr>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2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5F2BDC4" w14:textId="77777777" w:rsidR="001348A9" w:rsidRDefault="001348A9" w:rsidP="00D52B64">
      <w:pPr>
        <w:jc w:val="both"/>
      </w:pPr>
    </w:p>
    <w:p w14:paraId="65E4B2A1" w14:textId="77777777" w:rsidR="001348A9" w:rsidRPr="00B06915" w:rsidRDefault="001348A9" w:rsidP="001348A9">
      <w:pPr>
        <w:spacing w:after="0" w:line="254" w:lineRule="auto"/>
        <w:rPr>
          <w:rFonts w:ascii="Verdana" w:eastAsia="Calibri" w:hAnsi="Verdana" w:cs="Times New Roman"/>
        </w:rPr>
      </w:pPr>
      <w:r w:rsidRPr="00B06915">
        <w:rPr>
          <w:rFonts w:ascii="Verdana" w:eastAsia="Calibri" w:hAnsi="Verdana" w:cs="Times New Roman"/>
        </w:rPr>
        <w:t xml:space="preserve">Por último, lo invitamos a seguirnos en las redes sociales en las cuales se difunde información institucional: </w:t>
      </w:r>
    </w:p>
    <w:p w14:paraId="11A5C839" w14:textId="77777777" w:rsidR="001348A9" w:rsidRPr="00B06915" w:rsidRDefault="001348A9" w:rsidP="001348A9">
      <w:pPr>
        <w:spacing w:after="0" w:line="254" w:lineRule="auto"/>
        <w:rPr>
          <w:rFonts w:ascii="Verdana" w:eastAsia="Calibri" w:hAnsi="Verdana" w:cs="Times New Roman"/>
        </w:rPr>
      </w:pPr>
    </w:p>
    <w:p w14:paraId="1FFEDE3E" w14:textId="77777777" w:rsidR="001348A9" w:rsidRPr="00B06915" w:rsidRDefault="001348A9" w:rsidP="001348A9">
      <w:pPr>
        <w:spacing w:after="0" w:line="254" w:lineRule="auto"/>
        <w:rPr>
          <w:rFonts w:ascii="Verdana" w:eastAsia="Calibri" w:hAnsi="Verdana" w:cs="Times New Roman"/>
        </w:rPr>
      </w:pPr>
      <w:r w:rsidRPr="00B06915">
        <w:rPr>
          <w:rFonts w:ascii="Verdana" w:eastAsia="Calibri" w:hAnsi="Verdana" w:cs="Times New Roman"/>
        </w:rPr>
        <w:t xml:space="preserve">Twitter: </w:t>
      </w:r>
      <w:r w:rsidRPr="00B06915">
        <w:rPr>
          <w:rFonts w:ascii="Verdana" w:eastAsia="Calibri" w:hAnsi="Verdana" w:cs="Times New Roman"/>
          <w:u w:val="single"/>
        </w:rPr>
        <w:t>@colombiacompra</w:t>
      </w:r>
      <w:r w:rsidRPr="00B06915">
        <w:rPr>
          <w:rFonts w:ascii="Verdana" w:eastAsia="Calibri" w:hAnsi="Verdana" w:cs="Times New Roman"/>
        </w:rPr>
        <w:t xml:space="preserve"> </w:t>
      </w:r>
    </w:p>
    <w:p w14:paraId="0FA0B875" w14:textId="77777777" w:rsidR="001348A9" w:rsidRPr="00B06915" w:rsidRDefault="001348A9" w:rsidP="001348A9">
      <w:pPr>
        <w:spacing w:after="0" w:line="254" w:lineRule="auto"/>
        <w:rPr>
          <w:rFonts w:ascii="Verdana" w:eastAsia="Calibri" w:hAnsi="Verdana" w:cs="Times New Roman"/>
        </w:rPr>
      </w:pPr>
      <w:r w:rsidRPr="00B06915">
        <w:rPr>
          <w:rFonts w:ascii="Verdana" w:eastAsia="Calibri" w:hAnsi="Verdana" w:cs="Times New Roman"/>
        </w:rPr>
        <w:t xml:space="preserve">Facebook: </w:t>
      </w:r>
      <w:r w:rsidRPr="00B06915">
        <w:rPr>
          <w:rFonts w:ascii="Verdana" w:eastAsia="Calibri" w:hAnsi="Verdana" w:cs="Times New Roman"/>
          <w:u w:val="single"/>
        </w:rPr>
        <w:t>ColombiaCompraEficiente</w:t>
      </w:r>
    </w:p>
    <w:p w14:paraId="23D1225E" w14:textId="77777777" w:rsidR="001348A9" w:rsidRPr="00B06915" w:rsidRDefault="001348A9" w:rsidP="001348A9">
      <w:pPr>
        <w:spacing w:after="0" w:line="254" w:lineRule="auto"/>
        <w:rPr>
          <w:rFonts w:ascii="Verdana" w:eastAsia="Calibri" w:hAnsi="Verdana" w:cs="Times New Roman"/>
          <w:u w:val="single"/>
        </w:rPr>
      </w:pPr>
      <w:r w:rsidRPr="00B06915">
        <w:rPr>
          <w:rFonts w:ascii="Verdana" w:eastAsia="Calibri" w:hAnsi="Verdana" w:cs="Times New Roman"/>
        </w:rPr>
        <w:t xml:space="preserve">LinkedIn: </w:t>
      </w:r>
      <w:r w:rsidRPr="00B06915">
        <w:rPr>
          <w:rFonts w:ascii="Verdana" w:eastAsia="Calibri" w:hAnsi="Verdana" w:cs="Times New Roman"/>
          <w:u w:val="single"/>
        </w:rPr>
        <w:t>Agencia Nacional de Contratación Pública - Colombia Compra Eficiente</w:t>
      </w:r>
      <w:r w:rsidRPr="00B06915">
        <w:rPr>
          <w:rFonts w:ascii="Verdana" w:eastAsia="Calibri" w:hAnsi="Verdana" w:cs="Times New Roman"/>
        </w:rPr>
        <w:t xml:space="preserve"> Instagram: </w:t>
      </w:r>
      <w:r w:rsidRPr="00B06915">
        <w:rPr>
          <w:rFonts w:ascii="Verdana" w:eastAsia="Calibri" w:hAnsi="Verdana" w:cs="Times New Roman"/>
          <w:u w:val="single"/>
        </w:rPr>
        <w:t>@colombiacompraeficiente_cce</w:t>
      </w:r>
    </w:p>
    <w:p w14:paraId="29203D07" w14:textId="77777777" w:rsidR="001348A9" w:rsidRPr="00B06915" w:rsidRDefault="001348A9" w:rsidP="001348A9">
      <w:pPr>
        <w:spacing w:after="0" w:line="254" w:lineRule="auto"/>
        <w:rPr>
          <w:rFonts w:ascii="Verdana" w:eastAsia="Calibri" w:hAnsi="Verdana" w:cs="Times New Roman"/>
          <w:u w:val="single"/>
        </w:rPr>
      </w:pPr>
    </w:p>
    <w:p w14:paraId="54D1F6F4" w14:textId="77777777" w:rsidR="001348A9" w:rsidRPr="00B06915" w:rsidRDefault="001348A9" w:rsidP="001348A9">
      <w:pPr>
        <w:spacing w:after="0" w:line="254" w:lineRule="auto"/>
        <w:jc w:val="both"/>
        <w:rPr>
          <w:rFonts w:ascii="Verdana" w:eastAsia="Calibri" w:hAnsi="Verdana" w:cs="Times New Roman"/>
          <w:bCs/>
          <w:lang w:val="es-ES_tradnl"/>
        </w:rPr>
      </w:pPr>
      <w:r w:rsidRPr="00B06915">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5FBDE70" w14:textId="77777777" w:rsidR="001348A9" w:rsidRPr="00B06915" w:rsidRDefault="001348A9" w:rsidP="001348A9">
      <w:pPr>
        <w:spacing w:after="0" w:line="254" w:lineRule="auto"/>
        <w:jc w:val="both"/>
        <w:rPr>
          <w:rFonts w:ascii="Verdana" w:eastAsia="Calibri" w:hAnsi="Verdana" w:cs="Times New Roman"/>
        </w:rPr>
      </w:pPr>
    </w:p>
    <w:p w14:paraId="7A912276" w14:textId="69A4D13E" w:rsidR="001348A9" w:rsidRDefault="001348A9" w:rsidP="001348A9">
      <w:pPr>
        <w:spacing w:after="0" w:line="254" w:lineRule="auto"/>
        <w:jc w:val="both"/>
        <w:rPr>
          <w:rFonts w:ascii="Verdana" w:eastAsia="Calibri" w:hAnsi="Verdana" w:cs="Times New Roman"/>
        </w:rPr>
      </w:pPr>
      <w:r w:rsidRPr="00B06915">
        <w:rPr>
          <w:rFonts w:ascii="Verdana" w:eastAsia="Calibri" w:hAnsi="Verdana" w:cs="Times New Roman"/>
        </w:rPr>
        <w:t>Atentamente,</w:t>
      </w:r>
    </w:p>
    <w:p w14:paraId="17359C1D" w14:textId="60E99B5D" w:rsidR="001348A9" w:rsidRDefault="00E52D8C" w:rsidP="001348A9">
      <w:pPr>
        <w:jc w:val="both"/>
        <w:rPr>
          <w:rFonts w:ascii="Verdana" w:eastAsia="Times New Roman" w:hAnsi="Verdana" w:cs="Arial"/>
          <w:shd w:val="clear" w:color="auto" w:fill="FFFFFF"/>
        </w:rPr>
      </w:pPr>
      <w:r w:rsidRPr="002C3AD6">
        <w:rPr>
          <w:rFonts w:ascii="Century Gothic" w:hAnsi="Century Gothic"/>
          <w:noProof/>
          <w:lang w:val="en-US"/>
        </w:rPr>
        <w:drawing>
          <wp:anchor distT="0" distB="0" distL="114300" distR="114300" simplePos="0" relativeHeight="251661312" behindDoc="1" locked="0" layoutInCell="1" allowOverlap="1" wp14:anchorId="08E63A00" wp14:editId="558A2251">
            <wp:simplePos x="0" y="0"/>
            <wp:positionH relativeFrom="column">
              <wp:posOffset>1510665</wp:posOffset>
            </wp:positionH>
            <wp:positionV relativeFrom="paragraph">
              <wp:posOffset>3810</wp:posOffset>
            </wp:positionV>
            <wp:extent cx="3279140" cy="1111250"/>
            <wp:effectExtent l="0" t="0" r="0" b="0"/>
            <wp:wrapTight wrapText="bothSides">
              <wp:wrapPolygon edited="0">
                <wp:start x="0" y="0"/>
                <wp:lineTo x="0" y="21106"/>
                <wp:lineTo x="21458" y="21106"/>
                <wp:lineTo x="2145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5">
                      <a:extLst>
                        <a:ext uri="{28A0092B-C50C-407E-A947-70E740481C1C}">
                          <a14:useLocalDpi xmlns:a14="http://schemas.microsoft.com/office/drawing/2010/main" val="0"/>
                        </a:ext>
                      </a:extLst>
                    </a:blip>
                    <a:stretch>
                      <a:fillRect/>
                    </a:stretch>
                  </pic:blipFill>
                  <pic:spPr>
                    <a:xfrm>
                      <a:off x="0" y="0"/>
                      <a:ext cx="3279140" cy="1111250"/>
                    </a:xfrm>
                    <a:prstGeom prst="rect">
                      <a:avLst/>
                    </a:prstGeom>
                  </pic:spPr>
                </pic:pic>
              </a:graphicData>
            </a:graphic>
            <wp14:sizeRelV relativeFrom="margin">
              <wp14:pctHeight>0</wp14:pctHeight>
            </wp14:sizeRelV>
          </wp:anchor>
        </w:drawing>
      </w:r>
      <w:r w:rsidR="001348A9">
        <w:rPr>
          <w:rFonts w:ascii="Verdana" w:eastAsia="Times New Roman" w:hAnsi="Verdana" w:cs="Arial"/>
          <w:shd w:val="clear" w:color="auto" w:fill="FFFFFF"/>
        </w:rPr>
        <w:t xml:space="preserve"> </w:t>
      </w:r>
    </w:p>
    <w:p w14:paraId="7BE34769" w14:textId="55EF85B7" w:rsidR="00434A87" w:rsidRDefault="00434A87" w:rsidP="00434A87">
      <w:pPr>
        <w:spacing w:after="0" w:line="240" w:lineRule="auto"/>
        <w:textAlignment w:val="baseline"/>
        <w:rPr>
          <w:rFonts w:ascii="Verdana" w:eastAsia="Times New Roman" w:hAnsi="Verdana" w:cs="Segoe UI"/>
          <w:lang w:val="es-MX" w:eastAsia="es-CO"/>
        </w:rPr>
      </w:pPr>
    </w:p>
    <w:p w14:paraId="6944A247" w14:textId="77777777" w:rsidR="00811274" w:rsidRDefault="00811274" w:rsidP="00434A87">
      <w:pPr>
        <w:spacing w:after="0" w:line="240" w:lineRule="auto"/>
        <w:textAlignment w:val="baseline"/>
        <w:rPr>
          <w:rFonts w:ascii="Verdana" w:eastAsia="Times New Roman" w:hAnsi="Verdana" w:cs="Segoe UI"/>
          <w:lang w:val="es-MX" w:eastAsia="es-CO"/>
        </w:rPr>
      </w:pPr>
    </w:p>
    <w:p w14:paraId="3BE35048" w14:textId="77777777" w:rsidR="00811274" w:rsidRDefault="00811274" w:rsidP="00434A87">
      <w:pPr>
        <w:spacing w:after="0" w:line="240" w:lineRule="auto"/>
        <w:textAlignment w:val="baseline"/>
        <w:rPr>
          <w:rFonts w:ascii="Verdana" w:eastAsia="Times New Roman" w:hAnsi="Verdana" w:cs="Segoe UI"/>
          <w:lang w:val="es-MX" w:eastAsia="es-CO"/>
        </w:rPr>
      </w:pPr>
    </w:p>
    <w:p w14:paraId="7A268A98" w14:textId="77777777" w:rsidR="00811274" w:rsidRDefault="00811274" w:rsidP="00434A87">
      <w:pPr>
        <w:spacing w:after="0" w:line="240" w:lineRule="auto"/>
        <w:textAlignment w:val="baseline"/>
        <w:rPr>
          <w:rFonts w:ascii="Verdana" w:eastAsia="Times New Roman" w:hAnsi="Verdana" w:cs="Segoe UI"/>
          <w:lang w:val="es-MX" w:eastAsia="es-CO"/>
        </w:rPr>
      </w:pPr>
    </w:p>
    <w:p w14:paraId="16CDDCF3" w14:textId="77777777" w:rsidR="00811274" w:rsidRDefault="00811274" w:rsidP="00434A87">
      <w:pPr>
        <w:spacing w:after="0" w:line="240" w:lineRule="auto"/>
        <w:textAlignment w:val="baseline"/>
        <w:rPr>
          <w:rFonts w:ascii="Verdana" w:eastAsia="Times New Roman" w:hAnsi="Verdana" w:cs="Segoe UI"/>
          <w:lang w:val="es-MX" w:eastAsia="es-CO"/>
        </w:rPr>
      </w:pPr>
    </w:p>
    <w:p w14:paraId="4F768A9A" w14:textId="77777777" w:rsidR="00811274" w:rsidRDefault="00811274" w:rsidP="00434A87">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434A87" w:rsidRPr="004C0111" w14:paraId="49C00D5F" w14:textId="77777777">
        <w:trPr>
          <w:trHeight w:val="622"/>
        </w:trPr>
        <w:tc>
          <w:tcPr>
            <w:tcW w:w="893" w:type="dxa"/>
            <w:vAlign w:val="center"/>
            <w:hideMark/>
          </w:tcPr>
          <w:p w14:paraId="59377E0E" w14:textId="77777777" w:rsidR="00434A87" w:rsidRPr="004C0111" w:rsidRDefault="00434A87">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434A87" w:rsidRPr="004C0111" w14:paraId="05AAF917" w14:textId="77777777">
              <w:trPr>
                <w:trHeight w:val="45"/>
              </w:trPr>
              <w:tc>
                <w:tcPr>
                  <w:tcW w:w="5091" w:type="dxa"/>
                  <w:tcBorders>
                    <w:top w:val="dotted" w:sz="6" w:space="0" w:color="7F7F7F"/>
                    <w:left w:val="nil"/>
                    <w:bottom w:val="dotted" w:sz="6" w:space="0" w:color="7F7F7F"/>
                    <w:right w:val="nil"/>
                  </w:tcBorders>
                  <w:vAlign w:val="center"/>
                  <w:hideMark/>
                </w:tcPr>
                <w:p w14:paraId="40EBC31E" w14:textId="77777777" w:rsidR="00434A87" w:rsidRPr="004C0111" w:rsidRDefault="00434A87">
                  <w:pPr>
                    <w:spacing w:after="0"/>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Kelmis Yirama Brugés Alvarado</w:t>
                  </w:r>
                </w:p>
                <w:p w14:paraId="2FA91C2F" w14:textId="77777777" w:rsidR="00434A87" w:rsidRPr="004C0111" w:rsidRDefault="00434A87">
                  <w:pPr>
                    <w:spacing w:after="0"/>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0B229BCF" w14:textId="77777777" w:rsidR="00434A87" w:rsidRPr="004C0111" w:rsidRDefault="00434A87">
            <w:pPr>
              <w:spacing w:line="276" w:lineRule="auto"/>
              <w:contextualSpacing/>
              <w:rPr>
                <w:rFonts w:ascii="Verdana" w:eastAsia="Calibri" w:hAnsi="Verdana" w:cs="Arial"/>
                <w:sz w:val="16"/>
                <w:szCs w:val="16"/>
                <w:lang w:val="es-MX"/>
              </w:rPr>
            </w:pPr>
          </w:p>
        </w:tc>
      </w:tr>
      <w:tr w:rsidR="00434A87" w:rsidRPr="004C0111" w14:paraId="15111DFC" w14:textId="77777777">
        <w:trPr>
          <w:trHeight w:val="330"/>
        </w:trPr>
        <w:tc>
          <w:tcPr>
            <w:tcW w:w="893" w:type="dxa"/>
            <w:vAlign w:val="center"/>
            <w:hideMark/>
          </w:tcPr>
          <w:p w14:paraId="67CDBFB0" w14:textId="77777777" w:rsidR="00434A87" w:rsidRPr="004C0111" w:rsidRDefault="00434A87">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5B3FBC65" w14:textId="256392A8" w:rsidR="00434A87" w:rsidRPr="004C0111" w:rsidRDefault="00672EAA">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Juan David Cárdenas Cabezas</w:t>
            </w:r>
          </w:p>
          <w:p w14:paraId="372B5964" w14:textId="77777777" w:rsidR="00434A87" w:rsidRPr="004C0111" w:rsidRDefault="00434A87">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434A87" w:rsidRPr="004C0111" w14:paraId="3002C8DD" w14:textId="77777777">
        <w:trPr>
          <w:trHeight w:val="77"/>
        </w:trPr>
        <w:tc>
          <w:tcPr>
            <w:tcW w:w="893" w:type="dxa"/>
            <w:vAlign w:val="center"/>
          </w:tcPr>
          <w:p w14:paraId="4CB7F90E" w14:textId="77777777" w:rsidR="00434A87" w:rsidRPr="004C0111" w:rsidRDefault="00434A87">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48DA63E1" w14:textId="77777777" w:rsidR="00434A87" w:rsidRPr="002F2853" w:rsidRDefault="00434A87">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7D3687C0" w14:textId="77777777" w:rsidR="00434A87" w:rsidRPr="004C0111" w:rsidRDefault="00434A87">
            <w:pPr>
              <w:spacing w:line="276" w:lineRule="auto"/>
              <w:contextualSpacing/>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1EEA720D" w:rsidR="00C15139" w:rsidRPr="000E2B93" w:rsidRDefault="00C15139" w:rsidP="00811274">
      <w:pPr>
        <w:spacing w:after="0"/>
        <w:rPr>
          <w:rFonts w:ascii="Verdana" w:eastAsia="Verdana" w:hAnsi="Verdana" w:cs="Verdana"/>
        </w:rPr>
      </w:pPr>
    </w:p>
    <w:p w14:paraId="69BC4D14" w14:textId="2F53517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047FD17E" w:rsidR="00127233" w:rsidRPr="0015699B" w:rsidRDefault="00127233" w:rsidP="0048667B">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26"/>
      <w:footerReference w:type="default" r:id="rId2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AB6A8" w14:textId="77777777" w:rsidR="002B1E05" w:rsidRDefault="002B1E05" w:rsidP="004A1847">
      <w:pPr>
        <w:spacing w:after="0" w:line="240" w:lineRule="auto"/>
      </w:pPr>
      <w:r>
        <w:separator/>
      </w:r>
    </w:p>
  </w:endnote>
  <w:endnote w:type="continuationSeparator" w:id="0">
    <w:p w14:paraId="1E0B4687" w14:textId="77777777" w:rsidR="002B1E05" w:rsidRDefault="002B1E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DD5C0" w14:textId="77777777" w:rsidR="002B1E05" w:rsidRDefault="002B1E05" w:rsidP="004A1847">
      <w:pPr>
        <w:spacing w:after="0" w:line="240" w:lineRule="auto"/>
      </w:pPr>
      <w:r>
        <w:separator/>
      </w:r>
    </w:p>
  </w:footnote>
  <w:footnote w:type="continuationSeparator" w:id="0">
    <w:p w14:paraId="38DBF53A" w14:textId="77777777" w:rsidR="002B1E05" w:rsidRDefault="002B1E05" w:rsidP="004A1847">
      <w:pPr>
        <w:spacing w:after="0" w:line="240" w:lineRule="auto"/>
      </w:pPr>
      <w:r>
        <w:continuationSeparator/>
      </w:r>
    </w:p>
  </w:footnote>
  <w:footnote w:id="1">
    <w:p w14:paraId="23FAC273" w14:textId="77777777" w:rsidR="00472E21" w:rsidRPr="00E213B8" w:rsidRDefault="0093286C" w:rsidP="00472E21">
      <w:pPr>
        <w:pStyle w:val="Textonotapie"/>
        <w:ind w:firstLine="709"/>
        <w:jc w:val="both"/>
        <w:rPr>
          <w:rFonts w:ascii="Verdana" w:hAnsi="Verdana"/>
          <w:sz w:val="16"/>
          <w:szCs w:val="16"/>
        </w:rPr>
      </w:pPr>
      <w:r w:rsidRPr="00E213B8">
        <w:rPr>
          <w:rStyle w:val="Refdenotaalpie"/>
          <w:rFonts w:ascii="Verdana" w:hAnsi="Verdana"/>
          <w:sz w:val="16"/>
          <w:szCs w:val="16"/>
        </w:rPr>
        <w:footnoteRef/>
      </w:r>
      <w:r w:rsidRPr="00E213B8">
        <w:rPr>
          <w:rFonts w:ascii="Verdana" w:hAnsi="Verdana"/>
          <w:sz w:val="16"/>
          <w:szCs w:val="16"/>
        </w:rPr>
        <w:t xml:space="preserve"> </w:t>
      </w:r>
      <w:r w:rsidR="00472E21" w:rsidRPr="00E213B8">
        <w:rPr>
          <w:rFonts w:ascii="Verdana" w:hAnsi="Verdana" w:cs="Arial"/>
          <w:sz w:val="16"/>
          <w:szCs w:val="16"/>
        </w:rPr>
        <w:t>Texto tomado de la ley sancionada y publicada en la página web de la Presidencia de la República, disponible en el siguiente enlace</w:t>
      </w:r>
      <w:r w:rsidR="00472E21" w:rsidRPr="00E213B8">
        <w:rPr>
          <w:rFonts w:ascii="Verdana" w:hAnsi="Verdana" w:cs="Arial"/>
          <w:color w:val="000000"/>
          <w:sz w:val="16"/>
          <w:szCs w:val="16"/>
        </w:rPr>
        <w:t xml:space="preserve">: </w:t>
      </w:r>
      <w:hyperlink r:id="rId1" w:history="1">
        <w:r w:rsidR="00472E21" w:rsidRPr="00E213B8">
          <w:rPr>
            <w:rStyle w:val="Hipervnculo"/>
            <w:rFonts w:ascii="Verdana" w:hAnsi="Verdana" w:cs="Arial"/>
            <w:color w:val="000000"/>
            <w:sz w:val="16"/>
            <w:szCs w:val="16"/>
          </w:rPr>
          <w:t>https://dapre.presidencia.gov.co/normativa/leyes</w:t>
        </w:r>
      </w:hyperlink>
      <w:r w:rsidR="00472E21" w:rsidRPr="00E213B8">
        <w:rPr>
          <w:rFonts w:ascii="Verdana" w:hAnsi="Verdana" w:cs="Arial"/>
          <w:color w:val="000000"/>
          <w:sz w:val="16"/>
          <w:szCs w:val="16"/>
        </w:rPr>
        <w:t xml:space="preserve">. </w:t>
      </w:r>
    </w:p>
    <w:p w14:paraId="7E606EE1" w14:textId="66027889" w:rsidR="0093286C" w:rsidRPr="00472E21" w:rsidRDefault="0093286C">
      <w:pPr>
        <w:pStyle w:val="Textonotapie"/>
        <w:rPr>
          <w:rFonts w:ascii="Verdana" w:hAnsi="Verdana"/>
          <w:sz w:val="16"/>
          <w:szCs w:val="16"/>
        </w:rPr>
      </w:pPr>
    </w:p>
  </w:footnote>
  <w:footnote w:id="2">
    <w:p w14:paraId="49B101DE" w14:textId="77777777"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vertAlign w:val="superscript"/>
        </w:rPr>
        <w:footnoteRef/>
      </w:r>
      <w:r w:rsidRPr="00AA26A5">
        <w:rPr>
          <w:rFonts w:ascii="Verdana" w:hAnsi="Verdana" w:cs="Arial"/>
          <w:sz w:val="16"/>
          <w:szCs w:val="16"/>
        </w:rPr>
        <w:t xml:space="preserve"> </w:t>
      </w:r>
      <w:bookmarkStart w:id="1" w:name="7"/>
      <w:bookmarkEnd w:id="1"/>
      <w:r w:rsidRPr="00AA26A5">
        <w:rPr>
          <w:rFonts w:ascii="Verdana" w:hAnsi="Verdana" w:cs="Arial"/>
          <w:color w:val="000000"/>
          <w:sz w:val="16"/>
          <w:szCs w:val="16"/>
          <w:lang w:val="es-ES_tradnl"/>
        </w:rPr>
        <w:t>“</w:t>
      </w:r>
      <w:r w:rsidRPr="00AA26A5">
        <w:rPr>
          <w:rFonts w:ascii="Verdana" w:hAnsi="Verdana" w:cs="Arial"/>
          <w:sz w:val="16"/>
          <w:szCs w:val="16"/>
          <w:lang w:val="es-CO"/>
        </w:rPr>
        <w:t>Artículo 7. Organismos de la Acción Comunal.</w:t>
      </w:r>
    </w:p>
    <w:p w14:paraId="26A18E12" w14:textId="77777777"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p>
    <w:p w14:paraId="1ED41C03" w14:textId="77777777"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w:t>
      </w:r>
    </w:p>
    <w:p w14:paraId="4A435FE7" w14:textId="77777777"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w:t>
      </w:r>
    </w:p>
    <w:p w14:paraId="15C2FF55" w14:textId="77777777"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lang w:val="es-CO"/>
        </w:rPr>
        <w:t>d) Es organismo de acción comunal de tercer grado la federación de acción comunal tiene la misma naturaleza jurídica de las juntas de acción comunal y se constituye con los organismos de acción comunal de segundo grado fundadores y que posteriormente se afilien;</w:t>
      </w:r>
    </w:p>
    <w:p w14:paraId="74CA0E42" w14:textId="7E0A047F"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lang w:val="es-CO"/>
        </w:rPr>
        <w:t>e) Es organismo de acción comunal de cuarto grado, la confederación nacional de acción comunal tiene la misma naturaleza jurídica de las juntas de acción comunal y se constituye con los organismos de acción comunal de tercer grado fundadores y que posteriormente se afilien.</w:t>
      </w:r>
    </w:p>
    <w:p w14:paraId="0691E487" w14:textId="77777777"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lang w:val="es-CO"/>
        </w:rPr>
        <w:t>PARÁGRAFO 1o. Cada organismo de acción comunal, se dará su propio reglamento conforme al marco brindado por esta ley enunciado en el artículo 1 y las normas que le sucedan.</w:t>
      </w:r>
    </w:p>
    <w:p w14:paraId="25F8CDE9" w14:textId="77777777" w:rsidR="004B2525" w:rsidRPr="00AA26A5" w:rsidRDefault="004B2525" w:rsidP="004B2525">
      <w:pPr>
        <w:pStyle w:val="Textonotapie"/>
        <w:ind w:firstLine="709"/>
        <w:jc w:val="both"/>
        <w:rPr>
          <w:rFonts w:ascii="Verdana" w:hAnsi="Verdana" w:cs="Arial"/>
          <w:sz w:val="16"/>
          <w:szCs w:val="16"/>
          <w:lang w:val="es-CO"/>
        </w:rPr>
      </w:pPr>
      <w:r w:rsidRPr="00AA26A5">
        <w:rPr>
          <w:rFonts w:ascii="Verdana" w:hAnsi="Verdana" w:cs="Arial"/>
          <w:sz w:val="16"/>
          <w:szCs w:val="16"/>
          <w:lang w:val="es-CO"/>
        </w:rPr>
        <w:t>PARÁGRAFO 2o. Dentro del año siguiente a la expedición de la presente Ley en concertación con la organización social de la Acción Comunal, el Gobierno nacional expedirá una reglamentación para las Juntas de Vivienda Comunal</w:t>
      </w:r>
      <w:r w:rsidRPr="00AA26A5">
        <w:rPr>
          <w:rFonts w:ascii="Verdana" w:hAnsi="Verdana" w:cs="Arial"/>
          <w:color w:val="000000"/>
          <w:sz w:val="16"/>
          <w:szCs w:val="16"/>
          <w:lang w:val="es-ES_tradnl"/>
        </w:rPr>
        <w:t>”.</w:t>
      </w:r>
    </w:p>
    <w:p w14:paraId="55002654" w14:textId="77777777" w:rsidR="004B2525" w:rsidRDefault="004B2525" w:rsidP="004B2525">
      <w:pPr>
        <w:pStyle w:val="Textonotapie"/>
        <w:ind w:firstLine="709"/>
        <w:jc w:val="both"/>
      </w:pPr>
    </w:p>
  </w:footnote>
  <w:footnote w:id="3">
    <w:p w14:paraId="3CBF5271" w14:textId="77777777" w:rsidR="00E213B8" w:rsidRPr="00E213B8" w:rsidRDefault="00E213B8" w:rsidP="00E213B8">
      <w:pPr>
        <w:pStyle w:val="Textonotapie"/>
        <w:ind w:firstLine="709"/>
        <w:jc w:val="both"/>
        <w:rPr>
          <w:rFonts w:ascii="Verdana" w:hAnsi="Verdana"/>
          <w:sz w:val="16"/>
          <w:szCs w:val="16"/>
        </w:rPr>
      </w:pPr>
      <w:r w:rsidRPr="00E213B8">
        <w:rPr>
          <w:rFonts w:ascii="Verdana" w:hAnsi="Verdana" w:cs="Arial"/>
          <w:sz w:val="16"/>
          <w:szCs w:val="16"/>
          <w:vertAlign w:val="superscript"/>
        </w:rPr>
        <w:footnoteRef/>
      </w:r>
      <w:r w:rsidRPr="00E213B8">
        <w:rPr>
          <w:rFonts w:ascii="Verdana" w:hAnsi="Verdana" w:cs="Arial"/>
          <w:sz w:val="16"/>
          <w:szCs w:val="16"/>
        </w:rPr>
        <w:t xml:space="preserve"> </w:t>
      </w:r>
      <w:r w:rsidRPr="00E213B8">
        <w:rPr>
          <w:rFonts w:ascii="Verdana" w:hAnsi="Verdana" w:cs="Arial"/>
          <w:sz w:val="16"/>
          <w:szCs w:val="16"/>
          <w:lang w:val="es-CO"/>
        </w:rPr>
        <w:t xml:space="preserve">El artículo 286 de la Constitución política de Colombia señala que </w:t>
      </w:r>
      <w:r w:rsidRPr="00E213B8">
        <w:rPr>
          <w:rFonts w:ascii="Verdana" w:hAnsi="Verdana" w:cs="Arial"/>
          <w:color w:val="000000" w:themeColor="text1"/>
          <w:sz w:val="16"/>
          <w:szCs w:val="16"/>
          <w:lang w:val="es-ES_tradnl"/>
        </w:rPr>
        <w:t>“</w:t>
      </w:r>
      <w:r w:rsidRPr="00E213B8">
        <w:rPr>
          <w:rFonts w:ascii="Verdana" w:hAnsi="Verdana" w:cs="Arial"/>
          <w:sz w:val="16"/>
          <w:szCs w:val="16"/>
          <w:lang w:val="es-CO"/>
        </w:rPr>
        <w:t>Son entidades territoriales los departamentos, los distritos, los municipios y los territorios indígenas”.</w:t>
      </w:r>
    </w:p>
  </w:footnote>
  <w:footnote w:id="4">
    <w:p w14:paraId="12CA8E8C" w14:textId="77777777" w:rsidR="00E213B8" w:rsidRPr="00E213B8" w:rsidRDefault="00E213B8" w:rsidP="00E213B8">
      <w:pPr>
        <w:pStyle w:val="Textonotapie"/>
        <w:ind w:firstLine="709"/>
        <w:jc w:val="both"/>
        <w:rPr>
          <w:rFonts w:ascii="Verdana" w:hAnsi="Verdana" w:cs="Arial"/>
          <w:color w:val="4472C4" w:themeColor="accent1"/>
          <w:sz w:val="16"/>
          <w:szCs w:val="16"/>
          <w:lang w:val="es-CO"/>
        </w:rPr>
      </w:pPr>
      <w:r w:rsidRPr="00E213B8">
        <w:rPr>
          <w:rFonts w:ascii="Verdana" w:hAnsi="Verdana" w:cs="Arial"/>
          <w:sz w:val="16"/>
          <w:szCs w:val="16"/>
          <w:vertAlign w:val="superscript"/>
        </w:rPr>
        <w:footnoteRef/>
      </w:r>
      <w:r w:rsidRPr="00E213B8">
        <w:rPr>
          <w:rFonts w:ascii="Verdana" w:hAnsi="Verdana" w:cs="Arial"/>
          <w:sz w:val="16"/>
          <w:szCs w:val="16"/>
        </w:rPr>
        <w:t xml:space="preserve"> </w:t>
      </w:r>
      <w:r w:rsidRPr="00E213B8">
        <w:rPr>
          <w:rFonts w:ascii="Verdana" w:hAnsi="Verdana" w:cs="Arial"/>
          <w:sz w:val="16"/>
          <w:szCs w:val="16"/>
          <w:lang w:val="es-CO"/>
        </w:rPr>
        <w:t>Informe de ponencia para primer debate del proyecto de Ley</w:t>
      </w:r>
      <w:r w:rsidRPr="00E213B8">
        <w:rPr>
          <w:rFonts w:ascii="Verdana" w:hAnsi="Verdana" w:cs="Arial"/>
          <w:sz w:val="16"/>
          <w:szCs w:val="16"/>
          <w:lang w:val="es-CO" w:eastAsia="es-ES_tradnl"/>
        </w:rPr>
        <w:t xml:space="preserve"> </w:t>
      </w:r>
      <w:r w:rsidRPr="00E213B8">
        <w:rPr>
          <w:rFonts w:ascii="Verdana" w:hAnsi="Verdana" w:cs="Arial"/>
          <w:sz w:val="16"/>
          <w:szCs w:val="16"/>
          <w:lang w:val="es-CO"/>
        </w:rPr>
        <w:t xml:space="preserve">115 de 2020 Cámara, acumulado con los proyectos de ley 269 de 2020 Cámara, 341 de 2020 Cámara, y 474 de 2020 Cámara “por medio de la cual se deroga la Ley 743 de 2002 y se desarrolla el artículo 38 Constitución Política de Colombia en lo referente a los organismos de acción comunal”. </w:t>
      </w:r>
      <w:r w:rsidRPr="00E213B8">
        <w:rPr>
          <w:rFonts w:ascii="Verdana" w:hAnsi="Verdana" w:cs="Arial"/>
          <w:sz w:val="16"/>
          <w:szCs w:val="16"/>
        </w:rPr>
        <w:t xml:space="preserve">Gaceta del Congreso de la República No. </w:t>
      </w:r>
      <w:r w:rsidRPr="00E213B8">
        <w:rPr>
          <w:rFonts w:ascii="Verdana" w:hAnsi="Verdana" w:cs="Arial"/>
          <w:sz w:val="16"/>
          <w:szCs w:val="16"/>
          <w:lang w:val="es-CO"/>
        </w:rPr>
        <w:t xml:space="preserve">578 del 4 de junio de 2021. Disponible en: </w:t>
      </w:r>
      <w:hyperlink r:id="rId2" w:history="1">
        <w:r w:rsidRPr="00E213B8">
          <w:rPr>
            <w:rStyle w:val="Hipervnculo"/>
            <w:rFonts w:ascii="Verdana" w:hAnsi="Verdana" w:cs="Arial"/>
            <w:color w:val="4472C4" w:themeColor="accent1"/>
            <w:sz w:val="16"/>
            <w:szCs w:val="16"/>
            <w:lang w:val="es-CO"/>
          </w:rPr>
          <w:t>https://www.camara.gov.co/juntas-de-accion-comunal</w:t>
        </w:r>
      </w:hyperlink>
      <w:r w:rsidRPr="00E213B8">
        <w:rPr>
          <w:rFonts w:ascii="Verdana" w:hAnsi="Verdana" w:cs="Arial"/>
          <w:color w:val="4472C4" w:themeColor="accent1"/>
          <w:sz w:val="16"/>
          <w:szCs w:val="16"/>
          <w:lang w:val="es-CO"/>
        </w:rPr>
        <w:t xml:space="preserve">  </w:t>
      </w:r>
    </w:p>
    <w:p w14:paraId="7FCB4DFF" w14:textId="77777777" w:rsidR="00E213B8" w:rsidRDefault="00E213B8" w:rsidP="00E213B8">
      <w:pPr>
        <w:pStyle w:val="Textonotapie"/>
        <w:ind w:firstLine="709"/>
        <w:jc w:val="both"/>
      </w:pPr>
    </w:p>
  </w:footnote>
  <w:footnote w:id="5">
    <w:p w14:paraId="10CCA1AC" w14:textId="77777777" w:rsidR="0081406C" w:rsidRPr="002127C6" w:rsidRDefault="0081406C" w:rsidP="0081406C">
      <w:pPr>
        <w:pStyle w:val="Textonotapie"/>
        <w:ind w:firstLine="708"/>
        <w:jc w:val="both"/>
        <w:rPr>
          <w:rFonts w:ascii="Verdana" w:hAnsi="Verdana" w:cs="Arial"/>
          <w:sz w:val="16"/>
          <w:szCs w:val="16"/>
          <w:lang w:val="es-CO"/>
        </w:rPr>
      </w:pPr>
      <w:r w:rsidRPr="002127C6">
        <w:rPr>
          <w:rFonts w:ascii="Verdana" w:hAnsi="Verdana" w:cs="Arial"/>
          <w:sz w:val="16"/>
          <w:szCs w:val="16"/>
          <w:vertAlign w:val="superscript"/>
        </w:rPr>
        <w:footnoteRef/>
      </w:r>
      <w:r w:rsidRPr="002127C6">
        <w:rPr>
          <w:rFonts w:ascii="Verdana" w:hAnsi="Verdana" w:cs="Arial"/>
          <w:sz w:val="16"/>
          <w:szCs w:val="16"/>
        </w:rPr>
        <w:t xml:space="preserve"> El artículo citado dispone que “</w:t>
      </w:r>
      <w:r w:rsidRPr="002127C6">
        <w:rPr>
          <w:rFonts w:ascii="Verdana" w:hAnsi="Verdana" w:cs="Arial"/>
          <w:sz w:val="16"/>
          <w:szCs w:val="16"/>
          <w:lang w:val="es-CO"/>
        </w:rPr>
        <w:t>Los organismos de acción comunal a que se refiere esta ley, formarán una persona distinta de sus miembros individualmente considerados, a partir de su registro ante la entidad que ejerce su inspección, vigilancia y control.</w:t>
      </w:r>
    </w:p>
    <w:p w14:paraId="1562FFF4" w14:textId="77777777" w:rsidR="0081406C" w:rsidRPr="002127C6" w:rsidRDefault="0081406C" w:rsidP="0081406C">
      <w:pPr>
        <w:pStyle w:val="Textonotapie"/>
        <w:ind w:firstLine="708"/>
        <w:jc w:val="both"/>
        <w:rPr>
          <w:rFonts w:ascii="Verdana" w:hAnsi="Verdana" w:cs="Arial"/>
          <w:sz w:val="16"/>
          <w:szCs w:val="16"/>
        </w:rPr>
      </w:pPr>
      <w:r w:rsidRPr="002127C6">
        <w:rPr>
          <w:rFonts w:ascii="Verdana" w:hAnsi="Verdana" w:cs="Arial"/>
          <w:sz w:val="16"/>
          <w:szCs w:val="16"/>
        </w:rPr>
        <w:t>Sus estatutos y sus reformas, los nombramientos y elección de dignatarios, los libros y la disolución y liquidación de las personas jurídicas de que trata esta ley, se inscribirán ante las entidades que ejercen su inspección, vigilancia y control.</w:t>
      </w:r>
    </w:p>
    <w:p w14:paraId="1201FD86" w14:textId="77777777" w:rsidR="0081406C" w:rsidRPr="002127C6" w:rsidRDefault="0081406C" w:rsidP="0081406C">
      <w:pPr>
        <w:pStyle w:val="Textonotapie"/>
        <w:ind w:firstLine="708"/>
        <w:jc w:val="both"/>
        <w:rPr>
          <w:rFonts w:ascii="Verdana" w:hAnsi="Verdana" w:cs="Arial"/>
          <w:sz w:val="16"/>
          <w:szCs w:val="16"/>
        </w:rPr>
      </w:pPr>
      <w:r w:rsidRPr="002127C6">
        <w:rPr>
          <w:rFonts w:ascii="Verdana" w:hAnsi="Verdana" w:cs="Arial"/>
          <w:sz w:val="16"/>
          <w:szCs w:val="16"/>
        </w:rPr>
        <w:t>La existencia y representación legal de las personas jurídicas a que se refiere esta ley se aprobarán con la certificación expedida por la entidad competente para la realización del registro”.</w:t>
      </w:r>
    </w:p>
    <w:p w14:paraId="7167B4E6" w14:textId="77777777" w:rsidR="0081406C" w:rsidRPr="002127C6" w:rsidRDefault="0081406C" w:rsidP="0081406C">
      <w:pPr>
        <w:pStyle w:val="Textonotapie"/>
        <w:ind w:firstLine="708"/>
        <w:jc w:val="both"/>
        <w:rPr>
          <w:rFonts w:ascii="Verdana" w:hAnsi="Verdana" w:cs="Arial"/>
          <w:sz w:val="16"/>
          <w:szCs w:val="16"/>
          <w:lang w:val="es-CO"/>
        </w:rPr>
      </w:pPr>
      <w:r w:rsidRPr="002127C6">
        <w:rPr>
          <w:rFonts w:ascii="Verdana" w:hAnsi="Verdana" w:cs="Arial"/>
          <w:sz w:val="16"/>
          <w:szCs w:val="16"/>
        </w:rPr>
        <w:t>Dicha norma debe entenderse en concordancia con el artículo 74 de la Ley 2166 de 2021, pues también prescribe lo siguiente: “</w:t>
      </w:r>
      <w:r w:rsidRPr="002127C6">
        <w:rPr>
          <w:rFonts w:ascii="Verdana" w:hAnsi="Verdana" w:cs="Arial"/>
          <w:sz w:val="16"/>
          <w:szCs w:val="16"/>
          <w:lang w:val="es-CO"/>
        </w:rPr>
        <w:t>Existen dos niveles de autoridades que ejercen vigilancia, inspección y control sobre los organismos comunales, de acuerdo al grado al que pertenezcan:</w:t>
      </w:r>
    </w:p>
    <w:p w14:paraId="3293D6BD" w14:textId="77777777" w:rsidR="0081406C" w:rsidRPr="002127C6" w:rsidRDefault="0081406C" w:rsidP="0081406C">
      <w:pPr>
        <w:pStyle w:val="Textonotapie"/>
        <w:ind w:firstLine="708"/>
        <w:jc w:val="both"/>
        <w:rPr>
          <w:rFonts w:ascii="Verdana" w:hAnsi="Verdana" w:cs="Arial"/>
          <w:sz w:val="16"/>
          <w:szCs w:val="16"/>
        </w:rPr>
      </w:pPr>
      <w:r w:rsidRPr="002127C6">
        <w:rPr>
          <w:rFonts w:ascii="Verdana" w:hAnsi="Verdana" w:cs="Arial"/>
          <w:sz w:val="16"/>
          <w:szCs w:val="16"/>
        </w:rPr>
        <w:t>a) Primer nivel: lo ejerce Ministerio del Interior, sobre los organismos comunales de tercer y cuarto grado.</w:t>
      </w:r>
    </w:p>
    <w:p w14:paraId="6CA1DBD0" w14:textId="77777777" w:rsidR="0081406C" w:rsidRDefault="0081406C" w:rsidP="0081406C">
      <w:pPr>
        <w:pStyle w:val="Textonotapie"/>
        <w:ind w:firstLine="708"/>
        <w:jc w:val="both"/>
      </w:pPr>
      <w:r w:rsidRPr="002127C6">
        <w:rPr>
          <w:rFonts w:ascii="Verdana" w:hAnsi="Verdana" w:cs="Arial"/>
          <w:sz w:val="16"/>
          <w:szCs w:val="16"/>
        </w:rPr>
        <w:t>b) Segundo nivel: lo ejercen los Departamentos, Distritos y Municipios, a través de las dependencias a las que se le asignen dichas funciones sobre los organismos comunales de primer y segundo grado”.</w:t>
      </w:r>
    </w:p>
  </w:footnote>
  <w:footnote w:id="6">
    <w:p w14:paraId="5D603EE8" w14:textId="4DE8F7F1" w:rsidR="00A035E6" w:rsidRPr="00A035E6" w:rsidRDefault="00A035E6">
      <w:pPr>
        <w:pStyle w:val="Textonotapie"/>
        <w:rPr>
          <w:rFonts w:ascii="Verdana" w:hAnsi="Verdana"/>
          <w:sz w:val="16"/>
          <w:szCs w:val="16"/>
          <w:lang w:val="es-CO"/>
        </w:rPr>
      </w:pPr>
      <w:r w:rsidRPr="00A035E6">
        <w:rPr>
          <w:rStyle w:val="Refdenotaalpie"/>
          <w:rFonts w:ascii="Verdana" w:hAnsi="Verdana"/>
          <w:sz w:val="16"/>
          <w:szCs w:val="16"/>
        </w:rPr>
        <w:footnoteRef/>
      </w:r>
      <w:r w:rsidRPr="00A035E6">
        <w:rPr>
          <w:rFonts w:ascii="Verdana" w:hAnsi="Verdana"/>
          <w:sz w:val="16"/>
          <w:szCs w:val="16"/>
        </w:rPr>
        <w:t xml:space="preserve"> chrome-extension://efaidnbmnnnibpcajpcglclefindmkaj/https://www.colombiacompra.gov.co/wp-content/uploads/2025/06/Guia-para-la-celebracion-de-Convenios-Solidarios-ajuste-diseno.pdf</w:t>
      </w:r>
    </w:p>
  </w:footnote>
  <w:footnote w:id="7">
    <w:p w14:paraId="41A77C79" w14:textId="77777777" w:rsidR="004D1FFE" w:rsidRDefault="004D1FFE" w:rsidP="00A470B4">
      <w:pPr>
        <w:pStyle w:val="Textonotapie"/>
        <w:rPr>
          <w:rFonts w:ascii="Verdana" w:hAnsi="Verdana"/>
          <w:sz w:val="16"/>
          <w:szCs w:val="16"/>
        </w:rPr>
      </w:pPr>
    </w:p>
    <w:p w14:paraId="44E0789C" w14:textId="77777777" w:rsidR="004D1FFE" w:rsidRDefault="004D1FFE" w:rsidP="00A470B4">
      <w:pPr>
        <w:pStyle w:val="Textonotapie"/>
        <w:rPr>
          <w:rFonts w:ascii="Verdana" w:hAnsi="Verdana"/>
          <w:sz w:val="16"/>
          <w:szCs w:val="16"/>
        </w:rPr>
      </w:pPr>
    </w:p>
    <w:p w14:paraId="2D9BF32D" w14:textId="77777777" w:rsidR="004D1FFE" w:rsidRDefault="004D1FFE" w:rsidP="00A470B4">
      <w:pPr>
        <w:pStyle w:val="Textonotapie"/>
        <w:rPr>
          <w:rFonts w:ascii="Verdana" w:hAnsi="Verdana"/>
          <w:sz w:val="16"/>
          <w:szCs w:val="16"/>
        </w:rPr>
      </w:pPr>
    </w:p>
    <w:p w14:paraId="165C1FFA" w14:textId="77777777" w:rsidR="004D1FFE" w:rsidRDefault="004D1FFE" w:rsidP="00A470B4">
      <w:pPr>
        <w:pStyle w:val="Textonotapie"/>
        <w:rPr>
          <w:rFonts w:ascii="Verdana" w:hAnsi="Verdana"/>
          <w:sz w:val="16"/>
          <w:szCs w:val="16"/>
        </w:rPr>
      </w:pPr>
    </w:p>
    <w:p w14:paraId="70945397" w14:textId="52CCD033" w:rsidR="00A470B4" w:rsidRPr="002462D4" w:rsidRDefault="00A470B4" w:rsidP="00A470B4">
      <w:pPr>
        <w:pStyle w:val="Textonotapie"/>
        <w:rPr>
          <w:rFonts w:ascii="Verdana" w:hAnsi="Verdana"/>
          <w:sz w:val="16"/>
          <w:szCs w:val="16"/>
        </w:rPr>
      </w:pPr>
      <w:r w:rsidRPr="002462D4">
        <w:rPr>
          <w:rFonts w:ascii="Verdana" w:hAnsi="Verdana"/>
          <w:sz w:val="16"/>
          <w:szCs w:val="16"/>
          <w:vertAlign w:val="superscript"/>
        </w:rPr>
        <w:footnoteRef/>
      </w:r>
      <w:r w:rsidRPr="002462D4">
        <w:rPr>
          <w:rFonts w:ascii="Verdana" w:hAnsi="Verdana"/>
          <w:sz w:val="16"/>
          <w:szCs w:val="16"/>
        </w:rPr>
        <w:t xml:space="preserve"> </w:t>
      </w:r>
      <w:r w:rsidRPr="002462D4">
        <w:rPr>
          <w:rFonts w:ascii="Verdana" w:hAnsi="Verdana"/>
          <w:iCs/>
          <w:sz w:val="16"/>
          <w:szCs w:val="16"/>
        </w:rPr>
        <w:t>Ley 2166 de 2021 y el Decreto 142 de 2023</w:t>
      </w:r>
    </w:p>
  </w:footnote>
  <w:footnote w:id="8">
    <w:p w14:paraId="0557B388" w14:textId="77777777" w:rsidR="00A470B4" w:rsidRDefault="00A470B4" w:rsidP="00A470B4">
      <w:pPr>
        <w:pStyle w:val="Textonotapie"/>
      </w:pPr>
      <w:r w:rsidRPr="002462D4">
        <w:rPr>
          <w:rFonts w:ascii="Verdana" w:hAnsi="Verdana"/>
          <w:sz w:val="16"/>
          <w:szCs w:val="16"/>
          <w:vertAlign w:val="superscript"/>
        </w:rPr>
        <w:footnoteRef/>
      </w:r>
      <w:r w:rsidRPr="002462D4">
        <w:rPr>
          <w:rFonts w:ascii="Verdana" w:hAnsi="Verdana"/>
          <w:sz w:val="16"/>
          <w:szCs w:val="16"/>
        </w:rPr>
        <w:t xml:space="preserve"> </w:t>
      </w:r>
      <w:r w:rsidRPr="002462D4">
        <w:rPr>
          <w:rFonts w:ascii="Verdana" w:hAnsi="Verdana"/>
          <w:sz w:val="16"/>
          <w:szCs w:val="16"/>
          <w:lang w:val="es-CO"/>
        </w:rPr>
        <w:t>ARTÍCULO </w:t>
      </w:r>
      <w:hyperlink r:id="rId3" w:anchor="2.2.15.1.2" w:tooltip="vinculo" w:history="1">
        <w:r w:rsidRPr="002462D4">
          <w:rPr>
            <w:rStyle w:val="Hipervnculo"/>
            <w:rFonts w:ascii="Verdana" w:hAnsi="Verdana"/>
            <w:sz w:val="16"/>
            <w:szCs w:val="16"/>
            <w:lang w:val="es-CO"/>
          </w:rPr>
          <w:t>2.2.15.1.2</w:t>
        </w:r>
      </w:hyperlink>
      <w:r w:rsidRPr="002462D4">
        <w:rPr>
          <w:rFonts w:ascii="Verdana" w:hAnsi="Verdana"/>
          <w:sz w:val="16"/>
          <w:szCs w:val="16"/>
          <w:lang w:val="es-CO"/>
        </w:rPr>
        <w:t>.  Decreto 142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FFFFFFFF"/>
    <w:lvl w:ilvl="0">
      <w:start w:val="1"/>
      <w:numFmt w:val="decimal"/>
      <w:lvlText w:val="%1."/>
      <w:lvlJc w:val="left"/>
      <w:pPr>
        <w:ind w:left="6601" w:hanging="360"/>
      </w:pPr>
      <w:rPr>
        <w:rFonts w:cs="Times New Roman"/>
        <w:b/>
        <w:color w:val="000000" w:themeColor="text1"/>
      </w:rPr>
    </w:lvl>
    <w:lvl w:ilvl="1">
      <w:start w:val="2"/>
      <w:numFmt w:val="decimal"/>
      <w:isLgl/>
      <w:lvlText w:val="%1.%2"/>
      <w:lvlJc w:val="left"/>
      <w:pPr>
        <w:ind w:left="6241" w:hanging="360"/>
      </w:pPr>
      <w:rPr>
        <w:rFonts w:cs="Times New Roman"/>
      </w:rPr>
    </w:lvl>
    <w:lvl w:ilvl="2">
      <w:start w:val="1"/>
      <w:numFmt w:val="decimal"/>
      <w:isLgl/>
      <w:lvlText w:val="%1.%2.%3"/>
      <w:lvlJc w:val="left"/>
      <w:pPr>
        <w:ind w:left="6961" w:hanging="720"/>
      </w:pPr>
      <w:rPr>
        <w:rFonts w:cs="Times New Roman"/>
      </w:rPr>
    </w:lvl>
    <w:lvl w:ilvl="3">
      <w:start w:val="1"/>
      <w:numFmt w:val="decimal"/>
      <w:isLgl/>
      <w:lvlText w:val="%1.%2.%3.%4"/>
      <w:lvlJc w:val="left"/>
      <w:pPr>
        <w:ind w:left="6961" w:hanging="720"/>
      </w:pPr>
      <w:rPr>
        <w:rFonts w:cs="Times New Roman"/>
      </w:rPr>
    </w:lvl>
    <w:lvl w:ilvl="4">
      <w:start w:val="1"/>
      <w:numFmt w:val="decimal"/>
      <w:isLgl/>
      <w:lvlText w:val="%1.%2.%3.%4.%5"/>
      <w:lvlJc w:val="left"/>
      <w:pPr>
        <w:ind w:left="7321" w:hanging="1080"/>
      </w:pPr>
      <w:rPr>
        <w:rFonts w:cs="Times New Roman"/>
      </w:rPr>
    </w:lvl>
    <w:lvl w:ilvl="5">
      <w:start w:val="1"/>
      <w:numFmt w:val="decimal"/>
      <w:isLgl/>
      <w:lvlText w:val="%1.%2.%3.%4.%5.%6"/>
      <w:lvlJc w:val="left"/>
      <w:pPr>
        <w:ind w:left="7321" w:hanging="1080"/>
      </w:pPr>
      <w:rPr>
        <w:rFonts w:cs="Times New Roman"/>
      </w:rPr>
    </w:lvl>
    <w:lvl w:ilvl="6">
      <w:start w:val="1"/>
      <w:numFmt w:val="decimal"/>
      <w:isLgl/>
      <w:lvlText w:val="%1.%2.%3.%4.%5.%6.%7"/>
      <w:lvlJc w:val="left"/>
      <w:pPr>
        <w:ind w:left="7681" w:hanging="1440"/>
      </w:pPr>
      <w:rPr>
        <w:rFonts w:cs="Times New Roman"/>
      </w:rPr>
    </w:lvl>
    <w:lvl w:ilvl="7">
      <w:start w:val="1"/>
      <w:numFmt w:val="decimal"/>
      <w:isLgl/>
      <w:lvlText w:val="%1.%2.%3.%4.%5.%6.%7.%8"/>
      <w:lvlJc w:val="left"/>
      <w:pPr>
        <w:ind w:left="7681" w:hanging="1440"/>
      </w:pPr>
      <w:rPr>
        <w:rFonts w:cs="Times New Roman"/>
      </w:rPr>
    </w:lvl>
    <w:lvl w:ilvl="8">
      <w:start w:val="1"/>
      <w:numFmt w:val="decimal"/>
      <w:isLgl/>
      <w:lvlText w:val="%1.%2.%3.%4.%5.%6.%7.%8.%9"/>
      <w:lvlJc w:val="left"/>
      <w:pPr>
        <w:ind w:left="8041"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0DB4B61"/>
    <w:multiLevelType w:val="hybridMultilevel"/>
    <w:tmpl w:val="FFFFFFFF"/>
    <w:lvl w:ilvl="0" w:tplc="8418173A">
      <w:start w:val="1"/>
      <w:numFmt w:val="lowerRoman"/>
      <w:lvlText w:val="%1)"/>
      <w:lvlJc w:val="left"/>
      <w:pPr>
        <w:ind w:left="1429" w:hanging="720"/>
      </w:pPr>
      <w:rPr>
        <w:rFonts w:cs="Times New Roman" w:hint="default"/>
      </w:rPr>
    </w:lvl>
    <w:lvl w:ilvl="1" w:tplc="080A0019" w:tentative="1">
      <w:start w:val="1"/>
      <w:numFmt w:val="lowerLetter"/>
      <w:lvlText w:val="%2."/>
      <w:lvlJc w:val="left"/>
      <w:pPr>
        <w:ind w:left="1789" w:hanging="360"/>
      </w:pPr>
      <w:rPr>
        <w:rFonts w:cs="Times New Roman"/>
      </w:rPr>
    </w:lvl>
    <w:lvl w:ilvl="2" w:tplc="080A001B" w:tentative="1">
      <w:start w:val="1"/>
      <w:numFmt w:val="lowerRoman"/>
      <w:lvlText w:val="%3."/>
      <w:lvlJc w:val="right"/>
      <w:pPr>
        <w:ind w:left="2509" w:hanging="180"/>
      </w:pPr>
      <w:rPr>
        <w:rFonts w:cs="Times New Roman"/>
      </w:rPr>
    </w:lvl>
    <w:lvl w:ilvl="3" w:tplc="080A000F" w:tentative="1">
      <w:start w:val="1"/>
      <w:numFmt w:val="decimal"/>
      <w:lvlText w:val="%4."/>
      <w:lvlJc w:val="left"/>
      <w:pPr>
        <w:ind w:left="3229" w:hanging="360"/>
      </w:pPr>
      <w:rPr>
        <w:rFonts w:cs="Times New Roman"/>
      </w:rPr>
    </w:lvl>
    <w:lvl w:ilvl="4" w:tplc="080A0019" w:tentative="1">
      <w:start w:val="1"/>
      <w:numFmt w:val="lowerLetter"/>
      <w:lvlText w:val="%5."/>
      <w:lvlJc w:val="left"/>
      <w:pPr>
        <w:ind w:left="3949" w:hanging="360"/>
      </w:pPr>
      <w:rPr>
        <w:rFonts w:cs="Times New Roman"/>
      </w:rPr>
    </w:lvl>
    <w:lvl w:ilvl="5" w:tplc="080A001B" w:tentative="1">
      <w:start w:val="1"/>
      <w:numFmt w:val="lowerRoman"/>
      <w:lvlText w:val="%6."/>
      <w:lvlJc w:val="right"/>
      <w:pPr>
        <w:ind w:left="4669" w:hanging="180"/>
      </w:pPr>
      <w:rPr>
        <w:rFonts w:cs="Times New Roman"/>
      </w:rPr>
    </w:lvl>
    <w:lvl w:ilvl="6" w:tplc="080A000F" w:tentative="1">
      <w:start w:val="1"/>
      <w:numFmt w:val="decimal"/>
      <w:lvlText w:val="%7."/>
      <w:lvlJc w:val="left"/>
      <w:pPr>
        <w:ind w:left="5389" w:hanging="360"/>
      </w:pPr>
      <w:rPr>
        <w:rFonts w:cs="Times New Roman"/>
      </w:rPr>
    </w:lvl>
    <w:lvl w:ilvl="7" w:tplc="080A0019" w:tentative="1">
      <w:start w:val="1"/>
      <w:numFmt w:val="lowerLetter"/>
      <w:lvlText w:val="%8."/>
      <w:lvlJc w:val="left"/>
      <w:pPr>
        <w:ind w:left="6109" w:hanging="360"/>
      </w:pPr>
      <w:rPr>
        <w:rFonts w:cs="Times New Roman"/>
      </w:rPr>
    </w:lvl>
    <w:lvl w:ilvl="8" w:tplc="080A001B" w:tentative="1">
      <w:start w:val="1"/>
      <w:numFmt w:val="lowerRoman"/>
      <w:lvlText w:val="%9."/>
      <w:lvlJc w:val="right"/>
      <w:pPr>
        <w:ind w:left="6829" w:hanging="180"/>
      </w:pPr>
      <w:rPr>
        <w:rFonts w:cs="Times New Roman"/>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286350742">
    <w:abstractNumId w:val="0"/>
  </w:num>
  <w:num w:numId="17" w16cid:durableId="1961718236">
    <w:abstractNumId w:val="10"/>
  </w:num>
  <w:num w:numId="18" w16cid:durableId="1841039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449"/>
    <w:rsid w:val="00037E82"/>
    <w:rsid w:val="00046945"/>
    <w:rsid w:val="00061B2A"/>
    <w:rsid w:val="000623FD"/>
    <w:rsid w:val="00082362"/>
    <w:rsid w:val="00087508"/>
    <w:rsid w:val="00092533"/>
    <w:rsid w:val="000A683E"/>
    <w:rsid w:val="000B19B9"/>
    <w:rsid w:val="000B3DB3"/>
    <w:rsid w:val="000D0334"/>
    <w:rsid w:val="000D041A"/>
    <w:rsid w:val="000D5DA7"/>
    <w:rsid w:val="000F6486"/>
    <w:rsid w:val="00116940"/>
    <w:rsid w:val="00125105"/>
    <w:rsid w:val="00127233"/>
    <w:rsid w:val="0013448A"/>
    <w:rsid w:val="001347E9"/>
    <w:rsid w:val="001348A9"/>
    <w:rsid w:val="00137944"/>
    <w:rsid w:val="00140F48"/>
    <w:rsid w:val="001428D5"/>
    <w:rsid w:val="00150038"/>
    <w:rsid w:val="0015699B"/>
    <w:rsid w:val="00166A54"/>
    <w:rsid w:val="001A33BF"/>
    <w:rsid w:val="001B0E02"/>
    <w:rsid w:val="001C1683"/>
    <w:rsid w:val="001C714A"/>
    <w:rsid w:val="001D6153"/>
    <w:rsid w:val="001E407F"/>
    <w:rsid w:val="001E4177"/>
    <w:rsid w:val="001E63D4"/>
    <w:rsid w:val="001F0228"/>
    <w:rsid w:val="001F0B24"/>
    <w:rsid w:val="001F7DC6"/>
    <w:rsid w:val="00204C2F"/>
    <w:rsid w:val="00211444"/>
    <w:rsid w:val="0022400B"/>
    <w:rsid w:val="002421BB"/>
    <w:rsid w:val="002462D4"/>
    <w:rsid w:val="00251F42"/>
    <w:rsid w:val="0025796E"/>
    <w:rsid w:val="002642A8"/>
    <w:rsid w:val="002707A2"/>
    <w:rsid w:val="00294EA4"/>
    <w:rsid w:val="002951A0"/>
    <w:rsid w:val="002962BC"/>
    <w:rsid w:val="002A093D"/>
    <w:rsid w:val="002A0DD0"/>
    <w:rsid w:val="002A49AC"/>
    <w:rsid w:val="002A64FD"/>
    <w:rsid w:val="002B1E05"/>
    <w:rsid w:val="002C7A84"/>
    <w:rsid w:val="002E2BF8"/>
    <w:rsid w:val="002E4FD9"/>
    <w:rsid w:val="002F1D83"/>
    <w:rsid w:val="003029B8"/>
    <w:rsid w:val="0030657A"/>
    <w:rsid w:val="00322A85"/>
    <w:rsid w:val="00324168"/>
    <w:rsid w:val="003277F8"/>
    <w:rsid w:val="00330834"/>
    <w:rsid w:val="00342B6F"/>
    <w:rsid w:val="00344820"/>
    <w:rsid w:val="003448F4"/>
    <w:rsid w:val="00374F5E"/>
    <w:rsid w:val="00377E3E"/>
    <w:rsid w:val="003878EE"/>
    <w:rsid w:val="003A779E"/>
    <w:rsid w:val="003B09E9"/>
    <w:rsid w:val="003C7702"/>
    <w:rsid w:val="003D0F4D"/>
    <w:rsid w:val="003D5B0D"/>
    <w:rsid w:val="003E0499"/>
    <w:rsid w:val="003E4F80"/>
    <w:rsid w:val="003E6439"/>
    <w:rsid w:val="003F3941"/>
    <w:rsid w:val="00406575"/>
    <w:rsid w:val="00414C74"/>
    <w:rsid w:val="00414F50"/>
    <w:rsid w:val="00422999"/>
    <w:rsid w:val="0042722E"/>
    <w:rsid w:val="00434A87"/>
    <w:rsid w:val="00437494"/>
    <w:rsid w:val="0044528D"/>
    <w:rsid w:val="00453B6D"/>
    <w:rsid w:val="0046670B"/>
    <w:rsid w:val="00466E39"/>
    <w:rsid w:val="00472E21"/>
    <w:rsid w:val="00480A2A"/>
    <w:rsid w:val="0048667B"/>
    <w:rsid w:val="0049158C"/>
    <w:rsid w:val="004955B9"/>
    <w:rsid w:val="004A1847"/>
    <w:rsid w:val="004A305D"/>
    <w:rsid w:val="004B2525"/>
    <w:rsid w:val="004B2FA0"/>
    <w:rsid w:val="004B5C79"/>
    <w:rsid w:val="004C449A"/>
    <w:rsid w:val="004D1FFE"/>
    <w:rsid w:val="004D4724"/>
    <w:rsid w:val="004D66B8"/>
    <w:rsid w:val="004F21C4"/>
    <w:rsid w:val="004F4577"/>
    <w:rsid w:val="004F685F"/>
    <w:rsid w:val="005566E8"/>
    <w:rsid w:val="00574867"/>
    <w:rsid w:val="00582589"/>
    <w:rsid w:val="00591460"/>
    <w:rsid w:val="005A1459"/>
    <w:rsid w:val="005A50F4"/>
    <w:rsid w:val="005A65E0"/>
    <w:rsid w:val="005B7A7E"/>
    <w:rsid w:val="005C3777"/>
    <w:rsid w:val="005C5CDC"/>
    <w:rsid w:val="005D476C"/>
    <w:rsid w:val="005E54A1"/>
    <w:rsid w:val="006200BF"/>
    <w:rsid w:val="006219F8"/>
    <w:rsid w:val="0062656C"/>
    <w:rsid w:val="006302F7"/>
    <w:rsid w:val="00646B9F"/>
    <w:rsid w:val="0065653F"/>
    <w:rsid w:val="00656A71"/>
    <w:rsid w:val="006626E3"/>
    <w:rsid w:val="00665D70"/>
    <w:rsid w:val="00672EAA"/>
    <w:rsid w:val="006900D9"/>
    <w:rsid w:val="006A2A7D"/>
    <w:rsid w:val="006A6268"/>
    <w:rsid w:val="006A6484"/>
    <w:rsid w:val="006D5FBF"/>
    <w:rsid w:val="006F0481"/>
    <w:rsid w:val="006F20D7"/>
    <w:rsid w:val="00706C16"/>
    <w:rsid w:val="00710CB5"/>
    <w:rsid w:val="007139E1"/>
    <w:rsid w:val="007264F7"/>
    <w:rsid w:val="007340C3"/>
    <w:rsid w:val="0075235A"/>
    <w:rsid w:val="00756602"/>
    <w:rsid w:val="00756841"/>
    <w:rsid w:val="007649AB"/>
    <w:rsid w:val="00771D0C"/>
    <w:rsid w:val="00776A17"/>
    <w:rsid w:val="00777E6E"/>
    <w:rsid w:val="007833AC"/>
    <w:rsid w:val="007A0581"/>
    <w:rsid w:val="007B268C"/>
    <w:rsid w:val="007B7171"/>
    <w:rsid w:val="007C0C0F"/>
    <w:rsid w:val="007C3DC2"/>
    <w:rsid w:val="007D405C"/>
    <w:rsid w:val="007E5497"/>
    <w:rsid w:val="007E6A6B"/>
    <w:rsid w:val="00806F5F"/>
    <w:rsid w:val="00811274"/>
    <w:rsid w:val="0081406C"/>
    <w:rsid w:val="00815F3B"/>
    <w:rsid w:val="00820278"/>
    <w:rsid w:val="008258C9"/>
    <w:rsid w:val="00844AE9"/>
    <w:rsid w:val="008468AD"/>
    <w:rsid w:val="008506C6"/>
    <w:rsid w:val="00850AD7"/>
    <w:rsid w:val="00867F95"/>
    <w:rsid w:val="0087024C"/>
    <w:rsid w:val="008843B6"/>
    <w:rsid w:val="00891928"/>
    <w:rsid w:val="008A446D"/>
    <w:rsid w:val="008B25F1"/>
    <w:rsid w:val="008D180B"/>
    <w:rsid w:val="008F0EA7"/>
    <w:rsid w:val="008F42FA"/>
    <w:rsid w:val="009006C4"/>
    <w:rsid w:val="00916140"/>
    <w:rsid w:val="00923EEF"/>
    <w:rsid w:val="0092597C"/>
    <w:rsid w:val="0093286C"/>
    <w:rsid w:val="009419F9"/>
    <w:rsid w:val="00942980"/>
    <w:rsid w:val="0095685E"/>
    <w:rsid w:val="00961B09"/>
    <w:rsid w:val="00965334"/>
    <w:rsid w:val="0097093E"/>
    <w:rsid w:val="009A0DFA"/>
    <w:rsid w:val="009A1C6F"/>
    <w:rsid w:val="009B2D26"/>
    <w:rsid w:val="009B4294"/>
    <w:rsid w:val="009B63EC"/>
    <w:rsid w:val="009C71FA"/>
    <w:rsid w:val="009C72E7"/>
    <w:rsid w:val="009C7F7E"/>
    <w:rsid w:val="009D3058"/>
    <w:rsid w:val="009D5805"/>
    <w:rsid w:val="009E1FFB"/>
    <w:rsid w:val="009F3A13"/>
    <w:rsid w:val="00A035E6"/>
    <w:rsid w:val="00A044D1"/>
    <w:rsid w:val="00A122D3"/>
    <w:rsid w:val="00A12E22"/>
    <w:rsid w:val="00A14468"/>
    <w:rsid w:val="00A17F13"/>
    <w:rsid w:val="00A20739"/>
    <w:rsid w:val="00A23AF9"/>
    <w:rsid w:val="00A30D4A"/>
    <w:rsid w:val="00A33C78"/>
    <w:rsid w:val="00A470B4"/>
    <w:rsid w:val="00A51791"/>
    <w:rsid w:val="00A820E7"/>
    <w:rsid w:val="00A91732"/>
    <w:rsid w:val="00AB0ADB"/>
    <w:rsid w:val="00AD2042"/>
    <w:rsid w:val="00AD4CA8"/>
    <w:rsid w:val="00AD6F67"/>
    <w:rsid w:val="00AE5830"/>
    <w:rsid w:val="00AF18CE"/>
    <w:rsid w:val="00B00C0E"/>
    <w:rsid w:val="00B01B1A"/>
    <w:rsid w:val="00B0381D"/>
    <w:rsid w:val="00B05F5F"/>
    <w:rsid w:val="00B114DA"/>
    <w:rsid w:val="00B24AB9"/>
    <w:rsid w:val="00B25638"/>
    <w:rsid w:val="00B271EE"/>
    <w:rsid w:val="00B37A75"/>
    <w:rsid w:val="00B44A47"/>
    <w:rsid w:val="00B47B49"/>
    <w:rsid w:val="00B66EBF"/>
    <w:rsid w:val="00B71B5E"/>
    <w:rsid w:val="00B72CD3"/>
    <w:rsid w:val="00B72FFF"/>
    <w:rsid w:val="00B91566"/>
    <w:rsid w:val="00BB0F64"/>
    <w:rsid w:val="00BB228E"/>
    <w:rsid w:val="00BC3D36"/>
    <w:rsid w:val="00BC6115"/>
    <w:rsid w:val="00BD54A6"/>
    <w:rsid w:val="00BD7F72"/>
    <w:rsid w:val="00BF7425"/>
    <w:rsid w:val="00C04FB3"/>
    <w:rsid w:val="00C11D8B"/>
    <w:rsid w:val="00C15139"/>
    <w:rsid w:val="00C330EB"/>
    <w:rsid w:val="00C4296D"/>
    <w:rsid w:val="00C431A9"/>
    <w:rsid w:val="00C45275"/>
    <w:rsid w:val="00C45CDF"/>
    <w:rsid w:val="00C50D69"/>
    <w:rsid w:val="00C5365C"/>
    <w:rsid w:val="00C6698B"/>
    <w:rsid w:val="00C6728A"/>
    <w:rsid w:val="00C754BE"/>
    <w:rsid w:val="00C76B1C"/>
    <w:rsid w:val="00C925AC"/>
    <w:rsid w:val="00CA6D2B"/>
    <w:rsid w:val="00CB6357"/>
    <w:rsid w:val="00CC1B26"/>
    <w:rsid w:val="00CD0EDC"/>
    <w:rsid w:val="00CE5AE6"/>
    <w:rsid w:val="00CF5308"/>
    <w:rsid w:val="00D00E9A"/>
    <w:rsid w:val="00D03320"/>
    <w:rsid w:val="00D11523"/>
    <w:rsid w:val="00D12DAA"/>
    <w:rsid w:val="00D361FD"/>
    <w:rsid w:val="00D3626D"/>
    <w:rsid w:val="00D423A2"/>
    <w:rsid w:val="00D43B78"/>
    <w:rsid w:val="00D44E26"/>
    <w:rsid w:val="00D520D8"/>
    <w:rsid w:val="00D52B64"/>
    <w:rsid w:val="00D63AC2"/>
    <w:rsid w:val="00D7383B"/>
    <w:rsid w:val="00D752D2"/>
    <w:rsid w:val="00D77699"/>
    <w:rsid w:val="00D7788A"/>
    <w:rsid w:val="00D904B6"/>
    <w:rsid w:val="00D93E99"/>
    <w:rsid w:val="00DA1212"/>
    <w:rsid w:val="00DA231B"/>
    <w:rsid w:val="00DC39FC"/>
    <w:rsid w:val="00DC7BA2"/>
    <w:rsid w:val="00DF5254"/>
    <w:rsid w:val="00E02524"/>
    <w:rsid w:val="00E14C24"/>
    <w:rsid w:val="00E16408"/>
    <w:rsid w:val="00E203E9"/>
    <w:rsid w:val="00E20894"/>
    <w:rsid w:val="00E213B8"/>
    <w:rsid w:val="00E245AB"/>
    <w:rsid w:val="00E2764C"/>
    <w:rsid w:val="00E27F2E"/>
    <w:rsid w:val="00E50AFE"/>
    <w:rsid w:val="00E52D8C"/>
    <w:rsid w:val="00E55777"/>
    <w:rsid w:val="00E6099B"/>
    <w:rsid w:val="00E73676"/>
    <w:rsid w:val="00E740BE"/>
    <w:rsid w:val="00E75C92"/>
    <w:rsid w:val="00E771DC"/>
    <w:rsid w:val="00E8772A"/>
    <w:rsid w:val="00E90F6B"/>
    <w:rsid w:val="00E92C27"/>
    <w:rsid w:val="00E93782"/>
    <w:rsid w:val="00EA0E3D"/>
    <w:rsid w:val="00EA3F2F"/>
    <w:rsid w:val="00EA57E0"/>
    <w:rsid w:val="00EC2B69"/>
    <w:rsid w:val="00EC38A7"/>
    <w:rsid w:val="00EC7DF1"/>
    <w:rsid w:val="00ED6C0D"/>
    <w:rsid w:val="00EE1AA8"/>
    <w:rsid w:val="00F035C0"/>
    <w:rsid w:val="00F23FEA"/>
    <w:rsid w:val="00F31EDC"/>
    <w:rsid w:val="00F462B3"/>
    <w:rsid w:val="00F5664F"/>
    <w:rsid w:val="00F666C4"/>
    <w:rsid w:val="00F71F7D"/>
    <w:rsid w:val="00F76AFC"/>
    <w:rsid w:val="00F83CE6"/>
    <w:rsid w:val="00FA47C0"/>
    <w:rsid w:val="00FB330E"/>
    <w:rsid w:val="00FB5DD1"/>
    <w:rsid w:val="00FC2B5D"/>
    <w:rsid w:val="00FD5496"/>
    <w:rsid w:val="00FF1449"/>
    <w:rsid w:val="00FF334F"/>
    <w:rsid w:val="00FF6D1E"/>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E693B76-397B-4F37-A00C-620D61740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D1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C1683"/>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4455916">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136_1994_pr002.html" TargetMode="External"/><Relationship Id="rId18" Type="http://schemas.openxmlformats.org/officeDocument/2006/relationships/hyperlink" Target="http://www.secretariasenado.gov.co/senado/basedoc/ley_0080_1993.html"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7" Type="http://schemas.openxmlformats.org/officeDocument/2006/relationships/settings" Target="settings.xml"/><Relationship Id="rId12" Type="http://schemas.openxmlformats.org/officeDocument/2006/relationships/hyperlink" Target="mailto:javiercuellarg@gmail.com" TargetMode="External"/><Relationship Id="rId17" Type="http://schemas.openxmlformats.org/officeDocument/2006/relationships/hyperlink" Target="http://www.secretariasenado.gov.co/senado/basedoc/decreto_1333_1986_pr008.html"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secretariasenado.gov.co/senado/basedoc/decreto_1333_1986_pr008.html" TargetMode="External"/><Relationship Id="rId20" Type="http://schemas.openxmlformats.org/officeDocument/2006/relationships/hyperlink" Target="https://www.colombiacompra.gov.co/content/documento-tipo-para-la-contratacion-directa-de-convenios-solidarios-para-la-ejecucion-de"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5" Type="http://schemas.openxmlformats.org/officeDocument/2006/relationships/numbering" Target="numbering.xml"/><Relationship Id="rId15" Type="http://schemas.openxmlformats.org/officeDocument/2006/relationships/hyperlink" Target="http://www.secretariasenado.gov.co/senado/basedoc/ley_1955_2019_pr005.html" TargetMode="External"/><Relationship Id="rId23" Type="http://schemas.openxmlformats.org/officeDocument/2006/relationships/hyperlink" Target="https://www.colombiacompra.gov.co/normativa-y-relatoria/documentos-tipo"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olombiacompra.gov.co/sites/cce_public/files/files_2020/02._resolucion_358_de_2023_dt_-_convenios_solidario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ecretariasenado.gov.co/senado/basedoc/ley_1955_2019_pr005.html" TargetMode="External"/><Relationship Id="rId22" Type="http://schemas.openxmlformats.org/officeDocument/2006/relationships/hyperlink" Target="https://formacionvirtual.colombiacompra.gov.co/mod/page/view.php?id=3718" TargetMode="External"/><Relationship Id="rId27"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77653" TargetMode="External"/><Relationship Id="rId2" Type="http://schemas.openxmlformats.org/officeDocument/2006/relationships/hyperlink" Target="https://www.camara.gov.co/juntas-de-accion-comunal" TargetMode="External"/><Relationship Id="rId1" Type="http://schemas.openxmlformats.org/officeDocument/2006/relationships/hyperlink" Target="https://dapre.presidencia.gov.co/normativa/ley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9AB2E9B-C0D7-47D0-A863-EE33ED25A69A}">
  <ds:schemaRefs>
    <ds:schemaRef ds:uri="http://schemas.openxmlformats.org/officeDocument/2006/bibliography"/>
  </ds:schemaRefs>
</ds:datastoreItem>
</file>

<file path=customXml/itemProps4.xml><?xml version="1.0" encoding="utf-8"?>
<ds:datastoreItem xmlns:ds="http://schemas.openxmlformats.org/officeDocument/2006/customXml" ds:itemID="{099472D8-1586-45DC-B835-2CDF7D527F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18</Pages>
  <Words>5807</Words>
  <Characters>31418</Characters>
  <Application>Microsoft Office Word</Application>
  <DocSecurity>0</DocSecurity>
  <Lines>641</Lines>
  <Paragraphs>136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2026-03-25T14:38:00Z</dcterms:created>
  <dcterms:modified xsi:type="dcterms:W3CDTF">2026-03-26T19:10:00Z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