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92F3A2" w14:textId="77777777" w:rsidR="00404998" w:rsidRPr="004B07F9" w:rsidRDefault="00404998" w:rsidP="00404998">
      <w:pPr>
        <w:spacing w:after="0" w:line="240" w:lineRule="auto"/>
        <w:jc w:val="both"/>
        <w:rPr>
          <w:rFonts w:ascii="Verdana" w:eastAsia="Arial" w:hAnsi="Verdana" w:cs="Arial"/>
          <w:color w:val="000000"/>
        </w:rPr>
      </w:pPr>
      <w:bookmarkStart w:id="0" w:name="_Hlk143780582"/>
      <w:r w:rsidRPr="004B07F9">
        <w:rPr>
          <w:rFonts w:ascii="Verdana" w:eastAsia="Arial" w:hAnsi="Verdana" w:cs="Arial"/>
          <w:b/>
          <w:bCs/>
          <w:color w:val="000000" w:themeColor="text1"/>
        </w:rPr>
        <w:t>PRINCIPIO DE SELECCIÓN OBJETIVA – Fundamento – Alcance – reglas aplicables</w:t>
      </w:r>
    </w:p>
    <w:p w14:paraId="779954F5" w14:textId="77777777" w:rsidR="00404998" w:rsidRPr="004B07F9" w:rsidRDefault="00404998" w:rsidP="00404998">
      <w:pPr>
        <w:spacing w:after="0" w:line="240" w:lineRule="auto"/>
        <w:jc w:val="both"/>
        <w:rPr>
          <w:rFonts w:ascii="Verdana" w:eastAsia="Arial" w:hAnsi="Verdana" w:cs="Arial"/>
          <w:color w:val="000000"/>
        </w:rPr>
      </w:pPr>
    </w:p>
    <w:p w14:paraId="505D234E" w14:textId="3C4F4F40" w:rsidR="00404998" w:rsidRPr="004B07F9" w:rsidRDefault="00CE534B" w:rsidP="00404998">
      <w:pPr>
        <w:spacing w:after="0" w:line="240" w:lineRule="auto"/>
        <w:jc w:val="both"/>
        <w:rPr>
          <w:rFonts w:ascii="Verdana" w:eastAsia="Arial" w:hAnsi="Verdana" w:cs="Arial"/>
          <w:color w:val="000000"/>
          <w:sz w:val="20"/>
          <w:szCs w:val="20"/>
        </w:rPr>
      </w:pPr>
      <w:r w:rsidRPr="004B07F9">
        <w:rPr>
          <w:rFonts w:ascii="Verdana" w:eastAsia="Calibri" w:hAnsi="Verdana" w:cs="Arial"/>
          <w:sz w:val="20"/>
          <w:szCs w:val="20"/>
          <w:lang w:val="es-ES"/>
        </w:rPr>
        <w:t xml:space="preserve">[…] </w:t>
      </w:r>
      <w:r w:rsidR="00404998" w:rsidRPr="004B07F9">
        <w:rPr>
          <w:rFonts w:ascii="Verdana" w:eastAsia="Arial" w:hAnsi="Verdana" w:cs="Arial"/>
          <w:color w:val="000000"/>
          <w:sz w:val="20"/>
          <w:szCs w:val="20"/>
        </w:rPr>
        <w:t>el principio de selección objetiva es un postulado que debe orientar la escogencia del futuro contratista del Estado en los procedimientos de selección adelantados por las entidades públicas, que se traduce en la exigencia de que la elección no esté basada en apreciaciones o factores subjetivos, sino en criterios objetivos, de carácter técnico, jurídico y financiero. En tal sentido, se trata de un principio que se deriva, en el ordenamiento jurídico colombiano, de principios como la igualdad (art. 13, C.P.) y la buena fe –manifestada en la confianza legítima– (art. 83 C.P.), así como de los principios de la función administrativa y de la gestión fiscal (arts. 209 y 267 C.P.). Dicho principio rector de los procedimientos de selección, además, encuentra fundamentación legal expresa e importancia para la transparencia, en disposiciones como el artículo 24, numeral 5º, literal a) de la Ley 80 de 1993, que regula el principio de transparencia, y que exige incorporar requisitos objetivos en los pliegos de condiciones; el artículo 24, numeral 5º, literal b) de la misma Ley, que manda que en el pliego se definan “reglas objetivas, justas, claras y completas que permitan la confección de ofrecimientos de la misma índole, aseguren una escogencia objetiva y eviten la declaratoria de desierta de la licitación”; y, de forma más clara profunda y clara, el artículo 5º de la Ley 1150 de 2007, cuyo primer inciso dispone que “Es objetiva la selección en la cual la escogencia se haga al ofrecimiento más favorable a la entidad y a los fines que ella busca, sin tener en consideración factores de afecto o de interés y, en general, cualquier clase de motivación subjetiva”.</w:t>
      </w:r>
    </w:p>
    <w:p w14:paraId="20203B2F" w14:textId="77777777" w:rsidR="00404998" w:rsidRPr="004B07F9" w:rsidRDefault="00404998" w:rsidP="00404998">
      <w:pPr>
        <w:spacing w:after="0" w:line="240" w:lineRule="auto"/>
        <w:jc w:val="both"/>
        <w:rPr>
          <w:rFonts w:ascii="Verdana" w:eastAsia="Arial" w:hAnsi="Verdana" w:cs="Arial"/>
          <w:color w:val="000000"/>
          <w:sz w:val="20"/>
          <w:szCs w:val="20"/>
        </w:rPr>
      </w:pPr>
    </w:p>
    <w:p w14:paraId="181AA08C" w14:textId="77777777" w:rsidR="00F279E2" w:rsidRPr="004B07F9" w:rsidRDefault="00F279E2" w:rsidP="00F279E2">
      <w:pPr>
        <w:spacing w:after="0"/>
        <w:jc w:val="both"/>
        <w:rPr>
          <w:rFonts w:ascii="Verdana" w:eastAsia="Times New Roman" w:hAnsi="Verdana" w:cs="Arial"/>
          <w:b/>
          <w:bCs/>
          <w:color w:val="000000" w:themeColor="text1"/>
          <w:lang w:val="es-ES"/>
        </w:rPr>
      </w:pPr>
      <w:r w:rsidRPr="004B07F9">
        <w:rPr>
          <w:rFonts w:ascii="Verdana" w:eastAsia="Times New Roman" w:hAnsi="Verdana" w:cs="Arial"/>
          <w:b/>
          <w:bCs/>
          <w:color w:val="000000" w:themeColor="text1"/>
          <w:lang w:val="es-ES"/>
        </w:rPr>
        <w:t>SELECCIÓN OBJETIVA – Requisitos de ponderación – Asignación de puntaje – Comparación de ofertas</w:t>
      </w:r>
    </w:p>
    <w:p w14:paraId="508DDC59" w14:textId="77777777" w:rsidR="00F279E2" w:rsidRPr="004B07F9" w:rsidRDefault="00F279E2" w:rsidP="00F279E2">
      <w:pPr>
        <w:spacing w:after="120" w:line="240" w:lineRule="auto"/>
        <w:jc w:val="both"/>
        <w:rPr>
          <w:rFonts w:ascii="Verdana" w:eastAsia="Times New Roman" w:hAnsi="Verdana" w:cs="Arial"/>
          <w:sz w:val="20"/>
          <w:szCs w:val="20"/>
        </w:rPr>
      </w:pPr>
    </w:p>
    <w:p w14:paraId="6D4B12BA" w14:textId="77777777" w:rsidR="00F279E2" w:rsidRPr="004B07F9" w:rsidRDefault="00F279E2" w:rsidP="00F279E2">
      <w:pPr>
        <w:spacing w:after="120" w:line="240" w:lineRule="auto"/>
        <w:jc w:val="both"/>
        <w:rPr>
          <w:rFonts w:ascii="Verdana" w:eastAsia="Times New Roman" w:hAnsi="Verdana" w:cs="Arial"/>
          <w:color w:val="000000" w:themeColor="text1"/>
          <w:sz w:val="20"/>
          <w:szCs w:val="20"/>
          <w:lang w:val="es-ES"/>
        </w:rPr>
      </w:pPr>
      <w:r w:rsidRPr="004B07F9">
        <w:rPr>
          <w:rFonts w:ascii="Verdana" w:eastAsia="Times New Roman" w:hAnsi="Verdana" w:cs="Arial"/>
          <w:color w:val="000000" w:themeColor="text1"/>
          <w:sz w:val="20"/>
          <w:szCs w:val="20"/>
          <w:lang w:val="es-ES"/>
        </w:rPr>
        <w:t>En contraposición a los requisitos habilitantes, el artículo 5 de la Ley 1150 de 2007 regula los factores dirigidos a determinar cuál es la propuesta comparativamente más favorable. En ese sentido, el inciso primero dispone los factores de escogencia y calificación que deben indicarse en los pliegos de condiciones. El numeral segundo de esta norma establece que la oferta más favorable es aquella que resulte ser la más ventajosa para la entidad, una vez se realice la ponderación precisa y detallada de los factores técnicos y económicos de escogencia, de acuerdo con los parámetros establecidos en los pliegos de condiciones o equivalentes que permiten la comparación de ofertas.</w:t>
      </w:r>
    </w:p>
    <w:p w14:paraId="741A65F3" w14:textId="77777777" w:rsidR="00F279E2" w:rsidRPr="004B07F9" w:rsidRDefault="00F279E2" w:rsidP="00F279E2">
      <w:pPr>
        <w:spacing w:after="120" w:line="240" w:lineRule="auto"/>
        <w:jc w:val="both"/>
        <w:rPr>
          <w:rFonts w:ascii="Verdana" w:eastAsia="Times New Roman" w:hAnsi="Verdana" w:cs="Arial"/>
          <w:color w:val="000000" w:themeColor="text1"/>
          <w:sz w:val="20"/>
          <w:szCs w:val="20"/>
          <w:lang w:val="es-ES_tradnl"/>
        </w:rPr>
      </w:pPr>
      <w:r w:rsidRPr="004B07F9">
        <w:rPr>
          <w:rFonts w:ascii="Verdana" w:eastAsia="Times New Roman" w:hAnsi="Verdana" w:cs="Arial"/>
          <w:color w:val="000000" w:themeColor="text1"/>
          <w:sz w:val="20"/>
          <w:szCs w:val="20"/>
          <w:lang w:val="es-ES_tradnl"/>
        </w:rPr>
        <w:t xml:space="preserve">[…] el artículo 5 de la Ley 1150 de 2007, alude a diferentes conceptos como factores de escogencia, de calificación, técnicos y económicos de escogencia, de evaluación y calificación. Además, el artículo alude a unos factores que no otorgan puntaje y de otros que inciden en la comparación de ofertas. Por ello, la doctrina define los requisitos o factores ponderables </w:t>
      </w:r>
      <w:r w:rsidRPr="004B07F9">
        <w:rPr>
          <w:rFonts w:ascii="Verdana" w:eastAsia="Times New Roman" w:hAnsi="Verdana" w:cs="Arial"/>
          <w:i/>
          <w:iCs/>
          <w:color w:val="000000" w:themeColor="text1"/>
          <w:sz w:val="20"/>
          <w:szCs w:val="20"/>
          <w:lang w:val="es-ES_tradnl"/>
        </w:rPr>
        <w:t>como “[…] aquellas condiciones de la oferta y no de quien la presenta, que sí entrarán a ser evaluadas por la Administración y que, en consecuencia, darán lugar a la escogencia objetiva de la mejor propuesta para la entidad”.</w:t>
      </w:r>
      <w:r w:rsidRPr="004B07F9">
        <w:rPr>
          <w:rFonts w:ascii="Verdana" w:eastAsia="Times New Roman" w:hAnsi="Verdana" w:cs="Arial"/>
          <w:color w:val="000000" w:themeColor="text1"/>
          <w:sz w:val="20"/>
          <w:szCs w:val="20"/>
          <w:lang w:val="es-ES_tradnl"/>
        </w:rPr>
        <w:t xml:space="preserve"> Todas estas categorías designan los </w:t>
      </w:r>
      <w:r w:rsidRPr="004B07F9">
        <w:rPr>
          <w:rFonts w:ascii="Verdana" w:eastAsia="Times New Roman" w:hAnsi="Verdana" w:cs="Arial"/>
          <w:i/>
          <w:iCs/>
          <w:color w:val="000000" w:themeColor="text1"/>
          <w:sz w:val="20"/>
          <w:szCs w:val="20"/>
          <w:lang w:val="es-ES_tradnl"/>
        </w:rPr>
        <w:t xml:space="preserve">“[…] factores a los cuales cabe otorgarles puntajes o que pueden </w:t>
      </w:r>
      <w:r w:rsidRPr="004B07F9">
        <w:rPr>
          <w:rFonts w:ascii="Verdana" w:eastAsia="Times New Roman" w:hAnsi="Verdana" w:cs="Arial"/>
          <w:i/>
          <w:iCs/>
          <w:color w:val="000000" w:themeColor="text1"/>
          <w:sz w:val="20"/>
          <w:szCs w:val="20"/>
          <w:lang w:val="es-ES_tradnl"/>
        </w:rPr>
        <w:lastRenderedPageBreak/>
        <w:t>ser ponderados, precisamente, pues estos son los factores que en últimas permiten una comparación de ofertas y una diferenciación entre ellas”</w:t>
      </w:r>
      <w:r w:rsidRPr="004B07F9">
        <w:rPr>
          <w:rFonts w:ascii="Verdana" w:eastAsia="Times New Roman" w:hAnsi="Verdana" w:cs="Arial"/>
          <w:color w:val="000000" w:themeColor="text1"/>
          <w:sz w:val="20"/>
          <w:szCs w:val="20"/>
          <w:lang w:val="es-ES_tradnl"/>
        </w:rPr>
        <w:t xml:space="preserve"> […].</w:t>
      </w:r>
    </w:p>
    <w:p w14:paraId="33C60933" w14:textId="77777777" w:rsidR="00F279E2" w:rsidRPr="004B07F9" w:rsidRDefault="00F279E2" w:rsidP="00F279E2">
      <w:pPr>
        <w:spacing w:after="120" w:line="240" w:lineRule="auto"/>
        <w:jc w:val="both"/>
        <w:rPr>
          <w:rFonts w:ascii="Verdana" w:eastAsia="Times New Roman" w:hAnsi="Verdana" w:cs="Arial"/>
          <w:color w:val="000000" w:themeColor="text1"/>
          <w:sz w:val="20"/>
          <w:szCs w:val="20"/>
          <w:lang w:val="es-ES_tradnl"/>
        </w:rPr>
      </w:pPr>
      <w:r w:rsidRPr="004B07F9">
        <w:rPr>
          <w:rFonts w:ascii="Verdana" w:eastAsia="Times New Roman" w:hAnsi="Verdana" w:cs="Arial"/>
          <w:color w:val="000000" w:themeColor="text1"/>
          <w:sz w:val="20"/>
          <w:szCs w:val="20"/>
          <w:lang w:val="es-ES_tradnl"/>
        </w:rPr>
        <w:t>[…] De acuerdo con lo anterior, es posible asimilar las diferentes categorías a las que hace referencia el artículo 5 de la Ley 1150 de 2007, cuando alude a los factores ponderables que, a diferencia de los requisitos habilitantes, determinan la oferta más favorable para la entidad, y que, por lo tanto, hacen que una oferta sea mejor que otra, pese a tener que cumplir todas ellas los requisitos habilitantes. Es frente a aquellos factores que determinan comparativamente que una oferta sea mejor que otra, que la entidad concibe el otorgamiento de puntajes, como mecanismos para ponderar y comparar los ofrecimientos, con el fin de determinar objetivamente la oferta más favorable, aplicando</w:t>
      </w:r>
      <w:r w:rsidRPr="004B07F9">
        <w:rPr>
          <w:rFonts w:ascii="Verdana" w:eastAsia="Times New Roman" w:hAnsi="Verdana" w:cs="Arial"/>
          <w:bCs/>
          <w:sz w:val="20"/>
          <w:szCs w:val="20"/>
        </w:rPr>
        <w:t xml:space="preserve"> para ello las reglas establecidas en el pliego o documento equivalente para la ponderación de las ofertas.</w:t>
      </w:r>
    </w:p>
    <w:p w14:paraId="4F5BAEFC" w14:textId="77777777" w:rsidR="00F279E2" w:rsidRPr="004B07F9" w:rsidRDefault="00F279E2" w:rsidP="00F279E2">
      <w:pPr>
        <w:shd w:val="clear" w:color="auto" w:fill="FFFFFF"/>
        <w:spacing w:after="0" w:line="240" w:lineRule="auto"/>
        <w:jc w:val="both"/>
        <w:rPr>
          <w:rFonts w:ascii="Verdana" w:eastAsia="Times New Roman" w:hAnsi="Verdana" w:cs="Arial"/>
          <w:sz w:val="20"/>
          <w:szCs w:val="20"/>
        </w:rPr>
      </w:pPr>
      <w:r w:rsidRPr="004B07F9">
        <w:rPr>
          <w:rFonts w:ascii="Verdana" w:eastAsia="Times New Roman" w:hAnsi="Verdana" w:cs="Arial"/>
          <w:bCs/>
          <w:sz w:val="20"/>
          <w:szCs w:val="20"/>
        </w:rPr>
        <w:t xml:space="preserve">En ese sentido, la asignación de puntaje es un mecanismo mediante el cual las entidades ponderan los factores de calificación </w:t>
      </w:r>
      <w:r w:rsidRPr="004B07F9">
        <w:rPr>
          <w:rFonts w:ascii="Arial" w:eastAsia="Times New Roman" w:hAnsi="Arial" w:cs="Arial"/>
          <w:bCs/>
          <w:sz w:val="20"/>
          <w:szCs w:val="20"/>
        </w:rPr>
        <w:t>ꟷ</w:t>
      </w:r>
      <w:r w:rsidRPr="004B07F9">
        <w:rPr>
          <w:rFonts w:ascii="Verdana" w:eastAsia="Times New Roman" w:hAnsi="Verdana" w:cs="Arial"/>
          <w:bCs/>
          <w:i/>
          <w:iCs/>
          <w:sz w:val="20"/>
          <w:szCs w:val="20"/>
        </w:rPr>
        <w:t>v.g.</w:t>
      </w:r>
      <w:r w:rsidRPr="004B07F9">
        <w:rPr>
          <w:rFonts w:ascii="Verdana" w:eastAsia="Times New Roman" w:hAnsi="Verdana" w:cs="Arial"/>
          <w:bCs/>
          <w:sz w:val="20"/>
          <w:szCs w:val="20"/>
        </w:rPr>
        <w:t xml:space="preserve"> técnicos y económicos, de calidad y precio</w:t>
      </w:r>
      <w:r w:rsidRPr="004B07F9">
        <w:rPr>
          <w:rFonts w:ascii="Verdana" w:eastAsia="Times New Roman" w:hAnsi="Verdana" w:cs="Arial"/>
          <w:bCs/>
          <w:sz w:val="20"/>
          <w:szCs w:val="20"/>
        </w:rPr>
        <w:softHyphen/>
        <w:t>, etc.</w:t>
      </w:r>
      <w:r w:rsidRPr="004B07F9">
        <w:rPr>
          <w:rFonts w:ascii="Arial" w:eastAsia="Times New Roman" w:hAnsi="Arial" w:cs="Arial"/>
          <w:bCs/>
          <w:sz w:val="20"/>
          <w:szCs w:val="20"/>
        </w:rPr>
        <w:t>ꟷ</w:t>
      </w:r>
      <w:r w:rsidRPr="004B07F9">
        <w:rPr>
          <w:rFonts w:ascii="Verdana" w:eastAsia="Times New Roman" w:hAnsi="Verdana" w:cs="Arial"/>
          <w:bCs/>
          <w:sz w:val="20"/>
          <w:szCs w:val="20"/>
        </w:rPr>
        <w:t xml:space="preserve"> en un determinado proceso de selecci</w:t>
      </w:r>
      <w:r w:rsidRPr="004B07F9">
        <w:rPr>
          <w:rFonts w:ascii="Verdana" w:eastAsia="Times New Roman" w:hAnsi="Verdana" w:cs="Verdana"/>
          <w:bCs/>
          <w:sz w:val="20"/>
          <w:szCs w:val="20"/>
        </w:rPr>
        <w:t>ó</w:t>
      </w:r>
      <w:r w:rsidRPr="004B07F9">
        <w:rPr>
          <w:rFonts w:ascii="Verdana" w:eastAsia="Times New Roman" w:hAnsi="Verdana" w:cs="Arial"/>
          <w:bCs/>
          <w:sz w:val="20"/>
          <w:szCs w:val="20"/>
        </w:rPr>
        <w:t>n, como se desprende del literal a) del numeral 2 del art</w:t>
      </w:r>
      <w:r w:rsidRPr="004B07F9">
        <w:rPr>
          <w:rFonts w:ascii="Verdana" w:eastAsia="Times New Roman" w:hAnsi="Verdana" w:cs="Verdana"/>
          <w:bCs/>
          <w:sz w:val="20"/>
          <w:szCs w:val="20"/>
        </w:rPr>
        <w:t>í</w:t>
      </w:r>
      <w:r w:rsidRPr="004B07F9">
        <w:rPr>
          <w:rFonts w:ascii="Verdana" w:eastAsia="Times New Roman" w:hAnsi="Verdana" w:cs="Arial"/>
          <w:bCs/>
          <w:sz w:val="20"/>
          <w:szCs w:val="20"/>
        </w:rPr>
        <w:t xml:space="preserve">culo 5 de la Ley 1150 de 2007, en el que expresamente se alude al puntaje. Sin embargo, no es este el </w:t>
      </w:r>
      <w:r w:rsidRPr="004B07F9">
        <w:rPr>
          <w:rFonts w:ascii="Verdana" w:eastAsia="Times New Roman" w:hAnsi="Verdana" w:cs="Verdana"/>
          <w:bCs/>
          <w:sz w:val="20"/>
          <w:szCs w:val="20"/>
        </w:rPr>
        <w:t>ú</w:t>
      </w:r>
      <w:r w:rsidRPr="004B07F9">
        <w:rPr>
          <w:rFonts w:ascii="Verdana" w:eastAsia="Times New Roman" w:hAnsi="Verdana" w:cs="Arial"/>
          <w:bCs/>
          <w:sz w:val="20"/>
          <w:szCs w:val="20"/>
        </w:rPr>
        <w:t>nico mecanismo de ponderaci</w:t>
      </w:r>
      <w:r w:rsidRPr="004B07F9">
        <w:rPr>
          <w:rFonts w:ascii="Verdana" w:eastAsia="Times New Roman" w:hAnsi="Verdana" w:cs="Verdana"/>
          <w:bCs/>
          <w:sz w:val="20"/>
          <w:szCs w:val="20"/>
        </w:rPr>
        <w:t>ó</w:t>
      </w:r>
      <w:r w:rsidRPr="004B07F9">
        <w:rPr>
          <w:rFonts w:ascii="Verdana" w:eastAsia="Times New Roman" w:hAnsi="Verdana" w:cs="Arial"/>
          <w:bCs/>
          <w:sz w:val="20"/>
          <w:szCs w:val="20"/>
        </w:rPr>
        <w:t>n que tienen a su alcance la Entidad Estatal para determinar el ofrecimiento m</w:t>
      </w:r>
      <w:r w:rsidRPr="004B07F9">
        <w:rPr>
          <w:rFonts w:ascii="Verdana" w:eastAsia="Times New Roman" w:hAnsi="Verdana" w:cs="Verdana"/>
          <w:bCs/>
          <w:sz w:val="20"/>
          <w:szCs w:val="20"/>
        </w:rPr>
        <w:t>á</w:t>
      </w:r>
      <w:r w:rsidRPr="004B07F9">
        <w:rPr>
          <w:rFonts w:ascii="Verdana" w:eastAsia="Times New Roman" w:hAnsi="Verdana" w:cs="Arial"/>
          <w:bCs/>
          <w:sz w:val="20"/>
          <w:szCs w:val="20"/>
        </w:rPr>
        <w:t>s favorable, ya que el propio literal b) del art</w:t>
      </w:r>
      <w:r w:rsidRPr="004B07F9">
        <w:rPr>
          <w:rFonts w:ascii="Verdana" w:eastAsia="Times New Roman" w:hAnsi="Verdana" w:cs="Verdana"/>
          <w:bCs/>
          <w:sz w:val="20"/>
          <w:szCs w:val="20"/>
        </w:rPr>
        <w:t>í</w:t>
      </w:r>
      <w:r w:rsidRPr="004B07F9">
        <w:rPr>
          <w:rFonts w:ascii="Verdana" w:eastAsia="Times New Roman" w:hAnsi="Verdana" w:cs="Arial"/>
          <w:bCs/>
          <w:sz w:val="20"/>
          <w:szCs w:val="20"/>
        </w:rPr>
        <w:t>culo 5.2 posibilita que el ofrecimiento m</w:t>
      </w:r>
      <w:r w:rsidRPr="004B07F9">
        <w:rPr>
          <w:rFonts w:ascii="Verdana" w:eastAsia="Times New Roman" w:hAnsi="Verdana" w:cs="Verdana"/>
          <w:bCs/>
          <w:sz w:val="20"/>
          <w:szCs w:val="20"/>
        </w:rPr>
        <w:t>á</w:t>
      </w:r>
      <w:r w:rsidRPr="004B07F9">
        <w:rPr>
          <w:rFonts w:ascii="Verdana" w:eastAsia="Times New Roman" w:hAnsi="Verdana" w:cs="Arial"/>
          <w:bCs/>
          <w:sz w:val="20"/>
          <w:szCs w:val="20"/>
        </w:rPr>
        <w:t>s favorable se determine con un an</w:t>
      </w:r>
      <w:r w:rsidRPr="004B07F9">
        <w:rPr>
          <w:rFonts w:ascii="Verdana" w:eastAsia="Times New Roman" w:hAnsi="Verdana" w:cs="Verdana"/>
          <w:bCs/>
          <w:sz w:val="20"/>
          <w:szCs w:val="20"/>
        </w:rPr>
        <w:t>á</w:t>
      </w:r>
      <w:r w:rsidRPr="004B07F9">
        <w:rPr>
          <w:rFonts w:ascii="Verdana" w:eastAsia="Times New Roman" w:hAnsi="Verdana" w:cs="Arial"/>
          <w:bCs/>
          <w:sz w:val="20"/>
          <w:szCs w:val="20"/>
        </w:rPr>
        <w:t>lisis de la relaci</w:t>
      </w:r>
      <w:r w:rsidRPr="004B07F9">
        <w:rPr>
          <w:rFonts w:ascii="Verdana" w:eastAsia="Times New Roman" w:hAnsi="Verdana" w:cs="Verdana"/>
          <w:bCs/>
          <w:sz w:val="20"/>
          <w:szCs w:val="20"/>
        </w:rPr>
        <w:t>ó</w:t>
      </w:r>
      <w:r w:rsidRPr="004B07F9">
        <w:rPr>
          <w:rFonts w:ascii="Verdana" w:eastAsia="Times New Roman" w:hAnsi="Verdana" w:cs="Arial"/>
          <w:bCs/>
          <w:sz w:val="20"/>
          <w:szCs w:val="20"/>
        </w:rPr>
        <w:t xml:space="preserve">n costo-beneficio, evento en el no habría necesidad de acudir obligatoriamente a sistemas de asignación de puntaje. A estos se suman, los procesos de selección de bienes y servicios de características técnicas uniformes y de común utilización, así como los de mínima cuantía, en los que –según los artículos 5.3 y 2.5 de la Ley 1150 de 2007– el único factor de selección es el menor precio ofertado, por lo que no hay lugar a ponderación mediante puntajes. </w:t>
      </w:r>
    </w:p>
    <w:p w14:paraId="21B975E3" w14:textId="77777777" w:rsidR="00404998" w:rsidRPr="004B07F9" w:rsidRDefault="00404998" w:rsidP="007D5968">
      <w:pPr>
        <w:spacing w:after="0" w:line="240" w:lineRule="auto"/>
        <w:rPr>
          <w:rFonts w:ascii="Verdana" w:eastAsia="Verdana" w:hAnsi="Verdana" w:cs="Verdana"/>
        </w:rPr>
      </w:pPr>
    </w:p>
    <w:p w14:paraId="1C6AFA8D" w14:textId="77777777" w:rsidR="00404998" w:rsidRPr="004B07F9" w:rsidRDefault="00404998" w:rsidP="007D5968">
      <w:pPr>
        <w:spacing w:after="0" w:line="240" w:lineRule="auto"/>
        <w:rPr>
          <w:rFonts w:ascii="Verdana" w:eastAsia="Verdana" w:hAnsi="Verdana" w:cs="Verdana"/>
        </w:rPr>
      </w:pPr>
    </w:p>
    <w:p w14:paraId="4F20542D" w14:textId="77777777" w:rsidR="00404998" w:rsidRPr="004B07F9" w:rsidRDefault="00404998" w:rsidP="30821638">
      <w:pPr>
        <w:spacing w:after="0"/>
        <w:rPr>
          <w:rFonts w:ascii="Verdana" w:eastAsia="Verdana" w:hAnsi="Verdana" w:cs="Verdana"/>
        </w:rPr>
      </w:pPr>
    </w:p>
    <w:p w14:paraId="07D144F4" w14:textId="77777777" w:rsidR="00404998" w:rsidRPr="004B07F9" w:rsidRDefault="00404998" w:rsidP="30821638">
      <w:pPr>
        <w:spacing w:after="0"/>
        <w:rPr>
          <w:rFonts w:ascii="Verdana" w:eastAsia="Verdana" w:hAnsi="Verdana" w:cs="Verdana"/>
        </w:rPr>
      </w:pPr>
    </w:p>
    <w:p w14:paraId="2A636AA4" w14:textId="77777777" w:rsidR="00404998" w:rsidRPr="004B07F9" w:rsidRDefault="00404998" w:rsidP="30821638">
      <w:pPr>
        <w:spacing w:after="0"/>
        <w:rPr>
          <w:rFonts w:ascii="Verdana" w:eastAsia="Verdana" w:hAnsi="Verdana" w:cs="Verdana"/>
        </w:rPr>
      </w:pPr>
    </w:p>
    <w:p w14:paraId="478497F2" w14:textId="77777777" w:rsidR="00404998" w:rsidRPr="004B07F9" w:rsidRDefault="00404998" w:rsidP="30821638">
      <w:pPr>
        <w:spacing w:after="0"/>
        <w:rPr>
          <w:rFonts w:ascii="Verdana" w:eastAsia="Verdana" w:hAnsi="Verdana" w:cs="Verdana"/>
        </w:rPr>
      </w:pPr>
    </w:p>
    <w:p w14:paraId="791E7EB5" w14:textId="77777777" w:rsidR="00404998" w:rsidRPr="004B07F9" w:rsidRDefault="00404998" w:rsidP="30821638">
      <w:pPr>
        <w:spacing w:after="0"/>
        <w:rPr>
          <w:rFonts w:ascii="Verdana" w:eastAsia="Verdana" w:hAnsi="Verdana" w:cs="Verdana"/>
        </w:rPr>
      </w:pPr>
    </w:p>
    <w:p w14:paraId="07E34162" w14:textId="77777777" w:rsidR="00404998" w:rsidRPr="004B07F9" w:rsidRDefault="00404998" w:rsidP="30821638">
      <w:pPr>
        <w:spacing w:after="0"/>
        <w:rPr>
          <w:rFonts w:ascii="Verdana" w:eastAsia="Verdana" w:hAnsi="Verdana" w:cs="Verdana"/>
        </w:rPr>
      </w:pPr>
    </w:p>
    <w:p w14:paraId="7BEEF322" w14:textId="77777777" w:rsidR="00404998" w:rsidRPr="004B07F9" w:rsidRDefault="00404998" w:rsidP="30821638">
      <w:pPr>
        <w:spacing w:after="0"/>
        <w:rPr>
          <w:rFonts w:ascii="Verdana" w:eastAsia="Verdana" w:hAnsi="Verdana" w:cs="Verdana"/>
        </w:rPr>
      </w:pPr>
    </w:p>
    <w:p w14:paraId="2437888C" w14:textId="77777777" w:rsidR="00404998" w:rsidRPr="004B07F9" w:rsidRDefault="00404998" w:rsidP="30821638">
      <w:pPr>
        <w:spacing w:after="0"/>
        <w:rPr>
          <w:rFonts w:ascii="Verdana" w:eastAsia="Verdana" w:hAnsi="Verdana" w:cs="Verdana"/>
        </w:rPr>
      </w:pPr>
    </w:p>
    <w:p w14:paraId="5E48461C" w14:textId="77777777" w:rsidR="00404998" w:rsidRPr="004B07F9" w:rsidRDefault="00404998" w:rsidP="30821638">
      <w:pPr>
        <w:spacing w:after="0"/>
        <w:rPr>
          <w:rFonts w:ascii="Verdana" w:eastAsia="Verdana" w:hAnsi="Verdana" w:cs="Verdana"/>
        </w:rPr>
      </w:pPr>
    </w:p>
    <w:p w14:paraId="167BEAD2" w14:textId="77777777" w:rsidR="00404998" w:rsidRPr="004B07F9" w:rsidRDefault="00404998" w:rsidP="30821638">
      <w:pPr>
        <w:spacing w:after="0"/>
        <w:rPr>
          <w:rFonts w:ascii="Verdana" w:eastAsia="Verdana" w:hAnsi="Verdana" w:cs="Verdana"/>
        </w:rPr>
      </w:pPr>
    </w:p>
    <w:p w14:paraId="7AFD0F1D" w14:textId="77777777" w:rsidR="00CE534B" w:rsidRPr="004B07F9" w:rsidRDefault="00CE534B" w:rsidP="30821638">
      <w:pPr>
        <w:spacing w:after="0"/>
        <w:rPr>
          <w:rFonts w:ascii="Verdana" w:eastAsia="Verdana" w:hAnsi="Verdana" w:cs="Verdana"/>
        </w:rPr>
      </w:pPr>
    </w:p>
    <w:p w14:paraId="170AFD46" w14:textId="77777777" w:rsidR="00CE534B" w:rsidRPr="004B07F9" w:rsidRDefault="00CE534B" w:rsidP="30821638">
      <w:pPr>
        <w:spacing w:after="0"/>
        <w:rPr>
          <w:rFonts w:ascii="Verdana" w:eastAsia="Verdana" w:hAnsi="Verdana" w:cs="Verdana"/>
        </w:rPr>
      </w:pPr>
    </w:p>
    <w:p w14:paraId="5EE89FA1" w14:textId="77777777" w:rsidR="00CE534B" w:rsidRPr="004B07F9" w:rsidRDefault="00CE534B" w:rsidP="30821638">
      <w:pPr>
        <w:spacing w:after="0"/>
        <w:rPr>
          <w:rFonts w:ascii="Verdana" w:eastAsia="Verdana" w:hAnsi="Verdana" w:cs="Verdana"/>
        </w:rPr>
      </w:pPr>
    </w:p>
    <w:p w14:paraId="48D60E9F" w14:textId="77777777" w:rsidR="00CE534B" w:rsidRPr="004B07F9" w:rsidRDefault="00CE534B" w:rsidP="30821638">
      <w:pPr>
        <w:spacing w:after="0"/>
        <w:rPr>
          <w:rFonts w:ascii="Verdana" w:eastAsia="Verdana" w:hAnsi="Verdana" w:cs="Verdana"/>
        </w:rPr>
      </w:pPr>
    </w:p>
    <w:p w14:paraId="3B782AE3" w14:textId="77777777" w:rsidR="00CE534B" w:rsidRPr="004B07F9" w:rsidRDefault="00CE534B" w:rsidP="30821638">
      <w:pPr>
        <w:spacing w:after="0"/>
        <w:rPr>
          <w:rFonts w:ascii="Verdana" w:eastAsia="Verdana" w:hAnsi="Verdana" w:cs="Verdana"/>
        </w:rPr>
      </w:pPr>
    </w:p>
    <w:p w14:paraId="07EC4A7D" w14:textId="77777777" w:rsidR="003548BD" w:rsidRDefault="00C15139" w:rsidP="30821638">
      <w:pPr>
        <w:spacing w:after="0"/>
        <w:rPr>
          <w:rFonts w:ascii="Verdana" w:eastAsia="Verdana" w:hAnsi="Verdana" w:cs="Verdana"/>
        </w:rPr>
      </w:pPr>
      <w:r w:rsidRPr="004B07F9">
        <w:rPr>
          <w:rFonts w:ascii="Verdana" w:eastAsia="Verdana" w:hAnsi="Verdana" w:cs="Verdana"/>
        </w:rPr>
        <w:lastRenderedPageBreak/>
        <w:t xml:space="preserve">Bogotá D.C., </w:t>
      </w:r>
      <w:r w:rsidR="003548BD">
        <w:rPr>
          <w:rFonts w:ascii="Verdana" w:eastAsia="Verdana" w:hAnsi="Verdana" w:cs="Verdana"/>
        </w:rPr>
        <w:t>27 de marzo del 2026</w:t>
      </w:r>
    </w:p>
    <w:p w14:paraId="1468C46D" w14:textId="37D1D52F" w:rsidR="00C15139" w:rsidRPr="004B07F9" w:rsidRDefault="00C15139" w:rsidP="003548BD">
      <w:pPr>
        <w:spacing w:after="0"/>
        <w:jc w:val="right"/>
        <w:rPr>
          <w:rFonts w:ascii="Verdana" w:eastAsia="Verdana" w:hAnsi="Verdana" w:cs="Verdana"/>
        </w:rPr>
      </w:pPr>
      <w:r w:rsidRPr="004B07F9">
        <w:rPr>
          <w:rFonts w:ascii="Verdana" w:hAnsi="Verdana"/>
        </w:rPr>
        <w:br/>
      </w:r>
      <w:r w:rsidR="003548BD" w:rsidRPr="003548BD">
        <w:rPr>
          <w:rFonts w:ascii="Verdana" w:eastAsia="Verdana" w:hAnsi="Verdana" w:cs="Verdana"/>
        </w:rPr>
        <w:drawing>
          <wp:inline distT="0" distB="0" distL="0" distR="0" wp14:anchorId="4EC88DC6" wp14:editId="773D0A2F">
            <wp:extent cx="2876550" cy="847725"/>
            <wp:effectExtent l="0" t="0" r="0" b="9525"/>
            <wp:docPr id="147850933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509331" name=""/>
                    <pic:cNvPicPr/>
                  </pic:nvPicPr>
                  <pic:blipFill>
                    <a:blip r:embed="rId11"/>
                    <a:stretch>
                      <a:fillRect/>
                    </a:stretch>
                  </pic:blipFill>
                  <pic:spPr>
                    <a:xfrm>
                      <a:off x="0" y="0"/>
                      <a:ext cx="2876954" cy="847844"/>
                    </a:xfrm>
                    <a:prstGeom prst="rect">
                      <a:avLst/>
                    </a:prstGeom>
                  </pic:spPr>
                </pic:pic>
              </a:graphicData>
            </a:graphic>
          </wp:inline>
        </w:drawing>
      </w:r>
    </w:p>
    <w:p w14:paraId="5E74B1A9" w14:textId="77777777" w:rsidR="00B13B4C" w:rsidRPr="004B07F9" w:rsidRDefault="00B13B4C" w:rsidP="00B13B4C">
      <w:pPr>
        <w:spacing w:after="0" w:line="240" w:lineRule="auto"/>
        <w:rPr>
          <w:rFonts w:ascii="Verdana" w:hAnsi="Verdana"/>
        </w:rPr>
      </w:pPr>
      <w:r w:rsidRPr="004B07F9">
        <w:rPr>
          <w:rFonts w:ascii="Verdana" w:eastAsia="Calibri" w:hAnsi="Verdana" w:cs="Arial"/>
          <w:color w:val="000000" w:themeColor="text1"/>
          <w:lang w:val="es-ES" w:eastAsia="es-ES"/>
        </w:rPr>
        <w:t>Señor:</w:t>
      </w:r>
    </w:p>
    <w:p w14:paraId="3DD09522" w14:textId="77777777" w:rsidR="00B13B4C" w:rsidRPr="004B07F9" w:rsidRDefault="00B13B4C" w:rsidP="00B13B4C">
      <w:pPr>
        <w:spacing w:after="0" w:line="240" w:lineRule="auto"/>
        <w:jc w:val="both"/>
        <w:rPr>
          <w:rFonts w:ascii="Verdana" w:eastAsia="Calibri" w:hAnsi="Verdana" w:cs="Arial"/>
          <w:b/>
          <w:bCs/>
          <w:color w:val="000000" w:themeColor="text1"/>
          <w:lang w:eastAsia="es-ES"/>
        </w:rPr>
      </w:pPr>
      <w:r w:rsidRPr="004B07F9">
        <w:rPr>
          <w:rFonts w:ascii="Verdana" w:eastAsia="Calibri" w:hAnsi="Verdana" w:cs="Arial"/>
          <w:b/>
          <w:bCs/>
          <w:color w:val="000000" w:themeColor="text1"/>
          <w:lang w:eastAsia="es-ES"/>
        </w:rPr>
        <w:t>Anónimo</w:t>
      </w:r>
    </w:p>
    <w:p w14:paraId="05F6130B" w14:textId="77777777" w:rsidR="00B13B4C" w:rsidRPr="004B07F9" w:rsidRDefault="00B13B4C" w:rsidP="00B13B4C">
      <w:pPr>
        <w:spacing w:after="0" w:line="240" w:lineRule="auto"/>
        <w:rPr>
          <w:rFonts w:ascii="Verdana" w:hAnsi="Verdana"/>
        </w:rPr>
      </w:pPr>
      <w:hyperlink r:id="rId12" w:history="1">
        <w:r w:rsidRPr="004B07F9">
          <w:rPr>
            <w:rStyle w:val="Hipervnculo"/>
            <w:rFonts w:ascii="Verdana" w:hAnsi="Verdana"/>
          </w:rPr>
          <w:t>valentiina2345678@gmail.com</w:t>
        </w:r>
      </w:hyperlink>
    </w:p>
    <w:p w14:paraId="4C4550BB" w14:textId="77777777" w:rsidR="00B13B4C" w:rsidRPr="004B07F9" w:rsidRDefault="00B13B4C" w:rsidP="00B13B4C">
      <w:pPr>
        <w:spacing w:after="0" w:line="240" w:lineRule="auto"/>
        <w:rPr>
          <w:rFonts w:ascii="Verdana" w:eastAsia="Calibri" w:hAnsi="Verdana" w:cs="Arial"/>
          <w:b/>
          <w:bCs/>
          <w:color w:val="000000" w:themeColor="text1"/>
          <w:lang w:val="es-ES_tradnl" w:eastAsia="es-ES"/>
        </w:rPr>
      </w:pPr>
      <w:r w:rsidRPr="004B07F9">
        <w:rPr>
          <w:rFonts w:ascii="Verdana" w:eastAsia="Calibri" w:hAnsi="Verdana" w:cs="Arial"/>
          <w:color w:val="000000" w:themeColor="text1"/>
          <w:lang w:val="es-ES_tradnl" w:eastAsia="es-ES"/>
        </w:rPr>
        <w:t>Ciudad</w:t>
      </w:r>
    </w:p>
    <w:p w14:paraId="1A36F791" w14:textId="77777777" w:rsidR="00B13B4C" w:rsidRPr="004B07F9" w:rsidRDefault="00B13B4C" w:rsidP="00B13B4C">
      <w:pPr>
        <w:spacing w:after="0" w:line="240" w:lineRule="auto"/>
        <w:rPr>
          <w:rFonts w:ascii="Verdana" w:eastAsia="Calibri" w:hAnsi="Verdana" w:cs="Arial"/>
          <w:b/>
          <w:bCs/>
          <w:color w:val="000000" w:themeColor="text1"/>
          <w:highlight w:val="cyan"/>
          <w:lang w:val="es-ES_tradnl" w:eastAsia="es-ES_tradnl"/>
        </w:rPr>
      </w:pPr>
    </w:p>
    <w:p w14:paraId="49C44327" w14:textId="77777777" w:rsidR="00B13B4C" w:rsidRPr="004B07F9" w:rsidRDefault="00B13B4C" w:rsidP="00B13B4C">
      <w:pPr>
        <w:spacing w:after="0" w:line="240" w:lineRule="auto"/>
        <w:rPr>
          <w:rFonts w:ascii="Verdana" w:eastAsia="Calibri" w:hAnsi="Verdana" w:cs="Arial"/>
          <w:b/>
          <w:bCs/>
          <w:color w:val="000000" w:themeColor="text1"/>
          <w:highlight w:val="cyan"/>
          <w:lang w:val="es-ES_tradnl" w:eastAsia="es-ES_tradnl"/>
        </w:rPr>
      </w:pPr>
    </w:p>
    <w:p w14:paraId="095101F8" w14:textId="77777777" w:rsidR="00B13B4C" w:rsidRPr="004B07F9" w:rsidRDefault="00B13B4C" w:rsidP="00B13B4C">
      <w:pPr>
        <w:spacing w:after="0" w:line="240" w:lineRule="auto"/>
        <w:rPr>
          <w:rFonts w:ascii="Verdana" w:eastAsia="Calibri" w:hAnsi="Verdana" w:cs="Arial"/>
          <w:b/>
          <w:bCs/>
          <w:color w:val="000000" w:themeColor="text1"/>
          <w:lang w:val="es-ES_tradnl" w:eastAsia="es-ES_tradnl"/>
        </w:rPr>
      </w:pPr>
      <w:r w:rsidRPr="004B07F9">
        <w:rPr>
          <w:rFonts w:ascii="Verdana" w:eastAsia="Calibri" w:hAnsi="Verdana" w:cs="Arial"/>
          <w:b/>
          <w:bCs/>
          <w:color w:val="000000" w:themeColor="text1"/>
          <w:lang w:val="es-ES_tradnl" w:eastAsia="es-ES_tradnl"/>
        </w:rPr>
        <w:t xml:space="preserve">                                   Concepto C-245 del 2026</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13B4C" w:rsidRPr="004B07F9" w14:paraId="226C8595" w14:textId="77777777" w:rsidTr="00FB770A">
        <w:trPr>
          <w:gridAfter w:val="1"/>
          <w:wAfter w:w="6100" w:type="dxa"/>
          <w:trHeight w:val="133"/>
        </w:trPr>
        <w:tc>
          <w:tcPr>
            <w:tcW w:w="2689" w:type="dxa"/>
          </w:tcPr>
          <w:p w14:paraId="03C52F8F" w14:textId="77777777" w:rsidR="00B13B4C" w:rsidRPr="004B07F9" w:rsidRDefault="00B13B4C" w:rsidP="00FB770A">
            <w:pPr>
              <w:jc w:val="both"/>
              <w:rPr>
                <w:rFonts w:ascii="Verdana" w:eastAsia="Calibri" w:hAnsi="Verdana" w:cs="Arial"/>
                <w:b/>
                <w:bCs/>
                <w:color w:val="000000" w:themeColor="text1"/>
                <w:highlight w:val="cyan"/>
                <w:lang w:val="es-ES_tradnl" w:eastAsia="es-ES_tradnl"/>
              </w:rPr>
            </w:pPr>
          </w:p>
          <w:p w14:paraId="3EBE37B9" w14:textId="77777777" w:rsidR="00B13B4C" w:rsidRPr="004B07F9" w:rsidRDefault="00B13B4C" w:rsidP="00FB770A">
            <w:pPr>
              <w:jc w:val="both"/>
              <w:rPr>
                <w:rFonts w:ascii="Verdana" w:eastAsia="Calibri" w:hAnsi="Verdana" w:cs="Arial"/>
                <w:b/>
                <w:bCs/>
                <w:color w:val="000000" w:themeColor="text1"/>
                <w:highlight w:val="cyan"/>
                <w:lang w:val="es-ES_tradnl" w:eastAsia="es-ES_tradnl"/>
              </w:rPr>
            </w:pPr>
          </w:p>
        </w:tc>
      </w:tr>
      <w:tr w:rsidR="00B13B4C" w:rsidRPr="004B07F9" w14:paraId="629C09CC" w14:textId="77777777" w:rsidTr="00FB770A">
        <w:trPr>
          <w:trHeight w:val="884"/>
        </w:trPr>
        <w:tc>
          <w:tcPr>
            <w:tcW w:w="2689" w:type="dxa"/>
          </w:tcPr>
          <w:p w14:paraId="384D62A5" w14:textId="77777777" w:rsidR="00B13B4C" w:rsidRPr="004B07F9" w:rsidRDefault="00B13B4C" w:rsidP="00FB770A">
            <w:pPr>
              <w:jc w:val="both"/>
              <w:rPr>
                <w:rFonts w:ascii="Verdana" w:eastAsia="Calibri" w:hAnsi="Verdana" w:cs="Arial"/>
                <w:color w:val="000000" w:themeColor="text1"/>
                <w:lang w:val="es-ES_tradnl" w:eastAsia="es-ES_tradnl"/>
              </w:rPr>
            </w:pPr>
            <w:r w:rsidRPr="004B07F9">
              <w:rPr>
                <w:rFonts w:ascii="Verdana" w:eastAsia="Calibri" w:hAnsi="Verdana" w:cs="Arial"/>
                <w:b/>
                <w:color w:val="000000" w:themeColor="text1"/>
                <w:lang w:val="es-ES_tradnl" w:eastAsia="es-ES_tradnl"/>
              </w:rPr>
              <w:t>Temas:</w:t>
            </w:r>
            <w:r w:rsidRPr="004B07F9">
              <w:rPr>
                <w:rFonts w:ascii="Verdana" w:eastAsia="Calibri" w:hAnsi="Verdana" w:cs="Arial"/>
                <w:color w:val="000000" w:themeColor="text1"/>
                <w:lang w:val="es-ES_tradnl" w:eastAsia="es-ES_tradnl"/>
              </w:rPr>
              <w:t xml:space="preserve">                   </w:t>
            </w:r>
          </w:p>
        </w:tc>
        <w:tc>
          <w:tcPr>
            <w:tcW w:w="6100" w:type="dxa"/>
          </w:tcPr>
          <w:p w14:paraId="6BA90BC5" w14:textId="77777777" w:rsidR="000F1C4C" w:rsidRPr="004B07F9" w:rsidRDefault="000F1C4C" w:rsidP="00FB770A">
            <w:pPr>
              <w:jc w:val="both"/>
              <w:rPr>
                <w:rFonts w:ascii="Verdana" w:hAnsi="Verdana" w:cs="Arial"/>
                <w:bCs/>
                <w:color w:val="000000" w:themeColor="text1"/>
                <w:lang w:val="es-ES_tradnl"/>
              </w:rPr>
            </w:pPr>
            <w:r w:rsidRPr="004B07F9">
              <w:rPr>
                <w:rFonts w:ascii="Verdana" w:hAnsi="Verdana" w:cs="Arial"/>
                <w:bCs/>
                <w:color w:val="000000" w:themeColor="text1"/>
                <w:lang w:val="es-ES_tradnl"/>
              </w:rPr>
              <w:t>PRINCIPIO DE SELECCIÓN OBJETIVA – Fundamento – Alcance – Reglas aplicables</w:t>
            </w:r>
            <w:r w:rsidRPr="004B07F9" w:rsidDel="0010099D">
              <w:rPr>
                <w:rFonts w:ascii="Verdana" w:hAnsi="Verdana" w:cs="Arial"/>
                <w:bCs/>
                <w:color w:val="000000" w:themeColor="text1"/>
                <w:lang w:val="es-ES_tradnl"/>
              </w:rPr>
              <w:t xml:space="preserve"> </w:t>
            </w:r>
            <w:r w:rsidRPr="004B07F9">
              <w:rPr>
                <w:rFonts w:ascii="Verdana" w:hAnsi="Verdana" w:cs="Arial"/>
                <w:bCs/>
                <w:color w:val="000000" w:themeColor="text1"/>
                <w:lang w:val="es-ES_tradnl"/>
              </w:rPr>
              <w:t xml:space="preserve">/ </w:t>
            </w:r>
            <w:r w:rsidR="008B3C52" w:rsidRPr="004B07F9">
              <w:rPr>
                <w:rFonts w:ascii="Verdana" w:hAnsi="Verdana" w:cs="Arial"/>
                <w:bCs/>
                <w:color w:val="000000" w:themeColor="text1"/>
                <w:lang w:val="es-ES_tradnl"/>
              </w:rPr>
              <w:t>SELECCIÓN OBJETIVA – Requisitos de ponderación – Asignación de puntaje – Comparación de ofertas</w:t>
            </w:r>
          </w:p>
          <w:p w14:paraId="0079FAED" w14:textId="6E86EFC4" w:rsidR="008B3C52" w:rsidRPr="004B07F9" w:rsidRDefault="008B3C52" w:rsidP="00FB770A">
            <w:pPr>
              <w:jc w:val="both"/>
              <w:rPr>
                <w:rFonts w:ascii="Verdana" w:hAnsi="Verdana" w:cs="Arial"/>
                <w:bCs/>
                <w:color w:val="000000" w:themeColor="text1"/>
                <w:lang w:val="es-ES"/>
              </w:rPr>
            </w:pPr>
          </w:p>
        </w:tc>
      </w:tr>
      <w:tr w:rsidR="00B13B4C" w:rsidRPr="004B07F9" w14:paraId="65917DE9" w14:textId="77777777" w:rsidTr="00FB770A">
        <w:tc>
          <w:tcPr>
            <w:tcW w:w="2689" w:type="dxa"/>
          </w:tcPr>
          <w:p w14:paraId="1730BDB1" w14:textId="77777777" w:rsidR="00B13B4C" w:rsidRPr="004B07F9" w:rsidRDefault="00B13B4C" w:rsidP="00FB770A">
            <w:pPr>
              <w:jc w:val="both"/>
              <w:rPr>
                <w:rFonts w:ascii="Verdana" w:eastAsia="Calibri" w:hAnsi="Verdana" w:cs="Arial"/>
                <w:b/>
                <w:color w:val="000000" w:themeColor="text1"/>
                <w:lang w:val="es-ES_tradnl" w:eastAsia="es-ES_tradnl"/>
              </w:rPr>
            </w:pPr>
            <w:r w:rsidRPr="004B07F9">
              <w:rPr>
                <w:rFonts w:ascii="Verdana" w:eastAsia="Calibri" w:hAnsi="Verdana" w:cs="Arial"/>
                <w:b/>
                <w:color w:val="000000" w:themeColor="text1"/>
                <w:lang w:val="es-ES_tradnl" w:eastAsia="es-ES_tradnl"/>
              </w:rPr>
              <w:t>Radicación:</w:t>
            </w:r>
            <w:r w:rsidRPr="004B07F9">
              <w:rPr>
                <w:rFonts w:ascii="Verdana" w:eastAsia="Calibri" w:hAnsi="Verdana" w:cs="Arial"/>
                <w:color w:val="000000" w:themeColor="text1"/>
                <w:lang w:val="es-ES_tradnl" w:eastAsia="es-ES_tradnl"/>
              </w:rPr>
              <w:t xml:space="preserve">               </w:t>
            </w:r>
          </w:p>
        </w:tc>
        <w:tc>
          <w:tcPr>
            <w:tcW w:w="6100" w:type="dxa"/>
          </w:tcPr>
          <w:p w14:paraId="43E9E16E" w14:textId="77777777" w:rsidR="00B13B4C" w:rsidRPr="004B07F9" w:rsidRDefault="00B13B4C" w:rsidP="00FB770A">
            <w:pPr>
              <w:jc w:val="both"/>
              <w:rPr>
                <w:rFonts w:ascii="Verdana" w:eastAsia="Calibri" w:hAnsi="Verdana" w:cs="Arial"/>
                <w:color w:val="000000" w:themeColor="text1"/>
                <w:lang w:eastAsia="es-ES_tradnl"/>
              </w:rPr>
            </w:pPr>
            <w:r w:rsidRPr="004B07F9">
              <w:rPr>
                <w:rFonts w:ascii="Verdana" w:eastAsia="Calibri" w:hAnsi="Verdana" w:cs="Arial"/>
                <w:color w:val="000000" w:themeColor="text1"/>
                <w:lang w:val="es-ES_tradnl" w:eastAsia="es-ES_tradnl"/>
              </w:rPr>
              <w:t>Respuesta a consulta con radicado No.</w:t>
            </w:r>
            <w:r w:rsidRPr="004B07F9">
              <w:rPr>
                <w:rFonts w:ascii="Verdana" w:hAnsi="Verdana"/>
              </w:rPr>
              <w:t xml:space="preserve"> </w:t>
            </w:r>
            <w:r w:rsidRPr="004B07F9">
              <w:rPr>
                <w:rFonts w:ascii="Verdana" w:eastAsia="Calibri" w:hAnsi="Verdana" w:cs="Arial"/>
                <w:color w:val="000000" w:themeColor="text1"/>
                <w:lang w:eastAsia="es-ES_tradnl"/>
              </w:rPr>
              <w:t>1_2026_02_17_002096</w:t>
            </w:r>
          </w:p>
          <w:p w14:paraId="7E7A004A" w14:textId="77777777" w:rsidR="00B13B4C" w:rsidRPr="004B07F9" w:rsidRDefault="00B13B4C" w:rsidP="00FB770A">
            <w:pPr>
              <w:jc w:val="both"/>
              <w:rPr>
                <w:rFonts w:ascii="Verdana" w:hAnsi="Verdana" w:cs="Arial"/>
              </w:rPr>
            </w:pPr>
          </w:p>
          <w:p w14:paraId="296A1417" w14:textId="77777777" w:rsidR="00B13B4C" w:rsidRPr="004B07F9" w:rsidRDefault="00B13B4C" w:rsidP="00FB770A">
            <w:pPr>
              <w:jc w:val="both"/>
              <w:rPr>
                <w:rFonts w:ascii="Verdana" w:hAnsi="Verdana"/>
                <w:color w:val="000000"/>
              </w:rPr>
            </w:pPr>
          </w:p>
        </w:tc>
      </w:tr>
    </w:tbl>
    <w:p w14:paraId="19983F65" w14:textId="77777777" w:rsidR="00B13B4C" w:rsidRPr="004B07F9" w:rsidRDefault="00B13B4C" w:rsidP="00B13B4C">
      <w:pPr>
        <w:spacing w:after="0" w:line="276" w:lineRule="auto"/>
        <w:jc w:val="both"/>
        <w:rPr>
          <w:rFonts w:ascii="Verdana" w:eastAsia="Calibri" w:hAnsi="Verdana" w:cs="Arial"/>
          <w:color w:val="000000" w:themeColor="text1"/>
          <w:lang w:val="es-ES" w:eastAsia="es-ES"/>
        </w:rPr>
      </w:pPr>
      <w:r w:rsidRPr="004B07F9">
        <w:rPr>
          <w:rFonts w:ascii="Verdana" w:eastAsia="Calibri" w:hAnsi="Verdana" w:cs="Arial"/>
          <w:color w:val="000000" w:themeColor="text1"/>
          <w:lang w:val="es-ES" w:eastAsia="es-ES"/>
        </w:rPr>
        <w:t xml:space="preserve">Estimado Anónimo: </w:t>
      </w:r>
    </w:p>
    <w:p w14:paraId="00C4C0D0" w14:textId="77777777" w:rsidR="00B13B4C" w:rsidRPr="004B07F9" w:rsidRDefault="00B13B4C" w:rsidP="00B13B4C">
      <w:pPr>
        <w:spacing w:after="0" w:line="276" w:lineRule="auto"/>
        <w:rPr>
          <w:rFonts w:ascii="Verdana" w:eastAsia="Times New Roman" w:hAnsi="Verdana" w:cs="Segoe UI"/>
          <w:highlight w:val="cyan"/>
          <w:lang w:eastAsia="es-CO"/>
        </w:rPr>
      </w:pPr>
    </w:p>
    <w:p w14:paraId="1725AB1B" w14:textId="42DF2A51" w:rsidR="00B13B4C" w:rsidRPr="004B07F9" w:rsidRDefault="00B13B4C" w:rsidP="00B13B4C">
      <w:pPr>
        <w:spacing w:after="0" w:line="276" w:lineRule="auto"/>
        <w:jc w:val="both"/>
        <w:rPr>
          <w:rFonts w:ascii="Verdana" w:eastAsia="Calibri" w:hAnsi="Verdana" w:cs="Arial"/>
          <w:lang w:val="es-ES" w:eastAsia="es-ES"/>
        </w:rPr>
      </w:pPr>
      <w:r w:rsidRPr="004B07F9">
        <w:rPr>
          <w:rFonts w:ascii="Verdana" w:eastAsia="Calibri" w:hAnsi="Verdana" w:cs="Arial"/>
          <w:lang w:val="es-ES" w:eastAsia="es-ES"/>
        </w:rPr>
        <w:t>En ejercicio de la competencia otorgada por los artículos 3, numeral 5º, y 11, numeral 8º, del Decreto Ley 4170 de 2011,</w:t>
      </w:r>
      <w:r w:rsidRPr="004B07F9">
        <w:rPr>
          <w:rFonts w:ascii="Verdana" w:eastAsia="Arial MT" w:hAnsi="Verdana" w:cs="Arial"/>
          <w:lang w:val="es-ES" w:eastAsia="es-ES"/>
        </w:rPr>
        <w:t xml:space="preserve"> </w:t>
      </w:r>
      <w:r w:rsidRPr="004B07F9">
        <w:rPr>
          <w:rFonts w:ascii="Verdana" w:hAnsi="Verdana" w:cs="Arial"/>
        </w:rPr>
        <w:t xml:space="preserve">así como lo establecido en el artículo 4 de la Resolución 1707 de 2018 expedida por esta Entidad, </w:t>
      </w:r>
      <w:r w:rsidRPr="004B07F9">
        <w:rPr>
          <w:rFonts w:ascii="Verdana" w:eastAsia="Calibri" w:hAnsi="Verdana" w:cs="Arial"/>
          <w:lang w:val="es-ES" w:eastAsia="es-ES"/>
        </w:rPr>
        <w:t xml:space="preserve">la Agencia Nacional de Contratación Pública – Colombia Compra Eficiente– responde su solicitud del </w:t>
      </w:r>
      <w:r w:rsidR="00AE2E2D" w:rsidRPr="004B07F9">
        <w:rPr>
          <w:rFonts w:ascii="Verdana" w:eastAsia="Calibri" w:hAnsi="Verdana" w:cs="Arial"/>
          <w:lang w:val="es-ES" w:eastAsia="es-ES"/>
        </w:rPr>
        <w:t>17 de febrero del 2026</w:t>
      </w:r>
      <w:r w:rsidRPr="004B07F9">
        <w:rPr>
          <w:rFonts w:ascii="Verdana" w:eastAsia="Calibri" w:hAnsi="Verdana" w:cs="Arial"/>
          <w:lang w:val="es-ES" w:eastAsia="es-ES"/>
        </w:rPr>
        <w:t xml:space="preserve">, en la cual manifiesta lo siguiente: </w:t>
      </w:r>
    </w:p>
    <w:p w14:paraId="1B21DF7D" w14:textId="77777777" w:rsidR="00B13B4C" w:rsidRPr="004B07F9" w:rsidRDefault="00B13B4C" w:rsidP="00B13B4C">
      <w:pPr>
        <w:spacing w:after="0" w:line="276" w:lineRule="auto"/>
        <w:jc w:val="both"/>
        <w:rPr>
          <w:rFonts w:ascii="Verdana" w:eastAsia="Calibri" w:hAnsi="Verdana" w:cs="Arial"/>
          <w:highlight w:val="cyan"/>
          <w:lang w:val="es-ES" w:eastAsia="es-ES"/>
        </w:rPr>
      </w:pPr>
    </w:p>
    <w:p w14:paraId="64AD39ED" w14:textId="476AE3BE" w:rsidR="00B13B4C" w:rsidRPr="004B07F9" w:rsidRDefault="00B13B4C" w:rsidP="00AE2E2D">
      <w:pPr>
        <w:spacing w:after="0" w:line="240" w:lineRule="auto"/>
        <w:ind w:left="709" w:right="709"/>
        <w:jc w:val="both"/>
        <w:rPr>
          <w:rFonts w:ascii="Verdana" w:eastAsia="Century Gothic" w:hAnsi="Verdana" w:cs="Arial"/>
          <w:sz w:val="20"/>
          <w:szCs w:val="20"/>
        </w:rPr>
      </w:pPr>
      <w:r w:rsidRPr="004B07F9">
        <w:rPr>
          <w:rFonts w:ascii="Verdana" w:eastAsia="Century Gothic" w:hAnsi="Verdana" w:cs="Arial"/>
          <w:sz w:val="20"/>
          <w:szCs w:val="20"/>
          <w:lang w:val="es-ES"/>
        </w:rPr>
        <w:t xml:space="preserve">“[…] </w:t>
      </w:r>
      <w:r w:rsidR="00AE2E2D" w:rsidRPr="004B07F9">
        <w:rPr>
          <w:rFonts w:ascii="Verdana" w:eastAsia="Century Gothic" w:hAnsi="Verdana" w:cs="Arial"/>
          <w:sz w:val="20"/>
          <w:szCs w:val="20"/>
        </w:rPr>
        <w:t xml:space="preserve">Si el método de evaluación definido en el pliego de condiciones consiste en la aplicación de una fórmula matemática que depende exclusivamente de los valores efectivamente ofertados por los proponentes, ¿la inclusión de valores no ofertados podría afectar el principio de selección objetiva previsto en el artículo 5 de la Ley 1150 de 2007. </w:t>
      </w:r>
      <w:r w:rsidR="00AE2E2D" w:rsidRPr="004B07F9">
        <w:rPr>
          <w:rFonts w:ascii="Verdana" w:eastAsia="Century Gothic" w:hAnsi="Verdana" w:cs="Arial"/>
          <w:sz w:val="20"/>
          <w:szCs w:val="20"/>
          <w:lang w:val="es-ES"/>
        </w:rPr>
        <w:t>[…]”</w:t>
      </w:r>
    </w:p>
    <w:p w14:paraId="64941927" w14:textId="77777777" w:rsidR="00B13B4C" w:rsidRPr="004B07F9" w:rsidRDefault="00B13B4C" w:rsidP="00B13B4C">
      <w:pPr>
        <w:spacing w:after="0"/>
        <w:jc w:val="both"/>
        <w:rPr>
          <w:rFonts w:ascii="Verdana" w:hAnsi="Verdana" w:cs="Arial"/>
          <w:highlight w:val="cyan"/>
          <w:lang w:val="es-ES"/>
        </w:rPr>
      </w:pPr>
    </w:p>
    <w:p w14:paraId="2095E821" w14:textId="77777777" w:rsidR="00B13B4C" w:rsidRPr="004B07F9" w:rsidRDefault="00B13B4C" w:rsidP="00B13B4C">
      <w:pPr>
        <w:spacing w:after="120" w:line="276" w:lineRule="auto"/>
        <w:ind w:firstLine="709"/>
        <w:jc w:val="both"/>
        <w:rPr>
          <w:rFonts w:ascii="Verdana" w:eastAsia="Calibri" w:hAnsi="Verdana" w:cs="Arial"/>
          <w:color w:val="000000"/>
          <w:lang w:val="es-ES_tradnl" w:eastAsia="es-ES_tradnl"/>
        </w:rPr>
      </w:pPr>
      <w:r w:rsidRPr="004B07F9">
        <w:rPr>
          <w:rFonts w:ascii="Verdana" w:eastAsia="Calibri" w:hAnsi="Verdana" w:cs="Arial"/>
          <w:color w:val="000000"/>
          <w:lang w:val="es-ES" w:eastAsia="es-ES"/>
        </w:rPr>
        <w:lastRenderedPageBreak/>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31F6F03D" w14:textId="77777777" w:rsidR="00B13B4C" w:rsidRPr="004B07F9" w:rsidRDefault="00B13B4C" w:rsidP="00B13B4C">
      <w:pPr>
        <w:spacing w:after="0" w:line="276" w:lineRule="auto"/>
        <w:ind w:firstLine="709"/>
        <w:jc w:val="both"/>
        <w:rPr>
          <w:rFonts w:ascii="Verdana" w:eastAsia="Calibri" w:hAnsi="Verdana" w:cs="Arial"/>
          <w:color w:val="000000"/>
          <w:lang w:val="es-ES" w:eastAsia="es-ES"/>
        </w:rPr>
      </w:pPr>
      <w:r w:rsidRPr="004B07F9">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el(os) problema(s) jurídico(s) de su consulta.  </w:t>
      </w:r>
    </w:p>
    <w:p w14:paraId="696B1B1D" w14:textId="77777777" w:rsidR="00B13B4C" w:rsidRPr="004B07F9" w:rsidRDefault="00B13B4C" w:rsidP="00B13B4C">
      <w:pPr>
        <w:spacing w:after="0" w:line="276" w:lineRule="auto"/>
        <w:jc w:val="both"/>
        <w:rPr>
          <w:rStyle w:val="Hipervnculo"/>
          <w:rFonts w:ascii="Verdana" w:hAnsi="Verdana"/>
          <w:highlight w:val="cyan"/>
          <w:lang w:val="es-ES"/>
        </w:rPr>
      </w:pPr>
    </w:p>
    <w:p w14:paraId="4CFC2843" w14:textId="77777777" w:rsidR="00B13B4C" w:rsidRPr="004B07F9" w:rsidRDefault="00B13B4C" w:rsidP="00B13B4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Arial"/>
          <w:b/>
          <w:bCs/>
        </w:rPr>
      </w:pPr>
      <w:r w:rsidRPr="004B07F9">
        <w:rPr>
          <w:rFonts w:ascii="Verdana" w:eastAsia="Century Gothic" w:hAnsi="Verdana" w:cs="Arial"/>
          <w:b/>
          <w:bCs/>
        </w:rPr>
        <w:t>Problema planteado:</w:t>
      </w:r>
    </w:p>
    <w:p w14:paraId="00A16E6E" w14:textId="77777777" w:rsidR="00B13B4C" w:rsidRPr="004B07F9" w:rsidRDefault="00B13B4C" w:rsidP="00B13B4C">
      <w:pPr>
        <w:spacing w:after="0" w:line="276" w:lineRule="auto"/>
        <w:jc w:val="both"/>
        <w:rPr>
          <w:rStyle w:val="Hipervnculo"/>
          <w:rFonts w:ascii="Verdana" w:hAnsi="Verdana" w:cs="Arial"/>
          <w:highlight w:val="cyan"/>
        </w:rPr>
      </w:pPr>
    </w:p>
    <w:p w14:paraId="66F91400" w14:textId="0E1611B6" w:rsidR="00417AFD" w:rsidRPr="004B07F9" w:rsidRDefault="00B13B4C" w:rsidP="00417AFD">
      <w:pPr>
        <w:spacing w:after="0" w:line="276" w:lineRule="auto"/>
        <w:jc w:val="both"/>
        <w:rPr>
          <w:rFonts w:ascii="Verdana" w:eastAsia="Century Gothic" w:hAnsi="Verdana" w:cs="Arial"/>
        </w:rPr>
      </w:pPr>
      <w:r w:rsidRPr="004B07F9">
        <w:rPr>
          <w:rFonts w:ascii="Verdana" w:eastAsia="Century Gothic" w:hAnsi="Verdana" w:cs="Arial"/>
        </w:rPr>
        <w:t xml:space="preserve">De acuerdo con el contenido de su solicitud, esta Agencia resolverá los siguientes problemas jurídicos: </w:t>
      </w:r>
      <w:r w:rsidR="00417AFD" w:rsidRPr="004B07F9">
        <w:rPr>
          <w:rFonts w:ascii="Verdana" w:eastAsia="Century Gothic" w:hAnsi="Verdana" w:cs="Arial"/>
        </w:rPr>
        <w:t>¿</w:t>
      </w:r>
      <w:r w:rsidR="0071033D" w:rsidRPr="004B07F9">
        <w:rPr>
          <w:rFonts w:ascii="Verdana" w:eastAsia="Century Gothic" w:hAnsi="Verdana" w:cs="Arial"/>
        </w:rPr>
        <w:t>L</w:t>
      </w:r>
      <w:r w:rsidR="00417AFD" w:rsidRPr="004B07F9">
        <w:rPr>
          <w:rFonts w:ascii="Verdana" w:eastAsia="Century Gothic" w:hAnsi="Verdana" w:cs="Arial"/>
        </w:rPr>
        <w:t>a incorporación de valores distintos a los ofertados —es decir, ajenos a las propuestas presentadas— podría vulnerar el principio de selección objetiva consagrado en el artículo 5 de la Ley 1150 de 2007?</w:t>
      </w:r>
    </w:p>
    <w:p w14:paraId="0A02DBB7" w14:textId="77777777" w:rsidR="00B13B4C" w:rsidRPr="004B07F9" w:rsidRDefault="00B13B4C" w:rsidP="00B13B4C">
      <w:pPr>
        <w:spacing w:after="0" w:line="276" w:lineRule="auto"/>
        <w:jc w:val="both"/>
        <w:rPr>
          <w:rStyle w:val="Hipervnculo"/>
          <w:rFonts w:ascii="Verdana" w:hAnsi="Verdana" w:cs="Arial"/>
          <w:highlight w:val="cyan"/>
          <w:lang w:val="es-ES"/>
        </w:rPr>
      </w:pPr>
    </w:p>
    <w:p w14:paraId="2AB3BA0C" w14:textId="77777777" w:rsidR="00B13B4C" w:rsidRPr="004B07F9" w:rsidRDefault="00B13B4C" w:rsidP="00B13B4C">
      <w:pPr>
        <w:pStyle w:val="Prrafodelista"/>
        <w:widowControl w:val="0"/>
        <w:numPr>
          <w:ilvl w:val="0"/>
          <w:numId w:val="16"/>
        </w:numPr>
        <w:autoSpaceDE w:val="0"/>
        <w:autoSpaceDN w:val="0"/>
        <w:spacing w:after="0" w:line="276" w:lineRule="auto"/>
        <w:ind w:left="360"/>
        <w:contextualSpacing w:val="0"/>
        <w:jc w:val="both"/>
        <w:outlineLvl w:val="0"/>
        <w:rPr>
          <w:rFonts w:ascii="Verdana" w:eastAsia="Arial" w:hAnsi="Verdana" w:cs="Arial"/>
          <w:b/>
          <w:bCs/>
        </w:rPr>
      </w:pPr>
      <w:r w:rsidRPr="004B07F9">
        <w:rPr>
          <w:rFonts w:ascii="Verdana" w:eastAsia="Arial" w:hAnsi="Verdana" w:cs="Arial"/>
          <w:b/>
          <w:bCs/>
        </w:rPr>
        <w:t>Respuesta:</w:t>
      </w:r>
    </w:p>
    <w:p w14:paraId="4BF52B89" w14:textId="77777777" w:rsidR="00B13B4C" w:rsidRPr="004B07F9" w:rsidRDefault="00B13B4C" w:rsidP="00B13B4C">
      <w:pPr>
        <w:spacing w:after="0" w:line="276" w:lineRule="auto"/>
        <w:rPr>
          <w:rFonts w:ascii="Verdana" w:eastAsia="Aptos" w:hAnsi="Verdana" w:cs="Arial"/>
          <w:highlight w:val="cy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13B4C" w:rsidRPr="004B07F9" w14:paraId="6A40DADD" w14:textId="77777777" w:rsidTr="00FB770A">
        <w:tc>
          <w:tcPr>
            <w:tcW w:w="8828" w:type="dxa"/>
          </w:tcPr>
          <w:p w14:paraId="1794040F" w14:textId="00EF37E6" w:rsidR="00B13B4C" w:rsidRPr="004B07F9" w:rsidRDefault="00B13B4C" w:rsidP="00FB770A">
            <w:pPr>
              <w:spacing w:after="120" w:line="276" w:lineRule="auto"/>
              <w:jc w:val="both"/>
              <w:rPr>
                <w:rFonts w:ascii="Verdana" w:hAnsi="Verdana" w:cs="Arial"/>
                <w:color w:val="000000" w:themeColor="text1"/>
              </w:rPr>
            </w:pPr>
            <w:bookmarkStart w:id="1" w:name="_Hlk171067516"/>
            <w:r w:rsidRPr="004B07F9">
              <w:rPr>
                <w:rFonts w:ascii="Verdana" w:hAnsi="Verdana" w:cs="Arial"/>
                <w:color w:val="000000" w:themeColor="text1"/>
              </w:rPr>
              <w:t>En respuesta a</w:t>
            </w:r>
            <w:r w:rsidR="00B17C84" w:rsidRPr="004B07F9">
              <w:rPr>
                <w:rFonts w:ascii="Verdana" w:hAnsi="Verdana" w:cs="Arial"/>
                <w:color w:val="000000" w:themeColor="text1"/>
              </w:rPr>
              <w:t>l</w:t>
            </w:r>
            <w:r w:rsidRPr="004B07F9">
              <w:rPr>
                <w:rFonts w:ascii="Verdana" w:hAnsi="Verdana" w:cs="Arial"/>
                <w:color w:val="000000" w:themeColor="text1"/>
              </w:rPr>
              <w:t xml:space="preserve"> problema ante planteado, esta Subdirección manifiesta lo siguiente:</w:t>
            </w:r>
          </w:p>
          <w:p w14:paraId="246C6C66" w14:textId="77B4EA69" w:rsidR="00B13B4C" w:rsidRPr="004B07F9" w:rsidRDefault="00B13B4C" w:rsidP="00FB770A">
            <w:pPr>
              <w:spacing w:before="120" w:after="120" w:line="276" w:lineRule="auto"/>
              <w:ind w:firstLine="709"/>
              <w:jc w:val="both"/>
              <w:rPr>
                <w:rFonts w:ascii="Verdana" w:hAnsi="Verdana" w:cs="Arial"/>
                <w:lang w:val="es-ES"/>
              </w:rPr>
            </w:pPr>
            <w:r w:rsidRPr="004B07F9">
              <w:rPr>
                <w:rFonts w:ascii="Verdana" w:eastAsia="Calibri" w:hAnsi="Verdana" w:cs="Arial"/>
                <w:i/>
                <w:color w:val="000000" w:themeColor="text1"/>
              </w:rPr>
              <w:t>En primer lugar</w:t>
            </w:r>
            <w:r w:rsidRPr="004B07F9">
              <w:rPr>
                <w:rFonts w:ascii="Verdana" w:hAnsi="Verdana" w:cs="Arial"/>
              </w:rPr>
              <w:t xml:space="preserve">, </w:t>
            </w:r>
            <w:r w:rsidRPr="004B07F9">
              <w:rPr>
                <w:rFonts w:ascii="Verdana" w:hAnsi="Verdana" w:cs="Arial"/>
                <w:lang w:val="es-ES"/>
              </w:rPr>
              <w:t xml:space="preserve">debe indicarse </w:t>
            </w:r>
            <w:r w:rsidR="0052106B" w:rsidRPr="004B07F9">
              <w:rPr>
                <w:rFonts w:ascii="Verdana" w:eastAsia="Calibri" w:hAnsi="Verdana" w:cs="Arial"/>
                <w:iCs/>
                <w:color w:val="000000" w:themeColor="text1"/>
              </w:rPr>
              <w:t xml:space="preserve">que es el pliego de condiciones el instrumento llamado a determinar, en cada caso concreto, los factores que permiten realizar la comparación entre las ofertas presentadas y, con base en ello, establecer cuál resulta más favorable para la Administración Pública. En ese sentido, la incorporación de valores distintos a los efectivamente ofertados </w:t>
            </w:r>
            <w:r w:rsidR="0052106B" w:rsidRPr="004B07F9">
              <w:rPr>
                <w:rFonts w:ascii="Verdana" w:eastAsia="Calibri" w:hAnsi="Verdana" w:cs="Arial"/>
                <w:iCs/>
                <w:color w:val="000000" w:themeColor="text1"/>
              </w:rPr>
              <w:lastRenderedPageBreak/>
              <w:t>—esto es, ajenos a las propuestas presentadas por los oferentes— podría configurar una vulneración del principio de selección objetiva consagrado en el artículo 5 de la Ley 1150 de 2007. Dicho principio impone que la escogencia del contratista se fundamente en reglas claras, previamente definidas en los pliegos, y en criterios verificables que aseguren una comparación imparcial y en condiciones de igualdad entre los participantes.</w:t>
            </w:r>
          </w:p>
          <w:p w14:paraId="79DD2E66" w14:textId="01D0E84A" w:rsidR="00D866B2" w:rsidRPr="004B07F9" w:rsidRDefault="00D866B2" w:rsidP="00FB770A">
            <w:pPr>
              <w:spacing w:before="120" w:after="120" w:line="276" w:lineRule="auto"/>
              <w:ind w:firstLine="709"/>
              <w:jc w:val="both"/>
              <w:rPr>
                <w:rFonts w:ascii="Verdana" w:hAnsi="Verdana" w:cs="Arial"/>
              </w:rPr>
            </w:pPr>
            <w:r w:rsidRPr="004B07F9">
              <w:rPr>
                <w:rFonts w:ascii="Verdana" w:hAnsi="Verdana" w:cs="Arial"/>
              </w:rPr>
              <w:t>En efecto, la selección objetiva se traduce en que la administración debe adjudicar el contrato a la propuesta más favorable, conforme a los parámetros definidos en el proceso de contratación. Si se introducen valores o condiciones no previstos en las ofertas, se altera el marco de comparación y se rompe la transparencia del procedimiento, pues se estaría evaluando sobre bases distintas a las que los proponentes conocieron y aceptaron. Ello no solo afecta la igualdad de trato, sino que también puede dar lugar a decisiones discrecionales o arbitrarias, contrarias al mandato de objetividad.</w:t>
            </w:r>
          </w:p>
          <w:p w14:paraId="7635E4DA" w14:textId="4D0957FE" w:rsidR="00BF4592" w:rsidRPr="004B07F9" w:rsidRDefault="00B135DB" w:rsidP="00390271">
            <w:pPr>
              <w:spacing w:before="120" w:after="120" w:line="276" w:lineRule="auto"/>
              <w:ind w:firstLine="709"/>
              <w:jc w:val="both"/>
              <w:rPr>
                <w:rFonts w:ascii="Verdana" w:hAnsi="Verdana" w:cs="Arial"/>
              </w:rPr>
            </w:pPr>
            <w:r w:rsidRPr="004B07F9">
              <w:rPr>
                <w:rFonts w:ascii="Verdana" w:hAnsi="Verdana" w:cs="Arial"/>
              </w:rPr>
              <w:t>Así las cosas, resulta a bien precisar que la administración no puede modificar unilateralmente los elementos esenciales de las ofertas ni incorporar factores externos que desnaturalicen la competencia. De hacerlo, se desconocen los principios de transparencia, economía y responsabilidad que rigen la contratación estatal.</w:t>
            </w:r>
            <w:r w:rsidR="00390271" w:rsidRPr="004B07F9">
              <w:rPr>
                <w:rFonts w:ascii="Verdana" w:hAnsi="Verdana" w:cs="Arial"/>
              </w:rPr>
              <w:t xml:space="preserve"> </w:t>
            </w:r>
            <w:r w:rsidR="00BF4592" w:rsidRPr="004B07F9">
              <w:rPr>
                <w:rFonts w:ascii="Verdana" w:hAnsi="Verdana" w:cs="Arial"/>
              </w:rPr>
              <w:t>En conclusión, la incorporación de valores ajenos a las propuestas vulnera el principio de selección objetiva, pues desvirtúa la comparación imparcial entre oferentes y afecta la confianza legítima en el procedimiento de contratación. La administración debe ceñirse estrictamente a los criterios definidos en los pliegos y a los valores efectivamente ofertados, garantizando así la igualdad y la transparencia en la adjudicación.</w:t>
            </w:r>
          </w:p>
          <w:p w14:paraId="1ECE452F" w14:textId="6EE58540" w:rsidR="00B13B4C" w:rsidRPr="004B07F9" w:rsidRDefault="00B13B4C" w:rsidP="00BF4592">
            <w:pPr>
              <w:spacing w:before="120" w:after="120" w:line="276" w:lineRule="auto"/>
              <w:ind w:firstLine="709"/>
              <w:jc w:val="both"/>
              <w:rPr>
                <w:rFonts w:ascii="Verdana" w:hAnsi="Verdana" w:cs="Arial"/>
              </w:rPr>
            </w:pPr>
            <w:r w:rsidRPr="004B07F9">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bookmarkEnd w:id="1"/>
    </w:tbl>
    <w:p w14:paraId="5519325E" w14:textId="77777777" w:rsidR="00B13B4C" w:rsidRPr="004B07F9" w:rsidRDefault="00B13B4C" w:rsidP="00B456F5">
      <w:pPr>
        <w:widowControl w:val="0"/>
        <w:autoSpaceDE w:val="0"/>
        <w:autoSpaceDN w:val="0"/>
        <w:spacing w:after="0" w:line="276" w:lineRule="auto"/>
        <w:ind w:left="360" w:hanging="360"/>
        <w:outlineLvl w:val="0"/>
        <w:rPr>
          <w:rFonts w:ascii="Verdana" w:eastAsia="Arial" w:hAnsi="Verdana" w:cs="Arial"/>
          <w:b/>
          <w:bCs/>
          <w:highlight w:val="cyan"/>
          <w:lang w:val="es-ES"/>
        </w:rPr>
      </w:pPr>
    </w:p>
    <w:p w14:paraId="42AE1112" w14:textId="77777777" w:rsidR="00B13B4C" w:rsidRPr="004B07F9" w:rsidRDefault="00B13B4C" w:rsidP="00B456F5">
      <w:pPr>
        <w:widowControl w:val="0"/>
        <w:autoSpaceDE w:val="0"/>
        <w:autoSpaceDN w:val="0"/>
        <w:spacing w:after="0" w:line="276" w:lineRule="auto"/>
        <w:ind w:left="360" w:hanging="360"/>
        <w:outlineLvl w:val="0"/>
        <w:rPr>
          <w:rFonts w:ascii="Verdana" w:eastAsia="Arial" w:hAnsi="Verdana" w:cs="Arial"/>
          <w:b/>
          <w:bCs/>
          <w:lang w:val="es-ES"/>
        </w:rPr>
      </w:pPr>
      <w:r w:rsidRPr="004B07F9">
        <w:rPr>
          <w:rFonts w:ascii="Verdana" w:eastAsia="Arial" w:hAnsi="Verdana" w:cs="Arial"/>
          <w:b/>
          <w:bCs/>
          <w:lang w:val="es-ES"/>
        </w:rPr>
        <w:t>3. Razones de la respuesta:</w:t>
      </w:r>
    </w:p>
    <w:p w14:paraId="2AD1BFF9" w14:textId="77777777" w:rsidR="00B13B4C" w:rsidRPr="004B07F9" w:rsidRDefault="00B13B4C" w:rsidP="005D44D9">
      <w:pPr>
        <w:spacing w:after="0" w:line="276" w:lineRule="auto"/>
        <w:jc w:val="both"/>
        <w:rPr>
          <w:rFonts w:ascii="Verdana" w:eastAsia="Calibri" w:hAnsi="Verdana" w:cs="Arial"/>
          <w:lang w:val="es-ES"/>
        </w:rPr>
      </w:pPr>
    </w:p>
    <w:p w14:paraId="2898DA53" w14:textId="4BBE8487" w:rsidR="00885DB1" w:rsidRPr="004B07F9" w:rsidRDefault="00B13B4C" w:rsidP="005D44D9">
      <w:pPr>
        <w:spacing w:after="0" w:line="240" w:lineRule="auto"/>
        <w:jc w:val="both"/>
        <w:rPr>
          <w:rFonts w:ascii="Verdana" w:eastAsia="Verdana" w:hAnsi="Verdana" w:cs="Verdana"/>
          <w:lang w:val="es-MX"/>
        </w:rPr>
      </w:pPr>
      <w:r w:rsidRPr="004B07F9">
        <w:rPr>
          <w:rFonts w:ascii="Verdana" w:eastAsia="Calibri" w:hAnsi="Verdana" w:cs="Arial"/>
          <w:lang w:val="es-ES"/>
        </w:rPr>
        <w:t>La respuesta anterior se sustenta en las siguientes consideraciones:</w:t>
      </w:r>
    </w:p>
    <w:p w14:paraId="1A983B2D" w14:textId="77777777" w:rsidR="00885DB1" w:rsidRPr="004B07F9" w:rsidRDefault="00885DB1" w:rsidP="005D44D9">
      <w:pPr>
        <w:spacing w:after="0" w:line="240" w:lineRule="auto"/>
        <w:jc w:val="both"/>
        <w:rPr>
          <w:rFonts w:ascii="Verdana" w:eastAsia="Verdana" w:hAnsi="Verdana" w:cs="Verdana"/>
          <w:lang w:val="es-MX"/>
        </w:rPr>
      </w:pPr>
    </w:p>
    <w:p w14:paraId="7BBCD72D" w14:textId="77777777" w:rsidR="00521CD6" w:rsidRDefault="00521CD6" w:rsidP="005D44D9">
      <w:pPr>
        <w:spacing w:after="0" w:line="276" w:lineRule="auto"/>
        <w:jc w:val="both"/>
        <w:rPr>
          <w:rFonts w:ascii="Verdana" w:eastAsia="Arial" w:hAnsi="Verdana" w:cs="Arial"/>
          <w:color w:val="000000"/>
          <w:lang w:val="es-ES"/>
        </w:rPr>
      </w:pPr>
      <w:r w:rsidRPr="004B07F9">
        <w:rPr>
          <w:rFonts w:ascii="Verdana" w:hAnsi="Verdana" w:cs="Arial"/>
          <w:lang w:val="es-ES"/>
        </w:rPr>
        <w:t xml:space="preserve">i) </w:t>
      </w:r>
      <w:r w:rsidRPr="004B07F9">
        <w:rPr>
          <w:rFonts w:ascii="Verdana" w:eastAsia="Arial" w:hAnsi="Verdana" w:cs="Arial"/>
          <w:color w:val="000000"/>
          <w:lang w:val="es-ES"/>
        </w:rPr>
        <w:t xml:space="preserve">Uno de los principios transversales de los procedimientos de selección es el de </w:t>
      </w:r>
      <w:r w:rsidRPr="004B07F9">
        <w:rPr>
          <w:rFonts w:ascii="Verdana" w:eastAsia="Arial" w:hAnsi="Verdana" w:cs="Arial"/>
          <w:i/>
          <w:color w:val="000000"/>
          <w:lang w:val="es-ES"/>
        </w:rPr>
        <w:t>selección objetiva</w:t>
      </w:r>
      <w:r w:rsidRPr="004B07F9">
        <w:rPr>
          <w:rFonts w:ascii="Verdana" w:eastAsia="Arial" w:hAnsi="Verdana" w:cs="Arial"/>
          <w:color w:val="000000"/>
          <w:lang w:val="es-ES"/>
        </w:rPr>
        <w:t>. Se trata del postulado que exige que la escogencia de la oferta ganadora deba fundamentarse en factores objetivos, de carácter técnico, jurídico y financiero, y no en criterios subjetivos, como el afecto, la amistad, el ánimo de ayuda, el interés personal, etc. Si bien dentro de la historia de la contratación pública en Colombia se vislumbran antecedentes normativos que consagraban dicho principio</w:t>
      </w:r>
      <w:r w:rsidRPr="004B07F9">
        <w:rPr>
          <w:rFonts w:ascii="Verdana" w:eastAsia="Arial" w:hAnsi="Verdana" w:cs="Arial"/>
          <w:color w:val="000000"/>
          <w:vertAlign w:val="superscript"/>
          <w:lang w:val="es-ES"/>
        </w:rPr>
        <w:footnoteReference w:id="1"/>
      </w:r>
      <w:r w:rsidRPr="004B07F9">
        <w:rPr>
          <w:rFonts w:ascii="Verdana" w:eastAsia="Arial" w:hAnsi="Verdana" w:cs="Arial"/>
          <w:color w:val="000000"/>
          <w:lang w:val="es-ES"/>
        </w:rPr>
        <w:t xml:space="preserve">, en la actualidad la disposición legal que lo prevé es el artículo 5 de la Ley 1150 de 2007, modificado por el artículo 88 de la Ley 1474 de 2011 y por el artículo 5 de la Ley 1882 de 2018. Esta norma prescribe lo siguiente: </w:t>
      </w:r>
    </w:p>
    <w:p w14:paraId="523E5547" w14:textId="77777777" w:rsidR="000B6B29" w:rsidRPr="004B07F9" w:rsidRDefault="000B6B29" w:rsidP="00B456F5">
      <w:pPr>
        <w:spacing w:after="0" w:line="276" w:lineRule="auto"/>
        <w:jc w:val="both"/>
        <w:rPr>
          <w:rFonts w:ascii="Verdana" w:eastAsia="Arial" w:hAnsi="Verdana" w:cs="Arial"/>
          <w:color w:val="000000"/>
          <w:lang w:val="es-ES"/>
        </w:rPr>
      </w:pPr>
    </w:p>
    <w:p w14:paraId="1697C745" w14:textId="022074AD" w:rsidR="00521CD6" w:rsidRDefault="00521CD6" w:rsidP="005D44D9">
      <w:pPr>
        <w:spacing w:after="0" w:line="240" w:lineRule="auto"/>
        <w:ind w:left="709" w:right="709"/>
        <w:jc w:val="both"/>
        <w:rPr>
          <w:rFonts w:ascii="Verdana" w:eastAsia="Arial" w:hAnsi="Verdana" w:cs="Arial"/>
          <w:color w:val="000000"/>
          <w:sz w:val="20"/>
          <w:szCs w:val="20"/>
          <w:lang w:val="es-ES"/>
        </w:rPr>
      </w:pPr>
      <w:r w:rsidRPr="004B07F9">
        <w:rPr>
          <w:rFonts w:ascii="Verdana" w:eastAsia="Arial" w:hAnsi="Verdana" w:cs="Arial"/>
          <w:color w:val="000000"/>
          <w:sz w:val="20"/>
          <w:szCs w:val="20"/>
          <w:lang w:val="es-ES"/>
        </w:rPr>
        <w:t xml:space="preserve">“ARTÍCULO 5o.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w:t>
      </w:r>
      <w:r w:rsidR="000F541C" w:rsidRPr="004B07F9">
        <w:rPr>
          <w:rFonts w:ascii="Verdana" w:eastAsia="Arial" w:hAnsi="Verdana" w:cs="Arial"/>
          <w:color w:val="000000"/>
          <w:sz w:val="20"/>
          <w:szCs w:val="20"/>
          <w:lang w:val="es-ES"/>
        </w:rPr>
        <w:t>equivalentes</w:t>
      </w:r>
      <w:r w:rsidRPr="004B07F9">
        <w:rPr>
          <w:rFonts w:ascii="Verdana" w:eastAsia="Arial" w:hAnsi="Verdana" w:cs="Arial"/>
          <w:color w:val="000000"/>
          <w:sz w:val="20"/>
          <w:szCs w:val="20"/>
          <w:lang w:val="es-ES"/>
        </w:rPr>
        <w:t xml:space="preserve"> tendrán en cuenta los siguientes criterios:</w:t>
      </w:r>
    </w:p>
    <w:p w14:paraId="770A101C" w14:textId="77777777" w:rsidR="005D44D9" w:rsidRPr="004B07F9" w:rsidRDefault="005D44D9" w:rsidP="00B456F5">
      <w:pPr>
        <w:spacing w:after="0" w:line="240" w:lineRule="auto"/>
        <w:ind w:left="709" w:right="709"/>
        <w:jc w:val="both"/>
        <w:rPr>
          <w:rFonts w:ascii="Verdana" w:eastAsia="Arial" w:hAnsi="Verdana" w:cs="Arial"/>
          <w:color w:val="000000"/>
          <w:sz w:val="20"/>
          <w:szCs w:val="20"/>
          <w:lang w:val="es-ES"/>
        </w:rPr>
      </w:pPr>
    </w:p>
    <w:p w14:paraId="57C46786" w14:textId="77777777" w:rsidR="00521CD6" w:rsidRDefault="00521CD6" w:rsidP="005D44D9">
      <w:pPr>
        <w:spacing w:after="0" w:line="240" w:lineRule="auto"/>
        <w:ind w:left="709" w:right="709"/>
        <w:jc w:val="both"/>
        <w:rPr>
          <w:rFonts w:ascii="Verdana" w:eastAsia="Arial" w:hAnsi="Verdana" w:cs="Arial"/>
          <w:color w:val="000000"/>
          <w:sz w:val="20"/>
          <w:szCs w:val="20"/>
          <w:lang w:val="es-ES"/>
        </w:rPr>
      </w:pPr>
      <w:r w:rsidRPr="004B07F9">
        <w:rPr>
          <w:rFonts w:ascii="Verdana" w:eastAsia="Arial" w:hAnsi="Verdana" w:cs="Arial"/>
          <w:color w:val="000000"/>
          <w:sz w:val="20"/>
          <w:szCs w:val="20"/>
          <w:lang w:val="es-ES"/>
        </w:rPr>
        <w:t xml:space="preserve">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w:t>
      </w:r>
      <w:r w:rsidRPr="004B07F9">
        <w:rPr>
          <w:rFonts w:ascii="Verdana" w:eastAsia="Arial" w:hAnsi="Verdana" w:cs="Arial"/>
          <w:color w:val="000000"/>
          <w:sz w:val="20"/>
          <w:szCs w:val="20"/>
          <w:lang w:val="es-ES"/>
        </w:rPr>
        <w:lastRenderedPageBreak/>
        <w:t>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p w14:paraId="1831C392" w14:textId="77777777" w:rsidR="005D44D9" w:rsidRPr="004B07F9" w:rsidRDefault="005D44D9" w:rsidP="00B456F5">
      <w:pPr>
        <w:spacing w:after="0" w:line="240" w:lineRule="auto"/>
        <w:ind w:left="709" w:right="709"/>
        <w:jc w:val="both"/>
        <w:rPr>
          <w:rFonts w:ascii="Verdana" w:eastAsia="Arial" w:hAnsi="Verdana" w:cs="Arial"/>
          <w:color w:val="000000"/>
          <w:sz w:val="20"/>
          <w:szCs w:val="20"/>
          <w:lang w:val="es-ES"/>
        </w:rPr>
      </w:pPr>
    </w:p>
    <w:p w14:paraId="24C46822" w14:textId="218B05DC" w:rsidR="00521CD6" w:rsidRDefault="00521CD6" w:rsidP="005D44D9">
      <w:pPr>
        <w:spacing w:after="0" w:line="240" w:lineRule="auto"/>
        <w:ind w:left="709" w:right="709"/>
        <w:jc w:val="both"/>
        <w:rPr>
          <w:rFonts w:ascii="Verdana" w:eastAsia="Arial" w:hAnsi="Verdana" w:cs="Arial"/>
          <w:color w:val="000000"/>
          <w:sz w:val="20"/>
          <w:szCs w:val="20"/>
          <w:lang w:val="es-ES"/>
        </w:rPr>
      </w:pPr>
      <w:r w:rsidRPr="004B07F9">
        <w:rPr>
          <w:rFonts w:ascii="Verdana" w:eastAsia="Arial" w:hAnsi="Verdana" w:cs="Arial"/>
          <w:color w:val="000000"/>
          <w:sz w:val="20"/>
          <w:szCs w:val="20"/>
          <w:lang w:val="es-ES"/>
        </w:rPr>
        <w:t>2. Numeral modificado por el artículo 88 de la Ley 1474 de 2011. El nuevo texto es el siguiente:&gt;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p>
    <w:p w14:paraId="03589DEE" w14:textId="77777777" w:rsidR="005D44D9" w:rsidRPr="004B07F9" w:rsidRDefault="005D44D9" w:rsidP="00B456F5">
      <w:pPr>
        <w:spacing w:after="0" w:line="240" w:lineRule="auto"/>
        <w:ind w:left="709" w:right="709"/>
        <w:jc w:val="both"/>
        <w:rPr>
          <w:rFonts w:ascii="Verdana" w:eastAsia="Arial" w:hAnsi="Verdana" w:cs="Arial"/>
          <w:color w:val="000000"/>
          <w:sz w:val="20"/>
          <w:szCs w:val="20"/>
          <w:lang w:val="es-ES"/>
        </w:rPr>
      </w:pPr>
    </w:p>
    <w:p w14:paraId="1DDB9BC6" w14:textId="77777777" w:rsidR="00521CD6" w:rsidRPr="004B07F9" w:rsidRDefault="00521CD6" w:rsidP="00B456F5">
      <w:pPr>
        <w:spacing w:after="0" w:line="240" w:lineRule="auto"/>
        <w:ind w:left="709" w:right="709"/>
        <w:jc w:val="both"/>
        <w:rPr>
          <w:rFonts w:ascii="Verdana" w:eastAsia="Arial" w:hAnsi="Verdana" w:cs="Arial"/>
          <w:color w:val="000000"/>
          <w:sz w:val="20"/>
          <w:szCs w:val="20"/>
          <w:lang w:val="es-ES"/>
        </w:rPr>
      </w:pPr>
      <w:r w:rsidRPr="004B07F9">
        <w:rPr>
          <w:rFonts w:ascii="Verdana" w:eastAsia="Arial" w:hAnsi="Verdana" w:cs="Arial"/>
          <w:color w:val="000000"/>
          <w:sz w:val="20"/>
          <w:szCs w:val="20"/>
          <w:lang w:val="es-ES"/>
        </w:rPr>
        <w:t>En los procesos de selección en los que se tenga en cuenta los factores técnicos y económicos, la oferta más ventajosa será la que resulte de aplicar alguna de las siguientes alternativas:</w:t>
      </w:r>
    </w:p>
    <w:p w14:paraId="0CF3AFFB" w14:textId="77777777" w:rsidR="00521CD6" w:rsidRPr="004B07F9" w:rsidRDefault="00521CD6" w:rsidP="00B456F5">
      <w:pPr>
        <w:spacing w:after="0" w:line="240" w:lineRule="auto"/>
        <w:ind w:left="709" w:right="709"/>
        <w:jc w:val="both"/>
        <w:rPr>
          <w:rFonts w:ascii="Verdana" w:eastAsia="Arial" w:hAnsi="Verdana" w:cs="Arial"/>
          <w:color w:val="000000"/>
          <w:sz w:val="20"/>
          <w:szCs w:val="20"/>
          <w:lang w:val="es-ES"/>
        </w:rPr>
      </w:pPr>
      <w:r w:rsidRPr="004B07F9">
        <w:rPr>
          <w:rFonts w:ascii="Verdana" w:eastAsia="Arial" w:hAnsi="Verdana" w:cs="Arial"/>
          <w:color w:val="000000"/>
          <w:sz w:val="20"/>
          <w:szCs w:val="20"/>
          <w:lang w:val="es-ES"/>
        </w:rPr>
        <w:t>a) La ponderación de los elementos de calidad y precio soportados en puntajes o fórmulas señaladas en el pliego de condiciones; o</w:t>
      </w:r>
    </w:p>
    <w:p w14:paraId="7BB2FABC" w14:textId="77777777" w:rsidR="00521CD6" w:rsidRPr="004B07F9" w:rsidRDefault="00521CD6" w:rsidP="00B456F5">
      <w:pPr>
        <w:spacing w:after="0" w:line="240" w:lineRule="auto"/>
        <w:ind w:left="709" w:right="709"/>
        <w:jc w:val="both"/>
        <w:rPr>
          <w:rFonts w:ascii="Verdana" w:eastAsia="Arial" w:hAnsi="Verdana" w:cs="Arial"/>
          <w:color w:val="000000"/>
          <w:sz w:val="20"/>
          <w:szCs w:val="20"/>
          <w:lang w:val="es-ES"/>
        </w:rPr>
      </w:pPr>
      <w:r w:rsidRPr="004B07F9">
        <w:rPr>
          <w:rFonts w:ascii="Verdana" w:eastAsia="Arial" w:hAnsi="Verdana" w:cs="Arial"/>
          <w:color w:val="000000"/>
          <w:sz w:val="20"/>
          <w:szCs w:val="20"/>
          <w:lang w:val="es-ES"/>
        </w:rPr>
        <w:t>b) La ponderación de los elementos de calidad y precio que representen la mejor relación de costo-beneficio para la entidad.</w:t>
      </w:r>
    </w:p>
    <w:p w14:paraId="1C49F43D" w14:textId="77777777" w:rsidR="00521CD6" w:rsidRPr="004B07F9" w:rsidRDefault="00521CD6" w:rsidP="005D44D9">
      <w:pPr>
        <w:spacing w:after="0" w:line="240" w:lineRule="auto"/>
        <w:ind w:left="709" w:right="709"/>
        <w:jc w:val="both"/>
        <w:rPr>
          <w:rFonts w:ascii="Verdana" w:eastAsia="Arial" w:hAnsi="Verdana" w:cs="Arial"/>
          <w:color w:val="000000"/>
          <w:sz w:val="20"/>
          <w:szCs w:val="20"/>
          <w:lang w:val="es-ES"/>
        </w:rPr>
      </w:pPr>
      <w:r w:rsidRPr="004B07F9">
        <w:rPr>
          <w:rFonts w:ascii="Verdana" w:eastAsia="Arial" w:hAnsi="Verdana" w:cs="Arial"/>
          <w:color w:val="000000"/>
          <w:sz w:val="20"/>
          <w:szCs w:val="20"/>
          <w:lang w:val="es-ES"/>
        </w:rPr>
        <w:t>[…]”</w:t>
      </w:r>
    </w:p>
    <w:p w14:paraId="5C2B780A" w14:textId="77777777" w:rsidR="00521CD6" w:rsidRPr="004B07F9" w:rsidRDefault="00521CD6" w:rsidP="005D44D9">
      <w:pPr>
        <w:spacing w:after="0" w:line="240" w:lineRule="auto"/>
        <w:ind w:left="709" w:right="709"/>
        <w:jc w:val="both"/>
        <w:rPr>
          <w:rFonts w:ascii="Verdana" w:eastAsia="Arial" w:hAnsi="Verdana" w:cs="Arial"/>
          <w:color w:val="000000"/>
          <w:sz w:val="20"/>
          <w:szCs w:val="20"/>
          <w:lang w:val="es-ES"/>
        </w:rPr>
      </w:pPr>
    </w:p>
    <w:p w14:paraId="0AA8F419" w14:textId="77777777" w:rsidR="00521CD6" w:rsidRPr="004B07F9" w:rsidRDefault="00521CD6" w:rsidP="00521CD6">
      <w:pPr>
        <w:tabs>
          <w:tab w:val="left" w:pos="0"/>
        </w:tabs>
        <w:spacing w:after="120" w:line="276" w:lineRule="auto"/>
        <w:jc w:val="both"/>
        <w:rPr>
          <w:rFonts w:ascii="Verdana" w:eastAsia="Arial" w:hAnsi="Verdana" w:cs="Arial"/>
          <w:color w:val="000000"/>
          <w:lang w:val="es-ES"/>
        </w:rPr>
      </w:pPr>
      <w:r w:rsidRPr="004B07F9">
        <w:rPr>
          <w:rFonts w:ascii="Verdana" w:eastAsia="Arial" w:hAnsi="Verdana" w:cs="Arial"/>
          <w:color w:val="000000"/>
          <w:lang w:val="es-ES"/>
        </w:rPr>
        <w:tab/>
        <w:t xml:space="preserve">De acuerdo con el artículo 5 de la Ley 1150 de 2007, el deber de selección objetiva supone que las entidades escojan en los procesos de selección el “(…) ofrecimiento más favorable a la entidad y a los fines que ella busca (…)”. Tal favorabilidad debe determinarse a partir de criterios que pueden variar de acuerdo con el objeto contractual o la modalidad de selección aplicable, los cuales, en todo caso, para que la selección sea objetiva, deben señalarse en el pliego de condiciones o documento equivalente. </w:t>
      </w:r>
    </w:p>
    <w:p w14:paraId="0EA91C1B" w14:textId="29368EB1" w:rsidR="00521CD6" w:rsidRPr="004B07F9" w:rsidRDefault="00521CD6" w:rsidP="00521CD6">
      <w:pPr>
        <w:tabs>
          <w:tab w:val="left" w:pos="0"/>
        </w:tabs>
        <w:spacing w:after="120" w:line="276" w:lineRule="auto"/>
        <w:jc w:val="both"/>
        <w:rPr>
          <w:rFonts w:ascii="Verdana" w:hAnsi="Verdana"/>
          <w:lang w:val="es-ES"/>
        </w:rPr>
      </w:pPr>
      <w:bookmarkStart w:id="2" w:name="_1fob9te"/>
      <w:bookmarkEnd w:id="2"/>
      <w:r w:rsidRPr="004B07F9">
        <w:rPr>
          <w:rFonts w:ascii="Verdana" w:eastAsia="Arial" w:hAnsi="Verdana" w:cs="Arial"/>
          <w:color w:val="000000"/>
          <w:lang w:val="es-ES"/>
        </w:rPr>
        <w:tab/>
        <w:t xml:space="preserve">Al respecto, el numeral 1 del artículo 5 de la Ley 1150 de 2007 se refiere a algunos requisitos exigibles en la generalidad de procesos de selección adelantados conforme al EGCAP, tales como la capacidad jurídica, las condiciones de experiencia, la capacidad financiera y de organización, denominados requisitos habilitantes, los cuales –en principio, salvo expresa disposición legal– no otorgan puntaje. Lo anterior comoquiera que estos no se refieren a la oferta misma sino a la idoneidad del oferente para asumir </w:t>
      </w:r>
      <w:r w:rsidRPr="004B07F9">
        <w:rPr>
          <w:rFonts w:ascii="Verdana" w:eastAsia="Arial" w:hAnsi="Verdana" w:cs="Arial"/>
          <w:color w:val="000000"/>
          <w:lang w:val="es-ES"/>
        </w:rPr>
        <w:lastRenderedPageBreak/>
        <w:t>adecuadamente la ejecución del contrato</w:t>
      </w:r>
      <w:r w:rsidRPr="004B07F9">
        <w:rPr>
          <w:rFonts w:ascii="Verdana" w:eastAsia="Arial" w:hAnsi="Verdana" w:cs="Arial"/>
          <w:color w:val="000000"/>
          <w:vertAlign w:val="superscript"/>
          <w:lang w:val="es-ES"/>
        </w:rPr>
        <w:footnoteReference w:id="2"/>
      </w:r>
      <w:r w:rsidRPr="004B07F9">
        <w:rPr>
          <w:rFonts w:ascii="Verdana" w:eastAsia="Arial" w:hAnsi="Verdana" w:cs="Arial"/>
          <w:color w:val="000000"/>
          <w:lang w:val="es-ES"/>
        </w:rPr>
        <w:t xml:space="preserve">. Como lo ha señalado esta Agencia en diferentes conceptos, los </w:t>
      </w:r>
      <w:r w:rsidRPr="004B07F9">
        <w:rPr>
          <w:rFonts w:ascii="Verdana" w:hAnsi="Verdana"/>
          <w:lang w:val="es-ES"/>
        </w:rPr>
        <w:t xml:space="preserve">requisitos habilitantes son de carácter enunciativo y no taxativo, por lo que las entidades podrían establecer otras condiciones, </w:t>
      </w:r>
      <w:r w:rsidR="00C6260A" w:rsidRPr="004B07F9">
        <w:rPr>
          <w:rFonts w:ascii="Verdana" w:hAnsi="Verdana"/>
          <w:lang w:val="es-ES"/>
        </w:rPr>
        <w:t>de acuerdo con</w:t>
      </w:r>
      <w:r w:rsidRPr="004B07F9">
        <w:rPr>
          <w:rFonts w:ascii="Verdana" w:hAnsi="Verdana"/>
          <w:lang w:val="es-ES"/>
        </w:rPr>
        <w:t xml:space="preserve"> la autonomía de la voluntad, y teniendo en cuenta el objeto del contrato, los riesgos detectados en los estudios previos y el presupuesto oficial, entre otros factores.</w:t>
      </w:r>
    </w:p>
    <w:p w14:paraId="08A7F40E" w14:textId="77777777" w:rsidR="00521CD6" w:rsidRPr="004B07F9" w:rsidRDefault="00521CD6" w:rsidP="00521CD6">
      <w:pPr>
        <w:tabs>
          <w:tab w:val="left" w:pos="0"/>
        </w:tabs>
        <w:spacing w:after="120" w:line="276" w:lineRule="auto"/>
        <w:ind w:firstLine="709"/>
        <w:jc w:val="both"/>
        <w:rPr>
          <w:rFonts w:ascii="Verdana" w:hAnsi="Verdana"/>
          <w:lang w:val="es-ES"/>
        </w:rPr>
      </w:pPr>
      <w:r w:rsidRPr="004B07F9">
        <w:rPr>
          <w:rFonts w:ascii="Verdana" w:eastAsia="Arial" w:hAnsi="Verdana" w:cs="Arial"/>
          <w:color w:val="000000"/>
          <w:lang w:val="es-ES"/>
        </w:rPr>
        <w:t xml:space="preserve">Los oferentes que cumplan los requisitos habilitantes son considerados idóneos para ejecutar el objeto contractual, de manera que sus ofertas pueden ser evaluadas para determinar cuál es la más favorable para la entidad y los fines de la contratación. En este sentido, los requisitos </w:t>
      </w:r>
      <w:r w:rsidRPr="004B07F9">
        <w:rPr>
          <w:rFonts w:ascii="Verdana" w:eastAsia="Arial" w:hAnsi="Verdana" w:cs="Arial"/>
          <w:i/>
          <w:color w:val="000000"/>
          <w:lang w:val="es-ES"/>
        </w:rPr>
        <w:t xml:space="preserve">habilitantes </w:t>
      </w:r>
      <w:r w:rsidRPr="004B07F9">
        <w:rPr>
          <w:rFonts w:ascii="Verdana" w:eastAsia="Arial" w:hAnsi="Verdana" w:cs="Arial"/>
          <w:color w:val="000000"/>
          <w:lang w:val="es-ES"/>
        </w:rPr>
        <w:t>son aquellos que deben cumplir en igualdad de condiciones los proponentes y, cumplido el mínimo establecido en el pliego de condiciones o documento equivalente, hacen que los proponentes se habiliten en el procedimiento de selección y sean susceptibles de ser seleccionados como futuros contratistas.</w:t>
      </w:r>
    </w:p>
    <w:p w14:paraId="2E4A7210" w14:textId="77777777" w:rsidR="00521CD6" w:rsidRPr="004B07F9" w:rsidRDefault="00521CD6" w:rsidP="00521CD6">
      <w:pPr>
        <w:tabs>
          <w:tab w:val="left" w:pos="0"/>
        </w:tabs>
        <w:spacing w:after="120" w:line="276" w:lineRule="auto"/>
        <w:jc w:val="both"/>
        <w:rPr>
          <w:rFonts w:ascii="Verdana" w:eastAsia="Arial" w:hAnsi="Verdana" w:cs="Arial"/>
          <w:color w:val="000000"/>
          <w:lang w:val="es-ES"/>
        </w:rPr>
      </w:pPr>
      <w:r w:rsidRPr="004B07F9">
        <w:rPr>
          <w:rFonts w:ascii="Verdana" w:eastAsia="Arial" w:hAnsi="Verdana" w:cs="Arial"/>
          <w:color w:val="000000"/>
          <w:lang w:val="es-ES"/>
        </w:rPr>
        <w:tab/>
        <w:t xml:space="preserve">En contraposición a los requisitos habilitantes, el artículo 5 de la Ley 1150 de 2007 regula los factores dirigidos a determinar cuál es la propuesta comparativamente más favorable. En ese sentido, el numeral 2 de esta norma establece que la oferta más favorable es aquella que resulte ser la más ventajosa para la entidad, una vez se realice la ponderación precisa y detallada de los factores técnicos y económicos de escogencia, de acuerdo con los parámetros establecidos en los pliegos de condiciones o equivalentes que permiten la comparación de ofertas. Este numeral 2 se divide en dos literales, cada uno de los cuales hace referencia a los mecanismos por los que pueden optar las entidades para ponderar los elementos de calidad y precio de las ofertas. El literal a) alude a la ponderación de los referidos elementos mediante puntajes o fórmulas, mientras que el literal b) se refiere la elección de la oferta que represente la mejor relación costo – beneficio para la entidad. </w:t>
      </w:r>
    </w:p>
    <w:p w14:paraId="79069365" w14:textId="0DBD339C" w:rsidR="00521CD6" w:rsidRDefault="00521CD6" w:rsidP="00DE6D46">
      <w:pPr>
        <w:tabs>
          <w:tab w:val="left" w:pos="0"/>
        </w:tabs>
        <w:spacing w:after="0" w:line="276" w:lineRule="auto"/>
        <w:jc w:val="both"/>
        <w:rPr>
          <w:rFonts w:ascii="Verdana" w:eastAsia="Arial" w:hAnsi="Verdana" w:cs="Arial"/>
          <w:color w:val="000000"/>
        </w:rPr>
      </w:pPr>
      <w:r w:rsidRPr="004B07F9">
        <w:rPr>
          <w:rFonts w:ascii="Verdana" w:eastAsia="Arial" w:hAnsi="Verdana" w:cs="Arial"/>
          <w:color w:val="000000"/>
          <w:lang w:val="es-ES"/>
        </w:rPr>
        <w:tab/>
        <w:t xml:space="preserve">Conforme a lo anterior, el artículo 5 de la Ley 1150 de 2007, alude a diferentes conceptos como factores de escogencia, de calificación, técnicos y económicos, de evaluación y calificación. Además, el artículo se refiere a unos factores que no otorgan puntaje y de otros que inciden en la comparación de ofertas. Por ello, la doctrina define los requisitos o factores ponderables como “(…) aquellas condiciones de la oferta y no de quien la presenta, que sí entrarán </w:t>
      </w:r>
      <w:r w:rsidRPr="004B07F9">
        <w:rPr>
          <w:rFonts w:ascii="Verdana" w:eastAsia="Arial" w:hAnsi="Verdana" w:cs="Arial"/>
          <w:color w:val="000000"/>
          <w:lang w:val="es-ES"/>
        </w:rPr>
        <w:lastRenderedPageBreak/>
        <w:t>a ser evaluadas por la Administración y que en consecuencia, darán lugar a la escogencia objetiva de la mejor propuesta para la entidad”</w:t>
      </w:r>
      <w:r w:rsidRPr="004B07F9">
        <w:rPr>
          <w:rFonts w:ascii="Verdana" w:eastAsia="Arial" w:hAnsi="Verdana" w:cs="Arial"/>
          <w:color w:val="000000"/>
          <w:vertAlign w:val="superscript"/>
          <w:lang w:val="es-ES"/>
        </w:rPr>
        <w:footnoteReference w:id="3"/>
      </w:r>
      <w:r w:rsidRPr="004B07F9">
        <w:rPr>
          <w:rFonts w:ascii="Verdana" w:eastAsia="Arial" w:hAnsi="Verdana" w:cs="Arial"/>
          <w:color w:val="000000"/>
          <w:lang w:val="es-ES"/>
        </w:rPr>
        <w:t>. Todas estas categorías designan los “(…) factores a los cuales cabe otorgarles puntajes o que pueden ser ponderados, precisamente, pues estos son los factores que en últimas permiten una comparación de ofertas y una diferenciación entre ellas”</w:t>
      </w:r>
      <w:r w:rsidRPr="004B07F9">
        <w:rPr>
          <w:rFonts w:ascii="Verdana" w:eastAsia="Arial" w:hAnsi="Verdana" w:cs="Arial"/>
          <w:color w:val="000000"/>
          <w:vertAlign w:val="superscript"/>
          <w:lang w:val="es-ES"/>
        </w:rPr>
        <w:footnoteReference w:id="4"/>
      </w:r>
      <w:r w:rsidRPr="004B07F9">
        <w:rPr>
          <w:rFonts w:ascii="Verdana" w:eastAsia="Arial" w:hAnsi="Verdana" w:cs="Arial"/>
          <w:color w:val="000000"/>
          <w:lang w:val="es-ES"/>
        </w:rPr>
        <w:t>.</w:t>
      </w:r>
      <w:r w:rsidR="00864774" w:rsidRPr="004B07F9">
        <w:rPr>
          <w:rFonts w:ascii="Verdana" w:eastAsia="Arial" w:hAnsi="Verdana" w:cs="Arial"/>
          <w:color w:val="000000"/>
        </w:rPr>
        <w:t xml:space="preserve"> Conforme a esto, la doctrina explica que:</w:t>
      </w:r>
    </w:p>
    <w:p w14:paraId="6C75710D" w14:textId="77777777" w:rsidR="00DE6D46" w:rsidRPr="004B07F9" w:rsidRDefault="00DE6D46" w:rsidP="00B456F5">
      <w:pPr>
        <w:tabs>
          <w:tab w:val="left" w:pos="0"/>
        </w:tabs>
        <w:spacing w:after="0" w:line="276" w:lineRule="auto"/>
        <w:jc w:val="both"/>
        <w:rPr>
          <w:rFonts w:ascii="Verdana" w:eastAsia="Arial" w:hAnsi="Verdana" w:cs="Arial"/>
          <w:color w:val="000000"/>
        </w:rPr>
      </w:pPr>
    </w:p>
    <w:p w14:paraId="1D352C5E" w14:textId="77777777" w:rsidR="000E0AC7" w:rsidRDefault="000E0AC7" w:rsidP="0023728C">
      <w:pPr>
        <w:tabs>
          <w:tab w:val="left" w:pos="0"/>
        </w:tabs>
        <w:spacing w:after="0" w:line="240" w:lineRule="auto"/>
        <w:ind w:left="709" w:right="709"/>
        <w:jc w:val="both"/>
        <w:rPr>
          <w:rFonts w:ascii="Verdana" w:eastAsia="Arial" w:hAnsi="Verdana" w:cs="Arial"/>
          <w:color w:val="000000"/>
          <w:sz w:val="20"/>
          <w:szCs w:val="20"/>
        </w:rPr>
      </w:pPr>
      <w:r w:rsidRPr="004B07F9">
        <w:rPr>
          <w:rFonts w:ascii="Verdana" w:eastAsia="Arial" w:hAnsi="Verdana" w:cs="Arial"/>
          <w:color w:val="000000"/>
          <w:sz w:val="20"/>
          <w:szCs w:val="20"/>
        </w:rPr>
        <w:t xml:space="preserve">“De acuerdo con ese entendimiento, el numeral 2 del artículo 5.° de la Ley  1150 de 2007, modificado por el artículo 88 de la Ley 1474 de 2011, comienza por señalar que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Es decir que los factores de ponderación o de evaluación son los que en realidad determinan la propuesta que mejor satisface las necesidades de la Administración y no simplemente cuál de los proponentes es el más idóneo en la ejecución del contrato, pues, se insiste, todo oferente que supere los requisitos mínimos habilitantes se entiende que es suficientemente idóneo para la ejecución del objeto contractual.  </w:t>
      </w:r>
    </w:p>
    <w:p w14:paraId="5F923D9E" w14:textId="77777777" w:rsidR="0023728C" w:rsidRPr="004B07F9" w:rsidRDefault="0023728C" w:rsidP="00B456F5">
      <w:pPr>
        <w:tabs>
          <w:tab w:val="left" w:pos="0"/>
        </w:tabs>
        <w:spacing w:after="0" w:line="240" w:lineRule="auto"/>
        <w:ind w:left="709" w:right="709"/>
        <w:jc w:val="both"/>
        <w:rPr>
          <w:rFonts w:ascii="Verdana" w:eastAsia="Arial" w:hAnsi="Verdana" w:cs="Arial"/>
          <w:color w:val="000000"/>
          <w:sz w:val="20"/>
          <w:szCs w:val="20"/>
        </w:rPr>
      </w:pPr>
    </w:p>
    <w:p w14:paraId="1BF3C1A8" w14:textId="77777777" w:rsidR="000E0AC7" w:rsidRPr="004B07F9" w:rsidRDefault="000E0AC7" w:rsidP="0023728C">
      <w:pPr>
        <w:tabs>
          <w:tab w:val="left" w:pos="0"/>
        </w:tabs>
        <w:spacing w:after="0" w:line="240" w:lineRule="auto"/>
        <w:ind w:left="709" w:right="709"/>
        <w:jc w:val="both"/>
        <w:rPr>
          <w:rFonts w:ascii="Verdana" w:eastAsia="Arial" w:hAnsi="Verdana" w:cs="Arial"/>
          <w:color w:val="000000"/>
          <w:sz w:val="20"/>
          <w:szCs w:val="20"/>
        </w:rPr>
      </w:pPr>
      <w:r w:rsidRPr="004B07F9">
        <w:rPr>
          <w:rFonts w:ascii="Verdana" w:eastAsia="Arial" w:hAnsi="Verdana" w:cs="Arial"/>
          <w:color w:val="000000"/>
          <w:sz w:val="20"/>
          <w:szCs w:val="20"/>
        </w:rPr>
        <w:t xml:space="preserve">De nuevo, aquí es preciso señalar </w:t>
      </w:r>
      <w:r w:rsidRPr="004B07F9">
        <w:rPr>
          <w:rFonts w:ascii="Verdana" w:eastAsia="Arial" w:hAnsi="Verdana" w:cs="Arial"/>
          <w:b/>
          <w:bCs/>
          <w:color w:val="000000"/>
          <w:sz w:val="20"/>
          <w:szCs w:val="20"/>
        </w:rPr>
        <w:t>que es el pliego de condiciones el que debe determinar cuáles son esos factores que en cada caso concreto permiten hacer una comparación entre las ofertas presentadas y, con base en ello, determinar cuál es la más favorable para la Administración Pública.</w:t>
      </w:r>
      <w:r w:rsidRPr="004B07F9">
        <w:rPr>
          <w:rFonts w:ascii="Verdana" w:eastAsia="Arial" w:hAnsi="Verdana" w:cs="Arial"/>
          <w:color w:val="000000"/>
          <w:sz w:val="20"/>
          <w:szCs w:val="20"/>
        </w:rPr>
        <w:t xml:space="preserve"> </w:t>
      </w:r>
    </w:p>
    <w:p w14:paraId="715903A6" w14:textId="77777777" w:rsidR="000E0AC7" w:rsidRPr="004B07F9" w:rsidRDefault="000E0AC7" w:rsidP="00B456F5">
      <w:pPr>
        <w:tabs>
          <w:tab w:val="left" w:pos="0"/>
        </w:tabs>
        <w:spacing w:after="0" w:line="240" w:lineRule="auto"/>
        <w:ind w:left="709" w:right="709"/>
        <w:jc w:val="both"/>
        <w:rPr>
          <w:rFonts w:ascii="Verdana" w:eastAsia="Arial" w:hAnsi="Verdana" w:cs="Arial"/>
          <w:color w:val="000000"/>
          <w:sz w:val="20"/>
          <w:szCs w:val="20"/>
        </w:rPr>
      </w:pPr>
      <w:r w:rsidRPr="004B07F9">
        <w:rPr>
          <w:rFonts w:ascii="Verdana" w:eastAsia="Arial" w:hAnsi="Verdana" w:cs="Arial"/>
          <w:color w:val="000000"/>
          <w:sz w:val="20"/>
          <w:szCs w:val="20"/>
        </w:rPr>
        <w:t>[…]</w:t>
      </w:r>
    </w:p>
    <w:p w14:paraId="6E1329D3" w14:textId="77777777" w:rsidR="0023728C" w:rsidRDefault="0023728C" w:rsidP="0023728C">
      <w:pPr>
        <w:tabs>
          <w:tab w:val="left" w:pos="0"/>
        </w:tabs>
        <w:spacing w:after="0" w:line="240" w:lineRule="auto"/>
        <w:ind w:left="709" w:right="709"/>
        <w:jc w:val="both"/>
        <w:rPr>
          <w:rFonts w:ascii="Verdana" w:eastAsia="Arial" w:hAnsi="Verdana" w:cs="Arial"/>
          <w:color w:val="000000"/>
          <w:sz w:val="20"/>
          <w:szCs w:val="20"/>
        </w:rPr>
      </w:pPr>
    </w:p>
    <w:p w14:paraId="71D465DF" w14:textId="1551616C" w:rsidR="00864774" w:rsidRPr="004B07F9" w:rsidRDefault="000E0AC7" w:rsidP="0023728C">
      <w:pPr>
        <w:tabs>
          <w:tab w:val="left" w:pos="0"/>
        </w:tabs>
        <w:spacing w:after="0" w:line="240" w:lineRule="auto"/>
        <w:ind w:left="709" w:right="709"/>
        <w:jc w:val="both"/>
        <w:rPr>
          <w:rFonts w:ascii="Verdana" w:eastAsia="Arial" w:hAnsi="Verdana" w:cs="Arial"/>
          <w:color w:val="000000"/>
          <w:sz w:val="20"/>
          <w:szCs w:val="20"/>
        </w:rPr>
      </w:pPr>
      <w:r w:rsidRPr="004B07F9">
        <w:rPr>
          <w:rFonts w:ascii="Verdana" w:eastAsia="Arial" w:hAnsi="Verdana" w:cs="Arial"/>
          <w:color w:val="000000"/>
          <w:sz w:val="20"/>
          <w:szCs w:val="20"/>
        </w:rPr>
        <w:t>Una siguiente conclusión que se deriva de la norma parcialmente transcrita consiste en que los pliegos de condiciones deben determinar dos situaciones por separado: 1. cuáles serán los factores o requisitos que serán evaluados por la Administración y 2. cuáles son los criterios para asignar puntaje a cada uno de los factores de evaluación y, con base en ello, poder hacer la comparación entre las ofertas y concluir cuál de ellas es la más ventajosa para la entidad estatal”</w:t>
      </w:r>
      <w:r w:rsidRPr="004B07F9">
        <w:rPr>
          <w:rFonts w:ascii="Verdana" w:eastAsia="Arial" w:hAnsi="Verdana" w:cs="Arial"/>
          <w:color w:val="000000"/>
          <w:sz w:val="20"/>
          <w:szCs w:val="20"/>
          <w:vertAlign w:val="superscript"/>
        </w:rPr>
        <w:footnoteReference w:id="5"/>
      </w:r>
      <w:r w:rsidRPr="004B07F9">
        <w:rPr>
          <w:rFonts w:ascii="Verdana" w:eastAsia="Arial" w:hAnsi="Verdana" w:cs="Arial"/>
          <w:color w:val="000000"/>
          <w:sz w:val="20"/>
          <w:szCs w:val="20"/>
        </w:rPr>
        <w:t>.</w:t>
      </w:r>
    </w:p>
    <w:p w14:paraId="4D95F732" w14:textId="77777777" w:rsidR="000E0AC7" w:rsidRPr="004B07F9" w:rsidRDefault="000E0AC7" w:rsidP="000E0AC7">
      <w:pPr>
        <w:tabs>
          <w:tab w:val="left" w:pos="0"/>
        </w:tabs>
        <w:spacing w:after="0" w:line="240" w:lineRule="auto"/>
        <w:ind w:left="709" w:right="709"/>
        <w:jc w:val="both"/>
        <w:rPr>
          <w:rFonts w:ascii="Verdana" w:eastAsia="Arial" w:hAnsi="Verdana" w:cs="Arial"/>
          <w:color w:val="000000"/>
          <w:sz w:val="20"/>
          <w:szCs w:val="20"/>
        </w:rPr>
      </w:pPr>
    </w:p>
    <w:p w14:paraId="0CC867C7" w14:textId="77777777" w:rsidR="00421292" w:rsidRPr="004B07F9" w:rsidRDefault="00521CD6" w:rsidP="00B456F5">
      <w:pPr>
        <w:tabs>
          <w:tab w:val="left" w:pos="0"/>
        </w:tabs>
        <w:spacing w:after="120" w:line="276" w:lineRule="auto"/>
        <w:ind w:firstLine="709"/>
        <w:jc w:val="both"/>
        <w:rPr>
          <w:rFonts w:ascii="Verdana" w:eastAsia="Arial" w:hAnsi="Verdana" w:cs="Arial"/>
          <w:color w:val="000000"/>
          <w:lang w:val="es-ES"/>
        </w:rPr>
      </w:pPr>
      <w:r w:rsidRPr="004B07F9">
        <w:rPr>
          <w:rFonts w:ascii="Verdana" w:eastAsia="Arial" w:hAnsi="Verdana" w:cs="Arial"/>
          <w:color w:val="000000"/>
          <w:lang w:val="es-ES"/>
        </w:rPr>
        <w:lastRenderedPageBreak/>
        <w:t xml:space="preserve">De esta forma, </w:t>
      </w:r>
      <w:bookmarkStart w:id="3" w:name="_Hlk169791737"/>
      <w:r w:rsidRPr="004B07F9">
        <w:rPr>
          <w:rFonts w:ascii="Verdana" w:eastAsia="Arial" w:hAnsi="Verdana" w:cs="Arial"/>
          <w:color w:val="000000"/>
          <w:lang w:val="es-ES"/>
        </w:rPr>
        <w:t>el deber de selección objetiva está ligado a la determinación del ofrecimiento más favorable, cuyo contenido debe ser precisado a partir de las diferentes alternativas del artículo 5 de la Ley 1150 de 2007, reglamentado por el artículo 2.2.1.1.2.2.2 del Decreto 1082 de 2015</w:t>
      </w:r>
      <w:bookmarkEnd w:id="3"/>
      <w:r w:rsidRPr="004B07F9">
        <w:rPr>
          <w:rFonts w:ascii="Verdana" w:eastAsia="Arial" w:hAnsi="Verdana" w:cs="Arial"/>
          <w:color w:val="000000"/>
          <w:lang w:val="es-ES"/>
        </w:rPr>
        <w:t>, que en todo caso deben reflejarse en el pliego de condiciones o documento equivalente para el respectivo proceso de selección. Estas disposiciones establecen que en los procesos de selección deben evaluarse, fuera de los requisitos habilitantes, los factores de calificación. Son estos últimos los que determinan la oferta más favorable para la entidad y la que, en consecuencia, debe elegirse.</w:t>
      </w:r>
    </w:p>
    <w:p w14:paraId="562BFE10" w14:textId="77777777" w:rsidR="008C4F84" w:rsidRPr="004B07F9" w:rsidRDefault="00521CD6" w:rsidP="00B456F5">
      <w:pPr>
        <w:tabs>
          <w:tab w:val="left" w:pos="0"/>
        </w:tabs>
        <w:spacing w:after="120" w:line="276" w:lineRule="auto"/>
        <w:ind w:firstLine="709"/>
        <w:jc w:val="both"/>
        <w:rPr>
          <w:rFonts w:ascii="Verdana" w:eastAsia="Arial" w:hAnsi="Verdana" w:cs="Arial"/>
          <w:color w:val="000000"/>
          <w:lang w:val="es-ES"/>
        </w:rPr>
      </w:pPr>
      <w:r w:rsidRPr="004B07F9">
        <w:rPr>
          <w:rFonts w:ascii="Verdana" w:eastAsia="Arial" w:hAnsi="Verdana" w:cs="Arial"/>
          <w:color w:val="000000"/>
          <w:lang w:val="es-ES"/>
        </w:rPr>
        <w:t xml:space="preserve">Con base en lo anterior, las Entidades Estatales tienen discrecionalidad, como estructuradoras de sus procesos, para determinar los criterios que serán objeto de calificación o puntuación en </w:t>
      </w:r>
      <w:r w:rsidR="00DF1C8A" w:rsidRPr="004B07F9">
        <w:rPr>
          <w:rFonts w:ascii="Verdana" w:eastAsia="Arial" w:hAnsi="Verdana" w:cs="Arial"/>
          <w:color w:val="000000"/>
          <w:lang w:val="es-ES"/>
        </w:rPr>
        <w:t>los procedimientos</w:t>
      </w:r>
      <w:r w:rsidRPr="004B07F9">
        <w:rPr>
          <w:rFonts w:ascii="Verdana" w:eastAsia="Arial" w:hAnsi="Verdana" w:cs="Arial"/>
          <w:color w:val="000000"/>
          <w:lang w:val="es-ES"/>
        </w:rPr>
        <w:t xml:space="preserve"> de selección que adelanten. Sin embargo, esta facultad no es ilimitada, pues deben ser acordes a la ponderación de factores técnicos y económicos que permitan elegir la oferta más ventajosa para satisfacer su necesidad, en cumplimiento de los criterios establecidos en el numeral segundo del artículo 5 de la Ley 1150 de 2007, y el artículo 2.2.1.1.2.2.2. del Decreto 1082 de 2015</w:t>
      </w:r>
      <w:r w:rsidRPr="004B07F9">
        <w:rPr>
          <w:rStyle w:val="Refdenotaalpie"/>
          <w:rFonts w:ascii="Verdana" w:eastAsia="Arial" w:hAnsi="Verdana" w:cs="Arial"/>
          <w:color w:val="000000"/>
          <w:lang w:val="es-ES"/>
        </w:rPr>
        <w:footnoteReference w:id="6"/>
      </w:r>
      <w:r w:rsidRPr="004B07F9">
        <w:rPr>
          <w:rFonts w:ascii="Verdana" w:eastAsia="Arial" w:hAnsi="Verdana" w:cs="Arial"/>
          <w:color w:val="000000"/>
          <w:lang w:val="es-ES"/>
        </w:rPr>
        <w:t xml:space="preserve">. </w:t>
      </w:r>
    </w:p>
    <w:p w14:paraId="393BDD24" w14:textId="655DAFBE" w:rsidR="00885DB1" w:rsidRPr="004B07F9" w:rsidRDefault="008C4F84" w:rsidP="00B456F5">
      <w:pPr>
        <w:tabs>
          <w:tab w:val="left" w:pos="0"/>
        </w:tabs>
        <w:spacing w:after="120" w:line="276" w:lineRule="auto"/>
        <w:ind w:firstLine="709"/>
        <w:jc w:val="both"/>
        <w:rPr>
          <w:rFonts w:ascii="Verdana" w:eastAsia="Calibri" w:hAnsi="Verdana" w:cs="Arial"/>
          <w:iCs/>
          <w:color w:val="000000" w:themeColor="text1"/>
        </w:rPr>
      </w:pPr>
      <w:r w:rsidRPr="004B07F9">
        <w:rPr>
          <w:rFonts w:ascii="Verdana" w:eastAsia="Calibri" w:hAnsi="Verdana" w:cs="Arial"/>
          <w:iCs/>
          <w:color w:val="000000" w:themeColor="text1"/>
        </w:rPr>
        <w:lastRenderedPageBreak/>
        <w:t>De lo expuesto, y en atención a la consulta formulada, resulta pertinente precisar que es el pliego de condiciones el instrumento llamado a determinar, en cada caso concreto, los factores que permiten realizar la comparación entre las ofertas presentadas y, con base en ello, establecer cuál resulta más favorable para la Administración Pública. En ese sentido, la incorporación de valores distintos a los efectivamente ofertados —esto es, ajenos a las propuestas presentadas por los oferentes— podría configurar una vulneración del principio de selección objetiva consagrado en el artículo 5 de la Ley 1150 de 2007. Dicho principio impone que la escogencia del contratista se fundamente en reglas claras, previamente definidas en los pliegos, y en criterios verificables que aseguren una comparación imparcial y en condiciones de igualdad entre los participantes.</w:t>
      </w:r>
    </w:p>
    <w:p w14:paraId="2A76E69E" w14:textId="77777777" w:rsidR="0052106B" w:rsidRPr="004B07F9" w:rsidRDefault="0052106B" w:rsidP="00B456F5">
      <w:pPr>
        <w:spacing w:after="120" w:line="276" w:lineRule="auto"/>
        <w:ind w:firstLine="709"/>
        <w:jc w:val="both"/>
        <w:rPr>
          <w:rFonts w:ascii="Verdana" w:hAnsi="Verdana" w:cs="Arial"/>
        </w:rPr>
      </w:pPr>
      <w:r w:rsidRPr="004B07F9">
        <w:rPr>
          <w:rFonts w:ascii="Verdana" w:hAnsi="Verdana" w:cs="Arial"/>
        </w:rPr>
        <w:t>En efecto, la selección objetiva se traduce en que la administración debe adjudicar el contrato a la propuesta más favorable, conforme a los parámetros definidos en el proceso de contratación. Si se introducen valores o condiciones no previstos en las ofertas, se altera el marco de comparación y se rompe la transparencia del procedimiento, pues se estaría evaluando sobre bases distintas a las que los proponentes conocieron y aceptaron. Ello no solo afecta la igualdad de trato, sino que también puede dar lugar a decisiones discrecionales o arbitrarias, contrarias al mandato de objetividad.</w:t>
      </w:r>
    </w:p>
    <w:p w14:paraId="1CCCD3FD" w14:textId="6BF466C5" w:rsidR="0052106B" w:rsidRPr="004B07F9" w:rsidRDefault="0052106B" w:rsidP="00B456F5">
      <w:pPr>
        <w:spacing w:after="120" w:line="276" w:lineRule="auto"/>
        <w:ind w:firstLine="709"/>
        <w:jc w:val="both"/>
        <w:rPr>
          <w:rFonts w:ascii="Verdana" w:hAnsi="Verdana" w:cs="Arial"/>
        </w:rPr>
      </w:pPr>
      <w:r w:rsidRPr="004B07F9">
        <w:rPr>
          <w:rFonts w:ascii="Verdana" w:hAnsi="Verdana" w:cs="Arial"/>
        </w:rPr>
        <w:t>Así las cosas, resulta a bien precisar que la administración no puede modificar unilateralmente los elementos esenciales de las ofertas ni incorporar factores externos que desnaturalicen la competencia. De hacerlo, se desconocen los principios de transparencia, economía y responsabilidad que rigen la contratación estatal.</w:t>
      </w:r>
      <w:r w:rsidR="003B3CF6" w:rsidRPr="004B07F9">
        <w:rPr>
          <w:rFonts w:ascii="Verdana" w:hAnsi="Verdana" w:cs="Arial"/>
        </w:rPr>
        <w:t xml:space="preserve"> </w:t>
      </w:r>
      <w:r w:rsidRPr="004B07F9">
        <w:rPr>
          <w:rFonts w:ascii="Verdana" w:hAnsi="Verdana" w:cs="Arial"/>
        </w:rPr>
        <w:t>En conclusión, la incorporación de valores ajenos a las propuestas vulnera el principio de selección objetiva, pues desvirtúa la comparación imparcial entre oferentes y afecta la confianza legítima en el procedimiento de contratación. La administración debe ceñirse estrictamente a los criterios definidos en los pliegos y a los valores efectivamente ofertados, garantizando así la igualdad y la transparencia en la adjudicación.</w:t>
      </w:r>
    </w:p>
    <w:p w14:paraId="1F339B0F" w14:textId="77777777" w:rsidR="006B3020" w:rsidRPr="004B07F9" w:rsidRDefault="006B3020" w:rsidP="00B456F5">
      <w:pPr>
        <w:spacing w:after="120" w:line="276" w:lineRule="auto"/>
        <w:ind w:firstLine="709"/>
        <w:jc w:val="both"/>
        <w:rPr>
          <w:rFonts w:ascii="Verdana" w:hAnsi="Verdana" w:cs="Arial"/>
          <w:lang w:val="es-ES"/>
        </w:rPr>
      </w:pPr>
      <w:r w:rsidRPr="004B07F9">
        <w:rPr>
          <w:rFonts w:ascii="Verdana" w:eastAsia="Arial" w:hAnsi="Verdana" w:cs="Arial"/>
          <w:lang w:val="es-ES"/>
        </w:rPr>
        <w:t xml:space="preserve">Finalmente debe advertirse, que el análisis para resolver problemas específicos en torno a los procesos de contratación debe ser realizado por </w:t>
      </w:r>
      <w:r w:rsidRPr="004B07F9">
        <w:rPr>
          <w:rFonts w:ascii="Verdana" w:eastAsia="Arial" w:hAnsi="Verdana" w:cs="Arial"/>
          <w:lang w:val="es-ES"/>
        </w:rPr>
        <w:lastRenderedPageBreak/>
        <w:t>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19D04B4B" w14:textId="77777777" w:rsidR="006B3020" w:rsidRPr="004B07F9" w:rsidRDefault="006B3020" w:rsidP="006B3020">
      <w:pPr>
        <w:spacing w:before="120" w:after="0" w:line="276" w:lineRule="auto"/>
        <w:ind w:firstLine="709"/>
        <w:jc w:val="both"/>
        <w:rPr>
          <w:rFonts w:ascii="Verdana" w:eastAsia="Arial" w:hAnsi="Verdana" w:cs="Arial"/>
          <w:lang w:val="es-ES"/>
        </w:rPr>
      </w:pPr>
      <w:r w:rsidRPr="004B07F9">
        <w:rPr>
          <w:rFonts w:ascii="Verdana" w:eastAsia="Arial" w:hAnsi="Verdana" w:cs="Arial"/>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7C458BF7" w14:textId="77777777" w:rsidR="00CE5601" w:rsidRPr="004B07F9" w:rsidRDefault="00CE5601" w:rsidP="00C14025">
      <w:pPr>
        <w:pBdr>
          <w:top w:val="nil"/>
          <w:left w:val="nil"/>
          <w:bottom w:val="nil"/>
          <w:right w:val="nil"/>
          <w:between w:val="nil"/>
        </w:pBdr>
        <w:spacing w:after="0" w:line="276" w:lineRule="auto"/>
        <w:jc w:val="both"/>
        <w:rPr>
          <w:rFonts w:ascii="Verdana" w:eastAsia="Calibri" w:hAnsi="Verdana" w:cs="Arial"/>
          <w:bCs/>
          <w:color w:val="000000" w:themeColor="text1"/>
          <w:lang w:val="es-ES_tradnl"/>
        </w:rPr>
      </w:pPr>
    </w:p>
    <w:p w14:paraId="13176AA9" w14:textId="77777777" w:rsidR="00CE5601" w:rsidRPr="004B07F9" w:rsidRDefault="00CE5601" w:rsidP="00C14025">
      <w:pPr>
        <w:pStyle w:val="Prrafodelista"/>
        <w:numPr>
          <w:ilvl w:val="0"/>
          <w:numId w:val="19"/>
        </w:numPr>
        <w:tabs>
          <w:tab w:val="left" w:pos="142"/>
          <w:tab w:val="left" w:pos="284"/>
        </w:tabs>
        <w:spacing w:after="0" w:line="276" w:lineRule="auto"/>
        <w:contextualSpacing w:val="0"/>
        <w:jc w:val="both"/>
        <w:rPr>
          <w:rFonts w:ascii="Verdana" w:eastAsia="Century Gothic" w:hAnsi="Verdana" w:cs="Century Gothic"/>
          <w:b/>
          <w:bCs/>
        </w:rPr>
      </w:pPr>
      <w:r w:rsidRPr="004B07F9">
        <w:rPr>
          <w:rFonts w:ascii="Verdana" w:eastAsia="Century Gothic" w:hAnsi="Verdana" w:cs="Century Gothic"/>
          <w:b/>
          <w:bCs/>
        </w:rPr>
        <w:t>Referencias normativas, jurisprudenciales y otras fuentes:</w:t>
      </w:r>
    </w:p>
    <w:p w14:paraId="0463867A" w14:textId="77777777" w:rsidR="00CE5601" w:rsidRPr="004B07F9" w:rsidRDefault="00CE5601" w:rsidP="00C14025">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E5601" w:rsidRPr="004B07F9" w14:paraId="52983C56" w14:textId="77777777" w:rsidTr="00FF7BB5">
        <w:trPr>
          <w:trHeight w:val="870"/>
        </w:trPr>
        <w:tc>
          <w:tcPr>
            <w:tcW w:w="8647" w:type="dxa"/>
          </w:tcPr>
          <w:p w14:paraId="792AA8D2" w14:textId="1A33BEB7" w:rsidR="00CE5601" w:rsidRPr="004B07F9" w:rsidRDefault="0014702F" w:rsidP="00B456F5">
            <w:pPr>
              <w:widowControl w:val="0"/>
              <w:numPr>
                <w:ilvl w:val="0"/>
                <w:numId w:val="18"/>
              </w:numPr>
              <w:autoSpaceDE w:val="0"/>
              <w:autoSpaceDN w:val="0"/>
              <w:spacing w:line="276" w:lineRule="auto"/>
              <w:jc w:val="both"/>
              <w:rPr>
                <w:rFonts w:ascii="Verdana" w:eastAsia="Arial MT" w:hAnsi="Verdana" w:cs="Arial"/>
                <w:lang w:val="es-ES" w:eastAsia="es-ES" w:bidi="es-ES"/>
              </w:rPr>
            </w:pPr>
            <w:r w:rsidRPr="004B07F9">
              <w:rPr>
                <w:rFonts w:ascii="Verdana" w:eastAsia="Arial" w:hAnsi="Verdana" w:cs="Arial"/>
                <w:color w:val="000000"/>
              </w:rPr>
              <w:t xml:space="preserve">Ley 1150 del 2007, </w:t>
            </w:r>
            <w:r w:rsidR="00F030C2" w:rsidRPr="004B07F9">
              <w:rPr>
                <w:rFonts w:ascii="Verdana" w:eastAsia="Arial" w:hAnsi="Verdana" w:cs="Arial"/>
                <w:color w:val="000000"/>
              </w:rPr>
              <w:t>a</w:t>
            </w:r>
            <w:r w:rsidRPr="004B07F9">
              <w:rPr>
                <w:rFonts w:ascii="Verdana" w:eastAsia="Arial" w:hAnsi="Verdana" w:cs="Arial"/>
                <w:color w:val="000000"/>
              </w:rPr>
              <w:t>rtículo 5</w:t>
            </w:r>
          </w:p>
          <w:p w14:paraId="791864E4" w14:textId="56B001AF" w:rsidR="00F030C2" w:rsidRPr="004B07F9" w:rsidRDefault="00F030C2" w:rsidP="00B456F5">
            <w:pPr>
              <w:widowControl w:val="0"/>
              <w:numPr>
                <w:ilvl w:val="0"/>
                <w:numId w:val="18"/>
              </w:numPr>
              <w:autoSpaceDE w:val="0"/>
              <w:autoSpaceDN w:val="0"/>
              <w:spacing w:line="276" w:lineRule="auto"/>
              <w:jc w:val="both"/>
              <w:rPr>
                <w:rFonts w:ascii="Verdana" w:eastAsia="Arial MT" w:hAnsi="Verdana" w:cs="Arial"/>
                <w:lang w:val="es-ES" w:eastAsia="es-ES" w:bidi="es-ES"/>
              </w:rPr>
            </w:pPr>
            <w:r w:rsidRPr="004B07F9">
              <w:rPr>
                <w:rFonts w:ascii="Verdana" w:eastAsia="Arial" w:hAnsi="Verdana" w:cs="Arial"/>
                <w:color w:val="000000"/>
                <w:lang w:val="es-ES"/>
              </w:rPr>
              <w:t xml:space="preserve">Decreto 1082 de 2015, artículo </w:t>
            </w:r>
            <w:r w:rsidR="007B4ECD" w:rsidRPr="004B07F9">
              <w:rPr>
                <w:rFonts w:ascii="Verdana" w:eastAsia="Arial" w:hAnsi="Verdana" w:cs="Arial"/>
                <w:color w:val="000000"/>
                <w:lang w:val="es-ES"/>
              </w:rPr>
              <w:t xml:space="preserve">2.2.1.1.2.2.2 </w:t>
            </w:r>
            <w:r w:rsidRPr="004B07F9">
              <w:rPr>
                <w:rFonts w:ascii="Verdana" w:eastAsia="Arial" w:hAnsi="Verdana" w:cs="Arial"/>
                <w:color w:val="000000"/>
                <w:lang w:val="es-ES"/>
              </w:rPr>
              <w:t xml:space="preserve"> </w:t>
            </w:r>
          </w:p>
          <w:p w14:paraId="60F0B9E4" w14:textId="48CA7A06" w:rsidR="00CE5601" w:rsidRPr="004B07F9" w:rsidRDefault="00C9537A" w:rsidP="00B456F5">
            <w:pPr>
              <w:widowControl w:val="0"/>
              <w:numPr>
                <w:ilvl w:val="0"/>
                <w:numId w:val="18"/>
              </w:numPr>
              <w:autoSpaceDE w:val="0"/>
              <w:autoSpaceDN w:val="0"/>
              <w:spacing w:line="276" w:lineRule="auto"/>
              <w:jc w:val="both"/>
              <w:rPr>
                <w:rFonts w:ascii="Verdana" w:eastAsia="Arial MT" w:hAnsi="Verdana" w:cs="Arial"/>
                <w:lang w:val="es-ES" w:eastAsia="es-ES" w:bidi="es-ES"/>
              </w:rPr>
            </w:pPr>
            <w:r w:rsidRPr="004B07F9">
              <w:rPr>
                <w:rFonts w:ascii="Verdana" w:eastAsia="Arial" w:hAnsi="Verdana" w:cs="Arial"/>
                <w:color w:val="000000"/>
              </w:rPr>
              <w:t>DÁVILA VINUEZA, Luis Guillermo. Régimen jurídico de la contratación estatal. Tercera edición, Bogotá: Legis, 2016. p. 355.</w:t>
            </w:r>
            <w:r w:rsidR="00CE5601" w:rsidRPr="004B07F9">
              <w:rPr>
                <w:rFonts w:ascii="Verdana" w:eastAsia="Arial" w:hAnsi="Verdana" w:cs="Arial"/>
                <w:color w:val="000000" w:themeColor="text1"/>
              </w:rPr>
              <w:t xml:space="preserve"> </w:t>
            </w:r>
          </w:p>
          <w:p w14:paraId="03690119" w14:textId="77777777" w:rsidR="00CE5601" w:rsidRPr="004B07F9" w:rsidRDefault="008F13E5" w:rsidP="00B456F5">
            <w:pPr>
              <w:widowControl w:val="0"/>
              <w:numPr>
                <w:ilvl w:val="0"/>
                <w:numId w:val="18"/>
              </w:numPr>
              <w:autoSpaceDE w:val="0"/>
              <w:autoSpaceDN w:val="0"/>
              <w:spacing w:line="276" w:lineRule="auto"/>
              <w:jc w:val="both"/>
              <w:rPr>
                <w:rFonts w:ascii="Verdana" w:hAnsi="Verdana" w:cs="Arial"/>
              </w:rPr>
            </w:pPr>
            <w:r w:rsidRPr="004B07F9">
              <w:rPr>
                <w:rFonts w:ascii="Verdana" w:hAnsi="Verdana" w:cs="Arial"/>
              </w:rPr>
              <w:t>RODRÍGUEZ TAMAYO, Mauricio F. Evaluación y rechazo de ofertas en la Ley 80 de 1993. Primera edición. Medellín: Librería Jurídica Sánchez, 2016. pp. 110-111.</w:t>
            </w:r>
          </w:p>
          <w:p w14:paraId="5CAC21C4" w14:textId="40B8DFF9" w:rsidR="00AB0BEB" w:rsidRPr="004B07F9" w:rsidRDefault="00AB0BEB" w:rsidP="00B456F5">
            <w:pPr>
              <w:widowControl w:val="0"/>
              <w:numPr>
                <w:ilvl w:val="0"/>
                <w:numId w:val="18"/>
              </w:numPr>
              <w:autoSpaceDE w:val="0"/>
              <w:autoSpaceDN w:val="0"/>
              <w:spacing w:line="276" w:lineRule="auto"/>
              <w:jc w:val="both"/>
              <w:rPr>
                <w:rFonts w:ascii="Verdana" w:hAnsi="Verdana" w:cs="Arial"/>
              </w:rPr>
            </w:pPr>
            <w:r w:rsidRPr="004B07F9">
              <w:rPr>
                <w:rFonts w:ascii="Verdana" w:hAnsi="Verdana" w:cs="Arial"/>
              </w:rPr>
              <w:t>EXPÓSITO VELEZ, Juan C., El deber de selección objetiva, en: Del contrato estatal a los sistemas de compras públicas, por COVILLA MARTINEZ Juan C. y LOZANO VILLEGAS Germán (Eds.). Universidad Externado de Colombia, Bogotá, 2019. págs. 118-184.</w:t>
            </w:r>
          </w:p>
        </w:tc>
      </w:tr>
    </w:tbl>
    <w:p w14:paraId="354F8ACE" w14:textId="77777777" w:rsidR="00CE5601" w:rsidRPr="004B07F9" w:rsidRDefault="00CE5601" w:rsidP="00C14025">
      <w:pPr>
        <w:widowControl w:val="0"/>
        <w:autoSpaceDE w:val="0"/>
        <w:autoSpaceDN w:val="0"/>
        <w:spacing w:after="0" w:line="276" w:lineRule="auto"/>
        <w:jc w:val="both"/>
        <w:rPr>
          <w:rFonts w:ascii="Verdana" w:hAnsi="Verdana" w:cs="Arial"/>
        </w:rPr>
      </w:pPr>
    </w:p>
    <w:p w14:paraId="478CD953" w14:textId="77777777" w:rsidR="00CE5601" w:rsidRPr="004B07F9" w:rsidRDefault="00CE5601" w:rsidP="00C14025">
      <w:pPr>
        <w:pStyle w:val="Prrafodelista"/>
        <w:numPr>
          <w:ilvl w:val="0"/>
          <w:numId w:val="19"/>
        </w:numPr>
        <w:tabs>
          <w:tab w:val="left" w:pos="142"/>
          <w:tab w:val="left" w:pos="284"/>
        </w:tabs>
        <w:spacing w:after="0" w:line="276" w:lineRule="auto"/>
        <w:ind w:left="0" w:firstLine="0"/>
        <w:contextualSpacing w:val="0"/>
        <w:jc w:val="both"/>
        <w:rPr>
          <w:rFonts w:ascii="Verdana" w:eastAsia="Century Gothic" w:hAnsi="Verdana" w:cs="Arial"/>
          <w:b/>
          <w:bCs/>
        </w:rPr>
      </w:pPr>
      <w:r w:rsidRPr="004B07F9">
        <w:rPr>
          <w:rFonts w:ascii="Verdana" w:eastAsia="Century Gothic" w:hAnsi="Verdana" w:cs="Arial"/>
          <w:b/>
          <w:bCs/>
        </w:rPr>
        <w:t>Doctrina de la Agencia Nacional de Contratación Pública:</w:t>
      </w:r>
    </w:p>
    <w:p w14:paraId="017A32DA" w14:textId="77777777" w:rsidR="00CE5601" w:rsidRPr="004B07F9" w:rsidRDefault="00CE5601" w:rsidP="00C14025">
      <w:pPr>
        <w:widowControl w:val="0"/>
        <w:autoSpaceDE w:val="0"/>
        <w:autoSpaceDN w:val="0"/>
        <w:spacing w:after="0" w:line="276" w:lineRule="auto"/>
        <w:jc w:val="both"/>
        <w:rPr>
          <w:rFonts w:ascii="Verdana" w:hAnsi="Verdana" w:cs="Arial"/>
        </w:rPr>
      </w:pPr>
    </w:p>
    <w:p w14:paraId="231F57C3" w14:textId="2C534BFB" w:rsidR="00CE5601" w:rsidRPr="004B07F9" w:rsidRDefault="0035133F" w:rsidP="00C14025">
      <w:pPr>
        <w:widowControl w:val="0"/>
        <w:autoSpaceDE w:val="0"/>
        <w:autoSpaceDN w:val="0"/>
        <w:spacing w:after="0" w:line="276" w:lineRule="auto"/>
        <w:jc w:val="both"/>
        <w:rPr>
          <w:rFonts w:ascii="Verdana" w:hAnsi="Verdana" w:cs="Arial"/>
          <w:shd w:val="clear" w:color="auto" w:fill="FFFFFF"/>
        </w:rPr>
      </w:pPr>
      <w:r w:rsidRPr="004B07F9">
        <w:rPr>
          <w:rFonts w:ascii="Verdana" w:hAnsi="Verdana" w:cs="Arial"/>
          <w:shd w:val="clear" w:color="auto" w:fill="FFFFFF"/>
        </w:rPr>
        <w:t xml:space="preserve">La Subdirección de gestión contractual de la Agencia Nacional de Contratación Pública – Colombia Compra Eficiente </w:t>
      </w:r>
      <w:r w:rsidRPr="004B07F9">
        <w:rPr>
          <w:rFonts w:ascii="Verdana" w:hAnsi="Verdana" w:cs="Arial"/>
          <w:shd w:val="clear" w:color="auto" w:fill="FFFFFF"/>
          <w:lang w:val="es-MX"/>
        </w:rPr>
        <w:t xml:space="preserve">se ha referido </w:t>
      </w:r>
      <w:r w:rsidRPr="004B07F9">
        <w:rPr>
          <w:rFonts w:ascii="Verdana" w:hAnsi="Verdana" w:cs="Arial"/>
          <w:shd w:val="clear" w:color="auto" w:fill="FFFFFF"/>
          <w:lang w:val="es-ES"/>
        </w:rPr>
        <w:t>a</w:t>
      </w:r>
      <w:r w:rsidRPr="004B07F9">
        <w:rPr>
          <w:rFonts w:ascii="Verdana" w:hAnsi="Verdana" w:cs="Arial"/>
          <w:shd w:val="clear" w:color="auto" w:fill="FFFFFF"/>
        </w:rPr>
        <w:t xml:space="preserve"> principio de selección objetiva en los conceptos C-218 del 2 de abril</w:t>
      </w:r>
      <w:r w:rsidRPr="004B07F9">
        <w:rPr>
          <w:rFonts w:ascii="Verdana" w:hAnsi="Verdana" w:cs="Arial"/>
          <w:bCs/>
          <w:shd w:val="clear" w:color="auto" w:fill="FFFFFF"/>
          <w:lang w:val="es-ES_tradnl"/>
        </w:rPr>
        <w:t xml:space="preserve"> de 2020, C-083 del 18 de marzo de 2021, C-691 del 28 de diciembre de 2021, C-431 del 7 de julio de 2022, </w:t>
      </w:r>
      <w:r w:rsidRPr="004B07F9">
        <w:rPr>
          <w:rFonts w:ascii="Verdana" w:hAnsi="Verdana" w:cs="Arial"/>
          <w:shd w:val="clear" w:color="auto" w:fill="FFFFFF"/>
          <w:lang w:val="es-ES"/>
        </w:rPr>
        <w:t>C-102 del 08 de julio de 2024,</w:t>
      </w:r>
      <w:r w:rsidRPr="004B07F9">
        <w:rPr>
          <w:rFonts w:ascii="Verdana" w:hAnsi="Verdana" w:cs="Arial"/>
          <w:b/>
          <w:bCs/>
          <w:shd w:val="clear" w:color="auto" w:fill="FFFFFF"/>
          <w:lang w:val="es-ES"/>
        </w:rPr>
        <w:t xml:space="preserve"> </w:t>
      </w:r>
      <w:r w:rsidRPr="004B07F9">
        <w:rPr>
          <w:rFonts w:ascii="Verdana" w:hAnsi="Verdana" w:cs="Arial"/>
          <w:bCs/>
          <w:shd w:val="clear" w:color="auto" w:fill="FFFFFF"/>
          <w:lang w:val="es-ES_tradnl"/>
        </w:rPr>
        <w:t xml:space="preserve">C-457 del 24 de septiembre de 2024, C-597 del 8 </w:t>
      </w:r>
      <w:r w:rsidRPr="004B07F9">
        <w:rPr>
          <w:rFonts w:ascii="Verdana" w:hAnsi="Verdana" w:cs="Arial"/>
          <w:bCs/>
          <w:shd w:val="clear" w:color="auto" w:fill="FFFFFF"/>
          <w:lang w:val="es-ES_tradnl"/>
        </w:rPr>
        <w:lastRenderedPageBreak/>
        <w:t xml:space="preserve">de noviembre de 2024, C-625 del 29 de noviembre de 2024, C-232 del 1 de abril de 2025, C-442 del 21 de mayo de 2025, C-722 del 7 de julio de 2025, </w:t>
      </w:r>
      <w:r w:rsidRPr="004B07F9">
        <w:rPr>
          <w:rFonts w:ascii="Verdana" w:hAnsi="Verdana" w:cs="Arial"/>
          <w:shd w:val="clear" w:color="auto" w:fill="FFFFFF"/>
        </w:rPr>
        <w:t xml:space="preserve">C-719 del 15 de julio de 2025, </w:t>
      </w:r>
      <w:r w:rsidRPr="004B07F9">
        <w:rPr>
          <w:rFonts w:ascii="Verdana" w:hAnsi="Verdana" w:cs="Arial"/>
          <w:bCs/>
          <w:shd w:val="clear" w:color="auto" w:fill="FFFFFF"/>
          <w:lang w:val="es-ES_tradnl"/>
        </w:rPr>
        <w:t xml:space="preserve">C-768 del 18 de julio de 2025, </w:t>
      </w:r>
      <w:r w:rsidRPr="004B07F9">
        <w:rPr>
          <w:rFonts w:ascii="Verdana" w:hAnsi="Verdana" w:cs="Arial"/>
          <w:shd w:val="clear" w:color="auto" w:fill="FFFFFF"/>
        </w:rPr>
        <w:t>C-790 del 25 de julio de 2025, C-736 del 18 de noviembre de 2025, C-919 del 22 de agosto de 2025, C-</w:t>
      </w:r>
      <w:r w:rsidR="006F0224" w:rsidRPr="004B07F9">
        <w:rPr>
          <w:rFonts w:ascii="Verdana" w:hAnsi="Verdana"/>
        </w:rPr>
        <w:t xml:space="preserve"> </w:t>
      </w:r>
      <w:r w:rsidR="006F0224" w:rsidRPr="004B07F9">
        <w:rPr>
          <w:rFonts w:ascii="Verdana" w:hAnsi="Verdana" w:cs="Arial"/>
          <w:shd w:val="clear" w:color="auto" w:fill="FFFFFF"/>
        </w:rPr>
        <w:t xml:space="preserve">1020  del 02 de septiembre del 2025, </w:t>
      </w:r>
      <w:r w:rsidR="00141E77" w:rsidRPr="004B07F9">
        <w:rPr>
          <w:rFonts w:ascii="Verdana" w:hAnsi="Verdana" w:cs="Arial"/>
          <w:shd w:val="clear" w:color="auto" w:fill="FFFFFF"/>
        </w:rPr>
        <w:t>C-006</w:t>
      </w:r>
      <w:r w:rsidR="004122FD" w:rsidRPr="004B07F9">
        <w:rPr>
          <w:rFonts w:ascii="Verdana" w:hAnsi="Verdana" w:cs="Arial"/>
          <w:shd w:val="clear" w:color="auto" w:fill="FFFFFF"/>
        </w:rPr>
        <w:t xml:space="preserve"> del 13 de febrero del 2026 y </w:t>
      </w:r>
      <w:r w:rsidR="00B65852" w:rsidRPr="004B07F9">
        <w:rPr>
          <w:rFonts w:ascii="Verdana" w:hAnsi="Verdana" w:cs="Arial"/>
          <w:shd w:val="clear" w:color="auto" w:fill="FFFFFF"/>
        </w:rPr>
        <w:t>C-135 del 19 de febrero del 2026</w:t>
      </w:r>
      <w:r w:rsidR="004122FD" w:rsidRPr="004B07F9">
        <w:rPr>
          <w:rFonts w:ascii="Verdana" w:hAnsi="Verdana" w:cs="Arial"/>
          <w:shd w:val="clear" w:color="auto" w:fill="FFFFFF"/>
        </w:rPr>
        <w:t xml:space="preserve">, </w:t>
      </w:r>
      <w:r w:rsidRPr="004B07F9">
        <w:rPr>
          <w:rFonts w:ascii="Verdana" w:hAnsi="Verdana" w:cs="Arial"/>
          <w:shd w:val="clear" w:color="auto" w:fill="FFFFFF"/>
        </w:rPr>
        <w:t>entre otros</w:t>
      </w:r>
      <w:r w:rsidR="004122FD" w:rsidRPr="004B07F9">
        <w:rPr>
          <w:rFonts w:ascii="Verdana" w:hAnsi="Verdana" w:cs="Arial"/>
          <w:shd w:val="clear" w:color="auto" w:fill="FFFFFF"/>
        </w:rPr>
        <w:t xml:space="preserve">. </w:t>
      </w:r>
      <w:r w:rsidR="00CE5601" w:rsidRPr="004B07F9">
        <w:rPr>
          <w:rFonts w:ascii="Verdana" w:hAnsi="Verdana" w:cs="Arial"/>
        </w:rPr>
        <w:t>Estos y otros conceptos se encuentran disponibles para consulta en el Sistema de relatoría de la Agencia, al cual se puede acceder a través del siguiente enlace:</w:t>
      </w:r>
      <w:r w:rsidR="00CE5601" w:rsidRPr="004B07F9">
        <w:rPr>
          <w:rFonts w:ascii="Verdana" w:hAnsi="Verdana" w:cs="Arial"/>
          <w:shd w:val="clear" w:color="auto" w:fill="FFFFFF"/>
        </w:rPr>
        <w:t xml:space="preserve"> </w:t>
      </w:r>
      <w:hyperlink r:id="rId13" w:history="1">
        <w:r w:rsidR="00CE5601" w:rsidRPr="004B07F9">
          <w:rPr>
            <w:rStyle w:val="Hipervnculo"/>
            <w:rFonts w:ascii="Verdana" w:hAnsi="Verdana" w:cs="Arial"/>
            <w:shd w:val="clear" w:color="auto" w:fill="FFFFFF"/>
          </w:rPr>
          <w:t>https://relatoria.colombiacompra.gov.co/busqueda/conceptos</w:t>
        </w:r>
      </w:hyperlink>
      <w:r w:rsidR="00CE5601" w:rsidRPr="004B07F9">
        <w:rPr>
          <w:rFonts w:ascii="Verdana" w:hAnsi="Verdana" w:cs="Arial"/>
          <w:shd w:val="clear" w:color="auto" w:fill="FFFFFF"/>
        </w:rPr>
        <w:t>.</w:t>
      </w:r>
      <w:r w:rsidR="00CE5601" w:rsidRPr="004B07F9">
        <w:rPr>
          <w:rFonts w:ascii="Verdana" w:hAnsi="Verdana" w:cs="Arial"/>
          <w:color w:val="FF0000"/>
          <w:shd w:val="clear" w:color="auto" w:fill="FFFFFF"/>
        </w:rPr>
        <w:t xml:space="preserve"> </w:t>
      </w:r>
      <w:r w:rsidR="00CE5601" w:rsidRPr="004B07F9">
        <w:rPr>
          <w:rFonts w:ascii="Verdana" w:hAnsi="Verdana" w:cs="Arial"/>
          <w:color w:val="000000" w:themeColor="text1"/>
          <w:shd w:val="clear" w:color="auto" w:fill="FFFFFF"/>
        </w:rPr>
        <w:t>  </w:t>
      </w:r>
    </w:p>
    <w:p w14:paraId="04768B11" w14:textId="77777777" w:rsidR="00CE5601" w:rsidRPr="004B07F9" w:rsidRDefault="00CE5601" w:rsidP="00C14025">
      <w:pPr>
        <w:spacing w:after="0" w:line="276" w:lineRule="auto"/>
        <w:jc w:val="both"/>
        <w:rPr>
          <w:rFonts w:ascii="Verdana" w:hAnsi="Verdana" w:cs="Arial"/>
        </w:rPr>
      </w:pPr>
    </w:p>
    <w:p w14:paraId="52C1B9A1" w14:textId="77777777" w:rsidR="00CE5601" w:rsidRPr="004B07F9" w:rsidRDefault="00CE5601" w:rsidP="00C14025">
      <w:pPr>
        <w:spacing w:after="0" w:line="276" w:lineRule="auto"/>
        <w:jc w:val="both"/>
        <w:rPr>
          <w:rFonts w:ascii="Verdana" w:hAnsi="Verdana" w:cs="Arial"/>
        </w:rPr>
      </w:pPr>
      <w:r w:rsidRPr="004B07F9">
        <w:rPr>
          <w:rFonts w:ascii="Verdana" w:hAnsi="Verdana" w:cs="Arial"/>
        </w:rPr>
        <w:t xml:space="preserve">La sostenibilidad no es una opción, es una obligación. Por ello, la Agencia Nacional de Contratación Pública –Colombia Compra Eficiente– te invita a realizar el </w:t>
      </w:r>
      <w:r w:rsidRPr="004B07F9">
        <w:rPr>
          <w:rFonts w:ascii="Verdana" w:hAnsi="Verdana" w:cs="Arial"/>
          <w:b/>
          <w:bCs/>
        </w:rPr>
        <w:t>Curso de Contratación Pública Sostenible y Socialmente Responsable</w:t>
      </w:r>
      <w:r w:rsidRPr="004B07F9">
        <w:rPr>
          <w:rFonts w:ascii="Verdana" w:hAnsi="Verdana" w:cs="Ari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4B07F9">
        <w:rPr>
          <w:rFonts w:ascii="Verdana" w:hAnsi="Verdana" w:cs="Arial"/>
        </w:rPr>
        <w:br/>
      </w:r>
      <w:hyperlink r:id="rId14" w:tgtFrame="_new" w:history="1">
        <w:r w:rsidRPr="004B07F9">
          <w:rPr>
            <w:rStyle w:val="Hipervnculo"/>
            <w:rFonts w:ascii="Verdana" w:hAnsi="Verdana" w:cs="Arial"/>
          </w:rPr>
          <w:t>https://formacionvirtual.colombiacompra.gov.co/mod/page/view.php?id=3718</w:t>
        </w:r>
      </w:hyperlink>
    </w:p>
    <w:p w14:paraId="6CFB4701" w14:textId="77777777" w:rsidR="00CE5601" w:rsidRPr="004B07F9" w:rsidRDefault="00CE5601" w:rsidP="00C14025">
      <w:pPr>
        <w:spacing w:after="0" w:line="276" w:lineRule="auto"/>
        <w:jc w:val="both"/>
        <w:rPr>
          <w:rFonts w:ascii="Verdana" w:hAnsi="Verdana" w:cs="Arial"/>
        </w:rPr>
      </w:pPr>
    </w:p>
    <w:p w14:paraId="7EDFD251" w14:textId="77777777" w:rsidR="00CE5601" w:rsidRPr="004B07F9" w:rsidRDefault="00CE5601" w:rsidP="00C14025">
      <w:pPr>
        <w:spacing w:after="0" w:line="276" w:lineRule="auto"/>
        <w:jc w:val="both"/>
        <w:rPr>
          <w:rFonts w:ascii="Verdana" w:hAnsi="Verdana" w:cs="Arial"/>
        </w:rPr>
      </w:pPr>
      <w:r w:rsidRPr="004B07F9">
        <w:rPr>
          <w:rFonts w:ascii="Verdana" w:hAnsi="Verdana" w:cs="Arial"/>
        </w:rPr>
        <w:t xml:space="preserve">De otro lado, te contamos que esta Agencia ha da un paso decisivo en la estandarización y modernización del </w:t>
      </w:r>
      <w:r w:rsidRPr="004B07F9">
        <w:rPr>
          <w:rFonts w:ascii="Verdana" w:hAnsi="Verdana" w:cs="Arial"/>
          <w:b/>
          <w:bCs/>
        </w:rPr>
        <w:t>sector  social</w:t>
      </w:r>
      <w:r w:rsidRPr="004B07F9">
        <w:rPr>
          <w:rFonts w:ascii="Verdana" w:hAnsi="Verdana" w:cs="Arial"/>
        </w:rPr>
        <w:t xml:space="preserve"> con la expedición de las </w:t>
      </w:r>
      <w:r w:rsidRPr="004B07F9">
        <w:rPr>
          <w:rFonts w:ascii="Verdana" w:hAnsi="Verdana" w:cs="Arial"/>
          <w:b/>
          <w:bCs/>
        </w:rPr>
        <w:t>Resoluciones 539, 540, 541, 952 y 953 de 2025</w:t>
      </w:r>
      <w:r w:rsidRPr="004B07F9">
        <w:rPr>
          <w:rFonts w:ascii="Verdana" w:hAnsi="Verdana" w:cs="Arial"/>
        </w:rPr>
        <w:t xml:space="preserve">, </w:t>
      </w:r>
      <w:r w:rsidRPr="004B07F9">
        <w:rPr>
          <w:rFonts w:ascii="Verdana" w:hAnsi="Verdana" w:cs="Arial"/>
          <w:b/>
          <w:bCs/>
        </w:rPr>
        <w:t>mediante las cuales adoptó Documentos Tipo</w:t>
      </w:r>
      <w:r w:rsidRPr="004B07F9">
        <w:rPr>
          <w:rFonts w:ascii="Verdana" w:hAnsi="Verdana" w:cs="Arial"/>
        </w:rPr>
        <w:t xml:space="preserve"> para las modalidades de selección de</w:t>
      </w:r>
      <w:r w:rsidRPr="004B07F9">
        <w:rPr>
          <w:rFonts w:ascii="Verdana" w:hAnsi="Verdana" w:cs="Arial"/>
          <w:b/>
          <w:bCs/>
        </w:rPr>
        <w:t xml:space="preserve"> licitación pública (versión 2), selección abreviada de menor cuantía, mínima cuantía, consultoría e interventoría</w:t>
      </w:r>
      <w:r w:rsidRPr="004B07F9">
        <w:rPr>
          <w:rFonts w:ascii="Verdana"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4B07F9">
          <w:rPr>
            <w:rStyle w:val="Hipervnculo"/>
            <w:rFonts w:ascii="Verdana" w:hAnsi="Verdana" w:cs="Arial"/>
          </w:rPr>
          <w:t>https://www.colombiacompra.gov.co/normativa-y-relatoria/documentos-tipo</w:t>
        </w:r>
      </w:hyperlink>
    </w:p>
    <w:p w14:paraId="6B946F6D" w14:textId="77777777" w:rsidR="00CE5601" w:rsidRPr="004B07F9" w:rsidRDefault="00CE5601" w:rsidP="00C14025">
      <w:pPr>
        <w:spacing w:after="0" w:line="276" w:lineRule="auto"/>
        <w:jc w:val="both"/>
        <w:rPr>
          <w:rFonts w:ascii="Verdana" w:hAnsi="Verdana" w:cs="Arial"/>
        </w:rPr>
      </w:pPr>
    </w:p>
    <w:p w14:paraId="38838822" w14:textId="77777777" w:rsidR="00CE5601" w:rsidRPr="004B07F9" w:rsidRDefault="00CE5601" w:rsidP="00C14025">
      <w:pPr>
        <w:spacing w:after="0" w:line="276" w:lineRule="auto"/>
        <w:jc w:val="both"/>
        <w:rPr>
          <w:rFonts w:ascii="Verdana" w:hAnsi="Verdana" w:cs="Arial"/>
        </w:rPr>
      </w:pPr>
      <w:r w:rsidRPr="004B07F9">
        <w:rPr>
          <w:rFonts w:ascii="Verdana" w:hAnsi="Verdana" w:cs="Arial"/>
        </w:rPr>
        <w:t xml:space="preserve">Si quieres conocer más sobre la aplicación de Documentos Tipo puedes consultar la última versión de la </w:t>
      </w:r>
      <w:r w:rsidRPr="004B07F9">
        <w:rPr>
          <w:rFonts w:ascii="Verdana" w:hAnsi="Verdana" w:cs="Arial"/>
          <w:b/>
          <w:bCs/>
        </w:rPr>
        <w:t>Guía para la comprensión e implementación de los Documentos Tipo de obra pública de infraestructura de transporte</w:t>
      </w:r>
      <w:r w:rsidRPr="004B07F9">
        <w:rPr>
          <w:rFonts w:ascii="Verdana" w:hAnsi="Verdana" w:cs="Arial"/>
        </w:rPr>
        <w:t xml:space="preserve">. En esta actualización se incorporaron orientaciones prácticas dirigidas a entidades públicas, proveedores, organismos de control y demás interesados, con el propósito de facilitar la adecuada implementación de estos instrumentos en los </w:t>
      </w:r>
      <w:r w:rsidRPr="004B07F9">
        <w:rPr>
          <w:rFonts w:ascii="Verdana" w:hAnsi="Verdana" w:cs="Arial"/>
        </w:rPr>
        <w:lastRenderedPageBreak/>
        <w:t>procesos contractuales. Además se incluyeron lineamientos que orientan la implementación de los criterios ambientales y sociales incluidos en los documentos tipo: Consulta la guía aquí:</w:t>
      </w:r>
      <w:r w:rsidRPr="004B07F9">
        <w:rPr>
          <w:rFonts w:ascii="Verdana" w:hAnsi="Verdana" w:cs="Arial"/>
        </w:rPr>
        <w:br/>
      </w:r>
      <w:hyperlink r:id="rId16" w:tgtFrame="_new" w:history="1">
        <w:r w:rsidRPr="004B07F9">
          <w:rPr>
            <w:rStyle w:val="Hipervnculo"/>
            <w:rFonts w:ascii="Verdana" w:hAnsi="Verdana" w:cs="Arial"/>
          </w:rPr>
          <w:t>https://www.colombiacompra.gov.co/archivos/manual/guia-para-la-comprension-e-implementacion-de-los-documentos-tipo-de-obra-publica-de-infraestructura-de-transporte-bajo-las-diferentes-modalidades-de-contratacion-vigentes</w:t>
        </w:r>
      </w:hyperlink>
    </w:p>
    <w:p w14:paraId="290A4A9B" w14:textId="77777777" w:rsidR="00CE5601" w:rsidRPr="004B07F9" w:rsidRDefault="00CE5601" w:rsidP="00C14025">
      <w:pPr>
        <w:spacing w:after="0" w:line="276" w:lineRule="auto"/>
        <w:jc w:val="both"/>
        <w:rPr>
          <w:rFonts w:ascii="Verdana" w:hAnsi="Verdana" w:cs="Arial"/>
        </w:rPr>
      </w:pPr>
    </w:p>
    <w:p w14:paraId="0ADCF660" w14:textId="77777777" w:rsidR="00CE5601" w:rsidRPr="004B07F9" w:rsidRDefault="00CE5601" w:rsidP="00C14025">
      <w:pPr>
        <w:spacing w:after="0" w:line="276" w:lineRule="auto"/>
        <w:jc w:val="both"/>
        <w:rPr>
          <w:rFonts w:ascii="Verdana" w:hAnsi="Verdana" w:cs="Arial"/>
        </w:rPr>
      </w:pPr>
      <w:r w:rsidRPr="004B07F9">
        <w:rPr>
          <w:rFonts w:ascii="Verdana" w:hAnsi="Verdana" w:cs="Arial"/>
        </w:rPr>
        <w:t xml:space="preserve">Por último, lo invitamos a seguirnos en las redes sociales en las cuales se difunde información institucional: </w:t>
      </w:r>
    </w:p>
    <w:p w14:paraId="59E48116" w14:textId="77777777" w:rsidR="00CE5601" w:rsidRPr="004B07F9" w:rsidRDefault="00CE5601" w:rsidP="00C14025">
      <w:pPr>
        <w:spacing w:after="0" w:line="276" w:lineRule="auto"/>
        <w:jc w:val="both"/>
        <w:rPr>
          <w:rFonts w:ascii="Verdana" w:hAnsi="Verdana" w:cs="Arial"/>
        </w:rPr>
      </w:pPr>
    </w:p>
    <w:p w14:paraId="2E391C62" w14:textId="77777777" w:rsidR="00CE5601" w:rsidRPr="004B07F9" w:rsidRDefault="00CE5601" w:rsidP="00C14025">
      <w:pPr>
        <w:spacing w:after="0" w:line="276" w:lineRule="auto"/>
        <w:jc w:val="both"/>
        <w:rPr>
          <w:rFonts w:ascii="Verdana" w:hAnsi="Verdana" w:cs="Arial"/>
        </w:rPr>
      </w:pPr>
      <w:r w:rsidRPr="004B07F9">
        <w:rPr>
          <w:rFonts w:ascii="Verdana" w:hAnsi="Verdana" w:cs="Arial"/>
        </w:rPr>
        <w:t xml:space="preserve">Twitter: </w:t>
      </w:r>
      <w:r w:rsidRPr="004B07F9">
        <w:rPr>
          <w:rStyle w:val="Hipervnculo"/>
          <w:rFonts w:ascii="Verdana" w:hAnsi="Verdana" w:cs="Arial"/>
          <w:color w:val="4472C4" w:themeColor="accent1"/>
        </w:rPr>
        <w:t>@colombiacompra</w:t>
      </w:r>
      <w:r w:rsidRPr="004B07F9">
        <w:rPr>
          <w:rFonts w:ascii="Verdana" w:hAnsi="Verdana" w:cs="Arial"/>
          <w:color w:val="4472C4" w:themeColor="accent1"/>
        </w:rPr>
        <w:t xml:space="preserve"> </w:t>
      </w:r>
    </w:p>
    <w:p w14:paraId="6002AAF3" w14:textId="77777777" w:rsidR="00CE5601" w:rsidRPr="004B07F9" w:rsidRDefault="00CE5601" w:rsidP="00C14025">
      <w:pPr>
        <w:spacing w:after="0" w:line="276" w:lineRule="auto"/>
        <w:jc w:val="both"/>
        <w:rPr>
          <w:rFonts w:ascii="Verdana" w:hAnsi="Verdana" w:cs="Arial"/>
        </w:rPr>
      </w:pPr>
      <w:r w:rsidRPr="004B07F9">
        <w:rPr>
          <w:rFonts w:ascii="Verdana" w:hAnsi="Verdana" w:cs="Arial"/>
        </w:rPr>
        <w:t xml:space="preserve">Facebook: </w:t>
      </w:r>
      <w:r w:rsidRPr="004B07F9">
        <w:rPr>
          <w:rStyle w:val="Hipervnculo"/>
          <w:rFonts w:ascii="Verdana" w:hAnsi="Verdana" w:cs="Arial"/>
          <w:color w:val="4472C4" w:themeColor="accent1"/>
        </w:rPr>
        <w:t>ColombiaCompraEficiente</w:t>
      </w:r>
    </w:p>
    <w:p w14:paraId="616513D4" w14:textId="77777777" w:rsidR="00CE5601" w:rsidRPr="004B07F9" w:rsidRDefault="00CE5601" w:rsidP="00C14025">
      <w:pPr>
        <w:spacing w:after="0" w:line="276" w:lineRule="auto"/>
        <w:jc w:val="both"/>
        <w:rPr>
          <w:rStyle w:val="Hipervnculo"/>
          <w:rFonts w:ascii="Verdana" w:hAnsi="Verdana" w:cs="Arial"/>
          <w:color w:val="4472C4" w:themeColor="accent1"/>
        </w:rPr>
      </w:pPr>
      <w:r w:rsidRPr="004B07F9">
        <w:rPr>
          <w:rFonts w:ascii="Verdana" w:hAnsi="Verdana" w:cs="Arial"/>
        </w:rPr>
        <w:t xml:space="preserve">LinkedIn: </w:t>
      </w:r>
      <w:r w:rsidRPr="004B07F9">
        <w:rPr>
          <w:rStyle w:val="Hipervnculo"/>
          <w:rFonts w:ascii="Verdana" w:hAnsi="Verdana" w:cs="Arial"/>
          <w:color w:val="4472C4" w:themeColor="accent1"/>
        </w:rPr>
        <w:t>Agencia Nacional de Contratación Pública - Colombia Compra Eficiente</w:t>
      </w:r>
      <w:r w:rsidRPr="004B07F9">
        <w:rPr>
          <w:rFonts w:ascii="Verdana" w:hAnsi="Verdana" w:cs="Arial"/>
          <w:color w:val="4472C4" w:themeColor="accent1"/>
        </w:rPr>
        <w:t xml:space="preserve"> </w:t>
      </w:r>
      <w:r w:rsidRPr="004B07F9">
        <w:rPr>
          <w:rFonts w:ascii="Verdana" w:hAnsi="Verdana" w:cs="Arial"/>
        </w:rPr>
        <w:t xml:space="preserve">Instagram: </w:t>
      </w:r>
      <w:r w:rsidRPr="004B07F9">
        <w:rPr>
          <w:rStyle w:val="Hipervnculo"/>
          <w:rFonts w:ascii="Verdana" w:hAnsi="Verdana" w:cs="Arial"/>
          <w:color w:val="4472C4" w:themeColor="accent1"/>
        </w:rPr>
        <w:t>@colombiacompraeficiente_cce</w:t>
      </w:r>
    </w:p>
    <w:p w14:paraId="7DB686E6" w14:textId="77777777" w:rsidR="00CE5601" w:rsidRPr="004B07F9" w:rsidRDefault="00CE5601" w:rsidP="00C14025">
      <w:pPr>
        <w:spacing w:after="0" w:line="276" w:lineRule="auto"/>
        <w:jc w:val="both"/>
        <w:rPr>
          <w:rStyle w:val="Hipervnculo"/>
          <w:rFonts w:ascii="Verdana" w:hAnsi="Verdana" w:cs="Arial"/>
          <w:color w:val="4472C4" w:themeColor="accent1"/>
        </w:rPr>
      </w:pPr>
    </w:p>
    <w:p w14:paraId="5E62326B" w14:textId="77777777" w:rsidR="00CE5601" w:rsidRPr="004B07F9" w:rsidRDefault="00CE5601" w:rsidP="00C14025">
      <w:pPr>
        <w:widowControl w:val="0"/>
        <w:autoSpaceDE w:val="0"/>
        <w:autoSpaceDN w:val="0"/>
        <w:spacing w:after="0" w:line="276" w:lineRule="auto"/>
        <w:jc w:val="both"/>
        <w:rPr>
          <w:rFonts w:ascii="Verdana" w:hAnsi="Verdana" w:cs="Arial"/>
          <w:lang w:val="es-ES_tradnl"/>
        </w:rPr>
      </w:pPr>
      <w:r w:rsidRPr="004B07F9">
        <w:rPr>
          <w:rFonts w:ascii="Verdana" w:hAnsi="Verdana" w:cs="Arial"/>
        </w:rPr>
        <w:t xml:space="preserve">Este concepto tiene el alcance previsto en el artículo 28 del Código de Procedimiento Administrativo y de lo Contencioso Administrativo </w:t>
      </w:r>
      <w:r w:rsidRPr="004B07F9">
        <w:rPr>
          <w:rFonts w:ascii="Verdana" w:hAnsi="Verdana" w:cs="Arial"/>
          <w:lang w:val="es-ES_tradnl"/>
        </w:rPr>
        <w:t>y las expresiones aquí utilizadas con mayúscula inicial deben ser entendidas con el significado que les otorga el artículo 2.2.1.1.1.3.1. del Decreto 1082 de 2015.</w:t>
      </w:r>
    </w:p>
    <w:p w14:paraId="78351F4A" w14:textId="77777777" w:rsidR="00CE5601" w:rsidRPr="004B07F9" w:rsidRDefault="00CE5601" w:rsidP="00C14025">
      <w:pPr>
        <w:widowControl w:val="0"/>
        <w:autoSpaceDE w:val="0"/>
        <w:autoSpaceDN w:val="0"/>
        <w:spacing w:after="0" w:line="276" w:lineRule="auto"/>
        <w:jc w:val="both"/>
        <w:rPr>
          <w:rFonts w:ascii="Verdana" w:hAnsi="Verdana" w:cs="Arial"/>
        </w:rPr>
      </w:pPr>
    </w:p>
    <w:p w14:paraId="28FE53B8" w14:textId="77777777" w:rsidR="00CE5601" w:rsidRPr="004B07F9" w:rsidRDefault="00CE5601" w:rsidP="00C14025">
      <w:pPr>
        <w:spacing w:after="0" w:line="276" w:lineRule="auto"/>
        <w:jc w:val="both"/>
        <w:rPr>
          <w:rFonts w:ascii="Verdana" w:hAnsi="Verdana" w:cs="Arial"/>
          <w:lang w:eastAsia="es-CO"/>
        </w:rPr>
      </w:pPr>
      <w:r w:rsidRPr="004B07F9">
        <w:rPr>
          <w:rFonts w:ascii="Verdana" w:eastAsia="Times New Roman" w:hAnsi="Verdana" w:cs="Arial"/>
          <w:lang w:eastAsia="es-CO"/>
        </w:rPr>
        <w:t>Atentamente,</w:t>
      </w:r>
      <w:r w:rsidRPr="004B07F9">
        <w:rPr>
          <w:rFonts w:ascii="Verdana" w:hAnsi="Verdana" w:cs="Arial"/>
          <w:lang w:eastAsia="es-CO"/>
        </w:rPr>
        <w:t xml:space="preserve"> </w:t>
      </w:r>
    </w:p>
    <w:p w14:paraId="3FDE7ACF" w14:textId="0998E031" w:rsidR="00CE5601" w:rsidRPr="004B07F9" w:rsidRDefault="007F1F9A" w:rsidP="00CE5601">
      <w:pPr>
        <w:spacing w:line="276" w:lineRule="auto"/>
        <w:jc w:val="center"/>
        <w:rPr>
          <w:rFonts w:ascii="Verdana" w:hAnsi="Verdana" w:cs="Arial"/>
          <w:color w:val="000000"/>
          <w:sz w:val="16"/>
          <w:szCs w:val="16"/>
          <w:lang w:val="es-ES_tradnl" w:eastAsia="es-CO"/>
        </w:rPr>
      </w:pPr>
      <w:r w:rsidRPr="004D5C25">
        <w:rPr>
          <w:rFonts w:ascii="Century Gothic" w:hAnsi="Century Gothic"/>
          <w:noProof/>
        </w:rPr>
        <w:drawing>
          <wp:inline distT="0" distB="0" distL="0" distR="0" wp14:anchorId="48DD5D1D" wp14:editId="6F4A0CE8">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7"/>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E5601" w:rsidRPr="004B07F9" w14:paraId="6F3EFB0F" w14:textId="77777777" w:rsidTr="00FF7BB5">
        <w:trPr>
          <w:trHeight w:val="315"/>
        </w:trPr>
        <w:tc>
          <w:tcPr>
            <w:tcW w:w="893" w:type="dxa"/>
            <w:vAlign w:val="center"/>
            <w:hideMark/>
          </w:tcPr>
          <w:p w14:paraId="551A1D2E" w14:textId="77777777" w:rsidR="00CE5601" w:rsidRPr="004B07F9" w:rsidRDefault="00CE5601" w:rsidP="00FF7BB5">
            <w:pPr>
              <w:contextualSpacing/>
              <w:rPr>
                <w:rFonts w:ascii="Verdana" w:hAnsi="Verdana" w:cs="Arial"/>
                <w:sz w:val="16"/>
                <w:szCs w:val="16"/>
                <w:lang w:val="es-ES" w:eastAsia="es-ES"/>
              </w:rPr>
            </w:pPr>
            <w:r w:rsidRPr="004B07F9">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5DE6093" w14:textId="77777777" w:rsidR="00CE5601" w:rsidRPr="004B07F9" w:rsidRDefault="00CE5601" w:rsidP="00FF7BB5">
            <w:pPr>
              <w:contextualSpacing/>
              <w:rPr>
                <w:rFonts w:ascii="Verdana" w:eastAsia="Arial" w:hAnsi="Verdana" w:cs="Arial"/>
                <w:sz w:val="16"/>
                <w:szCs w:val="16"/>
              </w:rPr>
            </w:pPr>
            <w:r w:rsidRPr="004B07F9">
              <w:rPr>
                <w:rFonts w:ascii="Verdana" w:eastAsia="Arial" w:hAnsi="Verdana" w:cs="Arial"/>
                <w:sz w:val="16"/>
                <w:szCs w:val="16"/>
              </w:rPr>
              <w:t>Ana María Ortiz Ballesteros</w:t>
            </w:r>
          </w:p>
          <w:p w14:paraId="1F2BD2B4" w14:textId="77777777" w:rsidR="00CE5601" w:rsidRPr="004B07F9" w:rsidRDefault="00CE5601" w:rsidP="00FF7BB5">
            <w:pPr>
              <w:contextualSpacing/>
              <w:rPr>
                <w:rFonts w:ascii="Verdana" w:eastAsia="Arial" w:hAnsi="Verdana" w:cs="Arial"/>
                <w:sz w:val="16"/>
                <w:szCs w:val="16"/>
              </w:rPr>
            </w:pPr>
            <w:r w:rsidRPr="004B07F9">
              <w:rPr>
                <w:rStyle w:val="normaltextrun"/>
                <w:rFonts w:ascii="Verdana" w:eastAsia="Arial" w:hAnsi="Verdana" w:cs="Arial"/>
                <w:sz w:val="16"/>
                <w:szCs w:val="16"/>
              </w:rPr>
              <w:t>C</w:t>
            </w:r>
            <w:r w:rsidRPr="004B07F9">
              <w:rPr>
                <w:rStyle w:val="normaltextrun"/>
                <w:rFonts w:ascii="Verdana" w:hAnsi="Verdana"/>
                <w:sz w:val="16"/>
                <w:szCs w:val="16"/>
              </w:rPr>
              <w:t>ontratista</w:t>
            </w:r>
            <w:r w:rsidRPr="004B07F9">
              <w:rPr>
                <w:rStyle w:val="normaltextrun"/>
                <w:rFonts w:ascii="Verdana" w:eastAsia="Arial" w:hAnsi="Verdana" w:cs="Arial"/>
                <w:sz w:val="16"/>
                <w:szCs w:val="16"/>
              </w:rPr>
              <w:t xml:space="preserve"> de la Subdirección de Gestión Contractual</w:t>
            </w:r>
          </w:p>
        </w:tc>
      </w:tr>
      <w:tr w:rsidR="00CE5601" w:rsidRPr="004B07F9" w14:paraId="328B1C63" w14:textId="77777777" w:rsidTr="00FF7BB5">
        <w:trPr>
          <w:trHeight w:val="330"/>
        </w:trPr>
        <w:tc>
          <w:tcPr>
            <w:tcW w:w="893" w:type="dxa"/>
            <w:vAlign w:val="center"/>
            <w:hideMark/>
          </w:tcPr>
          <w:p w14:paraId="5E326D14" w14:textId="77777777" w:rsidR="00CE5601" w:rsidRPr="004B07F9" w:rsidRDefault="00CE5601" w:rsidP="00FF7BB5">
            <w:pPr>
              <w:contextualSpacing/>
              <w:rPr>
                <w:rFonts w:ascii="Verdana" w:hAnsi="Verdana" w:cs="Arial"/>
                <w:sz w:val="16"/>
                <w:szCs w:val="16"/>
                <w:lang w:val="es-ES" w:eastAsia="es-ES"/>
              </w:rPr>
            </w:pPr>
            <w:r w:rsidRPr="004B07F9">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F8F7134" w14:textId="77777777" w:rsidR="00CE5601" w:rsidRPr="004B07F9" w:rsidRDefault="00CE5601" w:rsidP="00FF7BB5">
            <w:pPr>
              <w:pStyle w:val="paragraph"/>
              <w:spacing w:before="0" w:beforeAutospacing="0" w:after="0" w:afterAutospacing="0"/>
              <w:contextualSpacing/>
              <w:textAlignment w:val="baseline"/>
              <w:rPr>
                <w:rFonts w:ascii="Verdana" w:hAnsi="Verdana" w:cs="Arial"/>
                <w:sz w:val="16"/>
                <w:szCs w:val="16"/>
              </w:rPr>
            </w:pPr>
            <w:r w:rsidRPr="004B07F9">
              <w:rPr>
                <w:rFonts w:ascii="Verdana" w:hAnsi="Verdana" w:cs="Arial"/>
                <w:sz w:val="16"/>
                <w:szCs w:val="16"/>
              </w:rPr>
              <w:t>Diana Lucia Saavedra Castañeda</w:t>
            </w:r>
          </w:p>
          <w:p w14:paraId="4CF6C908" w14:textId="77777777" w:rsidR="00CE5601" w:rsidRPr="004B07F9" w:rsidRDefault="00CE5601" w:rsidP="00FF7BB5">
            <w:pPr>
              <w:pStyle w:val="paragraph"/>
              <w:spacing w:before="0" w:beforeAutospacing="0" w:after="0" w:afterAutospacing="0"/>
              <w:contextualSpacing/>
              <w:textAlignment w:val="baseline"/>
              <w:rPr>
                <w:rFonts w:ascii="Verdana" w:hAnsi="Verdana" w:cs="Arial"/>
                <w:sz w:val="16"/>
                <w:szCs w:val="16"/>
              </w:rPr>
            </w:pPr>
            <w:r w:rsidRPr="004B07F9">
              <w:rPr>
                <w:rStyle w:val="normaltextrun"/>
                <w:rFonts w:ascii="Verdana" w:eastAsia="Arial" w:hAnsi="Verdana" w:cs="Arial"/>
                <w:sz w:val="16"/>
                <w:szCs w:val="16"/>
              </w:rPr>
              <w:t>C</w:t>
            </w:r>
            <w:r w:rsidRPr="004B07F9">
              <w:rPr>
                <w:rStyle w:val="normaltextrun"/>
                <w:rFonts w:ascii="Verdana" w:hAnsi="Verdana"/>
                <w:sz w:val="16"/>
                <w:szCs w:val="16"/>
              </w:rPr>
              <w:t>ontratista</w:t>
            </w:r>
            <w:r w:rsidRPr="004B07F9">
              <w:rPr>
                <w:rStyle w:val="normaltextrun"/>
                <w:rFonts w:ascii="Verdana" w:eastAsia="Arial" w:hAnsi="Verdana" w:cs="Arial"/>
                <w:sz w:val="16"/>
                <w:szCs w:val="16"/>
              </w:rPr>
              <w:t xml:space="preserve"> de la Subdirección de Gestión Contractual</w:t>
            </w:r>
          </w:p>
        </w:tc>
      </w:tr>
      <w:tr w:rsidR="00CE5601" w:rsidRPr="004B07F9" w14:paraId="04991B08" w14:textId="77777777" w:rsidTr="00FF7BB5">
        <w:trPr>
          <w:trHeight w:val="300"/>
        </w:trPr>
        <w:tc>
          <w:tcPr>
            <w:tcW w:w="893" w:type="dxa"/>
            <w:vAlign w:val="center"/>
          </w:tcPr>
          <w:p w14:paraId="1DCCCBB2" w14:textId="77777777" w:rsidR="00CE5601" w:rsidRPr="004B07F9" w:rsidRDefault="00CE5601" w:rsidP="00FF7BB5">
            <w:pPr>
              <w:contextualSpacing/>
              <w:rPr>
                <w:rFonts w:ascii="Verdana" w:hAnsi="Verdana" w:cs="Arial"/>
                <w:sz w:val="16"/>
                <w:szCs w:val="16"/>
                <w:lang w:val="es-ES" w:eastAsia="es-ES"/>
              </w:rPr>
            </w:pPr>
            <w:r w:rsidRPr="004B07F9">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4AF3B50" w14:textId="77777777" w:rsidR="00CE5601" w:rsidRPr="004B07F9" w:rsidRDefault="00CE5601" w:rsidP="00FF7BB5">
            <w:pPr>
              <w:contextualSpacing/>
              <w:rPr>
                <w:rFonts w:ascii="Verdana" w:eastAsia="Calibri" w:hAnsi="Verdana" w:cs="Arial"/>
                <w:sz w:val="16"/>
                <w:szCs w:val="16"/>
                <w:lang w:val="pt-BR" w:eastAsia="es-ES"/>
              </w:rPr>
            </w:pPr>
            <w:r w:rsidRPr="004B07F9">
              <w:rPr>
                <w:rFonts w:ascii="Verdana" w:eastAsia="Calibri" w:hAnsi="Verdana" w:cs="Arial"/>
                <w:sz w:val="16"/>
                <w:szCs w:val="16"/>
                <w:lang w:val="pt-BR" w:eastAsia="es-ES"/>
              </w:rPr>
              <w:t>Carolina Quintero Gacharná</w:t>
            </w:r>
          </w:p>
          <w:p w14:paraId="6183491F" w14:textId="77777777" w:rsidR="00CE5601" w:rsidRPr="004B07F9" w:rsidRDefault="00CE5601" w:rsidP="00FF7BB5">
            <w:pPr>
              <w:contextualSpacing/>
              <w:rPr>
                <w:rFonts w:ascii="Verdana" w:eastAsia="Calibri" w:hAnsi="Verdana" w:cs="Arial"/>
                <w:sz w:val="16"/>
                <w:szCs w:val="16"/>
                <w:lang w:val="pt-BR" w:eastAsia="es-ES"/>
              </w:rPr>
            </w:pPr>
            <w:r w:rsidRPr="004B07F9">
              <w:rPr>
                <w:rFonts w:ascii="Verdana" w:eastAsia="Calibri" w:hAnsi="Verdana" w:cs="Arial"/>
                <w:sz w:val="16"/>
                <w:szCs w:val="16"/>
                <w:lang w:eastAsia="es-ES"/>
              </w:rPr>
              <w:t>Subdirectora</w:t>
            </w:r>
            <w:r w:rsidRPr="004B07F9">
              <w:rPr>
                <w:rFonts w:ascii="Verdana" w:eastAsia="Calibri" w:hAnsi="Verdana" w:cs="Arial"/>
                <w:sz w:val="16"/>
                <w:szCs w:val="16"/>
                <w:lang w:val="pt-BR" w:eastAsia="es-ES"/>
              </w:rPr>
              <w:t xml:space="preserve"> de Gestión Contractual ANCP – CCE</w:t>
            </w:r>
          </w:p>
        </w:tc>
      </w:tr>
    </w:tbl>
    <w:p w14:paraId="69BC4D14" w14:textId="58555CDF" w:rsidR="00C15139" w:rsidRPr="004B07F9" w:rsidRDefault="00C15139" w:rsidP="30821638">
      <w:pPr>
        <w:spacing w:after="0" w:line="240" w:lineRule="auto"/>
        <w:textAlignment w:val="baseline"/>
        <w:rPr>
          <w:rFonts w:ascii="Verdana" w:eastAsia="Verdana" w:hAnsi="Verdana" w:cs="Verdana"/>
          <w:lang w:eastAsia="es-CO"/>
        </w:rPr>
      </w:pPr>
      <w:r w:rsidRPr="004B07F9">
        <w:rPr>
          <w:rFonts w:ascii="Verdana" w:eastAsia="Verdana" w:hAnsi="Verdana" w:cs="Verdana"/>
          <w:lang w:eastAsia="es-CO"/>
        </w:rPr>
        <w:t> </w:t>
      </w:r>
      <w:bookmarkEnd w:id="0"/>
    </w:p>
    <w:sectPr w:rsidR="00C15139" w:rsidRPr="004B07F9"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594878" w14:textId="77777777" w:rsidR="006C0554" w:rsidRDefault="006C0554" w:rsidP="004A1847">
      <w:pPr>
        <w:spacing w:after="0" w:line="240" w:lineRule="auto"/>
      </w:pPr>
      <w:r>
        <w:separator/>
      </w:r>
    </w:p>
  </w:endnote>
  <w:endnote w:type="continuationSeparator" w:id="0">
    <w:p w14:paraId="2FF5BA8E" w14:textId="77777777" w:rsidR="006C0554" w:rsidRDefault="006C055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EB1DC8" w14:textId="77777777" w:rsidR="006C0554" w:rsidRDefault="006C0554" w:rsidP="004A1847">
      <w:pPr>
        <w:spacing w:after="0" w:line="240" w:lineRule="auto"/>
      </w:pPr>
      <w:r>
        <w:separator/>
      </w:r>
    </w:p>
  </w:footnote>
  <w:footnote w:type="continuationSeparator" w:id="0">
    <w:p w14:paraId="76B7B5FF" w14:textId="77777777" w:rsidR="006C0554" w:rsidRDefault="006C0554" w:rsidP="004A1847">
      <w:pPr>
        <w:spacing w:after="0" w:line="240" w:lineRule="auto"/>
      </w:pPr>
      <w:r>
        <w:continuationSeparator/>
      </w:r>
    </w:p>
  </w:footnote>
  <w:footnote w:id="1">
    <w:p w14:paraId="5E587825" w14:textId="77777777" w:rsidR="00521CD6" w:rsidRPr="00B456F5" w:rsidRDefault="00521CD6" w:rsidP="00B456F5">
      <w:pPr>
        <w:snapToGrid w:val="0"/>
        <w:spacing w:after="0" w:line="240" w:lineRule="auto"/>
        <w:ind w:firstLine="709"/>
        <w:jc w:val="both"/>
        <w:rPr>
          <w:rFonts w:ascii="Verdana" w:eastAsia="Arial" w:hAnsi="Verdana" w:cs="Arial"/>
          <w:color w:val="000000"/>
          <w:sz w:val="16"/>
          <w:szCs w:val="16"/>
        </w:rPr>
      </w:pPr>
      <w:r w:rsidRPr="00B456F5">
        <w:rPr>
          <w:rFonts w:ascii="Verdana" w:hAnsi="Verdana" w:cs="Arial"/>
          <w:sz w:val="16"/>
          <w:szCs w:val="16"/>
          <w:vertAlign w:val="superscript"/>
        </w:rPr>
        <w:footnoteRef/>
      </w:r>
      <w:r w:rsidRPr="00B456F5">
        <w:rPr>
          <w:rFonts w:ascii="Verdana" w:eastAsia="Arial" w:hAnsi="Verdana" w:cs="Arial"/>
          <w:color w:val="000000"/>
          <w:sz w:val="16"/>
          <w:szCs w:val="16"/>
        </w:rPr>
        <w:t xml:space="preserve"> Al respecto, conviene recordar el artículo 29 de la Ley 80 de 1993, derogado por el artículo 32 de la Ley 1150 de 2007, que establecía: “La selección de contratistas será objetiva.</w:t>
      </w:r>
    </w:p>
    <w:p w14:paraId="0306047A" w14:textId="77777777" w:rsidR="00521CD6" w:rsidRPr="00B456F5" w:rsidRDefault="00521CD6" w:rsidP="00B456F5">
      <w:pPr>
        <w:snapToGrid w:val="0"/>
        <w:spacing w:after="0" w:line="240" w:lineRule="auto"/>
        <w:ind w:firstLine="709"/>
        <w:jc w:val="both"/>
        <w:rPr>
          <w:rFonts w:ascii="Verdana" w:eastAsia="Arial" w:hAnsi="Verdana" w:cs="Arial"/>
          <w:color w:val="000000"/>
          <w:sz w:val="16"/>
          <w:szCs w:val="16"/>
        </w:rPr>
      </w:pPr>
      <w:r w:rsidRPr="00B456F5">
        <w:rPr>
          <w:rFonts w:ascii="Verdana" w:eastAsia="Arial" w:hAnsi="Verdana" w:cs="Arial"/>
          <w:color w:val="000000"/>
          <w:sz w:val="16"/>
          <w:szCs w:val="16"/>
        </w:rPr>
        <w:t>Es objetiva la selección en la cual la escogencia se hace al ofrecimiento más favorable a la entidad y a los fines que ella busca, sin tener en consideración factores de afecto o de interés y, en general, cualquier clase de motivación subjetiva.</w:t>
      </w:r>
    </w:p>
    <w:p w14:paraId="18E6786A" w14:textId="5DCDEF65" w:rsidR="00521CD6" w:rsidRPr="00B456F5" w:rsidRDefault="00521CD6" w:rsidP="00B456F5">
      <w:pPr>
        <w:snapToGrid w:val="0"/>
        <w:spacing w:after="0" w:line="240" w:lineRule="auto"/>
        <w:ind w:firstLine="709"/>
        <w:jc w:val="both"/>
        <w:rPr>
          <w:rFonts w:ascii="Verdana" w:eastAsia="Arial" w:hAnsi="Verdana" w:cs="Arial"/>
          <w:color w:val="000000"/>
          <w:sz w:val="16"/>
          <w:szCs w:val="16"/>
        </w:rPr>
      </w:pPr>
      <w:r w:rsidRPr="00B456F5">
        <w:rPr>
          <w:rFonts w:ascii="Verdana" w:eastAsia="Arial" w:hAnsi="Verdana" w:cs="Arial"/>
          <w:color w:val="000000"/>
          <w:sz w:val="16"/>
          <w:szCs w:val="16"/>
        </w:rPr>
        <w:t xml:space="preserve">Ofrecimiento más favorable es aquel que, teniendo en cuenta los factores de escogencia, tales como cumplimiento, experiencia, organización, equipos, plazo, precio y la ponderación precisa, detallada y concreta de los mismos, contenida en los pliegos de condiciones o términos de referencia o en el análisis previo a la suscripción del contrato, si se trata de contratación directa, resulta ser el más ventajoso para la entidad, sin que la favorabilidad la constituyan factores diferentes a los contenidos en dichos documentos, sólo alguno de ellos, el más bajo precio o el plazo ofrecido. El menor plazo que se ofrezca inferior al solicitado en los </w:t>
      </w:r>
      <w:r w:rsidR="00ED469C" w:rsidRPr="00B456F5">
        <w:rPr>
          <w:rFonts w:ascii="Verdana" w:eastAsia="Arial" w:hAnsi="Verdana" w:cs="Arial"/>
          <w:color w:val="000000"/>
          <w:sz w:val="16"/>
          <w:szCs w:val="16"/>
        </w:rPr>
        <w:t>pliegos</w:t>
      </w:r>
      <w:r w:rsidRPr="00B456F5">
        <w:rPr>
          <w:rFonts w:ascii="Verdana" w:eastAsia="Arial" w:hAnsi="Verdana" w:cs="Arial"/>
          <w:color w:val="000000"/>
          <w:sz w:val="16"/>
          <w:szCs w:val="16"/>
        </w:rPr>
        <w:t xml:space="preserve"> no será objeto de evaluación”.</w:t>
      </w:r>
    </w:p>
    <w:p w14:paraId="5CA647E9" w14:textId="77777777" w:rsidR="00521CD6" w:rsidRPr="00B456F5" w:rsidRDefault="00521CD6" w:rsidP="00B456F5">
      <w:pPr>
        <w:snapToGrid w:val="0"/>
        <w:spacing w:after="0" w:line="240" w:lineRule="auto"/>
        <w:ind w:firstLine="709"/>
        <w:jc w:val="both"/>
        <w:rPr>
          <w:rFonts w:ascii="Verdana" w:eastAsia="Arial" w:hAnsi="Verdana" w:cs="Arial"/>
          <w:color w:val="000000"/>
          <w:sz w:val="16"/>
          <w:szCs w:val="16"/>
        </w:rPr>
      </w:pPr>
      <w:r w:rsidRPr="00B456F5">
        <w:rPr>
          <w:rFonts w:ascii="Verdana" w:eastAsia="Arial" w:hAnsi="Verdana" w:cs="Arial"/>
          <w:color w:val="000000"/>
          <w:sz w:val="16"/>
          <w:szCs w:val="16"/>
        </w:rPr>
        <w:t>El administrador efectuará las comparaciones del caso mediante el cotejo de los diferentes ofrecimientos recibidos, la consulta de precios o condiciones del mercado y los estudios y deducciones de la entidad o de los organismos consultores o asesores designados para ello.</w:t>
      </w:r>
    </w:p>
    <w:p w14:paraId="72219879" w14:textId="77777777" w:rsidR="00521CD6" w:rsidRPr="00B456F5" w:rsidRDefault="00521CD6" w:rsidP="00B456F5">
      <w:pPr>
        <w:snapToGrid w:val="0"/>
        <w:spacing w:after="0" w:line="240" w:lineRule="auto"/>
        <w:ind w:firstLine="709"/>
        <w:jc w:val="both"/>
        <w:rPr>
          <w:rFonts w:ascii="Verdana" w:eastAsia="Arial" w:hAnsi="Verdana" w:cs="Arial"/>
          <w:color w:val="000000"/>
          <w:sz w:val="16"/>
          <w:szCs w:val="16"/>
        </w:rPr>
      </w:pPr>
      <w:r w:rsidRPr="00B456F5">
        <w:rPr>
          <w:rFonts w:ascii="Verdana" w:eastAsia="Arial" w:hAnsi="Verdana" w:cs="Arial"/>
          <w:color w:val="000000"/>
          <w:sz w:val="16"/>
          <w:szCs w:val="16"/>
        </w:rPr>
        <w:t>En caso de comparación de propuestas nacionales y extranjeras, se incluirán los costos necesarios para la entrega del producto terminado en el lugar de su utilización”.</w:t>
      </w:r>
    </w:p>
  </w:footnote>
  <w:footnote w:id="2">
    <w:p w14:paraId="0DE34A34" w14:textId="77777777" w:rsidR="00521CD6" w:rsidRPr="00B456F5" w:rsidRDefault="00521CD6" w:rsidP="00B456F5">
      <w:pPr>
        <w:snapToGrid w:val="0"/>
        <w:spacing w:after="0" w:line="240" w:lineRule="auto"/>
        <w:ind w:firstLine="708"/>
        <w:jc w:val="both"/>
        <w:rPr>
          <w:rFonts w:ascii="Verdana" w:eastAsia="Arial" w:hAnsi="Verdana" w:cs="Arial"/>
          <w:color w:val="000000"/>
          <w:sz w:val="16"/>
          <w:szCs w:val="16"/>
        </w:rPr>
      </w:pPr>
      <w:r w:rsidRPr="00B456F5">
        <w:rPr>
          <w:rFonts w:ascii="Verdana" w:hAnsi="Verdana" w:cs="Arial"/>
          <w:sz w:val="16"/>
          <w:szCs w:val="16"/>
          <w:vertAlign w:val="superscript"/>
        </w:rPr>
        <w:footnoteRef/>
      </w:r>
      <w:r w:rsidRPr="00B456F5">
        <w:rPr>
          <w:rFonts w:ascii="Verdana" w:eastAsia="Arial" w:hAnsi="Verdana" w:cs="Arial"/>
          <w:color w:val="000000"/>
          <w:sz w:val="16"/>
          <w:szCs w:val="16"/>
        </w:rPr>
        <w:t xml:space="preserve"> DÁVILA VINUEZA, Luis Guillermo. Régimen jurídico de la contratación estatal. Tercera edición, Bogotá: Legis, 2016. p. 355.</w:t>
      </w:r>
    </w:p>
  </w:footnote>
  <w:footnote w:id="3">
    <w:p w14:paraId="63A26443" w14:textId="77777777" w:rsidR="00521CD6" w:rsidRPr="00B456F5" w:rsidRDefault="00521CD6" w:rsidP="00B456F5">
      <w:pPr>
        <w:snapToGrid w:val="0"/>
        <w:spacing w:after="0" w:line="240" w:lineRule="auto"/>
        <w:ind w:firstLine="708"/>
        <w:jc w:val="both"/>
        <w:rPr>
          <w:rFonts w:ascii="Verdana" w:eastAsia="Arial" w:hAnsi="Verdana" w:cs="Arial"/>
          <w:color w:val="000000"/>
          <w:sz w:val="16"/>
          <w:szCs w:val="16"/>
        </w:rPr>
      </w:pPr>
      <w:r w:rsidRPr="00B456F5">
        <w:rPr>
          <w:rFonts w:ascii="Verdana" w:hAnsi="Verdana" w:cs="Arial"/>
          <w:sz w:val="16"/>
          <w:szCs w:val="16"/>
          <w:vertAlign w:val="superscript"/>
        </w:rPr>
        <w:footnoteRef/>
      </w:r>
      <w:r w:rsidRPr="00B456F5">
        <w:rPr>
          <w:rFonts w:ascii="Verdana" w:eastAsia="Arial" w:hAnsi="Verdana" w:cs="Arial"/>
          <w:color w:val="000000"/>
          <w:sz w:val="16"/>
          <w:szCs w:val="16"/>
        </w:rPr>
        <w:t xml:space="preserve"> RODRÍGUEZ TAMAYO, Mauricio F. Evaluación y rechazo de ofertas en la Ley 80 de 1993. Primera edición. Medellín: Librería Jurídica Sánchez, 2016. pp. 110-111.</w:t>
      </w:r>
    </w:p>
  </w:footnote>
  <w:footnote w:id="4">
    <w:p w14:paraId="67ED4118" w14:textId="77777777" w:rsidR="00521CD6" w:rsidRPr="00B456F5" w:rsidRDefault="00521CD6" w:rsidP="00B456F5">
      <w:pPr>
        <w:snapToGrid w:val="0"/>
        <w:spacing w:after="0" w:line="240" w:lineRule="auto"/>
        <w:ind w:firstLine="708"/>
        <w:jc w:val="both"/>
        <w:rPr>
          <w:rFonts w:ascii="Verdana" w:eastAsia="Arial" w:hAnsi="Verdana" w:cs="Arial"/>
          <w:color w:val="000000"/>
          <w:sz w:val="16"/>
          <w:szCs w:val="16"/>
        </w:rPr>
      </w:pPr>
      <w:r w:rsidRPr="00B456F5">
        <w:rPr>
          <w:rFonts w:ascii="Verdana" w:hAnsi="Verdana" w:cs="Arial"/>
          <w:sz w:val="16"/>
          <w:szCs w:val="16"/>
          <w:vertAlign w:val="superscript"/>
        </w:rPr>
        <w:footnoteRef/>
      </w:r>
      <w:r w:rsidRPr="00B456F5">
        <w:rPr>
          <w:rFonts w:ascii="Verdana" w:eastAsia="Arial" w:hAnsi="Verdana" w:cs="Arial"/>
          <w:color w:val="000000"/>
          <w:sz w:val="16"/>
          <w:szCs w:val="16"/>
        </w:rPr>
        <w:t xml:space="preserve"> EXPÓSITO VELEZ, Juan C., El deber de selección objetiva, en: Del contrato estatal a los sistemas de compras públicas, por COVILLA MARTINEZ Juan C. y LOZANO VILLEGAS Germán (Eds.). Universidad Externado de Colombia, Bogotá, 2019. págs. 118-184.</w:t>
      </w:r>
    </w:p>
  </w:footnote>
  <w:footnote w:id="5">
    <w:p w14:paraId="08687CFB" w14:textId="77777777" w:rsidR="000E0AC7" w:rsidRPr="00B456F5" w:rsidRDefault="000E0AC7" w:rsidP="00B456F5">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B456F5">
        <w:rPr>
          <w:rFonts w:ascii="Verdana" w:hAnsi="Verdana" w:cs="Arial"/>
          <w:sz w:val="16"/>
          <w:szCs w:val="16"/>
          <w:vertAlign w:val="superscript"/>
        </w:rPr>
        <w:footnoteRef/>
      </w:r>
      <w:r w:rsidRPr="00B456F5">
        <w:rPr>
          <w:rFonts w:ascii="Verdana" w:eastAsia="Arial" w:hAnsi="Verdana" w:cs="Arial"/>
          <w:i/>
          <w:color w:val="000000"/>
          <w:sz w:val="16"/>
          <w:szCs w:val="16"/>
        </w:rPr>
        <w:t xml:space="preserve"> Ibid.</w:t>
      </w:r>
    </w:p>
  </w:footnote>
  <w:footnote w:id="6">
    <w:p w14:paraId="13E71EFF" w14:textId="77777777" w:rsidR="00521CD6" w:rsidRPr="00B456F5" w:rsidRDefault="00521CD6" w:rsidP="00B456F5">
      <w:pPr>
        <w:pStyle w:val="Textonotapie"/>
        <w:snapToGrid w:val="0"/>
        <w:ind w:firstLine="708"/>
        <w:jc w:val="both"/>
        <w:rPr>
          <w:rFonts w:ascii="Verdana" w:hAnsi="Verdana"/>
          <w:sz w:val="16"/>
          <w:szCs w:val="16"/>
        </w:rPr>
      </w:pPr>
      <w:r w:rsidRPr="00B456F5">
        <w:rPr>
          <w:rStyle w:val="Refdenotaalpie"/>
          <w:rFonts w:ascii="Verdana" w:hAnsi="Verdana"/>
          <w:sz w:val="16"/>
          <w:szCs w:val="16"/>
        </w:rPr>
        <w:footnoteRef/>
      </w:r>
      <w:r w:rsidRPr="00B456F5">
        <w:rPr>
          <w:rFonts w:ascii="Verdana" w:hAnsi="Verdana"/>
          <w:sz w:val="16"/>
          <w:szCs w:val="16"/>
        </w:rPr>
        <w:t xml:space="preserve"> </w:t>
      </w:r>
      <w:r w:rsidRPr="00B456F5">
        <w:rPr>
          <w:rFonts w:ascii="Verdana" w:hAnsi="Verdana"/>
          <w:sz w:val="16"/>
          <w:szCs w:val="16"/>
          <w:lang w:val="es-ES"/>
        </w:rPr>
        <w:t>Decreto 1082 de 2015. “</w:t>
      </w:r>
      <w:r w:rsidRPr="00B456F5">
        <w:rPr>
          <w:rFonts w:ascii="Verdana" w:hAnsi="Verdana"/>
          <w:sz w:val="16"/>
          <w:szCs w:val="16"/>
        </w:rPr>
        <w:t>Artículo </w:t>
      </w:r>
      <w:bookmarkStart w:id="4" w:name="2.2.1.1.2.2.2"/>
      <w:bookmarkEnd w:id="4"/>
      <w:r w:rsidRPr="00B456F5">
        <w:rPr>
          <w:rFonts w:ascii="Verdana" w:hAnsi="Verdana"/>
          <w:sz w:val="16"/>
          <w:szCs w:val="16"/>
        </w:rPr>
        <w:t>2.2.1.1.2.2.2. Ofrecimiento más favorable</w:t>
      </w:r>
      <w:r w:rsidRPr="00B456F5">
        <w:rPr>
          <w:rFonts w:ascii="Verdana" w:hAnsi="Verdana"/>
          <w:b/>
          <w:sz w:val="16"/>
          <w:szCs w:val="16"/>
        </w:rPr>
        <w:t>. </w:t>
      </w:r>
      <w:r w:rsidRPr="00B456F5">
        <w:rPr>
          <w:rFonts w:ascii="Verdana" w:hAnsi="Verdana"/>
          <w:sz w:val="16"/>
          <w:szCs w:val="16"/>
        </w:rPr>
        <w:t>La Entidad Estatal debe determinar la oferta más favorable teniendo en cuenta las normas aplicables a cada modalidad de selección del contratista.</w:t>
      </w:r>
    </w:p>
    <w:p w14:paraId="249CD7FB" w14:textId="77777777" w:rsidR="00521CD6" w:rsidRPr="00B456F5" w:rsidRDefault="00521CD6" w:rsidP="00B456F5">
      <w:pPr>
        <w:pStyle w:val="Textonotapie"/>
        <w:snapToGrid w:val="0"/>
        <w:jc w:val="both"/>
        <w:rPr>
          <w:rFonts w:ascii="Verdana" w:hAnsi="Verdana"/>
          <w:sz w:val="16"/>
          <w:szCs w:val="16"/>
        </w:rPr>
      </w:pPr>
      <w:r w:rsidRPr="00B456F5">
        <w:rPr>
          <w:rFonts w:ascii="Verdana" w:hAnsi="Verdana"/>
          <w:sz w:val="16"/>
          <w:szCs w:val="16"/>
        </w:rPr>
        <w:t>En la licitación y la selección abreviada de menor cuantía, la Entidad Estatal debe determinar la oferta más favorable teniendo en cuenta: (a) la ponderación de los elementos de calidad y precio soportados en puntajes o fórmulas; o (b) la ponderación de los elementos de calidad y precio que representen la mejor relación de costo-beneficio.</w:t>
      </w:r>
    </w:p>
    <w:p w14:paraId="30168CA1" w14:textId="77777777" w:rsidR="00521CD6" w:rsidRPr="00B456F5" w:rsidRDefault="00521CD6" w:rsidP="00B456F5">
      <w:pPr>
        <w:pStyle w:val="Textonotapie"/>
        <w:snapToGrid w:val="0"/>
        <w:jc w:val="both"/>
        <w:rPr>
          <w:rFonts w:ascii="Verdana" w:hAnsi="Verdana"/>
          <w:sz w:val="16"/>
          <w:szCs w:val="16"/>
        </w:rPr>
      </w:pPr>
      <w:r w:rsidRPr="00B456F5">
        <w:rPr>
          <w:rFonts w:ascii="Verdana" w:hAnsi="Verdana"/>
          <w:sz w:val="16"/>
          <w:szCs w:val="16"/>
        </w:rPr>
        <w:t>Si la Entidad Estatal decide determinar la oferta de acuerdo con el literal (b) anterior debe señalar en los pliegos de condiciones:</w:t>
      </w:r>
    </w:p>
    <w:p w14:paraId="6C1DCB29" w14:textId="77777777" w:rsidR="00521CD6" w:rsidRPr="00B456F5" w:rsidRDefault="00521CD6" w:rsidP="00B456F5">
      <w:pPr>
        <w:pStyle w:val="Textonotapie"/>
        <w:snapToGrid w:val="0"/>
        <w:ind w:firstLine="708"/>
        <w:jc w:val="both"/>
        <w:rPr>
          <w:rFonts w:ascii="Verdana" w:hAnsi="Verdana"/>
          <w:sz w:val="16"/>
          <w:szCs w:val="16"/>
        </w:rPr>
      </w:pPr>
      <w:bookmarkStart w:id="5" w:name="2.2.1.1.2.2.2.1"/>
      <w:bookmarkEnd w:id="5"/>
      <w:r w:rsidRPr="00B456F5">
        <w:rPr>
          <w:rFonts w:ascii="Verdana" w:hAnsi="Verdana"/>
          <w:sz w:val="16"/>
          <w:szCs w:val="16"/>
        </w:rPr>
        <w:t>1. Las condiciones técnicas y económicas mínimas de la oferta.</w:t>
      </w:r>
    </w:p>
    <w:p w14:paraId="4E07D975" w14:textId="77777777" w:rsidR="00521CD6" w:rsidRPr="00B456F5" w:rsidRDefault="00521CD6" w:rsidP="00B456F5">
      <w:pPr>
        <w:pStyle w:val="Textonotapie"/>
        <w:snapToGrid w:val="0"/>
        <w:ind w:firstLine="708"/>
        <w:jc w:val="both"/>
        <w:rPr>
          <w:rFonts w:ascii="Verdana" w:hAnsi="Verdana"/>
          <w:sz w:val="16"/>
          <w:szCs w:val="16"/>
        </w:rPr>
      </w:pPr>
      <w:bookmarkStart w:id="6" w:name="2.2.1.1.2.2.2.2"/>
      <w:bookmarkEnd w:id="6"/>
      <w:r w:rsidRPr="00B456F5">
        <w:rPr>
          <w:rFonts w:ascii="Verdana" w:hAnsi="Verdana"/>
          <w:sz w:val="16"/>
          <w:szCs w:val="16"/>
        </w:rPr>
        <w:t>2. Las condiciones técnicas adicionales que representan ventajas de calidad o de funcionamiento, tales como el uso de tecnología o materiales que generen mayor eficiencia, rendimiento o duración del bien, obra o servicio.</w:t>
      </w:r>
    </w:p>
    <w:p w14:paraId="1E2E3732" w14:textId="77777777" w:rsidR="00521CD6" w:rsidRPr="00B456F5" w:rsidRDefault="00521CD6" w:rsidP="00B456F5">
      <w:pPr>
        <w:pStyle w:val="Textonotapie"/>
        <w:snapToGrid w:val="0"/>
        <w:ind w:firstLine="708"/>
        <w:jc w:val="both"/>
        <w:rPr>
          <w:rFonts w:ascii="Verdana" w:hAnsi="Verdana"/>
          <w:sz w:val="16"/>
          <w:szCs w:val="16"/>
        </w:rPr>
      </w:pPr>
      <w:bookmarkStart w:id="7" w:name="2.2.1.1.2.2.2.3"/>
      <w:bookmarkEnd w:id="7"/>
      <w:r w:rsidRPr="00B456F5">
        <w:rPr>
          <w:rFonts w:ascii="Verdana" w:hAnsi="Verdana"/>
          <w:sz w:val="16"/>
          <w:szCs w:val="16"/>
        </w:rPr>
        <w:t>3. Las condiciones económicas adicionales que representen ventajas en términos de economía, eficiencia y eficacia, que puedan ser valoradas en dinero, como por ejemplo la forma de pago, descuentos por adjudicación de varios lotes, descuentos por variaciones en programas de entregas, mayor garantía del bien o servicio respecto de la mínima requerida, impacto económico sobre las condiciones existentes de la Entidad Estatal relacionadas con el objeto a contratar, mayor asunción de los Riesgos, servicios o bienes adicionales y que representen un mayor grado de satisfacción para la entidad, entre otras.</w:t>
      </w:r>
    </w:p>
    <w:p w14:paraId="6E083CE6" w14:textId="77777777" w:rsidR="00521CD6" w:rsidRPr="00B456F5" w:rsidRDefault="00521CD6" w:rsidP="00B456F5">
      <w:pPr>
        <w:pStyle w:val="Textonotapie"/>
        <w:snapToGrid w:val="0"/>
        <w:ind w:firstLine="708"/>
        <w:jc w:val="both"/>
        <w:rPr>
          <w:rFonts w:ascii="Verdana" w:hAnsi="Verdana"/>
          <w:sz w:val="16"/>
          <w:szCs w:val="16"/>
        </w:rPr>
      </w:pPr>
      <w:bookmarkStart w:id="8" w:name="2.2.1.1.2.2.2.4"/>
      <w:bookmarkEnd w:id="8"/>
      <w:r w:rsidRPr="00B456F5">
        <w:rPr>
          <w:rFonts w:ascii="Verdana" w:hAnsi="Verdana"/>
          <w:sz w:val="16"/>
          <w:szCs w:val="16"/>
        </w:rPr>
        <w:t>4. El valor en dinero que la Entidad Estatal asigna a cada ofrecimiento técnico o económico adicional, para permitir la ponderación de las ofertas presentadas.</w:t>
      </w:r>
    </w:p>
    <w:p w14:paraId="4D152530" w14:textId="77777777" w:rsidR="00521CD6" w:rsidRPr="00B456F5" w:rsidRDefault="00521CD6" w:rsidP="00B456F5">
      <w:pPr>
        <w:pStyle w:val="Textonotapie"/>
        <w:snapToGrid w:val="0"/>
        <w:ind w:firstLine="708"/>
        <w:jc w:val="both"/>
        <w:rPr>
          <w:rFonts w:ascii="Verdana" w:hAnsi="Verdana"/>
          <w:sz w:val="16"/>
          <w:szCs w:val="16"/>
        </w:rPr>
      </w:pPr>
      <w:r w:rsidRPr="00B456F5">
        <w:rPr>
          <w:rFonts w:ascii="Verdana" w:hAnsi="Verdana"/>
          <w:sz w:val="16"/>
          <w:szCs w:val="16"/>
        </w:rPr>
        <w:t>La Entidad Estatal debe calcular la relación costo-beneficio de cada oferta restando del precio total ofrecido los valores monetarios asignados a cada una de las condiciones técnicas y económicas adicionales ofrecidas. La mejor relación costo-beneficio para la Entidad Estatal es la de la oferta que una vez aplicada la metodología anterior tenga el resultado más bajo.</w:t>
      </w:r>
    </w:p>
    <w:p w14:paraId="3F406FFD" w14:textId="77777777" w:rsidR="00521CD6" w:rsidRPr="00B456F5" w:rsidRDefault="00521CD6" w:rsidP="00B456F5">
      <w:pPr>
        <w:pStyle w:val="Textonotapie"/>
        <w:snapToGrid w:val="0"/>
        <w:ind w:firstLine="708"/>
        <w:jc w:val="both"/>
        <w:rPr>
          <w:rFonts w:ascii="Verdana" w:hAnsi="Verdana"/>
          <w:sz w:val="16"/>
          <w:szCs w:val="16"/>
        </w:rPr>
      </w:pPr>
      <w:r w:rsidRPr="00B456F5">
        <w:rPr>
          <w:rFonts w:ascii="Verdana" w:hAnsi="Verdana"/>
          <w:sz w:val="16"/>
          <w:szCs w:val="16"/>
        </w:rPr>
        <w:t>La Entidad Estatal debe adjudicar al oferente que presentó la oferta con la mejor relación costo-beneficio y suscribir el contrato por el precio total ofrecido […]”.</w:t>
      </w:r>
    </w:p>
    <w:p w14:paraId="261516AD" w14:textId="77777777" w:rsidR="00521CD6" w:rsidRPr="00C14025" w:rsidRDefault="00521CD6" w:rsidP="00B456F5">
      <w:pPr>
        <w:pStyle w:val="Textonotapie"/>
        <w:snapToGrid w:val="0"/>
        <w:jc w:val="both"/>
        <w:rPr>
          <w:rFonts w:ascii="Verdana" w:hAnsi="Verdana"/>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3E26ED5"/>
    <w:multiLevelType w:val="hybridMultilevel"/>
    <w:tmpl w:val="34D8BCCC"/>
    <w:lvl w:ilvl="0" w:tplc="1CDEDC7C">
      <w:start w:val="12"/>
      <w:numFmt w:val="bullet"/>
      <w:lvlText w:val="-"/>
      <w:lvlJc w:val="left"/>
      <w:pPr>
        <w:ind w:left="1069" w:hanging="360"/>
      </w:pPr>
      <w:rPr>
        <w:rFonts w:ascii="Verdana" w:eastAsia="Century Gothic"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11" w15:restartNumberingAfterBreak="0">
    <w:nsid w:val="53244075"/>
    <w:multiLevelType w:val="hybridMultilevel"/>
    <w:tmpl w:val="99FC0930"/>
    <w:lvl w:ilvl="0" w:tplc="6DD292B4">
      <w:start w:val="4"/>
      <w:numFmt w:val="decimal"/>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5"/>
  </w:num>
  <w:num w:numId="8" w16cid:durableId="152644682">
    <w:abstractNumId w:val="14"/>
  </w:num>
  <w:num w:numId="9" w16cid:durableId="1317221377">
    <w:abstractNumId w:val="7"/>
  </w:num>
  <w:num w:numId="10" w16cid:durableId="1471245386">
    <w:abstractNumId w:val="13"/>
  </w:num>
  <w:num w:numId="11" w16cid:durableId="289172385">
    <w:abstractNumId w:val="8"/>
  </w:num>
  <w:num w:numId="12" w16cid:durableId="1470781324">
    <w:abstractNumId w:val="1"/>
  </w:num>
  <w:num w:numId="13" w16cid:durableId="1512908409">
    <w:abstractNumId w:val="3"/>
  </w:num>
  <w:num w:numId="14" w16cid:durableId="895897244">
    <w:abstractNumId w:val="16"/>
  </w:num>
  <w:num w:numId="15" w16cid:durableId="390349800">
    <w:abstractNumId w:val="12"/>
  </w:num>
  <w:num w:numId="16" w16cid:durableId="1489201040">
    <w:abstractNumId w:val="0"/>
  </w:num>
  <w:num w:numId="17" w16cid:durableId="222445883">
    <w:abstractNumId w:val="10"/>
  </w:num>
  <w:num w:numId="18" w16cid:durableId="1542086715">
    <w:abstractNumId w:val="9"/>
  </w:num>
  <w:num w:numId="19" w16cid:durableId="172348233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408"/>
    <w:rsid w:val="00046945"/>
    <w:rsid w:val="00061B2A"/>
    <w:rsid w:val="00082362"/>
    <w:rsid w:val="000A683E"/>
    <w:rsid w:val="000B19B9"/>
    <w:rsid w:val="000B6B29"/>
    <w:rsid w:val="000D0334"/>
    <w:rsid w:val="000D1739"/>
    <w:rsid w:val="000D5DA7"/>
    <w:rsid w:val="000E0AC7"/>
    <w:rsid w:val="000F1C4C"/>
    <w:rsid w:val="000F541C"/>
    <w:rsid w:val="000F6486"/>
    <w:rsid w:val="00116940"/>
    <w:rsid w:val="00125105"/>
    <w:rsid w:val="00127233"/>
    <w:rsid w:val="00141E77"/>
    <w:rsid w:val="0014702F"/>
    <w:rsid w:val="0015699B"/>
    <w:rsid w:val="001A33BF"/>
    <w:rsid w:val="001E4177"/>
    <w:rsid w:val="001F0B24"/>
    <w:rsid w:val="001F7DC6"/>
    <w:rsid w:val="0022400B"/>
    <w:rsid w:val="002257C9"/>
    <w:rsid w:val="0023728C"/>
    <w:rsid w:val="002421BB"/>
    <w:rsid w:val="0025796E"/>
    <w:rsid w:val="00261557"/>
    <w:rsid w:val="002707A2"/>
    <w:rsid w:val="002951A0"/>
    <w:rsid w:val="002962BC"/>
    <w:rsid w:val="002A093D"/>
    <w:rsid w:val="002A0DD0"/>
    <w:rsid w:val="002A49AC"/>
    <w:rsid w:val="002A64FD"/>
    <w:rsid w:val="002C7A84"/>
    <w:rsid w:val="002E2BF8"/>
    <w:rsid w:val="002E4FD9"/>
    <w:rsid w:val="002F2B25"/>
    <w:rsid w:val="0030657A"/>
    <w:rsid w:val="00322A85"/>
    <w:rsid w:val="00324168"/>
    <w:rsid w:val="00330834"/>
    <w:rsid w:val="003448F4"/>
    <w:rsid w:val="0035133F"/>
    <w:rsid w:val="003548BD"/>
    <w:rsid w:val="00374F5E"/>
    <w:rsid w:val="00377E3E"/>
    <w:rsid w:val="00390271"/>
    <w:rsid w:val="0039763B"/>
    <w:rsid w:val="003A6540"/>
    <w:rsid w:val="003A779E"/>
    <w:rsid w:val="003B3CF6"/>
    <w:rsid w:val="003D0F4D"/>
    <w:rsid w:val="003D5B0D"/>
    <w:rsid w:val="003E0499"/>
    <w:rsid w:val="003E4F80"/>
    <w:rsid w:val="003E6439"/>
    <w:rsid w:val="003F3941"/>
    <w:rsid w:val="00404998"/>
    <w:rsid w:val="00406575"/>
    <w:rsid w:val="004122FD"/>
    <w:rsid w:val="00414C74"/>
    <w:rsid w:val="00417AFD"/>
    <w:rsid w:val="00421292"/>
    <w:rsid w:val="0042722E"/>
    <w:rsid w:val="00427F38"/>
    <w:rsid w:val="0044528D"/>
    <w:rsid w:val="00466E39"/>
    <w:rsid w:val="004A1847"/>
    <w:rsid w:val="004A305D"/>
    <w:rsid w:val="004B07F9"/>
    <w:rsid w:val="004B70F0"/>
    <w:rsid w:val="004F21C4"/>
    <w:rsid w:val="004F685F"/>
    <w:rsid w:val="0052106B"/>
    <w:rsid w:val="00521CD6"/>
    <w:rsid w:val="0053786F"/>
    <w:rsid w:val="00543667"/>
    <w:rsid w:val="005566E8"/>
    <w:rsid w:val="00574867"/>
    <w:rsid w:val="00591460"/>
    <w:rsid w:val="005A454E"/>
    <w:rsid w:val="005A65E0"/>
    <w:rsid w:val="005C3777"/>
    <w:rsid w:val="005C5CDC"/>
    <w:rsid w:val="005D44D9"/>
    <w:rsid w:val="005D476C"/>
    <w:rsid w:val="005F6DF8"/>
    <w:rsid w:val="00606539"/>
    <w:rsid w:val="006200BF"/>
    <w:rsid w:val="006219F8"/>
    <w:rsid w:val="006302F7"/>
    <w:rsid w:val="00646B9F"/>
    <w:rsid w:val="006474F2"/>
    <w:rsid w:val="00665D70"/>
    <w:rsid w:val="006900D9"/>
    <w:rsid w:val="006B3020"/>
    <w:rsid w:val="006C0554"/>
    <w:rsid w:val="006F0224"/>
    <w:rsid w:val="00706C16"/>
    <w:rsid w:val="0071033D"/>
    <w:rsid w:val="00726214"/>
    <w:rsid w:val="007340C3"/>
    <w:rsid w:val="0075235A"/>
    <w:rsid w:val="00756841"/>
    <w:rsid w:val="007649AB"/>
    <w:rsid w:val="00771D0C"/>
    <w:rsid w:val="007759DA"/>
    <w:rsid w:val="007833AC"/>
    <w:rsid w:val="007B268C"/>
    <w:rsid w:val="007B4ECD"/>
    <w:rsid w:val="007B7171"/>
    <w:rsid w:val="007C0C0F"/>
    <w:rsid w:val="007C3DC2"/>
    <w:rsid w:val="007D5968"/>
    <w:rsid w:val="007E5497"/>
    <w:rsid w:val="007F1F9A"/>
    <w:rsid w:val="007F3BBD"/>
    <w:rsid w:val="007F5FC6"/>
    <w:rsid w:val="00806F5F"/>
    <w:rsid w:val="00820278"/>
    <w:rsid w:val="008258C9"/>
    <w:rsid w:val="00840187"/>
    <w:rsid w:val="00844AE9"/>
    <w:rsid w:val="00864774"/>
    <w:rsid w:val="00867F95"/>
    <w:rsid w:val="008843B6"/>
    <w:rsid w:val="00885DB1"/>
    <w:rsid w:val="00891928"/>
    <w:rsid w:val="00893D53"/>
    <w:rsid w:val="008A446D"/>
    <w:rsid w:val="008B25F1"/>
    <w:rsid w:val="008B3C52"/>
    <w:rsid w:val="008C4F84"/>
    <w:rsid w:val="008D180B"/>
    <w:rsid w:val="008F0EA7"/>
    <w:rsid w:val="008F13E5"/>
    <w:rsid w:val="00923EEF"/>
    <w:rsid w:val="009419F9"/>
    <w:rsid w:val="0095685E"/>
    <w:rsid w:val="00961B09"/>
    <w:rsid w:val="00965334"/>
    <w:rsid w:val="0097093E"/>
    <w:rsid w:val="00996D75"/>
    <w:rsid w:val="009A0DFA"/>
    <w:rsid w:val="009A1C6F"/>
    <w:rsid w:val="009A5CBE"/>
    <w:rsid w:val="009B2D26"/>
    <w:rsid w:val="009B42C9"/>
    <w:rsid w:val="009C71FA"/>
    <w:rsid w:val="009C72E7"/>
    <w:rsid w:val="009C7F7E"/>
    <w:rsid w:val="009D3058"/>
    <w:rsid w:val="009F3A13"/>
    <w:rsid w:val="00A122D3"/>
    <w:rsid w:val="00A12FB9"/>
    <w:rsid w:val="00A14468"/>
    <w:rsid w:val="00A17F13"/>
    <w:rsid w:val="00A20739"/>
    <w:rsid w:val="00A23AF9"/>
    <w:rsid w:val="00A33C78"/>
    <w:rsid w:val="00AB0ADB"/>
    <w:rsid w:val="00AB0BEB"/>
    <w:rsid w:val="00AE2E2D"/>
    <w:rsid w:val="00B00C0E"/>
    <w:rsid w:val="00B01B1A"/>
    <w:rsid w:val="00B0381D"/>
    <w:rsid w:val="00B135DB"/>
    <w:rsid w:val="00B13B4C"/>
    <w:rsid w:val="00B17C84"/>
    <w:rsid w:val="00B44A47"/>
    <w:rsid w:val="00B45398"/>
    <w:rsid w:val="00B456F5"/>
    <w:rsid w:val="00B65852"/>
    <w:rsid w:val="00B72CD3"/>
    <w:rsid w:val="00B72FFF"/>
    <w:rsid w:val="00BC3D36"/>
    <w:rsid w:val="00BD54A6"/>
    <w:rsid w:val="00BD7F72"/>
    <w:rsid w:val="00BF4592"/>
    <w:rsid w:val="00BF7425"/>
    <w:rsid w:val="00C024F0"/>
    <w:rsid w:val="00C04FB3"/>
    <w:rsid w:val="00C11D8B"/>
    <w:rsid w:val="00C14025"/>
    <w:rsid w:val="00C15139"/>
    <w:rsid w:val="00C330EB"/>
    <w:rsid w:val="00C423D5"/>
    <w:rsid w:val="00C50D69"/>
    <w:rsid w:val="00C5365C"/>
    <w:rsid w:val="00C6260A"/>
    <w:rsid w:val="00C754BE"/>
    <w:rsid w:val="00C7633E"/>
    <w:rsid w:val="00C76B1C"/>
    <w:rsid w:val="00C925AC"/>
    <w:rsid w:val="00C9537A"/>
    <w:rsid w:val="00CB6357"/>
    <w:rsid w:val="00CB72E9"/>
    <w:rsid w:val="00CC1B26"/>
    <w:rsid w:val="00CE534B"/>
    <w:rsid w:val="00CE5601"/>
    <w:rsid w:val="00D361FD"/>
    <w:rsid w:val="00D423A2"/>
    <w:rsid w:val="00D44E26"/>
    <w:rsid w:val="00D520D8"/>
    <w:rsid w:val="00D56998"/>
    <w:rsid w:val="00D63AC2"/>
    <w:rsid w:val="00D7383B"/>
    <w:rsid w:val="00D7788A"/>
    <w:rsid w:val="00D866B2"/>
    <w:rsid w:val="00D873C8"/>
    <w:rsid w:val="00DA231B"/>
    <w:rsid w:val="00DB0555"/>
    <w:rsid w:val="00DC39FC"/>
    <w:rsid w:val="00DE1911"/>
    <w:rsid w:val="00DE6D46"/>
    <w:rsid w:val="00DF1C8A"/>
    <w:rsid w:val="00DF5254"/>
    <w:rsid w:val="00E02524"/>
    <w:rsid w:val="00E16408"/>
    <w:rsid w:val="00E20894"/>
    <w:rsid w:val="00E245AB"/>
    <w:rsid w:val="00E2764C"/>
    <w:rsid w:val="00E27F2E"/>
    <w:rsid w:val="00E47C6E"/>
    <w:rsid w:val="00E50AFE"/>
    <w:rsid w:val="00E75C92"/>
    <w:rsid w:val="00E771DC"/>
    <w:rsid w:val="00E8772A"/>
    <w:rsid w:val="00E90F6B"/>
    <w:rsid w:val="00E92C27"/>
    <w:rsid w:val="00EA0E3D"/>
    <w:rsid w:val="00EC38A7"/>
    <w:rsid w:val="00ED1AC3"/>
    <w:rsid w:val="00ED469C"/>
    <w:rsid w:val="00EE1AA8"/>
    <w:rsid w:val="00F030C2"/>
    <w:rsid w:val="00F23FEA"/>
    <w:rsid w:val="00F279E2"/>
    <w:rsid w:val="00F31EDC"/>
    <w:rsid w:val="00F41B42"/>
    <w:rsid w:val="00F462B3"/>
    <w:rsid w:val="00F5664F"/>
    <w:rsid w:val="00F666C4"/>
    <w:rsid w:val="00F76AFC"/>
    <w:rsid w:val="00FA47C0"/>
    <w:rsid w:val="00FB0480"/>
    <w:rsid w:val="00FB5DD1"/>
    <w:rsid w:val="00FC2B5D"/>
    <w:rsid w:val="00FF0024"/>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13B4C"/>
    <w:rPr>
      <w:rFonts w:ascii="Geomanist Light" w:hAnsi="Geomanist Light"/>
      <w:lang w:val="es-ES"/>
    </w:rPr>
  </w:style>
  <w:style w:type="character" w:customStyle="1" w:styleId="s15">
    <w:name w:val="s15"/>
    <w:basedOn w:val="Fuentedeprrafopredeter"/>
    <w:rsid w:val="00B13B4C"/>
  </w:style>
  <w:style w:type="paragraph" w:customStyle="1" w:styleId="Appelnotedebasde">
    <w:name w:val="Appel note de bas de..."/>
    <w:basedOn w:val="Normal"/>
    <w:link w:val="Refdenotaalpie"/>
    <w:uiPriority w:val="99"/>
    <w:rsid w:val="00404998"/>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829442264">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valentiina2345678@gmail.com"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C532136-B238-4991-A793-9AD1B70DBD7B}"/>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5FE95FC7-FBBE-4991-809F-E1370B31BEBA}">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14</Pages>
  <Words>4620</Words>
  <Characters>25412</Characters>
  <Application>Microsoft Office Word</Application>
  <DocSecurity>0</DocSecurity>
  <Lines>211</Lines>
  <Paragraphs>59</Paragraphs>
  <ScaleCrop>false</ScaleCrop>
  <Company/>
  <LinksUpToDate>false</LinksUpToDate>
  <CharactersWithSpaces>29973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María Ortiz Ballesteros</cp:lastModifiedBy>
  <cp:revision>23</cp:revision>
  <cp:lastPrinted>2023-01-10T21:18:00Z</cp:lastPrinted>
  <dcterms:created xsi:type="dcterms:W3CDTF">2026-03-27T17:08:00Z</dcterms:created>
  <dcterms:modified xsi:type="dcterms:W3CDTF">2026-03-27T18:27:00Z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