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B2359" w14:textId="45DD4EFC" w:rsidR="00DB45E4" w:rsidRPr="00620677" w:rsidRDefault="00DB45E4" w:rsidP="00DB45E4">
      <w:pPr>
        <w:jc w:val="both"/>
        <w:rPr>
          <w:rFonts w:ascii="Verdana" w:hAnsi="Verdana" w:cs="Arial"/>
          <w:b/>
          <w:bCs/>
        </w:rPr>
      </w:pPr>
      <w:bookmarkStart w:id="0" w:name="_Hlk143780582"/>
      <w:r w:rsidRPr="00620677">
        <w:rPr>
          <w:rFonts w:ascii="Verdana" w:hAnsi="Verdana" w:cs="Arial"/>
          <w:b/>
          <w:bCs/>
        </w:rPr>
        <w:t xml:space="preserve">COLOMBIA COMPRA EFICIENTE – Decreto Ley 4170 de 2011 – Naturaleza jurídica </w:t>
      </w:r>
    </w:p>
    <w:p w14:paraId="3FDEC0B5" w14:textId="7D0A3F22" w:rsidR="00DB45E4" w:rsidRPr="00620677" w:rsidRDefault="00DB45E4" w:rsidP="000F710A">
      <w:pPr>
        <w:spacing w:after="0" w:line="240" w:lineRule="auto"/>
        <w:jc w:val="both"/>
        <w:rPr>
          <w:rFonts w:ascii="Verdana" w:hAnsi="Verdana" w:cs="Arial"/>
          <w:b/>
          <w:bCs/>
        </w:rPr>
      </w:pPr>
      <w:r w:rsidRPr="00620677">
        <w:rPr>
          <w:rFonts w:ascii="Verdana" w:eastAsia="Calibri" w:hAnsi="Verdana" w:cs="Arial"/>
          <w:bCs/>
          <w:color w:val="000000" w:themeColor="text1"/>
          <w:sz w:val="20"/>
          <w:lang w:val="es-ES_tradn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w:t>
      </w:r>
      <w:r w:rsidR="003E69C5" w:rsidRPr="00620677">
        <w:rPr>
          <w:rFonts w:ascii="Verdana" w:eastAsia="Calibri" w:hAnsi="Verdana" w:cs="Arial"/>
          <w:bCs/>
          <w:color w:val="000000" w:themeColor="text1"/>
          <w:sz w:val="20"/>
          <w:lang w:val="es-ES_tradnl"/>
        </w:rPr>
        <w:t>“</w:t>
      </w:r>
      <w:r w:rsidRPr="00620677">
        <w:rPr>
          <w:rFonts w:ascii="Verdana" w:eastAsia="Calibri" w:hAnsi="Verdana" w:cs="Arial"/>
          <w:bCs/>
          <w:color w:val="000000" w:themeColor="text1"/>
          <w:sz w:val="20"/>
          <w:lang w:val="es-ES_tradnl"/>
        </w:rPr>
        <w:t>difundir las normas, reglas, procedimientos, medios tecnológicos y mejores prácticas para las compras y la contratación pública</w:t>
      </w:r>
      <w:r w:rsidR="003E69C5" w:rsidRPr="00620677">
        <w:rPr>
          <w:rFonts w:ascii="Verdana" w:eastAsia="Calibri" w:hAnsi="Verdana" w:cs="Arial"/>
          <w:bCs/>
          <w:color w:val="000000" w:themeColor="text1"/>
          <w:sz w:val="20"/>
          <w:lang w:val="es-ES_tradnl"/>
        </w:rPr>
        <w:t>”</w:t>
      </w:r>
      <w:r w:rsidRPr="00620677">
        <w:rPr>
          <w:rFonts w:ascii="Verdana" w:eastAsia="Calibri" w:hAnsi="Verdana" w:cs="Arial"/>
          <w:bCs/>
          <w:color w:val="000000" w:themeColor="text1"/>
          <w:sz w:val="20"/>
          <w:lang w:val="es-ES_tradnl"/>
        </w:rPr>
        <w:t xml:space="preserve">, de conformidad con el numeral 10 del artículo 3 del Decreto Ley 4170 de 2011. </w:t>
      </w:r>
    </w:p>
    <w:p w14:paraId="2C88186B" w14:textId="77777777" w:rsidR="00EA1A68" w:rsidRPr="00620677" w:rsidRDefault="00DB45E4" w:rsidP="000F710A">
      <w:pPr>
        <w:spacing w:before="120" w:after="240" w:line="240" w:lineRule="auto"/>
        <w:jc w:val="both"/>
        <w:rPr>
          <w:rFonts w:ascii="Verdana" w:eastAsia="Calibri" w:hAnsi="Verdana" w:cs="Arial"/>
          <w:bCs/>
          <w:color w:val="000000" w:themeColor="text1"/>
          <w:sz w:val="20"/>
          <w:lang w:val="es-ES_tradnl"/>
        </w:rPr>
      </w:pPr>
      <w:r w:rsidRPr="00620677">
        <w:rPr>
          <w:rFonts w:ascii="Verdana" w:eastAsia="Calibri" w:hAnsi="Verdana" w:cs="Arial"/>
          <w:bCs/>
          <w:color w:val="000000" w:themeColor="text1"/>
          <w:sz w:val="20"/>
          <w:lang w:val="es-ES_tradn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28968CAC" w14:textId="52CD1276" w:rsidR="001D00DE" w:rsidRPr="00620677" w:rsidRDefault="00DB45E4" w:rsidP="00EA1A68">
      <w:pPr>
        <w:spacing w:before="120" w:after="240" w:line="240" w:lineRule="auto"/>
        <w:jc w:val="both"/>
        <w:rPr>
          <w:rFonts w:ascii="Verdana" w:eastAsia="Calibri" w:hAnsi="Verdana" w:cs="Arial"/>
          <w:bCs/>
          <w:color w:val="000000" w:themeColor="text1"/>
          <w:sz w:val="20"/>
          <w:lang w:val="es-ES_tradnl"/>
        </w:rPr>
      </w:pPr>
      <w:r w:rsidRPr="00620677">
        <w:rPr>
          <w:rFonts w:ascii="Verdana" w:hAnsi="Verdana" w:cs="Arial"/>
          <w:b/>
          <w:bCs/>
        </w:rPr>
        <w:t>COLOMBIA COMPRA EFICIENTE – Funciones – Expedición – Guías – Manuales – Circulares</w:t>
      </w:r>
      <w:r w:rsidR="004B6611" w:rsidRPr="00620677">
        <w:rPr>
          <w:rFonts w:ascii="Verdana" w:hAnsi="Verdana" w:cs="Arial"/>
          <w:b/>
          <w:bCs/>
        </w:rPr>
        <w:t xml:space="preserve"> </w:t>
      </w:r>
      <w:r w:rsidR="000F710A" w:rsidRPr="00620677">
        <w:rPr>
          <w:rFonts w:ascii="Verdana" w:hAnsi="Verdana" w:cs="Arial"/>
          <w:b/>
          <w:bCs/>
        </w:rPr>
        <w:t>–</w:t>
      </w:r>
      <w:r w:rsidR="004B6611" w:rsidRPr="00620677">
        <w:rPr>
          <w:rFonts w:ascii="Verdana" w:hAnsi="Verdana" w:cs="Arial"/>
          <w:b/>
          <w:bCs/>
        </w:rPr>
        <w:t xml:space="preserve"> Obligatoriedad</w:t>
      </w:r>
      <w:r w:rsidR="000F710A" w:rsidRPr="00620677">
        <w:rPr>
          <w:rFonts w:ascii="Verdana" w:hAnsi="Verdana" w:cs="Arial"/>
          <w:b/>
          <w:bCs/>
        </w:rPr>
        <w:t xml:space="preserve"> </w:t>
      </w:r>
      <w:r w:rsidR="003802EE" w:rsidRPr="00620677">
        <w:rPr>
          <w:rFonts w:ascii="Verdana" w:hAnsi="Verdana" w:cs="Arial"/>
          <w:b/>
          <w:bCs/>
        </w:rPr>
        <w:t>– Decreto 1600 del 2024</w:t>
      </w:r>
    </w:p>
    <w:p w14:paraId="5399945B" w14:textId="5668FEB8" w:rsidR="00FF7E66" w:rsidRPr="00620677" w:rsidRDefault="00FF7E66" w:rsidP="00FF7E66">
      <w:pPr>
        <w:spacing w:after="240" w:line="240" w:lineRule="auto"/>
        <w:jc w:val="both"/>
        <w:rPr>
          <w:rFonts w:ascii="Verdana" w:eastAsia="Calibri" w:hAnsi="Verdana" w:cs="Arial"/>
          <w:sz w:val="20"/>
          <w:szCs w:val="20"/>
          <w:lang w:val="es-ES"/>
        </w:rPr>
      </w:pPr>
      <w:r w:rsidRPr="00620677">
        <w:rPr>
          <w:rFonts w:ascii="Verdana" w:eastAsia="Calibri" w:hAnsi="Verdana" w:cs="Arial"/>
          <w:sz w:val="20"/>
          <w:szCs w:val="20"/>
          <w:lang w:val="es-ES"/>
        </w:rPr>
        <w:t xml:space="preserve">En ejercicio de las competencias </w:t>
      </w:r>
      <w:r w:rsidR="00057F8C" w:rsidRPr="00620677">
        <w:rPr>
          <w:rFonts w:ascii="Verdana" w:eastAsia="Calibri" w:hAnsi="Verdana" w:cs="Arial"/>
          <w:sz w:val="20"/>
          <w:szCs w:val="20"/>
          <w:lang w:val="es-ES"/>
        </w:rPr>
        <w:t>asignadas</w:t>
      </w:r>
      <w:r w:rsidRPr="00620677">
        <w:rPr>
          <w:rFonts w:ascii="Verdana" w:eastAsia="Calibri" w:hAnsi="Verdana" w:cs="Arial"/>
          <w:sz w:val="20"/>
          <w:szCs w:val="20"/>
          <w:lang w:val="es-ES"/>
        </w:rPr>
        <w:t>, Colombia Compra Eficiente ha expedido Guías, Manuales y Circulares, los cuales pueden ser calificados como herramientas de apoyo a los partícipes de la contratación pública. 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w:t>
      </w:r>
    </w:p>
    <w:p w14:paraId="6A8E5310" w14:textId="5D347928" w:rsidR="00017916" w:rsidRPr="00620677" w:rsidRDefault="00017916" w:rsidP="00FF7E66">
      <w:pPr>
        <w:spacing w:after="240" w:line="240" w:lineRule="auto"/>
        <w:jc w:val="both"/>
        <w:rPr>
          <w:rFonts w:ascii="Verdana" w:eastAsia="Calibri" w:hAnsi="Verdana" w:cs="Arial"/>
          <w:sz w:val="20"/>
          <w:szCs w:val="20"/>
          <w:lang w:val="es-ES"/>
        </w:rPr>
      </w:pPr>
      <w:r w:rsidRPr="00620677">
        <w:rPr>
          <w:rFonts w:ascii="Verdana" w:eastAsia="Calibri" w:hAnsi="Verdana" w:cs="Arial"/>
          <w:sz w:val="20"/>
          <w:szCs w:val="20"/>
          <w:lang w:val="es-ES"/>
        </w:rPr>
        <w:t>[…]</w:t>
      </w:r>
    </w:p>
    <w:p w14:paraId="48FDF2F1" w14:textId="5DB3BA9B" w:rsidR="003E69C5" w:rsidRPr="00620677" w:rsidRDefault="00E07781" w:rsidP="00FF7E66">
      <w:pPr>
        <w:spacing w:after="240" w:line="240" w:lineRule="auto"/>
        <w:jc w:val="both"/>
        <w:rPr>
          <w:rFonts w:ascii="Verdana" w:eastAsia="Geomanist Light" w:hAnsi="Verdana" w:cs="Arial"/>
          <w:sz w:val="20"/>
          <w:szCs w:val="20"/>
        </w:rPr>
      </w:pPr>
      <w:r w:rsidRPr="00620677">
        <w:rPr>
          <w:rFonts w:ascii="Verdana" w:eastAsia="Geomanist Light" w:hAnsi="Verdana" w:cs="Arial"/>
          <w:sz w:val="20"/>
          <w:szCs w:val="20"/>
        </w:rPr>
        <w:t xml:space="preserve">La obligatoriedad de un acto o instrumento expedido por la ANCP-CCE se determina cuando su contenido corresponde a materias cuya regulación ha sido atribuida expresamente por el legislador o por el Presidente de la República a la Agencia Nacional de Contratación Pública. Este aspecto se vincula directamente con uno de los elementos esenciales de los actos administrativos: la competencia. </w:t>
      </w:r>
    </w:p>
    <w:p w14:paraId="35ED21B8" w14:textId="77777777" w:rsidR="00E07781" w:rsidRPr="00620677" w:rsidRDefault="00E07781" w:rsidP="00E07781">
      <w:pPr>
        <w:spacing w:after="240" w:line="240" w:lineRule="auto"/>
        <w:jc w:val="both"/>
        <w:rPr>
          <w:rFonts w:ascii="Verdana" w:eastAsia="Calibri" w:hAnsi="Verdana" w:cs="Arial"/>
          <w:sz w:val="20"/>
          <w:szCs w:val="20"/>
          <w:lang w:val="es-ES"/>
        </w:rPr>
      </w:pPr>
      <w:r w:rsidRPr="00620677">
        <w:rPr>
          <w:rFonts w:ascii="Verdana" w:eastAsia="Calibri" w:hAnsi="Verdana" w:cs="Arial"/>
          <w:sz w:val="20"/>
          <w:szCs w:val="20"/>
          <w:lang w:val="es-ES"/>
        </w:rPr>
        <w:t>[…]</w:t>
      </w:r>
    </w:p>
    <w:p w14:paraId="18578476" w14:textId="7BA0229C" w:rsidR="00C02A0B" w:rsidRPr="00620677" w:rsidRDefault="00C02A0B" w:rsidP="00C02A0B">
      <w:pPr>
        <w:spacing w:after="240" w:line="240" w:lineRule="auto"/>
        <w:jc w:val="both"/>
        <w:rPr>
          <w:rFonts w:ascii="Verdana" w:eastAsia="Calibri" w:hAnsi="Verdana" w:cs="Arial"/>
          <w:bCs/>
          <w:color w:val="000000" w:themeColor="text1"/>
          <w:sz w:val="20"/>
          <w:lang w:val="es-ES_tradnl"/>
        </w:rPr>
      </w:pPr>
      <w:r w:rsidRPr="00620677">
        <w:rPr>
          <w:rFonts w:ascii="Verdana" w:eastAsia="Calibri" w:hAnsi="Verdana" w:cs="Arial"/>
          <w:bCs/>
          <w:color w:val="000000" w:themeColor="text1"/>
          <w:sz w:val="20"/>
          <w:lang w:val="es-ES_tradnl"/>
        </w:rPr>
        <w:t xml:space="preserve">Las entidades no pueden alegar discrecionalidad absoluta en la forma de realizar estudios previos o análisis sectoriales, ya que deben garantizar la incorporación de los lineamientos metodológicos de Colombia Compra Eficiente como parte de su cumplimiento legal. Esto fortalece la estandarización de prácticas en contratación pública y asegura que las guías y manuales de la Agencia se utilicen como soporte técnico y jurídico para garantizar transparencia, objetividad en la fijación de precios y mayor </w:t>
      </w:r>
      <w:r w:rsidRPr="00620677">
        <w:rPr>
          <w:rFonts w:ascii="Verdana" w:eastAsia="Calibri" w:hAnsi="Verdana" w:cs="Arial"/>
          <w:bCs/>
          <w:color w:val="000000" w:themeColor="text1"/>
          <w:sz w:val="20"/>
          <w:lang w:val="es-ES_tradnl"/>
        </w:rPr>
        <w:lastRenderedPageBreak/>
        <w:t xml:space="preserve">seguridad en la planeación contractual. En consecuencia, el artículo 2.1.4.3.2.1 </w:t>
      </w:r>
      <w:r w:rsidR="00093037" w:rsidRPr="00620677">
        <w:rPr>
          <w:rFonts w:ascii="Verdana" w:eastAsia="Calibri" w:hAnsi="Verdana" w:cs="Arial"/>
          <w:bCs/>
          <w:color w:val="000000" w:themeColor="text1"/>
          <w:sz w:val="20"/>
          <w:lang w:val="es-ES_tradnl"/>
        </w:rPr>
        <w:t xml:space="preserve">del Decreto 1600 del 2024 </w:t>
      </w:r>
      <w:r w:rsidRPr="00620677">
        <w:rPr>
          <w:rFonts w:ascii="Verdana" w:eastAsia="Calibri" w:hAnsi="Verdana" w:cs="Arial"/>
          <w:bCs/>
          <w:color w:val="000000" w:themeColor="text1"/>
          <w:sz w:val="20"/>
          <w:lang w:val="es-ES_tradnl"/>
        </w:rPr>
        <w:t>otorga a estos instrumentos un valor normativo indirecto, vinculando su aplicación al deber de las entidades de prevenir la corrupción y cumplir con estándares mínimos de calidad en la contratación.</w:t>
      </w:r>
    </w:p>
    <w:p w14:paraId="3400CA90" w14:textId="7081658D" w:rsidR="00B050A3" w:rsidRPr="00620677" w:rsidRDefault="00B050A3" w:rsidP="00B050A3">
      <w:pPr>
        <w:spacing w:after="0" w:line="240" w:lineRule="auto"/>
        <w:jc w:val="both"/>
        <w:rPr>
          <w:rFonts w:ascii="Verdana" w:eastAsia="Calibri" w:hAnsi="Verdana" w:cs="Arial"/>
          <w:b/>
          <w:bCs/>
          <w:lang w:val="es-ES_tradnl" w:eastAsia="es-ES_tradnl"/>
        </w:rPr>
      </w:pPr>
      <w:r w:rsidRPr="00620677">
        <w:rPr>
          <w:rFonts w:ascii="Verdana" w:eastAsia="Calibri" w:hAnsi="Verdana" w:cs="Arial"/>
          <w:b/>
          <w:bCs/>
          <w:lang w:val="es-ES_tradnl" w:eastAsia="es-ES_tradnl"/>
        </w:rPr>
        <w:t>PLANEACIÓN CONTRACTUAL – Noción – Obligación de las entidades – Ley 80 de 1993</w:t>
      </w:r>
    </w:p>
    <w:p w14:paraId="1D67C8BC" w14:textId="77777777" w:rsidR="00B050A3" w:rsidRPr="00620677" w:rsidRDefault="00B050A3" w:rsidP="00B050A3">
      <w:pPr>
        <w:spacing w:after="0" w:line="240" w:lineRule="auto"/>
        <w:jc w:val="both"/>
        <w:rPr>
          <w:rFonts w:ascii="Verdana" w:eastAsia="Calibri" w:hAnsi="Verdana" w:cs="Arial"/>
          <w:b/>
          <w:bCs/>
          <w:sz w:val="20"/>
          <w:szCs w:val="20"/>
          <w:highlight w:val="yellow"/>
          <w:lang w:val="es-ES_tradnl" w:eastAsia="es-ES_tradnl"/>
        </w:rPr>
      </w:pPr>
    </w:p>
    <w:p w14:paraId="318CA6A5" w14:textId="77777777" w:rsidR="00B050A3" w:rsidRPr="00620677" w:rsidRDefault="00B050A3" w:rsidP="00B050A3">
      <w:pPr>
        <w:spacing w:after="0" w:line="240" w:lineRule="auto"/>
        <w:jc w:val="both"/>
        <w:rPr>
          <w:rFonts w:ascii="Verdana" w:eastAsia="Aptos" w:hAnsi="Verdana" w:cs="Times New Roman"/>
          <w:sz w:val="20"/>
          <w:szCs w:val="20"/>
        </w:rPr>
      </w:pPr>
      <w:r w:rsidRPr="00620677">
        <w:rPr>
          <w:rFonts w:ascii="Verdana" w:eastAsia="Aptos" w:hAnsi="Verdana" w:cs="Times New Roman"/>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7BE1D351" w14:textId="77777777" w:rsidR="00B050A3" w:rsidRPr="00620677" w:rsidRDefault="00B050A3" w:rsidP="00B050A3">
      <w:pPr>
        <w:spacing w:after="0" w:line="240" w:lineRule="auto"/>
        <w:jc w:val="both"/>
        <w:rPr>
          <w:rFonts w:ascii="Verdana" w:eastAsia="Aptos" w:hAnsi="Verdana" w:cs="Times New Roman"/>
          <w:sz w:val="20"/>
          <w:szCs w:val="20"/>
        </w:rPr>
      </w:pPr>
    </w:p>
    <w:p w14:paraId="2174C04A" w14:textId="77777777" w:rsidR="00B050A3" w:rsidRPr="00620677" w:rsidRDefault="00B050A3" w:rsidP="00DA218F">
      <w:pPr>
        <w:spacing w:after="240" w:line="240" w:lineRule="auto"/>
        <w:jc w:val="both"/>
        <w:rPr>
          <w:rFonts w:ascii="Verdana" w:eastAsia="Aptos" w:hAnsi="Verdana" w:cs="Times New Roman"/>
          <w:sz w:val="20"/>
          <w:szCs w:val="20"/>
        </w:rPr>
      </w:pPr>
      <w:r w:rsidRPr="00620677">
        <w:rPr>
          <w:rFonts w:ascii="Verdana" w:eastAsia="Aptos" w:hAnsi="Verdana" w:cs="Times New Roman"/>
          <w:sz w:val="20"/>
          <w:szCs w:val="20"/>
        </w:rPr>
        <w:t>[…] el Estatuto General de Contratación de la Administración Pública, en adelante EGCAP, contiene disposiciones que exigen a las Entidades Estatales el deber de realizar planeación en la etapa precontractual, esto con el fin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w:t>
      </w:r>
    </w:p>
    <w:p w14:paraId="016EF171" w14:textId="77777777" w:rsidR="00952BFA" w:rsidRPr="00620677" w:rsidRDefault="00952BFA" w:rsidP="00952BFA">
      <w:pPr>
        <w:snapToGrid w:val="0"/>
        <w:contextualSpacing/>
        <w:jc w:val="both"/>
        <w:rPr>
          <w:rFonts w:ascii="Verdana" w:eastAsia="Times New Roman" w:hAnsi="Verdana" w:cs="Arial"/>
          <w:b/>
          <w:bCs/>
          <w:lang w:eastAsia="es-ES_tradnl"/>
        </w:rPr>
      </w:pPr>
      <w:r w:rsidRPr="00620677">
        <w:rPr>
          <w:rFonts w:ascii="Verdana" w:eastAsia="Times New Roman" w:hAnsi="Verdana" w:cs="Arial"/>
          <w:b/>
          <w:bCs/>
          <w:lang w:eastAsia="es-ES_tradnl"/>
        </w:rPr>
        <w:t>ESTUDIOS PREVIOS – Análisis del sector – Planeación en los procesos de contratación pública</w:t>
      </w:r>
    </w:p>
    <w:p w14:paraId="18312E8E" w14:textId="77777777" w:rsidR="00952BFA" w:rsidRPr="00620677" w:rsidRDefault="00952BFA" w:rsidP="00952BFA">
      <w:pPr>
        <w:snapToGrid w:val="0"/>
        <w:spacing w:after="0" w:line="240" w:lineRule="auto"/>
        <w:contextualSpacing/>
        <w:jc w:val="both"/>
        <w:rPr>
          <w:rFonts w:ascii="Verdana" w:eastAsia="Times New Roman" w:hAnsi="Verdana" w:cs="Arial"/>
          <w:sz w:val="20"/>
          <w:szCs w:val="20"/>
          <w:lang w:eastAsia="es-ES_tradnl"/>
        </w:rPr>
      </w:pPr>
    </w:p>
    <w:p w14:paraId="31D3C166" w14:textId="77777777" w:rsidR="00952BFA" w:rsidRPr="00620677" w:rsidRDefault="00952BFA" w:rsidP="00952BFA">
      <w:pPr>
        <w:snapToGrid w:val="0"/>
        <w:spacing w:after="0" w:line="240" w:lineRule="auto"/>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El artículo 25 de la Ley 80 de 1995 y el artículo 2.2.1.1.2.1.1 del Decreto 1082 de 2015 disponen el contenido mínimo de los estudios y documentos previos que debe realizar la entidad en la etapa de planeación. Estos buscan que determine su necesidad, las modalidades existentes y la justificación de la elección que realice para el proceso, las calidades y especificaciones, los costos, la disponibilidad de recursos, la disponibilidad en el mercado, los procedimientos y requisitos por satisfacer, entre otros. Por otra parte, de acuerdo con los numerales 2 y 4 del artículo 2.2.1.1.2.1.1 del Decreto 1082 de 2015, uno de los aspectos principales que deben abarcar los estudios previos es la determinación del objeto a contratar con sus especificaciones y el valor estimado del contrato con su respectiva justificación. </w:t>
      </w:r>
      <w:r w:rsidRPr="00620677">
        <w:rPr>
          <w:rFonts w:ascii="Verdana" w:eastAsia="Calibri" w:hAnsi="Verdana" w:cs="Arial"/>
          <w:bCs/>
          <w:sz w:val="20"/>
          <w:szCs w:val="20"/>
          <w:lang w:val="es-ES" w:eastAsia="es-MX"/>
        </w:rPr>
        <w:t>Para lo anterior será relevante la información recolectada en el marco del estudio del mercado y el análisis del sector económico.</w:t>
      </w:r>
    </w:p>
    <w:p w14:paraId="430DD785" w14:textId="77777777" w:rsidR="003057A5" w:rsidRPr="00620677" w:rsidRDefault="003057A5" w:rsidP="006B20FC">
      <w:pPr>
        <w:pStyle w:val="Textoindependiente"/>
        <w:spacing w:line="240" w:lineRule="auto"/>
        <w:jc w:val="both"/>
        <w:rPr>
          <w:rFonts w:ascii="Verdana" w:eastAsia="Calibri" w:hAnsi="Verdana" w:cs="Arial"/>
          <w:bCs/>
          <w:color w:val="000000" w:themeColor="text1"/>
          <w:sz w:val="20"/>
          <w:szCs w:val="22"/>
          <w:lang w:val="es-ES" w:eastAsia="en-US"/>
        </w:rPr>
      </w:pPr>
    </w:p>
    <w:p w14:paraId="1B91B834" w14:textId="77777777" w:rsidR="003057A5" w:rsidRPr="00620677" w:rsidRDefault="003057A5" w:rsidP="006B20FC">
      <w:pPr>
        <w:pStyle w:val="Textoindependiente"/>
        <w:spacing w:line="240" w:lineRule="auto"/>
        <w:jc w:val="both"/>
        <w:rPr>
          <w:rFonts w:ascii="Verdana" w:eastAsia="Calibri" w:hAnsi="Verdana" w:cs="Arial"/>
          <w:bCs/>
          <w:color w:val="000000" w:themeColor="text1"/>
          <w:sz w:val="20"/>
          <w:szCs w:val="22"/>
          <w:lang w:val="es-ES_tradnl" w:eastAsia="en-US"/>
        </w:rPr>
      </w:pPr>
    </w:p>
    <w:p w14:paraId="05DFEFF4" w14:textId="77777777" w:rsidR="00F22A4A" w:rsidRPr="00620677" w:rsidRDefault="00F22A4A" w:rsidP="30821638">
      <w:pPr>
        <w:spacing w:after="0"/>
        <w:rPr>
          <w:rFonts w:ascii="Verdana" w:eastAsia="Verdana" w:hAnsi="Verdana" w:cs="Verdana"/>
          <w:lang w:val="es-ES_tradnl"/>
        </w:rPr>
      </w:pPr>
    </w:p>
    <w:p w14:paraId="3D75E79C" w14:textId="77777777" w:rsidR="001D00DE" w:rsidRPr="00620677" w:rsidRDefault="001D00DE" w:rsidP="30821638">
      <w:pPr>
        <w:spacing w:after="0"/>
        <w:rPr>
          <w:rFonts w:ascii="Verdana" w:eastAsia="Verdana" w:hAnsi="Verdana" w:cs="Verdana"/>
          <w:lang w:val="es-ES_tradnl"/>
        </w:rPr>
      </w:pPr>
    </w:p>
    <w:p w14:paraId="5DE8172C" w14:textId="77777777" w:rsidR="00655212" w:rsidRPr="00620677" w:rsidRDefault="00655212" w:rsidP="30821638">
      <w:pPr>
        <w:spacing w:after="0"/>
        <w:rPr>
          <w:rFonts w:ascii="Verdana" w:eastAsia="Verdana" w:hAnsi="Verdana" w:cs="Verdana"/>
          <w:lang w:val="es-ES_tradnl"/>
        </w:rPr>
      </w:pPr>
    </w:p>
    <w:p w14:paraId="15847ACC" w14:textId="77777777" w:rsidR="00655212" w:rsidRPr="00620677" w:rsidRDefault="00655212" w:rsidP="30821638">
      <w:pPr>
        <w:spacing w:after="0"/>
        <w:rPr>
          <w:rFonts w:ascii="Verdana" w:eastAsia="Verdana" w:hAnsi="Verdana" w:cs="Verdana"/>
          <w:lang w:val="es-ES_tradnl"/>
        </w:rPr>
      </w:pPr>
    </w:p>
    <w:p w14:paraId="1468C46D" w14:textId="07013BEF" w:rsidR="00C15139" w:rsidRDefault="00C15139" w:rsidP="30821638">
      <w:pPr>
        <w:spacing w:after="0"/>
        <w:rPr>
          <w:rFonts w:ascii="Verdana" w:hAnsi="Verdana"/>
        </w:rPr>
      </w:pPr>
      <w:r w:rsidRPr="00620677">
        <w:rPr>
          <w:rFonts w:ascii="Verdana" w:eastAsia="Verdana" w:hAnsi="Verdana" w:cs="Verdana"/>
        </w:rPr>
        <w:lastRenderedPageBreak/>
        <w:t xml:space="preserve">Bogotá D.C., </w:t>
      </w:r>
      <w:r w:rsidR="00410BD8">
        <w:rPr>
          <w:rFonts w:ascii="Verdana" w:eastAsia="Verdana" w:hAnsi="Verdana" w:cs="Verdana"/>
        </w:rPr>
        <w:t>2</w:t>
      </w:r>
      <w:r w:rsidR="00D50B11">
        <w:rPr>
          <w:rFonts w:ascii="Verdana" w:eastAsia="Verdana" w:hAnsi="Verdana" w:cs="Verdana"/>
        </w:rPr>
        <w:t>6</w:t>
      </w:r>
      <w:r w:rsidR="006A2896">
        <w:rPr>
          <w:rFonts w:ascii="Verdana" w:eastAsia="Verdana" w:hAnsi="Verdana" w:cs="Verdana"/>
        </w:rPr>
        <w:t xml:space="preserve"> de marzo del 2026</w:t>
      </w:r>
      <w:r w:rsidRPr="00620677">
        <w:rPr>
          <w:rFonts w:ascii="Verdana" w:hAnsi="Verdana"/>
        </w:rPr>
        <w:tab/>
      </w:r>
    </w:p>
    <w:p w14:paraId="09DB66AD" w14:textId="3BC0CCC5" w:rsidR="00D50B11" w:rsidRPr="00620677" w:rsidRDefault="00D50B11" w:rsidP="00D50B11">
      <w:pPr>
        <w:spacing w:after="0"/>
        <w:jc w:val="right"/>
        <w:rPr>
          <w:rFonts w:ascii="Verdana" w:eastAsia="Verdana" w:hAnsi="Verdana" w:cs="Verdana"/>
        </w:rPr>
      </w:pPr>
      <w:r w:rsidRPr="00D50B11">
        <w:rPr>
          <w:rFonts w:ascii="Verdana" w:eastAsia="Verdana" w:hAnsi="Verdana" w:cs="Verdana"/>
        </w:rPr>
        <w:drawing>
          <wp:inline distT="0" distB="0" distL="0" distR="0" wp14:anchorId="6E7C76E8" wp14:editId="37EA9E37">
            <wp:extent cx="2524477" cy="724001"/>
            <wp:effectExtent l="0" t="0" r="9525" b="0"/>
            <wp:docPr id="12962964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296487" name=""/>
                    <pic:cNvPicPr/>
                  </pic:nvPicPr>
                  <pic:blipFill>
                    <a:blip r:embed="rId11"/>
                    <a:stretch>
                      <a:fillRect/>
                    </a:stretch>
                  </pic:blipFill>
                  <pic:spPr>
                    <a:xfrm>
                      <a:off x="0" y="0"/>
                      <a:ext cx="2524477" cy="724001"/>
                    </a:xfrm>
                    <a:prstGeom prst="rect">
                      <a:avLst/>
                    </a:prstGeom>
                  </pic:spPr>
                </pic:pic>
              </a:graphicData>
            </a:graphic>
          </wp:inline>
        </w:drawing>
      </w:r>
    </w:p>
    <w:p w14:paraId="202DC539" w14:textId="0387C380" w:rsidR="00B2432B" w:rsidRPr="00620677" w:rsidRDefault="00B2432B" w:rsidP="00B2432B">
      <w:pPr>
        <w:spacing w:after="0" w:line="240" w:lineRule="auto"/>
        <w:rPr>
          <w:rFonts w:ascii="Verdana" w:hAnsi="Verdana"/>
        </w:rPr>
      </w:pPr>
      <w:r w:rsidRPr="00620677">
        <w:rPr>
          <w:rFonts w:ascii="Verdana" w:eastAsia="Calibri" w:hAnsi="Verdana" w:cs="Arial"/>
          <w:color w:val="000000" w:themeColor="text1"/>
          <w:lang w:val="es-ES" w:eastAsia="es-ES"/>
        </w:rPr>
        <w:t>Señor</w:t>
      </w:r>
      <w:r w:rsidR="00744B98" w:rsidRPr="00620677">
        <w:rPr>
          <w:rFonts w:ascii="Verdana" w:eastAsia="Calibri" w:hAnsi="Verdana" w:cs="Arial"/>
          <w:color w:val="000000" w:themeColor="text1"/>
          <w:lang w:val="es-ES" w:eastAsia="es-ES"/>
        </w:rPr>
        <w:t>a:</w:t>
      </w:r>
    </w:p>
    <w:p w14:paraId="16F3D687" w14:textId="1613522B" w:rsidR="00B2432B" w:rsidRPr="00620677" w:rsidRDefault="00744B98" w:rsidP="00B2432B">
      <w:pPr>
        <w:spacing w:after="0" w:line="240" w:lineRule="auto"/>
        <w:jc w:val="both"/>
        <w:rPr>
          <w:rFonts w:ascii="Verdana" w:eastAsia="Calibri" w:hAnsi="Verdana" w:cs="Arial"/>
          <w:b/>
          <w:bCs/>
          <w:color w:val="000000" w:themeColor="text1"/>
          <w:lang w:eastAsia="es-ES"/>
        </w:rPr>
      </w:pPr>
      <w:r w:rsidRPr="00620677">
        <w:rPr>
          <w:rFonts w:ascii="Verdana" w:eastAsia="Calibri" w:hAnsi="Verdana" w:cs="Arial"/>
          <w:b/>
          <w:bCs/>
          <w:color w:val="000000" w:themeColor="text1"/>
          <w:lang w:eastAsia="es-ES"/>
        </w:rPr>
        <w:t xml:space="preserve">Angie Estefanía López Balta </w:t>
      </w:r>
    </w:p>
    <w:p w14:paraId="7B2B659E" w14:textId="030A1CF0" w:rsidR="00DA0041" w:rsidRPr="00620677" w:rsidRDefault="00DA0041" w:rsidP="00B2432B">
      <w:pPr>
        <w:spacing w:after="0" w:line="240" w:lineRule="auto"/>
        <w:rPr>
          <w:rFonts w:ascii="Verdana" w:hAnsi="Verdana"/>
        </w:rPr>
      </w:pPr>
      <w:hyperlink r:id="rId12" w:history="1">
        <w:r w:rsidRPr="00620677">
          <w:rPr>
            <w:rStyle w:val="Hipervnculo"/>
            <w:rFonts w:ascii="Verdana" w:hAnsi="Verdana"/>
          </w:rPr>
          <w:t>gerenciauniversalmedik@gmail.com</w:t>
        </w:r>
      </w:hyperlink>
    </w:p>
    <w:p w14:paraId="113D7510" w14:textId="489A629F" w:rsidR="00B2432B" w:rsidRPr="00620677" w:rsidRDefault="00744B98" w:rsidP="00B2432B">
      <w:pPr>
        <w:spacing w:after="0" w:line="240" w:lineRule="auto"/>
        <w:rPr>
          <w:rFonts w:ascii="Verdana" w:eastAsia="Calibri" w:hAnsi="Verdana" w:cs="Arial"/>
          <w:b/>
          <w:bCs/>
          <w:color w:val="000000" w:themeColor="text1"/>
          <w:lang w:val="es-ES_tradnl" w:eastAsia="es-ES"/>
        </w:rPr>
      </w:pPr>
      <w:r w:rsidRPr="00620677">
        <w:rPr>
          <w:rFonts w:ascii="Verdana" w:eastAsia="Calibri" w:hAnsi="Verdana" w:cs="Arial"/>
          <w:color w:val="000000" w:themeColor="text1"/>
          <w:lang w:val="es-ES_tradnl" w:eastAsia="es-ES"/>
        </w:rPr>
        <w:t>Bogotá D.C.</w:t>
      </w:r>
    </w:p>
    <w:p w14:paraId="7DC0B363" w14:textId="77777777" w:rsidR="00B2432B" w:rsidRPr="00620677" w:rsidRDefault="00B2432B" w:rsidP="00B2432B">
      <w:pPr>
        <w:spacing w:after="0" w:line="240" w:lineRule="auto"/>
        <w:rPr>
          <w:rFonts w:ascii="Verdana" w:eastAsia="Calibri" w:hAnsi="Verdana" w:cs="Arial"/>
          <w:b/>
          <w:bCs/>
          <w:color w:val="000000" w:themeColor="text1"/>
          <w:highlight w:val="cyan"/>
          <w:lang w:val="es-ES_tradnl" w:eastAsia="es-ES_tradnl"/>
        </w:rPr>
      </w:pPr>
    </w:p>
    <w:p w14:paraId="64AECF3B" w14:textId="77777777" w:rsidR="00B2432B" w:rsidRPr="00620677" w:rsidRDefault="00B2432B" w:rsidP="00B2432B">
      <w:pPr>
        <w:spacing w:after="0" w:line="240" w:lineRule="auto"/>
        <w:rPr>
          <w:rFonts w:ascii="Verdana" w:eastAsia="Calibri" w:hAnsi="Verdana" w:cs="Arial"/>
          <w:b/>
          <w:bCs/>
          <w:color w:val="000000" w:themeColor="text1"/>
          <w:highlight w:val="cyan"/>
          <w:lang w:val="es-ES_tradnl" w:eastAsia="es-ES_tradnl"/>
        </w:rPr>
      </w:pPr>
    </w:p>
    <w:p w14:paraId="2150E46D" w14:textId="1B1A60D9" w:rsidR="00B2432B" w:rsidRPr="00620677" w:rsidRDefault="00B2432B" w:rsidP="00B2432B">
      <w:pPr>
        <w:spacing w:after="0" w:line="240" w:lineRule="auto"/>
        <w:rPr>
          <w:rFonts w:ascii="Verdana" w:eastAsia="Calibri" w:hAnsi="Verdana" w:cs="Arial"/>
          <w:b/>
          <w:bCs/>
          <w:color w:val="000000" w:themeColor="text1"/>
          <w:lang w:val="es-ES_tradnl" w:eastAsia="es-ES_tradnl"/>
        </w:rPr>
      </w:pPr>
      <w:r w:rsidRPr="00620677">
        <w:rPr>
          <w:rFonts w:ascii="Verdana" w:eastAsia="Calibri" w:hAnsi="Verdana" w:cs="Arial"/>
          <w:b/>
          <w:bCs/>
          <w:color w:val="000000" w:themeColor="text1"/>
          <w:lang w:val="es-ES_tradnl" w:eastAsia="es-ES_tradnl"/>
        </w:rPr>
        <w:t xml:space="preserve">                                   Concepto </w:t>
      </w:r>
      <w:r w:rsidR="001F3D4E" w:rsidRPr="00620677">
        <w:rPr>
          <w:rFonts w:ascii="Verdana" w:eastAsia="Calibri" w:hAnsi="Verdana" w:cs="Arial"/>
          <w:b/>
          <w:bCs/>
          <w:color w:val="000000" w:themeColor="text1"/>
          <w:lang w:val="es-ES_tradnl" w:eastAsia="es-ES_tradnl"/>
        </w:rPr>
        <w:t xml:space="preserve">C-260 </w:t>
      </w:r>
      <w:r w:rsidRPr="00620677">
        <w:rPr>
          <w:rFonts w:ascii="Verdana" w:eastAsia="Calibri" w:hAnsi="Verdana" w:cs="Arial"/>
          <w:b/>
          <w:bCs/>
          <w:color w:val="000000" w:themeColor="text1"/>
          <w:lang w:val="es-ES_tradnl" w:eastAsia="es-ES_tradnl"/>
        </w:rPr>
        <w:t>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2432B" w:rsidRPr="00620677" w14:paraId="23630160" w14:textId="77777777" w:rsidTr="000E1161">
        <w:trPr>
          <w:gridAfter w:val="1"/>
          <w:wAfter w:w="6100" w:type="dxa"/>
          <w:trHeight w:val="133"/>
        </w:trPr>
        <w:tc>
          <w:tcPr>
            <w:tcW w:w="2689" w:type="dxa"/>
          </w:tcPr>
          <w:p w14:paraId="3757E2D8" w14:textId="77777777" w:rsidR="00B2432B" w:rsidRPr="00620677" w:rsidRDefault="00B2432B" w:rsidP="000E1161">
            <w:pPr>
              <w:jc w:val="both"/>
              <w:rPr>
                <w:rFonts w:ascii="Verdana" w:eastAsia="Calibri" w:hAnsi="Verdana" w:cs="Arial"/>
                <w:b/>
                <w:bCs/>
                <w:color w:val="000000" w:themeColor="text1"/>
                <w:highlight w:val="cyan"/>
                <w:lang w:val="es-ES_tradnl" w:eastAsia="es-ES_tradnl"/>
              </w:rPr>
            </w:pPr>
          </w:p>
          <w:p w14:paraId="41A6499E" w14:textId="77777777" w:rsidR="00B2432B" w:rsidRPr="00620677" w:rsidRDefault="00B2432B" w:rsidP="000E1161">
            <w:pPr>
              <w:jc w:val="both"/>
              <w:rPr>
                <w:rFonts w:ascii="Verdana" w:eastAsia="Calibri" w:hAnsi="Verdana" w:cs="Arial"/>
                <w:b/>
                <w:bCs/>
                <w:color w:val="000000" w:themeColor="text1"/>
                <w:highlight w:val="cyan"/>
                <w:lang w:val="es-ES_tradnl" w:eastAsia="es-ES_tradnl"/>
              </w:rPr>
            </w:pPr>
          </w:p>
        </w:tc>
      </w:tr>
      <w:tr w:rsidR="00B2432B" w:rsidRPr="00620677" w14:paraId="7B23DAFE" w14:textId="77777777" w:rsidTr="000E1161">
        <w:trPr>
          <w:trHeight w:val="884"/>
        </w:trPr>
        <w:tc>
          <w:tcPr>
            <w:tcW w:w="2689" w:type="dxa"/>
          </w:tcPr>
          <w:p w14:paraId="28388496" w14:textId="77777777" w:rsidR="00B2432B" w:rsidRPr="00620677" w:rsidRDefault="00B2432B" w:rsidP="000E1161">
            <w:pPr>
              <w:jc w:val="both"/>
              <w:rPr>
                <w:rFonts w:ascii="Verdana" w:eastAsia="Calibri" w:hAnsi="Verdana" w:cs="Arial"/>
                <w:color w:val="000000" w:themeColor="text1"/>
                <w:highlight w:val="cyan"/>
                <w:lang w:val="es-ES_tradnl" w:eastAsia="es-ES_tradnl"/>
              </w:rPr>
            </w:pPr>
            <w:r w:rsidRPr="00620677">
              <w:rPr>
                <w:rFonts w:ascii="Verdana" w:eastAsia="Calibri" w:hAnsi="Verdana" w:cs="Arial"/>
                <w:b/>
                <w:color w:val="000000" w:themeColor="text1"/>
                <w:lang w:val="es-ES_tradnl" w:eastAsia="es-ES_tradnl"/>
              </w:rPr>
              <w:t>Temas:</w:t>
            </w:r>
            <w:r w:rsidRPr="00620677">
              <w:rPr>
                <w:rFonts w:ascii="Verdana" w:eastAsia="Calibri" w:hAnsi="Verdana" w:cs="Arial"/>
                <w:color w:val="000000" w:themeColor="text1"/>
                <w:lang w:val="es-ES_tradnl" w:eastAsia="es-ES_tradnl"/>
              </w:rPr>
              <w:t xml:space="preserve">                   </w:t>
            </w:r>
          </w:p>
        </w:tc>
        <w:tc>
          <w:tcPr>
            <w:tcW w:w="6100" w:type="dxa"/>
          </w:tcPr>
          <w:p w14:paraId="517C0F52" w14:textId="15E4D5EC" w:rsidR="00B2432B" w:rsidRPr="00620677" w:rsidRDefault="000F710A" w:rsidP="000E1161">
            <w:pPr>
              <w:jc w:val="both"/>
              <w:rPr>
                <w:rFonts w:ascii="Verdana" w:eastAsia="Calibri" w:hAnsi="Verdana" w:cs="Arial"/>
                <w:lang w:eastAsia="es-ES"/>
              </w:rPr>
            </w:pPr>
            <w:r w:rsidRPr="00620677">
              <w:rPr>
                <w:rFonts w:ascii="Verdana" w:eastAsia="Calibri" w:hAnsi="Verdana" w:cs="Arial"/>
                <w:lang w:val="es-ES" w:eastAsia="es-ES"/>
              </w:rPr>
              <w:t xml:space="preserve">COLOMBIA COMPRA EFICIENTE – Decreto Ley 4170 de 2011 – Naturaleza jurídica / </w:t>
            </w:r>
            <w:r w:rsidR="008072F1" w:rsidRPr="00620677">
              <w:rPr>
                <w:rFonts w:ascii="Verdana" w:eastAsia="Calibri" w:hAnsi="Verdana" w:cs="Arial"/>
                <w:lang w:val="es-ES" w:eastAsia="es-ES"/>
              </w:rPr>
              <w:t xml:space="preserve">COLOMBIA COMPRA EFICIENTE – Funciones – Expedición – Guías – Manuales – Circulares – Obligatoriedad – Decreto 1600 del 2024 / </w:t>
            </w:r>
            <w:r w:rsidR="00B050A3" w:rsidRPr="00620677">
              <w:rPr>
                <w:rFonts w:ascii="Verdana" w:eastAsia="Calibri" w:hAnsi="Verdana" w:cs="Arial"/>
                <w:lang w:val="es-ES" w:eastAsia="es-ES"/>
              </w:rPr>
              <w:t xml:space="preserve">PLANEACIÓN CONTRACTUAL – Noción – Obligación de las entidades – Ley 80 de 1993 / </w:t>
            </w:r>
            <w:r w:rsidR="00952BFA" w:rsidRPr="00620677">
              <w:rPr>
                <w:rFonts w:ascii="Verdana" w:eastAsia="Calibri" w:hAnsi="Verdana" w:cs="Arial"/>
                <w:lang w:val="es-ES" w:eastAsia="es-ES"/>
              </w:rPr>
              <w:t xml:space="preserve">ESTUDIOS PREVIOS – Análisis del sector – Planeación en los procesos de contratación pública </w:t>
            </w:r>
          </w:p>
          <w:p w14:paraId="7CB9B363" w14:textId="4A9D49C0" w:rsidR="008072F1" w:rsidRPr="00620677" w:rsidRDefault="008072F1" w:rsidP="000E1161">
            <w:pPr>
              <w:jc w:val="both"/>
              <w:rPr>
                <w:rFonts w:ascii="Verdana" w:hAnsi="Verdana" w:cs="Arial"/>
                <w:bCs/>
                <w:color w:val="000000" w:themeColor="text1"/>
                <w:highlight w:val="cyan"/>
                <w:lang w:val="es-ES_tradnl"/>
              </w:rPr>
            </w:pPr>
          </w:p>
        </w:tc>
      </w:tr>
      <w:tr w:rsidR="00B2432B" w:rsidRPr="00620677" w14:paraId="4F2DB477" w14:textId="77777777" w:rsidTr="000E1161">
        <w:tc>
          <w:tcPr>
            <w:tcW w:w="2689" w:type="dxa"/>
          </w:tcPr>
          <w:p w14:paraId="29953032" w14:textId="77777777" w:rsidR="00B2432B" w:rsidRPr="00620677" w:rsidRDefault="00B2432B" w:rsidP="000E1161">
            <w:pPr>
              <w:jc w:val="both"/>
              <w:rPr>
                <w:rFonts w:ascii="Verdana" w:eastAsia="Calibri" w:hAnsi="Verdana" w:cs="Arial"/>
                <w:b/>
                <w:color w:val="000000" w:themeColor="text1"/>
                <w:lang w:val="es-ES_tradnl" w:eastAsia="es-ES_tradnl"/>
              </w:rPr>
            </w:pPr>
            <w:r w:rsidRPr="00620677">
              <w:rPr>
                <w:rFonts w:ascii="Verdana" w:eastAsia="Calibri" w:hAnsi="Verdana" w:cs="Arial"/>
                <w:b/>
                <w:color w:val="000000" w:themeColor="text1"/>
                <w:lang w:val="es-ES_tradnl" w:eastAsia="es-ES_tradnl"/>
              </w:rPr>
              <w:t>Radicación:</w:t>
            </w:r>
            <w:r w:rsidRPr="00620677">
              <w:rPr>
                <w:rFonts w:ascii="Verdana" w:eastAsia="Calibri" w:hAnsi="Verdana" w:cs="Arial"/>
                <w:color w:val="000000" w:themeColor="text1"/>
                <w:lang w:val="es-ES_tradnl" w:eastAsia="es-ES_tradnl"/>
              </w:rPr>
              <w:t xml:space="preserve">               </w:t>
            </w:r>
          </w:p>
        </w:tc>
        <w:tc>
          <w:tcPr>
            <w:tcW w:w="6100" w:type="dxa"/>
          </w:tcPr>
          <w:p w14:paraId="5B66B39F" w14:textId="3AE75193" w:rsidR="00B2432B" w:rsidRPr="00620677" w:rsidRDefault="00B2432B" w:rsidP="000E1161">
            <w:pPr>
              <w:jc w:val="both"/>
              <w:rPr>
                <w:rFonts w:ascii="Verdana" w:eastAsia="Calibri" w:hAnsi="Verdana" w:cs="Arial"/>
                <w:color w:val="000000" w:themeColor="text1"/>
                <w:lang w:eastAsia="es-ES_tradnl"/>
              </w:rPr>
            </w:pPr>
            <w:r w:rsidRPr="00620677">
              <w:rPr>
                <w:rFonts w:ascii="Verdana" w:eastAsia="Calibri" w:hAnsi="Verdana" w:cs="Arial"/>
                <w:color w:val="000000" w:themeColor="text1"/>
                <w:lang w:val="es-ES_tradnl" w:eastAsia="es-ES_tradnl"/>
              </w:rPr>
              <w:t>Respuesta a consulta con radicado No.</w:t>
            </w:r>
            <w:r w:rsidRPr="00620677">
              <w:rPr>
                <w:rFonts w:ascii="Verdana" w:hAnsi="Verdana"/>
              </w:rPr>
              <w:t xml:space="preserve"> </w:t>
            </w:r>
            <w:r w:rsidR="0061623B" w:rsidRPr="00620677">
              <w:rPr>
                <w:rFonts w:ascii="Verdana" w:eastAsia="Calibri" w:hAnsi="Verdana" w:cs="Arial"/>
                <w:color w:val="000000" w:themeColor="text1"/>
                <w:lang w:eastAsia="es-ES_tradnl"/>
              </w:rPr>
              <w:t>1_2026_02_18_002187</w:t>
            </w:r>
          </w:p>
          <w:p w14:paraId="0E05C337" w14:textId="77777777" w:rsidR="00B2432B" w:rsidRPr="00620677" w:rsidRDefault="00B2432B" w:rsidP="000E1161">
            <w:pPr>
              <w:jc w:val="both"/>
              <w:rPr>
                <w:rFonts w:ascii="Verdana" w:hAnsi="Verdana" w:cs="Arial"/>
              </w:rPr>
            </w:pPr>
          </w:p>
          <w:p w14:paraId="0E1ED067" w14:textId="77777777" w:rsidR="00B2432B" w:rsidRPr="00620677" w:rsidRDefault="00B2432B" w:rsidP="000E1161">
            <w:pPr>
              <w:jc w:val="both"/>
              <w:rPr>
                <w:rFonts w:ascii="Verdana" w:hAnsi="Verdana"/>
                <w:color w:val="000000"/>
              </w:rPr>
            </w:pPr>
          </w:p>
        </w:tc>
      </w:tr>
    </w:tbl>
    <w:p w14:paraId="27712A26" w14:textId="52F753EC" w:rsidR="00B2432B" w:rsidRPr="00620677" w:rsidRDefault="00B2432B" w:rsidP="00B2432B">
      <w:pPr>
        <w:spacing w:after="0" w:line="276" w:lineRule="auto"/>
        <w:jc w:val="both"/>
        <w:rPr>
          <w:rFonts w:ascii="Verdana" w:eastAsia="Calibri" w:hAnsi="Verdana" w:cs="Arial"/>
          <w:color w:val="000000" w:themeColor="text1"/>
          <w:lang w:val="es-ES" w:eastAsia="es-ES"/>
        </w:rPr>
      </w:pPr>
      <w:r w:rsidRPr="00620677">
        <w:rPr>
          <w:rFonts w:ascii="Verdana" w:eastAsia="Calibri" w:hAnsi="Verdana" w:cs="Arial"/>
          <w:color w:val="000000" w:themeColor="text1"/>
          <w:lang w:val="es-ES" w:eastAsia="es-ES"/>
        </w:rPr>
        <w:t>Estimad</w:t>
      </w:r>
      <w:r w:rsidR="00744B98" w:rsidRPr="00620677">
        <w:rPr>
          <w:rFonts w:ascii="Verdana" w:eastAsia="Calibri" w:hAnsi="Verdana" w:cs="Arial"/>
          <w:color w:val="000000" w:themeColor="text1"/>
          <w:lang w:val="es-ES" w:eastAsia="es-ES"/>
        </w:rPr>
        <w:t>a señora</w:t>
      </w:r>
      <w:r w:rsidRPr="00620677">
        <w:rPr>
          <w:rFonts w:ascii="Verdana" w:eastAsia="Calibri" w:hAnsi="Verdana" w:cs="Arial"/>
          <w:color w:val="000000" w:themeColor="text1"/>
          <w:lang w:val="es-ES" w:eastAsia="es-ES"/>
        </w:rPr>
        <w:t xml:space="preserve"> </w:t>
      </w:r>
      <w:r w:rsidR="00744B98" w:rsidRPr="00620677">
        <w:rPr>
          <w:rFonts w:ascii="Verdana" w:eastAsia="Calibri" w:hAnsi="Verdana" w:cs="Arial"/>
          <w:color w:val="000000" w:themeColor="text1"/>
          <w:lang w:val="es-ES" w:eastAsia="es-ES"/>
        </w:rPr>
        <w:t>López</w:t>
      </w:r>
      <w:r w:rsidRPr="00620677">
        <w:rPr>
          <w:rFonts w:ascii="Verdana" w:eastAsia="Calibri" w:hAnsi="Verdana" w:cs="Arial"/>
          <w:color w:val="000000" w:themeColor="text1"/>
          <w:lang w:val="es-ES" w:eastAsia="es-ES"/>
        </w:rPr>
        <w:t xml:space="preserve">: </w:t>
      </w:r>
    </w:p>
    <w:p w14:paraId="3B6AC361" w14:textId="77777777" w:rsidR="00B2432B" w:rsidRPr="00620677" w:rsidRDefault="00B2432B" w:rsidP="00B2432B">
      <w:pPr>
        <w:spacing w:after="0" w:line="276" w:lineRule="auto"/>
        <w:rPr>
          <w:rFonts w:ascii="Verdana" w:eastAsia="Times New Roman" w:hAnsi="Verdana" w:cs="Segoe UI"/>
          <w:highlight w:val="cyan"/>
          <w:lang w:eastAsia="es-CO"/>
        </w:rPr>
      </w:pPr>
    </w:p>
    <w:p w14:paraId="09D63656" w14:textId="38AE38AF" w:rsidR="00B2432B" w:rsidRPr="00620677" w:rsidRDefault="00B2432B" w:rsidP="00B2432B">
      <w:pPr>
        <w:spacing w:after="0" w:line="276" w:lineRule="auto"/>
        <w:jc w:val="both"/>
        <w:rPr>
          <w:rFonts w:ascii="Verdana" w:eastAsia="Calibri" w:hAnsi="Verdana" w:cs="Arial"/>
          <w:lang w:val="es-ES" w:eastAsia="es-ES"/>
        </w:rPr>
      </w:pPr>
      <w:r w:rsidRPr="00620677">
        <w:rPr>
          <w:rFonts w:ascii="Verdana" w:eastAsia="Calibri" w:hAnsi="Verdana" w:cs="Arial"/>
          <w:lang w:val="es-ES" w:eastAsia="es-ES"/>
        </w:rPr>
        <w:t>En ejercicio de la competencia otorgada por los artículos 3, numeral 5º, y 11, numeral 8º, del Decreto Ley 4170 de 2011,</w:t>
      </w:r>
      <w:r w:rsidRPr="00620677">
        <w:rPr>
          <w:rFonts w:ascii="Verdana" w:eastAsia="Arial MT" w:hAnsi="Verdana" w:cs="Arial"/>
          <w:lang w:val="es-ES" w:eastAsia="es-ES"/>
        </w:rPr>
        <w:t xml:space="preserve"> </w:t>
      </w:r>
      <w:r w:rsidRPr="00620677">
        <w:rPr>
          <w:rFonts w:ascii="Verdana" w:hAnsi="Verdana" w:cs="Arial"/>
        </w:rPr>
        <w:t xml:space="preserve">así como lo establecido en el artículo 4 de la Resolución 1707 de 2018 expedida por esta Entidad, </w:t>
      </w:r>
      <w:r w:rsidRPr="00620677">
        <w:rPr>
          <w:rFonts w:ascii="Verdana" w:eastAsia="Calibri" w:hAnsi="Verdana" w:cs="Arial"/>
          <w:lang w:val="es-ES" w:eastAsia="es-ES"/>
        </w:rPr>
        <w:t xml:space="preserve">la Agencia Nacional de Contratación Pública – Colombia Compra Eficiente– responde su solicitud del </w:t>
      </w:r>
      <w:r w:rsidR="0024380A" w:rsidRPr="00620677">
        <w:rPr>
          <w:rFonts w:ascii="Verdana" w:eastAsia="Calibri" w:hAnsi="Verdana" w:cs="Arial"/>
          <w:lang w:val="es-ES" w:eastAsia="es-ES"/>
        </w:rPr>
        <w:t>17 de febrero del 2026</w:t>
      </w:r>
      <w:r w:rsidRPr="00620677">
        <w:rPr>
          <w:rFonts w:ascii="Verdana" w:eastAsia="Calibri" w:hAnsi="Verdana" w:cs="Arial"/>
          <w:lang w:val="es-ES" w:eastAsia="es-ES"/>
        </w:rPr>
        <w:t xml:space="preserve">, en la cual manifiesta lo siguiente: </w:t>
      </w:r>
    </w:p>
    <w:p w14:paraId="79EF2967" w14:textId="77777777" w:rsidR="00B2432B" w:rsidRPr="00620677" w:rsidRDefault="00B2432B" w:rsidP="00B2432B">
      <w:pPr>
        <w:spacing w:after="0" w:line="276" w:lineRule="auto"/>
        <w:jc w:val="both"/>
        <w:rPr>
          <w:rFonts w:ascii="Verdana" w:eastAsia="Calibri" w:hAnsi="Verdana" w:cs="Arial"/>
          <w:lang w:val="es-ES" w:eastAsia="es-ES"/>
        </w:rPr>
      </w:pPr>
    </w:p>
    <w:p w14:paraId="22774956" w14:textId="77777777" w:rsidR="00BD463A" w:rsidRPr="00620677" w:rsidRDefault="00B2432B"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lang w:val="es-ES"/>
        </w:rPr>
        <w:t xml:space="preserve">“[…] </w:t>
      </w:r>
      <w:r w:rsidR="00BD463A" w:rsidRPr="00620677">
        <w:rPr>
          <w:rFonts w:ascii="Verdana" w:eastAsia="Century Gothic" w:hAnsi="Verdana" w:cs="Arial"/>
          <w:sz w:val="20"/>
          <w:szCs w:val="20"/>
          <w:lang w:val="es-ES"/>
        </w:rPr>
        <w:t xml:space="preserve">1. </w:t>
      </w:r>
      <w:r w:rsidR="00C33285" w:rsidRPr="00620677">
        <w:rPr>
          <w:rFonts w:ascii="Verdana" w:eastAsia="Century Gothic" w:hAnsi="Verdana" w:cs="Arial"/>
          <w:sz w:val="20"/>
          <w:szCs w:val="20"/>
        </w:rPr>
        <w:t xml:space="preserve">Se solicita a Colombia Compra Eficiente informar si ha expedido minutas, protocolos o procedimientos de carácter general vinculante que las entidades estatales deban aplicar para la elaboración de estudios previos en cualquier modalidad de contratación, de acuerdo a lo previsto en el artículo 3 del Decreto 4170 de 2011. </w:t>
      </w:r>
    </w:p>
    <w:p w14:paraId="596D1AAF" w14:textId="77777777" w:rsidR="00BD463A" w:rsidRPr="00620677" w:rsidRDefault="00BD463A" w:rsidP="00C33285">
      <w:pPr>
        <w:spacing w:after="0" w:line="240" w:lineRule="auto"/>
        <w:ind w:left="709" w:right="709"/>
        <w:jc w:val="both"/>
        <w:rPr>
          <w:rFonts w:ascii="Verdana" w:eastAsia="Century Gothic" w:hAnsi="Verdana" w:cs="Arial"/>
          <w:sz w:val="20"/>
          <w:szCs w:val="20"/>
        </w:rPr>
      </w:pPr>
    </w:p>
    <w:p w14:paraId="7012AD1F" w14:textId="77777777" w:rsidR="00BD463A"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lastRenderedPageBreak/>
        <w:t xml:space="preserve">2. En caso afirmativo, se pide precisar cuáles son esos instrumentos, su alcance y obligatoriedad. Así mismo, solicito copia de cada uno según aplique. </w:t>
      </w:r>
    </w:p>
    <w:p w14:paraId="6A73EC75" w14:textId="77777777" w:rsidR="00BD463A" w:rsidRPr="00620677" w:rsidRDefault="00BD463A" w:rsidP="00C33285">
      <w:pPr>
        <w:spacing w:after="0" w:line="240" w:lineRule="auto"/>
        <w:ind w:left="709" w:right="709"/>
        <w:jc w:val="both"/>
        <w:rPr>
          <w:rFonts w:ascii="Verdana" w:eastAsia="Century Gothic" w:hAnsi="Verdana" w:cs="Arial"/>
          <w:sz w:val="20"/>
          <w:szCs w:val="20"/>
        </w:rPr>
      </w:pPr>
    </w:p>
    <w:p w14:paraId="3A3156A0" w14:textId="77777777" w:rsidR="00BD463A"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3. Se solicita a Colombia Compra Eficiente aclarar si la autonomía de las entidades estatales en la elaboración de estudios previos es ilimitada o limitada. </w:t>
      </w:r>
    </w:p>
    <w:p w14:paraId="37B7300A" w14:textId="77777777" w:rsidR="00BD463A" w:rsidRPr="00620677" w:rsidRDefault="00BD463A" w:rsidP="00C33285">
      <w:pPr>
        <w:spacing w:after="0" w:line="240" w:lineRule="auto"/>
        <w:ind w:left="709" w:right="709"/>
        <w:jc w:val="both"/>
        <w:rPr>
          <w:rFonts w:ascii="Verdana" w:eastAsia="Century Gothic" w:hAnsi="Verdana" w:cs="Arial"/>
          <w:sz w:val="20"/>
          <w:szCs w:val="20"/>
        </w:rPr>
      </w:pPr>
    </w:p>
    <w:p w14:paraId="5C490A37" w14:textId="77777777" w:rsidR="00BD463A"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4. En caso de ser limitada, solicito identificar los límites normativos fijados por el legislador y por la propia Agencia, en relación con la planeación contractual y la elaboración de estudios previos. </w:t>
      </w:r>
    </w:p>
    <w:p w14:paraId="6E6A1762" w14:textId="77777777" w:rsidR="00BD463A" w:rsidRPr="00620677" w:rsidRDefault="00BD463A" w:rsidP="00C33285">
      <w:pPr>
        <w:spacing w:after="0" w:line="240" w:lineRule="auto"/>
        <w:ind w:left="709" w:right="709"/>
        <w:jc w:val="both"/>
        <w:rPr>
          <w:rFonts w:ascii="Verdana" w:eastAsia="Century Gothic" w:hAnsi="Verdana" w:cs="Arial"/>
          <w:sz w:val="20"/>
          <w:szCs w:val="20"/>
        </w:rPr>
      </w:pPr>
    </w:p>
    <w:p w14:paraId="3E27CAD3" w14:textId="77777777" w:rsidR="00BD463A"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5. Se solicita precisar si existe un protocolo general que determine cómo deben las entidades estatales realizar el análisis del sector relativo al objeto contractual, considerando la perspectiva legal, técnica, financiera, organizacional y de riesgo. </w:t>
      </w:r>
    </w:p>
    <w:p w14:paraId="75E4778C" w14:textId="77777777" w:rsidR="00BD463A" w:rsidRPr="00620677" w:rsidRDefault="00BD463A" w:rsidP="00C33285">
      <w:pPr>
        <w:spacing w:after="0" w:line="240" w:lineRule="auto"/>
        <w:ind w:left="709" w:right="709"/>
        <w:jc w:val="both"/>
        <w:rPr>
          <w:rFonts w:ascii="Verdana" w:eastAsia="Century Gothic" w:hAnsi="Verdana" w:cs="Arial"/>
          <w:sz w:val="20"/>
          <w:szCs w:val="20"/>
        </w:rPr>
      </w:pPr>
    </w:p>
    <w:p w14:paraId="0940A973" w14:textId="77777777" w:rsidR="00630B50"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6. Solicito se sirva de indicar si la Guía para la Elaboración de Estudios del Sector expedida por CCE constituye un instrumento obligatorio vinculante o meramente orientador. </w:t>
      </w:r>
    </w:p>
    <w:p w14:paraId="0107F01D" w14:textId="77777777" w:rsidR="00630B50" w:rsidRPr="00620677" w:rsidRDefault="00630B50" w:rsidP="00C33285">
      <w:pPr>
        <w:spacing w:after="0" w:line="240" w:lineRule="auto"/>
        <w:ind w:left="709" w:right="709"/>
        <w:jc w:val="both"/>
        <w:rPr>
          <w:rFonts w:ascii="Verdana" w:eastAsia="Century Gothic" w:hAnsi="Verdana" w:cs="Arial"/>
          <w:sz w:val="20"/>
          <w:szCs w:val="20"/>
        </w:rPr>
      </w:pPr>
    </w:p>
    <w:p w14:paraId="321EE006" w14:textId="77777777" w:rsidR="00630B50"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7. Si bien las entidades estatales cuentan con autonomía para estructurar y llevar a cabo los estudios previos de un proceso de contratación, dicha autonomía debe ejercerse conforme a lo previsto en el artículo 2.2.1.1.1.6.1 del Decreto 1082 de 2015, que exige un análisis integral de planeación como sustento de la decisión de contratar. No obstante, la norma no establece un procedimiento específico para efectuar dicho análisis. </w:t>
      </w:r>
    </w:p>
    <w:p w14:paraId="3EF503E2" w14:textId="77777777" w:rsidR="00630B50" w:rsidRPr="00620677" w:rsidRDefault="00630B50" w:rsidP="00C33285">
      <w:pPr>
        <w:spacing w:after="0" w:line="240" w:lineRule="auto"/>
        <w:ind w:left="709" w:right="709"/>
        <w:jc w:val="both"/>
        <w:rPr>
          <w:rFonts w:ascii="Verdana" w:eastAsia="Century Gothic" w:hAnsi="Verdana" w:cs="Arial"/>
          <w:sz w:val="20"/>
          <w:szCs w:val="20"/>
        </w:rPr>
      </w:pPr>
    </w:p>
    <w:p w14:paraId="75E48802" w14:textId="77777777" w:rsidR="00630B50"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En este sentido, ¿por qué a la fecha Colombia Compra Eficiente no ha expedido protocolos, minutas o lineamientos obligatorios vinculantes que las entidades estatales deban incorporar en sus manuales de contratación para la elaboración de estudios previos, evitando que esta obligación quede sujeta a la libre interpretación de cada entidad? </w:t>
      </w:r>
    </w:p>
    <w:p w14:paraId="287A47C4" w14:textId="77777777" w:rsidR="00630B50" w:rsidRPr="00620677" w:rsidRDefault="00630B50" w:rsidP="00C33285">
      <w:pPr>
        <w:spacing w:after="0" w:line="240" w:lineRule="auto"/>
        <w:ind w:left="709" w:right="709"/>
        <w:jc w:val="both"/>
        <w:rPr>
          <w:rFonts w:ascii="Verdana" w:eastAsia="Century Gothic" w:hAnsi="Verdana" w:cs="Arial"/>
          <w:sz w:val="20"/>
          <w:szCs w:val="20"/>
        </w:rPr>
      </w:pPr>
    </w:p>
    <w:p w14:paraId="01FB8C06" w14:textId="5B42B082" w:rsidR="00B2432B" w:rsidRPr="00620677" w:rsidRDefault="00C33285" w:rsidP="00C33285">
      <w:pPr>
        <w:spacing w:after="0" w:line="240" w:lineRule="auto"/>
        <w:ind w:left="709" w:right="709"/>
        <w:jc w:val="both"/>
        <w:rPr>
          <w:rFonts w:ascii="Verdana" w:eastAsia="Century Gothic" w:hAnsi="Verdana" w:cs="Arial"/>
          <w:sz w:val="20"/>
          <w:szCs w:val="20"/>
        </w:rPr>
      </w:pPr>
      <w:r w:rsidRPr="00620677">
        <w:rPr>
          <w:rFonts w:ascii="Verdana" w:eastAsia="Century Gothic" w:hAnsi="Verdana" w:cs="Arial"/>
          <w:sz w:val="20"/>
          <w:szCs w:val="20"/>
        </w:rPr>
        <w:t xml:space="preserve">8. Considerando que el artículo 3 del Decreto 4170 de 2011 asigna a Colombia Compra Eficiente funciones como proponer políticas públicas, desarrollar instrumentos y difundir mejores prácticas en contratación pública, ¿tiene prevista la Agencia la expedición de un protocolo o guía de carácter obligatorio que estandarice la forma en que las entidades deben realizar los estudios previos en cualquier modalidad de contratación? </w:t>
      </w:r>
      <w:r w:rsidR="00B2432B" w:rsidRPr="00620677">
        <w:rPr>
          <w:rFonts w:ascii="Verdana" w:eastAsia="Century Gothic" w:hAnsi="Verdana" w:cs="Arial"/>
          <w:sz w:val="20"/>
          <w:szCs w:val="20"/>
        </w:rPr>
        <w:t>[…]”</w:t>
      </w:r>
    </w:p>
    <w:p w14:paraId="2A3760D4" w14:textId="77777777" w:rsidR="00B2432B" w:rsidRPr="00620677" w:rsidRDefault="00B2432B" w:rsidP="00B2432B">
      <w:pPr>
        <w:spacing w:after="0"/>
        <w:jc w:val="both"/>
        <w:rPr>
          <w:rFonts w:ascii="Verdana" w:hAnsi="Verdana" w:cs="Arial"/>
          <w:highlight w:val="cyan"/>
          <w:lang w:val="es-ES"/>
        </w:rPr>
      </w:pPr>
    </w:p>
    <w:p w14:paraId="298A63A9" w14:textId="77777777" w:rsidR="00B2432B" w:rsidRPr="00620677" w:rsidRDefault="00B2432B" w:rsidP="00B2432B">
      <w:pPr>
        <w:spacing w:after="120" w:line="276" w:lineRule="auto"/>
        <w:ind w:firstLine="709"/>
        <w:jc w:val="both"/>
        <w:rPr>
          <w:rFonts w:ascii="Verdana" w:eastAsia="Calibri" w:hAnsi="Verdana" w:cs="Arial"/>
          <w:color w:val="000000"/>
          <w:lang w:val="es-ES_tradnl" w:eastAsia="es-ES_tradnl"/>
        </w:rPr>
      </w:pPr>
      <w:r w:rsidRPr="0062067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620677">
        <w:rPr>
          <w:rFonts w:ascii="Verdana" w:eastAsia="Calibri" w:hAnsi="Verdana" w:cs="Arial"/>
          <w:color w:val="000000"/>
          <w:lang w:val="es-ES" w:eastAsia="es-ES"/>
        </w:rPr>
        <w:lastRenderedPageBreak/>
        <w:t>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3D1E0F2E" w14:textId="77777777" w:rsidR="00B2432B" w:rsidRPr="00620677" w:rsidRDefault="00B2432B" w:rsidP="00B2432B">
      <w:pPr>
        <w:spacing w:after="0" w:line="276" w:lineRule="auto"/>
        <w:ind w:firstLine="709"/>
        <w:jc w:val="both"/>
        <w:rPr>
          <w:rFonts w:ascii="Verdana" w:eastAsia="Calibri" w:hAnsi="Verdana" w:cs="Arial"/>
          <w:color w:val="000000"/>
          <w:lang w:val="es-ES" w:eastAsia="es-ES"/>
        </w:rPr>
      </w:pPr>
      <w:r w:rsidRPr="0062067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453927CF" w14:textId="77777777" w:rsidR="00B2432B" w:rsidRPr="00620677" w:rsidRDefault="00B2432B" w:rsidP="00B2432B">
      <w:pPr>
        <w:spacing w:after="0" w:line="276" w:lineRule="auto"/>
        <w:jc w:val="both"/>
        <w:rPr>
          <w:rStyle w:val="Hipervnculo"/>
          <w:rFonts w:ascii="Verdana" w:hAnsi="Verdana"/>
          <w:highlight w:val="cyan"/>
          <w:lang w:val="es-ES"/>
        </w:rPr>
      </w:pPr>
    </w:p>
    <w:p w14:paraId="3CB910B5" w14:textId="77777777" w:rsidR="00B2432B" w:rsidRPr="00620677" w:rsidRDefault="00B2432B" w:rsidP="00B24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620677">
        <w:rPr>
          <w:rFonts w:ascii="Verdana" w:eastAsia="Century Gothic" w:hAnsi="Verdana" w:cs="Arial"/>
          <w:b/>
          <w:bCs/>
        </w:rPr>
        <w:t>Problema planteado:</w:t>
      </w:r>
    </w:p>
    <w:p w14:paraId="22C2C7CC" w14:textId="77777777" w:rsidR="00B2432B" w:rsidRPr="00620677" w:rsidRDefault="00B2432B" w:rsidP="00B2432B">
      <w:pPr>
        <w:spacing w:after="0" w:line="276" w:lineRule="auto"/>
        <w:jc w:val="both"/>
        <w:rPr>
          <w:rStyle w:val="Hipervnculo"/>
          <w:rFonts w:ascii="Verdana" w:hAnsi="Verdana" w:cs="Arial"/>
          <w:highlight w:val="cyan"/>
        </w:rPr>
      </w:pPr>
    </w:p>
    <w:p w14:paraId="39425146" w14:textId="77777777" w:rsidR="00074DAE" w:rsidRPr="00620677" w:rsidRDefault="00B2432B" w:rsidP="005A645E">
      <w:pPr>
        <w:spacing w:after="240" w:line="276" w:lineRule="auto"/>
        <w:jc w:val="both"/>
        <w:rPr>
          <w:rFonts w:ascii="Verdana" w:eastAsia="Century Gothic" w:hAnsi="Verdana" w:cs="Arial"/>
        </w:rPr>
      </w:pPr>
      <w:r w:rsidRPr="00620677">
        <w:rPr>
          <w:rFonts w:ascii="Verdana" w:eastAsia="Century Gothic" w:hAnsi="Verdana" w:cs="Arial"/>
        </w:rPr>
        <w:t xml:space="preserve">De acuerdo con el contenido de su solicitud, esta Agencia resolverá los siguientes problemas jurídicos: </w:t>
      </w:r>
    </w:p>
    <w:p w14:paraId="13238544" w14:textId="4B146DE1" w:rsidR="005A645E" w:rsidRPr="00620677" w:rsidRDefault="00B2432B" w:rsidP="005A645E">
      <w:pPr>
        <w:spacing w:after="120" w:line="276" w:lineRule="auto"/>
        <w:jc w:val="both"/>
        <w:rPr>
          <w:rFonts w:ascii="Verdana" w:eastAsia="Century Gothic" w:hAnsi="Verdana" w:cs="Arial"/>
        </w:rPr>
      </w:pPr>
      <w:r w:rsidRPr="00620677">
        <w:rPr>
          <w:rFonts w:ascii="Verdana" w:eastAsia="Century Gothic" w:hAnsi="Verdana" w:cs="Arial"/>
        </w:rPr>
        <w:t xml:space="preserve">i) </w:t>
      </w:r>
      <w:r w:rsidR="00EA0D3A" w:rsidRPr="00620677">
        <w:rPr>
          <w:rFonts w:ascii="Verdana" w:eastAsia="Century Gothic" w:hAnsi="Verdana" w:cs="Arial"/>
        </w:rPr>
        <w:t xml:space="preserve">¿Colombia Compra Eficiente ha expedido minutas, protocolos o procedimientos de carácter general y vinculante que las </w:t>
      </w:r>
      <w:r w:rsidR="000B1593" w:rsidRPr="00620677">
        <w:rPr>
          <w:rFonts w:ascii="Verdana" w:eastAsia="Century Gothic" w:hAnsi="Verdana" w:cs="Arial"/>
        </w:rPr>
        <w:t>E</w:t>
      </w:r>
      <w:r w:rsidR="00EA0D3A" w:rsidRPr="00620677">
        <w:rPr>
          <w:rFonts w:ascii="Verdana" w:eastAsia="Century Gothic" w:hAnsi="Verdana" w:cs="Arial"/>
        </w:rPr>
        <w:t xml:space="preserve">ntidades </w:t>
      </w:r>
      <w:r w:rsidR="000B1593" w:rsidRPr="00620677">
        <w:rPr>
          <w:rFonts w:ascii="Verdana" w:eastAsia="Century Gothic" w:hAnsi="Verdana" w:cs="Arial"/>
        </w:rPr>
        <w:t>E</w:t>
      </w:r>
      <w:r w:rsidR="00EA0D3A" w:rsidRPr="00620677">
        <w:rPr>
          <w:rFonts w:ascii="Verdana" w:eastAsia="Century Gothic" w:hAnsi="Verdana" w:cs="Arial"/>
        </w:rPr>
        <w:t>statales deban aplicar para la elaboración de estudios previos en cualquier modalidad de contratación?</w:t>
      </w:r>
    </w:p>
    <w:p w14:paraId="682B37F8" w14:textId="69C826FB" w:rsidR="005A645E" w:rsidRPr="00620677" w:rsidRDefault="00EA0D3A" w:rsidP="005A645E">
      <w:pPr>
        <w:spacing w:after="120" w:line="276" w:lineRule="auto"/>
        <w:jc w:val="both"/>
        <w:rPr>
          <w:rFonts w:ascii="Verdana" w:eastAsia="Century Gothic" w:hAnsi="Verdana" w:cs="Arial"/>
        </w:rPr>
      </w:pPr>
      <w:proofErr w:type="spellStart"/>
      <w:r w:rsidRPr="00620677">
        <w:rPr>
          <w:rFonts w:ascii="Verdana" w:eastAsia="Century Gothic" w:hAnsi="Verdana" w:cs="Arial"/>
        </w:rPr>
        <w:t>ii</w:t>
      </w:r>
      <w:proofErr w:type="spellEnd"/>
      <w:r w:rsidRPr="00620677">
        <w:rPr>
          <w:rFonts w:ascii="Verdana" w:eastAsia="Century Gothic" w:hAnsi="Verdana" w:cs="Arial"/>
        </w:rPr>
        <w:t>)</w:t>
      </w:r>
      <w:r w:rsidR="00F20552" w:rsidRPr="00620677">
        <w:rPr>
          <w:rFonts w:ascii="Verdana" w:eastAsia="Century Gothic" w:hAnsi="Verdana" w:cs="Arial"/>
        </w:rPr>
        <w:t xml:space="preserve"> ¿</w:t>
      </w:r>
      <w:r w:rsidR="00F20552" w:rsidRPr="00620677">
        <w:rPr>
          <w:rFonts w:ascii="Verdana" w:hAnsi="Verdana"/>
        </w:rPr>
        <w:t>E</w:t>
      </w:r>
      <w:r w:rsidR="00F20552" w:rsidRPr="00620677">
        <w:rPr>
          <w:rFonts w:ascii="Verdana" w:eastAsia="Century Gothic" w:hAnsi="Verdana" w:cs="Arial"/>
        </w:rPr>
        <w:t xml:space="preserve">n el marco del régimen de contratación estatal, existe un protocolo general que establezca de manera uniforme cómo deben las entidades públicas realizar el análisis del sector relativo al objeto contractual, considerando las </w:t>
      </w:r>
      <w:r w:rsidR="005A645E" w:rsidRPr="00620677">
        <w:rPr>
          <w:rFonts w:ascii="Verdana" w:eastAsia="Century Gothic" w:hAnsi="Verdana" w:cs="Arial"/>
        </w:rPr>
        <w:t>dimensiones legales</w:t>
      </w:r>
      <w:r w:rsidR="00F20552" w:rsidRPr="00620677">
        <w:rPr>
          <w:rFonts w:ascii="Verdana" w:eastAsia="Century Gothic" w:hAnsi="Verdana" w:cs="Arial"/>
        </w:rPr>
        <w:t>, técnica, financiera, organizacional y de riesgo?</w:t>
      </w:r>
    </w:p>
    <w:p w14:paraId="4462923F" w14:textId="3E8C47A5" w:rsidR="005A645E" w:rsidRPr="00620677" w:rsidRDefault="00F20552" w:rsidP="005A645E">
      <w:pPr>
        <w:spacing w:after="120" w:line="276" w:lineRule="auto"/>
        <w:jc w:val="both"/>
        <w:rPr>
          <w:rFonts w:ascii="Verdana" w:eastAsia="Century Gothic" w:hAnsi="Verdana" w:cs="Arial"/>
        </w:rPr>
      </w:pPr>
      <w:proofErr w:type="spellStart"/>
      <w:r w:rsidRPr="00620677">
        <w:rPr>
          <w:rFonts w:ascii="Verdana" w:eastAsia="Century Gothic" w:hAnsi="Verdana" w:cs="Arial"/>
        </w:rPr>
        <w:t>iii</w:t>
      </w:r>
      <w:proofErr w:type="spellEnd"/>
      <w:r w:rsidRPr="00620677">
        <w:rPr>
          <w:rFonts w:ascii="Verdana" w:eastAsia="Century Gothic" w:hAnsi="Verdana" w:cs="Arial"/>
        </w:rPr>
        <w:t>)</w:t>
      </w:r>
      <w:r w:rsidR="00F51A19" w:rsidRPr="00620677">
        <w:rPr>
          <w:rFonts w:ascii="Verdana" w:eastAsia="Century Gothic" w:hAnsi="Verdana" w:cs="Arial"/>
        </w:rPr>
        <w:t xml:space="preserve"> ¿Cuál es el alcance de la Guía </w:t>
      </w:r>
      <w:r w:rsidR="008C7ACD" w:rsidRPr="00620677">
        <w:rPr>
          <w:rFonts w:ascii="Verdana" w:eastAsia="Century Gothic" w:hAnsi="Verdana" w:cs="Arial"/>
        </w:rPr>
        <w:t>de la guía para la elaboración de Estudios del Sector</w:t>
      </w:r>
      <w:r w:rsidR="000803A4" w:rsidRPr="00620677">
        <w:rPr>
          <w:rFonts w:ascii="Verdana" w:eastAsia="Century Gothic" w:hAnsi="Verdana" w:cs="Arial"/>
        </w:rPr>
        <w:t>?</w:t>
      </w:r>
    </w:p>
    <w:p w14:paraId="265DD5E4" w14:textId="3206A6C2" w:rsidR="005A645E" w:rsidRPr="00620677" w:rsidRDefault="000803A4" w:rsidP="005A645E">
      <w:pPr>
        <w:spacing w:after="120" w:line="276" w:lineRule="auto"/>
        <w:jc w:val="both"/>
        <w:rPr>
          <w:rFonts w:ascii="Verdana" w:eastAsia="Century Gothic" w:hAnsi="Verdana" w:cs="Arial"/>
        </w:rPr>
      </w:pPr>
      <w:r w:rsidRPr="00620677">
        <w:rPr>
          <w:rFonts w:ascii="Verdana" w:eastAsia="Century Gothic" w:hAnsi="Verdana" w:cs="Arial"/>
        </w:rPr>
        <w:t xml:space="preserve"> </w:t>
      </w:r>
      <w:proofErr w:type="spellStart"/>
      <w:r w:rsidRPr="00620677">
        <w:rPr>
          <w:rFonts w:ascii="Verdana" w:eastAsia="Century Gothic" w:hAnsi="Verdana" w:cs="Arial"/>
        </w:rPr>
        <w:t>iv</w:t>
      </w:r>
      <w:proofErr w:type="spellEnd"/>
      <w:r w:rsidRPr="00620677">
        <w:rPr>
          <w:rFonts w:ascii="Verdana" w:eastAsia="Century Gothic" w:hAnsi="Verdana" w:cs="Arial"/>
        </w:rPr>
        <w:t xml:space="preserve">) </w:t>
      </w:r>
      <w:r w:rsidR="00E5519A" w:rsidRPr="00620677">
        <w:rPr>
          <w:rFonts w:ascii="Verdana" w:eastAsia="Century Gothic" w:hAnsi="Verdana" w:cs="Arial"/>
        </w:rPr>
        <w:t>¿La Agencia Nacional de Contratación Pública tiene prevista la expedición de un protocolo o guía de carácter obligatorio que estandarice la metodología para la elaboración de los estudios previos en cualquier modalidad de contratación, garantizando así coherencia, transparencia y seguridad jurídica en los procesos contractuales?</w:t>
      </w:r>
    </w:p>
    <w:p w14:paraId="065C1788" w14:textId="77777777" w:rsidR="005A645E" w:rsidRPr="00620677" w:rsidRDefault="00357CA8" w:rsidP="005A645E">
      <w:pPr>
        <w:spacing w:after="120" w:line="276" w:lineRule="auto"/>
        <w:jc w:val="both"/>
        <w:rPr>
          <w:rFonts w:ascii="Verdana" w:eastAsia="Century Gothic" w:hAnsi="Verdana" w:cs="Arial"/>
        </w:rPr>
      </w:pPr>
      <w:r w:rsidRPr="00620677">
        <w:rPr>
          <w:rFonts w:ascii="Verdana" w:eastAsia="Century Gothic" w:hAnsi="Verdana" w:cs="Arial"/>
        </w:rPr>
        <w:lastRenderedPageBreak/>
        <w:t xml:space="preserve">v) ¿Existe un procedimiento para efectuar el análisis del sector? </w:t>
      </w:r>
    </w:p>
    <w:p w14:paraId="79681FD7" w14:textId="67D0EDCE" w:rsidR="00B2432B" w:rsidRPr="00620677" w:rsidRDefault="005A645E" w:rsidP="009303F4">
      <w:pPr>
        <w:spacing w:after="240" w:line="276" w:lineRule="auto"/>
        <w:jc w:val="both"/>
        <w:rPr>
          <w:rStyle w:val="Hipervnculo"/>
          <w:rFonts w:ascii="Verdana" w:eastAsia="Century Gothic" w:hAnsi="Verdana" w:cs="Arial"/>
          <w:color w:val="auto"/>
          <w:u w:val="none"/>
        </w:rPr>
      </w:pPr>
      <w:r w:rsidRPr="00620677">
        <w:rPr>
          <w:rFonts w:ascii="Verdana" w:eastAsia="Century Gothic" w:hAnsi="Verdana" w:cs="Arial"/>
        </w:rPr>
        <w:t>v</w:t>
      </w:r>
      <w:r w:rsidR="00357CA8" w:rsidRPr="00620677">
        <w:rPr>
          <w:rFonts w:ascii="Verdana" w:eastAsia="Century Gothic" w:hAnsi="Verdana" w:cs="Arial"/>
        </w:rPr>
        <w:t xml:space="preserve">i) </w:t>
      </w:r>
      <w:r w:rsidR="002019A8" w:rsidRPr="00620677">
        <w:rPr>
          <w:rFonts w:ascii="Verdana" w:eastAsia="Century Gothic" w:hAnsi="Verdana" w:cs="Arial"/>
        </w:rPr>
        <w:t>¿Se encuentran sujetas las entidades estatales a límites específicos en el ejercicio del principio de autonomía de la voluntad al momento de realizar el estudio del sector dentro de los procesos de contratación pública?</w:t>
      </w:r>
    </w:p>
    <w:p w14:paraId="2A9A66B4" w14:textId="77777777" w:rsidR="00B2432B" w:rsidRPr="00620677" w:rsidRDefault="00B2432B" w:rsidP="00B2432B">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620677">
        <w:rPr>
          <w:rFonts w:ascii="Verdana" w:eastAsia="Arial" w:hAnsi="Verdana" w:cs="Arial"/>
          <w:b/>
          <w:bCs/>
        </w:rPr>
        <w:t>Respuesta:</w:t>
      </w:r>
    </w:p>
    <w:p w14:paraId="0062DAF1" w14:textId="77777777" w:rsidR="00B2432B" w:rsidRPr="00620677" w:rsidRDefault="00B2432B" w:rsidP="00B2432B">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432B" w:rsidRPr="00620677" w14:paraId="2DDB612B" w14:textId="77777777" w:rsidTr="000E1161">
        <w:tc>
          <w:tcPr>
            <w:tcW w:w="8828" w:type="dxa"/>
          </w:tcPr>
          <w:p w14:paraId="6B75F0F7" w14:textId="77777777" w:rsidR="00B2432B" w:rsidRPr="00620677" w:rsidRDefault="00B2432B" w:rsidP="000E1161">
            <w:pPr>
              <w:spacing w:after="120" w:line="276" w:lineRule="auto"/>
              <w:jc w:val="both"/>
              <w:rPr>
                <w:rFonts w:ascii="Verdana" w:hAnsi="Verdana" w:cs="Arial"/>
                <w:color w:val="000000" w:themeColor="text1"/>
              </w:rPr>
            </w:pPr>
            <w:bookmarkStart w:id="1" w:name="_Hlk171067516"/>
            <w:r w:rsidRPr="00620677">
              <w:rPr>
                <w:rFonts w:ascii="Verdana" w:hAnsi="Verdana" w:cs="Arial"/>
                <w:color w:val="000000" w:themeColor="text1"/>
              </w:rPr>
              <w:t>En respuesta a los problemas antes planteados, esta Subdirección manifiesta lo siguiente:</w:t>
            </w:r>
          </w:p>
          <w:p w14:paraId="412DBD5E" w14:textId="0D23302E" w:rsidR="00D51690" w:rsidRPr="00620677" w:rsidRDefault="00CF09A7" w:rsidP="00D51690">
            <w:pPr>
              <w:spacing w:before="120" w:after="120" w:line="276" w:lineRule="auto"/>
              <w:ind w:firstLine="709"/>
              <w:jc w:val="both"/>
              <w:rPr>
                <w:rFonts w:ascii="Verdana" w:eastAsia="Century Gothic" w:hAnsi="Verdana" w:cs="Arial"/>
              </w:rPr>
            </w:pPr>
            <w:r w:rsidRPr="00620677">
              <w:rPr>
                <w:rFonts w:ascii="Verdana" w:eastAsia="Calibri" w:hAnsi="Verdana" w:cs="Arial"/>
                <w:i/>
                <w:color w:val="000000" w:themeColor="text1"/>
              </w:rPr>
              <w:t xml:space="preserve">i) </w:t>
            </w:r>
            <w:r w:rsidRPr="00620677">
              <w:rPr>
                <w:rFonts w:ascii="Verdana" w:eastAsia="Calibri" w:hAnsi="Verdana" w:cs="Arial"/>
                <w:iCs/>
                <w:color w:val="000000" w:themeColor="text1"/>
              </w:rPr>
              <w:t>Frente al</w:t>
            </w:r>
            <w:r w:rsidRPr="00620677">
              <w:rPr>
                <w:rFonts w:ascii="Verdana" w:eastAsia="Calibri" w:hAnsi="Verdana" w:cs="Arial"/>
                <w:i/>
                <w:color w:val="000000" w:themeColor="text1"/>
              </w:rPr>
              <w:t xml:space="preserve"> primer interrogante de la consulta</w:t>
            </w:r>
            <w:r w:rsidR="00B2432B" w:rsidRPr="00620677">
              <w:rPr>
                <w:rFonts w:ascii="Verdana" w:hAnsi="Verdana" w:cs="Arial"/>
              </w:rPr>
              <w:t xml:space="preserve">, </w:t>
            </w:r>
            <w:r w:rsidR="00B2432B" w:rsidRPr="00620677">
              <w:rPr>
                <w:rFonts w:ascii="Verdana" w:hAnsi="Verdana" w:cs="Arial"/>
                <w:lang w:val="es-ES"/>
              </w:rPr>
              <w:t xml:space="preserve">debe indicarse que </w:t>
            </w:r>
            <w:r w:rsidR="00D51690" w:rsidRPr="00620677">
              <w:rPr>
                <w:rFonts w:ascii="Verdana" w:hAnsi="Verdana" w:cs="Arial"/>
                <w:lang w:val="es-ES"/>
              </w:rPr>
              <w:t>l</w:t>
            </w:r>
            <w:r w:rsidR="00D51690" w:rsidRPr="00620677">
              <w:rPr>
                <w:rFonts w:ascii="Verdana" w:eastAsia="Century Gothic" w:hAnsi="Verdana" w:cs="Arial"/>
              </w:rPr>
              <w:t xml:space="preserve">a Agencia Nacional de Contratación Pública –Colombia Compra Eficiente– no ha expedido minutas, protocolos o procedimientos de carácter general y vinculante que obliguen a las </w:t>
            </w:r>
            <w:r w:rsidR="00DD2CDF" w:rsidRPr="00620677">
              <w:rPr>
                <w:rFonts w:ascii="Verdana" w:eastAsia="Century Gothic" w:hAnsi="Verdana" w:cs="Arial"/>
              </w:rPr>
              <w:t>E</w:t>
            </w:r>
            <w:r w:rsidR="00D51690" w:rsidRPr="00620677">
              <w:rPr>
                <w:rFonts w:ascii="Verdana" w:eastAsia="Century Gothic" w:hAnsi="Verdana" w:cs="Arial"/>
              </w:rPr>
              <w:t xml:space="preserve">ntidades </w:t>
            </w:r>
            <w:r w:rsidR="00DD2CDF" w:rsidRPr="00620677">
              <w:rPr>
                <w:rFonts w:ascii="Verdana" w:eastAsia="Century Gothic" w:hAnsi="Verdana" w:cs="Arial"/>
              </w:rPr>
              <w:t>E</w:t>
            </w:r>
            <w:r w:rsidR="00D51690" w:rsidRPr="00620677">
              <w:rPr>
                <w:rFonts w:ascii="Verdana" w:eastAsia="Century Gothic" w:hAnsi="Verdana" w:cs="Arial"/>
              </w:rPr>
              <w:t xml:space="preserve">statales a aplicar una metodología uniforme para la elaboración de estudios previos en cualquier modalidad de contratación. Sin embargo, es pertinente precisar que en el año 2025 se publicó la actualización de la </w:t>
            </w:r>
            <w:r w:rsidR="00D51690" w:rsidRPr="00620677">
              <w:rPr>
                <w:rFonts w:ascii="Verdana" w:eastAsia="Century Gothic" w:hAnsi="Verdana" w:cs="Arial"/>
                <w:i/>
                <w:iCs/>
              </w:rPr>
              <w:t>Guía para la elaboración de Estudios del Sector</w:t>
            </w:r>
            <w:r w:rsidR="00D51690" w:rsidRPr="00620677">
              <w:rPr>
                <w:rFonts w:ascii="Verdana" w:eastAsia="Century Gothic" w:hAnsi="Verdana" w:cs="Arial"/>
              </w:rPr>
              <w:t>, instrumento orientador mediante el cual se formulan recomendaciones y se promueven buenas prácticas que las entidades pueden adoptar para fortalecer la planeación contractual y garantizar mayor transparencia en sus procesos.</w:t>
            </w:r>
          </w:p>
          <w:p w14:paraId="32CB9B62" w14:textId="41271929" w:rsidR="001329E0" w:rsidRPr="00620677" w:rsidRDefault="009D0757" w:rsidP="001329E0">
            <w:pPr>
              <w:spacing w:before="120" w:line="276" w:lineRule="auto"/>
              <w:ind w:firstLine="709"/>
              <w:jc w:val="both"/>
              <w:rPr>
                <w:rFonts w:ascii="Verdana" w:eastAsia="Century Gothic" w:hAnsi="Verdana" w:cs="Arial"/>
              </w:rPr>
            </w:pPr>
            <w:proofErr w:type="spellStart"/>
            <w:r w:rsidRPr="00620677">
              <w:rPr>
                <w:rFonts w:ascii="Verdana" w:eastAsia="Century Gothic" w:hAnsi="Verdana" w:cs="Arial"/>
              </w:rPr>
              <w:t>ii</w:t>
            </w:r>
            <w:proofErr w:type="spellEnd"/>
            <w:r w:rsidRPr="00620677">
              <w:rPr>
                <w:rFonts w:ascii="Verdana" w:eastAsia="Century Gothic" w:hAnsi="Verdana" w:cs="Arial"/>
              </w:rPr>
              <w:t xml:space="preserve">) </w:t>
            </w:r>
            <w:r w:rsidR="00F36433" w:rsidRPr="00620677">
              <w:rPr>
                <w:rFonts w:ascii="Verdana" w:eastAsia="Century Gothic" w:hAnsi="Verdana" w:cs="Arial"/>
              </w:rPr>
              <w:t xml:space="preserve">En relación con los </w:t>
            </w:r>
            <w:r w:rsidR="00F36433" w:rsidRPr="00620677">
              <w:rPr>
                <w:rFonts w:ascii="Verdana" w:eastAsia="Century Gothic" w:hAnsi="Verdana" w:cs="Arial"/>
                <w:i/>
                <w:iCs/>
              </w:rPr>
              <w:t>interrogantes segundo y quinto</w:t>
            </w:r>
            <w:r w:rsidR="00F36433" w:rsidRPr="00620677">
              <w:rPr>
                <w:rFonts w:ascii="Verdana" w:eastAsia="Century Gothic" w:hAnsi="Verdana" w:cs="Arial"/>
              </w:rPr>
              <w:t xml:space="preserve"> de la presente consulta, es preciso señalar que actualmente no existe un protocolo general que establezca de manera uniforme la forma en que las </w:t>
            </w:r>
            <w:r w:rsidR="000A22E9" w:rsidRPr="00620677">
              <w:rPr>
                <w:rFonts w:ascii="Verdana" w:eastAsia="Century Gothic" w:hAnsi="Verdana" w:cs="Arial"/>
              </w:rPr>
              <w:t>E</w:t>
            </w:r>
            <w:r w:rsidR="00F36433" w:rsidRPr="00620677">
              <w:rPr>
                <w:rFonts w:ascii="Verdana" w:eastAsia="Century Gothic" w:hAnsi="Verdana" w:cs="Arial"/>
              </w:rPr>
              <w:t xml:space="preserve">ntidades </w:t>
            </w:r>
            <w:r w:rsidR="000A22E9" w:rsidRPr="00620677">
              <w:rPr>
                <w:rFonts w:ascii="Verdana" w:eastAsia="Century Gothic" w:hAnsi="Verdana" w:cs="Arial"/>
              </w:rPr>
              <w:t>E</w:t>
            </w:r>
            <w:r w:rsidR="00F36433" w:rsidRPr="00620677">
              <w:rPr>
                <w:rFonts w:ascii="Verdana" w:eastAsia="Century Gothic" w:hAnsi="Verdana" w:cs="Arial"/>
              </w:rPr>
              <w:t>statales deben realizar el estudio del sector. Si bien la normativa en materia de contratación pública impone la obligación de efectuar el análisis necesario para conocer el mercado relativo al objeto del proceso, no se ha previsto un procedimiento específico que regule de manera detallada dicho ejercicio.</w:t>
            </w:r>
          </w:p>
          <w:p w14:paraId="520A74E9" w14:textId="496A9596" w:rsidR="00F36433" w:rsidRPr="00620677" w:rsidRDefault="00E67091" w:rsidP="00F36433">
            <w:pPr>
              <w:spacing w:before="120" w:line="276" w:lineRule="auto"/>
              <w:ind w:firstLine="709"/>
              <w:jc w:val="both"/>
              <w:rPr>
                <w:rFonts w:ascii="Verdana" w:eastAsia="Century Gothic" w:hAnsi="Verdana" w:cs="Arial"/>
              </w:rPr>
            </w:pPr>
            <w:r w:rsidRPr="00620677">
              <w:rPr>
                <w:rFonts w:ascii="Verdana" w:eastAsia="Century Gothic" w:hAnsi="Verdana" w:cs="Arial"/>
              </w:rPr>
              <w:t>Por consiguiente</w:t>
            </w:r>
            <w:r w:rsidR="00F36433" w:rsidRPr="00F36433">
              <w:rPr>
                <w:rFonts w:ascii="Verdana" w:eastAsia="Century Gothic" w:hAnsi="Verdana" w:cs="Arial"/>
              </w:rPr>
              <w:t>, las entidades conservan autonomía para estructurar la metodología de sus estudios, siempre que se ajusten a lo dispuesto en el artículo 2.2.1.1.1.6.1 del Decreto 1082 de 2015. Dicho precepto exige que el análisis de planeación sea integral y suficiente, de modo que sirva como fundamento técnico, jurídico y financiero para la decisión de adelantar un proceso de contratación, garantizando así transparencia, eficiencia y adecuada gestión del riesgo</w:t>
            </w:r>
            <w:r w:rsidR="001329E0" w:rsidRPr="00620677">
              <w:rPr>
                <w:rFonts w:ascii="Verdana" w:eastAsia="Century Gothic" w:hAnsi="Verdana" w:cs="Arial"/>
              </w:rPr>
              <w:t>.</w:t>
            </w:r>
          </w:p>
          <w:p w14:paraId="6D618E5D" w14:textId="1804E428" w:rsidR="0012724C" w:rsidRPr="00620677" w:rsidRDefault="001329E0" w:rsidP="0012724C">
            <w:pPr>
              <w:spacing w:before="120" w:line="276" w:lineRule="auto"/>
              <w:ind w:firstLine="709"/>
              <w:jc w:val="both"/>
              <w:rPr>
                <w:rFonts w:ascii="Verdana" w:eastAsia="Century Gothic" w:hAnsi="Verdana" w:cs="Arial"/>
              </w:rPr>
            </w:pPr>
            <w:proofErr w:type="spellStart"/>
            <w:r w:rsidRPr="00620677">
              <w:rPr>
                <w:rFonts w:ascii="Verdana" w:eastAsia="Century Gothic" w:hAnsi="Verdana" w:cs="Arial"/>
              </w:rPr>
              <w:lastRenderedPageBreak/>
              <w:t>iii</w:t>
            </w:r>
            <w:proofErr w:type="spellEnd"/>
            <w:r w:rsidRPr="00620677">
              <w:rPr>
                <w:rFonts w:ascii="Verdana" w:eastAsia="Century Gothic" w:hAnsi="Verdana" w:cs="Arial"/>
              </w:rPr>
              <w:t>)</w:t>
            </w:r>
            <w:r w:rsidR="00E24B21" w:rsidRPr="00620677">
              <w:rPr>
                <w:rFonts w:ascii="Verdana" w:eastAsia="Century Gothic" w:hAnsi="Verdana" w:cs="Arial"/>
              </w:rPr>
              <w:t xml:space="preserve"> </w:t>
            </w:r>
            <w:r w:rsidR="0012724C" w:rsidRPr="00620677">
              <w:rPr>
                <w:rFonts w:ascii="Verdana" w:eastAsia="Century Gothic" w:hAnsi="Verdana" w:cs="Arial"/>
              </w:rPr>
              <w:t xml:space="preserve">Respecto del alcance de la </w:t>
            </w:r>
            <w:r w:rsidR="0012724C" w:rsidRPr="00620677">
              <w:rPr>
                <w:rFonts w:ascii="Verdana" w:eastAsia="Century Gothic" w:hAnsi="Verdana" w:cs="Arial"/>
                <w:i/>
                <w:iCs/>
              </w:rPr>
              <w:t>Guía para la elaboración de Estudios del Sector</w:t>
            </w:r>
            <w:r w:rsidR="0012724C" w:rsidRPr="00620677">
              <w:rPr>
                <w:rFonts w:ascii="Verdana" w:eastAsia="Century Gothic" w:hAnsi="Verdana" w:cs="Arial"/>
              </w:rPr>
              <w:t xml:space="preserve">, debe señalarse que se trata de un instrumento orientador que desarrolla recomendaciones y buenas prácticas destinadas a facilitar que las </w:t>
            </w:r>
            <w:r w:rsidR="008B42D4" w:rsidRPr="00620677">
              <w:rPr>
                <w:rFonts w:ascii="Verdana" w:eastAsia="Century Gothic" w:hAnsi="Verdana" w:cs="Arial"/>
              </w:rPr>
              <w:t>E</w:t>
            </w:r>
            <w:r w:rsidR="0012724C" w:rsidRPr="00620677">
              <w:rPr>
                <w:rFonts w:ascii="Verdana" w:eastAsia="Century Gothic" w:hAnsi="Verdana" w:cs="Arial"/>
              </w:rPr>
              <w:t xml:space="preserve">ntidades </w:t>
            </w:r>
            <w:r w:rsidR="008B42D4" w:rsidRPr="00620677">
              <w:rPr>
                <w:rFonts w:ascii="Verdana" w:eastAsia="Century Gothic" w:hAnsi="Verdana" w:cs="Arial"/>
              </w:rPr>
              <w:t>E</w:t>
            </w:r>
            <w:r w:rsidR="0012724C" w:rsidRPr="00620677">
              <w:rPr>
                <w:rFonts w:ascii="Verdana" w:eastAsia="Century Gothic" w:hAnsi="Verdana" w:cs="Arial"/>
              </w:rPr>
              <w:t>statales comprendan el mercado en el cual se inserta el objeto contractual. Su finalidad es proporcionar la información necesaria para diseñar procesos de contratación que respondan a los objetivos de eficacia, eficiencia, economía, promoción de la competencia y adecuada gestión del riesgo.</w:t>
            </w:r>
          </w:p>
          <w:p w14:paraId="529F6518" w14:textId="0F2E00AF" w:rsidR="0012724C" w:rsidRPr="0012724C" w:rsidRDefault="0012724C" w:rsidP="0012724C">
            <w:pPr>
              <w:spacing w:before="120" w:line="276" w:lineRule="auto"/>
              <w:ind w:firstLine="709"/>
              <w:jc w:val="both"/>
              <w:rPr>
                <w:rFonts w:ascii="Verdana" w:eastAsia="Century Gothic" w:hAnsi="Verdana" w:cs="Arial"/>
              </w:rPr>
            </w:pPr>
            <w:r w:rsidRPr="0012724C">
              <w:rPr>
                <w:rFonts w:ascii="Verdana" w:eastAsia="Century Gothic" w:hAnsi="Verdana" w:cs="Arial"/>
              </w:rPr>
              <w:t>En armonía con lo dispuesto en el Decreto 1600 de 2025, las entidades están llamadas a procurar la aplicación de estas buenas prácticas como parte de la planeación contractual. De esta manera, aunque la guía no constituye un protocolo de carácter vinculante, sí se convierte en un referente técnico y metodológico que contribuye a fortalecer la transparencia y la seguridad jurídica en los procesos de contratación estatal.</w:t>
            </w:r>
          </w:p>
          <w:p w14:paraId="57ED8E30" w14:textId="47F6255B" w:rsidR="00A233D5" w:rsidRPr="00620677" w:rsidRDefault="001329E0" w:rsidP="00A233D5">
            <w:pPr>
              <w:spacing w:before="120" w:line="276" w:lineRule="auto"/>
              <w:ind w:firstLine="709"/>
              <w:jc w:val="both"/>
              <w:rPr>
                <w:rFonts w:ascii="Verdana" w:eastAsia="Century Gothic" w:hAnsi="Verdana" w:cs="Arial"/>
              </w:rPr>
            </w:pPr>
            <w:proofErr w:type="spellStart"/>
            <w:r w:rsidRPr="00620677">
              <w:rPr>
                <w:rFonts w:ascii="Verdana" w:eastAsia="Century Gothic" w:hAnsi="Verdana" w:cs="Arial"/>
              </w:rPr>
              <w:t>iv</w:t>
            </w:r>
            <w:proofErr w:type="spellEnd"/>
            <w:r w:rsidRPr="00620677">
              <w:rPr>
                <w:rFonts w:ascii="Verdana" w:eastAsia="Century Gothic" w:hAnsi="Verdana" w:cs="Arial"/>
              </w:rPr>
              <w:t>)</w:t>
            </w:r>
            <w:r w:rsidR="00875BB4" w:rsidRPr="00620677">
              <w:rPr>
                <w:rFonts w:ascii="Verdana" w:eastAsia="Century Gothic" w:hAnsi="Verdana" w:cs="Arial"/>
              </w:rPr>
              <w:t xml:space="preserve"> </w:t>
            </w:r>
            <w:r w:rsidR="004B66DE" w:rsidRPr="00620677">
              <w:rPr>
                <w:rFonts w:ascii="Verdana" w:eastAsia="Century Gothic" w:hAnsi="Verdana" w:cs="Arial"/>
              </w:rPr>
              <w:t xml:space="preserve">En </w:t>
            </w:r>
            <w:r w:rsidR="00A10B8D" w:rsidRPr="00620677">
              <w:rPr>
                <w:rFonts w:ascii="Verdana" w:eastAsia="Century Gothic" w:hAnsi="Verdana" w:cs="Arial"/>
              </w:rPr>
              <w:t>torno a</w:t>
            </w:r>
            <w:r w:rsidR="004B66DE" w:rsidRPr="00620677">
              <w:rPr>
                <w:rFonts w:ascii="Verdana" w:eastAsia="Century Gothic" w:hAnsi="Verdana" w:cs="Arial"/>
              </w:rPr>
              <w:t xml:space="preserve"> el</w:t>
            </w:r>
            <w:r w:rsidR="00A233D5" w:rsidRPr="00620677">
              <w:rPr>
                <w:rFonts w:ascii="Verdana" w:eastAsia="Century Gothic" w:hAnsi="Verdana" w:cs="Arial"/>
                <w:i/>
                <w:iCs/>
              </w:rPr>
              <w:t xml:space="preserve"> </w:t>
            </w:r>
            <w:r w:rsidR="004B66DE" w:rsidRPr="00620677">
              <w:rPr>
                <w:rFonts w:ascii="Verdana" w:eastAsia="Century Gothic" w:hAnsi="Verdana" w:cs="Arial"/>
                <w:i/>
                <w:iCs/>
              </w:rPr>
              <w:t>cuarto interrogante</w:t>
            </w:r>
            <w:r w:rsidR="00A233D5" w:rsidRPr="00620677">
              <w:rPr>
                <w:rFonts w:ascii="Verdana" w:eastAsia="Century Gothic" w:hAnsi="Verdana" w:cs="Arial"/>
                <w:i/>
                <w:iCs/>
              </w:rPr>
              <w:t>,</w:t>
            </w:r>
            <w:r w:rsidR="00A233D5" w:rsidRPr="00620677">
              <w:rPr>
                <w:rFonts w:ascii="Verdana" w:eastAsia="Century Gothic" w:hAnsi="Verdana" w:cs="Arial"/>
              </w:rPr>
              <w:t xml:space="preserve"> es preciso señalar que la Agencia Nacional de Contratación Pública –Colombia Compra Eficiente– no tiene prevista la expedición de un protocolo o guía de carácter obligatorio que estandarice la metodología para la elaboración de los estudios previos en cualquier modalidad de contratación. Ello obedece a que dicha función excede las competencias que el legislador le ha asignado a la Agencia, las cuales se circunscriben a la formulación de lineamientos, recomendaciones y buenas prácticas orientadoras, sin que le corresponda la creación de normas de obligatorio cumplimiento para todas las </w:t>
            </w:r>
            <w:r w:rsidR="005523E7" w:rsidRPr="00620677">
              <w:rPr>
                <w:rFonts w:ascii="Verdana" w:eastAsia="Century Gothic" w:hAnsi="Verdana" w:cs="Arial"/>
              </w:rPr>
              <w:t>E</w:t>
            </w:r>
            <w:r w:rsidR="00A233D5" w:rsidRPr="00620677">
              <w:rPr>
                <w:rFonts w:ascii="Verdana" w:eastAsia="Century Gothic" w:hAnsi="Verdana" w:cs="Arial"/>
              </w:rPr>
              <w:t xml:space="preserve">ntidades </w:t>
            </w:r>
            <w:r w:rsidR="005523E7" w:rsidRPr="00620677">
              <w:rPr>
                <w:rFonts w:ascii="Verdana" w:eastAsia="Century Gothic" w:hAnsi="Verdana" w:cs="Arial"/>
              </w:rPr>
              <w:t>E</w:t>
            </w:r>
            <w:r w:rsidR="00A233D5" w:rsidRPr="00620677">
              <w:rPr>
                <w:rFonts w:ascii="Verdana" w:eastAsia="Century Gothic" w:hAnsi="Verdana" w:cs="Arial"/>
              </w:rPr>
              <w:t>statales.</w:t>
            </w:r>
          </w:p>
          <w:p w14:paraId="12E7A1F5" w14:textId="511D9931" w:rsidR="001329E0" w:rsidRPr="00620677" w:rsidRDefault="00A10B8D" w:rsidP="004B66DE">
            <w:pPr>
              <w:spacing w:before="120" w:line="276" w:lineRule="auto"/>
              <w:ind w:firstLine="709"/>
              <w:jc w:val="both"/>
              <w:rPr>
                <w:rFonts w:ascii="Verdana" w:eastAsia="Century Gothic" w:hAnsi="Verdana" w:cs="Arial"/>
              </w:rPr>
            </w:pPr>
            <w:r w:rsidRPr="00620677">
              <w:rPr>
                <w:rFonts w:ascii="Verdana" w:eastAsia="Century Gothic" w:hAnsi="Verdana" w:cs="Arial"/>
              </w:rPr>
              <w:t>De manera que</w:t>
            </w:r>
            <w:r w:rsidR="00A233D5" w:rsidRPr="00A233D5">
              <w:rPr>
                <w:rFonts w:ascii="Verdana" w:eastAsia="Century Gothic" w:hAnsi="Verdana" w:cs="Arial"/>
              </w:rPr>
              <w:t>, la Agencia cumple su rol mediante la publicación de guías, manuales y documentos técnicos que sirven como referentes metodológicos y promueven la transparencia, la coherencia y la seguridad jurídica en los procesos contractuales. No obstante, la adopción de estos instrumentos depende de la autonomía de cada entidad contratante, siempre dentro del marco normativo vigente y de los principios que rigen la contratación pública.</w:t>
            </w:r>
          </w:p>
          <w:p w14:paraId="759E537B" w14:textId="672E8C8D" w:rsidR="00FF06F0" w:rsidRPr="00620677" w:rsidRDefault="00BE33D0" w:rsidP="00FF06F0">
            <w:pPr>
              <w:spacing w:before="120" w:line="276" w:lineRule="auto"/>
              <w:ind w:firstLine="709"/>
              <w:jc w:val="both"/>
              <w:rPr>
                <w:rFonts w:ascii="Verdana" w:eastAsia="Century Gothic" w:hAnsi="Verdana" w:cs="Arial"/>
              </w:rPr>
            </w:pPr>
            <w:r w:rsidRPr="00620677">
              <w:rPr>
                <w:rFonts w:ascii="Verdana" w:eastAsia="Century Gothic" w:hAnsi="Verdana" w:cs="Arial"/>
              </w:rPr>
              <w:t xml:space="preserve">v) Finalmente, y de cara al último interrogante de la presente consulta, </w:t>
            </w:r>
            <w:r w:rsidR="00FF06F0" w:rsidRPr="00620677">
              <w:rPr>
                <w:rFonts w:ascii="Verdana" w:eastAsia="Century Gothic" w:hAnsi="Verdana" w:cs="Arial"/>
              </w:rPr>
              <w:t>se manifiesta que e</w:t>
            </w:r>
            <w:r w:rsidR="001329E0" w:rsidRPr="001329E0">
              <w:rPr>
                <w:rFonts w:ascii="Verdana" w:eastAsia="Century Gothic" w:hAnsi="Verdana" w:cs="Arial"/>
              </w:rPr>
              <w:t xml:space="preserve">n el marco de la contratación pública, las </w:t>
            </w:r>
            <w:r w:rsidR="00FF06F0" w:rsidRPr="00620677">
              <w:rPr>
                <w:rFonts w:ascii="Verdana" w:eastAsia="Century Gothic" w:hAnsi="Verdana" w:cs="Arial"/>
              </w:rPr>
              <w:t>En</w:t>
            </w:r>
            <w:r w:rsidR="001329E0" w:rsidRPr="001329E0">
              <w:rPr>
                <w:rFonts w:ascii="Verdana" w:eastAsia="Century Gothic" w:hAnsi="Verdana" w:cs="Arial"/>
              </w:rPr>
              <w:t xml:space="preserve">tidades </w:t>
            </w:r>
            <w:r w:rsidR="00FF06F0" w:rsidRPr="00620677">
              <w:rPr>
                <w:rFonts w:ascii="Verdana" w:eastAsia="Century Gothic" w:hAnsi="Verdana" w:cs="Arial"/>
              </w:rPr>
              <w:t>E</w:t>
            </w:r>
            <w:r w:rsidR="001329E0" w:rsidRPr="001329E0">
              <w:rPr>
                <w:rFonts w:ascii="Verdana" w:eastAsia="Century Gothic" w:hAnsi="Verdana" w:cs="Arial"/>
              </w:rPr>
              <w:t xml:space="preserve">statales sí se encuentran sujetas a límites específicos en el ejercicio del principio de autonomía de la voluntad al momento de realizar el estudio del sector. Dicho principio, aunque reconoce la capacidad de las entidades para </w:t>
            </w:r>
            <w:r w:rsidR="001329E0" w:rsidRPr="001329E0">
              <w:rPr>
                <w:rFonts w:ascii="Verdana" w:eastAsia="Century Gothic" w:hAnsi="Verdana" w:cs="Arial"/>
              </w:rPr>
              <w:lastRenderedPageBreak/>
              <w:t>definir la metodología y el alcance de sus análisis, debe ejercerse dentro de los parámetros fijados por la normativa vigente, en particular la Ley 80 de 1993, la Ley 1150 de 2007 y el Decreto 1082 de 2015, que establecen la obligación de realizar estudios previos suficientes y adecuados como soporte de la planeación contractual.</w:t>
            </w:r>
          </w:p>
          <w:p w14:paraId="3C89E472" w14:textId="77777777" w:rsidR="00127F3A" w:rsidRPr="00620677" w:rsidRDefault="001329E0" w:rsidP="00127F3A">
            <w:pPr>
              <w:spacing w:before="120" w:line="276" w:lineRule="auto"/>
              <w:ind w:firstLine="709"/>
              <w:jc w:val="both"/>
              <w:rPr>
                <w:rFonts w:ascii="Verdana" w:eastAsia="Century Gothic" w:hAnsi="Verdana" w:cs="Arial"/>
              </w:rPr>
            </w:pPr>
            <w:r w:rsidRPr="001329E0">
              <w:rPr>
                <w:rFonts w:ascii="Verdana" w:eastAsia="Century Gothic" w:hAnsi="Verdana" w:cs="Arial"/>
              </w:rPr>
              <w:t>En consecuencia, la autonomía de las entidades no es absoluta, pues está condicionada por principios superiores como la transparencia, la responsabilidad, la eficiencia y la selección objetiva. Estos principios limitan la discrecionalidad y exigen que el estudio del sector sea integral, verificable y orientado a garantizar la adecuada gestión de los recursos públicos. Así, aunque cada entidad conserva libertad para estructurar la metodología de su análisis, debe hacerlo respetando los estándares normativos y las buenas prácticas recomendadas por la Agencia Nacional de Contratación Pública –Colombia Compra Eficiente–, de manera que el ejercicio de la autonomía se encuentre siempre enmarcado en la legalidad y en la protección del interés general.</w:t>
            </w:r>
          </w:p>
          <w:p w14:paraId="48EFAD62" w14:textId="2594122C" w:rsidR="00B2432B" w:rsidRPr="00620677" w:rsidRDefault="00B2432B" w:rsidP="00127F3A">
            <w:pPr>
              <w:spacing w:before="120" w:line="276" w:lineRule="auto"/>
              <w:ind w:firstLine="709"/>
              <w:jc w:val="both"/>
              <w:rPr>
                <w:rFonts w:ascii="Verdana" w:eastAsia="Century Gothic" w:hAnsi="Verdana" w:cs="Arial"/>
              </w:rPr>
            </w:pPr>
            <w:r w:rsidRPr="00620677">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542B7CEC" w14:textId="77777777" w:rsidR="00B2432B" w:rsidRPr="00620677" w:rsidRDefault="00B2432B" w:rsidP="00B2432B">
      <w:pPr>
        <w:widowControl w:val="0"/>
        <w:autoSpaceDE w:val="0"/>
        <w:autoSpaceDN w:val="0"/>
        <w:spacing w:before="1" w:after="0" w:line="276" w:lineRule="auto"/>
        <w:ind w:left="360" w:hanging="360"/>
        <w:outlineLvl w:val="0"/>
        <w:rPr>
          <w:rFonts w:ascii="Verdana" w:eastAsia="Arial" w:hAnsi="Verdana" w:cs="Arial"/>
          <w:b/>
          <w:bCs/>
          <w:lang w:val="es-ES"/>
        </w:rPr>
      </w:pPr>
    </w:p>
    <w:p w14:paraId="23643C75" w14:textId="77777777" w:rsidR="00B2432B" w:rsidRPr="00620677" w:rsidRDefault="00B2432B" w:rsidP="00B2432B">
      <w:pPr>
        <w:widowControl w:val="0"/>
        <w:autoSpaceDE w:val="0"/>
        <w:autoSpaceDN w:val="0"/>
        <w:spacing w:before="1" w:after="0" w:line="276" w:lineRule="auto"/>
        <w:ind w:left="360" w:hanging="360"/>
        <w:outlineLvl w:val="0"/>
        <w:rPr>
          <w:rFonts w:ascii="Verdana" w:eastAsia="Arial" w:hAnsi="Verdana" w:cs="Arial"/>
          <w:b/>
          <w:bCs/>
          <w:lang w:val="es-ES"/>
        </w:rPr>
      </w:pPr>
      <w:r w:rsidRPr="00620677">
        <w:rPr>
          <w:rFonts w:ascii="Verdana" w:eastAsia="Arial" w:hAnsi="Verdana" w:cs="Arial"/>
          <w:b/>
          <w:bCs/>
          <w:lang w:val="es-ES"/>
        </w:rPr>
        <w:t>3. Razones de la respuesta:</w:t>
      </w:r>
    </w:p>
    <w:p w14:paraId="57701C5C" w14:textId="77777777" w:rsidR="00B2432B" w:rsidRPr="00620677" w:rsidRDefault="00B2432B" w:rsidP="00B2432B">
      <w:pPr>
        <w:spacing w:after="0" w:line="276" w:lineRule="auto"/>
        <w:jc w:val="both"/>
        <w:rPr>
          <w:rFonts w:ascii="Verdana" w:eastAsia="Calibri" w:hAnsi="Verdana" w:cs="Arial"/>
          <w:lang w:val="es-ES"/>
        </w:rPr>
      </w:pPr>
    </w:p>
    <w:p w14:paraId="4BA7A2B7" w14:textId="3720AF9B" w:rsidR="00255504" w:rsidRPr="00620677" w:rsidRDefault="00B2432B" w:rsidP="00D74417">
      <w:pPr>
        <w:spacing w:after="120" w:line="276" w:lineRule="auto"/>
        <w:jc w:val="both"/>
        <w:rPr>
          <w:rFonts w:ascii="Verdana" w:eastAsia="Calibri" w:hAnsi="Verdana" w:cs="Arial"/>
          <w:lang w:val="es-ES"/>
        </w:rPr>
      </w:pPr>
      <w:r w:rsidRPr="00620677">
        <w:rPr>
          <w:rFonts w:ascii="Verdana" w:eastAsia="Calibri" w:hAnsi="Verdana" w:cs="Arial"/>
          <w:lang w:val="es-ES"/>
        </w:rPr>
        <w:t xml:space="preserve">La respuesta anterior se sustenta en las siguientes consideraciones: </w:t>
      </w:r>
    </w:p>
    <w:p w14:paraId="35083D7C" w14:textId="77777777" w:rsidR="00DF34EB" w:rsidRPr="00620677" w:rsidRDefault="00D74417" w:rsidP="00DF34EB">
      <w:pPr>
        <w:spacing w:after="0" w:line="276" w:lineRule="auto"/>
        <w:jc w:val="both"/>
        <w:rPr>
          <w:rFonts w:ascii="Verdana" w:eastAsia="Times New Roman" w:hAnsi="Verdana" w:cs="Arial"/>
          <w:i/>
          <w:lang w:val="es-ES_tradnl" w:eastAsia="es-ES_tradnl"/>
        </w:rPr>
      </w:pPr>
      <w:r w:rsidRPr="00620677">
        <w:rPr>
          <w:rFonts w:ascii="Verdana" w:eastAsia="Calibri" w:hAnsi="Verdana" w:cs="Arial"/>
          <w:lang w:val="es-ES"/>
        </w:rPr>
        <w:t xml:space="preserve">i) </w:t>
      </w:r>
      <w:r w:rsidR="00DF34EB" w:rsidRPr="00620677">
        <w:rPr>
          <w:rFonts w:ascii="Verdana" w:eastAsia="Times New Roman" w:hAnsi="Verdana" w:cs="Arial"/>
          <w:iCs/>
          <w:lang w:val="es-ES_tradnl" w:eastAsia="es-ES_tradnl"/>
        </w:rPr>
        <w:t xml:space="preserve">La Agencia Nacional de Contratación Pública – Colombia Compra Eficiente fue creada por el Decreto Ley 4170 de 2011, como una Unidad Administrativa Especial, descentralizada de la Rama Ejecutiva del orden nacional, adscrita al Departamento Nacional de Planeación. El objetivo fijado para esta entidad, según el Legislador, es servir como ente rector de la política de compra y contratación del Estado, esto, al ser consciente de la necesidad de contar en la </w:t>
      </w:r>
      <w:r w:rsidR="00DF34EB" w:rsidRPr="00620677">
        <w:rPr>
          <w:rFonts w:ascii="Verdana" w:eastAsia="Times New Roman" w:hAnsi="Verdana" w:cs="Arial"/>
          <w:iCs/>
          <w:lang w:val="es-ES_tradnl" w:eastAsia="es-ES_tradnl"/>
        </w:rPr>
        <w:lastRenderedPageBreak/>
        <w:t>estructura del Estado con un órgano técnico especializado que asumiera la tarea de formular políticas públicas, normas y unificar los Procesos de Contratación estatal, facultándola para “difundir las normas, reglas, procedimientos, medios tecnológicos y mejores prácticas para las compras y la contratación pública”</w:t>
      </w:r>
      <w:r w:rsidR="00DF34EB" w:rsidRPr="00620677">
        <w:rPr>
          <w:rStyle w:val="Refdenotaalpie"/>
          <w:rFonts w:ascii="Verdana" w:eastAsia="Times New Roman" w:hAnsi="Verdana" w:cs="Arial"/>
          <w:iCs/>
          <w:lang w:val="es-ES_tradnl" w:eastAsia="es-ES_tradnl"/>
        </w:rPr>
        <w:footnoteReference w:id="1"/>
      </w:r>
      <w:r w:rsidR="00DF34EB" w:rsidRPr="00620677">
        <w:rPr>
          <w:rFonts w:ascii="Verdana" w:eastAsia="Times New Roman" w:hAnsi="Verdana" w:cs="Arial"/>
          <w:iCs/>
          <w:lang w:val="es-ES_tradnl" w:eastAsia="es-ES_tradnl"/>
        </w:rPr>
        <w:t>.</w:t>
      </w:r>
    </w:p>
    <w:p w14:paraId="182B8169" w14:textId="77777777" w:rsidR="00DF34EB" w:rsidRPr="00620677" w:rsidRDefault="00DF34EB" w:rsidP="00DF34EB">
      <w:pPr>
        <w:spacing w:before="120" w:after="0" w:line="276" w:lineRule="auto"/>
        <w:jc w:val="both"/>
        <w:rPr>
          <w:rFonts w:ascii="Verdana" w:eastAsia="Times New Roman" w:hAnsi="Verdana" w:cs="Arial"/>
          <w:iCs/>
          <w:lang w:val="es-ES_tradnl" w:eastAsia="es-ES_tradnl"/>
        </w:rPr>
      </w:pPr>
      <w:r w:rsidRPr="00620677">
        <w:rPr>
          <w:rFonts w:ascii="Verdana" w:eastAsia="Times New Roman" w:hAnsi="Verdana" w:cs="Arial"/>
          <w:iCs/>
          <w:lang w:val="es-ES_tradnl" w:eastAsia="es-ES_tradnl"/>
        </w:rPr>
        <w:tab/>
        <w:t>En este contexto, concretamente el numeral 2 del artículo 3 del Decreto Ley 4170 de 2011, dispuso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De igual forma, el numeral 5 del mismo artículo otorga la facultad para expedir circulares externas en materia de compras y contratación pública.</w:t>
      </w:r>
    </w:p>
    <w:p w14:paraId="581057EF" w14:textId="77777777" w:rsidR="00DF34EB" w:rsidRPr="00620677" w:rsidRDefault="00DF34EB" w:rsidP="00DF34EB">
      <w:pPr>
        <w:spacing w:before="120" w:after="0" w:line="276" w:lineRule="auto"/>
        <w:jc w:val="both"/>
        <w:rPr>
          <w:rFonts w:ascii="Verdana" w:eastAsia="Times New Roman" w:hAnsi="Verdana" w:cs="Arial"/>
          <w:lang w:val="es-ES" w:eastAsia="es-ES"/>
        </w:rPr>
      </w:pPr>
      <w:r w:rsidRPr="00620677">
        <w:rPr>
          <w:rFonts w:ascii="Verdana" w:eastAsia="Times New Roman" w:hAnsi="Verdana" w:cs="Arial"/>
          <w:iCs/>
          <w:lang w:val="es-ES_tradnl" w:eastAsia="es-ES_tradnl"/>
        </w:rPr>
        <w:tab/>
      </w:r>
      <w:r w:rsidRPr="00620677">
        <w:rPr>
          <w:rFonts w:ascii="Verdana" w:eastAsia="Times New Roman" w:hAnsi="Verdana" w:cs="Arial"/>
          <w:lang w:val="es-ES" w:eastAsia="es-ES"/>
        </w:rPr>
        <w:t xml:space="preserve">En ejercicio de estas competencias, Colombia Compra Eficiente ha expedido Guías, Manuales y Circulares que pueden ser calificados como </w:t>
      </w:r>
      <w:r w:rsidRPr="00620677">
        <w:rPr>
          <w:rFonts w:ascii="Verdana" w:eastAsia="Times New Roman" w:hAnsi="Verdana" w:cs="Arial"/>
          <w:i/>
          <w:iCs/>
          <w:lang w:val="es-ES" w:eastAsia="es-ES"/>
        </w:rPr>
        <w:t>herramientas de apoyo a los partícipes de la contratación pública</w:t>
      </w:r>
      <w:r w:rsidRPr="00620677">
        <w:rPr>
          <w:rFonts w:ascii="Verdana" w:eastAsia="Times New Roman" w:hAnsi="Verdana" w:cs="Arial"/>
          <w:lang w:val="es-ES" w:eastAsia="es-ES"/>
        </w:rPr>
        <w:t>. A pesar de que el Decreto Ley 4170 de 2011 no contiene de manera expresa los vocablos Guía o Manual, esta Agencia a partir del año 2013, los ha expedido como instrumentos que facilitan las compras y la contratación pública y promueven las mejores prácticas, la eficiencia, transparencia y competitividad. El Decreto 1510 de 2013, por el cual se reglamentó el Sistema de Compras y Contratación Pública, compilado por el Decreto 1082 de 2015</w:t>
      </w:r>
      <w:r w:rsidRPr="00620677">
        <w:rPr>
          <w:rStyle w:val="Refdenotaalpie"/>
          <w:rFonts w:ascii="Verdana" w:eastAsia="Times New Roman" w:hAnsi="Verdana" w:cs="Arial"/>
          <w:lang w:val="es-ES" w:eastAsia="es-ES"/>
        </w:rPr>
        <w:footnoteReference w:id="2"/>
      </w:r>
      <w:r w:rsidRPr="00620677">
        <w:rPr>
          <w:rFonts w:ascii="Verdana" w:eastAsia="Times New Roman" w:hAnsi="Verdana" w:cs="Arial"/>
          <w:lang w:val="es-ES" w:eastAsia="es-ES"/>
        </w:rPr>
        <w:t>, a pesar de que se refiere de forma expresa a los Manuales y Guías, no distingue o precisa el concepto de cada uno.</w:t>
      </w:r>
    </w:p>
    <w:p w14:paraId="060A4DE9" w14:textId="77777777" w:rsidR="00DF34EB" w:rsidRPr="00620677" w:rsidRDefault="00DF34EB" w:rsidP="00DF34EB">
      <w:pPr>
        <w:spacing w:before="120" w:after="0" w:line="276" w:lineRule="auto"/>
        <w:jc w:val="both"/>
        <w:rPr>
          <w:rFonts w:ascii="Verdana" w:eastAsia="Times New Roman" w:hAnsi="Verdana" w:cs="Arial"/>
          <w:iCs/>
          <w:lang w:val="es-ES_tradnl" w:eastAsia="es-ES_tradnl"/>
        </w:rPr>
      </w:pPr>
      <w:r w:rsidRPr="00620677">
        <w:rPr>
          <w:rFonts w:ascii="Verdana" w:eastAsia="Times New Roman" w:hAnsi="Verdana" w:cs="Arial"/>
          <w:iCs/>
          <w:lang w:val="es-ES_tradnl" w:eastAsia="es-ES_tradnl"/>
        </w:rPr>
        <w:tab/>
        <w:t>Bajo las denominaciones de guías, manuales, instructivos y protocolos muchas entidades del Estado han adoptado herramientas e instrumentos para definir criterios técnicos, fijar procedimientos, estandarizar procesos y establecer metodologías, aunque no existe un significado unívoco que defina cada herramienta</w:t>
      </w:r>
      <w:r w:rsidRPr="00620677">
        <w:rPr>
          <w:rStyle w:val="Refdenotaalpie"/>
          <w:rFonts w:ascii="Verdana" w:hAnsi="Verdana" w:cs="Arial"/>
        </w:rPr>
        <w:footnoteReference w:id="3"/>
      </w:r>
      <w:r w:rsidRPr="00620677">
        <w:rPr>
          <w:rFonts w:ascii="Verdana" w:hAnsi="Verdana" w:cs="Arial"/>
        </w:rPr>
        <w:t>.</w:t>
      </w:r>
    </w:p>
    <w:p w14:paraId="545B8E34" w14:textId="77777777" w:rsidR="00DF34EB" w:rsidRPr="00620677" w:rsidRDefault="00DF34EB" w:rsidP="00DF34EB">
      <w:pPr>
        <w:spacing w:before="120" w:after="0" w:line="276" w:lineRule="auto"/>
        <w:jc w:val="both"/>
        <w:rPr>
          <w:rFonts w:ascii="Verdana" w:eastAsia="Times New Roman" w:hAnsi="Verdana" w:cs="Arial"/>
          <w:lang w:val="es-ES" w:eastAsia="es-ES"/>
        </w:rPr>
      </w:pPr>
      <w:r w:rsidRPr="00620677">
        <w:rPr>
          <w:rFonts w:ascii="Verdana" w:eastAsia="Times New Roman" w:hAnsi="Verdana" w:cs="Arial"/>
          <w:iCs/>
          <w:lang w:val="es-ES_tradnl" w:eastAsia="es-ES_tradnl"/>
        </w:rPr>
        <w:lastRenderedPageBreak/>
        <w:tab/>
      </w:r>
      <w:r w:rsidRPr="00620677">
        <w:rPr>
          <w:rFonts w:ascii="Verdana" w:eastAsia="Times New Roman" w:hAnsi="Verdana" w:cs="Arial"/>
          <w:lang w:val="es-ES" w:eastAsia="es-ES"/>
        </w:rPr>
        <w:t>Dentro del funcionamiento interno de esta Agencia, los Manuales han sido entendidos como documentos que tratan de manera general aspectos fundamentales y elementales de un tema. Su contenido tiende a ser teórico y su finalidad es aclarar los puntos más importantes del asunto abordado. Por ejemplo, Colombia Compra Eficiente ha elaborado manuales para determinar y verificar los requisitos habilitantes o para el manejo de los Acuerdos Comerciales en los Procesos de Contratación.</w:t>
      </w:r>
    </w:p>
    <w:p w14:paraId="10AAE84D" w14:textId="77777777" w:rsidR="00154A8E" w:rsidRPr="00620677" w:rsidRDefault="00DF34EB" w:rsidP="00154A8E">
      <w:pPr>
        <w:spacing w:before="120" w:after="0" w:line="276" w:lineRule="auto"/>
        <w:jc w:val="both"/>
        <w:rPr>
          <w:rFonts w:ascii="Verdana" w:eastAsia="Times New Roman" w:hAnsi="Verdana" w:cs="Arial"/>
          <w:iCs/>
          <w:lang w:val="es-ES_tradnl" w:eastAsia="es-ES_tradnl"/>
        </w:rPr>
      </w:pPr>
      <w:r w:rsidRPr="00620677">
        <w:rPr>
          <w:rFonts w:ascii="Verdana" w:eastAsia="Times New Roman" w:hAnsi="Verdana" w:cs="Arial"/>
          <w:iCs/>
          <w:lang w:val="es-ES_tradnl" w:eastAsia="es-ES_tradnl"/>
        </w:rPr>
        <w:tab/>
        <w:t>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guías para la liquidación de los contratos estatales, la cual fija un procedimiento para el efecto.</w:t>
      </w:r>
    </w:p>
    <w:p w14:paraId="041B1F15" w14:textId="3E7103C8" w:rsidR="00DF34EB" w:rsidRPr="00620677" w:rsidRDefault="00DF34EB" w:rsidP="00154A8E">
      <w:pPr>
        <w:spacing w:before="120" w:after="0" w:line="276" w:lineRule="auto"/>
        <w:ind w:firstLine="708"/>
        <w:jc w:val="both"/>
        <w:rPr>
          <w:rFonts w:ascii="Verdana" w:eastAsia="Times New Roman" w:hAnsi="Verdana" w:cs="Arial"/>
          <w:iCs/>
          <w:lang w:val="es-ES_tradnl" w:eastAsia="es-ES_tradnl"/>
        </w:rPr>
      </w:pPr>
      <w:r w:rsidRPr="00620677">
        <w:rPr>
          <w:rFonts w:ascii="Verdana" w:eastAsia="Calibri" w:hAnsi="Verdana" w:cs="Arial"/>
          <w:lang w:val="es-ES"/>
        </w:rPr>
        <w:t xml:space="preserve">Ahora bien, desde el 2017 </w:t>
      </w:r>
      <w:r w:rsidRPr="00620677">
        <w:rPr>
          <w:rFonts w:ascii="Verdana" w:hAnsi="Verdana" w:cs="Arial"/>
          <w:lang w:val="es-MX" w:eastAsia="x-none"/>
        </w:rPr>
        <w:t>la Subdirección de Gestión Contractual acogió un enfoque sustantivo sobre el carácter obligatorio de los actos expedidos por la entidad. Esto quiere decir que con independencia de la forma que adopte la directriz, su carácter obligatorio o no, está determinado por la existencia de una competencia legal o reglamentaria para regular el asunto en concreto. En otras palabras, lo que define la obligatoriedad de determinado acto que expida la entidad no es que se adopte mediante circular externa, sino que el contenido sea de aquellos cuya regulación haya sido encargada por el Legislador o el Presidente de la República a la Agencia Nacional de Contratación Pública. Lo anterior, hace referencia a la competencia, como uno de los elementos que caracteriza a los actos administrativos.</w:t>
      </w:r>
    </w:p>
    <w:p w14:paraId="1F840B19"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lastRenderedPageBreak/>
        <w:t>Además, para que un acto expedido por esta entidad sea obligatorio, debe reunir todos los demás elementos de un acto administrativo, entendido este, desde su concepción clásica, como la manifestación unilateral de la voluntad de la Administración, en ejercicio de la función administrativa, con la potencialidad de producir efectos jurídicos. Este enfoque sustantivo o material en relación con la obligatoriedad de las Circulares, Guías, Manuales o Documentos Tipo, se corresponde al entendimiento que la jurisprudencia del Consejo de Estado ha tenido para determinar si está ante un acto de la administración controlable por la Jurisdicción Contenciosa Administrativa, esto es, si está en presencia de un acto administrativo.</w:t>
      </w:r>
    </w:p>
    <w:p w14:paraId="27AA86D7"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 xml:space="preserve">Ahora bien, el Consejo de Estado señaló sobre la naturaleza jurídica de los Manuales y Guías expedidos por Colombia Compra Eficiente, que se trata de normas de carácter general, impersonal y abstracto, cuya finalidad es dar un mayor nivel de detalle a todas las normas a las que están subordinadas, de forma que sea posible su aplicación. Sostuvo además, que normas como los manuales y las guías son conocidas como “normas reglamentarias de segundo o de tercer grado”, entendiendo las de primer grado como las expedidas por el Presidente de la República en ejercicio de la potestad reglamentaria del numeral 11 del artículo 189 de la Constitución Política. </w:t>
      </w:r>
    </w:p>
    <w:p w14:paraId="5403A7E4"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El Alto Tribunal Administrativo, en concordancia con el criterio sustantivo o material de identificación de los actos administrativos antes expuesto, reiteró que estos pueden estar revestidos de distintas formas, como decretos, resoluciones, reglamentos, acuerdo, manuales o circulares. En consecuencia, no es el nombre otorgado lo que genera la naturaleza de acto administrativo, sino su contenido reglamentario o normativo de obligatoria aplicación, y ello es predicable, incluso, de los manuales expedidos por las distintas autoridades administrativas.</w:t>
      </w:r>
    </w:p>
    <w:p w14:paraId="2B4CC21A"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 xml:space="preserve">De esta forma, los manuales, guías o circulares frente a los que existe fundamento normativo de rango legal o reglamentario que da la competencia a Colombia Compra Eficiente para expedirlos fueron declarados ajustados al ordenamiento jurídico y, además, frente a ellos se puede concluir, que se trata de actos administrativos –incluso reglamentos– de obligatorio cumplimiento para los partícipes de la contratación pública, como el “Manual de uso de los acuerdos marco de precios”, los manuales y guías para la elaboración y </w:t>
      </w:r>
      <w:r w:rsidRPr="00620677">
        <w:rPr>
          <w:rFonts w:ascii="Verdana" w:hAnsi="Verdana" w:cs="Arial"/>
          <w:lang w:val="es-MX" w:eastAsia="x-none"/>
        </w:rPr>
        <w:lastRenderedPageBreak/>
        <w:t>actualización del Plan Anual de Adquisiciones y el manual o guía para el uso del Clasificador de Bienes y Servicios.</w:t>
      </w:r>
    </w:p>
    <w:p w14:paraId="3ABF24FB"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Lo contrario ocurre con los manuales, guías o circulares que se expiden sin una competencia legal o reglamentaria, diferente de la genérica contenida en el Decreto Ley 4170 de 2011, que defiera a esta entidad su adopción, como ocurre con los manuales y guías para la identificación y cobertura del riesgo, los manuales y guías para el manejo de los Acuerdos Comerciales en los Procesos de Contratación. Estos instrumentos o herramientas quedan en el ámbito de normas de apoyo y de buenas prácticas para los partícipes del Sistema de Compra Pública, de donde no se puede derivar obligatoriedad.</w:t>
      </w:r>
    </w:p>
    <w:p w14:paraId="51FA7A3D" w14:textId="77777777" w:rsidR="00DF34EB" w:rsidRPr="00620677" w:rsidRDefault="00DF34EB"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En ese sentido, la obligatoriedad de los instrumentos expedidos por Colombia Compra Eficiente no depende de la forma mediante la cual se adopten, pues las guías, manuales o circulares podrán ser de obligatoria observancia o de mera pauta, para fomentar las buenas prácticas administrativas, dependiendo de si existe una norma de rango legal o reglamentaria, diferente a la del Decreto Ley 4170 de 2011, que confiera la competencia para regular determinado aspecto de la contratación estatal. Si la competencia no proviene de la ley o el reglamento, sin importar que se trate de una guía, un manual o una circular externa, no producirá efectos jurídicos y su función estará limitada a dar orientaciones o a producir normas, es decir, no será obligatoria, y, en consecuencia, no será vinculante para sus destinatarios, con independencia del nombre que tenga.</w:t>
      </w:r>
    </w:p>
    <w:p w14:paraId="53C81CB0" w14:textId="5137BEBD" w:rsidR="000747D7" w:rsidRPr="00620677" w:rsidRDefault="00A96E47" w:rsidP="00DF34EB">
      <w:pPr>
        <w:spacing w:after="120" w:line="276" w:lineRule="auto"/>
        <w:ind w:firstLine="709"/>
        <w:jc w:val="both"/>
        <w:rPr>
          <w:rFonts w:ascii="Verdana" w:hAnsi="Verdana" w:cs="Arial"/>
          <w:lang w:val="es-MX" w:eastAsia="x-none"/>
        </w:rPr>
      </w:pPr>
      <w:r w:rsidRPr="00620677">
        <w:rPr>
          <w:rFonts w:ascii="Verdana" w:hAnsi="Verdana" w:cs="Arial"/>
          <w:lang w:val="es-MX" w:eastAsia="x-none"/>
        </w:rPr>
        <w:t xml:space="preserve">Sin perjuicio de lo anterior, </w:t>
      </w:r>
      <w:r w:rsidR="000747D7" w:rsidRPr="00620677">
        <w:rPr>
          <w:rFonts w:ascii="Verdana" w:hAnsi="Verdana" w:cs="Arial"/>
          <w:lang w:val="es-MX" w:eastAsia="x-none"/>
        </w:rPr>
        <w:t xml:space="preserve">debe tenerse de presente que el artículo 2.1.4.3.2.1, adicionado al Decreto 1081 de 2015 por el Decreto 1600 de 2024, establece que las Entidades Estatales deben verificar situaciones de control, aplicar buenas prácticas de contratación transparente y fortalecer los análisis de mercado para la fijación objetiva de precios. En este sentido, las guías y manuales expedidos por Colombia Compra Eficiente dejan de ser simples documentos de orientación y se convierten en instrumentos de referencia </w:t>
      </w:r>
      <w:r w:rsidR="00F80774" w:rsidRPr="00620677">
        <w:rPr>
          <w:rFonts w:ascii="Verdana" w:hAnsi="Verdana" w:cs="Arial"/>
          <w:lang w:val="es-MX" w:eastAsia="x-none"/>
        </w:rPr>
        <w:t>de observancia</w:t>
      </w:r>
      <w:r w:rsidR="000747D7" w:rsidRPr="00620677">
        <w:rPr>
          <w:rFonts w:ascii="Verdana" w:hAnsi="Verdana" w:cs="Arial"/>
          <w:lang w:val="es-MX" w:eastAsia="x-none"/>
        </w:rPr>
        <w:t>, pues su contenido se alinea directamente con las exigencias normativas de prevención de riesgos y corrupción en los procesos contractuales.</w:t>
      </w:r>
    </w:p>
    <w:p w14:paraId="66C30656" w14:textId="3BFD3514" w:rsidR="00154A8E" w:rsidRPr="00F80774" w:rsidRDefault="00F80774" w:rsidP="00154A8E">
      <w:pPr>
        <w:spacing w:after="120" w:line="276" w:lineRule="auto"/>
        <w:ind w:firstLine="709"/>
        <w:jc w:val="both"/>
        <w:rPr>
          <w:rFonts w:ascii="Verdana" w:hAnsi="Verdana" w:cs="Arial"/>
          <w:lang w:eastAsia="x-none"/>
        </w:rPr>
      </w:pPr>
      <w:r w:rsidRPr="00F80774">
        <w:rPr>
          <w:rFonts w:ascii="Verdana" w:hAnsi="Verdana" w:cs="Arial"/>
          <w:lang w:eastAsia="x-none"/>
        </w:rPr>
        <w:t xml:space="preserve">La norma implica que las entidades no pueden alegar discrecionalidad absoluta en la forma de realizar estudios previos o análisis sectoriales, ya que deben </w:t>
      </w:r>
      <w:r w:rsidR="00B80803" w:rsidRPr="00620677">
        <w:rPr>
          <w:rFonts w:ascii="Verdana" w:hAnsi="Verdana" w:cs="Arial"/>
          <w:lang w:eastAsia="x-none"/>
        </w:rPr>
        <w:t>garantizar la incorporación de</w:t>
      </w:r>
      <w:r w:rsidRPr="00F80774">
        <w:rPr>
          <w:rFonts w:ascii="Verdana" w:hAnsi="Verdana" w:cs="Arial"/>
          <w:lang w:eastAsia="x-none"/>
        </w:rPr>
        <w:t xml:space="preserve"> los lineamientos metodológicos de Colombia Compra Eficiente como parte de su cumplimiento legal. Esto fortalece </w:t>
      </w:r>
      <w:r w:rsidRPr="00F80774">
        <w:rPr>
          <w:rFonts w:ascii="Verdana" w:hAnsi="Verdana" w:cs="Arial"/>
          <w:lang w:eastAsia="x-none"/>
        </w:rPr>
        <w:lastRenderedPageBreak/>
        <w:t>la estandarización de prácticas en contratación pública y asegura que las guías y manuales de la Agencia se utilicen como soporte técnico y jurídico para garantizar transparencia, objetividad en la fijación de precios y mayor seguridad en la planeación contractual. En consecuencia, el artículo 2.1.4.3.2.1 otorga a estos instrumentos un valor normativo indirecto, vinculando su aplicación al deber de las entidades de prevenir la corrupción y cumplir con estándares mínimos de calidad en la contratación.</w:t>
      </w:r>
    </w:p>
    <w:p w14:paraId="5682B48F" w14:textId="3565129A" w:rsidR="005C3210" w:rsidRPr="00620677" w:rsidRDefault="002019D9" w:rsidP="005C3210">
      <w:pPr>
        <w:snapToGrid w:val="0"/>
        <w:spacing w:before="120" w:after="120" w:line="276" w:lineRule="auto"/>
        <w:jc w:val="both"/>
        <w:rPr>
          <w:rFonts w:ascii="Verdana" w:hAnsi="Verdana" w:cs="Arial"/>
          <w:lang w:eastAsia="x-none"/>
        </w:rPr>
      </w:pPr>
      <w:proofErr w:type="spellStart"/>
      <w:r w:rsidRPr="00620677">
        <w:rPr>
          <w:rFonts w:ascii="Verdana" w:hAnsi="Verdana" w:cs="Arial"/>
          <w:lang w:eastAsia="x-none"/>
        </w:rPr>
        <w:t>ii</w:t>
      </w:r>
      <w:proofErr w:type="spellEnd"/>
      <w:r w:rsidRPr="00620677">
        <w:rPr>
          <w:rFonts w:ascii="Verdana" w:hAnsi="Verdana" w:cs="Arial"/>
          <w:lang w:eastAsia="x-none"/>
        </w:rPr>
        <w:t xml:space="preserve">) </w:t>
      </w:r>
      <w:r w:rsidR="009A237B" w:rsidRPr="00620677">
        <w:rPr>
          <w:rFonts w:ascii="Verdana" w:hAnsi="Verdana" w:cs="Arial"/>
          <w:lang w:eastAsia="x-none"/>
        </w:rPr>
        <w:t xml:space="preserve">Una vez precisadas las competencias de la Agencia, resulta pertinente abordar algunos aspectos relativos a los estudios del sector. En primer lugar, debe destacarse </w:t>
      </w:r>
      <w:r w:rsidR="00CE1C37" w:rsidRPr="00620677">
        <w:rPr>
          <w:rFonts w:ascii="Verdana" w:hAnsi="Verdana" w:cs="Arial"/>
          <w:lang w:eastAsia="x-none"/>
        </w:rPr>
        <w:t>l</w:t>
      </w:r>
      <w:r w:rsidR="005C3210" w:rsidRPr="00620677">
        <w:rPr>
          <w:rFonts w:ascii="Verdana" w:eastAsia="Calibri" w:hAnsi="Verdana" w:cs="Arial"/>
          <w:bCs/>
          <w:lang w:val="es-ES" w:eastAsia="es-MX"/>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4524F09F" w14:textId="77FB586A" w:rsidR="005C3210" w:rsidRPr="00620677" w:rsidRDefault="005C3210" w:rsidP="007311F5">
      <w:pPr>
        <w:snapToGrid w:val="0"/>
        <w:spacing w:before="120" w:after="240" w:line="276" w:lineRule="auto"/>
        <w:ind w:firstLine="709"/>
        <w:jc w:val="both"/>
        <w:rPr>
          <w:rFonts w:ascii="Verdana" w:eastAsia="Calibri" w:hAnsi="Verdana" w:cs="Arial"/>
          <w:bCs/>
          <w:lang w:val="es-ES" w:eastAsia="es-MX"/>
        </w:rPr>
      </w:pPr>
      <w:r w:rsidRPr="00620677">
        <w:rPr>
          <w:rFonts w:ascii="Verdana" w:eastAsia="Calibri" w:hAnsi="Verdana" w:cs="Arial"/>
          <w:bCs/>
          <w:lang w:val="es-ES" w:eastAsia="es-ES_tradnl"/>
        </w:rPr>
        <w:t xml:space="preserve">El Estatuto General de Contratación de la Administración Pública –en adelante EGCAP– contiene disposiciones que exigen a las Entidades Estatales el deber de realizar una planeación adecuada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52FEFE2"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r w:rsidRPr="00620677">
        <w:rPr>
          <w:rFonts w:ascii="Verdana" w:eastAsia="Calibri" w:hAnsi="Verdana" w:cs="Arial"/>
          <w:sz w:val="20"/>
          <w:szCs w:val="20"/>
          <w:lang w:val="es-ES"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0B128F11"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p>
    <w:p w14:paraId="62072A1C"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r w:rsidRPr="00620677">
        <w:rPr>
          <w:rFonts w:ascii="Verdana" w:eastAsia="Calibri" w:hAnsi="Verdana" w:cs="Arial"/>
          <w:sz w:val="20"/>
          <w:szCs w:val="20"/>
          <w:lang w:val="es-ES" w:eastAsia="es-ES_tradnl"/>
        </w:rPr>
        <w:t>[…]</w:t>
      </w:r>
    </w:p>
    <w:p w14:paraId="47E75115"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p>
    <w:p w14:paraId="101E7576"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r w:rsidRPr="00620677">
        <w:rPr>
          <w:rFonts w:ascii="Verdana" w:eastAsia="Calibri" w:hAnsi="Verdana" w:cs="Arial"/>
          <w:sz w:val="20"/>
          <w:szCs w:val="20"/>
          <w:lang w:val="es-ES" w:eastAsia="es-ES_tradnl"/>
        </w:rPr>
        <w:lastRenderedPageBreak/>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7B8CF9BE"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p>
    <w:p w14:paraId="6A55F1F8"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r w:rsidRPr="00620677">
        <w:rPr>
          <w:rFonts w:ascii="Verdana" w:eastAsia="Calibri" w:hAnsi="Verdana" w:cs="Arial"/>
          <w:sz w:val="20"/>
          <w:szCs w:val="20"/>
          <w:lang w:val="es-ES"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7E30B259" w14:textId="77777777" w:rsidR="005C3210" w:rsidRPr="00620677" w:rsidRDefault="005C3210" w:rsidP="005C3210">
      <w:pPr>
        <w:spacing w:after="0" w:line="240" w:lineRule="auto"/>
        <w:ind w:left="709" w:right="709"/>
        <w:contextualSpacing/>
        <w:jc w:val="both"/>
        <w:rPr>
          <w:rFonts w:ascii="Verdana" w:eastAsia="Calibri" w:hAnsi="Verdana" w:cs="Arial"/>
          <w:sz w:val="20"/>
          <w:szCs w:val="20"/>
          <w:lang w:val="es-ES" w:eastAsia="es-ES_tradnl"/>
        </w:rPr>
      </w:pPr>
    </w:p>
    <w:p w14:paraId="2D36F8D1" w14:textId="77777777" w:rsidR="005C3210" w:rsidRPr="00620677" w:rsidRDefault="005C3210" w:rsidP="005C3210">
      <w:pPr>
        <w:spacing w:after="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0F446C3" w14:textId="77777777" w:rsidR="005C3210" w:rsidRPr="00620677" w:rsidRDefault="005C3210" w:rsidP="005C3210">
      <w:pPr>
        <w:spacing w:after="0" w:line="240" w:lineRule="auto"/>
        <w:ind w:left="709" w:right="709"/>
        <w:contextualSpacing/>
        <w:jc w:val="both"/>
        <w:rPr>
          <w:rFonts w:ascii="Verdana" w:eastAsia="Times New Roman" w:hAnsi="Verdana" w:cs="Arial"/>
          <w:sz w:val="20"/>
          <w:szCs w:val="20"/>
          <w:lang w:val="es-ES" w:eastAsia="es-MX"/>
        </w:rPr>
      </w:pPr>
    </w:p>
    <w:p w14:paraId="264B82B4" w14:textId="77777777" w:rsidR="005C3210" w:rsidRPr="00620677" w:rsidRDefault="005C3210" w:rsidP="005C3210">
      <w:pPr>
        <w:spacing w:after="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39E20164" w14:textId="77777777" w:rsidR="005C3210" w:rsidRPr="00620677" w:rsidRDefault="005C3210" w:rsidP="005C3210">
      <w:pPr>
        <w:spacing w:after="0" w:line="276" w:lineRule="auto"/>
        <w:jc w:val="both"/>
        <w:rPr>
          <w:rFonts w:ascii="Verdana" w:eastAsia="Times New Roman" w:hAnsi="Verdana" w:cs="Arial"/>
          <w:lang w:val="es-ES" w:eastAsia="es-MX"/>
        </w:rPr>
      </w:pPr>
    </w:p>
    <w:p w14:paraId="2E5C368A" w14:textId="77777777" w:rsidR="005C3210" w:rsidRPr="00620677" w:rsidRDefault="005C3210" w:rsidP="005C3210">
      <w:pPr>
        <w:spacing w:after="120" w:line="276" w:lineRule="auto"/>
        <w:ind w:firstLine="709"/>
        <w:jc w:val="both"/>
        <w:rPr>
          <w:rFonts w:ascii="Verdana" w:eastAsia="Times New Roman" w:hAnsi="Verdana" w:cs="Arial"/>
          <w:lang w:val="es-ES" w:eastAsia="es-MX"/>
        </w:rPr>
      </w:pPr>
      <w:r w:rsidRPr="00620677">
        <w:rPr>
          <w:rFonts w:ascii="Verdana" w:eastAsia="Times New Roman" w:hAnsi="Verdana" w:cs="Arial"/>
          <w:lang w:val="es-ES" w:eastAsia="es-MX"/>
        </w:rPr>
        <w:t>Lo anterior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620677">
        <w:rPr>
          <w:rFonts w:ascii="Verdana" w:hAnsi="Verdana"/>
          <w:vertAlign w:val="superscript"/>
          <w:lang w:val="es-ES" w:eastAsia="es-MX"/>
        </w:rPr>
        <w:footnoteReference w:id="4"/>
      </w:r>
      <w:r w:rsidRPr="00620677">
        <w:rPr>
          <w:rFonts w:ascii="Verdana" w:eastAsia="Times New Roman" w:hAnsi="Verdana" w:cs="Arial"/>
          <w:lang w:val="es-ES" w:eastAsia="es-MX"/>
        </w:rPr>
        <w:t xml:space="preserve">. </w:t>
      </w:r>
    </w:p>
    <w:p w14:paraId="22A5247A" w14:textId="77777777" w:rsidR="005C3210" w:rsidRPr="00620677" w:rsidRDefault="005C3210" w:rsidP="005C3210">
      <w:pPr>
        <w:spacing w:after="0" w:line="276" w:lineRule="auto"/>
        <w:ind w:firstLine="708"/>
        <w:contextualSpacing/>
        <w:jc w:val="both"/>
        <w:rPr>
          <w:rFonts w:ascii="Verdana" w:eastAsia="Times New Roman" w:hAnsi="Verdana" w:cs="Arial"/>
          <w:lang w:val="es-ES" w:eastAsia="es-MX"/>
        </w:rPr>
      </w:pPr>
      <w:r w:rsidRPr="00620677">
        <w:rPr>
          <w:rFonts w:ascii="Verdana" w:eastAsia="Times New Roman" w:hAnsi="Verdana" w:cs="Arial"/>
          <w:lang w:val="es-ES" w:eastAsia="es-MX"/>
        </w:rPr>
        <w:t>En congruencia con el artículo 25 de la Ley 80 de 1993, el artículo 2.2.1.1.2.1.1 del Decreto 1082 de 2015 dispone el contenido mínimo de los estudios y documentos previos:</w:t>
      </w:r>
    </w:p>
    <w:p w14:paraId="347515B7" w14:textId="77777777" w:rsidR="005C3210" w:rsidRPr="00620677" w:rsidRDefault="005C3210" w:rsidP="005C3210">
      <w:pPr>
        <w:spacing w:after="0" w:line="276" w:lineRule="auto"/>
        <w:rPr>
          <w:rFonts w:ascii="Verdana" w:eastAsia="Times New Roman" w:hAnsi="Verdana" w:cs="Arial"/>
          <w:lang w:val="es-ES" w:eastAsia="es-CO"/>
        </w:rPr>
      </w:pPr>
    </w:p>
    <w:p w14:paraId="7F913943" w14:textId="77777777" w:rsidR="001B268E"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lastRenderedPageBreak/>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42064CA0" w14:textId="77777777" w:rsidR="001B268E" w:rsidRPr="00620677" w:rsidRDefault="001B268E" w:rsidP="001B268E">
      <w:pPr>
        <w:spacing w:after="120" w:line="240" w:lineRule="auto"/>
        <w:ind w:left="709" w:right="709"/>
        <w:contextualSpacing/>
        <w:jc w:val="both"/>
        <w:rPr>
          <w:rFonts w:ascii="Verdana" w:eastAsia="Times New Roman" w:hAnsi="Verdana" w:cs="Arial"/>
          <w:sz w:val="20"/>
          <w:szCs w:val="20"/>
          <w:lang w:val="es-ES" w:eastAsia="es-MX"/>
        </w:rPr>
      </w:pPr>
    </w:p>
    <w:p w14:paraId="6A7EAA9A" w14:textId="014EAB1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1. La descripción de la necesidad que la Entidad Estatal pretende satisfacer con el Proceso de Contratación. </w:t>
      </w:r>
      <w:r w:rsidRPr="00620677">
        <w:rPr>
          <w:rFonts w:ascii="Arial" w:eastAsia="Times New Roman" w:hAnsi="Arial" w:cs="Arial"/>
          <w:sz w:val="20"/>
          <w:szCs w:val="20"/>
          <w:lang w:val="es-ES" w:eastAsia="es-MX"/>
        </w:rPr>
        <w:t>​</w:t>
      </w:r>
    </w:p>
    <w:p w14:paraId="1863BE66"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458C0A79"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2. El objeto a contratar, con sus especificaciones, las autorizaciones, permisos y licencias requeridos para su ejecución, y cuando el contrato incluye diseño y construcción, los documentos técnicos para el desarrollo del proyecto. </w:t>
      </w:r>
    </w:p>
    <w:p w14:paraId="287A9F5F"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0340CA12"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3. La modalidad de selección del contratista y su justificación, incluyendo los fundamentos jurídicos. </w:t>
      </w:r>
    </w:p>
    <w:p w14:paraId="6794BDBF"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504044D8"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C9DF7FF"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633FD032"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5. Los criterios para seleccionar la oferta más favorable. </w:t>
      </w:r>
    </w:p>
    <w:p w14:paraId="2222F0D9"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317E70C7"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6. El análisis de Riesgo y la forma de mitigarlo. </w:t>
      </w:r>
    </w:p>
    <w:p w14:paraId="5AB941C2"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101C838D"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7. Las garantías que la Entidad Estatal contempla exigir en el proceso de contratación. </w:t>
      </w:r>
    </w:p>
    <w:p w14:paraId="30EF640F"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6ADE50E3"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 xml:space="preserve">8. La indicación de si el proceso de contratación está cobijado por un acuerdo comercial. </w:t>
      </w:r>
    </w:p>
    <w:p w14:paraId="6DD21291"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p>
    <w:p w14:paraId="2F1F397E" w14:textId="77777777" w:rsidR="005C3210" w:rsidRPr="00620677" w:rsidRDefault="005C3210" w:rsidP="001B268E">
      <w:pPr>
        <w:spacing w:after="120" w:line="240" w:lineRule="auto"/>
        <w:ind w:left="709" w:right="709"/>
        <w:contextualSpacing/>
        <w:jc w:val="both"/>
        <w:rPr>
          <w:rFonts w:ascii="Verdana" w:eastAsia="Times New Roman" w:hAnsi="Verdana" w:cs="Arial"/>
          <w:sz w:val="20"/>
          <w:szCs w:val="20"/>
          <w:lang w:val="es-ES" w:eastAsia="es-MX"/>
        </w:rPr>
      </w:pPr>
      <w:r w:rsidRPr="00620677">
        <w:rPr>
          <w:rFonts w:ascii="Verdana" w:eastAsia="Times New Roman" w:hAnsi="Verdana" w:cs="Arial"/>
          <w:sz w:val="20"/>
          <w:szCs w:val="20"/>
          <w:lang w:val="es-ES" w:eastAsia="es-MX"/>
        </w:rPr>
        <w:t>El presente artículo no es aplicable a la contratación por mínima cuantía”.</w:t>
      </w:r>
    </w:p>
    <w:p w14:paraId="5BED5124" w14:textId="77777777" w:rsidR="005C3210" w:rsidRPr="00620677" w:rsidRDefault="005C3210" w:rsidP="005C3210">
      <w:pPr>
        <w:widowControl w:val="0"/>
        <w:tabs>
          <w:tab w:val="left" w:pos="1305"/>
        </w:tabs>
        <w:autoSpaceDE w:val="0"/>
        <w:autoSpaceDN w:val="0"/>
        <w:spacing w:after="0" w:line="276" w:lineRule="auto"/>
        <w:ind w:left="828" w:right="822"/>
        <w:rPr>
          <w:rFonts w:ascii="Verdana" w:eastAsia="Calibri" w:hAnsi="Verdana" w:cs="Arial"/>
          <w:lang w:val="es-ES" w:eastAsia="es-ES_tradnl"/>
        </w:rPr>
      </w:pPr>
    </w:p>
    <w:p w14:paraId="3A4EBF06"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bookmarkStart w:id="2" w:name="_Hlk54011351"/>
      <w:r w:rsidRPr="00620677">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w:t>
      </w:r>
      <w:proofErr w:type="spellStart"/>
      <w:r w:rsidRPr="00620677">
        <w:rPr>
          <w:rFonts w:ascii="Verdana" w:eastAsia="Times New Roman" w:hAnsi="Verdana" w:cs="Arial"/>
          <w:lang w:val="es-ES" w:eastAsia="es-MX"/>
        </w:rPr>
        <w:t>ii</w:t>
      </w:r>
      <w:proofErr w:type="spellEnd"/>
      <w:r w:rsidRPr="00620677">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00620677">
        <w:rPr>
          <w:rFonts w:ascii="Verdana" w:eastAsia="Times New Roman" w:hAnsi="Verdana" w:cs="Arial"/>
          <w:lang w:val="es-ES" w:eastAsia="es-MX"/>
        </w:rPr>
        <w:t>iii</w:t>
      </w:r>
      <w:proofErr w:type="spellEnd"/>
      <w:r w:rsidRPr="00620677">
        <w:rPr>
          <w:rFonts w:ascii="Verdana" w:eastAsia="Times New Roman" w:hAnsi="Verdana" w:cs="Arial"/>
          <w:lang w:val="es-ES" w:eastAsia="es-MX"/>
        </w:rPr>
        <w:t xml:space="preserve">) las calidades, especificaciones, cantidades y demás características que puedan o deban reunir los bienes, las obras o los servicios cuya contratación se haya determinado necesaria, </w:t>
      </w:r>
      <w:proofErr w:type="spellStart"/>
      <w:r w:rsidRPr="00620677">
        <w:rPr>
          <w:rFonts w:ascii="Verdana" w:eastAsia="Times New Roman" w:hAnsi="Verdana" w:cs="Arial"/>
          <w:lang w:val="es-ES" w:eastAsia="es-MX"/>
        </w:rPr>
        <w:t>iv</w:t>
      </w:r>
      <w:proofErr w:type="spellEnd"/>
      <w:r w:rsidRPr="00620677">
        <w:rPr>
          <w:rFonts w:ascii="Verdana" w:eastAsia="Times New Roman" w:hAnsi="Verdana" w:cs="Arial"/>
          <w:lang w:val="es-ES" w:eastAsia="es-MX"/>
        </w:rPr>
        <w:t xml:space="preserve">) los costos, valores y alternativas que, a </w:t>
      </w:r>
      <w:r w:rsidRPr="00620677">
        <w:rPr>
          <w:rFonts w:ascii="Verdana" w:eastAsia="Times New Roman" w:hAnsi="Verdana" w:cs="Arial"/>
          <w:lang w:val="es-ES" w:eastAsia="es-MX"/>
        </w:rPr>
        <w:lastRenderedPageBreak/>
        <w:t xml:space="preserve">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620677">
        <w:rPr>
          <w:rFonts w:ascii="Verdana" w:eastAsia="Times New Roman" w:hAnsi="Verdana" w:cs="Arial"/>
          <w:lang w:val="es-ES" w:eastAsia="es-MX"/>
        </w:rPr>
        <w:t>vii</w:t>
      </w:r>
      <w:proofErr w:type="spellEnd"/>
      <w:r w:rsidRPr="00620677">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bookmarkEnd w:id="2"/>
      <w:r w:rsidRPr="00620677">
        <w:rPr>
          <w:rFonts w:ascii="Verdana" w:eastAsia="Calibri" w:hAnsi="Verdana" w:cs="Arial"/>
          <w:lang w:val="es-ES" w:eastAsia="es-MX"/>
        </w:rPr>
        <w:t xml:space="preserve">permite que los contratos resultantes de la planeación cuenten con el sustento técnico, económico y jurídico que incidirá </w:t>
      </w:r>
      <w:r w:rsidRPr="00620677">
        <w:rPr>
          <w:rFonts w:ascii="Verdana" w:eastAsia="Times New Roman" w:hAnsi="Verdana" w:cs="Arial"/>
          <w:lang w:val="es-ES" w:eastAsia="es-MX"/>
        </w:rPr>
        <w:t>en una adecuada ejecución.</w:t>
      </w:r>
    </w:p>
    <w:p w14:paraId="7A032710"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r w:rsidRPr="00620677">
        <w:rPr>
          <w:rFonts w:ascii="Verdana" w:eastAsia="Times New Roman" w:hAnsi="Verdana" w:cs="Arial"/>
          <w:lang w:val="es-ES" w:eastAsia="es-MX"/>
        </w:rPr>
        <w:t>Más allá del cumplimiento de la normativa, “los estudios y documentos previos son el soporte para elaborar el proyecto de pliegos, los pliegos de condiciones, y el contrato”</w:t>
      </w:r>
      <w:r w:rsidRPr="00620677">
        <w:rPr>
          <w:rFonts w:ascii="Verdana" w:hAnsi="Verdana"/>
          <w:vertAlign w:val="superscript"/>
          <w:lang w:val="es-ES" w:eastAsia="es-MX"/>
        </w:rPr>
        <w:footnoteReference w:id="5"/>
      </w:r>
      <w:r w:rsidRPr="00620677">
        <w:rPr>
          <w:rFonts w:ascii="Verdana" w:eastAsia="Times New Roman" w:hAnsi="Verdana" w:cs="Arial"/>
          <w:lang w:val="es-ES"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4" w:name="_Hlk54011438"/>
      <w:r w:rsidRPr="00620677">
        <w:rPr>
          <w:rFonts w:ascii="Verdana" w:eastAsia="Times New Roman" w:hAnsi="Verdana" w:cs="Arial"/>
          <w:lang w:val="es-ES"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620677">
        <w:rPr>
          <w:rFonts w:ascii="Verdana" w:hAnsi="Verdana"/>
          <w:vertAlign w:val="superscript"/>
          <w:lang w:val="es-ES" w:eastAsia="es-MX"/>
        </w:rPr>
        <w:footnoteReference w:id="6"/>
      </w:r>
      <w:r w:rsidRPr="00620677">
        <w:rPr>
          <w:rFonts w:ascii="Verdana" w:eastAsia="Times New Roman" w:hAnsi="Verdana" w:cs="Arial"/>
          <w:lang w:val="es-ES" w:eastAsia="es-MX"/>
        </w:rPr>
        <w:t>.</w:t>
      </w:r>
    </w:p>
    <w:p w14:paraId="65FE8181"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r w:rsidRPr="0062067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620677">
        <w:rPr>
          <w:rFonts w:ascii="Verdana" w:eastAsia="Times New Roman" w:hAnsi="Verdana" w:cs="Arial"/>
          <w:szCs w:val="24"/>
          <w:lang w:val="es-ES" w:eastAsia="es-ES_tradnl"/>
        </w:rPr>
        <w:lastRenderedPageBreak/>
        <w:t>ii</w:t>
      </w:r>
      <w:proofErr w:type="spellEnd"/>
      <w:r w:rsidRPr="00620677">
        <w:rPr>
          <w:rFonts w:ascii="Verdana" w:eastAsia="Times New Roman" w:hAnsi="Verdana" w:cs="Arial"/>
          <w:szCs w:val="24"/>
          <w:lang w:val="es-ES" w:eastAsia="es-ES_tradnl"/>
        </w:rPr>
        <w:t xml:space="preserve">) previo a la firma del contrato en el caso en que la modalidad de selección sea contratación directa. </w:t>
      </w:r>
    </w:p>
    <w:p w14:paraId="6FBB12E5"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r w:rsidRPr="00620677">
        <w:rPr>
          <w:rFonts w:ascii="Verdana" w:eastAsia="Times New Roman" w:hAnsi="Verdana" w:cs="Arial"/>
          <w:lang w:val="es-ES"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620677">
        <w:rPr>
          <w:rFonts w:ascii="Verdana" w:eastAsia="Calibri" w:hAnsi="Verdana" w:cs="Arial"/>
          <w:bCs/>
          <w:lang w:val="es-ES" w:eastAsia="es-MX"/>
        </w:rPr>
        <w:t xml:space="preserve">Para estos efectos resulta relevante </w:t>
      </w:r>
      <w:bookmarkStart w:id="5" w:name="_Hlk139465916"/>
      <w:r w:rsidRPr="00620677">
        <w:rPr>
          <w:rFonts w:ascii="Verdana" w:eastAsia="Calibri" w:hAnsi="Verdana" w:cs="Arial"/>
          <w:bCs/>
          <w:lang w:val="es-ES" w:eastAsia="es-MX"/>
        </w:rPr>
        <w:t xml:space="preserve">la información recolectada en el marco del </w:t>
      </w:r>
      <w:r w:rsidRPr="00620677">
        <w:rPr>
          <w:rFonts w:ascii="Verdana" w:eastAsia="Calibri" w:hAnsi="Verdana" w:cs="Arial"/>
          <w:bCs/>
          <w:i/>
          <w:iCs/>
          <w:lang w:val="es-ES" w:eastAsia="es-MX"/>
        </w:rPr>
        <w:t>estudio del mercado</w:t>
      </w:r>
      <w:r w:rsidRPr="00620677">
        <w:rPr>
          <w:rFonts w:ascii="Verdana" w:eastAsia="Calibri" w:hAnsi="Verdana" w:cs="Arial"/>
          <w:bCs/>
          <w:lang w:val="es-ES"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w:t>
      </w:r>
    </w:p>
    <w:p w14:paraId="76D0BDA5"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r w:rsidRPr="00620677">
        <w:rPr>
          <w:rFonts w:ascii="Verdana" w:eastAsia="Calibri" w:hAnsi="Verdana" w:cs="Arial"/>
          <w:bCs/>
          <w:lang w:val="es-ES" w:eastAsia="es-MX"/>
        </w:rPr>
        <w:t xml:space="preserve">En este sentido, el análisis del sector de las perspectivas legal, comercial, financiera, organizacional, técnica, y de análisis de Riesgo, al que se refiere el artículo </w:t>
      </w:r>
      <w:bookmarkStart w:id="6" w:name="_Hlk36117416"/>
      <w:r w:rsidRPr="00620677">
        <w:rPr>
          <w:rFonts w:ascii="Verdana" w:eastAsia="Calibri" w:hAnsi="Verdana" w:cs="Arial"/>
          <w:bCs/>
          <w:lang w:val="es-ES" w:eastAsia="es-MX"/>
        </w:rPr>
        <w:t>2.2.1.1.1.6.1 del Decreto 1082 de 2015</w:t>
      </w:r>
      <w:bookmarkEnd w:id="6"/>
      <w:r w:rsidRPr="00620677">
        <w:rPr>
          <w:rFonts w:ascii="Verdana" w:eastAsia="Calibri" w:hAnsi="Verdana" w:cs="Arial"/>
          <w:bCs/>
          <w:lang w:val="es-ES" w:eastAsia="es-MX"/>
        </w:rPr>
        <w:t>, constituye un insumo importante para determinar factores que pueden determinar el valor del contrato y orientar a la entidad en torno al monto de la disponibilidad presupuestal que requiere para realizar la contratación</w:t>
      </w:r>
      <w:bookmarkEnd w:id="5"/>
      <w:r w:rsidRPr="00620677">
        <w:rPr>
          <w:rFonts w:ascii="Verdana" w:eastAsia="Calibri" w:hAnsi="Verdana"/>
          <w:bCs/>
          <w:vertAlign w:val="superscript"/>
          <w:lang w:val="es-ES" w:eastAsia="es-MX"/>
        </w:rPr>
        <w:footnoteReference w:id="7"/>
      </w:r>
      <w:r w:rsidRPr="00620677">
        <w:rPr>
          <w:rFonts w:ascii="Verdana" w:eastAsia="Calibri" w:hAnsi="Verdana" w:cs="Arial"/>
          <w:bCs/>
          <w:lang w:val="es-ES" w:eastAsia="es-MX"/>
        </w:rPr>
        <w:t xml:space="preserve">. </w:t>
      </w:r>
    </w:p>
    <w:p w14:paraId="410856DB" w14:textId="77777777" w:rsidR="005C3210" w:rsidRPr="00620677" w:rsidRDefault="005C3210" w:rsidP="005C3210">
      <w:pPr>
        <w:snapToGrid w:val="0"/>
        <w:spacing w:before="120" w:after="120" w:line="276" w:lineRule="auto"/>
        <w:ind w:firstLine="709"/>
        <w:jc w:val="both"/>
        <w:rPr>
          <w:rFonts w:ascii="Verdana" w:eastAsia="Times New Roman" w:hAnsi="Verdana" w:cs="Arial"/>
          <w:lang w:val="es-ES" w:eastAsia="es-MX"/>
        </w:rPr>
      </w:pPr>
      <w:r w:rsidRPr="00620677">
        <w:rPr>
          <w:rFonts w:ascii="Verdana" w:eastAsia="Calibri" w:hAnsi="Verdana" w:cs="Arial"/>
          <w:lang w:val="es-ES" w:eastAsia="es-MX"/>
        </w:rPr>
        <w:t xml:space="preserve">De acuerdo con la norma citada, </w:t>
      </w:r>
      <w:bookmarkStart w:id="7" w:name="_Hlk36140682"/>
      <w:r w:rsidRPr="00620677">
        <w:rPr>
          <w:rFonts w:ascii="Verdana" w:eastAsia="Calibri" w:hAnsi="Verdana" w:cs="Arial"/>
          <w:lang w:val="es-ES" w:eastAsia="es-MX"/>
        </w:rPr>
        <w:t xml:space="preserve">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w:t>
      </w:r>
      <w:r w:rsidRPr="00620677">
        <w:rPr>
          <w:rFonts w:ascii="Verdana" w:eastAsia="Calibri" w:hAnsi="Verdana" w:cs="Arial"/>
          <w:lang w:val="es-ES" w:eastAsia="es-MX"/>
        </w:rPr>
        <w:lastRenderedPageBreak/>
        <w:t>pretende que la Entidad Estatal entienda cómo están organizados internamente los posibles oferentes y de qué manera realizan sus negocios y operaciones.</w:t>
      </w:r>
    </w:p>
    <w:p w14:paraId="77F8E965" w14:textId="77777777" w:rsidR="005C3210" w:rsidRPr="00620677" w:rsidRDefault="005C3210" w:rsidP="005C3210">
      <w:pPr>
        <w:spacing w:after="120" w:line="276" w:lineRule="auto"/>
        <w:ind w:firstLine="708"/>
        <w:jc w:val="both"/>
        <w:rPr>
          <w:rFonts w:ascii="Verdana" w:eastAsia="Calibri" w:hAnsi="Verdana" w:cs="Arial"/>
          <w:bCs/>
          <w:lang w:val="es-ES" w:eastAsia="es-MX"/>
        </w:rPr>
      </w:pPr>
      <w:r w:rsidRPr="00620677">
        <w:rPr>
          <w:rFonts w:ascii="Verdana" w:eastAsia="Calibri" w:hAnsi="Verdana" w:cs="Arial"/>
          <w:bCs/>
          <w:lang w:val="es-ES"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231EBFBB" w14:textId="77777777" w:rsidR="005C3210" w:rsidRPr="00620677" w:rsidRDefault="005C3210" w:rsidP="005C3210">
      <w:pPr>
        <w:spacing w:after="120" w:line="276" w:lineRule="auto"/>
        <w:ind w:firstLine="708"/>
        <w:jc w:val="both"/>
        <w:rPr>
          <w:rFonts w:ascii="Verdana" w:eastAsia="Calibri" w:hAnsi="Verdana" w:cs="Arial"/>
          <w:bCs/>
          <w:lang w:val="es-ES" w:eastAsia="es-MX"/>
        </w:rPr>
      </w:pPr>
      <w:r w:rsidRPr="00620677">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Además,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6DAE1C1B" w14:textId="77777777" w:rsidR="005C3210" w:rsidRPr="00620677" w:rsidRDefault="005C3210" w:rsidP="005C3210">
      <w:pPr>
        <w:spacing w:after="120" w:line="276" w:lineRule="auto"/>
        <w:ind w:firstLine="708"/>
        <w:jc w:val="both"/>
        <w:rPr>
          <w:rFonts w:ascii="Verdana" w:eastAsia="Calibri" w:hAnsi="Verdana" w:cs="Arial"/>
          <w:bCs/>
          <w:lang w:val="es-ES" w:eastAsia="es-MX"/>
        </w:rPr>
      </w:pPr>
      <w:r w:rsidRPr="00620677">
        <w:rPr>
          <w:rFonts w:ascii="Verdana" w:eastAsia="Calibri" w:hAnsi="Verdana" w:cs="Arial"/>
          <w:bCs/>
          <w:lang w:val="es-ES"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620677">
        <w:rPr>
          <w:rFonts w:ascii="Verdana" w:eastAsia="Times New Roman" w:hAnsi="Verdana" w:cs="Arial"/>
          <w:lang w:val="es-ES" w:eastAsia="es-CO"/>
        </w:rPr>
        <w:t xml:space="preserve">son autónomas para estructurarlo, para lo cual deberán cumplir lo dispuesto en el artículo </w:t>
      </w:r>
      <w:r w:rsidRPr="00620677">
        <w:rPr>
          <w:rFonts w:ascii="Verdana" w:eastAsia="Calibri" w:hAnsi="Verdana" w:cs="Arial"/>
          <w:bCs/>
          <w:lang w:val="es-ES" w:eastAsia="es-MX"/>
        </w:rPr>
        <w:t xml:space="preserve">2.2.1.1.1.6.1 del Decreto 1082 de 2015 y realizar un análisis integral de planeación que </w:t>
      </w:r>
      <w:r w:rsidRPr="00620677">
        <w:rPr>
          <w:rFonts w:ascii="Verdana" w:eastAsia="Times New Roman" w:hAnsi="Verdana" w:cs="Arial"/>
          <w:lang w:val="es-ES" w:eastAsia="es-MX"/>
        </w:rPr>
        <w:t xml:space="preserve">sirva de sustento a la decisión de </w:t>
      </w:r>
      <w:r w:rsidRPr="00620677">
        <w:rPr>
          <w:rFonts w:ascii="Verdana" w:eastAsia="Times New Roman" w:hAnsi="Verdana" w:cs="Arial"/>
          <w:bCs/>
          <w:lang w:val="es-ES" w:eastAsia="es-MX"/>
        </w:rPr>
        <w:t>realizar un Proceso de Contratación.</w:t>
      </w:r>
    </w:p>
    <w:p w14:paraId="4B793A55" w14:textId="0983A2E8" w:rsidR="005C3210" w:rsidRPr="00620677" w:rsidRDefault="00F0531D" w:rsidP="005C3210">
      <w:pPr>
        <w:spacing w:after="120" w:line="276" w:lineRule="auto"/>
        <w:ind w:firstLine="708"/>
        <w:jc w:val="both"/>
        <w:rPr>
          <w:rFonts w:ascii="Verdana" w:eastAsia="Calibri" w:hAnsi="Verdana" w:cs="Arial"/>
          <w:bCs/>
          <w:szCs w:val="24"/>
          <w:lang w:val="es-ES" w:eastAsia="es-ES_tradnl"/>
        </w:rPr>
      </w:pPr>
      <w:bookmarkStart w:id="8" w:name="_Hlk139466113"/>
      <w:bookmarkEnd w:id="7"/>
      <w:r w:rsidRPr="00620677">
        <w:rPr>
          <w:rFonts w:ascii="Verdana" w:eastAsia="Calibri" w:hAnsi="Verdana" w:cs="Arial"/>
          <w:bCs/>
          <w:lang w:val="es-ES" w:eastAsia="es-MX"/>
        </w:rPr>
        <w:t>Sobre el particular l</w:t>
      </w:r>
      <w:r w:rsidR="005C3210" w:rsidRPr="00620677">
        <w:rPr>
          <w:rFonts w:ascii="Verdana" w:eastAsia="Calibri" w:hAnsi="Verdana" w:cs="Arial"/>
          <w:bCs/>
          <w:lang w:val="es-ES" w:eastAsia="es-MX"/>
        </w:rPr>
        <w:t xml:space="preserve">a Agencia Nacional de Contratación Pública – Colombia Compra Eficiente dispone de una “Guía para la Elaboración de Estudios del </w:t>
      </w:r>
      <w:r w:rsidR="005C3210" w:rsidRPr="00620677">
        <w:rPr>
          <w:rFonts w:ascii="Verdana" w:eastAsia="Calibri" w:hAnsi="Verdana" w:cs="Arial"/>
          <w:bCs/>
          <w:lang w:val="es-ES" w:eastAsia="es-MX"/>
        </w:rPr>
        <w:lastRenderedPageBreak/>
        <w:t>Sector”</w:t>
      </w:r>
      <w:r w:rsidR="005C3210" w:rsidRPr="00620677">
        <w:rPr>
          <w:rFonts w:ascii="Verdana" w:eastAsia="Times New Roman" w:hAnsi="Verdana" w:cs="Arial"/>
          <w:vertAlign w:val="superscript"/>
          <w:lang w:val="es-ES" w:eastAsia="es-CO"/>
        </w:rPr>
        <w:t xml:space="preserve"> </w:t>
      </w:r>
      <w:r w:rsidR="005C3210" w:rsidRPr="00620677">
        <w:rPr>
          <w:rFonts w:ascii="Verdana" w:eastAsia="Times New Roman" w:hAnsi="Verdana"/>
          <w:vertAlign w:val="superscript"/>
          <w:lang w:val="es-ES" w:eastAsia="es-CO"/>
        </w:rPr>
        <w:footnoteReference w:id="8"/>
      </w:r>
      <w:r w:rsidR="005C3210" w:rsidRPr="00620677">
        <w:rPr>
          <w:rFonts w:ascii="Verdana" w:eastAsia="Calibri" w:hAnsi="Verdana" w:cs="Arial"/>
          <w:bCs/>
          <w:lang w:val="es-ES"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8"/>
      <w:r w:rsidR="005C3210" w:rsidRPr="00620677">
        <w:rPr>
          <w:rFonts w:ascii="Verdana" w:eastAsia="Calibri" w:hAnsi="Verdana" w:cs="Arial"/>
          <w:bCs/>
          <w:lang w:val="es-ES" w:eastAsia="es-MX"/>
        </w:rPr>
        <w:t xml:space="preserve"> </w:t>
      </w:r>
      <w:r w:rsidR="005C3210" w:rsidRPr="00620677">
        <w:rPr>
          <w:rFonts w:ascii="Verdana" w:eastAsia="Calibri" w:hAnsi="Verdana" w:cs="Arial"/>
          <w:bCs/>
          <w:szCs w:val="24"/>
          <w:lang w:val="es-ES" w:eastAsia="es-ES_tradnl"/>
        </w:rPr>
        <w:t xml:space="preserve">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w:t>
      </w:r>
    </w:p>
    <w:p w14:paraId="04BFB8E8" w14:textId="77777777" w:rsidR="005C3210" w:rsidRPr="00620677" w:rsidRDefault="005C3210" w:rsidP="005C3210">
      <w:pPr>
        <w:spacing w:after="120" w:line="276" w:lineRule="auto"/>
        <w:ind w:firstLine="708"/>
        <w:jc w:val="both"/>
        <w:rPr>
          <w:rFonts w:ascii="Verdana" w:eastAsia="Calibri" w:hAnsi="Verdana" w:cs="Arial"/>
          <w:lang w:val="es-ES" w:eastAsia="es-MX"/>
        </w:rPr>
      </w:pPr>
      <w:r w:rsidRPr="00620677">
        <w:rPr>
          <w:rFonts w:ascii="Verdana" w:eastAsia="Calibri" w:hAnsi="Verdana" w:cs="Arial"/>
          <w:lang w:val="es-ES" w:eastAsia="es-MX"/>
        </w:rPr>
        <w:t xml:space="preserve">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r w:rsidRPr="00620677">
        <w:rPr>
          <w:rFonts w:ascii="Verdana" w:eastAsia="Calibri" w:hAnsi="Verdana" w:cs="Arial"/>
          <w:bCs/>
          <w:szCs w:val="24"/>
          <w:lang w:val="es-ES" w:eastAsia="es-ES_tradnl"/>
        </w:rPr>
        <w:t xml:space="preserve">Así mismo, </w:t>
      </w:r>
      <w:bookmarkStart w:id="9" w:name="_Hlk139466181"/>
      <w:r w:rsidRPr="00620677">
        <w:rPr>
          <w:rFonts w:ascii="Verdana" w:eastAsia="Calibri" w:hAnsi="Verdana" w:cs="Arial"/>
          <w:bCs/>
          <w:szCs w:val="24"/>
          <w:lang w:val="es-ES" w:eastAsia="es-ES_tradnl"/>
        </w:rPr>
        <w:t xml:space="preserve">la Guía indica que, como parte de la estructura del estudio del sector, se debe realizar un análisis del comportamiento del gasto histórico, el estudio de la oferta y el estudio del mercado. </w:t>
      </w:r>
      <w:bookmarkStart w:id="10" w:name="_Hlk78204338"/>
      <w:bookmarkEnd w:id="9"/>
      <w:r w:rsidRPr="00620677">
        <w:rPr>
          <w:rFonts w:ascii="Verdana" w:eastAsia="Calibri" w:hAnsi="Verdana" w:cs="Arial"/>
          <w:lang w:val="es-ES" w:eastAsia="es-ES_tradnl"/>
        </w:rPr>
        <w:t>D</w:t>
      </w:r>
      <w:r w:rsidRPr="00620677">
        <w:rPr>
          <w:rFonts w:ascii="Verdana" w:hAnsi="Verdana"/>
          <w:lang w:val="es-ES" w:eastAsia="es-ES_tradnl"/>
        </w:rPr>
        <w:t>e forma puntual, indica que “la Entidad Estatal debe identificar los proveedores en el mercado del bien o servicio, así como sus principales características como tamaño empresarial, ubicación, esquemas de producción y comportamiento financiero”.</w:t>
      </w:r>
      <w:bookmarkEnd w:id="10"/>
      <w:r w:rsidRPr="00620677">
        <w:rPr>
          <w:rFonts w:ascii="Verdana" w:hAnsi="Verdana"/>
          <w:lang w:val="es-ES" w:eastAsia="es-ES_tradnl"/>
        </w:rPr>
        <w:t xml:space="preserve"> </w:t>
      </w:r>
    </w:p>
    <w:p w14:paraId="4A255095" w14:textId="77777777" w:rsidR="005C3210" w:rsidRPr="00620677" w:rsidRDefault="005C3210" w:rsidP="005C3210">
      <w:pPr>
        <w:spacing w:after="120" w:line="276" w:lineRule="auto"/>
        <w:ind w:firstLine="708"/>
        <w:jc w:val="both"/>
        <w:rPr>
          <w:rFonts w:ascii="Verdana" w:eastAsia="Calibri" w:hAnsi="Verdana" w:cs="Arial"/>
          <w:szCs w:val="24"/>
          <w:lang w:val="es-ES" w:eastAsia="es-ES_tradnl"/>
        </w:rPr>
      </w:pPr>
      <w:r w:rsidRPr="00620677">
        <w:rPr>
          <w:rFonts w:ascii="Verdana" w:eastAsia="Calibri" w:hAnsi="Verdana" w:cs="Arial"/>
          <w:szCs w:val="24"/>
          <w:lang w:val="es-ES" w:eastAsia="es-ES_tradnl"/>
        </w:rPr>
        <w:t>En ese orden de ideas,</w:t>
      </w:r>
      <w:r w:rsidRPr="00620677">
        <w:rPr>
          <w:rFonts w:ascii="Verdana" w:eastAsia="Calibri" w:hAnsi="Verdana" w:cs="Arial"/>
          <w:bCs/>
          <w:szCs w:val="24"/>
          <w:lang w:val="es-ES" w:eastAsia="es-ES_tradnl"/>
        </w:rPr>
        <w:t xml:space="preserve"> el análisis del sector </w:t>
      </w:r>
      <w:r w:rsidRPr="00620677">
        <w:rPr>
          <w:rFonts w:ascii="Verdana" w:eastAsia="Times New Roman" w:hAnsi="Verdana" w:cs="Arial"/>
          <w:bCs/>
          <w:szCs w:val="24"/>
          <w:lang w:val="es-ES"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620677">
        <w:rPr>
          <w:rFonts w:ascii="Verdana" w:eastAsia="Times New Roman" w:hAnsi="Verdana" w:cs="Arial"/>
          <w:szCs w:val="24"/>
          <w:lang w:val="es-ES" w:eastAsia="es-ES_tradnl"/>
        </w:rPr>
        <w:t xml:space="preserve">debe consignar en los Documentos del Proceso, bien sea en los estudios previos o en la información soporte de estos. </w:t>
      </w:r>
    </w:p>
    <w:p w14:paraId="6B4113D5" w14:textId="2A2D3F88" w:rsidR="00A0521B" w:rsidRPr="00620677" w:rsidRDefault="00A0521B" w:rsidP="00B2427D">
      <w:pPr>
        <w:spacing w:after="120" w:line="276" w:lineRule="auto"/>
        <w:ind w:firstLine="708"/>
        <w:jc w:val="both"/>
        <w:rPr>
          <w:rFonts w:ascii="Verdana" w:eastAsia="Times New Roman" w:hAnsi="Verdana" w:cs="Arial"/>
          <w:szCs w:val="24"/>
          <w:lang w:val="es-ES" w:eastAsia="es-ES_tradnl"/>
        </w:rPr>
      </w:pPr>
      <w:r w:rsidRPr="00620677">
        <w:rPr>
          <w:rFonts w:ascii="Verdana" w:eastAsia="Times New Roman" w:hAnsi="Verdana" w:cs="Arial"/>
          <w:szCs w:val="24"/>
          <w:lang w:val="es-ES" w:eastAsia="es-ES_tradnl"/>
        </w:rPr>
        <w:t xml:space="preserve">Así las cosas, </w:t>
      </w:r>
      <w:r w:rsidR="0009529A" w:rsidRPr="00620677">
        <w:rPr>
          <w:rFonts w:ascii="Verdana" w:eastAsia="Times New Roman" w:hAnsi="Verdana" w:cs="Arial"/>
          <w:szCs w:val="24"/>
          <w:lang w:val="es-ES" w:eastAsia="es-ES_tradnl"/>
        </w:rPr>
        <w:t xml:space="preserve">se concluye que </w:t>
      </w:r>
      <w:r w:rsidRPr="00620677">
        <w:rPr>
          <w:rFonts w:ascii="Verdana" w:eastAsia="Times New Roman" w:hAnsi="Verdana" w:cs="Arial"/>
          <w:szCs w:val="24"/>
          <w:lang w:val="es-ES" w:eastAsia="es-ES_tradnl"/>
        </w:rPr>
        <w:t>l</w:t>
      </w:r>
      <w:r w:rsidR="005C3210" w:rsidRPr="00620677">
        <w:rPr>
          <w:rFonts w:ascii="Verdana" w:eastAsia="Times New Roman" w:hAnsi="Verdana" w:cs="Arial"/>
          <w:szCs w:val="24"/>
          <w:lang w:val="es-ES" w:eastAsia="es-ES_tradnl"/>
        </w:rPr>
        <w:t xml:space="preserve">as </w:t>
      </w:r>
      <w:r w:rsidRPr="00620677">
        <w:rPr>
          <w:rFonts w:ascii="Verdana" w:eastAsia="Times New Roman" w:hAnsi="Verdana" w:cs="Arial"/>
          <w:szCs w:val="24"/>
          <w:lang w:val="es-ES" w:eastAsia="es-ES_tradnl"/>
        </w:rPr>
        <w:t>E</w:t>
      </w:r>
      <w:r w:rsidR="005C3210" w:rsidRPr="00620677">
        <w:rPr>
          <w:rFonts w:ascii="Verdana" w:eastAsia="Times New Roman" w:hAnsi="Verdana" w:cs="Arial"/>
          <w:szCs w:val="24"/>
          <w:lang w:val="es-ES" w:eastAsia="es-ES_tradnl"/>
        </w:rPr>
        <w:t xml:space="preserve">ntidades </w:t>
      </w:r>
      <w:r w:rsidRPr="00620677">
        <w:rPr>
          <w:rFonts w:ascii="Verdana" w:eastAsia="Times New Roman" w:hAnsi="Verdana" w:cs="Arial"/>
          <w:szCs w:val="24"/>
          <w:lang w:val="es-ES" w:eastAsia="es-ES_tradnl"/>
        </w:rPr>
        <w:t>E</w:t>
      </w:r>
      <w:r w:rsidR="005C3210" w:rsidRPr="00620677">
        <w:rPr>
          <w:rFonts w:ascii="Verdana" w:eastAsia="Times New Roman" w:hAnsi="Verdana" w:cs="Arial"/>
          <w:szCs w:val="24"/>
          <w:lang w:val="es-ES" w:eastAsia="es-ES_tradnl"/>
        </w:rPr>
        <w:t xml:space="preserve">stales son autónomas para establecer en su Manual de Contratación la </w:t>
      </w:r>
      <w:r w:rsidR="005C3210" w:rsidRPr="00620677">
        <w:rPr>
          <w:rFonts w:ascii="Verdana" w:eastAsia="Calibri" w:hAnsi="Verdana" w:cs="Arial"/>
          <w:szCs w:val="24"/>
          <w:lang w:val="es-ES" w:eastAsia="es-ES_tradnl"/>
        </w:rPr>
        <w:t xml:space="preserve">metodología para elaborar el Estudio </w:t>
      </w:r>
      <w:r w:rsidR="005C3210" w:rsidRPr="00620677">
        <w:rPr>
          <w:rFonts w:ascii="Verdana" w:eastAsia="Calibri" w:hAnsi="Verdana" w:cs="Arial"/>
          <w:szCs w:val="24"/>
          <w:lang w:val="es-ES" w:eastAsia="es-ES_tradnl"/>
        </w:rPr>
        <w:lastRenderedPageBreak/>
        <w:t xml:space="preserve">del Sector y en especial la forma como desarrollar los estudios de mercado, siempre y cuando acaten la Ley 1150 de 2007 y el Decreto 1082 de 2015 frente a esta materia, estableciendo siempre </w:t>
      </w:r>
      <w:r w:rsidR="005C3210" w:rsidRPr="00620677">
        <w:rPr>
          <w:rFonts w:ascii="Verdana" w:eastAsia="Times New Roman" w:hAnsi="Verdana" w:cs="Arial"/>
          <w:szCs w:val="24"/>
          <w:lang w:val="es-ES" w:eastAsia="es-ES_tradnl"/>
        </w:rPr>
        <w:t>argumentos financieros que permitirán escoger el mejor precio de conformidad con los criterios establecidos por la misma.</w:t>
      </w:r>
      <w:r w:rsidR="00B2427D" w:rsidRPr="00620677">
        <w:rPr>
          <w:rFonts w:ascii="Verdana" w:eastAsia="Times New Roman" w:hAnsi="Verdana" w:cs="Arial"/>
          <w:szCs w:val="24"/>
          <w:lang w:val="es-ES" w:eastAsia="es-ES_tradnl"/>
        </w:rPr>
        <w:t xml:space="preserve"> </w:t>
      </w:r>
      <w:r w:rsidR="00D87466" w:rsidRPr="00620677">
        <w:rPr>
          <w:rFonts w:ascii="Verdana" w:eastAsia="Times New Roman" w:hAnsi="Verdana" w:cs="Arial"/>
          <w:szCs w:val="24"/>
          <w:lang w:val="es-ES" w:eastAsia="es-ES_tradnl"/>
        </w:rPr>
        <w:t xml:space="preserve">No obstante, debe advertirse que </w:t>
      </w:r>
      <w:r w:rsidR="00D87466" w:rsidRPr="00620677">
        <w:rPr>
          <w:rFonts w:ascii="Verdana" w:eastAsia="Century Gothic" w:hAnsi="Verdana" w:cs="Arial"/>
        </w:rPr>
        <w:t xml:space="preserve">en </w:t>
      </w:r>
      <w:r w:rsidRPr="001329E0">
        <w:rPr>
          <w:rFonts w:ascii="Verdana" w:eastAsia="Century Gothic" w:hAnsi="Verdana" w:cs="Arial"/>
        </w:rPr>
        <w:t xml:space="preserve">el marco de la contratación pública, las </w:t>
      </w:r>
      <w:r w:rsidRPr="00620677">
        <w:rPr>
          <w:rFonts w:ascii="Verdana" w:eastAsia="Century Gothic" w:hAnsi="Verdana" w:cs="Arial"/>
        </w:rPr>
        <w:t>En</w:t>
      </w:r>
      <w:r w:rsidRPr="001329E0">
        <w:rPr>
          <w:rFonts w:ascii="Verdana" w:eastAsia="Century Gothic" w:hAnsi="Verdana" w:cs="Arial"/>
        </w:rPr>
        <w:t xml:space="preserve">tidades </w:t>
      </w:r>
      <w:r w:rsidRPr="00620677">
        <w:rPr>
          <w:rFonts w:ascii="Verdana" w:eastAsia="Century Gothic" w:hAnsi="Verdana" w:cs="Arial"/>
        </w:rPr>
        <w:t>E</w:t>
      </w:r>
      <w:r w:rsidRPr="001329E0">
        <w:rPr>
          <w:rFonts w:ascii="Verdana" w:eastAsia="Century Gothic" w:hAnsi="Verdana" w:cs="Arial"/>
        </w:rPr>
        <w:t>statales se encuentran sujetas a límites específicos en el ejercicio del principio de autonomía de la voluntad al momento de realizar el estudio del sector. Dicho principio, aunque reconoce la capacidad de las entidades para definir la metodología y el alcance de sus análisis, debe ejercerse dentro de los parámetros fijados por la normativa vigente, en particular la Ley 80 de 1993, la Ley 1150 de 2007 y el Decreto 1082 de 2015, que establecen la obligación de realizar estudios previos suficientes y adecuados como soporte de la planeación contractual.</w:t>
      </w:r>
    </w:p>
    <w:p w14:paraId="3AA2CC10" w14:textId="77777777" w:rsidR="00A0521B" w:rsidRPr="00620677" w:rsidRDefault="00A0521B" w:rsidP="00A0521B">
      <w:pPr>
        <w:spacing w:before="120" w:line="276" w:lineRule="auto"/>
        <w:ind w:firstLine="709"/>
        <w:jc w:val="both"/>
        <w:rPr>
          <w:rFonts w:ascii="Verdana" w:eastAsia="Century Gothic" w:hAnsi="Verdana" w:cs="Arial"/>
        </w:rPr>
      </w:pPr>
      <w:r w:rsidRPr="001329E0">
        <w:rPr>
          <w:rFonts w:ascii="Verdana" w:eastAsia="Century Gothic" w:hAnsi="Verdana" w:cs="Arial"/>
        </w:rPr>
        <w:t>En consecuencia, la autonomía de las entidades no es absoluta, pues está condicionada por principios superiores como la transparencia, la responsabilidad, la eficiencia y la selección objetiva. Estos principios limitan la discrecionalidad y exigen que el estudio del sector sea integral, verificable y orientado a garantizar la adecuada gestión de los recursos públicos. Así, aunque cada entidad conserva libertad para estructurar la metodología de su análisis, debe hacerlo respetando los estándares normativos y las buenas prácticas recomendadas por la Agencia Nacional de Contratación Pública –Colombia Compra Eficiente–, de manera que el ejercicio de la autonomía se encuentre siempre enmarcado en la legalidad y en la protección del interés general.</w:t>
      </w:r>
    </w:p>
    <w:p w14:paraId="2DD44C56" w14:textId="5D603919" w:rsidR="00D74417" w:rsidRPr="00620677" w:rsidRDefault="0011584C" w:rsidP="007D618E">
      <w:pPr>
        <w:spacing w:after="0" w:line="276" w:lineRule="auto"/>
        <w:ind w:firstLine="709"/>
        <w:jc w:val="both"/>
        <w:rPr>
          <w:rFonts w:ascii="Verdana" w:eastAsia="Calibri" w:hAnsi="Verdana" w:cs="Arial"/>
          <w:bCs/>
          <w:color w:val="000000" w:themeColor="text1"/>
        </w:rPr>
      </w:pPr>
      <w:r w:rsidRPr="00620677">
        <w:rPr>
          <w:rFonts w:ascii="Verdana" w:eastAsia="Times New Roman" w:hAnsi="Verdana" w:cs="Arial"/>
          <w:lang w:eastAsia="es-ES_tradnl"/>
        </w:rPr>
        <w:t xml:space="preserve">Sin perjuicio de lo expuesto, </w:t>
      </w:r>
      <w:r w:rsidRPr="00620677">
        <w:rPr>
          <w:rFonts w:ascii="Verdana" w:eastAsia="Calibri" w:hAnsi="Verdana" w:cs="Times New Roman"/>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r w:rsidRPr="00620677">
        <w:rPr>
          <w:rFonts w:ascii="Verdana" w:eastAsia="Calibri" w:hAnsi="Verdana" w:cs="Arial"/>
          <w:bCs/>
          <w:color w:val="000000" w:themeColor="text1"/>
        </w:rPr>
        <w:t xml:space="preserve"> Dentro de este marco, cada entidad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620677">
        <w:rPr>
          <w:rFonts w:ascii="Verdana" w:eastAsia="Calibri" w:hAnsi="Verdana" w:cs="Arial"/>
          <w:bCs/>
          <w:color w:val="000000" w:themeColor="text1"/>
        </w:rPr>
        <w:lastRenderedPageBreak/>
        <w:t>definirá la forma de adelantar su gestión contractual, sin que sea atribución de Colombia Compra Eficiente validar sus actuaciones</w:t>
      </w:r>
    </w:p>
    <w:p w14:paraId="2DC83465" w14:textId="77777777" w:rsidR="00D74417" w:rsidRPr="00620677" w:rsidRDefault="00D74417" w:rsidP="00255504">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791A2304" w14:textId="77777777" w:rsidR="00255504" w:rsidRPr="00620677" w:rsidRDefault="00255504" w:rsidP="00255504">
      <w:pPr>
        <w:pStyle w:val="Prrafodelista"/>
        <w:numPr>
          <w:ilvl w:val="0"/>
          <w:numId w:val="19"/>
        </w:numPr>
        <w:tabs>
          <w:tab w:val="left" w:pos="142"/>
          <w:tab w:val="left" w:pos="284"/>
        </w:tabs>
        <w:spacing w:after="0" w:line="276" w:lineRule="auto"/>
        <w:ind w:left="360"/>
        <w:contextualSpacing w:val="0"/>
        <w:jc w:val="both"/>
        <w:rPr>
          <w:rFonts w:ascii="Verdana" w:eastAsia="Century Gothic" w:hAnsi="Verdana" w:cs="Century Gothic"/>
          <w:b/>
          <w:bCs/>
        </w:rPr>
      </w:pPr>
      <w:r w:rsidRPr="00620677">
        <w:rPr>
          <w:rFonts w:ascii="Verdana" w:eastAsia="Century Gothic" w:hAnsi="Verdana" w:cs="Century Gothic"/>
          <w:b/>
          <w:bCs/>
        </w:rPr>
        <w:t>Referencias normativas, jurisprudenciales y otras fuentes:</w:t>
      </w:r>
    </w:p>
    <w:p w14:paraId="7ABE36CD" w14:textId="77777777" w:rsidR="00255504" w:rsidRPr="00620677" w:rsidRDefault="00255504" w:rsidP="0025550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5504" w:rsidRPr="00620677" w14:paraId="276BBC38" w14:textId="77777777" w:rsidTr="000E1161">
        <w:trPr>
          <w:trHeight w:val="870"/>
        </w:trPr>
        <w:tc>
          <w:tcPr>
            <w:tcW w:w="8647" w:type="dxa"/>
          </w:tcPr>
          <w:p w14:paraId="5073E4F3" w14:textId="4B4B2D32" w:rsidR="00991248" w:rsidRPr="00620677" w:rsidRDefault="008321C6" w:rsidP="00490FB6">
            <w:pPr>
              <w:widowControl w:val="0"/>
              <w:numPr>
                <w:ilvl w:val="0"/>
                <w:numId w:val="18"/>
              </w:numPr>
              <w:autoSpaceDE w:val="0"/>
              <w:autoSpaceDN w:val="0"/>
              <w:spacing w:before="120" w:after="120" w:line="276" w:lineRule="auto"/>
              <w:jc w:val="both"/>
              <w:rPr>
                <w:rFonts w:ascii="Verdana" w:eastAsia="Arial MT" w:hAnsi="Verdana" w:cs="Arial"/>
                <w:lang w:val="es-ES" w:eastAsia="es-ES" w:bidi="es-ES"/>
              </w:rPr>
            </w:pPr>
            <w:r w:rsidRPr="00620677">
              <w:rPr>
                <w:rFonts w:ascii="Verdana" w:eastAsia="Times New Roman" w:hAnsi="Verdana" w:cs="Arial"/>
                <w:iCs/>
                <w:lang w:val="es-ES_tradnl" w:eastAsia="es-ES_tradnl"/>
              </w:rPr>
              <w:t>Decreto Ley 4170 de 2011</w:t>
            </w:r>
            <w:r w:rsidR="006668DB" w:rsidRPr="00620677">
              <w:rPr>
                <w:rFonts w:ascii="Verdana" w:eastAsia="Times New Roman" w:hAnsi="Verdana" w:cs="Arial"/>
                <w:iCs/>
                <w:lang w:val="es-ES_tradnl" w:eastAsia="es-ES_tradnl"/>
              </w:rPr>
              <w:t>.</w:t>
            </w:r>
            <w:r w:rsidR="00B0373D" w:rsidRPr="00620677">
              <w:rPr>
                <w:rFonts w:ascii="Verdana" w:eastAsia="Times New Roman" w:hAnsi="Verdana" w:cs="Arial"/>
                <w:iCs/>
                <w:lang w:val="es-ES_tradnl" w:eastAsia="es-ES_tradnl"/>
              </w:rPr>
              <w:t xml:space="preserve"> Artículo 3</w:t>
            </w:r>
            <w:r w:rsidR="00F8593B" w:rsidRPr="00620677">
              <w:rPr>
                <w:rFonts w:ascii="Verdana" w:eastAsia="Times New Roman" w:hAnsi="Verdana" w:cs="Arial"/>
                <w:iCs/>
                <w:lang w:val="es-ES_tradnl" w:eastAsia="es-ES_tradnl"/>
              </w:rPr>
              <w:t>.</w:t>
            </w:r>
          </w:p>
          <w:p w14:paraId="3E345984" w14:textId="64EC187A" w:rsidR="00D65D11" w:rsidRPr="00620677" w:rsidRDefault="00D65D11" w:rsidP="00490FB6">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620677">
              <w:rPr>
                <w:rFonts w:ascii="Verdana" w:eastAsia="Arial MT" w:hAnsi="Verdana" w:cs="Arial"/>
                <w:lang w:val="es-ES" w:eastAsia="es-ES" w:bidi="es-ES"/>
              </w:rPr>
              <w:t>Decreto 1510 de 2013</w:t>
            </w:r>
          </w:p>
          <w:p w14:paraId="66B09564" w14:textId="292D549D" w:rsidR="00E579CB" w:rsidRPr="00620677" w:rsidRDefault="00E579CB" w:rsidP="00490FB6">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620677">
              <w:rPr>
                <w:rFonts w:ascii="Verdana" w:eastAsia="Times New Roman" w:hAnsi="Verdana" w:cs="Arial"/>
                <w:lang w:val="es-ES" w:eastAsia="es-ES"/>
              </w:rPr>
              <w:t>Decreto 1082 de 2015</w:t>
            </w:r>
            <w:r w:rsidR="006668DB" w:rsidRPr="00620677">
              <w:rPr>
                <w:rFonts w:ascii="Verdana" w:eastAsia="Times New Roman" w:hAnsi="Verdana" w:cs="Arial"/>
                <w:lang w:val="es-ES" w:eastAsia="es-ES"/>
              </w:rPr>
              <w:t>.</w:t>
            </w:r>
            <w:r w:rsidRPr="00620677">
              <w:rPr>
                <w:rFonts w:ascii="Verdana" w:eastAsia="Times New Roman" w:hAnsi="Verdana" w:cs="Arial"/>
                <w:lang w:val="es-ES" w:eastAsia="es-ES"/>
              </w:rPr>
              <w:t xml:space="preserve"> Artículo</w:t>
            </w:r>
            <w:r w:rsidR="00CC3D04" w:rsidRPr="00620677">
              <w:rPr>
                <w:rFonts w:ascii="Verdana" w:eastAsia="Times New Roman" w:hAnsi="Verdana" w:cs="Arial"/>
                <w:lang w:val="es-ES" w:eastAsia="es-ES"/>
              </w:rPr>
              <w:t xml:space="preserve">s, </w:t>
            </w:r>
            <w:r w:rsidR="00CC3D04" w:rsidRPr="00620677">
              <w:rPr>
                <w:rFonts w:ascii="Verdana" w:hAnsi="Verdana"/>
                <w:lang w:val="es-ES"/>
              </w:rPr>
              <w:t xml:space="preserve">2.2.1.2.5.2, </w:t>
            </w:r>
            <w:r w:rsidR="00592382" w:rsidRPr="00620677">
              <w:rPr>
                <w:rFonts w:ascii="Verdana" w:eastAsia="Times New Roman" w:hAnsi="Verdana" w:cs="Arial"/>
                <w:lang w:val="es-ES" w:eastAsia="es-MX"/>
              </w:rPr>
              <w:t xml:space="preserve">2.2.1.1.2.1.1, </w:t>
            </w:r>
            <w:r w:rsidR="00C27AF6" w:rsidRPr="00620677">
              <w:rPr>
                <w:rFonts w:ascii="Verdana" w:eastAsia="Calibri" w:hAnsi="Verdana" w:cs="Arial"/>
                <w:bCs/>
                <w:lang w:val="es-ES" w:eastAsia="es-MX"/>
              </w:rPr>
              <w:t>2.2.1.1.1.6.1</w:t>
            </w:r>
          </w:p>
          <w:p w14:paraId="190D9A63" w14:textId="7BE1D2DE" w:rsidR="00051F21" w:rsidRPr="00620677" w:rsidRDefault="00051F21" w:rsidP="00490FB6">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620677">
              <w:rPr>
                <w:rFonts w:ascii="Verdana" w:eastAsia="Calibri" w:hAnsi="Verdana" w:cs="Arial"/>
                <w:bCs/>
                <w:lang w:val="es-ES" w:eastAsia="es-ES_tradnl"/>
              </w:rPr>
              <w:t>Ley 80 de 1993, Artículo 25.</w:t>
            </w:r>
          </w:p>
          <w:p w14:paraId="0F46F452" w14:textId="463126F6" w:rsidR="00255504" w:rsidRPr="00620677" w:rsidRDefault="00255504" w:rsidP="00490FB6">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620677">
              <w:rPr>
                <w:rFonts w:ascii="Verdana" w:eastAsia="Arial" w:hAnsi="Verdana" w:cs="Arial"/>
                <w:color w:val="000000"/>
              </w:rPr>
              <w:t>Ley 1150 de 2007.</w:t>
            </w:r>
          </w:p>
          <w:p w14:paraId="44DB3300" w14:textId="473E8858" w:rsidR="006668DB" w:rsidRPr="00620677" w:rsidRDefault="006668DB" w:rsidP="00490FB6">
            <w:pPr>
              <w:widowControl w:val="0"/>
              <w:numPr>
                <w:ilvl w:val="0"/>
                <w:numId w:val="18"/>
              </w:numPr>
              <w:autoSpaceDE w:val="0"/>
              <w:autoSpaceDN w:val="0"/>
              <w:spacing w:after="120" w:line="276" w:lineRule="auto"/>
              <w:jc w:val="both"/>
              <w:rPr>
                <w:rFonts w:ascii="Verdana" w:eastAsia="Arial MT" w:hAnsi="Verdana" w:cs="Arial"/>
                <w:lang w:val="es-ES" w:eastAsia="es-ES" w:bidi="es-ES"/>
              </w:rPr>
            </w:pPr>
            <w:r w:rsidRPr="00620677">
              <w:rPr>
                <w:rFonts w:ascii="Verdana" w:hAnsi="Verdana" w:cs="Arial"/>
                <w:lang w:val="es-MX" w:eastAsia="x-none"/>
              </w:rPr>
              <w:t>Decreto 1600 de 2024</w:t>
            </w:r>
            <w:r w:rsidR="00836C96" w:rsidRPr="00620677">
              <w:rPr>
                <w:rFonts w:ascii="Verdana" w:hAnsi="Verdana" w:cs="Arial"/>
                <w:lang w:val="es-MX" w:eastAsia="x-none"/>
              </w:rPr>
              <w:t xml:space="preserve">. Artículo </w:t>
            </w:r>
            <w:r w:rsidR="00490FB6" w:rsidRPr="00620677">
              <w:rPr>
                <w:rFonts w:ascii="Verdana" w:hAnsi="Verdana" w:cs="Arial"/>
                <w:lang w:val="es-MX" w:eastAsia="x-none"/>
              </w:rPr>
              <w:t>2.1.4.3.2.1</w:t>
            </w:r>
          </w:p>
          <w:p w14:paraId="2105E2BE" w14:textId="77777777" w:rsidR="00CF3094" w:rsidRPr="00620677" w:rsidRDefault="00836C96" w:rsidP="00490FB6">
            <w:pPr>
              <w:widowControl w:val="0"/>
              <w:numPr>
                <w:ilvl w:val="0"/>
                <w:numId w:val="18"/>
              </w:numPr>
              <w:autoSpaceDE w:val="0"/>
              <w:autoSpaceDN w:val="0"/>
              <w:spacing w:after="120" w:line="276" w:lineRule="auto"/>
              <w:jc w:val="both"/>
              <w:rPr>
                <w:rFonts w:ascii="Verdana" w:hAnsi="Verdana" w:cs="Arial"/>
              </w:rPr>
            </w:pPr>
            <w:r w:rsidRPr="00620677">
              <w:rPr>
                <w:rFonts w:ascii="Verdana" w:hAnsi="Verdana" w:cs="Arial"/>
              </w:rPr>
              <w:t xml:space="preserve">Consejo de Estado. Sección Tercera. Subsección B. Sentencia del 31 de agosto de 2011. </w:t>
            </w:r>
            <w:proofErr w:type="spellStart"/>
            <w:r w:rsidRPr="00620677">
              <w:rPr>
                <w:rFonts w:ascii="Verdana" w:hAnsi="Verdana" w:cs="Arial"/>
              </w:rPr>
              <w:t>Exp</w:t>
            </w:r>
            <w:proofErr w:type="spellEnd"/>
            <w:r w:rsidRPr="00620677">
              <w:rPr>
                <w:rFonts w:ascii="Verdana" w:hAnsi="Verdana" w:cs="Arial"/>
              </w:rPr>
              <w:t>. 18.080. C.P. Ruth Stella Correa Palacio</w:t>
            </w:r>
            <w:r w:rsidR="00490FB6" w:rsidRPr="00620677">
              <w:rPr>
                <w:rFonts w:ascii="Verdana" w:hAnsi="Verdana" w:cs="Arial"/>
              </w:rPr>
              <w:t>.</w:t>
            </w:r>
          </w:p>
          <w:p w14:paraId="34868366" w14:textId="2756B250" w:rsidR="00255504" w:rsidRPr="00620677" w:rsidRDefault="00490FB6" w:rsidP="00490FB6">
            <w:pPr>
              <w:widowControl w:val="0"/>
              <w:numPr>
                <w:ilvl w:val="0"/>
                <w:numId w:val="18"/>
              </w:numPr>
              <w:autoSpaceDE w:val="0"/>
              <w:autoSpaceDN w:val="0"/>
              <w:spacing w:after="120" w:line="276" w:lineRule="auto"/>
              <w:jc w:val="both"/>
              <w:rPr>
                <w:rFonts w:ascii="Verdana" w:hAnsi="Verdana" w:cs="Arial"/>
              </w:rPr>
            </w:pPr>
            <w:r w:rsidRPr="00620677">
              <w:rPr>
                <w:rFonts w:ascii="Verdana" w:hAnsi="Verdana" w:cs="Arial"/>
              </w:rPr>
              <w:t xml:space="preserve"> </w:t>
            </w:r>
            <w:r w:rsidR="00CF3094" w:rsidRPr="00620677">
              <w:rPr>
                <w:rFonts w:ascii="Verdana" w:hAnsi="Verdana" w:cs="Arial"/>
              </w:rPr>
              <w:t xml:space="preserve">Guía de Elaboración de Estudios del Sector. Disponible en: </w:t>
            </w:r>
            <w:hyperlink r:id="rId13" w:history="1">
              <w:r w:rsidR="00CF3094" w:rsidRPr="00620677">
                <w:rPr>
                  <w:rStyle w:val="Hipervnculo"/>
                  <w:rFonts w:ascii="Verdana" w:hAnsi="Verdana" w:cs="Arial"/>
                </w:rPr>
                <w:t>Guía de Elaboración de Estudios del Sector</w:t>
              </w:r>
            </w:hyperlink>
          </w:p>
        </w:tc>
      </w:tr>
    </w:tbl>
    <w:p w14:paraId="6B2073DA" w14:textId="77777777" w:rsidR="00255504" w:rsidRPr="00620677" w:rsidRDefault="00255504" w:rsidP="00255504">
      <w:pPr>
        <w:widowControl w:val="0"/>
        <w:autoSpaceDE w:val="0"/>
        <w:autoSpaceDN w:val="0"/>
        <w:spacing w:after="0" w:line="276" w:lineRule="auto"/>
        <w:jc w:val="both"/>
        <w:rPr>
          <w:rFonts w:ascii="Verdana" w:hAnsi="Verdana" w:cs="Arial"/>
        </w:rPr>
      </w:pPr>
    </w:p>
    <w:p w14:paraId="57096549" w14:textId="77777777" w:rsidR="00255504" w:rsidRPr="00620677" w:rsidRDefault="00255504" w:rsidP="00255504">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Arial"/>
          <w:b/>
          <w:bCs/>
        </w:rPr>
      </w:pPr>
      <w:r w:rsidRPr="00620677">
        <w:rPr>
          <w:rFonts w:ascii="Verdana" w:eastAsia="Century Gothic" w:hAnsi="Verdana" w:cs="Arial"/>
          <w:b/>
          <w:bCs/>
        </w:rPr>
        <w:t>Doctrina de la Agencia Nacional de Contratación Pública:</w:t>
      </w:r>
    </w:p>
    <w:p w14:paraId="1E7F7B5C" w14:textId="77777777" w:rsidR="00255504" w:rsidRPr="00620677" w:rsidRDefault="00255504" w:rsidP="00255504">
      <w:pPr>
        <w:widowControl w:val="0"/>
        <w:autoSpaceDE w:val="0"/>
        <w:autoSpaceDN w:val="0"/>
        <w:spacing w:after="0" w:line="276" w:lineRule="auto"/>
        <w:jc w:val="both"/>
        <w:rPr>
          <w:rFonts w:ascii="Verdana" w:hAnsi="Verdana" w:cs="Arial"/>
        </w:rPr>
      </w:pPr>
    </w:p>
    <w:p w14:paraId="3BA3541C" w14:textId="7F2A6D7E" w:rsidR="00255504" w:rsidRPr="00620677" w:rsidRDefault="00D32849" w:rsidP="00010DC9">
      <w:pPr>
        <w:widowControl w:val="0"/>
        <w:autoSpaceDE w:val="0"/>
        <w:autoSpaceDN w:val="0"/>
        <w:spacing w:after="120" w:line="276" w:lineRule="auto"/>
        <w:jc w:val="both"/>
        <w:rPr>
          <w:rFonts w:ascii="Verdana" w:eastAsia="Aptos" w:hAnsi="Verdana" w:cs="Arial"/>
          <w:shd w:val="clear" w:color="auto" w:fill="FFFFFF"/>
          <w:lang w:val="es-ES"/>
        </w:rPr>
      </w:pPr>
      <w:r w:rsidRPr="00620677">
        <w:rPr>
          <w:rFonts w:ascii="Verdana" w:eastAsia="Aptos" w:hAnsi="Verdana" w:cs="Arial"/>
          <w:shd w:val="clear" w:color="auto" w:fill="FFFFFF"/>
          <w:lang w:val="es-ES"/>
        </w:rPr>
        <w:t xml:space="preserve">Sobre el deber de elaborar análisis del sector frente a procesos de contratación, se pronunció esta Subdirección en los conceptos 2202013000000037 del 7 de enero de 2020, C-223 del 29 de abril de 2020 y C-148 de 2021. Igualmente, se reiteran los Conceptos 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C-101 del 5 de marzo de 2025, C-154 del 18 de marzo de 2025, </w:t>
      </w:r>
      <w:r w:rsidR="00FB1D47" w:rsidRPr="00620677">
        <w:rPr>
          <w:rFonts w:ascii="Verdana" w:eastAsia="Aptos" w:hAnsi="Verdana" w:cs="Arial"/>
          <w:shd w:val="clear" w:color="auto" w:fill="FFFFFF"/>
          <w:lang w:val="es-ES"/>
        </w:rPr>
        <w:t xml:space="preserve">C-256 del 4 de abril de 2025, C-357 del 30 de abril de 2025, C-505 del 3 de junio de 2025, C-596 del 25 de junio de </w:t>
      </w:r>
      <w:r w:rsidR="00FB1D47" w:rsidRPr="00620677">
        <w:rPr>
          <w:rFonts w:ascii="Verdana" w:eastAsia="Aptos" w:hAnsi="Verdana" w:cs="Arial"/>
          <w:shd w:val="clear" w:color="auto" w:fill="FFFFFF"/>
          <w:lang w:val="es-ES"/>
        </w:rPr>
        <w:lastRenderedPageBreak/>
        <w:t>2025</w:t>
      </w:r>
      <w:r w:rsidR="00FB1D47" w:rsidRPr="00620677">
        <w:rPr>
          <w:rFonts w:ascii="Verdana" w:eastAsia="Calibri" w:hAnsi="Verdana" w:cs="Arial"/>
          <w:lang w:val="es-ES" w:eastAsia="es-ES"/>
        </w:rPr>
        <w:t>, C-1738 del 31 de diciembre de 2025 y C-</w:t>
      </w:r>
      <w:r w:rsidR="00DE36CD" w:rsidRPr="00620677">
        <w:rPr>
          <w:rFonts w:ascii="Verdana" w:eastAsia="Calibri" w:hAnsi="Verdana" w:cs="Arial"/>
          <w:lang w:val="es-ES" w:eastAsia="es-ES"/>
        </w:rPr>
        <w:t>038 del 04 de febrero del 2026</w:t>
      </w:r>
      <w:r w:rsidR="00DE36CD" w:rsidRPr="00620677">
        <w:rPr>
          <w:rFonts w:ascii="Verdana" w:eastAsia="Aptos" w:hAnsi="Verdana" w:cs="Arial"/>
          <w:shd w:val="clear" w:color="auto" w:fill="FFFFFF"/>
          <w:lang w:val="es-ES"/>
        </w:rPr>
        <w:t xml:space="preserve"> </w:t>
      </w:r>
      <w:r w:rsidRPr="00620677">
        <w:rPr>
          <w:rFonts w:ascii="Verdana" w:eastAsia="Aptos" w:hAnsi="Verdana" w:cs="Arial"/>
          <w:shd w:val="clear" w:color="auto" w:fill="FFFFFF"/>
          <w:lang w:val="es-ES"/>
        </w:rPr>
        <w:t xml:space="preserve">entre otros. </w:t>
      </w:r>
    </w:p>
    <w:p w14:paraId="03DE8467" w14:textId="26CA7E29" w:rsidR="00255504" w:rsidRPr="00620677" w:rsidRDefault="00010DC9" w:rsidP="00255504">
      <w:pPr>
        <w:widowControl w:val="0"/>
        <w:autoSpaceDE w:val="0"/>
        <w:autoSpaceDN w:val="0"/>
        <w:spacing w:after="0" w:line="276" w:lineRule="auto"/>
        <w:jc w:val="both"/>
        <w:rPr>
          <w:rFonts w:ascii="Verdana" w:eastAsia="Aptos" w:hAnsi="Verdana" w:cs="Arial"/>
          <w:shd w:val="clear" w:color="auto" w:fill="FFFFFF"/>
          <w:lang w:val="es-ES"/>
        </w:rPr>
      </w:pPr>
      <w:r w:rsidRPr="00620677">
        <w:rPr>
          <w:rFonts w:ascii="Verdana" w:eastAsia="Aptos" w:hAnsi="Verdana" w:cs="Arial"/>
          <w:shd w:val="clear" w:color="auto" w:fill="FFFFFF"/>
          <w:lang w:val="es-ES"/>
        </w:rPr>
        <w:t xml:space="preserve">Igualmente, se ha pronunciado sobre la </w:t>
      </w:r>
      <w:r w:rsidR="00CE4132" w:rsidRPr="00620677">
        <w:rPr>
          <w:rFonts w:ascii="Verdana" w:hAnsi="Verdana" w:cs="Arial"/>
        </w:rPr>
        <w:t xml:space="preserve">obligatoriedad instrumentos expedidos por Colombia Compra Eficiente en los conceptos C-238 del 5 de julio de 2023, C-888 del 27 de diciembre de 2024, C-531 del 9 de octubre de 2024 y </w:t>
      </w:r>
      <w:r w:rsidR="00EB6770" w:rsidRPr="00620677">
        <w:rPr>
          <w:rFonts w:ascii="Verdana" w:hAnsi="Verdana" w:cs="Arial"/>
        </w:rPr>
        <w:t>C-389 del 07 de mayo del 2025</w:t>
      </w:r>
      <w:r w:rsidR="00EB6770" w:rsidRPr="00620677">
        <w:rPr>
          <w:rFonts w:ascii="Verdana" w:eastAsia="Aptos" w:hAnsi="Verdana" w:cs="Arial"/>
          <w:shd w:val="clear" w:color="auto" w:fill="FFFFFF"/>
          <w:lang w:val="es-ES"/>
        </w:rPr>
        <w:t xml:space="preserve">. </w:t>
      </w:r>
      <w:r w:rsidR="00255504" w:rsidRPr="00620677">
        <w:rPr>
          <w:rFonts w:ascii="Verdana" w:hAnsi="Verdana" w:cs="Arial"/>
        </w:rPr>
        <w:t>Estos y otros conceptos se encuentran disponibles para consulta en el Sistema de relatoría de la Agencia, al cual se puede acceder a través del siguiente enlace:</w:t>
      </w:r>
      <w:r w:rsidR="00255504" w:rsidRPr="00620677">
        <w:rPr>
          <w:rFonts w:ascii="Verdana" w:hAnsi="Verdana" w:cs="Arial"/>
          <w:shd w:val="clear" w:color="auto" w:fill="FFFFFF"/>
        </w:rPr>
        <w:t xml:space="preserve"> </w:t>
      </w:r>
      <w:hyperlink r:id="rId14" w:history="1">
        <w:r w:rsidR="00255504" w:rsidRPr="00620677">
          <w:rPr>
            <w:rStyle w:val="Hipervnculo"/>
            <w:rFonts w:ascii="Verdana" w:hAnsi="Verdana" w:cs="Arial"/>
            <w:shd w:val="clear" w:color="auto" w:fill="FFFFFF"/>
          </w:rPr>
          <w:t>https://relatoria.colombiacompra.gov.co/busqueda/conceptos</w:t>
        </w:r>
      </w:hyperlink>
      <w:r w:rsidR="00255504" w:rsidRPr="00620677">
        <w:rPr>
          <w:rFonts w:ascii="Verdana" w:hAnsi="Verdana" w:cs="Arial"/>
          <w:shd w:val="clear" w:color="auto" w:fill="FFFFFF"/>
        </w:rPr>
        <w:t>.</w:t>
      </w:r>
      <w:r w:rsidR="00255504" w:rsidRPr="00620677">
        <w:rPr>
          <w:rFonts w:ascii="Verdana" w:hAnsi="Verdana" w:cs="Arial"/>
          <w:color w:val="FF0000"/>
          <w:shd w:val="clear" w:color="auto" w:fill="FFFFFF"/>
        </w:rPr>
        <w:t xml:space="preserve"> </w:t>
      </w:r>
      <w:r w:rsidR="00255504" w:rsidRPr="00620677">
        <w:rPr>
          <w:rFonts w:ascii="Verdana" w:hAnsi="Verdana" w:cs="Arial"/>
          <w:color w:val="000000" w:themeColor="text1"/>
          <w:shd w:val="clear" w:color="auto" w:fill="FFFFFF"/>
        </w:rPr>
        <w:t>  </w:t>
      </w:r>
    </w:p>
    <w:p w14:paraId="0A8A08D0" w14:textId="77777777" w:rsidR="00255504" w:rsidRPr="00620677" w:rsidRDefault="00255504" w:rsidP="00255504">
      <w:pPr>
        <w:spacing w:after="0" w:line="276" w:lineRule="auto"/>
        <w:jc w:val="both"/>
        <w:rPr>
          <w:rFonts w:ascii="Verdana" w:hAnsi="Verdana" w:cs="Arial"/>
        </w:rPr>
      </w:pPr>
    </w:p>
    <w:p w14:paraId="6C80B92D"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La sostenibilidad no es una opción, es una obligación. Por ello, la Agencia Nacional de Contratación Pública –Colombia Compra Eficiente– te invita a realizar el </w:t>
      </w:r>
      <w:r w:rsidRPr="00620677">
        <w:rPr>
          <w:rFonts w:ascii="Verdana" w:hAnsi="Verdana" w:cs="Arial"/>
          <w:b/>
          <w:bCs/>
        </w:rPr>
        <w:t>Curso de Contratación Pública Sostenible y Socialmente Responsable</w:t>
      </w:r>
      <w:r w:rsidRPr="00620677">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20677">
        <w:rPr>
          <w:rFonts w:ascii="Verdana" w:hAnsi="Verdana" w:cs="Arial"/>
        </w:rPr>
        <w:br/>
      </w:r>
      <w:hyperlink r:id="rId15" w:tgtFrame="_new" w:history="1">
        <w:r w:rsidRPr="00620677">
          <w:rPr>
            <w:rStyle w:val="Hipervnculo"/>
            <w:rFonts w:ascii="Verdana" w:hAnsi="Verdana" w:cs="Arial"/>
          </w:rPr>
          <w:t>https://formacionvirtual.colombiacompra.gov.co/mod/page/view.php?id=3718</w:t>
        </w:r>
      </w:hyperlink>
    </w:p>
    <w:p w14:paraId="214CD43B" w14:textId="77777777" w:rsidR="00255504" w:rsidRPr="00620677" w:rsidRDefault="00255504" w:rsidP="00255504">
      <w:pPr>
        <w:spacing w:after="0" w:line="276" w:lineRule="auto"/>
        <w:jc w:val="both"/>
        <w:rPr>
          <w:rFonts w:ascii="Verdana" w:hAnsi="Verdana" w:cs="Arial"/>
        </w:rPr>
      </w:pPr>
    </w:p>
    <w:p w14:paraId="1B76B008"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De otro lado, te contamos que esta Agencia ha da un paso decisivo en la estandarización y modernización del </w:t>
      </w:r>
      <w:r w:rsidRPr="00620677">
        <w:rPr>
          <w:rFonts w:ascii="Verdana" w:hAnsi="Verdana" w:cs="Arial"/>
          <w:b/>
          <w:bCs/>
        </w:rPr>
        <w:t>sector  social</w:t>
      </w:r>
      <w:r w:rsidRPr="00620677">
        <w:rPr>
          <w:rFonts w:ascii="Verdana" w:hAnsi="Verdana" w:cs="Arial"/>
        </w:rPr>
        <w:t xml:space="preserve"> con la expedición de las </w:t>
      </w:r>
      <w:r w:rsidRPr="00620677">
        <w:rPr>
          <w:rFonts w:ascii="Verdana" w:hAnsi="Verdana" w:cs="Arial"/>
          <w:b/>
          <w:bCs/>
        </w:rPr>
        <w:t>Resoluciones 539, 540, 541, 952 y 953 de 2025</w:t>
      </w:r>
      <w:r w:rsidRPr="00620677">
        <w:rPr>
          <w:rFonts w:ascii="Verdana" w:hAnsi="Verdana" w:cs="Arial"/>
        </w:rPr>
        <w:t xml:space="preserve">, </w:t>
      </w:r>
      <w:r w:rsidRPr="00620677">
        <w:rPr>
          <w:rFonts w:ascii="Verdana" w:hAnsi="Verdana" w:cs="Arial"/>
          <w:b/>
          <w:bCs/>
        </w:rPr>
        <w:t>mediante las cuales adoptó Documentos Tipo</w:t>
      </w:r>
      <w:r w:rsidRPr="00620677">
        <w:rPr>
          <w:rFonts w:ascii="Verdana" w:hAnsi="Verdana" w:cs="Arial"/>
        </w:rPr>
        <w:t xml:space="preserve"> para las modalidades de selección de</w:t>
      </w:r>
      <w:r w:rsidRPr="00620677">
        <w:rPr>
          <w:rFonts w:ascii="Verdana" w:hAnsi="Verdana" w:cs="Arial"/>
          <w:b/>
          <w:bCs/>
        </w:rPr>
        <w:t xml:space="preserve"> licitación pública (versión 2), selección abreviada de menor cuantía, mínima cuantía, consultoría e interventoría</w:t>
      </w:r>
      <w:r w:rsidRPr="00620677">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620677">
          <w:rPr>
            <w:rStyle w:val="Hipervnculo"/>
            <w:rFonts w:ascii="Verdana" w:hAnsi="Verdana" w:cs="Arial"/>
          </w:rPr>
          <w:t>https://www.colombiacompra.gov.co/normativa-y-relatoria/documentos-tipo</w:t>
        </w:r>
      </w:hyperlink>
    </w:p>
    <w:p w14:paraId="334BD928" w14:textId="77777777" w:rsidR="00255504" w:rsidRPr="00620677" w:rsidRDefault="00255504" w:rsidP="00255504">
      <w:pPr>
        <w:spacing w:after="0" w:line="276" w:lineRule="auto"/>
        <w:jc w:val="both"/>
        <w:rPr>
          <w:rFonts w:ascii="Verdana" w:hAnsi="Verdana" w:cs="Arial"/>
        </w:rPr>
      </w:pPr>
    </w:p>
    <w:p w14:paraId="7FD69A7C"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Si quieres conocer más sobre la aplicación de Documentos Tipo puedes consultar la última versión de la </w:t>
      </w:r>
      <w:r w:rsidRPr="00620677">
        <w:rPr>
          <w:rFonts w:ascii="Verdana" w:hAnsi="Verdana" w:cs="Arial"/>
          <w:b/>
          <w:bCs/>
        </w:rPr>
        <w:t>Guía para la comprensión e implementación de los Documentos Tipo de obra pública de infraestructura de transporte</w:t>
      </w:r>
      <w:r w:rsidRPr="00620677">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620677">
        <w:rPr>
          <w:rFonts w:ascii="Verdana" w:hAnsi="Verdana" w:cs="Arial"/>
        </w:rPr>
        <w:lastRenderedPageBreak/>
        <w:t>procesos contractuales. Además se incluyeron lineamientos que orientan la implementación de los criterios ambientales y sociales incluidos en los documentos tipo: Consulta la guía aquí:</w:t>
      </w:r>
      <w:r w:rsidRPr="00620677">
        <w:rPr>
          <w:rFonts w:ascii="Verdana" w:hAnsi="Verdana" w:cs="Arial"/>
        </w:rPr>
        <w:br/>
      </w:r>
      <w:hyperlink r:id="rId17" w:tgtFrame="_new" w:history="1">
        <w:r w:rsidRPr="00620677">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66F187C6" w14:textId="77777777" w:rsidR="00255504" w:rsidRPr="00620677" w:rsidRDefault="00255504" w:rsidP="00255504">
      <w:pPr>
        <w:spacing w:after="0" w:line="276" w:lineRule="auto"/>
        <w:jc w:val="both"/>
        <w:rPr>
          <w:rFonts w:ascii="Verdana" w:hAnsi="Verdana" w:cs="Arial"/>
        </w:rPr>
      </w:pPr>
    </w:p>
    <w:p w14:paraId="5AF2932A"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Por último, lo invitamos a seguirnos en las redes sociales en las cuales se difunde información institucional: </w:t>
      </w:r>
    </w:p>
    <w:p w14:paraId="2704A31A" w14:textId="77777777" w:rsidR="00255504" w:rsidRPr="00620677" w:rsidRDefault="00255504" w:rsidP="00255504">
      <w:pPr>
        <w:spacing w:after="0" w:line="276" w:lineRule="auto"/>
        <w:jc w:val="both"/>
        <w:rPr>
          <w:rFonts w:ascii="Verdana" w:hAnsi="Verdana" w:cs="Arial"/>
        </w:rPr>
      </w:pPr>
    </w:p>
    <w:p w14:paraId="77F1E50C"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Twitter: </w:t>
      </w:r>
      <w:r w:rsidRPr="00620677">
        <w:rPr>
          <w:rStyle w:val="Hipervnculo"/>
          <w:rFonts w:ascii="Verdana" w:hAnsi="Verdana" w:cs="Arial"/>
          <w:color w:val="4472C4" w:themeColor="accent1"/>
        </w:rPr>
        <w:t>@colombiacompra</w:t>
      </w:r>
      <w:r w:rsidRPr="00620677">
        <w:rPr>
          <w:rFonts w:ascii="Verdana" w:hAnsi="Verdana" w:cs="Arial"/>
          <w:color w:val="4472C4" w:themeColor="accent1"/>
        </w:rPr>
        <w:t xml:space="preserve"> </w:t>
      </w:r>
    </w:p>
    <w:p w14:paraId="15ECFDF0" w14:textId="77777777" w:rsidR="00255504" w:rsidRPr="00620677" w:rsidRDefault="00255504" w:rsidP="00255504">
      <w:pPr>
        <w:spacing w:after="0" w:line="276" w:lineRule="auto"/>
        <w:jc w:val="both"/>
        <w:rPr>
          <w:rFonts w:ascii="Verdana" w:hAnsi="Verdana" w:cs="Arial"/>
        </w:rPr>
      </w:pPr>
      <w:r w:rsidRPr="00620677">
        <w:rPr>
          <w:rFonts w:ascii="Verdana" w:hAnsi="Verdana" w:cs="Arial"/>
        </w:rPr>
        <w:t xml:space="preserve">Facebook: </w:t>
      </w:r>
      <w:proofErr w:type="spellStart"/>
      <w:r w:rsidRPr="00620677">
        <w:rPr>
          <w:rStyle w:val="Hipervnculo"/>
          <w:rFonts w:ascii="Verdana" w:hAnsi="Verdana" w:cs="Arial"/>
          <w:color w:val="4472C4" w:themeColor="accent1"/>
        </w:rPr>
        <w:t>ColombiaCompraEficiente</w:t>
      </w:r>
      <w:proofErr w:type="spellEnd"/>
    </w:p>
    <w:p w14:paraId="3FD6AE57" w14:textId="77777777" w:rsidR="00255504" w:rsidRPr="00620677" w:rsidRDefault="00255504" w:rsidP="00255504">
      <w:pPr>
        <w:spacing w:after="0" w:line="276" w:lineRule="auto"/>
        <w:jc w:val="both"/>
        <w:rPr>
          <w:rStyle w:val="Hipervnculo"/>
          <w:rFonts w:ascii="Verdana" w:hAnsi="Verdana" w:cs="Arial"/>
          <w:color w:val="4472C4" w:themeColor="accent1"/>
        </w:rPr>
      </w:pPr>
      <w:r w:rsidRPr="00620677">
        <w:rPr>
          <w:rFonts w:ascii="Verdana" w:hAnsi="Verdana" w:cs="Arial"/>
        </w:rPr>
        <w:t xml:space="preserve">LinkedIn: </w:t>
      </w:r>
      <w:r w:rsidRPr="00620677">
        <w:rPr>
          <w:rStyle w:val="Hipervnculo"/>
          <w:rFonts w:ascii="Verdana" w:hAnsi="Verdana" w:cs="Arial"/>
          <w:color w:val="4472C4" w:themeColor="accent1"/>
        </w:rPr>
        <w:t>Agencia Nacional de Contratación Pública - Colombia Compra Eficiente</w:t>
      </w:r>
      <w:r w:rsidRPr="00620677">
        <w:rPr>
          <w:rFonts w:ascii="Verdana" w:hAnsi="Verdana" w:cs="Arial"/>
          <w:color w:val="4472C4" w:themeColor="accent1"/>
        </w:rPr>
        <w:t xml:space="preserve"> </w:t>
      </w:r>
      <w:r w:rsidRPr="00620677">
        <w:rPr>
          <w:rFonts w:ascii="Verdana" w:hAnsi="Verdana" w:cs="Arial"/>
        </w:rPr>
        <w:t xml:space="preserve">Instagram: </w:t>
      </w:r>
      <w:r w:rsidRPr="00620677">
        <w:rPr>
          <w:rStyle w:val="Hipervnculo"/>
          <w:rFonts w:ascii="Verdana" w:hAnsi="Verdana" w:cs="Arial"/>
          <w:color w:val="4472C4" w:themeColor="accent1"/>
        </w:rPr>
        <w:t>@colombiacompraeficiente_cce</w:t>
      </w:r>
    </w:p>
    <w:p w14:paraId="29EB0464" w14:textId="77777777" w:rsidR="00255504" w:rsidRPr="00620677" w:rsidRDefault="00255504" w:rsidP="00255504">
      <w:pPr>
        <w:spacing w:after="0" w:line="276" w:lineRule="auto"/>
        <w:jc w:val="both"/>
        <w:rPr>
          <w:rStyle w:val="Hipervnculo"/>
          <w:rFonts w:ascii="Verdana" w:hAnsi="Verdana" w:cs="Arial"/>
          <w:color w:val="4472C4" w:themeColor="accent1"/>
        </w:rPr>
      </w:pPr>
    </w:p>
    <w:p w14:paraId="3814406D" w14:textId="77777777" w:rsidR="00255504" w:rsidRPr="00620677" w:rsidRDefault="00255504" w:rsidP="00255504">
      <w:pPr>
        <w:widowControl w:val="0"/>
        <w:autoSpaceDE w:val="0"/>
        <w:autoSpaceDN w:val="0"/>
        <w:spacing w:after="0" w:line="276" w:lineRule="auto"/>
        <w:jc w:val="both"/>
        <w:rPr>
          <w:rFonts w:ascii="Verdana" w:hAnsi="Verdana" w:cs="Arial"/>
          <w:lang w:val="es-ES_tradnl"/>
        </w:rPr>
      </w:pPr>
      <w:r w:rsidRPr="00620677">
        <w:rPr>
          <w:rFonts w:ascii="Verdana" w:hAnsi="Verdana" w:cs="Arial"/>
        </w:rPr>
        <w:t xml:space="preserve">Este concepto tiene el alcance previsto en el artículo 28 del Código de Procedimiento Administrativo y de lo Contencioso Administrativo </w:t>
      </w:r>
      <w:r w:rsidRPr="00620677">
        <w:rPr>
          <w:rFonts w:ascii="Verdana" w:hAnsi="Verdana" w:cs="Arial"/>
          <w:lang w:val="es-ES_tradnl"/>
        </w:rPr>
        <w:t>y las expresiones aquí utilizadas con mayúscula inicial deben ser entendidas con el significado que les otorga el artículo 2.2.1.1.1.3.1. del Decreto 1082 de 2015.</w:t>
      </w:r>
    </w:p>
    <w:p w14:paraId="7BF8761A" w14:textId="77777777" w:rsidR="00255504" w:rsidRPr="00620677" w:rsidRDefault="00255504" w:rsidP="00255504">
      <w:pPr>
        <w:widowControl w:val="0"/>
        <w:autoSpaceDE w:val="0"/>
        <w:autoSpaceDN w:val="0"/>
        <w:spacing w:after="0" w:line="276" w:lineRule="auto"/>
        <w:jc w:val="both"/>
        <w:rPr>
          <w:rFonts w:ascii="Verdana" w:hAnsi="Verdana" w:cs="Arial"/>
        </w:rPr>
      </w:pPr>
    </w:p>
    <w:p w14:paraId="05D7C1DA" w14:textId="77777777" w:rsidR="00255504" w:rsidRPr="00620677" w:rsidRDefault="00255504" w:rsidP="00255504">
      <w:pPr>
        <w:spacing w:after="0" w:line="276" w:lineRule="auto"/>
        <w:jc w:val="both"/>
        <w:rPr>
          <w:rFonts w:ascii="Verdana" w:hAnsi="Verdana" w:cs="Arial"/>
          <w:lang w:eastAsia="es-CO"/>
        </w:rPr>
      </w:pPr>
      <w:r w:rsidRPr="00620677">
        <w:rPr>
          <w:rFonts w:ascii="Verdana" w:eastAsia="Times New Roman" w:hAnsi="Verdana" w:cs="Arial"/>
          <w:lang w:eastAsia="es-CO"/>
        </w:rPr>
        <w:t>Atentamente,</w:t>
      </w:r>
      <w:r w:rsidRPr="00620677">
        <w:rPr>
          <w:rFonts w:ascii="Verdana" w:hAnsi="Verdana" w:cs="Arial"/>
          <w:lang w:eastAsia="es-CO"/>
        </w:rPr>
        <w:t xml:space="preserve"> </w:t>
      </w:r>
    </w:p>
    <w:p w14:paraId="41348C28" w14:textId="4BF3C2BA" w:rsidR="00255504" w:rsidRPr="00620677" w:rsidRDefault="00797217" w:rsidP="00255504">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61823EB9" wp14:editId="5CAD214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5504" w:rsidRPr="00620677" w14:paraId="17A88F4D" w14:textId="77777777" w:rsidTr="000E1161">
        <w:trPr>
          <w:trHeight w:val="315"/>
        </w:trPr>
        <w:tc>
          <w:tcPr>
            <w:tcW w:w="893" w:type="dxa"/>
            <w:vAlign w:val="center"/>
            <w:hideMark/>
          </w:tcPr>
          <w:p w14:paraId="17F1AAB5" w14:textId="77777777" w:rsidR="00255504" w:rsidRPr="00620677" w:rsidRDefault="00255504" w:rsidP="000E1161">
            <w:pPr>
              <w:contextualSpacing/>
              <w:rPr>
                <w:rFonts w:ascii="Verdana" w:hAnsi="Verdana" w:cs="Arial"/>
                <w:sz w:val="16"/>
                <w:szCs w:val="16"/>
                <w:lang w:val="es-ES" w:eastAsia="es-ES"/>
              </w:rPr>
            </w:pPr>
            <w:r w:rsidRPr="0062067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D2EA2DE" w14:textId="77777777" w:rsidR="00255504" w:rsidRPr="00620677" w:rsidRDefault="00255504" w:rsidP="000E1161">
            <w:pPr>
              <w:contextualSpacing/>
              <w:rPr>
                <w:rFonts w:ascii="Verdana" w:eastAsia="Arial" w:hAnsi="Verdana" w:cs="Arial"/>
                <w:sz w:val="16"/>
                <w:szCs w:val="16"/>
              </w:rPr>
            </w:pPr>
            <w:r w:rsidRPr="00620677">
              <w:rPr>
                <w:rFonts w:ascii="Verdana" w:eastAsia="Arial" w:hAnsi="Verdana" w:cs="Arial"/>
                <w:sz w:val="16"/>
                <w:szCs w:val="16"/>
              </w:rPr>
              <w:t>Ana María Ortiz Ballesteros</w:t>
            </w:r>
          </w:p>
          <w:p w14:paraId="712AF291" w14:textId="77777777" w:rsidR="00255504" w:rsidRPr="00620677" w:rsidRDefault="00255504" w:rsidP="000E1161">
            <w:pPr>
              <w:contextualSpacing/>
              <w:rPr>
                <w:rFonts w:ascii="Verdana" w:eastAsia="Arial" w:hAnsi="Verdana" w:cs="Arial"/>
                <w:sz w:val="16"/>
                <w:szCs w:val="16"/>
              </w:rPr>
            </w:pPr>
            <w:r w:rsidRPr="00620677">
              <w:rPr>
                <w:rStyle w:val="normaltextrun"/>
                <w:rFonts w:ascii="Verdana" w:eastAsia="Arial" w:hAnsi="Verdana" w:cs="Arial"/>
                <w:sz w:val="16"/>
                <w:szCs w:val="16"/>
              </w:rPr>
              <w:t>C</w:t>
            </w:r>
            <w:r w:rsidRPr="00620677">
              <w:rPr>
                <w:rStyle w:val="normaltextrun"/>
                <w:rFonts w:ascii="Verdana" w:hAnsi="Verdana"/>
                <w:sz w:val="16"/>
                <w:szCs w:val="16"/>
              </w:rPr>
              <w:t>ontratista</w:t>
            </w:r>
            <w:r w:rsidRPr="00620677">
              <w:rPr>
                <w:rStyle w:val="normaltextrun"/>
                <w:rFonts w:ascii="Verdana" w:eastAsia="Arial" w:hAnsi="Verdana" w:cs="Arial"/>
                <w:sz w:val="16"/>
                <w:szCs w:val="16"/>
              </w:rPr>
              <w:t xml:space="preserve"> de la Subdirección de Gestión Contractual</w:t>
            </w:r>
          </w:p>
        </w:tc>
      </w:tr>
      <w:tr w:rsidR="00255504" w:rsidRPr="00620677" w14:paraId="7E537751" w14:textId="77777777" w:rsidTr="000E1161">
        <w:trPr>
          <w:trHeight w:val="330"/>
        </w:trPr>
        <w:tc>
          <w:tcPr>
            <w:tcW w:w="893" w:type="dxa"/>
            <w:vAlign w:val="center"/>
            <w:hideMark/>
          </w:tcPr>
          <w:p w14:paraId="388E42BB" w14:textId="77777777" w:rsidR="00255504" w:rsidRPr="00620677" w:rsidRDefault="00255504" w:rsidP="000E1161">
            <w:pPr>
              <w:contextualSpacing/>
              <w:rPr>
                <w:rFonts w:ascii="Verdana" w:hAnsi="Verdana" w:cs="Arial"/>
                <w:sz w:val="16"/>
                <w:szCs w:val="16"/>
                <w:lang w:val="es-ES" w:eastAsia="es-ES"/>
              </w:rPr>
            </w:pPr>
            <w:r w:rsidRPr="0062067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A24810" w14:textId="719431D3" w:rsidR="00131BB9" w:rsidRPr="00620677" w:rsidRDefault="00131BB9" w:rsidP="000E1161">
            <w:pPr>
              <w:pStyle w:val="paragraph"/>
              <w:spacing w:before="0" w:beforeAutospacing="0" w:after="0" w:afterAutospacing="0"/>
              <w:contextualSpacing/>
              <w:textAlignment w:val="baseline"/>
              <w:rPr>
                <w:rFonts w:ascii="Verdana" w:hAnsi="Verdana" w:cs="Arial"/>
                <w:sz w:val="16"/>
                <w:szCs w:val="16"/>
              </w:rPr>
            </w:pPr>
            <w:r w:rsidRPr="00620677">
              <w:rPr>
                <w:rFonts w:ascii="Verdana" w:hAnsi="Verdana" w:cs="Arial"/>
                <w:sz w:val="16"/>
                <w:szCs w:val="16"/>
              </w:rPr>
              <w:t xml:space="preserve">Adriana </w:t>
            </w:r>
            <w:proofErr w:type="spellStart"/>
            <w:r w:rsidRPr="00620677">
              <w:rPr>
                <w:rFonts w:ascii="Verdana" w:hAnsi="Verdana" w:cs="Arial"/>
                <w:sz w:val="16"/>
                <w:szCs w:val="16"/>
              </w:rPr>
              <w:t>Katerine</w:t>
            </w:r>
            <w:proofErr w:type="spellEnd"/>
            <w:r w:rsidRPr="00620677">
              <w:rPr>
                <w:rFonts w:ascii="Verdana" w:hAnsi="Verdana" w:cs="Arial"/>
                <w:sz w:val="16"/>
                <w:szCs w:val="16"/>
              </w:rPr>
              <w:t xml:space="preserve"> López Rodríguez</w:t>
            </w:r>
          </w:p>
          <w:p w14:paraId="37276B7D" w14:textId="79022715" w:rsidR="00255504" w:rsidRPr="00620677" w:rsidRDefault="00255504" w:rsidP="000E1161">
            <w:pPr>
              <w:pStyle w:val="paragraph"/>
              <w:spacing w:before="0" w:beforeAutospacing="0" w:after="0" w:afterAutospacing="0"/>
              <w:contextualSpacing/>
              <w:textAlignment w:val="baseline"/>
              <w:rPr>
                <w:rFonts w:ascii="Verdana" w:hAnsi="Verdana" w:cs="Arial"/>
                <w:sz w:val="16"/>
                <w:szCs w:val="16"/>
              </w:rPr>
            </w:pPr>
            <w:r w:rsidRPr="00620677">
              <w:rPr>
                <w:rStyle w:val="normaltextrun"/>
                <w:rFonts w:ascii="Verdana" w:eastAsia="Arial" w:hAnsi="Verdana" w:cs="Arial"/>
                <w:sz w:val="16"/>
                <w:szCs w:val="16"/>
              </w:rPr>
              <w:t>C</w:t>
            </w:r>
            <w:r w:rsidRPr="00620677">
              <w:rPr>
                <w:rStyle w:val="normaltextrun"/>
                <w:rFonts w:ascii="Verdana" w:hAnsi="Verdana"/>
                <w:sz w:val="16"/>
                <w:szCs w:val="16"/>
              </w:rPr>
              <w:t>ontratista</w:t>
            </w:r>
            <w:r w:rsidRPr="00620677">
              <w:rPr>
                <w:rStyle w:val="normaltextrun"/>
                <w:rFonts w:ascii="Verdana" w:eastAsia="Arial" w:hAnsi="Verdana" w:cs="Arial"/>
                <w:sz w:val="16"/>
                <w:szCs w:val="16"/>
              </w:rPr>
              <w:t xml:space="preserve"> de la Subdirección de Gestión Contractual</w:t>
            </w:r>
          </w:p>
        </w:tc>
      </w:tr>
      <w:tr w:rsidR="00255504" w:rsidRPr="00620677" w14:paraId="7C44DEF7" w14:textId="77777777" w:rsidTr="000E1161">
        <w:trPr>
          <w:trHeight w:val="300"/>
        </w:trPr>
        <w:tc>
          <w:tcPr>
            <w:tcW w:w="893" w:type="dxa"/>
            <w:vAlign w:val="center"/>
          </w:tcPr>
          <w:p w14:paraId="6315679E" w14:textId="77777777" w:rsidR="00255504" w:rsidRPr="00620677" w:rsidRDefault="00255504" w:rsidP="000E1161">
            <w:pPr>
              <w:contextualSpacing/>
              <w:rPr>
                <w:rFonts w:ascii="Verdana" w:hAnsi="Verdana" w:cs="Arial"/>
                <w:sz w:val="16"/>
                <w:szCs w:val="16"/>
                <w:lang w:val="es-ES" w:eastAsia="es-ES"/>
              </w:rPr>
            </w:pPr>
            <w:r w:rsidRPr="0062067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3508B7" w14:textId="77777777" w:rsidR="00255504" w:rsidRPr="00620677" w:rsidRDefault="00255504" w:rsidP="000E1161">
            <w:pPr>
              <w:contextualSpacing/>
              <w:rPr>
                <w:rFonts w:ascii="Verdana" w:eastAsia="Calibri" w:hAnsi="Verdana" w:cs="Arial"/>
                <w:sz w:val="16"/>
                <w:szCs w:val="16"/>
                <w:lang w:val="pt-BR" w:eastAsia="es-ES"/>
              </w:rPr>
            </w:pPr>
            <w:r w:rsidRPr="00620677">
              <w:rPr>
                <w:rFonts w:ascii="Verdana" w:eastAsia="Calibri" w:hAnsi="Verdana" w:cs="Arial"/>
                <w:sz w:val="16"/>
                <w:szCs w:val="16"/>
                <w:lang w:val="pt-BR" w:eastAsia="es-ES"/>
              </w:rPr>
              <w:t xml:space="preserve">Carolina Quintero </w:t>
            </w:r>
            <w:proofErr w:type="spellStart"/>
            <w:r w:rsidRPr="00620677">
              <w:rPr>
                <w:rFonts w:ascii="Verdana" w:eastAsia="Calibri" w:hAnsi="Verdana" w:cs="Arial"/>
                <w:sz w:val="16"/>
                <w:szCs w:val="16"/>
                <w:lang w:val="pt-BR" w:eastAsia="es-ES"/>
              </w:rPr>
              <w:t>Gacharná</w:t>
            </w:r>
            <w:proofErr w:type="spellEnd"/>
          </w:p>
          <w:p w14:paraId="589C3908" w14:textId="77777777" w:rsidR="00255504" w:rsidRPr="00620677" w:rsidRDefault="00255504" w:rsidP="000E1161">
            <w:pPr>
              <w:contextualSpacing/>
              <w:rPr>
                <w:rFonts w:ascii="Verdana" w:eastAsia="Calibri" w:hAnsi="Verdana" w:cs="Arial"/>
                <w:sz w:val="16"/>
                <w:szCs w:val="16"/>
                <w:lang w:val="pt-BR" w:eastAsia="es-ES"/>
              </w:rPr>
            </w:pPr>
            <w:r w:rsidRPr="00620677">
              <w:rPr>
                <w:rFonts w:ascii="Verdana" w:eastAsia="Calibri" w:hAnsi="Verdana" w:cs="Arial"/>
                <w:sz w:val="16"/>
                <w:szCs w:val="16"/>
                <w:lang w:eastAsia="es-ES"/>
              </w:rPr>
              <w:t>Subdirectora</w:t>
            </w:r>
            <w:r w:rsidRPr="00620677">
              <w:rPr>
                <w:rFonts w:ascii="Verdana" w:eastAsia="Calibri" w:hAnsi="Verdana" w:cs="Arial"/>
                <w:sz w:val="16"/>
                <w:szCs w:val="16"/>
                <w:lang w:val="pt-BR" w:eastAsia="es-ES"/>
              </w:rPr>
              <w:t xml:space="preserve"> de Gestión Contractual ANCP – CCE</w:t>
            </w:r>
          </w:p>
        </w:tc>
      </w:tr>
    </w:tbl>
    <w:p w14:paraId="69BC4D14" w14:textId="0960DAAC" w:rsidR="00C15139" w:rsidRPr="00620677" w:rsidRDefault="00C15139" w:rsidP="30821638">
      <w:pPr>
        <w:spacing w:after="0" w:line="240" w:lineRule="auto"/>
        <w:textAlignment w:val="baseline"/>
        <w:rPr>
          <w:rFonts w:ascii="Verdana" w:eastAsia="Verdana" w:hAnsi="Verdana" w:cs="Verdana"/>
          <w:lang w:eastAsia="es-CO"/>
        </w:rPr>
      </w:pPr>
      <w:r w:rsidRPr="00620677">
        <w:rPr>
          <w:rFonts w:ascii="Verdana" w:eastAsia="Verdana" w:hAnsi="Verdana" w:cs="Verdana"/>
          <w:lang w:eastAsia="es-CO"/>
        </w:rPr>
        <w:t> </w:t>
      </w:r>
    </w:p>
    <w:bookmarkEnd w:id="0"/>
    <w:p w14:paraId="0F293BF4" w14:textId="77662130" w:rsidR="00127233" w:rsidRPr="00620677" w:rsidRDefault="00127233" w:rsidP="00255504">
      <w:pPr>
        <w:spacing w:after="0" w:line="240" w:lineRule="auto"/>
        <w:jc w:val="both"/>
        <w:textAlignment w:val="baseline"/>
        <w:rPr>
          <w:rFonts w:ascii="Verdana" w:eastAsia="Verdana" w:hAnsi="Verdana" w:cs="Verdana"/>
          <w:lang w:eastAsia="es-CO"/>
        </w:rPr>
      </w:pPr>
    </w:p>
    <w:sectPr w:rsidR="00127233" w:rsidRPr="00620677"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F93A6" w14:textId="77777777" w:rsidR="00007B57" w:rsidRDefault="00007B57" w:rsidP="004A1847">
      <w:pPr>
        <w:spacing w:after="0" w:line="240" w:lineRule="auto"/>
      </w:pPr>
      <w:r>
        <w:separator/>
      </w:r>
    </w:p>
  </w:endnote>
  <w:endnote w:type="continuationSeparator" w:id="0">
    <w:p w14:paraId="44B81DF0" w14:textId="77777777" w:rsidR="00007B57" w:rsidRDefault="00007B5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7DDA3" w14:textId="77777777" w:rsidR="00007B57" w:rsidRDefault="00007B57" w:rsidP="004A1847">
      <w:pPr>
        <w:spacing w:after="0" w:line="240" w:lineRule="auto"/>
      </w:pPr>
      <w:r>
        <w:separator/>
      </w:r>
    </w:p>
  </w:footnote>
  <w:footnote w:type="continuationSeparator" w:id="0">
    <w:p w14:paraId="7655604D" w14:textId="77777777" w:rsidR="00007B57" w:rsidRDefault="00007B57" w:rsidP="004A1847">
      <w:pPr>
        <w:spacing w:after="0" w:line="240" w:lineRule="auto"/>
      </w:pPr>
      <w:r>
        <w:continuationSeparator/>
      </w:r>
    </w:p>
  </w:footnote>
  <w:footnote w:id="1">
    <w:p w14:paraId="060C7B15" w14:textId="77777777" w:rsidR="00DF34EB" w:rsidRPr="00196147" w:rsidRDefault="00DF34EB" w:rsidP="00196147">
      <w:pPr>
        <w:pStyle w:val="Textonotapie"/>
        <w:ind w:firstLine="708"/>
        <w:jc w:val="both"/>
        <w:rPr>
          <w:rFonts w:ascii="Verdana" w:hAnsi="Verdana" w:cs="Arial"/>
          <w:sz w:val="18"/>
          <w:szCs w:val="18"/>
          <w:lang w:val="es-CO"/>
        </w:rPr>
      </w:pPr>
      <w:r w:rsidRPr="00196147">
        <w:rPr>
          <w:rStyle w:val="Refdenotaalpie"/>
          <w:rFonts w:ascii="Verdana" w:hAnsi="Verdana" w:cs="Arial"/>
          <w:sz w:val="18"/>
          <w:szCs w:val="18"/>
        </w:rPr>
        <w:footnoteRef/>
      </w:r>
      <w:r w:rsidRPr="00196147">
        <w:rPr>
          <w:rFonts w:ascii="Verdana" w:hAnsi="Verdana" w:cs="Arial"/>
          <w:sz w:val="18"/>
          <w:szCs w:val="18"/>
        </w:rPr>
        <w:t xml:space="preserve"> Numeral 10 del artículo 3 del Decreto Ley 4170 de 2011.</w:t>
      </w:r>
    </w:p>
  </w:footnote>
  <w:footnote w:id="2">
    <w:p w14:paraId="27DA754D" w14:textId="77777777" w:rsidR="00DF34EB" w:rsidRPr="00196147" w:rsidRDefault="00DF34EB" w:rsidP="00196147">
      <w:pPr>
        <w:pStyle w:val="Textonotapie"/>
        <w:ind w:firstLine="708"/>
        <w:rPr>
          <w:rFonts w:ascii="Verdana" w:hAnsi="Verdana"/>
          <w:sz w:val="18"/>
          <w:szCs w:val="18"/>
          <w:lang w:val="es-ES"/>
        </w:rPr>
      </w:pPr>
      <w:r w:rsidRPr="00196147">
        <w:rPr>
          <w:rStyle w:val="Refdenotaalpie"/>
          <w:rFonts w:ascii="Verdana" w:hAnsi="Verdana"/>
          <w:sz w:val="18"/>
          <w:szCs w:val="18"/>
        </w:rPr>
        <w:footnoteRef/>
      </w:r>
      <w:r w:rsidRPr="00196147">
        <w:rPr>
          <w:rFonts w:ascii="Verdana" w:hAnsi="Verdana"/>
          <w:sz w:val="18"/>
          <w:szCs w:val="18"/>
        </w:rPr>
        <w:t xml:space="preserve"> </w:t>
      </w:r>
      <w:r w:rsidRPr="00196147">
        <w:rPr>
          <w:rFonts w:ascii="Verdana" w:hAnsi="Verdana"/>
          <w:sz w:val="18"/>
          <w:szCs w:val="18"/>
          <w:lang w:val="es-ES"/>
        </w:rPr>
        <w:t>Artículo 2.2.1.2.5.2.</w:t>
      </w:r>
    </w:p>
  </w:footnote>
  <w:footnote w:id="3">
    <w:p w14:paraId="649DE536" w14:textId="77777777" w:rsidR="001F54E7" w:rsidRDefault="00DF34EB" w:rsidP="001F54E7">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sz w:val="18"/>
          <w:szCs w:val="18"/>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sidR="001F54E7">
        <w:rPr>
          <w:rFonts w:ascii="Verdana" w:hAnsi="Verdana" w:cs="Arial"/>
          <w:sz w:val="18"/>
          <w:szCs w:val="18"/>
        </w:rPr>
        <w:t xml:space="preserve"> </w:t>
      </w:r>
      <w:r w:rsidRPr="00196147">
        <w:rPr>
          <w:rFonts w:ascii="Verdana" w:hAnsi="Verdana" w:cs="Arial"/>
          <w:sz w:val="18"/>
          <w:szCs w:val="18"/>
        </w:rPr>
        <w:t xml:space="preserve">relacionada con los procedimientos de la entidad”: </w:t>
      </w:r>
      <w:hyperlink r:id="rId1" w:history="1">
        <w:r w:rsidR="00196147" w:rsidRPr="00875F63">
          <w:rPr>
            <w:rStyle w:val="Hipervnculo"/>
            <w:rFonts w:ascii="Verdana" w:hAnsi="Verdana" w:cs="Arial"/>
            <w:sz w:val="18"/>
            <w:szCs w:val="18"/>
          </w:rPr>
          <w:t>https://www.colciencias.gov.co/sites/default/files/ckeditor_files/G102PR01-procedimiento-elaboracion- control.pdf</w:t>
        </w:r>
      </w:hyperlink>
      <w:r w:rsidR="00196147">
        <w:rPr>
          <w:rFonts w:ascii="Verdana" w:hAnsi="Verdana" w:cs="Arial"/>
          <w:sz w:val="18"/>
          <w:szCs w:val="18"/>
        </w:rPr>
        <w:t xml:space="preserve"> </w:t>
      </w:r>
    </w:p>
    <w:p w14:paraId="0E35593D" w14:textId="4391D33E" w:rsidR="00DF34EB" w:rsidRPr="00196147" w:rsidRDefault="00DF34EB" w:rsidP="001F54E7">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196147">
        <w:rPr>
          <w:rFonts w:ascii="Verdana" w:hAnsi="Verdana" w:cs="Arial"/>
          <w:sz w:val="18"/>
          <w:szCs w:val="18"/>
        </w:rPr>
        <w:t xml:space="preserve">Para la Autoridad Nacional de Licencias Ambientales los manuales y guías </w:t>
      </w:r>
      <w:r w:rsidRPr="00196147">
        <w:rPr>
          <w:rFonts w:ascii="Verdana" w:hAnsi="Verdana" w:cs="Arial"/>
          <w:sz w:val="18"/>
          <w:szCs w:val="18"/>
          <w:lang w:val="es-MX"/>
        </w:rPr>
        <w:t>“</w:t>
      </w:r>
      <w:r w:rsidRPr="00196147">
        <w:rPr>
          <w:rFonts w:ascii="Verdana" w:hAnsi="Verdana" w:cs="Arial"/>
          <w:sz w:val="18"/>
          <w:szCs w:val="18"/>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2">
        <w:r w:rsidRPr="00196147">
          <w:rPr>
            <w:rFonts w:ascii="Verdana" w:hAnsi="Verdana" w:cs="Arial"/>
            <w:sz w:val="18"/>
            <w:szCs w:val="18"/>
          </w:rPr>
          <w:t>http://portal.anla.gov.co/manuales-y-guias</w:t>
        </w:r>
      </w:hyperlink>
      <w:r w:rsidR="001F54E7">
        <w:rPr>
          <w:rFonts w:ascii="Verdana" w:hAnsi="Verdana"/>
          <w:sz w:val="18"/>
          <w:szCs w:val="18"/>
        </w:rPr>
        <w:t xml:space="preserve"> </w:t>
      </w:r>
    </w:p>
  </w:footnote>
  <w:footnote w:id="4">
    <w:p w14:paraId="6864CC9E" w14:textId="224345AD" w:rsidR="005C3210" w:rsidRPr="00196147" w:rsidRDefault="005C3210" w:rsidP="00AE3E3E">
      <w:pPr>
        <w:snapToGrid w:val="0"/>
        <w:spacing w:after="0" w:line="240" w:lineRule="auto"/>
        <w:ind w:firstLine="707"/>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position w:val="6"/>
          <w:sz w:val="18"/>
          <w:szCs w:val="18"/>
        </w:rPr>
        <w:t xml:space="preserve"> </w:t>
      </w:r>
      <w:r w:rsidRPr="00196147">
        <w:rPr>
          <w:rFonts w:ascii="Verdana" w:hAnsi="Verdana" w:cs="Arial"/>
          <w:sz w:val="18"/>
          <w:szCs w:val="18"/>
        </w:rPr>
        <w:t>DEIK ACOSTAMADIEDO, Carolina, Guía de Contratación Estatal: Deber de planeación y modalidades de selección, Buenos Aires, 2015, p. 59.</w:t>
      </w:r>
    </w:p>
  </w:footnote>
  <w:footnote w:id="5">
    <w:p w14:paraId="7E0ABB23" w14:textId="77777777" w:rsidR="005C3210" w:rsidRPr="00196147" w:rsidRDefault="005C3210" w:rsidP="00AE3E3E">
      <w:pPr>
        <w:pStyle w:val="Textoindependiente"/>
        <w:snapToGrid w:val="0"/>
        <w:spacing w:after="0" w:line="240" w:lineRule="auto"/>
        <w:ind w:firstLine="709"/>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sz w:val="18"/>
          <w:szCs w:val="18"/>
        </w:rPr>
        <w:t xml:space="preserve"> “Artículo </w:t>
      </w:r>
      <w:bookmarkStart w:id="3" w:name="_Hlk54173885"/>
      <w:r w:rsidRPr="00196147">
        <w:rPr>
          <w:rFonts w:ascii="Verdana" w:hAnsi="Verdana" w:cs="Arial"/>
          <w:sz w:val="18"/>
          <w:szCs w:val="18"/>
        </w:rPr>
        <w:t>2.2.1.1.2.1.1</w:t>
      </w:r>
      <w:bookmarkEnd w:id="3"/>
      <w:r w:rsidRPr="00196147">
        <w:rPr>
          <w:rFonts w:ascii="Verdana" w:hAnsi="Verdana" w:cs="Arial"/>
          <w:sz w:val="18"/>
          <w:szCs w:val="18"/>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footnote>
  <w:footnote w:id="6">
    <w:p w14:paraId="7CBA2393" w14:textId="77777777" w:rsidR="005C3210" w:rsidRPr="00196147" w:rsidRDefault="005C3210" w:rsidP="00AE3E3E">
      <w:pPr>
        <w:pStyle w:val="Textoindependiente"/>
        <w:snapToGrid w:val="0"/>
        <w:spacing w:after="0" w:line="240" w:lineRule="auto"/>
        <w:ind w:firstLine="709"/>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sz w:val="18"/>
          <w:szCs w:val="18"/>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7">
    <w:p w14:paraId="0BF3B3F8" w14:textId="77777777" w:rsidR="005C3210" w:rsidRPr="00196147" w:rsidRDefault="005C3210" w:rsidP="00196147">
      <w:pPr>
        <w:pStyle w:val="Textonotapie"/>
        <w:snapToGrid w:val="0"/>
        <w:ind w:firstLine="708"/>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sz w:val="18"/>
          <w:szCs w:val="18"/>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8">
    <w:p w14:paraId="3D86C6F8" w14:textId="18C909FC" w:rsidR="005C3210" w:rsidRPr="00196147" w:rsidRDefault="005C3210" w:rsidP="00196147">
      <w:pPr>
        <w:pStyle w:val="Textonotapie"/>
        <w:snapToGrid w:val="0"/>
        <w:ind w:firstLine="708"/>
        <w:jc w:val="both"/>
        <w:rPr>
          <w:rFonts w:ascii="Verdana" w:hAnsi="Verdana" w:cs="Arial"/>
          <w:sz w:val="18"/>
          <w:szCs w:val="18"/>
        </w:rPr>
      </w:pPr>
      <w:r w:rsidRPr="00196147">
        <w:rPr>
          <w:rStyle w:val="Refdenotaalpie"/>
          <w:rFonts w:ascii="Verdana" w:hAnsi="Verdana" w:cs="Arial"/>
          <w:sz w:val="18"/>
          <w:szCs w:val="18"/>
        </w:rPr>
        <w:footnoteRef/>
      </w:r>
      <w:r w:rsidRPr="00196147">
        <w:rPr>
          <w:rFonts w:ascii="Verdana" w:hAnsi="Verdana" w:cs="Arial"/>
          <w:sz w:val="18"/>
          <w:szCs w:val="18"/>
        </w:rPr>
        <w:t xml:space="preserve"> Colombia Compra Eficiente. </w:t>
      </w:r>
      <w:r w:rsidRPr="00196147">
        <w:rPr>
          <w:rFonts w:ascii="Verdana" w:eastAsia="Calibri" w:hAnsi="Verdana" w:cs="Arial"/>
          <w:bCs/>
          <w:sz w:val="18"/>
          <w:szCs w:val="18"/>
          <w:lang w:val="es-ES_tradnl" w:eastAsia="es-ES_tradnl"/>
        </w:rPr>
        <w:t>Guía de Elaboración de Estudios del Sector</w:t>
      </w:r>
      <w:r w:rsidRPr="00196147">
        <w:rPr>
          <w:rFonts w:ascii="Verdana" w:hAnsi="Verdana" w:cs="Arial"/>
          <w:sz w:val="18"/>
          <w:szCs w:val="18"/>
        </w:rPr>
        <w:t xml:space="preserve">. Disponible en: </w:t>
      </w:r>
      <w:hyperlink r:id="rId3" w:history="1">
        <w:r w:rsidR="00196147" w:rsidRPr="00196147">
          <w:rPr>
            <w:rStyle w:val="Hipervnculo"/>
            <w:rFonts w:ascii="Verdana" w:hAnsi="Verdana"/>
            <w:sz w:val="18"/>
            <w:szCs w:val="18"/>
          </w:rPr>
          <w:t>https://www.colombiacompra.gov.co/wp-content/uploads/2025/09/Guia-para-la-Elaboracion-de-Estudios-del-Sector-V3.pdf</w:t>
        </w:r>
      </w:hyperlink>
      <w:r w:rsidR="00196147" w:rsidRPr="0019614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89201040">
    <w:abstractNumId w:val="0"/>
  </w:num>
  <w:num w:numId="17" w16cid:durableId="222445883">
    <w:abstractNumId w:val="10"/>
  </w:num>
  <w:num w:numId="18" w16cid:durableId="1542086715">
    <w:abstractNumId w:val="9"/>
  </w:num>
  <w:num w:numId="19" w16cid:durableId="17234823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D06"/>
    <w:rsid w:val="00007089"/>
    <w:rsid w:val="00007B57"/>
    <w:rsid w:val="00010DC9"/>
    <w:rsid w:val="00012A9D"/>
    <w:rsid w:val="00016F78"/>
    <w:rsid w:val="00017916"/>
    <w:rsid w:val="0003440E"/>
    <w:rsid w:val="00046945"/>
    <w:rsid w:val="00047C20"/>
    <w:rsid w:val="00051F21"/>
    <w:rsid w:val="00057F8C"/>
    <w:rsid w:val="00061B2A"/>
    <w:rsid w:val="000747D7"/>
    <w:rsid w:val="00074DAE"/>
    <w:rsid w:val="00075EFE"/>
    <w:rsid w:val="000803A4"/>
    <w:rsid w:val="00082362"/>
    <w:rsid w:val="00093037"/>
    <w:rsid w:val="0009529A"/>
    <w:rsid w:val="000A22E9"/>
    <w:rsid w:val="000A683E"/>
    <w:rsid w:val="000B1593"/>
    <w:rsid w:val="000B19B9"/>
    <w:rsid w:val="000B1D94"/>
    <w:rsid w:val="000D0334"/>
    <w:rsid w:val="000D5DA7"/>
    <w:rsid w:val="000F6486"/>
    <w:rsid w:val="000F710A"/>
    <w:rsid w:val="0011584C"/>
    <w:rsid w:val="00116940"/>
    <w:rsid w:val="00120FDF"/>
    <w:rsid w:val="00125105"/>
    <w:rsid w:val="00127233"/>
    <w:rsid w:val="0012724C"/>
    <w:rsid w:val="00127F3A"/>
    <w:rsid w:val="00131BB9"/>
    <w:rsid w:val="001329E0"/>
    <w:rsid w:val="00154A8E"/>
    <w:rsid w:val="0015699B"/>
    <w:rsid w:val="00161E8F"/>
    <w:rsid w:val="00165AAB"/>
    <w:rsid w:val="00185239"/>
    <w:rsid w:val="00191E9E"/>
    <w:rsid w:val="00196147"/>
    <w:rsid w:val="001A33BF"/>
    <w:rsid w:val="001A665B"/>
    <w:rsid w:val="001B268E"/>
    <w:rsid w:val="001C2F93"/>
    <w:rsid w:val="001D00DE"/>
    <w:rsid w:val="001D639C"/>
    <w:rsid w:val="001E4177"/>
    <w:rsid w:val="001F0B24"/>
    <w:rsid w:val="001F3D4E"/>
    <w:rsid w:val="001F54E7"/>
    <w:rsid w:val="001F6868"/>
    <w:rsid w:val="001F7DC6"/>
    <w:rsid w:val="002019A8"/>
    <w:rsid w:val="002019D9"/>
    <w:rsid w:val="002041F1"/>
    <w:rsid w:val="0022400B"/>
    <w:rsid w:val="002262E1"/>
    <w:rsid w:val="002421BB"/>
    <w:rsid w:val="0024380A"/>
    <w:rsid w:val="002475F9"/>
    <w:rsid w:val="002476B1"/>
    <w:rsid w:val="00255504"/>
    <w:rsid w:val="0025696C"/>
    <w:rsid w:val="0025796E"/>
    <w:rsid w:val="002707A2"/>
    <w:rsid w:val="002951A0"/>
    <w:rsid w:val="002962BC"/>
    <w:rsid w:val="002A093D"/>
    <w:rsid w:val="002A0DD0"/>
    <w:rsid w:val="002A49AC"/>
    <w:rsid w:val="002A64FD"/>
    <w:rsid w:val="002C7A84"/>
    <w:rsid w:val="002E2BF8"/>
    <w:rsid w:val="002E4957"/>
    <w:rsid w:val="002E4FD9"/>
    <w:rsid w:val="002E7783"/>
    <w:rsid w:val="002F25A6"/>
    <w:rsid w:val="003057A5"/>
    <w:rsid w:val="0030657A"/>
    <w:rsid w:val="00322A85"/>
    <w:rsid w:val="00324168"/>
    <w:rsid w:val="00324AF3"/>
    <w:rsid w:val="00330834"/>
    <w:rsid w:val="0033292B"/>
    <w:rsid w:val="003345E9"/>
    <w:rsid w:val="00336B9B"/>
    <w:rsid w:val="003407D7"/>
    <w:rsid w:val="003448F4"/>
    <w:rsid w:val="00357CA8"/>
    <w:rsid w:val="003643D4"/>
    <w:rsid w:val="00374F5E"/>
    <w:rsid w:val="00377E3E"/>
    <w:rsid w:val="003802EE"/>
    <w:rsid w:val="00383E9C"/>
    <w:rsid w:val="003A779E"/>
    <w:rsid w:val="003B656B"/>
    <w:rsid w:val="003D0C44"/>
    <w:rsid w:val="003D0F4D"/>
    <w:rsid w:val="003D5B0D"/>
    <w:rsid w:val="003E0499"/>
    <w:rsid w:val="003E4F80"/>
    <w:rsid w:val="003E6439"/>
    <w:rsid w:val="003E64EE"/>
    <w:rsid w:val="003E69C5"/>
    <w:rsid w:val="003E6B61"/>
    <w:rsid w:val="003F3941"/>
    <w:rsid w:val="00406575"/>
    <w:rsid w:val="00410BD8"/>
    <w:rsid w:val="00414C74"/>
    <w:rsid w:val="0042722E"/>
    <w:rsid w:val="00435EB7"/>
    <w:rsid w:val="0044528D"/>
    <w:rsid w:val="004454D5"/>
    <w:rsid w:val="00466E39"/>
    <w:rsid w:val="00490FB6"/>
    <w:rsid w:val="004A1847"/>
    <w:rsid w:val="004A305D"/>
    <w:rsid w:val="004B6611"/>
    <w:rsid w:val="004B66DE"/>
    <w:rsid w:val="004C2A6C"/>
    <w:rsid w:val="004D71DA"/>
    <w:rsid w:val="004F11D9"/>
    <w:rsid w:val="004F21C4"/>
    <w:rsid w:val="004F685F"/>
    <w:rsid w:val="005044ED"/>
    <w:rsid w:val="00522E05"/>
    <w:rsid w:val="005523E7"/>
    <w:rsid w:val="00555070"/>
    <w:rsid w:val="005566E8"/>
    <w:rsid w:val="00574867"/>
    <w:rsid w:val="00576FF9"/>
    <w:rsid w:val="00582159"/>
    <w:rsid w:val="00591460"/>
    <w:rsid w:val="00592382"/>
    <w:rsid w:val="005A645E"/>
    <w:rsid w:val="005A65E0"/>
    <w:rsid w:val="005B3EE4"/>
    <w:rsid w:val="005C3210"/>
    <w:rsid w:val="005C3777"/>
    <w:rsid w:val="005C5CDC"/>
    <w:rsid w:val="005D476C"/>
    <w:rsid w:val="005E4C40"/>
    <w:rsid w:val="006153AA"/>
    <w:rsid w:val="0061623B"/>
    <w:rsid w:val="006200BF"/>
    <w:rsid w:val="00620677"/>
    <w:rsid w:val="006219F8"/>
    <w:rsid w:val="006302F7"/>
    <w:rsid w:val="00630B50"/>
    <w:rsid w:val="00646B9F"/>
    <w:rsid w:val="00651003"/>
    <w:rsid w:val="00655212"/>
    <w:rsid w:val="00665D70"/>
    <w:rsid w:val="006668DB"/>
    <w:rsid w:val="006900D9"/>
    <w:rsid w:val="006A20CF"/>
    <w:rsid w:val="006A2896"/>
    <w:rsid w:val="006B20FC"/>
    <w:rsid w:val="00706C16"/>
    <w:rsid w:val="00714D3F"/>
    <w:rsid w:val="007311F5"/>
    <w:rsid w:val="007340C3"/>
    <w:rsid w:val="00735EFE"/>
    <w:rsid w:val="00744B98"/>
    <w:rsid w:val="0075235A"/>
    <w:rsid w:val="00756841"/>
    <w:rsid w:val="007649AB"/>
    <w:rsid w:val="00771D0C"/>
    <w:rsid w:val="007744DF"/>
    <w:rsid w:val="007833AC"/>
    <w:rsid w:val="00795008"/>
    <w:rsid w:val="00797217"/>
    <w:rsid w:val="007B268C"/>
    <w:rsid w:val="007B51A5"/>
    <w:rsid w:val="007B7171"/>
    <w:rsid w:val="007C0C0F"/>
    <w:rsid w:val="007C3DC2"/>
    <w:rsid w:val="007D618E"/>
    <w:rsid w:val="007E408D"/>
    <w:rsid w:val="007E5497"/>
    <w:rsid w:val="007F1802"/>
    <w:rsid w:val="00806F5F"/>
    <w:rsid w:val="008072F1"/>
    <w:rsid w:val="00820278"/>
    <w:rsid w:val="008258C9"/>
    <w:rsid w:val="008321C6"/>
    <w:rsid w:val="00836C96"/>
    <w:rsid w:val="00842FEA"/>
    <w:rsid w:val="00844AE9"/>
    <w:rsid w:val="00851285"/>
    <w:rsid w:val="00867F95"/>
    <w:rsid w:val="00875BB4"/>
    <w:rsid w:val="008821F3"/>
    <w:rsid w:val="008843B6"/>
    <w:rsid w:val="00891928"/>
    <w:rsid w:val="008A446D"/>
    <w:rsid w:val="008A79E2"/>
    <w:rsid w:val="008B25F1"/>
    <w:rsid w:val="008B42D4"/>
    <w:rsid w:val="008C338F"/>
    <w:rsid w:val="008C7ACD"/>
    <w:rsid w:val="008D180B"/>
    <w:rsid w:val="008F0EA7"/>
    <w:rsid w:val="00915589"/>
    <w:rsid w:val="00923A20"/>
    <w:rsid w:val="00923EEF"/>
    <w:rsid w:val="009303F4"/>
    <w:rsid w:val="009419F9"/>
    <w:rsid w:val="00952BFA"/>
    <w:rsid w:val="0095685E"/>
    <w:rsid w:val="00961B09"/>
    <w:rsid w:val="00965334"/>
    <w:rsid w:val="0097093E"/>
    <w:rsid w:val="00991248"/>
    <w:rsid w:val="00994FDD"/>
    <w:rsid w:val="009A0DFA"/>
    <w:rsid w:val="009A1C6F"/>
    <w:rsid w:val="009A237B"/>
    <w:rsid w:val="009B2D26"/>
    <w:rsid w:val="009C71FA"/>
    <w:rsid w:val="009C72E7"/>
    <w:rsid w:val="009C7F7E"/>
    <w:rsid w:val="009D0757"/>
    <w:rsid w:val="009D3058"/>
    <w:rsid w:val="009D6ECA"/>
    <w:rsid w:val="009F3A13"/>
    <w:rsid w:val="00A0521B"/>
    <w:rsid w:val="00A10B8D"/>
    <w:rsid w:val="00A122D3"/>
    <w:rsid w:val="00A14468"/>
    <w:rsid w:val="00A1526F"/>
    <w:rsid w:val="00A17F13"/>
    <w:rsid w:val="00A20739"/>
    <w:rsid w:val="00A233D5"/>
    <w:rsid w:val="00A23AF9"/>
    <w:rsid w:val="00A25543"/>
    <w:rsid w:val="00A27562"/>
    <w:rsid w:val="00A33C78"/>
    <w:rsid w:val="00A40848"/>
    <w:rsid w:val="00A774C1"/>
    <w:rsid w:val="00A96E47"/>
    <w:rsid w:val="00AB0ADB"/>
    <w:rsid w:val="00AE3E3E"/>
    <w:rsid w:val="00AF39BB"/>
    <w:rsid w:val="00B00C0E"/>
    <w:rsid w:val="00B01B1A"/>
    <w:rsid w:val="00B0373D"/>
    <w:rsid w:val="00B0381D"/>
    <w:rsid w:val="00B050A3"/>
    <w:rsid w:val="00B2427D"/>
    <w:rsid w:val="00B2432B"/>
    <w:rsid w:val="00B27F58"/>
    <w:rsid w:val="00B44A47"/>
    <w:rsid w:val="00B5704B"/>
    <w:rsid w:val="00B72CD3"/>
    <w:rsid w:val="00B72FFF"/>
    <w:rsid w:val="00B80803"/>
    <w:rsid w:val="00B852EC"/>
    <w:rsid w:val="00B93D0A"/>
    <w:rsid w:val="00B97070"/>
    <w:rsid w:val="00BC3D36"/>
    <w:rsid w:val="00BC6987"/>
    <w:rsid w:val="00BD463A"/>
    <w:rsid w:val="00BD4A22"/>
    <w:rsid w:val="00BD54A6"/>
    <w:rsid w:val="00BD7F72"/>
    <w:rsid w:val="00BE33D0"/>
    <w:rsid w:val="00BF7425"/>
    <w:rsid w:val="00C014F2"/>
    <w:rsid w:val="00C02A0B"/>
    <w:rsid w:val="00C04FB3"/>
    <w:rsid w:val="00C11D8B"/>
    <w:rsid w:val="00C15139"/>
    <w:rsid w:val="00C27AF6"/>
    <w:rsid w:val="00C330EB"/>
    <w:rsid w:val="00C33285"/>
    <w:rsid w:val="00C50D69"/>
    <w:rsid w:val="00C5365C"/>
    <w:rsid w:val="00C754BE"/>
    <w:rsid w:val="00C76B1C"/>
    <w:rsid w:val="00C833B6"/>
    <w:rsid w:val="00C925AC"/>
    <w:rsid w:val="00CA1497"/>
    <w:rsid w:val="00CA42FC"/>
    <w:rsid w:val="00CB6357"/>
    <w:rsid w:val="00CC1B26"/>
    <w:rsid w:val="00CC3D04"/>
    <w:rsid w:val="00CE1C37"/>
    <w:rsid w:val="00CE4132"/>
    <w:rsid w:val="00CF09A7"/>
    <w:rsid w:val="00CF3094"/>
    <w:rsid w:val="00D154FD"/>
    <w:rsid w:val="00D311B3"/>
    <w:rsid w:val="00D32849"/>
    <w:rsid w:val="00D335E9"/>
    <w:rsid w:val="00D361FD"/>
    <w:rsid w:val="00D423A2"/>
    <w:rsid w:val="00D44E26"/>
    <w:rsid w:val="00D50B11"/>
    <w:rsid w:val="00D51690"/>
    <w:rsid w:val="00D520D8"/>
    <w:rsid w:val="00D5647D"/>
    <w:rsid w:val="00D63AC2"/>
    <w:rsid w:val="00D65D11"/>
    <w:rsid w:val="00D7383B"/>
    <w:rsid w:val="00D74417"/>
    <w:rsid w:val="00D7788A"/>
    <w:rsid w:val="00D87466"/>
    <w:rsid w:val="00DA0041"/>
    <w:rsid w:val="00DA218F"/>
    <w:rsid w:val="00DA231B"/>
    <w:rsid w:val="00DB45E4"/>
    <w:rsid w:val="00DB684B"/>
    <w:rsid w:val="00DC0914"/>
    <w:rsid w:val="00DC2635"/>
    <w:rsid w:val="00DC39FC"/>
    <w:rsid w:val="00DC3DB7"/>
    <w:rsid w:val="00DD2CDF"/>
    <w:rsid w:val="00DE36CD"/>
    <w:rsid w:val="00DE605E"/>
    <w:rsid w:val="00DF0648"/>
    <w:rsid w:val="00DF34EB"/>
    <w:rsid w:val="00DF43A5"/>
    <w:rsid w:val="00DF5254"/>
    <w:rsid w:val="00E00777"/>
    <w:rsid w:val="00E02524"/>
    <w:rsid w:val="00E053E3"/>
    <w:rsid w:val="00E07781"/>
    <w:rsid w:val="00E16408"/>
    <w:rsid w:val="00E20894"/>
    <w:rsid w:val="00E23F94"/>
    <w:rsid w:val="00E245AB"/>
    <w:rsid w:val="00E24B21"/>
    <w:rsid w:val="00E2764C"/>
    <w:rsid w:val="00E27F2E"/>
    <w:rsid w:val="00E42C99"/>
    <w:rsid w:val="00E50AFE"/>
    <w:rsid w:val="00E5519A"/>
    <w:rsid w:val="00E579CB"/>
    <w:rsid w:val="00E61C8B"/>
    <w:rsid w:val="00E67091"/>
    <w:rsid w:val="00E75C92"/>
    <w:rsid w:val="00E771DC"/>
    <w:rsid w:val="00E8438C"/>
    <w:rsid w:val="00E8772A"/>
    <w:rsid w:val="00E90F6B"/>
    <w:rsid w:val="00E92C27"/>
    <w:rsid w:val="00E95F6C"/>
    <w:rsid w:val="00E969CA"/>
    <w:rsid w:val="00EA0D3A"/>
    <w:rsid w:val="00EA0E3D"/>
    <w:rsid w:val="00EA1A68"/>
    <w:rsid w:val="00EA2161"/>
    <w:rsid w:val="00EA2A79"/>
    <w:rsid w:val="00EA362F"/>
    <w:rsid w:val="00EA48D0"/>
    <w:rsid w:val="00EB0392"/>
    <w:rsid w:val="00EB6770"/>
    <w:rsid w:val="00EC38A7"/>
    <w:rsid w:val="00EE1AA8"/>
    <w:rsid w:val="00EE32E0"/>
    <w:rsid w:val="00F0531D"/>
    <w:rsid w:val="00F05842"/>
    <w:rsid w:val="00F20552"/>
    <w:rsid w:val="00F22A4A"/>
    <w:rsid w:val="00F23FEA"/>
    <w:rsid w:val="00F256BF"/>
    <w:rsid w:val="00F31EDC"/>
    <w:rsid w:val="00F36433"/>
    <w:rsid w:val="00F40E4C"/>
    <w:rsid w:val="00F462B3"/>
    <w:rsid w:val="00F51A19"/>
    <w:rsid w:val="00F5664F"/>
    <w:rsid w:val="00F666C4"/>
    <w:rsid w:val="00F76AFC"/>
    <w:rsid w:val="00F80774"/>
    <w:rsid w:val="00F8593B"/>
    <w:rsid w:val="00F874E0"/>
    <w:rsid w:val="00F926C2"/>
    <w:rsid w:val="00F979F7"/>
    <w:rsid w:val="00FA47C0"/>
    <w:rsid w:val="00FB1D47"/>
    <w:rsid w:val="00FB5DD1"/>
    <w:rsid w:val="00FC2B5D"/>
    <w:rsid w:val="00FF06F0"/>
    <w:rsid w:val="00FF1449"/>
    <w:rsid w:val="00FF7963"/>
    <w:rsid w:val="00FF7E66"/>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2432B"/>
    <w:rPr>
      <w:rFonts w:ascii="Geomanist Light" w:hAnsi="Geomanist Light"/>
      <w:lang w:val="es-ES"/>
    </w:rPr>
  </w:style>
  <w:style w:type="character" w:customStyle="1" w:styleId="s15">
    <w:name w:val="s15"/>
    <w:basedOn w:val="Fuentedeprrafopredeter"/>
    <w:rsid w:val="00B2432B"/>
  </w:style>
  <w:style w:type="paragraph" w:styleId="Textoindependiente">
    <w:name w:val="Body Text"/>
    <w:basedOn w:val="Normal"/>
    <w:link w:val="TextoindependienteCar"/>
    <w:uiPriority w:val="99"/>
    <w:unhideWhenUsed/>
    <w:rsid w:val="00DB45E4"/>
    <w:pPr>
      <w:spacing w:after="120" w:line="276" w:lineRule="auto"/>
    </w:pPr>
    <w:rPr>
      <w:rFonts w:ascii="Times New Roman" w:eastAsiaTheme="minorEastAsia" w:hAnsi="Times New Roman" w:cs="Times New Roman"/>
      <w:szCs w:val="24"/>
      <w:lang w:eastAsia="es-CO"/>
    </w:rPr>
  </w:style>
  <w:style w:type="character" w:customStyle="1" w:styleId="TextoindependienteCar">
    <w:name w:val="Texto independiente Car"/>
    <w:basedOn w:val="Fuentedeprrafopredeter"/>
    <w:link w:val="Textoindependiente"/>
    <w:uiPriority w:val="99"/>
    <w:rsid w:val="00DB45E4"/>
    <w:rPr>
      <w:rFonts w:ascii="Times New Roman" w:eastAsiaTheme="minorEastAsia" w:hAnsi="Times New Roman" w:cs="Times New Roman"/>
      <w:szCs w:val="24"/>
      <w:lang w:eastAsia="es-CO"/>
    </w:rPr>
  </w:style>
  <w:style w:type="paragraph" w:customStyle="1" w:styleId="Appelnotedebasde">
    <w:name w:val="Appel note de bas de..."/>
    <w:basedOn w:val="Normal"/>
    <w:link w:val="Refdenotaalpie"/>
    <w:uiPriority w:val="99"/>
    <w:rsid w:val="00DF34E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5/09/Guia-para-la-Elaboracion-de-Estudios-del-Sector-V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erenciauniversalmedik@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5/09/Guia-para-la-Elaboracion-de-Estudios-del-Sector-V3.pdf" TargetMode="External"/><Relationship Id="rId2" Type="http://schemas.openxmlformats.org/officeDocument/2006/relationships/hyperlink" Target="http://portal.anla.gov.co/manuales-y-guias" TargetMode="External"/><Relationship Id="rId1" Type="http://schemas.openxmlformats.org/officeDocument/2006/relationships/hyperlink" Target="https://www.colciencias.gov.co/sites/default/files/ckeditor_files/G102PR01-procedimiento-elaboracion-%20contro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FE2872C-CD0F-4678-AB5F-9E277FCB156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CED797F-0680-4DFA-9E34-DFB71DD7C88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23</Pages>
  <Words>7888</Words>
  <Characters>43387</Characters>
  <Application>Microsoft Office Word</Application>
  <DocSecurity>0</DocSecurity>
  <Lines>361</Lines>
  <Paragraphs>102</Paragraphs>
  <ScaleCrop>false</ScaleCrop>
  <Company/>
  <LinksUpToDate>false</LinksUpToDate>
  <CharactersWithSpaces>51173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9</cp:revision>
  <cp:lastPrinted>2023-01-10T21:18:00Z</cp:lastPrinted>
  <dcterms:created xsi:type="dcterms:W3CDTF">2026-03-26T18:58:00Z</dcterms:created>
  <dcterms:modified xsi:type="dcterms:W3CDTF">2026-03-26T23:42:00Z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