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26772D" w14:textId="77777777" w:rsidR="00B93760" w:rsidRPr="00647611" w:rsidRDefault="00B93760" w:rsidP="00B93760">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04B6EE3D" w14:textId="77777777" w:rsidR="00B93760" w:rsidRPr="00647611" w:rsidRDefault="00B93760" w:rsidP="00B93760">
      <w:pPr>
        <w:spacing w:after="0" w:line="240" w:lineRule="auto"/>
        <w:jc w:val="both"/>
        <w:rPr>
          <w:rFonts w:ascii="Verdana" w:hAnsi="Verdana" w:cs="Arial"/>
          <w:b/>
          <w:sz w:val="20"/>
          <w:szCs w:val="20"/>
          <w:lang w:val="es-MX" w:eastAsia="es-ES_tradnl"/>
        </w:rPr>
      </w:pPr>
    </w:p>
    <w:p w14:paraId="78DE5B6B" w14:textId="77777777" w:rsidR="00B93760" w:rsidRPr="00647611" w:rsidRDefault="00B93760" w:rsidP="00B93760">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05662018" w14:textId="77777777" w:rsidR="00B93760" w:rsidRPr="00647611" w:rsidRDefault="00B93760" w:rsidP="00B93760">
      <w:pPr>
        <w:spacing w:after="0" w:line="240" w:lineRule="auto"/>
        <w:jc w:val="both"/>
        <w:rPr>
          <w:rFonts w:ascii="Verdana" w:hAnsi="Verdana" w:cs="Arial"/>
          <w:b/>
          <w:sz w:val="20"/>
          <w:szCs w:val="20"/>
          <w:lang w:val="es-MX" w:eastAsia="es-ES_tradnl"/>
        </w:rPr>
      </w:pPr>
    </w:p>
    <w:p w14:paraId="39E9F4E3" w14:textId="77777777" w:rsidR="00B93760" w:rsidRPr="00647611" w:rsidRDefault="00B93760" w:rsidP="00B93760">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5F647CD5" w14:textId="77777777" w:rsidR="00B93760" w:rsidRPr="00647611" w:rsidRDefault="00B93760" w:rsidP="00B93760">
      <w:pPr>
        <w:spacing w:after="0" w:line="240" w:lineRule="auto"/>
        <w:jc w:val="both"/>
        <w:rPr>
          <w:rFonts w:ascii="Verdana" w:hAnsi="Verdana" w:cs="Arial"/>
          <w:b/>
          <w:sz w:val="20"/>
          <w:szCs w:val="20"/>
          <w:lang w:val="es-MX" w:eastAsia="es-ES_tradnl"/>
        </w:rPr>
      </w:pPr>
    </w:p>
    <w:p w14:paraId="2D15E573" w14:textId="77777777" w:rsidR="00B93760" w:rsidRPr="00647611" w:rsidRDefault="00B93760" w:rsidP="00B93760">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C104019" w14:textId="77777777" w:rsidR="00B93760" w:rsidRPr="00647611" w:rsidRDefault="00B93760" w:rsidP="00B93760">
      <w:pPr>
        <w:spacing w:after="0" w:line="240" w:lineRule="auto"/>
        <w:jc w:val="both"/>
        <w:rPr>
          <w:rFonts w:ascii="Verdana" w:eastAsia="Calibri" w:hAnsi="Verdana" w:cs="Arial"/>
          <w:sz w:val="20"/>
          <w:szCs w:val="20"/>
        </w:rPr>
      </w:pPr>
    </w:p>
    <w:p w14:paraId="5677D852" w14:textId="77777777" w:rsidR="00B93760" w:rsidRPr="00647611" w:rsidRDefault="00B93760" w:rsidP="00B93760">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4EB2A871" w14:textId="77777777" w:rsidR="00B93760" w:rsidRPr="00647611" w:rsidRDefault="00B93760" w:rsidP="00B93760">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36F4CB0C" w14:textId="77777777" w:rsidR="00B93760" w:rsidRPr="00647611" w:rsidRDefault="00B93760" w:rsidP="00B93760">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81E5696" w14:textId="77777777" w:rsidR="00B93760" w:rsidRPr="00647611" w:rsidRDefault="00B93760" w:rsidP="00B93760">
      <w:pPr>
        <w:spacing w:after="0" w:line="240" w:lineRule="auto"/>
        <w:jc w:val="both"/>
        <w:rPr>
          <w:rFonts w:ascii="Verdana" w:hAnsi="Verdana" w:cs="Arial"/>
          <w:b/>
          <w:sz w:val="20"/>
          <w:szCs w:val="20"/>
          <w:lang w:val="es-MX" w:eastAsia="es-ES_tradnl"/>
        </w:rPr>
      </w:pPr>
    </w:p>
    <w:p w14:paraId="6EECA06A" w14:textId="77777777" w:rsidR="00B93760" w:rsidRPr="00647611" w:rsidRDefault="00B93760" w:rsidP="00B93760">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06D3003E" w14:textId="77777777" w:rsidR="00B93760" w:rsidRPr="00647611" w:rsidRDefault="00B93760" w:rsidP="00B93760">
      <w:pPr>
        <w:spacing w:after="0" w:line="240" w:lineRule="auto"/>
        <w:jc w:val="both"/>
        <w:rPr>
          <w:rFonts w:ascii="Verdana" w:hAnsi="Verdana" w:cs="Arial"/>
          <w:b/>
          <w:sz w:val="20"/>
          <w:szCs w:val="20"/>
          <w:lang w:val="es-MX" w:eastAsia="es-ES_tradnl"/>
        </w:rPr>
      </w:pPr>
    </w:p>
    <w:p w14:paraId="67BCF634" w14:textId="77777777" w:rsidR="00B93760" w:rsidRPr="00647611" w:rsidRDefault="00B93760" w:rsidP="00B93760">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573E251F" w14:textId="77777777" w:rsidR="00B93760" w:rsidRPr="00647611" w:rsidRDefault="00B93760" w:rsidP="00B93760">
      <w:pPr>
        <w:spacing w:after="0" w:line="240" w:lineRule="auto"/>
        <w:jc w:val="both"/>
        <w:rPr>
          <w:rFonts w:ascii="Verdana" w:hAnsi="Verdana" w:cs="Arial"/>
          <w:b/>
          <w:sz w:val="20"/>
          <w:szCs w:val="20"/>
          <w:lang w:eastAsia="es-ES_tradnl"/>
        </w:rPr>
      </w:pPr>
    </w:p>
    <w:p w14:paraId="0622F640" w14:textId="77777777" w:rsidR="00B93760" w:rsidRPr="00647611" w:rsidRDefault="00B93760" w:rsidP="00B93760">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064D9C84" w14:textId="77777777" w:rsidR="00B93760" w:rsidRPr="00647611" w:rsidRDefault="00B93760" w:rsidP="00B93760">
      <w:pPr>
        <w:spacing w:after="0" w:line="240" w:lineRule="auto"/>
        <w:jc w:val="both"/>
        <w:rPr>
          <w:rFonts w:ascii="Verdana" w:hAnsi="Verdana" w:cs="Arial"/>
          <w:b/>
          <w:sz w:val="20"/>
          <w:szCs w:val="20"/>
          <w:lang w:val="es-MX" w:eastAsia="es-ES_tradnl"/>
        </w:rPr>
      </w:pPr>
    </w:p>
    <w:p w14:paraId="6A7A2E52" w14:textId="77777777" w:rsidR="00B93760" w:rsidRPr="00647611" w:rsidRDefault="00B93760" w:rsidP="00B93760">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C4FECBB" w14:textId="77777777" w:rsidR="00B93760" w:rsidRPr="00647611" w:rsidRDefault="00B93760" w:rsidP="00B93760">
      <w:pPr>
        <w:spacing w:after="0" w:line="240" w:lineRule="auto"/>
        <w:jc w:val="both"/>
        <w:rPr>
          <w:rFonts w:ascii="Verdana" w:hAnsi="Verdana" w:cs="Arial"/>
          <w:b/>
          <w:sz w:val="20"/>
          <w:szCs w:val="20"/>
          <w:lang w:val="es-MX" w:eastAsia="es-ES_tradnl"/>
        </w:rPr>
      </w:pPr>
    </w:p>
    <w:p w14:paraId="5139C62E" w14:textId="77777777" w:rsidR="00B93760" w:rsidRPr="00647611" w:rsidRDefault="00B93760" w:rsidP="00B93760">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3074C37B" w14:textId="77777777" w:rsidR="00B93760" w:rsidRPr="00647611" w:rsidRDefault="00B93760" w:rsidP="00B93760">
      <w:pPr>
        <w:spacing w:after="0" w:line="240" w:lineRule="auto"/>
        <w:rPr>
          <w:rFonts w:ascii="Verdana" w:hAnsi="Verdana" w:cs="Arial"/>
          <w:sz w:val="20"/>
          <w:szCs w:val="20"/>
          <w:lang w:val="es-MX" w:eastAsia="es-ES_tradnl"/>
        </w:rPr>
      </w:pPr>
    </w:p>
    <w:p w14:paraId="0A7C0753" w14:textId="77777777" w:rsidR="00B93760" w:rsidRPr="00647611" w:rsidRDefault="00B93760" w:rsidP="00B93760">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5331B31F" w14:textId="77777777" w:rsidR="00B93760" w:rsidRPr="00647611" w:rsidRDefault="00B93760" w:rsidP="00B93760">
      <w:pPr>
        <w:spacing w:after="0" w:line="240" w:lineRule="auto"/>
        <w:rPr>
          <w:rFonts w:ascii="Verdana" w:hAnsi="Verdana"/>
          <w:sz w:val="20"/>
          <w:szCs w:val="20"/>
        </w:rPr>
      </w:pPr>
    </w:p>
    <w:p w14:paraId="34B1A067" w14:textId="77777777" w:rsidR="00B93760" w:rsidRPr="00647611" w:rsidRDefault="00B93760" w:rsidP="00B93760">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1D6357BA" w14:textId="77777777" w:rsidR="00B93760" w:rsidRPr="00647611" w:rsidRDefault="00B93760" w:rsidP="00B93760">
      <w:pPr>
        <w:spacing w:after="0" w:line="240" w:lineRule="auto"/>
        <w:rPr>
          <w:rFonts w:ascii="Verdana" w:hAnsi="Verdana"/>
          <w:sz w:val="20"/>
          <w:szCs w:val="20"/>
        </w:rPr>
      </w:pPr>
    </w:p>
    <w:p w14:paraId="072938EA" w14:textId="77777777" w:rsidR="00B93760" w:rsidRDefault="00B93760" w:rsidP="00B93760">
      <w:pPr>
        <w:spacing w:after="0" w:line="240" w:lineRule="auto"/>
        <w:jc w:val="both"/>
        <w:rPr>
          <w:rFonts w:ascii="Verdana" w:eastAsia="Times New Roman" w:hAnsi="Verdana" w:cs="Arial"/>
          <w:bCs/>
          <w:sz w:val="20"/>
          <w:szCs w:val="20"/>
          <w:lang w:val="es-MX"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53792147" w14:textId="77777777" w:rsidR="00B93760" w:rsidRPr="00647611" w:rsidRDefault="00B93760" w:rsidP="00B93760">
      <w:pPr>
        <w:spacing w:after="0" w:line="240" w:lineRule="auto"/>
        <w:rPr>
          <w:rFonts w:ascii="Verdana" w:hAnsi="Verdana"/>
          <w:sz w:val="20"/>
          <w:szCs w:val="20"/>
        </w:rPr>
      </w:pPr>
    </w:p>
    <w:p w14:paraId="68FE8A71" w14:textId="77777777" w:rsidR="00B93760" w:rsidRPr="00647611" w:rsidRDefault="00B93760" w:rsidP="00B93760">
      <w:pPr>
        <w:spacing w:after="0" w:line="240" w:lineRule="auto"/>
        <w:jc w:val="both"/>
        <w:rPr>
          <w:rFonts w:ascii="Verdana" w:hAnsi="Verdana"/>
          <w:b/>
        </w:rPr>
      </w:pPr>
      <w:r>
        <w:rPr>
          <w:rFonts w:ascii="Verdana" w:hAnsi="Verdana" w:cs="Arial"/>
          <w:b/>
          <w:bCs/>
          <w:color w:val="000000" w:themeColor="text1"/>
          <w:lang w:val="es-ES_tradnl"/>
        </w:rPr>
        <w:t>CONTRATACIÓN DIRECTA</w:t>
      </w:r>
      <w:r w:rsidRPr="00FD1291">
        <w:rPr>
          <w:rFonts w:ascii="Verdana" w:hAnsi="Verdana" w:cs="Arial"/>
          <w:b/>
          <w:bCs/>
          <w:color w:val="000000" w:themeColor="text1"/>
          <w:lang w:val="es-ES_tradnl"/>
        </w:rPr>
        <w:t xml:space="preserve"> – </w:t>
      </w:r>
      <w:r>
        <w:rPr>
          <w:rFonts w:ascii="Verdana" w:hAnsi="Verdana" w:cs="Arial"/>
          <w:b/>
          <w:bCs/>
          <w:color w:val="000000" w:themeColor="text1"/>
          <w:lang w:val="es-ES_tradnl"/>
        </w:rPr>
        <w:t>Arrendamiento</w:t>
      </w:r>
      <w:r w:rsidRPr="00FD1291">
        <w:rPr>
          <w:rFonts w:ascii="Verdana" w:hAnsi="Verdana" w:cs="Arial"/>
          <w:b/>
          <w:bCs/>
          <w:color w:val="000000" w:themeColor="text1"/>
          <w:lang w:val="es-ES_tradnl"/>
        </w:rPr>
        <w:t xml:space="preserve"> – </w:t>
      </w:r>
      <w:r>
        <w:rPr>
          <w:rFonts w:ascii="Verdana" w:hAnsi="Verdana" w:cs="Arial"/>
          <w:b/>
          <w:bCs/>
          <w:color w:val="000000" w:themeColor="text1"/>
          <w:lang w:val="es-ES_tradnl"/>
        </w:rPr>
        <w:t>Bienes inmuebles – Alcance</w:t>
      </w:r>
    </w:p>
    <w:p w14:paraId="0811EF3D" w14:textId="77777777" w:rsidR="00B93760" w:rsidRPr="00647611" w:rsidRDefault="00B93760" w:rsidP="00B93760">
      <w:pPr>
        <w:spacing w:after="0" w:line="240" w:lineRule="auto"/>
        <w:rPr>
          <w:rFonts w:ascii="Verdana" w:hAnsi="Verdana"/>
          <w:sz w:val="20"/>
          <w:szCs w:val="20"/>
        </w:rPr>
      </w:pPr>
    </w:p>
    <w:p w14:paraId="3313B700" w14:textId="77777777" w:rsidR="00B93760" w:rsidRDefault="00B93760" w:rsidP="00B93760">
      <w:pPr>
        <w:spacing w:after="0" w:line="240" w:lineRule="auto"/>
        <w:jc w:val="both"/>
        <w:rPr>
          <w:rFonts w:ascii="Verdana" w:eastAsia="Times New Roman" w:hAnsi="Verdana" w:cs="Arial"/>
          <w:bCs/>
          <w:sz w:val="20"/>
          <w:szCs w:val="20"/>
          <w:lang w:val="es-MX" w:eastAsia="x-none"/>
        </w:rPr>
      </w:pPr>
      <w:r>
        <w:rPr>
          <w:rFonts w:ascii="Verdana" w:eastAsia="Times New Roman" w:hAnsi="Verdana" w:cs="Arial"/>
          <w:bCs/>
          <w:sz w:val="20"/>
          <w:szCs w:val="20"/>
          <w:lang w:val="es-MX" w:eastAsia="x-none"/>
        </w:rPr>
        <w:t>E</w:t>
      </w:r>
      <w:r w:rsidRPr="00EF1386">
        <w:rPr>
          <w:rFonts w:ascii="Verdana" w:eastAsia="Times New Roman" w:hAnsi="Verdana" w:cs="Arial"/>
          <w:bCs/>
          <w:sz w:val="20"/>
          <w:szCs w:val="20"/>
          <w:lang w:val="es-MX" w:eastAsia="x-none"/>
        </w:rPr>
        <w:t xml:space="preserve">l literal i) del artículo 2.4 de la Ley 1150 de 2011 permite la contratación directa tratándose de “El arrendamiento […] de inmuebles”. 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14:paraId="16604B8D" w14:textId="77777777" w:rsidR="00B93760" w:rsidRPr="00EF1386" w:rsidRDefault="00B93760" w:rsidP="00B93760">
      <w:pPr>
        <w:spacing w:after="0" w:line="240" w:lineRule="auto"/>
        <w:jc w:val="both"/>
        <w:rPr>
          <w:rFonts w:ascii="Verdana" w:eastAsia="Times New Roman" w:hAnsi="Verdana" w:cs="Arial"/>
          <w:bCs/>
          <w:sz w:val="20"/>
          <w:szCs w:val="20"/>
          <w:lang w:val="es-MX" w:eastAsia="x-none"/>
        </w:rPr>
      </w:pPr>
    </w:p>
    <w:p w14:paraId="073F1DD1" w14:textId="77777777" w:rsidR="00B93760" w:rsidRPr="00647611" w:rsidRDefault="00B93760" w:rsidP="00B93760">
      <w:pPr>
        <w:spacing w:after="0" w:line="240" w:lineRule="auto"/>
        <w:jc w:val="both"/>
        <w:rPr>
          <w:rFonts w:ascii="Verdana" w:eastAsia="Times New Roman" w:hAnsi="Verdana" w:cs="Arial"/>
          <w:bCs/>
          <w:sz w:val="20"/>
          <w:szCs w:val="20"/>
          <w:lang w:eastAsia="x-none"/>
        </w:rPr>
      </w:pPr>
      <w:r w:rsidRPr="00EF1386">
        <w:rPr>
          <w:rFonts w:ascii="Verdana" w:eastAsia="Times New Roman" w:hAnsi="Verdana" w:cs="Arial"/>
          <w:bCs/>
          <w:sz w:val="20"/>
          <w:szCs w:val="20"/>
          <w:lang w:val="es-MX" w:eastAsia="x-none"/>
        </w:rPr>
        <w:t>Cuando la entidad estatal actúe como arrendadora puede evaluar si, en razón de lo explicado en los párrafos anteriores, es conveniente adelantar una convocatoria pública en garantía del principio de libre concurrencia. No obstante, lo cierto es que</w:t>
      </w:r>
      <w:r>
        <w:rPr>
          <w:rFonts w:ascii="Verdana" w:eastAsia="Times New Roman" w:hAnsi="Verdana" w:cs="Arial"/>
          <w:bCs/>
          <w:sz w:val="20"/>
          <w:szCs w:val="20"/>
          <w:lang w:val="es-MX" w:eastAsia="x-none"/>
        </w:rPr>
        <w:t xml:space="preserve"> </w:t>
      </w:r>
      <w:r w:rsidRPr="00F32DBA">
        <w:rPr>
          <w:rFonts w:ascii="Verdana" w:eastAsia="Times New Roman" w:hAnsi="Verdana" w:cs="Arial"/>
          <w:bCs/>
          <w:sz w:val="20"/>
          <w:szCs w:val="20"/>
          <w:lang w:val="es-MX" w:eastAsia="x-none"/>
        </w:rPr>
        <w:t>–dentro del marco normativo vigente–</w:t>
      </w:r>
      <w:r w:rsidRPr="00EF1386">
        <w:rPr>
          <w:rFonts w:ascii="Verdana" w:eastAsia="Times New Roman" w:hAnsi="Verdana" w:cs="Arial"/>
          <w:bCs/>
          <w:sz w:val="20"/>
          <w:szCs w:val="20"/>
          <w:lang w:val="es-MX" w:eastAsia="x-none"/>
        </w:rPr>
        <w:t xml:space="preserve"> las entidades públicas son autónomas y responsables tanto de la estructuración de sus procesos de contratación como de determinar la modalidad de selección aplicable para suplir sus necesidades.</w:t>
      </w:r>
      <w:r w:rsidRPr="00647611">
        <w:rPr>
          <w:rFonts w:ascii="Verdana" w:eastAsia="Times New Roman" w:hAnsi="Verdana" w:cs="Arial"/>
          <w:bCs/>
          <w:sz w:val="20"/>
          <w:szCs w:val="20"/>
          <w:lang w:val="es-MX" w:eastAsia="x-none"/>
        </w:rPr>
        <w:t xml:space="preserve"> </w:t>
      </w:r>
    </w:p>
    <w:p w14:paraId="1B679A3E" w14:textId="77777777" w:rsidR="00B93760" w:rsidRPr="00647611" w:rsidRDefault="00B93760" w:rsidP="00B93760">
      <w:pPr>
        <w:spacing w:after="0" w:line="240" w:lineRule="auto"/>
        <w:jc w:val="both"/>
        <w:rPr>
          <w:rFonts w:ascii="Verdana" w:eastAsia="Times New Roman" w:hAnsi="Verdana" w:cs="Arial"/>
          <w:bCs/>
          <w:sz w:val="20"/>
          <w:szCs w:val="20"/>
          <w:lang w:eastAsia="x-none"/>
        </w:rPr>
      </w:pPr>
    </w:p>
    <w:p w14:paraId="709502A7" w14:textId="77777777" w:rsidR="00B93760" w:rsidRDefault="00B93760" w:rsidP="00B93760">
      <w:pPr>
        <w:spacing w:after="0" w:line="240" w:lineRule="auto"/>
        <w:jc w:val="both"/>
        <w:rPr>
          <w:rFonts w:ascii="Verdana" w:eastAsia="Geomanist Light" w:hAnsi="Verdana" w:cs="Arial"/>
          <w:color w:val="000000" w:themeColor="text1"/>
          <w:lang w:val="es-MX"/>
        </w:rPr>
      </w:pPr>
    </w:p>
    <w:p w14:paraId="3613BCFA" w14:textId="77777777" w:rsidR="00BF4BE6" w:rsidRDefault="00BF4BE6" w:rsidP="00B93760">
      <w:pPr>
        <w:spacing w:after="0" w:line="240" w:lineRule="auto"/>
        <w:jc w:val="both"/>
        <w:rPr>
          <w:rFonts w:ascii="Verdana" w:eastAsia="Geomanist Light" w:hAnsi="Verdana" w:cs="Arial"/>
          <w:color w:val="000000" w:themeColor="text1"/>
          <w:lang w:val="es-MX"/>
        </w:rPr>
      </w:pPr>
    </w:p>
    <w:p w14:paraId="3F9D90CF" w14:textId="77777777" w:rsidR="00BF4BE6" w:rsidRDefault="00BF4BE6" w:rsidP="00B93760">
      <w:pPr>
        <w:spacing w:after="0" w:line="240" w:lineRule="auto"/>
        <w:jc w:val="both"/>
        <w:rPr>
          <w:rFonts w:ascii="Verdana" w:eastAsia="Geomanist Light" w:hAnsi="Verdana" w:cs="Arial"/>
          <w:color w:val="000000" w:themeColor="text1"/>
          <w:lang w:val="es-MX"/>
        </w:rPr>
      </w:pPr>
    </w:p>
    <w:p w14:paraId="31D0F34F" w14:textId="77777777" w:rsidR="00BF4BE6" w:rsidRDefault="00BF4BE6" w:rsidP="00B93760">
      <w:pPr>
        <w:spacing w:after="0" w:line="240" w:lineRule="auto"/>
        <w:jc w:val="both"/>
        <w:rPr>
          <w:rFonts w:ascii="Verdana" w:eastAsia="Geomanist Light" w:hAnsi="Verdana" w:cs="Arial"/>
          <w:color w:val="000000" w:themeColor="text1"/>
          <w:lang w:val="es-MX"/>
        </w:rPr>
      </w:pPr>
    </w:p>
    <w:p w14:paraId="47849F46" w14:textId="77777777" w:rsidR="00BF4BE6" w:rsidRDefault="00BF4BE6" w:rsidP="00B93760">
      <w:pPr>
        <w:spacing w:after="0" w:line="240" w:lineRule="auto"/>
        <w:jc w:val="both"/>
        <w:rPr>
          <w:rFonts w:ascii="Verdana" w:eastAsia="Geomanist Light" w:hAnsi="Verdana" w:cs="Arial"/>
          <w:color w:val="000000" w:themeColor="text1"/>
          <w:lang w:val="es-MX"/>
        </w:rPr>
      </w:pPr>
    </w:p>
    <w:p w14:paraId="1C9D881E" w14:textId="77777777" w:rsidR="00BF4BE6" w:rsidRDefault="00BF4BE6" w:rsidP="00B93760">
      <w:pPr>
        <w:spacing w:after="0" w:line="240" w:lineRule="auto"/>
        <w:jc w:val="both"/>
        <w:rPr>
          <w:rFonts w:ascii="Verdana" w:eastAsia="Geomanist Light" w:hAnsi="Verdana" w:cs="Arial"/>
          <w:color w:val="000000" w:themeColor="text1"/>
          <w:lang w:val="es-MX"/>
        </w:rPr>
      </w:pPr>
    </w:p>
    <w:p w14:paraId="3DDAC426" w14:textId="77777777" w:rsidR="00BF4BE6" w:rsidRDefault="00BF4BE6" w:rsidP="00B93760">
      <w:pPr>
        <w:spacing w:after="0" w:line="240" w:lineRule="auto"/>
        <w:jc w:val="both"/>
        <w:rPr>
          <w:rFonts w:ascii="Verdana" w:eastAsia="Geomanist Light" w:hAnsi="Verdana" w:cs="Arial"/>
          <w:color w:val="000000" w:themeColor="text1"/>
          <w:lang w:val="es-MX"/>
        </w:rPr>
      </w:pPr>
    </w:p>
    <w:p w14:paraId="7D9D9568" w14:textId="77777777" w:rsidR="00BF4BE6" w:rsidRDefault="00BF4BE6" w:rsidP="00B93760">
      <w:pPr>
        <w:spacing w:after="0" w:line="240" w:lineRule="auto"/>
        <w:jc w:val="both"/>
        <w:rPr>
          <w:rFonts w:ascii="Verdana" w:eastAsia="Geomanist Light" w:hAnsi="Verdana" w:cs="Arial"/>
          <w:color w:val="000000" w:themeColor="text1"/>
          <w:lang w:val="es-MX"/>
        </w:rPr>
      </w:pPr>
    </w:p>
    <w:p w14:paraId="56A9E511" w14:textId="77777777" w:rsidR="00BF4BE6" w:rsidRDefault="00BF4BE6" w:rsidP="00B93760">
      <w:pPr>
        <w:spacing w:after="0" w:line="240" w:lineRule="auto"/>
        <w:jc w:val="both"/>
        <w:rPr>
          <w:rFonts w:ascii="Verdana" w:eastAsia="Geomanist Light" w:hAnsi="Verdana" w:cs="Arial"/>
          <w:color w:val="000000" w:themeColor="text1"/>
          <w:lang w:val="es-MX"/>
        </w:rPr>
      </w:pPr>
    </w:p>
    <w:p w14:paraId="039F1736" w14:textId="77777777" w:rsidR="00B93760" w:rsidRDefault="00B93760" w:rsidP="00C1740B">
      <w:pPr>
        <w:spacing w:after="0" w:line="240" w:lineRule="auto"/>
        <w:rPr>
          <w:rFonts w:ascii="Verdana" w:hAnsi="Verdana"/>
          <w:lang w:val="es-ES"/>
        </w:rPr>
      </w:pPr>
    </w:p>
    <w:p w14:paraId="4F99CA20" w14:textId="2A4A68B1" w:rsidR="00B24075" w:rsidRPr="00F43CC7" w:rsidRDefault="00B24075" w:rsidP="00C1740B">
      <w:pPr>
        <w:spacing w:after="0" w:line="240" w:lineRule="auto"/>
        <w:rPr>
          <w:rFonts w:ascii="Verdana" w:hAnsi="Verdana"/>
          <w:lang w:val="es-ES"/>
        </w:rPr>
      </w:pPr>
      <w:r w:rsidRPr="00F43CC7">
        <w:rPr>
          <w:rFonts w:ascii="Verdana" w:hAnsi="Verdana"/>
          <w:lang w:val="es-ES"/>
        </w:rPr>
        <w:lastRenderedPageBreak/>
        <w:t xml:space="preserve">Bogotá D.C., </w:t>
      </w:r>
      <w:r w:rsidR="00A43DEF">
        <w:rPr>
          <w:rFonts w:ascii="Verdana" w:hAnsi="Verdana"/>
          <w:lang w:val="es-ES"/>
        </w:rPr>
        <w:t>24 de marzo de 2026</w:t>
      </w:r>
    </w:p>
    <w:p w14:paraId="59EC15B3" w14:textId="77777777" w:rsidR="00B24075" w:rsidRPr="00F43CC7" w:rsidRDefault="00B24075" w:rsidP="00C1740B">
      <w:pPr>
        <w:spacing w:after="0" w:line="240" w:lineRule="auto"/>
        <w:rPr>
          <w:rFonts w:ascii="Verdana" w:hAnsi="Verdana"/>
          <w:lang w:val="es-ES"/>
        </w:rPr>
      </w:pPr>
    </w:p>
    <w:p w14:paraId="51095954" w14:textId="746DA774" w:rsidR="00B24075" w:rsidRPr="00F43CC7" w:rsidRDefault="00A43DEF" w:rsidP="00210ACC">
      <w:pPr>
        <w:spacing w:after="0" w:line="240" w:lineRule="auto"/>
        <w:rPr>
          <w:rFonts w:ascii="Verdana" w:hAnsi="Verdana"/>
          <w:lang w:val="es-ES"/>
        </w:rPr>
      </w:pPr>
      <w:bookmarkStart w:id="0" w:name="_Hlk143780582"/>
      <w:r>
        <w:rPr>
          <w:rFonts w:ascii="Verdana" w:eastAsia="Calibri" w:hAnsi="Verdana" w:cs="Arial"/>
          <w:bCs/>
          <w:noProof/>
          <w:color w:val="000000" w:themeColor="text1"/>
          <w:lang w:val="es-ES" w:eastAsia="es-ES"/>
        </w:rPr>
        <w:drawing>
          <wp:anchor distT="0" distB="0" distL="114300" distR="114300" simplePos="0" relativeHeight="251660288" behindDoc="0" locked="0" layoutInCell="1" allowOverlap="1" wp14:anchorId="163C4BF8" wp14:editId="16D48883">
            <wp:simplePos x="0" y="0"/>
            <wp:positionH relativeFrom="column">
              <wp:posOffset>3388360</wp:posOffset>
            </wp:positionH>
            <wp:positionV relativeFrom="paragraph">
              <wp:posOffset>142240</wp:posOffset>
            </wp:positionV>
            <wp:extent cx="2083435" cy="574675"/>
            <wp:effectExtent l="0" t="0" r="0" b="0"/>
            <wp:wrapSquare wrapText="bothSides"/>
            <wp:docPr id="1283995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995145" name="Picture 128399514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83435" cy="574675"/>
                    </a:xfrm>
                    <a:prstGeom prst="rect">
                      <a:avLst/>
                    </a:prstGeom>
                  </pic:spPr>
                </pic:pic>
              </a:graphicData>
            </a:graphic>
            <wp14:sizeRelH relativeFrom="page">
              <wp14:pctWidth>0</wp14:pctWidth>
            </wp14:sizeRelH>
            <wp14:sizeRelV relativeFrom="page">
              <wp14:pctHeight>0</wp14:pctHeight>
            </wp14:sizeRelV>
          </wp:anchor>
        </w:drawing>
      </w:r>
      <w:r w:rsidR="00B24075">
        <w:rPr>
          <w:rFonts w:ascii="Verdana" w:eastAsia="Calibri" w:hAnsi="Verdana" w:cs="Arial"/>
          <w:color w:val="000000" w:themeColor="text1"/>
          <w:lang w:val="es-ES" w:eastAsia="es-ES"/>
        </w:rPr>
        <w:t>Doctora</w:t>
      </w:r>
    </w:p>
    <w:p w14:paraId="6EB4DB88" w14:textId="24D2D8CF" w:rsidR="00B24075" w:rsidRDefault="00B24075" w:rsidP="00C1740B">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Luisa Fernanda Sandoval Barragán</w:t>
      </w:r>
    </w:p>
    <w:p w14:paraId="2B56DF74" w14:textId="66FCE6DE" w:rsidR="00B24075" w:rsidRDefault="00B24075" w:rsidP="00C1740B">
      <w:pPr>
        <w:spacing w:after="0" w:line="240" w:lineRule="auto"/>
        <w:rPr>
          <w:rFonts w:ascii="Verdana" w:eastAsia="Calibri" w:hAnsi="Verdana" w:cs="Arial"/>
          <w:bCs/>
          <w:color w:val="000000" w:themeColor="text1"/>
          <w:lang w:val="es-ES" w:eastAsia="es-ES"/>
        </w:rPr>
      </w:pPr>
      <w:r>
        <w:rPr>
          <w:rFonts w:ascii="Verdana" w:eastAsia="Calibri" w:hAnsi="Verdana" w:cs="Arial"/>
          <w:bCs/>
          <w:color w:val="000000" w:themeColor="text1"/>
          <w:lang w:val="es-ES" w:eastAsia="es-ES"/>
        </w:rPr>
        <w:t>Subdirectora Jurídica y de Contratación</w:t>
      </w:r>
    </w:p>
    <w:p w14:paraId="3EC7201C" w14:textId="77777777" w:rsidR="00B24075" w:rsidRPr="00C1740B" w:rsidRDefault="00B24075" w:rsidP="00C1740B">
      <w:pPr>
        <w:spacing w:after="0" w:line="240" w:lineRule="auto"/>
        <w:rPr>
          <w:rFonts w:ascii="Verdana" w:eastAsia="Calibri" w:hAnsi="Verdana" w:cs="Arial"/>
          <w:b/>
          <w:color w:val="000000" w:themeColor="text1"/>
          <w:lang w:val="es-ES" w:eastAsia="es-ES"/>
        </w:rPr>
      </w:pPr>
      <w:r w:rsidRPr="00C1740B">
        <w:rPr>
          <w:rFonts w:ascii="Verdana" w:eastAsia="Calibri" w:hAnsi="Verdana" w:cs="Arial"/>
          <w:b/>
          <w:color w:val="000000" w:themeColor="text1"/>
          <w:lang w:val="es-ES" w:eastAsia="es-ES"/>
        </w:rPr>
        <w:t>Instituto para la Economía Social</w:t>
      </w:r>
    </w:p>
    <w:p w14:paraId="7827AA22" w14:textId="7D77B527" w:rsidR="00B24075" w:rsidRPr="0048360A" w:rsidRDefault="00B24075" w:rsidP="00C1740B">
      <w:pPr>
        <w:spacing w:after="0" w:line="240" w:lineRule="auto"/>
        <w:rPr>
          <w:rFonts w:ascii="Verdana" w:eastAsia="Calibri" w:hAnsi="Verdana" w:cs="Arial"/>
          <w:bCs/>
          <w:color w:val="000000" w:themeColor="text1"/>
          <w:lang w:val="es-ES" w:eastAsia="es-ES"/>
        </w:rPr>
      </w:pPr>
      <w:r>
        <w:rPr>
          <w:rFonts w:ascii="Verdana" w:eastAsia="Calibri" w:hAnsi="Verdana" w:cs="Arial"/>
          <w:bCs/>
          <w:color w:val="000000" w:themeColor="text1"/>
          <w:lang w:val="es-ES" w:eastAsia="es-ES"/>
        </w:rPr>
        <w:t>Bogotá, D.C.</w:t>
      </w:r>
      <w:r w:rsidRPr="00F43CC7">
        <w:rPr>
          <w:rFonts w:ascii="Verdana" w:eastAsia="Calibri" w:hAnsi="Verdana" w:cs="Arial"/>
          <w:bCs/>
          <w:color w:val="000000" w:themeColor="text1"/>
          <w:lang w:val="es-ES" w:eastAsia="es-ES"/>
        </w:rPr>
        <w:br/>
      </w: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B24075" w:rsidRPr="00F43CC7" w14:paraId="5AC22F53" w14:textId="77777777" w:rsidTr="002770FE">
        <w:trPr>
          <w:trHeight w:val="300"/>
        </w:trPr>
        <w:tc>
          <w:tcPr>
            <w:tcW w:w="2410" w:type="dxa"/>
          </w:tcPr>
          <w:p w14:paraId="24B6E3FF" w14:textId="77777777" w:rsidR="00B24075" w:rsidRPr="00F43CC7" w:rsidRDefault="00B24075" w:rsidP="00210ACC">
            <w:pPr>
              <w:ind w:left="-142"/>
              <w:jc w:val="both"/>
              <w:rPr>
                <w:rFonts w:ascii="Verdana" w:eastAsia="Calibri" w:hAnsi="Verdana" w:cs="Arial"/>
                <w:b/>
                <w:bCs/>
                <w:color w:val="000000" w:themeColor="text1"/>
                <w:lang w:val="es-ES" w:eastAsia="es-ES_tradnl"/>
              </w:rPr>
            </w:pPr>
          </w:p>
        </w:tc>
        <w:tc>
          <w:tcPr>
            <w:tcW w:w="6100" w:type="dxa"/>
          </w:tcPr>
          <w:p w14:paraId="17557B0A" w14:textId="77777777" w:rsidR="00B24075" w:rsidRPr="00F43CC7" w:rsidRDefault="00B24075" w:rsidP="00210ACC">
            <w:pPr>
              <w:ind w:left="3"/>
              <w:jc w:val="both"/>
              <w:rPr>
                <w:rFonts w:ascii="Verdana" w:eastAsia="Calibri" w:hAnsi="Verdana" w:cs="Arial"/>
                <w:b/>
                <w:bCs/>
                <w:color w:val="000000" w:themeColor="text1"/>
                <w:lang w:val="es-ES" w:eastAsia="es-ES"/>
              </w:rPr>
            </w:pPr>
          </w:p>
          <w:p w14:paraId="455DFA76" w14:textId="4ED57C79" w:rsidR="00B24075" w:rsidRPr="00F43CC7" w:rsidRDefault="00B24075" w:rsidP="00210ACC">
            <w:pPr>
              <w:ind w:left="3"/>
              <w:jc w:val="both"/>
              <w:rPr>
                <w:rFonts w:ascii="Verdana" w:eastAsia="Calibri" w:hAnsi="Verdana" w:cs="Arial"/>
                <w:b/>
                <w:bCs/>
                <w:color w:val="000000" w:themeColor="text1"/>
                <w:lang w:val="es-ES" w:eastAsia="es-ES"/>
              </w:rPr>
            </w:pPr>
            <w:r w:rsidRPr="00F43CC7">
              <w:rPr>
                <w:rFonts w:ascii="Verdana" w:eastAsia="Calibri" w:hAnsi="Verdana" w:cs="Arial"/>
                <w:b/>
                <w:bCs/>
                <w:color w:val="000000" w:themeColor="text1"/>
                <w:lang w:val="es-ES" w:eastAsia="es-ES"/>
              </w:rPr>
              <w:t>Concepto C-</w:t>
            </w:r>
            <w:r w:rsidR="00B6245B">
              <w:rPr>
                <w:rFonts w:ascii="Verdana" w:eastAsia="Calibri" w:hAnsi="Verdana" w:cs="Arial"/>
                <w:b/>
                <w:bCs/>
                <w:color w:val="000000" w:themeColor="text1"/>
                <w:lang w:val="es-ES" w:eastAsia="es-ES"/>
              </w:rPr>
              <w:t>274</w:t>
            </w:r>
            <w:r w:rsidRPr="00F43CC7">
              <w:rPr>
                <w:rFonts w:ascii="Verdana" w:eastAsia="Calibri" w:hAnsi="Verdana" w:cs="Arial"/>
                <w:b/>
                <w:bCs/>
                <w:color w:val="000000" w:themeColor="text1"/>
                <w:lang w:val="es-ES" w:eastAsia="es-ES"/>
              </w:rPr>
              <w:t xml:space="preserve"> de 2026</w:t>
            </w:r>
          </w:p>
          <w:p w14:paraId="415E53D0" w14:textId="77777777" w:rsidR="00B24075" w:rsidRPr="00F43CC7" w:rsidRDefault="00B24075" w:rsidP="00210ACC">
            <w:pPr>
              <w:ind w:left="3"/>
              <w:jc w:val="both"/>
              <w:rPr>
                <w:rFonts w:ascii="Verdana" w:eastAsia="Calibri" w:hAnsi="Verdana" w:cs="Arial"/>
                <w:b/>
                <w:bCs/>
                <w:color w:val="000000" w:themeColor="text1"/>
                <w:lang w:val="es-ES" w:eastAsia="es-ES"/>
              </w:rPr>
            </w:pPr>
          </w:p>
        </w:tc>
      </w:tr>
      <w:tr w:rsidR="00B24075" w:rsidRPr="00F43CC7" w14:paraId="4398CF2E" w14:textId="77777777" w:rsidTr="002770FE">
        <w:trPr>
          <w:trHeight w:val="300"/>
        </w:trPr>
        <w:tc>
          <w:tcPr>
            <w:tcW w:w="2410" w:type="dxa"/>
          </w:tcPr>
          <w:p w14:paraId="669E580B" w14:textId="77777777" w:rsidR="00B24075" w:rsidRPr="00F43CC7" w:rsidRDefault="00B24075" w:rsidP="00210ACC">
            <w:pPr>
              <w:ind w:left="424" w:firstLine="142"/>
              <w:jc w:val="both"/>
              <w:rPr>
                <w:rFonts w:ascii="Verdana" w:eastAsia="Calibri" w:hAnsi="Verdana" w:cs="Arial"/>
                <w:color w:val="000000" w:themeColor="text1"/>
                <w:lang w:val="es-ES" w:eastAsia="es-ES_tradnl"/>
              </w:rPr>
            </w:pPr>
            <w:r w:rsidRPr="00F43CC7">
              <w:rPr>
                <w:rFonts w:ascii="Verdana" w:eastAsia="Calibri" w:hAnsi="Verdana" w:cs="Arial"/>
                <w:b/>
                <w:color w:val="000000" w:themeColor="text1"/>
                <w:lang w:val="es-ES" w:eastAsia="es-ES_tradnl"/>
              </w:rPr>
              <w:t>Temas:</w:t>
            </w:r>
            <w:r w:rsidRPr="00F43CC7">
              <w:rPr>
                <w:rFonts w:ascii="Verdana" w:eastAsia="Calibri" w:hAnsi="Verdana" w:cs="Arial"/>
                <w:color w:val="000000" w:themeColor="text1"/>
                <w:lang w:val="es-ES" w:eastAsia="es-ES_tradnl"/>
              </w:rPr>
              <w:t xml:space="preserve">                  </w:t>
            </w:r>
          </w:p>
        </w:tc>
        <w:tc>
          <w:tcPr>
            <w:tcW w:w="6100" w:type="dxa"/>
          </w:tcPr>
          <w:p w14:paraId="5544ADEC" w14:textId="77777777" w:rsidR="00B93760" w:rsidRPr="00A11406" w:rsidRDefault="00B93760" w:rsidP="00B93760">
            <w:pPr>
              <w:spacing w:line="276" w:lineRule="auto"/>
              <w:jc w:val="both"/>
              <w:rPr>
                <w:rFonts w:ascii="Verdana" w:eastAsia="Calibri" w:hAnsi="Verdana" w:cs="Arial"/>
                <w:lang w:val="es-ES" w:eastAsia="es-ES"/>
              </w:rPr>
            </w:pPr>
            <w:r w:rsidRPr="00177E85">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w:t>
            </w:r>
            <w:r>
              <w:rPr>
                <w:rFonts w:ascii="Verdana" w:eastAsia="Calibri" w:hAnsi="Verdana" w:cs="Arial"/>
                <w:lang w:val="es-ES" w:eastAsia="es-ES"/>
              </w:rPr>
              <w:t xml:space="preserve"> / </w:t>
            </w:r>
            <w:r w:rsidRPr="00EF1386">
              <w:rPr>
                <w:rFonts w:ascii="Verdana" w:eastAsia="Calibri" w:hAnsi="Verdana" w:cs="Arial"/>
                <w:lang w:val="es-ES" w:eastAsia="es-ES"/>
              </w:rPr>
              <w:t>CONTRATACIÓN DIRECTA – Arrendamiento – Bienes inmuebles – Alcance</w:t>
            </w:r>
          </w:p>
          <w:p w14:paraId="3C2DC985" w14:textId="77777777" w:rsidR="00B24075" w:rsidRPr="00F43CC7" w:rsidRDefault="00B24075" w:rsidP="00B93760">
            <w:pPr>
              <w:jc w:val="both"/>
              <w:rPr>
                <w:rFonts w:ascii="Verdana" w:eastAsia="Calibri" w:hAnsi="Verdana" w:cs="Arial"/>
                <w:color w:val="000000" w:themeColor="text1"/>
                <w:lang w:val="es-ES" w:eastAsia="es-ES"/>
              </w:rPr>
            </w:pPr>
          </w:p>
        </w:tc>
      </w:tr>
      <w:tr w:rsidR="00B24075" w:rsidRPr="00F43CC7" w14:paraId="5974F2DB" w14:textId="77777777" w:rsidTr="002770FE">
        <w:tc>
          <w:tcPr>
            <w:tcW w:w="2410" w:type="dxa"/>
          </w:tcPr>
          <w:p w14:paraId="5850E5B6" w14:textId="77777777" w:rsidR="00B24075" w:rsidRPr="00F43CC7" w:rsidRDefault="00B24075" w:rsidP="00210ACC">
            <w:pPr>
              <w:ind w:left="561"/>
              <w:jc w:val="both"/>
              <w:rPr>
                <w:rFonts w:ascii="Verdana" w:eastAsia="Calibri" w:hAnsi="Verdana" w:cs="Arial"/>
                <w:b/>
                <w:color w:val="000000" w:themeColor="text1"/>
                <w:lang w:val="es-ES" w:eastAsia="es-ES_tradnl"/>
              </w:rPr>
            </w:pPr>
            <w:r w:rsidRPr="00F43CC7">
              <w:rPr>
                <w:rFonts w:ascii="Verdana" w:eastAsia="Calibri" w:hAnsi="Verdana" w:cs="Arial"/>
                <w:b/>
                <w:color w:val="000000" w:themeColor="text1"/>
                <w:lang w:val="es-ES" w:eastAsia="es-ES_tradnl"/>
              </w:rPr>
              <w:t>Radicación:</w:t>
            </w:r>
            <w:r w:rsidRPr="00F43CC7">
              <w:rPr>
                <w:rFonts w:ascii="Verdana" w:eastAsia="Calibri" w:hAnsi="Verdana" w:cs="Arial"/>
                <w:color w:val="000000" w:themeColor="text1"/>
                <w:lang w:val="es-ES" w:eastAsia="es-ES_tradnl"/>
              </w:rPr>
              <w:t xml:space="preserve">              </w:t>
            </w:r>
          </w:p>
        </w:tc>
        <w:tc>
          <w:tcPr>
            <w:tcW w:w="6100" w:type="dxa"/>
          </w:tcPr>
          <w:p w14:paraId="32895454" w14:textId="77777777" w:rsidR="00B24075" w:rsidRPr="00F43CC7" w:rsidRDefault="00B24075" w:rsidP="00210ACC">
            <w:pPr>
              <w:ind w:left="3"/>
              <w:jc w:val="both"/>
              <w:rPr>
                <w:rFonts w:ascii="Verdana" w:hAnsi="Verdana"/>
                <w:color w:val="000000"/>
                <w:lang w:val="es-ES"/>
              </w:rPr>
            </w:pPr>
            <w:r w:rsidRPr="00F43CC7">
              <w:rPr>
                <w:rFonts w:ascii="Verdana" w:eastAsia="Calibri" w:hAnsi="Verdana" w:cs="Arial"/>
                <w:color w:val="000000" w:themeColor="text1"/>
                <w:lang w:val="es-ES" w:eastAsia="es-ES"/>
              </w:rPr>
              <w:t>Respuesta a consulta con radicado No.</w:t>
            </w:r>
            <w:r w:rsidRPr="00F43CC7">
              <w:rPr>
                <w:rFonts w:ascii="Segoe UI" w:hAnsi="Segoe UI" w:cs="Segoe UI"/>
                <w:b/>
                <w:bCs/>
                <w:color w:val="242424"/>
                <w:sz w:val="21"/>
                <w:szCs w:val="21"/>
                <w:shd w:val="clear" w:color="auto" w:fill="FFFFFF"/>
                <w:lang w:val="es-ES"/>
              </w:rPr>
              <w:t xml:space="preserve"> </w:t>
            </w:r>
            <w:r w:rsidRPr="00F43CC7">
              <w:rPr>
                <w:rFonts w:ascii="Verdana" w:eastAsia="Calibri" w:hAnsi="Verdana" w:cs="Arial"/>
                <w:color w:val="000000" w:themeColor="text1"/>
                <w:lang w:val="es-ES" w:eastAsia="es-ES"/>
              </w:rPr>
              <w:t xml:space="preserve"> </w:t>
            </w:r>
            <w:r w:rsidRPr="00C80CBC">
              <w:rPr>
                <w:rFonts w:ascii="Verdana" w:eastAsia="Calibri" w:hAnsi="Verdana" w:cs="Arial"/>
                <w:color w:val="000000" w:themeColor="text1"/>
                <w:lang w:val="es-ES" w:eastAsia="es-ES"/>
              </w:rPr>
              <w:t>1_2026_02_23_002394</w:t>
            </w:r>
          </w:p>
        </w:tc>
      </w:tr>
    </w:tbl>
    <w:p w14:paraId="76959B50" w14:textId="77777777" w:rsidR="00B24075" w:rsidRPr="00F43CC7" w:rsidRDefault="00B24075" w:rsidP="00C1740B">
      <w:pPr>
        <w:spacing w:after="0" w:line="240" w:lineRule="auto"/>
        <w:jc w:val="both"/>
        <w:rPr>
          <w:rFonts w:ascii="Verdana" w:eastAsia="Calibri" w:hAnsi="Verdana" w:cs="Arial"/>
          <w:color w:val="000000" w:themeColor="text1"/>
          <w:lang w:val="es-ES" w:eastAsia="es-ES"/>
        </w:rPr>
      </w:pPr>
    </w:p>
    <w:p w14:paraId="64745182" w14:textId="77777777" w:rsidR="00B24075" w:rsidRPr="00F43CC7" w:rsidRDefault="00B24075" w:rsidP="00C1740B">
      <w:pPr>
        <w:spacing w:after="0" w:line="240" w:lineRule="auto"/>
        <w:jc w:val="both"/>
        <w:rPr>
          <w:rFonts w:ascii="Verdana" w:eastAsia="Calibri" w:hAnsi="Verdana" w:cs="Arial"/>
          <w:color w:val="000000" w:themeColor="text1"/>
          <w:lang w:val="es-ES" w:eastAsia="es-ES"/>
        </w:rPr>
      </w:pPr>
    </w:p>
    <w:p w14:paraId="5D67D565" w14:textId="77777777" w:rsidR="00B24075" w:rsidRPr="00F43CC7" w:rsidRDefault="00B24075" w:rsidP="00210ACC">
      <w:pPr>
        <w:spacing w:after="0" w:line="276" w:lineRule="auto"/>
        <w:jc w:val="both"/>
        <w:rPr>
          <w:rFonts w:ascii="Verdana" w:eastAsia="Calibri" w:hAnsi="Verdana" w:cs="Arial"/>
          <w:color w:val="000000" w:themeColor="text1"/>
          <w:lang w:val="es-ES" w:eastAsia="es-ES"/>
        </w:rPr>
      </w:pPr>
      <w:r w:rsidRPr="00F43CC7">
        <w:rPr>
          <w:rFonts w:ascii="Verdana" w:eastAsia="Calibri" w:hAnsi="Verdana" w:cs="Arial"/>
          <w:color w:val="000000" w:themeColor="text1"/>
          <w:lang w:val="es-ES" w:eastAsia="es-ES"/>
        </w:rPr>
        <w:t xml:space="preserve">Estimada </w:t>
      </w:r>
      <w:r>
        <w:rPr>
          <w:rFonts w:ascii="Verdana" w:eastAsia="Calibri" w:hAnsi="Verdana" w:cs="Arial"/>
          <w:color w:val="000000" w:themeColor="text1"/>
          <w:lang w:val="es-ES" w:eastAsia="es-ES"/>
        </w:rPr>
        <w:t>Doctora</w:t>
      </w:r>
      <w:r w:rsidRPr="00F43CC7">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Sandoval</w:t>
      </w:r>
      <w:r w:rsidRPr="00F43CC7">
        <w:rPr>
          <w:rFonts w:ascii="Verdana" w:eastAsia="Calibri" w:hAnsi="Verdana" w:cs="Arial"/>
          <w:color w:val="000000" w:themeColor="text1"/>
          <w:lang w:val="es-ES" w:eastAsia="es-ES"/>
        </w:rPr>
        <w:t xml:space="preserve">: </w:t>
      </w:r>
    </w:p>
    <w:p w14:paraId="7372767B" w14:textId="77777777" w:rsidR="00B24075" w:rsidRPr="00F43CC7" w:rsidRDefault="00B24075" w:rsidP="00210ACC">
      <w:pPr>
        <w:tabs>
          <w:tab w:val="left" w:pos="3768"/>
        </w:tabs>
        <w:spacing w:after="0" w:line="276" w:lineRule="auto"/>
        <w:jc w:val="both"/>
        <w:rPr>
          <w:rFonts w:ascii="Verdana" w:eastAsia="Calibri" w:hAnsi="Verdana" w:cs="Arial"/>
          <w:color w:val="000000" w:themeColor="text1"/>
          <w:lang w:val="es-ES" w:eastAsia="es-ES"/>
        </w:rPr>
      </w:pPr>
      <w:r w:rsidRPr="00F43CC7">
        <w:rPr>
          <w:rFonts w:ascii="Verdana" w:eastAsia="Calibri" w:hAnsi="Verdana" w:cs="Arial"/>
          <w:color w:val="000000" w:themeColor="text1"/>
          <w:lang w:val="es-ES" w:eastAsia="es-ES"/>
        </w:rPr>
        <w:tab/>
      </w:r>
    </w:p>
    <w:p w14:paraId="09383104" w14:textId="77777777" w:rsidR="00B24075" w:rsidRPr="00F43CC7" w:rsidRDefault="00B24075" w:rsidP="00210ACC">
      <w:pPr>
        <w:spacing w:after="0" w:line="276" w:lineRule="auto"/>
        <w:jc w:val="both"/>
        <w:rPr>
          <w:rFonts w:ascii="Verdana" w:eastAsia="Calibri" w:hAnsi="Verdana" w:cs="Arial"/>
          <w:color w:val="000000" w:themeColor="text1"/>
          <w:lang w:val="es-ES" w:eastAsia="es-ES"/>
        </w:rPr>
      </w:pPr>
      <w:r w:rsidRPr="00F43CC7">
        <w:rPr>
          <w:rFonts w:ascii="Verdana" w:eastAsia="Calibri" w:hAnsi="Verdana" w:cs="Arial"/>
          <w:color w:val="000000" w:themeColor="text1"/>
          <w:lang w:val="es-ES" w:eastAsia="es-ES"/>
        </w:rPr>
        <w:t>En ejercicio de la competencia otorgada por los artículos 3, numeral 5º, y 11, numeral 8º, del Decreto Ley 4170 de 2011,</w:t>
      </w:r>
      <w:r w:rsidRPr="00F43CC7">
        <w:rPr>
          <w:rFonts w:ascii="Verdana" w:eastAsia="Arial MT" w:hAnsi="Verdana" w:cs="Arial MT"/>
          <w:color w:val="000000" w:themeColor="text1"/>
          <w:lang w:val="es-ES" w:eastAsia="es-ES"/>
        </w:rPr>
        <w:t xml:space="preserve"> </w:t>
      </w:r>
      <w:r w:rsidRPr="00F43CC7">
        <w:rPr>
          <w:rFonts w:ascii="Verdana" w:hAnsi="Verdana" w:cs="Arial"/>
          <w:color w:val="000000" w:themeColor="text1"/>
          <w:lang w:val="es-ES"/>
        </w:rPr>
        <w:t xml:space="preserve">así como lo establecido en el artículo 4 de la Resolución 1707 de 2018 expedida por esta Entidad, </w:t>
      </w:r>
      <w:r w:rsidRPr="00F43CC7">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23</w:t>
      </w:r>
      <w:r w:rsidRPr="00F43CC7">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febrero</w:t>
      </w:r>
      <w:r w:rsidRPr="00F43CC7">
        <w:rPr>
          <w:rFonts w:ascii="Verdana" w:eastAsia="Calibri" w:hAnsi="Verdana" w:cs="Arial"/>
          <w:color w:val="000000" w:themeColor="text1"/>
          <w:lang w:val="es-ES" w:eastAsia="es-ES"/>
        </w:rPr>
        <w:t xml:space="preserve"> de 2026, en la cual manifiesta lo siguiente: </w:t>
      </w:r>
    </w:p>
    <w:p w14:paraId="4BBD2252" w14:textId="77777777" w:rsidR="00B24075" w:rsidRPr="00F43CC7" w:rsidRDefault="00B24075" w:rsidP="00210ACC">
      <w:pPr>
        <w:tabs>
          <w:tab w:val="left" w:pos="142"/>
          <w:tab w:val="left" w:pos="284"/>
        </w:tabs>
        <w:spacing w:after="0" w:line="276" w:lineRule="auto"/>
        <w:jc w:val="both"/>
        <w:rPr>
          <w:rFonts w:ascii="Verdana" w:eastAsia="Century Gothic" w:hAnsi="Verdana" w:cs="Century Gothic"/>
          <w:b/>
          <w:color w:val="000000" w:themeColor="text1"/>
          <w:lang w:val="es-ES"/>
        </w:rPr>
      </w:pPr>
    </w:p>
    <w:p w14:paraId="31DA82A6" w14:textId="5AD32B0F" w:rsidR="00B24075" w:rsidRDefault="00B24075" w:rsidP="00210ACC">
      <w:pPr>
        <w:spacing w:after="0" w:line="240" w:lineRule="auto"/>
        <w:ind w:left="709" w:right="709"/>
        <w:jc w:val="both"/>
        <w:rPr>
          <w:rFonts w:ascii="Verdana" w:eastAsia="Century Gothic" w:hAnsi="Verdana" w:cs="Century Gothic"/>
          <w:i/>
          <w:color w:val="000000" w:themeColor="text1"/>
          <w:sz w:val="20"/>
          <w:szCs w:val="20"/>
          <w:lang w:val="es-ES"/>
        </w:rPr>
      </w:pPr>
      <w:r w:rsidRPr="00F43CC7">
        <w:rPr>
          <w:rFonts w:ascii="Verdana" w:eastAsia="Century Gothic" w:hAnsi="Verdana" w:cs="Century Gothic"/>
          <w:i/>
          <w:color w:val="000000" w:themeColor="text1"/>
          <w:sz w:val="20"/>
          <w:szCs w:val="20"/>
          <w:lang w:val="es-ES"/>
        </w:rPr>
        <w:t xml:space="preserve">“El Instituto para la Economía Social – IPES, en cumplimiento de su misión institucional de brindar alternativas formales a los sectores de la economía informal y garantizar el acceso de población vulnerable a programas sociales, se encuentra evaluando la posibilidad de suscribir contratos de </w:t>
      </w:r>
      <w:r w:rsidRPr="00F43CC7">
        <w:rPr>
          <w:rFonts w:ascii="Verdana" w:eastAsia="Century Gothic" w:hAnsi="Verdana" w:cs="Century Gothic"/>
          <w:i/>
          <w:color w:val="000000" w:themeColor="text1"/>
          <w:sz w:val="20"/>
          <w:szCs w:val="20"/>
          <w:lang w:val="es-ES"/>
        </w:rPr>
        <w:lastRenderedPageBreak/>
        <w:t xml:space="preserve">arrendamiento sobre bienes inmuebles fiscales de su propiedad. Estos contratos constituyen una herramienta esencial para la ejecución de programas de puntos comerciales y de reubicación, en concordancia con los planes de desarrollo y las políticas del Gobierno Distrital. </w:t>
      </w:r>
    </w:p>
    <w:p w14:paraId="7227CF37" w14:textId="77777777" w:rsidR="00210ACC" w:rsidRPr="00F43CC7" w:rsidRDefault="00210ACC" w:rsidP="00C1740B">
      <w:pPr>
        <w:spacing w:after="0" w:line="240" w:lineRule="auto"/>
        <w:ind w:left="709" w:right="709"/>
        <w:jc w:val="both"/>
        <w:rPr>
          <w:rFonts w:ascii="Verdana" w:eastAsia="Century Gothic" w:hAnsi="Verdana" w:cs="Century Gothic"/>
          <w:i/>
          <w:color w:val="000000" w:themeColor="text1"/>
          <w:sz w:val="20"/>
          <w:szCs w:val="20"/>
          <w:lang w:val="es-ES"/>
        </w:rPr>
      </w:pPr>
    </w:p>
    <w:p w14:paraId="26D2F27F" w14:textId="77777777" w:rsidR="00B24075" w:rsidRPr="00F43CC7" w:rsidRDefault="00B24075" w:rsidP="00C1740B">
      <w:pPr>
        <w:spacing w:after="0" w:line="240" w:lineRule="auto"/>
        <w:ind w:left="709" w:right="709"/>
        <w:jc w:val="both"/>
        <w:rPr>
          <w:rFonts w:ascii="Verdana" w:eastAsia="Century Gothic" w:hAnsi="Verdana" w:cs="Century Gothic"/>
          <w:b/>
          <w:bCs/>
          <w:i/>
          <w:color w:val="000000" w:themeColor="text1"/>
          <w:sz w:val="20"/>
          <w:szCs w:val="20"/>
          <w:lang w:val="es-ES"/>
        </w:rPr>
      </w:pPr>
      <w:r w:rsidRPr="00F43CC7">
        <w:rPr>
          <w:rFonts w:ascii="Verdana" w:eastAsia="Century Gothic" w:hAnsi="Verdana" w:cs="Century Gothic"/>
          <w:b/>
          <w:bCs/>
          <w:i/>
          <w:color w:val="000000" w:themeColor="text1"/>
          <w:sz w:val="20"/>
          <w:szCs w:val="20"/>
          <w:lang w:val="es-ES"/>
        </w:rPr>
        <w:t>Problema Jurídico</w:t>
      </w:r>
    </w:p>
    <w:p w14:paraId="05ADC3F6" w14:textId="512001F2" w:rsidR="00B24075" w:rsidRDefault="00B24075" w:rsidP="00210ACC">
      <w:pPr>
        <w:spacing w:after="0" w:line="240" w:lineRule="auto"/>
        <w:ind w:left="709" w:right="709"/>
        <w:jc w:val="both"/>
        <w:rPr>
          <w:rFonts w:ascii="Verdana" w:eastAsia="Century Gothic" w:hAnsi="Verdana" w:cs="Century Gothic"/>
          <w:i/>
          <w:color w:val="000000" w:themeColor="text1"/>
          <w:sz w:val="20"/>
          <w:szCs w:val="20"/>
          <w:lang w:val="es-ES"/>
        </w:rPr>
      </w:pPr>
      <w:r w:rsidRPr="00F43CC7">
        <w:rPr>
          <w:rFonts w:ascii="Verdana" w:eastAsia="Century Gothic" w:hAnsi="Verdana" w:cs="Century Gothic"/>
          <w:i/>
          <w:color w:val="000000" w:themeColor="text1"/>
          <w:sz w:val="20"/>
          <w:szCs w:val="20"/>
          <w:lang w:val="es-ES"/>
        </w:rPr>
        <w:t>En este contexto, y teniendo en cuenta las restricciones establecidas en la Ley de Garantías Electorales (Ley 996 de 2005), se solicita concepto jurídico respecto de la viabilidad de adelantar dichos contratos bajo la modalidad de contratación directa, considerando que su suspensión afectaría de manera directa la misionalidad de la entidad y la garantía de derechos fundamentales de la población sujeto de atención .</w:t>
      </w:r>
    </w:p>
    <w:p w14:paraId="53F77D3A" w14:textId="77777777" w:rsidR="00864BF2" w:rsidRPr="00F43CC7" w:rsidRDefault="00864BF2" w:rsidP="00C1740B">
      <w:pPr>
        <w:spacing w:after="0" w:line="240" w:lineRule="auto"/>
        <w:ind w:left="709" w:right="709"/>
        <w:jc w:val="both"/>
        <w:rPr>
          <w:rFonts w:ascii="Verdana" w:eastAsia="Century Gothic" w:hAnsi="Verdana" w:cs="Century Gothic"/>
          <w:i/>
          <w:color w:val="000000" w:themeColor="text1"/>
          <w:sz w:val="20"/>
          <w:szCs w:val="20"/>
          <w:lang w:val="es-ES"/>
        </w:rPr>
      </w:pPr>
    </w:p>
    <w:p w14:paraId="76437554" w14:textId="159463AD" w:rsidR="00B24075" w:rsidRDefault="00B24075" w:rsidP="00210ACC">
      <w:pPr>
        <w:spacing w:after="0" w:line="240" w:lineRule="auto"/>
        <w:ind w:left="709" w:right="709"/>
        <w:jc w:val="both"/>
        <w:rPr>
          <w:rFonts w:ascii="Verdana" w:eastAsia="Century Gothic" w:hAnsi="Verdana" w:cs="Century Gothic"/>
          <w:i/>
          <w:color w:val="000000" w:themeColor="text1"/>
          <w:sz w:val="20"/>
          <w:szCs w:val="20"/>
          <w:lang w:val="es-ES"/>
        </w:rPr>
      </w:pPr>
      <w:r w:rsidRPr="008B226A">
        <w:rPr>
          <w:rFonts w:ascii="Verdana" w:eastAsia="Century Gothic" w:hAnsi="Verdana" w:cs="Century Gothic"/>
          <w:i/>
          <w:color w:val="000000" w:themeColor="text1"/>
          <w:sz w:val="20"/>
          <w:szCs w:val="20"/>
          <w:lang w:val="es-ES"/>
        </w:rPr>
        <w:t>¿La prohibición de celebrar contratos bajo la modalidad de contratación directa contemplada en el artículo 33 de la Ley 996 de 2005 impide que el IPES suscriba contratos de arrendamiento con beneficiarios de programas sociales, cuando dichos contratos constituyen la herramienta misional única para la garantía de derechos fundamentales de la población sujeto de atención</w:t>
      </w:r>
      <w:r w:rsidRPr="00F43CC7">
        <w:rPr>
          <w:rFonts w:ascii="Verdana" w:eastAsia="Century Gothic" w:hAnsi="Verdana" w:cs="Century Gothic"/>
          <w:i/>
          <w:color w:val="000000" w:themeColor="text1"/>
          <w:sz w:val="20"/>
          <w:szCs w:val="20"/>
          <w:lang w:val="es-ES"/>
        </w:rPr>
        <w:t>?</w:t>
      </w:r>
    </w:p>
    <w:p w14:paraId="78C0A15C" w14:textId="77777777" w:rsidR="00864BF2" w:rsidRPr="00F43CC7" w:rsidRDefault="00864BF2" w:rsidP="00C1740B">
      <w:pPr>
        <w:spacing w:after="0" w:line="240" w:lineRule="auto"/>
        <w:ind w:left="709" w:right="709"/>
        <w:jc w:val="both"/>
        <w:rPr>
          <w:rFonts w:ascii="Verdana" w:eastAsia="Century Gothic" w:hAnsi="Verdana" w:cs="Century Gothic"/>
          <w:i/>
          <w:color w:val="000000" w:themeColor="text1"/>
          <w:sz w:val="20"/>
          <w:szCs w:val="20"/>
          <w:lang w:val="es-ES"/>
        </w:rPr>
      </w:pPr>
    </w:p>
    <w:p w14:paraId="14F903DD" w14:textId="4196A3F9" w:rsidR="00B24075" w:rsidRDefault="00B24075" w:rsidP="00210ACC">
      <w:pPr>
        <w:spacing w:after="0" w:line="240" w:lineRule="auto"/>
        <w:ind w:left="709" w:right="709"/>
        <w:jc w:val="both"/>
        <w:rPr>
          <w:rFonts w:ascii="Verdana" w:eastAsia="Century Gothic" w:hAnsi="Verdana" w:cs="Century Gothic"/>
          <w:i/>
          <w:color w:val="000000" w:themeColor="text1"/>
          <w:sz w:val="20"/>
          <w:szCs w:val="20"/>
          <w:lang w:val="es-ES"/>
        </w:rPr>
      </w:pPr>
      <w:r w:rsidRPr="00F43CC7">
        <w:rPr>
          <w:rFonts w:ascii="Verdana" w:eastAsia="Century Gothic" w:hAnsi="Verdana" w:cs="Century Gothic"/>
          <w:i/>
          <w:color w:val="000000" w:themeColor="text1"/>
          <w:sz w:val="20"/>
          <w:szCs w:val="20"/>
          <w:lang w:val="es-ES"/>
        </w:rPr>
        <w:t>Cabe anotar que la naturaleza de los contratos de arrendamiento de bienes estatales, según el Decreto 1082 de 2015, se tramitan bajo la modalidad de contratación directa. En el caso del IPES, estos contratos no corresponden a una contratación administrativa ordinaria, sino a la ejecución de una política pública de reubicación y asistencia social.</w:t>
      </w:r>
    </w:p>
    <w:p w14:paraId="4B1D554F" w14:textId="77777777" w:rsidR="00864BF2" w:rsidRPr="00F43CC7" w:rsidRDefault="00864BF2" w:rsidP="00C1740B">
      <w:pPr>
        <w:spacing w:after="0" w:line="240" w:lineRule="auto"/>
        <w:ind w:left="709" w:right="709"/>
        <w:jc w:val="both"/>
        <w:rPr>
          <w:rFonts w:ascii="Verdana" w:eastAsia="Century Gothic" w:hAnsi="Verdana" w:cs="Century Gothic"/>
          <w:i/>
          <w:color w:val="000000" w:themeColor="text1"/>
          <w:sz w:val="20"/>
          <w:szCs w:val="20"/>
          <w:lang w:val="es-ES"/>
        </w:rPr>
      </w:pPr>
    </w:p>
    <w:p w14:paraId="301601F0" w14:textId="16D60D7B" w:rsidR="00B24075" w:rsidRDefault="00B24075" w:rsidP="00210ACC">
      <w:pPr>
        <w:spacing w:after="0" w:line="240" w:lineRule="auto"/>
        <w:ind w:left="709" w:right="709"/>
        <w:jc w:val="both"/>
        <w:rPr>
          <w:rFonts w:ascii="Verdana" w:eastAsia="Century Gothic" w:hAnsi="Verdana" w:cs="Century Gothic"/>
          <w:i/>
          <w:color w:val="000000" w:themeColor="text1"/>
          <w:sz w:val="20"/>
          <w:szCs w:val="20"/>
          <w:lang w:val="es-ES"/>
        </w:rPr>
      </w:pPr>
      <w:r w:rsidRPr="00F43CC7">
        <w:rPr>
          <w:rFonts w:ascii="Verdana" w:eastAsia="Century Gothic" w:hAnsi="Verdana" w:cs="Century Gothic"/>
          <w:i/>
          <w:color w:val="000000" w:themeColor="text1"/>
          <w:sz w:val="20"/>
          <w:szCs w:val="20"/>
          <w:lang w:val="es-ES"/>
        </w:rPr>
        <w:t>Suspender la formalización de contratos de arrendamiento en el marco de los programas de formalización del IPES constituye un riesgo jurídico de alto impacto. Esta inacción administrativa derivaría en el incumplimiento de mandatos de la Corte Constitucional y en la interrupción de la política pública de recuperación del espacio público. En consecuencia, la Ley de Garantías operaría, en este caso, como un obstáculo para la continuidad del servicio público y el cumplimiento de los fines esenciales de la institución.</w:t>
      </w:r>
    </w:p>
    <w:p w14:paraId="2CCFDBAF" w14:textId="77777777" w:rsidR="00864BF2" w:rsidRPr="00F43CC7" w:rsidRDefault="00864BF2" w:rsidP="00C1740B">
      <w:pPr>
        <w:spacing w:after="0" w:line="240" w:lineRule="auto"/>
        <w:ind w:left="709" w:right="709"/>
        <w:jc w:val="both"/>
        <w:rPr>
          <w:rFonts w:ascii="Verdana" w:eastAsia="Century Gothic" w:hAnsi="Verdana" w:cs="Century Gothic"/>
          <w:i/>
          <w:color w:val="000000" w:themeColor="text1"/>
          <w:sz w:val="20"/>
          <w:szCs w:val="20"/>
          <w:lang w:val="es-ES"/>
        </w:rPr>
      </w:pPr>
    </w:p>
    <w:p w14:paraId="5755270F" w14:textId="2100DD7D" w:rsidR="00B24075" w:rsidRDefault="00B24075" w:rsidP="00210ACC">
      <w:pPr>
        <w:spacing w:after="0" w:line="240" w:lineRule="auto"/>
        <w:ind w:left="709" w:right="709"/>
        <w:jc w:val="both"/>
        <w:rPr>
          <w:rFonts w:ascii="Verdana" w:eastAsia="Century Gothic" w:hAnsi="Verdana" w:cs="Century Gothic"/>
          <w:i/>
          <w:color w:val="000000" w:themeColor="text1"/>
          <w:sz w:val="20"/>
          <w:szCs w:val="20"/>
          <w:lang w:val="es-ES"/>
        </w:rPr>
      </w:pPr>
      <w:r w:rsidRPr="008B226A">
        <w:rPr>
          <w:rFonts w:ascii="Verdana" w:eastAsia="Century Gothic" w:hAnsi="Verdana" w:cs="Century Gothic"/>
          <w:i/>
          <w:color w:val="000000" w:themeColor="text1"/>
          <w:sz w:val="20"/>
          <w:szCs w:val="20"/>
          <w:lang w:val="es-ES"/>
        </w:rPr>
        <w:t>Se solicita analizar si aplica la excepción, dada la naturaleza del contrato (que implica recepción de canon y no erogación de gasto público), se desnaturaliza la finalidad de la Ley de Garantías.</w:t>
      </w:r>
    </w:p>
    <w:p w14:paraId="393DCBF8" w14:textId="77777777" w:rsidR="00864BF2" w:rsidRPr="008B226A" w:rsidRDefault="00864BF2" w:rsidP="00C1740B">
      <w:pPr>
        <w:spacing w:after="0" w:line="240" w:lineRule="auto"/>
        <w:ind w:left="709" w:right="709"/>
        <w:jc w:val="both"/>
        <w:rPr>
          <w:rFonts w:ascii="Verdana" w:eastAsia="Century Gothic" w:hAnsi="Verdana" w:cs="Century Gothic"/>
          <w:i/>
          <w:color w:val="000000" w:themeColor="text1"/>
          <w:sz w:val="20"/>
          <w:szCs w:val="20"/>
          <w:lang w:val="es-ES"/>
        </w:rPr>
      </w:pPr>
    </w:p>
    <w:p w14:paraId="78C8403D" w14:textId="4F423CB1" w:rsidR="00B24075" w:rsidRDefault="00B24075" w:rsidP="00210ACC">
      <w:pPr>
        <w:spacing w:after="0" w:line="240" w:lineRule="auto"/>
        <w:ind w:left="709" w:right="709"/>
        <w:jc w:val="both"/>
        <w:rPr>
          <w:rFonts w:ascii="Verdana" w:eastAsia="Century Gothic" w:hAnsi="Verdana" w:cs="Century Gothic"/>
          <w:i/>
          <w:color w:val="000000" w:themeColor="text1"/>
          <w:sz w:val="20"/>
          <w:szCs w:val="20"/>
          <w:lang w:val="es-ES"/>
        </w:rPr>
      </w:pPr>
      <w:r w:rsidRPr="008B226A">
        <w:rPr>
          <w:rFonts w:ascii="Verdana" w:eastAsia="Century Gothic" w:hAnsi="Verdana" w:cs="Century Gothic"/>
          <w:i/>
          <w:color w:val="000000" w:themeColor="text1"/>
          <w:sz w:val="20"/>
          <w:szCs w:val="20"/>
          <w:lang w:val="es-ES"/>
        </w:rPr>
        <w:t>Aunado a la afectación misional, la imposibilidad de suscribir nuevos contratos de arrendamiento bajo el marco de la Ley 996 de 2005 genera efectos adversos que comprometen la integridad del patrimonio público y la autoridad institucional</w:t>
      </w:r>
      <w:r w:rsidR="00864BF2">
        <w:rPr>
          <w:rFonts w:ascii="Verdana" w:eastAsia="Century Gothic" w:hAnsi="Verdana" w:cs="Century Gothic"/>
          <w:i/>
          <w:color w:val="000000" w:themeColor="text1"/>
          <w:sz w:val="20"/>
          <w:szCs w:val="20"/>
          <w:lang w:val="es-ES"/>
        </w:rPr>
        <w:t xml:space="preserve">. </w:t>
      </w:r>
    </w:p>
    <w:p w14:paraId="3B1F2BD7" w14:textId="77777777" w:rsidR="00864BF2" w:rsidRPr="008B226A" w:rsidRDefault="00864BF2" w:rsidP="00C1740B">
      <w:pPr>
        <w:spacing w:after="0" w:line="240" w:lineRule="auto"/>
        <w:ind w:left="709" w:right="709"/>
        <w:jc w:val="both"/>
        <w:rPr>
          <w:rFonts w:ascii="Verdana" w:eastAsia="Century Gothic" w:hAnsi="Verdana" w:cs="Century Gothic"/>
          <w:i/>
          <w:color w:val="000000" w:themeColor="text1"/>
          <w:sz w:val="20"/>
          <w:szCs w:val="20"/>
          <w:lang w:val="es-ES"/>
        </w:rPr>
      </w:pPr>
    </w:p>
    <w:p w14:paraId="3555638A" w14:textId="77777777" w:rsidR="00B24075" w:rsidRPr="00F43CC7" w:rsidRDefault="00B24075" w:rsidP="00C1740B">
      <w:pPr>
        <w:spacing w:after="0" w:line="240" w:lineRule="auto"/>
        <w:ind w:left="709" w:right="709"/>
        <w:jc w:val="both"/>
        <w:rPr>
          <w:rFonts w:ascii="Verdana" w:eastAsia="Century Gothic" w:hAnsi="Verdana" w:cs="Century Gothic"/>
          <w:i/>
          <w:color w:val="000000" w:themeColor="text1"/>
          <w:sz w:val="20"/>
          <w:szCs w:val="20"/>
          <w:lang w:val="es-ES"/>
        </w:rPr>
      </w:pPr>
      <w:r w:rsidRPr="00F43CC7">
        <w:rPr>
          <w:rFonts w:ascii="Verdana" w:eastAsia="Century Gothic" w:hAnsi="Verdana" w:cs="Century Gothic"/>
          <w:i/>
          <w:color w:val="000000" w:themeColor="text1"/>
          <w:sz w:val="20"/>
          <w:szCs w:val="20"/>
          <w:lang w:val="es-ES"/>
        </w:rPr>
        <w:t>[…]</w:t>
      </w:r>
    </w:p>
    <w:p w14:paraId="27D876E2" w14:textId="5759C5D7" w:rsidR="00B24075" w:rsidRDefault="00B24075" w:rsidP="00210ACC">
      <w:pPr>
        <w:spacing w:after="0" w:line="240" w:lineRule="auto"/>
        <w:ind w:left="709" w:right="709"/>
        <w:jc w:val="both"/>
        <w:rPr>
          <w:rFonts w:ascii="Verdana" w:eastAsia="Century Gothic" w:hAnsi="Verdana" w:cs="Century Gothic"/>
          <w:b/>
          <w:bCs/>
          <w:i/>
          <w:color w:val="000000" w:themeColor="text1"/>
          <w:sz w:val="20"/>
          <w:szCs w:val="20"/>
          <w:lang w:val="es-ES"/>
        </w:rPr>
      </w:pPr>
      <w:r w:rsidRPr="008B226A">
        <w:rPr>
          <w:rFonts w:ascii="Verdana" w:eastAsia="Century Gothic" w:hAnsi="Verdana" w:cs="Century Gothic"/>
          <w:b/>
          <w:bCs/>
          <w:i/>
          <w:color w:val="000000" w:themeColor="text1"/>
          <w:sz w:val="20"/>
          <w:szCs w:val="20"/>
          <w:lang w:val="es-ES"/>
        </w:rPr>
        <w:t>Preguntas específicas</w:t>
      </w:r>
    </w:p>
    <w:p w14:paraId="2A07A5CB" w14:textId="77777777" w:rsidR="00864BF2" w:rsidRPr="008B226A" w:rsidRDefault="00864BF2" w:rsidP="00C1740B">
      <w:pPr>
        <w:spacing w:after="0" w:line="240" w:lineRule="auto"/>
        <w:ind w:left="709" w:right="709"/>
        <w:jc w:val="both"/>
        <w:rPr>
          <w:rFonts w:ascii="Verdana" w:eastAsia="Century Gothic" w:hAnsi="Verdana" w:cs="Century Gothic"/>
          <w:b/>
          <w:bCs/>
          <w:i/>
          <w:color w:val="000000" w:themeColor="text1"/>
          <w:sz w:val="20"/>
          <w:szCs w:val="20"/>
          <w:lang w:val="es-ES"/>
        </w:rPr>
      </w:pPr>
    </w:p>
    <w:p w14:paraId="36557619" w14:textId="68D068F6" w:rsidR="00B24075" w:rsidRDefault="00B24075" w:rsidP="00210ACC">
      <w:pPr>
        <w:spacing w:after="0" w:line="240" w:lineRule="auto"/>
        <w:ind w:left="709" w:right="709"/>
        <w:jc w:val="both"/>
        <w:rPr>
          <w:rFonts w:ascii="Verdana" w:eastAsia="Century Gothic" w:hAnsi="Verdana" w:cs="Century Gothic"/>
          <w:i/>
          <w:color w:val="000000" w:themeColor="text1"/>
          <w:sz w:val="20"/>
          <w:szCs w:val="20"/>
          <w:lang w:val="es-ES"/>
        </w:rPr>
      </w:pPr>
      <w:r w:rsidRPr="008B226A">
        <w:rPr>
          <w:rFonts w:ascii="Verdana" w:eastAsia="Century Gothic" w:hAnsi="Verdana" w:cs="Century Gothic"/>
          <w:i/>
          <w:color w:val="000000" w:themeColor="text1"/>
          <w:sz w:val="20"/>
          <w:szCs w:val="20"/>
          <w:lang w:val="es-ES"/>
        </w:rPr>
        <w:t>¿Se considera “contratación directa” prohibida por la Ley 996 de 2005 la suscripción de contratos donde la entidad actúa como arrendador de sus propios bienes para cumplir fines misionales sociales?</w:t>
      </w:r>
    </w:p>
    <w:p w14:paraId="1E57874D" w14:textId="77777777" w:rsidR="00864BF2" w:rsidRPr="008B226A" w:rsidRDefault="00864BF2" w:rsidP="00C1740B">
      <w:pPr>
        <w:spacing w:after="0" w:line="240" w:lineRule="auto"/>
        <w:ind w:left="709" w:right="709"/>
        <w:jc w:val="both"/>
        <w:rPr>
          <w:rFonts w:ascii="Verdana" w:eastAsia="Century Gothic" w:hAnsi="Verdana" w:cs="Century Gothic"/>
          <w:i/>
          <w:color w:val="000000" w:themeColor="text1"/>
          <w:sz w:val="20"/>
          <w:szCs w:val="20"/>
          <w:lang w:val="es-ES"/>
        </w:rPr>
      </w:pPr>
    </w:p>
    <w:p w14:paraId="07A06731" w14:textId="5EB97857" w:rsidR="00B24075" w:rsidRDefault="00B24075" w:rsidP="00210ACC">
      <w:pPr>
        <w:spacing w:after="0" w:line="240" w:lineRule="auto"/>
        <w:ind w:left="709" w:right="709"/>
        <w:jc w:val="both"/>
        <w:rPr>
          <w:rFonts w:ascii="Verdana" w:eastAsia="Century Gothic" w:hAnsi="Verdana" w:cs="Century Gothic"/>
          <w:i/>
          <w:color w:val="000000" w:themeColor="text1"/>
          <w:sz w:val="20"/>
          <w:szCs w:val="20"/>
          <w:lang w:val="es-ES"/>
        </w:rPr>
      </w:pPr>
      <w:r w:rsidRPr="008B226A">
        <w:rPr>
          <w:rFonts w:ascii="Verdana" w:eastAsia="Century Gothic" w:hAnsi="Verdana" w:cs="Century Gothic"/>
          <w:i/>
          <w:color w:val="000000" w:themeColor="text1"/>
          <w:sz w:val="20"/>
          <w:szCs w:val="20"/>
          <w:lang w:val="es-ES"/>
        </w:rPr>
        <w:t>¿Existe una excepción para contratos que son el vehículo de ejecución de programas de asistencia social previamente aprobados en el Plan de Desarrollo, que no pueden detenerse sin vulnerar derechos de población especialmente protegida?</w:t>
      </w:r>
    </w:p>
    <w:p w14:paraId="0C4A8C15" w14:textId="77777777" w:rsidR="00864BF2" w:rsidRPr="008B226A" w:rsidRDefault="00864BF2" w:rsidP="00C1740B">
      <w:pPr>
        <w:spacing w:after="0" w:line="240" w:lineRule="auto"/>
        <w:ind w:left="709" w:right="709"/>
        <w:jc w:val="both"/>
        <w:rPr>
          <w:rFonts w:ascii="Verdana" w:eastAsia="Century Gothic" w:hAnsi="Verdana" w:cs="Century Gothic"/>
          <w:i/>
          <w:color w:val="000000" w:themeColor="text1"/>
          <w:sz w:val="20"/>
          <w:szCs w:val="20"/>
          <w:lang w:val="es-ES"/>
        </w:rPr>
      </w:pPr>
    </w:p>
    <w:p w14:paraId="2FA36891" w14:textId="77777777" w:rsidR="00B24075" w:rsidRPr="00F43CC7" w:rsidRDefault="00B24075" w:rsidP="00C1740B">
      <w:pPr>
        <w:spacing w:after="0" w:line="240" w:lineRule="auto"/>
        <w:ind w:left="709" w:right="709"/>
        <w:jc w:val="both"/>
        <w:rPr>
          <w:rFonts w:ascii="Verdana" w:eastAsia="Century Gothic" w:hAnsi="Verdana" w:cs="Century Gothic"/>
          <w:i/>
          <w:color w:val="000000" w:themeColor="text1"/>
          <w:sz w:val="20"/>
          <w:szCs w:val="20"/>
          <w:lang w:val="es-ES"/>
        </w:rPr>
      </w:pPr>
      <w:r w:rsidRPr="008B226A">
        <w:rPr>
          <w:rFonts w:ascii="Verdana" w:eastAsia="Century Gothic" w:hAnsi="Verdana" w:cs="Century Gothic"/>
          <w:i/>
          <w:color w:val="000000" w:themeColor="text1"/>
          <w:sz w:val="20"/>
          <w:szCs w:val="20"/>
          <w:lang w:val="es-ES"/>
        </w:rPr>
        <w:t>¿Cómo debe armonizarse el principio de continuidad del servicio público y la función social del Estado con las restricciones de la Ley de Garantías en este caso específico?</w:t>
      </w:r>
      <w:r w:rsidRPr="00F43CC7">
        <w:rPr>
          <w:rFonts w:ascii="Verdana" w:eastAsia="Century Gothic" w:hAnsi="Verdana" w:cs="Century Gothic"/>
          <w:i/>
          <w:color w:val="000000" w:themeColor="text1"/>
          <w:sz w:val="20"/>
          <w:szCs w:val="20"/>
          <w:lang w:val="es-ES"/>
        </w:rPr>
        <w:t>”</w:t>
      </w:r>
    </w:p>
    <w:p w14:paraId="2AEF4B22" w14:textId="77777777" w:rsidR="00B24075" w:rsidRPr="00F43CC7" w:rsidRDefault="00B24075" w:rsidP="00B24075">
      <w:pPr>
        <w:spacing w:after="0" w:line="276" w:lineRule="auto"/>
        <w:ind w:right="709"/>
        <w:jc w:val="both"/>
        <w:rPr>
          <w:rFonts w:ascii="Verdana" w:eastAsia="Calibri" w:hAnsi="Verdana" w:cs="Arial"/>
          <w:lang w:val="es-ES"/>
        </w:rPr>
      </w:pPr>
    </w:p>
    <w:p w14:paraId="392223A1" w14:textId="77777777" w:rsidR="00B24075" w:rsidRPr="00F43CC7" w:rsidRDefault="00B24075" w:rsidP="00B24075">
      <w:pPr>
        <w:spacing w:after="120" w:line="276" w:lineRule="auto"/>
        <w:ind w:firstLine="709"/>
        <w:jc w:val="both"/>
        <w:rPr>
          <w:rFonts w:ascii="Verdana" w:eastAsia="Calibri" w:hAnsi="Verdana" w:cs="Arial"/>
          <w:color w:val="000000" w:themeColor="text1"/>
          <w:lang w:val="es-ES" w:eastAsia="es-ES"/>
        </w:rPr>
      </w:pPr>
      <w:r w:rsidRPr="00F43CC7">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así como la interpretación de normas ajenas al sistema de compras y contratación pública, desborda las atribuciones asignadas por el legislador extraordinario, que no concibió a la Agencia Nacional de Contratación Pública – Colombia Compra Eficiente como una autoridad para solucionar problemas jurídicos particulares de todos los partícipes del sistema.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así como tampoco se extiende a la interpretación de normas diferentes al régimen de contratación estatal. </w:t>
      </w:r>
      <w:r w:rsidRPr="00F43CC7">
        <w:rPr>
          <w:lang w:val="es-ES"/>
        </w:rPr>
        <w:tab/>
      </w:r>
    </w:p>
    <w:p w14:paraId="6DBDADE1" w14:textId="77777777" w:rsidR="00B24075" w:rsidRPr="00F43CC7" w:rsidRDefault="00B24075" w:rsidP="00B24075">
      <w:pPr>
        <w:spacing w:after="0" w:line="276" w:lineRule="auto"/>
        <w:ind w:firstLine="709"/>
        <w:jc w:val="both"/>
        <w:rPr>
          <w:rFonts w:ascii="Verdana" w:eastAsia="Calibri" w:hAnsi="Verdana" w:cs="Arial"/>
          <w:color w:val="000000" w:themeColor="text1"/>
          <w:lang w:val="es-ES" w:eastAsia="es-ES"/>
        </w:rPr>
      </w:pPr>
      <w:r w:rsidRPr="00F43CC7">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atendiendo aquellas preguntas relacionadas con el ámbito de la contratación pública.</w:t>
      </w:r>
    </w:p>
    <w:p w14:paraId="20C47B24" w14:textId="77777777" w:rsidR="00B24075" w:rsidRPr="00F43CC7" w:rsidRDefault="00B24075" w:rsidP="00864BF2">
      <w:pPr>
        <w:spacing w:after="0" w:line="276" w:lineRule="auto"/>
        <w:jc w:val="both"/>
        <w:rPr>
          <w:rFonts w:ascii="Verdana" w:eastAsia="Calibri" w:hAnsi="Verdana" w:cs="Arial"/>
          <w:color w:val="000000" w:themeColor="text1"/>
          <w:lang w:val="es-ES" w:eastAsia="es-ES"/>
        </w:rPr>
      </w:pPr>
    </w:p>
    <w:p w14:paraId="2CB4C4DC" w14:textId="77777777" w:rsidR="00B24075" w:rsidRPr="00F43CC7" w:rsidRDefault="00B24075" w:rsidP="00864BF2">
      <w:pPr>
        <w:pStyle w:val="ListParagraph"/>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F43CC7">
        <w:rPr>
          <w:rFonts w:ascii="Verdana" w:eastAsia="Century Gothic" w:hAnsi="Verdana" w:cs="Century Gothic"/>
          <w:b/>
          <w:color w:val="000000" w:themeColor="text1"/>
        </w:rPr>
        <w:t>Problema planteado:</w:t>
      </w:r>
    </w:p>
    <w:p w14:paraId="2DF0E8EA" w14:textId="77777777" w:rsidR="00B24075" w:rsidRPr="00F43CC7" w:rsidRDefault="00B24075" w:rsidP="00864BF2">
      <w:pPr>
        <w:tabs>
          <w:tab w:val="left" w:pos="426"/>
        </w:tabs>
        <w:spacing w:after="0" w:line="276" w:lineRule="auto"/>
        <w:jc w:val="both"/>
        <w:rPr>
          <w:rFonts w:ascii="Verdana" w:eastAsia="Century Gothic" w:hAnsi="Verdana" w:cs="Century Gothic"/>
          <w:color w:val="000000" w:themeColor="text1"/>
          <w:lang w:val="es-ES"/>
        </w:rPr>
      </w:pPr>
    </w:p>
    <w:p w14:paraId="0E242D4E" w14:textId="57B7D678" w:rsidR="00B24075" w:rsidRPr="00F43CC7" w:rsidRDefault="00B24075" w:rsidP="00864BF2">
      <w:pPr>
        <w:spacing w:after="0" w:line="276" w:lineRule="auto"/>
        <w:jc w:val="both"/>
        <w:rPr>
          <w:rFonts w:ascii="Verdana" w:eastAsia="Century Gothic" w:hAnsi="Verdana" w:cs="Century Gothic"/>
          <w:color w:val="000000" w:themeColor="text1"/>
          <w:lang w:val="es-ES"/>
        </w:rPr>
      </w:pPr>
      <w:r w:rsidRPr="00F43CC7">
        <w:rPr>
          <w:rFonts w:ascii="Verdana" w:eastAsia="Century Gothic" w:hAnsi="Verdana" w:cs="Century Gothic"/>
          <w:color w:val="000000" w:themeColor="text1"/>
          <w:lang w:val="es-ES"/>
        </w:rPr>
        <w:t xml:space="preserve">De acuerdo con el contenido de su solicitud, esta Agencia resolverá el siguiente problema jurídico: </w:t>
      </w:r>
      <w:r w:rsidRPr="00F43CC7">
        <w:rPr>
          <w:rFonts w:ascii="Verdana" w:eastAsia="Century Gothic" w:hAnsi="Verdana" w:cs="Century Gothic"/>
          <w:lang w:val="es-ES"/>
        </w:rPr>
        <w:t xml:space="preserve">¿cuál en el ámbito de aplicación y las excepciones de la </w:t>
      </w:r>
      <w:r w:rsidRPr="00F43CC7">
        <w:rPr>
          <w:rFonts w:ascii="Verdana" w:eastAsia="Century Gothic" w:hAnsi="Verdana" w:cs="Century Gothic"/>
          <w:lang w:val="es-ES"/>
        </w:rPr>
        <w:lastRenderedPageBreak/>
        <w:t xml:space="preserve">prohibición del artículo 33 de la Ley de Garantías </w:t>
      </w:r>
      <w:r w:rsidR="00731555">
        <w:rPr>
          <w:rFonts w:ascii="Verdana" w:eastAsia="Century Gothic" w:hAnsi="Verdana" w:cs="Century Gothic"/>
          <w:lang w:val="es-ES"/>
        </w:rPr>
        <w:t xml:space="preserve">Electorales </w:t>
      </w:r>
      <w:r w:rsidRPr="00F43CC7">
        <w:rPr>
          <w:rFonts w:ascii="Verdana" w:eastAsia="Century Gothic" w:hAnsi="Verdana" w:cs="Century Gothic"/>
          <w:lang w:val="es-ES"/>
        </w:rPr>
        <w:t xml:space="preserve">en relación con la causal de contratación del </w:t>
      </w:r>
      <w:r w:rsidRPr="00F43CC7">
        <w:rPr>
          <w:rFonts w:ascii="Verdana" w:eastAsia="Times New Roman" w:hAnsi="Verdana" w:cs="Arial"/>
          <w:lang w:val="es-ES" w:eastAsia="es-MX"/>
        </w:rPr>
        <w:t>literal i) del artículo 2.4 de la Ley 1150 de 2007?</w:t>
      </w:r>
    </w:p>
    <w:p w14:paraId="1CEACA14" w14:textId="77777777" w:rsidR="00B24075" w:rsidRPr="00F43CC7" w:rsidRDefault="00B24075" w:rsidP="00864BF2">
      <w:pPr>
        <w:spacing w:after="0" w:line="276" w:lineRule="auto"/>
        <w:jc w:val="both"/>
        <w:rPr>
          <w:rFonts w:ascii="Verdana" w:eastAsia="Calibri" w:hAnsi="Verdana" w:cs="Arial"/>
          <w:color w:val="000000" w:themeColor="text1"/>
          <w:lang w:val="es-ES"/>
        </w:rPr>
      </w:pPr>
    </w:p>
    <w:p w14:paraId="76571257" w14:textId="77777777" w:rsidR="00B24075" w:rsidRPr="00F43CC7" w:rsidRDefault="00B24075" w:rsidP="00864BF2">
      <w:pPr>
        <w:pStyle w:val="ListParagraph"/>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F43CC7">
        <w:rPr>
          <w:rFonts w:ascii="Verdana" w:eastAsia="Century Gothic" w:hAnsi="Verdana" w:cs="Century Gothic"/>
          <w:b/>
          <w:color w:val="000000" w:themeColor="text1"/>
        </w:rPr>
        <w:t>Respuesta:</w:t>
      </w:r>
    </w:p>
    <w:p w14:paraId="056792D6" w14:textId="77777777" w:rsidR="00B24075" w:rsidRPr="00F43CC7" w:rsidRDefault="00B24075" w:rsidP="00864BF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24075" w:rsidRPr="00F43CC7" w14:paraId="70EB0BAB" w14:textId="77777777" w:rsidTr="002770FE">
        <w:tc>
          <w:tcPr>
            <w:tcW w:w="8828" w:type="dxa"/>
          </w:tcPr>
          <w:p w14:paraId="7178DFB3" w14:textId="66A61EFA" w:rsidR="00B24075" w:rsidRPr="00F43CC7" w:rsidRDefault="00B24075" w:rsidP="00C1740B">
            <w:pPr>
              <w:spacing w:after="120" w:line="276" w:lineRule="auto"/>
              <w:jc w:val="both"/>
              <w:rPr>
                <w:rFonts w:ascii="Verdana" w:eastAsia="Times New Roman" w:hAnsi="Verdana" w:cs="Arial"/>
                <w:bCs/>
                <w:lang w:val="es-ES" w:eastAsia="x-none"/>
              </w:rPr>
            </w:pPr>
            <w:r w:rsidRPr="00F43CC7">
              <w:rPr>
                <w:rFonts w:ascii="Verdana" w:eastAsia="Calibri" w:hAnsi="Verdana" w:cs="Arial"/>
                <w:lang w:val="es-ES"/>
              </w:rPr>
              <w:t>La restricción prevista en el artículo 33 de la Ley 996 de 2005 cobija a cualquier entidad pública</w:t>
            </w:r>
            <w:r w:rsidR="006E6423">
              <w:rPr>
                <w:rFonts w:ascii="Verdana" w:eastAsia="Calibri" w:hAnsi="Verdana" w:cs="Arial"/>
                <w:lang w:val="es-ES"/>
              </w:rPr>
              <w:t>,</w:t>
            </w:r>
            <w:r w:rsidRPr="00F43CC7">
              <w:rPr>
                <w:rFonts w:ascii="Verdana" w:eastAsia="Calibri" w:hAnsi="Verdana" w:cs="Arial"/>
                <w:lang w:val="es-ES"/>
              </w:rPr>
              <w:t xml:space="preserve"> independiente del régimen jurídico, que pueda mediante la contratación directa romper el equilibrio entre los candidatos en desarrollo de las elecciones presidenciales. </w:t>
            </w:r>
            <w:r w:rsidRPr="00F43CC7">
              <w:rPr>
                <w:rFonts w:ascii="Verdana" w:eastAsia="Times New Roman" w:hAnsi="Verdana" w:cs="Arial"/>
                <w:bCs/>
                <w:lang w:val="es-ES" w:eastAsia="x-none"/>
              </w:rPr>
              <w:t>La prohibición aplica a la contratación directa, entendida como</w:t>
            </w:r>
            <w:r w:rsidRPr="00F43CC7">
              <w:rPr>
                <w:rFonts w:ascii="Verdana" w:eastAsia="Times New Roman" w:hAnsi="Verdana" w:cs="Arial"/>
                <w:bCs/>
                <w:i/>
                <w:iCs/>
                <w:lang w:val="es-ES" w:eastAsia="x-none"/>
              </w:rPr>
              <w:t xml:space="preserve"> cualquier</w:t>
            </w:r>
            <w:r w:rsidRPr="00F43CC7">
              <w:rPr>
                <w:rFonts w:ascii="Verdana" w:eastAsia="Times New Roman" w:hAnsi="Verdana" w:cs="Arial"/>
                <w:bCs/>
                <w:lang w:val="es-ES" w:eastAsia="x-none"/>
              </w:rPr>
              <w:t xml:space="preserve"> sistema de selección o procedimiento de contratación que no incluya la convocatoria pública en alguna de sus etapas, ni permita la participación de una pluralidad de oferentes, ya sea en aplicación de las normas del Estatuto General de Contratación de la Administración Pública o de regímenes especiales. </w:t>
            </w:r>
          </w:p>
          <w:p w14:paraId="0E405C44" w14:textId="77777777" w:rsidR="00C72CB4" w:rsidRDefault="00B24075" w:rsidP="002770FE">
            <w:pPr>
              <w:spacing w:after="120" w:line="276" w:lineRule="auto"/>
              <w:ind w:firstLine="737"/>
              <w:jc w:val="both"/>
              <w:rPr>
                <w:rFonts w:ascii="Verdana" w:eastAsia="Times New Roman" w:hAnsi="Verdana" w:cs="Arial"/>
                <w:bCs/>
                <w:lang w:val="es-ES" w:eastAsia="x-none"/>
              </w:rPr>
            </w:pPr>
            <w:r w:rsidRPr="00F43CC7">
              <w:rPr>
                <w:rFonts w:ascii="Verdana" w:eastAsia="Times New Roman" w:hAnsi="Verdana" w:cs="Arial"/>
                <w:bCs/>
                <w:lang w:val="es-ES" w:eastAsia="x-none"/>
              </w:rPr>
              <w:t xml:space="preserve">Lo anterior, sin perjuicio de las excepciones a la prohibición expresamente establecidas en el inciso segundo del mismo artículo 33 </w:t>
            </w:r>
            <w:r w:rsidRPr="00F43CC7">
              <w:rPr>
                <w:rFonts w:ascii="Verdana" w:eastAsia="Calibri" w:hAnsi="Verdana" w:cs="Arial"/>
                <w:lang w:val="es-ES"/>
              </w:rPr>
              <w:t>de la Ley 996 de 2005, es decir cuando se trate de</w:t>
            </w:r>
            <w:r w:rsidRPr="00F43CC7">
              <w:rPr>
                <w:rFonts w:ascii="Verdana" w:eastAsia="Times New Roman" w:hAnsi="Verdana" w:cs="Arial"/>
                <w:bCs/>
                <w:lang w:val="es-ES" w:eastAsia="x-none"/>
              </w:rPr>
              <w:t xml:space="preserve">: i) la defensa y seguridad del Estado; </w:t>
            </w:r>
            <w:proofErr w:type="spellStart"/>
            <w:r w:rsidRPr="00F43CC7">
              <w:rPr>
                <w:rFonts w:ascii="Verdana" w:eastAsia="Times New Roman" w:hAnsi="Verdana" w:cs="Arial"/>
                <w:bCs/>
                <w:lang w:val="es-ES" w:eastAsia="x-none"/>
              </w:rPr>
              <w:t>ii</w:t>
            </w:r>
            <w:proofErr w:type="spellEnd"/>
            <w:r w:rsidRPr="00F43CC7">
              <w:rPr>
                <w:rFonts w:ascii="Verdana" w:eastAsia="Times New Roman" w:hAnsi="Verdana" w:cs="Arial"/>
                <w:bCs/>
                <w:lang w:val="es-ES" w:eastAsia="x-none"/>
              </w:rPr>
              <w:t xml:space="preserve">) los contratos de crédito público; </w:t>
            </w:r>
            <w:proofErr w:type="spellStart"/>
            <w:r w:rsidRPr="00F43CC7">
              <w:rPr>
                <w:rFonts w:ascii="Verdana" w:eastAsia="Times New Roman" w:hAnsi="Verdana" w:cs="Arial"/>
                <w:bCs/>
                <w:lang w:val="es-ES" w:eastAsia="x-none"/>
              </w:rPr>
              <w:t>iii</w:t>
            </w:r>
            <w:proofErr w:type="spellEnd"/>
            <w:r w:rsidRPr="00F43CC7">
              <w:rPr>
                <w:rFonts w:ascii="Verdana" w:eastAsia="Times New Roman" w:hAnsi="Verdana" w:cs="Arial"/>
                <w:bCs/>
                <w:lang w:val="es-ES" w:eastAsia="x-none"/>
              </w:rPr>
              <w:t xml:space="preserve">) los requeridos para cubrir las emergencias educativas, sanitarias y desastres; </w:t>
            </w:r>
            <w:proofErr w:type="spellStart"/>
            <w:r w:rsidRPr="00F43CC7">
              <w:rPr>
                <w:rFonts w:ascii="Verdana" w:eastAsia="Times New Roman" w:hAnsi="Verdana" w:cs="Arial"/>
                <w:bCs/>
                <w:lang w:val="es-ES" w:eastAsia="x-none"/>
              </w:rPr>
              <w:t>iv</w:t>
            </w:r>
            <w:proofErr w:type="spellEnd"/>
            <w:r w:rsidRPr="00F43CC7">
              <w:rPr>
                <w:rFonts w:ascii="Verdana" w:eastAsia="Times New Roman" w:hAnsi="Verdana" w:cs="Arial"/>
                <w:bCs/>
                <w:lang w:val="es-ES"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452ACC90" w14:textId="3A6F66E6" w:rsidR="00B24075" w:rsidRPr="00F43CC7" w:rsidRDefault="00B24075" w:rsidP="002770FE">
            <w:pPr>
              <w:spacing w:after="120" w:line="276" w:lineRule="auto"/>
              <w:ind w:firstLine="737"/>
              <w:jc w:val="both"/>
              <w:rPr>
                <w:rFonts w:ascii="Verdana" w:eastAsia="Calibri" w:hAnsi="Verdana" w:cs="Arial"/>
                <w:lang w:val="es-ES"/>
              </w:rPr>
            </w:pPr>
            <w:r w:rsidRPr="00F43CC7">
              <w:rPr>
                <w:rFonts w:ascii="Verdana" w:eastAsia="Times New Roman" w:hAnsi="Verdana" w:cs="Arial"/>
                <w:bCs/>
                <w:lang w:val="es-ES" w:eastAsia="x-none"/>
              </w:rPr>
              <w:t>E</w:t>
            </w:r>
            <w:r w:rsidR="00C72CB4">
              <w:rPr>
                <w:rFonts w:ascii="Verdana" w:eastAsia="Times New Roman" w:hAnsi="Verdana" w:cs="Arial"/>
                <w:bCs/>
                <w:lang w:val="es-ES" w:eastAsia="x-none"/>
              </w:rPr>
              <w:t xml:space="preserve">n este </w:t>
            </w:r>
            <w:r w:rsidR="00AC53E8">
              <w:rPr>
                <w:rFonts w:ascii="Verdana" w:eastAsia="Times New Roman" w:hAnsi="Verdana" w:cs="Arial"/>
                <w:bCs/>
                <w:lang w:val="es-ES" w:eastAsia="x-none"/>
              </w:rPr>
              <w:t>escenario</w:t>
            </w:r>
            <w:r w:rsidR="00C72CB4">
              <w:rPr>
                <w:rFonts w:ascii="Verdana" w:eastAsia="Times New Roman" w:hAnsi="Verdana" w:cs="Arial"/>
                <w:bCs/>
                <w:lang w:val="es-ES" w:eastAsia="x-none"/>
              </w:rPr>
              <w:t xml:space="preserve"> e</w:t>
            </w:r>
            <w:r w:rsidRPr="00F43CC7">
              <w:rPr>
                <w:rFonts w:ascii="Verdana" w:eastAsia="Times New Roman" w:hAnsi="Verdana" w:cs="Arial"/>
                <w:bCs/>
                <w:lang w:val="es-ES" w:eastAsia="x-none"/>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En cualquier caso, la interpretación y aplicación de las excepciones es restrictiva y no puede extenderse a supuestos distintos a los expresamente señalados en la norma.</w:t>
            </w:r>
          </w:p>
          <w:p w14:paraId="456854CA" w14:textId="245EFCD6" w:rsidR="00AC53E8" w:rsidRPr="00F43CC7" w:rsidRDefault="00B24075" w:rsidP="00AC53E8">
            <w:pPr>
              <w:spacing w:after="120" w:line="276" w:lineRule="auto"/>
              <w:ind w:firstLine="737"/>
              <w:jc w:val="both"/>
              <w:rPr>
                <w:rFonts w:ascii="Verdana" w:eastAsia="Times New Roman" w:hAnsi="Verdana" w:cs="Arial"/>
                <w:lang w:val="es-ES" w:eastAsia="es-MX"/>
              </w:rPr>
            </w:pPr>
            <w:r w:rsidRPr="00F43CC7">
              <w:rPr>
                <w:rFonts w:ascii="Verdana" w:eastAsia="Times New Roman" w:hAnsi="Verdana" w:cs="Arial"/>
                <w:lang w:val="es-ES" w:eastAsia="es-MX"/>
              </w:rPr>
              <w:t>Por lo demás, el literal i) del artículo 2.4 de la Ley 1150 de 2011 permite la contratación directa tratándose de “El arrendamiento […] de inmuebles”</w:t>
            </w:r>
            <w:r>
              <w:rPr>
                <w:rFonts w:ascii="Verdana" w:eastAsia="Times New Roman" w:hAnsi="Verdana" w:cs="Arial"/>
                <w:lang w:val="es-ES" w:eastAsia="es-MX"/>
              </w:rPr>
              <w:t>, causal que estaría incluida en la prohibición referida</w:t>
            </w:r>
            <w:r w:rsidRPr="00F43CC7">
              <w:rPr>
                <w:rFonts w:ascii="Verdana" w:eastAsia="Times New Roman" w:hAnsi="Verdana" w:cs="Arial"/>
                <w:lang w:val="es-ES" w:eastAsia="es-MX"/>
              </w:rPr>
              <w:t xml:space="preserve">. Esta causal hereda la tradición histórica de los artículos 31.7 y 43.6 de los derogados Decretos Leyes 150 de 1976 y 222 de 1983, pues también permitían la contratación directa </w:t>
            </w:r>
            <w:r w:rsidRPr="00F43CC7">
              <w:rPr>
                <w:rFonts w:ascii="Verdana" w:eastAsia="Times New Roman" w:hAnsi="Verdana" w:cs="Arial"/>
                <w:lang w:val="es-ES" w:eastAsia="es-MX"/>
              </w:rPr>
              <w:lastRenderedPageBreak/>
              <w:t xml:space="preserve">“Cuando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14:paraId="06F454AC" w14:textId="68813FE1" w:rsidR="006E6423" w:rsidRPr="00C1740B" w:rsidRDefault="006E6423" w:rsidP="00C1740B">
            <w:pPr>
              <w:spacing w:after="120" w:line="276" w:lineRule="auto"/>
              <w:ind w:firstLine="709"/>
              <w:jc w:val="both"/>
              <w:rPr>
                <w:rFonts w:ascii="Verdana" w:hAnsi="Verdana" w:cs="Segoe UI"/>
              </w:rPr>
            </w:pPr>
            <w:r w:rsidRPr="00C1740B">
              <w:rPr>
                <w:rFonts w:ascii="Verdana" w:hAnsi="Verdana" w:cs="Segoe UI"/>
              </w:rPr>
              <w:t>En este contexto es preciso señalar que</w:t>
            </w:r>
            <w:r w:rsidR="00310BC1">
              <w:rPr>
                <w:rFonts w:ascii="Verdana" w:hAnsi="Verdana" w:cs="Segoe UI"/>
              </w:rPr>
              <w:t>,</w:t>
            </w:r>
            <w:r w:rsidRPr="00C1740B">
              <w:rPr>
                <w:rFonts w:ascii="Verdana" w:hAnsi="Verdana" w:cs="Segoe UI"/>
              </w:rPr>
              <w:t xml:space="preserve"> la causal de contratación directa prevista en la Ley 1150 permite su utilización </w:t>
            </w:r>
            <w:r w:rsidRPr="00C1740B">
              <w:rPr>
                <w:rStyle w:val="Strong"/>
                <w:rFonts w:ascii="Verdana" w:hAnsi="Verdana" w:cs="Segoe UI"/>
                <w:b w:val="0"/>
                <w:bCs w:val="0"/>
              </w:rPr>
              <w:t>tanto cuando la entidad actúa como arrendadora como cuando actúa como arrendataria</w:t>
            </w:r>
            <w:r w:rsidRPr="00C1740B">
              <w:rPr>
                <w:rFonts w:ascii="Verdana" w:hAnsi="Verdana" w:cs="Segoe UI"/>
              </w:rPr>
              <w:t xml:space="preserve">, incluido el supuesto planteado para consideración. No obstante, tal modalidad de selección se encuentra </w:t>
            </w:r>
            <w:r w:rsidRPr="00C1740B">
              <w:rPr>
                <w:rStyle w:val="Strong"/>
                <w:rFonts w:ascii="Verdana" w:hAnsi="Verdana" w:cs="Segoe UI"/>
                <w:b w:val="0"/>
                <w:bCs w:val="0"/>
              </w:rPr>
              <w:t>proscrita durante los cuatro (4) meses anteriores a las elecciones presidenciales</w:t>
            </w:r>
            <w:r w:rsidRPr="00C1740B">
              <w:rPr>
                <w:rFonts w:ascii="Verdana" w:hAnsi="Verdana" w:cs="Segoe UI"/>
              </w:rPr>
              <w:t xml:space="preserve">, en los términos del artículo 33 de la Ley 996 de 2005, razón por la cual </w:t>
            </w:r>
            <w:r w:rsidRPr="00C1740B">
              <w:rPr>
                <w:rStyle w:val="Strong"/>
                <w:rFonts w:ascii="Verdana" w:hAnsi="Verdana" w:cs="Segoe UI"/>
                <w:b w:val="0"/>
                <w:bCs w:val="0"/>
              </w:rPr>
              <w:t>no es posible celebrar contratos de arrendamiento mediante contratación directa en dicho periodo</w:t>
            </w:r>
            <w:r w:rsidRPr="00C1740B">
              <w:rPr>
                <w:rFonts w:ascii="Verdana" w:hAnsi="Verdana" w:cs="Segoe UI"/>
              </w:rPr>
              <w:t>, salvo que el caso concreto se enmarque en alguna de las excepciones taxativamente señaladas en la norma.</w:t>
            </w:r>
          </w:p>
          <w:p w14:paraId="302FB40C" w14:textId="3096096C" w:rsidR="00B24075" w:rsidRPr="00F43CC7" w:rsidRDefault="00B24075" w:rsidP="002770FE">
            <w:pPr>
              <w:spacing w:after="120" w:line="276" w:lineRule="auto"/>
              <w:ind w:firstLine="737"/>
              <w:jc w:val="both"/>
              <w:rPr>
                <w:rFonts w:ascii="Verdana" w:eastAsia="Times New Roman" w:hAnsi="Verdana" w:cs="Arial"/>
                <w:lang w:val="es-ES" w:eastAsia="x-none"/>
              </w:rPr>
            </w:pPr>
            <w:r w:rsidRPr="00F43CC7">
              <w:rPr>
                <w:rFonts w:ascii="Verdana" w:eastAsia="Calibri" w:hAnsi="Verdana" w:cs="Arial"/>
                <w:lang w:val="es-ES"/>
              </w:rPr>
              <w:t>Cuando la entidad estatal actúe como arrendadora puede evaluar si, debido a lo explicado en los párrafos anteriores, es conveniente adelantar una convocatoria pública en garantía del principio de libre concurrencia. No obstante, lo cierto es que –dentro del marco normativo vigente– las entidades públicas son autónomas y responsables tanto de la estructuración de sus procesos de contratación como de determinar la modalidad de selección aplicable para suplir sus necesidades.</w:t>
            </w:r>
          </w:p>
          <w:p w14:paraId="311AEC61" w14:textId="77777777" w:rsidR="00B24075" w:rsidRPr="00F43CC7" w:rsidRDefault="00B24075" w:rsidP="00D50941">
            <w:pPr>
              <w:widowControl w:val="0"/>
              <w:autoSpaceDE w:val="0"/>
              <w:autoSpaceDN w:val="0"/>
              <w:spacing w:after="120" w:line="276" w:lineRule="auto"/>
              <w:ind w:firstLine="709"/>
              <w:jc w:val="both"/>
              <w:rPr>
                <w:rFonts w:ascii="Verdana" w:eastAsia="Arial" w:hAnsi="Verdana" w:cs="Arial"/>
                <w:lang w:val="es-ES" w:eastAsia="es-ES" w:bidi="es-ES"/>
              </w:rPr>
            </w:pPr>
            <w:r w:rsidRPr="00F43CC7">
              <w:rPr>
                <w:rStyle w:val="s15"/>
                <w:rFonts w:ascii="Verdana" w:hAnsi="Verdana"/>
                <w:color w:val="000000"/>
                <w:lang w:val="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42B9570" w14:textId="77777777" w:rsidR="00B24075" w:rsidRPr="00F43CC7" w:rsidRDefault="00B24075" w:rsidP="00864BF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71095F9" w14:textId="77777777" w:rsidR="00B24075" w:rsidRPr="00F43CC7" w:rsidRDefault="00B24075" w:rsidP="00864BF2">
      <w:pPr>
        <w:pStyle w:val="ListParagraph"/>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F43CC7">
        <w:rPr>
          <w:rFonts w:ascii="Verdana" w:eastAsia="Century Gothic" w:hAnsi="Verdana" w:cs="Century Gothic"/>
          <w:b/>
          <w:color w:val="000000" w:themeColor="text1"/>
        </w:rPr>
        <w:t>Razones de la respuesta:</w:t>
      </w:r>
    </w:p>
    <w:p w14:paraId="72563258" w14:textId="77777777" w:rsidR="00B24075" w:rsidRPr="00F43CC7" w:rsidRDefault="00B24075" w:rsidP="00864BF2">
      <w:pPr>
        <w:spacing w:after="0" w:line="276" w:lineRule="auto"/>
        <w:jc w:val="both"/>
        <w:rPr>
          <w:rFonts w:ascii="Verdana" w:eastAsia="Calibri" w:hAnsi="Verdana" w:cs="Arial"/>
          <w:color w:val="000000" w:themeColor="text1"/>
          <w:lang w:val="es-ES"/>
        </w:rPr>
      </w:pPr>
    </w:p>
    <w:p w14:paraId="6FD63F58" w14:textId="77777777" w:rsidR="00B24075" w:rsidRPr="00F43CC7" w:rsidRDefault="00B24075" w:rsidP="00B24075">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43CC7">
        <w:rPr>
          <w:rFonts w:ascii="Verdana" w:eastAsia="Calibri" w:hAnsi="Verdana" w:cs="Arial"/>
          <w:color w:val="000000" w:themeColor="text1"/>
          <w:lang w:val="es-ES"/>
        </w:rPr>
        <w:t>i)</w:t>
      </w:r>
      <w:r w:rsidRPr="00F43CC7">
        <w:rPr>
          <w:rFonts w:ascii="Verdana" w:eastAsia="Verdana" w:hAnsi="Verdana" w:cs="Verdana"/>
          <w:lang w:val="es-ES"/>
        </w:rPr>
        <w:t xml:space="preserve"> </w:t>
      </w:r>
      <w:r w:rsidRPr="00F43CC7">
        <w:rPr>
          <w:rFonts w:ascii="Verdana" w:eastAsia="Calibri" w:hAnsi="Verdana" w:cs="Arial"/>
          <w:lang w:val="es-ES"/>
        </w:rPr>
        <w:t xml:space="preserve">El ordenamiento jurídico colombiano contempla diversas medidas orientadas a evitar la obtención de beneficios personales en asuntos propios de la </w:t>
      </w:r>
      <w:r w:rsidRPr="00F43CC7">
        <w:rPr>
          <w:rFonts w:ascii="Verdana" w:eastAsia="Calibri" w:hAnsi="Verdana" w:cs="Arial"/>
          <w:lang w:val="es-ES"/>
        </w:rPr>
        <w:lastRenderedPageBreak/>
        <w:t>administración pública</w:t>
      </w:r>
      <w:r w:rsidRPr="00F43CC7">
        <w:rPr>
          <w:rFonts w:ascii="Verdana" w:eastAsia="Calibri" w:hAnsi="Verdana" w:cs="Arial"/>
          <w:i/>
          <w:lang w:val="es-ES"/>
        </w:rPr>
        <w:t xml:space="preserve">. </w:t>
      </w:r>
      <w:r w:rsidRPr="00F43CC7">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43CC7">
        <w:rPr>
          <w:rFonts w:ascii="Verdana" w:hAnsi="Verdana"/>
          <w:vertAlign w:val="superscript"/>
          <w:lang w:val="es-ES"/>
        </w:rPr>
        <w:footnoteReference w:id="1"/>
      </w:r>
      <w:r w:rsidRPr="00F43CC7">
        <w:rPr>
          <w:rFonts w:ascii="Verdana" w:eastAsia="Calibri" w:hAnsi="Verdana" w:cs="Arial"/>
          <w:lang w:val="es-ES"/>
        </w:rPr>
        <w:t xml:space="preserve">, con el fin de preservar la imparcialidad y la integridad. </w:t>
      </w:r>
    </w:p>
    <w:p w14:paraId="09490A09" w14:textId="77777777" w:rsidR="00B24075" w:rsidRPr="00F43CC7" w:rsidRDefault="00B24075" w:rsidP="00B24075">
      <w:pPr>
        <w:tabs>
          <w:tab w:val="left" w:pos="426"/>
        </w:tabs>
        <w:spacing w:after="120" w:line="276" w:lineRule="auto"/>
        <w:ind w:firstLine="709"/>
        <w:jc w:val="both"/>
        <w:rPr>
          <w:rFonts w:ascii="Verdana" w:eastAsia="Calibri" w:hAnsi="Verdana" w:cs="Arial"/>
          <w:lang w:val="es-ES"/>
        </w:rPr>
      </w:pPr>
      <w:r w:rsidRPr="00F43CC7">
        <w:rPr>
          <w:rFonts w:ascii="Verdana" w:eastAsia="Times New Roman" w:hAnsi="Verdana" w:cs="Arial"/>
          <w:lang w:val="es-ES" w:eastAsia="es-CO"/>
        </w:rPr>
        <w:t>En concordancia con tales disposiciones constitucionales,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de falta de garantías en la elección presidencial</w:t>
      </w:r>
      <w:r w:rsidRPr="00F43CC7">
        <w:rPr>
          <w:rFonts w:ascii="Verdana" w:eastAsia="Times New Roman" w:hAnsi="Verdana" w:cs="Arial"/>
          <w:vertAlign w:val="superscript"/>
          <w:lang w:val="es-ES" w:eastAsia="es-CO"/>
        </w:rPr>
        <w:footnoteReference w:id="2"/>
      </w:r>
      <w:r w:rsidRPr="00F43CC7">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43CC7">
        <w:rPr>
          <w:rFonts w:ascii="Verdana" w:eastAsia="Calibri" w:hAnsi="Verdana" w:cs="Arial"/>
          <w:lang w:val="es-ES"/>
        </w:rPr>
        <w:t xml:space="preserve"> </w:t>
      </w:r>
    </w:p>
    <w:p w14:paraId="5212A082" w14:textId="77777777" w:rsidR="00B24075" w:rsidRPr="00F43CC7" w:rsidRDefault="00B24075" w:rsidP="00B24075">
      <w:pPr>
        <w:tabs>
          <w:tab w:val="left" w:pos="426"/>
        </w:tabs>
        <w:spacing w:after="0" w:line="276" w:lineRule="auto"/>
        <w:ind w:firstLine="709"/>
        <w:jc w:val="both"/>
        <w:rPr>
          <w:rFonts w:ascii="Verdana" w:eastAsia="Calibri" w:hAnsi="Verdana" w:cs="Arial"/>
          <w:lang w:val="es-ES"/>
        </w:rPr>
      </w:pPr>
      <w:r w:rsidRPr="00F43CC7">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2FA47FA2" w14:textId="77777777" w:rsidR="00B24075" w:rsidRPr="00F43CC7" w:rsidRDefault="00B24075" w:rsidP="00B24075">
      <w:pPr>
        <w:spacing w:after="0" w:line="276" w:lineRule="auto"/>
        <w:ind w:right="709"/>
        <w:jc w:val="both"/>
        <w:rPr>
          <w:rFonts w:ascii="Verdana" w:eastAsia="Times New Roman" w:hAnsi="Verdana" w:cs="Arial"/>
          <w:lang w:val="es-ES" w:eastAsia="es-CO"/>
        </w:rPr>
      </w:pPr>
    </w:p>
    <w:p w14:paraId="54C12C9D" w14:textId="77777777" w:rsidR="00B24075" w:rsidRPr="00F43CC7" w:rsidRDefault="00B24075" w:rsidP="000F63CC">
      <w:pPr>
        <w:spacing w:after="0" w:line="240" w:lineRule="auto"/>
        <w:ind w:left="709" w:right="709"/>
        <w:contextualSpacing/>
        <w:jc w:val="both"/>
        <w:rPr>
          <w:rFonts w:ascii="Verdana" w:eastAsia="Times New Roman" w:hAnsi="Verdana" w:cs="Arial"/>
          <w:sz w:val="20"/>
          <w:szCs w:val="20"/>
          <w:lang w:val="es-ES" w:eastAsia="es-CO"/>
        </w:rPr>
      </w:pPr>
      <w:r w:rsidRPr="00F43CC7">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11D956CF" w14:textId="77777777" w:rsidR="00B24075" w:rsidRPr="00F43CC7" w:rsidRDefault="00B24075" w:rsidP="000F63CC">
      <w:pPr>
        <w:spacing w:after="0" w:line="240" w:lineRule="auto"/>
        <w:ind w:left="709" w:right="709"/>
        <w:contextualSpacing/>
        <w:jc w:val="both"/>
        <w:rPr>
          <w:rFonts w:ascii="Verdana" w:eastAsia="Times New Roman" w:hAnsi="Verdana" w:cs="Arial"/>
          <w:sz w:val="20"/>
          <w:szCs w:val="20"/>
          <w:lang w:val="es-ES" w:eastAsia="es-CO"/>
        </w:rPr>
      </w:pPr>
      <w:r w:rsidRPr="00F43CC7">
        <w:rPr>
          <w:rFonts w:ascii="Verdana" w:eastAsia="Times New Roman" w:hAnsi="Verdana" w:cs="Arial"/>
          <w:sz w:val="20"/>
          <w:szCs w:val="20"/>
          <w:lang w:val="es-ES" w:eastAsia="es-CO"/>
        </w:rPr>
        <w:t xml:space="preserve">[…] </w:t>
      </w:r>
    </w:p>
    <w:p w14:paraId="59E3F985" w14:textId="77777777" w:rsidR="00B24075" w:rsidRPr="00F43CC7" w:rsidRDefault="00B24075" w:rsidP="000F63CC">
      <w:pPr>
        <w:spacing w:after="0" w:line="240" w:lineRule="auto"/>
        <w:ind w:left="709" w:right="709"/>
        <w:contextualSpacing/>
        <w:jc w:val="both"/>
        <w:rPr>
          <w:rFonts w:ascii="Verdana" w:eastAsia="Times New Roman" w:hAnsi="Verdana" w:cs="Arial"/>
          <w:sz w:val="20"/>
          <w:szCs w:val="20"/>
          <w:lang w:val="es-ES" w:eastAsia="es-CO"/>
        </w:rPr>
      </w:pPr>
      <w:r w:rsidRPr="00F43CC7">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F43CC7">
        <w:rPr>
          <w:rFonts w:ascii="Verdana" w:eastAsia="Times New Roman" w:hAnsi="Verdana" w:cs="Arial"/>
          <w:sz w:val="20"/>
          <w:szCs w:val="20"/>
          <w:lang w:val="es-ES" w:eastAsia="es-CO"/>
        </w:rPr>
        <w:lastRenderedPageBreak/>
        <w:t>las ideas y las propuestas las que definan el ascenso al poder, y no el músculo económico de los que se lo disputan”.</w:t>
      </w:r>
      <w:r w:rsidRPr="00F43CC7">
        <w:rPr>
          <w:rFonts w:ascii="Verdana" w:eastAsia="Calibri" w:hAnsi="Verdana" w:cs="Arial"/>
          <w:sz w:val="20"/>
          <w:szCs w:val="20"/>
          <w:vertAlign w:val="superscript"/>
          <w:lang w:val="es-ES"/>
        </w:rPr>
        <w:footnoteReference w:id="3"/>
      </w:r>
    </w:p>
    <w:p w14:paraId="19E8579C" w14:textId="77777777" w:rsidR="00B24075" w:rsidRPr="00F43CC7" w:rsidRDefault="00B24075" w:rsidP="00B24075">
      <w:pPr>
        <w:spacing w:after="0" w:line="276" w:lineRule="auto"/>
        <w:ind w:firstLine="709"/>
        <w:jc w:val="both"/>
        <w:rPr>
          <w:rFonts w:ascii="Verdana" w:eastAsia="Times New Roman" w:hAnsi="Verdana" w:cs="Arial"/>
          <w:lang w:val="es-ES" w:eastAsia="es-CO"/>
        </w:rPr>
      </w:pPr>
    </w:p>
    <w:p w14:paraId="0175AB8E" w14:textId="77777777" w:rsidR="00B24075" w:rsidRPr="00F43CC7" w:rsidRDefault="00B24075" w:rsidP="00B24075">
      <w:pPr>
        <w:spacing w:after="120" w:line="276" w:lineRule="auto"/>
        <w:ind w:firstLine="709"/>
        <w:jc w:val="both"/>
        <w:rPr>
          <w:rFonts w:ascii="Verdana" w:eastAsia="Times New Roman" w:hAnsi="Verdana" w:cs="Arial"/>
          <w:lang w:val="es-ES" w:eastAsia="es-CO"/>
        </w:rPr>
      </w:pPr>
      <w:r w:rsidRPr="00F43CC7">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con el fin de evitar interferencias indebidas en la contienda electoral, así como la posible desviación o utilización irregular de recursos públicos en aspiraciones electorales. </w:t>
      </w:r>
    </w:p>
    <w:p w14:paraId="1A431CB0" w14:textId="589B45F8" w:rsidR="00B24075" w:rsidRPr="00F43CC7" w:rsidRDefault="0049432C" w:rsidP="00B24075">
      <w:pPr>
        <w:spacing w:after="0" w:line="276" w:lineRule="auto"/>
        <w:ind w:firstLine="709"/>
        <w:jc w:val="both"/>
        <w:rPr>
          <w:rFonts w:ascii="Verdana" w:eastAsia="Times New Roman" w:hAnsi="Verdana" w:cs="Arial"/>
          <w:lang w:val="es-ES" w:eastAsia="es-CO"/>
        </w:rPr>
      </w:pPr>
      <w:r>
        <w:rPr>
          <w:rFonts w:ascii="Verdana" w:eastAsia="Times New Roman" w:hAnsi="Verdana" w:cs="Arial"/>
          <w:lang w:val="es-ES" w:eastAsia="es-CO"/>
        </w:rPr>
        <w:t>Precisamente, d</w:t>
      </w:r>
      <w:r w:rsidR="00B24075" w:rsidRPr="00F43CC7">
        <w:rPr>
          <w:rFonts w:ascii="Verdana" w:eastAsia="Times New Roman" w:hAnsi="Verdana" w:cs="Arial"/>
          <w:lang w:val="es-ES" w:eastAsia="es-CO"/>
        </w:rPr>
        <w:t>ado que varias disposiciones de la Ley 996 de 2005 contiene normas prohibitivas, deben interpretarse restrictivamente. En efecto, la Sala de Consulta y Servicio Civil del Consejo de Estado, precisó:</w:t>
      </w:r>
    </w:p>
    <w:p w14:paraId="1BB044F6" w14:textId="77777777" w:rsidR="00B24075" w:rsidRPr="00F43CC7" w:rsidRDefault="00B24075" w:rsidP="00B24075">
      <w:pPr>
        <w:spacing w:after="0" w:line="276" w:lineRule="auto"/>
        <w:ind w:firstLine="709"/>
        <w:jc w:val="both"/>
        <w:rPr>
          <w:rFonts w:ascii="Verdana" w:eastAsia="Times New Roman" w:hAnsi="Verdana" w:cs="Arial"/>
          <w:lang w:val="es-ES" w:eastAsia="es-CO"/>
        </w:rPr>
      </w:pPr>
    </w:p>
    <w:p w14:paraId="5452591C" w14:textId="77777777" w:rsidR="00B24075" w:rsidRPr="00F43CC7" w:rsidRDefault="00B24075" w:rsidP="00B24075">
      <w:pPr>
        <w:spacing w:after="0" w:line="240" w:lineRule="auto"/>
        <w:ind w:left="709" w:right="709"/>
        <w:jc w:val="both"/>
        <w:rPr>
          <w:rFonts w:ascii="Verdana" w:eastAsia="Times New Roman" w:hAnsi="Verdana" w:cs="Arial"/>
          <w:sz w:val="20"/>
          <w:szCs w:val="20"/>
          <w:lang w:val="es-ES" w:eastAsia="es-CO"/>
        </w:rPr>
      </w:pPr>
      <w:r w:rsidRPr="00F43CC7">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43CC7">
        <w:rPr>
          <w:rFonts w:ascii="Verdana" w:eastAsia="Times New Roman" w:hAnsi="Verdana" w:cs="Arial"/>
          <w:sz w:val="20"/>
          <w:szCs w:val="20"/>
          <w:lang w:val="es-ES" w:eastAsia="es-CO"/>
        </w:rPr>
        <w:t>legis</w:t>
      </w:r>
      <w:proofErr w:type="spellEnd"/>
      <w:r w:rsidRPr="00F43CC7">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6317128" w14:textId="77777777" w:rsidR="00B24075" w:rsidRPr="00F43CC7" w:rsidRDefault="00B24075" w:rsidP="00B24075">
      <w:pPr>
        <w:spacing w:after="0" w:line="240" w:lineRule="auto"/>
        <w:ind w:right="709"/>
        <w:jc w:val="both"/>
        <w:rPr>
          <w:rFonts w:ascii="Verdana" w:eastAsia="Times New Roman" w:hAnsi="Verdana" w:cs="Arial"/>
          <w:lang w:val="es-ES" w:eastAsia="es-CO"/>
        </w:rPr>
      </w:pPr>
    </w:p>
    <w:p w14:paraId="61CEF5ED" w14:textId="77777777" w:rsidR="00B24075" w:rsidRPr="00F43CC7" w:rsidRDefault="00B24075" w:rsidP="00B24075">
      <w:pPr>
        <w:spacing w:after="0" w:line="240" w:lineRule="auto"/>
        <w:ind w:left="709" w:right="709"/>
        <w:jc w:val="both"/>
        <w:rPr>
          <w:rFonts w:ascii="Verdana" w:eastAsia="Times New Roman" w:hAnsi="Verdana" w:cs="Arial"/>
          <w:sz w:val="20"/>
          <w:szCs w:val="20"/>
          <w:lang w:val="es-ES" w:eastAsia="es-CO"/>
        </w:rPr>
      </w:pPr>
      <w:r w:rsidRPr="00F43CC7">
        <w:rPr>
          <w:rFonts w:ascii="Verdana" w:eastAsia="Times New Roman" w:hAnsi="Verdana" w:cs="Arial"/>
          <w:sz w:val="20"/>
          <w:szCs w:val="20"/>
          <w:lang w:val="es-ES" w:eastAsia="es-CO"/>
        </w:rPr>
        <w:t>La jurisprudencia de la Corte Constitucional</w:t>
      </w:r>
      <w:r w:rsidRPr="00F43CC7">
        <w:rPr>
          <w:rFonts w:ascii="Verdana" w:eastAsia="Times New Roman" w:hAnsi="Verdana" w:cs="Arial"/>
          <w:sz w:val="20"/>
          <w:szCs w:val="20"/>
          <w:vertAlign w:val="superscript"/>
          <w:lang w:val="es-ES" w:eastAsia="es-CO"/>
        </w:rPr>
        <w:footnoteReference w:id="4"/>
      </w:r>
      <w:r w:rsidRPr="00F43CC7">
        <w:rPr>
          <w:rFonts w:ascii="Verdana" w:eastAsia="Times New Roman" w:hAnsi="Verdana" w:cs="Arial"/>
          <w:sz w:val="20"/>
          <w:szCs w:val="20"/>
          <w:lang w:val="es-ES" w:eastAsia="es-CO"/>
        </w:rPr>
        <w:t> y del Consejo de Estado</w:t>
      </w:r>
      <w:r w:rsidRPr="00F43CC7">
        <w:rPr>
          <w:rFonts w:ascii="Verdana" w:eastAsia="Times New Roman" w:hAnsi="Verdana" w:cs="Arial"/>
          <w:sz w:val="20"/>
          <w:szCs w:val="20"/>
          <w:vertAlign w:val="superscript"/>
          <w:lang w:val="es-ES" w:eastAsia="es-CO"/>
        </w:rPr>
        <w:footnoteReference w:id="5"/>
      </w:r>
      <w:r w:rsidRPr="00F43CC7">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F43CC7">
        <w:rPr>
          <w:rFonts w:ascii="Verdana" w:eastAsia="Times New Roman" w:hAnsi="Verdana" w:cs="Arial"/>
          <w:sz w:val="20"/>
          <w:szCs w:val="20"/>
          <w:lang w:val="es-ES" w:eastAsia="es-CO"/>
        </w:rPr>
        <w:lastRenderedPageBreak/>
        <w:t>o capacidad de obrar, sobrepasar sus precisos términos comporta el desconocimiento de la voluntad del legislador”</w:t>
      </w:r>
      <w:r w:rsidRPr="00F43CC7">
        <w:rPr>
          <w:rFonts w:ascii="Verdana" w:eastAsia="Times New Roman" w:hAnsi="Verdana" w:cs="Arial"/>
          <w:sz w:val="20"/>
          <w:szCs w:val="20"/>
          <w:vertAlign w:val="superscript"/>
          <w:lang w:val="es-ES" w:eastAsia="es-CO"/>
        </w:rPr>
        <w:footnoteReference w:id="6"/>
      </w:r>
      <w:r w:rsidRPr="00F43CC7">
        <w:rPr>
          <w:rFonts w:ascii="Verdana" w:eastAsia="Times New Roman" w:hAnsi="Verdana" w:cs="Arial"/>
          <w:sz w:val="20"/>
          <w:szCs w:val="20"/>
          <w:lang w:val="es-ES" w:eastAsia="es-CO"/>
        </w:rPr>
        <w:t>.</w:t>
      </w:r>
    </w:p>
    <w:p w14:paraId="5BBD829A" w14:textId="77777777" w:rsidR="00B24075" w:rsidRPr="00F43CC7" w:rsidRDefault="00B24075" w:rsidP="00B24075">
      <w:pPr>
        <w:spacing w:after="0" w:line="276" w:lineRule="auto"/>
        <w:jc w:val="both"/>
        <w:rPr>
          <w:rFonts w:ascii="Verdana" w:eastAsia="Calibri" w:hAnsi="Verdana" w:cs="Arial"/>
          <w:bCs/>
          <w:lang w:val="es-ES"/>
        </w:rPr>
      </w:pPr>
    </w:p>
    <w:p w14:paraId="1048314E" w14:textId="57D80FC3" w:rsidR="00B24075" w:rsidRPr="00F43CC7" w:rsidRDefault="00B24075" w:rsidP="00B24075">
      <w:pPr>
        <w:spacing w:after="0" w:line="276" w:lineRule="auto"/>
        <w:ind w:firstLine="709"/>
        <w:jc w:val="both"/>
        <w:rPr>
          <w:rFonts w:ascii="Verdana" w:eastAsia="Arial" w:hAnsi="Verdana" w:cs="Arial"/>
          <w:lang w:val="es-ES" w:eastAsia="es-ES" w:bidi="es-ES"/>
        </w:rPr>
      </w:pPr>
      <w:r w:rsidRPr="00F43CC7">
        <w:rPr>
          <w:rFonts w:ascii="Verdana" w:eastAsia="Times New Roman" w:hAnsi="Verdana" w:cs="Arial"/>
          <w:lang w:val="es-ES" w:eastAsia="es-CO"/>
        </w:rPr>
        <w:t>De</w:t>
      </w:r>
      <w:r w:rsidRPr="00F43CC7">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entre las que se destacan las restricciones aplicables en materia de contratación pública. </w:t>
      </w:r>
      <w:r w:rsidR="00B00DA3">
        <w:rPr>
          <w:rFonts w:ascii="Verdana" w:eastAsia="Arial" w:hAnsi="Verdana" w:cs="Arial"/>
          <w:lang w:val="es-ES" w:eastAsia="es-ES" w:bidi="es-ES"/>
        </w:rPr>
        <w:t xml:space="preserve">Así las cosas, </w:t>
      </w:r>
      <w:r w:rsidRPr="00F43CC7">
        <w:rPr>
          <w:rFonts w:ascii="Verdana" w:eastAsia="Arial" w:hAnsi="Verdana" w:cs="Arial"/>
          <w:lang w:val="es-ES" w:eastAsia="es-ES" w:bidi="es-ES"/>
        </w:rPr>
        <w:t xml:space="preserve">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Teniendo en cuenta el contenido de la consulta y de conformidad con las competencias que le asisten a esta Agencia, a continuación, se realizará el análisis de las prohibiciones dirigidas a la contratación estatal.  </w:t>
      </w:r>
    </w:p>
    <w:p w14:paraId="3C982B44" w14:textId="77777777" w:rsidR="00B24075" w:rsidRPr="00F43CC7" w:rsidRDefault="00B24075" w:rsidP="00B24075">
      <w:pPr>
        <w:spacing w:after="0" w:line="276" w:lineRule="auto"/>
        <w:ind w:firstLine="709"/>
        <w:jc w:val="both"/>
        <w:rPr>
          <w:rFonts w:ascii="Verdana" w:eastAsia="Arial" w:hAnsi="Verdana" w:cs="Arial"/>
          <w:lang w:val="es-ES" w:eastAsia="es-ES" w:bidi="es-ES"/>
        </w:rPr>
      </w:pPr>
    </w:p>
    <w:p w14:paraId="34C0B6CE" w14:textId="5249ACC8" w:rsidR="00B24075" w:rsidRPr="00F43CC7" w:rsidRDefault="00B24075" w:rsidP="00B24075">
      <w:pPr>
        <w:spacing w:after="120" w:line="276" w:lineRule="auto"/>
        <w:jc w:val="both"/>
        <w:rPr>
          <w:rFonts w:ascii="Verdana" w:eastAsia="Arial" w:hAnsi="Verdana" w:cs="Arial"/>
          <w:lang w:val="es-ES" w:eastAsia="es-ES" w:bidi="es-ES"/>
        </w:rPr>
      </w:pPr>
      <w:proofErr w:type="spellStart"/>
      <w:r w:rsidRPr="00F43CC7">
        <w:rPr>
          <w:rFonts w:ascii="Verdana" w:eastAsia="Arial" w:hAnsi="Verdana" w:cs="Arial"/>
          <w:lang w:val="es-ES" w:eastAsia="es-ES" w:bidi="es-ES"/>
        </w:rPr>
        <w:t>ii</w:t>
      </w:r>
      <w:proofErr w:type="spellEnd"/>
      <w:r w:rsidRPr="00F43CC7">
        <w:rPr>
          <w:rFonts w:ascii="Verdana" w:eastAsia="Arial" w:hAnsi="Verdana" w:cs="Arial"/>
          <w:lang w:val="es-ES" w:eastAsia="es-ES" w:bidi="es-ES"/>
        </w:rPr>
        <w:t>) Las restricciones consagradas en la Ley de Garantías</w:t>
      </w:r>
      <w:r w:rsidR="00352C43">
        <w:rPr>
          <w:rFonts w:ascii="Verdana" w:eastAsia="Arial" w:hAnsi="Verdana" w:cs="Arial"/>
          <w:lang w:val="es-ES" w:eastAsia="es-ES" w:bidi="es-ES"/>
        </w:rPr>
        <w:t xml:space="preserve"> Electorales</w:t>
      </w:r>
      <w:r w:rsidRPr="00F43CC7">
        <w:rPr>
          <w:rFonts w:ascii="Verdana" w:eastAsia="Arial" w:hAnsi="Verdana" w:cs="Arial"/>
          <w:lang w:val="es-ES" w:eastAsia="es-ES" w:bidi="es-ES"/>
        </w:rPr>
        <w:t xml:space="preserve"> en materia de contratación pública se dirigen a dos (2) tipos de campañas electorales diferenciadas: las presidenciales y las que se adelanten para la elección de los demás cargos de elección popular, tanto a nivel nacional como territorial.</w:t>
      </w:r>
    </w:p>
    <w:p w14:paraId="6031D447" w14:textId="77777777" w:rsidR="00B24075" w:rsidRPr="00F43CC7" w:rsidRDefault="00B24075" w:rsidP="00B24075">
      <w:pPr>
        <w:spacing w:after="120" w:line="276" w:lineRule="auto"/>
        <w:ind w:firstLine="708"/>
        <w:jc w:val="both"/>
        <w:rPr>
          <w:rFonts w:ascii="Verdana" w:eastAsia="Calibri" w:hAnsi="Verdana" w:cs="Arial"/>
          <w:lang w:val="es-ES"/>
        </w:rPr>
      </w:pPr>
      <w:r w:rsidRPr="00F43CC7">
        <w:rPr>
          <w:rFonts w:ascii="Verdana" w:eastAsia="Calibri" w:hAnsi="Verdana" w:cs="Arial"/>
          <w:lang w:val="es-ES"/>
        </w:rPr>
        <w:t xml:space="preserve">Por un lado, el </w:t>
      </w:r>
      <w:r w:rsidRPr="00F43CC7">
        <w:rPr>
          <w:rFonts w:ascii="Verdana" w:eastAsia="Calibri" w:hAnsi="Verdana" w:cs="Arial"/>
          <w:i/>
          <w:iCs/>
          <w:lang w:val="es-ES"/>
        </w:rPr>
        <w:t xml:space="preserve">artículo 33 </w:t>
      </w:r>
      <w:r w:rsidRPr="00F43CC7">
        <w:rPr>
          <w:rFonts w:ascii="Verdana" w:eastAsia="Calibri" w:hAnsi="Verdana" w:cs="Arial"/>
          <w:lang w:val="es-ES"/>
        </w:rPr>
        <w:t xml:space="preserve">de la Ley 996 de 2005 prohíbe “[…] la contratación directa por parte de </w:t>
      </w:r>
      <w:r w:rsidRPr="00F43CC7">
        <w:rPr>
          <w:rFonts w:ascii="Verdana" w:eastAsia="Calibri" w:hAnsi="Verdana" w:cs="Arial"/>
          <w:i/>
          <w:iCs/>
          <w:lang w:val="es-ES"/>
        </w:rPr>
        <w:t>todos los entes del Estado</w:t>
      </w:r>
      <w:r w:rsidRPr="00F43CC7">
        <w:rPr>
          <w:rFonts w:ascii="Verdana" w:eastAsia="Calibri" w:hAnsi="Verdana" w:cs="Arial"/>
          <w:lang w:val="es-ES"/>
        </w:rPr>
        <w:t xml:space="preserve">” durante los cuatro (4) meses anteriores a las </w:t>
      </w:r>
      <w:r w:rsidRPr="00F43CC7">
        <w:rPr>
          <w:rFonts w:ascii="Verdana" w:eastAsia="Calibri" w:hAnsi="Verdana" w:cs="Arial"/>
          <w:i/>
          <w:iCs/>
          <w:lang w:val="es-ES"/>
        </w:rPr>
        <w:t>elecciones presidenciales</w:t>
      </w:r>
      <w:r w:rsidRPr="00F43CC7">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43CC7">
        <w:rPr>
          <w:rFonts w:ascii="Verdana" w:eastAsia="Calibri" w:hAnsi="Verdana" w:cs="Arial"/>
          <w:vertAlign w:val="superscript"/>
          <w:lang w:val="es-ES"/>
        </w:rPr>
        <w:footnoteReference w:id="7"/>
      </w:r>
      <w:r w:rsidRPr="00F43CC7">
        <w:rPr>
          <w:rFonts w:ascii="Verdana" w:eastAsia="Calibri" w:hAnsi="Verdana" w:cs="Arial"/>
          <w:lang w:val="es-ES"/>
        </w:rPr>
        <w:t>.</w:t>
      </w:r>
    </w:p>
    <w:p w14:paraId="72A980A8" w14:textId="77777777" w:rsidR="00B24075" w:rsidRPr="00F43CC7" w:rsidRDefault="00B24075" w:rsidP="00B24075">
      <w:pPr>
        <w:widowControl w:val="0"/>
        <w:autoSpaceDE w:val="0"/>
        <w:autoSpaceDN w:val="0"/>
        <w:spacing w:after="120" w:line="276" w:lineRule="auto"/>
        <w:ind w:firstLine="709"/>
        <w:jc w:val="both"/>
        <w:rPr>
          <w:rFonts w:ascii="Verdana" w:eastAsia="Arial" w:hAnsi="Verdana" w:cs="Arial"/>
          <w:lang w:val="es-ES" w:eastAsia="es-ES" w:bidi="es-ES"/>
        </w:rPr>
      </w:pPr>
      <w:r w:rsidRPr="00F43CC7">
        <w:rPr>
          <w:rFonts w:ascii="Verdana" w:eastAsia="Calibri" w:hAnsi="Verdana" w:cs="Arial"/>
          <w:lang w:val="es-ES"/>
        </w:rPr>
        <w:t xml:space="preserve">Por otro lado, </w:t>
      </w:r>
      <w:r w:rsidRPr="00F43CC7">
        <w:rPr>
          <w:rFonts w:ascii="Verdana" w:eastAsia="Calibri" w:hAnsi="Verdana" w:cs="Arial"/>
          <w:i/>
          <w:iCs/>
          <w:lang w:val="es-ES"/>
        </w:rPr>
        <w:t xml:space="preserve">el parágrafo del artículo 38 </w:t>
      </w:r>
      <w:r w:rsidRPr="00F43CC7">
        <w:rPr>
          <w:rFonts w:ascii="Verdana" w:eastAsia="Calibri" w:hAnsi="Verdana" w:cs="Arial"/>
          <w:lang w:val="es-ES"/>
        </w:rPr>
        <w:t xml:space="preserve">de la Ley 996 de 2005 prevé una restricción, aplicable respecto de </w:t>
      </w:r>
      <w:r w:rsidRPr="00F43CC7">
        <w:rPr>
          <w:rFonts w:ascii="Verdana" w:eastAsia="Calibri" w:hAnsi="Verdana" w:cs="Arial"/>
          <w:i/>
          <w:iCs/>
          <w:lang w:val="es-ES"/>
        </w:rPr>
        <w:t>cualquier tipo de contienda electoral</w:t>
      </w:r>
      <w:r w:rsidRPr="00F43CC7">
        <w:rPr>
          <w:rFonts w:ascii="Verdana" w:eastAsia="Calibri" w:hAnsi="Verdana" w:cs="Arial"/>
          <w:lang w:val="es-ES"/>
        </w:rPr>
        <w:t xml:space="preserve">, que </w:t>
      </w:r>
      <w:r w:rsidRPr="00F43CC7">
        <w:rPr>
          <w:rFonts w:ascii="Verdana" w:eastAsia="Calibri" w:hAnsi="Verdana" w:cs="Arial"/>
          <w:lang w:val="es-ES"/>
        </w:rPr>
        <w:lastRenderedPageBreak/>
        <w:t xml:space="preserve">prohíbe a los gobernadores, alcaldes municipales o distritales, secretarios, gerentes y directores de entidades descentralizadas del orden municipal, departamental o distrital “[…] celebrar </w:t>
      </w:r>
      <w:r w:rsidRPr="00F43CC7">
        <w:rPr>
          <w:rFonts w:ascii="Verdana" w:eastAsia="Calibri" w:hAnsi="Verdana" w:cs="Arial"/>
          <w:i/>
          <w:iCs/>
          <w:lang w:val="es-ES"/>
        </w:rPr>
        <w:t>convenios interadministrativos</w:t>
      </w:r>
      <w:r w:rsidRPr="00F43CC7">
        <w:rPr>
          <w:rFonts w:ascii="Verdana" w:eastAsia="Calibri" w:hAnsi="Verdana" w:cs="Arial"/>
          <w:lang w:val="es-ES"/>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F43CC7">
        <w:rPr>
          <w:rFonts w:ascii="Verdana" w:eastAsia="Calibri" w:hAnsi="Verdana" w:cs="Arial"/>
          <w:vertAlign w:val="superscript"/>
          <w:lang w:val="es-ES"/>
        </w:rPr>
        <w:footnoteReference w:id="8"/>
      </w:r>
      <w:r w:rsidRPr="00F43CC7">
        <w:rPr>
          <w:rFonts w:ascii="Verdana" w:eastAsia="Calibri" w:hAnsi="Verdana" w:cs="Arial"/>
          <w:lang w:val="es-ES"/>
        </w:rPr>
        <w:t>.</w:t>
      </w:r>
      <w:r w:rsidRPr="00F43CC7">
        <w:rPr>
          <w:rFonts w:ascii="Verdana" w:eastAsia="Arial" w:hAnsi="Verdana" w:cs="Arial"/>
          <w:lang w:val="es-ES" w:eastAsia="es-ES" w:bidi="es-ES"/>
        </w:rPr>
        <w:t xml:space="preserve"> </w:t>
      </w:r>
    </w:p>
    <w:p w14:paraId="6BB99734" w14:textId="77777777" w:rsidR="00B24075" w:rsidRPr="00F43CC7" w:rsidRDefault="00B24075" w:rsidP="00B24075">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43CC7">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ha señalado:</w:t>
      </w:r>
    </w:p>
    <w:p w14:paraId="49EA8E91" w14:textId="77777777" w:rsidR="00B24075" w:rsidRPr="00F43CC7" w:rsidRDefault="00B24075" w:rsidP="00B24075">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66C2113" w14:textId="77777777" w:rsidR="00B24075" w:rsidRPr="00F43CC7" w:rsidRDefault="00B24075" w:rsidP="00B24075">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43CC7">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43CC7">
        <w:rPr>
          <w:rFonts w:ascii="Verdana" w:eastAsia="Arial" w:hAnsi="Verdana" w:cs="Arial"/>
          <w:sz w:val="20"/>
          <w:szCs w:val="20"/>
          <w:vertAlign w:val="superscript"/>
          <w:lang w:val="es-ES" w:eastAsia="es-ES" w:bidi="es-ES"/>
        </w:rPr>
        <w:footnoteReference w:id="9"/>
      </w:r>
    </w:p>
    <w:p w14:paraId="3D3DABEC" w14:textId="77777777" w:rsidR="00B24075" w:rsidRPr="00F43CC7" w:rsidRDefault="00B24075" w:rsidP="00B24075">
      <w:pPr>
        <w:widowControl w:val="0"/>
        <w:autoSpaceDE w:val="0"/>
        <w:autoSpaceDN w:val="0"/>
        <w:spacing w:after="0" w:line="276" w:lineRule="auto"/>
        <w:contextualSpacing/>
        <w:rPr>
          <w:rFonts w:ascii="Verdana" w:eastAsia="Arial" w:hAnsi="Verdana" w:cs="Arial"/>
          <w:lang w:val="es-ES" w:eastAsia="es-ES" w:bidi="es-ES"/>
        </w:rPr>
      </w:pPr>
    </w:p>
    <w:p w14:paraId="01F9444C" w14:textId="16E18F6C" w:rsidR="00B24075" w:rsidRPr="00F43CC7" w:rsidRDefault="00B24075" w:rsidP="00B24075">
      <w:pPr>
        <w:spacing w:after="120" w:line="276" w:lineRule="auto"/>
        <w:ind w:firstLine="709"/>
        <w:jc w:val="both"/>
        <w:rPr>
          <w:rFonts w:ascii="Verdana" w:eastAsia="Arial" w:hAnsi="Verdana" w:cs="Arial"/>
          <w:lang w:val="es-ES" w:eastAsia="es-ES" w:bidi="es-ES"/>
        </w:rPr>
      </w:pPr>
      <w:r w:rsidRPr="00F43CC7">
        <w:rPr>
          <w:rFonts w:ascii="Verdana" w:eastAsia="Arial" w:hAnsi="Verdana" w:cs="Arial"/>
          <w:lang w:val="es-ES" w:eastAsia="es-ES" w:bidi="es-ES"/>
        </w:rPr>
        <w:t xml:space="preserve">De conformidad con lo anterior, la Ley 996 de 2005 establece dos (2) tipos de restricciones en materia de contratación, las cuales, aunque distintas, coinciden parcialmente. </w:t>
      </w:r>
      <w:r w:rsidRPr="00F43CC7">
        <w:rPr>
          <w:rFonts w:ascii="Verdana" w:eastAsia="Arial" w:hAnsi="Verdana" w:cs="Arial"/>
          <w:i/>
          <w:lang w:val="es-ES" w:eastAsia="es-ES" w:bidi="es-ES"/>
        </w:rPr>
        <w:t>En primer lugar</w:t>
      </w:r>
      <w:r w:rsidRPr="00F43CC7">
        <w:rPr>
          <w:rFonts w:ascii="Verdana" w:eastAsia="Arial" w:hAnsi="Verdana" w:cs="Arial"/>
          <w:lang w:val="es-ES" w:eastAsia="es-ES" w:bidi="es-ES"/>
        </w:rPr>
        <w:t xml:space="preserve">, la del artículo 33 que aplica solo respecto de las elecciones presidenciales, en virtud de la cual queda proscrita la </w:t>
      </w:r>
      <w:r w:rsidRPr="00F43CC7">
        <w:rPr>
          <w:rFonts w:ascii="Verdana" w:eastAsia="Arial" w:hAnsi="Verdana" w:cs="Arial"/>
          <w:i/>
          <w:iCs/>
          <w:lang w:val="es-ES" w:eastAsia="es-ES" w:bidi="es-ES"/>
        </w:rPr>
        <w:t>contratación directa</w:t>
      </w:r>
      <w:r w:rsidRPr="00F43CC7">
        <w:rPr>
          <w:rFonts w:ascii="Verdana" w:eastAsia="Arial" w:hAnsi="Verdana" w:cs="Arial"/>
          <w:lang w:val="es-ES" w:eastAsia="es-ES" w:bidi="es-ES"/>
        </w:rPr>
        <w:t xml:space="preserve"> dentro de los cuatro (4) meses anteriores a la celebración de los comicios, salvo las citadas excepciones. Sin embargo, si ningún candidato </w:t>
      </w:r>
      <w:r w:rsidRPr="00F43CC7">
        <w:rPr>
          <w:rFonts w:ascii="Verdana" w:eastAsia="Arial" w:hAnsi="Verdana" w:cs="Arial"/>
          <w:lang w:val="es-ES" w:eastAsia="es-ES" w:bidi="es-ES"/>
        </w:rPr>
        <w:lastRenderedPageBreak/>
        <w:t xml:space="preserve">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52BDB6A1" w14:textId="77777777" w:rsidR="00B24075" w:rsidRPr="00F43CC7" w:rsidRDefault="00B24075" w:rsidP="00B24075">
      <w:pPr>
        <w:spacing w:after="120" w:line="276" w:lineRule="auto"/>
        <w:ind w:firstLine="709"/>
        <w:jc w:val="both"/>
        <w:rPr>
          <w:rFonts w:ascii="Verdana" w:eastAsia="Arial" w:hAnsi="Verdana" w:cs="Arial"/>
          <w:lang w:val="es-ES" w:eastAsia="es-ES" w:bidi="es-ES"/>
        </w:rPr>
      </w:pPr>
      <w:r w:rsidRPr="00F43CC7">
        <w:rPr>
          <w:rFonts w:ascii="Verdana" w:eastAsia="Arial" w:hAnsi="Verdana" w:cs="Arial"/>
          <w:i/>
          <w:lang w:val="es-ES" w:eastAsia="es-ES" w:bidi="es-ES"/>
        </w:rPr>
        <w:t>En segundo lugar</w:t>
      </w:r>
      <w:r w:rsidRPr="00F43CC7">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w:t>
      </w:r>
      <w:r w:rsidRPr="00F43CC7">
        <w:rPr>
          <w:rFonts w:ascii="Verdana" w:eastAsia="Arial" w:hAnsi="Verdana" w:cs="Arial"/>
          <w:i/>
          <w:iCs/>
          <w:lang w:val="es-ES" w:eastAsia="es-ES" w:bidi="es-ES"/>
        </w:rPr>
        <w:t>convenios interadministrativos</w:t>
      </w:r>
      <w:r w:rsidRPr="00F43CC7">
        <w:rPr>
          <w:rFonts w:ascii="Verdana" w:eastAsia="Arial" w:hAnsi="Verdana" w:cs="Arial"/>
          <w:lang w:val="es-ES" w:eastAsia="es-ES" w:bidi="es-ES"/>
        </w:rPr>
        <w:t xml:space="preserve"> que impliquen la ejecución de recursos públicos dentro de los cuatro (4) meses anteriores a la respectiva jornada de votaciones.</w:t>
      </w:r>
    </w:p>
    <w:p w14:paraId="53141FF9" w14:textId="77777777" w:rsidR="00B24075" w:rsidRPr="00F43CC7" w:rsidRDefault="00B24075" w:rsidP="00B24075">
      <w:pPr>
        <w:spacing w:after="0" w:line="276" w:lineRule="auto"/>
        <w:ind w:firstLine="709"/>
        <w:jc w:val="both"/>
        <w:rPr>
          <w:rFonts w:ascii="Verdana" w:eastAsia="Arial" w:hAnsi="Verdana" w:cs="Arial"/>
          <w:lang w:val="es-ES" w:eastAsia="es-ES" w:bidi="es-ES"/>
        </w:rPr>
      </w:pPr>
      <w:r w:rsidRPr="00F43CC7">
        <w:rPr>
          <w:rFonts w:ascii="Verdana" w:eastAsia="Arial" w:hAnsi="Verdana" w:cs="Arial"/>
          <w:lang w:val="es-ES" w:eastAsia="es-ES" w:bidi="es-ES"/>
        </w:rPr>
        <w:t xml:space="preserve">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esto es </w:t>
      </w:r>
      <w:r w:rsidRPr="00F43CC7">
        <w:rPr>
          <w:rFonts w:ascii="Verdana" w:eastAsia="Calibri" w:hAnsi="Verdana" w:cs="Arial"/>
          <w:lang w:val="es-ES"/>
        </w:rPr>
        <w:t>gobernadores, alcaldes municipales o distritales, secretarios, gerentes y directores de entidades descentralizadas del orden municipal, departamental o distrital</w:t>
      </w:r>
      <w:r w:rsidRPr="00F43CC7">
        <w:rPr>
          <w:rFonts w:ascii="Verdana" w:eastAsia="Arial" w:hAnsi="Verdana" w:cs="Arial"/>
          <w:lang w:val="es-ES" w:eastAsia="es-ES" w:bidi="es-ES"/>
        </w:rPr>
        <w:t>, sólo deben aplicar las restricciones contenidas en el parágrafo del artículo 38.</w:t>
      </w:r>
    </w:p>
    <w:p w14:paraId="461B6A00" w14:textId="77777777" w:rsidR="00B24075" w:rsidRPr="00F43CC7" w:rsidRDefault="00B24075" w:rsidP="00B24075">
      <w:pPr>
        <w:spacing w:after="0" w:line="276" w:lineRule="auto"/>
        <w:ind w:firstLine="709"/>
        <w:jc w:val="both"/>
        <w:rPr>
          <w:rFonts w:ascii="Verdana" w:eastAsia="Arial" w:hAnsi="Verdana" w:cs="Arial"/>
          <w:lang w:val="es-ES" w:eastAsia="es-ES" w:bidi="es-ES"/>
        </w:rPr>
      </w:pPr>
    </w:p>
    <w:p w14:paraId="24BE53F9" w14:textId="77777777" w:rsidR="00B24075" w:rsidRPr="00F43CC7" w:rsidRDefault="00B24075" w:rsidP="00B24075">
      <w:pPr>
        <w:spacing w:after="0" w:line="276" w:lineRule="auto"/>
        <w:jc w:val="both"/>
        <w:rPr>
          <w:rFonts w:ascii="Verdana" w:eastAsia="Times New Roman" w:hAnsi="Verdana" w:cs="Arial"/>
          <w:lang w:val="es-ES" w:eastAsia="es-CO"/>
        </w:rPr>
      </w:pPr>
      <w:proofErr w:type="spellStart"/>
      <w:r w:rsidRPr="00F43CC7">
        <w:rPr>
          <w:rFonts w:ascii="Verdana" w:eastAsia="Calibri" w:hAnsi="Verdana" w:cs="Arial"/>
          <w:lang w:val="es-ES"/>
        </w:rPr>
        <w:t>iii</w:t>
      </w:r>
      <w:proofErr w:type="spellEnd"/>
      <w:r w:rsidRPr="00F43CC7">
        <w:rPr>
          <w:rFonts w:ascii="Verdana" w:eastAsia="Calibri" w:hAnsi="Verdana" w:cs="Arial"/>
          <w:lang w:val="es-ES"/>
        </w:rPr>
        <w:t xml:space="preserve">) </w:t>
      </w:r>
      <w:r w:rsidRPr="00F43CC7">
        <w:rPr>
          <w:rFonts w:ascii="Verdana" w:eastAsia="Calibri" w:hAnsi="Verdana" w:cs="Arial"/>
          <w:lang w:val="es-ES" w:eastAsia="es-ES" w:bidi="es-ES"/>
        </w:rPr>
        <w:t xml:space="preserve">Para responder al problema jurídico planteado es necesario precisar el alcance de la prohibición </w:t>
      </w:r>
      <w:r w:rsidRPr="00F43CC7">
        <w:rPr>
          <w:rFonts w:ascii="Verdana" w:eastAsia="Arial" w:hAnsi="Verdana" w:cs="Arial"/>
          <w:lang w:val="es-ES" w:eastAsia="es-ES" w:bidi="es-ES"/>
        </w:rPr>
        <w:t>establecida en e</w:t>
      </w:r>
      <w:r w:rsidRPr="00F43CC7">
        <w:rPr>
          <w:rFonts w:ascii="Verdana" w:eastAsia="Calibri" w:hAnsi="Verdana" w:cs="Arial"/>
          <w:lang w:val="es-ES"/>
        </w:rPr>
        <w:t xml:space="preserve">l </w:t>
      </w:r>
      <w:r w:rsidRPr="00F43CC7">
        <w:rPr>
          <w:rFonts w:ascii="Verdana" w:eastAsia="Times New Roman" w:hAnsi="Verdana" w:cs="Arial"/>
          <w:lang w:val="es-ES"/>
        </w:rPr>
        <w:t xml:space="preserve">artículo 33 de la Ley 996 de 2005. El </w:t>
      </w:r>
      <w:r w:rsidRPr="00F43CC7">
        <w:rPr>
          <w:rFonts w:ascii="Verdana" w:eastAsia="Times New Roman" w:hAnsi="Verdana" w:cs="Arial"/>
          <w:i/>
          <w:iCs/>
          <w:lang w:val="es-ES"/>
        </w:rPr>
        <w:t>ámbito material</w:t>
      </w:r>
      <w:r w:rsidRPr="00F43CC7">
        <w:rPr>
          <w:rFonts w:ascii="Verdana" w:eastAsia="Times New Roman" w:hAnsi="Verdana" w:cs="Arial"/>
          <w:lang w:val="es-ES"/>
        </w:rPr>
        <w:t xml:space="preserve"> de esta prohibición está delimitado por la expresión </w:t>
      </w:r>
      <w:r w:rsidRPr="00F43CC7">
        <w:rPr>
          <w:rFonts w:ascii="Verdana" w:eastAsia="Calibri" w:hAnsi="Verdana" w:cs="Arial"/>
          <w:bCs/>
          <w:lang w:val="es-ES"/>
        </w:rPr>
        <w:t>“</w:t>
      </w:r>
      <w:r w:rsidRPr="00F43CC7">
        <w:rPr>
          <w:rFonts w:ascii="Verdana" w:eastAsia="Times New Roman" w:hAnsi="Verdana" w:cs="Arial"/>
          <w:lang w:val="es-ES"/>
        </w:rPr>
        <w:t>queda prohibida la contratación directa</w:t>
      </w:r>
      <w:r w:rsidRPr="00F43CC7">
        <w:rPr>
          <w:rFonts w:ascii="Verdana" w:eastAsia="Calibri" w:hAnsi="Verdana" w:cs="Arial"/>
          <w:lang w:val="es-ES"/>
        </w:rPr>
        <w:t>”, lo que exige determinar qué debe entenderse por contratación directa para efectos de la Ley de Garantías Electorales</w:t>
      </w:r>
      <w:r w:rsidRPr="00F43CC7">
        <w:rPr>
          <w:rFonts w:ascii="Verdana" w:eastAsia="Times New Roman" w:hAnsi="Verdana" w:cs="Arial"/>
          <w:lang w:val="es-ES"/>
        </w:rPr>
        <w:t xml:space="preserve">. </w:t>
      </w:r>
      <w:r w:rsidRPr="00F43CC7">
        <w:rPr>
          <w:rFonts w:ascii="Verdana" w:eastAsia="Times New Roman" w:hAnsi="Verdana" w:cs="Arial"/>
          <w:lang w:val="es-ES" w:eastAsia="es-CO"/>
        </w:rPr>
        <w:t>Sobre este punto, la Sala de Consulta y Servicio Civil del Consejo de Estado ha considerado que:</w:t>
      </w:r>
    </w:p>
    <w:p w14:paraId="34A8465C" w14:textId="77777777" w:rsidR="00B24075" w:rsidRPr="00F43CC7" w:rsidRDefault="00B24075" w:rsidP="00B24075">
      <w:pPr>
        <w:spacing w:after="0" w:line="276" w:lineRule="auto"/>
        <w:jc w:val="both"/>
        <w:rPr>
          <w:rFonts w:ascii="Verdana" w:eastAsia="Times New Roman" w:hAnsi="Verdana" w:cs="Arial"/>
          <w:bCs/>
          <w:lang w:val="es-ES" w:eastAsia="es-CO"/>
        </w:rPr>
      </w:pPr>
    </w:p>
    <w:p w14:paraId="369FF52A" w14:textId="77777777" w:rsidR="00B24075" w:rsidRPr="00F43CC7" w:rsidRDefault="00B24075" w:rsidP="007D4C46">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 xml:space="preserve">“[…]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w:t>
      </w:r>
      <w:r w:rsidRPr="00F43CC7">
        <w:rPr>
          <w:rFonts w:ascii="Verdana" w:eastAsia="Calibri" w:hAnsi="Verdana" w:cs="Arial"/>
          <w:sz w:val="20"/>
          <w:szCs w:val="20"/>
          <w:lang w:val="es-ES"/>
        </w:rPr>
        <w:lastRenderedPageBreak/>
        <w:t>pública o concurso</w:t>
      </w:r>
      <w:r w:rsidRPr="00F43CC7">
        <w:rPr>
          <w:rFonts w:ascii="Verdana" w:eastAsia="Times New Roman" w:hAnsi="Verdana" w:cs="Arial"/>
          <w:sz w:val="20"/>
          <w:szCs w:val="20"/>
          <w:vertAlign w:val="superscript"/>
          <w:lang w:val="es-ES"/>
        </w:rPr>
        <w:footnoteReference w:id="10"/>
      </w:r>
      <w:r w:rsidRPr="00F43CC7">
        <w:rPr>
          <w:rFonts w:ascii="Verdana" w:eastAsia="Times New Roman" w:hAnsi="Verdana" w:cs="Arial"/>
          <w:sz w:val="20"/>
          <w:szCs w:val="20"/>
          <w:vertAlign w:val="superscript"/>
          <w:lang w:val="es-ES"/>
        </w:rPr>
        <w:t>.</w:t>
      </w:r>
      <w:r w:rsidRPr="00F43CC7">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43CC7">
        <w:rPr>
          <w:rFonts w:ascii="Verdana" w:eastAsia="Times New Roman" w:hAnsi="Verdana" w:cs="Arial"/>
          <w:sz w:val="20"/>
          <w:szCs w:val="20"/>
          <w:vertAlign w:val="superscript"/>
          <w:lang w:val="es-ES" w:eastAsia="es-CO"/>
        </w:rPr>
        <w:footnoteReference w:id="11"/>
      </w:r>
      <w:r w:rsidRPr="00F43CC7">
        <w:rPr>
          <w:rFonts w:ascii="Verdana" w:eastAsia="Calibri" w:hAnsi="Verdana" w:cs="Arial"/>
          <w:sz w:val="20"/>
          <w:szCs w:val="20"/>
          <w:lang w:val="es-ES"/>
        </w:rPr>
        <w:t xml:space="preserve"> .</w:t>
      </w:r>
    </w:p>
    <w:p w14:paraId="318D1983" w14:textId="77777777" w:rsidR="00B24075" w:rsidRPr="00F43CC7" w:rsidRDefault="00B24075" w:rsidP="00B24075">
      <w:pPr>
        <w:shd w:val="clear" w:color="auto" w:fill="FFFFFF" w:themeFill="background1"/>
        <w:spacing w:after="0" w:line="276" w:lineRule="auto"/>
        <w:ind w:firstLine="709"/>
        <w:jc w:val="both"/>
        <w:rPr>
          <w:rFonts w:ascii="Verdana" w:eastAsia="Times New Roman" w:hAnsi="Verdana" w:cs="Arial"/>
          <w:lang w:val="es-ES" w:eastAsia="x-none"/>
        </w:rPr>
      </w:pPr>
    </w:p>
    <w:p w14:paraId="0D18747C" w14:textId="6F2BBE46" w:rsidR="00B24075" w:rsidRPr="00F43CC7" w:rsidRDefault="00B24075" w:rsidP="00B24075">
      <w:pPr>
        <w:spacing w:after="120" w:line="276" w:lineRule="auto"/>
        <w:ind w:firstLine="708"/>
        <w:jc w:val="both"/>
        <w:rPr>
          <w:rFonts w:ascii="Verdana" w:eastAsia="Times New Roman" w:hAnsi="Verdana" w:cs="Arial"/>
          <w:bCs/>
          <w:lang w:val="es-ES" w:eastAsia="x-none"/>
        </w:rPr>
      </w:pPr>
      <w:r w:rsidRPr="00F43CC7">
        <w:rPr>
          <w:rFonts w:ascii="Verdana" w:eastAsia="Times New Roman" w:hAnsi="Verdana" w:cs="Arial"/>
          <w:lang w:val="es-ES" w:eastAsia="x-none"/>
        </w:rPr>
        <w:t xml:space="preserve">De acuerdo con este concepto, la prohibición del artículo 33 de la Ley de Garantías Electorales se refiere a </w:t>
      </w:r>
      <w:r w:rsidRPr="00F43CC7">
        <w:rPr>
          <w:rFonts w:ascii="Verdana" w:eastAsia="Times New Roman" w:hAnsi="Verdana" w:cs="Arial"/>
          <w:sz w:val="19"/>
          <w:szCs w:val="19"/>
          <w:lang w:val="es-ES" w:eastAsia="en-GB"/>
        </w:rPr>
        <w:t>“</w:t>
      </w:r>
      <w:r w:rsidRPr="00F43CC7">
        <w:rPr>
          <w:rFonts w:ascii="Verdana" w:eastAsia="Times New Roman" w:hAnsi="Verdana" w:cs="Arial"/>
          <w:i/>
          <w:iCs/>
          <w:lang w:val="es-ES" w:eastAsia="x-none"/>
        </w:rPr>
        <w:t>cualquier sistema</w:t>
      </w:r>
      <w:r w:rsidRPr="00F43CC7">
        <w:rPr>
          <w:rFonts w:ascii="Verdana" w:eastAsia="Times New Roman" w:hAnsi="Verdana" w:cs="Arial"/>
          <w:lang w:val="es-ES" w:eastAsia="x-none"/>
        </w:rPr>
        <w:t xml:space="preserve"> que no implique convocatoria pública y posibilidad de pluralidad de oferentes</w:t>
      </w:r>
      <w:r w:rsidRPr="00F43CC7">
        <w:rPr>
          <w:rFonts w:ascii="Verdana" w:eastAsia="Times New Roman" w:hAnsi="Verdana" w:cs="Arial"/>
          <w:lang w:val="es-ES" w:eastAsia="en-GB"/>
        </w:rPr>
        <w:t>”</w:t>
      </w:r>
      <w:r w:rsidRPr="00F43CC7">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43CC7">
        <w:rPr>
          <w:rFonts w:ascii="Verdana" w:eastAsia="Times New Roman" w:hAnsi="Verdana" w:cs="Arial"/>
          <w:lang w:val="es-ES"/>
        </w:rPr>
        <w:t>y la mínima cuantía, así como otros procesos competitivos</w:t>
      </w:r>
      <w:r w:rsidRPr="00F43CC7" w:rsidDel="00A85D9F">
        <w:rPr>
          <w:rFonts w:ascii="Verdana" w:eastAsia="Times New Roman" w:hAnsi="Verdana" w:cs="Arial"/>
          <w:lang w:val="es-ES" w:eastAsia="x-none"/>
        </w:rPr>
        <w:t xml:space="preserve"> </w:t>
      </w:r>
      <w:r w:rsidRPr="00F43CC7">
        <w:rPr>
          <w:rFonts w:ascii="Verdana" w:eastAsia="Times New Roman" w:hAnsi="Verdana" w:cs="Arial"/>
          <w:lang w:val="es-ES"/>
        </w:rPr>
        <w:t xml:space="preserve">previstos en normas especiales. </w:t>
      </w:r>
      <w:r w:rsidRPr="00F43CC7">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43CC7">
        <w:rPr>
          <w:rFonts w:ascii="Verdana" w:eastAsia="Times New Roman" w:hAnsi="Verdana" w:cs="Arial"/>
          <w:vertAlign w:val="superscript"/>
          <w:lang w:val="es-ES" w:eastAsia="x-none"/>
        </w:rPr>
        <w:footnoteReference w:id="12"/>
      </w:r>
      <w:r w:rsidRPr="00F43CC7">
        <w:rPr>
          <w:rFonts w:ascii="Verdana" w:eastAsia="Times New Roman" w:hAnsi="Verdana" w:cs="Arial"/>
          <w:lang w:val="es-ES" w:eastAsia="x-none"/>
        </w:rPr>
        <w:t xml:space="preserve"> y sistematizó las causales de contratación directa</w:t>
      </w:r>
      <w:r w:rsidRPr="00F43CC7">
        <w:rPr>
          <w:rFonts w:ascii="Verdana" w:eastAsia="Times New Roman" w:hAnsi="Verdana" w:cs="Arial"/>
          <w:vertAlign w:val="superscript"/>
          <w:lang w:val="es-ES" w:eastAsia="x-none"/>
        </w:rPr>
        <w:footnoteReference w:id="13"/>
      </w:r>
      <w:r w:rsidR="007D4C46">
        <w:rPr>
          <w:rFonts w:ascii="Verdana" w:eastAsia="Times New Roman" w:hAnsi="Verdana" w:cs="Arial"/>
          <w:lang w:val="es-ES" w:eastAsia="x-none"/>
        </w:rPr>
        <w:t xml:space="preserve">. </w:t>
      </w:r>
      <w:r w:rsidR="007D4C46">
        <w:rPr>
          <w:rFonts w:ascii="Verdana" w:eastAsia="Calibri" w:hAnsi="Verdana" w:cs="Arial"/>
          <w:lang w:val="es-ES" w:eastAsia="x-none"/>
        </w:rPr>
        <w:t>A</w:t>
      </w:r>
      <w:r w:rsidRPr="00F43CC7">
        <w:rPr>
          <w:rFonts w:ascii="Verdana" w:eastAsia="Calibri" w:hAnsi="Verdana" w:cs="Arial"/>
          <w:lang w:val="es-ES" w:eastAsia="x-none"/>
        </w:rPr>
        <w:t>demás lo es con la posterior creación de la modalidad de mínima cuantía establecida actualmente en el numeral 5 del artículo 2 de la Ley 1150 de 2007, de acuerdo con las modificaciones realizadas por leyes posteriores.</w:t>
      </w:r>
    </w:p>
    <w:p w14:paraId="7E396DDE" w14:textId="77777777" w:rsidR="00B24075" w:rsidRPr="00F43CC7" w:rsidRDefault="00B24075" w:rsidP="00B24075">
      <w:pPr>
        <w:spacing w:after="120" w:line="276" w:lineRule="auto"/>
        <w:ind w:firstLine="708"/>
        <w:jc w:val="both"/>
        <w:rPr>
          <w:rFonts w:ascii="Verdana" w:eastAsia="Times New Roman" w:hAnsi="Verdana" w:cs="Arial"/>
          <w:bCs/>
          <w:lang w:val="es-ES" w:eastAsia="es-CO"/>
        </w:rPr>
      </w:pPr>
      <w:r w:rsidRPr="00F43CC7">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43CC7">
        <w:rPr>
          <w:rFonts w:ascii="Verdana" w:eastAsia="Times New Roman" w:hAnsi="Verdana" w:cs="Arial"/>
          <w:bCs/>
          <w:i/>
          <w:iCs/>
          <w:lang w:val="es-ES" w:eastAsia="es-CO"/>
        </w:rPr>
        <w:t>, sino también frente a las entidades que tengan un régimen especial de contratación</w:t>
      </w:r>
      <w:r w:rsidRPr="00F43CC7">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43CC7">
        <w:rPr>
          <w:rFonts w:ascii="Verdana" w:eastAsia="Times New Roman" w:hAnsi="Verdana" w:cs="Arial"/>
          <w:lang w:val="es-ES"/>
        </w:rPr>
        <w:t xml:space="preserve">Así, para efectos de la prohibición o restricción temporal contenida en su artículo 33, “contratación directa” es </w:t>
      </w:r>
      <w:r w:rsidRPr="00F43CC7">
        <w:rPr>
          <w:rFonts w:ascii="Verdana" w:eastAsia="Times New Roman" w:hAnsi="Verdana" w:cs="Arial"/>
          <w:i/>
          <w:iCs/>
          <w:lang w:val="es-ES"/>
        </w:rPr>
        <w:t>cualquier</w:t>
      </w:r>
      <w:r w:rsidRPr="00F43CC7">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43CC7">
        <w:rPr>
          <w:rFonts w:ascii="Verdana" w:eastAsia="Times New Roman" w:hAnsi="Verdana" w:cs="Arial"/>
          <w:vertAlign w:val="superscript"/>
          <w:lang w:val="es-ES" w:eastAsia="x-none"/>
        </w:rPr>
        <w:footnoteReference w:id="14"/>
      </w:r>
      <w:r w:rsidRPr="00F43CC7">
        <w:rPr>
          <w:rFonts w:ascii="Verdana" w:eastAsia="Times New Roman" w:hAnsi="Verdana" w:cs="Arial"/>
          <w:lang w:val="es-ES"/>
        </w:rPr>
        <w:t>.</w:t>
      </w:r>
      <w:r w:rsidRPr="00F43CC7">
        <w:rPr>
          <w:rFonts w:ascii="Verdana" w:eastAsia="Times New Roman" w:hAnsi="Verdana" w:cs="Arial"/>
          <w:vertAlign w:val="superscript"/>
          <w:lang w:val="es-ES" w:eastAsia="x-none"/>
        </w:rPr>
        <w:t xml:space="preserve"> </w:t>
      </w:r>
    </w:p>
    <w:p w14:paraId="7C38E005" w14:textId="77777777" w:rsidR="00B24075" w:rsidRPr="00F43CC7" w:rsidRDefault="00B24075" w:rsidP="00B24075">
      <w:pPr>
        <w:spacing w:after="0" w:line="276" w:lineRule="auto"/>
        <w:ind w:firstLine="708"/>
        <w:jc w:val="both"/>
        <w:rPr>
          <w:rFonts w:ascii="Verdana" w:eastAsia="Times New Roman" w:hAnsi="Verdana" w:cs="Arial"/>
          <w:lang w:val="es-ES"/>
        </w:rPr>
      </w:pPr>
      <w:r w:rsidRPr="00F43CC7">
        <w:rPr>
          <w:rFonts w:ascii="Verdana" w:eastAsia="Times New Roman" w:hAnsi="Verdana" w:cs="Arial"/>
          <w:lang w:val="es-ES"/>
        </w:rPr>
        <w:lastRenderedPageBreak/>
        <w:t xml:space="preserve">De lo anterior se desprende que la restricción aplica, sin perjuicio de las excepciones establecidas en la misma ley, para celebrar </w:t>
      </w:r>
      <w:r w:rsidRPr="00F43CC7">
        <w:rPr>
          <w:rFonts w:ascii="Verdana" w:eastAsia="Times New Roman" w:hAnsi="Verdana" w:cs="Arial"/>
          <w:i/>
          <w:iCs/>
          <w:lang w:val="es-ES"/>
        </w:rPr>
        <w:t>cualquier contrato o convenio de forma directa</w:t>
      </w:r>
      <w:r w:rsidRPr="00F43CC7">
        <w:rPr>
          <w:rFonts w:ascii="Verdana" w:eastAsia="Times New Roman" w:hAnsi="Verdana" w:cs="Arial"/>
          <w:lang w:val="es-ES"/>
        </w:rPr>
        <w:t>, esto es, sin que exista un proceso abierto y competitivo. Por tanto, no son materia de la prohibición los procesos de contratación que se adelanten mediante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CF7221E" w14:textId="304B399D" w:rsidR="00B24075" w:rsidRPr="00F43CC7" w:rsidRDefault="00B24075" w:rsidP="00B24075">
      <w:pPr>
        <w:spacing w:before="120" w:after="0" w:line="276" w:lineRule="auto"/>
        <w:ind w:firstLine="708"/>
        <w:jc w:val="both"/>
        <w:rPr>
          <w:rFonts w:ascii="Verdana" w:eastAsia="Times New Roman" w:hAnsi="Verdana" w:cs="Arial"/>
          <w:bCs/>
          <w:lang w:val="es-ES" w:eastAsia="es-CO"/>
        </w:rPr>
      </w:pPr>
      <w:r w:rsidRPr="00F43CC7">
        <w:rPr>
          <w:rFonts w:ascii="Verdana" w:eastAsia="Times New Roman" w:hAnsi="Verdana" w:cs="Arial"/>
          <w:bCs/>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sidR="003F491F">
        <w:rPr>
          <w:rFonts w:ascii="Verdana" w:eastAsia="Times New Roman" w:hAnsi="Verdana" w:cs="Arial"/>
          <w:bCs/>
          <w:lang w:val="es-ES" w:eastAsia="es-CO"/>
        </w:rPr>
        <w:t xml:space="preserve"> Electorales</w:t>
      </w:r>
      <w:r w:rsidRPr="00F43CC7">
        <w:rPr>
          <w:rFonts w:ascii="Verdana" w:eastAsia="Times New Roman" w:hAnsi="Verdana" w:cs="Arial"/>
          <w:bCs/>
          <w:lang w:val="es-ES" w:eastAsia="es-CO"/>
        </w:rPr>
        <w:t>, sin que ello haga nugatoria la restricción de la contratación directa y siempre que cumplan los principios de planeación, transparencia y responsabilidad</w:t>
      </w:r>
      <w:r w:rsidRPr="00F43CC7">
        <w:rPr>
          <w:rFonts w:ascii="Verdana" w:eastAsia="Times New Roman" w:hAnsi="Verdana" w:cs="Arial"/>
          <w:bCs/>
          <w:vertAlign w:val="superscript"/>
          <w:lang w:val="es-ES" w:eastAsia="es-CO"/>
        </w:rPr>
        <w:footnoteReference w:id="15"/>
      </w:r>
      <w:r w:rsidRPr="00F43CC7">
        <w:rPr>
          <w:rFonts w:ascii="Verdana" w:eastAsia="Times New Roman" w:hAnsi="Verdana" w:cs="Arial"/>
          <w:bCs/>
          <w:lang w:val="es-ES" w:eastAsia="es-CO"/>
        </w:rPr>
        <w:t xml:space="preserve">. Además, también es posible que contratos celebrados previamente se continúen ejecutando con normalidad. </w:t>
      </w:r>
    </w:p>
    <w:p w14:paraId="1FE4ADF2" w14:textId="77777777" w:rsidR="00B24075" w:rsidRPr="00F43CC7" w:rsidRDefault="00B24075" w:rsidP="003F491F">
      <w:pPr>
        <w:spacing w:after="0" w:line="276" w:lineRule="auto"/>
        <w:ind w:firstLine="708"/>
        <w:jc w:val="both"/>
        <w:rPr>
          <w:rFonts w:ascii="Verdana" w:eastAsia="Times New Roman" w:hAnsi="Verdana" w:cs="Arial"/>
          <w:bCs/>
          <w:lang w:val="es-ES" w:eastAsia="es-CO"/>
        </w:rPr>
      </w:pPr>
    </w:p>
    <w:p w14:paraId="22F1D69C" w14:textId="7C2F825B" w:rsidR="00B24075" w:rsidRPr="00F43CC7" w:rsidRDefault="00B24075" w:rsidP="003F491F">
      <w:pPr>
        <w:spacing w:after="0" w:line="276" w:lineRule="auto"/>
        <w:jc w:val="both"/>
        <w:rPr>
          <w:rFonts w:ascii="Verdana" w:eastAsia="Times New Roman" w:hAnsi="Verdana" w:cs="Arial"/>
          <w:lang w:val="es-ES"/>
        </w:rPr>
      </w:pPr>
      <w:proofErr w:type="spellStart"/>
      <w:r w:rsidRPr="00F43CC7">
        <w:rPr>
          <w:rFonts w:ascii="Verdana" w:eastAsia="Times New Roman" w:hAnsi="Verdana" w:cs="Arial"/>
          <w:bCs/>
          <w:lang w:val="es-ES" w:eastAsia="es-CO"/>
        </w:rPr>
        <w:t>iv</w:t>
      </w:r>
      <w:proofErr w:type="spellEnd"/>
      <w:r w:rsidRPr="00F43CC7">
        <w:rPr>
          <w:rFonts w:ascii="Verdana" w:eastAsia="Times New Roman" w:hAnsi="Verdana" w:cs="Arial"/>
          <w:bCs/>
          <w:lang w:val="es-ES" w:eastAsia="es-CO"/>
        </w:rPr>
        <w:t xml:space="preserve">) </w:t>
      </w:r>
      <w:r w:rsidR="003F491F">
        <w:rPr>
          <w:rFonts w:ascii="Verdana" w:eastAsia="Times New Roman" w:hAnsi="Verdana" w:cs="Arial"/>
          <w:bCs/>
          <w:lang w:val="es-ES" w:eastAsia="es-CO"/>
        </w:rPr>
        <w:t>R</w:t>
      </w:r>
      <w:r w:rsidRPr="00F43CC7">
        <w:rPr>
          <w:rFonts w:ascii="Verdana" w:eastAsia="Times New Roman" w:hAnsi="Verdana" w:cs="Arial"/>
          <w:bCs/>
          <w:lang w:val="es-ES" w:eastAsia="es-CO"/>
        </w:rPr>
        <w:t xml:space="preserve">especto a los </w:t>
      </w:r>
      <w:r w:rsidRPr="00F43CC7">
        <w:rPr>
          <w:rFonts w:ascii="Verdana" w:eastAsia="Times New Roman" w:hAnsi="Verdana" w:cs="Arial"/>
          <w:bCs/>
          <w:i/>
          <w:iCs/>
          <w:lang w:val="es-ES" w:eastAsia="es-CO"/>
        </w:rPr>
        <w:t>sujetos</w:t>
      </w:r>
      <w:r w:rsidRPr="00F43CC7">
        <w:rPr>
          <w:rFonts w:ascii="Verdana" w:eastAsia="Times New Roman" w:hAnsi="Verdana" w:cs="Arial"/>
          <w:bCs/>
          <w:lang w:val="es-ES" w:eastAsia="es-CO"/>
        </w:rPr>
        <w:t xml:space="preserve"> que se encuentran comprendidos en la prohibición del artículo 33, </w:t>
      </w:r>
      <w:r w:rsidRPr="00F43CC7">
        <w:rPr>
          <w:rFonts w:ascii="Verdana" w:eastAsia="Times New Roman" w:hAnsi="Verdana" w:cs="Arial"/>
          <w:lang w:val="es-ES"/>
        </w:rPr>
        <w:t>la Ley 996 de 2005 señala expresamente que son “</w:t>
      </w:r>
      <w:r w:rsidRPr="00F43CC7">
        <w:rPr>
          <w:rFonts w:ascii="Verdana" w:eastAsia="Times New Roman" w:hAnsi="Verdana" w:cs="Arial"/>
          <w:i/>
          <w:iCs/>
          <w:u w:val="single"/>
          <w:lang w:val="es-ES"/>
        </w:rPr>
        <w:t>todos</w:t>
      </w:r>
      <w:r w:rsidRPr="00F43CC7">
        <w:rPr>
          <w:rFonts w:ascii="Verdana" w:eastAsia="Times New Roman" w:hAnsi="Verdana" w:cs="Arial"/>
          <w:i/>
          <w:iCs/>
          <w:lang w:val="es-ES"/>
        </w:rPr>
        <w:t xml:space="preserve"> los entes del Estado</w:t>
      </w:r>
      <w:r w:rsidRPr="00F43CC7">
        <w:rPr>
          <w:rFonts w:ascii="Verdana" w:eastAsia="Times New Roman" w:hAnsi="Verdana" w:cs="Arial"/>
          <w:lang w:val="es-ES"/>
        </w:rPr>
        <w:t>” [énfasis propio]. Al respecto, la Sala de Consulta y Servicio Civil del Consejo de Estado señaló lo siguiente:</w:t>
      </w:r>
    </w:p>
    <w:p w14:paraId="32C2F344" w14:textId="77777777" w:rsidR="00B24075" w:rsidRPr="00F43CC7" w:rsidRDefault="00B24075" w:rsidP="003F491F">
      <w:pPr>
        <w:spacing w:after="0" w:line="276" w:lineRule="auto"/>
        <w:ind w:firstLine="708"/>
        <w:jc w:val="both"/>
        <w:rPr>
          <w:rFonts w:ascii="Verdana" w:eastAsia="Times New Roman" w:hAnsi="Verdana" w:cs="Arial"/>
          <w:lang w:val="es-ES"/>
        </w:rPr>
      </w:pPr>
    </w:p>
    <w:p w14:paraId="7BFB5450" w14:textId="77777777" w:rsidR="00B24075" w:rsidRPr="00F43CC7" w:rsidRDefault="00B24075" w:rsidP="00D053CD">
      <w:pPr>
        <w:spacing w:after="0" w:line="240" w:lineRule="auto"/>
        <w:ind w:left="709" w:right="709"/>
        <w:jc w:val="both"/>
        <w:rPr>
          <w:rFonts w:ascii="Verdana" w:eastAsia="Times New Roman" w:hAnsi="Verdana" w:cs="Arial"/>
          <w:bCs/>
          <w:sz w:val="20"/>
          <w:szCs w:val="20"/>
          <w:lang w:val="es-ES" w:eastAsia="es-CO"/>
        </w:rPr>
      </w:pPr>
      <w:r w:rsidRPr="00F43CC7">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43CC7">
        <w:rPr>
          <w:rStyle w:val="FootnoteReference"/>
          <w:rFonts w:ascii="Verdana" w:eastAsia="Times New Roman" w:hAnsi="Verdana" w:cs="Arial"/>
          <w:bCs/>
          <w:sz w:val="20"/>
          <w:szCs w:val="20"/>
          <w:lang w:val="es-ES" w:eastAsia="es-CO"/>
        </w:rPr>
        <w:footnoteReference w:id="16"/>
      </w:r>
      <w:r w:rsidRPr="00F43CC7">
        <w:rPr>
          <w:rFonts w:ascii="Verdana" w:eastAsia="Times New Roman" w:hAnsi="Verdana" w:cs="Arial"/>
          <w:bCs/>
          <w:sz w:val="20"/>
          <w:szCs w:val="20"/>
          <w:lang w:val="es-ES" w:eastAsia="es-CO"/>
        </w:rPr>
        <w:t>.</w:t>
      </w:r>
    </w:p>
    <w:p w14:paraId="73DE6E61" w14:textId="77777777" w:rsidR="00B24075" w:rsidRPr="00F43CC7" w:rsidRDefault="00B24075" w:rsidP="00B24075">
      <w:pPr>
        <w:spacing w:after="0" w:line="276" w:lineRule="auto"/>
        <w:ind w:left="709" w:right="709"/>
        <w:jc w:val="both"/>
        <w:rPr>
          <w:rFonts w:ascii="Verdana" w:eastAsia="Times New Roman" w:hAnsi="Verdana" w:cs="Arial"/>
          <w:bCs/>
          <w:lang w:val="es-ES" w:eastAsia="es-CO"/>
        </w:rPr>
      </w:pPr>
    </w:p>
    <w:p w14:paraId="373D800A" w14:textId="77777777" w:rsidR="00B24075" w:rsidRPr="00F43CC7" w:rsidRDefault="00B24075" w:rsidP="00B24075">
      <w:pPr>
        <w:spacing w:after="0" w:line="276" w:lineRule="auto"/>
        <w:ind w:firstLine="708"/>
        <w:jc w:val="both"/>
        <w:rPr>
          <w:rFonts w:ascii="Verdana" w:eastAsia="Times New Roman" w:hAnsi="Verdana" w:cs="Arial"/>
          <w:bCs/>
          <w:lang w:val="es-ES" w:eastAsia="x-none"/>
        </w:rPr>
      </w:pPr>
      <w:r w:rsidRPr="00F43CC7">
        <w:rPr>
          <w:rFonts w:ascii="Verdana" w:eastAsia="Times New Roman" w:hAnsi="Verdana" w:cs="Arial"/>
          <w:bCs/>
          <w:lang w:val="es-ES" w:eastAsia="x-none"/>
        </w:rPr>
        <w:lastRenderedPageBreak/>
        <w:t xml:space="preserve">Igualmente, la Sala de Consulta y Servicio Civil del Consejo de Estado, en Concepto 1727 de fecha 20 de febrero de 2006, consideró que: </w:t>
      </w:r>
    </w:p>
    <w:p w14:paraId="4D65E2C3" w14:textId="77777777" w:rsidR="00B24075" w:rsidRPr="00F43CC7" w:rsidRDefault="00B24075" w:rsidP="00B24075">
      <w:pPr>
        <w:spacing w:after="0" w:line="276" w:lineRule="auto"/>
        <w:jc w:val="both"/>
        <w:rPr>
          <w:rFonts w:ascii="Verdana" w:eastAsia="Times New Roman" w:hAnsi="Verdana" w:cs="Arial"/>
          <w:bCs/>
          <w:lang w:val="es-ES" w:eastAsia="x-none"/>
        </w:rPr>
      </w:pPr>
    </w:p>
    <w:p w14:paraId="58B93897" w14:textId="77777777" w:rsidR="00B24075" w:rsidRPr="00F43CC7" w:rsidRDefault="00B24075" w:rsidP="00D053CD">
      <w:pPr>
        <w:spacing w:after="0" w:line="240" w:lineRule="auto"/>
        <w:ind w:left="709" w:right="709"/>
        <w:jc w:val="both"/>
        <w:rPr>
          <w:rFonts w:ascii="Verdana" w:eastAsia="Times New Roman" w:hAnsi="Verdana" w:cs="Arial"/>
          <w:bCs/>
          <w:sz w:val="20"/>
          <w:szCs w:val="20"/>
          <w:lang w:val="es-ES" w:eastAsia="es-CO"/>
        </w:rPr>
      </w:pPr>
      <w:r w:rsidRPr="00F43CC7">
        <w:rPr>
          <w:rFonts w:ascii="Verdana" w:eastAsia="Times New Roman" w:hAnsi="Verdana" w:cs="Arial"/>
          <w:bCs/>
          <w:sz w:val="20"/>
          <w:szCs w:val="20"/>
          <w:lang w:val="es-ES"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F43CC7">
        <w:rPr>
          <w:rFonts w:ascii="Verdana" w:eastAsia="Times New Roman" w:hAnsi="Verdana" w:cs="Arial"/>
          <w:bCs/>
          <w:sz w:val="20"/>
          <w:szCs w:val="20"/>
          <w:vertAlign w:val="superscript"/>
          <w:lang w:val="es-ES" w:eastAsia="x-none"/>
        </w:rPr>
        <w:footnoteReference w:id="17"/>
      </w:r>
      <w:r w:rsidRPr="00F43CC7">
        <w:rPr>
          <w:rFonts w:ascii="Verdana" w:eastAsia="Times New Roman" w:hAnsi="Verdana" w:cs="Arial"/>
          <w:bCs/>
          <w:sz w:val="20"/>
          <w:szCs w:val="20"/>
          <w:lang w:val="es-ES" w:eastAsia="x-none"/>
        </w:rPr>
        <w:t>.</w:t>
      </w:r>
      <w:r w:rsidRPr="00F43CC7">
        <w:rPr>
          <w:rFonts w:ascii="Verdana" w:eastAsia="Times New Roman" w:hAnsi="Verdana" w:cs="Arial"/>
          <w:bCs/>
          <w:sz w:val="20"/>
          <w:szCs w:val="20"/>
          <w:lang w:val="es-ES" w:eastAsia="es-CO"/>
        </w:rPr>
        <w:t xml:space="preserve"> </w:t>
      </w:r>
    </w:p>
    <w:p w14:paraId="54BCEC52" w14:textId="77777777" w:rsidR="00B24075" w:rsidRPr="00F43CC7" w:rsidRDefault="00B24075" w:rsidP="00B24075">
      <w:pPr>
        <w:spacing w:after="0" w:line="276" w:lineRule="auto"/>
        <w:ind w:firstLine="708"/>
        <w:jc w:val="both"/>
        <w:rPr>
          <w:rFonts w:ascii="Verdana" w:eastAsia="Times New Roman" w:hAnsi="Verdana" w:cs="Arial"/>
          <w:bCs/>
          <w:lang w:val="es-ES" w:eastAsia="es-CO"/>
        </w:rPr>
      </w:pPr>
    </w:p>
    <w:p w14:paraId="4717B0E3" w14:textId="77777777" w:rsidR="00D053CD" w:rsidRDefault="00B24075" w:rsidP="00C1740B">
      <w:pPr>
        <w:spacing w:after="120" w:line="276" w:lineRule="auto"/>
        <w:ind w:firstLine="708"/>
        <w:jc w:val="both"/>
        <w:rPr>
          <w:rFonts w:ascii="Verdana" w:eastAsia="Calibri" w:hAnsi="Verdana" w:cs="Arial"/>
          <w:lang w:val="es-ES"/>
        </w:rPr>
      </w:pPr>
      <w:r w:rsidRPr="00F43CC7">
        <w:rPr>
          <w:rFonts w:ascii="Verdana" w:eastAsia="Times New Roman" w:hAnsi="Verdana" w:cs="Arial"/>
          <w:bCs/>
          <w:lang w:val="es-ES"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F43CC7">
        <w:rPr>
          <w:rFonts w:ascii="Verdana" w:eastAsia="Calibri" w:hAnsi="Verdana" w:cs="Arial"/>
          <w:vertAlign w:val="superscript"/>
          <w:lang w:val="es-ES"/>
        </w:rPr>
        <w:footnoteReference w:id="18"/>
      </w:r>
      <w:r w:rsidRPr="00F43CC7">
        <w:rPr>
          <w:rFonts w:ascii="Verdana" w:eastAsia="Times New Roman" w:hAnsi="Verdana" w:cs="Arial"/>
          <w:bCs/>
          <w:lang w:val="es-ES" w:eastAsia="x-none"/>
        </w:rPr>
        <w:t>.</w:t>
      </w:r>
      <w:r w:rsidRPr="00F43CC7">
        <w:rPr>
          <w:rFonts w:ascii="Verdana" w:eastAsia="Calibri" w:hAnsi="Verdana" w:cs="Arial"/>
          <w:lang w:val="es-ES"/>
        </w:rPr>
        <w:t xml:space="preserve"> </w:t>
      </w:r>
    </w:p>
    <w:p w14:paraId="6EC2DC1B" w14:textId="1E874967" w:rsidR="00B24075" w:rsidRPr="00F43CC7" w:rsidRDefault="00B24075" w:rsidP="00B24075">
      <w:pPr>
        <w:spacing w:after="0" w:line="276" w:lineRule="auto"/>
        <w:ind w:firstLine="708"/>
        <w:jc w:val="both"/>
        <w:rPr>
          <w:rFonts w:ascii="Verdana" w:eastAsia="Calibri" w:hAnsi="Verdana" w:cs="Arial"/>
          <w:lang w:val="es-ES"/>
        </w:rPr>
      </w:pPr>
      <w:r w:rsidRPr="00F43CC7">
        <w:rPr>
          <w:rFonts w:ascii="Verdana" w:eastAsia="Calibri" w:hAnsi="Verdana" w:cs="Arial"/>
          <w:lang w:val="es-ES"/>
        </w:rPr>
        <w:t>Además, la Sala de Consulta y Servicio Civil del Consejo de Estado realizó la siguiente distinción, retomando el pronunciamiento de la misma sala del 20 de febrero de 2006, citado anteriormente:</w:t>
      </w:r>
    </w:p>
    <w:p w14:paraId="4482DB3D" w14:textId="77777777" w:rsidR="00B24075" w:rsidRPr="00F43CC7" w:rsidRDefault="00B24075" w:rsidP="00B24075">
      <w:pPr>
        <w:spacing w:after="0" w:line="276" w:lineRule="auto"/>
        <w:jc w:val="both"/>
        <w:rPr>
          <w:rFonts w:ascii="Verdana" w:eastAsia="Calibri" w:hAnsi="Verdana" w:cs="Arial"/>
          <w:lang w:val="es-ES"/>
        </w:rPr>
      </w:pPr>
    </w:p>
    <w:p w14:paraId="6B218E7F" w14:textId="77777777" w:rsidR="00B24075" w:rsidRPr="00F43CC7" w:rsidRDefault="00B24075" w:rsidP="009825D7">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w:t>
      </w:r>
      <w:r w:rsidRPr="00F43CC7">
        <w:rPr>
          <w:rFonts w:ascii="Verdana" w:eastAsia="Calibri" w:hAnsi="Verdana" w:cs="Arial"/>
          <w:sz w:val="20"/>
          <w:szCs w:val="20"/>
          <w:lang w:val="es-ES"/>
        </w:rPr>
        <w:lastRenderedPageBreak/>
        <w:t>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01648817" w14:textId="77777777" w:rsidR="00B24075" w:rsidRPr="00F43CC7" w:rsidRDefault="00B24075" w:rsidP="009825D7">
      <w:pPr>
        <w:spacing w:after="0" w:line="240" w:lineRule="auto"/>
        <w:ind w:left="709" w:right="709"/>
        <w:jc w:val="both"/>
        <w:rPr>
          <w:rFonts w:ascii="Verdana" w:eastAsia="Calibri" w:hAnsi="Verdana" w:cs="Arial"/>
          <w:sz w:val="20"/>
          <w:szCs w:val="20"/>
          <w:lang w:val="es-ES"/>
        </w:rPr>
      </w:pPr>
    </w:p>
    <w:p w14:paraId="08C587D7" w14:textId="77777777" w:rsidR="00B24075" w:rsidRPr="00F43CC7" w:rsidRDefault="00B24075" w:rsidP="009825D7">
      <w:pPr>
        <w:spacing w:after="0" w:line="240" w:lineRule="auto"/>
        <w:ind w:left="709" w:right="709"/>
        <w:jc w:val="both"/>
        <w:rPr>
          <w:rFonts w:ascii="Verdana" w:eastAsia="Calibri" w:hAnsi="Verdana" w:cs="Arial"/>
          <w:sz w:val="20"/>
          <w:szCs w:val="20"/>
          <w:lang w:val="es-ES"/>
        </w:rPr>
      </w:pPr>
      <w:r w:rsidRPr="00F43CC7">
        <w:rPr>
          <w:rFonts w:ascii="Verdana" w:eastAsia="Times New Roman" w:hAnsi="Verdana" w:cs="Arial"/>
          <w:bCs/>
          <w:sz w:val="20"/>
          <w:szCs w:val="20"/>
          <w:lang w:val="es-ES"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F43CC7">
        <w:rPr>
          <w:rFonts w:ascii="Verdana" w:eastAsia="Calibri" w:hAnsi="Verdana" w:cs="Arial"/>
          <w:sz w:val="20"/>
          <w:szCs w:val="20"/>
          <w:vertAlign w:val="superscript"/>
          <w:lang w:val="es-ES"/>
        </w:rPr>
        <w:footnoteReference w:id="19"/>
      </w:r>
      <w:r w:rsidRPr="00F43CC7">
        <w:rPr>
          <w:rFonts w:ascii="Verdana" w:eastAsia="Times New Roman" w:hAnsi="Verdana" w:cs="Arial"/>
          <w:bCs/>
          <w:sz w:val="20"/>
          <w:szCs w:val="20"/>
          <w:lang w:val="es-ES" w:eastAsia="x-none"/>
        </w:rPr>
        <w:t>.</w:t>
      </w:r>
    </w:p>
    <w:p w14:paraId="1CF90067" w14:textId="77777777" w:rsidR="00B24075" w:rsidRPr="00F43CC7" w:rsidRDefault="00B24075" w:rsidP="00B24075">
      <w:pPr>
        <w:spacing w:after="0" w:line="276" w:lineRule="auto"/>
        <w:ind w:left="709" w:right="709"/>
        <w:jc w:val="both"/>
        <w:rPr>
          <w:rFonts w:ascii="Verdana" w:eastAsia="Times New Roman" w:hAnsi="Verdana" w:cs="Arial"/>
          <w:bCs/>
          <w:lang w:val="es-ES" w:eastAsia="es-CO"/>
        </w:rPr>
      </w:pPr>
    </w:p>
    <w:p w14:paraId="17911E5D" w14:textId="788838BE" w:rsidR="00B24075" w:rsidRPr="00F43CC7" w:rsidRDefault="00B24075" w:rsidP="00B24075">
      <w:pPr>
        <w:spacing w:after="120" w:line="276" w:lineRule="auto"/>
        <w:ind w:firstLine="709"/>
        <w:jc w:val="both"/>
        <w:rPr>
          <w:rFonts w:ascii="Verdana" w:eastAsia="Times New Roman" w:hAnsi="Verdana" w:cs="Arial"/>
          <w:lang w:val="es-ES" w:eastAsia="es-CO"/>
        </w:rPr>
      </w:pPr>
      <w:r w:rsidRPr="00F43CC7">
        <w:rPr>
          <w:rFonts w:ascii="Verdana" w:eastAsia="Calibri" w:hAnsi="Verdana" w:cs="Arial"/>
          <w:lang w:val="es-ES"/>
        </w:rPr>
        <w:t>De acuerdo con estos pronunciamientos de la Sala de Consulta y Servicio Civil del Consejo de Estado, la prohibición de la contratación directa también aplica frente a las entidades exceptuadas de la aplicación del E</w:t>
      </w:r>
      <w:r w:rsidR="008B1DA8">
        <w:rPr>
          <w:rFonts w:ascii="Verdana" w:eastAsia="Calibri" w:hAnsi="Verdana" w:cs="Arial"/>
          <w:lang w:val="es-ES"/>
        </w:rPr>
        <w:t xml:space="preserve">statuto </w:t>
      </w:r>
      <w:r w:rsidRPr="00F43CC7">
        <w:rPr>
          <w:rFonts w:ascii="Verdana" w:eastAsia="Calibri" w:hAnsi="Verdana" w:cs="Arial"/>
          <w:lang w:val="es-ES"/>
        </w:rPr>
        <w:t>G</w:t>
      </w:r>
      <w:r w:rsidR="008B1DA8">
        <w:rPr>
          <w:rFonts w:ascii="Verdana" w:eastAsia="Calibri" w:hAnsi="Verdana" w:cs="Arial"/>
          <w:lang w:val="es-ES"/>
        </w:rPr>
        <w:t xml:space="preserve">eneral de </w:t>
      </w:r>
      <w:r w:rsidRPr="00F43CC7">
        <w:rPr>
          <w:rFonts w:ascii="Verdana" w:eastAsia="Calibri" w:hAnsi="Verdana" w:cs="Arial"/>
          <w:lang w:val="es-ES"/>
        </w:rPr>
        <w:t>C</w:t>
      </w:r>
      <w:r w:rsidR="008B1DA8">
        <w:rPr>
          <w:rFonts w:ascii="Verdana" w:eastAsia="Calibri" w:hAnsi="Verdana" w:cs="Arial"/>
          <w:lang w:val="es-ES"/>
        </w:rPr>
        <w:t xml:space="preserve">ontratación de la </w:t>
      </w:r>
      <w:r w:rsidRPr="00F43CC7">
        <w:rPr>
          <w:rFonts w:ascii="Verdana" w:eastAsia="Calibri" w:hAnsi="Verdana" w:cs="Arial"/>
          <w:lang w:val="es-ES"/>
        </w:rPr>
        <w:t>A</w:t>
      </w:r>
      <w:r w:rsidR="008B1DA8">
        <w:rPr>
          <w:rFonts w:ascii="Verdana" w:eastAsia="Calibri" w:hAnsi="Verdana" w:cs="Arial"/>
          <w:lang w:val="es-ES"/>
        </w:rPr>
        <w:t xml:space="preserve">dministración </w:t>
      </w:r>
      <w:r w:rsidRPr="00F43CC7">
        <w:rPr>
          <w:rFonts w:ascii="Verdana" w:eastAsia="Calibri" w:hAnsi="Verdana" w:cs="Arial"/>
          <w:lang w:val="es-ES"/>
        </w:rPr>
        <w:t>P</w:t>
      </w:r>
      <w:r w:rsidR="008B1DA8">
        <w:rPr>
          <w:rFonts w:ascii="Verdana" w:eastAsia="Calibri" w:hAnsi="Verdana" w:cs="Arial"/>
          <w:lang w:val="es-ES"/>
        </w:rPr>
        <w:t>ública</w:t>
      </w:r>
      <w:r w:rsidRPr="00F43CC7">
        <w:rPr>
          <w:rFonts w:ascii="Verdana" w:eastAsia="Calibri" w:hAnsi="Verdana" w:cs="Arial"/>
          <w:lang w:val="es-ES"/>
        </w:rPr>
        <w:t xml:space="preserve"> y que se rigen en materia contractual por el derecho privado. Sin embargo, señaló que algunas de estas entidades, como sucede con las empresas de servicios públicos domiciliarios, los </w:t>
      </w:r>
      <w:r w:rsidRPr="00F43CC7">
        <w:rPr>
          <w:rFonts w:ascii="Verdana" w:eastAsia="Times New Roman" w:hAnsi="Verdana" w:cs="Arial"/>
          <w:bCs/>
          <w:lang w:val="es-ES" w:eastAsia="x-none"/>
        </w:rPr>
        <w:t>establecimientos de crédito, las sociedades de servicios financieros y las entidades aseguradoras</w:t>
      </w:r>
      <w:r w:rsidRPr="00F43CC7">
        <w:rPr>
          <w:rFonts w:ascii="Verdana" w:eastAsia="Calibri" w:hAnsi="Verdana" w:cs="Arial"/>
          <w:lang w:val="es-ES"/>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w:t>
      </w:r>
      <w:r w:rsidR="00861E20">
        <w:rPr>
          <w:rFonts w:ascii="Verdana" w:eastAsia="Calibri" w:hAnsi="Verdana" w:cs="Arial"/>
          <w:lang w:val="es-ES"/>
        </w:rPr>
        <w:t>.</w:t>
      </w:r>
      <w:r w:rsidRPr="00F43CC7">
        <w:rPr>
          <w:rFonts w:ascii="Verdana" w:eastAsia="Calibri" w:hAnsi="Verdana" w:cs="Arial"/>
          <w:lang w:val="es-ES"/>
        </w:rPr>
        <w:t xml:space="preserve"> </w:t>
      </w:r>
      <w:r w:rsidR="00861E20">
        <w:rPr>
          <w:rFonts w:ascii="Verdana" w:eastAsia="Calibri" w:hAnsi="Verdana" w:cs="Arial"/>
          <w:lang w:val="es-ES"/>
        </w:rPr>
        <w:t>P</w:t>
      </w:r>
      <w:r w:rsidR="00861E20" w:rsidRPr="00F43CC7">
        <w:rPr>
          <w:rFonts w:ascii="Verdana" w:eastAsia="Calibri" w:hAnsi="Verdana" w:cs="Arial"/>
          <w:lang w:val="es-ES"/>
        </w:rPr>
        <w:t xml:space="preserve">ero </w:t>
      </w:r>
      <w:r w:rsidRPr="00F43CC7">
        <w:rPr>
          <w:rFonts w:ascii="Verdana" w:eastAsia="Calibri" w:hAnsi="Verdana" w:cs="Arial"/>
          <w:lang w:val="es-ES"/>
        </w:rPr>
        <w:t>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F43CC7">
        <w:rPr>
          <w:rFonts w:ascii="Verdana" w:eastAsia="Calibri" w:hAnsi="Verdana" w:cs="Arial"/>
          <w:vertAlign w:val="superscript"/>
          <w:lang w:val="es-ES"/>
        </w:rPr>
        <w:footnoteReference w:id="20"/>
      </w:r>
      <w:r w:rsidRPr="00F43CC7">
        <w:rPr>
          <w:rFonts w:ascii="Verdana" w:eastAsia="Calibri" w:hAnsi="Verdana" w:cs="Arial"/>
          <w:lang w:val="es-ES"/>
        </w:rPr>
        <w:t>.</w:t>
      </w:r>
      <w:r w:rsidRPr="00F43CC7">
        <w:rPr>
          <w:rFonts w:ascii="Verdana" w:eastAsia="Times New Roman" w:hAnsi="Verdana" w:cs="Arial"/>
          <w:lang w:val="es-ES" w:eastAsia="es-CO"/>
        </w:rPr>
        <w:t xml:space="preserve"> </w:t>
      </w:r>
    </w:p>
    <w:p w14:paraId="354694B0" w14:textId="77777777" w:rsidR="00B24075" w:rsidRPr="00F43CC7" w:rsidRDefault="00B24075" w:rsidP="00B24075">
      <w:pPr>
        <w:spacing w:after="120" w:line="276" w:lineRule="auto"/>
        <w:ind w:firstLine="708"/>
        <w:jc w:val="both"/>
        <w:rPr>
          <w:rFonts w:ascii="Verdana" w:hAnsi="Verdana" w:cs="Arial"/>
          <w:bCs/>
          <w:sz w:val="20"/>
          <w:szCs w:val="20"/>
          <w:lang w:val="es-ES" w:eastAsia="es-CO"/>
        </w:rPr>
      </w:pPr>
      <w:r w:rsidRPr="00F43CC7">
        <w:rPr>
          <w:rFonts w:ascii="Verdana" w:hAnsi="Verdana" w:cs="Arial"/>
          <w:bCs/>
          <w:lang w:val="es-ES" w:eastAsia="x-none"/>
        </w:rPr>
        <w:t xml:space="preserve">En consecuencia, el artículo 33 de la Ley 996 de 2005 señala expresamente que los destinatarios de la prohibición son “todos los entes del Estado”, expresión que contempla a los diferentes organismos o entidades </w:t>
      </w:r>
      <w:r w:rsidRPr="00F43CC7">
        <w:rPr>
          <w:rFonts w:ascii="Verdana" w:hAnsi="Verdana" w:cs="Arial"/>
          <w:bCs/>
          <w:lang w:val="es-ES" w:eastAsia="x-none"/>
        </w:rPr>
        <w:lastRenderedPageBreak/>
        <w:t>autorizadas por la ley para suscribir contratos.</w:t>
      </w:r>
      <w:r w:rsidRPr="00F43CC7">
        <w:rPr>
          <w:rFonts w:ascii="Verdana" w:hAnsi="Verdana"/>
          <w:lang w:val="es-ES"/>
        </w:rPr>
        <w:t xml:space="preserve"> </w:t>
      </w:r>
      <w:r w:rsidRPr="00F43CC7">
        <w:rPr>
          <w:rFonts w:ascii="Verdana" w:hAnsi="Verdana" w:cs="Arial"/>
          <w:bCs/>
          <w:lang w:val="es-ES" w:eastAsia="x-none"/>
        </w:rPr>
        <w:t>En efecto, tal como lo ha sostenido el Consejo de Estado, el vocablo “todos” utilizado por el legislador comprende</w:t>
      </w:r>
      <w:r w:rsidRPr="00F43CC7">
        <w:rPr>
          <w:rFonts w:ascii="Verdana" w:hAnsi="Verdana"/>
          <w:lang w:val="es-ES"/>
        </w:rPr>
        <w:t xml:space="preserve"> </w:t>
      </w:r>
      <w:r w:rsidRPr="00F43CC7">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43CC7">
        <w:rPr>
          <w:rStyle w:val="FootnoteReference"/>
          <w:rFonts w:ascii="Verdana" w:hAnsi="Verdana" w:cs="Arial"/>
          <w:bCs/>
          <w:sz w:val="20"/>
          <w:szCs w:val="20"/>
          <w:lang w:val="es-ES" w:eastAsia="x-none"/>
        </w:rPr>
        <w:footnoteReference w:id="21"/>
      </w:r>
      <w:r w:rsidRPr="00F43CC7">
        <w:rPr>
          <w:rFonts w:ascii="Verdana" w:hAnsi="Verdana" w:cs="Arial"/>
          <w:bCs/>
          <w:sz w:val="20"/>
          <w:szCs w:val="20"/>
          <w:lang w:val="es-ES" w:eastAsia="x-none"/>
        </w:rPr>
        <w:t>.</w:t>
      </w:r>
    </w:p>
    <w:p w14:paraId="6FC2FD49" w14:textId="77777777" w:rsidR="00B24075" w:rsidRPr="00F43CC7" w:rsidRDefault="00B24075" w:rsidP="00C1740B">
      <w:pPr>
        <w:spacing w:after="0" w:line="276" w:lineRule="auto"/>
        <w:ind w:firstLine="709"/>
        <w:jc w:val="both"/>
        <w:rPr>
          <w:rFonts w:ascii="Verdana" w:eastAsia="Arial" w:hAnsi="Verdana" w:cs="Arial"/>
          <w:bCs/>
          <w:color w:val="000000" w:themeColor="text1"/>
          <w:lang w:val="es-ES"/>
        </w:rPr>
      </w:pPr>
      <w:r w:rsidRPr="00F43CC7">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mediante la contratación directa, pueda romper el equilibrio entre los partidos y los candidatos en las elecciones presidenciales. En ese sentido, esta prohibición no contempla un supuesto de exoneración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7CF6A258" w14:textId="77777777" w:rsidR="00E44EAC" w:rsidRDefault="00E44EAC" w:rsidP="00C1740B">
      <w:pPr>
        <w:spacing w:after="0" w:line="276" w:lineRule="auto"/>
        <w:jc w:val="both"/>
        <w:rPr>
          <w:rFonts w:ascii="Verdana" w:eastAsia="Arial" w:hAnsi="Verdana" w:cs="Arial"/>
          <w:bCs/>
          <w:color w:val="000000" w:themeColor="text1"/>
          <w:lang w:val="es-ES"/>
        </w:rPr>
      </w:pPr>
    </w:p>
    <w:p w14:paraId="267BDDCF" w14:textId="1CF5BDF9" w:rsidR="00B24075" w:rsidRPr="00F43CC7" w:rsidRDefault="00E44EAC" w:rsidP="00C1740B">
      <w:pPr>
        <w:spacing w:after="120" w:line="276" w:lineRule="auto"/>
        <w:jc w:val="both"/>
        <w:rPr>
          <w:rFonts w:ascii="Verdana" w:hAnsi="Verdana" w:cs="Arial"/>
          <w:bCs/>
          <w:color w:val="000000" w:themeColor="text1"/>
          <w:lang w:val="es-ES"/>
        </w:rPr>
      </w:pPr>
      <w:r>
        <w:rPr>
          <w:rFonts w:ascii="Verdana" w:eastAsia="Arial" w:hAnsi="Verdana" w:cs="Arial"/>
          <w:bCs/>
          <w:color w:val="000000" w:themeColor="text1"/>
          <w:lang w:val="es-ES"/>
        </w:rPr>
        <w:t xml:space="preserve">v) </w:t>
      </w:r>
      <w:r w:rsidR="00B24075" w:rsidRPr="00F43CC7">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w:t>
      </w:r>
      <w:r w:rsidR="00723161">
        <w:rPr>
          <w:rFonts w:ascii="Verdana" w:eastAsia="Arial" w:hAnsi="Verdana" w:cs="Arial"/>
          <w:bCs/>
          <w:color w:val="000000" w:themeColor="text1"/>
          <w:lang w:val="es-ES"/>
        </w:rPr>
        <w:t>señalar</w:t>
      </w:r>
      <w:r w:rsidR="00B24075" w:rsidRPr="00F43CC7">
        <w:rPr>
          <w:rFonts w:ascii="Verdana" w:eastAsia="Arial" w:hAnsi="Verdana" w:cs="Arial"/>
          <w:bCs/>
          <w:color w:val="000000" w:themeColor="text1"/>
          <w:lang w:val="es-ES"/>
        </w:rPr>
        <w:t xml:space="preserve"> que </w:t>
      </w:r>
      <w:r w:rsidR="00B24075" w:rsidRPr="00F43CC7">
        <w:rPr>
          <w:rFonts w:ascii="Verdana" w:hAnsi="Verdana" w:cs="Arial"/>
          <w:bCs/>
          <w:color w:val="000000" w:themeColor="text1"/>
          <w:lang w:val="es-ES"/>
        </w:rPr>
        <w:t xml:space="preserve">el segundo inciso de la misma disposición consagró las </w:t>
      </w:r>
      <w:r w:rsidR="00B24075" w:rsidRPr="00F43CC7">
        <w:rPr>
          <w:rFonts w:ascii="Verdana" w:hAnsi="Verdana" w:cs="Arial"/>
          <w:bCs/>
          <w:i/>
          <w:iCs/>
          <w:color w:val="000000" w:themeColor="text1"/>
          <w:lang w:val="es-ES"/>
        </w:rPr>
        <w:t>excepciones</w:t>
      </w:r>
      <w:r w:rsidR="00B24075" w:rsidRPr="00F43CC7">
        <w:rPr>
          <w:rFonts w:ascii="Verdana" w:hAnsi="Verdana" w:cs="Arial"/>
          <w:bCs/>
          <w:color w:val="000000" w:themeColor="text1"/>
          <w:lang w:val="es-ES"/>
        </w:rPr>
        <w:t xml:space="preserve"> aplicables a la prohibición de contratación directa establecida en el mismo artículo. Como se indicó, las excepciones a la prohibición del artículo 33 de la norma mencionada son las siguientes:</w:t>
      </w:r>
    </w:p>
    <w:p w14:paraId="78F908DD" w14:textId="77777777" w:rsidR="00B24075" w:rsidRPr="00F43CC7" w:rsidRDefault="00B24075" w:rsidP="00B24075">
      <w:pPr>
        <w:tabs>
          <w:tab w:val="left" w:pos="709"/>
        </w:tabs>
        <w:spacing w:after="120" w:line="276" w:lineRule="auto"/>
        <w:jc w:val="both"/>
        <w:rPr>
          <w:rFonts w:ascii="Verdana" w:hAnsi="Verdana" w:cs="Arial"/>
          <w:bCs/>
          <w:color w:val="000000" w:themeColor="text1"/>
          <w:lang w:val="es-ES"/>
        </w:rPr>
      </w:pPr>
      <w:r w:rsidRPr="00F43CC7">
        <w:rPr>
          <w:rFonts w:ascii="Verdana" w:hAnsi="Verdana" w:cs="Arial"/>
          <w:bCs/>
          <w:color w:val="000000" w:themeColor="text1"/>
          <w:lang w:val="es-ES"/>
        </w:rPr>
        <w:tab/>
        <w:t>1) La contratación referente a la defensa y seguridad del Estado;</w:t>
      </w:r>
    </w:p>
    <w:p w14:paraId="04D60F1C" w14:textId="77777777" w:rsidR="00B24075" w:rsidRPr="00F43CC7" w:rsidRDefault="00B24075" w:rsidP="00B24075">
      <w:pPr>
        <w:tabs>
          <w:tab w:val="left" w:pos="709"/>
        </w:tabs>
        <w:spacing w:after="120" w:line="276" w:lineRule="auto"/>
        <w:jc w:val="both"/>
        <w:rPr>
          <w:rFonts w:ascii="Verdana" w:hAnsi="Verdana" w:cs="Arial"/>
          <w:bCs/>
          <w:color w:val="000000" w:themeColor="text1"/>
          <w:lang w:val="es-ES"/>
        </w:rPr>
      </w:pPr>
      <w:r w:rsidRPr="00F43CC7">
        <w:rPr>
          <w:rFonts w:ascii="Verdana" w:hAnsi="Verdana" w:cs="Arial"/>
          <w:bCs/>
          <w:color w:val="000000" w:themeColor="text1"/>
          <w:lang w:val="es-ES"/>
        </w:rPr>
        <w:tab/>
        <w:t>2) Los contratos de crédito público;</w:t>
      </w:r>
    </w:p>
    <w:p w14:paraId="230E4C5D" w14:textId="77777777" w:rsidR="00B24075" w:rsidRPr="00F43CC7" w:rsidRDefault="00B24075" w:rsidP="00B24075">
      <w:pPr>
        <w:tabs>
          <w:tab w:val="left" w:pos="709"/>
        </w:tabs>
        <w:spacing w:after="120" w:line="276" w:lineRule="auto"/>
        <w:jc w:val="both"/>
        <w:rPr>
          <w:rFonts w:ascii="Verdana" w:hAnsi="Verdana" w:cs="Arial"/>
          <w:bCs/>
          <w:color w:val="000000" w:themeColor="text1"/>
          <w:lang w:val="es-ES"/>
        </w:rPr>
      </w:pPr>
      <w:r w:rsidRPr="00F43CC7">
        <w:rPr>
          <w:rFonts w:ascii="Verdana" w:hAnsi="Verdana" w:cs="Arial"/>
          <w:bCs/>
          <w:color w:val="000000" w:themeColor="text1"/>
          <w:lang w:val="es-ES"/>
        </w:rPr>
        <w:tab/>
        <w:t xml:space="preserve">3) Los contratos requeridos para cubrir las </w:t>
      </w:r>
      <w:r w:rsidRPr="00F43CC7">
        <w:rPr>
          <w:rFonts w:ascii="Verdana" w:hAnsi="Verdana" w:cs="Arial"/>
          <w:bCs/>
          <w:i/>
          <w:iCs/>
          <w:color w:val="000000" w:themeColor="text1"/>
          <w:lang w:val="es-ES"/>
        </w:rPr>
        <w:t>emergencias</w:t>
      </w:r>
      <w:r w:rsidRPr="00F43CC7">
        <w:rPr>
          <w:rFonts w:ascii="Verdana" w:hAnsi="Verdana" w:cs="Arial"/>
          <w:bCs/>
          <w:color w:val="000000" w:themeColor="text1"/>
          <w:lang w:val="es-ES"/>
        </w:rPr>
        <w:t xml:space="preserve"> educativas, sanitarias y desastres; </w:t>
      </w:r>
    </w:p>
    <w:p w14:paraId="76943F2F" w14:textId="77777777" w:rsidR="00B24075" w:rsidRPr="00F43CC7" w:rsidRDefault="00B24075" w:rsidP="00B24075">
      <w:pPr>
        <w:tabs>
          <w:tab w:val="left" w:pos="709"/>
        </w:tabs>
        <w:spacing w:after="120" w:line="276" w:lineRule="auto"/>
        <w:jc w:val="both"/>
        <w:rPr>
          <w:rFonts w:ascii="Verdana" w:hAnsi="Verdana" w:cs="Arial"/>
          <w:bCs/>
          <w:color w:val="000000" w:themeColor="text1"/>
          <w:lang w:val="es-ES"/>
        </w:rPr>
      </w:pPr>
      <w:r w:rsidRPr="00F43CC7">
        <w:rPr>
          <w:rFonts w:ascii="Verdana" w:hAnsi="Verdana" w:cs="Arial"/>
          <w:bCs/>
          <w:color w:val="000000" w:themeColor="text1"/>
          <w:lang w:val="es-ES"/>
        </w:rPr>
        <w:lastRenderedPageBreak/>
        <w:tab/>
        <w:t>4) La contratación para la reconstrucción de vías, puentes, carreteras, infraestructura energética y de comunicaciones, en caso de que hayan sido objeto de atentados, acciones terroristas, desastres naturales o casos de fuerza mayor y;</w:t>
      </w:r>
    </w:p>
    <w:p w14:paraId="3048DF24" w14:textId="77777777" w:rsidR="00B24075" w:rsidRPr="00F43CC7" w:rsidRDefault="00B24075" w:rsidP="00B24075">
      <w:pPr>
        <w:tabs>
          <w:tab w:val="left" w:pos="709"/>
        </w:tabs>
        <w:spacing w:after="120" w:line="276" w:lineRule="auto"/>
        <w:jc w:val="both"/>
        <w:rPr>
          <w:rFonts w:ascii="Verdana" w:hAnsi="Verdana" w:cs="Arial"/>
          <w:bCs/>
          <w:color w:val="000000" w:themeColor="text1"/>
          <w:lang w:val="es-ES"/>
        </w:rPr>
      </w:pPr>
      <w:r w:rsidRPr="00F43CC7">
        <w:rPr>
          <w:rFonts w:ascii="Verdana" w:hAnsi="Verdana" w:cs="Arial"/>
          <w:bCs/>
          <w:color w:val="000000" w:themeColor="text1"/>
          <w:lang w:val="es-ES"/>
        </w:rPr>
        <w:tab/>
        <w:t xml:space="preserve">5) La contratación que deban realizar las entidades sanitarias y hospitalarias. </w:t>
      </w:r>
    </w:p>
    <w:p w14:paraId="76A545A9" w14:textId="77777777" w:rsidR="00B24075" w:rsidRPr="00F43CC7" w:rsidRDefault="00B24075" w:rsidP="00B24075">
      <w:pPr>
        <w:spacing w:after="120" w:line="276" w:lineRule="auto"/>
        <w:ind w:firstLine="708"/>
        <w:jc w:val="both"/>
        <w:rPr>
          <w:rFonts w:ascii="Verdana" w:hAnsi="Verdana" w:cs="Arial"/>
          <w:lang w:val="es-ES" w:eastAsia="x-none"/>
        </w:rPr>
      </w:pPr>
      <w:r w:rsidRPr="00F43CC7">
        <w:rPr>
          <w:rFonts w:ascii="Verdana" w:hAnsi="Verdana" w:cs="Arial"/>
          <w:bCs/>
          <w:color w:val="000000" w:themeColor="text1"/>
          <w:lang w:val="es-ES"/>
        </w:rPr>
        <w:t xml:space="preserve">De esta forma, </w:t>
      </w:r>
      <w:r w:rsidRPr="00F43CC7">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43CC7">
        <w:rPr>
          <w:rFonts w:ascii="Verdana" w:hAnsi="Verdana" w:cs="Arial"/>
          <w:color w:val="000000" w:themeColor="text1"/>
          <w:vertAlign w:val="superscript"/>
          <w:lang w:val="es-ES" w:eastAsia="es-CO"/>
        </w:rPr>
        <w:t xml:space="preserve"> </w:t>
      </w:r>
      <w:r w:rsidRPr="00F43CC7">
        <w:rPr>
          <w:rFonts w:ascii="Verdana" w:hAnsi="Verdana" w:cs="Arial"/>
          <w:color w:val="000000" w:themeColor="text1"/>
          <w:vertAlign w:val="superscript"/>
          <w:lang w:val="es-ES" w:eastAsia="es-CO"/>
        </w:rPr>
        <w:footnoteReference w:id="22"/>
      </w:r>
      <w:r w:rsidRPr="00F43CC7">
        <w:rPr>
          <w:rFonts w:ascii="Verdana" w:hAnsi="Verdana" w:cs="Arial"/>
          <w:lang w:val="es-ES" w:eastAsia="x-none"/>
        </w:rPr>
        <w:t xml:space="preserve">. De ahí que la Corte haya hecho particular énfasis en que las excepciones a la restricción protegen diversos tipos de </w:t>
      </w:r>
      <w:r w:rsidRPr="00F43CC7">
        <w:rPr>
          <w:rFonts w:ascii="Verdana" w:hAnsi="Verdana" w:cs="Arial"/>
          <w:i/>
          <w:iCs/>
          <w:lang w:val="es-ES" w:eastAsia="x-none"/>
        </w:rPr>
        <w:t>urgencias</w:t>
      </w:r>
      <w:r w:rsidRPr="00F43CC7">
        <w:rPr>
          <w:rFonts w:ascii="Verdana" w:hAnsi="Verdana" w:cs="Arial"/>
          <w:lang w:val="es-ES" w:eastAsia="x-none"/>
        </w:rPr>
        <w:t xml:space="preserve">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D6E5F94" w14:textId="77777777" w:rsidR="00B24075" w:rsidRPr="00F43CC7" w:rsidRDefault="00B24075" w:rsidP="00B24075">
      <w:pPr>
        <w:tabs>
          <w:tab w:val="left" w:pos="426"/>
        </w:tabs>
        <w:spacing w:before="120" w:after="0" w:line="276" w:lineRule="auto"/>
        <w:ind w:firstLine="709"/>
        <w:jc w:val="both"/>
        <w:rPr>
          <w:rFonts w:ascii="Verdana" w:hAnsi="Verdana" w:cs="Arial"/>
          <w:bCs/>
          <w:color w:val="000000" w:themeColor="text1"/>
          <w:lang w:val="es-ES"/>
        </w:rPr>
      </w:pPr>
      <w:r w:rsidRPr="00F43CC7">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4E557BEB" w14:textId="77777777" w:rsidR="00B24075" w:rsidRPr="00F43CC7" w:rsidRDefault="00B24075" w:rsidP="00B24075">
      <w:pPr>
        <w:tabs>
          <w:tab w:val="left" w:pos="426"/>
        </w:tabs>
        <w:spacing w:after="0" w:line="276" w:lineRule="auto"/>
        <w:ind w:firstLine="709"/>
        <w:jc w:val="both"/>
        <w:rPr>
          <w:rFonts w:ascii="Verdana" w:hAnsi="Verdana" w:cs="Arial"/>
          <w:bCs/>
          <w:color w:val="000000" w:themeColor="text1"/>
          <w:lang w:val="es-ES"/>
        </w:rPr>
      </w:pPr>
    </w:p>
    <w:p w14:paraId="407FC754" w14:textId="77777777" w:rsidR="00B24075" w:rsidRPr="00F43CC7" w:rsidRDefault="00B24075" w:rsidP="00C1740B">
      <w:pPr>
        <w:shd w:val="clear" w:color="auto" w:fill="FFFFFF"/>
        <w:spacing w:after="0" w:line="240" w:lineRule="auto"/>
        <w:ind w:left="709" w:right="709"/>
        <w:jc w:val="both"/>
        <w:rPr>
          <w:rFonts w:ascii="Verdana" w:hAnsi="Verdana" w:cs="Arial"/>
          <w:color w:val="000000" w:themeColor="text1"/>
          <w:sz w:val="20"/>
          <w:szCs w:val="20"/>
          <w:lang w:val="es-ES" w:eastAsia="es-CO"/>
        </w:rPr>
      </w:pPr>
      <w:r w:rsidRPr="00F43CC7">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43CC7">
        <w:rPr>
          <w:rFonts w:ascii="Verdana" w:hAnsi="Verdana" w:cs="Arial"/>
          <w:color w:val="000000" w:themeColor="text1"/>
          <w:sz w:val="20"/>
          <w:szCs w:val="20"/>
          <w:vertAlign w:val="superscript"/>
          <w:lang w:val="es-ES" w:eastAsia="es-CO"/>
        </w:rPr>
        <w:footnoteReference w:id="23"/>
      </w:r>
      <w:r w:rsidRPr="00F43CC7">
        <w:rPr>
          <w:rFonts w:ascii="Verdana" w:hAnsi="Verdana" w:cs="Arial"/>
          <w:color w:val="000000" w:themeColor="text1"/>
          <w:sz w:val="20"/>
          <w:szCs w:val="20"/>
          <w:lang w:val="es-ES" w:eastAsia="es-CO"/>
        </w:rPr>
        <w:t xml:space="preserve">”. </w:t>
      </w:r>
    </w:p>
    <w:p w14:paraId="010EBD02" w14:textId="77777777" w:rsidR="00B24075" w:rsidRPr="00F43CC7" w:rsidRDefault="00B24075" w:rsidP="00B24075">
      <w:pPr>
        <w:shd w:val="clear" w:color="auto" w:fill="FFFFFF"/>
        <w:spacing w:after="0" w:line="276" w:lineRule="auto"/>
        <w:ind w:left="709" w:right="709"/>
        <w:jc w:val="both"/>
        <w:rPr>
          <w:rFonts w:ascii="Verdana" w:hAnsi="Verdana" w:cs="Arial"/>
          <w:color w:val="000000" w:themeColor="text1"/>
          <w:lang w:val="es-ES" w:eastAsia="es-CO"/>
        </w:rPr>
      </w:pPr>
    </w:p>
    <w:p w14:paraId="2D75A0E3" w14:textId="77777777" w:rsidR="00B24075" w:rsidRPr="00F43CC7" w:rsidRDefault="00B24075" w:rsidP="00B24075">
      <w:pPr>
        <w:tabs>
          <w:tab w:val="left" w:pos="426"/>
        </w:tabs>
        <w:spacing w:after="120" w:line="276" w:lineRule="auto"/>
        <w:ind w:firstLine="709"/>
        <w:jc w:val="both"/>
        <w:rPr>
          <w:rFonts w:ascii="Verdana" w:hAnsi="Verdana" w:cs="Arial"/>
          <w:color w:val="000000" w:themeColor="text1"/>
          <w:shd w:val="clear" w:color="auto" w:fill="FFFFFF"/>
          <w:lang w:val="es-ES"/>
        </w:rPr>
      </w:pPr>
      <w:r w:rsidRPr="00F43CC7">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43CC7">
        <w:rPr>
          <w:rFonts w:ascii="Verdana" w:hAnsi="Verdana" w:cs="Arial"/>
          <w:color w:val="000000" w:themeColor="text1"/>
          <w:lang w:val="es-ES"/>
        </w:rPr>
        <w:t xml:space="preserve">, mencionó las excepciones a la prohibición </w:t>
      </w:r>
      <w:r w:rsidRPr="00F43CC7">
        <w:rPr>
          <w:rFonts w:ascii="Verdana" w:hAnsi="Verdana" w:cs="Arial"/>
          <w:color w:val="000000" w:themeColor="text1"/>
          <w:lang w:val="es-ES"/>
        </w:rPr>
        <w:lastRenderedPageBreak/>
        <w:t>del artículo 33 de la Ley de Garantías Electorales, resaltando su carácter taxativo, y señalando la independencia de los supuestos, así: “[…]</w:t>
      </w:r>
      <w:r w:rsidRPr="00F43CC7">
        <w:rPr>
          <w:rFonts w:ascii="Verdana" w:hAnsi="Verdana" w:cs="Arial"/>
          <w:i/>
          <w:color w:val="000000" w:themeColor="text1"/>
          <w:lang w:val="es-ES"/>
        </w:rPr>
        <w:t xml:space="preserve"> </w:t>
      </w:r>
      <w:r w:rsidRPr="00F43CC7">
        <w:rPr>
          <w:rFonts w:ascii="Verdana" w:hAnsi="Verdana" w:cs="Arial"/>
          <w:color w:val="000000" w:themeColor="text1"/>
          <w:shd w:val="clear" w:color="auto" w:fill="FFFFFF"/>
          <w:lang w:val="es-ES"/>
        </w:rPr>
        <w:t xml:space="preserve">Ahora bien, </w:t>
      </w:r>
      <w:r w:rsidRPr="00F43CC7">
        <w:rPr>
          <w:rFonts w:ascii="Verdana" w:hAnsi="Verdana" w:cs="Arial"/>
          <w:color w:val="000000" w:themeColor="text1"/>
          <w:u w:val="single"/>
          <w:shd w:val="clear" w:color="auto" w:fill="FFFFFF"/>
          <w:lang w:val="es-ES"/>
        </w:rPr>
        <w:t>las únicas</w:t>
      </w:r>
      <w:r w:rsidRPr="00F43CC7">
        <w:rPr>
          <w:rFonts w:ascii="Verdana" w:hAnsi="Verdana" w:cs="Arial"/>
          <w:color w:val="000000" w:themeColor="text1"/>
          <w:shd w:val="clear" w:color="auto" w:fill="FFFFFF"/>
          <w:lang w:val="es-ES"/>
        </w:rPr>
        <w:t xml:space="preserve"> excepciones a las disposiciones previstas en la Ley de Garantías se encuentran numeradas taxativamente en el último inciso del artículo 33 de la ley 996 de 2005 […]”</w:t>
      </w:r>
      <w:r w:rsidRPr="00F43CC7">
        <w:rPr>
          <w:rFonts w:ascii="Verdana" w:hAnsi="Verdana" w:cs="Arial"/>
          <w:color w:val="000000" w:themeColor="text1"/>
          <w:shd w:val="clear" w:color="auto" w:fill="FFFFFF"/>
          <w:vertAlign w:val="superscript"/>
          <w:lang w:val="es-ES"/>
        </w:rPr>
        <w:footnoteReference w:id="24"/>
      </w:r>
      <w:r w:rsidRPr="00F43CC7">
        <w:rPr>
          <w:rFonts w:ascii="Verdana" w:hAnsi="Verdana" w:cs="Arial"/>
          <w:color w:val="000000" w:themeColor="text1"/>
          <w:shd w:val="clear" w:color="auto" w:fill="FFFFFF"/>
          <w:lang w:val="es-ES"/>
        </w:rPr>
        <w:t xml:space="preserve"> [Énfasis propio].</w:t>
      </w:r>
    </w:p>
    <w:p w14:paraId="14A9EFEC" w14:textId="77777777" w:rsidR="00B24075" w:rsidRPr="00F43CC7" w:rsidRDefault="00B24075" w:rsidP="00B24075">
      <w:pPr>
        <w:tabs>
          <w:tab w:val="left" w:pos="426"/>
        </w:tabs>
        <w:spacing w:after="0" w:line="276" w:lineRule="auto"/>
        <w:ind w:firstLine="709"/>
        <w:jc w:val="both"/>
        <w:rPr>
          <w:rFonts w:ascii="Verdana" w:hAnsi="Verdana" w:cs="Arial"/>
          <w:bCs/>
          <w:color w:val="000000" w:themeColor="text1"/>
          <w:lang w:val="es-ES"/>
        </w:rPr>
      </w:pPr>
      <w:r w:rsidRPr="00F43CC7">
        <w:rPr>
          <w:rFonts w:ascii="Verdana" w:hAnsi="Verdana" w:cs="Arial"/>
          <w:bCs/>
          <w:color w:val="000000" w:themeColor="text1"/>
          <w:lang w:val="es-ES"/>
        </w:rPr>
        <w:t xml:space="preserve">Lo anterior implica que las excepciones al artículo 33 en comento deben interpretarse y aplicarse de manera </w:t>
      </w:r>
      <w:r w:rsidRPr="00F43CC7">
        <w:rPr>
          <w:rFonts w:ascii="Verdana" w:hAnsi="Verdana" w:cs="Arial"/>
          <w:bCs/>
          <w:i/>
          <w:iCs/>
          <w:color w:val="000000" w:themeColor="text1"/>
          <w:lang w:val="es-ES"/>
        </w:rPr>
        <w:t>estricta</w:t>
      </w:r>
      <w:r w:rsidRPr="00F43CC7">
        <w:rPr>
          <w:rFonts w:ascii="Verdana" w:hAnsi="Verdana" w:cs="Arial"/>
          <w:bCs/>
          <w:color w:val="000000" w:themeColor="text1"/>
          <w:lang w:val="es-ES"/>
        </w:rPr>
        <w:t>. En otras palabras, no es factible hacer interpretaciones extensivas</w:t>
      </w:r>
      <w:r w:rsidRPr="00F43CC7">
        <w:rPr>
          <w:rFonts w:ascii="Verdana" w:hAnsi="Verdana" w:cs="Arial"/>
          <w:bCs/>
          <w:i/>
          <w:iCs/>
          <w:color w:val="000000" w:themeColor="text1"/>
          <w:lang w:val="es-ES"/>
        </w:rPr>
        <w:t xml:space="preserve"> </w:t>
      </w:r>
      <w:r w:rsidRPr="00F43CC7">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5665EC57" w14:textId="77777777" w:rsidR="00B24075" w:rsidRPr="00F43CC7" w:rsidRDefault="00B24075" w:rsidP="00B24075">
      <w:pPr>
        <w:tabs>
          <w:tab w:val="left" w:pos="426"/>
        </w:tabs>
        <w:spacing w:after="0" w:line="276" w:lineRule="auto"/>
        <w:ind w:firstLine="709"/>
        <w:jc w:val="both"/>
        <w:rPr>
          <w:rFonts w:ascii="Verdana" w:hAnsi="Verdana" w:cs="Arial"/>
          <w:bCs/>
          <w:color w:val="000000" w:themeColor="text1"/>
          <w:lang w:val="es-ES"/>
        </w:rPr>
      </w:pPr>
    </w:p>
    <w:p w14:paraId="1F289F42" w14:textId="5FBAF3CD" w:rsidR="00B24075" w:rsidRPr="00F43CC7" w:rsidRDefault="00B24075" w:rsidP="00F020A9">
      <w:pPr>
        <w:spacing w:after="120" w:line="276" w:lineRule="auto"/>
        <w:jc w:val="both"/>
        <w:rPr>
          <w:rFonts w:ascii="Verdana" w:hAnsi="Verdana" w:cs="Arial"/>
          <w:bCs/>
          <w:color w:val="000000" w:themeColor="text1"/>
          <w:lang w:val="es-ES"/>
        </w:rPr>
      </w:pPr>
      <w:r w:rsidRPr="00F43CC7">
        <w:rPr>
          <w:rFonts w:ascii="Verdana" w:eastAsia="Calibri" w:hAnsi="Verdana" w:cs="Arial"/>
          <w:lang w:val="es-ES"/>
        </w:rPr>
        <w:t>v</w:t>
      </w:r>
      <w:r w:rsidR="00F143C4">
        <w:rPr>
          <w:rFonts w:ascii="Verdana" w:eastAsia="Calibri" w:hAnsi="Verdana" w:cs="Arial"/>
          <w:lang w:val="es-ES"/>
        </w:rPr>
        <w:t>i</w:t>
      </w:r>
      <w:r w:rsidRPr="00F43CC7">
        <w:rPr>
          <w:rFonts w:ascii="Verdana" w:eastAsia="Calibri" w:hAnsi="Verdana" w:cs="Arial"/>
          <w:lang w:val="es-ES"/>
        </w:rPr>
        <w:t xml:space="preserve">) </w:t>
      </w:r>
      <w:r w:rsidRPr="00F43CC7">
        <w:rPr>
          <w:rFonts w:ascii="Verdana" w:eastAsia="Times New Roman" w:hAnsi="Verdana" w:cs="Arial"/>
          <w:lang w:val="es-ES" w:eastAsia="es-MX"/>
        </w:rPr>
        <w:t>Respecto al literal i) del artículo 2.4 de la Ley 1150 de 2011, al igual que el literal e) del derogado artículo 24.1 de la Ley 80 de 1993, el E</w:t>
      </w:r>
      <w:r w:rsidR="00F143C4">
        <w:rPr>
          <w:rFonts w:ascii="Verdana" w:eastAsia="Times New Roman" w:hAnsi="Verdana" w:cs="Arial"/>
          <w:lang w:val="es-ES" w:eastAsia="es-MX"/>
        </w:rPr>
        <w:t xml:space="preserve">statuto </w:t>
      </w:r>
      <w:r w:rsidRPr="00F43CC7">
        <w:rPr>
          <w:rFonts w:ascii="Verdana" w:eastAsia="Times New Roman" w:hAnsi="Verdana" w:cs="Arial"/>
          <w:lang w:val="es-ES" w:eastAsia="es-MX"/>
        </w:rPr>
        <w:t>G</w:t>
      </w:r>
      <w:r w:rsidR="00F143C4">
        <w:rPr>
          <w:rFonts w:ascii="Verdana" w:eastAsia="Times New Roman" w:hAnsi="Verdana" w:cs="Arial"/>
          <w:lang w:val="es-ES" w:eastAsia="es-MX"/>
        </w:rPr>
        <w:t xml:space="preserve">eneral de </w:t>
      </w:r>
      <w:r w:rsidRPr="00F43CC7">
        <w:rPr>
          <w:rFonts w:ascii="Verdana" w:eastAsia="Times New Roman" w:hAnsi="Verdana" w:cs="Arial"/>
          <w:lang w:val="es-ES" w:eastAsia="es-MX"/>
        </w:rPr>
        <w:t>C</w:t>
      </w:r>
      <w:r w:rsidR="00F143C4">
        <w:rPr>
          <w:rFonts w:ascii="Verdana" w:eastAsia="Times New Roman" w:hAnsi="Verdana" w:cs="Arial"/>
          <w:lang w:val="es-ES" w:eastAsia="es-MX"/>
        </w:rPr>
        <w:t xml:space="preserve">ontratación de la </w:t>
      </w:r>
      <w:r w:rsidRPr="00F43CC7">
        <w:rPr>
          <w:rFonts w:ascii="Verdana" w:eastAsia="Times New Roman" w:hAnsi="Verdana" w:cs="Arial"/>
          <w:lang w:val="es-ES" w:eastAsia="es-MX"/>
        </w:rPr>
        <w:t>A</w:t>
      </w:r>
      <w:r w:rsidR="00F143C4">
        <w:rPr>
          <w:rFonts w:ascii="Verdana" w:eastAsia="Times New Roman" w:hAnsi="Verdana" w:cs="Arial"/>
          <w:lang w:val="es-ES" w:eastAsia="es-MX"/>
        </w:rPr>
        <w:t xml:space="preserve">dministración </w:t>
      </w:r>
      <w:r w:rsidRPr="00F43CC7">
        <w:rPr>
          <w:rFonts w:ascii="Verdana" w:eastAsia="Times New Roman" w:hAnsi="Verdana" w:cs="Arial"/>
          <w:lang w:val="es-ES" w:eastAsia="es-MX"/>
        </w:rPr>
        <w:t>P</w:t>
      </w:r>
      <w:r w:rsidR="00F143C4">
        <w:rPr>
          <w:rFonts w:ascii="Verdana" w:eastAsia="Times New Roman" w:hAnsi="Verdana" w:cs="Arial"/>
          <w:lang w:val="es-ES" w:eastAsia="es-MX"/>
        </w:rPr>
        <w:t>ública</w:t>
      </w:r>
      <w:r w:rsidRPr="00F43CC7">
        <w:rPr>
          <w:rFonts w:ascii="Verdana" w:eastAsia="Times New Roman" w:hAnsi="Verdana" w:cs="Arial"/>
          <w:lang w:val="es-ES" w:eastAsia="es-MX"/>
        </w:rPr>
        <w:t xml:space="preserve"> permite la contratación directa tratándose de “El arrendamiento […] de inmuebles”. </w:t>
      </w:r>
      <w:r w:rsidRPr="00F43CC7">
        <w:rPr>
          <w:rFonts w:ascii="Verdana" w:hAnsi="Verdana" w:cs="Arial"/>
          <w:bCs/>
          <w:color w:val="000000" w:themeColor="text1"/>
          <w:lang w:val="es-ES"/>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sidRPr="00F43CC7">
        <w:rPr>
          <w:rFonts w:ascii="Verdana" w:eastAsia="Times New Roman" w:hAnsi="Verdana" w:cs="Arial"/>
          <w:lang w:val="es-ES" w:eastAsia="es-MX"/>
        </w:rPr>
        <w:t xml:space="preserve"> </w:t>
      </w:r>
    </w:p>
    <w:p w14:paraId="19146E94" w14:textId="77777777" w:rsidR="00F020A9" w:rsidRDefault="00B24075" w:rsidP="00F020A9">
      <w:pPr>
        <w:spacing w:after="120" w:line="276" w:lineRule="auto"/>
        <w:ind w:firstLine="709"/>
        <w:jc w:val="both"/>
        <w:rPr>
          <w:rFonts w:ascii="Verdana" w:eastAsia="Times New Roman" w:hAnsi="Verdana" w:cs="Arial"/>
          <w:lang w:eastAsia="es-MX"/>
        </w:rPr>
      </w:pPr>
      <w:r w:rsidRPr="63813CF3">
        <w:rPr>
          <w:rFonts w:ascii="Verdana" w:eastAsia="Times New Roman" w:hAnsi="Verdana" w:cs="Arial"/>
          <w:lang w:eastAsia="es-MX"/>
        </w:rPr>
        <w:t xml:space="preserve">Aunque el literal e) del derogado artículo 24.1 de la Ley 80 de 1993 tiene una redacción distinta a la prevista en los mencionados decretos leyes, autores como PINO RICCI entienden que “En el E.C. no se estableció que el evento de contratación directa del contrato de arrendamiento de inmuebles se refiere únicamente al evento en el que una entidad alquila un inmueble para su servicio, es decir, se constituye en arrendataria. </w:t>
      </w:r>
      <w:r w:rsidRPr="63813CF3">
        <w:rPr>
          <w:rFonts w:ascii="Verdana" w:eastAsia="Times New Roman" w:hAnsi="Verdana" w:cs="Arial"/>
          <w:i/>
          <w:iCs/>
          <w:lang w:eastAsia="es-MX"/>
        </w:rPr>
        <w:t>Por tanto, también para el caso en el que actúa como arrendadora puede acudir a un evento especial de contratación directa</w:t>
      </w:r>
      <w:r w:rsidRPr="63813CF3">
        <w:rPr>
          <w:rFonts w:ascii="Verdana" w:eastAsia="Times New Roman" w:hAnsi="Verdana" w:cs="Arial"/>
          <w:lang w:eastAsia="es-MX"/>
        </w:rPr>
        <w:t xml:space="preserve"> […]”</w:t>
      </w:r>
      <w:r w:rsidRPr="63813CF3">
        <w:rPr>
          <w:rStyle w:val="FootnoteReference"/>
          <w:rFonts w:ascii="Verdana" w:eastAsia="Times New Roman" w:hAnsi="Verdana" w:cs="Arial"/>
          <w:lang w:eastAsia="es-MX"/>
        </w:rPr>
        <w:footnoteReference w:id="25"/>
      </w:r>
      <w:r w:rsidRPr="63813CF3">
        <w:rPr>
          <w:rFonts w:ascii="Verdana" w:eastAsia="Times New Roman" w:hAnsi="Verdana" w:cs="Arial"/>
          <w:lang w:eastAsia="es-MX"/>
        </w:rPr>
        <w:t xml:space="preserve"> (Énfasis fuera de texto). </w:t>
      </w:r>
    </w:p>
    <w:p w14:paraId="74727A72" w14:textId="1AC52B22" w:rsidR="00B24075" w:rsidRPr="00F43CC7" w:rsidRDefault="00B24075" w:rsidP="00F020A9">
      <w:pPr>
        <w:spacing w:after="120" w:line="276" w:lineRule="auto"/>
        <w:ind w:firstLine="709"/>
        <w:jc w:val="both"/>
        <w:rPr>
          <w:rFonts w:ascii="Verdana" w:eastAsia="Times New Roman" w:hAnsi="Verdana" w:cs="Arial"/>
          <w:lang w:eastAsia="es-MX"/>
        </w:rPr>
      </w:pPr>
      <w:r w:rsidRPr="63813CF3">
        <w:rPr>
          <w:rFonts w:ascii="Verdana" w:eastAsia="Times New Roman" w:hAnsi="Verdana" w:cs="Arial"/>
          <w:lang w:eastAsia="es-MX"/>
        </w:rPr>
        <w:lastRenderedPageBreak/>
        <w:t>Dicho entendimiento tampoco cambió después de la reforma de la Ley 1150 de 2007, pues DÁVILA VINUEZA considera que “</w:t>
      </w:r>
      <w:r w:rsidRPr="63813CF3">
        <w:rPr>
          <w:rFonts w:ascii="Verdana" w:eastAsia="Times New Roman" w:hAnsi="Verdana" w:cs="Arial"/>
          <w:i/>
          <w:iCs/>
          <w:lang w:eastAsia="es-MX"/>
        </w:rPr>
        <w:t>La contratación directa está admitida tanto cuando la entidad es arrendataria como cuando es arrendadora y no se requiere obtener varias ofertas</w:t>
      </w:r>
      <w:r w:rsidRPr="63813CF3">
        <w:rPr>
          <w:rFonts w:ascii="Verdana" w:eastAsia="Times New Roman" w:hAnsi="Verdana" w:cs="Arial"/>
          <w:lang w:eastAsia="es-MX"/>
        </w:rPr>
        <w:t xml:space="preserve"> […]”</w:t>
      </w:r>
      <w:r w:rsidRPr="63813CF3">
        <w:rPr>
          <w:rStyle w:val="FootnoteReference"/>
          <w:rFonts w:ascii="Verdana" w:eastAsia="Times New Roman" w:hAnsi="Verdana" w:cs="Arial"/>
          <w:lang w:eastAsia="es-MX"/>
        </w:rPr>
        <w:footnoteReference w:id="26"/>
      </w:r>
      <w:r w:rsidRPr="63813CF3">
        <w:rPr>
          <w:rFonts w:ascii="Verdana" w:eastAsia="Times New Roman" w:hAnsi="Verdana" w:cs="Arial"/>
          <w:lang w:eastAsia="es-MX"/>
        </w:rPr>
        <w:t xml:space="preserve"> (Énfasis fuera de texto); razón por la cual, también debe “[…] asegurarse la aplicación del deber de selección objetiva, que para este caso se materializa, si actúa la Administración como arrendataria, que se trate de un inmueble apto para el servicio, y si es arrendadora, que el canon pactado esté ajustado a un precio real y conveniente”</w:t>
      </w:r>
      <w:r w:rsidRPr="63813CF3">
        <w:rPr>
          <w:rStyle w:val="FootnoteReference"/>
          <w:rFonts w:ascii="Verdana" w:eastAsia="Times New Roman" w:hAnsi="Verdana" w:cs="Arial"/>
          <w:lang w:eastAsia="es-MX"/>
        </w:rPr>
        <w:footnoteReference w:id="27"/>
      </w:r>
      <w:r w:rsidRPr="63813CF3">
        <w:rPr>
          <w:rFonts w:ascii="Verdana" w:eastAsia="Times New Roman" w:hAnsi="Verdana" w:cs="Arial"/>
          <w:lang w:eastAsia="es-MX"/>
        </w:rPr>
        <w:t xml:space="preserve">. </w:t>
      </w:r>
    </w:p>
    <w:p w14:paraId="66D04E97" w14:textId="77777777" w:rsidR="00B24075" w:rsidRPr="00F43CC7" w:rsidRDefault="00B24075" w:rsidP="00B24075">
      <w:pPr>
        <w:spacing w:after="0" w:line="276" w:lineRule="auto"/>
        <w:ind w:firstLine="709"/>
        <w:jc w:val="both"/>
        <w:rPr>
          <w:rFonts w:ascii="Verdana" w:hAnsi="Verdana" w:cs="Arial"/>
          <w:bCs/>
          <w:color w:val="000000" w:themeColor="text1"/>
          <w:lang w:val="es-ES"/>
        </w:rPr>
      </w:pPr>
      <w:r w:rsidRPr="00F43CC7">
        <w:rPr>
          <w:rFonts w:ascii="Verdana" w:hAnsi="Verdana" w:cs="Arial"/>
          <w:bCs/>
          <w:color w:val="000000" w:themeColor="text1"/>
          <w:lang w:val="es-ES"/>
        </w:rPr>
        <w:t xml:space="preserve">Adicionalmente, el artículo 2.2.1.2.1.4.11 del Decreto 1082 de 2015 dispone que las entidades estatales pueden alquilar o arrendar inmuebles mediante contratación directa para lo cual deben seguir las siguientes reglas: </w:t>
      </w:r>
    </w:p>
    <w:p w14:paraId="6063D557" w14:textId="77777777" w:rsidR="00B24075" w:rsidRPr="00F43CC7" w:rsidRDefault="00B24075" w:rsidP="00B24075">
      <w:pPr>
        <w:spacing w:after="0" w:line="276" w:lineRule="auto"/>
        <w:ind w:firstLine="709"/>
        <w:jc w:val="both"/>
        <w:rPr>
          <w:rFonts w:ascii="Verdana" w:hAnsi="Verdana" w:cs="Arial"/>
          <w:bCs/>
          <w:color w:val="000000" w:themeColor="text1"/>
          <w:lang w:val="es-ES"/>
        </w:rPr>
      </w:pPr>
    </w:p>
    <w:p w14:paraId="70FC4651" w14:textId="694FF0F5" w:rsidR="00B24075" w:rsidRDefault="00B24075" w:rsidP="00F020A9">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“1. Verificar las condiciones del mercado inmobiliario en la ciudad en la que la Entidad Estatal requiere el inmueble.</w:t>
      </w:r>
    </w:p>
    <w:p w14:paraId="3ADBC989" w14:textId="77777777" w:rsidR="00F020A9" w:rsidRPr="00F43CC7" w:rsidRDefault="00F020A9" w:rsidP="00C1740B">
      <w:pPr>
        <w:spacing w:after="0" w:line="240" w:lineRule="auto"/>
        <w:ind w:left="709" w:right="709"/>
        <w:jc w:val="both"/>
        <w:rPr>
          <w:rFonts w:ascii="Verdana" w:eastAsia="Calibri" w:hAnsi="Verdana" w:cs="Arial"/>
          <w:sz w:val="20"/>
          <w:szCs w:val="20"/>
          <w:lang w:val="es-ES"/>
        </w:rPr>
      </w:pPr>
    </w:p>
    <w:p w14:paraId="192277DB" w14:textId="77777777" w:rsidR="00B24075" w:rsidRPr="00F43CC7" w:rsidRDefault="00B24075" w:rsidP="00F020A9">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2. Analizar y comparar las condiciones de los bienes inmuebles que satisfacen las necesidades identificadas y las opciones de arrendamiento, análisis que deberá tener en cuenta los principios y objetivos del sistema de compra y contratación pública”.</w:t>
      </w:r>
    </w:p>
    <w:p w14:paraId="5A5CCBB9" w14:textId="77777777" w:rsidR="00B24075" w:rsidRPr="00F43CC7" w:rsidRDefault="00B24075" w:rsidP="00B24075">
      <w:pPr>
        <w:spacing w:after="0" w:line="276" w:lineRule="auto"/>
        <w:ind w:firstLine="708"/>
        <w:jc w:val="both"/>
        <w:rPr>
          <w:rFonts w:ascii="Verdana" w:eastAsia="Calibri" w:hAnsi="Verdana" w:cs="Arial"/>
          <w:color w:val="000000" w:themeColor="text1"/>
          <w:lang w:val="es-ES"/>
        </w:rPr>
      </w:pPr>
    </w:p>
    <w:p w14:paraId="350056C4" w14:textId="77777777" w:rsidR="00B24075" w:rsidRPr="00F43CC7" w:rsidRDefault="00B24075" w:rsidP="00B24075">
      <w:pPr>
        <w:spacing w:after="120" w:line="276" w:lineRule="auto"/>
        <w:ind w:firstLine="708"/>
        <w:jc w:val="both"/>
        <w:rPr>
          <w:rFonts w:ascii="Verdana" w:eastAsia="Calibri" w:hAnsi="Verdana" w:cs="Arial"/>
          <w:lang w:val="es-ES"/>
        </w:rPr>
      </w:pPr>
      <w:r w:rsidRPr="00F43CC7">
        <w:rPr>
          <w:rFonts w:ascii="Verdana" w:eastAsia="Calibri" w:hAnsi="Verdana" w:cs="Arial"/>
          <w:lang w:val="es-ES"/>
        </w:rPr>
        <w:t xml:space="preserve">Para autores como GONZÁLEZ LÓPEZ, </w:t>
      </w:r>
      <w:r w:rsidRPr="00F43CC7">
        <w:rPr>
          <w:rFonts w:ascii="Verdana" w:eastAsia="Calibri" w:hAnsi="Verdana" w:cs="Arial"/>
          <w:sz w:val="20"/>
          <w:szCs w:val="20"/>
          <w:lang w:val="es-ES"/>
        </w:rPr>
        <w:t>“</w:t>
      </w:r>
      <w:r w:rsidRPr="00F43CC7">
        <w:rPr>
          <w:rFonts w:ascii="Verdana" w:eastAsia="Calibri" w:hAnsi="Verdana" w:cs="Arial"/>
          <w:lang w:val="es-ES"/>
        </w:rPr>
        <w:t xml:space="preserve">[…] la ley se refiere en forma indistinta al arrendamiento de inmuebles, mientras que el reglamento solo alude a cuando la entidad alquile o arriende inmuebles, en su calidad de arrendataria. No obstante, la falta de claridad del reglamento, cuando la ley no distingue no le corresponde al interprete distinguir y, por ende, </w:t>
      </w:r>
      <w:r w:rsidRPr="00F43CC7">
        <w:rPr>
          <w:rFonts w:ascii="Verdana" w:eastAsia="Calibri" w:hAnsi="Verdana" w:cs="Arial"/>
          <w:i/>
          <w:iCs/>
          <w:lang w:val="es-ES"/>
        </w:rPr>
        <w:t>es viable la modalidad de contratación directa siempre que se trae de un contrato de arrendamiento que suscriba una entidad estatal regulada por la Ley 80 de 1993</w:t>
      </w:r>
      <w:r w:rsidRPr="00F43CC7">
        <w:rPr>
          <w:rFonts w:ascii="Verdana" w:eastAsia="Calibri" w:hAnsi="Verdana" w:cs="Arial"/>
          <w:lang w:val="es-ES"/>
        </w:rPr>
        <w:t>”</w:t>
      </w:r>
      <w:r w:rsidRPr="00F43CC7">
        <w:rPr>
          <w:rStyle w:val="FootnoteReference"/>
          <w:rFonts w:ascii="Verdana" w:eastAsia="Calibri" w:hAnsi="Verdana" w:cs="Arial"/>
          <w:lang w:val="es-ES"/>
        </w:rPr>
        <w:footnoteReference w:id="28"/>
      </w:r>
      <w:r w:rsidRPr="00F43CC7">
        <w:rPr>
          <w:rFonts w:ascii="Verdana" w:eastAsia="Calibri" w:hAnsi="Verdana" w:cs="Arial"/>
          <w:lang w:val="es-ES"/>
        </w:rPr>
        <w:t xml:space="preserve"> (Énfasis fuera de texto).</w:t>
      </w:r>
    </w:p>
    <w:p w14:paraId="690D7FE2" w14:textId="4700BBFF" w:rsidR="00B24075" w:rsidRPr="00F43CC7" w:rsidRDefault="00F020A9" w:rsidP="00B24075">
      <w:pPr>
        <w:pStyle w:val="paragraph"/>
        <w:shd w:val="clear" w:color="auto" w:fill="FFFFFF"/>
        <w:spacing w:before="0" w:beforeAutospacing="0" w:after="0" w:afterAutospacing="0" w:line="276" w:lineRule="auto"/>
        <w:ind w:firstLine="708"/>
        <w:jc w:val="both"/>
        <w:textAlignment w:val="baseline"/>
        <w:rPr>
          <w:rFonts w:ascii="Verdana" w:eastAsia="Calibri" w:hAnsi="Verdana" w:cs="Arial"/>
          <w:sz w:val="22"/>
          <w:szCs w:val="22"/>
          <w:lang w:val="es-ES"/>
        </w:rPr>
      </w:pPr>
      <w:r>
        <w:rPr>
          <w:rFonts w:ascii="Verdana" w:eastAsia="Calibri" w:hAnsi="Verdana" w:cs="Arial"/>
          <w:sz w:val="22"/>
          <w:szCs w:val="22"/>
          <w:lang w:val="es-ES"/>
        </w:rPr>
        <w:t xml:space="preserve">Por otro lado, </w:t>
      </w:r>
      <w:r w:rsidR="00B24075" w:rsidRPr="00F43CC7">
        <w:rPr>
          <w:rFonts w:ascii="Verdana" w:eastAsia="Calibri" w:hAnsi="Verdana" w:cs="Arial"/>
          <w:sz w:val="22"/>
          <w:szCs w:val="22"/>
          <w:lang w:val="es-ES"/>
        </w:rPr>
        <w:t xml:space="preserve">RICO PUERTA sostiene la misma opinión, pero agrega que “[…] no existe prohibición legal para que, en los eventos en los que la entidad estatal actúa como arrendadora pueda adelantar una convocatoria pública para obtener las mejores condiciones en el negocio y para garantizar el principio de </w:t>
      </w:r>
      <w:r w:rsidR="00B24075" w:rsidRPr="00F43CC7">
        <w:rPr>
          <w:rFonts w:ascii="Verdana" w:eastAsia="Calibri" w:hAnsi="Verdana" w:cs="Arial"/>
          <w:sz w:val="22"/>
          <w:szCs w:val="22"/>
          <w:lang w:val="es-ES"/>
        </w:rPr>
        <w:lastRenderedPageBreak/>
        <w:t>libre concurrencia”</w:t>
      </w:r>
      <w:r w:rsidR="00B24075" w:rsidRPr="00F43CC7">
        <w:rPr>
          <w:rStyle w:val="FootnoteReference"/>
          <w:rFonts w:ascii="Verdana" w:eastAsia="Calibri" w:hAnsi="Verdana" w:cs="Arial"/>
          <w:sz w:val="22"/>
          <w:szCs w:val="22"/>
          <w:lang w:val="es-ES"/>
        </w:rPr>
        <w:footnoteReference w:id="29"/>
      </w:r>
      <w:r w:rsidR="00B24075" w:rsidRPr="00F43CC7">
        <w:rPr>
          <w:rFonts w:ascii="Verdana" w:eastAsia="Calibri" w:hAnsi="Verdana" w:cs="Arial"/>
          <w:sz w:val="22"/>
          <w:szCs w:val="22"/>
          <w:lang w:val="es-ES"/>
        </w:rPr>
        <w:t>. Aunque existe la discusión sobre la conveniencia de esta postura, lo cierto es que –dentro del marco normativo vigente– las entidades públicas son autónomas y responsables tanto de la estructuración de sus procesos de contratación como de determinar la modalidad de selección aplicable para suplir sus necesidades</w:t>
      </w:r>
      <w:r w:rsidR="00B24075" w:rsidRPr="00F43CC7">
        <w:rPr>
          <w:rStyle w:val="FootnoteReference"/>
          <w:rFonts w:ascii="Verdana" w:eastAsia="Calibri" w:hAnsi="Verdana" w:cs="Arial"/>
          <w:sz w:val="22"/>
          <w:szCs w:val="22"/>
          <w:lang w:val="es-ES"/>
        </w:rPr>
        <w:footnoteReference w:id="30"/>
      </w:r>
      <w:r w:rsidR="00B24075" w:rsidRPr="00F43CC7">
        <w:rPr>
          <w:rFonts w:ascii="Verdana" w:eastAsia="Calibri" w:hAnsi="Verdana" w:cs="Arial"/>
          <w:sz w:val="22"/>
          <w:szCs w:val="22"/>
          <w:lang w:val="es-ES"/>
        </w:rPr>
        <w:t>.</w:t>
      </w:r>
    </w:p>
    <w:p w14:paraId="45EFE368" w14:textId="77777777" w:rsidR="00B24075" w:rsidRPr="00F43CC7" w:rsidRDefault="00B24075" w:rsidP="00C1740B">
      <w:pPr>
        <w:shd w:val="clear" w:color="auto" w:fill="FFFFFF"/>
        <w:spacing w:after="0" w:line="276" w:lineRule="auto"/>
        <w:jc w:val="both"/>
        <w:rPr>
          <w:rFonts w:ascii="Verdana" w:eastAsia="Calibri" w:hAnsi="Verdana" w:cs="Arial"/>
          <w:lang w:val="es-ES"/>
        </w:rPr>
      </w:pPr>
    </w:p>
    <w:p w14:paraId="1EF3F29C" w14:textId="77777777" w:rsidR="00B24075" w:rsidRPr="00F43CC7" w:rsidRDefault="00B24075" w:rsidP="0015038F">
      <w:pPr>
        <w:shd w:val="clear" w:color="auto" w:fill="FFFFFF"/>
        <w:spacing w:after="120" w:line="276" w:lineRule="auto"/>
        <w:jc w:val="both"/>
        <w:rPr>
          <w:rFonts w:ascii="Verdana" w:hAnsi="Verdana" w:cs="Arial"/>
          <w:lang w:val="es-ES" w:eastAsia="es-CO"/>
        </w:rPr>
      </w:pPr>
      <w:r w:rsidRPr="00F43CC7">
        <w:rPr>
          <w:rFonts w:ascii="Verdana" w:eastAsia="Calibri" w:hAnsi="Verdana" w:cs="Arial"/>
          <w:lang w:val="es-ES"/>
        </w:rPr>
        <w:t>vi) En cualquier caso, corresponde a cada entidad estatal realizar el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w:t>
      </w:r>
      <w:r w:rsidRPr="00F43CC7">
        <w:rPr>
          <w:rFonts w:ascii="Verdana" w:hAnsi="Verdana" w:cs="Arial"/>
          <w:lang w:val="es-ES" w:eastAsia="es-CO"/>
        </w:rPr>
        <w:t xml:space="preserve"> Igualmente, las entidades podrán considerar la posibilidad de adelantar modalidades distintas a la contratación directa o implementar tipologías distintas a los convenios interadministrativos, es decir, aquellas que no se encuentren restringidas por el artículo 33 o el parágrafo del artículo 38 de la Ley 996 de 2005.</w:t>
      </w:r>
    </w:p>
    <w:p w14:paraId="0FAF1EBF" w14:textId="77777777" w:rsidR="00B24075" w:rsidRPr="00F43CC7" w:rsidRDefault="00B24075" w:rsidP="0015038F">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bCs/>
          <w:color w:val="000000" w:themeColor="text1"/>
          <w:sz w:val="22"/>
          <w:szCs w:val="22"/>
          <w:lang w:val="es-ES"/>
        </w:rPr>
      </w:pPr>
      <w:r w:rsidRPr="00F43CC7">
        <w:rPr>
          <w:rFonts w:ascii="Verdana" w:eastAsia="Calibri" w:hAnsi="Verdana" w:cs="Arial"/>
          <w:bCs/>
          <w:color w:val="000000" w:themeColor="text1"/>
          <w:sz w:val="22"/>
          <w:szCs w:val="22"/>
          <w:lang w:val="es-ES"/>
        </w:rPr>
        <w:t xml:space="preserve">De esta manera, las afirmaciones aquí realizadas no pueden ser interpretadas como juicios de valor sobre circunstancias concretas relacionadas </w:t>
      </w:r>
      <w:r w:rsidRPr="00F43CC7">
        <w:rPr>
          <w:rFonts w:ascii="Verdana" w:eastAsia="Calibri" w:hAnsi="Verdana" w:cs="Arial"/>
          <w:bCs/>
          <w:color w:val="000000" w:themeColor="text1"/>
          <w:sz w:val="22"/>
          <w:szCs w:val="22"/>
          <w:lang w:val="es-ES"/>
        </w:rPr>
        <w:lastRenderedPageBreak/>
        <w:t>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C3B3138" w14:textId="77777777" w:rsidR="00B24075" w:rsidRPr="00F43CC7" w:rsidRDefault="00B24075" w:rsidP="0015038F">
      <w:pPr>
        <w:spacing w:after="0" w:line="276" w:lineRule="auto"/>
        <w:ind w:firstLine="708"/>
        <w:jc w:val="both"/>
        <w:rPr>
          <w:rFonts w:ascii="Verdana" w:hAnsi="Verdana" w:cs="Arial"/>
          <w:color w:val="000000" w:themeColor="text1"/>
          <w:lang w:val="es-ES"/>
        </w:rPr>
      </w:pPr>
      <w:r w:rsidRPr="00F43CC7">
        <w:rPr>
          <w:rFonts w:ascii="Verdana" w:eastAsia="Calibri" w:hAnsi="Verdana" w:cs="Arial"/>
          <w:bCs/>
          <w:color w:val="000000" w:themeColor="text1"/>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5DC1527" w14:textId="77777777" w:rsidR="00B24075" w:rsidRPr="0015038F" w:rsidRDefault="00B24075" w:rsidP="0015038F">
      <w:pPr>
        <w:spacing w:after="0" w:line="276" w:lineRule="auto"/>
        <w:ind w:firstLine="708"/>
        <w:jc w:val="both"/>
        <w:rPr>
          <w:rFonts w:ascii="Verdana" w:eastAsia="Calibri" w:hAnsi="Verdana" w:cs="Arial"/>
          <w:lang w:val="es-ES"/>
        </w:rPr>
      </w:pPr>
    </w:p>
    <w:bookmarkEnd w:id="1"/>
    <w:bookmarkEnd w:id="2"/>
    <w:p w14:paraId="37242A8C" w14:textId="77777777" w:rsidR="00B24075" w:rsidRPr="0015038F" w:rsidRDefault="00B24075" w:rsidP="0015038F">
      <w:pPr>
        <w:tabs>
          <w:tab w:val="left" w:pos="142"/>
          <w:tab w:val="left" w:pos="284"/>
        </w:tabs>
        <w:spacing w:after="0" w:line="276" w:lineRule="auto"/>
        <w:jc w:val="both"/>
        <w:rPr>
          <w:rFonts w:ascii="Verdana" w:eastAsia="Century Gothic" w:hAnsi="Verdana" w:cs="Century Gothic"/>
          <w:b/>
          <w:color w:val="000000" w:themeColor="text1"/>
          <w:lang w:val="es-ES"/>
        </w:rPr>
      </w:pPr>
      <w:r w:rsidRPr="0015038F">
        <w:rPr>
          <w:rFonts w:ascii="Verdana" w:eastAsia="Century Gothic" w:hAnsi="Verdana" w:cs="Century Gothic"/>
          <w:b/>
          <w:color w:val="000000" w:themeColor="text1"/>
          <w:lang w:val="es-ES"/>
        </w:rPr>
        <w:t>4.Referencias normativas, jurisprudenciales y otras fuentes:</w:t>
      </w:r>
    </w:p>
    <w:p w14:paraId="01810B3D" w14:textId="77777777" w:rsidR="00B24075" w:rsidRPr="0015038F" w:rsidRDefault="00B24075" w:rsidP="0015038F">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24075" w:rsidRPr="0015038F" w14:paraId="1234B89F" w14:textId="77777777" w:rsidTr="002770FE">
        <w:trPr>
          <w:trHeight w:val="870"/>
        </w:trPr>
        <w:tc>
          <w:tcPr>
            <w:tcW w:w="8647" w:type="dxa"/>
          </w:tcPr>
          <w:p w14:paraId="4E98D67C" w14:textId="77777777" w:rsidR="00B24075" w:rsidRPr="0015038F" w:rsidRDefault="00B24075" w:rsidP="0015038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15038F">
              <w:rPr>
                <w:rFonts w:ascii="Verdana" w:eastAsia="Arial MT" w:hAnsi="Verdana" w:cs="Arial"/>
                <w:lang w:val="es-ES" w:eastAsia="es-ES" w:bidi="es-ES"/>
              </w:rPr>
              <w:t xml:space="preserve">Ley 80 de 1993, artículos 39, 41. </w:t>
            </w:r>
          </w:p>
          <w:p w14:paraId="58693D25" w14:textId="77777777" w:rsidR="00B24075" w:rsidRPr="0015038F" w:rsidRDefault="00B24075" w:rsidP="0015038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15038F">
              <w:rPr>
                <w:rFonts w:ascii="Verdana" w:eastAsia="Arial MT" w:hAnsi="Verdana" w:cs="Arial"/>
                <w:bCs/>
                <w:lang w:val="es-ES" w:eastAsia="es-ES" w:bidi="es-ES"/>
              </w:rPr>
              <w:t>Ley 996 de 2005: artículos 33 y parágrafo del artículo38.</w:t>
            </w:r>
          </w:p>
          <w:p w14:paraId="585BA189" w14:textId="77777777" w:rsidR="00B24075" w:rsidRPr="0015038F" w:rsidRDefault="00B24075" w:rsidP="0015038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15038F">
              <w:rPr>
                <w:rFonts w:ascii="Verdana" w:eastAsia="Times New Roman" w:hAnsi="Verdana" w:cs="Times New Roman"/>
                <w:lang w:val="es-ES" w:eastAsia="es-MX"/>
              </w:rPr>
              <w:t xml:space="preserve">Ley 1150 de 2007: </w:t>
            </w:r>
            <w:r w:rsidRPr="0015038F">
              <w:rPr>
                <w:rFonts w:ascii="Verdana" w:eastAsia="Arial MT" w:hAnsi="Verdana" w:cs="Arial"/>
                <w:lang w:val="es-ES" w:eastAsia="es-ES" w:bidi="es-ES"/>
              </w:rPr>
              <w:t xml:space="preserve">artículo 2, numeral 4. </w:t>
            </w:r>
          </w:p>
          <w:p w14:paraId="4E50F097" w14:textId="77777777" w:rsidR="00B24075" w:rsidRPr="0015038F" w:rsidRDefault="00B24075" w:rsidP="0015038F">
            <w:pPr>
              <w:widowControl w:val="0"/>
              <w:numPr>
                <w:ilvl w:val="0"/>
                <w:numId w:val="16"/>
              </w:numPr>
              <w:autoSpaceDE w:val="0"/>
              <w:autoSpaceDN w:val="0"/>
              <w:spacing w:line="276" w:lineRule="auto"/>
              <w:jc w:val="both"/>
              <w:rPr>
                <w:rFonts w:ascii="Verdana" w:eastAsia="Calibri" w:hAnsi="Verdana" w:cs="Arial"/>
                <w:lang w:val="es-ES"/>
              </w:rPr>
            </w:pPr>
            <w:r w:rsidRPr="0015038F">
              <w:rPr>
                <w:rFonts w:ascii="Verdana" w:eastAsia="Calibri" w:hAnsi="Verdana" w:cs="Arial"/>
                <w:lang w:val="es-ES"/>
              </w:rPr>
              <w:t xml:space="preserve">Consejo de Estado, Sección Primera. Sentencia de 3 de marzo de 2005, </w:t>
            </w:r>
            <w:proofErr w:type="spellStart"/>
            <w:r w:rsidRPr="0015038F">
              <w:rPr>
                <w:rFonts w:ascii="Verdana" w:eastAsia="Calibri" w:hAnsi="Verdana" w:cs="Arial"/>
                <w:lang w:val="es-ES"/>
              </w:rPr>
              <w:t>Exp</w:t>
            </w:r>
            <w:proofErr w:type="spellEnd"/>
            <w:r w:rsidRPr="0015038F">
              <w:rPr>
                <w:rFonts w:ascii="Verdana" w:eastAsia="Calibri" w:hAnsi="Verdana" w:cs="Arial"/>
                <w:lang w:val="es-ES"/>
              </w:rPr>
              <w:t xml:space="preserve">. 2004-00823-01(PI). </w:t>
            </w:r>
          </w:p>
          <w:p w14:paraId="122AB94F" w14:textId="77777777" w:rsidR="00B24075" w:rsidRPr="0015038F" w:rsidRDefault="00B24075" w:rsidP="0015038F">
            <w:pPr>
              <w:widowControl w:val="0"/>
              <w:numPr>
                <w:ilvl w:val="0"/>
                <w:numId w:val="16"/>
              </w:numPr>
              <w:autoSpaceDE w:val="0"/>
              <w:autoSpaceDN w:val="0"/>
              <w:spacing w:line="276" w:lineRule="auto"/>
              <w:jc w:val="both"/>
              <w:rPr>
                <w:rFonts w:ascii="Verdana" w:eastAsia="Calibri" w:hAnsi="Verdana" w:cs="Arial"/>
                <w:lang w:val="es-ES"/>
              </w:rPr>
            </w:pPr>
            <w:r w:rsidRPr="0015038F">
              <w:rPr>
                <w:rFonts w:ascii="Verdana" w:eastAsia="Calibri" w:hAnsi="Verdana" w:cs="Arial"/>
                <w:lang w:val="es-ES"/>
              </w:rPr>
              <w:t xml:space="preserve">Consejo de Estado, Sala de Consulta y Servicio Civil, Concepto de fecha 24 de julio de 2013, Rad. 2166, C. P. Álvaro Namén Vargas. </w:t>
            </w:r>
          </w:p>
          <w:p w14:paraId="0C13C71F" w14:textId="77777777" w:rsidR="00B24075" w:rsidRPr="0015038F" w:rsidRDefault="00B24075" w:rsidP="0015038F">
            <w:pPr>
              <w:pStyle w:val="ListParagraph"/>
              <w:numPr>
                <w:ilvl w:val="0"/>
                <w:numId w:val="16"/>
              </w:numPr>
              <w:spacing w:line="276" w:lineRule="auto"/>
              <w:contextualSpacing w:val="0"/>
              <w:jc w:val="both"/>
              <w:rPr>
                <w:rFonts w:ascii="Verdana" w:hAnsi="Verdana" w:cs="Arial"/>
              </w:rPr>
            </w:pPr>
            <w:r w:rsidRPr="0015038F">
              <w:rPr>
                <w:rFonts w:ascii="Verdana" w:eastAsia="Calibri" w:hAnsi="Verdana" w:cs="Arial"/>
              </w:rPr>
              <w:t>Consejo de Estado. Sala de Consulta y Servicio Civil. Concepto del 17 de febrero de 2015. C.P. William Zambrano Cetina. Radicación No. 11001-03-06-000-2015-00164-00(2269).</w:t>
            </w:r>
          </w:p>
          <w:p w14:paraId="6DCAA54F" w14:textId="77777777" w:rsidR="00B24075" w:rsidRPr="0015038F" w:rsidRDefault="00B24075" w:rsidP="0015038F">
            <w:pPr>
              <w:widowControl w:val="0"/>
              <w:numPr>
                <w:ilvl w:val="0"/>
                <w:numId w:val="16"/>
              </w:numPr>
              <w:autoSpaceDE w:val="0"/>
              <w:autoSpaceDN w:val="0"/>
              <w:spacing w:line="276" w:lineRule="auto"/>
              <w:jc w:val="both"/>
              <w:rPr>
                <w:rFonts w:ascii="Verdana" w:hAnsi="Verdana" w:cs="Arial"/>
                <w:lang w:val="es-ES"/>
              </w:rPr>
            </w:pPr>
            <w:r w:rsidRPr="0015038F">
              <w:rPr>
                <w:rFonts w:ascii="Verdana" w:eastAsia="Calibri" w:hAnsi="Verdana" w:cs="Arial"/>
                <w:lang w:val="es-ES"/>
              </w:rPr>
              <w:t>Consejo de Estado, Sala de Consulta y Servicio Civil, Concepto de fecha 8 de mayo de 2018, No. 2382. C. P. Álvaro Namén Vargas.</w:t>
            </w:r>
          </w:p>
        </w:tc>
      </w:tr>
    </w:tbl>
    <w:p w14:paraId="0B9B550D" w14:textId="77777777" w:rsidR="00B24075" w:rsidRPr="0015038F" w:rsidRDefault="00B24075" w:rsidP="00984035">
      <w:pPr>
        <w:widowControl w:val="0"/>
        <w:autoSpaceDE w:val="0"/>
        <w:autoSpaceDN w:val="0"/>
        <w:spacing w:after="0" w:line="276" w:lineRule="auto"/>
        <w:jc w:val="both"/>
        <w:rPr>
          <w:rFonts w:ascii="Verdana" w:hAnsi="Verdana" w:cs="Arial"/>
          <w:color w:val="000000" w:themeColor="text1"/>
          <w:lang w:val="es-ES"/>
        </w:rPr>
      </w:pPr>
    </w:p>
    <w:p w14:paraId="611A8A6B" w14:textId="77777777" w:rsidR="00B24075" w:rsidRPr="0015038F" w:rsidRDefault="00B24075" w:rsidP="00984035">
      <w:pPr>
        <w:tabs>
          <w:tab w:val="left" w:pos="142"/>
          <w:tab w:val="left" w:pos="284"/>
        </w:tabs>
        <w:spacing w:after="0" w:line="276" w:lineRule="auto"/>
        <w:jc w:val="both"/>
        <w:rPr>
          <w:rFonts w:ascii="Verdana" w:eastAsia="Century Gothic" w:hAnsi="Verdana" w:cs="Century Gothic"/>
          <w:b/>
          <w:color w:val="000000" w:themeColor="text1"/>
          <w:lang w:val="es-ES"/>
        </w:rPr>
      </w:pPr>
      <w:r w:rsidRPr="0015038F">
        <w:rPr>
          <w:rFonts w:ascii="Verdana" w:eastAsia="Century Gothic" w:hAnsi="Verdana" w:cs="Century Gothic"/>
          <w:b/>
          <w:color w:val="000000" w:themeColor="text1"/>
          <w:lang w:val="es-ES"/>
        </w:rPr>
        <w:t>5.Doctrina de la Agencia Nacional de Contratación Pública:</w:t>
      </w:r>
    </w:p>
    <w:p w14:paraId="523D1BA3" w14:textId="77777777" w:rsidR="00B24075" w:rsidRPr="0015038F" w:rsidRDefault="00B24075" w:rsidP="00984035">
      <w:pPr>
        <w:widowControl w:val="0"/>
        <w:autoSpaceDE w:val="0"/>
        <w:autoSpaceDN w:val="0"/>
        <w:spacing w:after="0" w:line="276" w:lineRule="auto"/>
        <w:jc w:val="both"/>
        <w:rPr>
          <w:rFonts w:ascii="Verdana" w:hAnsi="Verdana" w:cs="Arial"/>
          <w:color w:val="000000" w:themeColor="text1"/>
          <w:lang w:val="es-ES"/>
        </w:rPr>
      </w:pPr>
    </w:p>
    <w:p w14:paraId="0D5A2438" w14:textId="77777777" w:rsidR="00B24075" w:rsidRPr="0015038F" w:rsidRDefault="00B24075" w:rsidP="00984035">
      <w:pPr>
        <w:spacing w:after="0" w:line="276" w:lineRule="auto"/>
        <w:jc w:val="both"/>
        <w:rPr>
          <w:rFonts w:ascii="Verdana" w:hAnsi="Verdana" w:cs="Arial"/>
          <w:color w:val="000000" w:themeColor="text1"/>
          <w:shd w:val="clear" w:color="auto" w:fill="FFFFFF"/>
          <w:lang w:val="es-ES"/>
        </w:rPr>
      </w:pPr>
      <w:r w:rsidRPr="0015038F">
        <w:rPr>
          <w:rFonts w:ascii="Verdana" w:eastAsia="Calibri" w:hAnsi="Verdana" w:cs="Arial"/>
          <w:lang w:val="es-ES"/>
        </w:rPr>
        <w:t xml:space="preserve">La Agencia Nacional de Contratación Pública – Colombia Compra Eficiente se ha referido </w:t>
      </w:r>
      <w:r w:rsidRPr="0015038F">
        <w:rPr>
          <w:rFonts w:ascii="Verdana" w:hAnsi="Verdana" w:cs="Arial"/>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w:t>
      </w:r>
      <w:r w:rsidRPr="0015038F">
        <w:rPr>
          <w:rFonts w:ascii="Verdana" w:hAnsi="Verdana" w:cs="Arial"/>
          <w:shd w:val="clear" w:color="auto" w:fill="FFFFFF"/>
          <w:lang w:val="es-ES"/>
        </w:rPr>
        <w:lastRenderedPageBreak/>
        <w:t>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C-273-A de 2025 y C-001 del 21 de enero de 2026, entre otros. Estos</w:t>
      </w:r>
      <w:r w:rsidRPr="0015038F">
        <w:rPr>
          <w:rFonts w:ascii="Verdana" w:hAnsi="Verdana"/>
          <w:lang w:val="es-ES"/>
        </w:rPr>
        <w:t xml:space="preserve"> y otros se encuentran disponibles para consulta en el Sistema de relatoría de la Agencia, al cual se puede acceder a través del siguiente enlace:</w:t>
      </w:r>
      <w:r w:rsidRPr="0015038F">
        <w:rPr>
          <w:rFonts w:ascii="Verdana" w:hAnsi="Verdana" w:cs="Arial"/>
          <w:shd w:val="clear" w:color="auto" w:fill="FFFFFF"/>
          <w:lang w:val="es-ES"/>
        </w:rPr>
        <w:t xml:space="preserve"> </w:t>
      </w:r>
      <w:hyperlink r:id="rId11" w:history="1">
        <w:r w:rsidRPr="0015038F">
          <w:rPr>
            <w:rFonts w:ascii="Verdana" w:hAnsi="Verdana" w:cs="Arial"/>
            <w:color w:val="0000FF"/>
            <w:u w:val="single"/>
            <w:shd w:val="clear" w:color="auto" w:fill="FFFFFF"/>
            <w:lang w:val="es-ES"/>
          </w:rPr>
          <w:t>https://relatoria.colombiacompra.gov.co/busqueda/concept os</w:t>
        </w:r>
      </w:hyperlink>
      <w:r w:rsidRPr="0015038F">
        <w:rPr>
          <w:rFonts w:ascii="Verdana" w:hAnsi="Verdana" w:cs="Arial"/>
          <w:shd w:val="clear" w:color="auto" w:fill="FFFFFF"/>
          <w:lang w:val="es-ES"/>
        </w:rPr>
        <w:t>.</w:t>
      </w:r>
      <w:r w:rsidRPr="0015038F">
        <w:rPr>
          <w:rFonts w:ascii="Verdana" w:hAnsi="Verdana" w:cs="Arial"/>
          <w:color w:val="FF0000"/>
          <w:shd w:val="clear" w:color="auto" w:fill="FFFFFF"/>
          <w:lang w:val="es-ES"/>
        </w:rPr>
        <w:t xml:space="preserve"> </w:t>
      </w:r>
      <w:r w:rsidRPr="0015038F">
        <w:rPr>
          <w:rFonts w:ascii="Verdana" w:hAnsi="Verdana" w:cs="Arial"/>
          <w:color w:val="000000" w:themeColor="text1"/>
          <w:shd w:val="clear" w:color="auto" w:fill="FFFFFF"/>
          <w:lang w:val="es-ES"/>
        </w:rPr>
        <w:t>  </w:t>
      </w:r>
    </w:p>
    <w:p w14:paraId="562C3050" w14:textId="77777777" w:rsidR="00B24075" w:rsidRPr="0015038F" w:rsidRDefault="00B24075" w:rsidP="00984035">
      <w:pPr>
        <w:spacing w:after="0" w:line="276" w:lineRule="auto"/>
        <w:jc w:val="both"/>
        <w:rPr>
          <w:rFonts w:ascii="Verdana" w:eastAsia="Calibri" w:hAnsi="Verdana" w:cs="Arial"/>
          <w:b/>
          <w:bCs/>
          <w:color w:val="000000" w:themeColor="text1"/>
          <w:lang w:val="es-ES"/>
        </w:rPr>
      </w:pPr>
    </w:p>
    <w:p w14:paraId="78466133" w14:textId="77777777" w:rsidR="00B24075" w:rsidRPr="0015038F" w:rsidRDefault="00B24075" w:rsidP="00984035">
      <w:pPr>
        <w:spacing w:after="0" w:line="276" w:lineRule="auto"/>
        <w:jc w:val="both"/>
        <w:rPr>
          <w:rFonts w:ascii="Verdana" w:hAnsi="Verdana"/>
          <w:lang w:val="es-ES"/>
        </w:rPr>
      </w:pPr>
      <w:r w:rsidRPr="0015038F">
        <w:rPr>
          <w:rFonts w:ascii="Verdana" w:hAnsi="Verdana"/>
          <w:lang w:val="es-ES"/>
        </w:rPr>
        <w:t xml:space="preserve">Por último, lo invitamos a seguirnos en las redes sociales en las cuales se difunde información institucional: </w:t>
      </w:r>
    </w:p>
    <w:p w14:paraId="3F0BD032" w14:textId="77777777" w:rsidR="00B24075" w:rsidRPr="0015038F" w:rsidRDefault="00B24075" w:rsidP="00984035">
      <w:pPr>
        <w:spacing w:after="0" w:line="276" w:lineRule="auto"/>
        <w:jc w:val="both"/>
        <w:rPr>
          <w:rFonts w:ascii="Verdana" w:hAnsi="Verdana"/>
          <w:lang w:val="es-ES"/>
        </w:rPr>
      </w:pPr>
    </w:p>
    <w:p w14:paraId="433EF2F1" w14:textId="77777777" w:rsidR="00B24075" w:rsidRPr="0015038F" w:rsidRDefault="00B24075" w:rsidP="00984035">
      <w:pPr>
        <w:spacing w:after="0" w:line="276" w:lineRule="auto"/>
        <w:jc w:val="both"/>
        <w:rPr>
          <w:rFonts w:ascii="Verdana" w:hAnsi="Verdana"/>
          <w:lang w:val="es-ES"/>
        </w:rPr>
      </w:pPr>
      <w:r w:rsidRPr="0015038F">
        <w:rPr>
          <w:rFonts w:ascii="Verdana" w:hAnsi="Verdana"/>
          <w:lang w:val="es-ES"/>
        </w:rPr>
        <w:t xml:space="preserve">Twitter: </w:t>
      </w:r>
      <w:r w:rsidRPr="0015038F">
        <w:rPr>
          <w:rStyle w:val="Hyperlink"/>
          <w:rFonts w:ascii="Verdana" w:hAnsi="Verdana" w:cs="Arial"/>
          <w:shd w:val="clear" w:color="auto" w:fill="FFFFFF"/>
          <w:lang w:val="es-ES"/>
        </w:rPr>
        <w:t>@colombiacompra</w:t>
      </w:r>
      <w:r w:rsidRPr="0015038F">
        <w:rPr>
          <w:rFonts w:ascii="Verdana" w:hAnsi="Verdana"/>
          <w:color w:val="4472C4" w:themeColor="accent1"/>
          <w:lang w:val="es-ES"/>
        </w:rPr>
        <w:t xml:space="preserve"> </w:t>
      </w:r>
    </w:p>
    <w:p w14:paraId="60FAED27" w14:textId="77777777" w:rsidR="00B24075" w:rsidRPr="0015038F" w:rsidRDefault="00B24075" w:rsidP="00984035">
      <w:pPr>
        <w:spacing w:after="0" w:line="276" w:lineRule="auto"/>
        <w:jc w:val="both"/>
        <w:rPr>
          <w:rFonts w:ascii="Verdana" w:hAnsi="Verdana"/>
          <w:lang w:val="es-ES"/>
        </w:rPr>
      </w:pPr>
      <w:r w:rsidRPr="0015038F">
        <w:rPr>
          <w:rFonts w:ascii="Verdana" w:hAnsi="Verdana"/>
          <w:lang w:val="es-ES"/>
        </w:rPr>
        <w:t xml:space="preserve">Facebook: </w:t>
      </w:r>
      <w:proofErr w:type="spellStart"/>
      <w:r w:rsidRPr="0015038F">
        <w:rPr>
          <w:rStyle w:val="Hyperlink"/>
          <w:rFonts w:ascii="Verdana" w:hAnsi="Verdana" w:cs="Arial"/>
          <w:shd w:val="clear" w:color="auto" w:fill="FFFFFF"/>
          <w:lang w:val="es-ES"/>
        </w:rPr>
        <w:t>ColombiaCompraEficiente</w:t>
      </w:r>
      <w:proofErr w:type="spellEnd"/>
    </w:p>
    <w:p w14:paraId="1568D6B3" w14:textId="77777777" w:rsidR="00B24075" w:rsidRPr="0015038F" w:rsidRDefault="00B24075" w:rsidP="00984035">
      <w:pPr>
        <w:spacing w:after="0" w:line="276" w:lineRule="auto"/>
        <w:jc w:val="both"/>
        <w:rPr>
          <w:rFonts w:ascii="Verdana" w:hAnsi="Verdana"/>
          <w:lang w:val="es-ES"/>
        </w:rPr>
      </w:pPr>
      <w:r w:rsidRPr="0015038F">
        <w:rPr>
          <w:rFonts w:ascii="Verdana" w:hAnsi="Verdana"/>
          <w:lang w:val="es-ES"/>
        </w:rPr>
        <w:t xml:space="preserve">LinkedIn: </w:t>
      </w:r>
      <w:r w:rsidRPr="0015038F">
        <w:rPr>
          <w:rStyle w:val="Hyperlink"/>
          <w:rFonts w:ascii="Verdana" w:hAnsi="Verdana" w:cs="Arial"/>
          <w:shd w:val="clear" w:color="auto" w:fill="FFFFFF"/>
          <w:lang w:val="es-ES"/>
        </w:rPr>
        <w:t xml:space="preserve">Agencia Nacional de Contratación Pública - Colombia Compra Eficiente </w:t>
      </w:r>
      <w:r w:rsidRPr="0015038F">
        <w:rPr>
          <w:rFonts w:ascii="Verdana" w:hAnsi="Verdana"/>
          <w:lang w:val="es-ES"/>
        </w:rPr>
        <w:t xml:space="preserve">Instagram: </w:t>
      </w:r>
      <w:r w:rsidRPr="0015038F">
        <w:rPr>
          <w:rStyle w:val="Hyperlink"/>
          <w:rFonts w:ascii="Verdana" w:hAnsi="Verdana" w:cs="Arial"/>
          <w:shd w:val="clear" w:color="auto" w:fill="FFFFFF"/>
          <w:lang w:val="es-ES"/>
        </w:rPr>
        <w:t>@colombiacompraeficiente_cce</w:t>
      </w:r>
    </w:p>
    <w:p w14:paraId="72014939" w14:textId="77777777" w:rsidR="00B24075" w:rsidRPr="0015038F" w:rsidRDefault="00B24075" w:rsidP="00984035">
      <w:pPr>
        <w:widowControl w:val="0"/>
        <w:autoSpaceDE w:val="0"/>
        <w:autoSpaceDN w:val="0"/>
        <w:spacing w:after="0" w:line="276" w:lineRule="auto"/>
        <w:jc w:val="both"/>
        <w:rPr>
          <w:rFonts w:ascii="Verdana" w:hAnsi="Verdana" w:cs="Arial"/>
          <w:lang w:val="es-ES"/>
        </w:rPr>
      </w:pPr>
    </w:p>
    <w:p w14:paraId="3662F263" w14:textId="77777777" w:rsidR="00B24075" w:rsidRPr="0015038F" w:rsidRDefault="00B24075" w:rsidP="00984035">
      <w:pPr>
        <w:widowControl w:val="0"/>
        <w:autoSpaceDE w:val="0"/>
        <w:autoSpaceDN w:val="0"/>
        <w:spacing w:after="0" w:line="276" w:lineRule="auto"/>
        <w:jc w:val="both"/>
        <w:rPr>
          <w:rFonts w:ascii="Verdana" w:hAnsi="Verdana" w:cs="Arial"/>
          <w:lang w:val="es-ES"/>
        </w:rPr>
      </w:pPr>
      <w:r w:rsidRPr="0015038F">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CF9A259" w14:textId="7CF821C4" w:rsidR="00B24075" w:rsidRPr="0015038F" w:rsidRDefault="007D505E" w:rsidP="00984035">
      <w:pPr>
        <w:widowControl w:val="0"/>
        <w:autoSpaceDE w:val="0"/>
        <w:autoSpaceDN w:val="0"/>
        <w:spacing w:after="0" w:line="276" w:lineRule="auto"/>
        <w:jc w:val="both"/>
        <w:rPr>
          <w:rFonts w:ascii="Verdana" w:hAnsi="Verdana" w:cs="Arial"/>
          <w:lang w:val="es-ES"/>
        </w:rPr>
      </w:pPr>
      <w:r w:rsidRPr="002C3AD6">
        <w:rPr>
          <w:rFonts w:ascii="Century Gothic" w:hAnsi="Century Gothic"/>
          <w:noProof/>
        </w:rPr>
        <w:drawing>
          <wp:anchor distT="0" distB="0" distL="114300" distR="114300" simplePos="0" relativeHeight="251659264" behindDoc="0" locked="0" layoutInCell="1" allowOverlap="1" wp14:anchorId="37AF848F" wp14:editId="5F8C3482">
            <wp:simplePos x="0" y="0"/>
            <wp:positionH relativeFrom="column">
              <wp:posOffset>1135380</wp:posOffset>
            </wp:positionH>
            <wp:positionV relativeFrom="page">
              <wp:posOffset>6386891</wp:posOffset>
            </wp:positionV>
            <wp:extent cx="3406775" cy="1264285"/>
            <wp:effectExtent l="0" t="0" r="0" b="571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406775" cy="1264285"/>
                    </a:xfrm>
                    <a:prstGeom prst="rect">
                      <a:avLst/>
                    </a:prstGeom>
                  </pic:spPr>
                </pic:pic>
              </a:graphicData>
            </a:graphic>
            <wp14:sizeRelH relativeFrom="page">
              <wp14:pctWidth>0</wp14:pctWidth>
            </wp14:sizeRelH>
            <wp14:sizeRelV relativeFrom="page">
              <wp14:pctHeight>0</wp14:pctHeight>
            </wp14:sizeRelV>
          </wp:anchor>
        </w:drawing>
      </w:r>
    </w:p>
    <w:p w14:paraId="5FD5F6C3" w14:textId="77777777" w:rsidR="00B24075" w:rsidRPr="0015038F" w:rsidRDefault="00B24075" w:rsidP="00984035">
      <w:pPr>
        <w:spacing w:after="0" w:line="276" w:lineRule="auto"/>
        <w:rPr>
          <w:rFonts w:ascii="Verdana" w:hAnsi="Verdana" w:cs="Arial"/>
          <w:color w:val="000000" w:themeColor="text1"/>
          <w:lang w:val="es-ES" w:eastAsia="es-CO"/>
        </w:rPr>
      </w:pPr>
      <w:r w:rsidRPr="0015038F">
        <w:rPr>
          <w:rFonts w:ascii="Verdana" w:eastAsia="Times New Roman" w:hAnsi="Verdana" w:cs="Arial"/>
          <w:color w:val="000000" w:themeColor="text1"/>
          <w:lang w:val="es-ES" w:eastAsia="es-CO"/>
        </w:rPr>
        <w:t>Atentamente,</w:t>
      </w:r>
      <w:r w:rsidRPr="0015038F">
        <w:rPr>
          <w:rFonts w:ascii="Verdana" w:hAnsi="Verdana" w:cs="Arial"/>
          <w:color w:val="000000" w:themeColor="text1"/>
          <w:lang w:val="es-ES" w:eastAsia="es-CO"/>
        </w:rPr>
        <w:t xml:space="preserve"> </w:t>
      </w:r>
    </w:p>
    <w:p w14:paraId="2E688D27" w14:textId="24A22F2A" w:rsidR="00B24075" w:rsidRPr="00F43CC7" w:rsidRDefault="00B24075" w:rsidP="00B24075">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24075" w:rsidRPr="00F43CC7" w14:paraId="1C70DED8" w14:textId="77777777" w:rsidTr="002770FE">
        <w:trPr>
          <w:trHeight w:val="315"/>
        </w:trPr>
        <w:tc>
          <w:tcPr>
            <w:tcW w:w="893" w:type="dxa"/>
            <w:vAlign w:val="center"/>
            <w:hideMark/>
          </w:tcPr>
          <w:p w14:paraId="7BFBE3BC" w14:textId="77777777" w:rsidR="00B24075" w:rsidRPr="00F43CC7" w:rsidRDefault="00B24075" w:rsidP="002770FE">
            <w:pPr>
              <w:contextualSpacing/>
              <w:rPr>
                <w:rFonts w:ascii="Verdana" w:hAnsi="Verdana" w:cs="Arial"/>
                <w:sz w:val="16"/>
                <w:szCs w:val="16"/>
                <w:lang w:val="es-ES" w:eastAsia="es-ES"/>
              </w:rPr>
            </w:pPr>
            <w:r w:rsidRPr="00F43C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95CA9F2" w14:textId="77777777" w:rsidR="00B24075" w:rsidRPr="00F43CC7" w:rsidRDefault="00B24075" w:rsidP="002770FE">
            <w:pPr>
              <w:contextualSpacing/>
              <w:rPr>
                <w:rFonts w:ascii="Verdana" w:eastAsia="Arial" w:hAnsi="Verdana" w:cs="Arial"/>
                <w:color w:val="000000" w:themeColor="text1"/>
                <w:sz w:val="16"/>
                <w:szCs w:val="16"/>
                <w:lang w:val="es-ES"/>
              </w:rPr>
            </w:pPr>
            <w:r w:rsidRPr="00F43CC7">
              <w:rPr>
                <w:rFonts w:ascii="Verdana" w:eastAsia="Arial" w:hAnsi="Verdana" w:cs="Arial"/>
                <w:color w:val="000000" w:themeColor="text1"/>
                <w:sz w:val="16"/>
                <w:szCs w:val="16"/>
                <w:lang w:val="es-ES"/>
              </w:rPr>
              <w:t>Anamaría Bonilla Prieto</w:t>
            </w:r>
          </w:p>
          <w:p w14:paraId="42F06C20" w14:textId="77777777" w:rsidR="00B24075" w:rsidRPr="00F43CC7" w:rsidRDefault="00B24075" w:rsidP="002770FE">
            <w:pPr>
              <w:contextualSpacing/>
              <w:rPr>
                <w:rFonts w:ascii="Verdana" w:eastAsia="Arial" w:hAnsi="Verdana" w:cs="Arial"/>
                <w:sz w:val="16"/>
                <w:szCs w:val="16"/>
                <w:lang w:val="es-ES"/>
              </w:rPr>
            </w:pPr>
            <w:r w:rsidRPr="00F43CC7">
              <w:rPr>
                <w:rStyle w:val="normaltextrun"/>
                <w:rFonts w:ascii="Verdana" w:eastAsia="Arial" w:hAnsi="Verdana" w:cs="Arial"/>
                <w:color w:val="000000" w:themeColor="text1"/>
                <w:sz w:val="16"/>
                <w:szCs w:val="16"/>
                <w:lang w:val="es-ES"/>
              </w:rPr>
              <w:t xml:space="preserve">Contratista de la Subdirección </w:t>
            </w:r>
            <w:r w:rsidRPr="00F43CC7">
              <w:rPr>
                <w:rStyle w:val="normaltextrun"/>
                <w:rFonts w:ascii="Verdana" w:eastAsia="Arial" w:hAnsi="Verdana" w:cs="Arial"/>
                <w:sz w:val="16"/>
                <w:szCs w:val="16"/>
                <w:lang w:val="es-ES"/>
              </w:rPr>
              <w:t>de Gestión Contractual</w:t>
            </w:r>
          </w:p>
        </w:tc>
      </w:tr>
      <w:tr w:rsidR="00B24075" w:rsidRPr="00F43CC7" w14:paraId="6D95D002" w14:textId="77777777" w:rsidTr="002770FE">
        <w:trPr>
          <w:trHeight w:val="330"/>
        </w:trPr>
        <w:tc>
          <w:tcPr>
            <w:tcW w:w="893" w:type="dxa"/>
            <w:vAlign w:val="center"/>
            <w:hideMark/>
          </w:tcPr>
          <w:p w14:paraId="3121C86E" w14:textId="77777777" w:rsidR="00B24075" w:rsidRPr="00F43CC7" w:rsidRDefault="00B24075" w:rsidP="002770FE">
            <w:pPr>
              <w:contextualSpacing/>
              <w:rPr>
                <w:rFonts w:ascii="Verdana" w:hAnsi="Verdana" w:cs="Arial"/>
                <w:sz w:val="16"/>
                <w:szCs w:val="16"/>
                <w:lang w:val="es-ES" w:eastAsia="es-ES"/>
              </w:rPr>
            </w:pPr>
            <w:r w:rsidRPr="00F43C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12F422" w14:textId="77777777" w:rsidR="00B24075" w:rsidRPr="00F43CC7" w:rsidRDefault="00B24075" w:rsidP="002770FE">
            <w:pPr>
              <w:pStyle w:val="paragraph"/>
              <w:spacing w:before="0" w:beforeAutospacing="0" w:after="0" w:afterAutospacing="0"/>
              <w:contextualSpacing/>
              <w:textAlignment w:val="baseline"/>
              <w:rPr>
                <w:rFonts w:ascii="Verdana" w:hAnsi="Verdana" w:cs="Segoe UI"/>
                <w:sz w:val="16"/>
                <w:szCs w:val="16"/>
                <w:lang w:val="es-ES"/>
              </w:rPr>
            </w:pPr>
            <w:r w:rsidRPr="00F43CC7">
              <w:rPr>
                <w:rFonts w:ascii="Verdana" w:hAnsi="Verdana" w:cs="Segoe UI"/>
                <w:sz w:val="16"/>
                <w:szCs w:val="16"/>
                <w:lang w:val="es-ES"/>
              </w:rPr>
              <w:t>Diana Lucía Saavedra Castañeda</w:t>
            </w:r>
          </w:p>
          <w:p w14:paraId="0A2CA3D5" w14:textId="77777777" w:rsidR="00B24075" w:rsidRPr="00F43CC7" w:rsidRDefault="00B24075" w:rsidP="002770FE">
            <w:pPr>
              <w:pStyle w:val="paragraph"/>
              <w:spacing w:before="0" w:beforeAutospacing="0" w:after="0" w:afterAutospacing="0"/>
              <w:contextualSpacing/>
              <w:textAlignment w:val="baseline"/>
              <w:rPr>
                <w:rFonts w:ascii="Verdana" w:hAnsi="Verdana" w:cs="Segoe UI"/>
                <w:sz w:val="16"/>
                <w:szCs w:val="16"/>
                <w:lang w:val="es-ES"/>
              </w:rPr>
            </w:pPr>
            <w:r w:rsidRPr="00F43CC7">
              <w:rPr>
                <w:rStyle w:val="normaltextrun"/>
                <w:rFonts w:ascii="Verdana" w:eastAsia="Arial" w:hAnsi="Verdana" w:cs="Arial"/>
                <w:color w:val="000000" w:themeColor="text1"/>
                <w:sz w:val="16"/>
                <w:szCs w:val="16"/>
                <w:lang w:val="es-ES"/>
              </w:rPr>
              <w:t xml:space="preserve">Contratista de la Subdirección </w:t>
            </w:r>
            <w:r w:rsidRPr="00F43CC7">
              <w:rPr>
                <w:rStyle w:val="normaltextrun"/>
                <w:rFonts w:ascii="Verdana" w:eastAsia="Arial" w:hAnsi="Verdana" w:cs="Arial"/>
                <w:sz w:val="16"/>
                <w:szCs w:val="16"/>
                <w:lang w:val="es-ES"/>
              </w:rPr>
              <w:t>de Gestión Contractual</w:t>
            </w:r>
          </w:p>
        </w:tc>
      </w:tr>
      <w:tr w:rsidR="00B24075" w:rsidRPr="00F43CC7" w14:paraId="0C9164B6" w14:textId="77777777" w:rsidTr="002770FE">
        <w:trPr>
          <w:trHeight w:val="300"/>
        </w:trPr>
        <w:tc>
          <w:tcPr>
            <w:tcW w:w="893" w:type="dxa"/>
            <w:vAlign w:val="center"/>
          </w:tcPr>
          <w:p w14:paraId="2759CE52" w14:textId="77777777" w:rsidR="00B24075" w:rsidRPr="00F43CC7" w:rsidRDefault="00B24075" w:rsidP="002770FE">
            <w:pPr>
              <w:contextualSpacing/>
              <w:rPr>
                <w:rFonts w:ascii="Verdana" w:hAnsi="Verdana" w:cs="Arial"/>
                <w:sz w:val="16"/>
                <w:szCs w:val="16"/>
                <w:lang w:val="es-ES" w:eastAsia="es-ES"/>
              </w:rPr>
            </w:pPr>
            <w:r w:rsidRPr="00F43C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B4CE15A" w14:textId="77777777" w:rsidR="00B24075" w:rsidRPr="00F43CC7" w:rsidRDefault="00B24075" w:rsidP="002770FE">
            <w:pPr>
              <w:contextualSpacing/>
              <w:rPr>
                <w:rFonts w:ascii="Verdana" w:eastAsia="Calibri" w:hAnsi="Verdana" w:cs="Arial"/>
                <w:sz w:val="16"/>
                <w:szCs w:val="16"/>
                <w:lang w:val="es-ES" w:eastAsia="es-ES"/>
              </w:rPr>
            </w:pPr>
            <w:r w:rsidRPr="00F43CC7">
              <w:rPr>
                <w:rFonts w:ascii="Verdana" w:eastAsia="Calibri" w:hAnsi="Verdana" w:cs="Arial"/>
                <w:sz w:val="16"/>
                <w:szCs w:val="16"/>
                <w:lang w:val="es-ES" w:eastAsia="es-ES"/>
              </w:rPr>
              <w:t>Carolina Quintero Gacharná</w:t>
            </w:r>
          </w:p>
          <w:p w14:paraId="0F6E1111" w14:textId="77777777" w:rsidR="00B24075" w:rsidRPr="00F43CC7" w:rsidRDefault="00B24075" w:rsidP="002770FE">
            <w:pPr>
              <w:contextualSpacing/>
              <w:rPr>
                <w:rFonts w:ascii="Verdana" w:eastAsia="Calibri" w:hAnsi="Verdana" w:cs="Arial"/>
                <w:sz w:val="16"/>
                <w:szCs w:val="16"/>
                <w:lang w:val="es-ES" w:eastAsia="es-ES"/>
              </w:rPr>
            </w:pPr>
            <w:r w:rsidRPr="00F43CC7">
              <w:rPr>
                <w:rFonts w:ascii="Verdana" w:eastAsia="Calibri" w:hAnsi="Verdana" w:cs="Arial"/>
                <w:sz w:val="16"/>
                <w:szCs w:val="16"/>
                <w:lang w:val="es-ES" w:eastAsia="es-ES"/>
              </w:rPr>
              <w:t>Subdirectora de Gestión Contractual ANCP – CCE</w:t>
            </w:r>
          </w:p>
        </w:tc>
      </w:tr>
      <w:bookmarkEnd w:id="0"/>
    </w:tbl>
    <w:p w14:paraId="0F293BF4" w14:textId="6B0F32DF" w:rsidR="00127233" w:rsidRPr="00506B0C" w:rsidRDefault="00127233" w:rsidP="00506B0C"/>
    <w:sectPr w:rsidR="00127233" w:rsidRPr="00506B0C"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A2E506" w14:textId="77777777" w:rsidR="00B925B8" w:rsidRDefault="00B925B8" w:rsidP="004A1847">
      <w:pPr>
        <w:spacing w:after="0" w:line="240" w:lineRule="auto"/>
      </w:pPr>
      <w:r>
        <w:separator/>
      </w:r>
    </w:p>
  </w:endnote>
  <w:endnote w:type="continuationSeparator" w:id="0">
    <w:p w14:paraId="7F7AAA62" w14:textId="77777777" w:rsidR="00B925B8" w:rsidRDefault="00B925B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DE925B" w14:textId="77777777" w:rsidR="00B925B8" w:rsidRDefault="00B925B8" w:rsidP="004A1847">
      <w:pPr>
        <w:spacing w:after="0" w:line="240" w:lineRule="auto"/>
      </w:pPr>
      <w:r>
        <w:separator/>
      </w:r>
    </w:p>
  </w:footnote>
  <w:footnote w:type="continuationSeparator" w:id="0">
    <w:p w14:paraId="5B5F6722" w14:textId="77777777" w:rsidR="00B925B8" w:rsidRDefault="00B925B8" w:rsidP="004A1847">
      <w:pPr>
        <w:spacing w:after="0" w:line="240" w:lineRule="auto"/>
      </w:pPr>
      <w:r>
        <w:continuationSeparator/>
      </w:r>
    </w:p>
  </w:footnote>
  <w:footnote w:id="1">
    <w:p w14:paraId="378C06ED" w14:textId="77777777" w:rsidR="00B24075" w:rsidRPr="0016660C" w:rsidRDefault="00B24075" w:rsidP="00B24075">
      <w:pPr>
        <w:pStyle w:val="FootnoteText"/>
        <w:ind w:firstLine="709"/>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1F27B88" w14:textId="77777777" w:rsidR="00B24075" w:rsidRPr="0016660C" w:rsidRDefault="00B24075" w:rsidP="00B24075">
      <w:pPr>
        <w:pStyle w:val="FootnoteText"/>
        <w:ind w:firstLine="709"/>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1E79C42F" w14:textId="77777777" w:rsidR="00B24075" w:rsidRPr="0016660C" w:rsidRDefault="00B24075" w:rsidP="00B24075">
      <w:pPr>
        <w:pStyle w:val="FootnoteText"/>
        <w:ind w:firstLine="709"/>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40680642" w14:textId="77777777" w:rsidR="00B24075" w:rsidRPr="0016660C" w:rsidRDefault="00B24075" w:rsidP="00B24075">
      <w:pPr>
        <w:pStyle w:val="FootnoteText"/>
        <w:ind w:firstLine="709"/>
        <w:jc w:val="both"/>
        <w:rPr>
          <w:rFonts w:ascii="Verdana" w:hAnsi="Verdana" w:cs="Arial"/>
          <w:sz w:val="16"/>
          <w:szCs w:val="16"/>
          <w:lang w:val="pt-BR"/>
        </w:rPr>
      </w:pPr>
      <w:r w:rsidRPr="0016660C">
        <w:rPr>
          <w:rStyle w:val="FootnoteReference"/>
          <w:rFonts w:ascii="Verdana" w:hAnsi="Verdana" w:cs="Arial"/>
          <w:sz w:val="16"/>
          <w:szCs w:val="16"/>
        </w:rPr>
        <w:footnoteRef/>
      </w:r>
      <w:r w:rsidRPr="0016660C">
        <w:rPr>
          <w:rFonts w:ascii="Verdana" w:hAnsi="Verdana" w:cs="Arial"/>
          <w:sz w:val="16"/>
          <w:szCs w:val="16"/>
          <w:lang w:val="pt-BR"/>
        </w:rPr>
        <w:t xml:space="preserve"> Corte Constitucional</w:t>
      </w:r>
      <w:r>
        <w:rPr>
          <w:rFonts w:ascii="Verdana" w:hAnsi="Verdana" w:cs="Arial"/>
          <w:sz w:val="16"/>
          <w:szCs w:val="16"/>
          <w:lang w:val="pt-BR"/>
        </w:rPr>
        <w:t xml:space="preserve">. </w:t>
      </w:r>
      <w:r w:rsidRPr="0016660C">
        <w:rPr>
          <w:rFonts w:ascii="Verdana" w:hAnsi="Verdana" w:cs="Arial"/>
          <w:sz w:val="16"/>
          <w:szCs w:val="16"/>
          <w:lang w:val="pt-BR"/>
        </w:rPr>
        <w:t xml:space="preserve">Sentencia C- 1153 de 2005, M.P. Marco Gerardo </w:t>
      </w:r>
      <w:proofErr w:type="spellStart"/>
      <w:r w:rsidRPr="0016660C">
        <w:rPr>
          <w:rFonts w:ascii="Verdana" w:hAnsi="Verdana" w:cs="Arial"/>
          <w:sz w:val="16"/>
          <w:szCs w:val="16"/>
          <w:lang w:val="pt-BR"/>
        </w:rPr>
        <w:t>Monroy</w:t>
      </w:r>
      <w:proofErr w:type="spellEnd"/>
      <w:r w:rsidRPr="0016660C">
        <w:rPr>
          <w:rFonts w:ascii="Verdana" w:hAnsi="Verdana" w:cs="Arial"/>
          <w:sz w:val="16"/>
          <w:szCs w:val="16"/>
          <w:lang w:val="pt-BR"/>
        </w:rPr>
        <w:t xml:space="preserve"> Cabra.</w:t>
      </w:r>
    </w:p>
  </w:footnote>
  <w:footnote w:id="4">
    <w:p w14:paraId="71C4DAE1" w14:textId="77777777" w:rsidR="00B24075" w:rsidRPr="0016660C" w:rsidRDefault="00B24075" w:rsidP="00B24075">
      <w:pPr>
        <w:pStyle w:val="FootnoteText"/>
        <w:ind w:firstLine="709"/>
        <w:jc w:val="both"/>
        <w:rPr>
          <w:rFonts w:ascii="Verdana" w:hAnsi="Verdana" w:cs="Arial"/>
          <w:sz w:val="16"/>
          <w:szCs w:val="16"/>
          <w:lang w:val="pt-BR"/>
        </w:rPr>
      </w:pPr>
      <w:r w:rsidRPr="0016660C">
        <w:rPr>
          <w:rStyle w:val="FootnoteReferenc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280DDFD4" w14:textId="77777777" w:rsidR="00B24075" w:rsidRPr="0016660C" w:rsidRDefault="00B24075" w:rsidP="00B24075">
      <w:pPr>
        <w:pStyle w:val="FootnoteText"/>
        <w:ind w:firstLine="709"/>
        <w:jc w:val="both"/>
        <w:rPr>
          <w:rFonts w:ascii="Verdana" w:hAnsi="Verdana" w:cs="Arial"/>
          <w:sz w:val="16"/>
          <w:szCs w:val="16"/>
          <w:lang w:val="es-CO"/>
        </w:rPr>
      </w:pPr>
      <w:r w:rsidRPr="0016660C">
        <w:rPr>
          <w:rStyle w:val="FootnoteReference"/>
          <w:rFonts w:ascii="Verdana" w:hAnsi="Verdana" w:cs="Arial"/>
          <w:sz w:val="16"/>
          <w:szCs w:val="16"/>
        </w:rPr>
        <w:footnoteRef/>
      </w:r>
      <w:r w:rsidRPr="0016660C">
        <w:rPr>
          <w:rFonts w:ascii="Verdana" w:hAnsi="Verdana" w:cs="Arial"/>
          <w:sz w:val="16"/>
          <w:szCs w:val="16"/>
          <w:lang w:val="es-CO"/>
        </w:rPr>
        <w:t xml:space="preserve"> Consejo de Estado</w:t>
      </w:r>
      <w:r>
        <w:rPr>
          <w:rFonts w:ascii="Verdana" w:hAnsi="Verdana" w:cs="Arial"/>
          <w:sz w:val="16"/>
          <w:szCs w:val="16"/>
          <w:lang w:val="es-CO"/>
        </w:rPr>
        <w:t>.</w:t>
      </w:r>
      <w:r w:rsidRPr="0016660C">
        <w:rPr>
          <w:rFonts w:ascii="Verdana" w:hAnsi="Verdana" w:cs="Arial"/>
          <w:sz w:val="16"/>
          <w:szCs w:val="16"/>
          <w:lang w:val="es-CO"/>
        </w:rPr>
        <w:t xml:space="preserve">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75085AF" w14:textId="77777777" w:rsidR="00B24075" w:rsidRPr="0016660C" w:rsidRDefault="00B24075" w:rsidP="00B24075">
      <w:pPr>
        <w:pStyle w:val="FootnoteText"/>
        <w:ind w:firstLine="709"/>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w:t>
      </w:r>
      <w:r>
        <w:rPr>
          <w:rFonts w:ascii="Verdana" w:hAnsi="Verdana" w:cs="Arial"/>
          <w:sz w:val="16"/>
          <w:szCs w:val="16"/>
        </w:rPr>
        <w:t xml:space="preserve">. </w:t>
      </w:r>
      <w:r w:rsidRPr="0016660C">
        <w:rPr>
          <w:rFonts w:ascii="Verdana" w:hAnsi="Verdana" w:cs="Arial"/>
          <w:sz w:val="16"/>
          <w:szCs w:val="16"/>
        </w:rPr>
        <w:t xml:space="preserve">Sala de Consulta y Servicio Civil de fecha 24 de julio de 2013, Rad. 2166, C. P. Álvaro Namén Vargas.  </w:t>
      </w:r>
    </w:p>
  </w:footnote>
  <w:footnote w:id="7">
    <w:p w14:paraId="272550DC" w14:textId="77777777" w:rsidR="00B24075" w:rsidRPr="0016660C" w:rsidRDefault="00B24075" w:rsidP="00B24075">
      <w:pPr>
        <w:spacing w:after="0" w:line="240" w:lineRule="auto"/>
        <w:ind w:firstLine="709"/>
        <w:jc w:val="both"/>
        <w:rPr>
          <w:rFonts w:ascii="Verdana" w:eastAsia="Times New Roman"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5D9BC9EF" w14:textId="77777777" w:rsidR="00B24075" w:rsidRPr="0016660C" w:rsidRDefault="00B24075" w:rsidP="00B24075">
      <w:pPr>
        <w:spacing w:after="0" w:line="240" w:lineRule="auto"/>
        <w:ind w:firstLine="709"/>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3C9EB0A3" w14:textId="77777777" w:rsidR="00B24075" w:rsidRPr="0016660C" w:rsidRDefault="00B24075" w:rsidP="00B24075">
      <w:pPr>
        <w:pStyle w:val="NormalWeb"/>
        <w:spacing w:before="0" w:beforeAutospacing="0" w:after="0" w:afterAutospacing="0"/>
        <w:ind w:firstLine="709"/>
        <w:jc w:val="both"/>
        <w:rPr>
          <w:rFonts w:ascii="Verdana" w:hAnsi="Verdana" w:cs="Arial"/>
          <w:sz w:val="16"/>
          <w:szCs w:val="16"/>
          <w:lang w:val="es-MX"/>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2EEB3CC0" w14:textId="77777777" w:rsidR="00B24075" w:rsidRPr="0016660C" w:rsidRDefault="00B24075" w:rsidP="00B24075">
      <w:pPr>
        <w:pStyle w:val="NormalWeb"/>
        <w:spacing w:before="0" w:beforeAutospacing="0" w:after="0" w:afterAutospacing="0"/>
        <w:ind w:firstLine="709"/>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9">
    <w:p w14:paraId="11865BEF" w14:textId="77777777" w:rsidR="00B24075" w:rsidRPr="0016660C" w:rsidRDefault="00B24075" w:rsidP="00B24075">
      <w:pPr>
        <w:spacing w:after="0" w:line="240" w:lineRule="auto"/>
        <w:ind w:left="100" w:right="244" w:firstLine="709"/>
        <w:jc w:val="both"/>
        <w:rPr>
          <w:rFonts w:ascii="Verdana" w:hAnsi="Verdana" w:cs="Arial"/>
          <w:sz w:val="16"/>
          <w:szCs w:val="16"/>
          <w:lang w:val="es-ES"/>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6A818C8E" w14:textId="77777777" w:rsidR="00B24075" w:rsidRPr="0016660C" w:rsidRDefault="00B24075" w:rsidP="00B24075">
      <w:pPr>
        <w:pStyle w:val="FootnoteText"/>
        <w:ind w:right="51" w:firstLine="709"/>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1">
    <w:p w14:paraId="06FA0E4A" w14:textId="77777777" w:rsidR="00B24075" w:rsidRPr="0016660C" w:rsidRDefault="00B24075" w:rsidP="00B24075">
      <w:pPr>
        <w:pStyle w:val="FootnoteText"/>
        <w:ind w:firstLine="709"/>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2">
    <w:p w14:paraId="4202D32C" w14:textId="77777777" w:rsidR="00B24075" w:rsidRPr="0016660C" w:rsidRDefault="00B24075" w:rsidP="00B24075">
      <w:pPr>
        <w:pStyle w:val="FootnoteText"/>
        <w:ind w:firstLine="709"/>
        <w:jc w:val="both"/>
        <w:rPr>
          <w:rFonts w:ascii="Verdana" w:hAnsi="Verdana" w:cs="Arial"/>
          <w:sz w:val="16"/>
          <w:szCs w:val="16"/>
          <w:lang w:val="es-ES"/>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3">
    <w:p w14:paraId="016C11DC" w14:textId="77777777" w:rsidR="00B24075" w:rsidRPr="0016660C" w:rsidRDefault="00B24075" w:rsidP="00B24075">
      <w:pPr>
        <w:pStyle w:val="FootnoteText"/>
        <w:ind w:firstLine="709"/>
        <w:jc w:val="both"/>
        <w:rPr>
          <w:rFonts w:ascii="Verdana" w:hAnsi="Verdana" w:cs="Arial"/>
          <w:sz w:val="16"/>
          <w:szCs w:val="16"/>
          <w:lang w:val="es-ES"/>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4">
    <w:p w14:paraId="29F5D45A" w14:textId="77777777" w:rsidR="00B24075" w:rsidRPr="0016660C" w:rsidRDefault="00B24075" w:rsidP="00B24075">
      <w:pPr>
        <w:pStyle w:val="FootnoteText"/>
        <w:ind w:firstLine="709"/>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5">
    <w:p w14:paraId="56E059B6" w14:textId="77777777" w:rsidR="00B24075" w:rsidRPr="004B35AC" w:rsidRDefault="00B24075" w:rsidP="00B24075">
      <w:pPr>
        <w:pStyle w:val="FootnoteText"/>
        <w:ind w:firstLine="708"/>
        <w:jc w:val="both"/>
        <w:rPr>
          <w:rFonts w:ascii="Verdana" w:hAnsi="Verdana" w:cs="Arial"/>
          <w:sz w:val="16"/>
          <w:szCs w:val="16"/>
        </w:rPr>
      </w:pPr>
      <w:r w:rsidRPr="004B35AC">
        <w:rPr>
          <w:rStyle w:val="FootnoteReference"/>
          <w:rFonts w:ascii="Verdana" w:hAnsi="Verdana" w:cs="Arial"/>
          <w:sz w:val="16"/>
          <w:szCs w:val="16"/>
        </w:rPr>
        <w:footnoteRef/>
      </w:r>
      <w:r w:rsidRPr="004B35A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16">
    <w:p w14:paraId="77DE785D" w14:textId="77777777" w:rsidR="00B24075" w:rsidRPr="0016660C" w:rsidRDefault="00B24075" w:rsidP="00B24075">
      <w:pPr>
        <w:pStyle w:val="FootnoteText"/>
        <w:ind w:firstLine="708"/>
        <w:jc w:val="both"/>
        <w:rPr>
          <w:rFonts w:ascii="Verdana" w:hAnsi="Verdana"/>
          <w:sz w:val="16"/>
          <w:szCs w:val="16"/>
          <w:lang w:val="es-ES"/>
        </w:rPr>
      </w:pPr>
      <w:r w:rsidRPr="0016660C">
        <w:rPr>
          <w:rStyle w:val="FootnoteReferenc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7">
    <w:p w14:paraId="2CBC76D5" w14:textId="77777777" w:rsidR="00B24075" w:rsidRPr="004674CF" w:rsidRDefault="00B24075" w:rsidP="00B24075">
      <w:pPr>
        <w:spacing w:after="0" w:line="240" w:lineRule="auto"/>
        <w:ind w:firstLine="709"/>
        <w:jc w:val="both"/>
        <w:rPr>
          <w:rFonts w:ascii="Verdana" w:hAnsi="Verdana" w:cs="Arial"/>
          <w:sz w:val="16"/>
          <w:szCs w:val="16"/>
        </w:rPr>
      </w:pPr>
      <w:r w:rsidRPr="004674CF">
        <w:rPr>
          <w:rStyle w:val="FootnoteReference"/>
          <w:rFonts w:ascii="Verdana" w:hAnsi="Verdana" w:cs="Arial"/>
          <w:sz w:val="16"/>
          <w:szCs w:val="16"/>
        </w:rPr>
        <w:footnoteRef/>
      </w:r>
      <w:r w:rsidRPr="004674CF">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55278459" w14:textId="77777777" w:rsidR="00B24075" w:rsidRPr="004674CF" w:rsidRDefault="00B24075" w:rsidP="00B24075">
      <w:pPr>
        <w:pStyle w:val="FootnoteText"/>
        <w:ind w:right="51" w:firstLine="709"/>
        <w:jc w:val="both"/>
        <w:rPr>
          <w:rFonts w:ascii="Verdana" w:eastAsia="Times New Roman" w:hAnsi="Verdana" w:cs="Arial"/>
          <w:bCs/>
          <w:sz w:val="16"/>
          <w:szCs w:val="16"/>
          <w:lang w:eastAsia="x-none"/>
        </w:rPr>
      </w:pPr>
      <w:r w:rsidRPr="004674CF">
        <w:rPr>
          <w:rStyle w:val="FootnoteReferenc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2006.C.P. Enrique José Arboleda Perdomo. </w:t>
      </w:r>
      <w:r w:rsidRPr="004674CF">
        <w:rPr>
          <w:rFonts w:ascii="Verdana" w:hAnsi="Verdana" w:cs="Arial"/>
          <w:sz w:val="16"/>
          <w:szCs w:val="16"/>
          <w:lang w:val="es-CO"/>
        </w:rPr>
        <w:t>Rad. 1738</w:t>
      </w:r>
      <w:r w:rsidRPr="004674CF">
        <w:rPr>
          <w:rFonts w:ascii="Verdana" w:eastAsia="Times New Roman" w:hAnsi="Verdana" w:cs="Arial"/>
          <w:bCs/>
          <w:sz w:val="16"/>
          <w:szCs w:val="16"/>
          <w:lang w:eastAsia="x-none"/>
        </w:rPr>
        <w:t xml:space="preserve"> “</w:t>
      </w:r>
      <w:r w:rsidRPr="004674CF">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674CF">
        <w:rPr>
          <w:rFonts w:ascii="Verdana" w:eastAsia="Times New Roman" w:hAnsi="Verdana" w:cs="Arial"/>
          <w:bCs/>
          <w:sz w:val="16"/>
          <w:szCs w:val="16"/>
          <w:lang w:eastAsia="x-none"/>
        </w:rPr>
        <w:t>”.</w:t>
      </w:r>
    </w:p>
  </w:footnote>
  <w:footnote w:id="19">
    <w:p w14:paraId="680D224C" w14:textId="77777777" w:rsidR="00B24075" w:rsidRPr="004674CF" w:rsidRDefault="00B24075" w:rsidP="00B24075">
      <w:pPr>
        <w:spacing w:after="0" w:line="240" w:lineRule="auto"/>
        <w:ind w:firstLine="708"/>
        <w:jc w:val="both"/>
        <w:rPr>
          <w:rFonts w:ascii="Verdana" w:hAnsi="Verdana" w:cs="Arial"/>
          <w:sz w:val="16"/>
          <w:szCs w:val="16"/>
        </w:rPr>
      </w:pPr>
      <w:r w:rsidRPr="004674CF">
        <w:rPr>
          <w:rStyle w:val="FootnoteReferenc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 C.P. Enrique José Arboleda Perdomo. Rad. 1738. </w:t>
      </w:r>
    </w:p>
  </w:footnote>
  <w:footnote w:id="20">
    <w:p w14:paraId="5AE9A0E3" w14:textId="77777777" w:rsidR="00B24075" w:rsidRPr="004674CF" w:rsidRDefault="00B24075" w:rsidP="00B24075">
      <w:pPr>
        <w:pStyle w:val="FootnoteText"/>
        <w:ind w:right="51" w:firstLine="709"/>
        <w:jc w:val="both"/>
        <w:rPr>
          <w:rFonts w:ascii="Verdana" w:hAnsi="Verdana" w:cs="Arial"/>
          <w:sz w:val="16"/>
          <w:szCs w:val="16"/>
        </w:rPr>
      </w:pPr>
      <w:r w:rsidRPr="004674CF">
        <w:rPr>
          <w:rStyle w:val="FootnoteReference"/>
          <w:rFonts w:ascii="Verdana" w:hAnsi="Verdana" w:cs="Arial"/>
          <w:sz w:val="16"/>
          <w:szCs w:val="16"/>
        </w:rPr>
        <w:footnoteRef/>
      </w:r>
      <w:r w:rsidRPr="004674CF">
        <w:rPr>
          <w:rFonts w:ascii="Verdana" w:hAnsi="Verdana" w:cs="Arial"/>
          <w:sz w:val="16"/>
          <w:szCs w:val="16"/>
        </w:rPr>
        <w:t xml:space="preserve"> Consejo de Estado. Sala de Consulta y Servicio Civil, ídem.</w:t>
      </w:r>
    </w:p>
  </w:footnote>
  <w:footnote w:id="21">
    <w:p w14:paraId="4FCE1827" w14:textId="77777777" w:rsidR="00B24075" w:rsidRPr="0016660C" w:rsidRDefault="00B24075" w:rsidP="00B24075">
      <w:pPr>
        <w:spacing w:after="0" w:line="240" w:lineRule="auto"/>
        <w:ind w:firstLine="709"/>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30817B64" w14:textId="77777777" w:rsidR="00B24075" w:rsidRPr="0016660C" w:rsidRDefault="00B24075" w:rsidP="00B24075">
      <w:pPr>
        <w:pStyle w:val="FootnoteText"/>
        <w:ind w:firstLine="708"/>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w:t>
      </w:r>
      <w:r>
        <w:rPr>
          <w:rFonts w:ascii="Verdana" w:hAnsi="Verdana" w:cs="Arial"/>
          <w:color w:val="000000" w:themeColor="text1"/>
          <w:sz w:val="16"/>
          <w:szCs w:val="16"/>
        </w:rPr>
        <w:t xml:space="preserve">orte </w:t>
      </w:r>
      <w:r w:rsidRPr="0016660C">
        <w:rPr>
          <w:rFonts w:ascii="Verdana" w:hAnsi="Verdana" w:cs="Arial"/>
          <w:color w:val="000000" w:themeColor="text1"/>
          <w:sz w:val="16"/>
          <w:szCs w:val="16"/>
        </w:rPr>
        <w:t>C</w:t>
      </w:r>
      <w:r>
        <w:rPr>
          <w:rFonts w:ascii="Verdana" w:hAnsi="Verdana" w:cs="Arial"/>
          <w:color w:val="000000" w:themeColor="text1"/>
          <w:sz w:val="16"/>
          <w:szCs w:val="16"/>
        </w:rPr>
        <w:t>onstitucional</w:t>
      </w:r>
      <w:r w:rsidRPr="0016660C">
        <w:rPr>
          <w:rFonts w:ascii="Verdana" w:hAnsi="Verdana" w:cs="Arial"/>
          <w:color w:val="000000" w:themeColor="text1"/>
          <w:sz w:val="16"/>
          <w:szCs w:val="16"/>
        </w:rPr>
        <w:t xml:space="preserve">. Sentencia C-1153 de 2005 M.P. Marco Gerardo Monroy Cabra. </w:t>
      </w:r>
    </w:p>
  </w:footnote>
  <w:footnote w:id="23">
    <w:p w14:paraId="72678264" w14:textId="77777777" w:rsidR="00B24075" w:rsidRPr="0016660C" w:rsidRDefault="00B24075" w:rsidP="00B24075">
      <w:pPr>
        <w:pStyle w:val="FootnoteText"/>
        <w:ind w:firstLine="708"/>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w:t>
      </w:r>
      <w:r>
        <w:rPr>
          <w:rFonts w:ascii="Verdana" w:hAnsi="Verdana" w:cs="Arial"/>
          <w:color w:val="000000" w:themeColor="text1"/>
          <w:sz w:val="16"/>
          <w:szCs w:val="16"/>
        </w:rPr>
        <w:t>Consejo de Estado.</w:t>
      </w:r>
      <w:r w:rsidRPr="0016660C">
        <w:rPr>
          <w:rFonts w:ascii="Verdana" w:hAnsi="Verdana" w:cs="Arial"/>
          <w:color w:val="000000" w:themeColor="text1"/>
          <w:sz w:val="16"/>
          <w:szCs w:val="16"/>
        </w:rPr>
        <w:t xml:space="preserve"> Sala de Consulta y Servicio Civil. Concepto del 18 de febrero 2010. Rad. 11001-03-06-000-2010-00006-00 (1985). C.P. Enrique José Arboleda Perdomo.</w:t>
      </w:r>
    </w:p>
  </w:footnote>
  <w:footnote w:id="24">
    <w:p w14:paraId="08023915" w14:textId="77777777" w:rsidR="00B24075" w:rsidRPr="0016660C" w:rsidRDefault="00B24075" w:rsidP="00B24075">
      <w:pPr>
        <w:pStyle w:val="FootnoteText"/>
        <w:ind w:firstLine="708"/>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5">
    <w:p w14:paraId="58548CC1" w14:textId="77777777" w:rsidR="00B24075" w:rsidRPr="00013ED1" w:rsidRDefault="00B24075" w:rsidP="00B24075">
      <w:pPr>
        <w:pStyle w:val="FootnoteText"/>
        <w:ind w:firstLine="708"/>
        <w:jc w:val="both"/>
        <w:rPr>
          <w:rFonts w:ascii="Verdana" w:hAnsi="Verdana"/>
          <w:sz w:val="16"/>
          <w:szCs w:val="16"/>
          <w:lang w:val="es-CO"/>
        </w:rPr>
      </w:pPr>
      <w:r w:rsidRPr="00E73AA2">
        <w:rPr>
          <w:rStyle w:val="FootnoteReference"/>
          <w:rFonts w:ascii="Verdana" w:hAnsi="Verdana"/>
          <w:sz w:val="16"/>
          <w:szCs w:val="16"/>
        </w:rPr>
        <w:footnoteRef/>
      </w:r>
      <w:r w:rsidRPr="00E73AA2">
        <w:rPr>
          <w:rFonts w:ascii="Verdana" w:hAnsi="Verdana"/>
          <w:sz w:val="16"/>
          <w:szCs w:val="16"/>
        </w:rPr>
        <w:t xml:space="preserve"> </w:t>
      </w:r>
      <w:r>
        <w:rPr>
          <w:rFonts w:ascii="Verdana" w:hAnsi="Verdana"/>
          <w:sz w:val="16"/>
          <w:szCs w:val="16"/>
        </w:rPr>
        <w:t>PINO RICCI, Jorge. Régimen jurídico de los contratos estatales. Bogotá: Universidad Externado de Colombia, 2005. p. 264.</w:t>
      </w:r>
    </w:p>
  </w:footnote>
  <w:footnote w:id="26">
    <w:p w14:paraId="3EA8B5CF" w14:textId="77777777" w:rsidR="00B24075" w:rsidRPr="00EA7B5D" w:rsidRDefault="00B24075" w:rsidP="00B24075">
      <w:pPr>
        <w:pStyle w:val="FootnoteText"/>
        <w:ind w:firstLine="708"/>
        <w:rPr>
          <w:rFonts w:ascii="Verdana" w:hAnsi="Verdana"/>
          <w:sz w:val="16"/>
          <w:szCs w:val="16"/>
          <w:lang w:val="es-CO"/>
        </w:rPr>
      </w:pPr>
      <w:r w:rsidRPr="00EA7B5D">
        <w:rPr>
          <w:rStyle w:val="FootnoteReference"/>
          <w:rFonts w:ascii="Verdana" w:hAnsi="Verdana"/>
          <w:sz w:val="16"/>
          <w:szCs w:val="16"/>
        </w:rPr>
        <w:footnoteRef/>
      </w:r>
      <w:r w:rsidRPr="00EA7B5D">
        <w:rPr>
          <w:rFonts w:ascii="Verdana" w:hAnsi="Verdana"/>
          <w:sz w:val="16"/>
          <w:szCs w:val="16"/>
        </w:rPr>
        <w:t xml:space="preserve"> DÁVILA VINUEZA</w:t>
      </w:r>
      <w:r>
        <w:rPr>
          <w:rFonts w:ascii="Verdana" w:hAnsi="Verdana"/>
          <w:sz w:val="16"/>
          <w:szCs w:val="16"/>
        </w:rPr>
        <w:t>, Régimen jurídico… Ob. cit., p. 505.</w:t>
      </w:r>
    </w:p>
  </w:footnote>
  <w:footnote w:id="27">
    <w:p w14:paraId="69539D0A" w14:textId="77777777" w:rsidR="00B24075" w:rsidRPr="00396C85" w:rsidRDefault="00B24075" w:rsidP="00B24075">
      <w:pPr>
        <w:pStyle w:val="FootnoteText"/>
        <w:ind w:firstLine="708"/>
        <w:jc w:val="both"/>
        <w:rPr>
          <w:rFonts w:ascii="Verdana" w:hAnsi="Verdana"/>
          <w:sz w:val="16"/>
          <w:szCs w:val="16"/>
          <w:lang w:val="es-CO"/>
        </w:rPr>
      </w:pPr>
      <w:r w:rsidRPr="00E672E3">
        <w:rPr>
          <w:rStyle w:val="FootnoteReference"/>
          <w:rFonts w:ascii="Verdana" w:hAnsi="Verdana"/>
          <w:sz w:val="16"/>
          <w:szCs w:val="16"/>
        </w:rPr>
        <w:footnoteRef/>
      </w:r>
      <w:r w:rsidRPr="00E672E3">
        <w:rPr>
          <w:rFonts w:ascii="Verdana" w:hAnsi="Verdana"/>
          <w:sz w:val="16"/>
          <w:szCs w:val="16"/>
        </w:rPr>
        <w:t xml:space="preserve"> </w:t>
      </w:r>
      <w:r w:rsidRPr="00E672E3">
        <w:rPr>
          <w:rFonts w:ascii="Verdana" w:hAnsi="Verdana"/>
          <w:i/>
          <w:iCs/>
          <w:sz w:val="16"/>
          <w:szCs w:val="16"/>
        </w:rPr>
        <w:t>Ibidem</w:t>
      </w:r>
      <w:r>
        <w:rPr>
          <w:rFonts w:ascii="Verdana" w:hAnsi="Verdana"/>
          <w:sz w:val="16"/>
          <w:szCs w:val="16"/>
        </w:rPr>
        <w:t xml:space="preserve">. </w:t>
      </w:r>
    </w:p>
  </w:footnote>
  <w:footnote w:id="28">
    <w:p w14:paraId="47BC767A" w14:textId="77777777" w:rsidR="00B24075" w:rsidRPr="00F04E54" w:rsidRDefault="00B24075" w:rsidP="00B24075">
      <w:pPr>
        <w:pStyle w:val="FootnoteText"/>
        <w:ind w:firstLine="708"/>
        <w:jc w:val="both"/>
        <w:rPr>
          <w:rFonts w:ascii="Verdana" w:hAnsi="Verdana"/>
          <w:sz w:val="16"/>
          <w:szCs w:val="16"/>
        </w:rPr>
      </w:pPr>
      <w:r w:rsidRPr="00E672E3">
        <w:rPr>
          <w:rStyle w:val="FootnoteReference"/>
          <w:rFonts w:ascii="Verdana" w:hAnsi="Verdana"/>
          <w:sz w:val="16"/>
          <w:szCs w:val="16"/>
        </w:rPr>
        <w:footnoteRef/>
      </w:r>
      <w:r w:rsidRPr="00E672E3">
        <w:rPr>
          <w:rFonts w:ascii="Verdana" w:hAnsi="Verdana"/>
          <w:sz w:val="16"/>
          <w:szCs w:val="16"/>
        </w:rPr>
        <w:t xml:space="preserve"> </w:t>
      </w:r>
      <w:r w:rsidRPr="002B6A8A">
        <w:rPr>
          <w:rFonts w:ascii="Verdana" w:hAnsi="Verdana"/>
          <w:sz w:val="16"/>
          <w:szCs w:val="16"/>
        </w:rPr>
        <w:t>GONZÁLEZ LÓPEZ</w:t>
      </w:r>
      <w:r>
        <w:rPr>
          <w:rFonts w:ascii="Verdana" w:hAnsi="Verdana"/>
          <w:sz w:val="16"/>
          <w:szCs w:val="16"/>
        </w:rPr>
        <w:t xml:space="preserve">, Edgar. </w:t>
      </w:r>
      <w:r w:rsidRPr="00F04E54">
        <w:rPr>
          <w:rFonts w:ascii="Verdana" w:hAnsi="Verdana"/>
          <w:sz w:val="16"/>
          <w:szCs w:val="16"/>
        </w:rPr>
        <w:t>Los contratos</w:t>
      </w:r>
      <w:r>
        <w:rPr>
          <w:rFonts w:ascii="Verdana" w:hAnsi="Verdana"/>
          <w:sz w:val="16"/>
          <w:szCs w:val="16"/>
        </w:rPr>
        <w:t xml:space="preserve"> </w:t>
      </w:r>
      <w:r w:rsidRPr="00F04E54">
        <w:rPr>
          <w:rFonts w:ascii="Verdana" w:hAnsi="Verdana"/>
          <w:sz w:val="16"/>
          <w:szCs w:val="16"/>
        </w:rPr>
        <w:t>estatales.</w:t>
      </w:r>
      <w:r>
        <w:rPr>
          <w:rFonts w:ascii="Verdana" w:hAnsi="Verdana"/>
          <w:sz w:val="16"/>
          <w:szCs w:val="16"/>
        </w:rPr>
        <w:t xml:space="preserve"> </w:t>
      </w:r>
      <w:r w:rsidRPr="00F04E54">
        <w:rPr>
          <w:rFonts w:ascii="Verdana" w:hAnsi="Verdana"/>
          <w:sz w:val="16"/>
          <w:szCs w:val="16"/>
        </w:rPr>
        <w:t>El proceso de</w:t>
      </w:r>
      <w:r>
        <w:rPr>
          <w:rFonts w:ascii="Verdana" w:hAnsi="Verdana"/>
          <w:sz w:val="16"/>
          <w:szCs w:val="16"/>
        </w:rPr>
        <w:t xml:space="preserve"> </w:t>
      </w:r>
      <w:r w:rsidRPr="00F04E54">
        <w:rPr>
          <w:rFonts w:ascii="Verdana" w:hAnsi="Verdana"/>
          <w:sz w:val="16"/>
          <w:szCs w:val="16"/>
        </w:rPr>
        <w:t>selección y la</w:t>
      </w:r>
      <w:r>
        <w:rPr>
          <w:rFonts w:ascii="Verdana" w:hAnsi="Verdana"/>
          <w:sz w:val="16"/>
          <w:szCs w:val="16"/>
        </w:rPr>
        <w:t xml:space="preserve"> </w:t>
      </w:r>
      <w:r w:rsidRPr="00F04E54">
        <w:rPr>
          <w:rFonts w:ascii="Verdana" w:hAnsi="Verdana"/>
          <w:sz w:val="16"/>
          <w:szCs w:val="16"/>
        </w:rPr>
        <w:t>modificación de</w:t>
      </w:r>
      <w:r>
        <w:rPr>
          <w:rFonts w:ascii="Verdana" w:hAnsi="Verdana"/>
          <w:sz w:val="16"/>
          <w:szCs w:val="16"/>
        </w:rPr>
        <w:t xml:space="preserve"> </w:t>
      </w:r>
      <w:r w:rsidRPr="00F04E54">
        <w:rPr>
          <w:rFonts w:ascii="Verdana" w:hAnsi="Verdana"/>
          <w:sz w:val="16"/>
          <w:szCs w:val="16"/>
        </w:rPr>
        <w:t>los contratos</w:t>
      </w:r>
      <w:r>
        <w:rPr>
          <w:rFonts w:ascii="Verdana" w:hAnsi="Verdana"/>
          <w:sz w:val="16"/>
          <w:szCs w:val="16"/>
        </w:rPr>
        <w:t>. Bógotá: Universidad Externado de Colombia – Tirant lo Blanch, 2023.</w:t>
      </w:r>
      <w:r w:rsidRPr="00F04E54">
        <w:rPr>
          <w:rFonts w:ascii="Verdana" w:hAnsi="Verdana"/>
          <w:sz w:val="16"/>
          <w:szCs w:val="16"/>
        </w:rPr>
        <w:t xml:space="preserve"> </w:t>
      </w:r>
      <w:r>
        <w:rPr>
          <w:rFonts w:ascii="Verdana" w:hAnsi="Verdana"/>
          <w:sz w:val="16"/>
          <w:szCs w:val="16"/>
        </w:rPr>
        <w:t>p. 564.</w:t>
      </w:r>
    </w:p>
  </w:footnote>
  <w:footnote w:id="29">
    <w:p w14:paraId="241A0B1A" w14:textId="77777777" w:rsidR="00B24075" w:rsidRPr="003A0333" w:rsidRDefault="00B24075" w:rsidP="00B24075">
      <w:pPr>
        <w:pStyle w:val="FootnoteText"/>
        <w:ind w:firstLine="708"/>
        <w:jc w:val="both"/>
        <w:rPr>
          <w:rFonts w:ascii="Verdana" w:hAnsi="Verdana"/>
          <w:sz w:val="16"/>
          <w:szCs w:val="16"/>
        </w:rPr>
      </w:pPr>
      <w:r w:rsidRPr="003A0333">
        <w:rPr>
          <w:rStyle w:val="FootnoteReference"/>
          <w:rFonts w:ascii="Verdana" w:hAnsi="Verdana"/>
          <w:sz w:val="16"/>
          <w:szCs w:val="16"/>
        </w:rPr>
        <w:footnoteRef/>
      </w:r>
      <w:r w:rsidRPr="003A0333">
        <w:rPr>
          <w:rFonts w:ascii="Verdana" w:hAnsi="Verdana"/>
          <w:sz w:val="16"/>
          <w:szCs w:val="16"/>
        </w:rPr>
        <w:t xml:space="preserve"> </w:t>
      </w:r>
      <w:r>
        <w:rPr>
          <w:rFonts w:ascii="Verdana" w:hAnsi="Verdana"/>
          <w:sz w:val="16"/>
          <w:szCs w:val="16"/>
        </w:rPr>
        <w:t xml:space="preserve">RICO PUERTA, Luis Alonso. </w:t>
      </w:r>
      <w:r w:rsidRPr="003A0333">
        <w:rPr>
          <w:rFonts w:ascii="Verdana" w:hAnsi="Verdana"/>
          <w:sz w:val="16"/>
          <w:szCs w:val="16"/>
        </w:rPr>
        <w:t>Teoría general</w:t>
      </w:r>
      <w:r>
        <w:rPr>
          <w:rFonts w:ascii="Verdana" w:hAnsi="Verdana"/>
          <w:sz w:val="16"/>
          <w:szCs w:val="16"/>
        </w:rPr>
        <w:t xml:space="preserve"> </w:t>
      </w:r>
      <w:r w:rsidRPr="003A0333">
        <w:rPr>
          <w:rFonts w:ascii="Verdana" w:hAnsi="Verdana"/>
          <w:sz w:val="16"/>
          <w:szCs w:val="16"/>
        </w:rPr>
        <w:t>y práctica de la</w:t>
      </w:r>
      <w:r>
        <w:rPr>
          <w:rFonts w:ascii="Verdana" w:hAnsi="Verdana"/>
          <w:sz w:val="16"/>
          <w:szCs w:val="16"/>
        </w:rPr>
        <w:t xml:space="preserve"> </w:t>
      </w:r>
      <w:r w:rsidRPr="003A0333">
        <w:rPr>
          <w:rFonts w:ascii="Verdana" w:hAnsi="Verdana"/>
          <w:sz w:val="16"/>
          <w:szCs w:val="16"/>
        </w:rPr>
        <w:t>contratación estatal</w:t>
      </w:r>
      <w:r>
        <w:rPr>
          <w:rFonts w:ascii="Verdana" w:hAnsi="Verdana"/>
          <w:sz w:val="16"/>
          <w:szCs w:val="16"/>
        </w:rPr>
        <w:t xml:space="preserve">. Volumen II. </w:t>
      </w:r>
      <w:r w:rsidRPr="003A0333">
        <w:rPr>
          <w:rFonts w:ascii="Verdana" w:hAnsi="Verdana"/>
          <w:sz w:val="16"/>
          <w:szCs w:val="16"/>
        </w:rPr>
        <w:t>Decimotercera edición</w:t>
      </w:r>
      <w:r>
        <w:rPr>
          <w:rFonts w:ascii="Verdana" w:hAnsi="Verdana"/>
          <w:sz w:val="16"/>
          <w:szCs w:val="16"/>
        </w:rPr>
        <w:t xml:space="preserve">. Bogotá: </w:t>
      </w:r>
      <w:r w:rsidRPr="003A0333">
        <w:rPr>
          <w:rFonts w:ascii="Verdana" w:hAnsi="Verdana"/>
          <w:sz w:val="16"/>
          <w:szCs w:val="16"/>
        </w:rPr>
        <w:t>Grupo Editorial Ibañez</w:t>
      </w:r>
      <w:r>
        <w:rPr>
          <w:rFonts w:ascii="Verdana" w:hAnsi="Verdana"/>
          <w:sz w:val="16"/>
          <w:szCs w:val="16"/>
        </w:rPr>
        <w:t>, 2025. p. 1142.</w:t>
      </w:r>
    </w:p>
  </w:footnote>
  <w:footnote w:id="30">
    <w:p w14:paraId="1628A3B0" w14:textId="77777777" w:rsidR="00B24075" w:rsidRDefault="00B24075" w:rsidP="00B24075">
      <w:pPr>
        <w:pStyle w:val="FootnoteText"/>
        <w:ind w:firstLine="708"/>
        <w:jc w:val="both"/>
        <w:rPr>
          <w:rFonts w:ascii="Verdana" w:hAnsi="Verdana"/>
          <w:sz w:val="16"/>
          <w:szCs w:val="16"/>
        </w:rPr>
      </w:pPr>
      <w:r w:rsidRPr="000A5783">
        <w:rPr>
          <w:rStyle w:val="FootnoteReference"/>
          <w:rFonts w:ascii="Verdana" w:hAnsi="Verdana"/>
          <w:sz w:val="16"/>
          <w:szCs w:val="16"/>
        </w:rPr>
        <w:footnoteRef/>
      </w:r>
      <w:r w:rsidRPr="000A5783">
        <w:rPr>
          <w:rFonts w:ascii="Verdana" w:hAnsi="Verdana"/>
          <w:sz w:val="16"/>
          <w:szCs w:val="16"/>
        </w:rPr>
        <w:t xml:space="preserve"> </w:t>
      </w:r>
      <w:r>
        <w:rPr>
          <w:rFonts w:ascii="Verdana" w:hAnsi="Verdana"/>
          <w:sz w:val="16"/>
          <w:szCs w:val="16"/>
        </w:rPr>
        <w:t xml:space="preserve">Por ejemplo, para RODRÍGUEZ TAMAYO “[…] </w:t>
      </w:r>
      <w:r w:rsidRPr="00B73A6D">
        <w:rPr>
          <w:rFonts w:ascii="Verdana" w:hAnsi="Verdana"/>
          <w:sz w:val="16"/>
          <w:szCs w:val="16"/>
        </w:rPr>
        <w:t>resulta inútil la tramitación de convocatorias públicas que hacen algunas entidades estatales, cuando van a entregar en arrendamiento bienes inmuebles de</w:t>
      </w:r>
      <w:r>
        <w:rPr>
          <w:rFonts w:ascii="Verdana" w:hAnsi="Verdana"/>
          <w:sz w:val="16"/>
          <w:szCs w:val="16"/>
        </w:rPr>
        <w:t xml:space="preserve"> </w:t>
      </w:r>
      <w:r w:rsidRPr="00B73A6D">
        <w:rPr>
          <w:rFonts w:ascii="Verdana" w:hAnsi="Verdana"/>
          <w:sz w:val="16"/>
          <w:szCs w:val="16"/>
        </w:rPr>
        <w:t>su propiedad, pues en esos casos, el ordenamiento jurídico no exige tal procedimiento</w:t>
      </w:r>
      <w:r>
        <w:rPr>
          <w:rFonts w:ascii="Verdana" w:hAnsi="Verdana"/>
          <w:sz w:val="16"/>
          <w:szCs w:val="16"/>
        </w:rPr>
        <w:t xml:space="preserve"> </w:t>
      </w:r>
      <w:r w:rsidRPr="00B73A6D">
        <w:rPr>
          <w:rFonts w:ascii="Verdana" w:hAnsi="Verdana"/>
          <w:sz w:val="16"/>
          <w:szCs w:val="16"/>
        </w:rPr>
        <w:t>y, por el contrario, ello se presta para conflictos con los interesados que concurren a dichos llamados. Tanto la ley como el reglamento, dieron flexibilidad a la administración,</w:t>
      </w:r>
      <w:r>
        <w:rPr>
          <w:rFonts w:ascii="Verdana" w:hAnsi="Verdana"/>
          <w:sz w:val="16"/>
          <w:szCs w:val="16"/>
        </w:rPr>
        <w:t xml:space="preserve"> </w:t>
      </w:r>
      <w:r w:rsidRPr="00B73A6D">
        <w:rPr>
          <w:rFonts w:ascii="Verdana" w:hAnsi="Verdana"/>
          <w:sz w:val="16"/>
          <w:szCs w:val="16"/>
        </w:rPr>
        <w:t>ya s</w:t>
      </w:r>
      <w:r>
        <w:rPr>
          <w:rFonts w:ascii="Verdana" w:hAnsi="Verdana"/>
          <w:sz w:val="16"/>
          <w:szCs w:val="16"/>
        </w:rPr>
        <w:t>e</w:t>
      </w:r>
      <w:r w:rsidRPr="00B73A6D">
        <w:rPr>
          <w:rFonts w:ascii="Verdana" w:hAnsi="Verdana"/>
          <w:sz w:val="16"/>
          <w:szCs w:val="16"/>
        </w:rPr>
        <w:t>a para obrar como arrendador o como arrendatario, obviamente, teniendo como</w:t>
      </w:r>
      <w:r>
        <w:rPr>
          <w:rFonts w:ascii="Verdana" w:hAnsi="Verdana"/>
          <w:sz w:val="16"/>
          <w:szCs w:val="16"/>
        </w:rPr>
        <w:t xml:space="preserve"> </w:t>
      </w:r>
      <w:r w:rsidRPr="00B73A6D">
        <w:rPr>
          <w:rFonts w:ascii="Verdana" w:hAnsi="Verdana"/>
          <w:sz w:val="16"/>
          <w:szCs w:val="16"/>
        </w:rPr>
        <w:t>límite los precios del mercado y obrar en sentido contrario, en la práctica, implica regular aspectos no autorizados por la ley</w:t>
      </w:r>
      <w:r>
        <w:rPr>
          <w:rFonts w:ascii="Verdana" w:hAnsi="Verdana"/>
          <w:sz w:val="16"/>
          <w:szCs w:val="16"/>
        </w:rPr>
        <w:t xml:space="preserve">” (RODRÍGUEZ TAMAYO, Mauricio Fernando. </w:t>
      </w:r>
      <w:r w:rsidRPr="005950B7">
        <w:rPr>
          <w:rFonts w:ascii="Verdana" w:hAnsi="Verdana"/>
          <w:sz w:val="16"/>
          <w:szCs w:val="16"/>
        </w:rPr>
        <w:t>Los contratos</w:t>
      </w:r>
      <w:r>
        <w:rPr>
          <w:rFonts w:ascii="Verdana" w:hAnsi="Verdana"/>
          <w:sz w:val="16"/>
          <w:szCs w:val="16"/>
        </w:rPr>
        <w:t xml:space="preserve"> </w:t>
      </w:r>
      <w:r w:rsidRPr="005950B7">
        <w:rPr>
          <w:rFonts w:ascii="Verdana" w:hAnsi="Verdana"/>
          <w:sz w:val="16"/>
          <w:szCs w:val="16"/>
        </w:rPr>
        <w:t>estatales en</w:t>
      </w:r>
      <w:r>
        <w:rPr>
          <w:rFonts w:ascii="Verdana" w:hAnsi="Verdana"/>
          <w:sz w:val="16"/>
          <w:szCs w:val="16"/>
        </w:rPr>
        <w:t xml:space="preserve"> C</w:t>
      </w:r>
      <w:r w:rsidRPr="005950B7">
        <w:rPr>
          <w:rFonts w:ascii="Verdana" w:hAnsi="Verdana"/>
          <w:sz w:val="16"/>
          <w:szCs w:val="16"/>
        </w:rPr>
        <w:t>olombia</w:t>
      </w:r>
      <w:r>
        <w:rPr>
          <w:rFonts w:ascii="Verdana" w:hAnsi="Verdana"/>
          <w:sz w:val="16"/>
          <w:szCs w:val="16"/>
        </w:rPr>
        <w:t>. Bogotá: Tirant lo Blanch, 2022. p. 199).</w:t>
      </w:r>
    </w:p>
    <w:p w14:paraId="301C561A" w14:textId="77777777" w:rsidR="00B24075" w:rsidRPr="0086542E" w:rsidRDefault="00B24075" w:rsidP="00B24075">
      <w:pPr>
        <w:pStyle w:val="FootnoteText"/>
        <w:ind w:firstLine="708"/>
        <w:jc w:val="both"/>
        <w:rPr>
          <w:rFonts w:ascii="Verdana" w:hAnsi="Verdana"/>
          <w:sz w:val="16"/>
          <w:szCs w:val="16"/>
        </w:rPr>
      </w:pPr>
      <w:r>
        <w:rPr>
          <w:rFonts w:ascii="Verdana" w:hAnsi="Verdana"/>
          <w:sz w:val="16"/>
          <w:szCs w:val="16"/>
        </w:rPr>
        <w:t xml:space="preserve">En contraste, para SÁNCHEZ ESTRADA “[…] </w:t>
      </w:r>
      <w:r w:rsidRPr="0086542E">
        <w:rPr>
          <w:rFonts w:ascii="Verdana" w:hAnsi="Verdana"/>
          <w:sz w:val="16"/>
          <w:szCs w:val="16"/>
        </w:rPr>
        <w:t>el legislador desaprovechó la oportunidad de</w:t>
      </w:r>
      <w:r>
        <w:rPr>
          <w:rFonts w:ascii="Verdana" w:hAnsi="Verdana"/>
          <w:sz w:val="16"/>
          <w:szCs w:val="16"/>
        </w:rPr>
        <w:t xml:space="preserve"> </w:t>
      </w:r>
      <w:r w:rsidRPr="0086542E">
        <w:rPr>
          <w:rFonts w:ascii="Verdana" w:hAnsi="Verdana"/>
          <w:sz w:val="16"/>
          <w:szCs w:val="16"/>
        </w:rPr>
        <w:t>corregir el yerro que viene desde los decretos 150 de 1976 y 222 de 1983, de</w:t>
      </w:r>
      <w:r>
        <w:rPr>
          <w:rFonts w:ascii="Verdana" w:hAnsi="Verdana"/>
          <w:sz w:val="16"/>
          <w:szCs w:val="16"/>
        </w:rPr>
        <w:t xml:space="preserve"> </w:t>
      </w:r>
      <w:r w:rsidRPr="0086542E">
        <w:rPr>
          <w:rFonts w:ascii="Verdana" w:hAnsi="Verdana"/>
          <w:sz w:val="16"/>
          <w:szCs w:val="16"/>
        </w:rPr>
        <w:t>habilitar la contratación directa tanto cuando la entidad estatal es arrendataria</w:t>
      </w:r>
      <w:r>
        <w:rPr>
          <w:rFonts w:ascii="Verdana" w:hAnsi="Verdana"/>
          <w:sz w:val="16"/>
          <w:szCs w:val="16"/>
        </w:rPr>
        <w:t xml:space="preserve"> </w:t>
      </w:r>
      <w:r w:rsidRPr="0086542E">
        <w:rPr>
          <w:rFonts w:ascii="Verdana" w:hAnsi="Verdana"/>
          <w:sz w:val="16"/>
          <w:szCs w:val="16"/>
        </w:rPr>
        <w:t>como cuando funge de arrendadora. En efecto, en la primera de las hipótesis</w:t>
      </w:r>
      <w:r>
        <w:rPr>
          <w:rFonts w:ascii="Verdana" w:hAnsi="Verdana"/>
          <w:sz w:val="16"/>
          <w:szCs w:val="16"/>
        </w:rPr>
        <w:t xml:space="preserve"> </w:t>
      </w:r>
      <w:r w:rsidRPr="0086542E">
        <w:rPr>
          <w:rFonts w:ascii="Verdana" w:hAnsi="Verdana"/>
          <w:sz w:val="16"/>
          <w:szCs w:val="16"/>
        </w:rPr>
        <w:t>está justificada la causal, pues cuando un ente estatal busca un inmueble el factor</w:t>
      </w:r>
      <w:r>
        <w:rPr>
          <w:rFonts w:ascii="Verdana" w:hAnsi="Verdana"/>
          <w:sz w:val="16"/>
          <w:szCs w:val="16"/>
        </w:rPr>
        <w:t xml:space="preserve"> </w:t>
      </w:r>
      <w:r w:rsidRPr="0086542E">
        <w:rPr>
          <w:rFonts w:ascii="Verdana" w:hAnsi="Verdana"/>
          <w:sz w:val="16"/>
          <w:szCs w:val="16"/>
        </w:rPr>
        <w:t>menos importante termina siendo el precio. La ubicación, funcionalidad,</w:t>
      </w:r>
      <w:r>
        <w:rPr>
          <w:rFonts w:ascii="Verdana" w:hAnsi="Verdana"/>
          <w:sz w:val="16"/>
          <w:szCs w:val="16"/>
        </w:rPr>
        <w:t xml:space="preserve"> </w:t>
      </w:r>
      <w:r w:rsidRPr="0086542E">
        <w:rPr>
          <w:rFonts w:ascii="Verdana" w:hAnsi="Verdana"/>
          <w:sz w:val="16"/>
          <w:szCs w:val="16"/>
        </w:rPr>
        <w:t>capacidad, etc., son criterios determinantes y muy difíciles de evaluar en un</w:t>
      </w:r>
      <w:r>
        <w:rPr>
          <w:rFonts w:ascii="Verdana" w:hAnsi="Verdana"/>
          <w:sz w:val="16"/>
          <w:szCs w:val="16"/>
        </w:rPr>
        <w:t xml:space="preserve"> </w:t>
      </w:r>
      <w:r w:rsidRPr="0086542E">
        <w:rPr>
          <w:rFonts w:ascii="Verdana" w:hAnsi="Verdana"/>
          <w:sz w:val="16"/>
          <w:szCs w:val="16"/>
        </w:rPr>
        <w:t>trámite licitatorio. No ocurre lo mismo cuando se trata de arrendar bienes de</w:t>
      </w:r>
      <w:r>
        <w:rPr>
          <w:rFonts w:ascii="Verdana" w:hAnsi="Verdana"/>
          <w:sz w:val="16"/>
          <w:szCs w:val="16"/>
        </w:rPr>
        <w:t xml:space="preserve"> </w:t>
      </w:r>
      <w:r w:rsidRPr="0086542E">
        <w:rPr>
          <w:rFonts w:ascii="Verdana" w:hAnsi="Verdana"/>
          <w:sz w:val="16"/>
          <w:szCs w:val="16"/>
        </w:rPr>
        <w:t>propiedad el Estado. En ese caso nada le impide a la administración adelantar</w:t>
      </w:r>
      <w:r>
        <w:rPr>
          <w:rFonts w:ascii="Verdana" w:hAnsi="Verdana"/>
          <w:sz w:val="16"/>
          <w:szCs w:val="16"/>
        </w:rPr>
        <w:t xml:space="preserve"> </w:t>
      </w:r>
      <w:r w:rsidRPr="0086542E">
        <w:rPr>
          <w:rFonts w:ascii="Verdana" w:hAnsi="Verdana"/>
          <w:sz w:val="16"/>
          <w:szCs w:val="16"/>
        </w:rPr>
        <w:t>un proceso de selección en el que escoja a quien, cumpliendo unas exigencias</w:t>
      </w:r>
      <w:r>
        <w:rPr>
          <w:rFonts w:ascii="Verdana" w:hAnsi="Verdana"/>
          <w:sz w:val="16"/>
          <w:szCs w:val="16"/>
        </w:rPr>
        <w:t xml:space="preserve"> </w:t>
      </w:r>
      <w:r w:rsidRPr="0086542E">
        <w:rPr>
          <w:rFonts w:ascii="Verdana" w:hAnsi="Verdana"/>
          <w:sz w:val="16"/>
          <w:szCs w:val="16"/>
        </w:rPr>
        <w:t>mínimas, le ofrezca pagar el mejor canon. De hecho, la aplicación amplia de la</w:t>
      </w:r>
      <w:r>
        <w:rPr>
          <w:rFonts w:ascii="Verdana" w:hAnsi="Verdana"/>
          <w:sz w:val="16"/>
          <w:szCs w:val="16"/>
        </w:rPr>
        <w:t xml:space="preserve"> </w:t>
      </w:r>
      <w:r w:rsidRPr="0086542E">
        <w:rPr>
          <w:rFonts w:ascii="Verdana" w:hAnsi="Verdana"/>
          <w:sz w:val="16"/>
          <w:szCs w:val="16"/>
        </w:rPr>
        <w:t>causal ha propiciado el favoritismo a la hora de arrendar bienes del Estado con</w:t>
      </w:r>
      <w:r>
        <w:rPr>
          <w:rFonts w:ascii="Verdana" w:hAnsi="Verdana"/>
          <w:sz w:val="16"/>
          <w:szCs w:val="16"/>
        </w:rPr>
        <w:t xml:space="preserve"> </w:t>
      </w:r>
      <w:r w:rsidRPr="0086542E">
        <w:rPr>
          <w:rFonts w:ascii="Verdana" w:hAnsi="Verdana"/>
          <w:sz w:val="16"/>
          <w:szCs w:val="16"/>
        </w:rPr>
        <w:t>privilegiada ubicación, no sólo en los entes territoriales.</w:t>
      </w:r>
    </w:p>
    <w:p w14:paraId="4A200201" w14:textId="77777777" w:rsidR="00B24075" w:rsidRPr="00B73A6D" w:rsidRDefault="00B24075" w:rsidP="00B24075">
      <w:pPr>
        <w:pStyle w:val="FootnoteText"/>
        <w:ind w:firstLine="708"/>
        <w:jc w:val="both"/>
        <w:rPr>
          <w:rFonts w:ascii="Verdana" w:hAnsi="Verdana"/>
          <w:sz w:val="16"/>
          <w:szCs w:val="16"/>
        </w:rPr>
      </w:pPr>
      <w:r w:rsidRPr="0086542E">
        <w:rPr>
          <w:rFonts w:ascii="Verdana" w:hAnsi="Verdana"/>
          <w:sz w:val="16"/>
          <w:szCs w:val="16"/>
        </w:rPr>
        <w:t>A manera de ejemplo, recordemos los recientes contratos de arrendamiento</w:t>
      </w:r>
      <w:r>
        <w:rPr>
          <w:rFonts w:ascii="Verdana" w:hAnsi="Verdana"/>
          <w:sz w:val="16"/>
          <w:szCs w:val="16"/>
        </w:rPr>
        <w:t xml:space="preserve"> </w:t>
      </w:r>
      <w:r w:rsidRPr="0086542E">
        <w:rPr>
          <w:rFonts w:ascii="Verdana" w:hAnsi="Verdana"/>
          <w:sz w:val="16"/>
          <w:szCs w:val="16"/>
        </w:rPr>
        <w:t xml:space="preserve">suscritos por el </w:t>
      </w:r>
      <w:r>
        <w:rPr>
          <w:rFonts w:ascii="Verdana" w:hAnsi="Verdana"/>
          <w:sz w:val="16"/>
          <w:szCs w:val="16"/>
        </w:rPr>
        <w:t>I</w:t>
      </w:r>
      <w:r w:rsidRPr="0086542E">
        <w:rPr>
          <w:rFonts w:ascii="Verdana" w:hAnsi="Verdana"/>
          <w:sz w:val="16"/>
          <w:szCs w:val="16"/>
        </w:rPr>
        <w:t>ncoder-Ministerio de Agricultura con los ocupantes ilegales</w:t>
      </w:r>
      <w:r>
        <w:rPr>
          <w:rFonts w:ascii="Verdana" w:hAnsi="Verdana"/>
          <w:sz w:val="16"/>
          <w:szCs w:val="16"/>
        </w:rPr>
        <w:t xml:space="preserve"> </w:t>
      </w:r>
      <w:r w:rsidRPr="0086542E">
        <w:rPr>
          <w:rFonts w:ascii="Verdana" w:hAnsi="Verdana"/>
          <w:sz w:val="16"/>
          <w:szCs w:val="16"/>
        </w:rPr>
        <w:t xml:space="preserve">de las Islas del Rosario, a quienes se les </w:t>
      </w:r>
      <w:r>
        <w:rPr>
          <w:rFonts w:ascii="Verdana" w:hAnsi="Verdana"/>
          <w:sz w:val="16"/>
          <w:szCs w:val="16"/>
        </w:rPr>
        <w:t>‘</w:t>
      </w:r>
      <w:r w:rsidRPr="0086542E">
        <w:rPr>
          <w:rFonts w:ascii="Verdana" w:hAnsi="Verdana"/>
          <w:sz w:val="16"/>
          <w:szCs w:val="16"/>
        </w:rPr>
        <w:t>sancionó</w:t>
      </w:r>
      <w:r>
        <w:rPr>
          <w:rFonts w:ascii="Verdana" w:hAnsi="Verdana"/>
          <w:sz w:val="16"/>
          <w:szCs w:val="16"/>
        </w:rPr>
        <w:t>’</w:t>
      </w:r>
      <w:r w:rsidRPr="0086542E">
        <w:rPr>
          <w:rFonts w:ascii="Verdana" w:hAnsi="Verdana"/>
          <w:sz w:val="16"/>
          <w:szCs w:val="16"/>
        </w:rPr>
        <w:t xml:space="preserve"> su infracción celebrando</w:t>
      </w:r>
      <w:r>
        <w:rPr>
          <w:rFonts w:ascii="Verdana" w:hAnsi="Verdana"/>
          <w:sz w:val="16"/>
          <w:szCs w:val="16"/>
        </w:rPr>
        <w:t xml:space="preserve"> </w:t>
      </w:r>
      <w:r w:rsidRPr="0086542E">
        <w:rPr>
          <w:rFonts w:ascii="Verdana" w:hAnsi="Verdana"/>
          <w:sz w:val="16"/>
          <w:szCs w:val="16"/>
        </w:rPr>
        <w:t>con ellos, de forma directa y a precios risibles, contratos de arrendamiento. Sin</w:t>
      </w:r>
      <w:r>
        <w:rPr>
          <w:rFonts w:ascii="Verdana" w:hAnsi="Verdana"/>
          <w:sz w:val="16"/>
          <w:szCs w:val="16"/>
        </w:rPr>
        <w:t xml:space="preserve"> </w:t>
      </w:r>
      <w:r w:rsidRPr="0086542E">
        <w:rPr>
          <w:rFonts w:ascii="Verdana" w:hAnsi="Verdana"/>
          <w:sz w:val="16"/>
          <w:szCs w:val="16"/>
        </w:rPr>
        <w:t>duda, de haberse efectuado convocatoria pública, el Estado hubiera conseguido</w:t>
      </w:r>
      <w:r>
        <w:rPr>
          <w:rFonts w:ascii="Verdana" w:hAnsi="Verdana"/>
          <w:sz w:val="16"/>
          <w:szCs w:val="16"/>
        </w:rPr>
        <w:t xml:space="preserve"> </w:t>
      </w:r>
      <w:r w:rsidRPr="0086542E">
        <w:rPr>
          <w:rFonts w:ascii="Verdana" w:hAnsi="Verdana"/>
          <w:sz w:val="16"/>
          <w:szCs w:val="16"/>
        </w:rPr>
        <w:t>mejores contratistas. No entendemos cómo para los casos de compra y venta se</w:t>
      </w:r>
      <w:r>
        <w:rPr>
          <w:rFonts w:ascii="Verdana" w:hAnsi="Verdana"/>
          <w:sz w:val="16"/>
          <w:szCs w:val="16"/>
        </w:rPr>
        <w:t xml:space="preserve"> </w:t>
      </w:r>
      <w:r w:rsidRPr="0086542E">
        <w:rPr>
          <w:rFonts w:ascii="Verdana" w:hAnsi="Verdana"/>
          <w:sz w:val="16"/>
          <w:szCs w:val="16"/>
        </w:rPr>
        <w:t>tienen previstos procedimientos distintos y no ocurre lo mismo cuando se toman</w:t>
      </w:r>
      <w:r>
        <w:rPr>
          <w:rFonts w:ascii="Verdana" w:hAnsi="Verdana"/>
          <w:sz w:val="16"/>
          <w:szCs w:val="16"/>
        </w:rPr>
        <w:t xml:space="preserve"> </w:t>
      </w:r>
      <w:r w:rsidRPr="0086542E">
        <w:rPr>
          <w:rFonts w:ascii="Verdana" w:hAnsi="Verdana"/>
          <w:sz w:val="16"/>
          <w:szCs w:val="16"/>
        </w:rPr>
        <w:t>o dan en arriendo inmuebles de propiedad de las entidades del Estado</w:t>
      </w:r>
      <w:r>
        <w:rPr>
          <w:rFonts w:ascii="Verdana" w:hAnsi="Verdana"/>
          <w:sz w:val="16"/>
          <w:szCs w:val="16"/>
        </w:rPr>
        <w:t>” (</w:t>
      </w:r>
      <w:r w:rsidRPr="00F6336E">
        <w:rPr>
          <w:rFonts w:ascii="Verdana" w:hAnsi="Verdana"/>
          <w:sz w:val="16"/>
          <w:szCs w:val="16"/>
        </w:rPr>
        <w:t>ESTRADA SÁNCHEZ, Juan Pablo. Contratación directa, convenios interadministrativos y contratos de cooperación internacional. En: Contratación estatal. Estudios sobre la reforma del Estatuto Contractual Ley 1150 de 2007. Bogotá: Universidad Externado de Colombia, 2009.</w:t>
      </w:r>
      <w:r>
        <w:rPr>
          <w:rFonts w:ascii="Verdana" w:hAnsi="Verdana"/>
          <w:sz w:val="16"/>
          <w:szCs w:val="16"/>
        </w:rPr>
        <w:t xml:space="preserve"> p</w:t>
      </w:r>
      <w:r w:rsidRPr="0086542E">
        <w:rPr>
          <w:rFonts w:ascii="Verdana" w:hAnsi="Verdana"/>
          <w:sz w:val="16"/>
          <w:szCs w:val="16"/>
        </w:rPr>
        <w:t>.</w:t>
      </w:r>
      <w:r>
        <w:rPr>
          <w:rFonts w:ascii="Verdana" w:hAnsi="Verdana"/>
          <w:sz w:val="16"/>
          <w:szCs w:val="16"/>
        </w:rPr>
        <w:t xml:space="preserve"> 315).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53" type="#_x0000_t75" style="width:11.6pt;height:11.6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23882696">
    <w:abstractNumId w:val="5"/>
  </w:num>
  <w:num w:numId="2" w16cid:durableId="1181966487">
    <w:abstractNumId w:val="1"/>
  </w:num>
  <w:num w:numId="3" w16cid:durableId="1514412405">
    <w:abstractNumId w:val="3"/>
  </w:num>
  <w:num w:numId="4" w16cid:durableId="14374081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29960675">
    <w:abstractNumId w:val="1"/>
  </w:num>
  <w:num w:numId="6" w16cid:durableId="1161039080">
    <w:abstractNumId w:val="13"/>
  </w:num>
  <w:num w:numId="7" w16cid:durableId="1574317641">
    <w:abstractNumId w:val="4"/>
  </w:num>
  <w:num w:numId="8" w16cid:durableId="1500002297">
    <w:abstractNumId w:val="12"/>
  </w:num>
  <w:num w:numId="9" w16cid:durableId="474025437">
    <w:abstractNumId w:val="6"/>
  </w:num>
  <w:num w:numId="10" w16cid:durableId="1168473720">
    <w:abstractNumId w:val="11"/>
  </w:num>
  <w:num w:numId="11" w16cid:durableId="1679887891">
    <w:abstractNumId w:val="7"/>
  </w:num>
  <w:num w:numId="12" w16cid:durableId="841434638">
    <w:abstractNumId w:val="0"/>
  </w:num>
  <w:num w:numId="13" w16cid:durableId="458111109">
    <w:abstractNumId w:val="2"/>
  </w:num>
  <w:num w:numId="14" w16cid:durableId="1414430672">
    <w:abstractNumId w:val="14"/>
  </w:num>
  <w:num w:numId="15" w16cid:durableId="312489061">
    <w:abstractNumId w:val="10"/>
  </w:num>
  <w:num w:numId="16" w16cid:durableId="1750227136">
    <w:abstractNumId w:val="8"/>
  </w:num>
  <w:num w:numId="17" w16cid:durableId="9702087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5E4E"/>
    <w:rsid w:val="000A2BE2"/>
    <w:rsid w:val="000A683E"/>
    <w:rsid w:val="000B19B9"/>
    <w:rsid w:val="000D0334"/>
    <w:rsid w:val="000D5DA7"/>
    <w:rsid w:val="000F6379"/>
    <w:rsid w:val="000F63CC"/>
    <w:rsid w:val="000F6486"/>
    <w:rsid w:val="00116940"/>
    <w:rsid w:val="00125105"/>
    <w:rsid w:val="00127233"/>
    <w:rsid w:val="00143218"/>
    <w:rsid w:val="0015038F"/>
    <w:rsid w:val="0015699B"/>
    <w:rsid w:val="001A33BF"/>
    <w:rsid w:val="001E4177"/>
    <w:rsid w:val="001F0B24"/>
    <w:rsid w:val="001F7DC6"/>
    <w:rsid w:val="002015F3"/>
    <w:rsid w:val="00210ACC"/>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0BC1"/>
    <w:rsid w:val="00322A85"/>
    <w:rsid w:val="00324168"/>
    <w:rsid w:val="00330834"/>
    <w:rsid w:val="003448F4"/>
    <w:rsid w:val="00352C43"/>
    <w:rsid w:val="00374F5E"/>
    <w:rsid w:val="00377E3E"/>
    <w:rsid w:val="00394F5F"/>
    <w:rsid w:val="003A6B86"/>
    <w:rsid w:val="003A779E"/>
    <w:rsid w:val="003D0F4D"/>
    <w:rsid w:val="003D5B0D"/>
    <w:rsid w:val="003E0499"/>
    <w:rsid w:val="003E4F80"/>
    <w:rsid w:val="003E6439"/>
    <w:rsid w:val="003F3941"/>
    <w:rsid w:val="003F491F"/>
    <w:rsid w:val="00406575"/>
    <w:rsid w:val="00414C74"/>
    <w:rsid w:val="004157B0"/>
    <w:rsid w:val="0042722E"/>
    <w:rsid w:val="00436B7B"/>
    <w:rsid w:val="0044528D"/>
    <w:rsid w:val="00466E39"/>
    <w:rsid w:val="0049432C"/>
    <w:rsid w:val="004A1847"/>
    <w:rsid w:val="004A305D"/>
    <w:rsid w:val="004F21C4"/>
    <w:rsid w:val="004F685F"/>
    <w:rsid w:val="00505231"/>
    <w:rsid w:val="00506B0C"/>
    <w:rsid w:val="005566E8"/>
    <w:rsid w:val="00574867"/>
    <w:rsid w:val="00591460"/>
    <w:rsid w:val="005A65E0"/>
    <w:rsid w:val="005C3777"/>
    <w:rsid w:val="005C5CDC"/>
    <w:rsid w:val="005D476C"/>
    <w:rsid w:val="005E52BC"/>
    <w:rsid w:val="006200BF"/>
    <w:rsid w:val="006219F8"/>
    <w:rsid w:val="006302F7"/>
    <w:rsid w:val="00646B9F"/>
    <w:rsid w:val="00665D70"/>
    <w:rsid w:val="006900D9"/>
    <w:rsid w:val="006E6423"/>
    <w:rsid w:val="00706C16"/>
    <w:rsid w:val="00723161"/>
    <w:rsid w:val="00731555"/>
    <w:rsid w:val="007340C3"/>
    <w:rsid w:val="0075235A"/>
    <w:rsid w:val="00756841"/>
    <w:rsid w:val="007649AB"/>
    <w:rsid w:val="00771D0C"/>
    <w:rsid w:val="007833AC"/>
    <w:rsid w:val="007B268C"/>
    <w:rsid w:val="007B7171"/>
    <w:rsid w:val="007C0C0F"/>
    <w:rsid w:val="007C3DC2"/>
    <w:rsid w:val="007D4C46"/>
    <w:rsid w:val="007D505E"/>
    <w:rsid w:val="007E5497"/>
    <w:rsid w:val="00806F5F"/>
    <w:rsid w:val="00820278"/>
    <w:rsid w:val="008258C9"/>
    <w:rsid w:val="00844AE9"/>
    <w:rsid w:val="00861E20"/>
    <w:rsid w:val="00864BF2"/>
    <w:rsid w:val="00867F95"/>
    <w:rsid w:val="008843B6"/>
    <w:rsid w:val="00891928"/>
    <w:rsid w:val="008A446D"/>
    <w:rsid w:val="008B1DA8"/>
    <w:rsid w:val="008B25F1"/>
    <w:rsid w:val="008D180B"/>
    <w:rsid w:val="008F0EA7"/>
    <w:rsid w:val="00923EEF"/>
    <w:rsid w:val="009419F9"/>
    <w:rsid w:val="0095685E"/>
    <w:rsid w:val="00961B09"/>
    <w:rsid w:val="00965334"/>
    <w:rsid w:val="0097093E"/>
    <w:rsid w:val="009825D7"/>
    <w:rsid w:val="00984035"/>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3DEF"/>
    <w:rsid w:val="00AB0ADB"/>
    <w:rsid w:val="00AC53E8"/>
    <w:rsid w:val="00AD04E4"/>
    <w:rsid w:val="00B00C0E"/>
    <w:rsid w:val="00B00DA3"/>
    <w:rsid w:val="00B01B1A"/>
    <w:rsid w:val="00B0381D"/>
    <w:rsid w:val="00B24075"/>
    <w:rsid w:val="00B44A47"/>
    <w:rsid w:val="00B6245B"/>
    <w:rsid w:val="00B67BC9"/>
    <w:rsid w:val="00B72CD3"/>
    <w:rsid w:val="00B72FFF"/>
    <w:rsid w:val="00B925B8"/>
    <w:rsid w:val="00B93760"/>
    <w:rsid w:val="00BC3D36"/>
    <w:rsid w:val="00BD54A6"/>
    <w:rsid w:val="00BD7F72"/>
    <w:rsid w:val="00BF4BE6"/>
    <w:rsid w:val="00BF7425"/>
    <w:rsid w:val="00C04FB3"/>
    <w:rsid w:val="00C11D8B"/>
    <w:rsid w:val="00C15139"/>
    <w:rsid w:val="00C1740B"/>
    <w:rsid w:val="00C330EB"/>
    <w:rsid w:val="00C50D69"/>
    <w:rsid w:val="00C5365C"/>
    <w:rsid w:val="00C72CB4"/>
    <w:rsid w:val="00C754BE"/>
    <w:rsid w:val="00C76B1C"/>
    <w:rsid w:val="00C925AC"/>
    <w:rsid w:val="00CB6357"/>
    <w:rsid w:val="00CC1B26"/>
    <w:rsid w:val="00D053CD"/>
    <w:rsid w:val="00D361FD"/>
    <w:rsid w:val="00D36C38"/>
    <w:rsid w:val="00D423A2"/>
    <w:rsid w:val="00D439AE"/>
    <w:rsid w:val="00D44E26"/>
    <w:rsid w:val="00D50941"/>
    <w:rsid w:val="00D520D8"/>
    <w:rsid w:val="00D63AC2"/>
    <w:rsid w:val="00D7383B"/>
    <w:rsid w:val="00D7788A"/>
    <w:rsid w:val="00DA231B"/>
    <w:rsid w:val="00DC39FC"/>
    <w:rsid w:val="00DF5254"/>
    <w:rsid w:val="00E02524"/>
    <w:rsid w:val="00E037B0"/>
    <w:rsid w:val="00E16408"/>
    <w:rsid w:val="00E20894"/>
    <w:rsid w:val="00E245AB"/>
    <w:rsid w:val="00E2764C"/>
    <w:rsid w:val="00E27F2E"/>
    <w:rsid w:val="00E44EAC"/>
    <w:rsid w:val="00E50AFE"/>
    <w:rsid w:val="00E75C92"/>
    <w:rsid w:val="00E771DC"/>
    <w:rsid w:val="00E8772A"/>
    <w:rsid w:val="00E90F6B"/>
    <w:rsid w:val="00E92C27"/>
    <w:rsid w:val="00EA0E3D"/>
    <w:rsid w:val="00EC38A7"/>
    <w:rsid w:val="00EE1AA8"/>
    <w:rsid w:val="00F020A9"/>
    <w:rsid w:val="00F143C4"/>
    <w:rsid w:val="00F23FEA"/>
    <w:rsid w:val="00F31EDC"/>
    <w:rsid w:val="00F462B3"/>
    <w:rsid w:val="00F5664F"/>
    <w:rsid w:val="00F666C4"/>
    <w:rsid w:val="00F76AFC"/>
    <w:rsid w:val="00FA47C0"/>
    <w:rsid w:val="00FB5DD1"/>
    <w:rsid w:val="00FC2B5D"/>
    <w:rsid w:val="00FC7E7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3813CF3"/>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B24075"/>
    <w:pPr>
      <w:spacing w:line="240" w:lineRule="exact"/>
    </w:pPr>
    <w:rPr>
      <w:vertAlign w:val="superscript"/>
    </w:rPr>
  </w:style>
  <w:style w:type="character" w:customStyle="1" w:styleId="baj">
    <w:name w:val="b_aj"/>
    <w:basedOn w:val="DefaultParagraphFont"/>
    <w:rsid w:val="00B24075"/>
  </w:style>
  <w:style w:type="character" w:customStyle="1" w:styleId="NormalWebChar">
    <w:name w:val="Normal (Web) Char"/>
    <w:link w:val="NormalWeb"/>
    <w:uiPriority w:val="99"/>
    <w:locked/>
    <w:rsid w:val="00B24075"/>
    <w:rPr>
      <w:rFonts w:ascii="Times New Roman" w:eastAsia="Times New Roman" w:hAnsi="Times New Roman" w:cs="Times New Roman"/>
      <w:sz w:val="24"/>
      <w:szCs w:val="24"/>
      <w:lang w:eastAsia="es-CO"/>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B24075"/>
    <w:rPr>
      <w:rFonts w:ascii="Geomanist Light" w:hAnsi="Geomanist Light"/>
      <w:lang w:val="es-ES"/>
    </w:rPr>
  </w:style>
  <w:style w:type="character" w:customStyle="1" w:styleId="s15">
    <w:name w:val="s15"/>
    <w:basedOn w:val="DefaultParagraphFont"/>
    <w:rsid w:val="00B24075"/>
  </w:style>
  <w:style w:type="character" w:styleId="Strong">
    <w:name w:val="Strong"/>
    <w:basedOn w:val="DefaultParagraphFont"/>
    <w:uiPriority w:val="22"/>
    <w:qFormat/>
    <w:rsid w:val="006E64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39726069">
      <w:bodyDiv w:val="1"/>
      <w:marLeft w:val="0"/>
      <w:marRight w:val="0"/>
      <w:marTop w:val="0"/>
      <w:marBottom w:val="0"/>
      <w:divBdr>
        <w:top w:val="none" w:sz="0" w:space="0" w:color="auto"/>
        <w:left w:val="none" w:sz="0" w:space="0" w:color="auto"/>
        <w:bottom w:val="none" w:sz="0" w:space="0" w:color="auto"/>
        <w:right w:val="none" w:sz="0" w:space="0" w:color="auto"/>
      </w:divBdr>
      <w:divsChild>
        <w:div w:id="366180098">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20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E4D2B86-8342-4426-8196-B168E0F77BA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24</Pages>
  <Words>7741</Words>
  <Characters>44129</Characters>
  <Application>Microsoft Office Word</Application>
  <DocSecurity>0</DocSecurity>
  <Lines>367</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8</cp:revision>
  <cp:lastPrinted>2023-01-10T21:18:00Z</cp:lastPrinted>
  <dcterms:created xsi:type="dcterms:W3CDTF">2026-03-24T19:13:00Z</dcterms:created>
  <dcterms:modified xsi:type="dcterms:W3CDTF">2026-03-24T19:17:00Z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