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F425D" w14:textId="77777777" w:rsidR="002E7EDF" w:rsidRPr="00682C93" w:rsidRDefault="002E7EDF" w:rsidP="002E7ED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61419E75" w14:textId="77777777" w:rsidR="002E7EDF" w:rsidRDefault="002E7EDF" w:rsidP="002E7EDF">
      <w:pPr>
        <w:spacing w:after="0" w:line="240" w:lineRule="auto"/>
        <w:jc w:val="both"/>
        <w:rPr>
          <w:rFonts w:ascii="Verdana" w:hAnsi="Verdana" w:cs="Arial"/>
          <w:b/>
          <w:lang w:val="es-MX" w:eastAsia="es-ES_tradnl"/>
        </w:rPr>
      </w:pPr>
    </w:p>
    <w:p w14:paraId="2D68E2F2" w14:textId="77777777" w:rsidR="002E7EDF" w:rsidRDefault="002E7EDF" w:rsidP="002E7EDF">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BD732BC" w14:textId="77777777" w:rsidR="002E7EDF" w:rsidRPr="00FE39ED" w:rsidRDefault="002E7EDF" w:rsidP="002E7EDF">
      <w:pPr>
        <w:pStyle w:val="Default"/>
        <w:jc w:val="both"/>
        <w:rPr>
          <w:rFonts w:ascii="Verdana" w:hAnsi="Verdana"/>
          <w:color w:val="auto"/>
          <w:sz w:val="20"/>
          <w:szCs w:val="20"/>
          <w:lang w:val="es-MX"/>
        </w:rPr>
      </w:pPr>
    </w:p>
    <w:p w14:paraId="79C22172" w14:textId="77777777" w:rsidR="002E7EDF" w:rsidRPr="00FE39ED" w:rsidRDefault="002E7EDF" w:rsidP="002E7EDF">
      <w:pPr>
        <w:spacing w:after="0" w:line="240" w:lineRule="auto"/>
        <w:jc w:val="both"/>
        <w:rPr>
          <w:rFonts w:ascii="Verdana" w:eastAsia="Calibri" w:hAnsi="Verdana" w:cs="Arial"/>
          <w:b/>
        </w:rPr>
      </w:pPr>
      <w:r w:rsidRPr="00FE39ED">
        <w:rPr>
          <w:rFonts w:ascii="Verdana" w:eastAsia="Calibri" w:hAnsi="Verdana" w:cs="Arial"/>
          <w:b/>
        </w:rPr>
        <w:t xml:space="preserve">LEY DE GARANTÍAS ELECTORALES – Ley 996 de 2005 – Articulo 33 – Restricciones – Elecciones presidenciales </w:t>
      </w:r>
    </w:p>
    <w:p w14:paraId="278A19BD" w14:textId="77777777" w:rsidR="002E7EDF" w:rsidRPr="00FE39ED" w:rsidRDefault="002E7EDF" w:rsidP="002E7EDF">
      <w:pPr>
        <w:spacing w:after="0" w:line="240" w:lineRule="auto"/>
        <w:jc w:val="both"/>
        <w:rPr>
          <w:rFonts w:ascii="Verdana" w:eastAsia="Calibri" w:hAnsi="Verdana" w:cs="Arial"/>
          <w:b/>
          <w:sz w:val="20"/>
          <w:szCs w:val="20"/>
        </w:rPr>
      </w:pPr>
    </w:p>
    <w:p w14:paraId="780A1CC8" w14:textId="77777777" w:rsidR="002E7EDF" w:rsidRPr="00FE39ED" w:rsidRDefault="002E7EDF" w:rsidP="002E7EDF">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 xml:space="preserve">[…] la prohibición del artículo 33 de la Ley de Garantías Electorales se refiere a </w:t>
      </w:r>
      <w:r>
        <w:rPr>
          <w:rFonts w:ascii="Verdana" w:hAnsi="Verdana" w:cs="Arial"/>
          <w:sz w:val="20"/>
          <w:szCs w:val="20"/>
          <w:lang w:eastAsia="en-GB"/>
        </w:rPr>
        <w:t>“</w:t>
      </w:r>
      <w:r w:rsidRPr="00FE39ED">
        <w:rPr>
          <w:rFonts w:ascii="Verdana" w:hAnsi="Verdana" w:cs="Arial"/>
          <w:sz w:val="20"/>
          <w:szCs w:val="20"/>
          <w:lang w:eastAsia="x-none"/>
        </w:rPr>
        <w:t>cualquier sistema que no implique convocatoria pública y posibilidad de pluralidad de oferentes</w:t>
      </w:r>
      <w:r>
        <w:rPr>
          <w:rFonts w:ascii="Verdana" w:hAnsi="Verdana" w:cs="Arial"/>
          <w:sz w:val="20"/>
          <w:szCs w:val="20"/>
          <w:lang w:eastAsia="en-GB"/>
        </w:rPr>
        <w:t>”</w:t>
      </w:r>
      <w:r w:rsidRPr="00FE39ED">
        <w:rPr>
          <w:rFonts w:ascii="Verdana" w:hAnsi="Verdana" w:cs="Arial"/>
          <w:sz w:val="20"/>
          <w:szCs w:val="20"/>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w:t>
      </w:r>
    </w:p>
    <w:p w14:paraId="36FF1C8B" w14:textId="77777777" w:rsidR="002E7EDF" w:rsidRDefault="002E7EDF" w:rsidP="002E7EDF">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w:t>
      </w:r>
    </w:p>
    <w:p w14:paraId="73F6CBF2" w14:textId="77777777" w:rsidR="002E7EDF" w:rsidRPr="00FE39ED" w:rsidRDefault="002E7EDF" w:rsidP="002E7EDF">
      <w:pPr>
        <w:spacing w:after="0" w:line="240" w:lineRule="auto"/>
        <w:jc w:val="both"/>
        <w:rPr>
          <w:rFonts w:ascii="Verdana" w:eastAsia="Calibri" w:hAnsi="Verdana" w:cs="Arial"/>
          <w:b/>
          <w:sz w:val="20"/>
          <w:szCs w:val="20"/>
        </w:rPr>
      </w:pPr>
    </w:p>
    <w:p w14:paraId="5DFAFFBE" w14:textId="77777777" w:rsidR="002E7EDF" w:rsidRPr="00FE39ED" w:rsidRDefault="002E7EDF" w:rsidP="002E7EDF">
      <w:pPr>
        <w:pStyle w:val="Textoindependiente"/>
        <w:spacing w:after="0" w:line="240" w:lineRule="auto"/>
        <w:jc w:val="both"/>
        <w:rPr>
          <w:rFonts w:ascii="Verdana" w:hAnsi="Verdana"/>
          <w:bCs/>
          <w:sz w:val="20"/>
          <w:szCs w:val="20"/>
          <w:lang w:eastAsia="x-none"/>
        </w:rPr>
      </w:pPr>
      <w:r w:rsidRPr="00FE39ED">
        <w:rPr>
          <w:rFonts w:ascii="Verdana" w:hAnsi="Verdana"/>
          <w:bCs/>
          <w:sz w:val="20"/>
          <w:szCs w:val="20"/>
          <w:lang w:eastAsia="x-none"/>
        </w:rPr>
        <w:t xml:space="preserve">El artículo 33 de la Ley 996 de 2005 señala expresamente a los destinatarios de la prohibición, en el sentido de que son </w:t>
      </w:r>
      <w:r>
        <w:rPr>
          <w:rFonts w:ascii="Verdana" w:hAnsi="Verdana"/>
          <w:bCs/>
          <w:sz w:val="20"/>
          <w:szCs w:val="20"/>
          <w:lang w:eastAsia="x-none"/>
        </w:rPr>
        <w:t>“</w:t>
      </w:r>
      <w:r w:rsidRPr="00FE39ED">
        <w:rPr>
          <w:rFonts w:ascii="Verdana" w:hAnsi="Verdana"/>
          <w:bCs/>
          <w:sz w:val="20"/>
          <w:szCs w:val="20"/>
          <w:lang w:eastAsia="x-none"/>
        </w:rPr>
        <w:t>todos los entes del Estado</w:t>
      </w:r>
      <w:r>
        <w:rPr>
          <w:rFonts w:ascii="Verdana" w:hAnsi="Verdana"/>
          <w:bCs/>
          <w:sz w:val="20"/>
          <w:szCs w:val="20"/>
          <w:lang w:eastAsia="x-none"/>
        </w:rPr>
        <w:t>”</w:t>
      </w:r>
      <w:r w:rsidRPr="00FE39ED">
        <w:rPr>
          <w:rFonts w:ascii="Verdana" w:hAnsi="Verdana"/>
          <w:bCs/>
          <w:sz w:val="20"/>
          <w:szCs w:val="20"/>
          <w:lang w:eastAsia="x-none"/>
        </w:rPr>
        <w:t>, expresión que contempla a los diferentes organismos o entidades autorizadas por la ley para suscribir contratos.</w:t>
      </w:r>
      <w:r w:rsidRPr="00FE39ED">
        <w:rPr>
          <w:rFonts w:ascii="Verdana" w:hAnsi="Verdana"/>
          <w:sz w:val="20"/>
          <w:szCs w:val="20"/>
        </w:rPr>
        <w:t xml:space="preserve"> </w:t>
      </w:r>
      <w:r w:rsidRPr="00FE39ED">
        <w:rPr>
          <w:rFonts w:ascii="Verdana" w:hAnsi="Verdana"/>
          <w:bCs/>
          <w:sz w:val="20"/>
          <w:szCs w:val="20"/>
          <w:lang w:eastAsia="x-none"/>
        </w:rPr>
        <w:t xml:space="preserve">En efecto, tal como lo ha sostenido el Consejo de Estado, el vocablo </w:t>
      </w:r>
      <w:r>
        <w:rPr>
          <w:rFonts w:ascii="Verdana" w:hAnsi="Verdana"/>
          <w:bCs/>
          <w:sz w:val="20"/>
          <w:szCs w:val="20"/>
          <w:lang w:eastAsia="x-none"/>
        </w:rPr>
        <w:t>“</w:t>
      </w:r>
      <w:r w:rsidRPr="00FE39ED">
        <w:rPr>
          <w:rFonts w:ascii="Verdana" w:hAnsi="Verdana"/>
          <w:bCs/>
          <w:sz w:val="20"/>
          <w:szCs w:val="20"/>
          <w:lang w:eastAsia="x-none"/>
        </w:rPr>
        <w:t>todos</w:t>
      </w:r>
      <w:r>
        <w:rPr>
          <w:rFonts w:ascii="Verdana" w:hAnsi="Verdana"/>
          <w:bCs/>
          <w:sz w:val="20"/>
          <w:szCs w:val="20"/>
          <w:lang w:eastAsia="x-none"/>
        </w:rPr>
        <w:t>”</w:t>
      </w:r>
      <w:r w:rsidRPr="00FE39ED">
        <w:rPr>
          <w:rFonts w:ascii="Verdana" w:hAnsi="Verdana"/>
          <w:bCs/>
          <w:sz w:val="20"/>
          <w:szCs w:val="20"/>
          <w:lang w:eastAsia="x-none"/>
        </w:rPr>
        <w:t xml:space="preserve"> utilizado por el legislador comprende</w:t>
      </w:r>
      <w:r w:rsidRPr="00FE39ED">
        <w:rPr>
          <w:rFonts w:ascii="Verdana" w:hAnsi="Verdana"/>
          <w:sz w:val="20"/>
          <w:szCs w:val="20"/>
        </w:rPr>
        <w:t xml:space="preserve"> </w:t>
      </w:r>
      <w:r w:rsidRPr="00FE39ED">
        <w:rPr>
          <w:rFonts w:ascii="Verdana" w:hAnsi="Verdana"/>
          <w:bCs/>
          <w:sz w:val="20"/>
          <w:szCs w:val="20"/>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1320D65" w14:textId="77777777" w:rsidR="002E7EDF" w:rsidRPr="00FE39ED" w:rsidRDefault="002E7EDF" w:rsidP="002E7EDF">
      <w:pPr>
        <w:pStyle w:val="Textoindependiente"/>
        <w:spacing w:after="0" w:line="240" w:lineRule="auto"/>
        <w:jc w:val="both"/>
        <w:rPr>
          <w:rFonts w:ascii="Verdana" w:hAnsi="Verdana"/>
          <w:sz w:val="20"/>
          <w:szCs w:val="20"/>
        </w:rPr>
      </w:pPr>
    </w:p>
    <w:p w14:paraId="78388858" w14:textId="0896B436" w:rsidR="002E7EDF" w:rsidRPr="00FE39ED" w:rsidRDefault="002E7EDF" w:rsidP="002E7EDF">
      <w:pPr>
        <w:pStyle w:val="Textoindependiente"/>
        <w:spacing w:after="0" w:line="240" w:lineRule="auto"/>
        <w:jc w:val="both"/>
        <w:rPr>
          <w:rFonts w:ascii="Verdana" w:eastAsia="Calibri" w:hAnsi="Verdana"/>
          <w:b/>
        </w:rPr>
      </w:pPr>
      <w:r w:rsidRPr="00FE39ED">
        <w:rPr>
          <w:rFonts w:ascii="Verdana" w:eastAsia="Calibri" w:hAnsi="Verdana"/>
          <w:b/>
        </w:rPr>
        <w:t xml:space="preserve">LEY DE GARANTÍAS ELECTORALES – Ley 996 de 2005 – Destinatarios </w:t>
      </w:r>
    </w:p>
    <w:p w14:paraId="2BD3A210" w14:textId="77777777" w:rsidR="002E7EDF" w:rsidRPr="00FE39ED" w:rsidRDefault="002E7EDF" w:rsidP="002E7EDF">
      <w:pPr>
        <w:pStyle w:val="Textoindependiente"/>
        <w:spacing w:after="0" w:line="240" w:lineRule="auto"/>
        <w:jc w:val="both"/>
        <w:rPr>
          <w:rFonts w:ascii="Verdana" w:eastAsia="Calibri" w:hAnsi="Verdana"/>
          <w:b/>
          <w:sz w:val="20"/>
          <w:szCs w:val="20"/>
        </w:rPr>
      </w:pPr>
    </w:p>
    <w:p w14:paraId="70FD1C0C" w14:textId="77777777" w:rsidR="002E7EDF" w:rsidRPr="00FE39ED" w:rsidRDefault="002E7EDF" w:rsidP="002E7EDF">
      <w:pPr>
        <w:pStyle w:val="Textoindependiente"/>
        <w:spacing w:after="0" w:line="240" w:lineRule="auto"/>
        <w:jc w:val="both"/>
        <w:rPr>
          <w:rFonts w:ascii="Verdana" w:eastAsia="Calibri" w:hAnsi="Verdana"/>
          <w:bCs/>
          <w:sz w:val="20"/>
          <w:szCs w:val="20"/>
        </w:rPr>
      </w:pPr>
      <w:r w:rsidRPr="00FE39ED">
        <w:rPr>
          <w:rFonts w:ascii="Verdana" w:eastAsia="Calibri" w:hAnsi="Verdana"/>
          <w:bCs/>
          <w:sz w:val="20"/>
          <w:szCs w:val="20"/>
        </w:rPr>
        <w:t>Por lo tanto, la restricción prevista en la Ley 996 de 2005, 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31FEE87" w14:textId="77777777" w:rsidR="00D131BC" w:rsidRDefault="00D131BC" w:rsidP="00D131BC">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w:t>
      </w:r>
    </w:p>
    <w:p w14:paraId="2E7426DC" w14:textId="77777777" w:rsidR="00085A6F" w:rsidRPr="00FE39ED" w:rsidRDefault="00085A6F" w:rsidP="002E7EDF">
      <w:pPr>
        <w:pStyle w:val="Textoindependiente"/>
        <w:spacing w:after="0" w:line="240" w:lineRule="auto"/>
        <w:jc w:val="both"/>
        <w:rPr>
          <w:rFonts w:ascii="Verdana" w:eastAsia="Calibri" w:hAnsi="Verdana"/>
          <w:b/>
          <w:sz w:val="20"/>
          <w:szCs w:val="20"/>
        </w:rPr>
      </w:pPr>
    </w:p>
    <w:p w14:paraId="17E43880" w14:textId="77777777" w:rsidR="002E7EDF" w:rsidRPr="00FE39ED" w:rsidRDefault="002E7EDF" w:rsidP="002E7EDF">
      <w:pPr>
        <w:pStyle w:val="Textoindependiente"/>
        <w:spacing w:after="0" w:line="240" w:lineRule="auto"/>
        <w:jc w:val="both"/>
        <w:rPr>
          <w:rFonts w:ascii="Verdana" w:eastAsia="Calibri" w:hAnsi="Verdana"/>
          <w:b/>
        </w:rPr>
      </w:pPr>
      <w:r w:rsidRPr="00FE39ED">
        <w:rPr>
          <w:rFonts w:ascii="Verdana" w:eastAsia="Calibri" w:hAnsi="Verdana"/>
          <w:b/>
        </w:rPr>
        <w:lastRenderedPageBreak/>
        <w:t xml:space="preserve">LEY DE GARANTÍAS ELECTORALES – Artículo 33 - Patrimonios autónomos </w:t>
      </w:r>
    </w:p>
    <w:p w14:paraId="29583A5A" w14:textId="77777777" w:rsidR="002E7EDF" w:rsidRPr="00FE39ED" w:rsidRDefault="002E7EDF" w:rsidP="002E7EDF">
      <w:pPr>
        <w:pStyle w:val="Textoindependiente"/>
        <w:spacing w:after="0" w:line="240" w:lineRule="auto"/>
        <w:jc w:val="both"/>
        <w:rPr>
          <w:rFonts w:ascii="Verdana" w:eastAsia="Calibri" w:hAnsi="Verdana"/>
          <w:b/>
          <w:sz w:val="20"/>
          <w:szCs w:val="20"/>
        </w:rPr>
      </w:pPr>
    </w:p>
    <w:p w14:paraId="38C35CD9" w14:textId="77777777" w:rsidR="002E7EDF" w:rsidRPr="00FE39ED" w:rsidRDefault="002E7EDF" w:rsidP="002E7EDF">
      <w:pPr>
        <w:pStyle w:val="Textoindependiente"/>
        <w:spacing w:after="0" w:line="240" w:lineRule="auto"/>
        <w:jc w:val="both"/>
        <w:rPr>
          <w:rFonts w:ascii="Verdana" w:eastAsia="Calibri" w:hAnsi="Verdana"/>
          <w:bCs/>
          <w:sz w:val="20"/>
          <w:szCs w:val="20"/>
        </w:rPr>
      </w:pPr>
      <w:r w:rsidRPr="00FE39ED">
        <w:rPr>
          <w:rFonts w:ascii="Verdana" w:eastAsia="Calibri" w:hAnsi="Verdana"/>
          <w:bCs/>
          <w:sz w:val="20"/>
          <w:szCs w:val="20"/>
        </w:rPr>
        <w:t xml:space="preserve">De acuerdo el artículo 32.5, inciso quinto, de la Ley 80 de 1993 y el artículo 2.5.2.1.1 del Decreto 2555 de 2010, la prohibición también se extiende a las sociedades fiduciarias, frente a los actos y contratos que realicen en desarrollo del negocio fiduciario, con independencia del régimen jurídico de la entidad fideicomitente, razón por la cual no se podría inaplicar la prohibición establecida en el artículo 33 de la Ley de Garantías Electorales, con la constitución de patrimonios autónomos. […] </w:t>
      </w:r>
    </w:p>
    <w:p w14:paraId="39CDB59E" w14:textId="77777777" w:rsidR="002E7EDF" w:rsidRPr="00FE39ED" w:rsidRDefault="002E7EDF" w:rsidP="002E7EDF">
      <w:pPr>
        <w:pStyle w:val="Textoindependiente"/>
        <w:spacing w:after="0" w:line="240" w:lineRule="auto"/>
        <w:jc w:val="both"/>
        <w:rPr>
          <w:rFonts w:ascii="Verdana" w:eastAsia="Calibri" w:hAnsi="Verdana"/>
          <w:bCs/>
          <w:sz w:val="20"/>
          <w:szCs w:val="20"/>
        </w:rPr>
      </w:pPr>
    </w:p>
    <w:p w14:paraId="2E136EA5" w14:textId="30861FC3" w:rsidR="002E7EDF" w:rsidRDefault="002E7EDF" w:rsidP="0025102C">
      <w:pPr>
        <w:pStyle w:val="Textoindependiente"/>
        <w:spacing w:after="0" w:line="240" w:lineRule="auto"/>
        <w:jc w:val="both"/>
        <w:rPr>
          <w:rFonts w:ascii="Verdana" w:eastAsia="Calibri" w:hAnsi="Verdana"/>
          <w:bCs/>
          <w:sz w:val="20"/>
          <w:szCs w:val="20"/>
        </w:rPr>
      </w:pPr>
      <w:r w:rsidRPr="00FE39ED">
        <w:rPr>
          <w:rFonts w:ascii="Verdana" w:eastAsia="Calibri" w:hAnsi="Verdana"/>
          <w:bCs/>
          <w:sz w:val="20"/>
          <w:szCs w:val="20"/>
        </w:rPr>
        <w:t xml:space="preserve">El artículo 33 de la Ley de Garantías se extiende a las sociedades fiduciarias en virtud del artículo 32.5, inciso quinto, de la Ley 80 de 1993. Con las diferencias en el alcance, de acuerdo con el inciso noveno </w:t>
      </w:r>
      <w:proofErr w:type="spellStart"/>
      <w:r w:rsidRPr="00FE39ED">
        <w:rPr>
          <w:rFonts w:ascii="Verdana" w:eastAsia="Calibri" w:hAnsi="Verdana"/>
          <w:bCs/>
          <w:sz w:val="20"/>
          <w:szCs w:val="20"/>
        </w:rPr>
        <w:t>ibídem</w:t>
      </w:r>
      <w:proofErr w:type="spellEnd"/>
      <w:r w:rsidRPr="00FE39ED">
        <w:rPr>
          <w:rFonts w:ascii="Verdana" w:eastAsia="Calibri" w:hAnsi="Verdana"/>
          <w:bCs/>
          <w:sz w:val="20"/>
          <w:szCs w:val="20"/>
        </w:rPr>
        <w:t>, la misma es congruente con el artículo 2.5.2.1.1 del Decreto 2555 de 2010, el cual rige también en los negocios fiduciarios de las entidades exceptuadas de la aplicación del EGCAP. Por tanto, con independencia del régimen jurídico de la entidad fideicomitente, la prohibición de contratación directa durante la vigencia de la Ley de Garantías también les aplica a las fiduciarias que administran los recursos públicos de los entes del Estado. En este contexto, se reitera que las sociedades fiduciarias no pueden celebrar los contratos en los que las entidades constituyentes tengan alguna restricción, por lo que no son un instrumento para eludir el artículo 33 de la Ley de Garantías.</w:t>
      </w:r>
      <w:r>
        <w:rPr>
          <w:rFonts w:ascii="Verdana" w:eastAsia="Calibri" w:hAnsi="Verdana"/>
          <w:bCs/>
          <w:sz w:val="20"/>
          <w:szCs w:val="20"/>
        </w:rPr>
        <w:t xml:space="preserve"> </w:t>
      </w:r>
    </w:p>
    <w:p w14:paraId="7638D24C" w14:textId="77777777" w:rsidR="00F0616F" w:rsidRDefault="00F0616F" w:rsidP="0025102C">
      <w:pPr>
        <w:pStyle w:val="Textoindependiente"/>
        <w:spacing w:after="0" w:line="240" w:lineRule="auto"/>
        <w:jc w:val="both"/>
        <w:rPr>
          <w:rFonts w:ascii="Verdana" w:eastAsia="Calibri" w:hAnsi="Verdana"/>
          <w:bCs/>
          <w:sz w:val="20"/>
          <w:szCs w:val="20"/>
        </w:rPr>
      </w:pPr>
    </w:p>
    <w:p w14:paraId="015BC49D" w14:textId="77777777" w:rsidR="00F0616F" w:rsidRDefault="00F0616F" w:rsidP="0025102C">
      <w:pPr>
        <w:pStyle w:val="Textoindependiente"/>
        <w:spacing w:after="0" w:line="240" w:lineRule="auto"/>
        <w:jc w:val="both"/>
        <w:rPr>
          <w:rFonts w:ascii="Verdana" w:eastAsia="Calibri" w:hAnsi="Verdana"/>
          <w:bCs/>
          <w:sz w:val="20"/>
          <w:szCs w:val="20"/>
        </w:rPr>
      </w:pPr>
    </w:p>
    <w:p w14:paraId="628441D5" w14:textId="77777777" w:rsidR="00F0616F" w:rsidRPr="002B5736" w:rsidRDefault="00F0616F" w:rsidP="0025102C">
      <w:pPr>
        <w:pStyle w:val="Textoindependiente"/>
        <w:spacing w:after="0" w:line="240" w:lineRule="auto"/>
        <w:jc w:val="both"/>
        <w:rPr>
          <w:rFonts w:ascii="Verdana" w:eastAsia="Calibri" w:hAnsi="Verdana" w:cs="Arial"/>
          <w:bCs/>
          <w:color w:val="000000" w:themeColor="text1"/>
          <w:sz w:val="20"/>
          <w:szCs w:val="20"/>
        </w:rPr>
      </w:pPr>
    </w:p>
    <w:p w14:paraId="3A8887FC" w14:textId="77777777" w:rsidR="002E7EDF" w:rsidRPr="00D83C22" w:rsidRDefault="002E7EDF" w:rsidP="002E7EDF">
      <w:pPr>
        <w:tabs>
          <w:tab w:val="left" w:pos="709"/>
        </w:tabs>
        <w:spacing w:after="0" w:line="240" w:lineRule="auto"/>
        <w:jc w:val="both"/>
        <w:rPr>
          <w:rFonts w:ascii="Verdana" w:eastAsia="Calibri" w:hAnsi="Verdana" w:cs="Arial"/>
          <w:color w:val="000000" w:themeColor="text1"/>
          <w:sz w:val="20"/>
          <w:szCs w:val="20"/>
          <w:lang w:val="es-ES_tradnl"/>
        </w:rPr>
      </w:pPr>
    </w:p>
    <w:p w14:paraId="22D5926F" w14:textId="77777777" w:rsidR="002E7EDF" w:rsidRPr="00DE2AC7" w:rsidRDefault="002E7EDF" w:rsidP="002E7EDF">
      <w:pPr>
        <w:spacing w:after="0" w:line="240" w:lineRule="auto"/>
        <w:rPr>
          <w:rFonts w:ascii="Verdana" w:eastAsia="Geomanist Light" w:hAnsi="Verdana" w:cs="Arial"/>
          <w:color w:val="000000" w:themeColor="text1"/>
        </w:rPr>
      </w:pPr>
    </w:p>
    <w:p w14:paraId="765F7587" w14:textId="77777777" w:rsidR="002E7EDF" w:rsidRDefault="002E7EDF" w:rsidP="002E7EDF">
      <w:pPr>
        <w:spacing w:after="0" w:line="240" w:lineRule="auto"/>
        <w:rPr>
          <w:rFonts w:ascii="Verdana" w:eastAsia="Geomanist Light" w:hAnsi="Verdana" w:cs="Arial"/>
          <w:color w:val="000000" w:themeColor="text1"/>
        </w:rPr>
      </w:pPr>
    </w:p>
    <w:p w14:paraId="472CA7A4" w14:textId="77777777" w:rsidR="002E7EDF" w:rsidRDefault="002E7EDF" w:rsidP="002E7EDF">
      <w:pPr>
        <w:spacing w:after="0" w:line="240" w:lineRule="auto"/>
        <w:rPr>
          <w:rFonts w:ascii="Verdana" w:eastAsia="Geomanist Light" w:hAnsi="Verdana" w:cs="Arial"/>
          <w:color w:val="000000" w:themeColor="text1"/>
          <w:lang w:val="es-MX"/>
        </w:rPr>
      </w:pPr>
    </w:p>
    <w:p w14:paraId="577C2489" w14:textId="77777777" w:rsidR="002E7EDF" w:rsidRDefault="002E7EDF" w:rsidP="00DF5234">
      <w:pPr>
        <w:spacing w:after="0" w:line="240" w:lineRule="auto"/>
        <w:rPr>
          <w:rFonts w:ascii="Verdana" w:eastAsia="Geomanist Light" w:hAnsi="Verdana" w:cs="Arial"/>
          <w:color w:val="000000" w:themeColor="text1"/>
          <w:lang w:val="es-MX"/>
        </w:rPr>
      </w:pPr>
    </w:p>
    <w:p w14:paraId="68FB8F57" w14:textId="77777777" w:rsidR="00441B18" w:rsidRDefault="00441B18" w:rsidP="00DF5234">
      <w:pPr>
        <w:spacing w:after="0" w:line="240" w:lineRule="auto"/>
        <w:rPr>
          <w:rFonts w:ascii="Verdana" w:eastAsia="Geomanist Light" w:hAnsi="Verdana" w:cs="Arial"/>
          <w:color w:val="000000" w:themeColor="text1"/>
          <w:lang w:val="es-MX"/>
        </w:rPr>
      </w:pPr>
    </w:p>
    <w:p w14:paraId="3AF6B677" w14:textId="77777777" w:rsidR="00FB598B" w:rsidRDefault="00FB598B" w:rsidP="00B159EB">
      <w:pPr>
        <w:spacing w:after="0" w:line="240" w:lineRule="auto"/>
        <w:rPr>
          <w:rFonts w:ascii="Verdana" w:hAnsi="Verdana"/>
        </w:rPr>
      </w:pPr>
    </w:p>
    <w:p w14:paraId="628274A9" w14:textId="77777777" w:rsidR="00432DF4" w:rsidRDefault="00432DF4" w:rsidP="00B51755">
      <w:pPr>
        <w:spacing w:after="0" w:line="240" w:lineRule="auto"/>
        <w:rPr>
          <w:rFonts w:ascii="Verdana" w:hAnsi="Verdana"/>
        </w:rPr>
      </w:pPr>
    </w:p>
    <w:p w14:paraId="3396029A" w14:textId="77777777" w:rsidR="00EA0C11" w:rsidRDefault="00EA0C11" w:rsidP="00B51755">
      <w:pPr>
        <w:spacing w:after="0" w:line="240" w:lineRule="auto"/>
        <w:rPr>
          <w:rFonts w:ascii="Verdana" w:hAnsi="Verdana"/>
        </w:rPr>
      </w:pPr>
    </w:p>
    <w:p w14:paraId="0AA1DBF4" w14:textId="77777777" w:rsidR="00EA0C11" w:rsidRDefault="00EA0C11" w:rsidP="00B51755">
      <w:pPr>
        <w:spacing w:after="0" w:line="240" w:lineRule="auto"/>
        <w:rPr>
          <w:rFonts w:ascii="Verdana" w:hAnsi="Verdana"/>
        </w:rPr>
      </w:pPr>
    </w:p>
    <w:p w14:paraId="7486735C" w14:textId="77777777" w:rsidR="00EA0C11" w:rsidRDefault="00EA0C11" w:rsidP="00B51755">
      <w:pPr>
        <w:spacing w:after="0" w:line="240" w:lineRule="auto"/>
        <w:rPr>
          <w:rFonts w:ascii="Verdana" w:hAnsi="Verdana"/>
        </w:rPr>
      </w:pPr>
    </w:p>
    <w:p w14:paraId="595C2223" w14:textId="77777777" w:rsidR="00EA0C11" w:rsidRDefault="00EA0C11" w:rsidP="00B51755">
      <w:pPr>
        <w:spacing w:after="0" w:line="240" w:lineRule="auto"/>
        <w:rPr>
          <w:rFonts w:ascii="Verdana" w:hAnsi="Verdana"/>
        </w:rPr>
      </w:pPr>
    </w:p>
    <w:p w14:paraId="19B254F1" w14:textId="77777777" w:rsidR="00EA0C11" w:rsidRDefault="00EA0C11" w:rsidP="00B51755">
      <w:pPr>
        <w:spacing w:after="0" w:line="240" w:lineRule="auto"/>
        <w:rPr>
          <w:rFonts w:ascii="Verdana" w:hAnsi="Verdana"/>
        </w:rPr>
      </w:pPr>
    </w:p>
    <w:p w14:paraId="1F2BC79D" w14:textId="77777777" w:rsidR="00EA0C11" w:rsidRDefault="00EA0C11" w:rsidP="00B51755">
      <w:pPr>
        <w:spacing w:after="0" w:line="240" w:lineRule="auto"/>
        <w:rPr>
          <w:rFonts w:ascii="Verdana" w:hAnsi="Verdana"/>
        </w:rPr>
      </w:pPr>
    </w:p>
    <w:p w14:paraId="284F7C60" w14:textId="77777777" w:rsidR="00EA0C11" w:rsidRDefault="00EA0C11" w:rsidP="00B51755">
      <w:pPr>
        <w:spacing w:after="0" w:line="240" w:lineRule="auto"/>
        <w:rPr>
          <w:rFonts w:ascii="Verdana" w:hAnsi="Verdana"/>
        </w:rPr>
      </w:pPr>
    </w:p>
    <w:p w14:paraId="44461643" w14:textId="77777777" w:rsidR="00EA0C11" w:rsidRDefault="00EA0C11" w:rsidP="00B51755">
      <w:pPr>
        <w:spacing w:after="0" w:line="240" w:lineRule="auto"/>
        <w:rPr>
          <w:rFonts w:ascii="Verdana" w:hAnsi="Verdana"/>
        </w:rPr>
      </w:pPr>
    </w:p>
    <w:p w14:paraId="02979827" w14:textId="77777777" w:rsidR="00EA0C11" w:rsidRDefault="00EA0C11" w:rsidP="00B51755">
      <w:pPr>
        <w:spacing w:after="0" w:line="240" w:lineRule="auto"/>
        <w:rPr>
          <w:rFonts w:ascii="Verdana" w:hAnsi="Verdana"/>
        </w:rPr>
      </w:pPr>
    </w:p>
    <w:p w14:paraId="5F0CA544" w14:textId="77777777" w:rsidR="00EA0C11" w:rsidRDefault="00EA0C11" w:rsidP="00B51755">
      <w:pPr>
        <w:spacing w:after="0" w:line="240" w:lineRule="auto"/>
        <w:rPr>
          <w:rFonts w:ascii="Verdana" w:hAnsi="Verdana"/>
        </w:rPr>
      </w:pPr>
    </w:p>
    <w:p w14:paraId="1BF57314" w14:textId="77777777" w:rsidR="00EA0C11" w:rsidRDefault="00EA0C11" w:rsidP="00B51755">
      <w:pPr>
        <w:spacing w:after="0" w:line="240" w:lineRule="auto"/>
        <w:rPr>
          <w:rFonts w:ascii="Verdana" w:hAnsi="Verdana"/>
        </w:rPr>
      </w:pPr>
    </w:p>
    <w:p w14:paraId="25C3B881" w14:textId="77777777" w:rsidR="0080733B" w:rsidRDefault="0080733B" w:rsidP="00A5721F">
      <w:pPr>
        <w:spacing w:after="0" w:line="240" w:lineRule="auto"/>
        <w:rPr>
          <w:rFonts w:ascii="Verdana" w:hAnsi="Verdana"/>
        </w:rPr>
      </w:pPr>
      <w:bookmarkStart w:id="0" w:name="_Hlk143780582"/>
    </w:p>
    <w:p w14:paraId="00B3189B" w14:textId="634A079A" w:rsidR="00A5721F" w:rsidRPr="0012682A" w:rsidRDefault="00A5721F" w:rsidP="00A5721F">
      <w:pPr>
        <w:spacing w:after="0" w:line="240" w:lineRule="auto"/>
        <w:rPr>
          <w:rFonts w:ascii="Verdana" w:hAnsi="Verdana"/>
        </w:rPr>
      </w:pPr>
      <w:r w:rsidRPr="0012682A">
        <w:rPr>
          <w:rFonts w:ascii="Verdana" w:hAnsi="Verdana"/>
        </w:rPr>
        <w:lastRenderedPageBreak/>
        <w:t>Bogotá D.C.,</w:t>
      </w:r>
      <w:r w:rsidR="003B2A5B">
        <w:rPr>
          <w:rFonts w:ascii="Verdana" w:hAnsi="Verdana"/>
        </w:rPr>
        <w:t xml:space="preserve"> 12 de marzo de 2026</w:t>
      </w:r>
    </w:p>
    <w:p w14:paraId="71C3A5A2" w14:textId="3CAAD163" w:rsidR="00A5721F" w:rsidRPr="0012682A" w:rsidRDefault="003F2F96" w:rsidP="00A5721F">
      <w:pPr>
        <w:spacing w:after="0" w:line="240" w:lineRule="auto"/>
        <w:rPr>
          <w:rFonts w:ascii="Verdana" w:eastAsia="Calibri" w:hAnsi="Verdana" w:cs="Arial"/>
          <w:color w:val="000000"/>
          <w:lang w:val="es-ES"/>
        </w:rPr>
      </w:pPr>
      <w:r w:rsidRPr="003B2A5B">
        <w:rPr>
          <w:rFonts w:ascii="Verdana" w:eastAsia="Calibri" w:hAnsi="Verdana" w:cs="Arial"/>
          <w:noProof/>
          <w:color w:val="000000"/>
          <w:lang w:val="es-ES"/>
        </w:rPr>
        <w:drawing>
          <wp:anchor distT="0" distB="0" distL="114300" distR="114300" simplePos="0" relativeHeight="251658240" behindDoc="0" locked="0" layoutInCell="1" allowOverlap="1" wp14:anchorId="71B91B14" wp14:editId="5D9FDA07">
            <wp:simplePos x="0" y="0"/>
            <wp:positionH relativeFrom="margin">
              <wp:align>right</wp:align>
            </wp:positionH>
            <wp:positionV relativeFrom="paragraph">
              <wp:posOffset>172720</wp:posOffset>
            </wp:positionV>
            <wp:extent cx="2682240" cy="1082040"/>
            <wp:effectExtent l="0" t="0" r="3810" b="3810"/>
            <wp:wrapSquare wrapText="bothSides"/>
            <wp:docPr id="21421422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2240" cy="10820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B621F3" w14:textId="4D0B117D" w:rsidR="00A5721F" w:rsidRPr="0012682A" w:rsidRDefault="00A5721F" w:rsidP="003B2A5B">
      <w:pPr>
        <w:spacing w:after="0" w:line="240" w:lineRule="auto"/>
        <w:jc w:val="right"/>
        <w:rPr>
          <w:rFonts w:ascii="Verdana" w:eastAsia="Calibri" w:hAnsi="Verdana" w:cs="Arial"/>
          <w:color w:val="000000"/>
          <w:lang w:val="es-ES"/>
        </w:rPr>
      </w:pPr>
    </w:p>
    <w:p w14:paraId="5B415472" w14:textId="77777777" w:rsidR="00A5721F" w:rsidRPr="0012682A" w:rsidRDefault="00A5721F" w:rsidP="00A5721F">
      <w:pPr>
        <w:spacing w:after="0" w:line="240" w:lineRule="auto"/>
        <w:jc w:val="both"/>
        <w:rPr>
          <w:rFonts w:ascii="Verdana" w:eastAsia="Calibri" w:hAnsi="Verdana" w:cs="Arial"/>
          <w:lang w:val="es-ES" w:eastAsia="es-ES"/>
        </w:rPr>
      </w:pPr>
      <w:r w:rsidRPr="0012682A">
        <w:rPr>
          <w:rFonts w:ascii="Verdana" w:eastAsia="Calibri" w:hAnsi="Verdana" w:cs="Arial"/>
          <w:lang w:val="es-ES" w:eastAsia="es-ES"/>
        </w:rPr>
        <w:t>Señores</w:t>
      </w:r>
    </w:p>
    <w:p w14:paraId="74518C47" w14:textId="77777777" w:rsidR="00A5721F" w:rsidRPr="0012682A" w:rsidRDefault="00A5721F" w:rsidP="00A5721F">
      <w:pPr>
        <w:spacing w:after="0" w:line="240" w:lineRule="auto"/>
        <w:jc w:val="both"/>
        <w:rPr>
          <w:rFonts w:ascii="Verdana" w:hAnsi="Verdana"/>
          <w:b/>
          <w:bCs/>
        </w:rPr>
      </w:pPr>
      <w:r w:rsidRPr="0012682A">
        <w:rPr>
          <w:rFonts w:ascii="Verdana" w:hAnsi="Verdana"/>
          <w:b/>
          <w:bCs/>
        </w:rPr>
        <w:t>Angela Díaz Pinzón</w:t>
      </w:r>
    </w:p>
    <w:p w14:paraId="777F6B16" w14:textId="77777777" w:rsidR="00A5721F" w:rsidRPr="0012682A" w:rsidRDefault="00A5721F" w:rsidP="00A5721F">
      <w:pPr>
        <w:spacing w:after="0" w:line="240" w:lineRule="auto"/>
        <w:jc w:val="both"/>
        <w:rPr>
          <w:rFonts w:ascii="Verdana" w:hAnsi="Verdana"/>
          <w:b/>
          <w:bCs/>
        </w:rPr>
      </w:pPr>
      <w:r w:rsidRPr="0012682A">
        <w:rPr>
          <w:rFonts w:ascii="Verdana" w:hAnsi="Verdana"/>
          <w:b/>
          <w:bCs/>
        </w:rPr>
        <w:t>Directora Ejecutiva ACOLAR</w:t>
      </w:r>
    </w:p>
    <w:p w14:paraId="6E3C2F63" w14:textId="77777777" w:rsidR="00A5721F" w:rsidRPr="0012682A" w:rsidRDefault="00A5721F" w:rsidP="00A5721F">
      <w:pPr>
        <w:spacing w:after="0" w:line="240" w:lineRule="auto"/>
        <w:jc w:val="both"/>
        <w:rPr>
          <w:rFonts w:ascii="Verdana" w:hAnsi="Verdana"/>
          <w:b/>
          <w:bCs/>
        </w:rPr>
      </w:pPr>
    </w:p>
    <w:p w14:paraId="15F2E7AC" w14:textId="77777777" w:rsidR="00A5721F" w:rsidRPr="0012682A" w:rsidRDefault="00A5721F" w:rsidP="00A5721F">
      <w:pPr>
        <w:spacing w:after="0" w:line="240" w:lineRule="auto"/>
        <w:jc w:val="both"/>
        <w:rPr>
          <w:rFonts w:ascii="Verdana" w:hAnsi="Verdana"/>
          <w:b/>
          <w:bCs/>
        </w:rPr>
      </w:pPr>
      <w:r w:rsidRPr="0012682A">
        <w:rPr>
          <w:rFonts w:ascii="Verdana" w:hAnsi="Verdana"/>
          <w:b/>
          <w:bCs/>
        </w:rPr>
        <w:t xml:space="preserve">Paula Cortés Calle </w:t>
      </w:r>
    </w:p>
    <w:p w14:paraId="22AE6AF5" w14:textId="77777777" w:rsidR="00A5721F" w:rsidRPr="0012682A" w:rsidRDefault="00A5721F" w:rsidP="00A5721F">
      <w:pPr>
        <w:spacing w:after="0" w:line="240" w:lineRule="auto"/>
        <w:jc w:val="both"/>
        <w:rPr>
          <w:rFonts w:ascii="Verdana" w:hAnsi="Verdana"/>
          <w:b/>
          <w:bCs/>
        </w:rPr>
      </w:pPr>
      <w:r w:rsidRPr="0012682A">
        <w:rPr>
          <w:rFonts w:ascii="Verdana" w:hAnsi="Verdana"/>
          <w:b/>
          <w:bCs/>
        </w:rPr>
        <w:t>Presidente Ejecutiva ANATO</w:t>
      </w:r>
    </w:p>
    <w:p w14:paraId="1849F8B2" w14:textId="77777777" w:rsidR="00A5721F" w:rsidRPr="0012682A" w:rsidRDefault="00A5721F" w:rsidP="00A5721F">
      <w:pPr>
        <w:spacing w:after="0" w:line="240" w:lineRule="auto"/>
        <w:jc w:val="both"/>
        <w:rPr>
          <w:rFonts w:ascii="Verdana" w:hAnsi="Verdana"/>
          <w:b/>
          <w:bCs/>
        </w:rPr>
      </w:pPr>
    </w:p>
    <w:p w14:paraId="68D68746" w14:textId="77777777" w:rsidR="00A5721F" w:rsidRPr="0012682A" w:rsidRDefault="00A5721F" w:rsidP="00A5721F">
      <w:pPr>
        <w:spacing w:after="0" w:line="240" w:lineRule="auto"/>
        <w:jc w:val="both"/>
        <w:rPr>
          <w:rFonts w:ascii="Verdana" w:hAnsi="Verdana"/>
          <w:b/>
          <w:bCs/>
        </w:rPr>
      </w:pPr>
      <w:r w:rsidRPr="0012682A">
        <w:rPr>
          <w:rFonts w:ascii="Verdana" w:hAnsi="Verdana"/>
          <w:b/>
          <w:bCs/>
        </w:rPr>
        <w:t xml:space="preserve">José Andrés Duarte García </w:t>
      </w:r>
    </w:p>
    <w:p w14:paraId="091074A1" w14:textId="77777777" w:rsidR="00A5721F" w:rsidRPr="0012682A" w:rsidRDefault="00A5721F" w:rsidP="00A5721F">
      <w:pPr>
        <w:spacing w:after="0" w:line="240" w:lineRule="auto"/>
        <w:jc w:val="both"/>
        <w:rPr>
          <w:rFonts w:ascii="Verdana" w:hAnsi="Verdana"/>
          <w:b/>
          <w:bCs/>
        </w:rPr>
      </w:pPr>
      <w:r w:rsidRPr="0012682A">
        <w:rPr>
          <w:rFonts w:ascii="Verdana" w:hAnsi="Verdana"/>
          <w:b/>
          <w:bCs/>
        </w:rPr>
        <w:t>Presidente Ejecutivo COTELCO</w:t>
      </w:r>
    </w:p>
    <w:p w14:paraId="5757030D" w14:textId="77777777" w:rsidR="00A5721F" w:rsidRPr="0012682A" w:rsidRDefault="00A5721F" w:rsidP="00A5721F">
      <w:pPr>
        <w:spacing w:after="0" w:line="240" w:lineRule="auto"/>
        <w:rPr>
          <w:rFonts w:ascii="Verdana" w:eastAsia="Calibri" w:hAnsi="Verdana" w:cs="Arial"/>
          <w:color w:val="000000" w:themeColor="text1"/>
          <w:lang w:val="es-ES" w:eastAsia="es-ES"/>
        </w:rPr>
      </w:pPr>
      <w:hyperlink r:id="rId12" w:history="1">
        <w:r w:rsidRPr="0012682A">
          <w:rPr>
            <w:rFonts w:ascii="Verdana" w:hAnsi="Verdana"/>
            <w:color w:val="000000" w:themeColor="text1"/>
            <w:u w:val="single"/>
          </w:rPr>
          <w:t>cbarreto@cotelco.org</w:t>
        </w:r>
      </w:hyperlink>
      <w:r w:rsidRPr="0012682A">
        <w:rPr>
          <w:rFonts w:ascii="Verdana" w:hAnsi="Verdana"/>
          <w:color w:val="000000" w:themeColor="text1"/>
        </w:rPr>
        <w:t xml:space="preserve"> </w:t>
      </w:r>
    </w:p>
    <w:p w14:paraId="401CFD43" w14:textId="77777777" w:rsidR="00A5721F" w:rsidRPr="0012682A" w:rsidRDefault="00A5721F" w:rsidP="00A5721F">
      <w:pPr>
        <w:spacing w:after="0" w:line="240" w:lineRule="auto"/>
        <w:rPr>
          <w:rFonts w:ascii="Verdana" w:hAnsi="Verdana"/>
          <w:color w:val="000000" w:themeColor="text1"/>
          <w:u w:val="single"/>
          <w:bdr w:val="none" w:sz="0" w:space="0" w:color="auto" w:frame="1"/>
          <w:shd w:val="clear" w:color="auto" w:fill="FFFFFF"/>
        </w:rPr>
      </w:pPr>
      <w:hyperlink r:id="rId13" w:tooltip="mailto:mmayorga@cotelco.org" w:history="1">
        <w:r w:rsidRPr="0012682A">
          <w:rPr>
            <w:rFonts w:ascii="Verdana" w:hAnsi="Verdana" w:cs="Calibri"/>
            <w:color w:val="000000" w:themeColor="text1"/>
            <w:u w:val="single"/>
            <w:bdr w:val="none" w:sz="0" w:space="0" w:color="auto" w:frame="1"/>
            <w:shd w:val="clear" w:color="auto" w:fill="FFFFFF"/>
          </w:rPr>
          <w:t>mmayorga</w:t>
        </w:r>
      </w:hyperlink>
      <w:hyperlink r:id="rId14" w:tooltip="mailto:mmayorga@cotelco.org" w:history="1">
        <w:r w:rsidRPr="0012682A">
          <w:rPr>
            <w:rFonts w:ascii="Verdana" w:hAnsi="Verdana"/>
            <w:color w:val="000000" w:themeColor="text1"/>
            <w:u w:val="single"/>
            <w:bdr w:val="none" w:sz="0" w:space="0" w:color="auto" w:frame="1"/>
            <w:shd w:val="clear" w:color="auto" w:fill="FFFFFF"/>
          </w:rPr>
          <w:t>@cotelco.org</w:t>
        </w:r>
      </w:hyperlink>
    </w:p>
    <w:p w14:paraId="332CD0A0" w14:textId="77777777" w:rsidR="00A5721F" w:rsidRPr="0012682A" w:rsidRDefault="00A5721F" w:rsidP="00A5721F">
      <w:pPr>
        <w:spacing w:after="0" w:line="240" w:lineRule="auto"/>
        <w:rPr>
          <w:rFonts w:ascii="Verdana" w:eastAsia="Calibri" w:hAnsi="Verdana" w:cs="Arial"/>
          <w:color w:val="000000" w:themeColor="text1"/>
          <w:lang w:val="es-ES_tradnl" w:eastAsia="es-ES_tradnl"/>
        </w:rPr>
      </w:pPr>
      <w:r w:rsidRPr="0012682A">
        <w:rPr>
          <w:rFonts w:ascii="Verdana" w:hAnsi="Verdana"/>
          <w:color w:val="000000" w:themeColor="text1"/>
          <w:bdr w:val="none" w:sz="0" w:space="0" w:color="auto" w:frame="1"/>
          <w:shd w:val="clear" w:color="auto" w:fill="FFFFFF"/>
        </w:rPr>
        <w:t>Bogotá D.C.</w:t>
      </w:r>
    </w:p>
    <w:p w14:paraId="594C696F" w14:textId="77777777" w:rsidR="00A5721F" w:rsidRPr="0012682A" w:rsidRDefault="00A5721F" w:rsidP="00A5721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5721F" w:rsidRPr="0012682A" w14:paraId="2C1C063A" w14:textId="77777777" w:rsidTr="00EA32A5">
        <w:trPr>
          <w:trHeight w:val="884"/>
        </w:trPr>
        <w:tc>
          <w:tcPr>
            <w:tcW w:w="2689" w:type="dxa"/>
          </w:tcPr>
          <w:p w14:paraId="6375A2F6" w14:textId="77777777" w:rsidR="00A5721F" w:rsidRPr="0012682A" w:rsidRDefault="00A5721F" w:rsidP="00EA32A5">
            <w:pPr>
              <w:jc w:val="both"/>
              <w:rPr>
                <w:rFonts w:ascii="Verdana" w:eastAsia="Calibri" w:hAnsi="Verdana" w:cs="Arial"/>
                <w:b/>
                <w:bCs/>
                <w:color w:val="7030A0"/>
                <w:lang w:val="es-ES_tradnl" w:eastAsia="es-ES_tradnl"/>
              </w:rPr>
            </w:pPr>
          </w:p>
        </w:tc>
        <w:tc>
          <w:tcPr>
            <w:tcW w:w="6100" w:type="dxa"/>
          </w:tcPr>
          <w:p w14:paraId="32F996D4" w14:textId="77777777" w:rsidR="00A5721F" w:rsidRPr="0012682A" w:rsidRDefault="00A5721F" w:rsidP="00EA32A5">
            <w:pPr>
              <w:jc w:val="both"/>
              <w:rPr>
                <w:rFonts w:ascii="Verdana" w:eastAsia="Calibri" w:hAnsi="Verdana" w:cs="Arial"/>
                <w:b/>
                <w:bCs/>
                <w:color w:val="7030A0"/>
                <w:lang w:val="es-ES" w:eastAsia="es-ES"/>
              </w:rPr>
            </w:pPr>
            <w:r w:rsidRPr="0012682A">
              <w:rPr>
                <w:rFonts w:ascii="Verdana" w:eastAsia="Calibri" w:hAnsi="Verdana" w:cs="Arial"/>
                <w:b/>
                <w:bCs/>
                <w:lang w:val="es-ES" w:eastAsia="es-ES"/>
              </w:rPr>
              <w:t>Concepto C – 280 de 2026</w:t>
            </w:r>
          </w:p>
        </w:tc>
      </w:tr>
      <w:tr w:rsidR="00A5721F" w:rsidRPr="0012682A" w14:paraId="3205E935" w14:textId="77777777" w:rsidTr="00EA32A5">
        <w:trPr>
          <w:trHeight w:val="884"/>
        </w:trPr>
        <w:tc>
          <w:tcPr>
            <w:tcW w:w="2689" w:type="dxa"/>
          </w:tcPr>
          <w:p w14:paraId="4A27B649" w14:textId="77777777" w:rsidR="00A5721F" w:rsidRPr="0012682A" w:rsidRDefault="00A5721F" w:rsidP="00EA32A5">
            <w:pPr>
              <w:jc w:val="both"/>
              <w:rPr>
                <w:rFonts w:ascii="Verdana" w:eastAsia="Calibri" w:hAnsi="Verdana" w:cs="Arial"/>
                <w:color w:val="000000"/>
                <w:lang w:val="es-ES_tradnl" w:eastAsia="es-ES_tradnl"/>
              </w:rPr>
            </w:pPr>
            <w:r w:rsidRPr="0012682A">
              <w:rPr>
                <w:rFonts w:ascii="Verdana" w:eastAsia="Calibri" w:hAnsi="Verdana" w:cs="Arial"/>
                <w:b/>
                <w:color w:val="000000"/>
                <w:lang w:val="es-ES_tradnl" w:eastAsia="es-ES_tradnl"/>
              </w:rPr>
              <w:t>Temas:</w:t>
            </w:r>
            <w:r w:rsidRPr="0012682A">
              <w:rPr>
                <w:rFonts w:ascii="Verdana" w:eastAsia="Calibri" w:hAnsi="Verdana" w:cs="Arial"/>
                <w:color w:val="000000"/>
                <w:lang w:val="es-ES_tradnl" w:eastAsia="es-ES_tradnl"/>
              </w:rPr>
              <w:t xml:space="preserve">                   </w:t>
            </w:r>
          </w:p>
        </w:tc>
        <w:tc>
          <w:tcPr>
            <w:tcW w:w="6100" w:type="dxa"/>
          </w:tcPr>
          <w:p w14:paraId="7088F8D7" w14:textId="77777777" w:rsidR="00A5721F" w:rsidRPr="0012682A" w:rsidRDefault="00A5721F" w:rsidP="00EA32A5">
            <w:pPr>
              <w:spacing w:line="276" w:lineRule="auto"/>
              <w:jc w:val="both"/>
              <w:rPr>
                <w:rFonts w:ascii="Verdana" w:eastAsia="Calibri" w:hAnsi="Verdana" w:cs="Arial"/>
                <w:lang w:val="es-ES" w:eastAsia="es-ES"/>
              </w:rPr>
            </w:pPr>
            <w:r w:rsidRPr="0012682A">
              <w:rPr>
                <w:rFonts w:ascii="Verdana" w:eastAsia="Calibri" w:hAnsi="Verdana" w:cs="Arial"/>
                <w:lang w:val="es-ES" w:eastAsia="es-ES"/>
              </w:rPr>
              <w:t xml:space="preserve">LEY DE GARANTÍAS ELECTORALES ‒ Finalidad / LEY DE GARANTÍAS ELECTORALES – Ley 996 de 2005 – Articulo 33 – Restricciones – Elecciones presidenciales / LEY DE GARANTÍAS ELECTORALES – Ley 996 de 2005 – Destinatarios / LEY DE GARANTÍAS ELECTORALES – Artículo 33 - Patrimonios autónomos                     </w:t>
            </w:r>
          </w:p>
          <w:p w14:paraId="51BF46A4" w14:textId="77777777" w:rsidR="00A5721F" w:rsidRPr="0012682A" w:rsidRDefault="00A5721F" w:rsidP="00EA32A5">
            <w:pPr>
              <w:spacing w:line="276" w:lineRule="auto"/>
              <w:jc w:val="both"/>
              <w:rPr>
                <w:rFonts w:ascii="Verdana" w:eastAsia="Calibri" w:hAnsi="Verdana" w:cs="Arial"/>
                <w:lang w:val="es-ES" w:eastAsia="es-ES"/>
              </w:rPr>
            </w:pPr>
            <w:r w:rsidRPr="0012682A">
              <w:rPr>
                <w:rFonts w:ascii="Verdana" w:eastAsia="Calibri" w:hAnsi="Verdana" w:cs="Arial"/>
                <w:lang w:val="es-ES" w:eastAsia="es-ES"/>
              </w:rPr>
              <w:t xml:space="preserve">  </w:t>
            </w:r>
          </w:p>
        </w:tc>
      </w:tr>
      <w:tr w:rsidR="00A5721F" w:rsidRPr="0012682A" w14:paraId="1FC0C200" w14:textId="77777777" w:rsidTr="00EA32A5">
        <w:tc>
          <w:tcPr>
            <w:tcW w:w="2689" w:type="dxa"/>
          </w:tcPr>
          <w:p w14:paraId="27D051C0" w14:textId="77777777" w:rsidR="00A5721F" w:rsidRPr="0012682A" w:rsidRDefault="00A5721F" w:rsidP="00EA32A5">
            <w:pPr>
              <w:jc w:val="both"/>
              <w:rPr>
                <w:rFonts w:ascii="Verdana" w:eastAsia="Calibri" w:hAnsi="Verdana" w:cs="Arial"/>
                <w:b/>
                <w:lang w:val="es-ES_tradnl" w:eastAsia="es-ES_tradnl"/>
              </w:rPr>
            </w:pPr>
            <w:r w:rsidRPr="0012682A">
              <w:rPr>
                <w:rFonts w:ascii="Verdana" w:eastAsia="Calibri" w:hAnsi="Verdana" w:cs="Arial"/>
                <w:b/>
                <w:lang w:val="es-ES_tradnl" w:eastAsia="es-ES_tradnl"/>
              </w:rPr>
              <w:t>Radicación:</w:t>
            </w:r>
            <w:r w:rsidRPr="0012682A">
              <w:rPr>
                <w:rFonts w:ascii="Verdana" w:eastAsia="Calibri" w:hAnsi="Verdana" w:cs="Arial"/>
                <w:lang w:val="es-ES_tradnl" w:eastAsia="es-ES_tradnl"/>
              </w:rPr>
              <w:t xml:space="preserve">               </w:t>
            </w:r>
          </w:p>
        </w:tc>
        <w:tc>
          <w:tcPr>
            <w:tcW w:w="6100" w:type="dxa"/>
          </w:tcPr>
          <w:p w14:paraId="7DDCEEC4" w14:textId="77777777" w:rsidR="00A5721F" w:rsidRPr="0012682A" w:rsidRDefault="00A5721F" w:rsidP="00EA32A5">
            <w:pPr>
              <w:spacing w:line="276" w:lineRule="auto"/>
              <w:jc w:val="both"/>
              <w:rPr>
                <w:rFonts w:ascii="Verdana" w:eastAsia="Calibri" w:hAnsi="Verdana" w:cs="Arial"/>
                <w:lang w:val="es-ES_tradnl" w:eastAsia="es-ES_tradnl"/>
              </w:rPr>
            </w:pPr>
            <w:r w:rsidRPr="0012682A">
              <w:rPr>
                <w:rFonts w:ascii="Verdana" w:eastAsia="Calibri" w:hAnsi="Verdana" w:cs="Arial"/>
                <w:lang w:val="es-ES_tradnl" w:eastAsia="es-ES_tradnl"/>
              </w:rPr>
              <w:t>Respuesta a las consultas con radicado Nos.  1_2026_02_23_002435 y 1_2026_02_23_002441</w:t>
            </w:r>
          </w:p>
        </w:tc>
      </w:tr>
    </w:tbl>
    <w:p w14:paraId="40DF49F3" w14:textId="77777777" w:rsidR="00A5721F" w:rsidRPr="0012682A" w:rsidRDefault="00A5721F" w:rsidP="00A5721F">
      <w:pPr>
        <w:spacing w:after="0" w:line="240" w:lineRule="auto"/>
        <w:jc w:val="both"/>
        <w:rPr>
          <w:rFonts w:ascii="Verdana" w:eastAsia="Calibri" w:hAnsi="Verdana" w:cs="Arial"/>
          <w:color w:val="000000"/>
          <w:lang w:val="es-ES_tradnl" w:eastAsia="es-ES_tradnl"/>
        </w:rPr>
      </w:pPr>
    </w:p>
    <w:p w14:paraId="5124C1D9" w14:textId="77777777" w:rsidR="00A5721F" w:rsidRPr="0012682A" w:rsidRDefault="00A5721F" w:rsidP="00A5721F">
      <w:pPr>
        <w:spacing w:after="0" w:line="240" w:lineRule="auto"/>
        <w:jc w:val="both"/>
        <w:rPr>
          <w:rFonts w:ascii="Verdana" w:eastAsia="Calibri" w:hAnsi="Verdana" w:cs="Arial"/>
          <w:color w:val="000000"/>
          <w:lang w:val="es-ES_tradnl" w:eastAsia="es-ES_tradnl"/>
        </w:rPr>
      </w:pPr>
    </w:p>
    <w:p w14:paraId="0A2D821E" w14:textId="77777777" w:rsidR="00A5721F" w:rsidRPr="0012682A" w:rsidRDefault="00A5721F" w:rsidP="00A5721F">
      <w:pPr>
        <w:spacing w:after="0" w:line="276" w:lineRule="auto"/>
        <w:jc w:val="both"/>
        <w:rPr>
          <w:rFonts w:ascii="Verdana" w:eastAsia="Calibri" w:hAnsi="Verdana" w:cs="Arial"/>
          <w:lang w:val="es-ES" w:eastAsia="es-ES"/>
        </w:rPr>
      </w:pPr>
      <w:r w:rsidRPr="0012682A">
        <w:rPr>
          <w:rFonts w:ascii="Verdana" w:eastAsia="Calibri" w:hAnsi="Verdana" w:cs="Arial"/>
          <w:lang w:val="es-ES" w:eastAsia="es-ES"/>
        </w:rPr>
        <w:t xml:space="preserve">Estimados señores: </w:t>
      </w:r>
    </w:p>
    <w:p w14:paraId="0EE57C0A" w14:textId="77777777" w:rsidR="00A5721F" w:rsidRPr="0012682A" w:rsidRDefault="00A5721F" w:rsidP="00A5721F">
      <w:pPr>
        <w:tabs>
          <w:tab w:val="left" w:pos="3768"/>
        </w:tabs>
        <w:spacing w:after="0" w:line="276" w:lineRule="auto"/>
        <w:jc w:val="both"/>
        <w:rPr>
          <w:rFonts w:ascii="Verdana" w:eastAsia="Calibri" w:hAnsi="Verdana" w:cs="Arial"/>
          <w:color w:val="000000" w:themeColor="text1"/>
          <w:lang w:val="es-ES" w:eastAsia="es-ES"/>
        </w:rPr>
      </w:pPr>
      <w:r w:rsidRPr="0012682A">
        <w:rPr>
          <w:rFonts w:ascii="Verdana" w:eastAsia="Calibri" w:hAnsi="Verdana" w:cs="Arial"/>
          <w:color w:val="000000" w:themeColor="text1"/>
          <w:lang w:val="es-ES" w:eastAsia="es-ES"/>
        </w:rPr>
        <w:tab/>
      </w:r>
    </w:p>
    <w:p w14:paraId="14D43585" w14:textId="77777777" w:rsidR="00A5721F" w:rsidRPr="0012682A" w:rsidRDefault="00A5721F" w:rsidP="00A5721F">
      <w:pPr>
        <w:spacing w:after="0" w:line="276" w:lineRule="auto"/>
        <w:jc w:val="both"/>
        <w:rPr>
          <w:rFonts w:ascii="Verdana" w:eastAsia="Calibri" w:hAnsi="Verdana" w:cs="Arial"/>
          <w:color w:val="7030A0"/>
          <w:lang w:val="es-ES" w:eastAsia="es-ES"/>
        </w:rPr>
      </w:pPr>
      <w:r w:rsidRPr="0012682A">
        <w:rPr>
          <w:rFonts w:ascii="Verdana" w:eastAsia="Calibri" w:hAnsi="Verdana" w:cs="Arial"/>
          <w:color w:val="000000" w:themeColor="text1"/>
          <w:lang w:val="es-ES" w:eastAsia="es-ES"/>
        </w:rPr>
        <w:t>En ejercicio de la competencia otorgada por los artículos 3, numeral 5º, y 11, numeral 8º, del Decreto Ley 4170 de 2011,</w:t>
      </w:r>
      <w:r w:rsidRPr="0012682A">
        <w:rPr>
          <w:rFonts w:ascii="Verdana" w:eastAsia="Arial MT" w:hAnsi="Verdana" w:cs="Arial MT"/>
          <w:lang w:val="es-ES" w:eastAsia="es-ES"/>
        </w:rPr>
        <w:t xml:space="preserve"> </w:t>
      </w:r>
      <w:r w:rsidRPr="0012682A">
        <w:rPr>
          <w:rFonts w:ascii="Verdana" w:eastAsia="Calibri" w:hAnsi="Verdana" w:cs="Times New Roman"/>
          <w:bCs/>
        </w:rPr>
        <w:t>así como lo establecido por la Resolución 469 de 2025 expedida por esta Entidad</w:t>
      </w:r>
      <w:r w:rsidRPr="0012682A">
        <w:rPr>
          <w:rFonts w:ascii="Verdana" w:hAnsi="Verdana" w:cs="Arial"/>
        </w:rPr>
        <w:t xml:space="preserve">, </w:t>
      </w:r>
      <w:r w:rsidRPr="0012682A">
        <w:rPr>
          <w:rFonts w:ascii="Verdana" w:eastAsia="Calibri" w:hAnsi="Verdana" w:cs="Arial"/>
          <w:color w:val="000000" w:themeColor="text1"/>
          <w:lang w:val="es-ES" w:eastAsia="es-ES"/>
        </w:rPr>
        <w:t>la Agencia Nacional de Contratación Pública – Colombia Compra Eficiente responde su solicitud de consulta remitida por la Contraloría General de la República el</w:t>
      </w:r>
      <w:r w:rsidRPr="0012682A">
        <w:rPr>
          <w:rFonts w:ascii="Verdana" w:eastAsia="Calibri" w:hAnsi="Verdana" w:cs="Arial"/>
          <w:lang w:val="es-ES" w:eastAsia="es-ES"/>
        </w:rPr>
        <w:t xml:space="preserve"> 23 de febrero de 2026, en la cual pregunta lo siguiente: </w:t>
      </w:r>
    </w:p>
    <w:p w14:paraId="2C15F766" w14:textId="77777777" w:rsidR="00A5721F" w:rsidRPr="0012682A" w:rsidRDefault="00A5721F" w:rsidP="00A5721F">
      <w:pPr>
        <w:tabs>
          <w:tab w:val="left" w:pos="142"/>
          <w:tab w:val="left" w:pos="284"/>
        </w:tabs>
        <w:spacing w:after="0" w:line="276" w:lineRule="auto"/>
        <w:contextualSpacing/>
        <w:jc w:val="both"/>
        <w:rPr>
          <w:rFonts w:ascii="Verdana" w:eastAsia="Century Gothic" w:hAnsi="Verdana" w:cs="Century Gothic"/>
          <w:b/>
          <w:bCs/>
          <w:lang w:val="es-ES"/>
        </w:rPr>
      </w:pPr>
    </w:p>
    <w:p w14:paraId="61C0D3DA" w14:textId="77777777" w:rsidR="00A5721F" w:rsidRPr="0012682A" w:rsidRDefault="00A5721F" w:rsidP="00A5721F">
      <w:pPr>
        <w:spacing w:after="120" w:line="240" w:lineRule="auto"/>
        <w:ind w:left="709" w:right="709"/>
        <w:jc w:val="both"/>
        <w:rPr>
          <w:rFonts w:ascii="Verdana" w:eastAsia="Century Gothic" w:hAnsi="Verdana" w:cs="Century Gothic"/>
          <w:sz w:val="20"/>
          <w:szCs w:val="20"/>
          <w:lang w:val="es-ES"/>
        </w:rPr>
      </w:pPr>
      <w:bookmarkStart w:id="1" w:name="_Hlk95313578"/>
      <w:r w:rsidRPr="0012682A">
        <w:rPr>
          <w:rFonts w:ascii="Verdana" w:eastAsia="Century Gothic" w:hAnsi="Verdana" w:cs="Century Gothic"/>
          <w:sz w:val="20"/>
          <w:szCs w:val="20"/>
          <w:lang w:val="es-ES"/>
        </w:rPr>
        <w:lastRenderedPageBreak/>
        <w:t>“</w:t>
      </w:r>
      <w:bookmarkEnd w:id="1"/>
      <w:r w:rsidRPr="0012682A">
        <w:rPr>
          <w:rFonts w:ascii="Verdana" w:eastAsia="Century Gothic" w:hAnsi="Verdana" w:cs="Century Gothic"/>
          <w:sz w:val="20"/>
          <w:szCs w:val="20"/>
          <w:lang w:val="es-ES"/>
        </w:rPr>
        <w:t xml:space="preserve">La Asociación Hotelera y Turística de Colombia (COTELCO), la Asociación Colombiana de Agencias de Viajes y Turismo (ANATO) y la Asociación Colombiana de Atracciones y Parques de Diversiones (ACOLAP), en nuestra condición de representantes de los sectores que nutren la parafiscalidad turística y miembros actuales del Comité Directivo del </w:t>
      </w:r>
      <w:proofErr w:type="spellStart"/>
      <w:r w:rsidRPr="0012682A">
        <w:rPr>
          <w:rFonts w:ascii="Verdana" w:eastAsia="Century Gothic" w:hAnsi="Verdana" w:cs="Century Gothic"/>
          <w:sz w:val="20"/>
          <w:szCs w:val="20"/>
          <w:lang w:val="es-ES"/>
        </w:rPr>
        <w:t>Fontur</w:t>
      </w:r>
      <w:proofErr w:type="spellEnd"/>
      <w:r w:rsidRPr="0012682A">
        <w:rPr>
          <w:rFonts w:ascii="Verdana" w:eastAsia="Century Gothic" w:hAnsi="Verdana" w:cs="Century Gothic"/>
          <w:sz w:val="20"/>
          <w:szCs w:val="20"/>
          <w:lang w:val="es-ES"/>
        </w:rPr>
        <w:t>, nos permitimos solicitar concepto de la Contraloría frente a la interpretación que FONTUR ha dado a la Ley de Garantías. El Fondo argumenta que no puede suscribir contratos directos con gremios para ejecutar recursos de la contribución parafiscal turística. Sin embargo, en nuestro criterio dicha interpretación es equivocada considerando que la Sentencia C-644 de 2016 ratifica que los recursos parafiscales son singulares y autónomos, y que su administración suele confiarse a particulares (gremios</w:t>
      </w:r>
      <w:proofErr w:type="gramStart"/>
      <w:r w:rsidRPr="0012682A">
        <w:rPr>
          <w:rFonts w:ascii="Verdana" w:eastAsia="Century Gothic" w:hAnsi="Verdana" w:cs="Century Gothic"/>
          <w:sz w:val="20"/>
          <w:szCs w:val="20"/>
          <w:lang w:val="es-ES"/>
        </w:rPr>
        <w:t>),:</w:t>
      </w:r>
      <w:proofErr w:type="gramEnd"/>
    </w:p>
    <w:p w14:paraId="3D8C3D32" w14:textId="77777777" w:rsidR="00A5721F" w:rsidRPr="0012682A" w:rsidRDefault="00A5721F" w:rsidP="00A5721F">
      <w:pPr>
        <w:spacing w:after="120" w:line="240" w:lineRule="auto"/>
        <w:ind w:left="709" w:right="709"/>
        <w:jc w:val="both"/>
        <w:rPr>
          <w:rFonts w:ascii="Verdana" w:hAnsi="Verdana" w:cs="Arial"/>
          <w:sz w:val="20"/>
          <w:szCs w:val="20"/>
        </w:rPr>
      </w:pPr>
      <w:r w:rsidRPr="0012682A">
        <w:rPr>
          <w:rFonts w:ascii="Verdana" w:hAnsi="Verdana" w:cs="Arial"/>
          <w:sz w:val="20"/>
          <w:szCs w:val="20"/>
        </w:rPr>
        <w:t xml:space="preserve">De otro lado, es preciso señalar que los convenios celebrados entre el FONTUR y las entidades gremiales constituyen una modalidad distinta a los contratos, razón por la cual no deberían verse afectados por la Ley de Garantías. En este tipo de convenios no existe proceso de selección del contratista, ni puede existir, dada la definición misma de la modalidad prevista en el Manual de Contratación del FONTUR. </w:t>
      </w:r>
    </w:p>
    <w:p w14:paraId="48146953" w14:textId="77777777" w:rsidR="00A5721F" w:rsidRPr="0012682A" w:rsidRDefault="00A5721F" w:rsidP="00A5721F">
      <w:pPr>
        <w:spacing w:after="120" w:line="240" w:lineRule="auto"/>
        <w:ind w:left="709" w:right="709"/>
        <w:jc w:val="both"/>
        <w:rPr>
          <w:rFonts w:ascii="Verdana" w:hAnsi="Verdana" w:cs="Arial"/>
          <w:sz w:val="20"/>
          <w:szCs w:val="20"/>
        </w:rPr>
      </w:pPr>
      <w:r w:rsidRPr="0012682A">
        <w:rPr>
          <w:rFonts w:ascii="Verdana" w:hAnsi="Verdana" w:cs="Arial"/>
          <w:sz w:val="20"/>
          <w:szCs w:val="20"/>
        </w:rPr>
        <w:t>"3.8. Convenios, Acuerdos y Memorandos de Entendimiento Son los que celebra el P.A. FONTUR que persiguen el interés público y/o están relacionados con el desarrollo de un programa del Ministerio de Comercio, Industria y Turismo o de proyectos aprobados por el Comité Directivo del P.A. FONTUR, suscritos con algunas de las siguientes instituciones: Entidades Multilaterales, Entidades Gubernamentales internacionales, Gobiernos Extranjeros, Entidades Estatales del Orden Nacional o Territorial, Organismos de Cooperación internacional, Entidades Gremiales Nacionales o Internacionales, Entidades sin Ánimo de Lucro, Cámaras de Comercio del país, Cajas de Compensación Familiar, Patrimonios Autónomos del Ministerio de Comercio, industria y Turismo, Cooperativas, Juntas de Acción Comunal, Universidades Públicas, entre otros.</w:t>
      </w:r>
    </w:p>
    <w:p w14:paraId="52197DE7" w14:textId="77777777" w:rsidR="00A5721F" w:rsidRPr="0012682A" w:rsidRDefault="00A5721F" w:rsidP="00A5721F">
      <w:pPr>
        <w:spacing w:after="120" w:line="240" w:lineRule="auto"/>
        <w:ind w:left="709" w:right="709"/>
        <w:jc w:val="both"/>
        <w:rPr>
          <w:rFonts w:ascii="Verdana" w:eastAsia="Century Gothic" w:hAnsi="Verdana" w:cs="Arial"/>
          <w:sz w:val="20"/>
          <w:szCs w:val="20"/>
          <w:lang w:val="es-ES"/>
        </w:rPr>
      </w:pPr>
      <w:r w:rsidRPr="0012682A">
        <w:rPr>
          <w:rFonts w:ascii="Verdana" w:hAnsi="Verdana"/>
          <w:sz w:val="20"/>
          <w:szCs w:val="20"/>
        </w:rPr>
        <w:t xml:space="preserve">PARÁGRAFO: Con el propósito de </w:t>
      </w:r>
      <w:proofErr w:type="spellStart"/>
      <w:r w:rsidRPr="0012682A">
        <w:rPr>
          <w:rFonts w:ascii="Verdana" w:hAnsi="Verdana"/>
          <w:sz w:val="20"/>
          <w:szCs w:val="20"/>
        </w:rPr>
        <w:t>contar.con</w:t>
      </w:r>
      <w:proofErr w:type="spellEnd"/>
      <w:r w:rsidRPr="0012682A">
        <w:rPr>
          <w:rFonts w:ascii="Verdana" w:hAnsi="Verdana"/>
          <w:sz w:val="20"/>
          <w:szCs w:val="20"/>
        </w:rPr>
        <w:t xml:space="preserve"> un apoyo técnico especializado, el P.A. FONTUR podrá realizar convenios con Universidades Públicas, para adelantar conjuntamente proyectos de investigación relacionados con su misionalidad”.</w:t>
      </w:r>
    </w:p>
    <w:p w14:paraId="36FFDE36" w14:textId="77777777" w:rsidR="00A5721F" w:rsidRPr="0012682A" w:rsidRDefault="00A5721F" w:rsidP="00A5721F">
      <w:pPr>
        <w:spacing w:after="120" w:line="240" w:lineRule="auto"/>
        <w:ind w:left="709" w:right="709"/>
        <w:jc w:val="both"/>
        <w:rPr>
          <w:rFonts w:ascii="Verdana" w:eastAsia="Century Gothic" w:hAnsi="Verdana" w:cs="Century Gothic"/>
          <w:sz w:val="20"/>
          <w:szCs w:val="20"/>
          <w:lang w:val="es-ES"/>
        </w:rPr>
      </w:pPr>
      <w:r w:rsidRPr="0012682A">
        <w:rPr>
          <w:rFonts w:ascii="Verdana" w:eastAsia="Century Gothic" w:hAnsi="Verdana" w:cs="Century Gothic"/>
          <w:sz w:val="20"/>
          <w:szCs w:val="20"/>
        </w:rPr>
        <w:t>Dicho lo anterior, consultamos:</w:t>
      </w:r>
    </w:p>
    <w:p w14:paraId="10FC888C" w14:textId="77777777" w:rsidR="00A5721F" w:rsidRPr="0012682A" w:rsidRDefault="00A5721F" w:rsidP="00A5721F">
      <w:pPr>
        <w:spacing w:after="120" w:line="240" w:lineRule="auto"/>
        <w:ind w:left="709" w:right="709"/>
        <w:jc w:val="both"/>
        <w:rPr>
          <w:rFonts w:ascii="Verdana" w:eastAsia="Century Gothic" w:hAnsi="Verdana" w:cs="Century Gothic"/>
          <w:sz w:val="20"/>
          <w:szCs w:val="20"/>
          <w:lang w:val="es-ES"/>
        </w:rPr>
      </w:pPr>
      <w:r w:rsidRPr="0012682A">
        <w:rPr>
          <w:rFonts w:ascii="Verdana" w:eastAsia="Century Gothic" w:hAnsi="Verdana" w:cs="Century Gothic"/>
          <w:sz w:val="20"/>
          <w:szCs w:val="20"/>
          <w:lang w:val="es-ES"/>
        </w:rPr>
        <w:t xml:space="preserve">¿Es o no viable que la restricción de contratación directa de la Ley 996 de 2005 se aplique de forma absoluta a convenios de fomento financiados con recursos que no provienen del presupuesto nacional, sino de la contribución de </w:t>
      </w:r>
      <w:proofErr w:type="gramStart"/>
      <w:r w:rsidRPr="0012682A">
        <w:rPr>
          <w:rFonts w:ascii="Verdana" w:eastAsia="Century Gothic" w:hAnsi="Verdana" w:cs="Century Gothic"/>
          <w:sz w:val="20"/>
          <w:szCs w:val="20"/>
          <w:lang w:val="es-ES"/>
        </w:rPr>
        <w:t>los mismos</w:t>
      </w:r>
      <w:proofErr w:type="gramEnd"/>
      <w:r w:rsidRPr="0012682A">
        <w:rPr>
          <w:rFonts w:ascii="Verdana" w:eastAsia="Century Gothic" w:hAnsi="Verdana" w:cs="Century Gothic"/>
          <w:sz w:val="20"/>
          <w:szCs w:val="20"/>
          <w:lang w:val="es-ES"/>
        </w:rPr>
        <w:t xml:space="preserve"> privados, quienes además aportan una contrapartida para la ejecución de los proyectos</w:t>
      </w:r>
      <w:r w:rsidRPr="0012682A">
        <w:rPr>
          <w:rFonts w:ascii="Verdana" w:eastAsia="Century Gothic" w:hAnsi="Verdana" w:cs="Century Gothic"/>
          <w:sz w:val="20"/>
          <w:szCs w:val="20"/>
        </w:rPr>
        <w:t>?”</w:t>
      </w:r>
    </w:p>
    <w:p w14:paraId="430F2EE9" w14:textId="77777777" w:rsidR="00A5721F" w:rsidRPr="0012682A" w:rsidRDefault="00A5721F" w:rsidP="00A5721F">
      <w:pPr>
        <w:tabs>
          <w:tab w:val="left" w:pos="142"/>
          <w:tab w:val="left" w:pos="284"/>
        </w:tabs>
        <w:spacing w:after="0" w:line="276" w:lineRule="auto"/>
        <w:contextualSpacing/>
        <w:jc w:val="both"/>
        <w:rPr>
          <w:rFonts w:ascii="Verdana" w:eastAsia="Century Gothic" w:hAnsi="Verdana" w:cs="Century Gothic"/>
          <w:b/>
          <w:bCs/>
          <w:lang w:val="es-ES"/>
        </w:rPr>
      </w:pPr>
    </w:p>
    <w:p w14:paraId="3887887F" w14:textId="77777777" w:rsidR="00A5721F" w:rsidRPr="0012682A" w:rsidRDefault="00A5721F" w:rsidP="00A5721F">
      <w:pPr>
        <w:spacing w:after="120" w:line="276" w:lineRule="auto"/>
        <w:ind w:firstLine="709"/>
        <w:jc w:val="both"/>
        <w:rPr>
          <w:rFonts w:ascii="Verdana" w:eastAsia="Calibri" w:hAnsi="Verdana" w:cs="Arial"/>
          <w:color w:val="000000"/>
          <w:lang w:val="es-ES" w:eastAsia="es-ES"/>
        </w:rPr>
      </w:pPr>
      <w:r w:rsidRPr="0012682A">
        <w:rPr>
          <w:rFonts w:ascii="Verdana" w:eastAsia="Calibri" w:hAnsi="Verdana" w:cs="Arial"/>
          <w:color w:val="000000"/>
          <w:lang w:val="es-ES" w:eastAsia="es-ES"/>
        </w:rPr>
        <w:lastRenderedPageBreak/>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2682A">
        <w:rPr>
          <w:rFonts w:ascii="Verdana" w:eastAsia="Calibri" w:hAnsi="Verdana" w:cs="Arial"/>
          <w:color w:val="000000"/>
          <w:szCs w:val="24"/>
          <w:lang w:val="es-ES_tradnl" w:eastAsia="es-ES_tradnl"/>
        </w:rPr>
        <w:tab/>
      </w:r>
    </w:p>
    <w:p w14:paraId="428C4089" w14:textId="77777777" w:rsidR="00A5721F" w:rsidRPr="0012682A" w:rsidRDefault="00A5721F" w:rsidP="00A5721F">
      <w:pPr>
        <w:spacing w:after="0" w:line="276" w:lineRule="auto"/>
        <w:ind w:firstLine="709"/>
        <w:jc w:val="both"/>
        <w:rPr>
          <w:rFonts w:ascii="Verdana" w:eastAsia="Calibri" w:hAnsi="Verdana" w:cs="Arial"/>
          <w:color w:val="000000"/>
          <w:lang w:val="es-ES" w:eastAsia="es-ES"/>
        </w:rPr>
      </w:pPr>
      <w:r w:rsidRPr="0012682A">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12682A">
        <w:rPr>
          <w:rFonts w:ascii="Verdana" w:eastAsia="Calibri" w:hAnsi="Verdana" w:cs="Arial"/>
          <w:color w:val="7030A0"/>
          <w:lang w:val="es-ES" w:eastAsia="es-ES"/>
        </w:rPr>
        <w:t xml:space="preserve"> </w:t>
      </w:r>
      <w:r w:rsidRPr="0012682A">
        <w:rPr>
          <w:rFonts w:ascii="Verdana" w:eastAsia="Calibri" w:hAnsi="Verdana" w:cs="Arial"/>
          <w:color w:val="000000"/>
          <w:lang w:val="es-ES" w:eastAsia="es-ES"/>
        </w:rPr>
        <w:t>problema</w:t>
      </w:r>
      <w:r w:rsidRPr="0012682A">
        <w:rPr>
          <w:rFonts w:ascii="Verdana" w:eastAsia="Calibri" w:hAnsi="Verdana" w:cs="Arial"/>
          <w:color w:val="7030A0"/>
          <w:lang w:val="es-ES" w:eastAsia="es-ES"/>
        </w:rPr>
        <w:t xml:space="preserve"> </w:t>
      </w:r>
      <w:r w:rsidRPr="0012682A">
        <w:rPr>
          <w:rFonts w:ascii="Verdana" w:eastAsia="Calibri" w:hAnsi="Verdana" w:cs="Arial"/>
          <w:color w:val="000000"/>
          <w:lang w:val="es-ES" w:eastAsia="es-ES"/>
        </w:rPr>
        <w:t>jurídico</w:t>
      </w:r>
      <w:r w:rsidRPr="0012682A">
        <w:rPr>
          <w:rFonts w:ascii="Verdana" w:eastAsia="Calibri" w:hAnsi="Verdana" w:cs="Arial"/>
          <w:color w:val="7030A0"/>
          <w:lang w:val="es-ES" w:eastAsia="es-ES"/>
        </w:rPr>
        <w:t xml:space="preserve"> </w:t>
      </w:r>
      <w:r w:rsidRPr="0012682A">
        <w:rPr>
          <w:rFonts w:ascii="Verdana" w:eastAsia="Calibri" w:hAnsi="Verdana" w:cs="Arial"/>
          <w:color w:val="000000"/>
          <w:lang w:val="es-ES" w:eastAsia="es-ES"/>
        </w:rPr>
        <w:t xml:space="preserve">de su consulta.  </w:t>
      </w:r>
    </w:p>
    <w:p w14:paraId="19949DCA" w14:textId="77777777" w:rsidR="00A5721F" w:rsidRPr="0012682A" w:rsidRDefault="00A5721F" w:rsidP="00A5721F">
      <w:pPr>
        <w:spacing w:after="0" w:line="276" w:lineRule="auto"/>
        <w:ind w:firstLine="709"/>
        <w:jc w:val="both"/>
        <w:rPr>
          <w:rFonts w:ascii="Verdana" w:eastAsia="Calibri" w:hAnsi="Verdana" w:cs="Arial"/>
          <w:color w:val="000000"/>
          <w:lang w:val="es-ES" w:eastAsia="es-ES"/>
        </w:rPr>
      </w:pPr>
    </w:p>
    <w:p w14:paraId="757615F0" w14:textId="77777777" w:rsidR="00A5721F" w:rsidRPr="0012682A" w:rsidRDefault="00A5721F" w:rsidP="00A5721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12682A">
        <w:rPr>
          <w:rFonts w:ascii="Verdana" w:eastAsia="Century Gothic" w:hAnsi="Verdana" w:cs="Century Gothic"/>
          <w:b/>
          <w:bCs/>
          <w:lang w:val="es-ES"/>
        </w:rPr>
        <w:t>Problemas planteados:</w:t>
      </w:r>
    </w:p>
    <w:p w14:paraId="4E3483EF" w14:textId="77777777" w:rsidR="00A5721F" w:rsidRPr="0012682A" w:rsidRDefault="00A5721F" w:rsidP="00A5721F">
      <w:pPr>
        <w:tabs>
          <w:tab w:val="left" w:pos="426"/>
        </w:tabs>
        <w:spacing w:after="0" w:line="276" w:lineRule="auto"/>
        <w:jc w:val="both"/>
        <w:rPr>
          <w:rFonts w:ascii="Verdana" w:eastAsia="Century Gothic" w:hAnsi="Verdana" w:cs="Century Gothic"/>
          <w:lang w:val="es-ES"/>
        </w:rPr>
      </w:pPr>
    </w:p>
    <w:p w14:paraId="4FB64975" w14:textId="77777777" w:rsidR="00A5721F" w:rsidRPr="0012682A" w:rsidRDefault="00A5721F" w:rsidP="00A5721F">
      <w:pPr>
        <w:spacing w:after="0" w:line="276" w:lineRule="auto"/>
        <w:jc w:val="both"/>
        <w:rPr>
          <w:rFonts w:ascii="Verdana" w:eastAsia="Century Gothic" w:hAnsi="Verdana" w:cs="Century Gothic"/>
        </w:rPr>
      </w:pPr>
      <w:r w:rsidRPr="0012682A">
        <w:rPr>
          <w:rFonts w:ascii="Verdana" w:eastAsia="Century Gothic" w:hAnsi="Verdana" w:cs="Century Gothic"/>
        </w:rPr>
        <w:t>De acuerdo con el contenido de su solicitud, esta Agencia resolverá el siguiente problema jurídico: ¿El ámbito de aplicación del artículo 33 de la Ley de Garantías se extiende a los patrimonios autónomos constituidos por entidades estatales?</w:t>
      </w:r>
    </w:p>
    <w:p w14:paraId="1F2CDAFB" w14:textId="77777777" w:rsidR="00A5721F" w:rsidRPr="0012682A" w:rsidRDefault="00A5721F" w:rsidP="00A5721F">
      <w:pPr>
        <w:spacing w:after="0" w:line="276" w:lineRule="auto"/>
        <w:jc w:val="both"/>
        <w:rPr>
          <w:rFonts w:ascii="Verdana" w:eastAsia="Calibri" w:hAnsi="Verdana" w:cs="Arial"/>
          <w:color w:val="7030A0"/>
        </w:rPr>
      </w:pPr>
    </w:p>
    <w:p w14:paraId="16D9A1FB" w14:textId="77777777" w:rsidR="00A5721F" w:rsidRPr="0012682A" w:rsidRDefault="00A5721F" w:rsidP="00A5721F">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12682A">
        <w:rPr>
          <w:rFonts w:ascii="Verdana" w:eastAsia="Century Gothic" w:hAnsi="Verdana" w:cs="Century Gothic"/>
          <w:b/>
          <w:bCs/>
          <w:lang w:val="es-ES"/>
        </w:rPr>
        <w:t>Respuestas:</w:t>
      </w:r>
    </w:p>
    <w:p w14:paraId="3627E902" w14:textId="77777777" w:rsidR="00A5721F" w:rsidRPr="0012682A" w:rsidRDefault="00A5721F" w:rsidP="00A5721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5721F" w:rsidRPr="0012682A" w14:paraId="4E326620" w14:textId="77777777" w:rsidTr="00EA32A5">
        <w:trPr>
          <w:jc w:val="center"/>
        </w:trPr>
        <w:tc>
          <w:tcPr>
            <w:tcW w:w="8828" w:type="dxa"/>
          </w:tcPr>
          <w:p w14:paraId="3422CEDD" w14:textId="77777777" w:rsidR="00A5721F" w:rsidRPr="0012682A" w:rsidRDefault="00A5721F" w:rsidP="00EA32A5">
            <w:pPr>
              <w:spacing w:after="120" w:line="276" w:lineRule="auto"/>
              <w:ind w:right="51"/>
              <w:jc w:val="both"/>
              <w:rPr>
                <w:rFonts w:ascii="Verdana" w:eastAsia="Arial" w:hAnsi="Verdana" w:cs="Arial"/>
                <w:lang w:val="es-MX" w:eastAsia="es-ES" w:bidi="es-ES"/>
              </w:rPr>
            </w:pPr>
            <w:bookmarkStart w:id="2" w:name="_Hlk171694685"/>
            <w:r w:rsidRPr="0012682A">
              <w:rPr>
                <w:rFonts w:ascii="Verdana" w:eastAsia="Calibri" w:hAnsi="Verdana" w:cs="Arial"/>
                <w:bCs/>
                <w:color w:val="000000" w:themeColor="text1"/>
              </w:rPr>
              <w:t>Conforme a la interpretación general de las normas del sistema de compras públicas</w:t>
            </w:r>
            <w:r w:rsidRPr="0012682A">
              <w:rPr>
                <w:rFonts w:ascii="Verdana" w:eastAsia="Arial" w:hAnsi="Verdana" w:cs="Arial"/>
                <w:lang w:val="es-MX" w:eastAsia="es-ES" w:bidi="es-ES"/>
              </w:rPr>
              <w:t xml:space="preserve">, 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w:t>
            </w:r>
            <w:r w:rsidRPr="0012682A">
              <w:rPr>
                <w:rFonts w:ascii="Verdana" w:eastAsia="Arial" w:hAnsi="Verdana" w:cs="Arial"/>
                <w:lang w:val="es-MX" w:eastAsia="es-ES" w:bidi="es-ES"/>
              </w:rPr>
              <w:lastRenderedPageBreak/>
              <w:t xml:space="preserve">régimen especial de contratación y están exceptuadas del ámbito de aplicación del Estatuto General de Contratación de la Administración Pública. </w:t>
            </w:r>
          </w:p>
          <w:p w14:paraId="3666C5A8" w14:textId="77777777" w:rsidR="00A5721F" w:rsidRPr="0012682A" w:rsidRDefault="00A5721F" w:rsidP="00EA32A5">
            <w:pPr>
              <w:spacing w:after="120" w:line="276" w:lineRule="auto"/>
              <w:ind w:right="51" w:firstLine="743"/>
              <w:jc w:val="both"/>
              <w:rPr>
                <w:rFonts w:ascii="Verdana" w:eastAsia="Times New Roman" w:hAnsi="Verdana" w:cs="Arial"/>
                <w:bCs/>
                <w:lang w:eastAsia="x-none"/>
              </w:rPr>
            </w:pPr>
            <w:r w:rsidRPr="0012682A">
              <w:rPr>
                <w:rFonts w:ascii="Verdana" w:eastAsia="Arial" w:hAnsi="Verdana" w:cs="Arial"/>
                <w:lang w:val="es-MX" w:eastAsia="es-ES" w:bidi="es-ES"/>
              </w:rPr>
              <w:t xml:space="preserve">De esta forma, la restricción prevista en la Ley 996 de 2005, 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Incluso, de acuerdo el artículo 32.5, inciso quinto, de la Ley 80 de 1993 y el artículo 2.5.2.1.1 del Decreto 2555 de 2010, la prohibición también se extiende a las sociedades fiduciarias, frente a los actos y contratos que realicen en desarrollo del negocio fiduciario, con independencia del régimen jurídico de la entidad fideicomitente, razón por la cual no se podría inaplicar la prohibición establecida en el artículo 33 de la Ley de Garantías Electorales, con la constitución de patrimonios autónomos. </w:t>
            </w:r>
            <w:r w:rsidRPr="0012682A">
              <w:rPr>
                <w:rFonts w:ascii="Verdana" w:eastAsia="Times New Roman" w:hAnsi="Verdana" w:cs="Arial"/>
                <w:bCs/>
                <w:lang w:eastAsia="x-none"/>
              </w:rPr>
              <w:t xml:space="preserve"> </w:t>
            </w:r>
          </w:p>
          <w:p w14:paraId="1FB9A1EA" w14:textId="77777777" w:rsidR="00A5721F" w:rsidRPr="0012682A" w:rsidRDefault="00A5721F" w:rsidP="00EA32A5">
            <w:pPr>
              <w:spacing w:after="120" w:line="276" w:lineRule="auto"/>
              <w:ind w:firstLine="708"/>
              <w:jc w:val="both"/>
              <w:rPr>
                <w:rFonts w:ascii="Verdana" w:hAnsi="Verdana" w:cs="Arial"/>
              </w:rPr>
            </w:pPr>
            <w:r w:rsidRPr="0012682A">
              <w:rPr>
                <w:rFonts w:ascii="Verdana" w:hAnsi="Verdana" w:cs="Arial"/>
              </w:rPr>
              <w:t>En particular, esto último aplica en relación con el Fondo Nacional de Turismo (FONTUR), establecido como un patrimonio autónomo, sin personería jurídica, regido por normas de derecho privado, administrado por la Fiduciaria Colombiana de Comercio Exterior S. A., o la sociedad fiduciaria que determine el Ministerio de Comercio, Industria y Turismo, de acuerdo con los lineamientos que fijen este, en los términos señalados por el artículo 21 de la Ley 1558 de 2012, modificado por el artículo 307 de la Ley 2294 de 2023.</w:t>
            </w:r>
            <w:r w:rsidRPr="0012682A">
              <w:rPr>
                <w:rFonts w:ascii="Verdana" w:hAnsi="Verdana" w:cs="Arial"/>
                <w:vertAlign w:val="superscript"/>
              </w:rPr>
              <w:t>.</w:t>
            </w:r>
            <w:r w:rsidRPr="0012682A">
              <w:rPr>
                <w:rFonts w:ascii="Verdana" w:hAnsi="Verdana" w:cs="Arial"/>
              </w:rPr>
              <w:t xml:space="preserve"> Este patrimonio autónomo tiene la función de administrar los recursos señalados en los artículos </w:t>
            </w:r>
            <w:hyperlink r:id="rId15" w:anchor="1" w:history="1">
              <w:r w:rsidRPr="0012682A">
                <w:rPr>
                  <w:rFonts w:ascii="Verdana" w:hAnsi="Verdana"/>
                </w:rPr>
                <w:t>1</w:t>
              </w:r>
            </w:hyperlink>
            <w:r w:rsidRPr="0012682A">
              <w:rPr>
                <w:rFonts w:ascii="Verdana" w:hAnsi="Verdana" w:cs="Arial"/>
              </w:rPr>
              <w:t> y 8 de la Ley 1101 de 2006, así como los asignados en el Presupuesto General de la Nación para la infraestructura turística, promoción y la competitividad turística, el recaudo del impuesto 01 turismo, la contribución parafiscal para la promoción del turismo y las demás fuentes de recursos que señale la ley.</w:t>
            </w:r>
          </w:p>
          <w:p w14:paraId="2F85465B" w14:textId="77777777" w:rsidR="00A5721F" w:rsidRPr="0012682A" w:rsidRDefault="00A5721F" w:rsidP="00EA32A5">
            <w:pPr>
              <w:spacing w:after="120" w:line="276" w:lineRule="auto"/>
              <w:ind w:firstLine="708"/>
              <w:jc w:val="both"/>
              <w:rPr>
                <w:rFonts w:ascii="Verdana" w:hAnsi="Verdana" w:cs="Arial"/>
              </w:rPr>
            </w:pPr>
            <w:r w:rsidRPr="0012682A">
              <w:rPr>
                <w:rFonts w:ascii="Verdana" w:hAnsi="Verdana" w:cs="Arial"/>
              </w:rPr>
              <w:t xml:space="preserve">Al respecto, de acuerdo con lo señalado en su consulta, vale la pena precisar que de conformidad con lo expuesto por la Corte Constitucional, las contribuciones parafiscales constituyen “un instrumento para la generación de </w:t>
            </w:r>
            <w:r w:rsidRPr="0012682A">
              <w:rPr>
                <w:rFonts w:ascii="Verdana" w:hAnsi="Verdana" w:cs="Arial"/>
              </w:rPr>
              <w:lastRenderedPageBreak/>
              <w:t xml:space="preserve">ingresos públicos, caracterizado como una forma de gravamen que se maneja por fuera del presupuesto -aunque en ocasiones se registre en él- afecto a una destinación especial de carácter económico, gremial o de previsión social, en beneficio del propio grupo gravado, bajo la administración, según razones de conveniencia legal, de un organismo autónomo, oficial o privado”. Dentro de sus características se destaca, entre otras, que </w:t>
            </w:r>
            <w:r w:rsidRPr="0012682A">
              <w:rPr>
                <w:rFonts w:ascii="Verdana" w:hAnsi="Verdana" w:cs="Arial"/>
                <w:i/>
                <w:iCs/>
              </w:rPr>
              <w:t>son recursos públicos</w:t>
            </w:r>
            <w:r w:rsidRPr="0012682A">
              <w:rPr>
                <w:rFonts w:ascii="Verdana" w:hAnsi="Verdana" w:cs="Arial"/>
              </w:rPr>
              <w:t xml:space="preserve">, pertenecen al Estado, aunque están destinados a favorecer solamente al grupo, gremio o sector que los tributa y que el manejo, la administración y la ejecución de los recursos parafiscales pueden hacerse por personas jurídicas de derecho privado (generalmente asociaciones gremiales), en virtud de contrato celebrado con la Nación, de conformidad con la ley que crea las contribuciones, o ‘por los órganos que forman parte del presupuesto general de la Nación. </w:t>
            </w:r>
          </w:p>
          <w:p w14:paraId="26E8DB50" w14:textId="77777777" w:rsidR="00A5721F" w:rsidRPr="0012682A" w:rsidRDefault="00A5721F" w:rsidP="00EA32A5">
            <w:pPr>
              <w:spacing w:after="120" w:line="276" w:lineRule="auto"/>
              <w:ind w:firstLine="708"/>
              <w:jc w:val="both"/>
              <w:rPr>
                <w:rFonts w:ascii="Verdana" w:hAnsi="Verdana" w:cs="Arial"/>
              </w:rPr>
            </w:pPr>
            <w:r w:rsidRPr="0012682A">
              <w:rPr>
                <w:rFonts w:ascii="Verdana" w:hAnsi="Verdana" w:cs="Arial"/>
              </w:rPr>
              <w:t>Bajo este contexto, las contribuciones parafiscales que administra FONTUR son recursos públicos, pues el hecho de que puedan ser administrados por una persona jurídica de derecho privado no altera ni desnaturaliza dicha condición</w:t>
            </w:r>
            <w:r w:rsidRPr="0012682A">
              <w:t xml:space="preserve"> </w:t>
            </w:r>
            <w:r w:rsidRPr="0012682A">
              <w:rPr>
                <w:rFonts w:ascii="Verdana" w:hAnsi="Verdana" w:cs="Arial"/>
              </w:rPr>
              <w:t>en la medida en que el criterio determinante para establecer la naturaleza de los recursos no es la naturaleza jurídica del administrador sino su origen. En consecuencia, la circunstancia de que las contribuciones parafiscales sean administrados por una entidad de derecho privado no puede interpretarse como un elemento que permita excluir su carácter público ni justificar la inaplicación de las restricciones previstas en el artículo 33 de la Ley 996 de 2005 para los patrimonios autónomos, conforme a la explicación expuesta.</w:t>
            </w:r>
          </w:p>
        </w:tc>
      </w:tr>
    </w:tbl>
    <w:p w14:paraId="7E84C033" w14:textId="77777777" w:rsidR="00A5721F" w:rsidRPr="0012682A" w:rsidRDefault="00A5721F" w:rsidP="00A5721F">
      <w:pPr>
        <w:tabs>
          <w:tab w:val="left" w:pos="142"/>
          <w:tab w:val="left" w:pos="284"/>
        </w:tabs>
        <w:spacing w:after="0" w:line="276" w:lineRule="auto"/>
        <w:jc w:val="both"/>
        <w:rPr>
          <w:rFonts w:ascii="Verdana" w:eastAsia="Century Gothic" w:hAnsi="Verdana" w:cs="Century Gothic"/>
          <w:b/>
          <w:bCs/>
          <w:lang w:val="es-ES"/>
        </w:rPr>
      </w:pPr>
    </w:p>
    <w:bookmarkEnd w:id="2"/>
    <w:p w14:paraId="45CE57EB" w14:textId="77777777" w:rsidR="00A5721F" w:rsidRPr="0012682A" w:rsidRDefault="00A5721F" w:rsidP="00A5721F">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12682A">
        <w:rPr>
          <w:rFonts w:ascii="Verdana" w:eastAsia="Century Gothic" w:hAnsi="Verdana" w:cs="Century Gothic"/>
          <w:b/>
          <w:bCs/>
          <w:lang w:val="es-ES"/>
        </w:rPr>
        <w:t>Razones de las respuestas:</w:t>
      </w:r>
    </w:p>
    <w:p w14:paraId="180FA1B9" w14:textId="77777777" w:rsidR="00A5721F" w:rsidRPr="0012682A" w:rsidRDefault="00A5721F" w:rsidP="00A5721F">
      <w:pPr>
        <w:spacing w:after="0" w:line="276" w:lineRule="auto"/>
        <w:jc w:val="both"/>
        <w:rPr>
          <w:rFonts w:ascii="Verdana" w:eastAsia="Calibri" w:hAnsi="Verdana" w:cs="Arial"/>
          <w:color w:val="7030A0"/>
          <w:lang w:val="es-ES"/>
        </w:rPr>
      </w:pPr>
    </w:p>
    <w:p w14:paraId="2ABBF765" w14:textId="77777777" w:rsidR="00A5721F" w:rsidRPr="0012682A" w:rsidRDefault="00A5721F" w:rsidP="00A5721F">
      <w:pPr>
        <w:spacing w:after="0" w:line="276" w:lineRule="auto"/>
        <w:jc w:val="both"/>
        <w:rPr>
          <w:rFonts w:ascii="Verdana" w:eastAsia="Calibri" w:hAnsi="Verdana" w:cs="Arial"/>
          <w:lang w:val="es-ES"/>
        </w:rPr>
      </w:pPr>
      <w:r w:rsidRPr="0012682A">
        <w:rPr>
          <w:rFonts w:ascii="Verdana" w:eastAsia="Calibri" w:hAnsi="Verdana" w:cs="Arial"/>
          <w:lang w:val="es-ES"/>
        </w:rPr>
        <w:t>Lo anterior se sustenta en las siguientes consideraciones:</w:t>
      </w:r>
    </w:p>
    <w:p w14:paraId="080EB895" w14:textId="77777777" w:rsidR="00A5721F" w:rsidRPr="0012682A" w:rsidRDefault="00A5721F" w:rsidP="00A5721F">
      <w:pPr>
        <w:spacing w:after="0" w:line="276" w:lineRule="auto"/>
        <w:jc w:val="both"/>
        <w:rPr>
          <w:rFonts w:ascii="Verdana" w:eastAsia="Calibri" w:hAnsi="Verdana" w:cs="Arial"/>
          <w:lang w:val="es-ES"/>
        </w:rPr>
      </w:pPr>
    </w:p>
    <w:p w14:paraId="37CBEC45" w14:textId="77777777" w:rsidR="00A5721F" w:rsidRPr="0012682A" w:rsidRDefault="00A5721F" w:rsidP="00A5721F">
      <w:pPr>
        <w:tabs>
          <w:tab w:val="left" w:pos="426"/>
        </w:tabs>
        <w:spacing w:after="120" w:line="276" w:lineRule="auto"/>
        <w:jc w:val="both"/>
        <w:rPr>
          <w:rFonts w:ascii="Verdana" w:eastAsia="Times New Roman" w:hAnsi="Verdana" w:cs="Arial"/>
          <w:lang w:eastAsia="es-CO"/>
        </w:rPr>
      </w:pPr>
      <w:r w:rsidRPr="0012682A">
        <w:rPr>
          <w:rFonts w:ascii="Verdana" w:eastAsia="Calibri" w:hAnsi="Verdana" w:cs="Arial"/>
          <w:color w:val="000000" w:themeColor="text1"/>
        </w:rPr>
        <w:t xml:space="preserve">i. </w:t>
      </w:r>
      <w:r w:rsidRPr="0012682A">
        <w:rPr>
          <w:rFonts w:ascii="Verdana" w:eastAsia="Calibri" w:hAnsi="Verdana" w:cs="Arial"/>
        </w:rPr>
        <w:t>El ordenamiento jurídico colombiano contempla previsiones claras para evitar la obtención de beneficios personales en asuntos propios de la administración pública</w:t>
      </w:r>
      <w:r w:rsidRPr="0012682A">
        <w:rPr>
          <w:rFonts w:ascii="Verdana" w:eastAsia="Calibri" w:hAnsi="Verdana" w:cs="Arial"/>
          <w:i/>
        </w:rPr>
        <w:t xml:space="preserve">. </w:t>
      </w:r>
      <w:r w:rsidRPr="0012682A">
        <w:rPr>
          <w:rFonts w:ascii="Verdana" w:eastAsia="Calibri" w:hAnsi="Verdana" w:cs="Arial"/>
        </w:rPr>
        <w:t xml:space="preserve">Por ejemplo, el artículo 127 de la Constitución Política establece una prohibición contractual a los servidores públicos y en cuanto a aspectos políticos </w:t>
      </w:r>
      <w:r w:rsidRPr="0012682A">
        <w:rPr>
          <w:rFonts w:ascii="Verdana" w:eastAsia="Calibri" w:hAnsi="Verdana" w:cs="Arial"/>
        </w:rPr>
        <w:lastRenderedPageBreak/>
        <w:t>consagra restricciones a ciertos empleados del Estado, incluso en época no electoral</w:t>
      </w:r>
      <w:r w:rsidRPr="0012682A">
        <w:rPr>
          <w:rFonts w:ascii="Verdana" w:eastAsia="Calibri" w:hAnsi="Verdana" w:cs="Arial"/>
          <w:vertAlign w:val="superscript"/>
        </w:rPr>
        <w:footnoteReference w:id="2"/>
      </w:r>
      <w:r w:rsidRPr="0012682A">
        <w:rPr>
          <w:rFonts w:ascii="Verdana" w:eastAsia="Calibri" w:hAnsi="Verdana" w:cs="Arial"/>
        </w:rPr>
        <w:t xml:space="preserve">. </w:t>
      </w:r>
    </w:p>
    <w:p w14:paraId="2533D920" w14:textId="77777777" w:rsidR="00A5721F" w:rsidRPr="0012682A" w:rsidRDefault="00A5721F" w:rsidP="00A5721F">
      <w:pPr>
        <w:tabs>
          <w:tab w:val="left" w:pos="426"/>
        </w:tabs>
        <w:spacing w:after="0" w:line="276" w:lineRule="auto"/>
        <w:ind w:firstLine="709"/>
        <w:jc w:val="both"/>
        <w:rPr>
          <w:rFonts w:ascii="Verdana" w:eastAsia="Times New Roman" w:hAnsi="Verdana" w:cs="Arial"/>
          <w:lang w:val="es-MX" w:eastAsia="es-CO"/>
        </w:rPr>
      </w:pPr>
      <w:r w:rsidRPr="0012682A">
        <w:rPr>
          <w:rFonts w:ascii="Verdana" w:eastAsia="Times New Roman" w:hAnsi="Verdana" w:cs="Arial"/>
          <w:lang w:eastAsia="es-CO"/>
        </w:rPr>
        <w:t>En el mismo sentido</w:t>
      </w:r>
      <w:r w:rsidRPr="0012682A">
        <w:rPr>
          <w:rFonts w:ascii="Verdana" w:eastAsia="Times New Roman" w:hAnsi="Verdana" w:cs="Arial"/>
          <w:lang w:val="es-MX" w:eastAsia="es-CO"/>
        </w:rPr>
        <w:t xml:space="preserve">, </w:t>
      </w:r>
      <w:bookmarkStart w:id="3" w:name="_Hlk99576829"/>
      <w:r w:rsidRPr="0012682A">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12682A">
        <w:rPr>
          <w:rFonts w:ascii="Verdana" w:eastAsia="Times New Roman" w:hAnsi="Verdana" w:cs="Arial"/>
          <w:vertAlign w:val="superscript"/>
          <w:lang w:val="es-MX" w:eastAsia="es-CO"/>
        </w:rPr>
        <w:footnoteReference w:id="3"/>
      </w:r>
      <w:r w:rsidRPr="0012682A">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12682A">
        <w:rPr>
          <w:rFonts w:ascii="Verdana" w:eastAsia="Calibri" w:hAnsi="Verdana" w:cs="Arial"/>
          <w:lang w:val="es-ES_tradnl"/>
        </w:rPr>
        <w:t xml:space="preserve"> </w:t>
      </w:r>
      <w:bookmarkEnd w:id="3"/>
      <w:r w:rsidRPr="0012682A">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11D7418" w14:textId="77777777" w:rsidR="00A5721F" w:rsidRPr="0012682A" w:rsidRDefault="00A5721F" w:rsidP="00A5721F">
      <w:pPr>
        <w:spacing w:after="0" w:line="276" w:lineRule="auto"/>
        <w:ind w:right="709"/>
        <w:contextualSpacing/>
        <w:jc w:val="both"/>
        <w:rPr>
          <w:rFonts w:ascii="Verdana" w:eastAsia="Times New Roman" w:hAnsi="Verdana" w:cs="Arial"/>
          <w:sz w:val="21"/>
          <w:szCs w:val="21"/>
          <w:lang w:val="es-ES" w:eastAsia="es-CO"/>
        </w:rPr>
      </w:pPr>
    </w:p>
    <w:p w14:paraId="71FBA3E4" w14:textId="77777777" w:rsidR="00A5721F" w:rsidRPr="0012682A" w:rsidRDefault="00A5721F" w:rsidP="00A5721F">
      <w:pPr>
        <w:spacing w:after="0" w:line="240" w:lineRule="auto"/>
        <w:ind w:left="709" w:right="709"/>
        <w:contextualSpacing/>
        <w:jc w:val="both"/>
        <w:rPr>
          <w:rFonts w:ascii="Verdana" w:eastAsia="Times New Roman" w:hAnsi="Verdana" w:cs="Arial"/>
          <w:sz w:val="20"/>
          <w:szCs w:val="20"/>
          <w:lang w:val="es-MX" w:eastAsia="es-CO"/>
        </w:rPr>
      </w:pPr>
      <w:r w:rsidRPr="0012682A">
        <w:rPr>
          <w:rFonts w:ascii="Verdana" w:eastAsia="Times New Roman" w:hAnsi="Verdana" w:cs="Arial"/>
          <w:sz w:val="20"/>
          <w:szCs w:val="20"/>
          <w:lang w:val="es-ES" w:eastAsia="es-CO"/>
        </w:rPr>
        <w:t xml:space="preserve">“[…] </w:t>
      </w:r>
      <w:r w:rsidRPr="0012682A">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DCB6699" w14:textId="77777777" w:rsidR="00A5721F" w:rsidRPr="0012682A" w:rsidRDefault="00A5721F" w:rsidP="00A5721F">
      <w:pPr>
        <w:spacing w:after="120" w:line="240" w:lineRule="auto"/>
        <w:ind w:left="709" w:right="709"/>
        <w:contextualSpacing/>
        <w:jc w:val="both"/>
        <w:rPr>
          <w:rFonts w:ascii="Verdana" w:eastAsia="Times New Roman" w:hAnsi="Verdana" w:cs="Arial"/>
          <w:sz w:val="20"/>
          <w:szCs w:val="20"/>
          <w:lang w:val="es-MX" w:eastAsia="es-CO"/>
        </w:rPr>
      </w:pPr>
      <w:r w:rsidRPr="0012682A">
        <w:rPr>
          <w:rFonts w:ascii="Verdana" w:eastAsia="Times New Roman" w:hAnsi="Verdana" w:cs="Arial"/>
          <w:sz w:val="20"/>
          <w:szCs w:val="20"/>
          <w:lang w:val="es-MX" w:eastAsia="es-CO"/>
        </w:rPr>
        <w:t xml:space="preserve">[…] </w:t>
      </w:r>
    </w:p>
    <w:p w14:paraId="5F2BF6B0" w14:textId="77777777" w:rsidR="00A5721F" w:rsidRPr="0012682A" w:rsidRDefault="00A5721F" w:rsidP="00A5721F">
      <w:pPr>
        <w:spacing w:after="120" w:line="240" w:lineRule="auto"/>
        <w:ind w:left="709" w:right="709"/>
        <w:contextualSpacing/>
        <w:jc w:val="both"/>
        <w:rPr>
          <w:rFonts w:ascii="Verdana" w:eastAsia="Times New Roman" w:hAnsi="Verdana" w:cs="Arial"/>
          <w:sz w:val="12"/>
          <w:szCs w:val="12"/>
          <w:lang w:val="es-MX" w:eastAsia="es-CO"/>
        </w:rPr>
      </w:pPr>
    </w:p>
    <w:p w14:paraId="34A3A87D" w14:textId="77777777" w:rsidR="00A5721F" w:rsidRPr="0012682A" w:rsidRDefault="00A5721F" w:rsidP="00A5721F">
      <w:pPr>
        <w:spacing w:after="0" w:line="240" w:lineRule="auto"/>
        <w:ind w:left="709" w:right="709"/>
        <w:contextualSpacing/>
        <w:jc w:val="both"/>
        <w:rPr>
          <w:rFonts w:ascii="Verdana" w:eastAsia="Times New Roman" w:hAnsi="Verdana" w:cs="Arial"/>
          <w:sz w:val="20"/>
          <w:szCs w:val="20"/>
          <w:lang w:val="es-MX" w:eastAsia="es-CO"/>
        </w:rPr>
      </w:pPr>
      <w:r w:rsidRPr="0012682A">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12682A">
        <w:rPr>
          <w:rFonts w:ascii="Verdana" w:eastAsia="Calibri" w:hAnsi="Verdana" w:cs="Arial"/>
          <w:sz w:val="20"/>
          <w:szCs w:val="20"/>
          <w:vertAlign w:val="superscript"/>
          <w:lang w:val="es-MX"/>
        </w:rPr>
        <w:footnoteReference w:id="4"/>
      </w:r>
      <w:r w:rsidRPr="0012682A">
        <w:rPr>
          <w:rFonts w:ascii="Verdana" w:eastAsia="Times New Roman" w:hAnsi="Verdana" w:cs="Arial"/>
          <w:sz w:val="20"/>
          <w:szCs w:val="20"/>
          <w:lang w:val="es-MX" w:eastAsia="es-CO"/>
        </w:rPr>
        <w:t>.</w:t>
      </w:r>
    </w:p>
    <w:p w14:paraId="05838221" w14:textId="77777777" w:rsidR="00A5721F" w:rsidRPr="0012682A" w:rsidRDefault="00A5721F" w:rsidP="00A5721F">
      <w:pPr>
        <w:spacing w:after="0" w:line="276" w:lineRule="auto"/>
        <w:ind w:left="709" w:right="709"/>
        <w:contextualSpacing/>
        <w:jc w:val="both"/>
        <w:rPr>
          <w:rFonts w:ascii="Verdana" w:eastAsia="Times New Roman" w:hAnsi="Verdana" w:cs="Arial"/>
          <w:sz w:val="21"/>
          <w:szCs w:val="21"/>
          <w:lang w:val="es-MX" w:eastAsia="es-CO"/>
        </w:rPr>
      </w:pPr>
    </w:p>
    <w:p w14:paraId="2123E0BD" w14:textId="77777777" w:rsidR="00A5721F" w:rsidRPr="0012682A" w:rsidRDefault="00A5721F" w:rsidP="00A5721F">
      <w:pPr>
        <w:spacing w:after="0" w:line="276" w:lineRule="auto"/>
        <w:ind w:firstLine="709"/>
        <w:jc w:val="both"/>
        <w:rPr>
          <w:rFonts w:ascii="Verdana" w:eastAsia="Times New Roman" w:hAnsi="Verdana" w:cs="Arial"/>
          <w:lang w:val="es-MX" w:eastAsia="es-CO"/>
        </w:rPr>
      </w:pPr>
      <w:bookmarkStart w:id="4" w:name="_Hlk78818186"/>
      <w:r w:rsidRPr="0012682A">
        <w:rPr>
          <w:rFonts w:ascii="Verdana" w:eastAsia="Times New Roman" w:hAnsi="Verdana" w:cs="Arial"/>
          <w:lang w:val="es-MX" w:eastAsia="es-CO"/>
        </w:rPr>
        <w:lastRenderedPageBreak/>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4"/>
      <w:r w:rsidRPr="0012682A">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787187B3" w14:textId="77777777" w:rsidR="00A5721F" w:rsidRPr="0012682A" w:rsidRDefault="00A5721F" w:rsidP="00A5721F">
      <w:pPr>
        <w:spacing w:after="0" w:line="276" w:lineRule="auto"/>
        <w:ind w:firstLine="709"/>
        <w:contextualSpacing/>
        <w:jc w:val="both"/>
        <w:rPr>
          <w:rFonts w:ascii="Verdana" w:eastAsia="Times New Roman" w:hAnsi="Verdana" w:cs="Arial"/>
          <w:lang w:val="es-MX" w:eastAsia="es-CO"/>
        </w:rPr>
      </w:pPr>
    </w:p>
    <w:p w14:paraId="366FE473" w14:textId="77777777" w:rsidR="00A5721F" w:rsidRPr="0012682A" w:rsidRDefault="00A5721F" w:rsidP="00A5721F">
      <w:pPr>
        <w:spacing w:after="0" w:line="240" w:lineRule="auto"/>
        <w:ind w:left="709" w:right="709"/>
        <w:contextualSpacing/>
        <w:jc w:val="both"/>
        <w:rPr>
          <w:rFonts w:ascii="Verdana" w:eastAsia="Times New Roman" w:hAnsi="Verdana" w:cs="Arial"/>
          <w:sz w:val="20"/>
          <w:szCs w:val="20"/>
          <w:lang w:val="es-MX" w:eastAsia="es-CO"/>
        </w:rPr>
      </w:pPr>
      <w:r w:rsidRPr="0012682A">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12682A">
        <w:rPr>
          <w:rFonts w:ascii="Verdana" w:eastAsia="Times New Roman" w:hAnsi="Verdana" w:cs="Arial"/>
          <w:sz w:val="20"/>
          <w:szCs w:val="20"/>
          <w:lang w:val="es-MX" w:eastAsia="es-CO"/>
        </w:rPr>
        <w:t>legis</w:t>
      </w:r>
      <w:proofErr w:type="spellEnd"/>
      <w:r w:rsidRPr="0012682A">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D9BE485" w14:textId="77777777" w:rsidR="00A5721F" w:rsidRPr="0012682A" w:rsidRDefault="00A5721F" w:rsidP="00A5721F">
      <w:pPr>
        <w:spacing w:after="0" w:line="240" w:lineRule="auto"/>
        <w:ind w:right="709"/>
        <w:contextualSpacing/>
        <w:jc w:val="both"/>
        <w:rPr>
          <w:rFonts w:ascii="Verdana" w:eastAsia="Times New Roman" w:hAnsi="Verdana" w:cs="Arial"/>
          <w:sz w:val="12"/>
          <w:szCs w:val="12"/>
          <w:lang w:val="es-MX" w:eastAsia="es-CO"/>
        </w:rPr>
      </w:pPr>
    </w:p>
    <w:p w14:paraId="609AACDD" w14:textId="77777777" w:rsidR="00A5721F" w:rsidRPr="0012682A" w:rsidRDefault="00A5721F" w:rsidP="00A5721F">
      <w:pPr>
        <w:spacing w:after="0" w:line="240" w:lineRule="auto"/>
        <w:ind w:left="709" w:right="709"/>
        <w:contextualSpacing/>
        <w:jc w:val="both"/>
        <w:rPr>
          <w:rFonts w:ascii="Verdana" w:eastAsia="Times New Roman" w:hAnsi="Verdana" w:cs="Arial"/>
          <w:sz w:val="20"/>
          <w:szCs w:val="20"/>
          <w:lang w:val="es-MX" w:eastAsia="es-CO"/>
        </w:rPr>
      </w:pPr>
      <w:r w:rsidRPr="0012682A">
        <w:rPr>
          <w:rFonts w:ascii="Verdana" w:eastAsia="Times New Roman" w:hAnsi="Verdana" w:cs="Arial"/>
          <w:sz w:val="20"/>
          <w:szCs w:val="20"/>
          <w:lang w:val="es-MX" w:eastAsia="es-CO"/>
        </w:rPr>
        <w:t>La jurisprudencia de la Corte Constitucional</w:t>
      </w:r>
      <w:r w:rsidRPr="0012682A">
        <w:rPr>
          <w:rFonts w:ascii="Verdana" w:eastAsia="Times New Roman" w:hAnsi="Verdana" w:cs="Arial"/>
          <w:sz w:val="20"/>
          <w:szCs w:val="20"/>
          <w:vertAlign w:val="superscript"/>
          <w:lang w:val="es-MX" w:eastAsia="es-CO"/>
        </w:rPr>
        <w:footnoteReference w:id="5"/>
      </w:r>
      <w:r w:rsidRPr="0012682A">
        <w:rPr>
          <w:rFonts w:ascii="Verdana" w:eastAsia="Times New Roman" w:hAnsi="Verdana" w:cs="Arial"/>
          <w:sz w:val="20"/>
          <w:szCs w:val="20"/>
          <w:lang w:val="es-MX" w:eastAsia="es-CO"/>
        </w:rPr>
        <w:t> y del Consejo de Estado</w:t>
      </w:r>
      <w:r w:rsidRPr="0012682A">
        <w:rPr>
          <w:rFonts w:ascii="Verdana" w:eastAsia="Times New Roman" w:hAnsi="Verdana" w:cs="Arial"/>
          <w:sz w:val="20"/>
          <w:szCs w:val="20"/>
          <w:vertAlign w:val="superscript"/>
          <w:lang w:val="es-MX" w:eastAsia="es-CO"/>
        </w:rPr>
        <w:footnoteReference w:id="6"/>
      </w:r>
      <w:r w:rsidRPr="0012682A">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12682A">
        <w:rPr>
          <w:rFonts w:ascii="Verdana" w:eastAsia="Times New Roman" w:hAnsi="Verdana" w:cs="Arial"/>
          <w:sz w:val="20"/>
          <w:szCs w:val="20"/>
          <w:vertAlign w:val="superscript"/>
          <w:lang w:val="es-MX" w:eastAsia="es-CO"/>
        </w:rPr>
        <w:footnoteReference w:id="7"/>
      </w:r>
      <w:r w:rsidRPr="0012682A">
        <w:rPr>
          <w:rFonts w:ascii="Verdana" w:eastAsia="Times New Roman" w:hAnsi="Verdana" w:cs="Arial"/>
          <w:sz w:val="20"/>
          <w:szCs w:val="20"/>
          <w:lang w:val="es-MX" w:eastAsia="es-CO"/>
        </w:rPr>
        <w:t>.</w:t>
      </w:r>
    </w:p>
    <w:p w14:paraId="28E67F84" w14:textId="77777777" w:rsidR="00A5721F" w:rsidRPr="0012682A" w:rsidRDefault="00A5721F" w:rsidP="00A5721F">
      <w:pPr>
        <w:spacing w:after="0" w:line="276" w:lineRule="auto"/>
        <w:ind w:right="709"/>
        <w:contextualSpacing/>
        <w:jc w:val="both"/>
        <w:rPr>
          <w:rFonts w:ascii="Verdana" w:eastAsia="Times New Roman" w:hAnsi="Verdana" w:cs="Arial"/>
          <w:sz w:val="21"/>
          <w:szCs w:val="21"/>
          <w:lang w:val="es-MX" w:eastAsia="es-CO"/>
        </w:rPr>
      </w:pPr>
    </w:p>
    <w:p w14:paraId="2DB6ADA4" w14:textId="77777777" w:rsidR="00A5721F" w:rsidRPr="0012682A" w:rsidRDefault="00A5721F" w:rsidP="00A5721F">
      <w:pPr>
        <w:spacing w:after="120" w:line="276" w:lineRule="auto"/>
        <w:jc w:val="both"/>
        <w:rPr>
          <w:rFonts w:ascii="Verdana" w:eastAsia="Arial" w:hAnsi="Verdana" w:cs="Arial"/>
          <w:lang w:val="es-ES" w:eastAsia="es-ES" w:bidi="es-ES"/>
        </w:rPr>
      </w:pPr>
      <w:r w:rsidRPr="0012682A">
        <w:rPr>
          <w:rFonts w:ascii="Verdana" w:eastAsia="Times New Roman" w:hAnsi="Verdana" w:cs="Arial"/>
          <w:lang w:val="es-MX" w:eastAsia="es-CO"/>
        </w:rPr>
        <w:tab/>
        <w:t>De</w:t>
      </w:r>
      <w:r w:rsidRPr="0012682A">
        <w:rPr>
          <w:rFonts w:ascii="Verdana" w:eastAsia="Arial" w:hAnsi="Verdana" w:cs="Arial"/>
          <w:lang w:val="es-ES" w:eastAsia="es-ES" w:bidi="es-ES"/>
        </w:rPr>
        <w:t xml:space="preserve"> conformidad con lo anterior, </w:t>
      </w:r>
      <w:bookmarkStart w:id="5" w:name="_Hlk77236098"/>
      <w:bookmarkStart w:id="6" w:name="_Hlk100679383"/>
      <w:r w:rsidRPr="0012682A">
        <w:rPr>
          <w:rFonts w:ascii="Verdana" w:eastAsia="Arial" w:hAnsi="Verdana" w:cs="Arial"/>
          <w:lang w:val="es-ES" w:eastAsia="es-ES" w:bidi="es-ES"/>
        </w:rPr>
        <w:t xml:space="preserve">la Ley de Garantías Electorales fijó una serie de regulaciones y prohibiciones dirigidas a los servidores públicos. Con la </w:t>
      </w:r>
      <w:r w:rsidRPr="0012682A">
        <w:rPr>
          <w:rFonts w:ascii="Verdana" w:eastAsia="Arial" w:hAnsi="Verdana" w:cs="Arial"/>
          <w:lang w:val="es-ES" w:eastAsia="es-ES" w:bidi="es-ES"/>
        </w:rPr>
        <w:lastRenderedPageBreak/>
        <w:t>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54303961" w14:textId="77777777" w:rsidR="00A5721F" w:rsidRPr="0012682A" w:rsidRDefault="00A5721F" w:rsidP="00A5721F">
      <w:pPr>
        <w:spacing w:after="120" w:line="276" w:lineRule="auto"/>
        <w:ind w:firstLine="708"/>
        <w:jc w:val="both"/>
        <w:rPr>
          <w:rFonts w:ascii="Verdana" w:eastAsia="Calibri" w:hAnsi="Verdana" w:cs="Arial"/>
        </w:rPr>
      </w:pPr>
      <w:r w:rsidRPr="0012682A">
        <w:rPr>
          <w:rFonts w:ascii="Verdana" w:eastAsia="Calibri" w:hAnsi="Verdana" w:cs="Arial"/>
          <w:i/>
          <w:iCs/>
        </w:rPr>
        <w:t>Por un lado</w:t>
      </w:r>
      <w:r w:rsidRPr="0012682A">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2682A">
        <w:rPr>
          <w:rFonts w:ascii="Verdana" w:eastAsia="Calibri" w:hAnsi="Verdana" w:cs="Arial"/>
          <w:vertAlign w:val="superscript"/>
        </w:rPr>
        <w:footnoteReference w:id="8"/>
      </w:r>
      <w:r w:rsidRPr="0012682A">
        <w:rPr>
          <w:rFonts w:ascii="Verdana" w:eastAsia="Calibri" w:hAnsi="Verdana" w:cs="Arial"/>
        </w:rPr>
        <w:t>.</w:t>
      </w:r>
    </w:p>
    <w:p w14:paraId="59161F0B" w14:textId="77777777" w:rsidR="00A5721F" w:rsidRPr="0012682A" w:rsidRDefault="00A5721F" w:rsidP="00A5721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12682A">
        <w:rPr>
          <w:rFonts w:ascii="Verdana" w:eastAsia="Calibri" w:hAnsi="Verdana" w:cs="Arial"/>
          <w:i/>
          <w:iCs/>
        </w:rPr>
        <w:t>Por otro</w:t>
      </w:r>
      <w:r w:rsidRPr="0012682A">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12682A">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2682A">
        <w:rPr>
          <w:rFonts w:ascii="Verdana" w:eastAsia="Calibri" w:hAnsi="Verdana" w:cs="Arial"/>
          <w:sz w:val="19"/>
          <w:szCs w:val="19"/>
        </w:rPr>
        <w:t>”</w:t>
      </w:r>
      <w:bookmarkEnd w:id="6"/>
      <w:r w:rsidRPr="0012682A">
        <w:rPr>
          <w:rFonts w:ascii="Verdana" w:eastAsia="Calibri" w:hAnsi="Verdana" w:cs="Arial"/>
          <w:sz w:val="19"/>
          <w:szCs w:val="19"/>
          <w:vertAlign w:val="superscript"/>
        </w:rPr>
        <w:footnoteReference w:id="9"/>
      </w:r>
      <w:r w:rsidRPr="0012682A">
        <w:rPr>
          <w:rFonts w:ascii="Verdana" w:eastAsia="Calibri" w:hAnsi="Verdana" w:cs="Arial"/>
          <w:lang w:val="es-MX"/>
        </w:rPr>
        <w:t>.</w:t>
      </w:r>
      <w:r w:rsidRPr="0012682A">
        <w:rPr>
          <w:rFonts w:ascii="Verdana" w:eastAsia="Arial" w:hAnsi="Verdana" w:cs="Arial"/>
          <w:lang w:val="es-ES" w:eastAsia="es-ES" w:bidi="es-ES"/>
        </w:rPr>
        <w:t xml:space="preserve"> La Sala de Consulta y Servicio Civil del Consejo de Estado ha </w:t>
      </w:r>
      <w:r w:rsidRPr="0012682A">
        <w:rPr>
          <w:rFonts w:ascii="Verdana" w:eastAsia="Arial" w:hAnsi="Verdana" w:cs="Arial"/>
          <w:lang w:val="es-ES" w:eastAsia="es-ES" w:bidi="es-ES"/>
        </w:rPr>
        <w:lastRenderedPageBreak/>
        <w:t>aclarado la distinción en la aplicación de las prohibiciones de la Ley 996 de 2005, dependiendo del tipo de elección que se trate. Al respecto, considera que:</w:t>
      </w:r>
    </w:p>
    <w:p w14:paraId="40B1DCE9" w14:textId="77777777" w:rsidR="00A5721F" w:rsidRPr="0012682A" w:rsidRDefault="00A5721F" w:rsidP="00A5721F">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274B06A" w14:textId="77777777" w:rsidR="00A5721F" w:rsidRPr="0012682A" w:rsidRDefault="00A5721F" w:rsidP="00A5721F">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12682A">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12682A">
        <w:rPr>
          <w:rFonts w:ascii="Verdana" w:eastAsia="Arial" w:hAnsi="Verdana" w:cs="Arial"/>
          <w:sz w:val="20"/>
          <w:szCs w:val="20"/>
          <w:lang w:val="es-ES" w:eastAsia="es-ES" w:bidi="es-ES"/>
        </w:rPr>
        <w:t>se integran parcialmente</w:t>
      </w:r>
      <w:bookmarkEnd w:id="9"/>
      <w:r w:rsidRPr="0012682A">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12682A">
        <w:rPr>
          <w:rFonts w:ascii="Verdana" w:eastAsia="Arial" w:hAnsi="Verdana" w:cs="Arial"/>
          <w:sz w:val="20"/>
          <w:szCs w:val="20"/>
          <w:lang w:val="es-ES" w:eastAsia="es-ES" w:bidi="es-ES"/>
        </w:rPr>
        <w:t>Presidente</w:t>
      </w:r>
      <w:proofErr w:type="gramEnd"/>
      <w:r w:rsidRPr="0012682A">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12682A">
        <w:rPr>
          <w:rFonts w:ascii="Verdana" w:eastAsia="Arial" w:hAnsi="Verdana" w:cs="Arial"/>
          <w:sz w:val="20"/>
          <w:szCs w:val="20"/>
          <w:vertAlign w:val="superscript"/>
          <w:lang w:val="es-ES" w:eastAsia="es-ES" w:bidi="es-ES"/>
        </w:rPr>
        <w:footnoteReference w:id="10"/>
      </w:r>
      <w:r w:rsidRPr="0012682A">
        <w:rPr>
          <w:rFonts w:ascii="Verdana" w:eastAsia="Arial" w:hAnsi="Verdana" w:cs="Arial"/>
          <w:sz w:val="20"/>
          <w:szCs w:val="20"/>
          <w:lang w:val="es-ES" w:eastAsia="es-ES" w:bidi="es-ES"/>
        </w:rPr>
        <w:t>.</w:t>
      </w:r>
    </w:p>
    <w:p w14:paraId="51A076D9" w14:textId="77777777" w:rsidR="00A5721F" w:rsidRPr="0012682A" w:rsidRDefault="00A5721F" w:rsidP="00A5721F">
      <w:pPr>
        <w:widowControl w:val="0"/>
        <w:autoSpaceDE w:val="0"/>
        <w:autoSpaceDN w:val="0"/>
        <w:spacing w:after="0" w:line="276" w:lineRule="auto"/>
        <w:contextualSpacing/>
        <w:rPr>
          <w:rFonts w:ascii="Verdana" w:eastAsia="Arial" w:hAnsi="Verdana" w:cs="Arial"/>
          <w:lang w:val="es-ES" w:eastAsia="es-ES" w:bidi="es-ES"/>
        </w:rPr>
      </w:pPr>
    </w:p>
    <w:p w14:paraId="13FC4059" w14:textId="77777777" w:rsidR="00A5721F" w:rsidRPr="0012682A" w:rsidRDefault="00A5721F" w:rsidP="00A5721F">
      <w:pPr>
        <w:spacing w:after="120" w:line="276" w:lineRule="auto"/>
        <w:ind w:firstLine="709"/>
        <w:jc w:val="both"/>
        <w:rPr>
          <w:rFonts w:ascii="Verdana" w:eastAsia="Arial" w:hAnsi="Verdana" w:cs="Arial"/>
          <w:lang w:val="es-ES" w:eastAsia="es-ES" w:bidi="es-ES"/>
        </w:rPr>
      </w:pPr>
      <w:r w:rsidRPr="0012682A">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12682A">
        <w:rPr>
          <w:rFonts w:ascii="Verdana" w:eastAsia="Arial" w:hAnsi="Verdana" w:cs="Arial"/>
          <w:lang w:val="es-ES" w:eastAsia="es-ES" w:bidi="es-ES"/>
        </w:rPr>
        <w:t xml:space="preserve">la Ley 996 de 2005 establece dos (2) tipos de restricciones en materia de contratación, las cuales coinciden parcialmente. </w:t>
      </w:r>
      <w:r w:rsidRPr="0012682A">
        <w:rPr>
          <w:rFonts w:ascii="Verdana" w:eastAsia="Arial" w:hAnsi="Verdana" w:cs="Arial"/>
          <w:i/>
          <w:lang w:val="es-ES" w:eastAsia="es-ES" w:bidi="es-ES"/>
        </w:rPr>
        <w:t>En primer lugar</w:t>
      </w:r>
      <w:r w:rsidRPr="0012682A">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12682A">
        <w:rPr>
          <w:rFonts w:ascii="Verdana" w:eastAsia="Arial" w:hAnsi="Verdana" w:cs="Arial"/>
          <w:i/>
          <w:lang w:val="es-ES" w:eastAsia="es-ES" w:bidi="es-ES"/>
        </w:rPr>
        <w:t>En segundo lugar</w:t>
      </w:r>
      <w:r w:rsidRPr="0012682A">
        <w:rPr>
          <w:rFonts w:ascii="Verdana" w:eastAsia="Arial" w:hAnsi="Verdana" w:cs="Arial"/>
          <w:lang w:val="es-ES" w:eastAsia="es-ES" w:bidi="es-ES"/>
        </w:rPr>
        <w:t xml:space="preserve">, también se encuentra la prohibición del parágrafo del artículo 38, el cual debe aplicarse respecto de cualquier tipo de </w:t>
      </w:r>
      <w:r w:rsidRPr="0012682A">
        <w:rPr>
          <w:rFonts w:ascii="Verdana" w:eastAsia="Arial" w:hAnsi="Verdana" w:cs="Arial"/>
          <w:lang w:val="es-ES" w:eastAsia="es-ES" w:bidi="es-ES"/>
        </w:rPr>
        <w:lastRenderedPageBreak/>
        <w:t>contienda electoral, y que prohíbe la celebración de convenios interadministrativos que impliquen la ejecución de recursos públicos dentro de los cuatro (4) meses anteriores a la respectiva jornada de votaciones.</w:t>
      </w:r>
      <w:bookmarkEnd w:id="10"/>
    </w:p>
    <w:bookmarkEnd w:id="11"/>
    <w:p w14:paraId="4F3D54D2" w14:textId="77777777" w:rsidR="00A5721F" w:rsidRPr="0012682A" w:rsidRDefault="00A5721F" w:rsidP="00A5721F">
      <w:pPr>
        <w:spacing w:after="120" w:line="276" w:lineRule="auto"/>
        <w:ind w:firstLine="709"/>
        <w:jc w:val="both"/>
        <w:rPr>
          <w:rFonts w:ascii="Verdana" w:eastAsia="Arial" w:hAnsi="Verdana" w:cs="Arial"/>
          <w:lang w:val="es-ES" w:eastAsia="es-ES" w:bidi="es-ES"/>
        </w:rPr>
      </w:pPr>
      <w:r w:rsidRPr="0012682A">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12682A">
        <w:rPr>
          <w:rFonts w:ascii="Verdana" w:eastAsia="Arial" w:hAnsi="Verdana" w:cs="Arial"/>
          <w:lang w:val="es-ES" w:eastAsia="es-ES" w:bidi="es-ES"/>
        </w:rPr>
        <w:t>Presidente</w:t>
      </w:r>
      <w:proofErr w:type="gramEnd"/>
      <w:r w:rsidRPr="0012682A">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12682A">
        <w:rPr>
          <w:rFonts w:ascii="Verdana" w:eastAsia="Arial" w:hAnsi="Verdana" w:cs="Arial"/>
          <w:lang w:val="es-ES" w:eastAsia="es-ES" w:bidi="es-ES"/>
        </w:rPr>
        <w:t>Presidente</w:t>
      </w:r>
      <w:proofErr w:type="gramEnd"/>
      <w:r w:rsidRPr="0012682A">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7EEBE8DB" w14:textId="77777777" w:rsidR="00A5721F" w:rsidRPr="0012682A" w:rsidRDefault="00A5721F" w:rsidP="00A5721F">
      <w:pPr>
        <w:spacing w:after="0" w:line="276" w:lineRule="auto"/>
        <w:ind w:firstLine="708"/>
        <w:jc w:val="both"/>
        <w:rPr>
          <w:rFonts w:ascii="Verdana" w:eastAsia="Arial" w:hAnsi="Verdana" w:cs="Arial"/>
          <w:lang w:val="es-ES" w:eastAsia="es-ES" w:bidi="es-ES"/>
        </w:rPr>
      </w:pPr>
      <w:r w:rsidRPr="0012682A">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12682A">
        <w:rPr>
          <w:rFonts w:ascii="Verdana" w:eastAsia="Arial" w:hAnsi="Verdana" w:cs="Arial"/>
          <w:lang w:val="es-ES" w:eastAsia="es-ES" w:bidi="es-ES"/>
        </w:rPr>
        <w:t>Presidente</w:t>
      </w:r>
      <w:proofErr w:type="gramEnd"/>
      <w:r w:rsidRPr="0012682A">
        <w:rPr>
          <w:rFonts w:ascii="Verdana" w:eastAsia="Arial" w:hAnsi="Verdana" w:cs="Arial"/>
          <w:lang w:val="es-ES" w:eastAsia="es-ES" w:bidi="es-ES"/>
        </w:rPr>
        <w:t xml:space="preserve"> o el </w:t>
      </w:r>
      <w:proofErr w:type="gramStart"/>
      <w:r w:rsidRPr="0012682A">
        <w:rPr>
          <w:rFonts w:ascii="Verdana" w:eastAsia="Arial" w:hAnsi="Verdana" w:cs="Arial"/>
          <w:lang w:val="es-ES" w:eastAsia="es-ES" w:bidi="es-ES"/>
        </w:rPr>
        <w:t>Vicepresidente</w:t>
      </w:r>
      <w:proofErr w:type="gramEnd"/>
      <w:r w:rsidRPr="0012682A">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3B512154" w14:textId="77777777" w:rsidR="00A5721F" w:rsidRPr="0012682A" w:rsidRDefault="00A5721F" w:rsidP="00A5721F">
      <w:pPr>
        <w:spacing w:after="0" w:line="276" w:lineRule="auto"/>
        <w:jc w:val="both"/>
        <w:rPr>
          <w:rFonts w:ascii="Verdana" w:eastAsia="Arial" w:hAnsi="Verdana" w:cs="Arial"/>
          <w:lang w:val="es-ES" w:eastAsia="es-ES" w:bidi="es-ES"/>
        </w:rPr>
      </w:pPr>
    </w:p>
    <w:p w14:paraId="32787273" w14:textId="77777777" w:rsidR="00A5721F" w:rsidRPr="0012682A" w:rsidRDefault="00A5721F" w:rsidP="00A5721F">
      <w:pPr>
        <w:spacing w:after="0" w:line="276" w:lineRule="auto"/>
        <w:jc w:val="both"/>
        <w:rPr>
          <w:rFonts w:ascii="Verdana" w:hAnsi="Verdana" w:cs="Arial"/>
          <w:bCs/>
          <w:lang w:val="es-MX" w:eastAsia="es-CO"/>
        </w:rPr>
      </w:pPr>
      <w:proofErr w:type="spellStart"/>
      <w:r w:rsidRPr="0012682A">
        <w:rPr>
          <w:rFonts w:ascii="Verdana" w:eastAsia="Arial" w:hAnsi="Verdana" w:cs="Arial"/>
          <w:lang w:val="es-ES" w:eastAsia="es-ES" w:bidi="es-ES"/>
        </w:rPr>
        <w:t>ii</w:t>
      </w:r>
      <w:proofErr w:type="spellEnd"/>
      <w:r w:rsidRPr="0012682A">
        <w:rPr>
          <w:rFonts w:ascii="Verdana" w:eastAsia="Arial" w:hAnsi="Verdana" w:cs="Arial"/>
          <w:lang w:val="es-ES" w:eastAsia="es-ES" w:bidi="es-ES"/>
        </w:rPr>
        <w:t xml:space="preserve">. </w:t>
      </w:r>
      <w:r w:rsidRPr="0012682A">
        <w:rPr>
          <w:rFonts w:ascii="Verdana" w:hAnsi="Verdana" w:cs="Arial"/>
          <w:bCs/>
          <w:lang w:val="es-MX" w:eastAsia="x-none"/>
        </w:rPr>
        <w:t xml:space="preserve">El ámbito material de la prohibición contenida en el artículo 33 de la ley 996 de 2005 está delimitado por la expresión </w:t>
      </w:r>
      <w:r w:rsidRPr="0012682A">
        <w:rPr>
          <w:rFonts w:ascii="Verdana" w:eastAsia="Calibri" w:hAnsi="Verdana" w:cs="Arial"/>
          <w:bCs/>
          <w:sz w:val="20"/>
          <w:szCs w:val="20"/>
          <w:lang w:val="es-MX"/>
        </w:rPr>
        <w:t>“</w:t>
      </w:r>
      <w:r w:rsidRPr="0012682A">
        <w:rPr>
          <w:rFonts w:ascii="Verdana" w:hAnsi="Verdana" w:cs="Arial"/>
          <w:bCs/>
          <w:lang w:val="es-MX" w:eastAsia="x-none"/>
        </w:rPr>
        <w:t>queda prohibida la contratación directa</w:t>
      </w:r>
      <w:r w:rsidRPr="0012682A">
        <w:rPr>
          <w:rFonts w:ascii="Verdana" w:hAnsi="Verdana" w:cs="Arial"/>
          <w:sz w:val="20"/>
          <w:szCs w:val="20"/>
          <w:lang w:val="es-MX"/>
        </w:rPr>
        <w:t>”</w:t>
      </w:r>
      <w:r w:rsidRPr="0012682A">
        <w:rPr>
          <w:rFonts w:ascii="Verdana" w:hAnsi="Verdana" w:cs="Arial"/>
          <w:bCs/>
          <w:lang w:val="es-MX" w:eastAsia="x-none"/>
        </w:rPr>
        <w:t xml:space="preserve">. </w:t>
      </w:r>
      <w:r w:rsidRPr="0012682A">
        <w:rPr>
          <w:rFonts w:ascii="Verdana" w:hAnsi="Verdana" w:cs="Arial"/>
          <w:lang w:val="es-MX" w:eastAsia="es-CO"/>
        </w:rPr>
        <w:t xml:space="preserve"> A propósito de </w:t>
      </w:r>
      <w:r w:rsidRPr="0012682A">
        <w:rPr>
          <w:rFonts w:ascii="Verdana" w:hAnsi="Verdana" w:cs="Arial"/>
          <w:lang w:eastAsia="es-CO"/>
        </w:rPr>
        <w:t>esta restricción de la Ley de Garantías Electorales, la Sala de Consulta y Servicio Civil del Consejo de Estado ha considerado que:</w:t>
      </w:r>
    </w:p>
    <w:p w14:paraId="51CB84EF" w14:textId="77777777" w:rsidR="00A5721F" w:rsidRPr="0012682A" w:rsidRDefault="00A5721F" w:rsidP="00A5721F">
      <w:pPr>
        <w:spacing w:after="0" w:line="276" w:lineRule="auto"/>
        <w:ind w:left="708" w:right="709"/>
        <w:jc w:val="both"/>
        <w:rPr>
          <w:rFonts w:ascii="Verdana" w:hAnsi="Verdana" w:cs="Arial"/>
          <w:lang w:val="es-MX"/>
        </w:rPr>
      </w:pPr>
    </w:p>
    <w:p w14:paraId="07B7B8E4" w14:textId="77777777" w:rsidR="00A5721F" w:rsidRPr="0012682A" w:rsidRDefault="00A5721F" w:rsidP="00A5721F">
      <w:pPr>
        <w:spacing w:after="120"/>
        <w:ind w:left="709" w:right="709"/>
        <w:jc w:val="both"/>
        <w:rPr>
          <w:rFonts w:ascii="Verdana" w:hAnsi="Verdana" w:cs="Arial"/>
          <w:sz w:val="20"/>
          <w:szCs w:val="20"/>
          <w:lang w:val="es-MX"/>
        </w:rPr>
      </w:pPr>
      <w:r w:rsidRPr="0012682A">
        <w:rPr>
          <w:rFonts w:ascii="Verdana" w:hAnsi="Verdana" w:cs="Arial"/>
          <w:sz w:val="18"/>
          <w:szCs w:val="18"/>
          <w:lang w:val="es-MX"/>
        </w:rPr>
        <w:t>“</w:t>
      </w:r>
      <w:r w:rsidRPr="0012682A">
        <w:rPr>
          <w:rFonts w:ascii="Verdana"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12682A">
        <w:rPr>
          <w:rFonts w:ascii="Verdana" w:hAnsi="Verdana" w:cs="Arial"/>
          <w:sz w:val="20"/>
          <w:szCs w:val="20"/>
          <w:lang w:val="es-MX"/>
        </w:rPr>
        <w:lastRenderedPageBreak/>
        <w:t>2, ley 1150 de 2007), y cumpliendo siempre los principios que rigen la contratación pública</w:t>
      </w:r>
      <w:r w:rsidRPr="0012682A">
        <w:rPr>
          <w:rFonts w:ascii="Verdana" w:hAnsi="Verdana" w:cs="Arial"/>
          <w:sz w:val="20"/>
          <w:szCs w:val="20"/>
          <w:vertAlign w:val="superscript"/>
          <w:lang w:eastAsia="es-CO"/>
        </w:rPr>
        <w:footnoteReference w:id="11"/>
      </w:r>
      <w:r w:rsidRPr="0012682A">
        <w:rPr>
          <w:rFonts w:ascii="Verdana" w:hAnsi="Verdana" w:cs="Arial"/>
          <w:sz w:val="20"/>
          <w:szCs w:val="20"/>
          <w:lang w:val="es-MX"/>
        </w:rPr>
        <w:t>.</w:t>
      </w:r>
    </w:p>
    <w:p w14:paraId="2E3CC42B" w14:textId="77777777" w:rsidR="00A5721F" w:rsidRPr="0012682A" w:rsidRDefault="00A5721F" w:rsidP="00A5721F">
      <w:pPr>
        <w:spacing w:after="0"/>
        <w:ind w:left="708" w:right="709"/>
        <w:jc w:val="both"/>
        <w:rPr>
          <w:rFonts w:ascii="Verdana" w:hAnsi="Verdana" w:cs="Arial"/>
          <w:sz w:val="20"/>
          <w:szCs w:val="20"/>
          <w:lang w:val="es-MX"/>
        </w:rPr>
      </w:pPr>
      <w:r w:rsidRPr="0012682A">
        <w:rPr>
          <w:rFonts w:ascii="Verdana"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12682A">
        <w:rPr>
          <w:rFonts w:ascii="Verdana" w:hAnsi="Verdana" w:cs="Arial"/>
          <w:sz w:val="20"/>
          <w:szCs w:val="20"/>
          <w:vertAlign w:val="superscript"/>
          <w:lang w:val="es-MX"/>
        </w:rPr>
        <w:footnoteReference w:id="12"/>
      </w:r>
      <w:r w:rsidRPr="0012682A">
        <w:rPr>
          <w:rFonts w:ascii="Verdana" w:hAnsi="Verdana" w:cs="Arial"/>
          <w:sz w:val="20"/>
          <w:szCs w:val="20"/>
          <w:vertAlign w:val="superscript"/>
          <w:lang w:val="es-MX"/>
        </w:rPr>
        <w:t>.</w:t>
      </w:r>
      <w:r w:rsidRPr="0012682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12682A">
        <w:rPr>
          <w:rFonts w:ascii="Verdana" w:hAnsi="Verdana" w:cs="Arial"/>
          <w:sz w:val="20"/>
          <w:szCs w:val="20"/>
          <w:vertAlign w:val="superscript"/>
          <w:lang w:eastAsia="es-CO"/>
        </w:rPr>
        <w:footnoteReference w:id="13"/>
      </w:r>
      <w:r w:rsidRPr="0012682A">
        <w:rPr>
          <w:rFonts w:ascii="Verdana" w:hAnsi="Verdana" w:cs="Arial"/>
          <w:sz w:val="20"/>
          <w:szCs w:val="20"/>
          <w:lang w:val="es-MX"/>
        </w:rPr>
        <w:t>.</w:t>
      </w:r>
    </w:p>
    <w:p w14:paraId="6C3E6815" w14:textId="77777777" w:rsidR="00A5721F" w:rsidRPr="0012682A" w:rsidRDefault="00A5721F" w:rsidP="00A5721F">
      <w:pPr>
        <w:shd w:val="clear" w:color="auto" w:fill="FFFFFF"/>
        <w:spacing w:after="0" w:line="276" w:lineRule="auto"/>
        <w:ind w:firstLine="709"/>
        <w:jc w:val="both"/>
        <w:rPr>
          <w:rFonts w:ascii="Verdana" w:hAnsi="Verdana" w:cs="Arial"/>
          <w:lang w:eastAsia="x-none"/>
        </w:rPr>
      </w:pPr>
    </w:p>
    <w:p w14:paraId="312BCBE4" w14:textId="77777777" w:rsidR="00A5721F" w:rsidRPr="0012682A" w:rsidRDefault="00A5721F" w:rsidP="00A5721F">
      <w:pPr>
        <w:spacing w:after="120" w:line="276" w:lineRule="auto"/>
        <w:ind w:firstLine="708"/>
        <w:jc w:val="both"/>
        <w:rPr>
          <w:rFonts w:ascii="Verdana" w:hAnsi="Verdana" w:cs="Arial"/>
          <w:bCs/>
          <w:lang w:eastAsia="x-none"/>
        </w:rPr>
      </w:pPr>
      <w:r w:rsidRPr="0012682A">
        <w:rPr>
          <w:rFonts w:ascii="Verdana" w:hAnsi="Verdana" w:cs="Arial"/>
          <w:lang w:eastAsia="x-none"/>
        </w:rPr>
        <w:t xml:space="preserve">De acuerdo con el citado concepto, la prohibición del artículo 33 de la Ley de Garantías Electorales se refiere a </w:t>
      </w:r>
      <w:r w:rsidRPr="0012682A">
        <w:rPr>
          <w:rFonts w:ascii="Verdana" w:hAnsi="Verdana" w:cs="Arial"/>
          <w:sz w:val="19"/>
          <w:szCs w:val="19"/>
          <w:lang w:eastAsia="en-GB"/>
        </w:rPr>
        <w:t>“</w:t>
      </w:r>
      <w:r w:rsidRPr="0012682A">
        <w:rPr>
          <w:rFonts w:ascii="Verdana" w:hAnsi="Verdana" w:cs="Arial"/>
          <w:lang w:eastAsia="x-none"/>
        </w:rPr>
        <w:t>cualquier sistema que no implique convocatoria pública y posibilidad de pluralidad de oferentes</w:t>
      </w:r>
      <w:r w:rsidRPr="0012682A">
        <w:rPr>
          <w:rFonts w:ascii="Verdana" w:hAnsi="Verdana" w:cs="Arial"/>
          <w:lang w:eastAsia="en-GB"/>
        </w:rPr>
        <w:t>”</w:t>
      </w:r>
      <w:r w:rsidRPr="0012682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12682A">
        <w:rPr>
          <w:rFonts w:ascii="Verdana" w:hAnsi="Verdana" w:cs="Arial"/>
          <w:vertAlign w:val="superscript"/>
          <w:lang w:val="en-GB" w:eastAsia="x-none"/>
        </w:rPr>
        <w:footnoteReference w:id="14"/>
      </w:r>
      <w:r w:rsidRPr="0012682A">
        <w:rPr>
          <w:rFonts w:ascii="Verdana" w:hAnsi="Verdana" w:cs="Arial"/>
          <w:lang w:eastAsia="x-none"/>
        </w:rPr>
        <w:t xml:space="preserve"> y sistematizó las causales de contratación directa</w:t>
      </w:r>
      <w:r w:rsidRPr="0012682A">
        <w:rPr>
          <w:rFonts w:ascii="Verdana" w:hAnsi="Verdana" w:cs="Arial"/>
          <w:vertAlign w:val="superscript"/>
          <w:lang w:val="en-GB" w:eastAsia="x-none"/>
        </w:rPr>
        <w:footnoteReference w:id="15"/>
      </w:r>
      <w:r w:rsidRPr="0012682A">
        <w:rPr>
          <w:rFonts w:ascii="Verdana" w:hAnsi="Verdana" w:cs="Arial"/>
          <w:lang w:eastAsia="x-none"/>
        </w:rPr>
        <w:t xml:space="preserve">. </w:t>
      </w:r>
    </w:p>
    <w:p w14:paraId="7839B0C8" w14:textId="77777777" w:rsidR="00A5721F" w:rsidRPr="0012682A" w:rsidRDefault="00A5721F" w:rsidP="00A5721F">
      <w:pPr>
        <w:spacing w:after="120" w:line="276" w:lineRule="auto"/>
        <w:ind w:firstLine="708"/>
        <w:jc w:val="both"/>
        <w:rPr>
          <w:rFonts w:ascii="Verdana" w:hAnsi="Verdana" w:cs="Arial"/>
          <w:lang w:val="es-MX" w:eastAsia="x-none"/>
        </w:rPr>
      </w:pPr>
      <w:r w:rsidRPr="0012682A">
        <w:rPr>
          <w:rFonts w:ascii="Verdana" w:hAnsi="Verdana" w:cs="Arial"/>
          <w:lang w:eastAsia="x-none"/>
        </w:rPr>
        <w:t xml:space="preserve">De esta forma, con fundamento en la evolución de la normativa sobre la contratación pública, se ha depurado la noción de </w:t>
      </w:r>
      <w:r w:rsidRPr="0012682A">
        <w:rPr>
          <w:rFonts w:ascii="Verdana" w:hAnsi="Verdana" w:cs="Arial"/>
          <w:sz w:val="19"/>
          <w:szCs w:val="19"/>
          <w:lang w:eastAsia="en-GB"/>
        </w:rPr>
        <w:t>“</w:t>
      </w:r>
      <w:r w:rsidRPr="0012682A">
        <w:rPr>
          <w:rFonts w:ascii="Verdana" w:hAnsi="Verdana" w:cs="Arial"/>
          <w:lang w:eastAsia="x-none"/>
        </w:rPr>
        <w:t>contratación directa</w:t>
      </w:r>
      <w:r w:rsidRPr="0012682A">
        <w:rPr>
          <w:rFonts w:ascii="Verdana" w:hAnsi="Verdana" w:cs="Arial"/>
          <w:lang w:eastAsia="en-GB"/>
        </w:rPr>
        <w:t>”</w:t>
      </w:r>
      <w:r w:rsidRPr="0012682A">
        <w:rPr>
          <w:rFonts w:ascii="Verdana"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12682A">
        <w:rPr>
          <w:rFonts w:ascii="Verdana" w:hAnsi="Verdana" w:cs="Arial"/>
          <w:lang w:eastAsia="x-none"/>
        </w:rPr>
        <w:lastRenderedPageBreak/>
        <w:t>especiales e, incluso, en el derecho privado</w:t>
      </w:r>
      <w:r w:rsidRPr="0012682A">
        <w:rPr>
          <w:rFonts w:ascii="Verdana" w:hAnsi="Verdana" w:cs="Arial"/>
          <w:vertAlign w:val="superscript"/>
          <w:lang w:val="en-GB" w:eastAsia="x-none"/>
        </w:rPr>
        <w:footnoteReference w:id="16"/>
      </w:r>
      <w:r w:rsidRPr="0012682A">
        <w:rPr>
          <w:rFonts w:ascii="Verdana" w:hAnsi="Verdana" w:cs="Arial"/>
          <w:lang w:eastAsia="x-none"/>
        </w:rPr>
        <w:t>, han establecido sistemas de contratación que implican convocatoria pública y participación de varios oferentes</w:t>
      </w:r>
      <w:r w:rsidRPr="0012682A">
        <w:rPr>
          <w:rFonts w:ascii="Verdana" w:hAnsi="Verdana" w:cs="Arial"/>
          <w:lang w:eastAsia="en-GB"/>
        </w:rPr>
        <w:t>”</w:t>
      </w:r>
      <w:r w:rsidRPr="0012682A">
        <w:rPr>
          <w:rFonts w:ascii="Verdana" w:hAnsi="Verdana" w:cs="Arial"/>
          <w:lang w:eastAsia="x-none"/>
        </w:rPr>
        <w:t xml:space="preserve">. </w:t>
      </w:r>
    </w:p>
    <w:p w14:paraId="583FE962" w14:textId="77777777" w:rsidR="00A5721F" w:rsidRPr="0012682A" w:rsidRDefault="00A5721F" w:rsidP="00A5721F">
      <w:pPr>
        <w:spacing w:after="120" w:line="276" w:lineRule="auto"/>
        <w:ind w:firstLine="708"/>
        <w:jc w:val="both"/>
        <w:rPr>
          <w:rFonts w:ascii="Verdana" w:hAnsi="Verdana" w:cs="Arial"/>
          <w:lang w:eastAsia="x-none"/>
        </w:rPr>
      </w:pPr>
      <w:r w:rsidRPr="0012682A">
        <w:rPr>
          <w:rFonts w:ascii="Verdana" w:hAnsi="Verdana" w:cs="Arial"/>
          <w:bCs/>
          <w:lang w:val="es-MX" w:eastAsia="x-none"/>
        </w:rPr>
        <w:t>E</w:t>
      </w:r>
      <w:r w:rsidRPr="0012682A">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12682A">
        <w:rPr>
          <w:rFonts w:ascii="Verdana" w:hAnsi="Verdana" w:cs="Arial"/>
          <w:vertAlign w:val="superscript"/>
          <w:lang w:eastAsia="x-none"/>
        </w:rPr>
        <w:footnoteReference w:id="17"/>
      </w:r>
      <w:r w:rsidRPr="0012682A">
        <w:rPr>
          <w:rFonts w:ascii="Verdana" w:hAnsi="Verdana" w:cs="Arial"/>
          <w:lang w:eastAsia="x-none"/>
        </w:rPr>
        <w:t xml:space="preserve">. </w:t>
      </w:r>
    </w:p>
    <w:p w14:paraId="26E930D7" w14:textId="77777777" w:rsidR="00A5721F" w:rsidRPr="0012682A" w:rsidRDefault="00A5721F" w:rsidP="00A5721F">
      <w:pPr>
        <w:spacing w:after="120" w:line="276" w:lineRule="auto"/>
        <w:ind w:firstLine="708"/>
        <w:jc w:val="both"/>
        <w:rPr>
          <w:rFonts w:ascii="Verdana" w:hAnsi="Verdana" w:cs="Arial"/>
          <w:bCs/>
          <w:lang w:val="es-MX" w:eastAsia="es-CO"/>
        </w:rPr>
      </w:pPr>
      <w:r w:rsidRPr="0012682A">
        <w:rPr>
          <w:rFonts w:ascii="Verdana"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5B037295" w14:textId="77777777" w:rsidR="00A5721F" w:rsidRPr="0012682A" w:rsidRDefault="00A5721F" w:rsidP="00A5721F">
      <w:pPr>
        <w:spacing w:after="120" w:line="276" w:lineRule="auto"/>
        <w:ind w:firstLine="708"/>
        <w:jc w:val="both"/>
        <w:rPr>
          <w:rFonts w:ascii="Verdana" w:hAnsi="Verdana" w:cs="Arial"/>
          <w:vertAlign w:val="superscript"/>
          <w:lang w:val="es-MX" w:eastAsia="x-none"/>
        </w:rPr>
      </w:pPr>
      <w:r w:rsidRPr="0012682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12682A">
        <w:rPr>
          <w:rFonts w:ascii="Verdana" w:hAnsi="Verdana" w:cs="Arial"/>
          <w:vertAlign w:val="superscript"/>
          <w:lang w:eastAsia="x-none"/>
        </w:rPr>
        <w:footnoteReference w:id="18"/>
      </w:r>
      <w:r w:rsidRPr="0012682A">
        <w:rPr>
          <w:rFonts w:ascii="Verdana" w:hAnsi="Verdana" w:cs="Arial"/>
          <w:bCs/>
          <w:lang w:val="es-MX" w:eastAsia="x-none"/>
        </w:rPr>
        <w:t>.</w:t>
      </w:r>
      <w:r w:rsidRPr="0012682A">
        <w:rPr>
          <w:rFonts w:ascii="Verdana" w:hAnsi="Verdana" w:cs="Arial"/>
          <w:vertAlign w:val="superscript"/>
          <w:lang w:val="es-MX" w:eastAsia="x-none"/>
        </w:rPr>
        <w:t xml:space="preserve"> </w:t>
      </w:r>
    </w:p>
    <w:p w14:paraId="2E4FAD19" w14:textId="77777777" w:rsidR="00A5721F" w:rsidRPr="0012682A" w:rsidRDefault="00A5721F" w:rsidP="00A5721F">
      <w:pPr>
        <w:spacing w:after="120" w:line="276" w:lineRule="auto"/>
        <w:ind w:firstLine="708"/>
        <w:jc w:val="both"/>
        <w:rPr>
          <w:rFonts w:ascii="Verdana" w:hAnsi="Verdana" w:cs="Arial"/>
          <w:lang w:eastAsia="x-none"/>
        </w:rPr>
      </w:pPr>
      <w:r w:rsidRPr="0012682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12682A">
        <w:rPr>
          <w:rFonts w:ascii="Verdana" w:hAnsi="Verdana" w:cs="Arial"/>
          <w:lang w:eastAsia="x-none"/>
        </w:rPr>
        <w:t xml:space="preserve"> Por tanto, no son materia de la prohibición las demás modalidades de selección previstas </w:t>
      </w:r>
      <w:r w:rsidRPr="0012682A">
        <w:rPr>
          <w:rFonts w:ascii="Verdana" w:hAnsi="Verdana" w:cs="Arial"/>
          <w:lang w:eastAsia="x-none"/>
        </w:rPr>
        <w:lastRenderedPageBreak/>
        <w:t>en la Ley 1150 de 2007, es decir, la licitación pública, el concurso de méritos y la selección abreviada, razón por la cual en ese período preelectoral de que trata la disposición pueden las entidades públicas seguir contratando bajo estos sistemas.</w:t>
      </w:r>
    </w:p>
    <w:p w14:paraId="41B0724C" w14:textId="77777777" w:rsidR="00A5721F" w:rsidRPr="0012682A" w:rsidRDefault="00A5721F" w:rsidP="00A5721F">
      <w:pPr>
        <w:spacing w:after="120" w:line="276" w:lineRule="auto"/>
        <w:ind w:firstLine="708"/>
        <w:jc w:val="both"/>
        <w:rPr>
          <w:rFonts w:ascii="Verdana" w:hAnsi="Verdana" w:cs="Arial"/>
          <w:bCs/>
          <w:lang w:val="es-MX" w:eastAsia="x-none"/>
        </w:rPr>
      </w:pPr>
      <w:bookmarkStart w:id="13" w:name="_Hlk77237094"/>
      <w:r w:rsidRPr="0012682A">
        <w:rPr>
          <w:rFonts w:ascii="Verdana" w:hAnsi="Verdana" w:cs="Arial"/>
          <w:bCs/>
          <w:lang w:val="es-MX" w:eastAsia="es-CO"/>
        </w:rPr>
        <w:t xml:space="preserve">Como en otras oportunidades lo ha manifestado esta Agencia, las prórrogas, modificaciones o adiciones de los contratos suscritos antes de la </w:t>
      </w:r>
      <w:proofErr w:type="gramStart"/>
      <w:r w:rsidRPr="0012682A">
        <w:rPr>
          <w:rFonts w:ascii="Verdana" w:hAnsi="Verdana" w:cs="Arial"/>
          <w:bCs/>
          <w:lang w:val="es-MX" w:eastAsia="es-CO"/>
        </w:rPr>
        <w:t>entrada en vigencia</w:t>
      </w:r>
      <w:proofErr w:type="gramEnd"/>
      <w:r w:rsidRPr="0012682A">
        <w:rPr>
          <w:rFonts w:ascii="Verdana" w:hAnsi="Verdana" w:cs="Arial"/>
          <w:bCs/>
          <w:lang w:val="es-MX" w:eastAsia="es-CO"/>
        </w:rPr>
        <w:t xml:space="preserve"> de las prohibiciones anotadas, así como la cesión de </w:t>
      </w:r>
      <w:proofErr w:type="gramStart"/>
      <w:r w:rsidRPr="0012682A">
        <w:rPr>
          <w:rFonts w:ascii="Verdana" w:hAnsi="Verdana" w:cs="Arial"/>
          <w:bCs/>
          <w:lang w:val="es-MX" w:eastAsia="es-CO"/>
        </w:rPr>
        <w:t>los mismos</w:t>
      </w:r>
      <w:proofErr w:type="gramEnd"/>
      <w:r w:rsidRPr="0012682A">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3"/>
    </w:p>
    <w:p w14:paraId="291D9BC3" w14:textId="77777777" w:rsidR="00A5721F" w:rsidRPr="0012682A" w:rsidRDefault="00A5721F" w:rsidP="00A5721F">
      <w:pPr>
        <w:spacing w:after="120" w:line="276" w:lineRule="auto"/>
        <w:ind w:firstLine="708"/>
        <w:jc w:val="both"/>
        <w:rPr>
          <w:rFonts w:ascii="Verdana" w:hAnsi="Verdana" w:cs="Arial"/>
          <w:bCs/>
          <w:lang w:val="es-MX" w:eastAsia="es-CO"/>
        </w:rPr>
      </w:pPr>
      <w:r w:rsidRPr="0012682A">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12682A">
        <w:rPr>
          <w:rFonts w:ascii="Verdana" w:hAnsi="Verdana" w:cs="Arial"/>
          <w:bCs/>
          <w:lang w:val="es-MX" w:eastAsia="x-none"/>
        </w:rPr>
        <w:t>ii</w:t>
      </w:r>
      <w:proofErr w:type="spellEnd"/>
      <w:r w:rsidRPr="0012682A">
        <w:rPr>
          <w:rFonts w:ascii="Verdana" w:hAnsi="Verdana" w:cs="Arial"/>
          <w:bCs/>
          <w:lang w:val="es-MX" w:eastAsia="x-none"/>
        </w:rPr>
        <w:t xml:space="preserve">) los contratos de crédito público; </w:t>
      </w:r>
      <w:proofErr w:type="spellStart"/>
      <w:r w:rsidRPr="0012682A">
        <w:rPr>
          <w:rFonts w:ascii="Verdana" w:hAnsi="Verdana" w:cs="Arial"/>
          <w:bCs/>
          <w:lang w:val="es-MX" w:eastAsia="x-none"/>
        </w:rPr>
        <w:t>iii</w:t>
      </w:r>
      <w:proofErr w:type="spellEnd"/>
      <w:r w:rsidRPr="0012682A">
        <w:rPr>
          <w:rFonts w:ascii="Verdana" w:hAnsi="Verdana" w:cs="Arial"/>
          <w:bCs/>
          <w:lang w:val="es-MX" w:eastAsia="x-none"/>
        </w:rPr>
        <w:t xml:space="preserve">) los requeridos para cubrir las emergencias educativas, sanitarias y desastres; </w:t>
      </w:r>
      <w:proofErr w:type="spellStart"/>
      <w:r w:rsidRPr="0012682A">
        <w:rPr>
          <w:rFonts w:ascii="Verdana" w:hAnsi="Verdana" w:cs="Arial"/>
          <w:bCs/>
          <w:lang w:val="es-MX" w:eastAsia="x-none"/>
        </w:rPr>
        <w:t>iv</w:t>
      </w:r>
      <w:proofErr w:type="spellEnd"/>
      <w:r w:rsidRPr="0012682A">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12682A">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FED4C9F" w14:textId="77777777" w:rsidR="00A5721F" w:rsidRPr="0012682A" w:rsidRDefault="00A5721F" w:rsidP="00A5721F">
      <w:pPr>
        <w:spacing w:after="0" w:line="276" w:lineRule="auto"/>
        <w:ind w:firstLine="708"/>
        <w:jc w:val="both"/>
        <w:rPr>
          <w:rFonts w:ascii="Verdana" w:hAnsi="Verdana" w:cs="Arial"/>
          <w:bCs/>
          <w:lang w:val="es-MX" w:eastAsia="x-none"/>
        </w:rPr>
      </w:pPr>
      <w:r w:rsidRPr="0012682A">
        <w:rPr>
          <w:rFonts w:ascii="Verdana" w:hAnsi="Verdana" w:cs="Arial"/>
          <w:bCs/>
          <w:lang w:val="es-MX" w:eastAsia="x-none"/>
        </w:rPr>
        <w:t xml:space="preserve">En esta labor es importante tener en cuenta, como lo anotó la Corte Constitucional, en Sentencia C-1153 de noviembre 11 de 2005 </w:t>
      </w:r>
      <w:bookmarkStart w:id="14" w:name="_Hlk74309042"/>
      <w:r w:rsidRPr="0012682A">
        <w:rPr>
          <w:rFonts w:ascii="Verdana" w:hAnsi="Verdana" w:cs="Arial"/>
          <w:bCs/>
          <w:lang w:val="es-MX" w:eastAsia="x-none"/>
        </w:rPr>
        <w:t>que “</w:t>
      </w:r>
      <w:bookmarkEnd w:id="14"/>
      <w:r w:rsidRPr="0012682A">
        <w:rPr>
          <w:rFonts w:ascii="Verdana" w:hAnsi="Verdana" w:cs="Arial"/>
          <w:bCs/>
          <w:lang w:val="es-MX" w:eastAsia="x-none"/>
        </w:rPr>
        <w:t xml:space="preserve">si bien la limitación garantiza la igualdad de condiciones, también es necesario que tal limitación que pretende la igualdad </w:t>
      </w:r>
      <w:bookmarkStart w:id="15" w:name="_Hlk75768308"/>
      <w:r w:rsidRPr="0012682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12682A">
        <w:rPr>
          <w:rFonts w:ascii="Verdana" w:hAnsi="Verdana" w:cs="Arial"/>
          <w:vertAlign w:val="superscript"/>
          <w:lang w:val="es-MX"/>
        </w:rPr>
        <w:footnoteReference w:id="19"/>
      </w:r>
      <w:r w:rsidRPr="0012682A">
        <w:rPr>
          <w:rFonts w:ascii="Verdana" w:hAnsi="Verdana" w:cs="Arial"/>
          <w:bCs/>
          <w:lang w:val="es-MX" w:eastAsia="x-none"/>
        </w:rPr>
        <w:t xml:space="preserve">. De ahí que la Corte haya señalado que las excepciones a la restricción protegen diversos tipos de </w:t>
      </w:r>
      <w:r w:rsidRPr="0012682A">
        <w:rPr>
          <w:rFonts w:ascii="Verdana" w:hAnsi="Verdana" w:cs="Arial"/>
          <w:bCs/>
          <w:lang w:val="es-MX" w:eastAsia="x-none"/>
        </w:rPr>
        <w:lastRenderedPageBreak/>
        <w:t>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5"/>
    </w:p>
    <w:p w14:paraId="7DA16638" w14:textId="77777777" w:rsidR="00A5721F" w:rsidRPr="0012682A" w:rsidRDefault="00A5721F" w:rsidP="00A5721F">
      <w:pPr>
        <w:spacing w:after="0" w:line="276" w:lineRule="auto"/>
        <w:ind w:firstLine="708"/>
        <w:jc w:val="both"/>
        <w:rPr>
          <w:rFonts w:ascii="Verdana" w:hAnsi="Verdana" w:cs="Arial"/>
          <w:bCs/>
          <w:lang w:val="es-MX" w:eastAsia="x-none"/>
        </w:rPr>
      </w:pPr>
    </w:p>
    <w:p w14:paraId="33DB794A" w14:textId="77777777" w:rsidR="00A5721F" w:rsidRPr="0012682A" w:rsidRDefault="00A5721F" w:rsidP="00A5721F">
      <w:pPr>
        <w:spacing w:after="0" w:line="276" w:lineRule="auto"/>
        <w:jc w:val="both"/>
        <w:rPr>
          <w:rFonts w:ascii="Verdana" w:hAnsi="Verdana" w:cs="Arial"/>
          <w:bCs/>
          <w:lang w:val="es-MX" w:eastAsia="x-none"/>
        </w:rPr>
      </w:pPr>
      <w:proofErr w:type="spellStart"/>
      <w:r w:rsidRPr="0012682A">
        <w:rPr>
          <w:rFonts w:ascii="Verdana" w:eastAsia="Arial" w:hAnsi="Verdana" w:cs="Arial"/>
          <w:lang w:val="es-MX" w:eastAsia="es-ES" w:bidi="es-ES"/>
        </w:rPr>
        <w:t>iii</w:t>
      </w:r>
      <w:proofErr w:type="spellEnd"/>
      <w:r w:rsidRPr="0012682A">
        <w:rPr>
          <w:rFonts w:ascii="Verdana" w:eastAsia="Arial" w:hAnsi="Verdana" w:cs="Arial"/>
          <w:lang w:val="es-MX" w:eastAsia="es-ES" w:bidi="es-ES"/>
        </w:rPr>
        <w:t xml:space="preserve">. </w:t>
      </w:r>
      <w:r w:rsidRPr="0012682A">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12682A">
        <w:rPr>
          <w:rFonts w:ascii="Verdana" w:hAnsi="Verdana" w:cs="Arial"/>
          <w:lang w:val="es-MX"/>
        </w:rPr>
        <w:t xml:space="preserve"> </w:t>
      </w:r>
      <w:r w:rsidRPr="0012682A">
        <w:rPr>
          <w:rFonts w:ascii="Verdana" w:hAnsi="Verdana" w:cs="Arial"/>
          <w:bCs/>
          <w:lang w:val="es-MX" w:eastAsia="x-none"/>
        </w:rPr>
        <w:t>En efecto, tal como lo ha sostenido el Consejo de Estado, el vocablo “todos” utilizado por el legislador comprende</w:t>
      </w:r>
      <w:r w:rsidRPr="0012682A">
        <w:rPr>
          <w:rFonts w:ascii="Verdana" w:hAnsi="Verdana" w:cs="Arial"/>
          <w:lang w:val="es-MX"/>
        </w:rPr>
        <w:t xml:space="preserve"> </w:t>
      </w:r>
      <w:r w:rsidRPr="0012682A">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05C8EAF8" w14:textId="77777777" w:rsidR="00A5721F" w:rsidRPr="0012682A" w:rsidRDefault="00A5721F" w:rsidP="00A5721F">
      <w:pPr>
        <w:spacing w:after="0" w:line="276" w:lineRule="auto"/>
        <w:ind w:firstLine="708"/>
        <w:jc w:val="both"/>
        <w:rPr>
          <w:rFonts w:ascii="Verdana" w:hAnsi="Verdana" w:cs="Arial"/>
          <w:bCs/>
          <w:lang w:val="es-MX" w:eastAsia="x-none"/>
        </w:rPr>
      </w:pPr>
    </w:p>
    <w:p w14:paraId="07EAF2D4" w14:textId="77777777" w:rsidR="00A5721F" w:rsidRPr="0012682A" w:rsidRDefault="00A5721F" w:rsidP="00A5721F">
      <w:pPr>
        <w:spacing w:after="0" w:line="240" w:lineRule="auto"/>
        <w:ind w:left="708" w:right="709"/>
        <w:jc w:val="both"/>
        <w:rPr>
          <w:rFonts w:ascii="Verdana" w:hAnsi="Verdana" w:cs="Arial"/>
          <w:bCs/>
          <w:sz w:val="20"/>
          <w:szCs w:val="20"/>
          <w:lang w:val="es-MX" w:eastAsia="es-CO"/>
        </w:rPr>
      </w:pPr>
      <w:r w:rsidRPr="0012682A">
        <w:rPr>
          <w:rFonts w:ascii="Verdana" w:hAnsi="Verdana" w:cs="Arial"/>
          <w:bCs/>
          <w:sz w:val="20"/>
          <w:szCs w:val="20"/>
          <w:lang w:val="es-MX" w:eastAsia="x-none"/>
        </w:rPr>
        <w:t xml:space="preserve">“El artículo 33 de la ley 996 de 2005, </w:t>
      </w:r>
      <w:bookmarkStart w:id="16" w:name="_Hlk75787147"/>
      <w:r w:rsidRPr="0012682A">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12682A">
        <w:rPr>
          <w:rFonts w:ascii="Verdana" w:hAnsi="Verdana" w:cs="Arial"/>
          <w:bCs/>
          <w:sz w:val="20"/>
          <w:szCs w:val="20"/>
          <w:vertAlign w:val="superscript"/>
          <w:lang w:val="es-MX" w:eastAsia="x-none"/>
        </w:rPr>
        <w:footnoteReference w:id="20"/>
      </w:r>
      <w:r w:rsidRPr="0012682A">
        <w:rPr>
          <w:rFonts w:ascii="Verdana" w:hAnsi="Verdana" w:cs="Arial"/>
          <w:bCs/>
          <w:sz w:val="20"/>
          <w:szCs w:val="20"/>
          <w:lang w:val="es-MX" w:eastAsia="x-none"/>
        </w:rPr>
        <w:t>.</w:t>
      </w:r>
      <w:r w:rsidRPr="0012682A">
        <w:rPr>
          <w:rFonts w:ascii="Verdana" w:hAnsi="Verdana" w:cs="Arial"/>
          <w:bCs/>
          <w:sz w:val="20"/>
          <w:szCs w:val="20"/>
          <w:lang w:val="es-MX" w:eastAsia="es-CO"/>
        </w:rPr>
        <w:t xml:space="preserve"> </w:t>
      </w:r>
    </w:p>
    <w:p w14:paraId="5B727479" w14:textId="77777777" w:rsidR="00A5721F" w:rsidRPr="0012682A" w:rsidRDefault="00A5721F" w:rsidP="00A5721F">
      <w:pPr>
        <w:spacing w:after="0" w:line="276" w:lineRule="auto"/>
        <w:ind w:firstLine="708"/>
        <w:jc w:val="both"/>
        <w:rPr>
          <w:rFonts w:ascii="Verdana" w:hAnsi="Verdana" w:cs="Arial"/>
          <w:bCs/>
          <w:lang w:val="es-MX" w:eastAsia="es-CO"/>
        </w:rPr>
      </w:pPr>
    </w:p>
    <w:p w14:paraId="50EB2E68" w14:textId="77777777" w:rsidR="00A5721F" w:rsidRPr="0012682A" w:rsidRDefault="00A5721F" w:rsidP="00A5721F">
      <w:pPr>
        <w:spacing w:after="0" w:line="276" w:lineRule="auto"/>
        <w:ind w:firstLine="708"/>
        <w:jc w:val="both"/>
        <w:rPr>
          <w:rFonts w:ascii="Verdana" w:hAnsi="Verdana" w:cs="Arial"/>
          <w:lang w:val="es-MX"/>
        </w:rPr>
      </w:pPr>
      <w:r w:rsidRPr="0012682A">
        <w:rPr>
          <w:rFonts w:ascii="Verdana" w:hAnsi="Verdana" w:cs="Arial"/>
          <w:bCs/>
          <w:lang w:val="es-MX" w:eastAsia="x-none"/>
        </w:rPr>
        <w:t xml:space="preserve">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w:t>
      </w:r>
      <w:r w:rsidRPr="0012682A">
        <w:rPr>
          <w:rFonts w:ascii="Verdana" w:hAnsi="Verdana" w:cs="Arial"/>
          <w:bCs/>
          <w:lang w:val="es-MX" w:eastAsia="x-none"/>
        </w:rPr>
        <w:lastRenderedPageBreak/>
        <w:t>interadministrativo sea ordenada, para ambas partes, por el Legislador”</w:t>
      </w:r>
      <w:bookmarkStart w:id="17" w:name="_Hlk75758868"/>
      <w:bookmarkStart w:id="18" w:name="_Hlk75741220"/>
      <w:r w:rsidRPr="0012682A">
        <w:rPr>
          <w:rFonts w:ascii="Verdana" w:hAnsi="Verdana" w:cs="Arial"/>
          <w:vertAlign w:val="superscript"/>
          <w:lang w:val="es-MX"/>
        </w:rPr>
        <w:footnoteReference w:id="21"/>
      </w:r>
      <w:bookmarkEnd w:id="17"/>
      <w:bookmarkEnd w:id="18"/>
      <w:r w:rsidRPr="0012682A">
        <w:rPr>
          <w:rFonts w:ascii="Verdana" w:hAnsi="Verdana" w:cs="Arial"/>
          <w:bCs/>
          <w:lang w:val="es-MX" w:eastAsia="x-none"/>
        </w:rPr>
        <w:t>.</w:t>
      </w:r>
      <w:r w:rsidRPr="0012682A">
        <w:rPr>
          <w:rFonts w:ascii="Verdana" w:hAnsi="Verdana" w:cs="Arial"/>
          <w:lang w:val="es-MX"/>
        </w:rPr>
        <w:t xml:space="preserve"> Sin embargo, debe precisarse el siguiente aspecto que distinguió la Sala de Consulta y Servicio Civil:</w:t>
      </w:r>
    </w:p>
    <w:p w14:paraId="69602D8F" w14:textId="77777777" w:rsidR="00A5721F" w:rsidRPr="0012682A" w:rsidRDefault="00A5721F" w:rsidP="00A5721F">
      <w:pPr>
        <w:spacing w:after="0" w:line="276" w:lineRule="auto"/>
        <w:jc w:val="both"/>
        <w:rPr>
          <w:rFonts w:ascii="Verdana" w:hAnsi="Verdana" w:cs="Arial"/>
          <w:lang w:val="es-MX"/>
        </w:rPr>
      </w:pPr>
    </w:p>
    <w:p w14:paraId="29C0C8BA" w14:textId="77777777" w:rsidR="00A5721F" w:rsidRPr="0012682A" w:rsidRDefault="00A5721F" w:rsidP="00A5721F">
      <w:pPr>
        <w:spacing w:after="0" w:line="240" w:lineRule="auto"/>
        <w:ind w:left="708" w:right="709"/>
        <w:jc w:val="both"/>
        <w:rPr>
          <w:rFonts w:ascii="Verdana" w:hAnsi="Verdana" w:cs="Arial"/>
          <w:sz w:val="20"/>
          <w:szCs w:val="20"/>
          <w:lang w:val="es-MX"/>
        </w:rPr>
      </w:pPr>
      <w:bookmarkStart w:id="20" w:name="_Hlk75811446"/>
      <w:r w:rsidRPr="0012682A">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20"/>
    </w:p>
    <w:p w14:paraId="63E1521F" w14:textId="77777777" w:rsidR="00A5721F" w:rsidRPr="0012682A" w:rsidRDefault="00A5721F" w:rsidP="00A5721F">
      <w:pPr>
        <w:spacing w:after="0" w:line="240" w:lineRule="auto"/>
        <w:ind w:left="708" w:right="709"/>
        <w:jc w:val="both"/>
        <w:rPr>
          <w:rFonts w:ascii="Verdana" w:hAnsi="Verdana" w:cs="Arial"/>
          <w:sz w:val="20"/>
          <w:szCs w:val="20"/>
          <w:lang w:val="es-MX"/>
        </w:rPr>
      </w:pPr>
    </w:p>
    <w:p w14:paraId="56186533" w14:textId="77777777" w:rsidR="00A5721F" w:rsidRPr="0012682A" w:rsidRDefault="00A5721F" w:rsidP="00A5721F">
      <w:pPr>
        <w:spacing w:after="0" w:line="240" w:lineRule="auto"/>
        <w:ind w:left="708" w:right="709"/>
        <w:jc w:val="both"/>
        <w:rPr>
          <w:rFonts w:ascii="Verdana" w:eastAsia="Calibri" w:hAnsi="Verdana" w:cs="Arial"/>
          <w:sz w:val="20"/>
          <w:szCs w:val="20"/>
          <w:lang w:val="es-MX"/>
        </w:rPr>
      </w:pPr>
      <w:r w:rsidRPr="0012682A">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2682A">
        <w:rPr>
          <w:rFonts w:ascii="Verdana" w:eastAsia="Calibri" w:hAnsi="Verdana" w:cs="Arial"/>
          <w:sz w:val="20"/>
          <w:szCs w:val="20"/>
          <w:vertAlign w:val="superscript"/>
          <w:lang w:val="es-MX"/>
        </w:rPr>
        <w:footnoteReference w:id="22"/>
      </w:r>
      <w:r w:rsidRPr="0012682A">
        <w:rPr>
          <w:rFonts w:ascii="Verdana" w:eastAsia="Times New Roman" w:hAnsi="Verdana" w:cs="Arial"/>
          <w:bCs/>
          <w:sz w:val="20"/>
          <w:szCs w:val="20"/>
          <w:lang w:val="es-MX" w:eastAsia="x-none"/>
        </w:rPr>
        <w:t>.</w:t>
      </w:r>
    </w:p>
    <w:p w14:paraId="00EF2BA0" w14:textId="77777777" w:rsidR="00A5721F" w:rsidRPr="0012682A" w:rsidRDefault="00A5721F" w:rsidP="00A5721F">
      <w:pPr>
        <w:spacing w:after="120" w:line="276" w:lineRule="auto"/>
        <w:ind w:firstLine="709"/>
        <w:jc w:val="both"/>
        <w:rPr>
          <w:rFonts w:ascii="Verdana" w:hAnsi="Verdana" w:cs="Arial"/>
          <w:lang w:val="es-MX"/>
        </w:rPr>
      </w:pPr>
    </w:p>
    <w:p w14:paraId="72694149" w14:textId="77777777" w:rsidR="00A5721F" w:rsidRPr="0012682A" w:rsidRDefault="00A5721F" w:rsidP="00A5721F">
      <w:pPr>
        <w:spacing w:after="120" w:line="276" w:lineRule="auto"/>
        <w:ind w:firstLine="709"/>
        <w:jc w:val="both"/>
        <w:rPr>
          <w:rFonts w:ascii="Verdana" w:eastAsia="Times New Roman" w:hAnsi="Verdana" w:cs="Arial"/>
          <w:lang w:eastAsia="es-CO"/>
        </w:rPr>
      </w:pPr>
      <w:r w:rsidRPr="0012682A">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w:t>
      </w:r>
      <w:r w:rsidRPr="0012682A">
        <w:rPr>
          <w:rFonts w:ascii="Verdana" w:eastAsia="Calibri" w:hAnsi="Verdana" w:cs="Arial"/>
          <w:lang w:val="es-MX"/>
        </w:rPr>
        <w:lastRenderedPageBreak/>
        <w:t xml:space="preserve">domiciliarios, los </w:t>
      </w:r>
      <w:r w:rsidRPr="0012682A">
        <w:rPr>
          <w:rFonts w:ascii="Verdana" w:eastAsia="Times New Roman" w:hAnsi="Verdana" w:cs="Arial"/>
          <w:bCs/>
          <w:lang w:val="es-MX" w:eastAsia="x-none"/>
        </w:rPr>
        <w:t>establecimientos de crédito, las sociedades de servicios financieros y las entidades aseguradoras</w:t>
      </w:r>
      <w:r w:rsidRPr="0012682A">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2682A">
        <w:rPr>
          <w:rFonts w:ascii="Verdana" w:eastAsia="Calibri" w:hAnsi="Verdana" w:cs="Arial"/>
          <w:vertAlign w:val="superscript"/>
          <w:lang w:val="es-MX"/>
        </w:rPr>
        <w:footnoteReference w:id="23"/>
      </w:r>
      <w:r w:rsidRPr="0012682A">
        <w:rPr>
          <w:rFonts w:ascii="Verdana" w:eastAsia="Calibri" w:hAnsi="Verdana" w:cs="Arial"/>
          <w:lang w:val="es-MX"/>
        </w:rPr>
        <w:t>.</w:t>
      </w:r>
      <w:r w:rsidRPr="0012682A">
        <w:rPr>
          <w:rFonts w:ascii="Verdana" w:eastAsia="Times New Roman" w:hAnsi="Verdana" w:cs="Arial"/>
          <w:lang w:eastAsia="es-CO"/>
        </w:rPr>
        <w:t xml:space="preserve"> </w:t>
      </w:r>
    </w:p>
    <w:p w14:paraId="4AFA7525" w14:textId="77777777" w:rsidR="00A5721F" w:rsidRPr="0012682A" w:rsidRDefault="00A5721F" w:rsidP="00A5721F">
      <w:pPr>
        <w:spacing w:after="120" w:line="276" w:lineRule="auto"/>
        <w:ind w:firstLine="709"/>
        <w:jc w:val="both"/>
        <w:rPr>
          <w:rFonts w:ascii="Verdana" w:eastAsia="Times New Roman" w:hAnsi="Verdana" w:cs="Arial"/>
          <w:bCs/>
          <w:lang w:eastAsia="x-none"/>
        </w:rPr>
      </w:pPr>
      <w:r w:rsidRPr="0012682A">
        <w:rPr>
          <w:rFonts w:ascii="Verdana" w:eastAsia="Times New Roman" w:hAnsi="Verdana" w:cs="Arial"/>
          <w:bCs/>
          <w:lang w:val="es-MX" w:eastAsia="x-none"/>
        </w:rPr>
        <w:t xml:space="preserve">Así las cosas, como lo señala la Circular Externa No. 006 de 2025 en el literal i) del numeral 1, </w:t>
      </w:r>
      <w:bookmarkEnd w:id="16"/>
      <w:r w:rsidRPr="0012682A">
        <w:rPr>
          <w:rFonts w:ascii="Verdana" w:eastAsia="Times New Roman" w:hAnsi="Verdana" w:cs="Arial"/>
          <w:bCs/>
          <w:lang w:eastAsia="x-none"/>
        </w:rPr>
        <w:t>algunos ejemplos de los sujetos que tienen prohibido contratar directamente durante el periodo señalado en el artículo 33 son: las Entidades Estatales establecidas en el artículo 2 de la Ley 80 de 1993; las entidades descentralizadas indirectas, es decir, las que surgen por la voluntad asociativa de los entes públicos entre sí o con la intervención de particulares, como las derivadas de los artículos 95 y 96 de la Ley 489 de 1998; las empresas industriales y comerciales del Estado y las Sociedades de Economía Mixta, salvo cuando la celebración de un convenio interadministrativo sea ordenada, para ambas partes, por el Legislador; las Empresas de Servicios Públicos oficiales y mixtas; las Empresas Sociales del Estado; los entes universitarios autónomos, entre otros.</w:t>
      </w:r>
    </w:p>
    <w:p w14:paraId="056CF9EA" w14:textId="77777777" w:rsidR="00A5721F" w:rsidRPr="0012682A" w:rsidRDefault="00A5721F" w:rsidP="00A5721F">
      <w:pPr>
        <w:spacing w:after="120" w:line="276" w:lineRule="auto"/>
        <w:jc w:val="both"/>
        <w:rPr>
          <w:rFonts w:ascii="Verdana" w:hAnsi="Verdana" w:cs="Arial"/>
        </w:rPr>
      </w:pPr>
      <w:proofErr w:type="spellStart"/>
      <w:r w:rsidRPr="0012682A">
        <w:rPr>
          <w:rFonts w:ascii="Verdana" w:hAnsi="Verdana" w:cs="Arial"/>
          <w:bCs/>
          <w:lang w:val="es-MX" w:eastAsia="x-none"/>
        </w:rPr>
        <w:t>iv</w:t>
      </w:r>
      <w:proofErr w:type="spellEnd"/>
      <w:r w:rsidRPr="0012682A">
        <w:rPr>
          <w:rFonts w:ascii="Verdana" w:hAnsi="Verdana" w:cs="Arial"/>
          <w:bCs/>
          <w:lang w:val="es-MX" w:eastAsia="x-none"/>
        </w:rPr>
        <w:t xml:space="preserve">. </w:t>
      </w:r>
      <w:r w:rsidRPr="0012682A">
        <w:rPr>
          <w:rFonts w:ascii="Verdana" w:hAnsi="Verdana" w:cs="Arial"/>
        </w:rPr>
        <w:t xml:space="preserve">Tratándose de los patrimonios autónomos constituidos por entidades estatales, es necesario tener en cuenta que la naturaleza jurídica del fideicomitente no se traslada </w:t>
      </w:r>
      <w:r w:rsidRPr="0012682A">
        <w:rPr>
          <w:rFonts w:ascii="Verdana" w:hAnsi="Verdana" w:cs="Arial"/>
          <w:i/>
          <w:iCs/>
        </w:rPr>
        <w:t>ipso iure</w:t>
      </w:r>
      <w:r w:rsidRPr="0012682A">
        <w:rPr>
          <w:rFonts w:ascii="Verdana" w:hAnsi="Verdana" w:cs="Arial"/>
        </w:rPr>
        <w:t xml:space="preserve"> a los bienes fideicomitidos que administra la sociedad fiduciaria. Por ello, el inciso primero del artículo 2.5.2.1.1 del Decreto 2555 de 2010 dispone que “[…] aun cuando no son personas jurídicas, se constituyen en receptores de los derechos y obligaciones legales y convencionalmente derivados de los actos y contratos celebrados y ejecutados por el fiduciario en cumplimiento del contrato de fiducia”.</w:t>
      </w:r>
    </w:p>
    <w:p w14:paraId="40BC47F2" w14:textId="77777777" w:rsidR="00A5721F" w:rsidRPr="0012682A" w:rsidRDefault="00A5721F" w:rsidP="00A5721F">
      <w:pPr>
        <w:spacing w:after="0" w:line="276" w:lineRule="auto"/>
        <w:ind w:firstLine="709"/>
        <w:jc w:val="both"/>
        <w:rPr>
          <w:rFonts w:ascii="Verdana" w:hAnsi="Verdana" w:cs="Arial"/>
        </w:rPr>
      </w:pPr>
      <w:r w:rsidRPr="0012682A">
        <w:rPr>
          <w:rFonts w:ascii="Verdana" w:hAnsi="Verdana" w:cs="Arial"/>
        </w:rPr>
        <w:t xml:space="preserve">En esta medida, conforme a los artículos 1226 y 1233 del Código de Comercio, el patrimonio autónomo es un centro de imputación de derechos y obligaciones afecto a la finalidad contemplada en el acto constitutivo, de carácter temporal y totalmente diferente a la persona que lo origina –fiduciante, </w:t>
      </w:r>
      <w:r w:rsidRPr="0012682A">
        <w:rPr>
          <w:rFonts w:ascii="Verdana" w:hAnsi="Verdana" w:cs="Arial"/>
        </w:rPr>
        <w:lastRenderedPageBreak/>
        <w:t>fideicomitente o constituyente–, quien lo administra –fiduciario– y quien habrá de recibirlo –fideicomisario o beneficiario–. Al respecto, la Superintendencia Financiera considera que:</w:t>
      </w:r>
    </w:p>
    <w:p w14:paraId="1220E2C3" w14:textId="77777777" w:rsidR="00A5721F" w:rsidRPr="0012682A" w:rsidRDefault="00A5721F" w:rsidP="00A5721F">
      <w:pPr>
        <w:spacing w:after="0" w:line="276" w:lineRule="auto"/>
        <w:ind w:firstLine="709"/>
        <w:jc w:val="both"/>
        <w:rPr>
          <w:rFonts w:ascii="Verdana" w:hAnsi="Verdana" w:cs="Arial"/>
        </w:rPr>
      </w:pPr>
    </w:p>
    <w:p w14:paraId="12A81022" w14:textId="77777777" w:rsidR="00A5721F" w:rsidRPr="0012682A" w:rsidRDefault="00A5721F" w:rsidP="00A5721F">
      <w:pPr>
        <w:spacing w:after="120" w:line="240" w:lineRule="auto"/>
        <w:ind w:left="709" w:right="709"/>
        <w:jc w:val="both"/>
        <w:rPr>
          <w:rFonts w:ascii="Verdana" w:hAnsi="Verdana" w:cs="Arial"/>
          <w:sz w:val="20"/>
          <w:szCs w:val="20"/>
        </w:rPr>
      </w:pPr>
      <w:r w:rsidRPr="0012682A">
        <w:rPr>
          <w:rFonts w:ascii="Verdana" w:hAnsi="Verdana" w:cs="Arial"/>
          <w:sz w:val="20"/>
          <w:szCs w:val="20"/>
        </w:rPr>
        <w:t xml:space="preserve">“[…] el negocio fiduciario […] supone una transferencia de bienes por parte de un constituyente para que con ellos se cumpla una finalidad. Ese conjunto de bienes transferidos a una fiduciaria es lo que conforma o se denomina patrimonio autónomo. Dichos bienes salen real y jurídicamente del patrimonio del fideicomitente (titular del dominio) y están afectos al cumplimiento de las finalidades señaladas en el acto constitutivo. (artículos 1226 a 1244 del C. Co). </w:t>
      </w:r>
    </w:p>
    <w:p w14:paraId="547FB228" w14:textId="77777777" w:rsidR="00A5721F" w:rsidRPr="0012682A" w:rsidRDefault="00A5721F" w:rsidP="00A5721F">
      <w:pPr>
        <w:spacing w:after="0" w:line="240" w:lineRule="auto"/>
        <w:ind w:left="709" w:right="709"/>
        <w:jc w:val="both"/>
        <w:rPr>
          <w:rFonts w:ascii="Verdana" w:hAnsi="Verdana" w:cs="Arial"/>
          <w:sz w:val="21"/>
          <w:szCs w:val="21"/>
        </w:rPr>
      </w:pPr>
      <w:r w:rsidRPr="0012682A">
        <w:rPr>
          <w:rFonts w:ascii="Verdana" w:hAnsi="Verdana" w:cs="Arial"/>
          <w:sz w:val="20"/>
          <w:szCs w:val="20"/>
        </w:rPr>
        <w:t>Los bienes recibidos en fideicomiso, es decir que conforman el patrimonio autónomo no pueden confundirse con los bienes del fiduciario, luego deben estar separados de los que integran los activos de la fiduciaria, son excluidos de la garantía general de los acreedores del fiduciario y fideicomitente y garantizan las obligaciones que contraiga el patrimonio autónomo en el logro de la finalidad de la fiducia”</w:t>
      </w:r>
      <w:r w:rsidRPr="0012682A">
        <w:rPr>
          <w:rFonts w:ascii="Verdana" w:hAnsi="Verdana" w:cs="Arial"/>
          <w:sz w:val="20"/>
          <w:szCs w:val="20"/>
          <w:vertAlign w:val="superscript"/>
        </w:rPr>
        <w:footnoteReference w:id="24"/>
      </w:r>
      <w:r w:rsidRPr="0012682A">
        <w:rPr>
          <w:rFonts w:ascii="Verdana" w:hAnsi="Verdana" w:cs="Arial"/>
          <w:sz w:val="20"/>
          <w:szCs w:val="20"/>
        </w:rPr>
        <w:t>.</w:t>
      </w:r>
      <w:r w:rsidRPr="0012682A">
        <w:rPr>
          <w:rFonts w:ascii="Verdana" w:hAnsi="Verdana" w:cs="Arial"/>
          <w:sz w:val="21"/>
          <w:szCs w:val="21"/>
        </w:rPr>
        <w:t xml:space="preserve"> </w:t>
      </w:r>
    </w:p>
    <w:p w14:paraId="41E27F26" w14:textId="77777777" w:rsidR="00A5721F" w:rsidRPr="0012682A" w:rsidRDefault="00A5721F" w:rsidP="00A5721F">
      <w:pPr>
        <w:spacing w:after="0" w:line="276" w:lineRule="auto"/>
        <w:ind w:left="709" w:right="709"/>
        <w:jc w:val="both"/>
        <w:rPr>
          <w:rFonts w:ascii="Verdana" w:hAnsi="Verdana" w:cs="Arial"/>
        </w:rPr>
      </w:pPr>
      <w:r w:rsidRPr="0012682A">
        <w:rPr>
          <w:rFonts w:ascii="Verdana" w:hAnsi="Verdana" w:cs="Arial"/>
        </w:rPr>
        <w:t xml:space="preserve">   </w:t>
      </w:r>
    </w:p>
    <w:p w14:paraId="2934ADBF" w14:textId="77777777" w:rsidR="00A5721F" w:rsidRPr="0012682A" w:rsidRDefault="00A5721F" w:rsidP="00A5721F">
      <w:pPr>
        <w:spacing w:after="120" w:line="276" w:lineRule="auto"/>
        <w:ind w:firstLine="708"/>
        <w:jc w:val="both"/>
        <w:rPr>
          <w:rFonts w:ascii="Verdana" w:hAnsi="Verdana" w:cs="Arial"/>
        </w:rPr>
      </w:pPr>
      <w:r w:rsidRPr="0012682A">
        <w:rPr>
          <w:rFonts w:ascii="Verdana" w:hAnsi="Verdana" w:cs="Arial"/>
        </w:rPr>
        <w:t>De acuerdo con lo anterior, es importante separar los patrimonios del fiduciante y la fiduciaria del patrimonio autónomo constituido con ocasión del contrato de fiducia, puesto que cada uno de ellos deberá responder por sus propias obligaciones. Por tanto, el patrimonio autónomo solo será responsable por las obligaciones que se contraigan por el logro de la finalidad para la cual fue entregado en administración y nunca por las obligaciones derivadas del cumplimiento del objeto social de la entidad fiduciaria ni por las que haya adquirido el fiduciante. En esta medida, los patrimonios autónomos no pueden considerarse como entidades del Estado, pues derivan de negocios fiduciarios conformados por un conjunto de bienes para el cumplimiento de un objetivo específico que se expresa en el acto de constitución.</w:t>
      </w:r>
    </w:p>
    <w:p w14:paraId="64FA432A" w14:textId="77777777" w:rsidR="00A5721F" w:rsidRPr="0012682A" w:rsidRDefault="00A5721F" w:rsidP="00A5721F">
      <w:pPr>
        <w:spacing w:after="0" w:line="276" w:lineRule="auto"/>
        <w:ind w:firstLine="708"/>
        <w:jc w:val="both"/>
        <w:rPr>
          <w:rFonts w:ascii="Verdana" w:hAnsi="Verdana" w:cs="Arial"/>
        </w:rPr>
      </w:pPr>
      <w:proofErr w:type="gramStart"/>
      <w:r w:rsidRPr="0012682A">
        <w:rPr>
          <w:rFonts w:ascii="Verdana" w:hAnsi="Verdana" w:cs="Arial"/>
        </w:rPr>
        <w:t>A pesar que</w:t>
      </w:r>
      <w:proofErr w:type="gramEnd"/>
      <w:r w:rsidRPr="0012682A">
        <w:rPr>
          <w:rFonts w:ascii="Verdana" w:hAnsi="Verdana" w:cs="Arial"/>
        </w:rPr>
        <w:t xml:space="preserve"> el patrimonio autónomo no es una entidad estatal, ello no justifica por sí solo inaplicar la prohibición del artículo 33 de la Ley de Garantías. Entender lo contrario implicaría que, con el objetivo de eludir la restricción, sería posible celebrar negocios fiduciarios para que el representante del patrimonio autónomo suscribiera los contratos que no pueda adelantar por sí misma la entidad fideicomitente. Esta consecuencia es inaceptable, pues es contraria la </w:t>
      </w:r>
      <w:r w:rsidRPr="0012682A">
        <w:rPr>
          <w:rFonts w:ascii="Verdana" w:hAnsi="Verdana" w:cs="Arial"/>
        </w:rPr>
        <w:lastRenderedPageBreak/>
        <w:t>finalidad de la Ley de Garantías, razón por la cual la Agencia –en el Concepto 4201713000006681 de 2018– consideró que:</w:t>
      </w:r>
    </w:p>
    <w:p w14:paraId="6FEF86BC" w14:textId="77777777" w:rsidR="00A5721F" w:rsidRPr="0012682A" w:rsidRDefault="00A5721F" w:rsidP="00A5721F">
      <w:pPr>
        <w:spacing w:after="0" w:line="276" w:lineRule="auto"/>
        <w:ind w:firstLine="708"/>
        <w:jc w:val="both"/>
        <w:rPr>
          <w:rFonts w:ascii="Verdana" w:hAnsi="Verdana" w:cs="Arial"/>
        </w:rPr>
      </w:pPr>
    </w:p>
    <w:p w14:paraId="5310CA64" w14:textId="77777777" w:rsidR="00A5721F" w:rsidRPr="0012682A" w:rsidRDefault="00A5721F" w:rsidP="00A5721F">
      <w:pPr>
        <w:spacing w:after="0" w:line="240" w:lineRule="auto"/>
        <w:ind w:left="709" w:right="709"/>
        <w:jc w:val="both"/>
        <w:rPr>
          <w:rFonts w:ascii="Verdana" w:hAnsi="Verdana" w:cs="Arial"/>
          <w:sz w:val="20"/>
          <w:szCs w:val="20"/>
        </w:rPr>
      </w:pPr>
      <w:r w:rsidRPr="0012682A">
        <w:rPr>
          <w:rFonts w:ascii="Verdana" w:hAnsi="Verdana" w:cs="Arial"/>
          <w:sz w:val="20"/>
          <w:szCs w:val="20"/>
        </w:rPr>
        <w:t>“La constitución de patrimonios autónomos en virtud de una fiducia mercantil no podrá transgredir preceptos legales ni podrán ser instrumentos con los cuales se omitan las restricciones para celebrar contratos a las que se encuentren sujetas las Entidades fideicomitentes, ya que con su constitución no se desnaturalizan los recursos con los cuales se conforma el patrimonio autónomo ni se desvincula el poder de direccionamiento y decisión que podría ejercer el Ente del Estado en la contratación derivada de dicho patrimonio, capaz de influir en la voluntad del electorado […]”.</w:t>
      </w:r>
    </w:p>
    <w:p w14:paraId="46312DFA" w14:textId="77777777" w:rsidR="00A5721F" w:rsidRPr="0012682A" w:rsidRDefault="00A5721F" w:rsidP="00A5721F">
      <w:pPr>
        <w:spacing w:after="0" w:line="276" w:lineRule="auto"/>
        <w:jc w:val="both"/>
        <w:rPr>
          <w:rFonts w:ascii="Verdana" w:hAnsi="Verdana" w:cs="Arial"/>
        </w:rPr>
      </w:pPr>
    </w:p>
    <w:p w14:paraId="67BDACE1" w14:textId="77777777" w:rsidR="00A5721F" w:rsidRPr="0012682A" w:rsidRDefault="00A5721F" w:rsidP="00A5721F">
      <w:pPr>
        <w:spacing w:after="120" w:line="276" w:lineRule="auto"/>
        <w:ind w:firstLine="708"/>
        <w:jc w:val="both"/>
        <w:rPr>
          <w:rFonts w:ascii="Verdana" w:hAnsi="Verdana" w:cs="Arial"/>
        </w:rPr>
      </w:pPr>
      <w:r w:rsidRPr="0012682A">
        <w:rPr>
          <w:rFonts w:ascii="Verdana" w:hAnsi="Verdana" w:cs="Arial"/>
        </w:rPr>
        <w:t xml:space="preserve">Teniendo en cuenta las preguntas planteadas en la consulta, es necesario recoger esta postura con el fin de ampliar la fundamentación correspondiente. Así, considerando que las restricciones de la Ley de Garantías son de interpretación estricta, la aplicación a otro tipo de sujetos –como las entidades fiduciarias que administran recursos públicos de entidades estatales– debe fundamentarse en las disposiciones que conforman el bloque de legalidad. Esto en la medida que, conforme a las exigencias del debido proceso, no puede existir prohibición sin norma previa.  </w:t>
      </w:r>
    </w:p>
    <w:p w14:paraId="729E2481" w14:textId="77777777" w:rsidR="00A5721F" w:rsidRPr="0012682A" w:rsidRDefault="00A5721F" w:rsidP="00A5721F">
      <w:pPr>
        <w:spacing w:after="120" w:line="276" w:lineRule="auto"/>
        <w:ind w:firstLine="708"/>
        <w:jc w:val="both"/>
        <w:rPr>
          <w:rFonts w:ascii="Verdana" w:hAnsi="Verdana" w:cs="Arial"/>
        </w:rPr>
      </w:pPr>
      <w:r w:rsidRPr="0012682A">
        <w:rPr>
          <w:rFonts w:ascii="Verdana" w:hAnsi="Verdana" w:cs="Arial"/>
        </w:rPr>
        <w:t xml:space="preserve">Para estos efectos, tratándose de las entidades sometidas al Estatuto General de Contratación de la Administración Pública, el artículo 32.5, inciso octavo, de la Ley 80 de 1993 dispone lo siguiente: “La fiducia que se autoriza para el sector público en esta ley, nunca implicará transferencia de dominio sobre bienes o recursos estatales, ni constituirá patrimonio autónomo del propio de la respectiva entidad oficial, sin perjuicio de las responsabilidades propias del ordenador del gasto”. Dado que los bienes fideicomitidos no salen del patrimonio de la entidad estatal, la ley exige que la fiduciaria los administre bajo el mismo régimen jurídico del constituyente. </w:t>
      </w:r>
    </w:p>
    <w:p w14:paraId="37EB50DD" w14:textId="77777777" w:rsidR="00A5721F" w:rsidRPr="0012682A" w:rsidRDefault="00A5721F" w:rsidP="00A5721F">
      <w:pPr>
        <w:spacing w:after="120" w:line="276" w:lineRule="auto"/>
        <w:ind w:firstLine="708"/>
        <w:jc w:val="both"/>
        <w:rPr>
          <w:rFonts w:ascii="Verdana" w:hAnsi="Verdana" w:cs="Arial"/>
        </w:rPr>
      </w:pPr>
      <w:r w:rsidRPr="0012682A">
        <w:rPr>
          <w:rFonts w:ascii="Verdana" w:hAnsi="Verdana" w:cs="Arial"/>
        </w:rPr>
        <w:t xml:space="preserve">Por ello, el inciso quinto </w:t>
      </w:r>
      <w:r w:rsidRPr="0012682A">
        <w:rPr>
          <w:rFonts w:ascii="Verdana" w:hAnsi="Verdana" w:cs="Arial"/>
          <w:i/>
          <w:iCs/>
        </w:rPr>
        <w:t>ibidem</w:t>
      </w:r>
      <w:r w:rsidRPr="0012682A">
        <w:rPr>
          <w:rFonts w:ascii="Verdana" w:hAnsi="Verdana" w:cs="Arial"/>
        </w:rPr>
        <w:t xml:space="preserve"> también prescribe que “Los actos y contratos que se realicen en desarrollo de un contrato de fiducia pública o encargo fiduciario cumplirán estrictamente con las normas previstas en este estatuto, así como con las disposiciones fiscales, presupuestales, de interventoría y de control a las cuales esté sujeta la entidad estatal fideicomitente”. De esta manera, teniendo en cuenta que la prohibición establecida en el artículo 33 de la Ley de Garantías es una norma a la cual están </w:t>
      </w:r>
      <w:r w:rsidRPr="0012682A">
        <w:rPr>
          <w:rFonts w:ascii="Verdana" w:hAnsi="Verdana" w:cs="Arial"/>
        </w:rPr>
        <w:lastRenderedPageBreak/>
        <w:t xml:space="preserve">sujetos los contratos que puede celebrar la entidad fideicomitente, la restricción también se extendería a la sociedad fiduciaria en virtud de la disposición indicada, que precisamente extiende distintas disposiciones jurídicas para que resulten aplicables a los actos y contratos que se realicen en desarrollo del contrato de fiducia pública o encargo fiduciario, sin que esta extensión del régimen jurídico se limite a las normas previstas en el EGCAP, sino a las demás señaladas en el inciso citado.  </w:t>
      </w:r>
    </w:p>
    <w:p w14:paraId="598A0C9E" w14:textId="77777777" w:rsidR="00A5721F" w:rsidRPr="0012682A" w:rsidRDefault="00A5721F" w:rsidP="00A5721F">
      <w:pPr>
        <w:spacing w:after="120" w:line="276" w:lineRule="auto"/>
        <w:ind w:firstLine="708"/>
        <w:jc w:val="both"/>
        <w:rPr>
          <w:rFonts w:ascii="Verdana" w:hAnsi="Verdana" w:cs="Arial"/>
        </w:rPr>
      </w:pPr>
      <w:r w:rsidRPr="0012682A">
        <w:rPr>
          <w:rFonts w:ascii="Verdana" w:hAnsi="Verdana" w:cs="Arial"/>
        </w:rPr>
        <w:t>Lo anterior no significa que los patrimonios autónomos constituidos a través de contratos de fiducia mercantil no se rijan por la misma prohibición. En estos casos, especialmente para las entidades exceptuadas de la aplicación del EGCAP que actúen en calidad de constituyentes, es necesario tener en cuenta que el parágrafo d</w:t>
      </w:r>
      <w:bookmarkStart w:id="21" w:name="_Hlk86322055"/>
      <w:r w:rsidRPr="0012682A">
        <w:rPr>
          <w:rFonts w:ascii="Verdana" w:hAnsi="Verdana" w:cs="Arial"/>
        </w:rPr>
        <w:t>el artículo 2.5.2.1.1 del Decreto 2555 de 2010</w:t>
      </w:r>
      <w:bookmarkEnd w:id="21"/>
      <w:r w:rsidRPr="0012682A">
        <w:rPr>
          <w:rFonts w:ascii="Verdana" w:hAnsi="Verdana" w:cs="Arial"/>
        </w:rPr>
        <w:t>, “Por el cual se recogen y reexpiden las normas en materia del sector financiero, asegurador y del mercado de valores y se dictan otras disposiciones”, establece que “El negocio fiduciario no podrá servir de instrumento para realizar actos o contratos que no pueda celebrar directamente el fideicomitente de acuerdo con las disposiciones legales”. Como se deduce del apartado normativo, esta disposición regula el régimen aplicable a las sociedades fiduciarias, especialmente, los derechos y obligaciones de los actos y contratos celebrados y ejecutados por el fiduciario, por lo que es transversal al ordenamiento jurídico, es decir, aplica en todos los contratos de fiducia con independencia de que el constituyente sea o no una entidad sometida a la Ley 80 de 1993.</w:t>
      </w:r>
    </w:p>
    <w:p w14:paraId="2012FD8A" w14:textId="77777777" w:rsidR="00A5721F" w:rsidRPr="0012682A" w:rsidRDefault="00A5721F" w:rsidP="00A5721F">
      <w:pPr>
        <w:spacing w:after="120" w:line="276" w:lineRule="auto"/>
        <w:ind w:firstLine="708"/>
        <w:jc w:val="both"/>
        <w:rPr>
          <w:rFonts w:ascii="Verdana" w:hAnsi="Verdana" w:cs="Arial"/>
        </w:rPr>
      </w:pPr>
      <w:r w:rsidRPr="0012682A">
        <w:rPr>
          <w:rFonts w:ascii="Verdana" w:hAnsi="Verdana" w:cs="Arial"/>
        </w:rPr>
        <w:t xml:space="preserve">Esto último se confirma en el inciso noveno del artículo 32.5 de la Ley 80 de 1993, ya que “A la fiducia pública le serán aplicables las normas del Código de Comercio sobre fiducia mercantil, en cuanto sean compatibles con lo dispuesto en esta ley”. Por lo demás, aunque los encargos fiduciarios no den lugar a un patrimonio autónomo, el citado artículo 2.5.2.1.1 del Decreto 2555 de 2010 también regula esta clase de negocios, pues –conforme al artículo 146.1 del Estatuto Orgánico del Sistema Financiero– “[…] En relación con los encargos fiduciarios  se aplicarán las disposiciones que regulan el contrato de fiducia mercantil, y subsidiariamente las disposiciones del Código de Comercio que regulan el contrato de mandato, en cuanto unas y otras sean compatibles con la naturaleza propia de estos negocios y no se opongan a las reglas especiales previstas en el presente Estatuto”. </w:t>
      </w:r>
    </w:p>
    <w:p w14:paraId="13955F71" w14:textId="77777777" w:rsidR="00A5721F" w:rsidRPr="0012682A" w:rsidRDefault="00A5721F" w:rsidP="00A5721F">
      <w:pPr>
        <w:spacing w:after="0" w:line="276" w:lineRule="auto"/>
        <w:ind w:firstLine="708"/>
        <w:jc w:val="both"/>
        <w:rPr>
          <w:rFonts w:ascii="Verdana" w:hAnsi="Verdana" w:cs="Arial"/>
        </w:rPr>
      </w:pPr>
      <w:r w:rsidRPr="0012682A">
        <w:rPr>
          <w:rFonts w:ascii="Verdana" w:hAnsi="Verdana" w:cs="Arial"/>
        </w:rPr>
        <w:lastRenderedPageBreak/>
        <w:t xml:space="preserve">De esta manera, el artículo 33 de la Ley de Garantías se extiende a las sociedades fiduciarias en virtud del artículo 32.5, inciso quinto, de la Ley 80 de 1993. Con las diferencias en el alcance, de acuerdo con el inciso noveno </w:t>
      </w:r>
      <w:r w:rsidRPr="0012682A">
        <w:rPr>
          <w:rFonts w:ascii="Verdana" w:hAnsi="Verdana" w:cs="Arial"/>
          <w:i/>
          <w:iCs/>
        </w:rPr>
        <w:t>ibidem</w:t>
      </w:r>
      <w:r w:rsidRPr="0012682A">
        <w:rPr>
          <w:rFonts w:ascii="Verdana" w:hAnsi="Verdana" w:cs="Arial"/>
        </w:rPr>
        <w:t>, la misma es congruente con el artículo 2.5.2.1.1 del Decreto 2555 de 2010, el cual rige también en los negocios fiduciarios de las entidades exceptuadas de la aplicación del EGCAP. Por tanto, con independencia del régimen jurídico de la entidad fideicomitente, la prohibición de contratación directa durante la vigencia de la Ley de Garantías también les aplica a las fiduciarias que administran los recursos públicos de los entes del Estado. En este contexto, se reitera que las sociedades fiduciarias no pueden celebrar los contratos en los que las entidades constituyentes tengan alguna restricción, por lo que no son un instrumento para eludir el artículo 33 de la Ley de Garantías. Como explica la doctrina, dado que están prohibidos los negocios fiduciarios realizados en fraude a la ley, la libertad para suscribirlos:</w:t>
      </w:r>
    </w:p>
    <w:p w14:paraId="647B3064" w14:textId="77777777" w:rsidR="00A5721F" w:rsidRPr="0012682A" w:rsidRDefault="00A5721F" w:rsidP="00A5721F">
      <w:pPr>
        <w:spacing w:after="0" w:line="276" w:lineRule="auto"/>
        <w:ind w:firstLine="708"/>
        <w:jc w:val="both"/>
        <w:rPr>
          <w:rFonts w:ascii="Verdana" w:hAnsi="Verdana" w:cs="Arial"/>
        </w:rPr>
      </w:pPr>
      <w:r w:rsidRPr="0012682A">
        <w:rPr>
          <w:rFonts w:ascii="Verdana" w:hAnsi="Verdana" w:cs="Arial"/>
        </w:rPr>
        <w:t xml:space="preserve"> </w:t>
      </w:r>
    </w:p>
    <w:p w14:paraId="64FC4AF6" w14:textId="77777777" w:rsidR="00A5721F" w:rsidRPr="0012682A" w:rsidRDefault="00A5721F" w:rsidP="00A5721F">
      <w:pPr>
        <w:spacing w:after="0" w:line="240" w:lineRule="auto"/>
        <w:ind w:left="709" w:right="709"/>
        <w:jc w:val="both"/>
        <w:rPr>
          <w:rFonts w:ascii="Verdana" w:hAnsi="Verdana" w:cs="Arial"/>
          <w:sz w:val="20"/>
          <w:szCs w:val="20"/>
        </w:rPr>
      </w:pPr>
      <w:r w:rsidRPr="0012682A">
        <w:rPr>
          <w:rFonts w:ascii="Verdana" w:hAnsi="Verdana" w:cs="Arial"/>
          <w:sz w:val="20"/>
          <w:szCs w:val="20"/>
        </w:rPr>
        <w:t>“[…] debe entenderse limitada, de manera natural, por la imposibilidad de buscar a través de un mecanismo oblicuo, la obtención de una finalidad que no sería lícito obtener al fideicomitente, si actuara en forma directa. Y naturalmente, ello implica un análisis teleológico del contrato para saber qué es lo que realmente se busca con él, si la obtención de la finalidad económica que aparentemente se establece como objeto de contrato y carga para el fiduciario o la eliminación, por esa vía, de restricciones o requisitos que vinculados al cumplimiento de normas de tipo imperativo, en las cuales se encuentren ínsitas el orden público o las buenas costumbres, podrían conducir a la celebración de un contrato nulo por objeto ilícito”</w:t>
      </w:r>
      <w:r w:rsidRPr="0012682A">
        <w:rPr>
          <w:rFonts w:ascii="Verdana" w:hAnsi="Verdana" w:cs="Arial"/>
          <w:sz w:val="20"/>
          <w:szCs w:val="20"/>
          <w:vertAlign w:val="superscript"/>
        </w:rPr>
        <w:footnoteReference w:id="25"/>
      </w:r>
      <w:r w:rsidRPr="0012682A">
        <w:rPr>
          <w:rFonts w:ascii="Verdana" w:hAnsi="Verdana" w:cs="Arial"/>
          <w:sz w:val="20"/>
          <w:szCs w:val="20"/>
        </w:rPr>
        <w:t xml:space="preserve">.  </w:t>
      </w:r>
    </w:p>
    <w:p w14:paraId="3DD4A904" w14:textId="77777777" w:rsidR="00A5721F" w:rsidRPr="0012682A" w:rsidRDefault="00A5721F" w:rsidP="00A5721F">
      <w:pPr>
        <w:spacing w:after="0" w:line="276" w:lineRule="auto"/>
        <w:jc w:val="both"/>
        <w:rPr>
          <w:rFonts w:ascii="Verdana" w:hAnsi="Verdana" w:cs="Arial"/>
        </w:rPr>
      </w:pPr>
    </w:p>
    <w:p w14:paraId="2264DCA4" w14:textId="77777777" w:rsidR="00A5721F" w:rsidRPr="0012682A" w:rsidRDefault="00A5721F" w:rsidP="00A5721F">
      <w:pPr>
        <w:spacing w:after="120" w:line="276" w:lineRule="auto"/>
        <w:ind w:firstLine="709"/>
        <w:jc w:val="both"/>
        <w:rPr>
          <w:rFonts w:ascii="Verdana" w:hAnsi="Verdana" w:cs="Arial"/>
        </w:rPr>
      </w:pPr>
      <w:bookmarkStart w:id="22" w:name="_Hlk77237229"/>
      <w:r w:rsidRPr="0012682A">
        <w:rPr>
          <w:rFonts w:ascii="Verdana" w:hAnsi="Verdana" w:cs="Arial"/>
        </w:rPr>
        <w:t>En resumen, la restricción prevista en la Ley 996 de 200</w:t>
      </w:r>
      <w:bookmarkStart w:id="23" w:name="_Hlk75741539"/>
      <w:r w:rsidRPr="0012682A">
        <w:rPr>
          <w:rFonts w:ascii="Verdana" w:hAnsi="Verdana" w:cs="Arial"/>
        </w:rPr>
        <w:t xml:space="preserve">5, </w:t>
      </w:r>
      <w:r w:rsidRPr="0012682A">
        <w:rPr>
          <w:rFonts w:ascii="Verdana" w:hAnsi="Verdana" w:cs="Arial"/>
          <w:bCs/>
          <w:lang w:eastAsia="x-none"/>
        </w:rPr>
        <w:t xml:space="preserve">teniendo en cuenta la finalidad de la ley de garantías electorales, cobija a cualquier ente del Estado que, a través de la contratación directa, pueda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w:t>
      </w:r>
      <w:r w:rsidRPr="0012682A">
        <w:rPr>
          <w:rFonts w:ascii="Verdana" w:hAnsi="Verdana" w:cs="Arial"/>
          <w:bCs/>
          <w:lang w:eastAsia="x-none"/>
        </w:rPr>
        <w:lastRenderedPageBreak/>
        <w:t>el Derecho Privado.</w:t>
      </w:r>
      <w:bookmarkEnd w:id="22"/>
      <w:bookmarkEnd w:id="23"/>
      <w:r w:rsidRPr="0012682A">
        <w:rPr>
          <w:rFonts w:ascii="Verdana" w:hAnsi="Verdana" w:cs="Arial"/>
          <w:bCs/>
          <w:lang w:eastAsia="x-none"/>
        </w:rPr>
        <w:t xml:space="preserve"> Incluso, de acuerdo con </w:t>
      </w:r>
      <w:r w:rsidRPr="0012682A">
        <w:rPr>
          <w:rFonts w:ascii="Verdana" w:hAnsi="Verdana" w:cs="Arial"/>
        </w:rPr>
        <w:t xml:space="preserve">el artículo 32.5, inciso quinto, de la Ley 80 de 1993 y el artículo 2.5.2.1.1 del Decreto 2555 de 2010, la prohibición también se extiende a las sociedades fiduciarias, frente a los actos y contratos que realicen en desarrollo del negocio fiduciario, con independencia del régimen jurídico de la entidad fideicomitente, razón por la cual no  podría </w:t>
      </w:r>
      <w:proofErr w:type="spellStart"/>
      <w:r w:rsidRPr="0012682A">
        <w:rPr>
          <w:rFonts w:ascii="Verdana" w:hAnsi="Verdana" w:cs="Arial"/>
        </w:rPr>
        <w:t>inaplicarse</w:t>
      </w:r>
      <w:proofErr w:type="spellEnd"/>
      <w:r w:rsidRPr="0012682A">
        <w:rPr>
          <w:rFonts w:ascii="Verdana" w:hAnsi="Verdana" w:cs="Arial"/>
        </w:rPr>
        <w:t xml:space="preserve"> la prohibición establecida en el artículo 33 de la Ley de Garantías Electorales, con la constitución de patrimonios autónomos. </w:t>
      </w:r>
    </w:p>
    <w:p w14:paraId="12713F6C" w14:textId="77777777" w:rsidR="00A5721F" w:rsidRPr="0012682A" w:rsidRDefault="00A5721F" w:rsidP="00A5721F">
      <w:pPr>
        <w:spacing w:after="120" w:line="276" w:lineRule="auto"/>
        <w:ind w:firstLine="709"/>
        <w:jc w:val="both"/>
        <w:rPr>
          <w:rFonts w:ascii="Verdana" w:hAnsi="Verdana" w:cs="Arial"/>
        </w:rPr>
      </w:pPr>
      <w:r w:rsidRPr="0012682A">
        <w:rPr>
          <w:rFonts w:ascii="Verdana" w:hAnsi="Verdana" w:cs="Arial"/>
        </w:rPr>
        <w:t>En particular, esto último aplica en relación con el Fondo Nacional de Turismo (FONTUR), establecido como un patrimonio autónomo, sin personería jurídica, regido por normas de derecho privado, administrado por la Fiduciaria Colombiana de Comercio Exterior S. A., o la sociedad fiduciaria que determine el Ministerio de Comercio, Industria y Turismo, de acuerdo con los lineamientos que fijen este, en los términos señalados por el artículo 21 de la Ley 1558 de 2012, modificado por el artículo 307 de la Ley 2294 de 2023</w:t>
      </w:r>
      <w:r w:rsidRPr="0012682A">
        <w:rPr>
          <w:vertAlign w:val="superscript"/>
        </w:rPr>
        <w:footnoteReference w:id="26"/>
      </w:r>
      <w:r w:rsidRPr="0012682A">
        <w:rPr>
          <w:rFonts w:ascii="Verdana" w:hAnsi="Verdana" w:cs="Arial"/>
          <w:vertAlign w:val="superscript"/>
        </w:rPr>
        <w:t>.</w:t>
      </w:r>
      <w:r w:rsidRPr="0012682A">
        <w:rPr>
          <w:rFonts w:ascii="Verdana" w:hAnsi="Verdana" w:cs="Arial"/>
        </w:rPr>
        <w:t xml:space="preserve"> Este patrimonio autónomo tiene la función de administrar los recursos señalados en los artículos 1 y 8 de la Ley 1101 de 2006, así como los asignados en el Presupuesto General de la Nación para la infraestructura turística, promoción y la competitividad turística, el recaudo del impuesto 01 turismo, la contribución parafiscal para la promoción del turismo y las demás fuentes de recursos que señale la ley.</w:t>
      </w:r>
    </w:p>
    <w:p w14:paraId="1D9ABC6C" w14:textId="77777777" w:rsidR="00A5721F" w:rsidRPr="0012682A" w:rsidRDefault="00A5721F" w:rsidP="00A5721F">
      <w:pPr>
        <w:spacing w:after="120" w:line="276" w:lineRule="auto"/>
        <w:ind w:firstLine="709"/>
        <w:jc w:val="both"/>
        <w:rPr>
          <w:rFonts w:ascii="Verdana" w:hAnsi="Verdana" w:cs="Arial"/>
        </w:rPr>
      </w:pPr>
      <w:r w:rsidRPr="0012682A">
        <w:rPr>
          <w:rFonts w:ascii="Verdana" w:hAnsi="Verdana" w:cs="Arial"/>
        </w:rPr>
        <w:t xml:space="preserve">Al respecto, de acuerdo con lo señalado en su consulta, vale la pena precisar que de conformidad con lo expuesto por la Corte Constitucional, las contribuciones parafiscales constituyen “un instrumento para la generación de ingresos públicos, caracterizado como una forma de gravamen que se maneja por fuera del presupuesto -aunque en ocasiones se registre en él- afecto a una destinación especial de carácter económico, gremial o de previsión social, en beneficio del propio grupo gravado, bajo la administración, según razones de </w:t>
      </w:r>
      <w:r w:rsidRPr="0012682A">
        <w:rPr>
          <w:rFonts w:ascii="Verdana" w:hAnsi="Verdana" w:cs="Arial"/>
        </w:rPr>
        <w:lastRenderedPageBreak/>
        <w:t>conveniencia legal, de un organismo autónomo, oficial o privado</w:t>
      </w:r>
      <w:r w:rsidRPr="0012682A">
        <w:rPr>
          <w:rFonts w:ascii="Verdana" w:hAnsi="Verdana" w:cs="Arial"/>
          <w:vertAlign w:val="superscript"/>
        </w:rPr>
        <w:footnoteReference w:id="27"/>
      </w:r>
      <w:r w:rsidRPr="0012682A">
        <w:rPr>
          <w:rFonts w:ascii="Verdana" w:hAnsi="Verdana" w:cs="Arial"/>
        </w:rPr>
        <w:t xml:space="preserve">”. Dentro de sus características se destaca, entre otras, que son recursos públicos, pertenecen al Estado, aunque están destinados a favorecer solamente al grupo, gremio o sector que los tributa y que el manejo, la administración y la ejecución de los recursos parafiscales pueden hacerse por personas jurídicas de derecho privado (generalmente asociaciones gremiales), en virtud de contrato celebrado con la Nación, de conformidad con la ley que crea las contribuciones, o ‘por los órganos que forman parte del presupuesto general de la Nación. </w:t>
      </w:r>
    </w:p>
    <w:p w14:paraId="543B38D3" w14:textId="77777777" w:rsidR="00A5721F" w:rsidRPr="0012682A" w:rsidRDefault="00A5721F" w:rsidP="00A5721F">
      <w:pPr>
        <w:spacing w:after="120" w:line="276" w:lineRule="auto"/>
        <w:ind w:firstLine="709"/>
        <w:jc w:val="both"/>
        <w:rPr>
          <w:rFonts w:ascii="Verdana" w:hAnsi="Verdana" w:cs="Arial"/>
        </w:rPr>
      </w:pPr>
      <w:r w:rsidRPr="0012682A">
        <w:rPr>
          <w:rFonts w:ascii="Verdana" w:hAnsi="Verdana" w:cs="Arial"/>
        </w:rPr>
        <w:t>Bajo este contexto, las contribuciones parafiscales que administra FONTUR son recursos públicos, pues el hecho de que puedan se administrados por una persona jurídica de derecho privado no altera ni desnaturaliza dicha condición</w:t>
      </w:r>
      <w:r w:rsidRPr="0012682A">
        <w:t xml:space="preserve"> </w:t>
      </w:r>
      <w:r w:rsidRPr="0012682A">
        <w:rPr>
          <w:rFonts w:ascii="Verdana" w:hAnsi="Verdana" w:cs="Arial"/>
        </w:rPr>
        <w:t xml:space="preserve">en la medida en que el criterio determinante para establecer la naturaleza de los recursos no es la naturaleza jurídica del administrador sino su origen. En consecuencia, la circunstancia de que las contribuciones parafiscales sean administrados por una entidad de derecho privado no puede interpretarse como un elemento que permita excluir su carácter público ni justificar la inaplicación de las restricciones previstas en el artículo 33 de la Ley 996 de 2005 para los patrimonios autónomos, conforme a la explicación expuesta. </w:t>
      </w:r>
    </w:p>
    <w:p w14:paraId="7EFFDC54" w14:textId="77777777" w:rsidR="00A5721F" w:rsidRPr="0012682A" w:rsidRDefault="00A5721F" w:rsidP="00A5721F">
      <w:pPr>
        <w:spacing w:after="120" w:line="276" w:lineRule="auto"/>
        <w:jc w:val="both"/>
        <w:rPr>
          <w:rFonts w:ascii="Verdana" w:eastAsia="Calibri" w:hAnsi="Verdana" w:cs="Arial"/>
          <w:bCs/>
          <w:color w:val="000000" w:themeColor="text1"/>
        </w:rPr>
      </w:pPr>
      <w:r w:rsidRPr="0012682A">
        <w:rPr>
          <w:rFonts w:ascii="Verdana" w:eastAsia="Calibri" w:hAnsi="Verdana" w:cs="Arial"/>
          <w:bCs/>
          <w:color w:val="000000" w:themeColor="text1"/>
        </w:rPr>
        <w:t>v.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8B46F03" w14:textId="77777777" w:rsidR="00A5721F" w:rsidRPr="0012682A" w:rsidRDefault="00A5721F" w:rsidP="00A5721F">
      <w:pPr>
        <w:spacing w:after="0" w:line="276" w:lineRule="auto"/>
        <w:ind w:firstLine="708"/>
        <w:jc w:val="both"/>
        <w:rPr>
          <w:rFonts w:ascii="Verdana" w:eastAsia="Calibri" w:hAnsi="Verdana" w:cs="Arial"/>
          <w:bCs/>
          <w:color w:val="000000" w:themeColor="text1"/>
        </w:rPr>
      </w:pPr>
      <w:r w:rsidRPr="0012682A">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12682A">
        <w:rPr>
          <w:rFonts w:ascii="Verdana" w:eastAsia="Calibri" w:hAnsi="Verdana" w:cs="Arial"/>
          <w:bCs/>
          <w:color w:val="000000" w:themeColor="text1"/>
        </w:rPr>
        <w:lastRenderedPageBreak/>
        <w:t xml:space="preserve">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D13A086" w14:textId="77777777" w:rsidR="00A5721F" w:rsidRPr="0012682A" w:rsidRDefault="00A5721F" w:rsidP="00A5721F">
      <w:pPr>
        <w:tabs>
          <w:tab w:val="left" w:pos="709"/>
        </w:tabs>
        <w:spacing w:after="0" w:line="276" w:lineRule="auto"/>
        <w:jc w:val="both"/>
        <w:rPr>
          <w:rFonts w:ascii="Verdana" w:eastAsia="Calibri" w:hAnsi="Verdana" w:cs="Arial"/>
          <w:color w:val="000000" w:themeColor="text1"/>
        </w:rPr>
      </w:pPr>
    </w:p>
    <w:p w14:paraId="75023E18" w14:textId="77777777" w:rsidR="00A5721F" w:rsidRPr="0012682A" w:rsidRDefault="00A5721F" w:rsidP="00A5721F">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12682A">
        <w:rPr>
          <w:rFonts w:ascii="Verdana" w:eastAsia="Century Gothic" w:hAnsi="Verdana" w:cs="Century Gothic"/>
          <w:b/>
          <w:bCs/>
          <w:lang w:val="es-ES"/>
        </w:rPr>
        <w:t>Referencias normativas:</w:t>
      </w:r>
    </w:p>
    <w:p w14:paraId="72152403" w14:textId="77777777" w:rsidR="00A5721F" w:rsidRPr="0012682A" w:rsidRDefault="00A5721F" w:rsidP="00A5721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5721F" w:rsidRPr="0012682A" w14:paraId="027CDE17" w14:textId="77777777" w:rsidTr="00EA32A5">
        <w:trPr>
          <w:trHeight w:val="870"/>
          <w:jc w:val="center"/>
        </w:trPr>
        <w:tc>
          <w:tcPr>
            <w:tcW w:w="8647" w:type="dxa"/>
          </w:tcPr>
          <w:p w14:paraId="30138CB0"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12682A">
              <w:rPr>
                <w:rFonts w:ascii="Verdana" w:hAnsi="Verdana" w:cs="Arial"/>
                <w:lang w:val="es-ES"/>
              </w:rPr>
              <w:t>Constitución Política de Colombia, artículos 127 y 197.</w:t>
            </w:r>
          </w:p>
          <w:p w14:paraId="790910AE"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12682A">
              <w:rPr>
                <w:rFonts w:ascii="Verdana" w:hAnsi="Verdana" w:cs="Arial"/>
                <w:lang w:val="es-ES"/>
              </w:rPr>
              <w:t>Ley 80 de 1993, artículo 32.</w:t>
            </w:r>
          </w:p>
          <w:p w14:paraId="6BD1CDC2"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12682A">
              <w:rPr>
                <w:rFonts w:ascii="Verdana" w:hAnsi="Verdana" w:cs="Arial"/>
                <w:lang w:val="es-ES"/>
              </w:rPr>
              <w:t>Ley 996 de 2005, artículos 9, 33 y 38.</w:t>
            </w:r>
          </w:p>
          <w:p w14:paraId="6ACF70B4"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12682A">
              <w:rPr>
                <w:rFonts w:ascii="Verdana" w:hAnsi="Verdana" w:cs="Arial"/>
                <w:lang w:val="es-ES"/>
              </w:rPr>
              <w:t>Ley 1150 de 2007, artículo 2.</w:t>
            </w:r>
          </w:p>
          <w:p w14:paraId="33239284"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12682A">
              <w:rPr>
                <w:rFonts w:ascii="Verdana" w:hAnsi="Verdana" w:cs="Arial"/>
                <w:lang w:val="es-ES"/>
              </w:rPr>
              <w:t>Decreto Ley 663 de 1993, artículo 146.</w:t>
            </w:r>
          </w:p>
          <w:p w14:paraId="76B8A5CB"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12682A">
              <w:rPr>
                <w:rFonts w:ascii="Verdana" w:hAnsi="Verdana" w:cs="Arial"/>
                <w:color w:val="000000" w:themeColor="text1"/>
                <w:lang w:val="es-ES_tradnl"/>
              </w:rPr>
              <w:t>Decreto 2555 de 2010, artículo 2.5.2.1.1.</w:t>
            </w:r>
          </w:p>
          <w:p w14:paraId="24BD66C4" w14:textId="77777777" w:rsidR="00A5721F" w:rsidRPr="0012682A" w:rsidRDefault="00A5721F" w:rsidP="00EA32A5">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12682A">
              <w:rPr>
                <w:rFonts w:ascii="Verdana" w:hAnsi="Verdana" w:cs="Arial"/>
                <w:color w:val="000000" w:themeColor="text1"/>
                <w:lang w:val="es-ES_tradnl"/>
              </w:rPr>
              <w:t>Ley 2294 de 2023, artículo 72</w:t>
            </w:r>
          </w:p>
          <w:p w14:paraId="111C3729" w14:textId="77777777" w:rsidR="00A5721F" w:rsidRPr="0012682A" w:rsidRDefault="00A5721F" w:rsidP="00EA32A5">
            <w:pPr>
              <w:widowControl w:val="0"/>
              <w:numPr>
                <w:ilvl w:val="0"/>
                <w:numId w:val="17"/>
              </w:numPr>
              <w:autoSpaceDE w:val="0"/>
              <w:autoSpaceDN w:val="0"/>
              <w:spacing w:line="276" w:lineRule="auto"/>
              <w:ind w:left="714" w:hanging="357"/>
              <w:jc w:val="both"/>
              <w:rPr>
                <w:rFonts w:ascii="Verdana" w:hAnsi="Verdana" w:cs="Arial"/>
                <w:color w:val="000000" w:themeColor="text1"/>
                <w:lang w:val="es-ES_tradnl"/>
              </w:rPr>
            </w:pPr>
            <w:r w:rsidRPr="0012682A">
              <w:rPr>
                <w:rFonts w:ascii="Verdana" w:hAnsi="Verdana" w:cs="Arial"/>
                <w:color w:val="000000" w:themeColor="text1"/>
                <w:lang w:val="es-ES_tradnl"/>
              </w:rPr>
              <w:t>Código de Comercio, artículo 1226 y 1233.</w:t>
            </w:r>
          </w:p>
        </w:tc>
      </w:tr>
    </w:tbl>
    <w:p w14:paraId="0B60C2B2" w14:textId="77777777" w:rsidR="00A5721F" w:rsidRPr="0012682A" w:rsidRDefault="00A5721F" w:rsidP="00A5721F">
      <w:pPr>
        <w:widowControl w:val="0"/>
        <w:autoSpaceDE w:val="0"/>
        <w:autoSpaceDN w:val="0"/>
        <w:spacing w:after="0" w:line="276" w:lineRule="auto"/>
        <w:jc w:val="both"/>
        <w:rPr>
          <w:rFonts w:ascii="Verdana" w:hAnsi="Verdana" w:cs="Arial"/>
        </w:rPr>
      </w:pPr>
    </w:p>
    <w:p w14:paraId="1A19CBD5" w14:textId="77777777" w:rsidR="00A5721F" w:rsidRPr="0012682A" w:rsidRDefault="00A5721F" w:rsidP="00A5721F">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12682A">
        <w:rPr>
          <w:rFonts w:ascii="Verdana" w:eastAsia="Century Gothic" w:hAnsi="Verdana" w:cs="Century Gothic"/>
          <w:b/>
          <w:bCs/>
          <w:lang w:val="es-ES"/>
        </w:rPr>
        <w:t>Doctrina de la Agencia Nacional de Contratación Pública:</w:t>
      </w:r>
    </w:p>
    <w:p w14:paraId="6AAD7871" w14:textId="77777777" w:rsidR="00A5721F" w:rsidRPr="0012682A" w:rsidRDefault="00A5721F" w:rsidP="00A5721F">
      <w:pPr>
        <w:widowControl w:val="0"/>
        <w:autoSpaceDE w:val="0"/>
        <w:autoSpaceDN w:val="0"/>
        <w:spacing w:after="0" w:line="276" w:lineRule="auto"/>
        <w:jc w:val="both"/>
        <w:rPr>
          <w:rFonts w:ascii="Verdana" w:hAnsi="Verdana" w:cs="Arial"/>
        </w:rPr>
      </w:pPr>
    </w:p>
    <w:p w14:paraId="1BF28259" w14:textId="77777777" w:rsidR="00A5721F" w:rsidRPr="0012682A" w:rsidRDefault="00A5721F" w:rsidP="00A5721F">
      <w:pPr>
        <w:widowControl w:val="0"/>
        <w:autoSpaceDE w:val="0"/>
        <w:autoSpaceDN w:val="0"/>
        <w:spacing w:after="0" w:line="276" w:lineRule="auto"/>
        <w:jc w:val="both"/>
        <w:rPr>
          <w:rFonts w:ascii="Verdana" w:hAnsi="Verdana" w:cs="Arial"/>
          <w:shd w:val="clear" w:color="auto" w:fill="FFFFFF"/>
        </w:rPr>
      </w:pPr>
      <w:r w:rsidRPr="0012682A">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C-1596 de 2025</w:t>
      </w:r>
      <w:r w:rsidRPr="0012682A">
        <w:rPr>
          <w:rFonts w:ascii="Verdana" w:hAnsi="Verdana"/>
        </w:rPr>
        <w:t>.</w:t>
      </w:r>
      <w:r w:rsidRPr="0012682A">
        <w:rPr>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16" w:history="1">
        <w:r w:rsidRPr="0012682A">
          <w:rPr>
            <w:rFonts w:ascii="Verdana" w:hAnsi="Verdana" w:cs="Arial"/>
            <w:color w:val="0000FF"/>
            <w:u w:val="single"/>
            <w:shd w:val="clear" w:color="auto" w:fill="FFFFFF"/>
          </w:rPr>
          <w:t>https://relatoria.colombiacompra.gov.co/busqueda/conceptos</w:t>
        </w:r>
      </w:hyperlink>
      <w:r w:rsidRPr="0012682A">
        <w:rPr>
          <w:rFonts w:ascii="Verdana" w:hAnsi="Verdana" w:cs="Arial"/>
          <w:shd w:val="clear" w:color="auto" w:fill="FFFFFF"/>
        </w:rPr>
        <w:t xml:space="preserve">. </w:t>
      </w:r>
      <w:r w:rsidRPr="0012682A">
        <w:rPr>
          <w:rFonts w:ascii="Verdana" w:hAnsi="Verdana" w:cs="Arial"/>
          <w:color w:val="FF0000"/>
          <w:shd w:val="clear" w:color="auto" w:fill="FFFFFF"/>
          <w:lang w:val="es-ES"/>
        </w:rPr>
        <w:t xml:space="preserve"> </w:t>
      </w:r>
    </w:p>
    <w:p w14:paraId="417F52B8" w14:textId="77777777" w:rsidR="00A5721F" w:rsidRPr="0012682A" w:rsidRDefault="00A5721F" w:rsidP="00A5721F">
      <w:pPr>
        <w:widowControl w:val="0"/>
        <w:autoSpaceDE w:val="0"/>
        <w:autoSpaceDN w:val="0"/>
        <w:spacing w:after="0" w:line="276" w:lineRule="auto"/>
        <w:jc w:val="both"/>
        <w:rPr>
          <w:color w:val="000000" w:themeColor="text1"/>
        </w:rPr>
      </w:pPr>
      <w:r w:rsidRPr="0012682A">
        <w:rPr>
          <w:rFonts w:ascii="Verdana" w:hAnsi="Verdana" w:cs="Arial"/>
          <w:color w:val="FF0000"/>
          <w:shd w:val="clear" w:color="auto" w:fill="FFFFFF"/>
          <w:lang w:val="es-ES_tradnl"/>
        </w:rPr>
        <w:t xml:space="preserve"> </w:t>
      </w:r>
    </w:p>
    <w:p w14:paraId="4C953423" w14:textId="77777777" w:rsidR="00A5721F" w:rsidRPr="0012682A" w:rsidRDefault="00A5721F" w:rsidP="00A5721F">
      <w:pPr>
        <w:jc w:val="both"/>
        <w:rPr>
          <w:rFonts w:ascii="Verdana" w:hAnsi="Verdana"/>
        </w:rPr>
      </w:pPr>
      <w:r w:rsidRPr="0012682A">
        <w:rPr>
          <w:rFonts w:ascii="Verdana" w:hAnsi="Verdana"/>
        </w:rPr>
        <w:lastRenderedPageBreak/>
        <w:t xml:space="preserve">La sostenibilidad no es una opción, es una obligación. Por ello, la Agencia Nacional de Contratación Pública –Colombia Compra Eficiente– te invita a realizar el </w:t>
      </w:r>
      <w:r w:rsidRPr="0012682A">
        <w:rPr>
          <w:rFonts w:ascii="Verdana" w:hAnsi="Verdana"/>
          <w:b/>
          <w:bCs/>
        </w:rPr>
        <w:t>Curso de Contratación Pública Sostenible y Socialmente Responsable</w:t>
      </w:r>
      <w:r w:rsidRPr="0012682A">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2682A">
        <w:rPr>
          <w:rFonts w:ascii="Verdana" w:hAnsi="Verdana"/>
        </w:rPr>
        <w:br/>
      </w:r>
      <w:hyperlink r:id="rId17" w:tgtFrame="_new" w:history="1">
        <w:r w:rsidRPr="0012682A">
          <w:rPr>
            <w:rFonts w:ascii="Verdana" w:hAnsi="Verdana"/>
            <w:color w:val="0000FF"/>
            <w:u w:val="single"/>
          </w:rPr>
          <w:t>https://formacionvirtual.colombiacompra.gov.co/mod/page/view.php?id=3718</w:t>
        </w:r>
      </w:hyperlink>
    </w:p>
    <w:p w14:paraId="12FDEDA5" w14:textId="77777777" w:rsidR="00A5721F" w:rsidRPr="0012682A" w:rsidRDefault="00A5721F" w:rsidP="00A5721F">
      <w:pPr>
        <w:jc w:val="both"/>
        <w:rPr>
          <w:rFonts w:ascii="Verdana" w:hAnsi="Verdana"/>
        </w:rPr>
      </w:pPr>
      <w:r w:rsidRPr="0012682A">
        <w:rPr>
          <w:rFonts w:ascii="Verdana" w:hAnsi="Verdana"/>
        </w:rPr>
        <w:t xml:space="preserve">De otro lado, te contamos que esta Agencia ha da un paso decisivo en la estandarización y modernización del </w:t>
      </w:r>
      <w:r w:rsidRPr="0012682A">
        <w:rPr>
          <w:rFonts w:ascii="Verdana" w:hAnsi="Verdana"/>
          <w:b/>
          <w:bCs/>
        </w:rPr>
        <w:t>sector  social</w:t>
      </w:r>
      <w:r w:rsidRPr="0012682A">
        <w:rPr>
          <w:rFonts w:ascii="Verdana" w:hAnsi="Verdana"/>
        </w:rPr>
        <w:t xml:space="preserve"> con la expedición de las </w:t>
      </w:r>
      <w:r w:rsidRPr="0012682A">
        <w:rPr>
          <w:rFonts w:ascii="Verdana" w:hAnsi="Verdana"/>
          <w:b/>
          <w:bCs/>
        </w:rPr>
        <w:t>Resoluciones 539, 540, 541, 952 y 953 de 2025</w:t>
      </w:r>
      <w:r w:rsidRPr="0012682A">
        <w:rPr>
          <w:rFonts w:ascii="Verdana" w:hAnsi="Verdana"/>
        </w:rPr>
        <w:t xml:space="preserve">, </w:t>
      </w:r>
      <w:r w:rsidRPr="0012682A">
        <w:rPr>
          <w:rFonts w:ascii="Verdana" w:hAnsi="Verdana"/>
          <w:b/>
          <w:bCs/>
        </w:rPr>
        <w:t>mediante las cuales adoptó Documentos Tipo</w:t>
      </w:r>
      <w:r w:rsidRPr="0012682A">
        <w:rPr>
          <w:rFonts w:ascii="Verdana" w:hAnsi="Verdana"/>
        </w:rPr>
        <w:t xml:space="preserve"> para las modalidades de selección de</w:t>
      </w:r>
      <w:r w:rsidRPr="0012682A">
        <w:rPr>
          <w:rFonts w:ascii="Verdana" w:hAnsi="Verdana"/>
          <w:b/>
          <w:bCs/>
        </w:rPr>
        <w:t xml:space="preserve"> licitación pública (versión 2), selección abreviada de menor cuantía, mínima cuantía, consultoría e interventoría</w:t>
      </w:r>
      <w:r w:rsidRPr="0012682A">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8" w:tgtFrame="_new" w:history="1">
        <w:r w:rsidRPr="0012682A">
          <w:rPr>
            <w:rFonts w:ascii="Verdana" w:hAnsi="Verdana"/>
            <w:color w:val="0000FF"/>
            <w:u w:val="single"/>
          </w:rPr>
          <w:t>https://www.colombiacompra.gov.co/normativa-y-relatoria/documentos-tipo</w:t>
        </w:r>
      </w:hyperlink>
    </w:p>
    <w:p w14:paraId="32929EFF" w14:textId="77777777" w:rsidR="00A5721F" w:rsidRPr="0012682A" w:rsidRDefault="00A5721F" w:rsidP="00A5721F">
      <w:pPr>
        <w:jc w:val="both"/>
        <w:rPr>
          <w:rFonts w:ascii="Verdana" w:hAnsi="Verdana"/>
          <w:color w:val="000000"/>
          <w:lang w:val="es-ES_tradnl"/>
        </w:rPr>
      </w:pPr>
      <w:r w:rsidRPr="0012682A">
        <w:rPr>
          <w:rFonts w:ascii="Verdana" w:hAnsi="Verdana"/>
        </w:rPr>
        <w:t xml:space="preserve">Si quieres conocer más sobre la aplicación de Documentos Tipo puedes consultar la última versión de la </w:t>
      </w:r>
      <w:r w:rsidRPr="0012682A">
        <w:rPr>
          <w:rFonts w:ascii="Verdana" w:hAnsi="Verdana"/>
          <w:b/>
          <w:bCs/>
        </w:rPr>
        <w:t>Guía para la comprensión e implementación de los Documentos Tipo de obra pública de infraestructura de transporte</w:t>
      </w:r>
      <w:r w:rsidRPr="0012682A">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2682A">
        <w:rPr>
          <w:rFonts w:ascii="Verdana" w:hAnsi="Verdana"/>
        </w:rPr>
        <w:br/>
      </w:r>
      <w:hyperlink r:id="rId19" w:tgtFrame="_new" w:history="1">
        <w:r w:rsidRPr="0012682A">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3DEA5E20" w14:textId="77777777" w:rsidR="00A5721F" w:rsidRPr="0012682A" w:rsidRDefault="00A5721F" w:rsidP="00A5721F">
      <w:pPr>
        <w:spacing w:after="0"/>
        <w:jc w:val="both"/>
        <w:rPr>
          <w:rFonts w:ascii="Verdana" w:hAnsi="Verdana"/>
        </w:rPr>
      </w:pPr>
      <w:r w:rsidRPr="0012682A">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329C205" w14:textId="77777777" w:rsidR="00A5721F" w:rsidRPr="0012682A" w:rsidRDefault="00A5721F" w:rsidP="00A5721F">
      <w:pPr>
        <w:spacing w:after="0"/>
        <w:jc w:val="both"/>
        <w:rPr>
          <w:rFonts w:ascii="Verdana" w:hAnsi="Verdana"/>
        </w:rPr>
      </w:pPr>
    </w:p>
    <w:p w14:paraId="54053632" w14:textId="77777777" w:rsidR="00A5721F" w:rsidRPr="0012682A" w:rsidRDefault="00A5721F" w:rsidP="00A5721F">
      <w:pPr>
        <w:numPr>
          <w:ilvl w:val="0"/>
          <w:numId w:val="15"/>
        </w:numPr>
        <w:spacing w:after="0" w:line="240" w:lineRule="auto"/>
        <w:contextualSpacing/>
        <w:jc w:val="both"/>
        <w:rPr>
          <w:rFonts w:ascii="Verdana" w:eastAsia="Verdana" w:hAnsi="Verdana" w:cs="Verdana"/>
          <w:color w:val="4472C4" w:themeColor="accent1"/>
          <w:u w:val="single"/>
          <w:lang w:val="es-MX"/>
        </w:rPr>
      </w:pPr>
      <w:r w:rsidRPr="0012682A">
        <w:rPr>
          <w:rFonts w:ascii="Verdana" w:eastAsia="Verdana" w:hAnsi="Verdana" w:cs="Verdana"/>
          <w:lang w:val="es-MX"/>
        </w:rPr>
        <w:lastRenderedPageBreak/>
        <w:t xml:space="preserve">Línea nacional gratuita o servicio a la ciudadanía (Mesa de servicio): </w:t>
      </w:r>
      <w:r w:rsidRPr="0012682A">
        <w:rPr>
          <w:rFonts w:ascii="Verdana" w:hAnsi="Verdana"/>
          <w:color w:val="0000FF"/>
          <w:u w:val="single"/>
          <w:lang w:val="es-ES"/>
        </w:rPr>
        <w:t>01800 0520808</w:t>
      </w:r>
    </w:p>
    <w:p w14:paraId="66FD0A15" w14:textId="77777777" w:rsidR="00A5721F" w:rsidRPr="0012682A" w:rsidRDefault="00A5721F" w:rsidP="00A5721F">
      <w:pPr>
        <w:numPr>
          <w:ilvl w:val="0"/>
          <w:numId w:val="15"/>
        </w:numPr>
        <w:spacing w:after="0" w:line="256" w:lineRule="auto"/>
        <w:contextualSpacing/>
        <w:rPr>
          <w:rFonts w:ascii="Verdana" w:eastAsia="Verdana" w:hAnsi="Verdana" w:cs="Verdana"/>
          <w:color w:val="4472C4" w:themeColor="accent1"/>
          <w:u w:val="single"/>
          <w:lang w:val="es-MX"/>
        </w:rPr>
      </w:pPr>
      <w:r w:rsidRPr="0012682A">
        <w:rPr>
          <w:rFonts w:ascii="Verdana" w:eastAsia="Verdana" w:hAnsi="Verdana" w:cs="Verdana"/>
          <w:lang w:val="es-MX"/>
        </w:rPr>
        <w:t>Línea en Bogotá (Mesa de servicio</w:t>
      </w:r>
      <w:proofErr w:type="gramStart"/>
      <w:r w:rsidRPr="0012682A">
        <w:rPr>
          <w:rFonts w:ascii="Verdana" w:eastAsia="Verdana" w:hAnsi="Verdana" w:cs="Verdana"/>
          <w:lang w:val="es-MX"/>
        </w:rPr>
        <w:t>):</w:t>
      </w:r>
      <w:r w:rsidRPr="0012682A">
        <w:rPr>
          <w:rFonts w:ascii="Verdana" w:hAnsi="Verdana"/>
          <w:color w:val="0000FF"/>
          <w:u w:val="single"/>
          <w:lang w:val="es-ES"/>
        </w:rPr>
        <w:t>+</w:t>
      </w:r>
      <w:proofErr w:type="gramEnd"/>
      <w:r w:rsidRPr="0012682A">
        <w:rPr>
          <w:rFonts w:ascii="Verdana" w:hAnsi="Verdana"/>
          <w:color w:val="0000FF"/>
          <w:u w:val="single"/>
          <w:lang w:val="es-ES"/>
        </w:rPr>
        <w:t>57 601 7456788</w:t>
      </w:r>
    </w:p>
    <w:p w14:paraId="1478B361" w14:textId="77777777" w:rsidR="00A5721F" w:rsidRPr="0012682A" w:rsidRDefault="00A5721F" w:rsidP="00A5721F">
      <w:pPr>
        <w:numPr>
          <w:ilvl w:val="0"/>
          <w:numId w:val="15"/>
        </w:numPr>
        <w:spacing w:after="0" w:line="256" w:lineRule="auto"/>
        <w:contextualSpacing/>
        <w:rPr>
          <w:rFonts w:ascii="Verdana" w:eastAsia="Verdana" w:hAnsi="Verdana" w:cs="Verdana"/>
          <w:color w:val="0000FF"/>
          <w:u w:val="single"/>
          <w:lang w:val="es-MX"/>
        </w:rPr>
      </w:pPr>
      <w:r w:rsidRPr="0012682A">
        <w:rPr>
          <w:rFonts w:ascii="Verdana" w:eastAsia="Verdana" w:hAnsi="Verdana" w:cs="Verdana"/>
          <w:lang w:val="es-MX"/>
        </w:rPr>
        <w:t xml:space="preserve">Correo de radicación de correspondencia: </w:t>
      </w:r>
      <w:hyperlink r:id="rId20" w:history="1">
        <w:r w:rsidRPr="0012682A">
          <w:rPr>
            <w:rFonts w:ascii="Verdana" w:eastAsia="Verdana" w:hAnsi="Verdana" w:cs="Verdana"/>
            <w:color w:val="0000FF"/>
            <w:u w:val="single"/>
            <w:lang w:val="es-MX"/>
          </w:rPr>
          <w:t>ventanilladeradicacion@colombiacompra.gov.co</w:t>
        </w:r>
      </w:hyperlink>
    </w:p>
    <w:p w14:paraId="75864B5B" w14:textId="77777777" w:rsidR="00A5721F" w:rsidRPr="0012682A" w:rsidRDefault="00A5721F" w:rsidP="00A5721F">
      <w:pPr>
        <w:numPr>
          <w:ilvl w:val="0"/>
          <w:numId w:val="15"/>
        </w:numPr>
        <w:spacing w:after="0" w:line="256" w:lineRule="auto"/>
        <w:contextualSpacing/>
        <w:rPr>
          <w:rFonts w:ascii="Verdana" w:eastAsia="Verdana" w:hAnsi="Verdana" w:cs="Verdana"/>
          <w:color w:val="0000FF"/>
          <w:u w:val="single"/>
          <w:lang w:val="es-MX"/>
        </w:rPr>
      </w:pPr>
      <w:r w:rsidRPr="0012682A">
        <w:rPr>
          <w:rFonts w:ascii="Verdana" w:eastAsia="Verdana" w:hAnsi="Verdana" w:cs="Verdana"/>
          <w:lang w:val="es-ES"/>
        </w:rPr>
        <w:t xml:space="preserve">Formulario web para PQRSD: </w:t>
      </w:r>
      <w:hyperlink r:id="rId21" w:history="1">
        <w:r w:rsidRPr="0012682A">
          <w:rPr>
            <w:rFonts w:ascii="Verdana" w:eastAsia="Verdana" w:hAnsi="Verdana" w:cs="Verdana"/>
            <w:color w:val="0000FF"/>
            <w:u w:val="single"/>
            <w:lang w:val="es-MX"/>
          </w:rPr>
          <w:t>https://www.colombiacompra.gov.co/pqrsd/informacion-importante-antes-de-formular-una-pqrsd</w:t>
        </w:r>
      </w:hyperlink>
    </w:p>
    <w:p w14:paraId="3C05C7F6" w14:textId="77777777" w:rsidR="00A5721F" w:rsidRPr="0012682A" w:rsidRDefault="00A5721F" w:rsidP="00A5721F">
      <w:pPr>
        <w:spacing w:after="0" w:line="240" w:lineRule="auto"/>
        <w:ind w:left="720"/>
        <w:jc w:val="both"/>
        <w:rPr>
          <w:rFonts w:ascii="Verdana" w:hAnsi="Verdana"/>
        </w:rPr>
      </w:pPr>
    </w:p>
    <w:p w14:paraId="44D50368" w14:textId="77777777" w:rsidR="00A5721F" w:rsidRPr="0012682A" w:rsidRDefault="00A5721F" w:rsidP="00A5721F">
      <w:pPr>
        <w:spacing w:after="0" w:line="240" w:lineRule="auto"/>
        <w:rPr>
          <w:rFonts w:ascii="Verdana" w:hAnsi="Verdana"/>
        </w:rPr>
      </w:pPr>
      <w:r w:rsidRPr="0012682A">
        <w:rPr>
          <w:rFonts w:ascii="Verdana" w:hAnsi="Verdana"/>
        </w:rPr>
        <w:t xml:space="preserve">Evalúa el servicio que ofrece la Agencia por el canal de atención de PQRSD en el siguiente </w:t>
      </w:r>
      <w:proofErr w:type="gramStart"/>
      <w:r w:rsidRPr="0012682A">
        <w:rPr>
          <w:rFonts w:ascii="Verdana" w:hAnsi="Verdana"/>
        </w:rPr>
        <w:t>enlace :</w:t>
      </w:r>
      <w:proofErr w:type="gramEnd"/>
      <w:hyperlink r:id="rId22" w:tgtFrame="_blank" w:tooltip="https://forms.office.com/r/pphywvs2sz" w:history="1">
        <w:r w:rsidRPr="0012682A">
          <w:rPr>
            <w:rFonts w:ascii="Verdana" w:hAnsi="Verdana"/>
            <w:color w:val="0000FF"/>
            <w:u w:val="single"/>
          </w:rPr>
          <w:t>https://forms.office.com/r/pPHyWVs2SZ</w:t>
        </w:r>
      </w:hyperlink>
      <w:r w:rsidRPr="0012682A">
        <w:rPr>
          <w:rFonts w:ascii="Verdana" w:hAnsi="Verdana"/>
        </w:rPr>
        <w:t xml:space="preserve"> .¡Ayúdanos a mejorar porque el compromiso es de todos!</w:t>
      </w:r>
    </w:p>
    <w:p w14:paraId="3AF07ADB" w14:textId="77777777" w:rsidR="00A5721F" w:rsidRPr="0012682A" w:rsidRDefault="00A5721F" w:rsidP="00A5721F">
      <w:pPr>
        <w:spacing w:after="0" w:line="240" w:lineRule="auto"/>
        <w:rPr>
          <w:rFonts w:ascii="Verdana" w:hAnsi="Verdana"/>
        </w:rPr>
      </w:pPr>
    </w:p>
    <w:p w14:paraId="36A607BD" w14:textId="77777777" w:rsidR="00A5721F" w:rsidRPr="0012682A" w:rsidRDefault="00A5721F" w:rsidP="00A5721F">
      <w:pPr>
        <w:spacing w:after="0" w:line="240" w:lineRule="auto"/>
        <w:jc w:val="both"/>
        <w:rPr>
          <w:rFonts w:ascii="Verdana" w:hAnsi="Verdana"/>
        </w:rPr>
      </w:pPr>
      <w:r w:rsidRPr="0012682A">
        <w:rPr>
          <w:rFonts w:ascii="Verdana" w:hAnsi="Verdana"/>
        </w:rPr>
        <w:t xml:space="preserve">Por último, lo invitamos a seguirnos en las redes sociales en las cuales se difunde información institucional: </w:t>
      </w:r>
    </w:p>
    <w:p w14:paraId="1A83B1E2" w14:textId="77777777" w:rsidR="00A5721F" w:rsidRPr="0012682A" w:rsidRDefault="00A5721F" w:rsidP="00A5721F">
      <w:pPr>
        <w:spacing w:after="0" w:line="240" w:lineRule="auto"/>
        <w:jc w:val="both"/>
        <w:rPr>
          <w:rFonts w:ascii="Verdana" w:hAnsi="Verdana"/>
        </w:rPr>
      </w:pPr>
    </w:p>
    <w:p w14:paraId="494BE4DF" w14:textId="77777777" w:rsidR="00A5721F" w:rsidRPr="0012682A" w:rsidRDefault="00A5721F" w:rsidP="00A5721F">
      <w:pPr>
        <w:spacing w:after="0" w:line="240" w:lineRule="auto"/>
        <w:jc w:val="both"/>
        <w:rPr>
          <w:rFonts w:ascii="Verdana" w:hAnsi="Verdana"/>
        </w:rPr>
      </w:pPr>
      <w:r w:rsidRPr="0012682A">
        <w:rPr>
          <w:rFonts w:ascii="Verdana" w:hAnsi="Verdana"/>
        </w:rPr>
        <w:t xml:space="preserve">Twitter: </w:t>
      </w:r>
      <w:r w:rsidRPr="0012682A">
        <w:rPr>
          <w:rFonts w:ascii="Verdana" w:hAnsi="Verdana"/>
          <w:color w:val="0000FF"/>
          <w:u w:val="single"/>
        </w:rPr>
        <w:t>@colombiacompra</w:t>
      </w:r>
      <w:r w:rsidRPr="0012682A">
        <w:rPr>
          <w:rFonts w:ascii="Verdana" w:hAnsi="Verdana"/>
        </w:rPr>
        <w:t xml:space="preserve"> </w:t>
      </w:r>
    </w:p>
    <w:p w14:paraId="7F981A92" w14:textId="77777777" w:rsidR="00A5721F" w:rsidRPr="0012682A" w:rsidRDefault="00A5721F" w:rsidP="00A5721F">
      <w:pPr>
        <w:spacing w:after="0" w:line="240" w:lineRule="auto"/>
        <w:jc w:val="both"/>
        <w:rPr>
          <w:rFonts w:ascii="Verdana" w:hAnsi="Verdana"/>
        </w:rPr>
      </w:pPr>
      <w:r w:rsidRPr="0012682A">
        <w:rPr>
          <w:rFonts w:ascii="Verdana" w:hAnsi="Verdana"/>
        </w:rPr>
        <w:t xml:space="preserve">Facebook: </w:t>
      </w:r>
      <w:proofErr w:type="spellStart"/>
      <w:r w:rsidRPr="0012682A">
        <w:rPr>
          <w:rFonts w:ascii="Verdana" w:hAnsi="Verdana"/>
          <w:color w:val="0000FF"/>
          <w:u w:val="single"/>
        </w:rPr>
        <w:t>ColombiaCompraEficiente</w:t>
      </w:r>
      <w:proofErr w:type="spellEnd"/>
    </w:p>
    <w:p w14:paraId="094051E5" w14:textId="77777777" w:rsidR="00A5721F" w:rsidRPr="0012682A" w:rsidRDefault="00A5721F" w:rsidP="00A5721F">
      <w:pPr>
        <w:spacing w:after="0" w:line="240" w:lineRule="auto"/>
        <w:jc w:val="both"/>
        <w:rPr>
          <w:rFonts w:ascii="Verdana" w:hAnsi="Verdana"/>
        </w:rPr>
      </w:pPr>
      <w:r w:rsidRPr="0012682A">
        <w:rPr>
          <w:rFonts w:ascii="Verdana" w:hAnsi="Verdana"/>
        </w:rPr>
        <w:t xml:space="preserve">LinkedIn: </w:t>
      </w:r>
      <w:r w:rsidRPr="0012682A">
        <w:rPr>
          <w:rFonts w:ascii="Verdana" w:hAnsi="Verdana"/>
          <w:color w:val="0000FF"/>
          <w:u w:val="single"/>
        </w:rPr>
        <w:t>Agencia Nacional de Contratación Pública - Colombia Compra Eficiente</w:t>
      </w:r>
      <w:r w:rsidRPr="0012682A">
        <w:rPr>
          <w:rFonts w:ascii="Verdana" w:hAnsi="Verdana"/>
        </w:rPr>
        <w:t xml:space="preserve"> Instagram: </w:t>
      </w:r>
      <w:r w:rsidRPr="0012682A">
        <w:rPr>
          <w:rFonts w:ascii="Verdana" w:hAnsi="Verdana"/>
          <w:color w:val="0000FF"/>
          <w:u w:val="single"/>
        </w:rPr>
        <w:t>@colombiacompraeficiente_cce</w:t>
      </w:r>
    </w:p>
    <w:p w14:paraId="0392859A" w14:textId="77777777" w:rsidR="00A5721F" w:rsidRPr="0012682A" w:rsidRDefault="00A5721F" w:rsidP="00A5721F">
      <w:pPr>
        <w:widowControl w:val="0"/>
        <w:autoSpaceDE w:val="0"/>
        <w:autoSpaceDN w:val="0"/>
        <w:spacing w:after="120" w:line="276" w:lineRule="auto"/>
        <w:jc w:val="both"/>
        <w:rPr>
          <w:rFonts w:ascii="Verdana" w:hAnsi="Verdana" w:cs="Arial"/>
          <w:color w:val="FF0000"/>
          <w:shd w:val="clear" w:color="auto" w:fill="FFFFFF"/>
          <w:lang w:val="es-ES_tradnl"/>
        </w:rPr>
      </w:pPr>
      <w:r w:rsidRPr="0012682A">
        <w:rPr>
          <w:rFonts w:ascii="Verdana" w:hAnsi="Verdana" w:cs="Arial"/>
          <w:color w:val="FF0000"/>
          <w:shd w:val="clear" w:color="auto" w:fill="FFFFFF"/>
          <w:lang w:val="es-ES_tradnl"/>
        </w:rPr>
        <w:t xml:space="preserve">              </w:t>
      </w:r>
    </w:p>
    <w:p w14:paraId="271C1C65" w14:textId="77777777" w:rsidR="00A5721F" w:rsidRPr="0012682A" w:rsidRDefault="00A5721F" w:rsidP="00A5721F">
      <w:pPr>
        <w:widowControl w:val="0"/>
        <w:autoSpaceDE w:val="0"/>
        <w:autoSpaceDN w:val="0"/>
        <w:spacing w:after="0" w:line="276" w:lineRule="auto"/>
        <w:jc w:val="both"/>
        <w:rPr>
          <w:rFonts w:ascii="Verdana" w:hAnsi="Verdana" w:cs="Arial"/>
          <w:lang w:val="es-ES_tradnl"/>
        </w:rPr>
      </w:pPr>
      <w:r w:rsidRPr="0012682A">
        <w:rPr>
          <w:rFonts w:ascii="Verdana" w:hAnsi="Verdana" w:cs="Arial"/>
        </w:rPr>
        <w:t xml:space="preserve">Este concepto tiene el alcance previsto en el artículo 28 del Código de Procedimiento Administrativo y de lo Contencioso Administrativo </w:t>
      </w:r>
      <w:r w:rsidRPr="0012682A">
        <w:rPr>
          <w:rFonts w:ascii="Verdana" w:hAnsi="Verdana" w:cs="Arial"/>
          <w:lang w:val="es-ES_tradnl"/>
        </w:rPr>
        <w:t>y las expresiones aquí utilizadas con mayúscula inicial deben ser entendidas con el significado que les otorga el artículo 2.2.1.1.1.3.1. del Decreto 1082 de 2015.</w:t>
      </w:r>
    </w:p>
    <w:p w14:paraId="7C7A120C" w14:textId="77777777" w:rsidR="00A5721F" w:rsidRPr="0012682A" w:rsidRDefault="00A5721F" w:rsidP="00A5721F">
      <w:pPr>
        <w:widowControl w:val="0"/>
        <w:autoSpaceDE w:val="0"/>
        <w:autoSpaceDN w:val="0"/>
        <w:spacing w:after="0" w:line="276" w:lineRule="auto"/>
        <w:jc w:val="both"/>
        <w:rPr>
          <w:rFonts w:ascii="Verdana" w:hAnsi="Verdana" w:cs="Arial"/>
        </w:rPr>
      </w:pPr>
    </w:p>
    <w:p w14:paraId="721361E0" w14:textId="77777777" w:rsidR="00A5721F" w:rsidRPr="0012682A" w:rsidRDefault="00A5721F" w:rsidP="00A5721F">
      <w:pPr>
        <w:spacing w:after="0" w:line="240" w:lineRule="auto"/>
        <w:rPr>
          <w:rFonts w:ascii="Verdana" w:hAnsi="Verdana" w:cs="Arial"/>
          <w:lang w:eastAsia="es-CO"/>
        </w:rPr>
      </w:pPr>
      <w:r w:rsidRPr="0012682A">
        <w:rPr>
          <w:rFonts w:ascii="Verdana" w:eastAsia="Times New Roman" w:hAnsi="Verdana" w:cs="Arial"/>
          <w:lang w:eastAsia="es-CO"/>
        </w:rPr>
        <w:t>Atentamente,</w:t>
      </w:r>
      <w:r w:rsidRPr="0012682A">
        <w:rPr>
          <w:rFonts w:ascii="Verdana" w:hAnsi="Verdana" w:cs="Arial"/>
          <w:lang w:eastAsia="es-CO"/>
        </w:rPr>
        <w:t xml:space="preserve"> </w:t>
      </w:r>
    </w:p>
    <w:p w14:paraId="6C9EB09B" w14:textId="1A84BDF2" w:rsidR="00A5721F" w:rsidRPr="0012682A" w:rsidRDefault="0090146C" w:rsidP="00A5721F">
      <w:pPr>
        <w:spacing w:line="276" w:lineRule="auto"/>
        <w:jc w:val="center"/>
        <w:rPr>
          <w:rFonts w:ascii="Verdana" w:hAnsi="Verdana" w:cs="Arial"/>
          <w:color w:val="000000"/>
          <w:lang w:val="es-ES_tradnl" w:eastAsia="es-CO"/>
        </w:rPr>
      </w:pPr>
      <w:r w:rsidRPr="0090146C">
        <w:rPr>
          <w:rFonts w:ascii="Century Gothic" w:eastAsia="Aptos" w:hAnsi="Century Gothic" w:cs="Times New Roman"/>
          <w:noProof/>
        </w:rPr>
        <w:drawing>
          <wp:inline distT="0" distB="0" distL="0" distR="0" wp14:anchorId="7177BDAF" wp14:editId="19B4DB70">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5721F" w:rsidRPr="0012682A" w14:paraId="45DAB805" w14:textId="77777777" w:rsidTr="00EA32A5">
        <w:trPr>
          <w:trHeight w:val="315"/>
        </w:trPr>
        <w:tc>
          <w:tcPr>
            <w:tcW w:w="893" w:type="dxa"/>
            <w:vAlign w:val="center"/>
            <w:hideMark/>
          </w:tcPr>
          <w:p w14:paraId="1EEA093F" w14:textId="77777777" w:rsidR="00A5721F" w:rsidRPr="0012682A" w:rsidRDefault="00A5721F" w:rsidP="00EA32A5">
            <w:pPr>
              <w:contextualSpacing/>
              <w:rPr>
                <w:rFonts w:ascii="Verdana" w:hAnsi="Verdana" w:cs="Arial"/>
                <w:sz w:val="16"/>
                <w:szCs w:val="16"/>
                <w:lang w:val="es-ES" w:eastAsia="es-ES"/>
              </w:rPr>
            </w:pPr>
            <w:r w:rsidRPr="0012682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3716EC3" w14:textId="77777777" w:rsidR="00A5721F" w:rsidRPr="0012682A" w:rsidRDefault="00A5721F" w:rsidP="00EA32A5">
            <w:pPr>
              <w:contextualSpacing/>
              <w:rPr>
                <w:rFonts w:ascii="Verdana" w:hAnsi="Verdana"/>
                <w:sz w:val="16"/>
                <w:szCs w:val="16"/>
              </w:rPr>
            </w:pPr>
            <w:r w:rsidRPr="0012682A">
              <w:rPr>
                <w:rFonts w:ascii="Verdana" w:hAnsi="Verdana"/>
                <w:sz w:val="16"/>
                <w:szCs w:val="16"/>
              </w:rPr>
              <w:t>Tatiana Baquero Iguarán</w:t>
            </w:r>
          </w:p>
          <w:p w14:paraId="01B2DD26" w14:textId="77777777" w:rsidR="00A5721F" w:rsidRPr="0012682A" w:rsidRDefault="00A5721F" w:rsidP="00EA32A5">
            <w:pPr>
              <w:contextualSpacing/>
              <w:rPr>
                <w:rFonts w:ascii="Verdana" w:eastAsia="Arial" w:hAnsi="Verdana" w:cs="Arial"/>
                <w:sz w:val="16"/>
                <w:szCs w:val="16"/>
              </w:rPr>
            </w:pPr>
            <w:r w:rsidRPr="0012682A">
              <w:rPr>
                <w:rFonts w:ascii="Verdana" w:hAnsi="Verdana"/>
                <w:sz w:val="16"/>
                <w:szCs w:val="16"/>
              </w:rPr>
              <w:t>Contratista de la Subdirección de Gestión Contractual</w:t>
            </w:r>
          </w:p>
        </w:tc>
      </w:tr>
      <w:tr w:rsidR="00A5721F" w:rsidRPr="0012682A" w14:paraId="6D1FA99F" w14:textId="77777777" w:rsidTr="00EA32A5">
        <w:trPr>
          <w:trHeight w:val="330"/>
        </w:trPr>
        <w:tc>
          <w:tcPr>
            <w:tcW w:w="893" w:type="dxa"/>
            <w:vAlign w:val="center"/>
            <w:hideMark/>
          </w:tcPr>
          <w:p w14:paraId="72D28104" w14:textId="77777777" w:rsidR="00A5721F" w:rsidRPr="0012682A" w:rsidRDefault="00A5721F" w:rsidP="00EA32A5">
            <w:pPr>
              <w:contextualSpacing/>
              <w:rPr>
                <w:rFonts w:ascii="Verdana" w:hAnsi="Verdana" w:cs="Arial"/>
                <w:sz w:val="16"/>
                <w:szCs w:val="16"/>
                <w:lang w:val="es-ES" w:eastAsia="es-ES"/>
              </w:rPr>
            </w:pPr>
            <w:r w:rsidRPr="0012682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AC6833" w14:textId="77777777" w:rsidR="00A5721F" w:rsidRPr="0012682A" w:rsidRDefault="00A5721F" w:rsidP="00EA32A5">
            <w:pPr>
              <w:spacing w:before="100" w:beforeAutospacing="1" w:afterAutospacing="1"/>
              <w:contextualSpacing/>
              <w:textAlignment w:val="baseline"/>
              <w:rPr>
                <w:rFonts w:ascii="Verdana" w:eastAsia="Times New Roman" w:hAnsi="Verdana" w:cs="Arial"/>
                <w:sz w:val="16"/>
                <w:szCs w:val="16"/>
                <w:lang w:val="es-ES" w:eastAsia="es-ES_tradnl"/>
              </w:rPr>
            </w:pPr>
            <w:r w:rsidRPr="0012682A">
              <w:rPr>
                <w:rFonts w:ascii="Verdana" w:eastAsia="Times New Roman" w:hAnsi="Verdana" w:cs="Arial"/>
                <w:sz w:val="16"/>
                <w:szCs w:val="16"/>
                <w:lang w:val="es-ES" w:eastAsia="es-ES_tradnl"/>
              </w:rPr>
              <w:t>Alejandro Sarmiento Cantillo</w:t>
            </w:r>
          </w:p>
          <w:p w14:paraId="412615D0" w14:textId="77777777" w:rsidR="00A5721F" w:rsidRPr="0012682A" w:rsidRDefault="00A5721F" w:rsidP="00EA32A5">
            <w:pPr>
              <w:contextualSpacing/>
              <w:textAlignment w:val="baseline"/>
              <w:rPr>
                <w:rFonts w:ascii="Verdana" w:eastAsia="Times New Roman" w:hAnsi="Verdana" w:cs="Segoe UI"/>
                <w:sz w:val="16"/>
                <w:szCs w:val="16"/>
                <w:lang w:eastAsia="es-ES_tradnl"/>
              </w:rPr>
            </w:pPr>
            <w:r w:rsidRPr="0012682A">
              <w:rPr>
                <w:rFonts w:ascii="Verdana" w:eastAsia="Times New Roman" w:hAnsi="Verdana" w:cs="Arial"/>
                <w:sz w:val="16"/>
                <w:szCs w:val="16"/>
                <w:lang w:val="es-ES" w:eastAsia="es-ES_tradnl"/>
              </w:rPr>
              <w:t>Gestor T1 ‒ 15 de la Subdirección de Gestión Contractual</w:t>
            </w:r>
            <w:r w:rsidRPr="0012682A">
              <w:rPr>
                <w:rFonts w:ascii="Verdana" w:eastAsia="Times New Roman" w:hAnsi="Verdana" w:cs="Arial"/>
                <w:sz w:val="16"/>
                <w:szCs w:val="16"/>
                <w:lang w:eastAsia="es-ES_tradnl"/>
              </w:rPr>
              <w:t> </w:t>
            </w:r>
          </w:p>
        </w:tc>
      </w:tr>
      <w:tr w:rsidR="00A5721F" w:rsidRPr="0012682A" w14:paraId="26CC106B" w14:textId="77777777" w:rsidTr="00EA32A5">
        <w:trPr>
          <w:trHeight w:val="300"/>
        </w:trPr>
        <w:tc>
          <w:tcPr>
            <w:tcW w:w="893" w:type="dxa"/>
            <w:vAlign w:val="center"/>
          </w:tcPr>
          <w:p w14:paraId="72BB2987" w14:textId="77777777" w:rsidR="00A5721F" w:rsidRPr="0012682A" w:rsidRDefault="00A5721F" w:rsidP="00EA32A5">
            <w:pPr>
              <w:contextualSpacing/>
              <w:rPr>
                <w:rFonts w:ascii="Verdana" w:hAnsi="Verdana" w:cs="Arial"/>
                <w:sz w:val="16"/>
                <w:szCs w:val="16"/>
                <w:lang w:val="es-ES" w:eastAsia="es-ES"/>
              </w:rPr>
            </w:pPr>
            <w:r w:rsidRPr="0012682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135081F" w14:textId="77777777" w:rsidR="00A5721F" w:rsidRPr="0012682A" w:rsidRDefault="00A5721F" w:rsidP="00EA32A5">
            <w:pPr>
              <w:contextualSpacing/>
              <w:rPr>
                <w:rFonts w:ascii="Verdana" w:eastAsia="Calibri" w:hAnsi="Verdana" w:cs="Arial"/>
                <w:sz w:val="16"/>
                <w:szCs w:val="16"/>
                <w:lang w:val="pt-BR" w:eastAsia="es-ES"/>
              </w:rPr>
            </w:pPr>
            <w:r w:rsidRPr="0012682A">
              <w:rPr>
                <w:rFonts w:ascii="Verdana" w:eastAsia="Calibri" w:hAnsi="Verdana" w:cs="Arial"/>
                <w:sz w:val="16"/>
                <w:szCs w:val="16"/>
                <w:lang w:val="pt-BR" w:eastAsia="es-ES"/>
              </w:rPr>
              <w:t xml:space="preserve">Carolina Quintero </w:t>
            </w:r>
            <w:proofErr w:type="spellStart"/>
            <w:r w:rsidRPr="0012682A">
              <w:rPr>
                <w:rFonts w:ascii="Verdana" w:eastAsia="Calibri" w:hAnsi="Verdana" w:cs="Arial"/>
                <w:sz w:val="16"/>
                <w:szCs w:val="16"/>
                <w:lang w:val="pt-BR" w:eastAsia="es-ES"/>
              </w:rPr>
              <w:t>Gacharná</w:t>
            </w:r>
            <w:proofErr w:type="spellEnd"/>
          </w:p>
          <w:p w14:paraId="3A854C47" w14:textId="77777777" w:rsidR="00A5721F" w:rsidRPr="0012682A" w:rsidRDefault="00A5721F" w:rsidP="00EA32A5">
            <w:pPr>
              <w:contextualSpacing/>
              <w:rPr>
                <w:rFonts w:ascii="Verdana" w:eastAsia="Calibri" w:hAnsi="Verdana" w:cs="Arial"/>
                <w:sz w:val="16"/>
                <w:szCs w:val="16"/>
                <w:lang w:val="pt-BR" w:eastAsia="es-ES"/>
              </w:rPr>
            </w:pPr>
            <w:r w:rsidRPr="0012682A">
              <w:rPr>
                <w:rFonts w:ascii="Verdana" w:eastAsia="Calibri" w:hAnsi="Verdana" w:cs="Arial"/>
                <w:sz w:val="16"/>
                <w:szCs w:val="16"/>
                <w:lang w:eastAsia="es-ES"/>
              </w:rPr>
              <w:lastRenderedPageBreak/>
              <w:t>Subdirectora</w:t>
            </w:r>
            <w:r w:rsidRPr="0012682A">
              <w:rPr>
                <w:rFonts w:ascii="Verdana" w:eastAsia="Calibri" w:hAnsi="Verdana" w:cs="Arial"/>
                <w:sz w:val="16"/>
                <w:szCs w:val="16"/>
                <w:lang w:val="pt-BR" w:eastAsia="es-ES"/>
              </w:rPr>
              <w:t xml:space="preserve"> de Gestión Contratual ANCP – CCE</w:t>
            </w:r>
          </w:p>
        </w:tc>
      </w:tr>
    </w:tbl>
    <w:p w14:paraId="5B5946ED" w14:textId="1BB7FF9D" w:rsidR="00432DF4" w:rsidRPr="0090146C" w:rsidRDefault="00A5721F" w:rsidP="0090146C">
      <w:r w:rsidRPr="0012682A">
        <w:lastRenderedPageBreak/>
        <w:t xml:space="preserve"> </w:t>
      </w:r>
      <w:bookmarkEnd w:id="0"/>
    </w:p>
    <w:sectPr w:rsidR="00432DF4" w:rsidRPr="0090146C"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D4397" w14:textId="77777777" w:rsidR="0045236E" w:rsidRDefault="0045236E" w:rsidP="004A1847">
      <w:pPr>
        <w:spacing w:after="0" w:line="240" w:lineRule="auto"/>
      </w:pPr>
      <w:r>
        <w:separator/>
      </w:r>
    </w:p>
  </w:endnote>
  <w:endnote w:type="continuationSeparator" w:id="0">
    <w:p w14:paraId="25E2DC2B" w14:textId="77777777" w:rsidR="0045236E" w:rsidRDefault="0045236E" w:rsidP="004A1847">
      <w:pPr>
        <w:spacing w:after="0" w:line="240" w:lineRule="auto"/>
      </w:pPr>
      <w:r>
        <w:continuationSeparator/>
      </w:r>
    </w:p>
  </w:endnote>
  <w:endnote w:type="continuationNotice" w:id="1">
    <w:p w14:paraId="28CB7538" w14:textId="77777777" w:rsidR="0045236E" w:rsidRDefault="004523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B806E" w14:textId="77777777" w:rsidR="0045236E" w:rsidRDefault="0045236E" w:rsidP="004A1847">
      <w:pPr>
        <w:spacing w:after="0" w:line="240" w:lineRule="auto"/>
      </w:pPr>
      <w:r>
        <w:separator/>
      </w:r>
    </w:p>
  </w:footnote>
  <w:footnote w:type="continuationSeparator" w:id="0">
    <w:p w14:paraId="3CB3E819" w14:textId="77777777" w:rsidR="0045236E" w:rsidRDefault="0045236E" w:rsidP="004A1847">
      <w:pPr>
        <w:spacing w:after="0" w:line="240" w:lineRule="auto"/>
      </w:pPr>
      <w:r>
        <w:continuationSeparator/>
      </w:r>
    </w:p>
  </w:footnote>
  <w:footnote w:type="continuationNotice" w:id="1">
    <w:p w14:paraId="799B778D" w14:textId="77777777" w:rsidR="0045236E" w:rsidRDefault="0045236E">
      <w:pPr>
        <w:spacing w:after="0" w:line="240" w:lineRule="auto"/>
      </w:pPr>
    </w:p>
  </w:footnote>
  <w:footnote w:id="2">
    <w:p w14:paraId="734F9AD0" w14:textId="77777777" w:rsidR="00A5721F" w:rsidRPr="00B05796" w:rsidRDefault="00A5721F" w:rsidP="00A5721F">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FF301BE" w14:textId="77777777" w:rsidR="00A5721F" w:rsidRPr="00B05796" w:rsidRDefault="00A5721F" w:rsidP="00A5721F">
      <w:pPr>
        <w:pStyle w:val="Textonotapie"/>
        <w:ind w:firstLine="709"/>
        <w:contextualSpacing/>
        <w:jc w:val="both"/>
        <w:rPr>
          <w:rFonts w:ascii="Verdana" w:hAnsi="Verdana" w:cs="Arial"/>
          <w:sz w:val="16"/>
          <w:szCs w:val="16"/>
        </w:rPr>
      </w:pPr>
      <w:r w:rsidRPr="00B05796">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896AA52" w14:textId="77777777" w:rsidR="00A5721F" w:rsidRPr="00B05796" w:rsidRDefault="00A5721F" w:rsidP="00A5721F">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Gaceta del Congreso de la República No. 71 del 2005.</w:t>
      </w:r>
    </w:p>
  </w:footnote>
  <w:footnote w:id="4">
    <w:p w14:paraId="0710CC88" w14:textId="77777777" w:rsidR="00A5721F" w:rsidRPr="0043584A" w:rsidRDefault="00A5721F" w:rsidP="00A5721F">
      <w:pPr>
        <w:pStyle w:val="Textonotapie"/>
        <w:ind w:firstLine="709"/>
        <w:contextualSpacing/>
        <w:jc w:val="both"/>
        <w:rPr>
          <w:rFonts w:ascii="Verdana" w:hAnsi="Verdana" w:cs="Arial"/>
          <w:sz w:val="16"/>
          <w:szCs w:val="16"/>
          <w:lang w:val="pt-BR"/>
        </w:rPr>
      </w:pPr>
      <w:r w:rsidRPr="00B05796">
        <w:rPr>
          <w:rStyle w:val="Refdenotaalpie"/>
          <w:rFonts w:ascii="Verdana" w:hAnsi="Verdana" w:cs="Arial"/>
          <w:sz w:val="16"/>
          <w:szCs w:val="16"/>
        </w:rPr>
        <w:footnoteRef/>
      </w:r>
      <w:r w:rsidRPr="0043584A">
        <w:rPr>
          <w:rFonts w:ascii="Verdana" w:hAnsi="Verdana" w:cs="Arial"/>
          <w:sz w:val="16"/>
          <w:szCs w:val="16"/>
          <w:lang w:val="pt-BR"/>
        </w:rPr>
        <w:t xml:space="preserve"> Corte Constitucional, Sentencia C- 1153 de 2005, M.P. Marco Gerardo </w:t>
      </w:r>
      <w:proofErr w:type="spellStart"/>
      <w:r w:rsidRPr="0043584A">
        <w:rPr>
          <w:rFonts w:ascii="Verdana" w:hAnsi="Verdana" w:cs="Arial"/>
          <w:sz w:val="16"/>
          <w:szCs w:val="16"/>
          <w:lang w:val="pt-BR"/>
        </w:rPr>
        <w:t>Monroy</w:t>
      </w:r>
      <w:proofErr w:type="spellEnd"/>
      <w:r w:rsidRPr="0043584A">
        <w:rPr>
          <w:rFonts w:ascii="Verdana" w:hAnsi="Verdana" w:cs="Arial"/>
          <w:sz w:val="16"/>
          <w:szCs w:val="16"/>
          <w:lang w:val="pt-BR"/>
        </w:rPr>
        <w:t xml:space="preserve"> Cabra.</w:t>
      </w:r>
    </w:p>
  </w:footnote>
  <w:footnote w:id="5">
    <w:p w14:paraId="2A832E7C" w14:textId="77777777" w:rsidR="00A5721F" w:rsidRPr="0043584A" w:rsidRDefault="00A5721F" w:rsidP="00A5721F">
      <w:pPr>
        <w:pStyle w:val="Textonotapie"/>
        <w:ind w:firstLine="709"/>
        <w:contextualSpacing/>
        <w:jc w:val="both"/>
        <w:rPr>
          <w:rFonts w:ascii="Verdana" w:hAnsi="Verdana" w:cs="Arial"/>
          <w:sz w:val="16"/>
          <w:szCs w:val="16"/>
          <w:lang w:val="pt-BR"/>
        </w:rPr>
      </w:pPr>
      <w:r w:rsidRPr="00B05796">
        <w:rPr>
          <w:rStyle w:val="Refdenotaalpie"/>
          <w:rFonts w:ascii="Verdana" w:hAnsi="Verdana" w:cs="Arial"/>
          <w:sz w:val="16"/>
          <w:szCs w:val="16"/>
        </w:rPr>
        <w:footnoteRef/>
      </w:r>
      <w:r w:rsidRPr="0043584A">
        <w:rPr>
          <w:rFonts w:ascii="Verdana" w:hAnsi="Verdana" w:cs="Arial"/>
          <w:sz w:val="16"/>
          <w:szCs w:val="16"/>
          <w:lang w:val="pt-BR"/>
        </w:rPr>
        <w:t xml:space="preserve"> Corte Constitucional. Sentencias: C-233 de 4 de abril de 2002, expediente: D-3704; C-551 de 9 de </w:t>
      </w:r>
      <w:proofErr w:type="spellStart"/>
      <w:r w:rsidRPr="0043584A">
        <w:rPr>
          <w:rFonts w:ascii="Verdana" w:hAnsi="Verdana" w:cs="Arial"/>
          <w:sz w:val="16"/>
          <w:szCs w:val="16"/>
          <w:lang w:val="pt-BR"/>
        </w:rPr>
        <w:t>julio</w:t>
      </w:r>
      <w:proofErr w:type="spellEnd"/>
      <w:r w:rsidRPr="0043584A">
        <w:rPr>
          <w:rFonts w:ascii="Verdana" w:hAnsi="Verdana" w:cs="Arial"/>
          <w:sz w:val="16"/>
          <w:szCs w:val="16"/>
          <w:lang w:val="pt-BR"/>
        </w:rPr>
        <w:t xml:space="preserve"> de 2003, expediente: CRF-001 de 9 de </w:t>
      </w:r>
      <w:proofErr w:type="spellStart"/>
      <w:r w:rsidRPr="0043584A">
        <w:rPr>
          <w:rFonts w:ascii="Verdana" w:hAnsi="Verdana" w:cs="Arial"/>
          <w:sz w:val="16"/>
          <w:szCs w:val="16"/>
          <w:lang w:val="pt-BR"/>
        </w:rPr>
        <w:t>julio</w:t>
      </w:r>
      <w:proofErr w:type="spellEnd"/>
      <w:r w:rsidRPr="0043584A">
        <w:rPr>
          <w:rFonts w:ascii="Verdana" w:hAnsi="Verdana" w:cs="Arial"/>
          <w:sz w:val="16"/>
          <w:szCs w:val="16"/>
          <w:lang w:val="pt-BR"/>
        </w:rPr>
        <w:t xml:space="preserve"> de 2003; C-652 de 5 de agosto de 2003, expediente: D-4330; C-353 de 20 de </w:t>
      </w:r>
      <w:proofErr w:type="spellStart"/>
      <w:r w:rsidRPr="0043584A">
        <w:rPr>
          <w:rFonts w:ascii="Verdana" w:hAnsi="Verdana" w:cs="Arial"/>
          <w:sz w:val="16"/>
          <w:szCs w:val="16"/>
          <w:lang w:val="pt-BR"/>
        </w:rPr>
        <w:t>mayo</w:t>
      </w:r>
      <w:proofErr w:type="spellEnd"/>
      <w:r w:rsidRPr="0043584A">
        <w:rPr>
          <w:rFonts w:ascii="Verdana" w:hAnsi="Verdana" w:cs="Arial"/>
          <w:sz w:val="16"/>
          <w:szCs w:val="16"/>
          <w:lang w:val="pt-BR"/>
        </w:rPr>
        <w:t xml:space="preserve"> de 2009, expediente: D-7518, C-541 de 30 de </w:t>
      </w:r>
      <w:proofErr w:type="spellStart"/>
      <w:r w:rsidRPr="0043584A">
        <w:rPr>
          <w:rFonts w:ascii="Verdana" w:hAnsi="Verdana" w:cs="Arial"/>
          <w:sz w:val="16"/>
          <w:szCs w:val="16"/>
          <w:lang w:val="pt-BR"/>
        </w:rPr>
        <w:t>junio</w:t>
      </w:r>
      <w:proofErr w:type="spellEnd"/>
      <w:r w:rsidRPr="0043584A">
        <w:rPr>
          <w:rFonts w:ascii="Verdana" w:hAnsi="Verdana" w:cs="Arial"/>
          <w:sz w:val="16"/>
          <w:szCs w:val="16"/>
          <w:lang w:val="pt-BR"/>
        </w:rPr>
        <w:t xml:space="preserve"> de 2010, expediente: DD7966; entre </w:t>
      </w:r>
      <w:proofErr w:type="spellStart"/>
      <w:r w:rsidRPr="0043584A">
        <w:rPr>
          <w:rFonts w:ascii="Verdana" w:hAnsi="Verdana" w:cs="Arial"/>
          <w:sz w:val="16"/>
          <w:szCs w:val="16"/>
          <w:lang w:val="pt-BR"/>
        </w:rPr>
        <w:t>otras</w:t>
      </w:r>
      <w:proofErr w:type="spellEnd"/>
      <w:r w:rsidRPr="0043584A">
        <w:rPr>
          <w:rFonts w:ascii="Verdana" w:hAnsi="Verdana" w:cs="Arial"/>
          <w:sz w:val="16"/>
          <w:szCs w:val="16"/>
          <w:lang w:val="pt-BR"/>
        </w:rPr>
        <w:t>.</w:t>
      </w:r>
    </w:p>
  </w:footnote>
  <w:footnote w:id="6">
    <w:p w14:paraId="059B23EA" w14:textId="77777777" w:rsidR="00A5721F" w:rsidRPr="00B05796" w:rsidRDefault="00A5721F" w:rsidP="00A5721F">
      <w:pPr>
        <w:pStyle w:val="Textonotapie"/>
        <w:ind w:firstLine="709"/>
        <w:contextualSpacing/>
        <w:jc w:val="both"/>
        <w:rPr>
          <w:rFonts w:ascii="Verdana" w:hAnsi="Verdana" w:cs="Arial"/>
          <w:sz w:val="16"/>
          <w:szCs w:val="16"/>
          <w:lang w:val="es-CO"/>
        </w:rPr>
      </w:pPr>
      <w:r w:rsidRPr="00B05796">
        <w:rPr>
          <w:rStyle w:val="Refdenotaalpie"/>
          <w:rFonts w:ascii="Verdana" w:hAnsi="Verdana" w:cs="Arial"/>
          <w:sz w:val="16"/>
          <w:szCs w:val="16"/>
        </w:rPr>
        <w:footnoteRef/>
      </w:r>
      <w:r w:rsidRPr="00B05796">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2BBD8BD2" w14:textId="77777777" w:rsidR="00A5721F" w:rsidRPr="00B05796" w:rsidRDefault="00A5721F" w:rsidP="00A5721F">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de fecha 24 de julio de 2013, radicado 2166, </w:t>
      </w:r>
      <w:proofErr w:type="gramStart"/>
      <w:r w:rsidRPr="00B05796">
        <w:rPr>
          <w:rFonts w:ascii="Verdana" w:hAnsi="Verdana" w:cs="Arial"/>
          <w:sz w:val="16"/>
          <w:szCs w:val="16"/>
        </w:rPr>
        <w:t>Consejero</w:t>
      </w:r>
      <w:proofErr w:type="gramEnd"/>
      <w:r w:rsidRPr="00B05796">
        <w:rPr>
          <w:rFonts w:ascii="Verdana" w:hAnsi="Verdana" w:cs="Arial"/>
          <w:sz w:val="16"/>
          <w:szCs w:val="16"/>
        </w:rPr>
        <w:t xml:space="preserve"> Ponente: Álvaro Namén Vargas.  </w:t>
      </w:r>
    </w:p>
  </w:footnote>
  <w:footnote w:id="8">
    <w:p w14:paraId="21A9B987" w14:textId="77777777" w:rsidR="00A5721F" w:rsidRPr="00B05796" w:rsidRDefault="00A5721F" w:rsidP="00A5721F">
      <w:pPr>
        <w:spacing w:after="0" w:line="240" w:lineRule="auto"/>
        <w:ind w:firstLine="709"/>
        <w:contextualSpacing/>
        <w:jc w:val="both"/>
        <w:rPr>
          <w:rFonts w:ascii="Verdana" w:eastAsia="Times New Roman"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7" w:name="33"/>
      <w:r w:rsidRPr="00B05796">
        <w:rPr>
          <w:rFonts w:ascii="Verdana" w:eastAsia="Calibri" w:hAnsi="Verdana" w:cs="Arial"/>
          <w:color w:val="000000"/>
          <w:sz w:val="16"/>
          <w:szCs w:val="16"/>
        </w:rPr>
        <w:t>“</w:t>
      </w:r>
      <w:r w:rsidRPr="00B05796">
        <w:rPr>
          <w:rFonts w:ascii="Verdana" w:eastAsia="Times New Roman" w:hAnsi="Verdana" w:cs="Arial"/>
          <w:sz w:val="16"/>
          <w:szCs w:val="16"/>
        </w:rPr>
        <w:t>Artículo 33. Restricciones a la contratación pública.</w:t>
      </w:r>
      <w:bookmarkEnd w:id="7"/>
      <w:r w:rsidRPr="00B0579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73F3967" w14:textId="77777777" w:rsidR="00A5721F" w:rsidRPr="00B05796" w:rsidRDefault="00A5721F" w:rsidP="00A5721F">
      <w:pPr>
        <w:spacing w:after="0" w:line="240" w:lineRule="auto"/>
        <w:ind w:firstLine="709"/>
        <w:contextualSpacing/>
        <w:jc w:val="both"/>
        <w:rPr>
          <w:rFonts w:ascii="Verdana" w:eastAsia="Times New Roman" w:hAnsi="Verdana" w:cs="Arial"/>
          <w:sz w:val="16"/>
          <w:szCs w:val="16"/>
        </w:rPr>
      </w:pPr>
      <w:r w:rsidRPr="00B0579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05796">
        <w:rPr>
          <w:rFonts w:ascii="Verdana" w:eastAsia="Calibri" w:hAnsi="Verdana" w:cs="Arial"/>
          <w:color w:val="000000"/>
          <w:sz w:val="16"/>
          <w:szCs w:val="16"/>
        </w:rPr>
        <w:t>”</w:t>
      </w:r>
      <w:r w:rsidRPr="00B05796">
        <w:rPr>
          <w:rFonts w:ascii="Verdana" w:eastAsia="Times New Roman" w:hAnsi="Verdana" w:cs="Arial"/>
          <w:sz w:val="16"/>
          <w:szCs w:val="16"/>
        </w:rPr>
        <w:t>.</w:t>
      </w:r>
    </w:p>
  </w:footnote>
  <w:footnote w:id="9">
    <w:p w14:paraId="1F89D13A" w14:textId="77777777" w:rsidR="00A5721F" w:rsidRPr="00B05796" w:rsidRDefault="00A5721F" w:rsidP="00A5721F">
      <w:pPr>
        <w:pStyle w:val="NormalWeb"/>
        <w:spacing w:before="0" w:beforeAutospacing="0" w:after="0" w:afterAutospacing="0"/>
        <w:ind w:firstLine="709"/>
        <w:contextualSpacing/>
        <w:jc w:val="both"/>
        <w:rPr>
          <w:rFonts w:ascii="Verdana" w:hAnsi="Verdana" w:cs="Arial"/>
          <w:sz w:val="16"/>
          <w:szCs w:val="16"/>
          <w:lang w:val="es-MX"/>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8" w:name="38"/>
      <w:r w:rsidRPr="00B05796">
        <w:rPr>
          <w:rFonts w:ascii="Verdana" w:eastAsia="Calibri" w:hAnsi="Verdana" w:cs="Arial"/>
          <w:color w:val="000000"/>
          <w:sz w:val="16"/>
          <w:szCs w:val="16"/>
        </w:rPr>
        <w:t>“</w:t>
      </w:r>
      <w:r w:rsidRPr="00B05796">
        <w:rPr>
          <w:rFonts w:ascii="Verdana" w:hAnsi="Verdana" w:cs="Arial"/>
          <w:sz w:val="16"/>
          <w:szCs w:val="16"/>
          <w:lang w:val="es-MX"/>
        </w:rPr>
        <w:t>Artículo 38. Prohibiciones para los servidores públicos. A los empleados del Estado les está prohibido:</w:t>
      </w:r>
      <w:bookmarkEnd w:id="8"/>
    </w:p>
    <w:p w14:paraId="064DF71E" w14:textId="77777777" w:rsidR="00F25E91" w:rsidRDefault="00A5721F" w:rsidP="00A5721F">
      <w:pPr>
        <w:pStyle w:val="NormalWeb"/>
        <w:spacing w:before="0" w:beforeAutospacing="0" w:after="0" w:afterAutospacing="0"/>
        <w:ind w:firstLine="709"/>
        <w:contextualSpacing/>
        <w:jc w:val="both"/>
        <w:rPr>
          <w:rFonts w:ascii="Verdana" w:hAnsi="Verdana" w:cs="Arial"/>
          <w:sz w:val="16"/>
          <w:szCs w:val="16"/>
          <w:lang w:val="es-MX"/>
        </w:rPr>
      </w:pPr>
      <w:r w:rsidRPr="00B05796">
        <w:rPr>
          <w:rFonts w:ascii="Verdana" w:hAnsi="Verdana" w:cs="Arial"/>
          <w:sz w:val="16"/>
          <w:szCs w:val="16"/>
          <w:lang w:val="es-MX"/>
        </w:rPr>
        <w:t>[…]</w:t>
      </w:r>
    </w:p>
    <w:p w14:paraId="13D35069" w14:textId="39BC4273" w:rsidR="00A5721F" w:rsidRPr="00B05796" w:rsidRDefault="00A5721F" w:rsidP="00A5721F">
      <w:pPr>
        <w:pStyle w:val="NormalWeb"/>
        <w:spacing w:before="0" w:beforeAutospacing="0" w:after="0" w:afterAutospacing="0"/>
        <w:ind w:firstLine="709"/>
        <w:contextualSpacing/>
        <w:jc w:val="both"/>
        <w:rPr>
          <w:rFonts w:ascii="Verdana" w:hAnsi="Verdana" w:cs="Arial"/>
          <w:sz w:val="16"/>
          <w:szCs w:val="16"/>
          <w:lang w:val="es-MX"/>
        </w:rPr>
      </w:pPr>
      <w:r w:rsidRPr="00B05796">
        <w:rPr>
          <w:rStyle w:val="baj"/>
          <w:rFonts w:ascii="Verdana" w:eastAsiaTheme="minorEastAsia" w:hAnsi="Verdana" w:cs="Arial"/>
          <w:sz w:val="16"/>
          <w:szCs w:val="16"/>
          <w:lang w:val="es-MX"/>
        </w:rPr>
        <w:t>Parágrafo.</w:t>
      </w:r>
      <w:r w:rsidRPr="00B0579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05796">
        <w:rPr>
          <w:rFonts w:ascii="Verdana" w:eastAsia="Calibri" w:hAnsi="Verdana" w:cs="Arial"/>
          <w:color w:val="000000"/>
          <w:sz w:val="16"/>
          <w:szCs w:val="16"/>
        </w:rPr>
        <w:t>”</w:t>
      </w:r>
      <w:r w:rsidRPr="00B05796">
        <w:rPr>
          <w:rFonts w:ascii="Verdana" w:hAnsi="Verdana" w:cs="Arial"/>
          <w:sz w:val="16"/>
          <w:szCs w:val="16"/>
          <w:lang w:val="es-MX"/>
        </w:rPr>
        <w:t>.</w:t>
      </w:r>
    </w:p>
  </w:footnote>
  <w:footnote w:id="10">
    <w:p w14:paraId="2CC07907" w14:textId="77777777" w:rsidR="00A5721F" w:rsidRPr="00B05796" w:rsidRDefault="00A5721F" w:rsidP="00A5721F">
      <w:pPr>
        <w:spacing w:after="0" w:line="240" w:lineRule="auto"/>
        <w:ind w:left="100" w:right="244" w:firstLine="709"/>
        <w:contextualSpacing/>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6EEFD3D0" w14:textId="77777777" w:rsidR="00A5721F" w:rsidRPr="00B05796" w:rsidRDefault="00A5721F" w:rsidP="00A5721F">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[25] </w:t>
      </w:r>
      <w:r w:rsidRPr="00B05796">
        <w:rPr>
          <w:rFonts w:ascii="Verdana" w:hAnsi="Verdana" w:cs="Arial"/>
          <w:sz w:val="16"/>
          <w:szCs w:val="16"/>
        </w:rPr>
        <w:t>Cfr. Consejo de Estado. Sección Tercera. Sentencia de 3 de diciembre de 2007. Radicados: 24.715, 25.206, 25.409, 24.524, 27.834, 25.410, 26.105, 28.244, 31.447 -acumulados-”.</w:t>
      </w:r>
    </w:p>
  </w:footnote>
  <w:footnote w:id="12">
    <w:p w14:paraId="019DBD57" w14:textId="77777777" w:rsidR="00A5721F" w:rsidRPr="00B05796" w:rsidRDefault="00A5721F" w:rsidP="00A5721F">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[26] </w:t>
      </w:r>
      <w:r w:rsidRPr="00B05796">
        <w:rPr>
          <w:rFonts w:ascii="Verdana" w:hAnsi="Verdana" w:cs="Arial"/>
          <w:sz w:val="16"/>
          <w:szCs w:val="16"/>
        </w:rPr>
        <w:t>Al respecto ver el concepto 1712 de 2 de febrero de 2006. Consejo de Estado Sala de Consulta y Servicio Civil”.</w:t>
      </w:r>
    </w:p>
  </w:footnote>
  <w:footnote w:id="13">
    <w:p w14:paraId="1B755FF1" w14:textId="77777777" w:rsidR="00A5721F" w:rsidRPr="00B05796" w:rsidRDefault="00A5721F" w:rsidP="00A5721F">
      <w:pPr>
        <w:pStyle w:val="Textonotapie"/>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00EE4FE9" w14:textId="77777777" w:rsidR="00A5721F" w:rsidRPr="00B05796" w:rsidRDefault="00A5721F" w:rsidP="00A5721F">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Artículo 2. </w:t>
      </w:r>
    </w:p>
  </w:footnote>
  <w:footnote w:id="15">
    <w:p w14:paraId="517C54D4" w14:textId="77777777" w:rsidR="00A5721F" w:rsidRPr="00B05796" w:rsidRDefault="00A5721F" w:rsidP="00A5721F">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i/>
          <w:sz w:val="16"/>
          <w:szCs w:val="16"/>
          <w:lang w:val="es-ES"/>
        </w:rPr>
        <w:t>Ibidem</w:t>
      </w:r>
      <w:r w:rsidRPr="00B05796">
        <w:rPr>
          <w:rFonts w:ascii="Verdana" w:hAnsi="Verdana" w:cs="Arial"/>
          <w:sz w:val="16"/>
          <w:szCs w:val="16"/>
          <w:lang w:val="es-ES"/>
        </w:rPr>
        <w:t>.</w:t>
      </w:r>
    </w:p>
  </w:footnote>
  <w:footnote w:id="16">
    <w:p w14:paraId="29CF2D89" w14:textId="77777777" w:rsidR="00A5721F" w:rsidRPr="00B05796" w:rsidRDefault="00A5721F" w:rsidP="00A5721F">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Style w:val="Refdenotaalpie"/>
          <w:rFonts w:ascii="Verdana" w:hAnsi="Verdana" w:cs="Arial"/>
          <w:sz w:val="16"/>
          <w:szCs w:val="16"/>
        </w:rPr>
        <w:t xml:space="preserve"> </w:t>
      </w:r>
      <w:r w:rsidRPr="00B05796">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0C12A64E" w14:textId="77777777" w:rsidR="00A5721F" w:rsidRPr="00B05796" w:rsidRDefault="00A5721F" w:rsidP="00A5721F">
      <w:pPr>
        <w:shd w:val="clear" w:color="auto" w:fill="FFFFFF"/>
        <w:spacing w:after="0"/>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Style w:val="Refdenotaalpie"/>
          <w:rFonts w:ascii="Verdana" w:hAnsi="Verdana" w:cs="Arial"/>
          <w:sz w:val="16"/>
          <w:szCs w:val="16"/>
        </w:rPr>
        <w:t xml:space="preserve"> </w:t>
      </w:r>
      <w:r w:rsidRPr="00B05796">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8">
    <w:p w14:paraId="4282C764" w14:textId="77777777" w:rsidR="00A5721F" w:rsidRDefault="00A5721F" w:rsidP="00A5721F">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w:t>
      </w:r>
      <w:proofErr w:type="spellStart"/>
      <w:r>
        <w:rPr>
          <w:rFonts w:ascii="Verdana" w:hAnsi="Verdana" w:cs="Arial"/>
          <w:sz w:val="16"/>
          <w:szCs w:val="16"/>
        </w:rPr>
        <w:t>Exp</w:t>
      </w:r>
      <w:proofErr w:type="spellEnd"/>
      <w:r>
        <w:rPr>
          <w:rFonts w:ascii="Verdana" w:hAnsi="Verdana" w:cs="Arial"/>
          <w:sz w:val="16"/>
          <w:szCs w:val="16"/>
        </w:rPr>
        <w:t>. 2.382. C.P. Álvaro Namén Vargas.</w:t>
      </w:r>
    </w:p>
  </w:footnote>
  <w:footnote w:id="19">
    <w:p w14:paraId="2E2824FD" w14:textId="77777777" w:rsidR="00A5721F" w:rsidRPr="00B05796" w:rsidRDefault="00A5721F" w:rsidP="00A5721F">
      <w:pPr>
        <w:pStyle w:val="Textonotapie"/>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B05796">
        <w:rPr>
          <w:rFonts w:ascii="Verdana" w:hAnsi="Verdana" w:cs="Arial"/>
          <w:sz w:val="16"/>
          <w:szCs w:val="16"/>
        </w:rPr>
        <w:t>N°</w:t>
      </w:r>
      <w:proofErr w:type="spellEnd"/>
      <w:r w:rsidRPr="00B05796">
        <w:rPr>
          <w:rFonts w:ascii="Verdana" w:hAnsi="Verdana" w:cs="Arial"/>
          <w:sz w:val="16"/>
          <w:szCs w:val="16"/>
        </w:rPr>
        <w:t xml:space="preserve"> 216/05 Senado, </w:t>
      </w:r>
      <w:proofErr w:type="spellStart"/>
      <w:r w:rsidRPr="00B05796">
        <w:rPr>
          <w:rFonts w:ascii="Verdana" w:hAnsi="Verdana" w:cs="Arial"/>
          <w:sz w:val="16"/>
          <w:szCs w:val="16"/>
        </w:rPr>
        <w:t>N°</w:t>
      </w:r>
      <w:proofErr w:type="spellEnd"/>
      <w:r w:rsidRPr="00B05796">
        <w:rPr>
          <w:rFonts w:ascii="Verdana" w:hAnsi="Verdana" w:cs="Arial"/>
          <w:sz w:val="16"/>
          <w:szCs w:val="16"/>
        </w:rPr>
        <w:t xml:space="preserve"> 235-Cámara que dio lugar a la Ley de Garantías Electorales.</w:t>
      </w:r>
    </w:p>
  </w:footnote>
  <w:footnote w:id="20">
    <w:p w14:paraId="551FD9B2" w14:textId="77777777" w:rsidR="00A5721F" w:rsidRPr="00B05796" w:rsidRDefault="00A5721F" w:rsidP="00A5721F">
      <w:pPr>
        <w:spacing w:after="0"/>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41EF6F0F" w14:textId="77777777" w:rsidR="00A5721F" w:rsidRPr="00B05796" w:rsidRDefault="00A5721F" w:rsidP="00A5721F">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19" w:name="_Hlk75633115"/>
      <w:r w:rsidRPr="00B05796">
        <w:rPr>
          <w:rFonts w:ascii="Verdana" w:hAnsi="Verdana" w:cs="Arial"/>
          <w:sz w:val="16"/>
          <w:szCs w:val="16"/>
        </w:rPr>
        <w:t xml:space="preserve">Consejo de Estado. Sala de Consulta y Servicio Civil. Concepto </w:t>
      </w:r>
      <w:bookmarkEnd w:id="19"/>
      <w:r w:rsidRPr="00B05796">
        <w:rPr>
          <w:rFonts w:ascii="Verdana" w:hAnsi="Verdana" w:cs="Arial"/>
          <w:sz w:val="16"/>
          <w:szCs w:val="16"/>
        </w:rPr>
        <w:t>de 6 de abril de 2006. Radicación Número: 11001-03-06-000-2006-00038-00(1738). Consejero Ponente: Enrique José Arboleda Perdomo:</w:t>
      </w:r>
      <w:r w:rsidRPr="00B05796">
        <w:rPr>
          <w:rFonts w:ascii="Verdana" w:eastAsia="Times New Roman" w:hAnsi="Verdana" w:cs="Arial"/>
          <w:bCs/>
          <w:sz w:val="16"/>
          <w:szCs w:val="16"/>
          <w:lang w:eastAsia="x-none"/>
        </w:rPr>
        <w:t xml:space="preserve"> “</w:t>
      </w:r>
      <w:r w:rsidRPr="00B05796">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B05796">
        <w:rPr>
          <w:rFonts w:ascii="Verdana" w:eastAsia="Times New Roman" w:hAnsi="Verdana" w:cs="Arial"/>
          <w:bCs/>
          <w:sz w:val="16"/>
          <w:szCs w:val="16"/>
          <w:lang w:eastAsia="x-none"/>
        </w:rPr>
        <w:t>”.</w:t>
      </w:r>
    </w:p>
  </w:footnote>
  <w:footnote w:id="22">
    <w:p w14:paraId="198473C9" w14:textId="77777777" w:rsidR="00A5721F" w:rsidRPr="00F95083" w:rsidRDefault="00A5721F" w:rsidP="00A5721F">
      <w:pPr>
        <w:spacing w:after="0" w:line="240" w:lineRule="auto"/>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23">
    <w:p w14:paraId="095A97A0" w14:textId="77777777" w:rsidR="00A5721F" w:rsidRPr="00F95083" w:rsidRDefault="00A5721F" w:rsidP="00A5721F">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ídem.</w:t>
      </w:r>
    </w:p>
  </w:footnote>
  <w:footnote w:id="24">
    <w:p w14:paraId="7377920A" w14:textId="77777777" w:rsidR="00A5721F" w:rsidRPr="00B05796" w:rsidRDefault="00A5721F" w:rsidP="00A5721F">
      <w:pPr>
        <w:pStyle w:val="Textonotapie"/>
        <w:ind w:firstLine="708"/>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Concepto 2013010362-001 del 18 de marzo de 2013. </w:t>
      </w:r>
      <w:hyperlink r:id="rId1" w:history="1">
        <w:r w:rsidRPr="00B05796">
          <w:rPr>
            <w:rStyle w:val="Hipervnculo"/>
            <w:rFonts w:ascii="Verdana" w:hAnsi="Verdana" w:cs="Arial"/>
            <w:color w:val="44546A" w:themeColor="text2"/>
            <w:sz w:val="16"/>
            <w:szCs w:val="16"/>
          </w:rPr>
          <w:t>https://actualicese.com/concepto-2013010362-001-de-18-03-2013</w:t>
        </w:r>
        <w:r w:rsidRPr="00B05796">
          <w:rPr>
            <w:rStyle w:val="Hipervnculo"/>
            <w:rFonts w:ascii="Verdana" w:hAnsi="Verdana" w:cs="Arial"/>
            <w:sz w:val="16"/>
            <w:szCs w:val="16"/>
          </w:rPr>
          <w:t>/</w:t>
        </w:r>
      </w:hyperlink>
      <w:r w:rsidRPr="00B05796">
        <w:rPr>
          <w:rFonts w:ascii="Verdana" w:hAnsi="Verdana" w:cs="Arial"/>
          <w:sz w:val="16"/>
          <w:szCs w:val="16"/>
        </w:rPr>
        <w:t xml:space="preserve">. </w:t>
      </w:r>
    </w:p>
  </w:footnote>
  <w:footnote w:id="25">
    <w:p w14:paraId="4D2A7D52" w14:textId="77777777" w:rsidR="00A5721F" w:rsidRPr="00B05796" w:rsidRDefault="00A5721F" w:rsidP="00A5721F">
      <w:pPr>
        <w:pStyle w:val="Textonotapie"/>
        <w:ind w:firstLine="708"/>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RODRÍGUEZ AZUERO, Sergio. Negocios fiduciarios: su significación en América Latina. Segunda edición. Bogotá: Legis, 2017. p. 227.</w:t>
      </w:r>
    </w:p>
  </w:footnote>
  <w:footnote w:id="26">
    <w:p w14:paraId="72169E02" w14:textId="77777777" w:rsidR="00A5721F" w:rsidRDefault="00A5721F" w:rsidP="00A5721F">
      <w:pPr>
        <w:pStyle w:val="Textonotapie"/>
        <w:ind w:firstLine="709"/>
        <w:jc w:val="both"/>
        <w:rPr>
          <w:rFonts w:ascii="Verdana" w:hAnsi="Verdana"/>
          <w:sz w:val="16"/>
          <w:szCs w:val="16"/>
        </w:rPr>
      </w:pPr>
      <w:r>
        <w:rPr>
          <w:rStyle w:val="Refdenotaalpie"/>
        </w:rPr>
        <w:footnoteRef/>
      </w:r>
      <w:r>
        <w:t xml:space="preserve"> “</w:t>
      </w:r>
      <w:r w:rsidRPr="00200FAB">
        <w:rPr>
          <w:rFonts w:ascii="Verdana" w:hAnsi="Verdana"/>
          <w:sz w:val="16"/>
          <w:szCs w:val="16"/>
        </w:rPr>
        <w:t>ARTÍCULO 21. &lt;Artículo modificado por el artículo 307 de la Ley 2294 de 2023. El nuevo texto es el siguiente:&gt; El Fondo Nacional de Turismo (FONTUR) es un patrimonio autónomo, sin personería jurídica, regido por normas de derecho privado, con la función de administrar los recursos señalados en los artículos 1o y 8o de la Ley 1101 de 2006, así como los asignados en el Presupuesto General de la Nación para la infraestructura turística, promoción y la competitividad turística, el recaudo del impuesto 01 &lt;sic&gt; turismo, la contribución parafiscal para la promoción del turismo y las demás fuentes de recursos que señale la ley.</w:t>
      </w:r>
    </w:p>
    <w:p w14:paraId="68B8B028" w14:textId="77777777" w:rsidR="00A5721F" w:rsidRDefault="00A5721F" w:rsidP="00A5721F">
      <w:pPr>
        <w:pStyle w:val="Textonotapie"/>
        <w:ind w:firstLine="709"/>
        <w:jc w:val="both"/>
        <w:rPr>
          <w:rFonts w:ascii="Verdana" w:hAnsi="Verdana"/>
          <w:sz w:val="16"/>
          <w:szCs w:val="16"/>
        </w:rPr>
      </w:pPr>
      <w:r w:rsidRPr="00200FAB">
        <w:rPr>
          <w:rFonts w:ascii="Verdana" w:hAnsi="Verdana"/>
          <w:sz w:val="16"/>
          <w:szCs w:val="16"/>
        </w:rPr>
        <w:t>FONTUR será administrado por la Fiduciaria Colombiana de Comercio Exterior S. A., o la sociedad fiduciaria que determine el Ministerio de Comercio, Industria y Turismo, de acuerdo con los lineamientos que fijen este. La administración y operación del Patronio autónomo será financiada con cargo a los recursos del FONTUR.</w:t>
      </w:r>
    </w:p>
    <w:p w14:paraId="104ACB12" w14:textId="77777777" w:rsidR="00A5721F" w:rsidRPr="003302D5" w:rsidRDefault="00A5721F" w:rsidP="00A5721F">
      <w:pPr>
        <w:pStyle w:val="Textonotapie"/>
        <w:ind w:firstLine="709"/>
        <w:jc w:val="both"/>
        <w:rPr>
          <w:rFonts w:ascii="Verdana" w:hAnsi="Verdana"/>
          <w:sz w:val="16"/>
          <w:szCs w:val="16"/>
        </w:rPr>
      </w:pPr>
      <w:r w:rsidRPr="00200FAB">
        <w:rPr>
          <w:rFonts w:ascii="Verdana" w:hAnsi="Verdana"/>
          <w:sz w:val="16"/>
          <w:szCs w:val="16"/>
        </w:rPr>
        <w:t>Los recursos del impuesto al turismo, que administra FONTUR, se presupuestarán como una transferencia en el Ministerio de Comercio, Industria y Turismo para cada vigencia</w:t>
      </w:r>
      <w:r>
        <w:rPr>
          <w:rFonts w:ascii="Verdana" w:hAnsi="Verdana"/>
          <w:sz w:val="16"/>
          <w:szCs w:val="16"/>
        </w:rPr>
        <w:t>”</w:t>
      </w:r>
      <w:r w:rsidRPr="00200FAB">
        <w:rPr>
          <w:rFonts w:ascii="Verdana" w:hAnsi="Verdana"/>
          <w:sz w:val="16"/>
          <w:szCs w:val="16"/>
        </w:rPr>
        <w:t>.</w:t>
      </w:r>
    </w:p>
  </w:footnote>
  <w:footnote w:id="27">
    <w:p w14:paraId="205D3188" w14:textId="77777777" w:rsidR="00A5721F" w:rsidRPr="00C90C78" w:rsidRDefault="00A5721F" w:rsidP="00A5721F">
      <w:pPr>
        <w:pStyle w:val="Textonotapie"/>
        <w:ind w:firstLine="709"/>
        <w:rPr>
          <w:lang w:val="es-CO"/>
        </w:rPr>
      </w:pPr>
      <w:r>
        <w:rPr>
          <w:rStyle w:val="Refdenotaalpie"/>
        </w:rPr>
        <w:footnoteRef/>
      </w:r>
      <w:r>
        <w:t xml:space="preserve"> </w:t>
      </w:r>
      <w:r w:rsidRPr="00C2527B">
        <w:rPr>
          <w:rFonts w:ascii="Verdana" w:hAnsi="Verdana"/>
          <w:sz w:val="16"/>
          <w:szCs w:val="16"/>
        </w:rPr>
        <w:t xml:space="preserve">Corte Constitucional. Sentencia C-132 de 2009. Magistrado Ponente: Nilson Pinilla </w:t>
      </w:r>
      <w:proofErr w:type="spellStart"/>
      <w:r w:rsidRPr="00C2527B">
        <w:rPr>
          <w:rFonts w:ascii="Verdana" w:hAnsi="Verdana"/>
          <w:sz w:val="16"/>
          <w:szCs w:val="16"/>
        </w:rPr>
        <w:t>Pinilla</w:t>
      </w:r>
      <w:proofErr w:type="spellEnd"/>
      <w:r w:rsidRPr="00C2527B">
        <w:rPr>
          <w:rFonts w:ascii="Verdana" w:hAnsi="Verdana"/>
          <w:sz w:val="16"/>
          <w:szCs w:val="16"/>
        </w:rPr>
        <w:t>.</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7.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B11"/>
    <w:rsid w:val="00007981"/>
    <w:rsid w:val="00016F78"/>
    <w:rsid w:val="000210A4"/>
    <w:rsid w:val="0002660F"/>
    <w:rsid w:val="00027635"/>
    <w:rsid w:val="00046945"/>
    <w:rsid w:val="00057891"/>
    <w:rsid w:val="00061B2A"/>
    <w:rsid w:val="00072B64"/>
    <w:rsid w:val="000746B0"/>
    <w:rsid w:val="00082362"/>
    <w:rsid w:val="00085A6F"/>
    <w:rsid w:val="00097C9F"/>
    <w:rsid w:val="000A08C8"/>
    <w:rsid w:val="000A10B1"/>
    <w:rsid w:val="000A340E"/>
    <w:rsid w:val="000A683E"/>
    <w:rsid w:val="000A7657"/>
    <w:rsid w:val="000B19B9"/>
    <w:rsid w:val="000D0334"/>
    <w:rsid w:val="000D5DA7"/>
    <w:rsid w:val="000E6737"/>
    <w:rsid w:val="000F3FFE"/>
    <w:rsid w:val="000F6120"/>
    <w:rsid w:val="000F6486"/>
    <w:rsid w:val="00116940"/>
    <w:rsid w:val="00125105"/>
    <w:rsid w:val="00127233"/>
    <w:rsid w:val="001274C5"/>
    <w:rsid w:val="00140EF6"/>
    <w:rsid w:val="001441C1"/>
    <w:rsid w:val="00153F2A"/>
    <w:rsid w:val="0015699B"/>
    <w:rsid w:val="00162E9F"/>
    <w:rsid w:val="0018312D"/>
    <w:rsid w:val="001860FC"/>
    <w:rsid w:val="00191743"/>
    <w:rsid w:val="00193F34"/>
    <w:rsid w:val="00196289"/>
    <w:rsid w:val="001970CC"/>
    <w:rsid w:val="001A1653"/>
    <w:rsid w:val="001A33BF"/>
    <w:rsid w:val="001A6226"/>
    <w:rsid w:val="001B2830"/>
    <w:rsid w:val="001B3C8B"/>
    <w:rsid w:val="001E38FF"/>
    <w:rsid w:val="001E4177"/>
    <w:rsid w:val="001F0B24"/>
    <w:rsid w:val="001F7DC6"/>
    <w:rsid w:val="00200FAB"/>
    <w:rsid w:val="00202C5B"/>
    <w:rsid w:val="00212EF8"/>
    <w:rsid w:val="0022400B"/>
    <w:rsid w:val="00225408"/>
    <w:rsid w:val="00237D11"/>
    <w:rsid w:val="002421BB"/>
    <w:rsid w:val="0024362E"/>
    <w:rsid w:val="002446BB"/>
    <w:rsid w:val="0025102C"/>
    <w:rsid w:val="00256448"/>
    <w:rsid w:val="002577E0"/>
    <w:rsid w:val="0025796E"/>
    <w:rsid w:val="0026007D"/>
    <w:rsid w:val="002707A2"/>
    <w:rsid w:val="002951A0"/>
    <w:rsid w:val="002962BC"/>
    <w:rsid w:val="002A06C9"/>
    <w:rsid w:val="002A093D"/>
    <w:rsid w:val="002A0DD0"/>
    <w:rsid w:val="002A49AC"/>
    <w:rsid w:val="002A64FD"/>
    <w:rsid w:val="002C7A84"/>
    <w:rsid w:val="002E2BF8"/>
    <w:rsid w:val="002E4F32"/>
    <w:rsid w:val="002E4FD9"/>
    <w:rsid w:val="002E7EDF"/>
    <w:rsid w:val="002F447A"/>
    <w:rsid w:val="0030657A"/>
    <w:rsid w:val="00311E44"/>
    <w:rsid w:val="00312630"/>
    <w:rsid w:val="00321768"/>
    <w:rsid w:val="00322A85"/>
    <w:rsid w:val="00324168"/>
    <w:rsid w:val="003302D5"/>
    <w:rsid w:val="00330834"/>
    <w:rsid w:val="003448F4"/>
    <w:rsid w:val="0035584B"/>
    <w:rsid w:val="00356D37"/>
    <w:rsid w:val="00360A88"/>
    <w:rsid w:val="00362499"/>
    <w:rsid w:val="00363662"/>
    <w:rsid w:val="00367908"/>
    <w:rsid w:val="00373C6A"/>
    <w:rsid w:val="00374F5E"/>
    <w:rsid w:val="0037773D"/>
    <w:rsid w:val="00377E3E"/>
    <w:rsid w:val="003821C5"/>
    <w:rsid w:val="0038373C"/>
    <w:rsid w:val="00384114"/>
    <w:rsid w:val="003A4BFC"/>
    <w:rsid w:val="003A779E"/>
    <w:rsid w:val="003B05B3"/>
    <w:rsid w:val="003B2A5B"/>
    <w:rsid w:val="003D0F4D"/>
    <w:rsid w:val="003D5B0D"/>
    <w:rsid w:val="003E0499"/>
    <w:rsid w:val="003E4F80"/>
    <w:rsid w:val="003E6439"/>
    <w:rsid w:val="003F1752"/>
    <w:rsid w:val="003F2F96"/>
    <w:rsid w:val="003F3941"/>
    <w:rsid w:val="0040472C"/>
    <w:rsid w:val="00406575"/>
    <w:rsid w:val="00414C74"/>
    <w:rsid w:val="00416E05"/>
    <w:rsid w:val="0042722E"/>
    <w:rsid w:val="00432DF4"/>
    <w:rsid w:val="00441B18"/>
    <w:rsid w:val="0044347C"/>
    <w:rsid w:val="0044528D"/>
    <w:rsid w:val="004461E6"/>
    <w:rsid w:val="00447D54"/>
    <w:rsid w:val="0045139E"/>
    <w:rsid w:val="0045236E"/>
    <w:rsid w:val="00455707"/>
    <w:rsid w:val="00456559"/>
    <w:rsid w:val="00463DAD"/>
    <w:rsid w:val="00466E39"/>
    <w:rsid w:val="00493582"/>
    <w:rsid w:val="004957D6"/>
    <w:rsid w:val="00497C19"/>
    <w:rsid w:val="004A1847"/>
    <w:rsid w:val="004A26D5"/>
    <w:rsid w:val="004A305D"/>
    <w:rsid w:val="004B6B14"/>
    <w:rsid w:val="004C3364"/>
    <w:rsid w:val="004C3C7E"/>
    <w:rsid w:val="004D6489"/>
    <w:rsid w:val="004D6793"/>
    <w:rsid w:val="004D6B03"/>
    <w:rsid w:val="004F21C4"/>
    <w:rsid w:val="004F2BD9"/>
    <w:rsid w:val="004F685F"/>
    <w:rsid w:val="005025FD"/>
    <w:rsid w:val="0050381F"/>
    <w:rsid w:val="005203F7"/>
    <w:rsid w:val="00521278"/>
    <w:rsid w:val="00540C10"/>
    <w:rsid w:val="005450B2"/>
    <w:rsid w:val="0054525A"/>
    <w:rsid w:val="00545838"/>
    <w:rsid w:val="00552210"/>
    <w:rsid w:val="005566E8"/>
    <w:rsid w:val="00570D2B"/>
    <w:rsid w:val="00573737"/>
    <w:rsid w:val="00574867"/>
    <w:rsid w:val="0057753C"/>
    <w:rsid w:val="00591460"/>
    <w:rsid w:val="005A65E0"/>
    <w:rsid w:val="005A660E"/>
    <w:rsid w:val="005A70D3"/>
    <w:rsid w:val="005B76CF"/>
    <w:rsid w:val="005C3777"/>
    <w:rsid w:val="005C5CDC"/>
    <w:rsid w:val="005D476C"/>
    <w:rsid w:val="005E1F5C"/>
    <w:rsid w:val="005F6BE6"/>
    <w:rsid w:val="0061713F"/>
    <w:rsid w:val="00617B7F"/>
    <w:rsid w:val="006200BF"/>
    <w:rsid w:val="006219F8"/>
    <w:rsid w:val="00622860"/>
    <w:rsid w:val="006302F7"/>
    <w:rsid w:val="006359A5"/>
    <w:rsid w:val="00636749"/>
    <w:rsid w:val="00646B9F"/>
    <w:rsid w:val="00647203"/>
    <w:rsid w:val="00662289"/>
    <w:rsid w:val="00665D70"/>
    <w:rsid w:val="00682D86"/>
    <w:rsid w:val="006900D9"/>
    <w:rsid w:val="006B31FC"/>
    <w:rsid w:val="006C7695"/>
    <w:rsid w:val="006D7928"/>
    <w:rsid w:val="006D7CB5"/>
    <w:rsid w:val="006E0573"/>
    <w:rsid w:val="006E2A0E"/>
    <w:rsid w:val="006E59C0"/>
    <w:rsid w:val="006F2823"/>
    <w:rsid w:val="006F3246"/>
    <w:rsid w:val="006F4A0A"/>
    <w:rsid w:val="006F655A"/>
    <w:rsid w:val="00706C16"/>
    <w:rsid w:val="00710922"/>
    <w:rsid w:val="007152E2"/>
    <w:rsid w:val="0072154F"/>
    <w:rsid w:val="00724327"/>
    <w:rsid w:val="0073265C"/>
    <w:rsid w:val="00732B1A"/>
    <w:rsid w:val="007340C3"/>
    <w:rsid w:val="00741639"/>
    <w:rsid w:val="007465AF"/>
    <w:rsid w:val="0075235A"/>
    <w:rsid w:val="00756841"/>
    <w:rsid w:val="007649AB"/>
    <w:rsid w:val="007652F8"/>
    <w:rsid w:val="00771D0C"/>
    <w:rsid w:val="00780867"/>
    <w:rsid w:val="007833AC"/>
    <w:rsid w:val="007B268C"/>
    <w:rsid w:val="007B44C1"/>
    <w:rsid w:val="007B7171"/>
    <w:rsid w:val="007C0C0F"/>
    <w:rsid w:val="007C3DC2"/>
    <w:rsid w:val="007C410F"/>
    <w:rsid w:val="007D2A9D"/>
    <w:rsid w:val="007D4D6D"/>
    <w:rsid w:val="007E5497"/>
    <w:rsid w:val="00801164"/>
    <w:rsid w:val="00806F5F"/>
    <w:rsid w:val="0080733B"/>
    <w:rsid w:val="008173B6"/>
    <w:rsid w:val="00820278"/>
    <w:rsid w:val="00822976"/>
    <w:rsid w:val="008258C9"/>
    <w:rsid w:val="00827EFC"/>
    <w:rsid w:val="00833D69"/>
    <w:rsid w:val="00834197"/>
    <w:rsid w:val="0084163B"/>
    <w:rsid w:val="00844AE9"/>
    <w:rsid w:val="00845339"/>
    <w:rsid w:val="00845449"/>
    <w:rsid w:val="00861B9F"/>
    <w:rsid w:val="00867F95"/>
    <w:rsid w:val="008843B6"/>
    <w:rsid w:val="00891928"/>
    <w:rsid w:val="008922AC"/>
    <w:rsid w:val="008A10CD"/>
    <w:rsid w:val="008A446D"/>
    <w:rsid w:val="008A4F29"/>
    <w:rsid w:val="008B25F1"/>
    <w:rsid w:val="008D180B"/>
    <w:rsid w:val="008D44B9"/>
    <w:rsid w:val="008E7530"/>
    <w:rsid w:val="008F0EA7"/>
    <w:rsid w:val="008F3849"/>
    <w:rsid w:val="008F52DB"/>
    <w:rsid w:val="008F77B9"/>
    <w:rsid w:val="0090146C"/>
    <w:rsid w:val="009043B6"/>
    <w:rsid w:val="0092001B"/>
    <w:rsid w:val="00923EEF"/>
    <w:rsid w:val="0093714D"/>
    <w:rsid w:val="009419F9"/>
    <w:rsid w:val="009458D1"/>
    <w:rsid w:val="0095685E"/>
    <w:rsid w:val="0095779F"/>
    <w:rsid w:val="00961B09"/>
    <w:rsid w:val="00965334"/>
    <w:rsid w:val="0097093E"/>
    <w:rsid w:val="00973A7A"/>
    <w:rsid w:val="00973D53"/>
    <w:rsid w:val="009854B1"/>
    <w:rsid w:val="009A0DFA"/>
    <w:rsid w:val="009A1C6F"/>
    <w:rsid w:val="009B2371"/>
    <w:rsid w:val="009B2D26"/>
    <w:rsid w:val="009C2D80"/>
    <w:rsid w:val="009C71FA"/>
    <w:rsid w:val="009C72E7"/>
    <w:rsid w:val="009C7F7E"/>
    <w:rsid w:val="009D3058"/>
    <w:rsid w:val="009E687A"/>
    <w:rsid w:val="009F3A13"/>
    <w:rsid w:val="009F6DEA"/>
    <w:rsid w:val="00A0211F"/>
    <w:rsid w:val="00A021FD"/>
    <w:rsid w:val="00A122D3"/>
    <w:rsid w:val="00A14468"/>
    <w:rsid w:val="00A17F13"/>
    <w:rsid w:val="00A20739"/>
    <w:rsid w:val="00A23AF9"/>
    <w:rsid w:val="00A25B18"/>
    <w:rsid w:val="00A33C78"/>
    <w:rsid w:val="00A34FEF"/>
    <w:rsid w:val="00A53798"/>
    <w:rsid w:val="00A5721F"/>
    <w:rsid w:val="00A9193D"/>
    <w:rsid w:val="00AA0496"/>
    <w:rsid w:val="00AA544D"/>
    <w:rsid w:val="00AA7EFE"/>
    <w:rsid w:val="00AB0ADB"/>
    <w:rsid w:val="00AB5E4F"/>
    <w:rsid w:val="00AB73FD"/>
    <w:rsid w:val="00AC1424"/>
    <w:rsid w:val="00AD0F84"/>
    <w:rsid w:val="00AE5B72"/>
    <w:rsid w:val="00B00C0E"/>
    <w:rsid w:val="00B01B1A"/>
    <w:rsid w:val="00B0381D"/>
    <w:rsid w:val="00B14EB1"/>
    <w:rsid w:val="00B159EB"/>
    <w:rsid w:val="00B2090A"/>
    <w:rsid w:val="00B36775"/>
    <w:rsid w:val="00B44A47"/>
    <w:rsid w:val="00B45720"/>
    <w:rsid w:val="00B51755"/>
    <w:rsid w:val="00B56347"/>
    <w:rsid w:val="00B56D29"/>
    <w:rsid w:val="00B67AC4"/>
    <w:rsid w:val="00B72CD3"/>
    <w:rsid w:val="00B72FFF"/>
    <w:rsid w:val="00B765DB"/>
    <w:rsid w:val="00B822F0"/>
    <w:rsid w:val="00B863D4"/>
    <w:rsid w:val="00B9048D"/>
    <w:rsid w:val="00B94424"/>
    <w:rsid w:val="00BA07E8"/>
    <w:rsid w:val="00BA096A"/>
    <w:rsid w:val="00BC2A92"/>
    <w:rsid w:val="00BC3D36"/>
    <w:rsid w:val="00BD1423"/>
    <w:rsid w:val="00BD54A6"/>
    <w:rsid w:val="00BD7F72"/>
    <w:rsid w:val="00BE424F"/>
    <w:rsid w:val="00BF6CF9"/>
    <w:rsid w:val="00BF7425"/>
    <w:rsid w:val="00C04FB3"/>
    <w:rsid w:val="00C11D8B"/>
    <w:rsid w:val="00C15139"/>
    <w:rsid w:val="00C15E30"/>
    <w:rsid w:val="00C171FC"/>
    <w:rsid w:val="00C2527B"/>
    <w:rsid w:val="00C330EB"/>
    <w:rsid w:val="00C36580"/>
    <w:rsid w:val="00C369FB"/>
    <w:rsid w:val="00C43956"/>
    <w:rsid w:val="00C43D0F"/>
    <w:rsid w:val="00C50D69"/>
    <w:rsid w:val="00C5365C"/>
    <w:rsid w:val="00C754BE"/>
    <w:rsid w:val="00C76B1C"/>
    <w:rsid w:val="00C863CC"/>
    <w:rsid w:val="00C90C78"/>
    <w:rsid w:val="00C925AC"/>
    <w:rsid w:val="00CB5F18"/>
    <w:rsid w:val="00CB6357"/>
    <w:rsid w:val="00CC032F"/>
    <w:rsid w:val="00CC1B26"/>
    <w:rsid w:val="00CE7A2C"/>
    <w:rsid w:val="00CF09CC"/>
    <w:rsid w:val="00CF1563"/>
    <w:rsid w:val="00D131BC"/>
    <w:rsid w:val="00D361FD"/>
    <w:rsid w:val="00D423A2"/>
    <w:rsid w:val="00D44E26"/>
    <w:rsid w:val="00D520D8"/>
    <w:rsid w:val="00D52C6F"/>
    <w:rsid w:val="00D57C97"/>
    <w:rsid w:val="00D63AC2"/>
    <w:rsid w:val="00D643A0"/>
    <w:rsid w:val="00D66878"/>
    <w:rsid w:val="00D7383B"/>
    <w:rsid w:val="00D7788A"/>
    <w:rsid w:val="00D875B0"/>
    <w:rsid w:val="00D94147"/>
    <w:rsid w:val="00DA116F"/>
    <w:rsid w:val="00DA231B"/>
    <w:rsid w:val="00DB7D78"/>
    <w:rsid w:val="00DC39FC"/>
    <w:rsid w:val="00DC77D1"/>
    <w:rsid w:val="00DE5EBF"/>
    <w:rsid w:val="00DE7D9A"/>
    <w:rsid w:val="00DF5234"/>
    <w:rsid w:val="00DF5254"/>
    <w:rsid w:val="00DF7DDA"/>
    <w:rsid w:val="00E02524"/>
    <w:rsid w:val="00E15582"/>
    <w:rsid w:val="00E16408"/>
    <w:rsid w:val="00E172F1"/>
    <w:rsid w:val="00E20894"/>
    <w:rsid w:val="00E22030"/>
    <w:rsid w:val="00E245AB"/>
    <w:rsid w:val="00E2764C"/>
    <w:rsid w:val="00E27F2E"/>
    <w:rsid w:val="00E33F03"/>
    <w:rsid w:val="00E34B79"/>
    <w:rsid w:val="00E35542"/>
    <w:rsid w:val="00E41E1E"/>
    <w:rsid w:val="00E50AFE"/>
    <w:rsid w:val="00E5497C"/>
    <w:rsid w:val="00E57352"/>
    <w:rsid w:val="00E6216A"/>
    <w:rsid w:val="00E70299"/>
    <w:rsid w:val="00E70904"/>
    <w:rsid w:val="00E75C92"/>
    <w:rsid w:val="00E771DC"/>
    <w:rsid w:val="00E8772A"/>
    <w:rsid w:val="00E90F6B"/>
    <w:rsid w:val="00E92C27"/>
    <w:rsid w:val="00E95716"/>
    <w:rsid w:val="00EA0C11"/>
    <w:rsid w:val="00EA0E3D"/>
    <w:rsid w:val="00EB0646"/>
    <w:rsid w:val="00EB4F40"/>
    <w:rsid w:val="00EB660C"/>
    <w:rsid w:val="00EC32EE"/>
    <w:rsid w:val="00EC38A7"/>
    <w:rsid w:val="00EC41DD"/>
    <w:rsid w:val="00EE1AA8"/>
    <w:rsid w:val="00EF2C97"/>
    <w:rsid w:val="00F0616F"/>
    <w:rsid w:val="00F203AF"/>
    <w:rsid w:val="00F2082C"/>
    <w:rsid w:val="00F23FEA"/>
    <w:rsid w:val="00F24F59"/>
    <w:rsid w:val="00F25E91"/>
    <w:rsid w:val="00F269E1"/>
    <w:rsid w:val="00F31EDC"/>
    <w:rsid w:val="00F37358"/>
    <w:rsid w:val="00F442F3"/>
    <w:rsid w:val="00F462B3"/>
    <w:rsid w:val="00F54D27"/>
    <w:rsid w:val="00F5664F"/>
    <w:rsid w:val="00F60EB8"/>
    <w:rsid w:val="00F6103E"/>
    <w:rsid w:val="00F654FC"/>
    <w:rsid w:val="00F666C4"/>
    <w:rsid w:val="00F76AFC"/>
    <w:rsid w:val="00FA47C0"/>
    <w:rsid w:val="00FB598B"/>
    <w:rsid w:val="00FB5DD1"/>
    <w:rsid w:val="00FC2B5D"/>
    <w:rsid w:val="00FF0A43"/>
    <w:rsid w:val="00FF1449"/>
    <w:rsid w:val="00FF2B20"/>
    <w:rsid w:val="00FF7963"/>
    <w:rsid w:val="09908A09"/>
    <w:rsid w:val="13CFC91B"/>
    <w:rsid w:val="19A2EC2C"/>
    <w:rsid w:val="1C6686D3"/>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523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F5234"/>
    <w:rPr>
      <w:rFonts w:ascii="Geomanist Light" w:hAnsi="Geomanist Light"/>
      <w:lang w:val="es-ES"/>
    </w:rPr>
  </w:style>
  <w:style w:type="paragraph" w:styleId="Textoindependiente">
    <w:name w:val="Body Text"/>
    <w:basedOn w:val="Normal"/>
    <w:link w:val="TextoindependienteCar"/>
    <w:uiPriority w:val="99"/>
    <w:unhideWhenUsed/>
    <w:rsid w:val="00DF5234"/>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DF5234"/>
    <w:rPr>
      <w:rFonts w:eastAsiaTheme="minorEastAsia"/>
      <w:lang w:eastAsia="es-CO"/>
    </w:rPr>
  </w:style>
  <w:style w:type="character" w:customStyle="1" w:styleId="s15">
    <w:name w:val="s15"/>
    <w:basedOn w:val="Fuentedeprrafopredeter"/>
    <w:rsid w:val="00DF5234"/>
  </w:style>
  <w:style w:type="character" w:customStyle="1" w:styleId="NormalWebCar">
    <w:name w:val="Normal (Web) Car"/>
    <w:link w:val="NormalWeb"/>
    <w:uiPriority w:val="99"/>
    <w:rsid w:val="00DF5234"/>
    <w:rPr>
      <w:rFonts w:ascii="Times New Roman" w:eastAsia="Times New Roman" w:hAnsi="Times New Roman" w:cs="Times New Roman"/>
      <w:sz w:val="24"/>
      <w:szCs w:val="24"/>
      <w:lang w:eastAsia="es-CO"/>
    </w:rPr>
  </w:style>
  <w:style w:type="character" w:customStyle="1" w:styleId="baj">
    <w:name w:val="b_aj"/>
    <w:basedOn w:val="Fuentedeprrafopredeter"/>
    <w:rsid w:val="00DF52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mayorga@cotelco.org" TargetMode="External"/><Relationship Id="rId18" Type="http://schemas.openxmlformats.org/officeDocument/2006/relationships/hyperlink" Target="https://www.colombiacompra.gov.co/normativa-y-relatoria/documentos-tipo"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lombiacompra.gov.co/pqrsd/informacion-importante-antes-de-formular-una-pqrsd" TargetMode="External"/><Relationship Id="rId7" Type="http://schemas.openxmlformats.org/officeDocument/2006/relationships/settings" Target="settings.xml"/><Relationship Id="rId12" Type="http://schemas.openxmlformats.org/officeDocument/2006/relationships/hyperlink" Target="mailto:cbarreto@cotelco.org" TargetMode="External"/><Relationship Id="rId17" Type="http://schemas.openxmlformats.org/officeDocument/2006/relationships/hyperlink" Target="https://formacionvirtual.colombiacompra.gov.co/mod/page/view.php?id=3718"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secretariasenado.gov.co/senado/basedoc/ley_1101_2006.html" TargetMode="External"/><Relationship Id="rId23"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mayorga@cotelco.org" TargetMode="External"/><Relationship Id="rId22" Type="http://schemas.openxmlformats.org/officeDocument/2006/relationships/hyperlink" Target="https://forms.office.com/r/pPHyWVs2SZ"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actualicese.com/concepto-2013010362-001-de-18-03-201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DE234C8-185B-490C-A158-38F3CCF711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AC3A2B-D777-46F0-84D8-97BC169D954F}">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28</Pages>
  <Words>9279</Words>
  <Characters>51035</Characters>
  <Application>Microsoft Office Word</Application>
  <DocSecurity>0</DocSecurity>
  <Lines>425</Lines>
  <Paragraphs>120</Paragraphs>
  <ScaleCrop>false</ScaleCrop>
  <Company/>
  <LinksUpToDate>false</LinksUpToDate>
  <CharactersWithSpaces>60194</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5570608</vt:i4>
      </vt:variant>
      <vt:variant>
        <vt:i4>0</vt:i4>
      </vt:variant>
      <vt:variant>
        <vt:i4>0</vt:i4>
      </vt:variant>
      <vt:variant>
        <vt:i4>5</vt:i4>
      </vt:variant>
      <vt:variant>
        <vt:lpwstr>mailto:deisy.villamizar@colombiaproductiva.com</vt:lpwstr>
      </vt:variant>
      <vt:variant>
        <vt:lpwstr/>
      </vt:variant>
      <vt:variant>
        <vt:i4>6619199</vt:i4>
      </vt:variant>
      <vt:variant>
        <vt:i4>0</vt:i4>
      </vt:variant>
      <vt:variant>
        <vt:i4>0</vt:i4>
      </vt:variant>
      <vt:variant>
        <vt:i4>5</vt:i4>
      </vt:variant>
      <vt:variant>
        <vt:lpwstr>https://actualicese.com/concepto-2013010362-001-de-18-03-2013/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2026-03-16T03:43:00Z</dcterms:created>
  <dcterms:modified xsi:type="dcterms:W3CDTF">2026-03-17T15:26:00Z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