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890F0" w14:textId="77777777" w:rsidR="00AB467B" w:rsidRPr="00901E0B" w:rsidRDefault="00AB467B" w:rsidP="00AB467B">
      <w:pPr>
        <w:spacing w:after="0" w:line="240" w:lineRule="auto"/>
        <w:jc w:val="both"/>
        <w:rPr>
          <w:rFonts w:ascii="Verdana" w:eastAsia="Calibri" w:hAnsi="Verdana" w:cs="Arial"/>
          <w:b/>
          <w:sz w:val="20"/>
          <w:szCs w:val="20"/>
          <w:lang w:val="es-ES_tradnl"/>
        </w:rPr>
      </w:pPr>
      <w:r w:rsidRPr="00901E0B">
        <w:rPr>
          <w:rFonts w:ascii="Verdana" w:eastAsia="Calibri" w:hAnsi="Verdana" w:cs="Arial"/>
          <w:b/>
          <w:sz w:val="20"/>
          <w:szCs w:val="20"/>
          <w:lang w:val="es-ES_tradnl"/>
        </w:rPr>
        <w:t>LIQUIDACIÓN DEL CONTRATO – Definición – Objetivo</w:t>
      </w:r>
    </w:p>
    <w:p w14:paraId="296CF246" w14:textId="77777777" w:rsidR="00AB467B" w:rsidRPr="00901E0B" w:rsidRDefault="00AB467B" w:rsidP="00AB467B">
      <w:pPr>
        <w:spacing w:after="0" w:line="240" w:lineRule="auto"/>
        <w:jc w:val="both"/>
        <w:rPr>
          <w:rFonts w:ascii="Verdana" w:eastAsia="Calibri" w:hAnsi="Verdana" w:cs="Arial"/>
          <w:sz w:val="20"/>
          <w:szCs w:val="20"/>
          <w:lang w:val="es-ES_tradnl"/>
        </w:rPr>
      </w:pPr>
    </w:p>
    <w:p w14:paraId="53972BEA" w14:textId="77777777" w:rsidR="00AB467B" w:rsidRPr="00901E0B" w:rsidRDefault="00AB467B" w:rsidP="00AB467B">
      <w:pPr>
        <w:spacing w:after="0" w:line="240" w:lineRule="auto"/>
        <w:jc w:val="both"/>
        <w:rPr>
          <w:rFonts w:ascii="Verdana" w:eastAsia="Calibri" w:hAnsi="Verdana" w:cs="Arial"/>
          <w:sz w:val="20"/>
          <w:szCs w:val="20"/>
          <w:lang w:val="es-ES_tradnl"/>
        </w:rPr>
      </w:pPr>
      <w:r w:rsidRPr="00901E0B">
        <w:rPr>
          <w:rFonts w:ascii="Verdana" w:eastAsia="Calibri" w:hAnsi="Verdana" w:cs="Arial"/>
          <w:sz w:val="20"/>
          <w:szCs w:val="20"/>
          <w:lang w:val="es-ES_tradnl"/>
        </w:rPr>
        <w:t xml:space="preserv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 </w:t>
      </w:r>
    </w:p>
    <w:p w14:paraId="697C9618" w14:textId="77777777" w:rsidR="00AB467B" w:rsidRPr="00901E0B" w:rsidRDefault="00AB467B" w:rsidP="00AB467B">
      <w:pPr>
        <w:spacing w:after="0" w:line="240" w:lineRule="auto"/>
        <w:jc w:val="both"/>
        <w:rPr>
          <w:rFonts w:ascii="Verdana" w:eastAsia="Aptos" w:hAnsi="Verdana" w:cs="Arial"/>
          <w:sz w:val="20"/>
          <w:szCs w:val="20"/>
          <w:lang w:val="es-MX"/>
        </w:rPr>
      </w:pPr>
    </w:p>
    <w:p w14:paraId="6B971665" w14:textId="77777777" w:rsidR="00AB467B" w:rsidRPr="00901E0B" w:rsidRDefault="00AB467B" w:rsidP="00AB467B">
      <w:pPr>
        <w:spacing w:after="0" w:line="240" w:lineRule="auto"/>
        <w:jc w:val="both"/>
        <w:rPr>
          <w:rFonts w:ascii="Verdana" w:eastAsia="Calibri" w:hAnsi="Verdana" w:cs="Arial"/>
          <w:bCs/>
          <w:sz w:val="20"/>
          <w:szCs w:val="20"/>
          <w:lang w:val="es-ES_tradnl"/>
        </w:rPr>
      </w:pPr>
      <w:r w:rsidRPr="00901E0B">
        <w:rPr>
          <w:rFonts w:ascii="Verdana" w:eastAsia="Times New Roman" w:hAnsi="Verdana" w:cs="Arial"/>
          <w:sz w:val="20"/>
          <w:szCs w:val="20"/>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901E0B">
        <w:rPr>
          <w:rFonts w:ascii="Verdana" w:eastAsia="Times New Roman" w:hAnsi="Verdana" w:cs="Arial"/>
          <w:i/>
          <w:iCs/>
          <w:sz w:val="20"/>
          <w:szCs w:val="20"/>
          <w:lang w:val="es-ES_tradnl" w:eastAsia="es-ES_tradnl"/>
        </w:rPr>
        <w:t>liquidar</w:t>
      </w:r>
      <w:r w:rsidRPr="00901E0B">
        <w:rPr>
          <w:rFonts w:ascii="Verdana" w:eastAsia="Times New Roman" w:hAnsi="Verdana" w:cs="Arial"/>
          <w:sz w:val="20"/>
          <w:szCs w:val="20"/>
          <w:lang w:val="es-ES_tradnl" w:eastAsia="es-ES_tradnl"/>
        </w:rPr>
        <w:t xml:space="preserve"> supone un ajuste en relación con las cuentas y el estado de cumplimiento del contrato estatal y, por el otro, que la </w:t>
      </w:r>
      <w:r w:rsidRPr="00901E0B">
        <w:rPr>
          <w:rFonts w:ascii="Verdana" w:eastAsia="Times New Roman" w:hAnsi="Verdana" w:cs="Arial"/>
          <w:i/>
          <w:iCs/>
          <w:sz w:val="20"/>
          <w:szCs w:val="20"/>
          <w:lang w:val="es-ES_tradnl" w:eastAsia="es-ES_tradnl"/>
        </w:rPr>
        <w:t>liquidación</w:t>
      </w:r>
      <w:r w:rsidRPr="00901E0B">
        <w:rPr>
          <w:rFonts w:ascii="Verdana" w:eastAsia="Times New Roman" w:hAnsi="Verdana" w:cs="Arial"/>
          <w:sz w:val="20"/>
          <w:szCs w:val="20"/>
          <w:lang w:val="es-ES_tradnl" w:eastAsia="es-ES_tradnl"/>
        </w:rPr>
        <w:t xml:space="preserve"> debe incluir el análisis de las condiciones de calidad y oportunidad en la entrega de los bienes, obras o servicios, así como el balance económico y el comportamiento financiero del negocio.</w:t>
      </w:r>
    </w:p>
    <w:p w14:paraId="1E430E50" w14:textId="77777777" w:rsidR="00AB467B" w:rsidRPr="00901E0B" w:rsidRDefault="00AB467B" w:rsidP="00AB467B">
      <w:pPr>
        <w:spacing w:after="0" w:line="240" w:lineRule="auto"/>
        <w:jc w:val="both"/>
        <w:rPr>
          <w:rFonts w:ascii="Verdana" w:eastAsia="Calibri" w:hAnsi="Verdana" w:cs="Arial"/>
          <w:bCs/>
          <w:sz w:val="20"/>
          <w:szCs w:val="20"/>
          <w:lang w:val="es-ES_tradnl"/>
        </w:rPr>
      </w:pPr>
    </w:p>
    <w:p w14:paraId="0D88E304" w14:textId="77777777" w:rsidR="00AB467B" w:rsidRPr="00901E0B" w:rsidRDefault="00AB467B" w:rsidP="00AB467B">
      <w:pPr>
        <w:spacing w:after="0" w:line="240" w:lineRule="auto"/>
        <w:jc w:val="both"/>
        <w:rPr>
          <w:rFonts w:ascii="Verdana" w:eastAsia="Calibri" w:hAnsi="Verdana" w:cs="Arial"/>
          <w:b/>
          <w:sz w:val="20"/>
          <w:szCs w:val="20"/>
          <w:lang w:val="es-ES_tradnl"/>
        </w:rPr>
      </w:pPr>
      <w:r w:rsidRPr="00901E0B">
        <w:rPr>
          <w:rFonts w:ascii="Verdana" w:eastAsia="Calibri" w:hAnsi="Verdana" w:cs="Arial"/>
          <w:b/>
          <w:sz w:val="20"/>
          <w:szCs w:val="20"/>
          <w:lang w:val="es-ES_tradnl"/>
        </w:rPr>
        <w:t>LIQUIDACIÓN DEL CONTRATO – Normativa</w:t>
      </w:r>
    </w:p>
    <w:p w14:paraId="5779BCA9" w14:textId="77777777" w:rsidR="00AB467B" w:rsidRPr="00901E0B" w:rsidRDefault="00AB467B" w:rsidP="00AB467B">
      <w:pPr>
        <w:spacing w:after="0" w:line="240" w:lineRule="auto"/>
        <w:jc w:val="both"/>
        <w:rPr>
          <w:rFonts w:ascii="Verdana" w:eastAsia="Calibri" w:hAnsi="Verdana" w:cs="Arial"/>
          <w:sz w:val="20"/>
          <w:szCs w:val="20"/>
          <w:lang w:val="es-ES_tradnl"/>
        </w:rPr>
      </w:pPr>
    </w:p>
    <w:p w14:paraId="74477FAD" w14:textId="77777777" w:rsidR="00AB467B" w:rsidRPr="00901E0B" w:rsidRDefault="00AB467B" w:rsidP="00AB467B">
      <w:pPr>
        <w:spacing w:after="0" w:line="240" w:lineRule="auto"/>
        <w:jc w:val="both"/>
        <w:rPr>
          <w:rFonts w:ascii="Verdana" w:eastAsia="Times New Roman" w:hAnsi="Verdana" w:cs="Arial"/>
          <w:sz w:val="20"/>
          <w:szCs w:val="20"/>
          <w:lang w:val="es-ES_tradnl" w:eastAsia="es-ES_tradnl"/>
        </w:rPr>
      </w:pPr>
      <w:r w:rsidRPr="00901E0B">
        <w:rPr>
          <w:rFonts w:ascii="Verdana" w:eastAsia="Calibri" w:hAnsi="Verdana" w:cs="Arial"/>
          <w:sz w:val="20"/>
          <w:szCs w:val="20"/>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75F9F958" w14:textId="77777777" w:rsidR="00AB467B" w:rsidRPr="00901E0B" w:rsidRDefault="00AB467B" w:rsidP="00AB467B">
      <w:pPr>
        <w:spacing w:after="0" w:line="240" w:lineRule="auto"/>
        <w:jc w:val="both"/>
        <w:rPr>
          <w:rFonts w:ascii="Verdana" w:eastAsia="Calibri" w:hAnsi="Verdana" w:cs="Arial"/>
          <w:bCs/>
          <w:sz w:val="20"/>
          <w:szCs w:val="20"/>
          <w:lang w:val="es-ES_tradnl"/>
        </w:rPr>
      </w:pPr>
    </w:p>
    <w:p w14:paraId="11DF9B95" w14:textId="77777777" w:rsidR="00AB467B" w:rsidRPr="00901E0B" w:rsidRDefault="00AB467B" w:rsidP="00AB467B">
      <w:pPr>
        <w:spacing w:after="0" w:line="240" w:lineRule="auto"/>
        <w:jc w:val="both"/>
        <w:rPr>
          <w:rFonts w:ascii="Verdana" w:eastAsia="Aptos" w:hAnsi="Verdana" w:cs="Arial"/>
          <w:b/>
          <w:sz w:val="20"/>
          <w:szCs w:val="20"/>
          <w:lang w:val="es-ES_tradnl" w:eastAsia="es-ES"/>
        </w:rPr>
      </w:pPr>
      <w:r w:rsidRPr="00901E0B">
        <w:rPr>
          <w:rFonts w:ascii="Verdana" w:eastAsia="Calibri" w:hAnsi="Verdana" w:cs="Arial"/>
          <w:b/>
          <w:sz w:val="20"/>
          <w:szCs w:val="20"/>
          <w:lang w:val="es-ES_tradnl"/>
        </w:rPr>
        <w:t>LIQUIDACIÓN DEL CONTRATO</w:t>
      </w:r>
      <w:r w:rsidRPr="00901E0B">
        <w:rPr>
          <w:rFonts w:ascii="Verdana" w:eastAsia="Aptos" w:hAnsi="Verdana" w:cs="Arial"/>
          <w:b/>
          <w:sz w:val="20"/>
          <w:szCs w:val="20"/>
          <w:lang w:val="es-ES_tradnl" w:eastAsia="es-ES"/>
        </w:rPr>
        <w:t xml:space="preserve"> – Acta – Contenido </w:t>
      </w:r>
    </w:p>
    <w:p w14:paraId="4A606B49" w14:textId="77777777" w:rsidR="00AB467B" w:rsidRPr="00901E0B" w:rsidRDefault="00AB467B" w:rsidP="00AB467B">
      <w:pPr>
        <w:spacing w:after="0" w:line="240" w:lineRule="auto"/>
        <w:jc w:val="both"/>
        <w:rPr>
          <w:rFonts w:ascii="Verdana" w:eastAsia="Aptos" w:hAnsi="Verdana" w:cs="Times New Roman"/>
          <w:sz w:val="20"/>
          <w:szCs w:val="20"/>
          <w:highlight w:val="yellow"/>
        </w:rPr>
      </w:pPr>
    </w:p>
    <w:p w14:paraId="7000A649" w14:textId="77777777" w:rsidR="00AB467B" w:rsidRPr="00901E0B" w:rsidRDefault="00AB467B" w:rsidP="00AB467B">
      <w:pPr>
        <w:spacing w:after="0" w:line="240" w:lineRule="auto"/>
        <w:jc w:val="both"/>
        <w:rPr>
          <w:rFonts w:ascii="Verdana" w:eastAsia="Aptos" w:hAnsi="Verdana" w:cs="Times New Roman"/>
          <w:sz w:val="20"/>
          <w:szCs w:val="20"/>
        </w:rPr>
      </w:pPr>
      <w:r w:rsidRPr="00901E0B">
        <w:rPr>
          <w:rFonts w:ascii="Verdana" w:eastAsia="Aptos" w:hAnsi="Verdana" w:cs="Times New Roman"/>
          <w:sz w:val="20"/>
          <w:szCs w:val="20"/>
        </w:rPr>
        <w:t>La normativa del sistema de compra pública regula el contenido del acta de liquidación que realizan las partes de forma bilateral, en principio, en una norma actualmente derogada, esto es, el Decreto 222 de 1983 que disponía en su artículo 289 el contenido de la liquidación, sin que se mencionara el tema de la fecha del documento. Y la norma actual que es la Ley 80 de 1993, en su artículo 60, también trata del contenido de la liquidación sin que tampoco se mencione la fecha del acta de liquidación.</w:t>
      </w:r>
    </w:p>
    <w:p w14:paraId="6DEBE09C" w14:textId="77777777" w:rsidR="003238DB" w:rsidRPr="00901E0B" w:rsidRDefault="003238DB" w:rsidP="00AB467B">
      <w:pPr>
        <w:spacing w:after="0" w:line="240" w:lineRule="auto"/>
        <w:jc w:val="both"/>
        <w:rPr>
          <w:rFonts w:ascii="Verdana" w:eastAsia="Aptos" w:hAnsi="Verdana" w:cs="Times New Roman"/>
          <w:sz w:val="20"/>
          <w:szCs w:val="20"/>
        </w:rPr>
      </w:pPr>
    </w:p>
    <w:p w14:paraId="63F82565" w14:textId="77777777" w:rsidR="00AB467B" w:rsidRPr="00901E0B" w:rsidRDefault="00AB467B" w:rsidP="00AB467B">
      <w:pPr>
        <w:spacing w:after="0" w:line="240" w:lineRule="auto"/>
        <w:jc w:val="both"/>
        <w:rPr>
          <w:rFonts w:ascii="Verdana" w:eastAsia="Aptos" w:hAnsi="Verdana" w:cs="Times New Roman"/>
          <w:sz w:val="20"/>
          <w:szCs w:val="20"/>
        </w:rPr>
      </w:pPr>
      <w:r w:rsidRPr="00901E0B">
        <w:rPr>
          <w:rFonts w:ascii="Verdana" w:eastAsia="Aptos" w:hAnsi="Verdana" w:cs="Times New Roman"/>
          <w:sz w:val="20"/>
          <w:szCs w:val="20"/>
        </w:rPr>
        <w:t>(…)</w:t>
      </w:r>
    </w:p>
    <w:p w14:paraId="6FA86996" w14:textId="77777777" w:rsidR="003238DB" w:rsidRPr="00901E0B" w:rsidRDefault="003238DB" w:rsidP="00AB467B">
      <w:pPr>
        <w:spacing w:after="0" w:line="240" w:lineRule="auto"/>
        <w:jc w:val="both"/>
        <w:rPr>
          <w:rFonts w:ascii="Verdana" w:eastAsia="Aptos" w:hAnsi="Verdana" w:cs="Times New Roman"/>
          <w:sz w:val="20"/>
          <w:szCs w:val="20"/>
        </w:rPr>
      </w:pPr>
    </w:p>
    <w:p w14:paraId="6A1E71F4" w14:textId="7630F9A6" w:rsidR="00AB467B" w:rsidRPr="00901E0B" w:rsidRDefault="00AB467B" w:rsidP="00AB467B">
      <w:pPr>
        <w:spacing w:after="0" w:line="240" w:lineRule="auto"/>
        <w:jc w:val="both"/>
        <w:rPr>
          <w:rFonts w:ascii="Verdana" w:eastAsia="Aptos" w:hAnsi="Verdana" w:cs="Times New Roman"/>
          <w:sz w:val="20"/>
          <w:szCs w:val="20"/>
        </w:rPr>
      </w:pPr>
      <w:r w:rsidRPr="00901E0B">
        <w:rPr>
          <w:rFonts w:ascii="Verdana" w:eastAsia="Aptos" w:hAnsi="Verdana" w:cs="Times New Roman"/>
          <w:sz w:val="20"/>
          <w:szCs w:val="20"/>
        </w:rPr>
        <w:t>Por tanto, se identifica la necesidad de la fecha del acta de liquidación y su publicación para que se pueda determinar si se cumplieron los plazos de la liquidación bilateral, o si esta no existió, proceder a la liquidación unilateral o judicial en los plazos señalados por la norma, que en caso de que las partes no pacten en el contrato el plazo de la liquidación bilateral, la ley trae un término supletivo. Así se observa que la existencia o no de liquidación bilateral, influye en los plazos que la norma dispone para la liquidación unilateral y judicial, además de que la jurisprudencia ha señalado la importancia de conocer la fecha de suscripción de la liquidación para diferentes efectos, entre otros, para hacer reclamaciones mediante acciones judiciales</w:t>
      </w:r>
      <w:r w:rsidR="003238DB" w:rsidRPr="00901E0B">
        <w:rPr>
          <w:rFonts w:ascii="Verdana" w:eastAsia="Aptos" w:hAnsi="Verdana" w:cs="Times New Roman"/>
          <w:sz w:val="20"/>
          <w:szCs w:val="20"/>
        </w:rPr>
        <w:t xml:space="preserve"> </w:t>
      </w:r>
      <w:r w:rsidRPr="00901E0B">
        <w:rPr>
          <w:rFonts w:ascii="Verdana" w:eastAsia="Aptos" w:hAnsi="Verdana" w:cs="Times New Roman"/>
          <w:sz w:val="20"/>
          <w:szCs w:val="20"/>
        </w:rPr>
        <w:t>(…)</w:t>
      </w:r>
      <w:r w:rsidR="003238DB" w:rsidRPr="00901E0B">
        <w:rPr>
          <w:rFonts w:ascii="Verdana" w:eastAsia="Aptos" w:hAnsi="Verdana" w:cs="Times New Roman"/>
          <w:sz w:val="20"/>
          <w:szCs w:val="20"/>
        </w:rPr>
        <w:t>.</w:t>
      </w:r>
    </w:p>
    <w:p w14:paraId="2D068292" w14:textId="77777777" w:rsidR="00AB467B" w:rsidRPr="00901E0B" w:rsidRDefault="00AB467B" w:rsidP="00AB467B">
      <w:pPr>
        <w:spacing w:after="0" w:line="240" w:lineRule="auto"/>
        <w:jc w:val="both"/>
        <w:rPr>
          <w:rFonts w:ascii="Verdana" w:eastAsia="Aptos" w:hAnsi="Verdana" w:cs="Times New Roman"/>
          <w:sz w:val="20"/>
          <w:szCs w:val="20"/>
        </w:rPr>
      </w:pPr>
    </w:p>
    <w:p w14:paraId="6DCBE836" w14:textId="77777777" w:rsidR="00AB467B" w:rsidRPr="00901E0B" w:rsidRDefault="00AB467B" w:rsidP="00AB467B">
      <w:pPr>
        <w:spacing w:after="0" w:line="240" w:lineRule="auto"/>
        <w:jc w:val="both"/>
        <w:rPr>
          <w:rFonts w:ascii="Verdana" w:eastAsia="Aptos" w:hAnsi="Verdana" w:cs="Times New Roman"/>
          <w:sz w:val="20"/>
          <w:szCs w:val="20"/>
        </w:rPr>
      </w:pPr>
    </w:p>
    <w:p w14:paraId="359F31A8" w14:textId="3DB4A1C9" w:rsidR="00AB467B" w:rsidRPr="00E31648" w:rsidRDefault="00AB467B" w:rsidP="00AB467B">
      <w:pPr>
        <w:spacing w:after="0" w:line="240" w:lineRule="auto"/>
      </w:pPr>
      <w:r w:rsidRPr="00C562D4">
        <w:rPr>
          <w:rFonts w:ascii="Verdana" w:eastAsia="Calibri" w:hAnsi="Verdana" w:cs="Arial"/>
          <w:color w:val="000000" w:themeColor="text1"/>
        </w:rPr>
        <w:lastRenderedPageBreak/>
        <w:t xml:space="preserve">Bogotá D.C., </w:t>
      </w:r>
      <w:r w:rsidR="00FA1377">
        <w:rPr>
          <w:rFonts w:ascii="Verdana" w:eastAsia="Calibri" w:hAnsi="Verdana" w:cs="Arial"/>
          <w:color w:val="000000" w:themeColor="text1"/>
        </w:rPr>
        <w:t>30</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marzo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3740C4E3" w14:textId="77777777" w:rsidR="00AB467B" w:rsidRDefault="00AB467B" w:rsidP="00AB467B">
      <w:pPr>
        <w:spacing w:after="0" w:line="240" w:lineRule="auto"/>
        <w:jc w:val="both"/>
        <w:rPr>
          <w:rFonts w:ascii="Verdana" w:eastAsia="Calibri" w:hAnsi="Verdana" w:cs="Arial"/>
          <w:color w:val="000000" w:themeColor="text1"/>
          <w:lang w:val="es-ES"/>
        </w:rPr>
      </w:pPr>
    </w:p>
    <w:p w14:paraId="4ACDFD8C" w14:textId="77777777" w:rsidR="00AB467B" w:rsidRDefault="00AB467B" w:rsidP="00AB467B">
      <w:pPr>
        <w:spacing w:after="0" w:line="240" w:lineRule="auto"/>
        <w:jc w:val="both"/>
        <w:rPr>
          <w:rFonts w:ascii="Verdana" w:eastAsia="Calibri" w:hAnsi="Verdana" w:cs="Arial"/>
          <w:color w:val="000000" w:themeColor="text1"/>
          <w:lang w:val="es-ES"/>
        </w:rPr>
      </w:pPr>
    </w:p>
    <w:p w14:paraId="19CD592F" w14:textId="525862F7" w:rsidR="00F832D1" w:rsidRDefault="00F832D1" w:rsidP="00F832D1">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69B8E674" wp14:editId="60FC5BA6">
            <wp:extent cx="2880237" cy="819150"/>
            <wp:effectExtent l="0" t="0" r="0" b="0"/>
            <wp:docPr id="11427727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6934" cy="821055"/>
                    </a:xfrm>
                    <a:prstGeom prst="rect">
                      <a:avLst/>
                    </a:prstGeom>
                    <a:noFill/>
                    <a:ln>
                      <a:noFill/>
                    </a:ln>
                  </pic:spPr>
                </pic:pic>
              </a:graphicData>
            </a:graphic>
          </wp:inline>
        </w:drawing>
      </w:r>
    </w:p>
    <w:p w14:paraId="228BE43E" w14:textId="77777777" w:rsidR="00F832D1" w:rsidRPr="00115E3D" w:rsidRDefault="00F832D1" w:rsidP="00AB467B">
      <w:pPr>
        <w:spacing w:after="0" w:line="240" w:lineRule="auto"/>
        <w:jc w:val="both"/>
        <w:rPr>
          <w:rFonts w:ascii="Verdana" w:eastAsia="Calibri" w:hAnsi="Verdana" w:cs="Arial"/>
          <w:color w:val="000000" w:themeColor="text1"/>
          <w:lang w:val="es-ES"/>
        </w:rPr>
      </w:pPr>
    </w:p>
    <w:p w14:paraId="5B84CFD4" w14:textId="77777777" w:rsidR="00AB467B" w:rsidRPr="00115E3D" w:rsidRDefault="00AB467B" w:rsidP="00AB467B">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1125EE68" w14:textId="77777777" w:rsidR="00AB467B" w:rsidRDefault="00AB467B" w:rsidP="00AB467B">
      <w:pPr>
        <w:spacing w:after="0" w:line="240" w:lineRule="auto"/>
        <w:rPr>
          <w:rFonts w:ascii="Verdana" w:eastAsia="Calibri" w:hAnsi="Verdana" w:cs="Arial"/>
          <w:b/>
          <w:bCs/>
          <w:color w:val="000000" w:themeColor="text1"/>
          <w:lang w:eastAsia="es-ES"/>
        </w:rPr>
      </w:pPr>
      <w:r w:rsidRPr="00D669A6">
        <w:rPr>
          <w:rFonts w:ascii="Verdana" w:eastAsia="Calibri" w:hAnsi="Verdana" w:cs="Arial"/>
          <w:b/>
          <w:bCs/>
          <w:color w:val="000000" w:themeColor="text1"/>
          <w:lang w:eastAsia="es-ES"/>
        </w:rPr>
        <w:t>JENIFFER VANESSA BRIÑEZ REMISIO</w:t>
      </w:r>
      <w:r w:rsidRPr="008D09A2">
        <w:rPr>
          <w:rFonts w:ascii="Verdana" w:eastAsia="Calibri" w:hAnsi="Verdana" w:cs="Arial"/>
          <w:b/>
          <w:bCs/>
          <w:color w:val="000000" w:themeColor="text1"/>
          <w:lang w:eastAsia="es-ES"/>
        </w:rPr>
        <w:t xml:space="preserve"> </w:t>
      </w:r>
    </w:p>
    <w:p w14:paraId="7737BEF4" w14:textId="77777777" w:rsidR="00AB467B" w:rsidRPr="008D09A2" w:rsidRDefault="00805406" w:rsidP="00AB467B">
      <w:pPr>
        <w:spacing w:after="0" w:line="240" w:lineRule="auto"/>
        <w:rPr>
          <w:rFonts w:ascii="Verdana" w:eastAsia="Calibri" w:hAnsi="Verdana" w:cs="Arial"/>
          <w:color w:val="000000" w:themeColor="text1"/>
          <w:lang w:eastAsia="es-ES"/>
        </w:rPr>
      </w:pPr>
      <w:hyperlink r:id="rId11" w:history="1">
        <w:r w:rsidR="00AB467B" w:rsidRPr="00EF5BD4">
          <w:rPr>
            <w:rStyle w:val="Hipervnculo"/>
            <w:rFonts w:ascii="Verdana" w:hAnsi="Verdana"/>
          </w:rPr>
          <w:t>jbrinez@bomberosbogota.gov.co</w:t>
        </w:r>
      </w:hyperlink>
      <w:r w:rsidR="00AB467B">
        <w:rPr>
          <w:rFonts w:ascii="Verdana" w:hAnsi="Verdana"/>
        </w:rPr>
        <w:t xml:space="preserve"> </w:t>
      </w:r>
    </w:p>
    <w:p w14:paraId="5BF1CA48" w14:textId="77777777" w:rsidR="00AB467B" w:rsidRPr="00CB7ABE" w:rsidRDefault="00AB467B" w:rsidP="00AB467B">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AB467B" w:rsidRPr="00115E3D" w14:paraId="524811E3" w14:textId="77777777" w:rsidTr="00CC21F5">
        <w:trPr>
          <w:trHeight w:val="615"/>
        </w:trPr>
        <w:tc>
          <w:tcPr>
            <w:tcW w:w="2270" w:type="dxa"/>
          </w:tcPr>
          <w:p w14:paraId="65EA06D1" w14:textId="77777777" w:rsidR="00AB467B" w:rsidRPr="00CB7ABE" w:rsidRDefault="00AB467B" w:rsidP="00CC21F5">
            <w:pPr>
              <w:jc w:val="both"/>
              <w:rPr>
                <w:rFonts w:ascii="Verdana" w:eastAsia="Calibri" w:hAnsi="Verdana" w:cs="Arial"/>
                <w:b/>
                <w:bCs/>
                <w:color w:val="000000" w:themeColor="text1"/>
                <w:lang w:eastAsia="es-ES_tradnl"/>
              </w:rPr>
            </w:pPr>
          </w:p>
        </w:tc>
        <w:tc>
          <w:tcPr>
            <w:tcW w:w="6547" w:type="dxa"/>
          </w:tcPr>
          <w:p w14:paraId="5E1477E2" w14:textId="77777777" w:rsidR="00AB467B" w:rsidRPr="00115E3D" w:rsidRDefault="00AB467B" w:rsidP="00CC21F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248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AB467B" w:rsidRPr="007E403E" w14:paraId="0221A60E" w14:textId="77777777" w:rsidTr="00CC21F5">
        <w:trPr>
          <w:trHeight w:val="1071"/>
        </w:trPr>
        <w:tc>
          <w:tcPr>
            <w:tcW w:w="2270" w:type="dxa"/>
          </w:tcPr>
          <w:p w14:paraId="31E303D0" w14:textId="77777777" w:rsidR="00AB467B" w:rsidRPr="001B36DA" w:rsidRDefault="00AB467B" w:rsidP="00CC21F5">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C5E969E" w14:textId="39A13495" w:rsidR="00AB467B" w:rsidRDefault="00AB467B" w:rsidP="00CC21F5">
            <w:pPr>
              <w:spacing w:line="276" w:lineRule="auto"/>
              <w:jc w:val="both"/>
              <w:rPr>
                <w:rFonts w:ascii="Verdana" w:eastAsia="Calibri" w:hAnsi="Verdana" w:cs="Arial"/>
                <w:color w:val="000000" w:themeColor="text1"/>
                <w:lang w:val="es-ES" w:eastAsia="es-ES"/>
              </w:rPr>
            </w:pPr>
            <w:r w:rsidRPr="00CF41A0">
              <w:rPr>
                <w:rFonts w:ascii="Verdana" w:eastAsia="Calibri" w:hAnsi="Verdana" w:cs="Arial"/>
                <w:bCs/>
                <w:lang w:val="es-ES_tradnl"/>
              </w:rPr>
              <w:t>LIQUIDACIÓN DEL CONTRATO – Definición – Objetivo / LIQUIDACIÓN DEL CONTRATO – Normativa /</w:t>
            </w:r>
            <w:r w:rsidR="00104584">
              <w:rPr>
                <w:rFonts w:ascii="Verdana" w:eastAsia="Calibri" w:hAnsi="Verdana" w:cs="Arial"/>
                <w:bCs/>
                <w:lang w:val="es-ES_tradnl"/>
              </w:rPr>
              <w:t xml:space="preserve"> </w:t>
            </w:r>
            <w:r w:rsidR="00104584" w:rsidRPr="00CF41A0">
              <w:rPr>
                <w:rFonts w:ascii="Verdana" w:eastAsia="Calibri" w:hAnsi="Verdana" w:cs="Arial"/>
                <w:bCs/>
                <w:lang w:val="es-ES_tradnl"/>
              </w:rPr>
              <w:t xml:space="preserve">  LIQUIDACIÓN DEL CONTRATO – Normativa</w:t>
            </w:r>
            <w:r w:rsidR="00104584">
              <w:rPr>
                <w:rFonts w:ascii="Verdana" w:eastAsia="Calibri" w:hAnsi="Verdana" w:cs="Arial"/>
                <w:bCs/>
                <w:lang w:val="es-ES_tradnl"/>
              </w:rPr>
              <w:t xml:space="preserve"> – Plazos – Perdida de competencia /</w:t>
            </w:r>
            <w:r w:rsidRPr="00CF41A0">
              <w:rPr>
                <w:rFonts w:ascii="Verdana" w:eastAsia="Calibri" w:hAnsi="Verdana" w:cs="Arial"/>
                <w:bCs/>
                <w:lang w:val="es-ES_tradnl"/>
              </w:rPr>
              <w:t xml:space="preserve"> LIQUIDACIÓN DEL CONTRATO – Acta –</w:t>
            </w:r>
            <w:r w:rsidR="006D770F">
              <w:rPr>
                <w:rFonts w:ascii="Verdana" w:eastAsia="Calibri" w:hAnsi="Verdana" w:cs="Arial"/>
                <w:bCs/>
                <w:lang w:val="es-ES_tradnl"/>
              </w:rPr>
              <w:t xml:space="preserve"> Proceso de Responsabilidad Fiscal</w:t>
            </w:r>
            <w:r w:rsidRPr="001B36DA">
              <w:rPr>
                <w:rFonts w:ascii="Verdana" w:eastAsia="Calibri" w:hAnsi="Verdana" w:cs="Arial"/>
                <w:color w:val="000000" w:themeColor="text1"/>
                <w:lang w:val="es-ES" w:eastAsia="es-ES"/>
              </w:rPr>
              <w:t xml:space="preserve"> </w:t>
            </w:r>
          </w:p>
          <w:p w14:paraId="6D160DF0" w14:textId="635E1BD5" w:rsidR="009B5981" w:rsidRPr="001B36DA" w:rsidRDefault="009B5981" w:rsidP="00CC21F5">
            <w:pPr>
              <w:spacing w:line="276" w:lineRule="auto"/>
              <w:jc w:val="both"/>
              <w:rPr>
                <w:rFonts w:ascii="Verdana" w:eastAsia="Calibri" w:hAnsi="Verdana" w:cs="Arial"/>
                <w:color w:val="000000" w:themeColor="text1"/>
                <w:lang w:val="es-ES" w:eastAsia="es-ES"/>
              </w:rPr>
            </w:pPr>
          </w:p>
        </w:tc>
      </w:tr>
      <w:tr w:rsidR="00AB467B" w:rsidRPr="00115E3D" w14:paraId="6C331276" w14:textId="77777777" w:rsidTr="00CC21F5">
        <w:trPr>
          <w:trHeight w:val="653"/>
        </w:trPr>
        <w:tc>
          <w:tcPr>
            <w:tcW w:w="2270" w:type="dxa"/>
          </w:tcPr>
          <w:p w14:paraId="5FEC0FEC" w14:textId="77777777" w:rsidR="00AB467B" w:rsidRPr="00CB7ABE" w:rsidRDefault="00AB467B" w:rsidP="00CC21F5">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062640E" w14:textId="2666D192" w:rsidR="009B5981" w:rsidRPr="00175536" w:rsidRDefault="00AB467B" w:rsidP="00175536">
            <w:pPr>
              <w:ind w:right="1"/>
              <w:jc w:val="both"/>
              <w:rPr>
                <w:rFonts w:ascii="Verdana" w:eastAsia="Calibri" w:hAnsi="Verdana" w:cs="Arial"/>
                <w:color w:val="000000" w:themeColor="text1"/>
                <w:lang w:val="es-ES_tradnl" w:eastAsia="es-ES_tradnl"/>
              </w:rPr>
            </w:pPr>
            <w:r w:rsidRPr="00CB7ABE">
              <w:rPr>
                <w:rFonts w:ascii="Verdana" w:eastAsia="Calibri" w:hAnsi="Verdana" w:cs="Arial"/>
                <w:color w:val="000000" w:themeColor="text1"/>
                <w:lang w:val="es-ES_tradnl" w:eastAsia="es-ES_tradnl"/>
              </w:rPr>
              <w:t xml:space="preserve">Respuesta a </w:t>
            </w:r>
            <w:r w:rsidR="009B5981">
              <w:rPr>
                <w:rFonts w:ascii="Verdana" w:eastAsia="Calibri" w:hAnsi="Verdana" w:cs="Arial"/>
                <w:color w:val="000000" w:themeColor="text1"/>
                <w:lang w:val="es-ES_tradnl" w:eastAsia="es-ES_tradnl"/>
              </w:rPr>
              <w:t xml:space="preserve">las </w:t>
            </w:r>
            <w:r w:rsidRPr="00CB7ABE">
              <w:rPr>
                <w:rFonts w:ascii="Verdana" w:eastAsia="Calibri" w:hAnsi="Verdana" w:cs="Arial"/>
                <w:color w:val="000000" w:themeColor="text1"/>
                <w:lang w:val="es-ES_tradnl" w:eastAsia="es-ES_tradnl"/>
              </w:rPr>
              <w:t>consulta</w:t>
            </w:r>
            <w:r w:rsidR="009B5981">
              <w:rPr>
                <w:rFonts w:ascii="Verdana" w:eastAsia="Calibri" w:hAnsi="Verdana" w:cs="Arial"/>
                <w:color w:val="000000" w:themeColor="text1"/>
                <w:lang w:val="es-ES_tradnl" w:eastAsia="es-ES_tradnl"/>
              </w:rPr>
              <w:t>s</w:t>
            </w:r>
            <w:r w:rsidRPr="00CB7ABE">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 xml:space="preserve"> N.º </w:t>
            </w:r>
            <w:r w:rsidRPr="00D669A6">
              <w:rPr>
                <w:rFonts w:ascii="Verdana" w:eastAsia="Calibri" w:hAnsi="Verdana" w:cs="Arial"/>
                <w:color w:val="000000" w:themeColor="text1"/>
                <w:lang w:val="es-ES_tradnl" w:eastAsia="es-ES_tradnl"/>
              </w:rPr>
              <w:t>1_2026_02_18_002138</w:t>
            </w:r>
            <w:r w:rsidR="009B5981">
              <w:rPr>
                <w:rFonts w:ascii="Verdana" w:eastAsia="Calibri" w:hAnsi="Verdana" w:cs="Arial"/>
                <w:color w:val="000000" w:themeColor="text1"/>
                <w:lang w:val="es-ES_tradnl" w:eastAsia="es-ES_tradnl"/>
              </w:rPr>
              <w:t xml:space="preserve">, </w:t>
            </w:r>
            <w:r w:rsidR="009B5981">
              <w:rPr>
                <w:rFonts w:ascii="Verdana" w:hAnsi="Verdana" w:cs="Calibri"/>
                <w:color w:val="000000"/>
              </w:rPr>
              <w:t>1_2026_02_18_002180</w:t>
            </w:r>
            <w:r w:rsidR="00F53BAC">
              <w:rPr>
                <w:rFonts w:ascii="Verdana" w:hAnsi="Verdana" w:cs="Calibri"/>
                <w:color w:val="000000"/>
              </w:rPr>
              <w:t xml:space="preserve"> y 1_2026_02_18_002190 (Acumulados)</w:t>
            </w:r>
          </w:p>
          <w:p w14:paraId="7E2BAA59" w14:textId="786B1231" w:rsidR="00AB467B" w:rsidRPr="00CB7ABE" w:rsidRDefault="00AB467B" w:rsidP="00CC21F5">
            <w:pPr>
              <w:ind w:right="1"/>
              <w:jc w:val="both"/>
              <w:rPr>
                <w:rFonts w:ascii="Verdana" w:hAnsi="Verdana"/>
                <w:color w:val="000000"/>
              </w:rPr>
            </w:pPr>
          </w:p>
        </w:tc>
      </w:tr>
    </w:tbl>
    <w:p w14:paraId="1A05341E" w14:textId="77777777" w:rsidR="00AB467B" w:rsidRPr="00115E3D" w:rsidRDefault="00AB467B" w:rsidP="00AB467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sidRPr="00D669A6">
        <w:rPr>
          <w:rFonts w:ascii="Verdana" w:eastAsia="Calibri" w:hAnsi="Verdana" w:cs="Arial"/>
          <w:color w:val="000000" w:themeColor="text1"/>
          <w:lang w:val="es-ES" w:eastAsia="es-ES"/>
        </w:rPr>
        <w:t>Briñez</w:t>
      </w:r>
      <w:r>
        <w:rPr>
          <w:rFonts w:ascii="Verdana" w:eastAsia="Calibri" w:hAnsi="Verdana" w:cs="Arial"/>
          <w:color w:val="000000" w:themeColor="text1"/>
          <w:lang w:val="es-ES" w:eastAsia="es-ES"/>
        </w:rPr>
        <w:t>;</w:t>
      </w:r>
    </w:p>
    <w:p w14:paraId="594120F3" w14:textId="77777777" w:rsidR="00FA1377" w:rsidRDefault="00FA1377" w:rsidP="00FA1377">
      <w:pPr>
        <w:tabs>
          <w:tab w:val="left" w:pos="3768"/>
        </w:tabs>
        <w:spacing w:after="0" w:line="276" w:lineRule="auto"/>
        <w:jc w:val="both"/>
        <w:rPr>
          <w:rFonts w:ascii="Verdana" w:eastAsia="Calibri" w:hAnsi="Verdana" w:cs="Arial"/>
          <w:color w:val="000000" w:themeColor="text1"/>
          <w:lang w:val="es-ES" w:eastAsia="es-ES"/>
        </w:rPr>
      </w:pPr>
    </w:p>
    <w:p w14:paraId="0E883AD4" w14:textId="2216A192" w:rsidR="00AB467B" w:rsidRPr="00115E3D" w:rsidRDefault="00AB467B" w:rsidP="00FA1377">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en esta entidad el 18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1B458540" w14:textId="77777777" w:rsidR="00AB467B" w:rsidRDefault="00AB467B" w:rsidP="00AB467B">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55159E7F" w14:textId="77777777" w:rsidR="00AB467B"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rPr>
        <w:t>D</w:t>
      </w:r>
      <w:r w:rsidRPr="00D669A6">
        <w:rPr>
          <w:rFonts w:ascii="Verdana" w:eastAsia="Century Gothic" w:hAnsi="Verdana" w:cs="Century Gothic"/>
          <w:i/>
          <w:iCs/>
          <w:color w:val="000000" w:themeColor="text1"/>
          <w:sz w:val="20"/>
          <w:szCs w:val="20"/>
        </w:rPr>
        <w:t>e manera atenta me permito elevar la siguiente consulta, en el marco de la aplicación del Estatuto General de Contratación de la Administración Pública y la normativa vigente en materia de liquidación de contratos estatales, con el fin de contar con claridad jurídica para la adecuada culminación de los mismos.</w:t>
      </w:r>
    </w:p>
    <w:p w14:paraId="396E5B75" w14:textId="77777777" w:rsidR="00AB467B" w:rsidRPr="00D669A6"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p>
    <w:p w14:paraId="59B771DE" w14:textId="33D04122" w:rsidR="00AB467B" w:rsidRPr="00175536" w:rsidRDefault="00AB467B" w:rsidP="002E6EE4">
      <w:pPr>
        <w:spacing w:after="0" w:line="240" w:lineRule="auto"/>
        <w:ind w:left="709" w:right="709"/>
        <w:jc w:val="both"/>
        <w:rPr>
          <w:rFonts w:ascii="Verdana" w:eastAsia="Century Gothic" w:hAnsi="Verdana" w:cs="Century Gothic"/>
          <w:i/>
          <w:iCs/>
          <w:color w:val="000000" w:themeColor="text1"/>
          <w:sz w:val="20"/>
          <w:szCs w:val="20"/>
        </w:rPr>
      </w:pPr>
      <w:r w:rsidRPr="00175536">
        <w:rPr>
          <w:rFonts w:ascii="Verdana" w:eastAsia="Century Gothic" w:hAnsi="Verdana" w:cs="Century Gothic"/>
          <w:i/>
          <w:iCs/>
          <w:color w:val="000000" w:themeColor="text1"/>
          <w:sz w:val="20"/>
          <w:szCs w:val="20"/>
        </w:rPr>
        <w:lastRenderedPageBreak/>
        <w:t>I. En los contratos de prestación de servicios de mantenimiento que fueron objeto de auditoría y respecto de los cuales se configuraron hallazgos administrativos y fiscales, encontrándose actualmente en etapa de apertura de proceso administrativo de responsabilidad fiscal —sin que este haya culminado—, ¿es jurídicamente procedente continuar con la liquidación del contrato, o debe suspenderse dicha actuación hasta tanto se adopte una decisión definitiva dentro del proceso de responsabilidad fiscal?</w:t>
      </w:r>
    </w:p>
    <w:p w14:paraId="6D982DBC" w14:textId="77777777" w:rsidR="00AB467B" w:rsidRPr="00D669A6"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r w:rsidRPr="00D669A6">
        <w:rPr>
          <w:rFonts w:ascii="Verdana" w:eastAsia="Century Gothic" w:hAnsi="Verdana" w:cs="Century Gothic"/>
          <w:i/>
          <w:iCs/>
          <w:color w:val="000000" w:themeColor="text1"/>
          <w:sz w:val="20"/>
          <w:szCs w:val="20"/>
        </w:rPr>
        <w:t>II.</w:t>
      </w:r>
      <w:r>
        <w:rPr>
          <w:rFonts w:ascii="Verdana" w:eastAsia="Century Gothic" w:hAnsi="Verdana" w:cs="Century Gothic"/>
          <w:i/>
          <w:iCs/>
          <w:color w:val="000000" w:themeColor="text1"/>
          <w:sz w:val="20"/>
          <w:szCs w:val="20"/>
        </w:rPr>
        <w:t xml:space="preserve"> </w:t>
      </w:r>
      <w:r w:rsidRPr="00D669A6">
        <w:rPr>
          <w:rFonts w:ascii="Verdana" w:eastAsia="Century Gothic" w:hAnsi="Verdana" w:cs="Century Gothic"/>
          <w:i/>
          <w:iCs/>
          <w:color w:val="000000" w:themeColor="text1"/>
          <w:sz w:val="20"/>
          <w:szCs w:val="20"/>
        </w:rPr>
        <w:t>En caso de que sea viable continuar con la liquidación, ¿deben incorporarse en el acta de liquidación las salvedades correspondientes a los hallazgos y al proceso en curso, dejando constancia expresa de las actuaciones adelantadas por el ente de control?</w:t>
      </w:r>
    </w:p>
    <w:p w14:paraId="021F6835" w14:textId="77777777" w:rsidR="00AB467B" w:rsidRPr="00D669A6"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r w:rsidRPr="00D669A6">
        <w:rPr>
          <w:rFonts w:ascii="Verdana" w:eastAsia="Century Gothic" w:hAnsi="Verdana" w:cs="Century Gothic"/>
          <w:i/>
          <w:iCs/>
          <w:color w:val="000000" w:themeColor="text1"/>
          <w:sz w:val="20"/>
          <w:szCs w:val="20"/>
        </w:rPr>
        <w:t>III.</w:t>
      </w:r>
      <w:r>
        <w:rPr>
          <w:rFonts w:ascii="Verdana" w:eastAsia="Century Gothic" w:hAnsi="Verdana" w:cs="Century Gothic"/>
          <w:i/>
          <w:iCs/>
          <w:color w:val="000000" w:themeColor="text1"/>
          <w:sz w:val="20"/>
          <w:szCs w:val="20"/>
        </w:rPr>
        <w:t xml:space="preserve"> </w:t>
      </w:r>
      <w:r w:rsidRPr="00D669A6">
        <w:rPr>
          <w:rFonts w:ascii="Verdana" w:eastAsia="Century Gothic" w:hAnsi="Verdana" w:cs="Century Gothic"/>
          <w:i/>
          <w:iCs/>
          <w:color w:val="000000" w:themeColor="text1"/>
          <w:sz w:val="20"/>
          <w:szCs w:val="20"/>
        </w:rPr>
        <w:t>¿La existencia de un proceso de responsabilidad fiscal en trámite afecta la posibilidad de realizar una liquidación bilateral, o se recomienda optar por la liquidación unilateral por parte de la entidad?</w:t>
      </w:r>
    </w:p>
    <w:p w14:paraId="09ED63BE" w14:textId="77777777" w:rsidR="00AB467B" w:rsidRPr="00D669A6"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r w:rsidRPr="00D669A6">
        <w:rPr>
          <w:rFonts w:ascii="Verdana" w:eastAsia="Century Gothic" w:hAnsi="Verdana" w:cs="Century Gothic"/>
          <w:i/>
          <w:iCs/>
          <w:color w:val="000000" w:themeColor="text1"/>
          <w:sz w:val="20"/>
          <w:szCs w:val="20"/>
        </w:rPr>
        <w:t>IV.</w:t>
      </w:r>
      <w:r>
        <w:rPr>
          <w:rFonts w:ascii="Verdana" w:eastAsia="Century Gothic" w:hAnsi="Verdana" w:cs="Century Gothic"/>
          <w:i/>
          <w:iCs/>
          <w:color w:val="000000" w:themeColor="text1"/>
          <w:sz w:val="20"/>
          <w:szCs w:val="20"/>
        </w:rPr>
        <w:t xml:space="preserve"> </w:t>
      </w:r>
      <w:r w:rsidRPr="00D669A6">
        <w:rPr>
          <w:rFonts w:ascii="Verdana" w:eastAsia="Century Gothic" w:hAnsi="Verdana" w:cs="Century Gothic"/>
          <w:i/>
          <w:iCs/>
          <w:color w:val="000000" w:themeColor="text1"/>
          <w:sz w:val="20"/>
          <w:szCs w:val="20"/>
        </w:rPr>
        <w:t>¿Qué efectos jurídicos podría generar la liquidación del contrato frente al desarrollo y eventual decisión del proceso administrativo de responsabilidad fiscal?</w:t>
      </w:r>
    </w:p>
    <w:p w14:paraId="73182320" w14:textId="77777777" w:rsidR="00AB467B"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p>
    <w:p w14:paraId="00086ED1" w14:textId="1985D5D8" w:rsidR="00AB467B" w:rsidRDefault="00AB467B" w:rsidP="00AB467B">
      <w:pPr>
        <w:spacing w:after="0" w:line="240" w:lineRule="auto"/>
        <w:ind w:left="709" w:right="709"/>
        <w:jc w:val="both"/>
        <w:rPr>
          <w:rFonts w:ascii="Verdana" w:eastAsia="Century Gothic" w:hAnsi="Verdana" w:cs="Century Gothic"/>
          <w:i/>
          <w:iCs/>
          <w:color w:val="000000" w:themeColor="text1"/>
          <w:sz w:val="20"/>
          <w:szCs w:val="20"/>
        </w:rPr>
      </w:pPr>
      <w:r w:rsidRPr="00D669A6">
        <w:rPr>
          <w:rFonts w:ascii="Verdana" w:eastAsia="Century Gothic" w:hAnsi="Verdana" w:cs="Century Gothic"/>
          <w:i/>
          <w:iCs/>
          <w:color w:val="000000" w:themeColor="text1"/>
          <w:sz w:val="20"/>
          <w:szCs w:val="20"/>
        </w:rPr>
        <w:t>De acuerdo con lo anteriormente expuesto, respetuosamente solicitamos se sirvan brindar la correspondiente orientación jurídica, a efectos de determinar el procedimiento que debe seguir la entidad frente a la liquidación de los contratos en mención, considerando la existencia de hallazgos fiscales y procesos de responsabilidad fiscal en curso</w:t>
      </w:r>
      <w:r w:rsidR="00EC7319">
        <w:rPr>
          <w:rFonts w:ascii="Verdana" w:eastAsia="Century Gothic" w:hAnsi="Verdana" w:cs="Century Gothic"/>
          <w:i/>
          <w:iCs/>
          <w:color w:val="000000" w:themeColor="text1"/>
          <w:sz w:val="20"/>
          <w:szCs w:val="20"/>
        </w:rPr>
        <w:t>”</w:t>
      </w:r>
      <w:r w:rsidRPr="00D669A6">
        <w:rPr>
          <w:rFonts w:ascii="Verdana" w:eastAsia="Century Gothic" w:hAnsi="Verdana" w:cs="Century Gothic"/>
          <w:i/>
          <w:iCs/>
          <w:color w:val="000000" w:themeColor="text1"/>
          <w:sz w:val="20"/>
          <w:szCs w:val="20"/>
        </w:rPr>
        <w:t>.</w:t>
      </w:r>
    </w:p>
    <w:p w14:paraId="5E8FF75B" w14:textId="77777777" w:rsidR="00AB467B" w:rsidRPr="00EC7319" w:rsidRDefault="00AB467B" w:rsidP="00175536">
      <w:pPr>
        <w:spacing w:after="0" w:line="276" w:lineRule="auto"/>
        <w:ind w:left="709" w:right="709"/>
        <w:jc w:val="both"/>
        <w:rPr>
          <w:rFonts w:ascii="Verdana" w:eastAsia="Century Gothic" w:hAnsi="Verdana" w:cs="Century Gothic"/>
          <w:i/>
          <w:iCs/>
          <w:color w:val="000000" w:themeColor="text1"/>
        </w:rPr>
      </w:pPr>
    </w:p>
    <w:p w14:paraId="337AB34A" w14:textId="4F9E25EC" w:rsidR="00AB467B" w:rsidRPr="00115E3D" w:rsidRDefault="00AB467B" w:rsidP="00175536">
      <w:pPr>
        <w:spacing w:after="12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er general en materia de compras y contratación pública. En ese sentido, resolver casos particulares desborda las atribuciones asignadas por el legislador extraordinario, que no concibió a</w:t>
      </w:r>
      <w:r w:rsidR="00562FF4">
        <w:rPr>
          <w:rFonts w:ascii="Verdana" w:eastAsia="Calibri" w:hAnsi="Verdana" w:cs="Arial"/>
          <w:color w:val="000000" w:themeColor="text1"/>
          <w:lang w:val="es-ES" w:eastAsia="es-ES"/>
        </w:rPr>
        <w:t xml:space="preserve"> la Agencia Nacional de Contratación Pública –</w:t>
      </w:r>
      <w:r w:rsidRPr="00115E3D">
        <w:rPr>
          <w:rFonts w:ascii="Verdana" w:eastAsia="Calibri" w:hAnsi="Verdana" w:cs="Arial"/>
          <w:color w:val="000000" w:themeColor="text1"/>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53CDA21" w14:textId="0121B22B" w:rsidR="00AB467B" w:rsidRPr="00115E3D" w:rsidRDefault="00AB467B" w:rsidP="00AB467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115E3D">
        <w:rPr>
          <w:rFonts w:ascii="Verdana" w:eastAsia="Calibri" w:hAnsi="Verdana" w:cs="Arial"/>
          <w:color w:val="000000" w:themeColor="text1"/>
          <w:lang w:val="es-ES" w:eastAsia="es-ES"/>
        </w:rPr>
        <w:lastRenderedPageBreak/>
        <w:t xml:space="preserve">concretas mencionadas en su petición, pero </w:t>
      </w:r>
      <w:r w:rsidR="00D631DB">
        <w:rPr>
          <w:rFonts w:ascii="Verdana" w:eastAsia="Calibri" w:hAnsi="Verdana" w:cs="Arial"/>
          <w:color w:val="000000" w:themeColor="text1"/>
          <w:lang w:val="es-ES" w:eastAsia="es-ES"/>
        </w:rPr>
        <w:t>señala</w:t>
      </w:r>
      <w:r w:rsidRPr="00115E3D">
        <w:rPr>
          <w:rFonts w:ascii="Verdana" w:eastAsia="Calibri" w:hAnsi="Verdana" w:cs="Arial"/>
          <w:color w:val="000000" w:themeColor="text1"/>
          <w:lang w:val="es-ES" w:eastAsia="es-ES"/>
        </w:rPr>
        <w:t xml:space="preserve">ndo </w:t>
      </w:r>
      <w:r w:rsidR="00D631DB">
        <w:rPr>
          <w:rFonts w:ascii="Verdana" w:eastAsia="Calibri" w:hAnsi="Verdana" w:cs="Arial"/>
          <w:color w:val="000000" w:themeColor="text1"/>
          <w:lang w:val="es-ES" w:eastAsia="es-ES"/>
        </w:rPr>
        <w:t>alg</w:t>
      </w:r>
      <w:r w:rsidRPr="00115E3D">
        <w:rPr>
          <w:rFonts w:ascii="Verdana" w:eastAsia="Calibri" w:hAnsi="Verdana" w:cs="Arial"/>
          <w:color w:val="000000" w:themeColor="text1"/>
          <w:lang w:val="es-ES" w:eastAsia="es-ES"/>
        </w:rPr>
        <w:t>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0A88D8F7" w14:textId="77777777" w:rsidR="00AB467B" w:rsidRPr="00115E3D" w:rsidRDefault="00AB467B" w:rsidP="00D631DB">
      <w:pPr>
        <w:spacing w:after="0" w:line="276" w:lineRule="auto"/>
        <w:ind w:firstLine="709"/>
        <w:jc w:val="both"/>
        <w:rPr>
          <w:rFonts w:ascii="Verdana" w:eastAsia="Calibri" w:hAnsi="Verdana" w:cs="Arial"/>
          <w:color w:val="000000" w:themeColor="text1"/>
          <w:lang w:val="es-ES" w:eastAsia="es-ES"/>
        </w:rPr>
      </w:pPr>
    </w:p>
    <w:p w14:paraId="3EF83F51" w14:textId="77777777" w:rsidR="00AB467B" w:rsidRPr="00115E3D" w:rsidRDefault="00AB467B" w:rsidP="0017553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54A1DA1F" w14:textId="77777777" w:rsidR="00AB467B" w:rsidRPr="00115E3D" w:rsidRDefault="00AB467B" w:rsidP="00D631DB">
      <w:pPr>
        <w:tabs>
          <w:tab w:val="left" w:pos="426"/>
        </w:tabs>
        <w:spacing w:after="0" w:line="276" w:lineRule="auto"/>
        <w:jc w:val="both"/>
        <w:rPr>
          <w:rFonts w:ascii="Verdana" w:eastAsia="Century Gothic" w:hAnsi="Verdana" w:cs="Century Gothic"/>
          <w:color w:val="000000" w:themeColor="text1"/>
          <w:lang w:val="es-ES"/>
        </w:rPr>
      </w:pPr>
    </w:p>
    <w:p w14:paraId="6039ACFA" w14:textId="04BCD086" w:rsidR="00AB467B" w:rsidRDefault="00AB467B" w:rsidP="00D631DB">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572201">
        <w:rPr>
          <w:rFonts w:ascii="Verdana" w:eastAsia="Century Gothic" w:hAnsi="Verdana" w:cs="Century Gothic"/>
        </w:rPr>
        <w:t>¿</w:t>
      </w:r>
      <w:r w:rsidRPr="002462D7">
        <w:rPr>
          <w:rFonts w:ascii="Verdana" w:eastAsia="Century Gothic" w:hAnsi="Verdana" w:cs="Century Gothic"/>
        </w:rPr>
        <w:t>E</w:t>
      </w:r>
      <w:r>
        <w:rPr>
          <w:rFonts w:ascii="Verdana" w:eastAsia="Century Gothic" w:hAnsi="Verdana" w:cs="Century Gothic"/>
        </w:rPr>
        <w:t>s viable jurídicamente proceder con la liquidación de un contrato estatal sobre el cual se configuraron hallazgos fiscales y administrativos?</w:t>
      </w:r>
    </w:p>
    <w:p w14:paraId="1FADEB3B" w14:textId="77777777" w:rsidR="00AB467B" w:rsidRDefault="00AB467B" w:rsidP="00545521">
      <w:pPr>
        <w:spacing w:after="0" w:line="276" w:lineRule="auto"/>
        <w:jc w:val="both"/>
        <w:rPr>
          <w:rFonts w:ascii="Verdana" w:hAnsi="Verdana"/>
        </w:rPr>
      </w:pPr>
    </w:p>
    <w:p w14:paraId="6E260C4D" w14:textId="77777777" w:rsidR="00AB467B" w:rsidRPr="00115E3D" w:rsidRDefault="00AB467B" w:rsidP="005455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4B2C5F5" w14:textId="77777777" w:rsidR="00AB467B" w:rsidRPr="00115E3D" w:rsidRDefault="00AB467B" w:rsidP="0054552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67B" w:rsidRPr="00115E3D" w14:paraId="59FDE205" w14:textId="77777777" w:rsidTr="00CC21F5">
        <w:trPr>
          <w:trHeight w:val="774"/>
        </w:trPr>
        <w:tc>
          <w:tcPr>
            <w:tcW w:w="8828" w:type="dxa"/>
          </w:tcPr>
          <w:p w14:paraId="196115B5" w14:textId="5A98614C" w:rsidR="00AB467B" w:rsidRDefault="00AB467B" w:rsidP="00CC21F5">
            <w:pPr>
              <w:spacing w:after="120" w:line="276" w:lineRule="auto"/>
              <w:jc w:val="both"/>
              <w:rPr>
                <w:rFonts w:ascii="Verdana" w:eastAsia="Aptos" w:hAnsi="Verdana" w:cs="Times New Roman"/>
                <w:lang w:val="es-MX"/>
              </w:rPr>
            </w:pPr>
            <w:r w:rsidRPr="60F4F7EF">
              <w:rPr>
                <w:rFonts w:ascii="Verdana" w:eastAsia="Calibri" w:hAnsi="Verdana" w:cs="Arial"/>
              </w:rPr>
              <w:t xml:space="preserve">Frente al problema jurídico planteado es preciso señalar que </w:t>
            </w:r>
            <w:r>
              <w:rPr>
                <w:rFonts w:ascii="Verdana" w:eastAsia="Calibri" w:hAnsi="Verdana" w:cs="Arial"/>
              </w:rPr>
              <w:t>l</w:t>
            </w:r>
            <w:r w:rsidRPr="00CF41A0">
              <w:rPr>
                <w:rFonts w:ascii="Verdana" w:eastAsia="Aptos" w:hAnsi="Verdana" w:cs="Times New Roman"/>
                <w:lang w:val="es-MX"/>
              </w:rPr>
              <w:t>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Pr>
                <w:rFonts w:ascii="Verdana" w:eastAsia="Aptos" w:hAnsi="Verdana" w:cs="Times New Roman"/>
                <w:lang w:val="es-MX"/>
              </w:rPr>
              <w:t>.</w:t>
            </w:r>
          </w:p>
          <w:p w14:paraId="3C8A8218" w14:textId="77777777" w:rsidR="00AB467B" w:rsidRPr="00CF41A0" w:rsidRDefault="00AB467B" w:rsidP="00CC21F5">
            <w:pPr>
              <w:spacing w:after="120" w:line="276" w:lineRule="auto"/>
              <w:ind w:firstLine="709"/>
              <w:jc w:val="both"/>
              <w:rPr>
                <w:rFonts w:ascii="Verdana" w:eastAsia="Aptos" w:hAnsi="Verdana" w:cs="Times New Roman"/>
                <w:lang w:val="es-MX"/>
              </w:rPr>
            </w:pPr>
            <w:r>
              <w:rPr>
                <w:rFonts w:ascii="Verdana" w:eastAsia="Times New Roman" w:hAnsi="Verdana" w:cs="Arial"/>
                <w:lang w:val="es-ES" w:eastAsia="es-ES"/>
              </w:rPr>
              <w:t xml:space="preserve"> Ahora bien, e</w:t>
            </w:r>
            <w:r w:rsidRPr="00CF41A0">
              <w:rPr>
                <w:rFonts w:ascii="Verdana" w:eastAsia="Times New Roman" w:hAnsi="Verdana" w:cs="Arial"/>
                <w:lang w:val="es-ES" w:eastAsia="es-ES"/>
              </w:rPr>
              <w:t xml:space="preserve">xisten tres tipos de liquidación: i) bilateral, </w:t>
            </w:r>
            <w:proofErr w:type="spellStart"/>
            <w:r w:rsidRPr="00CF41A0">
              <w:rPr>
                <w:rFonts w:ascii="Verdana" w:eastAsia="Times New Roman" w:hAnsi="Verdana" w:cs="Arial"/>
                <w:lang w:val="es-ES" w:eastAsia="es-ES"/>
              </w:rPr>
              <w:t>ii</w:t>
            </w:r>
            <w:proofErr w:type="spellEnd"/>
            <w:r w:rsidRPr="00CF41A0">
              <w:rPr>
                <w:rFonts w:ascii="Verdana" w:eastAsia="Times New Roman" w:hAnsi="Verdana" w:cs="Arial"/>
                <w:lang w:val="es-ES" w:eastAsia="es-ES"/>
              </w:rPr>
              <w:t xml:space="preserve">) unilateral y </w:t>
            </w:r>
            <w:proofErr w:type="spellStart"/>
            <w:r w:rsidRPr="00CF41A0">
              <w:rPr>
                <w:rFonts w:ascii="Verdana" w:eastAsia="Times New Roman" w:hAnsi="Verdana" w:cs="Arial"/>
                <w:lang w:val="es-ES" w:eastAsia="es-ES"/>
              </w:rPr>
              <w:t>iii</w:t>
            </w:r>
            <w:proofErr w:type="spellEnd"/>
            <w:r w:rsidRPr="00CF41A0">
              <w:rPr>
                <w:rFonts w:ascii="Verdana" w:eastAsia="Times New Roman" w:hAnsi="Verdana" w:cs="Arial"/>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28AD952F" w14:textId="4265EC26" w:rsidR="00AB467B" w:rsidRPr="00DF1686" w:rsidRDefault="00AB467B" w:rsidP="00CC21F5">
            <w:pPr>
              <w:spacing w:after="120" w:line="276" w:lineRule="auto"/>
              <w:jc w:val="both"/>
              <w:rPr>
                <w:rFonts w:ascii="Verdana" w:eastAsia="Arial" w:hAnsi="Verdana" w:cs="Arial"/>
                <w:u w:val="single"/>
                <w:lang w:val="es-ES" w:eastAsia="es-ES" w:bidi="es-ES"/>
              </w:rPr>
            </w:pPr>
            <w:r>
              <w:rPr>
                <w:rFonts w:ascii="Verdana" w:eastAsia="Arial" w:hAnsi="Verdana" w:cs="Arial"/>
                <w:lang w:eastAsia="es-ES" w:bidi="es-ES"/>
              </w:rPr>
              <w:t xml:space="preserve">        </w:t>
            </w:r>
            <w:r w:rsidR="00A055E9" w:rsidRPr="006B17A7">
              <w:rPr>
                <w:rFonts w:ascii="Verdana" w:eastAsia="Times New Roman" w:hAnsi="Verdana" w:cs="Arial"/>
                <w:color w:val="000000"/>
                <w:lang w:eastAsia="es-CO"/>
              </w:rPr>
              <w:t xml:space="preserve">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w:t>
            </w:r>
            <w:r w:rsidR="00A055E9" w:rsidRPr="006B17A7">
              <w:rPr>
                <w:rFonts w:ascii="Verdana" w:eastAsia="Times New Roman" w:hAnsi="Verdana" w:cs="Arial"/>
                <w:color w:val="000000"/>
                <w:lang w:eastAsia="es-CO"/>
              </w:rPr>
              <w:lastRenderedPageBreak/>
              <w:t xml:space="preserve">competencia de la entidad para realizar el balance final del acuerdo de voluntades pactado. </w:t>
            </w:r>
          </w:p>
          <w:p w14:paraId="2640E3F9" w14:textId="3B52AEC7" w:rsidR="00AB467B" w:rsidRDefault="00AB467B" w:rsidP="00CC21F5">
            <w:pPr>
              <w:spacing w:after="120" w:line="276" w:lineRule="auto"/>
              <w:jc w:val="both"/>
              <w:rPr>
                <w:rFonts w:ascii="Verdana" w:eastAsia="Calibri" w:hAnsi="Verdana" w:cs="Arial"/>
              </w:rPr>
            </w:pPr>
            <w:r>
              <w:rPr>
                <w:rFonts w:ascii="Verdana" w:eastAsia="Calibri" w:hAnsi="Verdana" w:cs="Arial"/>
              </w:rPr>
              <w:t xml:space="preserve">         Ahora bien, por su parte e</w:t>
            </w:r>
            <w:r w:rsidRPr="00195D47">
              <w:rPr>
                <w:rFonts w:ascii="Verdana" w:eastAsia="Calibri" w:hAnsi="Verdana" w:cs="Arial"/>
              </w:rPr>
              <w:t>n el contexto de la contratación pública, un hallazgo fiscal es un concepto jurídico y contable que emerge de una auditoría realizada por los entes de control fiscal, como la Contraloría General de la República. Se trata de un indicio de una posible lesión al patrimonio público, que se produce a raíz de una gestión fiscal ineficiente, ineficaz o contraria a la ley. Este hallazgo puede ser un simple señalamiento o, si hay pruebas que lo sustenten, dar origen a un proceso de responsabilidad fiscal.</w:t>
            </w:r>
          </w:p>
          <w:p w14:paraId="6E07EDBE" w14:textId="7F2DF96F" w:rsidR="00A055E9" w:rsidRPr="00175536" w:rsidRDefault="004B7611" w:rsidP="00175536">
            <w:pPr>
              <w:spacing w:after="120" w:line="276" w:lineRule="auto"/>
              <w:ind w:firstLine="708"/>
              <w:jc w:val="both"/>
              <w:rPr>
                <w:rFonts w:ascii="Verdana" w:eastAsia="Calibri" w:hAnsi="Verdana" w:cs="Arial"/>
                <w:color w:val="000000"/>
                <w:lang w:val="es-ES" w:eastAsia="es-ES"/>
              </w:rPr>
            </w:pPr>
            <w:r>
              <w:rPr>
                <w:rFonts w:ascii="Verdana" w:eastAsia="Calibri" w:hAnsi="Verdana" w:cs="Arial"/>
                <w:color w:val="000000"/>
                <w:lang w:val="es-ES" w:eastAsia="es-ES"/>
              </w:rPr>
              <w:t>D</w:t>
            </w:r>
            <w:r w:rsidR="00A055E9">
              <w:rPr>
                <w:rFonts w:ascii="Verdana" w:eastAsia="Calibri" w:hAnsi="Verdana" w:cs="Arial"/>
                <w:color w:val="000000"/>
                <w:lang w:val="es-ES" w:eastAsia="es-ES"/>
              </w:rPr>
              <w:t xml:space="preserve">e acuerdo con el marco jurídico colombiano, la existencia de un proceso de responsabilidad fiscal no constituye, por </w:t>
            </w:r>
            <w:proofErr w:type="spellStart"/>
            <w:r w:rsidR="00A055E9">
              <w:rPr>
                <w:rFonts w:ascii="Verdana" w:eastAsia="Calibri" w:hAnsi="Verdana" w:cs="Arial"/>
                <w:color w:val="000000"/>
                <w:lang w:val="es-ES" w:eastAsia="es-ES"/>
              </w:rPr>
              <w:t>mi</w:t>
            </w:r>
            <w:proofErr w:type="spellEnd"/>
            <w:r w:rsidR="00A055E9">
              <w:rPr>
                <w:rFonts w:ascii="Verdana" w:eastAsia="Calibri" w:hAnsi="Verdana" w:cs="Arial"/>
                <w:color w:val="000000"/>
                <w:lang w:val="es-ES" w:eastAsia="es-ES"/>
              </w:rPr>
              <w:t xml:space="preserve"> misma, una causal de suspensión de la liquidación. Esto en la medida que el proceso contractual – incluida la liquidación - y el proceso de responsabilidad fiscal son actuaciones independientes, con naturaleza jurídica, finalidades y competencias distintas. Mientras que la liquidación del contrato es un deber legal que buscar determinar </w:t>
            </w:r>
            <w:r w:rsidR="00A055E9" w:rsidRPr="00896225">
              <w:rPr>
                <w:rFonts w:ascii="Verdana" w:eastAsia="Times New Roman" w:hAnsi="Verdana" w:cs="Segoe UI"/>
                <w:lang w:eastAsia="es-ES_tradnl"/>
              </w:rPr>
              <w:t>el estado final de las obligaciones, definir saldos a favor o en contra, y dejar claridad sobre el cumplimiento de las prestaciones a cargo de las partes. Por su parte, la responsabilidad fiscal persigue la recuperación del patrimonio público eventualmente afectado, sin que tal actuación</w:t>
            </w:r>
            <w:r w:rsidR="00A055E9">
              <w:rPr>
                <w:rFonts w:ascii="Verdana" w:eastAsia="Times New Roman" w:hAnsi="Verdana" w:cs="Segoe UI"/>
                <w:lang w:eastAsia="es-ES_tradnl"/>
              </w:rPr>
              <w:t>, en principio,</w:t>
            </w:r>
            <w:r w:rsidR="00A055E9" w:rsidRPr="00896225">
              <w:rPr>
                <w:rFonts w:ascii="Verdana" w:eastAsia="Times New Roman" w:hAnsi="Verdana" w:cs="Segoe UI"/>
                <w:lang w:eastAsia="es-ES_tradnl"/>
              </w:rPr>
              <w:t xml:space="preserve"> tenga efectos suspensivos automáticos sobre </w:t>
            </w:r>
            <w:r w:rsidR="00A055E9">
              <w:rPr>
                <w:rFonts w:ascii="Verdana" w:eastAsia="Times New Roman" w:hAnsi="Verdana" w:cs="Segoe UI"/>
                <w:lang w:eastAsia="es-ES_tradnl"/>
              </w:rPr>
              <w:t>la liquidación</w:t>
            </w:r>
            <w:r w:rsidR="00A055E9">
              <w:rPr>
                <w:rFonts w:ascii="Verdana" w:eastAsia="Calibri" w:hAnsi="Verdana" w:cs="Arial"/>
                <w:color w:val="000000"/>
                <w:lang w:val="es-ES" w:eastAsia="es-ES"/>
              </w:rPr>
              <w:t xml:space="preserve">. </w:t>
            </w:r>
          </w:p>
          <w:p w14:paraId="393C9321" w14:textId="1D0B8567" w:rsidR="00AB467B" w:rsidRPr="00195D47" w:rsidRDefault="00AB467B" w:rsidP="00CC21F5">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r w:rsidRPr="00195D47">
              <w:rPr>
                <w:rFonts w:ascii="Verdana" w:eastAsia="Calibri" w:hAnsi="Verdana" w:cs="Arial"/>
                <w:bCs/>
                <w:lang w:eastAsia="es-ES_tradnl"/>
              </w:rPr>
              <w:t xml:space="preserve">En virtud de lo expuesto, corresponderá a las partes contratantes y a sus respectivos equipos jurídicos valorar, con base en los hallazgos fiscales identificados </w:t>
            </w:r>
            <w:r>
              <w:rPr>
                <w:rFonts w:ascii="Verdana" w:eastAsia="Calibri" w:hAnsi="Verdana" w:cs="Arial"/>
                <w:bCs/>
                <w:lang w:eastAsia="es-ES_tradnl"/>
              </w:rPr>
              <w:t xml:space="preserve">y </w:t>
            </w:r>
            <w:r w:rsidRPr="00195D47">
              <w:rPr>
                <w:rFonts w:ascii="Verdana" w:eastAsia="Calibri" w:hAnsi="Verdana" w:cs="Arial"/>
                <w:bCs/>
                <w:lang w:eastAsia="es-ES_tradnl"/>
              </w:rPr>
              <w:t>el marco normativo aplicable, si resulta procedente proceder a la firma del acta de liquidación</w:t>
            </w:r>
            <w:r w:rsidR="004F015C">
              <w:rPr>
                <w:rFonts w:ascii="Verdana" w:eastAsia="Calibri" w:hAnsi="Verdana" w:cs="Arial"/>
                <w:bCs/>
                <w:lang w:eastAsia="es-ES_tradnl"/>
              </w:rPr>
              <w:t>, si esta debe incluir alguna o algunas salvedades, o si se debe proceder a hacer alguna actuación con el fin de superar la situación que dio origen al hallazgo</w:t>
            </w:r>
            <w:r w:rsidRPr="00195D47">
              <w:rPr>
                <w:rFonts w:ascii="Verdana" w:eastAsia="Calibri" w:hAnsi="Verdana" w:cs="Arial"/>
                <w:bCs/>
                <w:lang w:eastAsia="es-ES_tradnl"/>
              </w:rPr>
              <w:t>.</w:t>
            </w:r>
            <w:r>
              <w:rPr>
                <w:rFonts w:ascii="Verdana" w:eastAsia="Calibri" w:hAnsi="Verdana" w:cs="Arial"/>
                <w:bCs/>
                <w:lang w:eastAsia="es-ES_tradnl"/>
              </w:rPr>
              <w:t xml:space="preserve"> Lo anterior, sin que necesariamente se entienda que ante la configuración de un hallazgo fiscal, resulte incompatible para proceder con la liquidación del contrato, dado que la misma está sujeta al término pactado por las partes para dicho efecto o en su defecto según lo establecido en el artículo 11 de la Ley 1150 de 2007.</w:t>
            </w:r>
            <w:r w:rsidRPr="00195D47">
              <w:rPr>
                <w:rFonts w:ascii="Verdana" w:eastAsia="Calibri" w:hAnsi="Verdana" w:cs="Arial"/>
                <w:bCs/>
                <w:lang w:eastAsia="es-ES_tradnl"/>
              </w:rPr>
              <w:t xml:space="preserve"> </w:t>
            </w:r>
            <w:r w:rsidR="004F015C">
              <w:rPr>
                <w:rFonts w:ascii="Verdana" w:eastAsia="Calibri" w:hAnsi="Verdana" w:cs="Arial"/>
                <w:bCs/>
                <w:lang w:eastAsia="es-ES_tradnl"/>
              </w:rPr>
              <w:t xml:space="preserve">La liquidación incluso, sirve como insumo para que la autoridad fiscal determine la existencia y cuantía del eventual daño, por lo cual su realización puede llegar a contribuir a dar claridad que se requiere. </w:t>
            </w:r>
            <w:r w:rsidRPr="00195D47">
              <w:rPr>
                <w:rFonts w:ascii="Verdana" w:eastAsia="Calibri" w:hAnsi="Verdana" w:cs="Arial"/>
                <w:bCs/>
                <w:lang w:eastAsia="es-ES_tradnl"/>
              </w:rPr>
              <w:t xml:space="preserve">Esta decisión deberá adoptarse considerando los principios de transparencia, responsabilidad y </w:t>
            </w:r>
            <w:r w:rsidRPr="00195D47">
              <w:rPr>
                <w:rFonts w:ascii="Verdana" w:eastAsia="Calibri" w:hAnsi="Verdana" w:cs="Arial"/>
                <w:bCs/>
                <w:lang w:eastAsia="es-ES_tradnl"/>
              </w:rPr>
              <w:lastRenderedPageBreak/>
              <w:t>legalidad, así como las posibles consecuencias jurídicas, fiscales y patrimoniales que pueda generar el cierre contractual en dichas condicione</w:t>
            </w:r>
            <w:r w:rsidR="00A055E9">
              <w:rPr>
                <w:rFonts w:ascii="Verdana" w:eastAsia="Calibri" w:hAnsi="Verdana" w:cs="Arial"/>
                <w:bCs/>
                <w:lang w:eastAsia="es-ES_tradnl"/>
              </w:rPr>
              <w:t xml:space="preserve">s. </w:t>
            </w:r>
          </w:p>
          <w:p w14:paraId="63E53D51" w14:textId="77777777" w:rsidR="00AB467B" w:rsidRPr="00C71956" w:rsidRDefault="00AB467B" w:rsidP="00CC21F5">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C6E2E94" w14:textId="77777777" w:rsidR="00AB467B" w:rsidRPr="0029110A" w:rsidRDefault="00AB467B" w:rsidP="00CC21F5">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102AB411" w14:textId="77777777" w:rsidR="00AB467B" w:rsidRDefault="00AB467B" w:rsidP="00AB467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14AA4C6" w14:textId="77777777" w:rsidR="00AB467B" w:rsidRDefault="00AB467B" w:rsidP="00AB46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37A02D67" w14:textId="77777777" w:rsidR="00AB467B" w:rsidRPr="00115E3D" w:rsidRDefault="00AB467B" w:rsidP="00AB467B">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6FA8A5C" w14:textId="77777777" w:rsidR="00AB467B" w:rsidRPr="00CF41A0" w:rsidRDefault="00AB467B" w:rsidP="00175536">
      <w:pPr>
        <w:spacing w:after="0" w:line="276" w:lineRule="auto"/>
        <w:jc w:val="both"/>
        <w:rPr>
          <w:rFonts w:ascii="Verdana" w:eastAsia="Calibri" w:hAnsi="Verdana" w:cs="Arial"/>
          <w:lang w:val="es-ES" w:eastAsia="es-ES"/>
        </w:rPr>
      </w:pPr>
      <w:r>
        <w:rPr>
          <w:rFonts w:ascii="Verdana" w:eastAsia="Calibri" w:hAnsi="Verdana" w:cs="Arial"/>
        </w:rPr>
        <w:t>En primer lugar,</w:t>
      </w:r>
      <w:r w:rsidRPr="004F6FF1">
        <w:rPr>
          <w:rFonts w:ascii="Verdana" w:eastAsia="Calibri" w:hAnsi="Verdana" w:cs="Arial"/>
        </w:rPr>
        <w:t xml:space="preserve"> debe advertirse que,</w:t>
      </w:r>
      <w:r w:rsidRPr="004F6FF1">
        <w:rPr>
          <w:rFonts w:ascii="Verdana" w:eastAsia="Calibri" w:hAnsi="Verdana" w:cs="Arial"/>
          <w:lang w:val="es-ES_tradnl" w:eastAsia="es-ES_tradnl"/>
        </w:rPr>
        <w:t xml:space="preserve"> </w:t>
      </w:r>
      <w:r>
        <w:rPr>
          <w:rFonts w:ascii="Verdana" w:eastAsia="Calibri" w:hAnsi="Verdana" w:cs="Arial"/>
          <w:lang w:val="es-ES_tradnl" w:eastAsia="es-ES_tradnl"/>
        </w:rPr>
        <w:t>l</w:t>
      </w:r>
      <w:r w:rsidRPr="00CF41A0">
        <w:rPr>
          <w:rFonts w:ascii="Verdana" w:eastAsia="Calibri" w:hAnsi="Verdana" w:cs="Arial"/>
          <w:lang w:val="es-ES_tradnl"/>
        </w:rPr>
        <w:t>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sidRPr="00CF41A0">
        <w:rPr>
          <w:rFonts w:ascii="Verdana" w:eastAsia="Calibri" w:hAnsi="Verdana" w:cs="Arial"/>
          <w:vertAlign w:val="superscript"/>
          <w:lang w:val="es-ES_tradnl"/>
        </w:rPr>
        <w:footnoteReference w:id="1"/>
      </w:r>
      <w:r w:rsidRPr="00CF41A0">
        <w:rPr>
          <w:rFonts w:ascii="Verdana" w:eastAsia="Calibri" w:hAnsi="Verdana" w:cs="Arial"/>
          <w:lang w:val="es-ES_tradnl"/>
        </w:rPr>
        <w:t xml:space="preserve">. </w:t>
      </w:r>
      <w:r w:rsidRPr="00CF41A0">
        <w:rPr>
          <w:rFonts w:ascii="Verdana" w:eastAsia="Aptos" w:hAnsi="Verdana" w:cs="Arial"/>
          <w:lang w:val="es-ES_tradnl"/>
        </w:rPr>
        <w:t>En armonía con lo esto, la doctrina ha definido la liquidación de la siguiente manera:</w:t>
      </w:r>
    </w:p>
    <w:p w14:paraId="249A98E8" w14:textId="77777777" w:rsidR="00AB467B" w:rsidRPr="00CF41A0" w:rsidRDefault="00AB467B" w:rsidP="00AB467B">
      <w:pPr>
        <w:spacing w:after="0" w:line="276" w:lineRule="auto"/>
        <w:jc w:val="both"/>
        <w:rPr>
          <w:rFonts w:ascii="Verdana" w:eastAsia="Aptos" w:hAnsi="Verdana" w:cs="Arial"/>
          <w:lang w:val="es-ES_tradnl"/>
        </w:rPr>
      </w:pPr>
    </w:p>
    <w:p w14:paraId="59E8B992" w14:textId="77777777" w:rsidR="00AB467B" w:rsidRPr="00CF41A0" w:rsidRDefault="00AB467B" w:rsidP="00545521">
      <w:pPr>
        <w:spacing w:after="0" w:line="240" w:lineRule="auto"/>
        <w:ind w:left="709" w:right="709"/>
        <w:jc w:val="both"/>
        <w:rPr>
          <w:rFonts w:ascii="Verdana" w:eastAsia="Aptos" w:hAnsi="Verdana" w:cs="Arial"/>
          <w:sz w:val="20"/>
          <w:szCs w:val="20"/>
          <w:lang w:val="es-MX"/>
        </w:rPr>
      </w:pPr>
      <w:r w:rsidRPr="00CF41A0">
        <w:rPr>
          <w:rFonts w:ascii="Verdana" w:eastAsia="Aptos" w:hAnsi="Verdana" w:cs="Arial"/>
          <w:sz w:val="20"/>
          <w:szCs w:val="20"/>
          <w:lang w:val="es-ES_tradnl"/>
        </w:rPr>
        <w:lastRenderedPageBreak/>
        <w:t>“</w:t>
      </w:r>
      <w:r w:rsidRPr="00CF41A0">
        <w:rPr>
          <w:rFonts w:ascii="Verdana" w:eastAsia="Aptos"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cuanto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CF41A0">
        <w:rPr>
          <w:rFonts w:ascii="Verdana" w:eastAsia="Aptos" w:hAnsi="Verdana" w:cs="Arial"/>
          <w:sz w:val="20"/>
          <w:szCs w:val="20"/>
          <w:lang w:val="es-MX"/>
        </w:rPr>
        <w:t>ii</w:t>
      </w:r>
      <w:proofErr w:type="spellEnd"/>
      <w:r w:rsidRPr="00CF41A0">
        <w:rPr>
          <w:rFonts w:ascii="Verdana" w:eastAsia="Aptos"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CF41A0">
        <w:rPr>
          <w:rFonts w:ascii="Verdana" w:eastAsia="Aptos" w:hAnsi="Verdana" w:cs="Arial"/>
          <w:sz w:val="20"/>
          <w:szCs w:val="20"/>
          <w:vertAlign w:val="superscript"/>
          <w:lang w:val="es-MX"/>
        </w:rPr>
        <w:footnoteReference w:id="2"/>
      </w:r>
      <w:r w:rsidRPr="00CF41A0">
        <w:rPr>
          <w:rFonts w:ascii="Verdana" w:eastAsia="Aptos" w:hAnsi="Verdana" w:cs="Arial"/>
          <w:sz w:val="20"/>
          <w:szCs w:val="20"/>
          <w:lang w:val="es-MX"/>
        </w:rPr>
        <w:t xml:space="preserve"> </w:t>
      </w:r>
    </w:p>
    <w:p w14:paraId="50240635" w14:textId="77777777" w:rsidR="00AB467B" w:rsidRPr="00CF41A0" w:rsidRDefault="00AB467B" w:rsidP="00AB467B">
      <w:pPr>
        <w:spacing w:after="0" w:line="276" w:lineRule="auto"/>
        <w:jc w:val="both"/>
        <w:rPr>
          <w:rFonts w:ascii="Verdana" w:eastAsia="Aptos" w:hAnsi="Verdana" w:cs="Arial"/>
          <w:lang w:val="es-MX"/>
        </w:rPr>
      </w:pPr>
    </w:p>
    <w:p w14:paraId="110EF5E0" w14:textId="77777777" w:rsidR="00AB467B" w:rsidRPr="00CF41A0" w:rsidRDefault="00AB467B" w:rsidP="00AB467B">
      <w:pPr>
        <w:spacing w:after="120" w:line="276" w:lineRule="auto"/>
        <w:ind w:firstLine="708"/>
        <w:jc w:val="both"/>
        <w:rPr>
          <w:rFonts w:ascii="Verdana" w:eastAsia="Times New Roman" w:hAnsi="Verdana" w:cs="Arial"/>
          <w:szCs w:val="24"/>
          <w:lang w:val="es-ES_tradnl" w:eastAsia="es-ES_tradnl"/>
        </w:rPr>
      </w:pPr>
      <w:r w:rsidRPr="00CF41A0">
        <w:rPr>
          <w:rFonts w:ascii="Verdana" w:eastAsia="Times New Roman" w:hAnsi="Verdana" w:cs="Arial"/>
          <w:szCs w:val="24"/>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CF41A0">
        <w:rPr>
          <w:rFonts w:ascii="Verdana" w:eastAsia="Times New Roman" w:hAnsi="Verdana" w:cs="Arial"/>
          <w:i/>
          <w:iCs/>
          <w:szCs w:val="24"/>
          <w:lang w:val="es-ES_tradnl" w:eastAsia="es-ES_tradnl"/>
        </w:rPr>
        <w:t>liquidar</w:t>
      </w:r>
      <w:r w:rsidRPr="00CF41A0">
        <w:rPr>
          <w:rFonts w:ascii="Verdana" w:eastAsia="Times New Roman" w:hAnsi="Verdana" w:cs="Arial"/>
          <w:szCs w:val="24"/>
          <w:lang w:val="es-ES_tradnl" w:eastAsia="es-ES_tradnl"/>
        </w:rPr>
        <w:t xml:space="preserve"> supone un ajuste en relación con las cuentas y el estado de cumplimiento del contrato estatal y, por el otro, que la </w:t>
      </w:r>
      <w:r w:rsidRPr="00CF41A0">
        <w:rPr>
          <w:rFonts w:ascii="Verdana" w:eastAsia="Times New Roman" w:hAnsi="Verdana" w:cs="Arial"/>
          <w:i/>
          <w:iCs/>
          <w:szCs w:val="24"/>
          <w:lang w:val="es-ES_tradnl" w:eastAsia="es-ES_tradnl"/>
        </w:rPr>
        <w:t>liquidación</w:t>
      </w:r>
      <w:r w:rsidRPr="00CF41A0">
        <w:rPr>
          <w:rFonts w:ascii="Verdana" w:eastAsia="Times New Roman" w:hAnsi="Verdana" w:cs="Arial"/>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CF41A0">
        <w:rPr>
          <w:rFonts w:ascii="Verdana" w:eastAsia="Times New Roman" w:hAnsi="Verdana" w:cs="Arial"/>
          <w:szCs w:val="24"/>
          <w:vertAlign w:val="superscript"/>
          <w:lang w:val="es-ES_tradnl" w:eastAsia="es-ES_tradnl"/>
        </w:rPr>
        <w:footnoteReference w:id="3"/>
      </w:r>
      <w:r w:rsidRPr="00CF41A0">
        <w:rPr>
          <w:rFonts w:ascii="Verdana" w:eastAsia="Times New Roman" w:hAnsi="Verdana" w:cs="Arial"/>
          <w:szCs w:val="24"/>
          <w:lang w:val="es-ES_tradnl" w:eastAsia="es-ES_tradnl"/>
        </w:rPr>
        <w:t xml:space="preserve">. </w:t>
      </w:r>
    </w:p>
    <w:p w14:paraId="05FB44F5" w14:textId="77777777" w:rsidR="00AB467B" w:rsidRPr="00CF41A0" w:rsidRDefault="00AB467B" w:rsidP="00AB467B">
      <w:pPr>
        <w:spacing w:after="120" w:line="276" w:lineRule="auto"/>
        <w:ind w:firstLine="708"/>
        <w:jc w:val="both"/>
        <w:rPr>
          <w:rFonts w:ascii="Verdana" w:eastAsia="Times New Roman" w:hAnsi="Verdana" w:cs="Arial"/>
          <w:szCs w:val="24"/>
          <w:lang w:val="es-ES_tradnl" w:eastAsia="es-ES_tradnl"/>
        </w:rPr>
      </w:pPr>
      <w:r w:rsidRPr="00CF41A0">
        <w:rPr>
          <w:rFonts w:ascii="Verdana" w:eastAsia="Calibri" w:hAnsi="Verdana" w:cs="Arial"/>
          <w:lang w:val="es-ES_tradnl"/>
        </w:rPr>
        <w:lastRenderedPageBreak/>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13910F6C" w14:textId="77777777" w:rsidR="00AB467B" w:rsidRPr="00CF41A0" w:rsidRDefault="00AB467B" w:rsidP="00AB467B">
      <w:pPr>
        <w:spacing w:after="120" w:line="276" w:lineRule="auto"/>
        <w:ind w:firstLine="708"/>
        <w:jc w:val="both"/>
        <w:rPr>
          <w:rFonts w:ascii="Verdana" w:eastAsia="Calibri" w:hAnsi="Verdana" w:cs="Arial"/>
          <w:lang w:val="es-ES"/>
        </w:rPr>
      </w:pPr>
      <w:r w:rsidRPr="00CF41A0">
        <w:rPr>
          <w:rFonts w:ascii="Verdana" w:eastAsia="Calibri" w:hAnsi="Verdana" w:cs="Arial"/>
          <w:lang w:val="es-ES"/>
        </w:rPr>
        <w:t>De acuerdo con el artículo 60 de la Ley 80 de 1993, los contratos de tracto sucesivo, aquellos cuyo cumplimiento o ejecución se prolongue en el tiempo y los demás que lo requieran “</w:t>
      </w:r>
      <w:r w:rsidRPr="00CF41A0">
        <w:rPr>
          <w:rFonts w:ascii="Verdana" w:eastAsia="Calibri" w:hAnsi="Verdana" w:cs="Arial"/>
          <w:i/>
          <w:iCs/>
          <w:lang w:val="es-ES"/>
        </w:rPr>
        <w:t>serán objeto de liquidación</w:t>
      </w:r>
      <w:r w:rsidRPr="00CF41A0">
        <w:rPr>
          <w:rFonts w:ascii="Verdana" w:eastAsia="Calibri" w:hAnsi="Verdana" w:cs="Arial"/>
          <w:lang w:val="es-ES"/>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CF41A0">
        <w:rPr>
          <w:rFonts w:ascii="Verdana" w:eastAsia="Calibri" w:hAnsi="Verdana" w:cs="Arial"/>
          <w:vertAlign w:val="superscript"/>
          <w:lang w:val="es-ES"/>
        </w:rPr>
        <w:footnoteReference w:id="4"/>
      </w:r>
      <w:r w:rsidRPr="00CF41A0">
        <w:rPr>
          <w:rFonts w:ascii="Verdana" w:eastAsia="Calibri" w:hAnsi="Verdana" w:cs="Arial"/>
          <w:lang w:val="es-ES"/>
        </w:rPr>
        <w:t xml:space="preserve">, así como la probabilidad de que puedan surgir diferencias durante la ejecución del contrato; sin perjuicio de que, como se indicó, todos los contratos estatales de </w:t>
      </w:r>
      <w:r w:rsidRPr="00CF41A0">
        <w:rPr>
          <w:rFonts w:ascii="Verdana" w:eastAsia="Calibri" w:hAnsi="Verdana" w:cs="Arial"/>
          <w:i/>
          <w:iCs/>
          <w:lang w:val="es-ES"/>
        </w:rPr>
        <w:t>tracto sucesivo</w:t>
      </w:r>
      <w:r w:rsidRPr="00CF41A0">
        <w:rPr>
          <w:rFonts w:ascii="Verdana" w:eastAsia="Calibri" w:hAnsi="Verdana" w:cs="Arial"/>
          <w:lang w:val="es-ES"/>
        </w:rPr>
        <w:t xml:space="preserve"> o aquellos cuya ejecución se prolongue en el tiempo siempre deban liquidarse. </w:t>
      </w:r>
    </w:p>
    <w:p w14:paraId="3F09605A" w14:textId="77777777" w:rsidR="00AB467B" w:rsidRPr="00CF41A0" w:rsidRDefault="00AB467B" w:rsidP="00AB467B">
      <w:pPr>
        <w:spacing w:after="120" w:line="276" w:lineRule="auto"/>
        <w:ind w:firstLine="708"/>
        <w:jc w:val="both"/>
        <w:rPr>
          <w:rFonts w:ascii="Verdana" w:eastAsia="Times New Roman" w:hAnsi="Verdana" w:cs="Arial"/>
          <w:lang w:val="es-ES" w:eastAsia="es-ES"/>
        </w:rPr>
      </w:pPr>
      <w:r w:rsidRPr="00CF41A0">
        <w:rPr>
          <w:rFonts w:ascii="Verdana" w:eastAsia="Calibri" w:hAnsi="Verdana" w:cs="Arial"/>
          <w:lang w:val="es-ES"/>
        </w:rPr>
        <w:t>Por su parte, el artículo 11 de la Ley 1150 de 2007</w:t>
      </w:r>
      <w:r w:rsidRPr="00CF41A0">
        <w:rPr>
          <w:rFonts w:ascii="Verdana" w:eastAsia="Calibri" w:hAnsi="Verdana" w:cs="Arial"/>
          <w:vertAlign w:val="superscript"/>
          <w:lang w:val="es-ES"/>
        </w:rPr>
        <w:footnoteReference w:id="5"/>
      </w:r>
      <w:r w:rsidRPr="00CF41A0">
        <w:rPr>
          <w:rFonts w:ascii="Verdana" w:eastAsia="Calibri" w:hAnsi="Verdana" w:cs="Arial"/>
          <w:lang w:val="es-ES"/>
        </w:rPr>
        <w:t xml:space="preserve"> contiene las reglas de tipo procedimental para liquidar los contratos estatales. D</w:t>
      </w:r>
      <w:r w:rsidRPr="00CF41A0">
        <w:rPr>
          <w:rFonts w:ascii="Verdana" w:eastAsia="Times New Roman" w:hAnsi="Verdana" w:cs="Arial"/>
          <w:lang w:val="es-ES" w:eastAsia="es-ES"/>
        </w:rPr>
        <w:t xml:space="preserve">e acuerdo con dicha disposición, existen tres tipos de liquidación: i) bilateral, </w:t>
      </w:r>
      <w:proofErr w:type="spellStart"/>
      <w:r w:rsidRPr="00CF41A0">
        <w:rPr>
          <w:rFonts w:ascii="Verdana" w:eastAsia="Times New Roman" w:hAnsi="Verdana" w:cs="Arial"/>
          <w:lang w:val="es-ES" w:eastAsia="es-ES"/>
        </w:rPr>
        <w:t>ii</w:t>
      </w:r>
      <w:proofErr w:type="spellEnd"/>
      <w:r w:rsidRPr="00CF41A0">
        <w:rPr>
          <w:rFonts w:ascii="Verdana" w:eastAsia="Times New Roman" w:hAnsi="Verdana" w:cs="Arial"/>
          <w:lang w:val="es-ES" w:eastAsia="es-ES"/>
        </w:rPr>
        <w:t xml:space="preserve">) unilateral y </w:t>
      </w:r>
      <w:proofErr w:type="spellStart"/>
      <w:r w:rsidRPr="00CF41A0">
        <w:rPr>
          <w:rFonts w:ascii="Verdana" w:eastAsia="Times New Roman" w:hAnsi="Verdana" w:cs="Arial"/>
          <w:lang w:val="es-ES" w:eastAsia="es-ES"/>
        </w:rPr>
        <w:t>iii</w:t>
      </w:r>
      <w:proofErr w:type="spellEnd"/>
      <w:r w:rsidRPr="00CF41A0">
        <w:rPr>
          <w:rFonts w:ascii="Verdana" w:eastAsia="Times New Roman" w:hAnsi="Verdana" w:cs="Arial"/>
          <w:lang w:val="es-ES" w:eastAsia="es-ES"/>
        </w:rPr>
        <w:t xml:space="preserve">) </w:t>
      </w:r>
      <w:r w:rsidRPr="00CF41A0">
        <w:rPr>
          <w:rFonts w:ascii="Verdana" w:eastAsia="Times New Roman" w:hAnsi="Verdana" w:cs="Arial"/>
          <w:lang w:val="es-ES" w:eastAsia="es-ES"/>
        </w:rPr>
        <w:lastRenderedPageBreak/>
        <w:t>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65C2266C" w14:textId="77777777" w:rsidR="00AB467B" w:rsidRPr="00CF41A0" w:rsidRDefault="00AB467B" w:rsidP="00AB467B">
      <w:pPr>
        <w:spacing w:after="120" w:line="276" w:lineRule="auto"/>
        <w:ind w:firstLine="705"/>
        <w:jc w:val="both"/>
        <w:rPr>
          <w:rFonts w:ascii="Verdana" w:eastAsia="Times New Roman" w:hAnsi="Verdana" w:cs="Arial"/>
          <w:bCs/>
          <w:szCs w:val="24"/>
          <w:lang w:eastAsia="es-ES_tradnl"/>
        </w:rPr>
      </w:pPr>
      <w:r w:rsidRPr="00CF41A0">
        <w:rPr>
          <w:rFonts w:ascii="Verdana" w:eastAsia="Times New Roman" w:hAnsi="Verdana" w:cs="Arial"/>
          <w:bdr w:val="none" w:sz="0" w:space="0" w:color="auto" w:frame="1"/>
          <w:shd w:val="clear" w:color="auto" w:fill="FFFFFF"/>
          <w:lang w:eastAsia="es-ES"/>
        </w:rPr>
        <w:t>Igualmente</w:t>
      </w:r>
      <w:r w:rsidRPr="00CF41A0">
        <w:rPr>
          <w:rFonts w:ascii="Verdana" w:eastAsia="Times New Roman" w:hAnsi="Verdana" w:cs="Arial"/>
          <w:bCs/>
          <w:szCs w:val="24"/>
          <w:lang w:eastAsia="es-ES_tradnl"/>
        </w:rPr>
        <w:t xml:space="preserve">, el artículo 11 de la Ley 1150 de 2007 determinó que dichos plazos inician a contarse desde la terminación de la ejecución del contrato, ya sea por vencimiento de plazo, o por expedición de acto administrativo de ordenó su terminación o la fecha de acuerdo entre las partes para ello. </w:t>
      </w:r>
    </w:p>
    <w:p w14:paraId="75B22555" w14:textId="07ADF86B" w:rsidR="002E6EE4" w:rsidRPr="006B17A7" w:rsidRDefault="002E6EE4" w:rsidP="002E6EE4">
      <w:pPr>
        <w:spacing w:after="0" w:line="276" w:lineRule="auto"/>
        <w:ind w:firstLine="708"/>
        <w:jc w:val="both"/>
        <w:rPr>
          <w:rFonts w:ascii="Verdana" w:eastAsia="Times New Roman" w:hAnsi="Verdana" w:cs="Arial"/>
          <w:color w:val="000000"/>
          <w:lang w:eastAsia="es-CO"/>
        </w:rPr>
      </w:pPr>
      <w:r w:rsidRPr="006B17A7">
        <w:rPr>
          <w:rFonts w:ascii="Verdana" w:eastAsia="Times New Roman" w:hAnsi="Verdana" w:cs="Arial"/>
          <w:color w:val="000000"/>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4E4F2DEE" w14:textId="77777777" w:rsidR="002E6EE4" w:rsidRPr="006B17A7" w:rsidRDefault="002E6EE4" w:rsidP="002E6EE4">
      <w:pPr>
        <w:spacing w:after="0" w:line="276" w:lineRule="auto"/>
        <w:jc w:val="both"/>
        <w:rPr>
          <w:rFonts w:ascii="Verdana" w:eastAsia="Times New Roman" w:hAnsi="Verdana" w:cs="Arial"/>
          <w:color w:val="000000"/>
          <w:lang w:eastAsia="es-CO"/>
        </w:rPr>
      </w:pPr>
    </w:p>
    <w:p w14:paraId="4EA1EDA2" w14:textId="77777777" w:rsidR="002E6EE4" w:rsidRPr="006B17A7" w:rsidRDefault="002E6EE4" w:rsidP="00B927F1">
      <w:pPr>
        <w:spacing w:after="0" w:line="240" w:lineRule="auto"/>
        <w:ind w:left="709" w:right="709"/>
        <w:jc w:val="both"/>
        <w:rPr>
          <w:rFonts w:ascii="Verdana" w:eastAsia="Times New Roman" w:hAnsi="Verdana" w:cs="Arial"/>
          <w:color w:val="000000"/>
          <w:sz w:val="20"/>
          <w:szCs w:val="20"/>
          <w:lang w:eastAsia="es-CO"/>
        </w:rPr>
      </w:pPr>
      <w:r w:rsidRPr="006B17A7">
        <w:rPr>
          <w:rFonts w:ascii="Verdana" w:eastAsia="Times New Roman" w:hAnsi="Verdana" w:cs="Arial"/>
          <w:color w:val="000000"/>
          <w:sz w:val="20"/>
          <w:szCs w:val="20"/>
          <w:lang w:eastAsia="es-CO"/>
        </w:rPr>
        <w:t xml:space="preserve">“Suele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w:t>
      </w:r>
      <w:r w:rsidRPr="006B17A7">
        <w:rPr>
          <w:rFonts w:ascii="Verdana" w:eastAsia="Times New Roman" w:hAnsi="Verdana" w:cs="Arial"/>
          <w:color w:val="000000"/>
          <w:sz w:val="20"/>
          <w:szCs w:val="20"/>
          <w:lang w:eastAsia="es-CO"/>
        </w:rPr>
        <w:lastRenderedPageBreak/>
        <w:t>de obligación natural no se deduce la consagración de la competencia para liquidar el contrato estatal, luego de expirado el término de caducidad del medio de control de controversias contractuales”</w:t>
      </w:r>
      <w:r w:rsidRPr="006B17A7">
        <w:rPr>
          <w:rFonts w:ascii="Verdana" w:eastAsia="Times New Roman" w:hAnsi="Verdana" w:cs="Arial"/>
          <w:color w:val="000000"/>
          <w:sz w:val="20"/>
          <w:szCs w:val="20"/>
          <w:vertAlign w:val="superscript"/>
          <w:lang w:eastAsia="es-CO"/>
        </w:rPr>
        <w:footnoteReference w:id="6"/>
      </w:r>
      <w:r w:rsidRPr="006B17A7">
        <w:rPr>
          <w:rFonts w:ascii="Verdana" w:eastAsia="Times New Roman" w:hAnsi="Verdana" w:cs="Arial"/>
          <w:color w:val="000000"/>
          <w:sz w:val="20"/>
          <w:szCs w:val="20"/>
          <w:lang w:eastAsia="es-CO"/>
        </w:rPr>
        <w:t xml:space="preserve">.   </w:t>
      </w:r>
    </w:p>
    <w:p w14:paraId="35264874" w14:textId="77777777" w:rsidR="002E6EE4" w:rsidRPr="006B17A7" w:rsidRDefault="002E6EE4" w:rsidP="002E6EE4">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7710FE3" w14:textId="061421CF" w:rsidR="002E6EE4" w:rsidRPr="00175536" w:rsidRDefault="003E5C76" w:rsidP="00175536">
      <w:pPr>
        <w:tabs>
          <w:tab w:val="left" w:pos="709"/>
        </w:tabs>
        <w:spacing w:after="120" w:line="276" w:lineRule="auto"/>
        <w:jc w:val="both"/>
        <w:rPr>
          <w:rFonts w:ascii="Verdana" w:eastAsia="Calibri" w:hAnsi="Verdana" w:cs="Arial"/>
          <w:color w:val="000000"/>
          <w:lang w:val="es-ES" w:eastAsia="es-ES"/>
        </w:rPr>
      </w:pPr>
      <w:r>
        <w:rPr>
          <w:rFonts w:ascii="Verdana" w:eastAsia="Calibri" w:hAnsi="Verdana" w:cs="Arial"/>
          <w:color w:val="000000"/>
          <w:lang w:val="es-ES" w:eastAsia="es-ES"/>
        </w:rPr>
        <w:tab/>
      </w:r>
      <w:r w:rsidR="002E6EE4" w:rsidRPr="006B17A7">
        <w:rPr>
          <w:rFonts w:ascii="Verdana" w:eastAsia="Calibri" w:hAnsi="Verdana" w:cs="Arial"/>
          <w:color w:val="000000"/>
          <w:lang w:val="es-ES" w:eastAsia="es-ES"/>
        </w:rPr>
        <w:t xml:space="preserve">En consecuencia, 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345F1336" w14:textId="381FE522" w:rsidR="00AB467B" w:rsidRDefault="00AB467B" w:rsidP="0070278E">
      <w:pPr>
        <w:spacing w:after="120" w:line="276" w:lineRule="auto"/>
        <w:ind w:firstLine="708"/>
        <w:jc w:val="both"/>
        <w:rPr>
          <w:rFonts w:ascii="Verdana" w:eastAsia="Calibri" w:hAnsi="Verdana" w:cs="Arial"/>
        </w:rPr>
      </w:pPr>
      <w:r>
        <w:rPr>
          <w:rFonts w:ascii="Verdana" w:eastAsia="Calibri" w:hAnsi="Verdana" w:cs="Arial"/>
        </w:rPr>
        <w:t>Ahora bien, e</w:t>
      </w:r>
      <w:r w:rsidRPr="00195D47">
        <w:rPr>
          <w:rFonts w:ascii="Verdana" w:eastAsia="Calibri" w:hAnsi="Verdana" w:cs="Arial"/>
        </w:rPr>
        <w:t>n el contexto de la contratación pública, un hallazgo fiscal es un concepto jurídico y contable que emerge de una auditoría realizada por los entes de control fiscal, como la Contraloría General de la República. Se trata de un indicio de una posible lesión al patrimonio público, que se produce a raíz de una gestión fiscal ineficiente, ineficaz o contraria a la ley. Este hallazgo puede ser un simple señalamiento o, si hay pruebas que lo sustenten, dar origen a un proceso de responsabilidad fiscal.</w:t>
      </w:r>
    </w:p>
    <w:p w14:paraId="33F5820B" w14:textId="732129BC" w:rsidR="00467CEC" w:rsidRDefault="00467CEC" w:rsidP="00467CEC">
      <w:pPr>
        <w:spacing w:after="120" w:line="276" w:lineRule="auto"/>
        <w:ind w:firstLine="708"/>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En atención a lo expuesto y de acuerdo con el marco jurídico colombiano, la existencia de un proceso de responsabilidad fiscal no constituye, por </w:t>
      </w:r>
      <w:proofErr w:type="spellStart"/>
      <w:r>
        <w:rPr>
          <w:rFonts w:ascii="Verdana" w:eastAsia="Calibri" w:hAnsi="Verdana" w:cs="Arial"/>
          <w:color w:val="000000"/>
          <w:lang w:val="es-ES" w:eastAsia="es-ES"/>
        </w:rPr>
        <w:t>mi</w:t>
      </w:r>
      <w:proofErr w:type="spellEnd"/>
      <w:r>
        <w:rPr>
          <w:rFonts w:ascii="Verdana" w:eastAsia="Calibri" w:hAnsi="Verdana" w:cs="Arial"/>
          <w:color w:val="000000"/>
          <w:lang w:val="es-ES" w:eastAsia="es-ES"/>
        </w:rPr>
        <w:t xml:space="preserve"> misma, una causal de suspensión de la liquidación. Esto en la medida que el proceso contractual – incluida la liquidación - y el proceso de responsabilidad fiscal son actuaciones independientes, con naturaleza jurídica, finalidades y competencias distintas. Mientras que la liquidación del contrato es un deber legal que buscar determinar </w:t>
      </w:r>
      <w:r w:rsidRPr="00175536">
        <w:rPr>
          <w:rFonts w:ascii="Verdana" w:eastAsia="Times New Roman" w:hAnsi="Verdana" w:cs="Segoe UI"/>
          <w:lang w:eastAsia="es-ES_tradnl"/>
        </w:rPr>
        <w:t>el estado final de las obligaciones, definir saldos a favor o en contra, y dejar claridad sobre el cumplimiento de las prestaciones a cargo de las partes. Por su parte, la responsabilidad fiscal persigue la recuperación del patrimonio público eventualmente afectado, sin que tal actuación</w:t>
      </w:r>
      <w:r>
        <w:rPr>
          <w:rFonts w:ascii="Verdana" w:eastAsia="Times New Roman" w:hAnsi="Verdana" w:cs="Segoe UI"/>
          <w:lang w:eastAsia="es-ES_tradnl"/>
        </w:rPr>
        <w:t>, en principio,</w:t>
      </w:r>
      <w:r w:rsidRPr="00175536">
        <w:rPr>
          <w:rFonts w:ascii="Verdana" w:eastAsia="Times New Roman" w:hAnsi="Verdana" w:cs="Segoe UI"/>
          <w:lang w:eastAsia="es-ES_tradnl"/>
        </w:rPr>
        <w:t xml:space="preserve"> tenga efectos suspensivos automáticos sobre </w:t>
      </w:r>
      <w:r>
        <w:rPr>
          <w:rFonts w:ascii="Verdana" w:eastAsia="Times New Roman" w:hAnsi="Verdana" w:cs="Segoe UI"/>
          <w:lang w:eastAsia="es-ES_tradnl"/>
        </w:rPr>
        <w:t>la liquidación</w:t>
      </w:r>
      <w:r>
        <w:rPr>
          <w:rFonts w:ascii="Verdana" w:eastAsia="Calibri" w:hAnsi="Verdana" w:cs="Arial"/>
          <w:color w:val="000000"/>
          <w:lang w:val="es-ES" w:eastAsia="es-ES"/>
        </w:rPr>
        <w:t xml:space="preserve">. </w:t>
      </w:r>
    </w:p>
    <w:p w14:paraId="3E70DCF4" w14:textId="652299B1" w:rsidR="00AB467B" w:rsidRDefault="00AB467B" w:rsidP="00175536">
      <w:pPr>
        <w:spacing w:after="120" w:line="276" w:lineRule="auto"/>
        <w:ind w:firstLine="708"/>
        <w:jc w:val="both"/>
        <w:rPr>
          <w:rFonts w:ascii="Verdana" w:eastAsia="Calibri" w:hAnsi="Verdana" w:cs="Arial"/>
          <w:bCs/>
          <w:lang w:eastAsia="es-ES_tradnl"/>
        </w:rPr>
      </w:pPr>
      <w:r w:rsidRPr="00195D47">
        <w:rPr>
          <w:rFonts w:ascii="Verdana" w:eastAsia="Calibri" w:hAnsi="Verdana" w:cs="Arial"/>
          <w:bCs/>
          <w:lang w:eastAsia="es-ES_tradnl"/>
        </w:rPr>
        <w:t xml:space="preserve">En virtud de lo expuesto, corresponderá a las partes contratantes y a sus respectivos equipos jurídicos valorar, con base en los hallazgos fiscales </w:t>
      </w:r>
      <w:r w:rsidRPr="00195D47">
        <w:rPr>
          <w:rFonts w:ascii="Verdana" w:eastAsia="Calibri" w:hAnsi="Verdana" w:cs="Arial"/>
          <w:bCs/>
          <w:lang w:eastAsia="es-ES_tradnl"/>
        </w:rPr>
        <w:lastRenderedPageBreak/>
        <w:t>identificados y el marco normativo aplicable, si resulta procedente proceder a la firma del acta de liquidación</w:t>
      </w:r>
      <w:r w:rsidR="00A055E9">
        <w:rPr>
          <w:rFonts w:ascii="Verdana" w:eastAsia="Calibri" w:hAnsi="Verdana" w:cs="Arial"/>
          <w:bCs/>
          <w:lang w:eastAsia="es-ES_tradnl"/>
        </w:rPr>
        <w:t>, si esta debe incluir alguna o algunas salvedades,</w:t>
      </w:r>
      <w:r w:rsidR="003A1F4D">
        <w:rPr>
          <w:rFonts w:ascii="Verdana" w:eastAsia="Calibri" w:hAnsi="Verdana" w:cs="Arial"/>
          <w:bCs/>
          <w:lang w:eastAsia="es-ES_tradnl"/>
        </w:rPr>
        <w:t xml:space="preserve"> o si se debe proceder a hacer alguna actuación con el fin de superar la situación que dio origen al hallazgo</w:t>
      </w:r>
      <w:r w:rsidRPr="00195D47">
        <w:rPr>
          <w:rFonts w:ascii="Verdana" w:eastAsia="Calibri" w:hAnsi="Verdana" w:cs="Arial"/>
          <w:bCs/>
          <w:lang w:eastAsia="es-ES_tradnl"/>
        </w:rPr>
        <w:t xml:space="preserve">. </w:t>
      </w:r>
      <w:r w:rsidR="00A055E9">
        <w:rPr>
          <w:rFonts w:ascii="Verdana" w:eastAsia="Calibri" w:hAnsi="Verdana" w:cs="Arial"/>
          <w:bCs/>
          <w:lang w:eastAsia="es-ES_tradnl"/>
        </w:rPr>
        <w:t xml:space="preserve">La liquidación incluso, sirve como insumo para que la autoridad fiscal determine la existencia y cuantía del eventual daño, por lo cual su realización puede llegar a contribuir a dar claridad que se requiere. </w:t>
      </w:r>
      <w:r w:rsidRPr="00195D47">
        <w:rPr>
          <w:rFonts w:ascii="Verdana" w:eastAsia="Calibri" w:hAnsi="Verdana" w:cs="Arial"/>
          <w:bCs/>
          <w:lang w:eastAsia="es-ES_tradnl"/>
        </w:rPr>
        <w:t>Esta decisión deberá adoptarse considerando los principios de transparencia, responsabilidad y legalidad, así como las posibles consecuencias jurídicas, fiscales y patrimoniales que pueda generar el cierre contractual en dichas condiciones.</w:t>
      </w:r>
    </w:p>
    <w:p w14:paraId="0AD94A6B" w14:textId="77777777" w:rsidR="00AB467B" w:rsidRPr="00195D47" w:rsidRDefault="00AB467B" w:rsidP="00175536">
      <w:pPr>
        <w:spacing w:after="120" w:line="276" w:lineRule="auto"/>
        <w:ind w:firstLine="708"/>
        <w:jc w:val="both"/>
        <w:rPr>
          <w:rFonts w:ascii="Verdana" w:eastAsia="Calibri" w:hAnsi="Verdana" w:cs="Arial"/>
          <w:bCs/>
          <w:lang w:eastAsia="es-ES_tradnl"/>
        </w:rPr>
      </w:pPr>
      <w:r>
        <w:rPr>
          <w:rFonts w:ascii="Verdana" w:eastAsia="Calibri" w:hAnsi="Verdana" w:cs="Arial"/>
          <w:bCs/>
          <w:lang w:eastAsia="es-ES_tradnl"/>
        </w:rPr>
        <w:t>D</w:t>
      </w:r>
      <w:r w:rsidRPr="00195D47">
        <w:rPr>
          <w:rFonts w:ascii="Verdana" w:eastAsia="Calibri" w:hAnsi="Verdana" w:cs="Arial"/>
          <w:bCs/>
          <w:lang w:eastAsia="es-ES_tradnl"/>
        </w:rPr>
        <w:t xml:space="preserve">e igual manera, se recomienda consultar la </w:t>
      </w:r>
      <w:r w:rsidRPr="00195D47">
        <w:rPr>
          <w:rFonts w:ascii="Verdana" w:eastAsia="Calibri" w:hAnsi="Verdana" w:cs="Arial"/>
          <w:lang w:eastAsia="es-ES_tradnl"/>
        </w:rPr>
        <w:t xml:space="preserve">Guía para la liquidación de </w:t>
      </w:r>
      <w:r>
        <w:rPr>
          <w:rFonts w:ascii="Verdana" w:eastAsia="Calibri" w:hAnsi="Verdana" w:cs="Arial"/>
          <w:lang w:eastAsia="es-ES_tradnl"/>
        </w:rPr>
        <w:t xml:space="preserve">los procesos de contratación </w:t>
      </w:r>
      <w:r w:rsidRPr="00195D47">
        <w:rPr>
          <w:rFonts w:ascii="Verdana" w:eastAsia="Calibri" w:hAnsi="Verdana" w:cs="Arial"/>
          <w:lang w:eastAsia="es-ES_tradnl"/>
        </w:rPr>
        <w:t>de Colombia Compra Eficiente</w:t>
      </w:r>
      <w:r>
        <w:rPr>
          <w:rStyle w:val="Refdenotaalpie"/>
          <w:rFonts w:ascii="Verdana" w:eastAsia="Calibri" w:hAnsi="Verdana" w:cs="Arial"/>
          <w:lang w:eastAsia="es-ES_tradnl"/>
        </w:rPr>
        <w:footnoteReference w:id="7"/>
      </w:r>
      <w:r w:rsidRPr="00195D47">
        <w:rPr>
          <w:rFonts w:ascii="Verdana" w:eastAsia="Calibri" w:hAnsi="Verdana" w:cs="Arial"/>
          <w:bCs/>
          <w:lang w:eastAsia="es-ES_tradnl"/>
        </w:rPr>
        <w:t>, documento que proporciona lineamientos técnicos y jurídicos sobre el procedimiento, los tipos de liquidación y las obligaciones de las partes. Esta herramienta práctica resulta de gran utilidad para orientar a las entidades estatales en la toma de decisiones, garantizando el cumplimiento de la normativa vigente y la adecuada protección de los recursos públicos.</w:t>
      </w:r>
    </w:p>
    <w:p w14:paraId="4D08B32D" w14:textId="77777777" w:rsidR="00AB467B" w:rsidRPr="00C71956" w:rsidRDefault="00AB467B" w:rsidP="00AB467B">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1CEAA0D" w14:textId="1BDF29DC" w:rsidR="00AB467B" w:rsidRDefault="00AB467B" w:rsidP="00175536">
      <w:pPr>
        <w:widowControl w:val="0"/>
        <w:autoSpaceDE w:val="0"/>
        <w:autoSpaceDN w:val="0"/>
        <w:spacing w:after="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w:t>
      </w:r>
      <w:r w:rsidRPr="00DB4737">
        <w:rPr>
          <w:rFonts w:ascii="Verdana" w:eastAsia="Calibri" w:hAnsi="Verdana" w:cs="Times New Roman"/>
          <w:lang w:val="es-ES"/>
        </w:rPr>
        <w:lastRenderedPageBreak/>
        <w:t>Pública – Colombia Compra Eficiente, validar sus actuaciones</w:t>
      </w:r>
      <w:r>
        <w:rPr>
          <w:rFonts w:ascii="Verdana" w:eastAsia="Calibri" w:hAnsi="Verdana" w:cs="Times New Roman"/>
          <w:lang w:val="es-ES"/>
        </w:rPr>
        <w:t>.</w:t>
      </w:r>
    </w:p>
    <w:p w14:paraId="5B55956B" w14:textId="77777777" w:rsidR="002E6EE4" w:rsidRPr="002E6EE4" w:rsidRDefault="002E6EE4" w:rsidP="00175536">
      <w:pPr>
        <w:widowControl w:val="0"/>
        <w:autoSpaceDE w:val="0"/>
        <w:autoSpaceDN w:val="0"/>
        <w:spacing w:after="0" w:line="276" w:lineRule="auto"/>
        <w:jc w:val="both"/>
        <w:rPr>
          <w:rFonts w:ascii="Verdana" w:eastAsia="Calibri" w:hAnsi="Verdana" w:cs="Arial"/>
          <w:lang w:val="es-ES"/>
        </w:rPr>
      </w:pPr>
    </w:p>
    <w:p w14:paraId="505E935B" w14:textId="77777777" w:rsidR="00AB467B" w:rsidRPr="002E6EE4" w:rsidRDefault="00AB467B" w:rsidP="002E6E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E6EE4">
        <w:rPr>
          <w:rFonts w:ascii="Verdana" w:eastAsia="Century Gothic" w:hAnsi="Verdana" w:cs="Century Gothic"/>
          <w:b/>
          <w:bCs/>
          <w:color w:val="000000" w:themeColor="text1"/>
        </w:rPr>
        <w:t>Referencias normativas, jurisprudenciales y otras fuentes:</w:t>
      </w:r>
    </w:p>
    <w:p w14:paraId="5747F3B5" w14:textId="77777777" w:rsidR="00AB467B" w:rsidRPr="002E6EE4" w:rsidRDefault="00AB467B" w:rsidP="002E6EE4">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467B" w:rsidRPr="002E6EE4" w14:paraId="5915600C" w14:textId="77777777" w:rsidTr="3D5EA86F">
        <w:trPr>
          <w:trHeight w:val="335"/>
        </w:trPr>
        <w:tc>
          <w:tcPr>
            <w:tcW w:w="8647" w:type="dxa"/>
          </w:tcPr>
          <w:p w14:paraId="7E5D44EF" w14:textId="77777777" w:rsidR="00AB467B" w:rsidRPr="002E6EE4" w:rsidRDefault="00AB467B" w:rsidP="002E6EE4">
            <w:pPr>
              <w:numPr>
                <w:ilvl w:val="0"/>
                <w:numId w:val="17"/>
              </w:numPr>
              <w:spacing w:line="276" w:lineRule="auto"/>
              <w:jc w:val="both"/>
              <w:rPr>
                <w:rFonts w:ascii="Verdana" w:eastAsia="Calibri" w:hAnsi="Verdana" w:cs="Arial"/>
                <w:lang w:val="es-ES_tradnl"/>
              </w:rPr>
            </w:pPr>
            <w:r w:rsidRPr="002E6EE4">
              <w:rPr>
                <w:rFonts w:ascii="Verdana" w:eastAsia="Calibri" w:hAnsi="Verdana" w:cs="Arial"/>
                <w:lang w:val="es-ES_tradnl"/>
              </w:rPr>
              <w:t xml:space="preserve">Constitución Política de Colombia: Artículos 6 y 121. </w:t>
            </w:r>
          </w:p>
          <w:p w14:paraId="5B2A9163" w14:textId="77777777" w:rsidR="00AB467B" w:rsidRPr="002E6EE4" w:rsidRDefault="00AB467B" w:rsidP="002E6EE4">
            <w:pPr>
              <w:numPr>
                <w:ilvl w:val="0"/>
                <w:numId w:val="17"/>
              </w:numPr>
              <w:spacing w:line="276" w:lineRule="auto"/>
              <w:jc w:val="both"/>
              <w:rPr>
                <w:rFonts w:ascii="Verdana" w:eastAsia="Calibri" w:hAnsi="Verdana" w:cs="Arial"/>
                <w:lang w:val="es-ES_tradnl"/>
              </w:rPr>
            </w:pPr>
            <w:r w:rsidRPr="002E6EE4">
              <w:rPr>
                <w:rFonts w:ascii="Verdana" w:eastAsia="Calibri" w:hAnsi="Verdana" w:cs="Arial"/>
                <w:lang w:val="es-ES_tradnl"/>
              </w:rPr>
              <w:t>Ley 80 de 1993: Artículos 3 y 60.</w:t>
            </w:r>
          </w:p>
          <w:p w14:paraId="0B1879E1" w14:textId="77777777" w:rsidR="00AB467B" w:rsidRPr="002E6EE4" w:rsidRDefault="00AB467B" w:rsidP="002E6EE4">
            <w:pPr>
              <w:numPr>
                <w:ilvl w:val="0"/>
                <w:numId w:val="17"/>
              </w:numPr>
              <w:spacing w:line="276" w:lineRule="auto"/>
              <w:jc w:val="both"/>
              <w:rPr>
                <w:rFonts w:ascii="Verdana" w:eastAsia="Calibri" w:hAnsi="Verdana" w:cs="Arial"/>
                <w:lang w:val="es-ES_tradnl"/>
              </w:rPr>
            </w:pPr>
            <w:r w:rsidRPr="002E6EE4">
              <w:rPr>
                <w:rFonts w:ascii="Verdana" w:eastAsia="Calibri" w:hAnsi="Verdana" w:cs="Arial"/>
                <w:lang w:val="es-ES_tradnl"/>
              </w:rPr>
              <w:t xml:space="preserve">Ley 1150 de 2007: Artículo 11. </w:t>
            </w:r>
          </w:p>
          <w:p w14:paraId="45086A54" w14:textId="77777777" w:rsidR="00AB467B" w:rsidRPr="002E6EE4" w:rsidRDefault="00AB467B" w:rsidP="00175536">
            <w:pPr>
              <w:pStyle w:val="Prrafodelista"/>
              <w:numPr>
                <w:ilvl w:val="0"/>
                <w:numId w:val="17"/>
              </w:numPr>
              <w:spacing w:line="276" w:lineRule="auto"/>
              <w:contextualSpacing w:val="0"/>
              <w:jc w:val="both"/>
              <w:rPr>
                <w:rFonts w:ascii="Verdana" w:eastAsia="Calibri" w:hAnsi="Verdana" w:cs="Arial"/>
              </w:rPr>
            </w:pPr>
            <w:r w:rsidRPr="002E6EE4">
              <w:rPr>
                <w:rFonts w:ascii="Verdana" w:eastAsia="Calibri" w:hAnsi="Verdana" w:cs="Arial"/>
              </w:rPr>
              <w:t xml:space="preserve">Consejo de Estado. Sección Tercera. Subsección C. 20 de octubre de 2014, M.P: Enrique Gil Botero. </w:t>
            </w:r>
            <w:proofErr w:type="spellStart"/>
            <w:r w:rsidRPr="002E6EE4">
              <w:rPr>
                <w:rFonts w:ascii="Verdana" w:eastAsia="Calibri" w:hAnsi="Verdana" w:cs="Arial"/>
              </w:rPr>
              <w:t>Exp</w:t>
            </w:r>
            <w:proofErr w:type="spellEnd"/>
            <w:r w:rsidRPr="002E6EE4">
              <w:rPr>
                <w:rFonts w:ascii="Verdana" w:eastAsia="Calibri" w:hAnsi="Verdana" w:cs="Arial"/>
              </w:rPr>
              <w:t>. 27.777.</w:t>
            </w:r>
          </w:p>
          <w:p w14:paraId="6EE3FE31" w14:textId="77777777" w:rsidR="00AB467B" w:rsidRPr="002E6EE4" w:rsidRDefault="00AB467B" w:rsidP="00175536">
            <w:pPr>
              <w:pStyle w:val="Prrafodelista"/>
              <w:numPr>
                <w:ilvl w:val="0"/>
                <w:numId w:val="17"/>
              </w:numPr>
              <w:spacing w:line="276" w:lineRule="auto"/>
              <w:contextualSpacing w:val="0"/>
              <w:jc w:val="both"/>
              <w:rPr>
                <w:rFonts w:ascii="Verdana" w:eastAsia="Calibri" w:hAnsi="Verdana" w:cs="Arial"/>
                <w:lang w:val="es-ES_tradnl"/>
              </w:rPr>
            </w:pPr>
            <w:r w:rsidRPr="002E6EE4">
              <w:rPr>
                <w:rFonts w:ascii="Verdana" w:eastAsia="Calibri" w:hAnsi="Verdana" w:cs="Arial"/>
                <w:lang w:val="es-ES_tradnl"/>
              </w:rPr>
              <w:t>Consejo De Estado, Sala de Consulta y Servicio Civil. Radicado No. 1453. Concepto de 6 de agosto de 2003. MP. Augusto Trejos.</w:t>
            </w:r>
          </w:p>
          <w:p w14:paraId="3B9B8A4C" w14:textId="77777777" w:rsidR="00AB467B" w:rsidRPr="002E6EE4" w:rsidRDefault="00AB467B" w:rsidP="002E6EE4">
            <w:pPr>
              <w:numPr>
                <w:ilvl w:val="0"/>
                <w:numId w:val="17"/>
              </w:numPr>
              <w:spacing w:line="276" w:lineRule="auto"/>
              <w:jc w:val="both"/>
              <w:rPr>
                <w:rFonts w:ascii="Verdana" w:hAnsi="Verdana" w:cs="Arial"/>
              </w:rPr>
            </w:pPr>
            <w:r w:rsidRPr="002E6EE4">
              <w:rPr>
                <w:rFonts w:ascii="Verdana" w:eastAsia="Calibri" w:hAnsi="Verdana" w:cs="Arial"/>
                <w:lang w:val="es-ES_tradnl"/>
              </w:rPr>
              <w:t>Consejo de Estado, Sección Tercera, Subsección A, Sentencia del 20 de mayo de 2024, radicado No. 58.879, Consejera Ponente: María Adriana Marín.</w:t>
            </w:r>
          </w:p>
        </w:tc>
      </w:tr>
    </w:tbl>
    <w:p w14:paraId="24128F6B" w14:textId="77777777" w:rsidR="00AB467B" w:rsidRPr="002E6EE4" w:rsidRDefault="00AB467B" w:rsidP="002E6EE4">
      <w:pPr>
        <w:widowControl w:val="0"/>
        <w:autoSpaceDE w:val="0"/>
        <w:autoSpaceDN w:val="0"/>
        <w:spacing w:after="0" w:line="276" w:lineRule="auto"/>
        <w:jc w:val="both"/>
        <w:rPr>
          <w:rFonts w:ascii="Verdana" w:hAnsi="Verdana" w:cs="Arial"/>
          <w:color w:val="000000" w:themeColor="text1"/>
        </w:rPr>
      </w:pPr>
    </w:p>
    <w:p w14:paraId="7714B44A" w14:textId="77777777" w:rsidR="00AB467B" w:rsidRPr="002E6EE4" w:rsidRDefault="00AB467B" w:rsidP="002E6EE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E6EE4">
        <w:rPr>
          <w:rFonts w:ascii="Verdana" w:eastAsia="Century Gothic" w:hAnsi="Verdana" w:cs="Century Gothic"/>
          <w:b/>
          <w:bCs/>
          <w:color w:val="000000" w:themeColor="text1"/>
        </w:rPr>
        <w:t>Doctrina de la Agencia Nacional de Contratación Pública:</w:t>
      </w:r>
    </w:p>
    <w:p w14:paraId="35BD16AE" w14:textId="77777777" w:rsidR="002E6EE4" w:rsidRPr="002E6EE4" w:rsidRDefault="002E6EE4" w:rsidP="002E6EE4">
      <w:pPr>
        <w:widowControl w:val="0"/>
        <w:autoSpaceDE w:val="0"/>
        <w:autoSpaceDN w:val="0"/>
        <w:spacing w:after="0" w:line="276" w:lineRule="auto"/>
        <w:jc w:val="both"/>
        <w:rPr>
          <w:rFonts w:ascii="Verdana" w:hAnsi="Verdana" w:cs="Arial"/>
          <w:color w:val="000000" w:themeColor="text1"/>
        </w:rPr>
      </w:pPr>
    </w:p>
    <w:p w14:paraId="19153B8A" w14:textId="77777777" w:rsidR="00AB467B" w:rsidRPr="002E6EE4" w:rsidRDefault="00AB467B" w:rsidP="00175536">
      <w:pPr>
        <w:widowControl w:val="0"/>
        <w:autoSpaceDE w:val="0"/>
        <w:autoSpaceDN w:val="0"/>
        <w:spacing w:after="0" w:line="276" w:lineRule="auto"/>
        <w:jc w:val="both"/>
        <w:rPr>
          <w:rStyle w:val="normaltextrun"/>
          <w:rFonts w:ascii="Verdana" w:hAnsi="Verdana" w:cs="Arial"/>
          <w:shd w:val="clear" w:color="auto" w:fill="FFFFFF"/>
          <w:lang w:val="es-ES"/>
        </w:rPr>
      </w:pPr>
      <w:r w:rsidRPr="002E6EE4">
        <w:rPr>
          <w:rFonts w:ascii="Verdana" w:eastAsia="Aptos" w:hAnsi="Verdana" w:cs="Arial"/>
        </w:rPr>
        <w:t xml:space="preserve">La </w:t>
      </w:r>
      <w:r w:rsidRPr="002E6EE4">
        <w:rPr>
          <w:rFonts w:ascii="Verdana" w:eastAsia="Calibri" w:hAnsi="Verdana" w:cs="Arial"/>
        </w:rPr>
        <w:t xml:space="preserve">Agencia Nacional de Contratación Pública ― Colombia Compra Eficiente </w:t>
      </w:r>
      <w:r w:rsidRPr="002E6EE4">
        <w:rPr>
          <w:rFonts w:ascii="Verdana" w:eastAsia="Aptos" w:hAnsi="Verdana" w:cs="Arial"/>
          <w:shd w:val="clear" w:color="auto" w:fill="FFFFFF"/>
          <w:lang w:val="es-ES"/>
        </w:rPr>
        <w:t xml:space="preserve">se ha pronunciado </w:t>
      </w:r>
      <w:r w:rsidRPr="002E6EE4">
        <w:rPr>
          <w:rFonts w:ascii="Verdana" w:eastAsia="Calibri" w:hAnsi="Verdana" w:cs="Arial"/>
          <w:lang w:val="es-ES_tradnl" w:eastAsia="es-ES_tradnl"/>
        </w:rPr>
        <w:t>sobre la liquidación de los contratos en los conceptos C-479 del 27 de julio de 2020, C-625 del 28 de septiembre del 2020, C-078 del 17 de marzo de 2021, C-769 del 16 de noviembre de 2022, C-015 del 24 de febrero del 2023, C-019 del 19 de abril del 2023, C-176 del 03 de mayo del 2023, C-158 del 06 de junio del 2023, C-307 del 25 de julio del 2023, C-048 del 26 de febrero de 2025</w:t>
      </w:r>
      <w:r w:rsidRPr="002E6EE4">
        <w:rPr>
          <w:rFonts w:ascii="Verdana" w:hAnsi="Verdana" w:cs="Arial"/>
          <w:color w:val="000000" w:themeColor="text1"/>
          <w:shd w:val="clear" w:color="auto" w:fill="FFFFFF"/>
          <w:lang w:val="es-ES"/>
        </w:rPr>
        <w:t>, C-975 del 19 de agosto de 2025, entre otros</w:t>
      </w:r>
      <w:r w:rsidRPr="002E6EE4">
        <w:rPr>
          <w:rFonts w:ascii="Verdana" w:eastAsia="Calibri" w:hAnsi="Verdana" w:cs="Arial"/>
          <w:color w:val="000000" w:themeColor="text1"/>
          <w:lang w:val="es-ES"/>
        </w:rPr>
        <w:t xml:space="preserve">. </w:t>
      </w:r>
      <w:r w:rsidRPr="002E6EE4">
        <w:rPr>
          <w:rStyle w:val="normaltextrun"/>
          <w:rFonts w:ascii="Verdana" w:hAnsi="Verdana" w:cs="Arial"/>
          <w:shd w:val="clear" w:color="auto" w:fill="FFFFFF"/>
          <w:lang w:val="es-ES"/>
        </w:rPr>
        <w:t>Es</w:t>
      </w:r>
      <w:r w:rsidRPr="002E6EE4">
        <w:rPr>
          <w:rFonts w:ascii="Verdana" w:hAnsi="Verdana"/>
        </w:rPr>
        <w:t>tos y otros conceptos se encuentran disponibles para consulta en el Sistema de relatoría de la Agencia, al cual se puede acceder a través del siguiente enlace:</w:t>
      </w:r>
      <w:r w:rsidRPr="002E6EE4">
        <w:rPr>
          <w:rStyle w:val="normaltextrun"/>
          <w:rFonts w:ascii="Verdana" w:hAnsi="Verdana" w:cs="Arial"/>
          <w:shd w:val="clear" w:color="auto" w:fill="FFFFFF"/>
          <w:lang w:val="es-ES"/>
        </w:rPr>
        <w:t xml:space="preserve"> </w:t>
      </w:r>
      <w:hyperlink r:id="rId12" w:history="1">
        <w:r w:rsidRPr="002E6EE4">
          <w:rPr>
            <w:rStyle w:val="Hipervnculo"/>
            <w:rFonts w:ascii="Verdana" w:hAnsi="Verdana" w:cs="Arial"/>
            <w:shd w:val="clear" w:color="auto" w:fill="FFFFFF"/>
            <w:lang w:val="es-ES"/>
          </w:rPr>
          <w:t>https://relatoria.colombiacompra.gov.co/busqueda/conceptos</w:t>
        </w:r>
      </w:hyperlink>
      <w:r w:rsidRPr="002E6EE4">
        <w:rPr>
          <w:rStyle w:val="normaltextrun"/>
          <w:rFonts w:ascii="Verdana" w:hAnsi="Verdana" w:cs="Arial"/>
          <w:shd w:val="clear" w:color="auto" w:fill="FFFFFF"/>
          <w:lang w:val="es-ES"/>
        </w:rPr>
        <w:t xml:space="preserve">. </w:t>
      </w:r>
    </w:p>
    <w:p w14:paraId="5E99DDCB" w14:textId="77777777" w:rsidR="00AB467B" w:rsidRPr="002E6EE4" w:rsidRDefault="00AB467B" w:rsidP="002E6EE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2E6EE4">
        <w:rPr>
          <w:rStyle w:val="normaltextrun"/>
          <w:rFonts w:ascii="Verdana" w:hAnsi="Verdana" w:cs="Arial"/>
          <w:color w:val="000000" w:themeColor="text1"/>
          <w:shd w:val="clear" w:color="auto" w:fill="FFFFFF"/>
          <w:lang w:val="es-ES"/>
        </w:rPr>
        <w:t xml:space="preserve">  </w:t>
      </w:r>
    </w:p>
    <w:p w14:paraId="4FDEAB95" w14:textId="77777777" w:rsidR="00AB467B" w:rsidRPr="002E6EE4" w:rsidRDefault="00AB467B" w:rsidP="00175536">
      <w:pPr>
        <w:spacing w:after="0" w:line="276" w:lineRule="auto"/>
        <w:jc w:val="both"/>
        <w:rPr>
          <w:rFonts w:ascii="Verdana" w:hAnsi="Verdana"/>
          <w:color w:val="000000" w:themeColor="text1"/>
        </w:rPr>
      </w:pPr>
      <w:r w:rsidRPr="002E6EE4">
        <w:rPr>
          <w:rFonts w:ascii="Verdana" w:hAnsi="Verdana"/>
          <w:color w:val="000000" w:themeColor="text1"/>
        </w:rPr>
        <w:t xml:space="preserve">Lo invitamos a seguirnos en las redes sociales en las cuales se difunde información institucional: </w:t>
      </w:r>
    </w:p>
    <w:p w14:paraId="2C69501E" w14:textId="77777777" w:rsidR="00AB467B" w:rsidRPr="002E6EE4" w:rsidRDefault="00AB467B" w:rsidP="00175536">
      <w:pPr>
        <w:spacing w:after="0" w:line="276" w:lineRule="auto"/>
        <w:jc w:val="both"/>
        <w:rPr>
          <w:rFonts w:ascii="Verdana" w:hAnsi="Verdana"/>
          <w:color w:val="000000" w:themeColor="text1"/>
        </w:rPr>
      </w:pPr>
    </w:p>
    <w:p w14:paraId="5F335255" w14:textId="77777777" w:rsidR="00AB467B" w:rsidRPr="002E6EE4" w:rsidRDefault="00AB467B" w:rsidP="00175536">
      <w:pPr>
        <w:spacing w:after="0" w:line="276" w:lineRule="auto"/>
        <w:jc w:val="both"/>
        <w:rPr>
          <w:rFonts w:ascii="Verdana" w:hAnsi="Verdana"/>
          <w:color w:val="000000" w:themeColor="text1"/>
        </w:rPr>
      </w:pPr>
      <w:r w:rsidRPr="002E6EE4">
        <w:rPr>
          <w:rFonts w:ascii="Verdana" w:hAnsi="Verdana"/>
          <w:color w:val="000000" w:themeColor="text1"/>
        </w:rPr>
        <w:t xml:space="preserve">Twitter: </w:t>
      </w:r>
      <w:r w:rsidRPr="002E6EE4">
        <w:rPr>
          <w:rStyle w:val="Hipervnculo"/>
          <w:rFonts w:ascii="Verdana" w:hAnsi="Verdana"/>
          <w:color w:val="000000" w:themeColor="text1"/>
        </w:rPr>
        <w:t>@colombiacompra</w:t>
      </w:r>
      <w:r w:rsidRPr="002E6EE4">
        <w:rPr>
          <w:rFonts w:ascii="Verdana" w:hAnsi="Verdana"/>
          <w:color w:val="000000" w:themeColor="text1"/>
        </w:rPr>
        <w:t xml:space="preserve"> </w:t>
      </w:r>
    </w:p>
    <w:p w14:paraId="4EEA7300" w14:textId="77777777" w:rsidR="00AB467B" w:rsidRPr="002E6EE4" w:rsidRDefault="00AB467B" w:rsidP="00175536">
      <w:pPr>
        <w:spacing w:after="0" w:line="276" w:lineRule="auto"/>
        <w:jc w:val="both"/>
        <w:rPr>
          <w:rFonts w:ascii="Verdana" w:hAnsi="Verdana"/>
          <w:color w:val="000000" w:themeColor="text1"/>
        </w:rPr>
      </w:pPr>
      <w:r w:rsidRPr="002E6EE4">
        <w:rPr>
          <w:rFonts w:ascii="Verdana" w:hAnsi="Verdana"/>
          <w:color w:val="000000" w:themeColor="text1"/>
        </w:rPr>
        <w:t xml:space="preserve">Facebook: </w:t>
      </w:r>
      <w:proofErr w:type="spellStart"/>
      <w:r w:rsidRPr="002E6EE4">
        <w:rPr>
          <w:rStyle w:val="Hipervnculo"/>
          <w:rFonts w:ascii="Verdana" w:hAnsi="Verdana"/>
          <w:color w:val="000000" w:themeColor="text1"/>
        </w:rPr>
        <w:t>ColombiaCompraEficiente</w:t>
      </w:r>
      <w:proofErr w:type="spellEnd"/>
    </w:p>
    <w:p w14:paraId="134AA4F7" w14:textId="77777777" w:rsidR="00AB467B" w:rsidRDefault="00AB467B">
      <w:pPr>
        <w:spacing w:after="0" w:line="276" w:lineRule="auto"/>
        <w:jc w:val="both"/>
        <w:rPr>
          <w:rStyle w:val="Hipervnculo"/>
          <w:rFonts w:ascii="Verdana" w:hAnsi="Verdana"/>
          <w:color w:val="000000" w:themeColor="text1"/>
        </w:rPr>
      </w:pPr>
      <w:r w:rsidRPr="002E6EE4">
        <w:rPr>
          <w:rFonts w:ascii="Verdana" w:hAnsi="Verdana"/>
          <w:color w:val="000000" w:themeColor="text1"/>
        </w:rPr>
        <w:t xml:space="preserve">LinkedIn: </w:t>
      </w:r>
      <w:r w:rsidRPr="002E6EE4">
        <w:rPr>
          <w:rStyle w:val="Hipervnculo"/>
          <w:rFonts w:ascii="Verdana" w:hAnsi="Verdana"/>
          <w:color w:val="000000" w:themeColor="text1"/>
        </w:rPr>
        <w:t>Agencia Nacional de Contratación Pública - Colombia Compra Eficiente</w:t>
      </w:r>
      <w:r w:rsidRPr="002E6EE4">
        <w:rPr>
          <w:rFonts w:ascii="Verdana" w:hAnsi="Verdana"/>
          <w:color w:val="000000" w:themeColor="text1"/>
        </w:rPr>
        <w:t xml:space="preserve"> Instagram: </w:t>
      </w:r>
      <w:r w:rsidRPr="002E6EE4">
        <w:rPr>
          <w:rStyle w:val="Hipervnculo"/>
          <w:rFonts w:ascii="Verdana" w:hAnsi="Verdana"/>
          <w:color w:val="000000" w:themeColor="text1"/>
        </w:rPr>
        <w:t>@colombiacompraeficiente_cce</w:t>
      </w:r>
    </w:p>
    <w:p w14:paraId="53231C7B" w14:textId="77777777" w:rsidR="00175536" w:rsidRDefault="00175536">
      <w:pPr>
        <w:spacing w:after="0" w:line="276" w:lineRule="auto"/>
        <w:jc w:val="both"/>
        <w:rPr>
          <w:rStyle w:val="Hipervnculo"/>
          <w:rFonts w:ascii="Verdana" w:hAnsi="Verdana"/>
          <w:color w:val="000000" w:themeColor="text1"/>
        </w:rPr>
      </w:pPr>
    </w:p>
    <w:p w14:paraId="1B910E30" w14:textId="77777777" w:rsidR="00175536" w:rsidRPr="009A385A" w:rsidRDefault="00175536" w:rsidP="00175536">
      <w:pPr>
        <w:jc w:val="both"/>
        <w:rPr>
          <w:rFonts w:ascii="Verdana" w:hAnsi="Verdana"/>
        </w:rPr>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26DA00E9" w14:textId="77777777" w:rsidR="00175536" w:rsidRDefault="00175536" w:rsidP="00175536">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78B550AA" w14:textId="0D4B7F79" w:rsidR="00AB467B" w:rsidRPr="00FA1377" w:rsidRDefault="00175536" w:rsidP="00FA1377">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r w:rsidR="00FA1377">
        <w:rPr>
          <w:rFonts w:ascii="Verdana" w:hAnsi="Verdana"/>
        </w:rPr>
        <w:t xml:space="preserve">. </w:t>
      </w:r>
      <w:r w:rsidR="00AB467B" w:rsidRPr="002E6EE4">
        <w:rPr>
          <w:rFonts w:ascii="Verdana" w:hAnsi="Verdana" w:cs="Arial"/>
          <w:color w:val="000000" w:themeColor="text1"/>
        </w:rPr>
        <w:t xml:space="preserve">Este concepto tiene el alcance previsto en el artículo 28 del Código de Procedimiento Administrativo y de lo Contencioso Administrativo </w:t>
      </w:r>
      <w:r w:rsidR="00AB467B" w:rsidRPr="002E6EE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4A8BE03" w14:textId="77777777" w:rsidR="001A33BF" w:rsidRPr="002E6EE4" w:rsidRDefault="001A33BF" w:rsidP="00175536">
      <w:pPr>
        <w:spacing w:after="0" w:line="276" w:lineRule="auto"/>
        <w:jc w:val="both"/>
        <w:rPr>
          <w:rFonts w:ascii="Verdana" w:eastAsia="Verdana" w:hAnsi="Verdana" w:cs="Verdana"/>
          <w:lang w:val="es-MX"/>
        </w:rPr>
      </w:pPr>
    </w:p>
    <w:p w14:paraId="0EE67BCA" w14:textId="388E65A9" w:rsidR="002A0DD0" w:rsidRDefault="002A0DD0" w:rsidP="00175536">
      <w:pPr>
        <w:spacing w:after="0" w:line="276" w:lineRule="auto"/>
        <w:jc w:val="both"/>
        <w:rPr>
          <w:rFonts w:ascii="Verdana" w:eastAsia="Verdana" w:hAnsi="Verdana" w:cs="Verdana"/>
          <w:lang w:val="es-MX"/>
        </w:rPr>
      </w:pPr>
      <w:r w:rsidRPr="002E6EE4">
        <w:rPr>
          <w:rFonts w:ascii="Verdana" w:eastAsia="Verdana" w:hAnsi="Verdana" w:cs="Verdana"/>
          <w:lang w:val="es-MX"/>
        </w:rPr>
        <w:t>Cordialmente,</w:t>
      </w:r>
    </w:p>
    <w:p w14:paraId="32F50B28" w14:textId="41776FFE" w:rsidR="00175536" w:rsidRDefault="00175536" w:rsidP="00FA1377">
      <w:pPr>
        <w:spacing w:after="0" w:line="276" w:lineRule="auto"/>
        <w:jc w:val="center"/>
        <w:rPr>
          <w:noProof/>
        </w:rPr>
      </w:pPr>
    </w:p>
    <w:p w14:paraId="70898D41" w14:textId="001D2413" w:rsidR="00524D92" w:rsidRDefault="00524D92" w:rsidP="00FA1377">
      <w:pPr>
        <w:spacing w:after="0" w:line="276" w:lineRule="auto"/>
        <w:jc w:val="center"/>
        <w:rPr>
          <w:noProof/>
        </w:rPr>
      </w:pPr>
      <w:r>
        <w:rPr>
          <w:noProof/>
        </w:rPr>
        <w:lastRenderedPageBreak/>
        <w:drawing>
          <wp:inline distT="0" distB="0" distL="0" distR="0" wp14:anchorId="231C5360" wp14:editId="0C51D1EA">
            <wp:extent cx="3326130" cy="1427850"/>
            <wp:effectExtent l="0" t="0" r="7620" b="1270"/>
            <wp:docPr id="20999547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33964" cy="1431213"/>
                    </a:xfrm>
                    <a:prstGeom prst="rect">
                      <a:avLst/>
                    </a:prstGeom>
                    <a:noFill/>
                    <a:ln>
                      <a:noFill/>
                    </a:ln>
                  </pic:spPr>
                </pic:pic>
              </a:graphicData>
            </a:graphic>
          </wp:inline>
        </w:drawing>
      </w:r>
    </w:p>
    <w:p w14:paraId="41B66461" w14:textId="77777777" w:rsidR="00524D92" w:rsidRDefault="00524D92" w:rsidP="00FA1377">
      <w:pPr>
        <w:spacing w:after="0" w:line="276" w:lineRule="auto"/>
        <w:jc w:val="center"/>
        <w:rPr>
          <w:noProof/>
        </w:rPr>
      </w:pPr>
    </w:p>
    <w:p w14:paraId="605010DA" w14:textId="77777777" w:rsidR="00524D92" w:rsidRDefault="00524D92" w:rsidP="00FA1377">
      <w:pPr>
        <w:spacing w:after="0" w:line="276" w:lineRule="auto"/>
        <w:jc w:val="center"/>
        <w:rPr>
          <w:noProof/>
        </w:rPr>
      </w:pPr>
    </w:p>
    <w:p w14:paraId="67698749" w14:textId="77777777" w:rsidR="00524D92" w:rsidRPr="002E6EE4" w:rsidRDefault="00524D92" w:rsidP="00FA1377">
      <w:pPr>
        <w:spacing w:after="0" w:line="276" w:lineRule="auto"/>
        <w:jc w:val="center"/>
        <w:rPr>
          <w:rFonts w:ascii="Verdana" w:eastAsia="Verdana" w:hAnsi="Verdana" w:cs="Verdana"/>
          <w:lang w:val="es-MX"/>
        </w:rPr>
      </w:pPr>
    </w:p>
    <w:p w14:paraId="3B27AFCD" w14:textId="77777777" w:rsidR="002A0DD0" w:rsidRPr="002E6EE4" w:rsidRDefault="002A0DD0" w:rsidP="00175536">
      <w:pPr>
        <w:spacing w:after="0" w:line="276" w:lineRule="auto"/>
        <w:jc w:val="both"/>
        <w:rPr>
          <w:rFonts w:ascii="Verdana" w:eastAsia="Verdana" w:hAnsi="Verdana" w:cs="Verdana"/>
          <w:b/>
          <w:bCs/>
          <w:lang w:val="es-MX"/>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75536" w:rsidRPr="00115E3D" w14:paraId="0D1ED823" w14:textId="77777777" w:rsidTr="00F63E64">
        <w:trPr>
          <w:trHeight w:val="315"/>
        </w:trPr>
        <w:tc>
          <w:tcPr>
            <w:tcW w:w="893" w:type="dxa"/>
            <w:vAlign w:val="center"/>
            <w:hideMark/>
          </w:tcPr>
          <w:p w14:paraId="40D9FEEF" w14:textId="77777777" w:rsidR="00175536" w:rsidRPr="00115E3D" w:rsidRDefault="0017553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15F0D1" w14:textId="77777777" w:rsidR="00175536" w:rsidRPr="00115E3D" w:rsidRDefault="00175536" w:rsidP="00F63E64">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12C43B2D" w14:textId="77777777" w:rsidR="00175536" w:rsidRPr="00115E3D" w:rsidRDefault="00175536" w:rsidP="00F63E64">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175536" w:rsidRPr="00115E3D" w14:paraId="0E000908" w14:textId="77777777" w:rsidTr="00F63E64">
        <w:trPr>
          <w:trHeight w:val="330"/>
        </w:trPr>
        <w:tc>
          <w:tcPr>
            <w:tcW w:w="893" w:type="dxa"/>
            <w:vAlign w:val="center"/>
            <w:hideMark/>
          </w:tcPr>
          <w:p w14:paraId="73565F53" w14:textId="77777777" w:rsidR="00175536" w:rsidRPr="00115E3D" w:rsidRDefault="0017553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93DE39" w14:textId="77777777" w:rsidR="00175536" w:rsidRPr="00B37171" w:rsidRDefault="00175536" w:rsidP="00F63E64">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 Castañeda</w:t>
            </w:r>
          </w:p>
          <w:p w14:paraId="6AC12046" w14:textId="77777777" w:rsidR="00175536" w:rsidRPr="00115E3D" w:rsidRDefault="00175536" w:rsidP="00F63E64">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175536" w:rsidRPr="00115E3D" w14:paraId="30D1537C" w14:textId="77777777" w:rsidTr="00F63E64">
        <w:trPr>
          <w:trHeight w:val="300"/>
        </w:trPr>
        <w:tc>
          <w:tcPr>
            <w:tcW w:w="893" w:type="dxa"/>
            <w:vAlign w:val="center"/>
          </w:tcPr>
          <w:p w14:paraId="32672517" w14:textId="77777777" w:rsidR="00175536" w:rsidRPr="00115E3D" w:rsidRDefault="0017553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06AB23" w14:textId="77777777" w:rsidR="00175536" w:rsidRPr="00115E3D" w:rsidRDefault="00175536" w:rsidP="00F63E6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2CE03801" w14:textId="77777777" w:rsidR="00175536" w:rsidRPr="00115E3D" w:rsidRDefault="00175536" w:rsidP="00F63E6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9026E2" w14:textId="77777777" w:rsidR="002A0DD0" w:rsidRPr="002E6EE4" w:rsidRDefault="002A0DD0" w:rsidP="00175536">
      <w:pPr>
        <w:spacing w:after="0" w:line="276" w:lineRule="auto"/>
        <w:jc w:val="both"/>
        <w:rPr>
          <w:rFonts w:ascii="Verdana" w:eastAsia="Verdana" w:hAnsi="Verdana" w:cs="Verdana"/>
          <w:b/>
          <w:bCs/>
          <w:lang w:val="es-MX"/>
        </w:rPr>
      </w:pPr>
    </w:p>
    <w:p w14:paraId="1006A388" w14:textId="77777777" w:rsidR="00C15139" w:rsidRPr="002E6EE4" w:rsidRDefault="00C15139" w:rsidP="00175536">
      <w:pPr>
        <w:spacing w:after="0" w:line="276" w:lineRule="auto"/>
        <w:jc w:val="both"/>
        <w:textAlignment w:val="baseline"/>
        <w:rPr>
          <w:rFonts w:ascii="Verdana" w:eastAsia="Verdana" w:hAnsi="Verdana" w:cs="Verdana"/>
          <w:lang w:eastAsia="es-CO"/>
        </w:rPr>
      </w:pPr>
    </w:p>
    <w:p w14:paraId="69BC4D14" w14:textId="4BD7E32A" w:rsidR="00C15139" w:rsidRPr="002E6EE4" w:rsidRDefault="00C15139" w:rsidP="00175536">
      <w:pPr>
        <w:spacing w:after="0" w:line="276" w:lineRule="auto"/>
        <w:textAlignment w:val="baseline"/>
        <w:rPr>
          <w:rFonts w:ascii="Verdana" w:eastAsia="Verdana" w:hAnsi="Verdana" w:cs="Verdana"/>
          <w:lang w:eastAsia="es-CO"/>
        </w:rPr>
      </w:pPr>
      <w:r w:rsidRPr="002E6EE4">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sectPr w:rsidR="002E2BF8" w:rsidRPr="00E0252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01BC8" w14:textId="77777777" w:rsidR="00805406" w:rsidRDefault="00805406" w:rsidP="004A1847">
      <w:pPr>
        <w:spacing w:after="0" w:line="240" w:lineRule="auto"/>
      </w:pPr>
      <w:r>
        <w:separator/>
      </w:r>
    </w:p>
  </w:endnote>
  <w:endnote w:type="continuationSeparator" w:id="0">
    <w:p w14:paraId="5E828061" w14:textId="77777777" w:rsidR="00805406" w:rsidRDefault="0080540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AB973" w14:textId="77777777" w:rsidR="00805406" w:rsidRDefault="00805406" w:rsidP="004A1847">
      <w:pPr>
        <w:spacing w:after="0" w:line="240" w:lineRule="auto"/>
      </w:pPr>
      <w:r>
        <w:separator/>
      </w:r>
    </w:p>
  </w:footnote>
  <w:footnote w:type="continuationSeparator" w:id="0">
    <w:p w14:paraId="0985389C" w14:textId="77777777" w:rsidR="00805406" w:rsidRDefault="00805406" w:rsidP="004A1847">
      <w:pPr>
        <w:spacing w:after="0" w:line="240" w:lineRule="auto"/>
      </w:pPr>
      <w:r>
        <w:continuationSeparator/>
      </w:r>
    </w:p>
  </w:footnote>
  <w:footnote w:id="1">
    <w:p w14:paraId="355F0A16" w14:textId="77777777" w:rsidR="00AB467B" w:rsidRPr="00263F06" w:rsidRDefault="00AB467B" w:rsidP="00175536">
      <w:pPr>
        <w:pStyle w:val="Textonotapie"/>
        <w:ind w:firstLine="709"/>
        <w:jc w:val="both"/>
        <w:rPr>
          <w:rFonts w:ascii="Verdana" w:hAnsi="Verdana" w:cs="Arial"/>
          <w:sz w:val="16"/>
          <w:szCs w:val="16"/>
        </w:rPr>
      </w:pPr>
      <w:r w:rsidRPr="00263F06">
        <w:rPr>
          <w:rStyle w:val="Refdenotaalpie"/>
          <w:rFonts w:ascii="Verdana" w:hAnsi="Verdana" w:cs="Arial"/>
          <w:sz w:val="16"/>
          <w:szCs w:val="16"/>
        </w:rPr>
        <w:footnoteRef/>
      </w:r>
      <w:r w:rsidRPr="00263F06">
        <w:rPr>
          <w:rFonts w:ascii="Verdana" w:hAnsi="Verdana" w:cs="Arial"/>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 EXPOSITO, Juan Carlos. Forma y contenido del contrato estatal. Bogotá: Universidad Externado de Colombia, p. 89 y 90.</w:t>
      </w:r>
    </w:p>
    <w:p w14:paraId="1A12CC08" w14:textId="77777777" w:rsidR="00AB467B" w:rsidRPr="00263F06" w:rsidRDefault="00AB467B" w:rsidP="00175536">
      <w:pPr>
        <w:pStyle w:val="Textonotapie"/>
        <w:ind w:firstLine="709"/>
        <w:jc w:val="both"/>
        <w:rPr>
          <w:rFonts w:ascii="Verdana" w:hAnsi="Verdana" w:cs="Arial"/>
          <w:sz w:val="16"/>
          <w:szCs w:val="16"/>
        </w:rPr>
      </w:pPr>
    </w:p>
  </w:footnote>
  <w:footnote w:id="2">
    <w:p w14:paraId="5E2A00CF" w14:textId="77777777" w:rsidR="00AB467B" w:rsidRPr="00263F06" w:rsidRDefault="00AB467B" w:rsidP="00175536">
      <w:pPr>
        <w:pStyle w:val="Textonotapie"/>
        <w:ind w:firstLine="709"/>
        <w:jc w:val="both"/>
        <w:rPr>
          <w:rFonts w:ascii="Verdana" w:hAnsi="Verdana" w:cs="Arial"/>
          <w:color w:val="000000"/>
          <w:sz w:val="16"/>
          <w:szCs w:val="16"/>
        </w:rPr>
      </w:pPr>
      <w:r w:rsidRPr="00263F06">
        <w:rPr>
          <w:rStyle w:val="Refdenotaalpie"/>
          <w:rFonts w:ascii="Verdana" w:hAnsi="Verdana" w:cs="Arial"/>
          <w:color w:val="000000"/>
          <w:sz w:val="16"/>
          <w:szCs w:val="16"/>
        </w:rPr>
        <w:footnoteRef/>
      </w:r>
      <w:r w:rsidRPr="00263F06">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0C6DDDFE" w14:textId="77777777" w:rsidR="00AB467B" w:rsidRPr="00263F06" w:rsidRDefault="00AB467B" w:rsidP="00175536">
      <w:pPr>
        <w:pStyle w:val="Textonotapie"/>
        <w:ind w:firstLine="709"/>
        <w:jc w:val="both"/>
        <w:rPr>
          <w:rFonts w:ascii="Verdana" w:hAnsi="Verdana" w:cs="Arial"/>
          <w:color w:val="000000"/>
          <w:sz w:val="16"/>
          <w:szCs w:val="16"/>
        </w:rPr>
      </w:pPr>
    </w:p>
  </w:footnote>
  <w:footnote w:id="3">
    <w:p w14:paraId="6DEA161D" w14:textId="77777777" w:rsidR="00AB467B" w:rsidRPr="00263F06" w:rsidRDefault="00AB467B" w:rsidP="00175536">
      <w:pPr>
        <w:spacing w:after="0" w:line="240" w:lineRule="auto"/>
        <w:ind w:firstLine="709"/>
        <w:jc w:val="both"/>
        <w:rPr>
          <w:rFonts w:ascii="Verdana" w:hAnsi="Verdana" w:cs="Arial"/>
          <w:sz w:val="16"/>
          <w:szCs w:val="16"/>
        </w:rPr>
      </w:pPr>
      <w:r w:rsidRPr="00263F06">
        <w:rPr>
          <w:rStyle w:val="Refdenotaalpie"/>
          <w:rFonts w:ascii="Verdana" w:hAnsi="Verdana" w:cs="Arial"/>
          <w:sz w:val="16"/>
          <w:szCs w:val="16"/>
        </w:rPr>
        <w:footnoteRef/>
      </w:r>
      <w:r w:rsidRPr="00263F06">
        <w:rPr>
          <w:rFonts w:ascii="Verdana" w:hAnsi="Verdana" w:cs="Arial"/>
          <w:sz w:val="16"/>
          <w:szCs w:val="16"/>
        </w:rPr>
        <w:t xml:space="preserve"> Consejo de Estado. Sección Tercera. Subsección C. 20 de octubre de 2014, M.P: Enrique Gil Botero. </w:t>
      </w:r>
      <w:proofErr w:type="spellStart"/>
      <w:r w:rsidRPr="00263F06">
        <w:rPr>
          <w:rFonts w:ascii="Verdana" w:hAnsi="Verdana" w:cs="Arial"/>
          <w:sz w:val="16"/>
          <w:szCs w:val="16"/>
        </w:rPr>
        <w:t>Exp</w:t>
      </w:r>
      <w:proofErr w:type="spellEnd"/>
      <w:r w:rsidRPr="00263F06">
        <w:rPr>
          <w:rFonts w:ascii="Verdana" w:hAnsi="Verdana" w:cs="Arial"/>
          <w:sz w:val="16"/>
          <w:szCs w:val="16"/>
        </w:rPr>
        <w:t>.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485F4342" w14:textId="77777777" w:rsidR="00AB467B" w:rsidRPr="00263F06" w:rsidRDefault="00AB467B" w:rsidP="00175536">
      <w:pPr>
        <w:spacing w:after="0" w:line="240" w:lineRule="auto"/>
        <w:ind w:firstLine="709"/>
        <w:jc w:val="both"/>
        <w:rPr>
          <w:rFonts w:ascii="Verdana" w:hAnsi="Verdana" w:cs="Arial"/>
          <w:sz w:val="16"/>
          <w:szCs w:val="16"/>
        </w:rPr>
      </w:pPr>
    </w:p>
  </w:footnote>
  <w:footnote w:id="4">
    <w:p w14:paraId="09A40409" w14:textId="77777777" w:rsidR="00AB467B" w:rsidRPr="00263F06" w:rsidRDefault="00AB467B" w:rsidP="00175536">
      <w:pPr>
        <w:pStyle w:val="Textonotapie"/>
        <w:ind w:firstLine="709"/>
        <w:jc w:val="both"/>
        <w:rPr>
          <w:rFonts w:ascii="Verdana" w:hAnsi="Verdana" w:cs="Arial"/>
          <w:sz w:val="16"/>
          <w:szCs w:val="16"/>
        </w:rPr>
      </w:pPr>
      <w:r w:rsidRPr="00263F06">
        <w:rPr>
          <w:rStyle w:val="Refdenotaalpie"/>
          <w:rFonts w:ascii="Verdana" w:hAnsi="Verdana" w:cs="Arial"/>
          <w:sz w:val="16"/>
          <w:szCs w:val="16"/>
        </w:rPr>
        <w:footnoteRef/>
      </w:r>
      <w:r w:rsidRPr="00263F06">
        <w:rPr>
          <w:rFonts w:ascii="Verdana" w:hAnsi="Verdana" w:cs="Arial"/>
          <w:sz w:val="16"/>
          <w:szCs w:val="16"/>
        </w:rPr>
        <w:t xml:space="preserve"> </w:t>
      </w:r>
      <w:bookmarkStart w:id="1" w:name="_Hlk208849314"/>
      <w:r w:rsidRPr="00263F06">
        <w:rPr>
          <w:rFonts w:ascii="Verdana" w:hAnsi="Verdana" w:cs="Arial"/>
          <w:sz w:val="16"/>
          <w:szCs w:val="16"/>
        </w:rPr>
        <w:t>Consejo De Estado, Sala de Consulta y Servicio Civil. Radicado No. 1453. Concepto de 6 de agosto de 2003. MP. Augusto Trejos.</w:t>
      </w:r>
    </w:p>
    <w:p w14:paraId="743B8490" w14:textId="77777777" w:rsidR="00AB467B" w:rsidRPr="00263F06" w:rsidRDefault="00AB467B" w:rsidP="00175536">
      <w:pPr>
        <w:pStyle w:val="Textonotapie"/>
        <w:ind w:firstLine="709"/>
        <w:jc w:val="both"/>
        <w:rPr>
          <w:rFonts w:ascii="Verdana" w:hAnsi="Verdana" w:cs="Arial"/>
          <w:sz w:val="16"/>
          <w:szCs w:val="16"/>
        </w:rPr>
      </w:pPr>
    </w:p>
    <w:bookmarkEnd w:id="1"/>
  </w:footnote>
  <w:footnote w:id="5">
    <w:p w14:paraId="2A598A77" w14:textId="77777777" w:rsidR="00AB467B" w:rsidRPr="00263F06" w:rsidRDefault="00AB467B" w:rsidP="00175536">
      <w:pPr>
        <w:pStyle w:val="Textonotapie"/>
        <w:ind w:firstLine="709"/>
        <w:jc w:val="both"/>
        <w:rPr>
          <w:rFonts w:ascii="Verdana" w:hAnsi="Verdana" w:cs="Arial"/>
          <w:sz w:val="16"/>
          <w:szCs w:val="16"/>
          <w:lang w:val="es-ES"/>
        </w:rPr>
      </w:pPr>
      <w:r w:rsidRPr="00263F06">
        <w:rPr>
          <w:rStyle w:val="Refdenotaalpie"/>
          <w:rFonts w:ascii="Verdana" w:hAnsi="Verdana" w:cs="Arial"/>
          <w:sz w:val="16"/>
          <w:szCs w:val="16"/>
        </w:rPr>
        <w:footnoteRef/>
      </w:r>
      <w:r w:rsidRPr="00263F06">
        <w:rPr>
          <w:rFonts w:ascii="Verdana" w:hAnsi="Verdana" w:cs="Arial"/>
          <w:sz w:val="16"/>
          <w:szCs w:val="16"/>
        </w:rPr>
        <w:t xml:space="preserve"> </w:t>
      </w:r>
      <w:r w:rsidRPr="00263F06">
        <w:rPr>
          <w:rFonts w:ascii="Verdana" w:hAnsi="Verdana" w:cs="Arial"/>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821BE56" w14:textId="77777777" w:rsidR="00AB467B" w:rsidRPr="00263F06" w:rsidRDefault="00AB467B" w:rsidP="00175536">
      <w:pPr>
        <w:pStyle w:val="Textonotapie"/>
        <w:ind w:firstLine="709"/>
        <w:jc w:val="both"/>
        <w:rPr>
          <w:rFonts w:ascii="Verdana" w:hAnsi="Verdana" w:cs="Arial"/>
          <w:sz w:val="16"/>
          <w:szCs w:val="16"/>
          <w:lang w:val="es-ES"/>
        </w:rPr>
      </w:pPr>
      <w:r w:rsidRPr="00263F06">
        <w:rPr>
          <w:rFonts w:ascii="Verdana" w:hAnsi="Verdana" w:cs="Arial"/>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18FD18B" w14:textId="77777777" w:rsidR="00AB467B" w:rsidRPr="00263F06" w:rsidRDefault="00AB467B" w:rsidP="00175536">
      <w:pPr>
        <w:pStyle w:val="Textonotapie"/>
        <w:ind w:firstLine="709"/>
        <w:jc w:val="both"/>
        <w:rPr>
          <w:rFonts w:ascii="Verdana" w:hAnsi="Verdana" w:cs="Arial"/>
          <w:sz w:val="16"/>
          <w:szCs w:val="16"/>
          <w:lang w:val="es-ES"/>
        </w:rPr>
      </w:pPr>
      <w:r w:rsidRPr="00263F06">
        <w:rPr>
          <w:rFonts w:ascii="Verdana" w:hAnsi="Verdana" w:cs="Arial"/>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15669558" w14:textId="77777777" w:rsidR="00AB467B" w:rsidRPr="00263F06" w:rsidRDefault="00AB467B" w:rsidP="00175536">
      <w:pPr>
        <w:pStyle w:val="Textonotapie"/>
        <w:ind w:firstLine="709"/>
        <w:jc w:val="both"/>
        <w:rPr>
          <w:rFonts w:ascii="Verdana" w:hAnsi="Verdana" w:cs="Arial"/>
          <w:sz w:val="16"/>
          <w:szCs w:val="16"/>
          <w:lang w:val="es-ES"/>
        </w:rPr>
      </w:pPr>
      <w:r w:rsidRPr="00263F06">
        <w:rPr>
          <w:rFonts w:ascii="Verdana" w:hAnsi="Verdana" w:cs="Arial"/>
          <w:sz w:val="16"/>
          <w:szCs w:val="16"/>
          <w:lang w:val="es-ES"/>
        </w:rPr>
        <w:t>Los contratistas tendrán derecho a efectuar salvedades a la liquidación por mutuo acuerdo, y en este evento la liquidación unilateral solo procederá en relación con los aspectos que no hayan sido objeto de acuerdo”.</w:t>
      </w:r>
    </w:p>
    <w:p w14:paraId="1B7C0E43" w14:textId="77777777" w:rsidR="00AB467B" w:rsidRPr="00263F06" w:rsidRDefault="00AB467B" w:rsidP="00175536">
      <w:pPr>
        <w:pStyle w:val="Textonotapie"/>
        <w:ind w:firstLine="709"/>
        <w:jc w:val="both"/>
        <w:rPr>
          <w:rFonts w:ascii="Verdana" w:hAnsi="Verdana" w:cs="Arial"/>
          <w:sz w:val="16"/>
          <w:szCs w:val="16"/>
          <w:lang w:val="es-ES"/>
        </w:rPr>
      </w:pPr>
    </w:p>
  </w:footnote>
  <w:footnote w:id="6">
    <w:p w14:paraId="25AE024F" w14:textId="7106D1E1" w:rsidR="002E6EE4" w:rsidRDefault="002E6EE4" w:rsidP="00263F06">
      <w:pPr>
        <w:pStyle w:val="Textonotapie"/>
        <w:ind w:firstLine="709"/>
        <w:jc w:val="both"/>
        <w:rPr>
          <w:rFonts w:ascii="Verdana" w:hAnsi="Verdana" w:cs="Arial"/>
          <w:sz w:val="16"/>
          <w:szCs w:val="16"/>
        </w:rPr>
      </w:pPr>
      <w:r w:rsidRPr="00263F06">
        <w:rPr>
          <w:rStyle w:val="Refdenotaalpie"/>
          <w:rFonts w:ascii="Verdana" w:hAnsi="Verdana" w:cs="Arial"/>
          <w:sz w:val="16"/>
          <w:szCs w:val="16"/>
        </w:rPr>
        <w:footnoteRef/>
      </w:r>
      <w:r w:rsidRPr="00263F06">
        <w:rPr>
          <w:rFonts w:ascii="Verdana" w:hAnsi="Verdana" w:cs="Arial"/>
          <w:sz w:val="16"/>
          <w:szCs w:val="16"/>
        </w:rPr>
        <w:t xml:space="preserve"> DÍAZ DÍEZ, La liquidación… </w:t>
      </w:r>
      <w:proofErr w:type="spellStart"/>
      <w:r w:rsidRPr="00263F06">
        <w:rPr>
          <w:rFonts w:ascii="Verdana" w:hAnsi="Verdana" w:cs="Arial"/>
          <w:sz w:val="16"/>
          <w:szCs w:val="16"/>
        </w:rPr>
        <w:t>Op</w:t>
      </w:r>
      <w:proofErr w:type="spellEnd"/>
      <w:r w:rsidRPr="00263F06">
        <w:rPr>
          <w:rFonts w:ascii="Verdana" w:hAnsi="Verdana" w:cs="Arial"/>
          <w:sz w:val="16"/>
          <w:szCs w:val="16"/>
        </w:rPr>
        <w:t>. cit., pp. 255-256.</w:t>
      </w:r>
    </w:p>
    <w:p w14:paraId="2DAE955B" w14:textId="77777777" w:rsidR="00263F06" w:rsidRPr="00263F06" w:rsidRDefault="00263F06" w:rsidP="00175536">
      <w:pPr>
        <w:pStyle w:val="Textonotapie"/>
        <w:ind w:firstLine="709"/>
        <w:jc w:val="both"/>
        <w:rPr>
          <w:rFonts w:ascii="Verdana" w:hAnsi="Verdana" w:cs="Arial"/>
          <w:sz w:val="16"/>
          <w:szCs w:val="16"/>
        </w:rPr>
      </w:pPr>
    </w:p>
  </w:footnote>
  <w:footnote w:id="7">
    <w:p w14:paraId="75156C63" w14:textId="56C981BE" w:rsidR="00AB467B" w:rsidRPr="00263F06" w:rsidRDefault="00AB467B" w:rsidP="00175536">
      <w:pPr>
        <w:pStyle w:val="Textonotapie"/>
        <w:ind w:firstLine="709"/>
        <w:jc w:val="both"/>
        <w:rPr>
          <w:rFonts w:ascii="Verdana" w:hAnsi="Verdana"/>
          <w:sz w:val="16"/>
          <w:szCs w:val="16"/>
          <w:lang w:val="es-ES"/>
        </w:rPr>
      </w:pPr>
      <w:r w:rsidRPr="00263F06">
        <w:rPr>
          <w:rStyle w:val="Refdenotaalpie"/>
          <w:rFonts w:ascii="Verdana" w:hAnsi="Verdana"/>
          <w:sz w:val="16"/>
          <w:szCs w:val="16"/>
        </w:rPr>
        <w:footnoteRef/>
      </w:r>
      <w:r w:rsidR="00263F06" w:rsidRPr="00263F06">
        <w:rPr>
          <w:rFonts w:ascii="Verdana" w:hAnsi="Verdana"/>
          <w:sz w:val="16"/>
          <w:szCs w:val="16"/>
        </w:rPr>
        <w:t xml:space="preserve"> Agencia Nacional de Contratación Pública – Colombia Compra Eficiente. </w:t>
      </w:r>
      <w:r w:rsidR="00263F06" w:rsidRPr="00175536">
        <w:rPr>
          <w:rFonts w:ascii="Verdana" w:eastAsia="Calibri" w:hAnsi="Verdana" w:cs="Arial"/>
          <w:sz w:val="16"/>
          <w:szCs w:val="16"/>
          <w:lang w:eastAsia="es-ES_tradnl"/>
        </w:rPr>
        <w:t>Guía para la liquidación de los procesos de contratación</w:t>
      </w:r>
      <w:r w:rsidR="00263F06" w:rsidRPr="00263F06">
        <w:rPr>
          <w:rFonts w:ascii="Verdana" w:hAnsi="Verdana"/>
          <w:sz w:val="16"/>
          <w:szCs w:val="16"/>
        </w:rPr>
        <w:t xml:space="preserve">. Disponible en: </w:t>
      </w:r>
      <w:hyperlink r:id="rId1" w:history="1">
        <w:r w:rsidR="00263F06" w:rsidRPr="00263F06">
          <w:rPr>
            <w:rStyle w:val="Hipervnculo"/>
            <w:rFonts w:ascii="Verdana" w:hAnsi="Verdana"/>
            <w:sz w:val="16"/>
            <w:szCs w:val="16"/>
          </w:rPr>
          <w:t>https://www.colombiacompra.gov.co/wp-content/uploads/2024/08/2016-Guia-para-la-liquidacion-contratos-estatales-G-LPC-01.pdf</w:t>
        </w:r>
      </w:hyperlink>
      <w:r w:rsidR="00A055E9" w:rsidRPr="00263F06">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575E0581"/>
    <w:multiLevelType w:val="hybridMultilevel"/>
    <w:tmpl w:val="2D988B7E"/>
    <w:lvl w:ilvl="0" w:tplc="63B0B19C">
      <w:start w:val="4"/>
      <w:numFmt w:val="upperRoman"/>
      <w:lvlText w:val="%1."/>
      <w:lvlJc w:val="left"/>
      <w:pPr>
        <w:ind w:left="1429" w:hanging="720"/>
      </w:pPr>
      <w:rPr>
        <w:rFonts w:hint="default"/>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46B1E"/>
    <w:rsid w:val="00061B2A"/>
    <w:rsid w:val="00082362"/>
    <w:rsid w:val="000A683E"/>
    <w:rsid w:val="000B19B9"/>
    <w:rsid w:val="000D0334"/>
    <w:rsid w:val="000D5DA7"/>
    <w:rsid w:val="000F6486"/>
    <w:rsid w:val="00104584"/>
    <w:rsid w:val="00116940"/>
    <w:rsid w:val="00125105"/>
    <w:rsid w:val="00127233"/>
    <w:rsid w:val="0015699B"/>
    <w:rsid w:val="00175536"/>
    <w:rsid w:val="001A33BF"/>
    <w:rsid w:val="001E4177"/>
    <w:rsid w:val="001F0B24"/>
    <w:rsid w:val="001F7DC6"/>
    <w:rsid w:val="0022400B"/>
    <w:rsid w:val="002421BB"/>
    <w:rsid w:val="0025796E"/>
    <w:rsid w:val="00263F06"/>
    <w:rsid w:val="002707A2"/>
    <w:rsid w:val="002951A0"/>
    <w:rsid w:val="002962BC"/>
    <w:rsid w:val="002A093D"/>
    <w:rsid w:val="002A0DD0"/>
    <w:rsid w:val="002A49AC"/>
    <w:rsid w:val="002A64FD"/>
    <w:rsid w:val="002C7A84"/>
    <w:rsid w:val="002E2BF8"/>
    <w:rsid w:val="002E4FD9"/>
    <w:rsid w:val="002E6EE4"/>
    <w:rsid w:val="0030657A"/>
    <w:rsid w:val="00322A85"/>
    <w:rsid w:val="003238DB"/>
    <w:rsid w:val="00324168"/>
    <w:rsid w:val="00330834"/>
    <w:rsid w:val="003448F4"/>
    <w:rsid w:val="00374F5E"/>
    <w:rsid w:val="00377E3E"/>
    <w:rsid w:val="003A1F4D"/>
    <w:rsid w:val="003A779E"/>
    <w:rsid w:val="003D0F4D"/>
    <w:rsid w:val="003D5B0D"/>
    <w:rsid w:val="003E0499"/>
    <w:rsid w:val="003E4F80"/>
    <w:rsid w:val="003E5C76"/>
    <w:rsid w:val="003E6439"/>
    <w:rsid w:val="003F3941"/>
    <w:rsid w:val="00406575"/>
    <w:rsid w:val="00414C74"/>
    <w:rsid w:val="0042722E"/>
    <w:rsid w:val="0044528D"/>
    <w:rsid w:val="00466E39"/>
    <w:rsid w:val="00467CEC"/>
    <w:rsid w:val="004A1847"/>
    <w:rsid w:val="004A305D"/>
    <w:rsid w:val="004B7611"/>
    <w:rsid w:val="004F015C"/>
    <w:rsid w:val="004F21C4"/>
    <w:rsid w:val="004F685F"/>
    <w:rsid w:val="00524D92"/>
    <w:rsid w:val="00545521"/>
    <w:rsid w:val="005566E8"/>
    <w:rsid w:val="00562FF4"/>
    <w:rsid w:val="00574867"/>
    <w:rsid w:val="00591460"/>
    <w:rsid w:val="005A65E0"/>
    <w:rsid w:val="005C3777"/>
    <w:rsid w:val="005C5CDC"/>
    <w:rsid w:val="005D476C"/>
    <w:rsid w:val="006200BF"/>
    <w:rsid w:val="006219F8"/>
    <w:rsid w:val="006302F7"/>
    <w:rsid w:val="00646B9F"/>
    <w:rsid w:val="00665D70"/>
    <w:rsid w:val="006900D9"/>
    <w:rsid w:val="006B4B75"/>
    <w:rsid w:val="006D770F"/>
    <w:rsid w:val="0070278E"/>
    <w:rsid w:val="0070390C"/>
    <w:rsid w:val="00706C16"/>
    <w:rsid w:val="007340C3"/>
    <w:rsid w:val="0075235A"/>
    <w:rsid w:val="00756841"/>
    <w:rsid w:val="007649AB"/>
    <w:rsid w:val="00771D0C"/>
    <w:rsid w:val="007833AC"/>
    <w:rsid w:val="007B268C"/>
    <w:rsid w:val="007B7171"/>
    <w:rsid w:val="007C0C0F"/>
    <w:rsid w:val="007C3DC2"/>
    <w:rsid w:val="007C41A6"/>
    <w:rsid w:val="007E5497"/>
    <w:rsid w:val="00805406"/>
    <w:rsid w:val="00806F5F"/>
    <w:rsid w:val="00820278"/>
    <w:rsid w:val="008258C9"/>
    <w:rsid w:val="00844AE9"/>
    <w:rsid w:val="00867F95"/>
    <w:rsid w:val="008843B6"/>
    <w:rsid w:val="00891928"/>
    <w:rsid w:val="008A446D"/>
    <w:rsid w:val="008B25F1"/>
    <w:rsid w:val="008D180B"/>
    <w:rsid w:val="008E6AC5"/>
    <w:rsid w:val="008F0EA7"/>
    <w:rsid w:val="00901E0B"/>
    <w:rsid w:val="00923EEF"/>
    <w:rsid w:val="009419F9"/>
    <w:rsid w:val="0095685E"/>
    <w:rsid w:val="00961B09"/>
    <w:rsid w:val="00965334"/>
    <w:rsid w:val="0097093E"/>
    <w:rsid w:val="009A0DFA"/>
    <w:rsid w:val="009A1C6F"/>
    <w:rsid w:val="009B2D26"/>
    <w:rsid w:val="009B5981"/>
    <w:rsid w:val="009C71FA"/>
    <w:rsid w:val="009C72E7"/>
    <w:rsid w:val="009C7F7E"/>
    <w:rsid w:val="009D3058"/>
    <w:rsid w:val="009D422C"/>
    <w:rsid w:val="009F3A13"/>
    <w:rsid w:val="00A055E9"/>
    <w:rsid w:val="00A122D3"/>
    <w:rsid w:val="00A14468"/>
    <w:rsid w:val="00A17F13"/>
    <w:rsid w:val="00A20739"/>
    <w:rsid w:val="00A23AF9"/>
    <w:rsid w:val="00A33C78"/>
    <w:rsid w:val="00AB0ADB"/>
    <w:rsid w:val="00AB467B"/>
    <w:rsid w:val="00B00C0E"/>
    <w:rsid w:val="00B01B1A"/>
    <w:rsid w:val="00B0381D"/>
    <w:rsid w:val="00B07771"/>
    <w:rsid w:val="00B44A47"/>
    <w:rsid w:val="00B72CD3"/>
    <w:rsid w:val="00B72FFF"/>
    <w:rsid w:val="00B81A32"/>
    <w:rsid w:val="00B927F1"/>
    <w:rsid w:val="00BC246B"/>
    <w:rsid w:val="00BC3D36"/>
    <w:rsid w:val="00BD54A6"/>
    <w:rsid w:val="00BD7F72"/>
    <w:rsid w:val="00BF7425"/>
    <w:rsid w:val="00C04FB3"/>
    <w:rsid w:val="00C11D8B"/>
    <w:rsid w:val="00C15139"/>
    <w:rsid w:val="00C330EB"/>
    <w:rsid w:val="00C50D69"/>
    <w:rsid w:val="00C5365C"/>
    <w:rsid w:val="00C754BE"/>
    <w:rsid w:val="00C76A89"/>
    <w:rsid w:val="00C76B1C"/>
    <w:rsid w:val="00C925AC"/>
    <w:rsid w:val="00CB6357"/>
    <w:rsid w:val="00CC1B26"/>
    <w:rsid w:val="00D361FD"/>
    <w:rsid w:val="00D423A2"/>
    <w:rsid w:val="00D44E26"/>
    <w:rsid w:val="00D520D8"/>
    <w:rsid w:val="00D631DB"/>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7319"/>
    <w:rsid w:val="00EE1AA8"/>
    <w:rsid w:val="00F23FEA"/>
    <w:rsid w:val="00F31EDC"/>
    <w:rsid w:val="00F462B3"/>
    <w:rsid w:val="00F53BAC"/>
    <w:rsid w:val="00F5664F"/>
    <w:rsid w:val="00F666C4"/>
    <w:rsid w:val="00F76AFC"/>
    <w:rsid w:val="00F832D1"/>
    <w:rsid w:val="00FA1377"/>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3D5EA86F"/>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467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467B"/>
    <w:rPr>
      <w:rFonts w:ascii="Geomanist Light" w:hAnsi="Geomanist Light"/>
      <w:lang w:val="es-ES"/>
    </w:rPr>
  </w:style>
  <w:style w:type="character" w:styleId="Textoennegrita">
    <w:name w:val="Strong"/>
    <w:basedOn w:val="Fuentedeprrafopredeter"/>
    <w:uiPriority w:val="22"/>
    <w:qFormat/>
    <w:rsid w:val="00467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446601">
      <w:bodyDiv w:val="1"/>
      <w:marLeft w:val="0"/>
      <w:marRight w:val="0"/>
      <w:marTop w:val="0"/>
      <w:marBottom w:val="0"/>
      <w:divBdr>
        <w:top w:val="none" w:sz="0" w:space="0" w:color="auto"/>
        <w:left w:val="none" w:sz="0" w:space="0" w:color="auto"/>
        <w:bottom w:val="none" w:sz="0" w:space="0" w:color="auto"/>
        <w:right w:val="none" w:sz="0" w:space="0" w:color="auto"/>
      </w:divBdr>
      <w:divsChild>
        <w:div w:id="1211184506">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63173733">
      <w:bodyDiv w:val="1"/>
      <w:marLeft w:val="0"/>
      <w:marRight w:val="0"/>
      <w:marTop w:val="0"/>
      <w:marBottom w:val="0"/>
      <w:divBdr>
        <w:top w:val="none" w:sz="0" w:space="0" w:color="auto"/>
        <w:left w:val="none" w:sz="0" w:space="0" w:color="auto"/>
        <w:bottom w:val="none" w:sz="0" w:space="0" w:color="auto"/>
        <w:right w:val="none" w:sz="0" w:space="0" w:color="auto"/>
      </w:divBdr>
    </w:div>
    <w:div w:id="1598101346">
      <w:bodyDiv w:val="1"/>
      <w:marLeft w:val="0"/>
      <w:marRight w:val="0"/>
      <w:marTop w:val="0"/>
      <w:marBottom w:val="0"/>
      <w:divBdr>
        <w:top w:val="none" w:sz="0" w:space="0" w:color="auto"/>
        <w:left w:val="none" w:sz="0" w:space="0" w:color="auto"/>
        <w:bottom w:val="none" w:sz="0" w:space="0" w:color="auto"/>
        <w:right w:val="none" w:sz="0" w:space="0" w:color="auto"/>
      </w:divBdr>
    </w:div>
    <w:div w:id="1771970963">
      <w:bodyDiv w:val="1"/>
      <w:marLeft w:val="0"/>
      <w:marRight w:val="0"/>
      <w:marTop w:val="0"/>
      <w:marBottom w:val="0"/>
      <w:divBdr>
        <w:top w:val="none" w:sz="0" w:space="0" w:color="auto"/>
        <w:left w:val="none" w:sz="0" w:space="0" w:color="auto"/>
        <w:bottom w:val="none" w:sz="0" w:space="0" w:color="auto"/>
        <w:right w:val="none" w:sz="0" w:space="0" w:color="auto"/>
      </w:divBdr>
      <w:divsChild>
        <w:div w:id="201571833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brinez@bomberosbogot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6-Guia-para-la-liquidacion-contratos-estatales-G-LPC-0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6EEB452-0D42-41CF-BCC6-FA1E36BDDF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103</TotalTime>
  <Pages>14</Pages>
  <Words>4518</Words>
  <Characters>24854</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5</cp:revision>
  <cp:lastPrinted>2023-01-10T21:18:00Z</cp:lastPrinted>
  <dcterms:created xsi:type="dcterms:W3CDTF">2026-03-31T11:55:00Z</dcterms:created>
  <dcterms:modified xsi:type="dcterms:W3CDTF">2026-04-01T19:31:00Z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