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F7990" w14:textId="77777777" w:rsidR="00122436" w:rsidRDefault="00122436" w:rsidP="0034467D">
      <w:pPr>
        <w:spacing w:after="0" w:line="240" w:lineRule="auto"/>
        <w:jc w:val="both"/>
        <w:rPr>
          <w:rFonts w:ascii="Verdana" w:hAnsi="Verdana"/>
        </w:rPr>
      </w:pPr>
    </w:p>
    <w:p w14:paraId="754BDCBD" w14:textId="32D05C86" w:rsidR="00122436" w:rsidRDefault="008B0B68" w:rsidP="0034467D">
      <w:pPr>
        <w:spacing w:after="0" w:line="240" w:lineRule="auto"/>
        <w:jc w:val="both"/>
        <w:rPr>
          <w:rFonts w:ascii="Verdana" w:hAnsi="Verdana"/>
          <w:sz w:val="20"/>
          <w:szCs w:val="20"/>
        </w:rPr>
      </w:pPr>
      <w:r w:rsidRPr="008B0B68">
        <w:rPr>
          <w:rFonts w:ascii="Verdana" w:hAnsi="Verdana"/>
          <w:b/>
          <w:bCs/>
          <w:sz w:val="20"/>
          <w:szCs w:val="20"/>
        </w:rPr>
        <w:t>LEY DE GARANTÍAS ELECTORALES – Finalidad</w:t>
      </w:r>
      <w:r>
        <w:rPr>
          <w:rFonts w:ascii="Verdana" w:hAnsi="Verdana"/>
          <w:b/>
          <w:bCs/>
          <w:sz w:val="20"/>
          <w:szCs w:val="20"/>
        </w:rPr>
        <w:t xml:space="preserve"> </w:t>
      </w:r>
    </w:p>
    <w:p w14:paraId="4361D01A" w14:textId="77777777" w:rsidR="008B0B68" w:rsidRDefault="008B0B68" w:rsidP="0034467D">
      <w:pPr>
        <w:spacing w:after="0" w:line="240" w:lineRule="auto"/>
        <w:jc w:val="both"/>
        <w:rPr>
          <w:rFonts w:ascii="Verdana" w:hAnsi="Verdana"/>
          <w:sz w:val="20"/>
          <w:szCs w:val="20"/>
        </w:rPr>
      </w:pPr>
    </w:p>
    <w:p w14:paraId="64C0303E" w14:textId="3F99407D" w:rsidR="00122436" w:rsidRPr="00122436" w:rsidRDefault="00122436" w:rsidP="0034467D">
      <w:pPr>
        <w:spacing w:after="0" w:line="240" w:lineRule="auto"/>
        <w:jc w:val="both"/>
        <w:rPr>
          <w:rFonts w:ascii="Verdana" w:hAnsi="Verdana"/>
          <w:sz w:val="20"/>
          <w:szCs w:val="20"/>
        </w:rPr>
      </w:pPr>
      <w:r w:rsidRPr="00122436">
        <w:rPr>
          <w:rFonts w:ascii="Verdana" w:hAnsi="Verdana"/>
          <w:sz w:val="20"/>
          <w:szCs w:val="20"/>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 Ley introduce limitaciones para realizar nombramientos, postulaciones, contrataciones o cualquier otro tipo de actividad que implique destinación de recursos públicos bajo el devenir propio de las entidades estatales.</w:t>
      </w:r>
    </w:p>
    <w:p w14:paraId="7D56CE64" w14:textId="77777777" w:rsidR="00122436" w:rsidRDefault="00122436" w:rsidP="0034467D">
      <w:pPr>
        <w:spacing w:after="0" w:line="240" w:lineRule="auto"/>
        <w:jc w:val="both"/>
        <w:rPr>
          <w:rFonts w:ascii="Verdana" w:hAnsi="Verdana"/>
        </w:rPr>
      </w:pPr>
    </w:p>
    <w:p w14:paraId="70A539DD" w14:textId="77777777" w:rsidR="00626FBA" w:rsidRPr="00626FBA" w:rsidRDefault="00626FBA" w:rsidP="00626FBA">
      <w:pPr>
        <w:spacing w:after="0" w:line="240" w:lineRule="auto"/>
        <w:jc w:val="both"/>
        <w:rPr>
          <w:rFonts w:ascii="Verdana" w:hAnsi="Verdana"/>
          <w:sz w:val="20"/>
          <w:szCs w:val="20"/>
        </w:rPr>
      </w:pPr>
      <w:r w:rsidRPr="00626FBA">
        <w:rPr>
          <w:rFonts w:ascii="Verdana" w:hAnsi="Verdana"/>
          <w:sz w:val="20"/>
          <w:szCs w:val="20"/>
        </w:rPr>
        <w:t>[…]</w:t>
      </w:r>
    </w:p>
    <w:p w14:paraId="0EB47F71" w14:textId="77777777" w:rsidR="00626FBA" w:rsidRDefault="00626FBA" w:rsidP="00626FBA">
      <w:pPr>
        <w:spacing w:after="0" w:line="240" w:lineRule="auto"/>
        <w:jc w:val="both"/>
        <w:rPr>
          <w:rFonts w:ascii="Verdana" w:hAnsi="Verdana"/>
          <w:sz w:val="20"/>
          <w:szCs w:val="20"/>
        </w:rPr>
      </w:pPr>
    </w:p>
    <w:p w14:paraId="0DA9D118" w14:textId="07602693" w:rsidR="00626FBA" w:rsidRPr="00626FBA" w:rsidRDefault="00626FBA" w:rsidP="00626FBA">
      <w:pPr>
        <w:spacing w:after="0" w:line="240" w:lineRule="auto"/>
        <w:jc w:val="both"/>
        <w:rPr>
          <w:rFonts w:ascii="Verdana" w:hAnsi="Verdana"/>
          <w:sz w:val="20"/>
          <w:szCs w:val="20"/>
        </w:rPr>
      </w:pPr>
      <w:r w:rsidRPr="00626FBA">
        <w:rPr>
          <w:rFonts w:ascii="Verdana" w:hAnsi="Verdana"/>
          <w:sz w:val="20"/>
          <w:szCs w:val="20"/>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4C78C296" w14:textId="77777777" w:rsidR="00122436" w:rsidRDefault="00122436" w:rsidP="0034467D">
      <w:pPr>
        <w:spacing w:after="0" w:line="240" w:lineRule="auto"/>
        <w:jc w:val="both"/>
        <w:rPr>
          <w:rFonts w:ascii="Verdana" w:hAnsi="Verdana"/>
        </w:rPr>
      </w:pPr>
    </w:p>
    <w:p w14:paraId="19E4B545" w14:textId="77777777" w:rsidR="0078701C" w:rsidRDefault="0078701C" w:rsidP="0034467D">
      <w:pPr>
        <w:spacing w:after="0" w:line="240" w:lineRule="auto"/>
        <w:jc w:val="both"/>
        <w:rPr>
          <w:rFonts w:ascii="Verdana" w:hAnsi="Verdana"/>
        </w:rPr>
      </w:pPr>
    </w:p>
    <w:p w14:paraId="170A06DA" w14:textId="1ABC0CB3" w:rsidR="0078701C" w:rsidRDefault="0078701C" w:rsidP="0034467D">
      <w:pPr>
        <w:spacing w:after="0" w:line="240" w:lineRule="auto"/>
        <w:jc w:val="both"/>
        <w:rPr>
          <w:rFonts w:ascii="Verdana" w:hAnsi="Verdana"/>
          <w:b/>
          <w:bCs/>
        </w:rPr>
      </w:pPr>
      <w:r w:rsidRPr="0078701C">
        <w:rPr>
          <w:rFonts w:ascii="Verdana" w:hAnsi="Verdana"/>
          <w:b/>
          <w:bCs/>
        </w:rPr>
        <w:t>LEY DE GARANTÍAS ELECTORALES ‒ Restricciones ‒ Contratación </w:t>
      </w:r>
      <w:r>
        <w:rPr>
          <w:rFonts w:ascii="Verdana" w:hAnsi="Verdana"/>
          <w:b/>
          <w:bCs/>
        </w:rPr>
        <w:t xml:space="preserve"> </w:t>
      </w:r>
    </w:p>
    <w:p w14:paraId="1EBB8B33" w14:textId="77777777" w:rsidR="0078701C" w:rsidRDefault="0078701C" w:rsidP="0034467D">
      <w:pPr>
        <w:spacing w:after="0" w:line="240" w:lineRule="auto"/>
        <w:jc w:val="both"/>
        <w:rPr>
          <w:rFonts w:ascii="Verdana" w:hAnsi="Verdana"/>
          <w:b/>
          <w:bCs/>
        </w:rPr>
      </w:pPr>
    </w:p>
    <w:p w14:paraId="3C548764" w14:textId="77777777" w:rsidR="00DC1D33" w:rsidRDefault="00DC1D33" w:rsidP="00DC1D33">
      <w:pPr>
        <w:spacing w:after="0" w:line="240" w:lineRule="auto"/>
        <w:jc w:val="both"/>
        <w:rPr>
          <w:rFonts w:ascii="Verdana" w:hAnsi="Verdana"/>
          <w:sz w:val="20"/>
          <w:szCs w:val="20"/>
        </w:rPr>
      </w:pPr>
      <w:r w:rsidRPr="00DC1D33">
        <w:rPr>
          <w:rFonts w:ascii="Verdana" w:hAnsi="Verdana"/>
          <w:sz w:val="20"/>
          <w:szCs w:val="20"/>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516ADA3" w14:textId="77777777" w:rsidR="00DC1D33" w:rsidRPr="00DC1D33" w:rsidRDefault="00DC1D33" w:rsidP="00DC1D33">
      <w:pPr>
        <w:spacing w:after="0" w:line="240" w:lineRule="auto"/>
        <w:jc w:val="both"/>
        <w:rPr>
          <w:rFonts w:ascii="Verdana" w:hAnsi="Verdana"/>
          <w:sz w:val="20"/>
          <w:szCs w:val="20"/>
        </w:rPr>
      </w:pPr>
    </w:p>
    <w:p w14:paraId="11DAED3C" w14:textId="77777777" w:rsidR="00DC1D33" w:rsidRDefault="00DC1D33" w:rsidP="00DC1D33">
      <w:pPr>
        <w:spacing w:after="0" w:line="240" w:lineRule="auto"/>
        <w:jc w:val="both"/>
        <w:rPr>
          <w:rFonts w:ascii="Verdana" w:hAnsi="Verdana"/>
          <w:sz w:val="20"/>
          <w:szCs w:val="20"/>
        </w:rPr>
      </w:pPr>
      <w:r w:rsidRPr="00DC1D33">
        <w:rPr>
          <w:rFonts w:ascii="Verdana" w:hAnsi="Verdana"/>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w:t>
      </w:r>
      <w:r w:rsidRPr="00DC1D33">
        <w:rPr>
          <w:rFonts w:ascii="Verdana" w:hAnsi="Verdana"/>
          <w:sz w:val="20"/>
          <w:szCs w:val="20"/>
        </w:rPr>
        <w:lastRenderedPageBreak/>
        <w:t>que participen como miembros de sus juntas directivas, en o para reuniones de carácter proselitista”.</w:t>
      </w:r>
    </w:p>
    <w:p w14:paraId="31DB118A" w14:textId="77777777" w:rsidR="00DC1D33" w:rsidRPr="00DC1D33" w:rsidRDefault="00DC1D33" w:rsidP="00DC1D33">
      <w:pPr>
        <w:spacing w:after="0" w:line="240" w:lineRule="auto"/>
        <w:jc w:val="both"/>
        <w:rPr>
          <w:rFonts w:ascii="Verdana" w:hAnsi="Verdana"/>
          <w:sz w:val="20"/>
          <w:szCs w:val="20"/>
        </w:rPr>
      </w:pPr>
    </w:p>
    <w:p w14:paraId="16CBCB79" w14:textId="77777777" w:rsidR="00DC1D33" w:rsidRPr="00DC1D33" w:rsidRDefault="00DC1D33" w:rsidP="00DC1D33">
      <w:pPr>
        <w:spacing w:after="0" w:line="240" w:lineRule="auto"/>
        <w:jc w:val="both"/>
        <w:rPr>
          <w:rFonts w:ascii="Verdana" w:hAnsi="Verdana"/>
          <w:sz w:val="20"/>
          <w:szCs w:val="20"/>
        </w:rPr>
      </w:pPr>
      <w:r w:rsidRPr="00DC1D33">
        <w:rPr>
          <w:rFonts w:ascii="Verdana" w:hAnsi="Verdana"/>
          <w:sz w:val="20"/>
          <w:szCs w:val="20"/>
        </w:rPr>
        <w:t>[…]</w:t>
      </w:r>
    </w:p>
    <w:p w14:paraId="2349AF09" w14:textId="77777777" w:rsidR="00DC1D33" w:rsidRDefault="00DC1D33" w:rsidP="00DC1D33">
      <w:pPr>
        <w:spacing w:after="0" w:line="240" w:lineRule="auto"/>
        <w:jc w:val="both"/>
        <w:rPr>
          <w:rFonts w:ascii="Verdana" w:hAnsi="Verdana"/>
          <w:sz w:val="20"/>
          <w:szCs w:val="20"/>
        </w:rPr>
      </w:pPr>
      <w:r w:rsidRPr="00DC1D33">
        <w:rPr>
          <w:rFonts w:ascii="Verdana" w:hAnsi="Verdana"/>
          <w:sz w:val="20"/>
          <w:szCs w:val="20"/>
        </w:rPr>
        <w:t>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p>
    <w:p w14:paraId="61D503E0" w14:textId="77777777" w:rsidR="006725F9" w:rsidRDefault="006725F9" w:rsidP="00DC1D33">
      <w:pPr>
        <w:spacing w:after="0" w:line="240" w:lineRule="auto"/>
        <w:jc w:val="both"/>
        <w:rPr>
          <w:rFonts w:ascii="Verdana" w:hAnsi="Verdana"/>
          <w:sz w:val="20"/>
          <w:szCs w:val="20"/>
        </w:rPr>
      </w:pPr>
    </w:p>
    <w:p w14:paraId="30BA391A" w14:textId="77777777" w:rsidR="006725F9" w:rsidRDefault="006725F9" w:rsidP="00DC1D33">
      <w:pPr>
        <w:spacing w:after="0" w:line="240" w:lineRule="auto"/>
        <w:jc w:val="both"/>
        <w:rPr>
          <w:rFonts w:ascii="Verdana" w:hAnsi="Verdana"/>
          <w:sz w:val="20"/>
          <w:szCs w:val="20"/>
        </w:rPr>
      </w:pPr>
    </w:p>
    <w:p w14:paraId="2D71D8A1" w14:textId="6B396F17" w:rsidR="006725F9" w:rsidRDefault="008F0436" w:rsidP="00DC1D33">
      <w:pPr>
        <w:spacing w:after="0" w:line="240" w:lineRule="auto"/>
        <w:jc w:val="both"/>
        <w:rPr>
          <w:rFonts w:ascii="Verdana" w:hAnsi="Verdana"/>
          <w:b/>
          <w:bCs/>
          <w:sz w:val="20"/>
          <w:szCs w:val="20"/>
        </w:rPr>
      </w:pPr>
      <w:r w:rsidRPr="008F0436">
        <w:rPr>
          <w:rFonts w:ascii="Verdana" w:hAnsi="Verdana"/>
          <w:b/>
          <w:bCs/>
          <w:sz w:val="20"/>
          <w:szCs w:val="20"/>
        </w:rPr>
        <w:t>LEY DE GARANTÍAS ELECTORALES ‒ Artículo 33</w:t>
      </w:r>
      <w:r>
        <w:rPr>
          <w:rFonts w:ascii="Verdana" w:hAnsi="Verdana"/>
          <w:b/>
          <w:bCs/>
          <w:sz w:val="20"/>
          <w:szCs w:val="20"/>
        </w:rPr>
        <w:t xml:space="preserve"> – </w:t>
      </w:r>
      <w:r w:rsidRPr="008F0436">
        <w:rPr>
          <w:rFonts w:ascii="Verdana" w:hAnsi="Verdana"/>
          <w:b/>
          <w:bCs/>
          <w:sz w:val="20"/>
          <w:szCs w:val="20"/>
        </w:rPr>
        <w:t>Ámbito subjetivo</w:t>
      </w:r>
    </w:p>
    <w:p w14:paraId="74C8B7E2" w14:textId="77777777" w:rsidR="007A2E56" w:rsidRDefault="007A2E56" w:rsidP="00DC1D33">
      <w:pPr>
        <w:spacing w:after="0" w:line="240" w:lineRule="auto"/>
        <w:jc w:val="both"/>
        <w:rPr>
          <w:rFonts w:ascii="Verdana" w:hAnsi="Verdana"/>
          <w:sz w:val="20"/>
          <w:szCs w:val="20"/>
        </w:rPr>
      </w:pPr>
    </w:p>
    <w:p w14:paraId="56D259F2" w14:textId="713EDBBE" w:rsidR="006725F9" w:rsidRPr="00DC1D33" w:rsidRDefault="006725F9" w:rsidP="00DC1D33">
      <w:pPr>
        <w:spacing w:after="0" w:line="240" w:lineRule="auto"/>
        <w:jc w:val="both"/>
        <w:rPr>
          <w:rFonts w:ascii="Verdana" w:hAnsi="Verdana"/>
          <w:sz w:val="20"/>
          <w:szCs w:val="20"/>
        </w:rPr>
      </w:pPr>
      <w:r w:rsidRPr="006725F9">
        <w:rPr>
          <w:rFonts w:ascii="Verdana" w:hAnsi="Verdana"/>
          <w:sz w:val="20"/>
          <w:szCs w:val="20"/>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43E42194" w14:textId="77777777" w:rsidR="0078701C" w:rsidRPr="00CF1D18" w:rsidRDefault="0078701C" w:rsidP="0034467D">
      <w:pPr>
        <w:spacing w:after="0" w:line="240" w:lineRule="auto"/>
        <w:jc w:val="both"/>
        <w:rPr>
          <w:rFonts w:ascii="Verdana" w:hAnsi="Verdana"/>
          <w:b/>
          <w:bCs/>
        </w:rPr>
      </w:pPr>
    </w:p>
    <w:p w14:paraId="18AD8693" w14:textId="2474651C" w:rsidR="00CF1D18" w:rsidRPr="00CF1D18" w:rsidRDefault="00CF1D18" w:rsidP="0034467D">
      <w:pPr>
        <w:spacing w:after="0" w:line="240" w:lineRule="auto"/>
        <w:jc w:val="both"/>
        <w:rPr>
          <w:rFonts w:ascii="Verdana" w:hAnsi="Verdana"/>
          <w:b/>
          <w:bCs/>
        </w:rPr>
      </w:pPr>
      <w:r w:rsidRPr="00CF1D18">
        <w:rPr>
          <w:rFonts w:ascii="Verdana" w:hAnsi="Verdana"/>
          <w:b/>
          <w:bCs/>
        </w:rPr>
        <w:t>CONTRATACIÓN DIRECTA – Arrendamiento – Bienes inmuebles – Alcance</w:t>
      </w:r>
    </w:p>
    <w:p w14:paraId="239CD9A2" w14:textId="77777777" w:rsidR="00122436" w:rsidRDefault="00122436" w:rsidP="0034467D">
      <w:pPr>
        <w:spacing w:after="0" w:line="240" w:lineRule="auto"/>
        <w:jc w:val="both"/>
        <w:rPr>
          <w:rFonts w:ascii="Verdana" w:hAnsi="Verdana"/>
        </w:rPr>
      </w:pPr>
    </w:p>
    <w:p w14:paraId="3308C8E8" w14:textId="77777777" w:rsidR="00737330" w:rsidRPr="00737330" w:rsidRDefault="00737330" w:rsidP="00737330">
      <w:pPr>
        <w:spacing w:after="0" w:line="240" w:lineRule="auto"/>
        <w:jc w:val="both"/>
        <w:rPr>
          <w:rFonts w:ascii="Verdana" w:hAnsi="Verdana"/>
          <w:sz w:val="20"/>
          <w:szCs w:val="20"/>
        </w:rPr>
      </w:pPr>
      <w:r w:rsidRPr="00737330">
        <w:rPr>
          <w:rFonts w:ascii="Verdana" w:hAnsi="Verdana"/>
          <w:sz w:val="20"/>
          <w:szCs w:val="20"/>
        </w:rPr>
        <w:t xml:space="preserve">Bajo esta lógica, no es posible que la entidad estatal en calidad de arrendadora o de arrendataria de un bien inmueble pueda suscribir un contrato de arrendamiento, pues se encuentra dentro de la restricción del artículo 33 de la Ley 996 de 2005, la cual prohíbe adelantar cualquier forma de contratación directa, entendida como todo mecanismo no competitivo. Es decir, dicha restricción aplica en aquellos supuestos, en los que se pretenda celebrar contratos de arrendamiento de bienes inmuebles de forma directa, ya sea en calidad de arrendadora o de arrendataria, conforme a la causal de contratación directa del artículo 2º, numeral 4° literal i) de la Ley 1150 de 2007. En este sentido, todos los entes del Estado, independiente del régimen jurídico aplicable, están sujetos a la restricción del artículo 33 de la Ley 996 de 2005, es decir, no podrán </w:t>
      </w:r>
      <w:r w:rsidRPr="00737330">
        <w:rPr>
          <w:rFonts w:ascii="Verdana" w:hAnsi="Verdana"/>
          <w:sz w:val="20"/>
          <w:szCs w:val="20"/>
        </w:rPr>
        <w:lastRenderedPageBreak/>
        <w:t>adelantar sistema que implique contratación directa respecto de las elecciones presidenciales, dentro de los cuatro (4) meses anteriores a la celebración de dichos comicios.</w:t>
      </w:r>
    </w:p>
    <w:p w14:paraId="73104631" w14:textId="77777777" w:rsidR="00737330" w:rsidRPr="00737330" w:rsidRDefault="00737330" w:rsidP="00737330">
      <w:pPr>
        <w:spacing w:after="0" w:line="240" w:lineRule="auto"/>
        <w:jc w:val="both"/>
        <w:rPr>
          <w:rFonts w:ascii="Verdana" w:hAnsi="Verdana"/>
          <w:sz w:val="20"/>
          <w:szCs w:val="20"/>
        </w:rPr>
      </w:pPr>
      <w:r w:rsidRPr="00737330">
        <w:rPr>
          <w:rFonts w:ascii="Verdana" w:hAnsi="Verdana"/>
          <w:sz w:val="20"/>
          <w:szCs w:val="20"/>
        </w:rPr>
        <w:t xml:space="preserve">Sin embargo, la uso de la “contratación directa” no se encuentra absolutamente proscrita, en la medida en que se contemplan excepciones expresamente consagradas en el artículo 33 de la Ley 996 de 2005, las cuales constituyen un marco taxativo que habilita su procedencia en supuestos específicos. En este sentido, la Agencia ha desarrollado doctrina sobre cada una de dichas hipótesis excepcionales, entre las que se destacan: i) los contratos relacionados con la defensa y seguridad del Estado, analizados en el Concepto 322 de 2026; </w:t>
      </w:r>
      <w:proofErr w:type="spellStart"/>
      <w:r w:rsidRPr="00737330">
        <w:rPr>
          <w:rFonts w:ascii="Verdana" w:hAnsi="Verdana"/>
          <w:sz w:val="20"/>
          <w:szCs w:val="20"/>
        </w:rPr>
        <w:t>ii</w:t>
      </w:r>
      <w:proofErr w:type="spellEnd"/>
      <w:r w:rsidRPr="00737330">
        <w:rPr>
          <w:rFonts w:ascii="Verdana" w:hAnsi="Verdana"/>
          <w:sz w:val="20"/>
          <w:szCs w:val="20"/>
        </w:rPr>
        <w:t>) los contratos de crédito público, abordados en los Conceptos C</w:t>
      </w:r>
      <w:r w:rsidRPr="00737330">
        <w:rPr>
          <w:rFonts w:ascii="Verdana" w:hAnsi="Verdana"/>
          <w:sz w:val="20"/>
          <w:szCs w:val="20"/>
        </w:rPr>
        <w:noBreakHyphen/>
        <w:t>109 de 2022 y C</w:t>
      </w:r>
      <w:r w:rsidRPr="00737330">
        <w:rPr>
          <w:rFonts w:ascii="Verdana" w:hAnsi="Verdana"/>
          <w:sz w:val="20"/>
          <w:szCs w:val="20"/>
        </w:rPr>
        <w:noBreakHyphen/>
        <w:t xml:space="preserve">413 de 2022; </w:t>
      </w:r>
      <w:proofErr w:type="spellStart"/>
      <w:r w:rsidRPr="00737330">
        <w:rPr>
          <w:rFonts w:ascii="Verdana" w:hAnsi="Verdana"/>
          <w:sz w:val="20"/>
          <w:szCs w:val="20"/>
        </w:rPr>
        <w:t>iii</w:t>
      </w:r>
      <w:proofErr w:type="spellEnd"/>
      <w:r w:rsidRPr="00737330">
        <w:rPr>
          <w:rFonts w:ascii="Verdana" w:hAnsi="Verdana"/>
          <w:sz w:val="20"/>
          <w:szCs w:val="20"/>
        </w:rPr>
        <w:t>) los contratos necesarios para atender emergencias educativas, sanitarias o desastres, tratados en los Conceptos C</w:t>
      </w:r>
      <w:r w:rsidRPr="00737330">
        <w:rPr>
          <w:rFonts w:ascii="Verdana" w:hAnsi="Verdana"/>
          <w:sz w:val="20"/>
          <w:szCs w:val="20"/>
        </w:rPr>
        <w:noBreakHyphen/>
        <w:t>118 de 2026 y C</w:t>
      </w:r>
      <w:r w:rsidRPr="00737330">
        <w:rPr>
          <w:rFonts w:ascii="Verdana" w:hAnsi="Verdana"/>
          <w:sz w:val="20"/>
          <w:szCs w:val="20"/>
        </w:rPr>
        <w:noBreakHyphen/>
        <w:t xml:space="preserve">176 de 2026; </w:t>
      </w:r>
      <w:proofErr w:type="spellStart"/>
      <w:r w:rsidRPr="00737330">
        <w:rPr>
          <w:rFonts w:ascii="Verdana" w:hAnsi="Verdana"/>
          <w:sz w:val="20"/>
          <w:szCs w:val="20"/>
        </w:rPr>
        <w:t>iv</w:t>
      </w:r>
      <w:proofErr w:type="spellEnd"/>
      <w:r w:rsidRPr="00737330">
        <w:rPr>
          <w:rFonts w:ascii="Verdana" w:hAnsi="Verdana"/>
          <w:sz w:val="20"/>
          <w:szCs w:val="20"/>
        </w:rPr>
        <w:t>) los contratos destinados a la reconstrucción de infraestructura vial, energética y de comunicaciones afectada por atentados, acciones terroristas, desastres naturales o fuerza mayor, igualmente estudiados en los Conceptos C</w:t>
      </w:r>
      <w:r w:rsidRPr="00737330">
        <w:rPr>
          <w:rFonts w:ascii="Verdana" w:hAnsi="Verdana"/>
          <w:sz w:val="20"/>
          <w:szCs w:val="20"/>
        </w:rPr>
        <w:noBreakHyphen/>
        <w:t>118 de 2026 y C</w:t>
      </w:r>
      <w:r w:rsidRPr="00737330">
        <w:rPr>
          <w:rFonts w:ascii="Verdana" w:hAnsi="Verdana"/>
          <w:sz w:val="20"/>
          <w:szCs w:val="20"/>
        </w:rPr>
        <w:noBreakHyphen/>
        <w:t>176 de 2026, entre otros; y v) la contratación directa celebrada por entidades sanitarias y hospitalarias, objeto de análisis en los Conceptos C</w:t>
      </w:r>
      <w:r w:rsidRPr="00737330">
        <w:rPr>
          <w:rFonts w:ascii="Verdana" w:hAnsi="Verdana"/>
          <w:sz w:val="20"/>
          <w:szCs w:val="20"/>
        </w:rPr>
        <w:noBreakHyphen/>
        <w:t>1124 de 2026, C</w:t>
      </w:r>
      <w:r w:rsidRPr="00737330">
        <w:rPr>
          <w:rFonts w:ascii="Verdana" w:hAnsi="Verdana"/>
          <w:sz w:val="20"/>
          <w:szCs w:val="20"/>
        </w:rPr>
        <w:noBreakHyphen/>
        <w:t>1406 de 2026 y C</w:t>
      </w:r>
      <w:r w:rsidRPr="00737330">
        <w:rPr>
          <w:rFonts w:ascii="Verdana" w:hAnsi="Verdana"/>
          <w:sz w:val="20"/>
          <w:szCs w:val="20"/>
        </w:rPr>
        <w:noBreakHyphen/>
        <w:t>1703 de 2026. Así mismo, la Corte Constitucional en la Sentencia C-1153 de 2005 señaló que la expresión “adicionalmente se exceptúan aquellos gastos inaplazables e imprescindibles que afecten el normal funcionamiento de la administración” regulada como excepción en el artículo 33 era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 Por tanto, dicha expresión fue declarada inexequible, razón por la cual no es posible que las entidades argumenten razones como esta para exceptuar la restricción del artículo 33.</w:t>
      </w:r>
    </w:p>
    <w:p w14:paraId="20DC9A36" w14:textId="77777777" w:rsidR="00122436" w:rsidRDefault="00122436" w:rsidP="0034467D">
      <w:pPr>
        <w:spacing w:after="0" w:line="240" w:lineRule="auto"/>
        <w:jc w:val="both"/>
        <w:rPr>
          <w:rFonts w:ascii="Verdana" w:hAnsi="Verdana"/>
        </w:rPr>
      </w:pPr>
    </w:p>
    <w:p w14:paraId="1C13CBF3" w14:textId="4ADAC3EE" w:rsidR="00122436" w:rsidRPr="00D60092" w:rsidRDefault="00D60092" w:rsidP="0034467D">
      <w:pPr>
        <w:spacing w:after="0" w:line="240" w:lineRule="auto"/>
        <w:jc w:val="both"/>
        <w:rPr>
          <w:rFonts w:ascii="Verdana" w:hAnsi="Verdana"/>
          <w:b/>
          <w:bCs/>
        </w:rPr>
      </w:pPr>
      <w:r w:rsidRPr="00D60092">
        <w:rPr>
          <w:rFonts w:ascii="Verdana" w:eastAsia="Calibri" w:hAnsi="Verdana" w:cs="Arial"/>
          <w:b/>
          <w:bCs/>
          <w:lang w:val="es-ES" w:eastAsia="es-ES"/>
        </w:rPr>
        <w:t>LEY DE GARANTÍAS ELECTORALES ─ Contratación Directa – Excepciones</w:t>
      </w:r>
      <w:r w:rsidRPr="00D60092">
        <w:rPr>
          <w:rFonts w:ascii="Verdana" w:eastAsia="Calibri" w:hAnsi="Verdana" w:cs="Arial"/>
          <w:b/>
          <w:bCs/>
          <w:lang w:val="es-ES" w:eastAsia="es-ES"/>
        </w:rPr>
        <w:t xml:space="preserve"> </w:t>
      </w:r>
    </w:p>
    <w:p w14:paraId="2D6B8665" w14:textId="77777777" w:rsidR="00122436" w:rsidRDefault="00122436" w:rsidP="0034467D">
      <w:pPr>
        <w:spacing w:after="0" w:line="240" w:lineRule="auto"/>
        <w:jc w:val="both"/>
        <w:rPr>
          <w:rFonts w:ascii="Verdana" w:hAnsi="Verdana"/>
        </w:rPr>
      </w:pPr>
    </w:p>
    <w:p w14:paraId="215B9197" w14:textId="59A8DCB9" w:rsidR="00122436" w:rsidRPr="00CB026C" w:rsidRDefault="00CB026C" w:rsidP="0034467D">
      <w:pPr>
        <w:spacing w:after="0" w:line="240" w:lineRule="auto"/>
        <w:jc w:val="both"/>
        <w:rPr>
          <w:rFonts w:ascii="Verdana" w:hAnsi="Verdana"/>
          <w:sz w:val="20"/>
          <w:szCs w:val="20"/>
        </w:rPr>
      </w:pPr>
      <w:r w:rsidRPr="00CB026C">
        <w:rPr>
          <w:rFonts w:ascii="Verdana" w:hAnsi="Verdana"/>
          <w:sz w:val="20"/>
          <w:szCs w:val="20"/>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CB026C">
        <w:rPr>
          <w:rFonts w:ascii="Verdana" w:hAnsi="Verdana"/>
          <w:sz w:val="20"/>
          <w:szCs w:val="20"/>
        </w:rPr>
        <w:t>ii</w:t>
      </w:r>
      <w:proofErr w:type="spellEnd"/>
      <w:r w:rsidRPr="00CB026C">
        <w:rPr>
          <w:rFonts w:ascii="Verdana" w:hAnsi="Verdana"/>
          <w:sz w:val="20"/>
          <w:szCs w:val="20"/>
        </w:rPr>
        <w:t xml:space="preserve">) los contratos de crédito público; </w:t>
      </w:r>
      <w:proofErr w:type="spellStart"/>
      <w:r w:rsidRPr="00CB026C">
        <w:rPr>
          <w:rFonts w:ascii="Verdana" w:hAnsi="Verdana"/>
          <w:sz w:val="20"/>
          <w:szCs w:val="20"/>
        </w:rPr>
        <w:t>iii</w:t>
      </w:r>
      <w:proofErr w:type="spellEnd"/>
      <w:r w:rsidRPr="00CB026C">
        <w:rPr>
          <w:rFonts w:ascii="Verdana" w:hAnsi="Verdana"/>
          <w:sz w:val="20"/>
          <w:szCs w:val="20"/>
        </w:rPr>
        <w:t xml:space="preserve">) los requeridos para cubrir las emergencias educativas, sanitarias y desastres; </w:t>
      </w:r>
      <w:proofErr w:type="spellStart"/>
      <w:r w:rsidRPr="00CB026C">
        <w:rPr>
          <w:rFonts w:ascii="Verdana" w:hAnsi="Verdana"/>
          <w:sz w:val="20"/>
          <w:szCs w:val="20"/>
        </w:rPr>
        <w:t>iv</w:t>
      </w:r>
      <w:proofErr w:type="spellEnd"/>
      <w:r w:rsidRPr="00CB026C">
        <w:rPr>
          <w:rFonts w:ascii="Verdana" w:hAnsi="Verdana"/>
          <w:sz w:val="20"/>
          <w:szCs w:val="20"/>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FDA45BB" w14:textId="77777777" w:rsidR="00122436" w:rsidRDefault="00122436" w:rsidP="0034467D">
      <w:pPr>
        <w:spacing w:after="0" w:line="240" w:lineRule="auto"/>
        <w:jc w:val="both"/>
        <w:rPr>
          <w:rFonts w:ascii="Verdana" w:hAnsi="Verdana"/>
        </w:rPr>
      </w:pPr>
    </w:p>
    <w:p w14:paraId="490A80EB" w14:textId="77777777" w:rsidR="00813A1A" w:rsidRPr="00813A1A" w:rsidRDefault="00813A1A" w:rsidP="00813A1A">
      <w:pPr>
        <w:jc w:val="both"/>
        <w:rPr>
          <w:rFonts w:ascii="Verdana" w:eastAsia="Calibri" w:hAnsi="Verdana" w:cs="Arial"/>
          <w:b/>
          <w:bCs/>
          <w:lang w:val="es-ES" w:eastAsia="es-ES"/>
        </w:rPr>
      </w:pPr>
      <w:r w:rsidRPr="00813A1A">
        <w:rPr>
          <w:rFonts w:ascii="Verdana" w:eastAsia="Calibri" w:hAnsi="Verdana" w:cs="Arial"/>
          <w:b/>
          <w:bCs/>
          <w:lang w:val="es-ES" w:eastAsia="es-ES"/>
        </w:rPr>
        <w:lastRenderedPageBreak/>
        <w:t>LEY DE GARANTÍAS ELECTORALES ─ Contratación Directa – Excepciones</w:t>
      </w:r>
      <w:r w:rsidRPr="00813A1A" w:rsidDel="00FD23F8">
        <w:rPr>
          <w:rFonts w:ascii="Verdana" w:eastAsia="Calibri" w:hAnsi="Verdana" w:cs="Arial"/>
          <w:b/>
          <w:bCs/>
          <w:lang w:val="es-ES" w:eastAsia="es-ES"/>
        </w:rPr>
        <w:t xml:space="preserve"> </w:t>
      </w:r>
      <w:r w:rsidRPr="00813A1A">
        <w:rPr>
          <w:rFonts w:ascii="Verdana" w:eastAsia="Calibri" w:hAnsi="Verdana" w:cs="Arial"/>
          <w:b/>
          <w:bCs/>
          <w:lang w:val="es-ES" w:eastAsia="es-ES"/>
        </w:rPr>
        <w:t>– Seguridad y Defensa del Estado</w:t>
      </w:r>
    </w:p>
    <w:p w14:paraId="460E2E4F" w14:textId="77777777" w:rsidR="00DC0B71" w:rsidRPr="00DC0B71" w:rsidRDefault="00DC0B71" w:rsidP="00DC0B71">
      <w:pPr>
        <w:pStyle w:val="Textoindependiente"/>
        <w:tabs>
          <w:tab w:val="left" w:pos="6225"/>
        </w:tabs>
        <w:spacing w:line="276" w:lineRule="auto"/>
        <w:jc w:val="both"/>
        <w:rPr>
          <w:rFonts w:ascii="Verdana" w:eastAsia="Calibri" w:hAnsi="Verdana" w:cs="Arial"/>
          <w:bCs/>
          <w:sz w:val="20"/>
          <w:szCs w:val="20"/>
          <w:lang w:eastAsia="es-ES_tradnl"/>
        </w:rPr>
      </w:pPr>
      <w:r w:rsidRPr="00DC0B71">
        <w:rPr>
          <w:rFonts w:ascii="Verdana" w:eastAsia="Calibri" w:hAnsi="Verdana" w:cs="Arial"/>
          <w:bCs/>
          <w:sz w:val="20"/>
          <w:szCs w:val="20"/>
          <w:lang w:eastAsia="es-ES_tradnl"/>
        </w:rPr>
        <w:t>En particular, la expresión “defensa y seguridad del Estado” constituye un concepto jurídico indeterminado, lo que implica que su contenido no se encuentra definido de manera cerrada por el legislador, sino que debe ser concretado en cada caso a partir de las circunstancias fácticas y mediante la aplicación de criterios de interpretación jurídica. En este sentido, tanto la Corte Constitucional como el Consejo de Estado han reconocido que este tipo de conceptos se caracterizan por su amplitud y dinamismo, otorgando a las entidades estatales un margen de apreciación para su aplicación, dentro de los límites del ordenamiento jurídico.</w:t>
      </w:r>
    </w:p>
    <w:p w14:paraId="29135F1F" w14:textId="77777777" w:rsidR="00DC0B71" w:rsidRPr="00DC0B71" w:rsidRDefault="00DC0B71" w:rsidP="00DC0B71">
      <w:pPr>
        <w:pStyle w:val="Textoindependiente"/>
        <w:tabs>
          <w:tab w:val="left" w:pos="6225"/>
        </w:tabs>
        <w:spacing w:line="276" w:lineRule="auto"/>
        <w:jc w:val="both"/>
        <w:rPr>
          <w:rFonts w:ascii="Verdana" w:eastAsia="Calibri" w:hAnsi="Verdana" w:cs="Arial"/>
          <w:bCs/>
          <w:sz w:val="20"/>
          <w:szCs w:val="20"/>
          <w:lang w:eastAsia="es-ES_tradnl"/>
        </w:rPr>
      </w:pPr>
      <w:r w:rsidRPr="00DC0B71">
        <w:rPr>
          <w:rFonts w:ascii="Verdana" w:eastAsia="Calibri" w:hAnsi="Verdana" w:cs="Arial"/>
          <w:bCs/>
          <w:sz w:val="20"/>
          <w:szCs w:val="20"/>
          <w:lang w:eastAsia="es-ES_tradnl"/>
        </w:rPr>
        <w:t>De acuerdo con la jurisprudencia del Consejo de Estado, el alcance de la noción de defensa y seguridad del Estado no se limita a actividades de carácter militar o bélico, sino que comprende también aquellas orientadas a la preservación del orden público, la estabilidad institucional, la convivencia pacífica y la garantía efectiva de los derechos y libertades. Bajo esta perspectiva, se trata de un concepto que debe interpretarse de manera sistemática, atendiendo a los fines esenciales del Estado y a las condiciones concretas en las que se desarrolla la actuación administrativa.</w:t>
      </w:r>
    </w:p>
    <w:p w14:paraId="3D51C363" w14:textId="77777777" w:rsidR="00122436" w:rsidRPr="00DC0B71" w:rsidRDefault="00122436" w:rsidP="0034467D">
      <w:pPr>
        <w:spacing w:after="0" w:line="240" w:lineRule="auto"/>
        <w:jc w:val="both"/>
        <w:rPr>
          <w:rFonts w:ascii="Verdana" w:hAnsi="Verdana"/>
        </w:rPr>
      </w:pPr>
    </w:p>
    <w:p w14:paraId="0C805F7D" w14:textId="77777777" w:rsidR="00122436" w:rsidRDefault="00122436" w:rsidP="0034467D">
      <w:pPr>
        <w:spacing w:after="0" w:line="240" w:lineRule="auto"/>
        <w:jc w:val="both"/>
        <w:rPr>
          <w:rFonts w:ascii="Verdana" w:hAnsi="Verdana"/>
        </w:rPr>
      </w:pPr>
    </w:p>
    <w:p w14:paraId="1A0BE9EC" w14:textId="77777777" w:rsidR="00122436" w:rsidRDefault="00122436" w:rsidP="0034467D">
      <w:pPr>
        <w:spacing w:after="0" w:line="240" w:lineRule="auto"/>
        <w:jc w:val="both"/>
        <w:rPr>
          <w:rFonts w:ascii="Verdana" w:hAnsi="Verdana"/>
        </w:rPr>
      </w:pPr>
    </w:p>
    <w:p w14:paraId="33AC6493" w14:textId="77777777" w:rsidR="00122436" w:rsidRDefault="00122436" w:rsidP="0034467D">
      <w:pPr>
        <w:spacing w:after="0" w:line="240" w:lineRule="auto"/>
        <w:jc w:val="both"/>
        <w:rPr>
          <w:rFonts w:ascii="Verdana" w:hAnsi="Verdana"/>
        </w:rPr>
      </w:pPr>
    </w:p>
    <w:p w14:paraId="16CC8EEA" w14:textId="77777777" w:rsidR="00122436" w:rsidRDefault="00122436" w:rsidP="0034467D">
      <w:pPr>
        <w:spacing w:after="0" w:line="240" w:lineRule="auto"/>
        <w:jc w:val="both"/>
        <w:rPr>
          <w:rFonts w:ascii="Verdana" w:hAnsi="Verdana"/>
        </w:rPr>
      </w:pPr>
    </w:p>
    <w:p w14:paraId="7413A9E6" w14:textId="77777777" w:rsidR="00122436" w:rsidRDefault="00122436" w:rsidP="0034467D">
      <w:pPr>
        <w:spacing w:after="0" w:line="240" w:lineRule="auto"/>
        <w:jc w:val="both"/>
        <w:rPr>
          <w:rFonts w:ascii="Verdana" w:hAnsi="Verdana"/>
        </w:rPr>
      </w:pPr>
    </w:p>
    <w:p w14:paraId="45DC4980" w14:textId="77777777" w:rsidR="00122436" w:rsidRDefault="00122436" w:rsidP="0034467D">
      <w:pPr>
        <w:spacing w:after="0" w:line="240" w:lineRule="auto"/>
        <w:jc w:val="both"/>
        <w:rPr>
          <w:rFonts w:ascii="Verdana" w:hAnsi="Verdana"/>
        </w:rPr>
      </w:pPr>
    </w:p>
    <w:p w14:paraId="2762CFD3" w14:textId="77777777" w:rsidR="00122436" w:rsidRDefault="00122436" w:rsidP="0034467D">
      <w:pPr>
        <w:spacing w:after="0" w:line="240" w:lineRule="auto"/>
        <w:jc w:val="both"/>
        <w:rPr>
          <w:rFonts w:ascii="Verdana" w:hAnsi="Verdana"/>
        </w:rPr>
      </w:pPr>
    </w:p>
    <w:p w14:paraId="63BE3B1C" w14:textId="77777777" w:rsidR="00122436" w:rsidRDefault="00122436" w:rsidP="0034467D">
      <w:pPr>
        <w:spacing w:after="0" w:line="240" w:lineRule="auto"/>
        <w:jc w:val="both"/>
        <w:rPr>
          <w:rFonts w:ascii="Verdana" w:hAnsi="Verdana"/>
        </w:rPr>
      </w:pPr>
    </w:p>
    <w:p w14:paraId="4003077A" w14:textId="77777777" w:rsidR="00122436" w:rsidRDefault="00122436" w:rsidP="0034467D">
      <w:pPr>
        <w:spacing w:after="0" w:line="240" w:lineRule="auto"/>
        <w:jc w:val="both"/>
        <w:rPr>
          <w:rFonts w:ascii="Verdana" w:hAnsi="Verdana"/>
        </w:rPr>
      </w:pPr>
    </w:p>
    <w:p w14:paraId="4ABABDEC" w14:textId="77777777" w:rsidR="00122436" w:rsidRDefault="00122436" w:rsidP="0034467D">
      <w:pPr>
        <w:spacing w:after="0" w:line="240" w:lineRule="auto"/>
        <w:jc w:val="both"/>
        <w:rPr>
          <w:rFonts w:ascii="Verdana" w:hAnsi="Verdana"/>
        </w:rPr>
      </w:pPr>
    </w:p>
    <w:p w14:paraId="3076DEE5" w14:textId="77777777" w:rsidR="00122436" w:rsidRDefault="00122436" w:rsidP="0034467D">
      <w:pPr>
        <w:spacing w:after="0" w:line="240" w:lineRule="auto"/>
        <w:jc w:val="both"/>
        <w:rPr>
          <w:rFonts w:ascii="Verdana" w:hAnsi="Verdana"/>
        </w:rPr>
      </w:pPr>
    </w:p>
    <w:p w14:paraId="6BCA3D37" w14:textId="77777777" w:rsidR="00122436" w:rsidRDefault="00122436" w:rsidP="0034467D">
      <w:pPr>
        <w:spacing w:after="0" w:line="240" w:lineRule="auto"/>
        <w:jc w:val="both"/>
        <w:rPr>
          <w:rFonts w:ascii="Verdana" w:hAnsi="Verdana"/>
        </w:rPr>
      </w:pPr>
    </w:p>
    <w:p w14:paraId="0AD85E96" w14:textId="77777777" w:rsidR="00122436" w:rsidRDefault="00122436" w:rsidP="0034467D">
      <w:pPr>
        <w:spacing w:after="0" w:line="240" w:lineRule="auto"/>
        <w:jc w:val="both"/>
        <w:rPr>
          <w:rFonts w:ascii="Verdana" w:hAnsi="Verdana"/>
        </w:rPr>
      </w:pPr>
    </w:p>
    <w:p w14:paraId="135F3DBA" w14:textId="77777777" w:rsidR="00122436" w:rsidRDefault="00122436" w:rsidP="0034467D">
      <w:pPr>
        <w:spacing w:after="0" w:line="240" w:lineRule="auto"/>
        <w:jc w:val="both"/>
        <w:rPr>
          <w:rFonts w:ascii="Verdana" w:hAnsi="Verdana"/>
        </w:rPr>
      </w:pPr>
    </w:p>
    <w:p w14:paraId="0645D75B" w14:textId="77777777" w:rsidR="00122436" w:rsidRDefault="00122436" w:rsidP="0034467D">
      <w:pPr>
        <w:spacing w:after="0" w:line="240" w:lineRule="auto"/>
        <w:jc w:val="both"/>
        <w:rPr>
          <w:rFonts w:ascii="Verdana" w:hAnsi="Verdana"/>
        </w:rPr>
      </w:pPr>
    </w:p>
    <w:p w14:paraId="425502F3" w14:textId="77777777" w:rsidR="00122436" w:rsidRDefault="00122436" w:rsidP="0034467D">
      <w:pPr>
        <w:spacing w:after="0" w:line="240" w:lineRule="auto"/>
        <w:jc w:val="both"/>
        <w:rPr>
          <w:rFonts w:ascii="Verdana" w:hAnsi="Verdana"/>
        </w:rPr>
      </w:pPr>
    </w:p>
    <w:p w14:paraId="21C8F0C1" w14:textId="77777777" w:rsidR="00122436" w:rsidRDefault="00122436" w:rsidP="0034467D">
      <w:pPr>
        <w:spacing w:after="0" w:line="240" w:lineRule="auto"/>
        <w:jc w:val="both"/>
        <w:rPr>
          <w:rFonts w:ascii="Verdana" w:hAnsi="Verdana"/>
        </w:rPr>
      </w:pPr>
    </w:p>
    <w:p w14:paraId="17B3BB50" w14:textId="77777777" w:rsidR="00122436" w:rsidRDefault="00122436" w:rsidP="0034467D">
      <w:pPr>
        <w:spacing w:after="0" w:line="240" w:lineRule="auto"/>
        <w:jc w:val="both"/>
        <w:rPr>
          <w:rFonts w:ascii="Verdana" w:hAnsi="Verdana"/>
        </w:rPr>
      </w:pPr>
    </w:p>
    <w:p w14:paraId="72490191" w14:textId="77777777" w:rsidR="00122436" w:rsidRDefault="00122436" w:rsidP="0034467D">
      <w:pPr>
        <w:spacing w:after="0" w:line="240" w:lineRule="auto"/>
        <w:jc w:val="both"/>
        <w:rPr>
          <w:rFonts w:ascii="Verdana" w:hAnsi="Verdana"/>
        </w:rPr>
      </w:pPr>
    </w:p>
    <w:p w14:paraId="7AE7AD8E" w14:textId="77777777" w:rsidR="00122436" w:rsidRDefault="00122436" w:rsidP="0034467D">
      <w:pPr>
        <w:spacing w:after="0" w:line="240" w:lineRule="auto"/>
        <w:jc w:val="both"/>
        <w:rPr>
          <w:rFonts w:ascii="Verdana" w:hAnsi="Verdana"/>
        </w:rPr>
      </w:pPr>
    </w:p>
    <w:p w14:paraId="275EDE72" w14:textId="77777777" w:rsidR="00122436" w:rsidRDefault="00122436" w:rsidP="0034467D">
      <w:pPr>
        <w:spacing w:after="0" w:line="240" w:lineRule="auto"/>
        <w:jc w:val="both"/>
        <w:rPr>
          <w:rFonts w:ascii="Verdana" w:hAnsi="Verdana"/>
        </w:rPr>
      </w:pPr>
    </w:p>
    <w:p w14:paraId="6C326D17" w14:textId="2452C31C" w:rsidR="0034467D" w:rsidRPr="00F12E75" w:rsidRDefault="0002657A" w:rsidP="0034467D">
      <w:pPr>
        <w:spacing w:after="0" w:line="240" w:lineRule="auto"/>
        <w:jc w:val="both"/>
        <w:rPr>
          <w:rFonts w:ascii="Verdana" w:hAnsi="Verdana"/>
        </w:rPr>
      </w:pPr>
      <w:r w:rsidRPr="0002657A">
        <w:rPr>
          <w:rFonts w:ascii="Verdana" w:hAnsi="Verdana"/>
        </w:rPr>
        <w:lastRenderedPageBreak/>
        <w:t xml:space="preserve">Bogotá D.C., 24 </w:t>
      </w:r>
      <w:r w:rsidRPr="0002657A">
        <w:rPr>
          <w:rFonts w:ascii="Verdana" w:hAnsi="Verdana"/>
        </w:rPr>
        <w:t>marzo</w:t>
      </w:r>
      <w:r w:rsidRPr="0002657A">
        <w:rPr>
          <w:rFonts w:ascii="Verdana" w:hAnsi="Verdana"/>
        </w:rPr>
        <w:t xml:space="preserve"> 2026 </w:t>
      </w:r>
      <w:r w:rsidR="0034467D" w:rsidRPr="00F12E75">
        <w:rPr>
          <w:rFonts w:ascii="Verdana" w:hAnsi="Verdana"/>
        </w:rPr>
        <w:t xml:space="preserve"> </w:t>
      </w:r>
    </w:p>
    <w:p w14:paraId="65900D94" w14:textId="34652106" w:rsidR="0034467D" w:rsidRDefault="00A72A9C" w:rsidP="0034467D">
      <w:pPr>
        <w:spacing w:after="0" w:line="240" w:lineRule="auto"/>
        <w:jc w:val="both"/>
        <w:rPr>
          <w:rFonts w:ascii="Verdana" w:eastAsia="Calibri" w:hAnsi="Verdana" w:cs="Arial"/>
          <w:lang w:eastAsia="es-ES"/>
        </w:rPr>
      </w:pPr>
      <w:bookmarkStart w:id="0" w:name="_Hlk197462763"/>
      <w:bookmarkStart w:id="1" w:name="_Hlk197529996"/>
      <w:r w:rsidRPr="00A72A9C">
        <w:rPr>
          <w:rFonts w:ascii="Verdana" w:eastAsia="Calibri" w:hAnsi="Verdana" w:cs="Arial"/>
          <w:lang w:eastAsia="es-ES"/>
        </w:rPr>
        <w:drawing>
          <wp:anchor distT="0" distB="0" distL="114300" distR="114300" simplePos="0" relativeHeight="251660288" behindDoc="1" locked="0" layoutInCell="1" allowOverlap="1" wp14:anchorId="6CFE7108" wp14:editId="43967F59">
            <wp:simplePos x="0" y="0"/>
            <wp:positionH relativeFrom="column">
              <wp:posOffset>3361117</wp:posOffset>
            </wp:positionH>
            <wp:positionV relativeFrom="paragraph">
              <wp:posOffset>94127</wp:posOffset>
            </wp:positionV>
            <wp:extent cx="2562225" cy="733425"/>
            <wp:effectExtent l="0" t="0" r="9525" b="9525"/>
            <wp:wrapTight wrapText="bothSides">
              <wp:wrapPolygon edited="0">
                <wp:start x="0" y="0"/>
                <wp:lineTo x="0" y="21319"/>
                <wp:lineTo x="21520" y="21319"/>
                <wp:lineTo x="21520" y="0"/>
                <wp:lineTo x="0" y="0"/>
              </wp:wrapPolygon>
            </wp:wrapTight>
            <wp:docPr id="8326911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691173" name=""/>
                    <pic:cNvPicPr/>
                  </pic:nvPicPr>
                  <pic:blipFill>
                    <a:blip r:embed="rId7">
                      <a:extLst>
                        <a:ext uri="{28A0092B-C50C-407E-A947-70E740481C1C}">
                          <a14:useLocalDpi xmlns:a14="http://schemas.microsoft.com/office/drawing/2010/main" val="0"/>
                        </a:ext>
                      </a:extLst>
                    </a:blip>
                    <a:stretch>
                      <a:fillRect/>
                    </a:stretch>
                  </pic:blipFill>
                  <pic:spPr>
                    <a:xfrm>
                      <a:off x="0" y="0"/>
                      <a:ext cx="2562225" cy="733425"/>
                    </a:xfrm>
                    <a:prstGeom prst="rect">
                      <a:avLst/>
                    </a:prstGeom>
                  </pic:spPr>
                </pic:pic>
              </a:graphicData>
            </a:graphic>
          </wp:anchor>
        </w:drawing>
      </w:r>
    </w:p>
    <w:p w14:paraId="6265DB47" w14:textId="6E46FD02" w:rsidR="0034467D" w:rsidRDefault="0034467D" w:rsidP="0034467D">
      <w:pPr>
        <w:spacing w:after="0" w:line="240" w:lineRule="auto"/>
        <w:jc w:val="both"/>
        <w:rPr>
          <w:rFonts w:ascii="Verdana" w:eastAsia="Calibri" w:hAnsi="Verdana" w:cs="Arial"/>
          <w:lang w:eastAsia="es-ES"/>
        </w:rPr>
      </w:pPr>
    </w:p>
    <w:p w14:paraId="4642A718" w14:textId="5C9A92C9" w:rsidR="00A7774D" w:rsidRPr="00F12E75" w:rsidRDefault="00A7774D" w:rsidP="0034467D">
      <w:pPr>
        <w:spacing w:after="0" w:line="240" w:lineRule="auto"/>
        <w:jc w:val="both"/>
        <w:rPr>
          <w:rFonts w:ascii="Verdana" w:eastAsia="Calibri" w:hAnsi="Verdana" w:cs="Arial"/>
          <w:lang w:eastAsia="es-ES"/>
        </w:rPr>
      </w:pPr>
    </w:p>
    <w:p w14:paraId="789A1DF0" w14:textId="62591EBC" w:rsidR="0034467D" w:rsidRPr="00F12E75" w:rsidRDefault="0034467D" w:rsidP="0034467D">
      <w:pPr>
        <w:spacing w:after="0" w:line="240" w:lineRule="auto"/>
        <w:jc w:val="both"/>
        <w:rPr>
          <w:rFonts w:ascii="Verdana" w:eastAsia="Calibri" w:hAnsi="Verdana" w:cs="Arial"/>
          <w:lang w:eastAsia="es-ES"/>
        </w:rPr>
      </w:pPr>
      <w:r w:rsidRPr="00F12E75">
        <w:rPr>
          <w:rFonts w:ascii="Verdana" w:eastAsia="Calibri" w:hAnsi="Verdana" w:cs="Arial"/>
          <w:lang w:eastAsia="es-ES"/>
        </w:rPr>
        <w:t>Señora</w:t>
      </w:r>
    </w:p>
    <w:p w14:paraId="4B7B76A6" w14:textId="30FE16F1" w:rsidR="0034467D" w:rsidRPr="00F12E75" w:rsidRDefault="00A7774D" w:rsidP="0034467D">
      <w:pPr>
        <w:spacing w:after="0" w:line="240" w:lineRule="auto"/>
        <w:jc w:val="both"/>
        <w:rPr>
          <w:rFonts w:ascii="Verdana" w:eastAsia="Calibri" w:hAnsi="Verdana" w:cs="Arial"/>
          <w:b/>
          <w:bCs/>
          <w:lang w:eastAsia="es-ES"/>
        </w:rPr>
      </w:pPr>
      <w:r w:rsidRPr="00A7774D">
        <w:rPr>
          <w:rFonts w:ascii="Verdana" w:eastAsia="Calibri" w:hAnsi="Verdana" w:cs="Arial"/>
          <w:lang w:eastAsia="es-ES"/>
        </w:rPr>
        <w:drawing>
          <wp:anchor distT="0" distB="0" distL="114300" distR="114300" simplePos="0" relativeHeight="251661312" behindDoc="1" locked="0" layoutInCell="1" allowOverlap="1" wp14:anchorId="275021AC" wp14:editId="31765608">
            <wp:simplePos x="0" y="0"/>
            <wp:positionH relativeFrom="column">
              <wp:posOffset>3411220</wp:posOffset>
            </wp:positionH>
            <wp:positionV relativeFrom="paragraph">
              <wp:posOffset>148590</wp:posOffset>
            </wp:positionV>
            <wp:extent cx="2581910" cy="727075"/>
            <wp:effectExtent l="0" t="0" r="8890" b="0"/>
            <wp:wrapTight wrapText="bothSides">
              <wp:wrapPolygon edited="0">
                <wp:start x="0" y="0"/>
                <wp:lineTo x="0" y="20940"/>
                <wp:lineTo x="21515" y="20940"/>
                <wp:lineTo x="21515" y="0"/>
                <wp:lineTo x="0" y="0"/>
              </wp:wrapPolygon>
            </wp:wrapTight>
            <wp:docPr id="14773310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331066" name=""/>
                    <pic:cNvPicPr/>
                  </pic:nvPicPr>
                  <pic:blipFill>
                    <a:blip r:embed="rId8">
                      <a:extLst>
                        <a:ext uri="{28A0092B-C50C-407E-A947-70E740481C1C}">
                          <a14:useLocalDpi xmlns:a14="http://schemas.microsoft.com/office/drawing/2010/main" val="0"/>
                        </a:ext>
                      </a:extLst>
                    </a:blip>
                    <a:stretch>
                      <a:fillRect/>
                    </a:stretch>
                  </pic:blipFill>
                  <pic:spPr>
                    <a:xfrm>
                      <a:off x="0" y="0"/>
                      <a:ext cx="2581910" cy="727075"/>
                    </a:xfrm>
                    <a:prstGeom prst="rect">
                      <a:avLst/>
                    </a:prstGeom>
                  </pic:spPr>
                </pic:pic>
              </a:graphicData>
            </a:graphic>
            <wp14:sizeRelH relativeFrom="margin">
              <wp14:pctWidth>0</wp14:pctWidth>
            </wp14:sizeRelH>
            <wp14:sizeRelV relativeFrom="margin">
              <wp14:pctHeight>0</wp14:pctHeight>
            </wp14:sizeRelV>
          </wp:anchor>
        </w:drawing>
      </w:r>
      <w:r w:rsidR="0034467D" w:rsidRPr="00F12E75">
        <w:rPr>
          <w:rFonts w:ascii="Verdana" w:eastAsia="Calibri" w:hAnsi="Verdana" w:cs="Arial"/>
          <w:b/>
          <w:bCs/>
          <w:lang w:eastAsia="es-ES"/>
        </w:rPr>
        <w:t xml:space="preserve">María Paula Archila </w:t>
      </w:r>
    </w:p>
    <w:p w14:paraId="5A839EE3" w14:textId="2B506D9A" w:rsidR="0034467D" w:rsidRPr="00F12E75" w:rsidRDefault="0034467D" w:rsidP="0034467D">
      <w:pPr>
        <w:spacing w:after="0" w:line="240" w:lineRule="auto"/>
        <w:jc w:val="both"/>
        <w:rPr>
          <w:rFonts w:ascii="Verdana" w:eastAsia="Calibri" w:hAnsi="Verdana" w:cs="Arial"/>
          <w:lang w:eastAsia="es-ES"/>
        </w:rPr>
      </w:pPr>
      <w:r w:rsidRPr="00F12E75">
        <w:rPr>
          <w:rFonts w:ascii="Verdana" w:eastAsia="Calibri" w:hAnsi="Verdana" w:cs="Arial"/>
          <w:lang w:eastAsia="es-ES"/>
        </w:rPr>
        <w:t>Caja De Retiro De Las Fuerzas Militares</w:t>
      </w:r>
    </w:p>
    <w:p w14:paraId="0673497A" w14:textId="77777777" w:rsidR="0034467D" w:rsidRPr="00F12E75" w:rsidRDefault="0034467D" w:rsidP="0034467D">
      <w:pPr>
        <w:spacing w:after="0" w:line="240" w:lineRule="auto"/>
        <w:jc w:val="both"/>
        <w:rPr>
          <w:rFonts w:ascii="Verdana" w:eastAsia="Calibri" w:hAnsi="Verdana" w:cs="Arial"/>
          <w:b/>
          <w:highlight w:val="yellow"/>
          <w:lang w:eastAsia="es-ES_tradnl"/>
        </w:rPr>
      </w:pPr>
      <w:hyperlink r:id="rId9" w:history="1">
        <w:r w:rsidRPr="00F12E75">
          <w:rPr>
            <w:rStyle w:val="Hipervnculo"/>
            <w:rFonts w:ascii="Verdana" w:eastAsia="Calibri" w:hAnsi="Verdana" w:cs="Arial"/>
            <w:b/>
            <w:lang w:eastAsia="es-ES_tradnl"/>
          </w:rPr>
          <w:t>marchila@cremil.gov.co</w:t>
        </w:r>
      </w:hyperlink>
      <w:r w:rsidRPr="00F12E75">
        <w:rPr>
          <w:rFonts w:ascii="Verdana" w:eastAsia="Calibri" w:hAnsi="Verdana" w:cs="Arial"/>
          <w:b/>
          <w:lang w:eastAsia="es-ES_tradnl"/>
        </w:rPr>
        <w:t xml:space="preserve"> </w:t>
      </w:r>
    </w:p>
    <w:p w14:paraId="0FD68D16" w14:textId="77777777" w:rsidR="0034467D" w:rsidRPr="00F12E75" w:rsidRDefault="0034467D" w:rsidP="0034467D">
      <w:pPr>
        <w:spacing w:after="0" w:line="240" w:lineRule="auto"/>
        <w:jc w:val="both"/>
        <w:rPr>
          <w:rFonts w:ascii="Verdana" w:eastAsia="Calibri" w:hAnsi="Verdana" w:cs="Arial"/>
          <w:bCs/>
          <w:lang w:eastAsia="es-ES_tradnl"/>
        </w:rPr>
      </w:pPr>
      <w:r w:rsidRPr="00F12E75">
        <w:rPr>
          <w:rFonts w:ascii="Verdana" w:eastAsia="Calibri" w:hAnsi="Verdana" w:cs="Arial"/>
          <w:bCs/>
          <w:lang w:eastAsia="es-ES_tradnl"/>
        </w:rPr>
        <w:t>Cuidad</w:t>
      </w:r>
    </w:p>
    <w:p w14:paraId="34EF4E93" w14:textId="77777777" w:rsidR="0034467D" w:rsidRDefault="0034467D" w:rsidP="0034467D">
      <w:pPr>
        <w:spacing w:after="0" w:line="240" w:lineRule="auto"/>
        <w:jc w:val="both"/>
        <w:rPr>
          <w:rFonts w:ascii="Verdana" w:eastAsia="Calibri" w:hAnsi="Verdana" w:cs="Arial"/>
          <w:b/>
          <w:bCs/>
          <w:color w:val="000000"/>
          <w:lang w:val="it-CH" w:eastAsia="es-ES_tradnl"/>
        </w:rPr>
      </w:pPr>
    </w:p>
    <w:p w14:paraId="5BA61F1D" w14:textId="77777777" w:rsidR="0034467D" w:rsidRPr="00F12E75" w:rsidRDefault="0034467D" w:rsidP="0034467D">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4467D" w:rsidRPr="00F12E75" w14:paraId="53B2757F" w14:textId="77777777" w:rsidTr="00BE0098">
        <w:trPr>
          <w:trHeight w:val="162"/>
        </w:trPr>
        <w:tc>
          <w:tcPr>
            <w:tcW w:w="3119" w:type="dxa"/>
          </w:tcPr>
          <w:p w14:paraId="0F0480D7" w14:textId="77777777" w:rsidR="0034467D" w:rsidRPr="00781A88" w:rsidRDefault="0034467D" w:rsidP="00BE0098">
            <w:pPr>
              <w:jc w:val="both"/>
              <w:rPr>
                <w:rFonts w:ascii="Verdana" w:eastAsia="Calibri" w:hAnsi="Verdana" w:cs="Arial"/>
                <w:b/>
                <w:bCs/>
                <w:color w:val="7030A0"/>
                <w:lang w:val="it-CH" w:eastAsia="es-ES_tradnl"/>
              </w:rPr>
            </w:pPr>
          </w:p>
        </w:tc>
        <w:tc>
          <w:tcPr>
            <w:tcW w:w="5670" w:type="dxa"/>
          </w:tcPr>
          <w:p w14:paraId="3ACF81C3" w14:textId="77777777" w:rsidR="0034467D" w:rsidRPr="00A2319B" w:rsidRDefault="0034467D" w:rsidP="00BE0098">
            <w:pPr>
              <w:jc w:val="both"/>
              <w:rPr>
                <w:rFonts w:ascii="Verdana" w:eastAsia="Calibri" w:hAnsi="Verdana" w:cs="Arial"/>
                <w:b/>
                <w:bCs/>
                <w:lang w:eastAsia="es-ES"/>
              </w:rPr>
            </w:pPr>
            <w:r w:rsidRPr="00B9062E">
              <w:rPr>
                <w:rFonts w:ascii="Verdana" w:eastAsia="Calibri" w:hAnsi="Verdana" w:cs="Arial"/>
                <w:b/>
                <w:bCs/>
                <w:lang w:eastAsia="es-ES"/>
              </w:rPr>
              <w:t xml:space="preserve">Concepto C- </w:t>
            </w:r>
            <w:r w:rsidRPr="00FD23F8">
              <w:rPr>
                <w:rFonts w:ascii="Verdana" w:eastAsia="Calibri" w:hAnsi="Verdana" w:cs="Arial"/>
                <w:b/>
                <w:bCs/>
                <w:lang w:eastAsia="es-ES"/>
              </w:rPr>
              <w:t>259 de 2026</w:t>
            </w:r>
          </w:p>
          <w:p w14:paraId="45B1DE85" w14:textId="77777777" w:rsidR="0034467D" w:rsidRPr="00A2319B" w:rsidRDefault="0034467D" w:rsidP="00BE0098">
            <w:pPr>
              <w:jc w:val="both"/>
              <w:rPr>
                <w:rFonts w:ascii="Verdana" w:eastAsia="Calibri" w:hAnsi="Verdana" w:cs="Arial"/>
                <w:b/>
                <w:bCs/>
                <w:color w:val="7030A0"/>
                <w:lang w:eastAsia="es-ES"/>
              </w:rPr>
            </w:pPr>
          </w:p>
        </w:tc>
      </w:tr>
      <w:tr w:rsidR="0034467D" w:rsidRPr="00F12E75" w14:paraId="61E4D5E6" w14:textId="77777777" w:rsidTr="00BE0098">
        <w:trPr>
          <w:trHeight w:val="884"/>
        </w:trPr>
        <w:tc>
          <w:tcPr>
            <w:tcW w:w="3119" w:type="dxa"/>
          </w:tcPr>
          <w:p w14:paraId="00527989" w14:textId="77777777" w:rsidR="0034467D" w:rsidRPr="00F12E75" w:rsidRDefault="0034467D" w:rsidP="00BE0098">
            <w:pPr>
              <w:jc w:val="both"/>
              <w:rPr>
                <w:rFonts w:ascii="Verdana" w:eastAsia="Calibri" w:hAnsi="Verdana" w:cs="Arial"/>
                <w:color w:val="000000"/>
                <w:lang w:eastAsia="es-ES_tradnl"/>
              </w:rPr>
            </w:pPr>
            <w:r w:rsidRPr="00F12E75">
              <w:rPr>
                <w:rFonts w:ascii="Verdana" w:eastAsia="Calibri" w:hAnsi="Verdana" w:cs="Arial"/>
                <w:b/>
                <w:color w:val="000000"/>
                <w:lang w:eastAsia="es-ES_tradnl"/>
              </w:rPr>
              <w:t>Temas:</w:t>
            </w:r>
            <w:r w:rsidRPr="00F12E75">
              <w:rPr>
                <w:rFonts w:ascii="Verdana" w:eastAsia="Calibri" w:hAnsi="Verdana" w:cs="Arial"/>
                <w:color w:val="000000"/>
                <w:lang w:eastAsia="es-ES_tradnl"/>
              </w:rPr>
              <w:t xml:space="preserve">                   </w:t>
            </w:r>
          </w:p>
        </w:tc>
        <w:tc>
          <w:tcPr>
            <w:tcW w:w="5670" w:type="dxa"/>
          </w:tcPr>
          <w:p w14:paraId="770D1B90" w14:textId="77777777" w:rsidR="0034467D" w:rsidRPr="00F12E75" w:rsidRDefault="0034467D" w:rsidP="00BE0098">
            <w:pPr>
              <w:jc w:val="both"/>
              <w:rPr>
                <w:rFonts w:ascii="Verdana" w:eastAsia="Calibri" w:hAnsi="Verdana" w:cs="Arial"/>
                <w:lang w:val="es-ES" w:eastAsia="es-ES"/>
              </w:rPr>
            </w:pPr>
            <w:r w:rsidRPr="00F43CC7">
              <w:rPr>
                <w:rFonts w:ascii="Verdana" w:eastAsia="Calibri" w:hAnsi="Verdana" w:cs="Arial"/>
                <w:lang w:val="es-ES" w:eastAsia="es-ES"/>
              </w:rPr>
              <w:t>LEY DE GARANTÍAS ELECTORALES – Finalidad / LEY DE GARANTÍAS ELECTORALES ‒ Restricciones ‒ Contratación ‒ Tipos de elección / LEY DE GARANTÍAS ELECTORALES ‒ Artículo 33 ‒ Contratación directa / LEY DE GARANTÍAS ELECTORALES ‒ Artículo 33 ‒ Ámbito subjetivo /</w:t>
            </w:r>
            <w:r>
              <w:rPr>
                <w:rFonts w:ascii="Verdana" w:eastAsia="Calibri" w:hAnsi="Verdana" w:cs="Arial"/>
                <w:lang w:val="es-ES" w:eastAsia="es-ES"/>
              </w:rPr>
              <w:t xml:space="preserve"> </w:t>
            </w:r>
            <w:r w:rsidRPr="00EF1386">
              <w:rPr>
                <w:rFonts w:ascii="Verdana" w:eastAsia="Calibri" w:hAnsi="Verdana" w:cs="Arial"/>
                <w:lang w:val="es-ES" w:eastAsia="es-ES"/>
              </w:rPr>
              <w:t>CONTRATACIÓN DIRECTA – Arrendamiento – Bienes inmuebles – Alcan</w:t>
            </w:r>
            <w:r>
              <w:rPr>
                <w:rFonts w:ascii="Verdana" w:eastAsia="Calibri" w:hAnsi="Verdana" w:cs="Arial"/>
                <w:lang w:val="es-ES" w:eastAsia="es-ES"/>
              </w:rPr>
              <w:t xml:space="preserve">ce </w:t>
            </w:r>
            <w:r w:rsidRPr="00F12E75">
              <w:rPr>
                <w:rFonts w:ascii="Verdana" w:eastAsia="Calibri" w:hAnsi="Verdana" w:cs="Arial"/>
                <w:lang w:val="es-ES" w:eastAsia="es-ES"/>
              </w:rPr>
              <w:t xml:space="preserve">/ LEY DE GARANTÍAS ELECTORALES ─ Contratación Directa </w:t>
            </w:r>
            <w:r>
              <w:rPr>
                <w:rFonts w:ascii="Verdana" w:eastAsia="Calibri" w:hAnsi="Verdana" w:cs="Arial"/>
                <w:lang w:val="es-ES" w:eastAsia="es-ES"/>
              </w:rPr>
              <w:t xml:space="preserve">– </w:t>
            </w:r>
            <w:r w:rsidRPr="00F12E75">
              <w:rPr>
                <w:rFonts w:ascii="Verdana" w:eastAsia="Calibri" w:hAnsi="Verdana" w:cs="Arial"/>
                <w:lang w:val="es-ES" w:eastAsia="es-ES"/>
              </w:rPr>
              <w:t xml:space="preserve">Excepciones / LEY DE GARANTÍAS ELECTORALES ─ Contratación Directa </w:t>
            </w:r>
            <w:r>
              <w:rPr>
                <w:rFonts w:ascii="Verdana" w:eastAsia="Calibri" w:hAnsi="Verdana" w:cs="Arial"/>
                <w:lang w:val="es-ES" w:eastAsia="es-ES"/>
              </w:rPr>
              <w:t xml:space="preserve">– </w:t>
            </w:r>
            <w:r w:rsidRPr="00F12E75">
              <w:rPr>
                <w:rFonts w:ascii="Verdana" w:eastAsia="Calibri" w:hAnsi="Verdana" w:cs="Arial"/>
                <w:lang w:val="es-ES" w:eastAsia="es-ES"/>
              </w:rPr>
              <w:t>Excepciones</w:t>
            </w:r>
            <w:r w:rsidRPr="00F12E75" w:rsidDel="00FD23F8">
              <w:rPr>
                <w:rFonts w:ascii="Verdana" w:eastAsia="Calibri" w:hAnsi="Verdana" w:cs="Arial"/>
                <w:lang w:val="es-ES" w:eastAsia="es-ES"/>
              </w:rPr>
              <w:t xml:space="preserve"> </w:t>
            </w:r>
            <w:r>
              <w:rPr>
                <w:rFonts w:ascii="Verdana" w:eastAsia="Calibri" w:hAnsi="Verdana" w:cs="Arial"/>
                <w:lang w:val="es-ES" w:eastAsia="es-ES"/>
              </w:rPr>
              <w:t>– Seguridad y Defensa del Estado</w:t>
            </w:r>
          </w:p>
          <w:p w14:paraId="4CE75641" w14:textId="77777777" w:rsidR="0034467D" w:rsidRPr="00F12E75" w:rsidRDefault="0034467D" w:rsidP="00BE0098">
            <w:pPr>
              <w:jc w:val="both"/>
              <w:rPr>
                <w:rFonts w:ascii="Verdana" w:eastAsia="Calibri" w:hAnsi="Verdana" w:cs="Arial"/>
                <w:lang w:eastAsia="es-ES"/>
              </w:rPr>
            </w:pPr>
          </w:p>
        </w:tc>
      </w:tr>
      <w:tr w:rsidR="0034467D" w:rsidRPr="00F12E75" w14:paraId="78CDE814" w14:textId="77777777" w:rsidTr="00BE0098">
        <w:tc>
          <w:tcPr>
            <w:tcW w:w="3119" w:type="dxa"/>
          </w:tcPr>
          <w:p w14:paraId="22EED40A" w14:textId="77777777" w:rsidR="0034467D" w:rsidRPr="00F12E75" w:rsidRDefault="0034467D" w:rsidP="00BE0098">
            <w:pPr>
              <w:jc w:val="both"/>
              <w:rPr>
                <w:rFonts w:ascii="Verdana" w:eastAsia="Calibri" w:hAnsi="Verdana" w:cs="Arial"/>
                <w:b/>
                <w:lang w:eastAsia="es-ES_tradnl"/>
              </w:rPr>
            </w:pPr>
            <w:r w:rsidRPr="00F12E75">
              <w:rPr>
                <w:rFonts w:ascii="Verdana" w:eastAsia="Calibri" w:hAnsi="Verdana" w:cs="Arial"/>
                <w:b/>
                <w:lang w:eastAsia="es-ES_tradnl"/>
              </w:rPr>
              <w:t>Radicación:</w:t>
            </w:r>
            <w:r w:rsidRPr="00F12E75">
              <w:rPr>
                <w:rFonts w:ascii="Verdana" w:eastAsia="Calibri" w:hAnsi="Verdana" w:cs="Arial"/>
                <w:lang w:eastAsia="es-ES_tradnl"/>
              </w:rPr>
              <w:t xml:space="preserve">               </w:t>
            </w:r>
          </w:p>
        </w:tc>
        <w:tc>
          <w:tcPr>
            <w:tcW w:w="5670" w:type="dxa"/>
          </w:tcPr>
          <w:p w14:paraId="3F49444C" w14:textId="7362716F" w:rsidR="0034467D" w:rsidRPr="000E6C92" w:rsidRDefault="0034467D" w:rsidP="00BE0098">
            <w:pPr>
              <w:jc w:val="both"/>
              <w:rPr>
                <w:rFonts w:ascii="Verdana" w:hAnsi="Verdana"/>
                <w:color w:val="2B2B2B"/>
              </w:rPr>
            </w:pPr>
            <w:r w:rsidRPr="00F12E75">
              <w:rPr>
                <w:rFonts w:ascii="Verdana" w:eastAsia="Calibri" w:hAnsi="Verdana" w:cs="Arial"/>
                <w:color w:val="000000" w:themeColor="text1"/>
                <w:lang w:eastAsia="es-ES_tradnl"/>
              </w:rPr>
              <w:t>Respuesta a consulta con radicado</w:t>
            </w:r>
            <w:r>
              <w:rPr>
                <w:rFonts w:ascii="Verdana" w:eastAsia="Calibri" w:hAnsi="Verdana" w:cs="Arial"/>
                <w:color w:val="000000" w:themeColor="text1"/>
                <w:lang w:eastAsia="es-ES_tradnl"/>
              </w:rPr>
              <w:t xml:space="preserve"> </w:t>
            </w:r>
            <w:r w:rsidR="00F1047D">
              <w:rPr>
                <w:rFonts w:ascii="Verdana" w:eastAsia="Calibri" w:hAnsi="Verdana" w:cs="Arial"/>
                <w:color w:val="000000" w:themeColor="text1"/>
                <w:lang w:eastAsia="es-ES_tradnl"/>
              </w:rPr>
              <w:t xml:space="preserve">No. </w:t>
            </w:r>
            <w:r w:rsidR="00F1047D" w:rsidRPr="00F12E75">
              <w:rPr>
                <w:rFonts w:ascii="Verdana" w:eastAsia="Calibri" w:hAnsi="Verdana" w:cs="Arial"/>
                <w:color w:val="000000" w:themeColor="text1"/>
                <w:lang w:eastAsia="es-ES_tradnl"/>
              </w:rPr>
              <w:t>1</w:t>
            </w:r>
            <w:r w:rsidRPr="00F12E75">
              <w:rPr>
                <w:rFonts w:ascii="Verdana" w:hAnsi="Verdana"/>
                <w:color w:val="000000" w:themeColor="text1"/>
              </w:rPr>
              <w:t>_2026_02_19_002265</w:t>
            </w:r>
            <w:r w:rsidR="00537F59">
              <w:rPr>
                <w:rFonts w:ascii="Verdana" w:hAnsi="Verdana"/>
                <w:color w:val="000000" w:themeColor="text1"/>
              </w:rPr>
              <w:t xml:space="preserve"> &amp; </w:t>
            </w:r>
            <w:r w:rsidR="005D4827" w:rsidRPr="005D4827">
              <w:rPr>
                <w:rFonts w:ascii="Verdana" w:hAnsi="Verdana"/>
                <w:color w:val="000000" w:themeColor="text1"/>
              </w:rPr>
              <w:t>1_2026_02_19_002272</w:t>
            </w:r>
            <w:r w:rsidR="00F1047D">
              <w:rPr>
                <w:rFonts w:ascii="Verdana" w:hAnsi="Verdana"/>
                <w:color w:val="000000" w:themeColor="text1"/>
              </w:rPr>
              <w:t xml:space="preserve"> (acumuladas)</w:t>
            </w:r>
            <w:r w:rsidR="00260707">
              <w:rPr>
                <w:rFonts w:ascii="Verdana" w:hAnsi="Verdana"/>
                <w:color w:val="000000" w:themeColor="text1"/>
              </w:rPr>
              <w:t xml:space="preserve"> </w:t>
            </w:r>
            <w:r w:rsidR="005D4827">
              <w:rPr>
                <w:rFonts w:ascii="Verdana" w:hAnsi="Verdana"/>
                <w:color w:val="000000" w:themeColor="text1"/>
              </w:rPr>
              <w:t xml:space="preserve"> </w:t>
            </w:r>
          </w:p>
        </w:tc>
      </w:tr>
    </w:tbl>
    <w:p w14:paraId="0E4D4A9E" w14:textId="77777777" w:rsidR="0034467D" w:rsidRDefault="0034467D" w:rsidP="0034467D">
      <w:pPr>
        <w:spacing w:after="0" w:line="276" w:lineRule="auto"/>
        <w:jc w:val="both"/>
        <w:rPr>
          <w:rFonts w:ascii="Verdana" w:eastAsia="Calibri" w:hAnsi="Verdana" w:cs="Arial"/>
          <w:lang w:eastAsia="es-ES_tradnl"/>
        </w:rPr>
      </w:pPr>
    </w:p>
    <w:p w14:paraId="463452E9" w14:textId="77777777" w:rsidR="0034467D" w:rsidRPr="008E4F36" w:rsidRDefault="0034467D" w:rsidP="0034467D">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señor</w:t>
      </w:r>
      <w:r>
        <w:rPr>
          <w:rFonts w:ascii="Verdana" w:eastAsia="Calibri" w:hAnsi="Verdana" w:cs="Arial"/>
          <w:lang w:eastAsia="es-ES"/>
        </w:rPr>
        <w:t xml:space="preserve">a </w:t>
      </w:r>
      <w:r>
        <w:rPr>
          <w:rFonts w:ascii="Verdana" w:eastAsia="Calibri" w:hAnsi="Verdana" w:cs="Arial"/>
          <w:bCs/>
          <w:lang w:eastAsia="es-ES_tradnl"/>
        </w:rPr>
        <w:t>María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605D815F" w14:textId="77777777" w:rsidR="0034467D" w:rsidRDefault="0034467D" w:rsidP="0034467D">
      <w:pPr>
        <w:tabs>
          <w:tab w:val="left" w:pos="3768"/>
        </w:tabs>
        <w:spacing w:after="0" w:line="276" w:lineRule="auto"/>
        <w:jc w:val="both"/>
        <w:rPr>
          <w:rFonts w:ascii="Verdana" w:eastAsia="Calibri" w:hAnsi="Verdana" w:cs="Arial"/>
          <w:lang w:eastAsia="es-ES"/>
        </w:rPr>
      </w:pPr>
    </w:p>
    <w:p w14:paraId="7E38F359" w14:textId="77777777" w:rsidR="0034467D" w:rsidRPr="008E4F36" w:rsidRDefault="0034467D" w:rsidP="0034467D">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19</w:t>
      </w:r>
      <w:r w:rsidRPr="00AF6D58">
        <w:rPr>
          <w:rFonts w:ascii="Verdana" w:eastAsia="Calibri" w:hAnsi="Verdana" w:cs="Arial"/>
          <w:lang w:eastAsia="es-ES"/>
        </w:rPr>
        <w:t xml:space="preserve"> de </w:t>
      </w:r>
      <w:r>
        <w:rPr>
          <w:rFonts w:ascii="Verdana" w:eastAsia="Calibri" w:hAnsi="Verdana" w:cs="Arial"/>
          <w:lang w:eastAsia="es-ES"/>
        </w:rPr>
        <w:t>febrero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69DC955D" w14:textId="77777777" w:rsidR="0034467D" w:rsidRPr="008E4F36" w:rsidRDefault="0034467D" w:rsidP="0034467D">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4E5B10B0" w14:textId="77777777" w:rsidR="0034467D" w:rsidRPr="00C0134A" w:rsidRDefault="0034467D" w:rsidP="0034467D">
      <w:pPr>
        <w:spacing w:after="0"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0A2939">
        <w:rPr>
          <w:rFonts w:ascii="Verdana" w:eastAsia="Calibri" w:hAnsi="Verdana" w:cs="Arial"/>
          <w:i/>
          <w:iCs/>
          <w:color w:val="000000" w:themeColor="text1"/>
          <w:sz w:val="20"/>
          <w:szCs w:val="20"/>
        </w:rPr>
        <w:t>“</w:t>
      </w:r>
      <w:bookmarkEnd w:id="2"/>
      <w:bookmarkEnd w:id="3"/>
      <w:r w:rsidRPr="000A2939">
        <w:rPr>
          <w:rFonts w:ascii="Verdana" w:eastAsia="Calibri" w:hAnsi="Verdana" w:cs="Arial"/>
          <w:i/>
          <w:iCs/>
          <w:color w:val="000000" w:themeColor="text1"/>
          <w:sz w:val="20"/>
          <w:szCs w:val="20"/>
        </w:rPr>
        <w:t xml:space="preserve">1. ¿Son aplicables las excepciones a la restricción prevista en el artículo 33 de la </w:t>
      </w:r>
      <w:r w:rsidRPr="00C0134A">
        <w:rPr>
          <w:rFonts w:ascii="Verdana" w:eastAsia="Calibri" w:hAnsi="Verdana" w:cs="Arial"/>
          <w:i/>
          <w:iCs/>
          <w:color w:val="000000" w:themeColor="text1"/>
          <w:sz w:val="20"/>
          <w:szCs w:val="20"/>
        </w:rPr>
        <w:t xml:space="preserve">Ley 996 de 2005, consagradas de manera taxativa en su inciso </w:t>
      </w:r>
      <w:r w:rsidRPr="00C0134A">
        <w:rPr>
          <w:rFonts w:ascii="Verdana" w:eastAsia="Calibri" w:hAnsi="Verdana" w:cs="Arial"/>
          <w:i/>
          <w:iCs/>
          <w:color w:val="000000" w:themeColor="text1"/>
          <w:sz w:val="20"/>
          <w:szCs w:val="20"/>
        </w:rPr>
        <w:lastRenderedPageBreak/>
        <w:t>final,</w:t>
      </w:r>
      <w:r w:rsidRPr="000A2939">
        <w:rPr>
          <w:rFonts w:ascii="Verdana" w:eastAsia="Calibri" w:hAnsi="Verdana" w:cs="Arial"/>
          <w:i/>
          <w:iCs/>
          <w:color w:val="000000" w:themeColor="text1"/>
          <w:sz w:val="20"/>
          <w:szCs w:val="20"/>
        </w:rPr>
        <w:t xml:space="preserve"> </w:t>
      </w:r>
      <w:r w:rsidRPr="00C0134A">
        <w:rPr>
          <w:rFonts w:ascii="Verdana" w:eastAsia="Calibri" w:hAnsi="Verdana" w:cs="Arial"/>
          <w:i/>
          <w:iCs/>
          <w:color w:val="000000" w:themeColor="text1"/>
          <w:sz w:val="20"/>
          <w:szCs w:val="20"/>
        </w:rPr>
        <w:t>particularmente la relacionada con la defensa y seguridad del Estado, conforme al</w:t>
      </w:r>
      <w:r w:rsidRPr="000A2939">
        <w:rPr>
          <w:rFonts w:ascii="Verdana" w:eastAsia="Calibri" w:hAnsi="Verdana" w:cs="Arial"/>
          <w:i/>
          <w:iCs/>
          <w:color w:val="000000" w:themeColor="text1"/>
          <w:sz w:val="20"/>
          <w:szCs w:val="20"/>
        </w:rPr>
        <w:t xml:space="preserve"> </w:t>
      </w:r>
      <w:r w:rsidRPr="00C0134A">
        <w:rPr>
          <w:rFonts w:ascii="Verdana" w:eastAsia="Calibri" w:hAnsi="Verdana" w:cs="Arial"/>
          <w:i/>
          <w:iCs/>
          <w:color w:val="000000" w:themeColor="text1"/>
          <w:sz w:val="20"/>
          <w:szCs w:val="20"/>
        </w:rPr>
        <w:t>cumplimiento del objeto misional de la Caja de Retiro de las Fuerzas Militares?</w:t>
      </w:r>
    </w:p>
    <w:p w14:paraId="169C0C1A" w14:textId="77777777" w:rsidR="0034467D" w:rsidRPr="000A2939" w:rsidRDefault="0034467D" w:rsidP="0034467D">
      <w:pPr>
        <w:spacing w:after="0" w:line="240" w:lineRule="auto"/>
        <w:ind w:left="709" w:right="709"/>
        <w:jc w:val="both"/>
        <w:rPr>
          <w:rFonts w:ascii="Verdana" w:eastAsia="Calibri" w:hAnsi="Verdana" w:cs="Arial"/>
          <w:i/>
          <w:iCs/>
          <w:color w:val="000000" w:themeColor="text1"/>
          <w:sz w:val="20"/>
          <w:szCs w:val="20"/>
        </w:rPr>
      </w:pPr>
      <w:r w:rsidRPr="00C0134A">
        <w:rPr>
          <w:rFonts w:ascii="Verdana" w:eastAsia="Calibri" w:hAnsi="Verdana" w:cs="Arial"/>
          <w:i/>
          <w:iCs/>
          <w:color w:val="000000" w:themeColor="text1"/>
          <w:sz w:val="20"/>
          <w:szCs w:val="20"/>
        </w:rPr>
        <w:t>2. ¿Resultan aplicables las restricciones descritas en la Ley 996 de 2005 frente a la</w:t>
      </w:r>
      <w:r w:rsidRPr="000A2939">
        <w:rPr>
          <w:rFonts w:ascii="Verdana" w:eastAsia="Calibri" w:hAnsi="Verdana" w:cs="Arial"/>
          <w:i/>
          <w:iCs/>
          <w:color w:val="000000" w:themeColor="text1"/>
          <w:sz w:val="20"/>
          <w:szCs w:val="20"/>
        </w:rPr>
        <w:t xml:space="preserve"> </w:t>
      </w:r>
      <w:r w:rsidRPr="00C0134A">
        <w:rPr>
          <w:rFonts w:ascii="Verdana" w:eastAsia="Calibri" w:hAnsi="Verdana" w:cs="Arial"/>
          <w:i/>
          <w:iCs/>
          <w:color w:val="000000" w:themeColor="text1"/>
          <w:sz w:val="20"/>
          <w:szCs w:val="20"/>
        </w:rPr>
        <w:t>celebración de contratos de arrendamiento en los cuales CREMIL actúa en calidad</w:t>
      </w:r>
      <w:r w:rsidRPr="000A2939">
        <w:rPr>
          <w:rFonts w:ascii="Verdana" w:eastAsia="Calibri" w:hAnsi="Verdana" w:cs="Arial"/>
          <w:i/>
          <w:iCs/>
          <w:color w:val="000000" w:themeColor="text1"/>
          <w:sz w:val="20"/>
          <w:szCs w:val="20"/>
        </w:rPr>
        <w:t xml:space="preserve"> de proveedor, en desarrollo de la administración de su patrimonio </w:t>
      </w:r>
      <w:proofErr w:type="gramStart"/>
      <w:r w:rsidRPr="000A2939">
        <w:rPr>
          <w:rFonts w:ascii="Verdana" w:eastAsia="Calibri" w:hAnsi="Verdana" w:cs="Arial"/>
          <w:i/>
          <w:iCs/>
          <w:color w:val="000000" w:themeColor="text1"/>
          <w:sz w:val="20"/>
          <w:szCs w:val="20"/>
        </w:rPr>
        <w:t>inmobiliario?.</w:t>
      </w:r>
      <w:proofErr w:type="gramEnd"/>
      <w:r w:rsidRPr="000A2939">
        <w:rPr>
          <w:rFonts w:ascii="Verdana" w:eastAsia="Calibri" w:hAnsi="Verdana" w:cs="Arial"/>
          <w:i/>
          <w:iCs/>
          <w:color w:val="000000" w:themeColor="text1"/>
          <w:sz w:val="20"/>
          <w:szCs w:val="20"/>
        </w:rPr>
        <w:t>”</w:t>
      </w:r>
    </w:p>
    <w:p w14:paraId="7B8904F4" w14:textId="77777777" w:rsidR="0034467D" w:rsidRPr="000E6C92" w:rsidRDefault="0034467D" w:rsidP="0034467D">
      <w:pPr>
        <w:spacing w:after="0" w:line="276" w:lineRule="auto"/>
        <w:ind w:left="709" w:right="709"/>
        <w:jc w:val="both"/>
        <w:rPr>
          <w:rFonts w:ascii="Verdana" w:hAnsi="Verdana"/>
        </w:rPr>
      </w:pPr>
    </w:p>
    <w:p w14:paraId="528FF7BB" w14:textId="77777777" w:rsidR="0034467D" w:rsidRDefault="0034467D" w:rsidP="0034467D">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81F9AC5" w14:textId="77777777" w:rsidR="0034467D" w:rsidRPr="00054383" w:rsidRDefault="0034467D" w:rsidP="0034467D">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6F816F99" w14:textId="77777777" w:rsidR="0034467D" w:rsidRPr="008E4F36" w:rsidRDefault="0034467D" w:rsidP="0034467D">
      <w:pPr>
        <w:spacing w:after="0" w:line="276" w:lineRule="auto"/>
        <w:ind w:firstLine="709"/>
        <w:jc w:val="both"/>
        <w:rPr>
          <w:rFonts w:ascii="Verdana" w:eastAsia="Calibri" w:hAnsi="Verdana" w:cs="Arial"/>
          <w:color w:val="000000"/>
          <w:lang w:eastAsia="es-ES"/>
        </w:rPr>
      </w:pPr>
    </w:p>
    <w:p w14:paraId="53A3407C" w14:textId="77777777" w:rsidR="0034467D" w:rsidRDefault="0034467D" w:rsidP="0034467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38EDB149" w14:textId="77777777" w:rsidR="0034467D" w:rsidRDefault="0034467D" w:rsidP="0034467D">
      <w:pPr>
        <w:spacing w:after="0" w:line="276" w:lineRule="auto"/>
        <w:jc w:val="both"/>
        <w:rPr>
          <w:rFonts w:ascii="Verdana" w:eastAsia="Calibri" w:hAnsi="Verdana" w:cs="Arial"/>
          <w:color w:val="000000"/>
          <w:highlight w:val="yellow"/>
          <w:lang w:eastAsia="es-ES"/>
        </w:rPr>
      </w:pPr>
    </w:p>
    <w:p w14:paraId="11B70800" w14:textId="77777777" w:rsidR="0034467D" w:rsidRPr="000E6C92" w:rsidRDefault="0034467D" w:rsidP="0034467D">
      <w:pPr>
        <w:spacing w:after="0" w:line="276" w:lineRule="auto"/>
        <w:jc w:val="both"/>
        <w:rPr>
          <w:rFonts w:ascii="Verdana" w:eastAsia="Century Gothic" w:hAnsi="Verdana" w:cs="Century Gothic"/>
          <w:color w:val="000000" w:themeColor="text1"/>
          <w:lang w:val="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 xml:space="preserve">¡) </w:t>
      </w:r>
      <w:r w:rsidRPr="00F43CC7">
        <w:rPr>
          <w:rFonts w:ascii="Verdana" w:eastAsia="Century Gothic" w:hAnsi="Verdana" w:cs="Century Gothic"/>
          <w:lang w:val="es-ES"/>
        </w:rPr>
        <w:t>¿cuál en el ámbito de aplicación de la prohibición del artículo 33 de la Ley de Garantías</w:t>
      </w:r>
      <w:r>
        <w:rPr>
          <w:rFonts w:ascii="Verdana" w:eastAsia="Century Gothic" w:hAnsi="Verdana" w:cs="Century Gothic"/>
          <w:lang w:val="es-ES"/>
        </w:rPr>
        <w:t xml:space="preserve"> Electorales</w:t>
      </w:r>
      <w:r w:rsidRPr="00F43CC7">
        <w:rPr>
          <w:rFonts w:ascii="Verdana" w:eastAsia="Century Gothic" w:hAnsi="Verdana" w:cs="Century Gothic"/>
          <w:lang w:val="es-ES"/>
        </w:rPr>
        <w:t xml:space="preserve"> en relación con la causal de contratación del </w:t>
      </w:r>
      <w:r w:rsidRPr="00F43CC7">
        <w:rPr>
          <w:rFonts w:ascii="Verdana" w:eastAsia="Times New Roman" w:hAnsi="Verdana" w:cs="Arial"/>
          <w:lang w:val="es-ES" w:eastAsia="es-MX"/>
        </w:rPr>
        <w:t>literal i) del artículo 2.4 de la Ley 1150 de 2007?</w:t>
      </w:r>
      <w:r w:rsidRPr="00186EFC">
        <w:rPr>
          <w:rFonts w:ascii="Verdana" w:eastAsia="Calibri" w:hAnsi="Verdana" w:cs="Arial"/>
          <w:color w:val="000000"/>
          <w:lang w:eastAsia="es-ES"/>
        </w:rPr>
        <w:t xml:space="preserve"> </w:t>
      </w:r>
      <w:r>
        <w:rPr>
          <w:rFonts w:ascii="Verdana" w:eastAsia="Calibri" w:hAnsi="Verdana" w:cs="Arial"/>
          <w:color w:val="000000"/>
          <w:lang w:eastAsia="es-ES"/>
        </w:rPr>
        <w:t xml:space="preserve">Y;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xml:space="preserve">) </w:t>
      </w:r>
      <w:r w:rsidRPr="008F4636">
        <w:rPr>
          <w:rFonts w:ascii="Verdana" w:eastAsia="Calibri" w:hAnsi="Verdana" w:cs="Arial"/>
          <w:color w:val="000000"/>
          <w:lang w:eastAsia="es-ES"/>
        </w:rPr>
        <w:t>¿</w:t>
      </w:r>
      <w:r>
        <w:rPr>
          <w:rFonts w:ascii="Verdana" w:eastAsia="Calibri" w:hAnsi="Verdana" w:cs="Arial"/>
          <w:color w:val="000000"/>
          <w:lang w:eastAsia="es-ES"/>
        </w:rPr>
        <w:t>es</w:t>
      </w:r>
      <w:r w:rsidRPr="008F4636">
        <w:rPr>
          <w:rFonts w:ascii="Verdana" w:eastAsia="Calibri" w:hAnsi="Verdana" w:cs="Arial"/>
          <w:color w:val="000000"/>
          <w:lang w:eastAsia="es-ES"/>
        </w:rPr>
        <w:t xml:space="preserve"> aplicable la excepción por motivos de defensa y seguridad del Estado prevista en el </w:t>
      </w:r>
      <w:r>
        <w:rPr>
          <w:rFonts w:ascii="Verdana" w:eastAsia="Calibri" w:hAnsi="Verdana" w:cs="Arial"/>
          <w:color w:val="000000"/>
          <w:lang w:eastAsia="es-ES"/>
        </w:rPr>
        <w:t xml:space="preserve">parágrafo del </w:t>
      </w:r>
      <w:r w:rsidRPr="008F4636">
        <w:rPr>
          <w:rFonts w:ascii="Verdana" w:eastAsia="Calibri" w:hAnsi="Verdana" w:cs="Arial"/>
          <w:color w:val="000000"/>
          <w:lang w:eastAsia="es-ES"/>
        </w:rPr>
        <w:t xml:space="preserve">artículo 33 de la Ley 996 de 2005 a un </w:t>
      </w:r>
      <w:r>
        <w:rPr>
          <w:rFonts w:ascii="Verdana" w:eastAsia="Calibri" w:hAnsi="Verdana" w:cs="Arial"/>
          <w:color w:val="000000"/>
          <w:lang w:eastAsia="es-ES"/>
        </w:rPr>
        <w:t>E</w:t>
      </w:r>
      <w:r w:rsidRPr="008F4636">
        <w:rPr>
          <w:rFonts w:ascii="Verdana" w:eastAsia="Calibri" w:hAnsi="Verdana" w:cs="Arial"/>
          <w:color w:val="000000"/>
          <w:lang w:eastAsia="es-ES"/>
        </w:rPr>
        <w:t>nt</w:t>
      </w:r>
      <w:r>
        <w:rPr>
          <w:rFonts w:ascii="Verdana" w:eastAsia="Calibri" w:hAnsi="Verdana" w:cs="Arial"/>
          <w:color w:val="000000"/>
          <w:lang w:eastAsia="es-ES"/>
        </w:rPr>
        <w:t>e del</w:t>
      </w:r>
      <w:r w:rsidRPr="008F4636">
        <w:rPr>
          <w:rFonts w:ascii="Verdana" w:eastAsia="Calibri" w:hAnsi="Verdana" w:cs="Arial"/>
          <w:color w:val="000000"/>
          <w:lang w:eastAsia="es-ES"/>
        </w:rPr>
        <w:t xml:space="preserve"> </w:t>
      </w:r>
      <w:r>
        <w:rPr>
          <w:rFonts w:ascii="Verdana" w:eastAsia="Calibri" w:hAnsi="Verdana" w:cs="Arial"/>
          <w:color w:val="000000"/>
          <w:lang w:eastAsia="es-ES"/>
        </w:rPr>
        <w:t>E</w:t>
      </w:r>
      <w:r w:rsidRPr="008F4636">
        <w:rPr>
          <w:rFonts w:ascii="Verdana" w:eastAsia="Calibri" w:hAnsi="Verdana" w:cs="Arial"/>
          <w:color w:val="000000"/>
          <w:lang w:eastAsia="es-ES"/>
        </w:rPr>
        <w:t>sta</w:t>
      </w:r>
      <w:r>
        <w:rPr>
          <w:rFonts w:ascii="Verdana" w:eastAsia="Calibri" w:hAnsi="Verdana" w:cs="Arial"/>
          <w:color w:val="000000"/>
          <w:lang w:eastAsia="es-ES"/>
        </w:rPr>
        <w:t>do</w:t>
      </w:r>
      <w:r w:rsidRPr="008F4636">
        <w:rPr>
          <w:rFonts w:ascii="Verdana" w:eastAsia="Calibri" w:hAnsi="Verdana" w:cs="Arial"/>
          <w:color w:val="000000"/>
          <w:lang w:eastAsia="es-ES"/>
        </w:rPr>
        <w:t xml:space="preserve">, </w:t>
      </w:r>
      <w:r>
        <w:rPr>
          <w:rFonts w:ascii="Verdana" w:eastAsia="Calibri" w:hAnsi="Verdana" w:cs="Arial"/>
          <w:color w:val="000000"/>
          <w:lang w:eastAsia="es-ES"/>
        </w:rPr>
        <w:t xml:space="preserve">para la celebración de contratación directa </w:t>
      </w:r>
      <w:r w:rsidRPr="008F4636">
        <w:rPr>
          <w:rFonts w:ascii="Verdana" w:eastAsia="Calibri" w:hAnsi="Verdana" w:cs="Arial"/>
          <w:color w:val="000000"/>
          <w:lang w:eastAsia="es-ES"/>
        </w:rPr>
        <w:t>en función del cumplimiento de su objeto misional?</w:t>
      </w:r>
      <w:r>
        <w:rPr>
          <w:rFonts w:ascii="Verdana" w:eastAsia="Calibri" w:hAnsi="Verdana" w:cs="Arial"/>
          <w:color w:val="000000"/>
          <w:lang w:eastAsia="es-ES"/>
        </w:rPr>
        <w:t xml:space="preserve"> </w:t>
      </w:r>
    </w:p>
    <w:p w14:paraId="35BAB09B" w14:textId="77777777" w:rsidR="0034467D" w:rsidRPr="005B3AF8" w:rsidRDefault="0034467D" w:rsidP="0034467D">
      <w:pPr>
        <w:spacing w:after="0" w:line="276" w:lineRule="auto"/>
        <w:jc w:val="both"/>
        <w:rPr>
          <w:rFonts w:ascii="Verdana" w:eastAsia="Calibri" w:hAnsi="Verdana" w:cs="Times New Roman"/>
          <w:lang w:val="es-ES"/>
        </w:rPr>
      </w:pPr>
    </w:p>
    <w:p w14:paraId="56160485" w14:textId="77777777" w:rsidR="0034467D" w:rsidRPr="008E4F36" w:rsidRDefault="0034467D" w:rsidP="0034467D">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25B856D5" w14:textId="77777777" w:rsidR="0034467D" w:rsidRPr="008E4F36" w:rsidRDefault="0034467D" w:rsidP="0034467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34467D" w:rsidRPr="008E4F36" w14:paraId="03BE1229" w14:textId="77777777" w:rsidTr="00BE0098">
        <w:tc>
          <w:tcPr>
            <w:tcW w:w="8828" w:type="dxa"/>
          </w:tcPr>
          <w:p w14:paraId="2BE7EE2A" w14:textId="77777777" w:rsidR="0034467D" w:rsidRPr="00D77DEE" w:rsidRDefault="0034467D" w:rsidP="00BE0098">
            <w:pPr>
              <w:pStyle w:val="Textoindependiente"/>
              <w:tabs>
                <w:tab w:val="left" w:pos="6225"/>
              </w:tabs>
              <w:spacing w:line="276" w:lineRule="auto"/>
              <w:jc w:val="both"/>
              <w:rPr>
                <w:rFonts w:ascii="Verdana" w:eastAsia="Calibri" w:hAnsi="Verdana" w:cs="Arial"/>
                <w:bCs/>
                <w:szCs w:val="24"/>
                <w:lang w:eastAsia="es-ES_tradnl"/>
              </w:rPr>
            </w:pPr>
            <w:r>
              <w:rPr>
                <w:rFonts w:ascii="Verdana" w:eastAsia="Calibri" w:hAnsi="Verdana" w:cs="Arial"/>
                <w:bCs/>
                <w:szCs w:val="24"/>
                <w:lang w:eastAsia="es-ES_tradnl"/>
              </w:rPr>
              <w:t xml:space="preserve">i) </w:t>
            </w:r>
            <w:r w:rsidRPr="00D77DEE">
              <w:rPr>
                <w:rFonts w:ascii="Verdana" w:eastAsia="Calibri" w:hAnsi="Verdana" w:cs="Arial"/>
                <w:bCs/>
                <w:szCs w:val="24"/>
                <w:lang w:eastAsia="es-ES_tradnl"/>
              </w:rPr>
              <w:t>Resulta pertinente señalar que</w:t>
            </w:r>
            <w:r>
              <w:rPr>
                <w:rFonts w:ascii="Verdana" w:eastAsia="Calibri" w:hAnsi="Verdana" w:cs="Arial"/>
                <w:bCs/>
                <w:szCs w:val="24"/>
                <w:lang w:eastAsia="es-ES_tradnl"/>
              </w:rPr>
              <w:t>,</w:t>
            </w:r>
            <w:r w:rsidRPr="00D77DEE">
              <w:rPr>
                <w:rFonts w:ascii="Verdana" w:eastAsia="Calibri" w:hAnsi="Verdana" w:cs="Arial"/>
                <w:bCs/>
                <w:szCs w:val="24"/>
                <w:lang w:eastAsia="es-ES_tradnl"/>
              </w:rPr>
              <w:t xml:space="preserve"> </w:t>
            </w:r>
            <w:r w:rsidRPr="00CE01E2">
              <w:rPr>
                <w:rFonts w:ascii="Verdana" w:eastAsia="Calibri" w:hAnsi="Verdana" w:cs="Arial"/>
                <w:bCs/>
                <w:szCs w:val="24"/>
                <w:lang w:eastAsia="es-ES_tradnl"/>
              </w:rPr>
              <w:t xml:space="preserve">la Ley de Garantías Electorales </w:t>
            </w:r>
            <w:r w:rsidRPr="000D3AA1">
              <w:rPr>
                <w:rFonts w:ascii="Verdana" w:eastAsia="Calibri" w:hAnsi="Verdana" w:cs="Arial"/>
                <w:bCs/>
                <w:szCs w:val="24"/>
                <w:lang w:eastAsia="es-ES_tradnl"/>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7BA8915A" w14:textId="77777777" w:rsidR="0034467D" w:rsidRDefault="0034467D" w:rsidP="00BE0098">
            <w:pPr>
              <w:pStyle w:val="Textoindependiente"/>
              <w:tabs>
                <w:tab w:val="left" w:pos="6225"/>
              </w:tabs>
              <w:spacing w:line="276" w:lineRule="auto"/>
              <w:ind w:firstLine="709"/>
              <w:jc w:val="both"/>
              <w:rPr>
                <w:rFonts w:ascii="Verdana" w:eastAsia="Calibri" w:hAnsi="Verdana" w:cs="Arial"/>
                <w:bCs/>
                <w:szCs w:val="24"/>
                <w:lang w:eastAsia="es-ES_tradnl"/>
              </w:rPr>
            </w:pPr>
            <w:r>
              <w:rPr>
                <w:rFonts w:ascii="Verdana" w:eastAsia="Calibri" w:hAnsi="Verdana" w:cs="Arial"/>
                <w:bCs/>
                <w:szCs w:val="24"/>
                <w:lang w:eastAsia="es-ES_tradnl"/>
              </w:rPr>
              <w:t>Particularmente</w:t>
            </w:r>
            <w:r w:rsidRPr="00240BCA">
              <w:rPr>
                <w:rFonts w:ascii="Verdana" w:eastAsia="Calibri" w:hAnsi="Verdana" w:cs="Arial"/>
                <w:bCs/>
                <w:szCs w:val="24"/>
                <w:lang w:eastAsia="es-ES_tradnl"/>
              </w:rPr>
              <w:t xml:space="preserve">, el artículo 33 de la Ley 996 de 2005 establece que, durante los cuatro (4) meses anteriores a la elección presidencial y hasta la realización de la segunda vuelta, si fuere el caso, queda prohibida la </w:t>
            </w:r>
            <w:r w:rsidRPr="000E6C92">
              <w:rPr>
                <w:rFonts w:ascii="Verdana" w:eastAsia="Calibri" w:hAnsi="Verdana" w:cs="Arial"/>
                <w:bCs/>
                <w:i/>
                <w:iCs/>
                <w:szCs w:val="24"/>
                <w:lang w:eastAsia="es-ES_tradnl"/>
              </w:rPr>
              <w:t>contratación directa por parte de todos los entes del Estado</w:t>
            </w:r>
            <w:r w:rsidRPr="00240BCA">
              <w:rPr>
                <w:rFonts w:ascii="Verdana" w:eastAsia="Calibri" w:hAnsi="Verdana" w:cs="Arial"/>
                <w:bCs/>
                <w:szCs w:val="24"/>
                <w:lang w:eastAsia="es-ES_tradnl"/>
              </w:rPr>
              <w:t xml:space="preserve">. </w:t>
            </w:r>
          </w:p>
          <w:p w14:paraId="0CDD3092" w14:textId="77777777" w:rsidR="0034467D" w:rsidRPr="00F43CC7" w:rsidRDefault="0034467D" w:rsidP="00BE0098">
            <w:pPr>
              <w:spacing w:after="120" w:line="276" w:lineRule="auto"/>
              <w:ind w:firstLine="737"/>
              <w:jc w:val="both"/>
              <w:rPr>
                <w:rFonts w:ascii="Verdana" w:eastAsia="Times New Roman" w:hAnsi="Verdana" w:cs="Arial"/>
                <w:lang w:val="es-ES" w:eastAsia="es-MX"/>
              </w:rPr>
            </w:pPr>
            <w:r w:rsidRPr="00F43CC7">
              <w:rPr>
                <w:rFonts w:ascii="Verdana" w:eastAsia="Times New Roman" w:hAnsi="Verdana" w:cs="Arial"/>
                <w:lang w:val="es-ES" w:eastAsia="es-MX"/>
              </w:rPr>
              <w:t>Por lo demás, el literal i) del artículo 2.4 de la Ley 1150 de 2011 permite la contratación directa tratándose de “El arrendamiento […] de inmuebles”</w:t>
            </w:r>
            <w:r>
              <w:rPr>
                <w:rFonts w:ascii="Verdana" w:eastAsia="Times New Roman" w:hAnsi="Verdana" w:cs="Arial"/>
                <w:lang w:val="es-ES" w:eastAsia="es-MX"/>
              </w:rPr>
              <w:t>, causal que estaría incluida en la prohibición referida</w:t>
            </w:r>
            <w:r w:rsidRPr="00F43CC7">
              <w:rPr>
                <w:rFonts w:ascii="Verdana" w:eastAsia="Times New Roman" w:hAnsi="Verdana" w:cs="Arial"/>
                <w:lang w:val="es-ES" w:eastAsia="es-MX"/>
              </w:rPr>
              <w:t xml:space="preserve">.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1C9D02B8" w14:textId="77777777" w:rsidR="0034467D" w:rsidRPr="0002657A" w:rsidRDefault="0034467D" w:rsidP="00BE0098">
            <w:pPr>
              <w:spacing w:after="120" w:line="276" w:lineRule="auto"/>
              <w:ind w:firstLine="709"/>
              <w:jc w:val="both"/>
              <w:rPr>
                <w:rFonts w:ascii="Verdana" w:hAnsi="Verdana" w:cs="Segoe UI"/>
                <w:color w:val="000000" w:themeColor="text1"/>
              </w:rPr>
            </w:pPr>
            <w:r w:rsidRPr="0002657A">
              <w:rPr>
                <w:rFonts w:ascii="Verdana" w:hAnsi="Verdana" w:cs="Segoe UI"/>
                <w:color w:val="000000" w:themeColor="text1"/>
              </w:rPr>
              <w:t xml:space="preserve">En este contexto es preciso señalar que, la causal de contratación directa prevista en la Ley 1150 permite su utilización </w:t>
            </w:r>
            <w:r w:rsidRPr="0002657A">
              <w:rPr>
                <w:rStyle w:val="Fuerte"/>
                <w:rFonts w:ascii="Verdana" w:hAnsi="Verdana" w:cs="Segoe UI"/>
                <w:b w:val="0"/>
                <w:bCs w:val="0"/>
                <w:color w:val="000000" w:themeColor="text1"/>
              </w:rPr>
              <w:t>tanto cuando la</w:t>
            </w:r>
            <w:r w:rsidRPr="0002657A">
              <w:rPr>
                <w:rStyle w:val="Fuerte"/>
                <w:rFonts w:ascii="Verdana" w:hAnsi="Verdana" w:cs="Segoe UI"/>
                <w:color w:val="000000" w:themeColor="text1"/>
              </w:rPr>
              <w:t xml:space="preserve"> </w:t>
            </w:r>
            <w:r w:rsidRPr="0002657A">
              <w:rPr>
                <w:rStyle w:val="Fuerte"/>
                <w:rFonts w:ascii="Verdana" w:hAnsi="Verdana" w:cs="Segoe UI"/>
                <w:b w:val="0"/>
                <w:bCs w:val="0"/>
                <w:color w:val="000000" w:themeColor="text1"/>
              </w:rPr>
              <w:t>entidad actúa</w:t>
            </w:r>
            <w:r w:rsidRPr="0002657A">
              <w:rPr>
                <w:rStyle w:val="Fuerte"/>
                <w:rFonts w:ascii="Verdana" w:hAnsi="Verdana" w:cs="Segoe UI"/>
                <w:color w:val="000000" w:themeColor="text1"/>
              </w:rPr>
              <w:t xml:space="preserve"> </w:t>
            </w:r>
            <w:r w:rsidRPr="0002657A">
              <w:rPr>
                <w:rStyle w:val="Fuerte"/>
                <w:rFonts w:ascii="Verdana" w:hAnsi="Verdana" w:cs="Segoe UI"/>
                <w:b w:val="0"/>
                <w:bCs w:val="0"/>
                <w:color w:val="000000" w:themeColor="text1"/>
              </w:rPr>
              <w:t>como arrendadora como cuando actúa como arrendataria</w:t>
            </w:r>
            <w:r w:rsidRPr="0002657A">
              <w:rPr>
                <w:rFonts w:ascii="Verdana" w:hAnsi="Verdana" w:cs="Segoe UI"/>
                <w:color w:val="000000" w:themeColor="text1"/>
              </w:rPr>
              <w:t xml:space="preserve">, incluido el supuesto planteado para consideración. No obstante, tal modalidad de selección se encuentra </w:t>
            </w:r>
            <w:r w:rsidRPr="0002657A">
              <w:rPr>
                <w:rStyle w:val="Fuerte"/>
                <w:rFonts w:ascii="Verdana" w:hAnsi="Verdana" w:cs="Segoe UI"/>
                <w:b w:val="0"/>
                <w:bCs w:val="0"/>
                <w:color w:val="000000" w:themeColor="text1"/>
              </w:rPr>
              <w:t>proscrita durante los cuatro (4) meses anteriores a las elecciones presidenciales</w:t>
            </w:r>
            <w:r w:rsidRPr="0002657A">
              <w:rPr>
                <w:rFonts w:ascii="Verdana" w:hAnsi="Verdana" w:cs="Segoe UI"/>
                <w:color w:val="000000" w:themeColor="text1"/>
              </w:rPr>
              <w:t xml:space="preserve">, en los términos del artículo 33 de la Ley 996 de 2005, razón por la cual </w:t>
            </w:r>
            <w:r w:rsidRPr="0002657A">
              <w:rPr>
                <w:rStyle w:val="Fuerte"/>
                <w:rFonts w:ascii="Verdana" w:hAnsi="Verdana" w:cs="Segoe UI"/>
                <w:b w:val="0"/>
                <w:bCs w:val="0"/>
                <w:color w:val="000000" w:themeColor="text1"/>
              </w:rPr>
              <w:t>no es posible celebrar contratos de arrendamiento mediante contratación directa en dicho periodo</w:t>
            </w:r>
            <w:r w:rsidRPr="0002657A">
              <w:rPr>
                <w:rFonts w:ascii="Verdana" w:hAnsi="Verdana" w:cs="Segoe UI"/>
                <w:color w:val="000000" w:themeColor="text1"/>
              </w:rPr>
              <w:t>, salvo que el caso concreto se enmarque en alguna de las excepciones taxativamente señaladas en la norma.</w:t>
            </w:r>
          </w:p>
          <w:p w14:paraId="4E7E10BA" w14:textId="77777777" w:rsidR="0034467D" w:rsidRDefault="0034467D" w:rsidP="00BE0098">
            <w:pPr>
              <w:spacing w:line="276" w:lineRule="auto"/>
              <w:ind w:firstLine="737"/>
              <w:jc w:val="both"/>
              <w:rPr>
                <w:rFonts w:ascii="Verdana" w:eastAsia="Calibri" w:hAnsi="Verdana" w:cs="Arial"/>
                <w:lang w:val="es-ES"/>
              </w:rPr>
            </w:pPr>
            <w:r w:rsidRPr="00F43CC7">
              <w:rPr>
                <w:rFonts w:ascii="Verdana" w:eastAsia="Calibri" w:hAnsi="Verdana" w:cs="Arial"/>
                <w:lang w:val="es-ES"/>
              </w:rPr>
              <w:t xml:space="preserve">Cuando la entidad estatal actúe como arrendadora puede evaluar si, debido a lo explicado en los párrafos anteriores, es conveniente adelantar una convocatoria pública en garantía del principio de libre concurrencia. No </w:t>
            </w:r>
            <w:r w:rsidRPr="00F43CC7">
              <w:rPr>
                <w:rFonts w:ascii="Verdana" w:eastAsia="Calibri" w:hAnsi="Verdana" w:cs="Arial"/>
                <w:lang w:val="es-ES"/>
              </w:rPr>
              <w:lastRenderedPageBreak/>
              <w:t>obstante, lo cierto es que –dentro del marco normativo vigente– las entidades públicas son autónomas y responsables tanto de la estructuración de sus procesos de contratación como de determinar la modalidad de selección aplicable para suplir sus necesidades.</w:t>
            </w:r>
          </w:p>
          <w:p w14:paraId="55549F23" w14:textId="77777777" w:rsidR="0034467D" w:rsidRPr="000E6C92" w:rsidRDefault="0034467D" w:rsidP="00BE0098">
            <w:pPr>
              <w:spacing w:line="276" w:lineRule="auto"/>
              <w:ind w:firstLine="737"/>
              <w:jc w:val="both"/>
              <w:rPr>
                <w:rFonts w:ascii="Verdana" w:eastAsia="Times New Roman" w:hAnsi="Verdana" w:cs="Arial"/>
                <w:lang w:val="es-ES" w:eastAsia="x-none"/>
              </w:rPr>
            </w:pPr>
          </w:p>
          <w:p w14:paraId="2A69ED50" w14:textId="77777777" w:rsidR="0034467D" w:rsidRPr="00D77DEE" w:rsidRDefault="0034467D" w:rsidP="00BE0098">
            <w:pPr>
              <w:pStyle w:val="Textoindependiente"/>
              <w:tabs>
                <w:tab w:val="left" w:pos="6225"/>
              </w:tabs>
              <w:spacing w:line="276" w:lineRule="auto"/>
              <w:jc w:val="both"/>
              <w:rPr>
                <w:rFonts w:ascii="Verdana" w:eastAsia="Calibri" w:hAnsi="Verdana" w:cs="Arial"/>
                <w:bCs/>
                <w:szCs w:val="24"/>
                <w:lang w:eastAsia="es-ES_tradnl"/>
              </w:rPr>
            </w:pPr>
            <w:proofErr w:type="spellStart"/>
            <w:r>
              <w:rPr>
                <w:rFonts w:ascii="Verdana" w:eastAsia="Calibri" w:hAnsi="Verdana" w:cs="Arial"/>
                <w:bCs/>
                <w:szCs w:val="24"/>
                <w:lang w:eastAsia="es-ES_tradnl"/>
              </w:rPr>
              <w:t>ii</w:t>
            </w:r>
            <w:proofErr w:type="spellEnd"/>
            <w:r>
              <w:rPr>
                <w:rFonts w:ascii="Verdana" w:eastAsia="Calibri" w:hAnsi="Verdana" w:cs="Arial"/>
                <w:bCs/>
                <w:szCs w:val="24"/>
                <w:lang w:eastAsia="es-ES_tradnl"/>
              </w:rPr>
              <w:t xml:space="preserve">) </w:t>
            </w:r>
            <w:r w:rsidRPr="00240BCA">
              <w:rPr>
                <w:rFonts w:ascii="Verdana" w:eastAsia="Calibri" w:hAnsi="Verdana" w:cs="Arial"/>
                <w:bCs/>
                <w:szCs w:val="24"/>
                <w:lang w:eastAsia="es-ES_tradnl"/>
              </w:rPr>
              <w:t>No obstante, la misma disposición consagra excepciones taxativas a dicha prohibición, dentro de las cuales se encuentran los contratos relacionados con la defensa y seguridad del Estado, los contratos de crédito público, aquellos requeridos para atender emergencias educativas, sanitarias o desastres, así como los destinados a la reconstrucción de infraestructura afectada por atentados, acciones terroristas, desastres naturales o situaciones de fuerza mayor, y los que deban celebrar las entidades sanitarias y hospitalarias. Estas excepciones buscan garantizar que la restricción no afecte de manera desproporcionada el cumplimiento de funciones esenciales del Estado ni la continuidad en la prestación de servicios públicos.</w:t>
            </w:r>
          </w:p>
          <w:p w14:paraId="3CC1E99C" w14:textId="77777777" w:rsidR="0034467D" w:rsidRPr="00D77DEE" w:rsidRDefault="0034467D" w:rsidP="00BE0098">
            <w:pPr>
              <w:pStyle w:val="Textoindependiente"/>
              <w:tabs>
                <w:tab w:val="left" w:pos="6225"/>
              </w:tabs>
              <w:spacing w:line="276" w:lineRule="auto"/>
              <w:ind w:firstLine="709"/>
              <w:jc w:val="both"/>
              <w:rPr>
                <w:rFonts w:ascii="Verdana" w:eastAsia="Calibri" w:hAnsi="Verdana" w:cs="Arial"/>
                <w:bCs/>
                <w:szCs w:val="24"/>
                <w:lang w:eastAsia="es-ES_tradnl"/>
              </w:rPr>
            </w:pPr>
            <w:r w:rsidRPr="00D77DEE">
              <w:rPr>
                <w:rFonts w:ascii="Verdana" w:eastAsia="Calibri" w:hAnsi="Verdana" w:cs="Arial"/>
                <w:bCs/>
                <w:szCs w:val="24"/>
                <w:lang w:eastAsia="es-ES_tradnl"/>
              </w:rPr>
              <w:t>En particular, la expresión “defensa y seguridad del Estado” constituye un concepto jurídico indeterminado, lo que implica que su contenido no se encuentra definido de manera cerrada por el legislador, sino que debe ser concretado en cada caso a partir de las circunstancias fácticas y mediante la aplicación de criterios de interpretación jurídica. En este sentido, tanto la Corte Constitucional como el Consejo de Estado han reconocido que este tipo de conceptos se caracterizan por su amplitud y dinamismo, otorgando a las entidades estatales un margen de apreciación para su aplicación, dentro de los límites del ordenamiento jurídico.</w:t>
            </w:r>
          </w:p>
          <w:p w14:paraId="762BCD73" w14:textId="77777777" w:rsidR="0034467D" w:rsidRPr="00D77DEE" w:rsidRDefault="0034467D" w:rsidP="00BE0098">
            <w:pPr>
              <w:pStyle w:val="Textoindependiente"/>
              <w:tabs>
                <w:tab w:val="left" w:pos="6225"/>
              </w:tabs>
              <w:spacing w:line="276" w:lineRule="auto"/>
              <w:ind w:firstLine="709"/>
              <w:jc w:val="both"/>
              <w:rPr>
                <w:rFonts w:ascii="Verdana" w:eastAsia="Calibri" w:hAnsi="Verdana" w:cs="Arial"/>
                <w:bCs/>
                <w:szCs w:val="24"/>
                <w:lang w:eastAsia="es-ES_tradnl"/>
              </w:rPr>
            </w:pPr>
            <w:r w:rsidRPr="00D77DEE">
              <w:rPr>
                <w:rFonts w:ascii="Verdana" w:eastAsia="Calibri" w:hAnsi="Verdana" w:cs="Arial"/>
                <w:bCs/>
                <w:szCs w:val="24"/>
                <w:lang w:eastAsia="es-ES_tradnl"/>
              </w:rPr>
              <w:t>De acuerdo con la jurisprudencia del Consejo de Estado, el alcance de la noción de defensa y seguridad del Estado no se limita a actividades de carácter militar o bélico, sino que comprende también aquellas orientadas a la preservación del orden público, la estabilidad institucional, la convivencia pacífica y la garantía efectiva de los derechos y libertades. Bajo esta perspectiva, se trata de un concepto que debe interpretarse de manera sistemática, atendiendo a los fines esenciales del Estado y a las condiciones concretas en las que se desarrolla la actuación administrativa.</w:t>
            </w:r>
          </w:p>
          <w:p w14:paraId="0975B56F" w14:textId="77777777" w:rsidR="0034467D" w:rsidRPr="00E92E64" w:rsidRDefault="0034467D" w:rsidP="00BE0098">
            <w:pPr>
              <w:pStyle w:val="Textoindependiente"/>
              <w:tabs>
                <w:tab w:val="left" w:pos="6225"/>
              </w:tabs>
              <w:spacing w:after="0" w:line="276" w:lineRule="auto"/>
              <w:ind w:firstLine="709"/>
              <w:jc w:val="both"/>
              <w:rPr>
                <w:rFonts w:ascii="Verdana" w:eastAsia="Calibri" w:hAnsi="Verdana" w:cs="Arial"/>
                <w:bCs/>
                <w:szCs w:val="24"/>
                <w:lang w:eastAsia="es-ES_tradnl"/>
              </w:rPr>
            </w:pPr>
            <w:r w:rsidRPr="00D77DEE">
              <w:rPr>
                <w:rFonts w:ascii="Verdana" w:eastAsia="Calibri" w:hAnsi="Verdana" w:cs="Arial"/>
                <w:bCs/>
                <w:szCs w:val="24"/>
                <w:lang w:eastAsia="es-ES_tradnl"/>
              </w:rPr>
              <w:t xml:space="preserve">En consecuencia, corresponde a cada entidad estatal, en el marco de su autonomía y responsabilidad, analizar si la actividad contractual que pretende </w:t>
            </w:r>
            <w:r w:rsidRPr="00D77DEE">
              <w:rPr>
                <w:rFonts w:ascii="Verdana" w:eastAsia="Calibri" w:hAnsi="Verdana" w:cs="Arial"/>
                <w:bCs/>
                <w:szCs w:val="24"/>
                <w:lang w:eastAsia="es-ES_tradnl"/>
              </w:rPr>
              <w:lastRenderedPageBreak/>
              <w:t>adelantar se enmarca efectivamente dentro de dicha excepción, lo cual exige verificar la existencia de una relación directa, necesaria y suficiente entre el objeto del contrato y los fines de defensa y seguridad del Estado, así como sustentar dicha decisión mediante una motivación adecuada, razonable y verificable, en concordancia con los principios de la contratación estatal.</w:t>
            </w:r>
          </w:p>
        </w:tc>
      </w:tr>
    </w:tbl>
    <w:p w14:paraId="2DCB502A" w14:textId="77777777" w:rsidR="0034467D" w:rsidRDefault="0034467D" w:rsidP="0034467D">
      <w:pPr>
        <w:tabs>
          <w:tab w:val="left" w:pos="142"/>
          <w:tab w:val="left" w:pos="284"/>
        </w:tabs>
        <w:spacing w:after="0" w:line="276" w:lineRule="auto"/>
        <w:jc w:val="both"/>
        <w:rPr>
          <w:rFonts w:ascii="Verdana" w:eastAsia="Century Gothic" w:hAnsi="Verdana" w:cs="Century Gothic"/>
          <w:b/>
          <w:bCs/>
        </w:rPr>
      </w:pPr>
    </w:p>
    <w:p w14:paraId="6BCF279B" w14:textId="77777777" w:rsidR="0034467D" w:rsidRPr="008E4F36" w:rsidRDefault="0034467D" w:rsidP="0034467D">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052F6909" w14:textId="77777777" w:rsidR="0034467D" w:rsidRDefault="0034467D" w:rsidP="0034467D">
      <w:pPr>
        <w:pStyle w:val="Prrafodelista"/>
        <w:tabs>
          <w:tab w:val="left" w:pos="142"/>
          <w:tab w:val="left" w:pos="284"/>
        </w:tabs>
        <w:spacing w:after="0" w:line="276" w:lineRule="auto"/>
        <w:ind w:left="0"/>
        <w:contextualSpacing w:val="0"/>
        <w:jc w:val="both"/>
        <w:rPr>
          <w:rFonts w:ascii="Verdana" w:eastAsia="Calibri" w:hAnsi="Verdana" w:cs="Arial"/>
        </w:rPr>
      </w:pPr>
    </w:p>
    <w:p w14:paraId="06DD3E56" w14:textId="77777777" w:rsidR="0034467D" w:rsidRDefault="0034467D" w:rsidP="0034467D">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0AD2854" w14:textId="77777777" w:rsidR="0034467D" w:rsidRDefault="0034467D" w:rsidP="0034467D">
      <w:pPr>
        <w:spacing w:after="0" w:line="276" w:lineRule="auto"/>
        <w:jc w:val="both"/>
        <w:rPr>
          <w:rFonts w:ascii="Verdana" w:eastAsia="Calibri" w:hAnsi="Verdana" w:cs="Arial"/>
          <w:color w:val="000000"/>
          <w:shd w:val="clear" w:color="auto" w:fill="FFFFFF"/>
          <w:lang w:val="es-ES"/>
        </w:rPr>
      </w:pPr>
    </w:p>
    <w:p w14:paraId="3DF11C78" w14:textId="77777777" w:rsidR="0034467D" w:rsidRPr="00C13395" w:rsidRDefault="0034467D" w:rsidP="0034467D">
      <w:pPr>
        <w:spacing w:after="120" w:line="276" w:lineRule="auto"/>
        <w:jc w:val="both"/>
        <w:rPr>
          <w:rFonts w:ascii="Verdana" w:eastAsia="Century Gothic" w:hAnsi="Verdana" w:cs="Century Gothic"/>
          <w:bCs/>
          <w:lang w:val="es-ES_tradnl"/>
        </w:rPr>
      </w:pPr>
      <w:bookmarkStart w:id="4" w:name="_Hlk204856061"/>
      <w:bookmarkStart w:id="5" w:name="_Hlk78820161"/>
      <w:bookmarkStart w:id="6" w:name="_Hlk204854194"/>
      <w:r w:rsidRPr="00CC581A">
        <w:rPr>
          <w:rFonts w:ascii="Verdana" w:hAnsi="Verdana" w:cs="Arial"/>
          <w:bCs/>
          <w:lang w:val="es-ES_tradnl" w:eastAsia="es-ES" w:bidi="es-ES"/>
        </w:rPr>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65DE0E78"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12DDFA7F" w14:textId="77777777" w:rsidR="0034467D" w:rsidRDefault="0034467D" w:rsidP="0034467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68DF9900" w14:textId="77777777" w:rsidR="0034467D" w:rsidRPr="00C13395" w:rsidRDefault="0034467D" w:rsidP="0034467D">
      <w:pPr>
        <w:spacing w:after="0" w:line="276" w:lineRule="auto"/>
        <w:ind w:firstLine="708"/>
        <w:jc w:val="both"/>
        <w:rPr>
          <w:rFonts w:ascii="Verdana" w:eastAsia="Century Gothic" w:hAnsi="Verdana" w:cs="Century Gothic"/>
          <w:bCs/>
          <w:lang w:val="es-ES_tradnl"/>
        </w:rPr>
      </w:pPr>
    </w:p>
    <w:p w14:paraId="64FD7E0C" w14:textId="77777777" w:rsidR="0034467D"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6BD98586" w14:textId="77777777" w:rsidR="0034467D" w:rsidRPr="00C13395" w:rsidRDefault="0034467D" w:rsidP="0034467D">
      <w:pPr>
        <w:spacing w:after="0" w:line="240" w:lineRule="auto"/>
        <w:ind w:left="709" w:right="709"/>
        <w:jc w:val="both"/>
        <w:rPr>
          <w:rFonts w:ascii="Verdana" w:eastAsia="Century Gothic" w:hAnsi="Verdana" w:cs="Century Gothic"/>
          <w:bCs/>
          <w:sz w:val="20"/>
          <w:szCs w:val="20"/>
          <w:lang w:val="es-ES_tradnl"/>
        </w:rPr>
      </w:pPr>
    </w:p>
    <w:p w14:paraId="12E4467D" w14:textId="77777777" w:rsidR="0034467D" w:rsidRPr="00C13395"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5A70F6F6" w14:textId="77777777" w:rsidR="0034467D" w:rsidRDefault="0034467D" w:rsidP="0034467D">
      <w:pPr>
        <w:spacing w:after="0" w:line="240" w:lineRule="auto"/>
        <w:ind w:left="709" w:right="709"/>
        <w:jc w:val="both"/>
        <w:rPr>
          <w:rFonts w:ascii="Verdana" w:eastAsia="Century Gothic" w:hAnsi="Verdana" w:cs="Century Gothic"/>
          <w:bCs/>
          <w:sz w:val="20"/>
          <w:szCs w:val="20"/>
          <w:lang w:val="es-ES_tradnl"/>
        </w:rPr>
      </w:pPr>
    </w:p>
    <w:p w14:paraId="3ABF1522" w14:textId="77777777" w:rsidR="0034467D"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4F9A840E" w14:textId="77777777" w:rsidR="0034467D" w:rsidRPr="000E6C92" w:rsidRDefault="0034467D" w:rsidP="0034467D">
      <w:pPr>
        <w:spacing w:after="0" w:line="276" w:lineRule="auto"/>
        <w:ind w:left="709" w:right="709"/>
        <w:jc w:val="both"/>
        <w:rPr>
          <w:rFonts w:ascii="Verdana" w:eastAsia="Century Gothic" w:hAnsi="Verdana" w:cs="Century Gothic"/>
          <w:bCs/>
          <w:lang w:val="es-ES_tradnl"/>
        </w:rPr>
      </w:pPr>
    </w:p>
    <w:p w14:paraId="75C8EA98" w14:textId="77777777" w:rsidR="0034467D" w:rsidRDefault="0034467D" w:rsidP="0034467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37DCBD6F" w14:textId="77777777" w:rsidR="0034467D" w:rsidRPr="00C13395" w:rsidRDefault="0034467D" w:rsidP="0034467D">
      <w:pPr>
        <w:spacing w:after="0" w:line="276" w:lineRule="auto"/>
        <w:ind w:firstLine="708"/>
        <w:jc w:val="both"/>
        <w:rPr>
          <w:rFonts w:ascii="Verdana" w:eastAsia="Century Gothic" w:hAnsi="Verdana" w:cs="Century Gothic"/>
          <w:bCs/>
          <w:lang w:val="es-ES_tradnl"/>
        </w:rPr>
      </w:pPr>
    </w:p>
    <w:p w14:paraId="2A5C1AAD" w14:textId="77777777" w:rsidR="0034467D" w:rsidRDefault="0034467D" w:rsidP="0034467D">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122F1934">
        <w:rPr>
          <w:rFonts w:ascii="Verdana" w:eastAsia="Century Gothic" w:hAnsi="Verdana" w:cs="Century Gothic"/>
          <w:sz w:val="20"/>
          <w:szCs w:val="20"/>
          <w:lang w:val="es-ES"/>
        </w:rPr>
        <w:t>legis</w:t>
      </w:r>
      <w:proofErr w:type="spellEnd"/>
      <w:r w:rsidRPr="122F1934">
        <w:rPr>
          <w:rFonts w:ascii="Verdana" w:eastAsia="Century Gothic" w:hAnsi="Verdana" w:cs="Century Gothic"/>
          <w:sz w:val="20"/>
          <w:szCs w:val="20"/>
          <w:lang w:val="es-ES"/>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A782009" w14:textId="77777777" w:rsidR="0034467D" w:rsidRPr="00C13395" w:rsidRDefault="0034467D" w:rsidP="0034467D">
      <w:pPr>
        <w:spacing w:after="0" w:line="240" w:lineRule="auto"/>
        <w:ind w:left="709" w:right="709"/>
        <w:jc w:val="both"/>
        <w:rPr>
          <w:rFonts w:ascii="Verdana" w:eastAsia="Century Gothic" w:hAnsi="Verdana" w:cs="Century Gothic"/>
          <w:sz w:val="20"/>
          <w:szCs w:val="20"/>
          <w:lang w:val="es-ES"/>
        </w:rPr>
      </w:pPr>
    </w:p>
    <w:p w14:paraId="5D71D428" w14:textId="77777777" w:rsidR="0034467D"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72E4E908" w14:textId="77777777" w:rsidR="0034467D" w:rsidRPr="00C13395" w:rsidRDefault="0034467D" w:rsidP="0034467D">
      <w:pPr>
        <w:spacing w:after="0" w:line="276" w:lineRule="auto"/>
        <w:ind w:left="709" w:right="709"/>
        <w:jc w:val="both"/>
        <w:rPr>
          <w:rFonts w:ascii="Verdana" w:eastAsia="Century Gothic" w:hAnsi="Verdana" w:cs="Century Gothic"/>
          <w:bCs/>
          <w:sz w:val="20"/>
          <w:szCs w:val="20"/>
          <w:lang w:val="es-ES_tradnl"/>
        </w:rPr>
      </w:pPr>
    </w:p>
    <w:p w14:paraId="52CCC454" w14:textId="77777777" w:rsidR="0034467D" w:rsidRPr="000E6C92" w:rsidRDefault="0034467D" w:rsidP="0034467D">
      <w:pPr>
        <w:spacing w:after="0" w:line="276" w:lineRule="auto"/>
        <w:ind w:firstLine="709"/>
        <w:jc w:val="both"/>
        <w:rPr>
          <w:rFonts w:ascii="Verdana" w:eastAsia="Arial" w:hAnsi="Verdana" w:cs="Arial"/>
          <w:lang w:val="es-ES" w:eastAsia="es-ES" w:bidi="es-ES"/>
        </w:rPr>
      </w:pPr>
      <w:r w:rsidRPr="00C13395">
        <w:rPr>
          <w:rFonts w:ascii="Verdana" w:eastAsia="Century Gothic" w:hAnsi="Verdana" w:cs="Century Gothic"/>
          <w:bCs/>
          <w:lang w:val="es-ES_tradnl"/>
        </w:rPr>
        <w:lastRenderedPageBreak/>
        <w:t xml:space="preserve">De conformidad con lo anterior, la Ley de Garantías Electorales estableció una serie de regulaciones y prohibiciones dirigidas a los servidores públicos. </w:t>
      </w:r>
      <w:r>
        <w:rPr>
          <w:rFonts w:ascii="Verdana" w:eastAsia="Century Gothic" w:hAnsi="Verdana" w:cs="Century Gothic"/>
          <w:bCs/>
          <w:lang w:val="es-ES_tradnl"/>
        </w:rPr>
        <w:t>Así las cosas, c</w:t>
      </w:r>
      <w:r w:rsidRPr="00C13395">
        <w:rPr>
          <w:rFonts w:ascii="Verdana" w:eastAsia="Century Gothic" w:hAnsi="Verdana" w:cs="Century Gothic"/>
          <w:bCs/>
          <w:lang w:val="es-ES_tradnl"/>
        </w:rPr>
        <w:t xml:space="preserve">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F43CC7">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14949E10" w14:textId="77777777" w:rsidR="0034467D" w:rsidRDefault="0034467D" w:rsidP="0034467D">
      <w:pPr>
        <w:spacing w:after="0" w:line="276" w:lineRule="auto"/>
        <w:jc w:val="both"/>
        <w:rPr>
          <w:rFonts w:ascii="Verdana" w:eastAsia="Century Gothic" w:hAnsi="Verdana" w:cs="Century Gothic"/>
          <w:bCs/>
          <w:lang w:val="es-ES_tradnl"/>
        </w:rPr>
      </w:pPr>
    </w:p>
    <w:p w14:paraId="24809399" w14:textId="77777777" w:rsidR="0034467D" w:rsidRPr="00C13395" w:rsidRDefault="0034467D" w:rsidP="0034467D">
      <w:pPr>
        <w:spacing w:after="120" w:line="276" w:lineRule="auto"/>
        <w:jc w:val="both"/>
        <w:rPr>
          <w:rFonts w:ascii="Verdana" w:eastAsia="Century Gothic" w:hAnsi="Verdana" w:cs="Century Gothic"/>
          <w:lang w:val="es-ES"/>
        </w:rPr>
      </w:pPr>
      <w:proofErr w:type="spellStart"/>
      <w:r w:rsidRPr="5F29C245">
        <w:rPr>
          <w:rFonts w:ascii="Verdana" w:eastAsia="Century Gothic" w:hAnsi="Verdana" w:cs="Century Gothic"/>
          <w:lang w:val="es-ES"/>
        </w:rPr>
        <w:t>ii</w:t>
      </w:r>
      <w:proofErr w:type="spellEnd"/>
      <w:r w:rsidRPr="5F29C245">
        <w:rPr>
          <w:rFonts w:ascii="Verdana" w:eastAsia="Century Gothic" w:hAnsi="Verdana" w:cs="Century Gothic"/>
          <w:lang w:val="es-ES"/>
        </w:rPr>
        <w:t>)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73AB0881"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Por un lado, 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551BFA">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03723859"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entury Gothic" w:hAnsi="Verdana" w:cs="Century Gothic"/>
          <w:bCs/>
          <w:lang w:val="es-ES_tradnl"/>
        </w:rPr>
        <w:t xml:space="preserve">. </w:t>
      </w:r>
      <w:r w:rsidRPr="00C13395">
        <w:rPr>
          <w:rFonts w:ascii="Verdana" w:eastAsia="Century Gothic" w:hAnsi="Verdana" w:cs="Century Gothic"/>
          <w:bCs/>
          <w:lang w:val="es-ES_tradnl"/>
        </w:rPr>
        <w:t xml:space="preserve"> </w:t>
      </w:r>
    </w:p>
    <w:p w14:paraId="4FE86EFF" w14:textId="77777777" w:rsidR="0034467D" w:rsidRDefault="0034467D" w:rsidP="0034467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22F6FD1D" w14:textId="77777777" w:rsidR="0034467D" w:rsidRPr="00C13395" w:rsidRDefault="0034467D" w:rsidP="0034467D">
      <w:pPr>
        <w:spacing w:after="0" w:line="276" w:lineRule="auto"/>
        <w:ind w:firstLine="708"/>
        <w:jc w:val="both"/>
        <w:rPr>
          <w:rFonts w:ascii="Verdana" w:eastAsia="Century Gothic" w:hAnsi="Verdana" w:cs="Century Gothic"/>
          <w:bCs/>
          <w:lang w:val="es-ES_tradnl"/>
        </w:rPr>
      </w:pPr>
    </w:p>
    <w:p w14:paraId="7858F828" w14:textId="77777777" w:rsidR="0034467D"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08350055" w14:textId="77777777" w:rsidR="0034467D" w:rsidRPr="00551BFA" w:rsidRDefault="0034467D" w:rsidP="0034467D">
      <w:pPr>
        <w:spacing w:after="0" w:line="276" w:lineRule="auto"/>
        <w:ind w:left="709" w:right="709"/>
        <w:jc w:val="both"/>
        <w:rPr>
          <w:rFonts w:ascii="Verdana" w:eastAsia="Century Gothic" w:hAnsi="Verdana" w:cs="Century Gothic"/>
          <w:bCs/>
          <w:lang w:val="es-ES_tradnl"/>
        </w:rPr>
      </w:pPr>
    </w:p>
    <w:p w14:paraId="745A82A2" w14:textId="77777777" w:rsidR="0034467D" w:rsidRPr="00C13395" w:rsidRDefault="0034467D" w:rsidP="0034467D">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F52852D" w14:textId="77777777" w:rsidR="0034467D" w:rsidRPr="00C13395" w:rsidRDefault="0034467D" w:rsidP="0034467D">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Ambas restricciones no son excluyentes, lo que permite concluir que, en el período preelectoral para elección de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122F1934">
        <w:rPr>
          <w:rFonts w:ascii="Verdana" w:eastAsia="Century Gothic" w:hAnsi="Verdana" w:cs="Century Gothic"/>
          <w:lang w:val="es-ES"/>
        </w:rPr>
        <w:lastRenderedPageBreak/>
        <w:t>Presidente</w:t>
      </w:r>
      <w:proofErr w:type="gramEnd"/>
      <w:r w:rsidRPr="122F1934">
        <w:rPr>
          <w:rFonts w:ascii="Verdana" w:eastAsia="Century Gothic" w:hAnsi="Verdana" w:cs="Century Gothic"/>
          <w:lang w:val="es-ES"/>
        </w:rPr>
        <w:t xml:space="preserve"> de la República, las autoridades allí mencionadas sólo deben aplicar las restricciones contenidas en el parágrafo del artículo 38.</w:t>
      </w:r>
    </w:p>
    <w:p w14:paraId="2BCBE0CC" w14:textId="77777777" w:rsidR="0034467D" w:rsidRDefault="0034467D" w:rsidP="0034467D">
      <w:pPr>
        <w:spacing w:after="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o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y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de la República, ha perdido vigencia ante la prohibición de la reelección presidencial, restablecida por el Acto Legislativo 2 de 2015. Esto excepto para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que no haya ejercido la presidencia o que la haya ejercido por un tiempo inferior a tres (3) meses durante el respectivo cuatrienio, en forma continua o discontinua, conforme al artículo 197 de la Constitución Política. </w:t>
      </w:r>
    </w:p>
    <w:p w14:paraId="477BB698" w14:textId="77777777" w:rsidR="0034467D" w:rsidRPr="00C13395" w:rsidRDefault="0034467D" w:rsidP="0034467D">
      <w:pPr>
        <w:spacing w:after="0" w:line="276" w:lineRule="auto"/>
        <w:ind w:firstLine="709"/>
        <w:jc w:val="both"/>
        <w:rPr>
          <w:rFonts w:ascii="Verdana" w:eastAsia="Century Gothic" w:hAnsi="Verdana" w:cs="Century Gothic"/>
          <w:lang w:val="es-ES"/>
        </w:rPr>
      </w:pPr>
    </w:p>
    <w:p w14:paraId="7018BFCE" w14:textId="77777777" w:rsidR="0034467D" w:rsidRPr="00C13395" w:rsidRDefault="0034467D" w:rsidP="0034467D">
      <w:pPr>
        <w:spacing w:after="120" w:line="276" w:lineRule="auto"/>
        <w:jc w:val="both"/>
        <w:rPr>
          <w:rFonts w:ascii="Verdana" w:eastAsia="Century Gothic" w:hAnsi="Verdana" w:cs="Century Gothic"/>
          <w:lang w:val="es-ES"/>
        </w:rPr>
      </w:pPr>
      <w:proofErr w:type="spellStart"/>
      <w:r>
        <w:rPr>
          <w:rFonts w:ascii="Verdana" w:eastAsia="Century Gothic" w:hAnsi="Verdana" w:cs="Century Gothic"/>
          <w:lang w:val="es-ES"/>
        </w:rPr>
        <w:t>i</w:t>
      </w:r>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08332D5"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w:t>
      </w:r>
      <w:r w:rsidRPr="00C13395">
        <w:rPr>
          <w:rFonts w:ascii="Verdana" w:eastAsia="Century Gothic" w:hAnsi="Verdana" w:cs="Century Gothic"/>
          <w:bCs/>
          <w:lang w:val="es-ES_tradnl"/>
        </w:rPr>
        <w:lastRenderedPageBreak/>
        <w:t xml:space="preserve">perfeccionan cuando se logre acuerdo sobre el objeto y la contraprestación y éste se eleve a escrito”. </w:t>
      </w:r>
    </w:p>
    <w:p w14:paraId="4441C58F"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A44D0EC" w14:textId="77777777" w:rsidR="0034467D" w:rsidRDefault="0034467D" w:rsidP="0034467D">
      <w:pPr>
        <w:spacing w:after="0" w:line="276" w:lineRule="auto"/>
        <w:ind w:firstLine="709"/>
        <w:jc w:val="both"/>
        <w:rPr>
          <w:rFonts w:ascii="Verdana" w:eastAsia="Century Gothic" w:hAnsi="Verdana" w:cs="Century Gothic"/>
          <w:bCs/>
          <w:lang w:val="es-ES_tradnl"/>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w:t>
      </w:r>
      <w:proofErr w:type="gramStart"/>
      <w:r w:rsidRPr="122F1934">
        <w:rPr>
          <w:rFonts w:ascii="Verdana" w:eastAsia="Century Gothic" w:hAnsi="Verdana" w:cs="Century Gothic"/>
          <w:lang w:val="es-ES"/>
        </w:rPr>
        <w:t>entrada en vigencia</w:t>
      </w:r>
      <w:proofErr w:type="gramEnd"/>
      <w:r w:rsidRPr="122F1934">
        <w:rPr>
          <w:rFonts w:ascii="Verdana" w:eastAsia="Century Gothic" w:hAnsi="Verdana" w:cs="Century Gothic"/>
          <w:lang w:val="es-ES"/>
        </w:rPr>
        <w:t xml:space="preserve"> de las prohibiciones anotadas, así como la cesión de </w:t>
      </w:r>
      <w:proofErr w:type="gramStart"/>
      <w:r w:rsidRPr="122F1934">
        <w:rPr>
          <w:rFonts w:ascii="Verdana" w:eastAsia="Century Gothic" w:hAnsi="Verdana" w:cs="Century Gothic"/>
          <w:lang w:val="es-ES"/>
        </w:rPr>
        <w:t>los mismos</w:t>
      </w:r>
      <w:proofErr w:type="gramEnd"/>
      <w:r w:rsidRPr="122F1934">
        <w:rPr>
          <w:rFonts w:ascii="Verdana" w:eastAsia="Century Gothic" w:hAnsi="Verdana" w:cs="Century Gothic"/>
          <w:lang w:val="es-ES"/>
        </w:rPr>
        <w:t xml:space="preserve">, pueden tener lugar en el período de aplicación de la Ley de Garantías Electorales, sin que ello haga nugatoria la restricción de la contratación directa y siempre que cumplan los principios de planeación, transparencia y </w:t>
      </w:r>
      <w:r w:rsidRPr="001F38BF">
        <w:rPr>
          <w:rFonts w:ascii="Verdana" w:eastAsia="Century Gothic" w:hAnsi="Verdana" w:cs="Century Gothic"/>
          <w:bCs/>
          <w:lang w:val="es-ES_tradnl"/>
        </w:rPr>
        <w:t xml:space="preserve">responsabilidad. </w:t>
      </w:r>
    </w:p>
    <w:p w14:paraId="2D0FC819" w14:textId="77777777" w:rsidR="0034467D" w:rsidRDefault="0034467D" w:rsidP="0034467D">
      <w:pPr>
        <w:spacing w:after="0" w:line="276" w:lineRule="auto"/>
        <w:ind w:firstLine="709"/>
        <w:jc w:val="both"/>
        <w:rPr>
          <w:rFonts w:ascii="Verdana" w:eastAsia="Century Gothic" w:hAnsi="Verdana" w:cs="Century Gothic"/>
          <w:bCs/>
          <w:lang w:val="es-ES_tradnl"/>
        </w:rPr>
      </w:pPr>
    </w:p>
    <w:p w14:paraId="517C432B" w14:textId="77777777" w:rsidR="0034467D" w:rsidRPr="00C13395" w:rsidRDefault="0034467D" w:rsidP="0034467D">
      <w:pPr>
        <w:spacing w:after="0" w:line="276" w:lineRule="auto"/>
        <w:jc w:val="both"/>
        <w:rPr>
          <w:rFonts w:ascii="Verdana" w:eastAsia="Century Gothic" w:hAnsi="Verdana" w:cs="Century Gothic"/>
          <w:lang w:val="es-ES"/>
        </w:rPr>
      </w:pPr>
      <w:proofErr w:type="spellStart"/>
      <w:r w:rsidRPr="001F38BF">
        <w:rPr>
          <w:rFonts w:ascii="Verdana" w:eastAsia="Century Gothic" w:hAnsi="Verdana" w:cs="Century Gothic"/>
          <w:bCs/>
          <w:lang w:val="es-ES_tradnl"/>
        </w:rPr>
        <w:t>i</w:t>
      </w:r>
      <w:r>
        <w:rPr>
          <w:rFonts w:ascii="Verdana" w:eastAsia="Century Gothic" w:hAnsi="Verdana" w:cs="Century Gothic"/>
          <w:bCs/>
          <w:lang w:val="es-ES_tradnl"/>
        </w:rPr>
        <w:t>v</w:t>
      </w:r>
      <w:proofErr w:type="spellEnd"/>
      <w:r w:rsidRPr="001F38BF">
        <w:rPr>
          <w:rFonts w:ascii="Verdana" w:eastAsia="Century Gothic" w:hAnsi="Verdana" w:cs="Century Gothic"/>
          <w:bCs/>
          <w:lang w:val="es-ES_tradnl"/>
        </w:rPr>
        <w:t xml:space="preserve">) </w:t>
      </w:r>
      <w:r w:rsidRPr="00F43CC7">
        <w:rPr>
          <w:rFonts w:ascii="Verdana" w:eastAsia="Calibri" w:hAnsi="Verdana" w:cs="Arial"/>
          <w:lang w:val="es-ES" w:eastAsia="es-ES" w:bidi="es-ES"/>
        </w:rPr>
        <w:t xml:space="preserve">Para responder al problema jurídico planteado es necesario precisar el alcance de la prohibición </w:t>
      </w:r>
      <w:r w:rsidRPr="00F43CC7">
        <w:rPr>
          <w:rFonts w:ascii="Verdana" w:eastAsia="Arial" w:hAnsi="Verdana" w:cs="Arial"/>
          <w:lang w:val="es-ES" w:eastAsia="es-ES" w:bidi="es-ES"/>
        </w:rPr>
        <w:t>establecida en e</w:t>
      </w:r>
      <w:r w:rsidRPr="00F43CC7">
        <w:rPr>
          <w:rFonts w:ascii="Verdana" w:eastAsia="Calibri" w:hAnsi="Verdana" w:cs="Arial"/>
          <w:lang w:val="es-ES"/>
        </w:rPr>
        <w:t xml:space="preserve">l </w:t>
      </w:r>
      <w:r w:rsidRPr="00F43CC7">
        <w:rPr>
          <w:rFonts w:ascii="Verdana" w:eastAsia="Times New Roman" w:hAnsi="Verdana" w:cs="Arial"/>
          <w:lang w:val="es-ES"/>
        </w:rPr>
        <w:t xml:space="preserve">artículo 33 de la Ley 996 de 2005. </w:t>
      </w:r>
      <w:r>
        <w:rPr>
          <w:rFonts w:ascii="Verdana" w:eastAsia="Century Gothic" w:hAnsi="Verdana" w:cs="Century Gothic"/>
          <w:bCs/>
          <w:lang w:val="es-ES_tradnl"/>
        </w:rPr>
        <w:t>E</w:t>
      </w:r>
      <w:r w:rsidRPr="61CFEC75">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2729AB87" w14:textId="77777777" w:rsidR="0034467D" w:rsidRPr="00C13395" w:rsidRDefault="0034467D" w:rsidP="0034467D">
      <w:pPr>
        <w:spacing w:after="0" w:line="276" w:lineRule="auto"/>
        <w:jc w:val="both"/>
        <w:rPr>
          <w:rFonts w:ascii="Verdana" w:eastAsia="Century Gothic" w:hAnsi="Verdana" w:cs="Century Gothic"/>
          <w:bCs/>
          <w:lang w:val="es-ES_tradnl"/>
        </w:rPr>
      </w:pPr>
    </w:p>
    <w:p w14:paraId="04A62AE5" w14:textId="77777777" w:rsidR="0034467D" w:rsidRPr="00C13395"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75C8464A" w14:textId="77777777" w:rsidR="0034467D" w:rsidRPr="00C13395" w:rsidRDefault="0034467D" w:rsidP="0034467D">
      <w:pPr>
        <w:spacing w:after="0" w:line="240" w:lineRule="auto"/>
        <w:ind w:left="709" w:right="709"/>
        <w:jc w:val="both"/>
        <w:rPr>
          <w:rFonts w:ascii="Verdana" w:eastAsia="Century Gothic" w:hAnsi="Verdana" w:cs="Century Gothic"/>
          <w:bCs/>
          <w:sz w:val="20"/>
          <w:szCs w:val="20"/>
          <w:lang w:val="es-ES_tradnl"/>
        </w:rPr>
      </w:pPr>
    </w:p>
    <w:p w14:paraId="1F3D8071" w14:textId="77777777" w:rsidR="0034467D" w:rsidRPr="00C13395"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w:t>
      </w:r>
      <w:r w:rsidRPr="00C13395">
        <w:rPr>
          <w:rFonts w:ascii="Verdana" w:eastAsia="Century Gothic" w:hAnsi="Verdana" w:cs="Century Gothic"/>
          <w:bCs/>
          <w:sz w:val="20"/>
          <w:szCs w:val="20"/>
          <w:lang w:val="es-ES_tradnl"/>
        </w:rPr>
        <w:lastRenderedPageBreak/>
        <w:t>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157536C3" w14:textId="77777777" w:rsidR="0034467D" w:rsidRDefault="0034467D" w:rsidP="0034467D">
      <w:pPr>
        <w:spacing w:after="0" w:line="276" w:lineRule="auto"/>
        <w:ind w:firstLine="708"/>
        <w:jc w:val="both"/>
        <w:rPr>
          <w:rFonts w:ascii="Verdana" w:eastAsia="Century Gothic" w:hAnsi="Verdana" w:cs="Century Gothic"/>
          <w:bCs/>
          <w:lang w:val="es-ES_tradnl"/>
        </w:rPr>
      </w:pPr>
    </w:p>
    <w:p w14:paraId="4CC283CC"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w:t>
      </w:r>
      <w:r>
        <w:rPr>
          <w:rFonts w:ascii="Verdana" w:eastAsia="Century Gothic" w:hAnsi="Verdana" w:cs="Century Gothic"/>
          <w:bCs/>
          <w:lang w:val="es-ES_tradnl"/>
        </w:rPr>
        <w:t xml:space="preserve">. </w:t>
      </w:r>
      <w:proofErr w:type="gramStart"/>
      <w:r>
        <w:rPr>
          <w:rFonts w:ascii="Verdana" w:eastAsia="Century Gothic" w:hAnsi="Verdana" w:cs="Century Gothic"/>
          <w:bCs/>
          <w:lang w:val="es-ES_tradnl"/>
        </w:rPr>
        <w:t>A</w:t>
      </w:r>
      <w:r w:rsidRPr="00C13395">
        <w:rPr>
          <w:rFonts w:ascii="Verdana" w:eastAsia="Century Gothic" w:hAnsi="Verdana" w:cs="Century Gothic"/>
          <w:bCs/>
          <w:lang w:val="es-ES_tradnl"/>
        </w:rPr>
        <w:t>demás</w:t>
      </w:r>
      <w:proofErr w:type="gramEnd"/>
      <w:r w:rsidRPr="00C13395">
        <w:rPr>
          <w:rFonts w:ascii="Verdana" w:eastAsia="Century Gothic" w:hAnsi="Verdana" w:cs="Century Gothic"/>
          <w:bCs/>
          <w:lang w:val="es-ES_tradnl"/>
        </w:rPr>
        <w:t xml:space="preserve"> lo es con la posterior creación de la modalidad de mínima cuantía establecida actualmente en el numeral 5 del artículo 2 de la Ley 1150 de 2007, de acuerdo con las modificaciones realizadas por leyes posteriores.</w:t>
      </w:r>
    </w:p>
    <w:p w14:paraId="5D470259"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0831F6FD"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C13395">
        <w:rPr>
          <w:rFonts w:ascii="Verdana" w:eastAsia="Century Gothic" w:hAnsi="Verdana" w:cs="Century Gothic"/>
          <w:bCs/>
          <w:lang w:val="es-ES_tradnl"/>
        </w:rPr>
        <w:lastRenderedPageBreak/>
        <w:t xml:space="preserve">inscribirse en forma previa se haga de manera pública, y que se permita la participación de una pluralidad de oferentes. </w:t>
      </w:r>
    </w:p>
    <w:p w14:paraId="7FDCF58A" w14:textId="77777777" w:rsidR="0034467D" w:rsidRPr="00C13395" w:rsidRDefault="0034467D" w:rsidP="0034467D">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5AC4A0B9"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4456C122" w14:textId="77777777" w:rsidR="0034467D" w:rsidRDefault="0034467D" w:rsidP="0034467D">
      <w:pPr>
        <w:spacing w:after="0" w:line="276" w:lineRule="auto"/>
        <w:ind w:firstLine="709"/>
        <w:jc w:val="both"/>
        <w:rPr>
          <w:rFonts w:ascii="Verdana" w:eastAsia="Century Gothic" w:hAnsi="Verdana" w:cs="Century Gothic"/>
          <w:lang w:val="es-ES"/>
        </w:rPr>
      </w:pPr>
      <w:r w:rsidRPr="61CFEC75">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4F3C0CB8" w14:textId="77777777" w:rsidR="0034467D" w:rsidRDefault="0034467D" w:rsidP="0034467D">
      <w:pPr>
        <w:spacing w:after="0" w:line="276" w:lineRule="auto"/>
        <w:ind w:firstLine="709"/>
        <w:jc w:val="both"/>
        <w:rPr>
          <w:rFonts w:ascii="Verdana" w:eastAsia="Century Gothic" w:hAnsi="Verdana" w:cs="Century Gothic"/>
          <w:lang w:val="es-ES"/>
        </w:rPr>
      </w:pPr>
    </w:p>
    <w:p w14:paraId="4DC0C0BD" w14:textId="77777777" w:rsidR="0034467D" w:rsidRPr="00F43CC7" w:rsidRDefault="0034467D" w:rsidP="0034467D">
      <w:pPr>
        <w:spacing w:after="120" w:line="276" w:lineRule="auto"/>
        <w:jc w:val="both"/>
        <w:rPr>
          <w:rFonts w:ascii="Verdana" w:hAnsi="Verdana" w:cs="Arial"/>
          <w:bCs/>
          <w:color w:val="000000" w:themeColor="text1"/>
          <w:lang w:val="es-ES"/>
        </w:rPr>
      </w:pPr>
      <w:r w:rsidRPr="00F43CC7">
        <w:rPr>
          <w:rFonts w:ascii="Verdana" w:eastAsia="Calibri" w:hAnsi="Verdana" w:cs="Arial"/>
          <w:lang w:val="es-ES"/>
        </w:rPr>
        <w:t xml:space="preserve">v) </w:t>
      </w:r>
      <w:r w:rsidRPr="00F43CC7">
        <w:rPr>
          <w:rFonts w:ascii="Verdana" w:eastAsia="Times New Roman" w:hAnsi="Verdana" w:cs="Arial"/>
          <w:lang w:val="es-ES" w:eastAsia="es-MX"/>
        </w:rPr>
        <w:t>Respecto al literal i) del artículo 2.4 de la Ley 1150 de 2011, al igual que el literal e) del derogado artículo 24.1 de la Ley 80 de 1993, el E</w:t>
      </w:r>
      <w:r>
        <w:rPr>
          <w:rFonts w:ascii="Verdana" w:eastAsia="Times New Roman" w:hAnsi="Verdana" w:cs="Arial"/>
          <w:lang w:val="es-ES" w:eastAsia="es-MX"/>
        </w:rPr>
        <w:t xml:space="preserve">statuto </w:t>
      </w:r>
      <w:r w:rsidRPr="00F43CC7">
        <w:rPr>
          <w:rFonts w:ascii="Verdana" w:eastAsia="Times New Roman" w:hAnsi="Verdana" w:cs="Arial"/>
          <w:lang w:val="es-ES" w:eastAsia="es-MX"/>
        </w:rPr>
        <w:t>G</w:t>
      </w:r>
      <w:r>
        <w:rPr>
          <w:rFonts w:ascii="Verdana" w:eastAsia="Times New Roman" w:hAnsi="Verdana" w:cs="Arial"/>
          <w:lang w:val="es-ES" w:eastAsia="es-MX"/>
        </w:rPr>
        <w:t xml:space="preserve">eneral de </w:t>
      </w:r>
      <w:r w:rsidRPr="00F43CC7">
        <w:rPr>
          <w:rFonts w:ascii="Verdana" w:eastAsia="Times New Roman" w:hAnsi="Verdana" w:cs="Arial"/>
          <w:lang w:val="es-ES" w:eastAsia="es-MX"/>
        </w:rPr>
        <w:t>C</w:t>
      </w:r>
      <w:r>
        <w:rPr>
          <w:rFonts w:ascii="Verdana" w:eastAsia="Times New Roman" w:hAnsi="Verdana" w:cs="Arial"/>
          <w:lang w:val="es-ES" w:eastAsia="es-MX"/>
        </w:rPr>
        <w:t xml:space="preserve">ontratación de la </w:t>
      </w:r>
      <w:r w:rsidRPr="00F43CC7">
        <w:rPr>
          <w:rFonts w:ascii="Verdana" w:eastAsia="Times New Roman" w:hAnsi="Verdana" w:cs="Arial"/>
          <w:lang w:val="es-ES" w:eastAsia="es-MX"/>
        </w:rPr>
        <w:t>A</w:t>
      </w:r>
      <w:r>
        <w:rPr>
          <w:rFonts w:ascii="Verdana" w:eastAsia="Times New Roman" w:hAnsi="Verdana" w:cs="Arial"/>
          <w:lang w:val="es-ES" w:eastAsia="es-MX"/>
        </w:rPr>
        <w:t xml:space="preserve">dministración </w:t>
      </w:r>
      <w:r w:rsidRPr="00F43CC7">
        <w:rPr>
          <w:rFonts w:ascii="Verdana" w:eastAsia="Times New Roman" w:hAnsi="Verdana" w:cs="Arial"/>
          <w:lang w:val="es-ES" w:eastAsia="es-MX"/>
        </w:rPr>
        <w:t>P</w:t>
      </w:r>
      <w:r>
        <w:rPr>
          <w:rFonts w:ascii="Verdana" w:eastAsia="Times New Roman" w:hAnsi="Verdana" w:cs="Arial"/>
          <w:lang w:val="es-ES" w:eastAsia="es-MX"/>
        </w:rPr>
        <w:t>ública</w:t>
      </w:r>
      <w:r w:rsidRPr="00F43CC7">
        <w:rPr>
          <w:rFonts w:ascii="Verdana" w:eastAsia="Times New Roman" w:hAnsi="Verdana" w:cs="Arial"/>
          <w:lang w:val="es-ES" w:eastAsia="es-MX"/>
        </w:rPr>
        <w:t xml:space="preserve"> permite la contratación directa tratándose de “El arrendamiento […] de inmuebles”. </w:t>
      </w:r>
      <w:r w:rsidRPr="00F43CC7">
        <w:rPr>
          <w:rFonts w:ascii="Verdana" w:hAnsi="Verdana" w:cs="Arial"/>
          <w:bCs/>
          <w:color w:val="000000" w:themeColor="text1"/>
          <w:lang w:val="es-ES"/>
        </w:rPr>
        <w:t xml:space="preserve">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w:t>
      </w:r>
      <w:r w:rsidRPr="00F43CC7">
        <w:rPr>
          <w:rFonts w:ascii="Verdana" w:hAnsi="Verdana" w:cs="Arial"/>
          <w:bCs/>
          <w:color w:val="000000" w:themeColor="text1"/>
          <w:lang w:val="es-ES"/>
        </w:rPr>
        <w:lastRenderedPageBreak/>
        <w:t>necesidades para la prestación de sus servicios. En este contexto, pueden tener tanto la calidad de arrendadoras –cuando entregan el bien a un tercero– o de arrendatarias –cuando reciben su mera tenencia–.</w:t>
      </w:r>
      <w:r w:rsidRPr="00F43CC7">
        <w:rPr>
          <w:rFonts w:ascii="Verdana" w:eastAsia="Times New Roman" w:hAnsi="Verdana" w:cs="Arial"/>
          <w:lang w:val="es-ES" w:eastAsia="es-MX"/>
        </w:rPr>
        <w:t xml:space="preserve"> </w:t>
      </w:r>
    </w:p>
    <w:p w14:paraId="76AF00F4" w14:textId="77777777" w:rsidR="0034467D" w:rsidRDefault="0034467D" w:rsidP="0034467D">
      <w:pPr>
        <w:spacing w:after="120" w:line="276" w:lineRule="auto"/>
        <w:ind w:firstLine="709"/>
        <w:jc w:val="both"/>
        <w:rPr>
          <w:rFonts w:ascii="Verdana" w:eastAsia="Times New Roman" w:hAnsi="Verdana" w:cs="Arial"/>
          <w:lang w:eastAsia="es-MX"/>
        </w:rPr>
      </w:pPr>
      <w:r w:rsidRPr="63813CF3">
        <w:rPr>
          <w:rFonts w:ascii="Verdana" w:eastAsia="Times New Roman" w:hAnsi="Verdana" w:cs="Arial"/>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únicamente al evento en el que una entidad alquila un inmueble para su servicio, es decir, se constituye en arrendataria. </w:t>
      </w:r>
      <w:r w:rsidRPr="63813CF3">
        <w:rPr>
          <w:rFonts w:ascii="Verdana" w:eastAsia="Times New Roman" w:hAnsi="Verdana" w:cs="Arial"/>
          <w:i/>
          <w:iCs/>
          <w:lang w:eastAsia="es-MX"/>
        </w:rPr>
        <w:t>Por tanto, también para el caso en el que actúa como arrendadora puede acudir a un evento especial de contratación directa</w:t>
      </w:r>
      <w:r w:rsidRPr="63813CF3">
        <w:rPr>
          <w:rFonts w:ascii="Verdana" w:eastAsia="Times New Roman" w:hAnsi="Verdana" w:cs="Arial"/>
          <w:lang w:eastAsia="es-MX"/>
        </w:rPr>
        <w:t xml:space="preserve"> […]”</w:t>
      </w:r>
      <w:r w:rsidRPr="63813CF3">
        <w:rPr>
          <w:rStyle w:val="Refdenotaalpie"/>
          <w:rFonts w:ascii="Verdana" w:eastAsia="Times New Roman" w:hAnsi="Verdana" w:cs="Arial"/>
          <w:lang w:eastAsia="es-MX"/>
        </w:rPr>
        <w:footnoteReference w:id="1"/>
      </w:r>
      <w:r w:rsidRPr="63813CF3">
        <w:rPr>
          <w:rFonts w:ascii="Verdana" w:eastAsia="Times New Roman" w:hAnsi="Verdana" w:cs="Arial"/>
          <w:lang w:eastAsia="es-MX"/>
        </w:rPr>
        <w:t xml:space="preserve"> (Énfasis fuera de texto). </w:t>
      </w:r>
    </w:p>
    <w:p w14:paraId="32C478DE" w14:textId="77777777" w:rsidR="0034467D" w:rsidRPr="00F43CC7" w:rsidRDefault="0034467D" w:rsidP="0034467D">
      <w:pPr>
        <w:spacing w:after="120" w:line="276" w:lineRule="auto"/>
        <w:ind w:firstLine="709"/>
        <w:jc w:val="both"/>
        <w:rPr>
          <w:rFonts w:ascii="Verdana" w:eastAsia="Times New Roman" w:hAnsi="Verdana" w:cs="Arial"/>
          <w:lang w:eastAsia="es-MX"/>
        </w:rPr>
      </w:pPr>
      <w:r w:rsidRPr="63813CF3">
        <w:rPr>
          <w:rFonts w:ascii="Verdana" w:eastAsia="Times New Roman" w:hAnsi="Verdana" w:cs="Arial"/>
          <w:lang w:eastAsia="es-MX"/>
        </w:rPr>
        <w:t>Dicho entendimiento tampoco cambió después de la reforma de la Ley 1150 de 2007, pues DÁVILA VINUEZA considera que “</w:t>
      </w:r>
      <w:r w:rsidRPr="63813CF3">
        <w:rPr>
          <w:rFonts w:ascii="Verdana" w:eastAsia="Times New Roman" w:hAnsi="Verdana" w:cs="Arial"/>
          <w:i/>
          <w:iCs/>
          <w:lang w:eastAsia="es-MX"/>
        </w:rPr>
        <w:t>La contratación directa está admitida tanto cuando la entidad es arrendataria como cuando es arrendadora y no se requiere obtener varias ofertas</w:t>
      </w:r>
      <w:r w:rsidRPr="63813CF3">
        <w:rPr>
          <w:rFonts w:ascii="Verdana" w:eastAsia="Times New Roman" w:hAnsi="Verdana" w:cs="Arial"/>
          <w:lang w:eastAsia="es-MX"/>
        </w:rPr>
        <w:t xml:space="preserve"> […]”</w:t>
      </w:r>
      <w:r w:rsidRPr="63813CF3">
        <w:rPr>
          <w:rStyle w:val="Refdenotaalpie"/>
          <w:rFonts w:ascii="Verdana" w:eastAsia="Times New Roman" w:hAnsi="Verdana" w:cs="Arial"/>
          <w:lang w:eastAsia="es-MX"/>
        </w:rPr>
        <w:footnoteReference w:id="2"/>
      </w:r>
      <w:r w:rsidRPr="63813CF3">
        <w:rPr>
          <w:rFonts w:ascii="Verdana" w:eastAsia="Times New Roman" w:hAnsi="Verdana" w:cs="Arial"/>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r w:rsidRPr="63813CF3">
        <w:rPr>
          <w:rStyle w:val="Refdenotaalpie"/>
          <w:rFonts w:ascii="Verdana" w:eastAsia="Times New Roman" w:hAnsi="Verdana" w:cs="Arial"/>
          <w:lang w:eastAsia="es-MX"/>
        </w:rPr>
        <w:footnoteReference w:id="3"/>
      </w:r>
      <w:r w:rsidRPr="63813CF3">
        <w:rPr>
          <w:rFonts w:ascii="Verdana" w:eastAsia="Times New Roman" w:hAnsi="Verdana" w:cs="Arial"/>
          <w:lang w:eastAsia="es-MX"/>
        </w:rPr>
        <w:t xml:space="preserve">. </w:t>
      </w:r>
    </w:p>
    <w:p w14:paraId="365DA99A" w14:textId="77777777" w:rsidR="0034467D" w:rsidRPr="00F43CC7" w:rsidRDefault="0034467D" w:rsidP="0034467D">
      <w:pPr>
        <w:spacing w:after="0" w:line="276" w:lineRule="auto"/>
        <w:ind w:firstLine="709"/>
        <w:jc w:val="both"/>
        <w:rPr>
          <w:rFonts w:ascii="Verdana" w:hAnsi="Verdana" w:cs="Arial"/>
          <w:bCs/>
          <w:color w:val="000000" w:themeColor="text1"/>
          <w:lang w:val="es-ES"/>
        </w:rPr>
      </w:pPr>
      <w:r w:rsidRPr="00F43CC7">
        <w:rPr>
          <w:rFonts w:ascii="Verdana" w:hAnsi="Verdana" w:cs="Arial"/>
          <w:bCs/>
          <w:color w:val="000000" w:themeColor="text1"/>
          <w:lang w:val="es-ES"/>
        </w:rPr>
        <w:t xml:space="preserve">Adicionalmente, el artículo 2.2.1.2.1.4.11 del Decreto 1082 de 2015 dispone que las entidades estatales pueden alquilar o arrendar inmuebles mediante contratación directa para lo cual deben seguir las siguientes reglas: </w:t>
      </w:r>
    </w:p>
    <w:p w14:paraId="42404154" w14:textId="77777777" w:rsidR="0034467D" w:rsidRPr="00F43CC7" w:rsidRDefault="0034467D" w:rsidP="0034467D">
      <w:pPr>
        <w:spacing w:after="0" w:line="276" w:lineRule="auto"/>
        <w:ind w:firstLine="709"/>
        <w:jc w:val="both"/>
        <w:rPr>
          <w:rFonts w:ascii="Verdana" w:hAnsi="Verdana" w:cs="Arial"/>
          <w:bCs/>
          <w:color w:val="000000" w:themeColor="text1"/>
          <w:lang w:val="es-ES"/>
        </w:rPr>
      </w:pPr>
    </w:p>
    <w:p w14:paraId="3616F8D3" w14:textId="77777777" w:rsidR="0034467D" w:rsidRDefault="0034467D" w:rsidP="0034467D">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“1. Verificar las condiciones del mercado inmobiliario en la ciudad en la que la Entidad Estatal requiere el inmueble.</w:t>
      </w:r>
    </w:p>
    <w:p w14:paraId="2A54912B" w14:textId="77777777" w:rsidR="0034467D" w:rsidRPr="00F43CC7" w:rsidRDefault="0034467D" w:rsidP="0034467D">
      <w:pPr>
        <w:spacing w:after="0" w:line="240" w:lineRule="auto"/>
        <w:ind w:left="709" w:right="709"/>
        <w:jc w:val="both"/>
        <w:rPr>
          <w:rFonts w:ascii="Verdana" w:eastAsia="Calibri" w:hAnsi="Verdana" w:cs="Arial"/>
          <w:sz w:val="20"/>
          <w:szCs w:val="20"/>
          <w:lang w:val="es-ES"/>
        </w:rPr>
      </w:pPr>
    </w:p>
    <w:p w14:paraId="0951E249" w14:textId="77777777" w:rsidR="0034467D" w:rsidRPr="00F43CC7" w:rsidRDefault="0034467D" w:rsidP="0034467D">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2. Analizar y comparar las condiciones de los bienes inmuebles que satisfacen las necesidades identificadas y las opciones de arrendamiento, análisis que deberá tener en cuenta los principios y objetivos del sistema de compra y contratación pública”.</w:t>
      </w:r>
    </w:p>
    <w:p w14:paraId="2562BED2" w14:textId="77777777" w:rsidR="0034467D" w:rsidRPr="00F43CC7" w:rsidRDefault="0034467D" w:rsidP="0034467D">
      <w:pPr>
        <w:spacing w:after="0" w:line="276" w:lineRule="auto"/>
        <w:ind w:firstLine="708"/>
        <w:jc w:val="both"/>
        <w:rPr>
          <w:rFonts w:ascii="Verdana" w:eastAsia="Calibri" w:hAnsi="Verdana" w:cs="Arial"/>
          <w:color w:val="000000" w:themeColor="text1"/>
          <w:lang w:val="es-ES"/>
        </w:rPr>
      </w:pPr>
    </w:p>
    <w:p w14:paraId="583F4FE3" w14:textId="77777777" w:rsidR="0034467D" w:rsidRPr="00F43CC7" w:rsidRDefault="0034467D" w:rsidP="0034467D">
      <w:pPr>
        <w:spacing w:after="120" w:line="276" w:lineRule="auto"/>
        <w:ind w:firstLine="708"/>
        <w:jc w:val="both"/>
        <w:rPr>
          <w:rFonts w:ascii="Verdana" w:eastAsia="Calibri" w:hAnsi="Verdana" w:cs="Arial"/>
          <w:lang w:val="es-ES"/>
        </w:rPr>
      </w:pPr>
      <w:r w:rsidRPr="00F43CC7">
        <w:rPr>
          <w:rFonts w:ascii="Verdana" w:eastAsia="Calibri" w:hAnsi="Verdana" w:cs="Arial"/>
          <w:lang w:val="es-ES"/>
        </w:rPr>
        <w:lastRenderedPageBreak/>
        <w:t xml:space="preserve">Para autores como GONZÁLEZ LÓPEZ, </w:t>
      </w:r>
      <w:r w:rsidRPr="00F43CC7">
        <w:rPr>
          <w:rFonts w:ascii="Verdana" w:eastAsia="Calibri" w:hAnsi="Verdana" w:cs="Arial"/>
          <w:sz w:val="20"/>
          <w:szCs w:val="20"/>
          <w:lang w:val="es-ES"/>
        </w:rPr>
        <w:t>“</w:t>
      </w:r>
      <w:r w:rsidRPr="00F43CC7">
        <w:rPr>
          <w:rFonts w:ascii="Verdana" w:eastAsia="Calibri" w:hAnsi="Verdana" w:cs="Arial"/>
          <w:lang w:val="es-ES"/>
        </w:rPr>
        <w:t xml:space="preserve">[…] la ley se refiere en forma indistinta al arrendamiento de inmuebles, mientras que el reglamento solo alude a cuando la entidad alquile o arriende inmuebles, en su calidad de arrendataria. No obstante, la falta de claridad del reglamento, cuando la ley no distingue no le corresponde al interprete distinguir y, por ende, </w:t>
      </w:r>
      <w:r w:rsidRPr="00F43CC7">
        <w:rPr>
          <w:rFonts w:ascii="Verdana" w:eastAsia="Calibri" w:hAnsi="Verdana" w:cs="Arial"/>
          <w:i/>
          <w:iCs/>
          <w:lang w:val="es-ES"/>
        </w:rPr>
        <w:t>es viable la modalidad de contratación directa siempre que se trae de un contrato de arrendamiento que suscriba una entidad estatal regulada por la Ley 80 de 1993</w:t>
      </w:r>
      <w:r w:rsidRPr="00F43CC7">
        <w:rPr>
          <w:rFonts w:ascii="Verdana" w:eastAsia="Calibri" w:hAnsi="Verdana" w:cs="Arial"/>
          <w:lang w:val="es-ES"/>
        </w:rPr>
        <w:t>”</w:t>
      </w:r>
      <w:r w:rsidRPr="00F43CC7">
        <w:rPr>
          <w:rStyle w:val="Refdenotaalpie"/>
          <w:rFonts w:ascii="Verdana" w:eastAsia="Calibri" w:hAnsi="Verdana" w:cs="Arial"/>
          <w:lang w:val="es-ES"/>
        </w:rPr>
        <w:footnoteReference w:id="4"/>
      </w:r>
      <w:r w:rsidRPr="00F43CC7">
        <w:rPr>
          <w:rFonts w:ascii="Verdana" w:eastAsia="Calibri" w:hAnsi="Verdana" w:cs="Arial"/>
          <w:lang w:val="es-ES"/>
        </w:rPr>
        <w:t xml:space="preserve"> (Énfasis fuera de texto).</w:t>
      </w:r>
    </w:p>
    <w:p w14:paraId="0FE889E4" w14:textId="77777777" w:rsidR="0034467D" w:rsidRDefault="0034467D" w:rsidP="0034467D">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sz w:val="22"/>
          <w:szCs w:val="22"/>
          <w:lang w:val="es-ES"/>
        </w:rPr>
      </w:pPr>
      <w:r>
        <w:rPr>
          <w:rFonts w:ascii="Verdana" w:eastAsia="Calibri" w:hAnsi="Verdana" w:cs="Arial"/>
          <w:sz w:val="22"/>
          <w:szCs w:val="22"/>
          <w:lang w:val="es-ES"/>
        </w:rPr>
        <w:t xml:space="preserve">Por otro lado, </w:t>
      </w:r>
      <w:r w:rsidRPr="00F43CC7">
        <w:rPr>
          <w:rFonts w:ascii="Verdana" w:eastAsia="Calibri" w:hAnsi="Verdana" w:cs="Arial"/>
          <w:sz w:val="22"/>
          <w:szCs w:val="22"/>
          <w:lang w:val="es-ES"/>
        </w:rPr>
        <w:t>RICO PUERTA sostiene la misma opinión, pero agrega que “[…] no existe prohibición legal para que, en los eventos en los que la entidad estatal actúa como arrendadora pueda adelantar una convocatoria pública para obtener las mejores condiciones en el negocio y para garantizar el principio de libre concurrencia”</w:t>
      </w:r>
      <w:r w:rsidRPr="00F43CC7">
        <w:rPr>
          <w:rStyle w:val="Refdenotaalpie"/>
          <w:rFonts w:ascii="Verdana" w:eastAsia="Calibri" w:hAnsi="Verdana" w:cs="Arial"/>
          <w:sz w:val="22"/>
          <w:szCs w:val="22"/>
          <w:lang w:val="es-ES"/>
        </w:rPr>
        <w:footnoteReference w:id="5"/>
      </w:r>
      <w:r w:rsidRPr="00F43CC7">
        <w:rPr>
          <w:rFonts w:ascii="Verdana" w:eastAsia="Calibri" w:hAnsi="Verdana" w:cs="Arial"/>
          <w:sz w:val="22"/>
          <w:szCs w:val="22"/>
          <w:lang w:val="es-ES"/>
        </w:rPr>
        <w:t>. Aunque existe la discusión sobre la conveniencia de esta postura, lo cierto es que –dentro del marco normativo vigente– las entidades públicas son autónomas y responsables tanto de la estructuración de sus procesos de contratación como de determinar la modalidad de selección aplicable para suplir sus necesidades</w:t>
      </w:r>
      <w:r w:rsidRPr="00F43CC7">
        <w:rPr>
          <w:rStyle w:val="Refdenotaalpie"/>
          <w:rFonts w:ascii="Verdana" w:eastAsia="Calibri" w:hAnsi="Verdana" w:cs="Arial"/>
          <w:sz w:val="22"/>
          <w:szCs w:val="22"/>
          <w:lang w:val="es-ES"/>
        </w:rPr>
        <w:footnoteReference w:id="6"/>
      </w:r>
      <w:r w:rsidRPr="00F43CC7">
        <w:rPr>
          <w:rFonts w:ascii="Verdana" w:eastAsia="Calibri" w:hAnsi="Verdana" w:cs="Arial"/>
          <w:sz w:val="22"/>
          <w:szCs w:val="22"/>
          <w:lang w:val="es-ES"/>
        </w:rPr>
        <w:t>.</w:t>
      </w:r>
    </w:p>
    <w:p w14:paraId="6778EB2B" w14:textId="0F071AE9" w:rsidR="009E250E" w:rsidRPr="009E250E" w:rsidRDefault="0034467D" w:rsidP="009E250E">
      <w:pPr>
        <w:spacing w:after="120" w:line="276" w:lineRule="auto"/>
        <w:jc w:val="both"/>
        <w:rPr>
          <w:rFonts w:ascii="Verdana" w:eastAsia="Century Gothic" w:hAnsi="Verdana" w:cs="Century Gothic"/>
          <w:lang w:val="es-ES"/>
        </w:rPr>
      </w:pPr>
      <w:r w:rsidRPr="00584C67">
        <w:rPr>
          <w:rFonts w:ascii="Verdana" w:hAnsi="Verdana" w:cs="Segoe UI"/>
        </w:rPr>
        <w:t xml:space="preserve">En este contexto es preciso señalar —como adición al análisis anterior— que la causal de contratación directa prevista en la Ley 1150 permite su utilización </w:t>
      </w:r>
      <w:r w:rsidRPr="000E6C92">
        <w:rPr>
          <w:rStyle w:val="Fuerte"/>
          <w:rFonts w:ascii="Verdana" w:hAnsi="Verdana" w:cs="Segoe UI"/>
        </w:rPr>
        <w:lastRenderedPageBreak/>
        <w:t>tanto cuando la entidad actúa como arrendadora como cuando actúa como arrendataria</w:t>
      </w:r>
      <w:r w:rsidRPr="0024671C">
        <w:rPr>
          <w:rFonts w:ascii="Verdana" w:hAnsi="Verdana" w:cs="Segoe UI"/>
        </w:rPr>
        <w:t xml:space="preserve">, incluido el supuesto planteado para consideración. No obstante, tal modalidad de selección se encuentra </w:t>
      </w:r>
      <w:r w:rsidRPr="000E6C92">
        <w:rPr>
          <w:rStyle w:val="Fuerte"/>
          <w:rFonts w:ascii="Verdana" w:hAnsi="Verdana" w:cs="Segoe UI"/>
        </w:rPr>
        <w:t>proscrita durante los cuatro (4) meses anteriores a las elecciones presidenciales</w:t>
      </w:r>
      <w:r w:rsidRPr="0024671C">
        <w:rPr>
          <w:rFonts w:ascii="Verdana" w:hAnsi="Verdana" w:cs="Segoe UI"/>
        </w:rPr>
        <w:t xml:space="preserve">, en los términos del artículo 33 de la Ley 996 de 2005, razón por la cual </w:t>
      </w:r>
      <w:r w:rsidRPr="000E6C92">
        <w:rPr>
          <w:rStyle w:val="Fuerte"/>
          <w:rFonts w:ascii="Verdana" w:hAnsi="Verdana" w:cs="Segoe UI"/>
        </w:rPr>
        <w:t>no es posible celebrar contratos de arrendamiento mediante contratación directa en dicho periodo</w:t>
      </w:r>
      <w:r w:rsidRPr="0024671C">
        <w:rPr>
          <w:rFonts w:ascii="Verdana" w:hAnsi="Verdana" w:cs="Segoe UI"/>
        </w:rPr>
        <w:t>,</w:t>
      </w:r>
      <w:r w:rsidRPr="00584C67">
        <w:rPr>
          <w:rFonts w:ascii="Verdana" w:hAnsi="Verdana" w:cs="Segoe UI"/>
        </w:rPr>
        <w:t xml:space="preserve"> salvo que el caso concreto se enmarque en alguna de las </w:t>
      </w:r>
      <w:r w:rsidRPr="009E250E">
        <w:rPr>
          <w:rFonts w:ascii="Verdana" w:eastAsia="Century Gothic" w:hAnsi="Verdana" w:cs="Century Gothic"/>
          <w:lang w:val="es-ES"/>
        </w:rPr>
        <w:t>excepciones taxativamente señaladas en la norma.</w:t>
      </w:r>
    </w:p>
    <w:p w14:paraId="7C03FE0C" w14:textId="77777777" w:rsidR="0034467D" w:rsidRDefault="0034467D" w:rsidP="0034467D">
      <w:pPr>
        <w:spacing w:after="120" w:line="276" w:lineRule="auto"/>
        <w:jc w:val="both"/>
        <w:rPr>
          <w:rFonts w:ascii="Verdana" w:eastAsia="Century Gothic" w:hAnsi="Verdana" w:cs="Century Gothic"/>
          <w:lang w:val="es-ES"/>
        </w:rPr>
      </w:pPr>
      <w:r>
        <w:rPr>
          <w:rFonts w:ascii="Verdana" w:eastAsia="Century Gothic" w:hAnsi="Verdana" w:cs="Century Gothic"/>
          <w:lang w:val="es-ES"/>
        </w:rPr>
        <w:t>vi) Ahora bien</w:t>
      </w:r>
      <w:r w:rsidRPr="122F1934">
        <w:rPr>
          <w:rFonts w:ascii="Verdana" w:eastAsia="Century Gothic" w:hAnsi="Verdana" w:cs="Century Gothic"/>
          <w:lang w:val="es-ES"/>
        </w:rPr>
        <w:t>, las excepciones a la restricción prevista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Pr="00551BFA">
        <w:rPr>
          <w:rFonts w:ascii="Verdana" w:eastAsia="Century Gothic" w:hAnsi="Verdana" w:cs="Century Gothic"/>
          <w:i/>
          <w:iCs/>
          <w:lang w:val="es-ES"/>
        </w:rPr>
        <w:t>) la defensa y seguridad del Estado;</w:t>
      </w:r>
      <w:r w:rsidRPr="122F1934">
        <w:rPr>
          <w:rFonts w:ascii="Verdana" w:eastAsia="Century Gothic" w:hAnsi="Verdana" w:cs="Century Gothic"/>
          <w:lang w:val="es-ES"/>
        </w:rPr>
        <w:t xml:space="preserve">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los contratos de crédito público; </w:t>
      </w:r>
      <w:proofErr w:type="spellStart"/>
      <w:r w:rsidRPr="122F1934">
        <w:rPr>
          <w:rFonts w:ascii="Verdana" w:eastAsia="Century Gothic" w:hAnsi="Verdana" w:cs="Century Gothic"/>
          <w:lang w:val="es-ES"/>
        </w:rPr>
        <w:t>iii</w:t>
      </w:r>
      <w:proofErr w:type="spellEnd"/>
      <w:r w:rsidRPr="122F1934">
        <w:rPr>
          <w:rFonts w:ascii="Verdana" w:eastAsia="Century Gothic" w:hAnsi="Verdana" w:cs="Century Gothic"/>
          <w:lang w:val="es-ES"/>
        </w:rPr>
        <w:t xml:space="preserve">) los requeridos para cubrir las emergencias educativas, sanitarias y desastres;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403607D9" w14:textId="77777777" w:rsidR="0034467D" w:rsidRPr="00C13395" w:rsidRDefault="0034467D" w:rsidP="0034467D">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Conforme a las anteriores causales de excepción, e</w:t>
      </w:r>
      <w:r w:rsidRPr="122F1934">
        <w:rPr>
          <w:rFonts w:ascii="Verdana" w:eastAsia="Century Gothic" w:hAnsi="Verdana" w:cs="Century Gothic"/>
          <w:lang w:val="es-ES"/>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3D7E27A"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señalado que las excepciones a la restricción protegen diversos tipos de urgencias de defensa, salud, educación, infraestructura vial y de servicios públicos y ecológicas, que tienden a no limitar desproporcionadamente la acción </w:t>
      </w:r>
      <w:r w:rsidRPr="00C13395">
        <w:rPr>
          <w:rFonts w:ascii="Verdana" w:eastAsia="Century Gothic" w:hAnsi="Verdana" w:cs="Century Gothic"/>
          <w:bCs/>
          <w:lang w:val="es-ES_tradnl"/>
        </w:rPr>
        <w:lastRenderedPageBreak/>
        <w:t>del Estado en el cumplimiento de sus fines, en procura de la igualdad entre los candidatos como garantía electoral.</w:t>
      </w:r>
    </w:p>
    <w:p w14:paraId="3C184992" w14:textId="77777777" w:rsidR="0034467D" w:rsidRPr="00DB1EBD" w:rsidRDefault="0034467D" w:rsidP="0034467D">
      <w:pPr>
        <w:spacing w:after="120" w:line="276" w:lineRule="auto"/>
        <w:ind w:firstLine="708"/>
        <w:jc w:val="both"/>
        <w:rPr>
          <w:rFonts w:ascii="Verdana" w:eastAsia="Century Gothic" w:hAnsi="Verdana" w:cs="Century Gothic"/>
          <w:bCs/>
          <w:lang w:val="es-ES_tradnl"/>
        </w:rPr>
      </w:pPr>
      <w:r w:rsidRPr="00551BFA">
        <w:rPr>
          <w:rFonts w:ascii="Verdana" w:hAnsi="Verdana" w:cs="Arial"/>
          <w:color w:val="000000" w:themeColor="text1"/>
          <w:lang w:val="es-ES"/>
        </w:rPr>
        <w:t xml:space="preserve">Precisamente, en lo que respecta a estas excepciones, el segundo inciso del artículo 33 de la Ley 996 de 2005, como acaba de plantearse, establece que la prohibición de la contratación directa no se aplicará en lo referente a la “defensa y seguridad del Estado; expresión que </w:t>
      </w:r>
      <w:r>
        <w:rPr>
          <w:rFonts w:ascii="Verdana" w:hAnsi="Verdana" w:cs="Arial"/>
          <w:color w:val="000000" w:themeColor="text1"/>
          <w:lang w:val="es-ES"/>
        </w:rPr>
        <w:t xml:space="preserve">usted sugiere en su consulta </w:t>
      </w:r>
      <w:r w:rsidRPr="00551BFA">
        <w:rPr>
          <w:rFonts w:ascii="Verdana" w:hAnsi="Verdana" w:cs="Arial"/>
          <w:color w:val="000000" w:themeColor="text1"/>
          <w:lang w:val="es-ES"/>
        </w:rPr>
        <w:t>puede relacionarse con la consulta bajo análisis.</w:t>
      </w:r>
    </w:p>
    <w:p w14:paraId="0ACB4B92" w14:textId="77777777" w:rsidR="0034467D" w:rsidRDefault="0034467D" w:rsidP="0034467D">
      <w:pPr>
        <w:spacing w:after="120" w:line="276" w:lineRule="auto"/>
        <w:ind w:firstLine="709"/>
        <w:jc w:val="both"/>
        <w:rPr>
          <w:rFonts w:ascii="Verdana" w:eastAsia="Calibri" w:hAnsi="Verdana" w:cs="Arial"/>
          <w:bCs/>
          <w:color w:val="000000" w:themeColor="text1"/>
          <w:lang w:val="es-ES_tradnl"/>
        </w:rPr>
      </w:pPr>
      <w:r w:rsidRPr="00551BFA">
        <w:rPr>
          <w:rFonts w:ascii="Verdana" w:hAnsi="Verdana" w:cs="Arial"/>
          <w:color w:val="000000" w:themeColor="text1"/>
          <w:lang w:val="es-ES_tradnl"/>
        </w:rPr>
        <w:t>Haciendo, previamente, la salvedad, de que la competencia consultiva de la Agencia Nacional de Contratación Pública – Colombia Compra Eficiente se circunscribe a la interpretación, en abstracto, de normas de alcance general que hagan parte del Sistema de Compras y Contratación Pública</w:t>
      </w:r>
      <w:r w:rsidRPr="00551BFA">
        <w:rPr>
          <w:rStyle w:val="Refdenotaalpie"/>
          <w:rFonts w:ascii="Verdana" w:hAnsi="Verdana"/>
        </w:rPr>
        <w:footnoteReference w:id="7"/>
      </w:r>
      <w:r w:rsidRPr="00551BFA">
        <w:rPr>
          <w:rFonts w:ascii="Verdana" w:hAnsi="Verdana" w:cs="Arial"/>
          <w:color w:val="000000" w:themeColor="text1"/>
          <w:lang w:val="es-ES_tradnl"/>
        </w:rPr>
        <w:t xml:space="preserve">, y que, por tanto, no puede asesorar a las entidades estatales en decisiones contractuales particulares, se aclara que la expresión </w:t>
      </w:r>
      <w:r>
        <w:rPr>
          <w:rFonts w:ascii="Verdana" w:hAnsi="Verdana" w:cs="Arial"/>
          <w:color w:val="000000" w:themeColor="text1"/>
          <w:lang w:val="es-ES_tradnl"/>
        </w:rPr>
        <w:t>“</w:t>
      </w:r>
      <w:r w:rsidRPr="00551BFA">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 contenida en el segundo inciso del artículo 33 de la Ley 996 de 2005, es un </w:t>
      </w:r>
      <w:r w:rsidRPr="00551BFA">
        <w:rPr>
          <w:rFonts w:ascii="Verdana" w:hAnsi="Verdana" w:cs="Arial"/>
          <w:i/>
          <w:iCs/>
          <w:color w:val="000000" w:themeColor="text1"/>
          <w:lang w:val="es-ES_tradnl"/>
        </w:rPr>
        <w:t>concepto jurídico indeterminado</w:t>
      </w:r>
      <w:r w:rsidRPr="00551BFA">
        <w:rPr>
          <w:rStyle w:val="Refdenotaalpie"/>
          <w:rFonts w:ascii="Verdana" w:eastAsia="Calibri" w:hAnsi="Verdana"/>
        </w:rPr>
        <w:footnoteReference w:id="8"/>
      </w:r>
      <w:r w:rsidRPr="00551BFA">
        <w:rPr>
          <w:rFonts w:ascii="Verdana" w:eastAsia="Calibri" w:hAnsi="Verdana" w:cs="Arial"/>
          <w:bCs/>
          <w:color w:val="000000" w:themeColor="text1"/>
          <w:lang w:val="es-ES_tradnl"/>
        </w:rPr>
        <w:t xml:space="preserve">. </w:t>
      </w:r>
    </w:p>
    <w:p w14:paraId="341ED83D" w14:textId="77777777" w:rsidR="0034467D" w:rsidRDefault="0034467D" w:rsidP="0034467D">
      <w:pPr>
        <w:spacing w:after="120" w:line="276" w:lineRule="auto"/>
        <w:ind w:firstLine="709"/>
        <w:jc w:val="both"/>
        <w:rPr>
          <w:rFonts w:ascii="Verdana" w:eastAsia="Arial" w:hAnsi="Verdana" w:cs="Arial"/>
          <w:color w:val="000000" w:themeColor="text1"/>
          <w:lang w:val="es-ES_tradnl"/>
        </w:rPr>
      </w:pPr>
      <w:r w:rsidRPr="00551BFA">
        <w:rPr>
          <w:rFonts w:ascii="Verdana" w:eastAsia="Arial" w:hAnsi="Verdana" w:cs="Arial"/>
          <w:color w:val="000000" w:themeColor="text1"/>
          <w:lang w:val="es-ES_tradnl"/>
        </w:rPr>
        <w:t xml:space="preserve">Un concepto adquiere </w:t>
      </w:r>
      <w:r>
        <w:rPr>
          <w:rFonts w:ascii="Verdana" w:eastAsia="Arial" w:hAnsi="Verdana" w:cs="Arial"/>
          <w:color w:val="000000" w:themeColor="text1"/>
          <w:lang w:val="es-ES_tradnl"/>
        </w:rPr>
        <w:t>l</w:t>
      </w:r>
      <w:r w:rsidRPr="00551BFA">
        <w:rPr>
          <w:rFonts w:ascii="Verdana" w:eastAsia="Arial" w:hAnsi="Verdana" w:cs="Arial"/>
          <w:color w:val="000000" w:themeColor="text1"/>
          <w:lang w:val="es-ES_tradnl"/>
        </w:rPr>
        <w:t xml:space="preserve">a denominación </w:t>
      </w:r>
      <w:r>
        <w:rPr>
          <w:rFonts w:ascii="Verdana" w:eastAsia="Arial" w:hAnsi="Verdana" w:cs="Arial"/>
          <w:color w:val="000000" w:themeColor="text1"/>
          <w:lang w:val="es-ES_tradnl"/>
        </w:rPr>
        <w:t xml:space="preserve">de indeterminado </w:t>
      </w:r>
      <w:r w:rsidRPr="00551BFA">
        <w:rPr>
          <w:rFonts w:ascii="Verdana" w:eastAsia="Arial" w:hAnsi="Verdana" w:cs="Arial"/>
          <w:color w:val="000000" w:themeColor="text1"/>
          <w:lang w:val="es-ES_tradnl"/>
        </w:rPr>
        <w:t xml:space="preserve">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w:t>
      </w:r>
    </w:p>
    <w:p w14:paraId="1E5A587B" w14:textId="77777777" w:rsidR="0034467D" w:rsidRPr="00551BFA" w:rsidRDefault="0034467D" w:rsidP="0034467D">
      <w:pPr>
        <w:spacing w:after="120" w:line="276" w:lineRule="auto"/>
        <w:ind w:firstLine="709"/>
        <w:jc w:val="both"/>
        <w:rPr>
          <w:rFonts w:ascii="Verdana" w:eastAsia="Arial" w:hAnsi="Verdana" w:cs="Arial"/>
          <w:color w:val="000000" w:themeColor="text1"/>
          <w:lang w:val="es-ES_tradnl"/>
        </w:rPr>
      </w:pPr>
      <w:r w:rsidRPr="00551BFA">
        <w:rPr>
          <w:rFonts w:ascii="Verdana" w:eastAsia="Arial" w:hAnsi="Verdana" w:cs="Arial"/>
          <w:color w:val="000000" w:themeColor="text1"/>
          <w:lang w:val="es-ES_tradnl"/>
        </w:rPr>
        <w:t>La Corte Constitucional</w:t>
      </w:r>
      <w:r w:rsidRPr="00551BFA">
        <w:rPr>
          <w:rStyle w:val="Refdenotaalpie"/>
          <w:rFonts w:ascii="Verdana" w:eastAsia="Arial" w:hAnsi="Verdana"/>
        </w:rPr>
        <w:footnoteReference w:id="9"/>
      </w:r>
      <w:r w:rsidRPr="00551BFA">
        <w:rPr>
          <w:rFonts w:ascii="Verdana" w:eastAsia="Arial" w:hAnsi="Verdana" w:cs="Arial"/>
          <w:color w:val="000000" w:themeColor="text1"/>
          <w:lang w:val="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p>
    <w:p w14:paraId="0B0122A1" w14:textId="77777777" w:rsidR="0034467D" w:rsidRPr="00551BFA" w:rsidRDefault="0034467D" w:rsidP="0034467D">
      <w:pPr>
        <w:spacing w:after="120" w:line="276" w:lineRule="auto"/>
        <w:ind w:firstLine="709"/>
        <w:jc w:val="both"/>
        <w:rPr>
          <w:rFonts w:ascii="Verdana" w:hAnsi="Verdana" w:cs="Arial"/>
          <w:color w:val="000000" w:themeColor="text1"/>
          <w:lang w:val="es-ES_tradnl"/>
        </w:rPr>
      </w:pPr>
      <w:r w:rsidRPr="00551BFA">
        <w:rPr>
          <w:rFonts w:ascii="Verdana" w:eastAsia="Arial" w:hAnsi="Verdana" w:cs="Arial"/>
          <w:color w:val="000000" w:themeColor="text1"/>
          <w:lang w:val="es-ES_tradnl"/>
        </w:rPr>
        <w:t xml:space="preserve">El Consejo de Estado, en varios pronunciamientos, ha admitido el carácter indeterminado de los conceptos </w:t>
      </w:r>
      <w:r>
        <w:rPr>
          <w:rFonts w:ascii="Verdana" w:hAnsi="Verdana" w:cs="Arial"/>
          <w:color w:val="000000" w:themeColor="text1"/>
          <w:lang w:val="es-ES_tradnl"/>
        </w:rPr>
        <w:t>“</w:t>
      </w:r>
      <w:r w:rsidRPr="00551BFA">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 y </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defensa y </w:t>
      </w:r>
      <w:r w:rsidRPr="00551BFA">
        <w:rPr>
          <w:rFonts w:ascii="Verdana" w:hAnsi="Verdana" w:cs="Arial"/>
          <w:color w:val="000000" w:themeColor="text1"/>
          <w:lang w:val="es-ES_tradnl"/>
        </w:rPr>
        <w:lastRenderedPageBreak/>
        <w:t>seguridad nacional</w:t>
      </w:r>
      <w:r>
        <w:rPr>
          <w:rFonts w:ascii="Verdana" w:hAnsi="Verdana" w:cs="Arial"/>
          <w:color w:val="000000" w:themeColor="text1"/>
          <w:lang w:val="es-ES_tradnl"/>
        </w:rPr>
        <w:t>”</w:t>
      </w:r>
      <w:r w:rsidRPr="00551BFA">
        <w:rPr>
          <w:rFonts w:ascii="Verdana" w:hAnsi="Verdana" w:cs="Arial"/>
          <w:color w:val="000000" w:themeColor="text1"/>
          <w:lang w:val="es-ES_tradnl"/>
        </w:rPr>
        <w:t>, en las normas de contratación pública que se refieren a aquellos, incluida la del artículo 33 de la Ley 996 de 2005. A modo enunciativo, conviene referirse a algunas de dichas providencias:</w:t>
      </w:r>
    </w:p>
    <w:p w14:paraId="459A39F4" w14:textId="77777777" w:rsidR="0034467D" w:rsidRPr="00551BFA" w:rsidRDefault="0034467D" w:rsidP="0034467D">
      <w:pPr>
        <w:spacing w:before="120" w:after="0" w:line="276" w:lineRule="auto"/>
        <w:ind w:firstLine="709"/>
        <w:jc w:val="both"/>
        <w:rPr>
          <w:rFonts w:ascii="Verdana" w:hAnsi="Verdana" w:cs="Arial"/>
          <w:color w:val="000000" w:themeColor="text1"/>
          <w:lang w:val="es-ES_tradnl"/>
        </w:rPr>
      </w:pPr>
      <w:r w:rsidRPr="00551BFA">
        <w:rPr>
          <w:rFonts w:ascii="Verdana" w:hAnsi="Verdana" w:cs="Arial"/>
          <w:color w:val="000000" w:themeColor="text1"/>
          <w:lang w:val="es-ES_tradnl"/>
        </w:rPr>
        <w:t>En concepto del 30 de enero de 1997, la Sala de Consulta y Servicio Civil indicó que</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 </w:t>
      </w:r>
      <w:r>
        <w:rPr>
          <w:rFonts w:ascii="Verdana" w:hAnsi="Verdana" w:cs="Arial"/>
          <w:color w:val="000000" w:themeColor="text1"/>
          <w:lang w:val="es-ES_tradnl"/>
        </w:rPr>
        <w:t>“</w:t>
      </w:r>
      <w:r w:rsidRPr="00551BFA">
        <w:rPr>
          <w:rFonts w:ascii="Verdana" w:hAnsi="Verdana" w:cs="Arial"/>
          <w:color w:val="000000" w:themeColor="text1"/>
          <w:lang w:val="es-ES_tradnl"/>
        </w:rPr>
        <w:t>El ramo de seguridad, perteneciente a la administración pública, comprende las actividades que velan por la seguridad de los habitantes del territorio del Estado. Su finalidad es la detectar las amenazas que puedan perturbar el orden público, afectar intereses nacionales o desestabilizar las instituciones políticas vigentes. Por tanto, tiene un carácter eminentemente preventivo</w:t>
      </w:r>
      <w:r>
        <w:rPr>
          <w:rFonts w:ascii="Verdana" w:hAnsi="Verdana" w:cs="Arial"/>
          <w:color w:val="000000" w:themeColor="text1"/>
          <w:lang w:val="es-ES_tradnl"/>
        </w:rPr>
        <w:t>”</w:t>
      </w:r>
      <w:r w:rsidRPr="00551BFA">
        <w:rPr>
          <w:rStyle w:val="Refdenotaalpie"/>
          <w:rFonts w:ascii="Verdana" w:hAnsi="Verdana"/>
        </w:rPr>
        <w:footnoteReference w:id="10"/>
      </w:r>
      <w:r w:rsidRPr="00551BFA">
        <w:rPr>
          <w:rFonts w:ascii="Verdana" w:hAnsi="Verdana" w:cs="Arial"/>
          <w:color w:val="000000" w:themeColor="text1"/>
          <w:lang w:val="es-ES_tradnl"/>
        </w:rPr>
        <w:t>. Y agregó:</w:t>
      </w:r>
    </w:p>
    <w:p w14:paraId="48AE19B6" w14:textId="77777777" w:rsidR="0034467D" w:rsidRPr="00551BFA" w:rsidRDefault="0034467D" w:rsidP="0034467D">
      <w:pPr>
        <w:spacing w:after="0"/>
        <w:ind w:left="709" w:right="709"/>
        <w:jc w:val="both"/>
        <w:rPr>
          <w:rFonts w:ascii="Verdana" w:hAnsi="Verdana" w:cs="Arial"/>
          <w:color w:val="000000" w:themeColor="text1"/>
          <w:lang w:val="es-ES_tradnl"/>
        </w:rPr>
      </w:pPr>
    </w:p>
    <w:p w14:paraId="5A1D2D50" w14:textId="77777777" w:rsidR="0034467D" w:rsidRPr="00551BFA" w:rsidRDefault="0034467D" w:rsidP="0034467D">
      <w:pPr>
        <w:spacing w:after="0" w:line="240" w:lineRule="auto"/>
        <w:ind w:left="709" w:right="709"/>
        <w:jc w:val="both"/>
        <w:rPr>
          <w:rFonts w:ascii="Verdana" w:hAnsi="Verdana" w:cs="Arial"/>
          <w:color w:val="000000" w:themeColor="text1"/>
          <w:sz w:val="20"/>
          <w:szCs w:val="20"/>
          <w:lang w:val="es-ES_tradnl"/>
        </w:rPr>
      </w:pPr>
      <w:r w:rsidRPr="00551BFA">
        <w:rPr>
          <w:rFonts w:ascii="Verdana" w:hAnsi="Verdana" w:cs="Arial"/>
          <w:color w:val="000000" w:themeColor="text1"/>
          <w:sz w:val="20"/>
          <w:szCs w:val="20"/>
          <w:lang w:val="es-ES_tradnl"/>
        </w:rPr>
        <w:t>De manera que, aunque disímiles, los conceptos de seguridad y de defensa nacional se complementan para el cumplimiento de fines esenciales del Estado, como que ambos conforman sectores de la administración pública íntimamente relacionados. Al sector seguridad corresponde "asegurar la convivencia pacífica y la vigencia de un orden justo", mientras que al sector defensa compete "defender la independencia nacional y mantener la integridad territorial", para utilizar expresiones que pertenecen a la terminología empleada por el artículo 2</w:t>
      </w:r>
      <w:r w:rsidRPr="00551BFA">
        <w:rPr>
          <w:rFonts w:ascii="Verdana" w:hAnsi="Verdana" w:cs="Arial"/>
          <w:color w:val="000000" w:themeColor="text1"/>
          <w:sz w:val="20"/>
          <w:szCs w:val="20"/>
          <w:vertAlign w:val="superscript"/>
          <w:lang w:val="es-ES_tradnl"/>
        </w:rPr>
        <w:t>o</w:t>
      </w:r>
      <w:r w:rsidRPr="00551BFA">
        <w:rPr>
          <w:rFonts w:ascii="Verdana" w:hAnsi="Verdana" w:cs="Arial"/>
          <w:color w:val="000000" w:themeColor="text1"/>
          <w:sz w:val="20"/>
          <w:szCs w:val="20"/>
          <w:lang w:val="es-ES_tradnl"/>
        </w:rPr>
        <w:t>. de la Constitución. Por lo demás, la primera noción implica un campo de acción de naturaleza preventivo, encomendado a instituciones y cuerpos de naturaleza civil. La segunda requiere de medidas de protección e inclusive acciones de carácter bélico, para lo cual se han organizado instituciones y cuerpos de naturaleza militar</w:t>
      </w:r>
      <w:r w:rsidRPr="00551BFA">
        <w:rPr>
          <w:rStyle w:val="Refdenotaalpie"/>
          <w:rFonts w:ascii="Verdana" w:hAnsi="Verdana"/>
          <w:sz w:val="20"/>
          <w:szCs w:val="20"/>
        </w:rPr>
        <w:footnoteReference w:id="11"/>
      </w:r>
      <w:r w:rsidRPr="00551BFA">
        <w:rPr>
          <w:rFonts w:ascii="Verdana" w:hAnsi="Verdana" w:cs="Arial"/>
          <w:color w:val="000000" w:themeColor="text1"/>
          <w:sz w:val="20"/>
          <w:szCs w:val="20"/>
          <w:lang w:val="es-ES_tradnl"/>
        </w:rPr>
        <w:t>.</w:t>
      </w:r>
    </w:p>
    <w:p w14:paraId="2C6039DE"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p>
    <w:p w14:paraId="0298D165" w14:textId="77777777" w:rsidR="0034467D" w:rsidRPr="00551BFA" w:rsidRDefault="0034467D" w:rsidP="0034467D">
      <w:pPr>
        <w:spacing w:line="276" w:lineRule="auto"/>
        <w:ind w:firstLine="709"/>
        <w:jc w:val="both"/>
        <w:rPr>
          <w:rFonts w:ascii="Verdana" w:hAnsi="Verdana" w:cs="Arial"/>
          <w:color w:val="000000" w:themeColor="text1"/>
          <w:lang w:val="es-ES"/>
        </w:rPr>
      </w:pPr>
      <w:r w:rsidRPr="00551BFA">
        <w:rPr>
          <w:rFonts w:ascii="Verdana" w:hAnsi="Verdana" w:cs="Arial"/>
          <w:color w:val="000000" w:themeColor="text1"/>
          <w:lang w:val="es-ES_tradnl"/>
        </w:rPr>
        <w:t>En concepto del 15 de diciembre de 2005, la Sala de Consulta y Servicio Civil señaló que</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 </w:t>
      </w:r>
      <w:r>
        <w:rPr>
          <w:rFonts w:ascii="Verdana" w:hAnsi="Verdana" w:cs="Arial"/>
          <w:color w:val="000000" w:themeColor="text1"/>
          <w:lang w:val="es-ES_tradnl"/>
        </w:rPr>
        <w:t>“</w:t>
      </w:r>
      <w:r w:rsidRPr="00551BFA">
        <w:rPr>
          <w:rFonts w:ascii="Verdana" w:hAnsi="Verdana" w:cs="Arial"/>
          <w:lang w:val="es-ES" w:eastAsia="es-ES"/>
        </w:rPr>
        <w:t xml:space="preserve">[…] </w:t>
      </w:r>
      <w:r w:rsidRPr="00551BFA">
        <w:rPr>
          <w:rFonts w:ascii="Verdana" w:hAnsi="Verdana" w:cs="Arial"/>
          <w:color w:val="000000" w:themeColor="text1"/>
          <w:lang w:val="es-ES"/>
        </w:rPr>
        <w:t>la creación de los cargos de Inspector de Seguridad Aérea en la Unidad Administrativa Especial de la Aeronáutica Civil, y su posterior provisión, por relacionarse con la incorporación de un personal necesario para la seguridad aérea, la cual constituye un aspecto de la seguridad del Estado, se encuentra dentro de la excepción mencionada por el artículo 33 de la ley 996 de 2005, y en consecuencia, resulta viable la expedición del decreto de creación de dichos cargos en la planta de personal de la entidad</w:t>
      </w:r>
      <w:r>
        <w:rPr>
          <w:rFonts w:ascii="Verdana" w:hAnsi="Verdana" w:cs="Arial"/>
          <w:color w:val="000000" w:themeColor="text1"/>
          <w:lang w:val="es-ES"/>
        </w:rPr>
        <w:t>”</w:t>
      </w:r>
      <w:r w:rsidRPr="00551BFA">
        <w:rPr>
          <w:rStyle w:val="Refdenotaalpie"/>
          <w:rFonts w:ascii="Verdana" w:hAnsi="Verdana"/>
        </w:rPr>
        <w:footnoteReference w:id="12"/>
      </w:r>
      <w:r w:rsidRPr="00551BFA">
        <w:rPr>
          <w:rFonts w:ascii="Verdana" w:hAnsi="Verdana" w:cs="Arial"/>
          <w:color w:val="000000" w:themeColor="text1"/>
          <w:lang w:val="es-ES"/>
        </w:rPr>
        <w:t>.</w:t>
      </w:r>
    </w:p>
    <w:p w14:paraId="3BA5B7B4" w14:textId="77777777" w:rsidR="0034467D" w:rsidRPr="00551BFA" w:rsidRDefault="0034467D" w:rsidP="0034467D">
      <w:pPr>
        <w:spacing w:before="120" w:after="0" w:line="276" w:lineRule="auto"/>
        <w:ind w:firstLine="709"/>
        <w:jc w:val="both"/>
        <w:rPr>
          <w:rFonts w:ascii="Verdana" w:hAnsi="Verdana" w:cs="Arial"/>
          <w:color w:val="000000" w:themeColor="text1"/>
          <w:lang w:val="es-ES"/>
        </w:rPr>
      </w:pPr>
      <w:r w:rsidRPr="00551BFA">
        <w:rPr>
          <w:rFonts w:ascii="Verdana" w:hAnsi="Verdana" w:cs="Arial"/>
          <w:color w:val="000000" w:themeColor="text1"/>
          <w:lang w:val="es-ES"/>
        </w:rPr>
        <w:lastRenderedPageBreak/>
        <w:t xml:space="preserve">En concepto del 17 de febrero de 2006, la Sala de Consulta y Servicio Civil, al interpretar la excepción de </w:t>
      </w:r>
      <w:r>
        <w:rPr>
          <w:rFonts w:ascii="Verdana" w:hAnsi="Verdana" w:cs="Arial"/>
          <w:color w:val="000000" w:themeColor="text1"/>
          <w:lang w:val="es-ES"/>
        </w:rPr>
        <w:t>“</w:t>
      </w:r>
      <w:r w:rsidRPr="00551BFA">
        <w:rPr>
          <w:rFonts w:ascii="Verdana" w:hAnsi="Verdana" w:cs="Arial"/>
          <w:color w:val="000000" w:themeColor="text1"/>
          <w:lang w:val="es-ES"/>
        </w:rPr>
        <w:t>defensa y seguridad del Estado</w:t>
      </w:r>
      <w:r>
        <w:rPr>
          <w:rFonts w:ascii="Verdana" w:hAnsi="Verdana" w:cs="Arial"/>
          <w:color w:val="000000" w:themeColor="text1"/>
          <w:lang w:val="es-ES"/>
        </w:rPr>
        <w:t>”</w:t>
      </w:r>
      <w:r w:rsidRPr="00551BFA">
        <w:rPr>
          <w:rFonts w:ascii="Verdana" w:hAnsi="Verdana" w:cs="Arial"/>
          <w:color w:val="000000" w:themeColor="text1"/>
          <w:lang w:val="es-ES"/>
        </w:rPr>
        <w:t xml:space="preserve"> del segundo inciso del artículo 33 de la Ley 996 de 2005, sostuvo que </w:t>
      </w:r>
      <w:r>
        <w:rPr>
          <w:rFonts w:ascii="Verdana" w:hAnsi="Verdana" w:cs="Arial"/>
          <w:color w:val="000000" w:themeColor="text1"/>
          <w:lang w:val="es-ES"/>
        </w:rPr>
        <w:t>“</w:t>
      </w:r>
      <w:r w:rsidRPr="00551BFA">
        <w:rPr>
          <w:rFonts w:ascii="Verdana" w:hAnsi="Verdana" w:cs="Arial"/>
          <w:color w:val="000000" w:themeColor="text1"/>
          <w:lang w:val="es-ES"/>
        </w:rPr>
        <w:t>Seguridad y defensa del Estado, significan respeto del orden instituido</w:t>
      </w:r>
      <w:r>
        <w:rPr>
          <w:rFonts w:ascii="Verdana" w:hAnsi="Verdana" w:cs="Arial"/>
          <w:color w:val="000000" w:themeColor="text1"/>
          <w:lang w:val="es-ES"/>
        </w:rPr>
        <w:t>”</w:t>
      </w:r>
      <w:r w:rsidRPr="00551BFA">
        <w:rPr>
          <w:rStyle w:val="Refdenotaalpie"/>
          <w:rFonts w:ascii="Verdana" w:hAnsi="Verdana"/>
        </w:rPr>
        <w:footnoteReference w:id="13"/>
      </w:r>
      <w:r w:rsidRPr="00551BFA">
        <w:rPr>
          <w:rFonts w:ascii="Verdana" w:hAnsi="Verdana" w:cs="Arial"/>
          <w:color w:val="000000" w:themeColor="text1"/>
          <w:lang w:val="es-ES"/>
        </w:rPr>
        <w:t>, añadiendo, por tanto, que:</w:t>
      </w:r>
    </w:p>
    <w:p w14:paraId="5F854E15" w14:textId="77777777" w:rsidR="0034467D" w:rsidRPr="00551BFA" w:rsidRDefault="0034467D" w:rsidP="0034467D">
      <w:pPr>
        <w:spacing w:after="0"/>
        <w:ind w:left="709" w:right="709"/>
        <w:jc w:val="both"/>
        <w:rPr>
          <w:rFonts w:ascii="Verdana" w:hAnsi="Verdana" w:cs="Arial"/>
          <w:color w:val="000000" w:themeColor="text1"/>
          <w:sz w:val="21"/>
          <w:szCs w:val="21"/>
          <w:lang w:val="es-ES"/>
        </w:rPr>
      </w:pPr>
    </w:p>
    <w:p w14:paraId="1811565F" w14:textId="77777777" w:rsidR="0034467D" w:rsidRPr="00551BFA" w:rsidRDefault="0034467D" w:rsidP="0034467D">
      <w:pPr>
        <w:spacing w:after="0" w:line="240" w:lineRule="auto"/>
        <w:ind w:left="709" w:right="709"/>
        <w:jc w:val="both"/>
        <w:rPr>
          <w:rFonts w:ascii="Verdana" w:hAnsi="Verdana" w:cs="Arial"/>
          <w:color w:val="000000" w:themeColor="text1"/>
          <w:sz w:val="20"/>
          <w:szCs w:val="20"/>
          <w:lang w:val="es-ES_tradnl"/>
        </w:rPr>
      </w:pPr>
      <w:r w:rsidRPr="00551BFA">
        <w:rPr>
          <w:rFonts w:ascii="Verdana" w:hAnsi="Verdana" w:cs="Arial"/>
          <w:color w:val="000000" w:themeColor="text1"/>
          <w:sz w:val="20"/>
          <w:szCs w:val="20"/>
          <w:lang w:val="es-ES_tradnl"/>
        </w:rPr>
        <w:t>Por su relación directa, necesaria e inmediata con la realización del derecho constitucional a la participación democrática y la defensa del orden institucional, los procesos de contratación para la adquisición de bienes y servicios necesarios para adelantar los procesos electorales  para elección de Congreso y Presidente de la República, hacen parte de la defensa y seguridad del Estado, y por consiguiente se pueden incluir en la excepción a la prohibición de contratación directa establecida por el artículo 33 de la ley 996 de 2.005, razón por la cual las gobernaciones y alcaldías, en su labor de colaboración, de acuerdo con el marco establecido por el Plan Nacional de Garantías, pueden contratar en forma directa en aquellos casos que no superen las cuantías para hacer licitación pública, durante los cuatro meses anteriores a las elecciones presidenciales, salvo que se trate de convenios interadministrativos para la ejecución de recursos públicos, en cuyo caso no cabría la excepción a la prohibición</w:t>
      </w:r>
      <w:r w:rsidRPr="00551BFA">
        <w:rPr>
          <w:rStyle w:val="Refdenotaalpie"/>
          <w:rFonts w:ascii="Verdana" w:hAnsi="Verdana"/>
          <w:sz w:val="20"/>
          <w:szCs w:val="20"/>
        </w:rPr>
        <w:footnoteReference w:id="14"/>
      </w:r>
      <w:r w:rsidRPr="00551BFA">
        <w:rPr>
          <w:rFonts w:ascii="Verdana" w:hAnsi="Verdana" w:cs="Arial"/>
          <w:color w:val="000000" w:themeColor="text1"/>
          <w:sz w:val="20"/>
          <w:szCs w:val="20"/>
          <w:lang w:val="es-ES_tradnl"/>
        </w:rPr>
        <w:t>.</w:t>
      </w:r>
    </w:p>
    <w:p w14:paraId="6C2B2CB6"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p>
    <w:p w14:paraId="4F5F36C8" w14:textId="77777777" w:rsidR="0034467D" w:rsidRPr="00551BFA" w:rsidRDefault="0034467D" w:rsidP="0034467D">
      <w:pPr>
        <w:spacing w:after="120" w:line="276" w:lineRule="auto"/>
        <w:ind w:firstLine="709"/>
        <w:jc w:val="both"/>
        <w:rPr>
          <w:rFonts w:ascii="Verdana" w:hAnsi="Verdana" w:cs="Arial"/>
          <w:color w:val="000000" w:themeColor="text1"/>
          <w:lang w:val="es-ES_tradnl"/>
        </w:rPr>
      </w:pPr>
      <w:r w:rsidRPr="00551BFA">
        <w:rPr>
          <w:rFonts w:ascii="Verdana" w:hAnsi="Verdana" w:cs="Arial"/>
          <w:color w:val="000000" w:themeColor="text1"/>
          <w:lang w:val="es-ES_tradnl"/>
        </w:rPr>
        <w:t xml:space="preserve">En concepto del 25 de marzo de 2010, la Sala de Consulta y Servicio Civil acoge la interpretación prohijada en el concepto del 20 de febrero de 2006, indicando que el concepto </w:t>
      </w:r>
      <w:r>
        <w:rPr>
          <w:rFonts w:ascii="Verdana" w:hAnsi="Verdana" w:cs="Arial"/>
          <w:color w:val="000000" w:themeColor="text1"/>
          <w:lang w:val="es-ES_tradnl"/>
        </w:rPr>
        <w:t>“</w:t>
      </w:r>
      <w:r w:rsidRPr="00551BFA">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 debe interpretarse </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como aquellas actividades necesarias para la estabilidad </w:t>
      </w:r>
      <w:proofErr w:type="gramStart"/>
      <w:r w:rsidRPr="00551BFA">
        <w:rPr>
          <w:rFonts w:ascii="Verdana" w:hAnsi="Verdana" w:cs="Arial"/>
          <w:color w:val="000000" w:themeColor="text1"/>
          <w:lang w:val="es-ES_tradnl"/>
        </w:rPr>
        <w:t>del mismo</w:t>
      </w:r>
      <w:proofErr w:type="gramEnd"/>
      <w:r w:rsidRPr="00551BFA">
        <w:rPr>
          <w:rFonts w:ascii="Verdana" w:hAnsi="Verdana" w:cs="Arial"/>
          <w:color w:val="000000" w:themeColor="text1"/>
          <w:lang w:val="es-ES_tradnl"/>
        </w:rPr>
        <w:t>, pues está de por medio el mantenimiento del orden público</w:t>
      </w:r>
      <w:r>
        <w:rPr>
          <w:rFonts w:ascii="Verdana" w:hAnsi="Verdana" w:cs="Arial"/>
          <w:color w:val="000000" w:themeColor="text1"/>
          <w:lang w:val="es-ES_tradnl"/>
        </w:rPr>
        <w:t>”</w:t>
      </w:r>
      <w:r w:rsidRPr="00551BFA">
        <w:rPr>
          <w:rStyle w:val="Refdenotaalpie"/>
          <w:rFonts w:ascii="Verdana" w:hAnsi="Verdana"/>
        </w:rPr>
        <w:footnoteReference w:id="15"/>
      </w:r>
      <w:r w:rsidRPr="00551BFA">
        <w:rPr>
          <w:rFonts w:ascii="Verdana" w:hAnsi="Verdana" w:cs="Arial"/>
          <w:color w:val="000000" w:themeColor="text1"/>
          <w:lang w:val="es-ES_tradnl"/>
        </w:rPr>
        <w:t xml:space="preserve">. En tal sentido, concluyó que </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Las funciones confiadas al </w:t>
      </w:r>
      <w:proofErr w:type="gramStart"/>
      <w:r w:rsidRPr="00551BFA">
        <w:rPr>
          <w:rFonts w:ascii="Verdana" w:hAnsi="Verdana" w:cs="Arial"/>
          <w:color w:val="000000" w:themeColor="text1"/>
          <w:lang w:val="es-ES_tradnl"/>
        </w:rPr>
        <w:t>Director General</w:t>
      </w:r>
      <w:proofErr w:type="gramEnd"/>
      <w:r w:rsidRPr="00551BFA">
        <w:rPr>
          <w:rFonts w:ascii="Verdana" w:hAnsi="Verdana" w:cs="Arial"/>
          <w:color w:val="000000" w:themeColor="text1"/>
          <w:lang w:val="es-ES_tradnl"/>
        </w:rPr>
        <w:t xml:space="preserve"> del INPEC están directamente relacionadas con la seguridad del Estado, y por lo mismo, su desvinculación mediante declaratoria de insubsistencia y la posterior provisión del cargo, dentro del ámbito temporal previsto en el artículo 32 de la ley 996 de 2005, no conlleva transgresión de las prohibiciones contenidas en los artículos 32 y 33 </w:t>
      </w:r>
      <w:proofErr w:type="spellStart"/>
      <w:r w:rsidRPr="00551BFA">
        <w:rPr>
          <w:rFonts w:ascii="Verdana" w:hAnsi="Verdana" w:cs="Arial"/>
          <w:color w:val="000000" w:themeColor="text1"/>
          <w:lang w:val="es-ES_tradnl"/>
        </w:rPr>
        <w:t>ibídem</w:t>
      </w:r>
      <w:proofErr w:type="spellEnd"/>
      <w:r>
        <w:rPr>
          <w:rFonts w:ascii="Verdana" w:hAnsi="Verdana" w:cs="Arial"/>
          <w:color w:val="000000" w:themeColor="text1"/>
          <w:lang w:val="es-ES_tradnl"/>
        </w:rPr>
        <w:t>”</w:t>
      </w:r>
      <w:r w:rsidRPr="00551BFA">
        <w:rPr>
          <w:rStyle w:val="Refdenotaalpie"/>
          <w:rFonts w:ascii="Verdana" w:hAnsi="Verdana"/>
        </w:rPr>
        <w:footnoteReference w:id="16"/>
      </w:r>
      <w:r w:rsidRPr="00551BFA">
        <w:rPr>
          <w:rFonts w:ascii="Verdana" w:hAnsi="Verdana" w:cs="Arial"/>
          <w:color w:val="000000" w:themeColor="text1"/>
          <w:lang w:val="es-ES_tradnl"/>
        </w:rPr>
        <w:t>.</w:t>
      </w:r>
    </w:p>
    <w:p w14:paraId="12C56975" w14:textId="77777777" w:rsidR="0034467D" w:rsidRPr="00551BFA" w:rsidRDefault="0034467D" w:rsidP="0034467D">
      <w:pPr>
        <w:spacing w:before="120" w:after="0" w:line="276" w:lineRule="auto"/>
        <w:ind w:firstLine="709"/>
        <w:jc w:val="both"/>
        <w:rPr>
          <w:rFonts w:ascii="Verdana" w:hAnsi="Verdana" w:cs="Arial"/>
          <w:color w:val="000000" w:themeColor="text1"/>
          <w:lang w:val="es-ES_tradnl"/>
        </w:rPr>
      </w:pPr>
      <w:r w:rsidRPr="00551BFA">
        <w:rPr>
          <w:rFonts w:ascii="Verdana" w:hAnsi="Verdana" w:cs="Arial"/>
          <w:color w:val="000000" w:themeColor="text1"/>
          <w:lang w:val="es-ES_tradnl"/>
        </w:rPr>
        <w:t xml:space="preserve">En concepto del 2 de septiembre de 2013, la Sala de Consulta y Servicio Civil se pronunció sobre el alcance de la expresión </w:t>
      </w:r>
      <w:r>
        <w:rPr>
          <w:rFonts w:ascii="Verdana" w:hAnsi="Verdana" w:cs="Arial"/>
          <w:color w:val="000000" w:themeColor="text1"/>
          <w:lang w:val="es-ES_tradnl"/>
        </w:rPr>
        <w:t>“</w:t>
      </w:r>
      <w:r w:rsidRPr="00551BFA">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 como excepción a la prohibición del artículo 33 de la Ley 996 de 2005, </w:t>
      </w:r>
      <w:r w:rsidRPr="00551BFA">
        <w:rPr>
          <w:rFonts w:ascii="Verdana" w:hAnsi="Verdana" w:cs="Arial"/>
          <w:color w:val="000000" w:themeColor="text1"/>
          <w:lang w:val="es-ES_tradnl"/>
        </w:rPr>
        <w:lastRenderedPageBreak/>
        <w:t>en el marco de la contratación relacionada con los compromisos derivados del acuerdo de paz con las FARC, señalando lo siguiente:</w:t>
      </w:r>
    </w:p>
    <w:p w14:paraId="3A6B55F7" w14:textId="77777777" w:rsidR="0034467D" w:rsidRPr="00551BFA" w:rsidRDefault="0034467D" w:rsidP="0034467D">
      <w:pPr>
        <w:spacing w:after="0"/>
        <w:ind w:left="709" w:right="709"/>
        <w:jc w:val="both"/>
        <w:rPr>
          <w:rFonts w:ascii="Verdana" w:hAnsi="Verdana" w:cs="Arial"/>
          <w:i/>
          <w:sz w:val="21"/>
          <w:szCs w:val="21"/>
        </w:rPr>
      </w:pPr>
    </w:p>
    <w:p w14:paraId="42CDC1DE"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i/>
          <w:sz w:val="20"/>
          <w:szCs w:val="20"/>
        </w:rPr>
        <w:t>(i)</w:t>
      </w:r>
      <w:r w:rsidRPr="00551BFA">
        <w:rPr>
          <w:rFonts w:ascii="Verdana" w:hAnsi="Verdana" w:cs="Arial"/>
          <w:sz w:val="20"/>
          <w:szCs w:val="20"/>
        </w:rPr>
        <w:t xml:space="preserve"> La seguridad y la defensa nacionales son presupuestos materiales de la soberanía nacional, la independencia, la integridad territorial y el orden constitucional, y contribuyen a garantizar las condiciones necesarias para el ejercicio de los derechos, obligaciones y libertades públicas.</w:t>
      </w:r>
    </w:p>
    <w:p w14:paraId="6A933305" w14:textId="77777777" w:rsidR="0034467D" w:rsidRPr="00551BFA" w:rsidRDefault="0034467D" w:rsidP="0034467D">
      <w:pPr>
        <w:spacing w:after="0" w:line="240" w:lineRule="auto"/>
        <w:ind w:left="709" w:right="709"/>
        <w:jc w:val="both"/>
        <w:rPr>
          <w:rFonts w:ascii="Verdana" w:hAnsi="Verdana" w:cs="Arial"/>
          <w:sz w:val="20"/>
          <w:szCs w:val="20"/>
        </w:rPr>
      </w:pPr>
    </w:p>
    <w:p w14:paraId="2C192AB3"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i/>
          <w:sz w:val="20"/>
          <w:szCs w:val="20"/>
        </w:rPr>
        <w:t>(</w:t>
      </w:r>
      <w:proofErr w:type="spellStart"/>
      <w:r w:rsidRPr="00551BFA">
        <w:rPr>
          <w:rFonts w:ascii="Verdana" w:hAnsi="Verdana" w:cs="Arial"/>
          <w:i/>
          <w:sz w:val="20"/>
          <w:szCs w:val="20"/>
        </w:rPr>
        <w:t>ii</w:t>
      </w:r>
      <w:proofErr w:type="spellEnd"/>
      <w:r w:rsidRPr="00551BFA">
        <w:rPr>
          <w:rFonts w:ascii="Verdana" w:hAnsi="Verdana" w:cs="Arial"/>
          <w:i/>
          <w:sz w:val="20"/>
          <w:szCs w:val="20"/>
        </w:rPr>
        <w:t>)</w:t>
      </w:r>
      <w:r w:rsidRPr="00551BFA">
        <w:rPr>
          <w:rFonts w:ascii="Verdana" w:hAnsi="Verdana" w:cs="Arial"/>
          <w:sz w:val="20"/>
          <w:szCs w:val="20"/>
        </w:rPr>
        <w:t xml:space="preserve"> Se trata de conceptos amplios, relativos y dinámicos, cuya concreción depende de los objetivos que se propone alcanzar el Estado en una época determinada, de manera que son susceptibles de actualización y sufren constantes transformaciones y cambios.</w:t>
      </w:r>
    </w:p>
    <w:p w14:paraId="5C87CD5F" w14:textId="77777777" w:rsidR="0034467D" w:rsidRPr="00551BFA" w:rsidRDefault="0034467D" w:rsidP="0034467D">
      <w:pPr>
        <w:spacing w:after="0" w:line="240" w:lineRule="auto"/>
        <w:ind w:left="709" w:right="709"/>
        <w:jc w:val="both"/>
        <w:rPr>
          <w:rFonts w:ascii="Verdana" w:hAnsi="Verdana" w:cs="Arial"/>
          <w:sz w:val="20"/>
          <w:szCs w:val="20"/>
        </w:rPr>
      </w:pPr>
    </w:p>
    <w:p w14:paraId="60DEA621"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i/>
          <w:sz w:val="20"/>
          <w:szCs w:val="20"/>
        </w:rPr>
        <w:t>(</w:t>
      </w:r>
      <w:proofErr w:type="spellStart"/>
      <w:r w:rsidRPr="00551BFA">
        <w:rPr>
          <w:rFonts w:ascii="Verdana" w:hAnsi="Verdana" w:cs="Arial"/>
          <w:i/>
          <w:sz w:val="20"/>
          <w:szCs w:val="20"/>
        </w:rPr>
        <w:t>iii</w:t>
      </w:r>
      <w:proofErr w:type="spellEnd"/>
      <w:r w:rsidRPr="00551BFA">
        <w:rPr>
          <w:rFonts w:ascii="Verdana" w:hAnsi="Verdana" w:cs="Arial"/>
          <w:i/>
          <w:sz w:val="20"/>
          <w:szCs w:val="20"/>
        </w:rPr>
        <w:t>)</w:t>
      </w:r>
      <w:r w:rsidRPr="00551BFA">
        <w:rPr>
          <w:rFonts w:ascii="Verdana" w:hAnsi="Verdana" w:cs="Arial"/>
          <w:sz w:val="20"/>
          <w:szCs w:val="20"/>
        </w:rPr>
        <w:t xml:space="preserve"> La conservación y mantenimiento del orden público es la finalidad misma de la “seguridad” y encuentra en el Gobierno Nacional (art. 189.4 CP) su principal responsable y garante, razón por la cual puede</w:t>
      </w:r>
      <w:r w:rsidRPr="00551BFA">
        <w:rPr>
          <w:rStyle w:val="Refdecomentario"/>
          <w:rFonts w:ascii="Verdana" w:hAnsi="Verdana"/>
        </w:rPr>
        <w:t xml:space="preserve"> </w:t>
      </w:r>
      <w:r w:rsidRPr="00551BFA">
        <w:rPr>
          <w:rFonts w:ascii="Verdana" w:hAnsi="Verdana" w:cs="Arial"/>
          <w:sz w:val="20"/>
          <w:szCs w:val="20"/>
        </w:rPr>
        <w:t>adoptar medidas y  adelantar acciones coercitivas o militares y soluciones no armamentistas sino políticas negociadas (por ejemplo desmovilización y reinserción), para alcanzar la paz, que es un valor (preámbulo constitucional), un fin esencial del Estado (art. 2 CP), un derecho (art. 22 CP) y un deber social (95.6 CP).</w:t>
      </w:r>
    </w:p>
    <w:p w14:paraId="58981A0D" w14:textId="77777777" w:rsidR="0034467D" w:rsidRPr="00551BFA" w:rsidRDefault="0034467D" w:rsidP="0034467D">
      <w:pPr>
        <w:spacing w:after="0" w:line="240" w:lineRule="auto"/>
        <w:ind w:left="709" w:right="709"/>
        <w:jc w:val="both"/>
        <w:rPr>
          <w:rFonts w:ascii="Verdana" w:hAnsi="Verdana" w:cs="Arial"/>
          <w:sz w:val="20"/>
          <w:szCs w:val="20"/>
        </w:rPr>
      </w:pPr>
    </w:p>
    <w:p w14:paraId="5E2C4B4C"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i/>
          <w:sz w:val="20"/>
          <w:szCs w:val="20"/>
        </w:rPr>
        <w:t>(</w:t>
      </w:r>
      <w:proofErr w:type="spellStart"/>
      <w:r w:rsidRPr="00551BFA">
        <w:rPr>
          <w:rFonts w:ascii="Verdana" w:hAnsi="Verdana" w:cs="Arial"/>
          <w:i/>
          <w:sz w:val="20"/>
          <w:szCs w:val="20"/>
        </w:rPr>
        <w:t>iv</w:t>
      </w:r>
      <w:proofErr w:type="spellEnd"/>
      <w:r w:rsidRPr="00551BFA">
        <w:rPr>
          <w:rFonts w:ascii="Verdana" w:hAnsi="Verdana" w:cs="Arial"/>
          <w:i/>
          <w:sz w:val="20"/>
          <w:szCs w:val="20"/>
        </w:rPr>
        <w:t>)</w:t>
      </w:r>
      <w:r w:rsidRPr="00551BFA">
        <w:rPr>
          <w:rFonts w:ascii="Verdana" w:hAnsi="Verdana" w:cs="Arial"/>
          <w:sz w:val="20"/>
          <w:szCs w:val="20"/>
        </w:rPr>
        <w:t xml:space="preserve"> Estos conceptos no están relacionados únicamente con los dispositivos o actividades bélicas o armamentistas, sino que abarcan todas aquellas estrategias y acciones que permitan la garantía de los derechos y libertades y, por ende, la coexistencia pacífica de los habitantes de la Nación, inclusive aquellas que permitan que los infractores de la ley se reincorporen a la vida civil.</w:t>
      </w:r>
    </w:p>
    <w:p w14:paraId="645195FF" w14:textId="77777777" w:rsidR="0034467D" w:rsidRPr="00551BFA" w:rsidRDefault="0034467D" w:rsidP="0034467D">
      <w:pPr>
        <w:spacing w:after="0" w:line="240" w:lineRule="auto"/>
        <w:ind w:left="709" w:right="709"/>
        <w:jc w:val="both"/>
        <w:rPr>
          <w:rFonts w:ascii="Verdana" w:hAnsi="Verdana" w:cs="Arial"/>
          <w:sz w:val="20"/>
          <w:szCs w:val="20"/>
        </w:rPr>
      </w:pPr>
    </w:p>
    <w:p w14:paraId="28F44D5A"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i/>
          <w:sz w:val="20"/>
          <w:szCs w:val="20"/>
        </w:rPr>
        <w:t>(v)</w:t>
      </w:r>
      <w:r w:rsidRPr="00551BFA">
        <w:rPr>
          <w:rFonts w:ascii="Verdana" w:hAnsi="Verdana" w:cs="Arial"/>
          <w:sz w:val="20"/>
          <w:szCs w:val="20"/>
        </w:rPr>
        <w:t xml:space="preserve"> La política de seguridad y defensa nacionales, supone para el Estado no solo la adopción de estrategias y acciones militares directas, sino también soluciones negociadas y, por tanto, estas últimas y todas las acciones y actividades que requieran, también configuran evidentes manifestaciones de la defensa y la seguridad nacionales.</w:t>
      </w:r>
    </w:p>
    <w:p w14:paraId="3F4836E2" w14:textId="77777777" w:rsidR="0034467D" w:rsidRPr="00551BFA" w:rsidRDefault="0034467D" w:rsidP="0034467D">
      <w:pPr>
        <w:tabs>
          <w:tab w:val="left" w:pos="8222"/>
        </w:tabs>
        <w:spacing w:after="0" w:line="240" w:lineRule="auto"/>
        <w:ind w:left="709" w:right="709"/>
        <w:jc w:val="both"/>
        <w:rPr>
          <w:rFonts w:ascii="Verdana" w:hAnsi="Verdana" w:cs="Arial"/>
          <w:sz w:val="20"/>
          <w:szCs w:val="20"/>
        </w:rPr>
      </w:pPr>
    </w:p>
    <w:p w14:paraId="506E56FD" w14:textId="77777777" w:rsidR="0034467D" w:rsidRPr="00551BFA" w:rsidRDefault="0034467D" w:rsidP="0034467D">
      <w:pPr>
        <w:tabs>
          <w:tab w:val="left" w:pos="8222"/>
        </w:tabs>
        <w:spacing w:after="0" w:line="240" w:lineRule="auto"/>
        <w:ind w:left="709" w:right="709"/>
        <w:jc w:val="both"/>
        <w:rPr>
          <w:rFonts w:ascii="Verdana" w:hAnsi="Verdana" w:cs="Arial"/>
          <w:bCs/>
          <w:sz w:val="20"/>
          <w:szCs w:val="20"/>
        </w:rPr>
      </w:pPr>
      <w:r w:rsidRPr="00551BFA">
        <w:rPr>
          <w:rFonts w:ascii="Verdana" w:hAnsi="Verdana" w:cs="Arial"/>
          <w:sz w:val="20"/>
          <w:szCs w:val="20"/>
          <w:lang w:val="es-ES_tradnl"/>
        </w:rPr>
        <w:t xml:space="preserve">Como se puede concluir de este análisis, </w:t>
      </w:r>
      <w:r w:rsidRPr="00551BFA">
        <w:rPr>
          <w:rFonts w:ascii="Verdana" w:hAnsi="Verdana" w:cs="Arial"/>
          <w:sz w:val="20"/>
          <w:szCs w:val="20"/>
        </w:rPr>
        <w:t xml:space="preserve">los conceptos de seguridad y defensa nacionales son conceptos jurídicos indeterminados, su alcance no se limita al campo de lo </w:t>
      </w:r>
      <w:proofErr w:type="gramStart"/>
      <w:r w:rsidRPr="00551BFA">
        <w:rPr>
          <w:rFonts w:ascii="Verdana" w:hAnsi="Verdana" w:cs="Arial"/>
          <w:sz w:val="20"/>
          <w:szCs w:val="20"/>
        </w:rPr>
        <w:t>bélico</w:t>
      </w:r>
      <w:proofErr w:type="gramEnd"/>
      <w:r w:rsidRPr="00551BFA">
        <w:rPr>
          <w:rFonts w:ascii="Verdana" w:hAnsi="Verdana" w:cs="Arial"/>
          <w:sz w:val="20"/>
          <w:szCs w:val="20"/>
        </w:rPr>
        <w:t xml:space="preserve"> sino que </w:t>
      </w:r>
      <w:r w:rsidRPr="00551BFA">
        <w:rPr>
          <w:rFonts w:ascii="Verdana" w:hAnsi="Verdana" w:cs="Arial"/>
          <w:bCs/>
          <w:sz w:val="20"/>
          <w:szCs w:val="20"/>
        </w:rPr>
        <w:t>incluye asuntos encaminados, directamente o por conexidad, al mantenimiento del orden público, la convivencia pacífica de la comunidad y la vigencia de los derechos y libertades de las personas.</w:t>
      </w:r>
    </w:p>
    <w:p w14:paraId="340C0E6A" w14:textId="77777777" w:rsidR="0034467D" w:rsidRPr="00551BFA" w:rsidRDefault="0034467D" w:rsidP="0034467D">
      <w:pPr>
        <w:tabs>
          <w:tab w:val="left" w:pos="8222"/>
        </w:tabs>
        <w:spacing w:after="0" w:line="240" w:lineRule="auto"/>
        <w:ind w:left="709" w:right="709"/>
        <w:jc w:val="both"/>
        <w:rPr>
          <w:rFonts w:ascii="Verdana" w:hAnsi="Verdana" w:cs="Arial"/>
          <w:bCs/>
          <w:sz w:val="20"/>
          <w:szCs w:val="20"/>
        </w:rPr>
      </w:pPr>
    </w:p>
    <w:p w14:paraId="4D91BE91" w14:textId="77777777" w:rsidR="0034467D" w:rsidRPr="00551BFA" w:rsidRDefault="0034467D" w:rsidP="0034467D">
      <w:pPr>
        <w:tabs>
          <w:tab w:val="left" w:pos="8222"/>
        </w:tabs>
        <w:spacing w:after="0" w:line="240" w:lineRule="auto"/>
        <w:ind w:left="709" w:right="709"/>
        <w:jc w:val="both"/>
        <w:rPr>
          <w:rFonts w:ascii="Verdana" w:hAnsi="Verdana" w:cs="Arial"/>
          <w:bCs/>
          <w:sz w:val="20"/>
          <w:szCs w:val="20"/>
        </w:rPr>
      </w:pPr>
      <w:r w:rsidRPr="00551BFA">
        <w:rPr>
          <w:rFonts w:ascii="Verdana" w:hAnsi="Verdana" w:cs="Arial"/>
          <w:bCs/>
          <w:sz w:val="20"/>
          <w:szCs w:val="20"/>
        </w:rPr>
        <w:t xml:space="preserve">Dentro del marco conceptual expuesto, resulta relevante revisar la naturaleza y objeto </w:t>
      </w:r>
      <w:r w:rsidRPr="00551BFA">
        <w:rPr>
          <w:rFonts w:ascii="Verdana" w:hAnsi="Verdana" w:cs="Arial"/>
          <w:sz w:val="20"/>
          <w:szCs w:val="20"/>
        </w:rPr>
        <w:t xml:space="preserve">del Fondo de Programas para la Paz y de la Agencia </w:t>
      </w:r>
      <w:r w:rsidRPr="00551BFA">
        <w:rPr>
          <w:rFonts w:ascii="Verdana" w:hAnsi="Verdana" w:cs="Arial"/>
          <w:sz w:val="20"/>
          <w:szCs w:val="20"/>
        </w:rPr>
        <w:lastRenderedPageBreak/>
        <w:t>Colombiana para la Reintegración de Personas y Grupos Alzados en Armas, con el objeto de determinar si la gestión administrativa que dichas entidades realizan en ejercicio de sus funciones encajan en el objetivo de procurar la materialización de la convivencia pacífica y en esa medida se ajustan a la excepción de defensa y seguridad del Estado que contempla el artículo 33 de la ley 996 de 2005</w:t>
      </w:r>
      <w:r w:rsidRPr="00551BFA">
        <w:rPr>
          <w:rStyle w:val="Refdenotaalpie"/>
          <w:rFonts w:ascii="Verdana" w:hAnsi="Verdana"/>
          <w:sz w:val="20"/>
          <w:szCs w:val="20"/>
        </w:rPr>
        <w:footnoteReference w:id="17"/>
      </w:r>
      <w:r w:rsidRPr="00551BFA">
        <w:rPr>
          <w:rFonts w:ascii="Verdana" w:hAnsi="Verdana" w:cs="Arial"/>
          <w:sz w:val="20"/>
          <w:szCs w:val="20"/>
        </w:rPr>
        <w:t>.</w:t>
      </w:r>
    </w:p>
    <w:p w14:paraId="6B489425"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p>
    <w:p w14:paraId="5A68369E"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r w:rsidRPr="00551BFA">
        <w:rPr>
          <w:rFonts w:ascii="Verdana" w:hAnsi="Verdana" w:cs="Arial"/>
          <w:color w:val="000000" w:themeColor="text1"/>
          <w:lang w:val="es-ES_tradnl"/>
        </w:rPr>
        <w:t xml:space="preserve">De este modo, concluyó que:  </w:t>
      </w:r>
    </w:p>
    <w:p w14:paraId="6B0429E1" w14:textId="77777777" w:rsidR="0034467D" w:rsidRPr="00551BFA" w:rsidRDefault="0034467D" w:rsidP="0034467D">
      <w:pPr>
        <w:spacing w:after="0" w:line="276" w:lineRule="auto"/>
        <w:ind w:left="709" w:right="709"/>
        <w:jc w:val="both"/>
        <w:rPr>
          <w:rFonts w:ascii="Verdana" w:hAnsi="Verdana" w:cs="Arial"/>
          <w:sz w:val="21"/>
          <w:szCs w:val="21"/>
        </w:rPr>
      </w:pPr>
    </w:p>
    <w:p w14:paraId="19C79ED1"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sz w:val="20"/>
          <w:szCs w:val="20"/>
        </w:rPr>
        <w:t xml:space="preserve">“La ejecución de los programas a cargo del Fondo de Programas para la Paz están encaminados directamente al restablecimiento del orden público, a la construcción de una política de paz y a la búsqueda del logro y mantenimiento de </w:t>
      </w:r>
      <w:proofErr w:type="gramStart"/>
      <w:r w:rsidRPr="00551BFA">
        <w:rPr>
          <w:rFonts w:ascii="Verdana" w:hAnsi="Verdana" w:cs="Arial"/>
          <w:sz w:val="20"/>
          <w:szCs w:val="20"/>
        </w:rPr>
        <w:t>la misma</w:t>
      </w:r>
      <w:proofErr w:type="gramEnd"/>
      <w:r w:rsidRPr="00551BFA">
        <w:rPr>
          <w:rFonts w:ascii="Verdana" w:hAnsi="Verdana" w:cs="Arial"/>
          <w:sz w:val="20"/>
          <w:szCs w:val="20"/>
        </w:rPr>
        <w:t>, en atención a uno de los fines estatales consagrados en el preámbulo y en el artículo 2 de la Constitución Política. Por esta razón, es claro que llevar a cabo la contratación directa, en lo que corresponda contratar bajo esta modalidad de selección, para la continuidad de estos programas, encaja dentro de la noción de “</w:t>
      </w:r>
      <w:r w:rsidRPr="00551BFA">
        <w:rPr>
          <w:rFonts w:ascii="Verdana" w:hAnsi="Verdana" w:cs="Arial"/>
          <w:i/>
          <w:sz w:val="20"/>
          <w:szCs w:val="20"/>
        </w:rPr>
        <w:t>defensa y seguridad del Estado”</w:t>
      </w:r>
      <w:r w:rsidRPr="00551BFA">
        <w:rPr>
          <w:rFonts w:ascii="Verdana" w:hAnsi="Verdana" w:cs="Arial"/>
          <w:sz w:val="20"/>
          <w:szCs w:val="20"/>
        </w:rPr>
        <w:t xml:space="preserve"> de la excepción a que se refiere el artículo 33 de la ley 996 de 2005, Estatutaria de la Ley de Garantías Electorales.</w:t>
      </w:r>
    </w:p>
    <w:p w14:paraId="1A2477FE" w14:textId="77777777" w:rsidR="0034467D" w:rsidRPr="00551BFA" w:rsidRDefault="0034467D" w:rsidP="0034467D">
      <w:pPr>
        <w:spacing w:after="0" w:line="240" w:lineRule="auto"/>
        <w:ind w:left="709" w:right="709"/>
        <w:jc w:val="both"/>
        <w:rPr>
          <w:rFonts w:ascii="Verdana" w:hAnsi="Verdana" w:cs="Arial"/>
          <w:sz w:val="20"/>
          <w:szCs w:val="20"/>
        </w:rPr>
      </w:pPr>
    </w:p>
    <w:p w14:paraId="041C0A5E"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sz w:val="20"/>
          <w:szCs w:val="20"/>
        </w:rPr>
        <w:t>En consecuencia, en caso de que el Presidente de la República en ejercicio manifieste su interés en participar como candidato en las próximas elecciones presidenciales, el Fondo de Programas para la Paz puede continuar contratando directamente los programas cuya financiación esté a su cargo relacionados con la construcción de la paz, el restablecimiento del orden público y la vigencia de los derechos y libertades de las personas, en cumplimiento de las normas que rigen su actividad y al amparo de la excepción a la que se refiere el artículo 33 de la citada ley.</w:t>
      </w:r>
    </w:p>
    <w:p w14:paraId="42C66960" w14:textId="77777777" w:rsidR="0034467D" w:rsidRPr="00551BFA" w:rsidRDefault="0034467D" w:rsidP="0034467D">
      <w:pPr>
        <w:spacing w:after="0" w:line="240" w:lineRule="auto"/>
        <w:ind w:left="709" w:right="709"/>
        <w:jc w:val="both"/>
        <w:rPr>
          <w:rFonts w:ascii="Verdana" w:hAnsi="Verdana" w:cs="Arial"/>
          <w:sz w:val="20"/>
          <w:szCs w:val="20"/>
        </w:rPr>
      </w:pPr>
    </w:p>
    <w:p w14:paraId="50C56EAD"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sz w:val="20"/>
          <w:szCs w:val="20"/>
        </w:rPr>
        <w:t>[…]</w:t>
      </w:r>
    </w:p>
    <w:p w14:paraId="4133C4C7" w14:textId="77777777" w:rsidR="0034467D" w:rsidRPr="00551BFA" w:rsidRDefault="0034467D" w:rsidP="0034467D">
      <w:pPr>
        <w:spacing w:after="0" w:line="240" w:lineRule="auto"/>
        <w:ind w:left="709" w:right="709"/>
        <w:jc w:val="both"/>
        <w:rPr>
          <w:rFonts w:ascii="Verdana" w:hAnsi="Verdana" w:cs="Arial"/>
          <w:sz w:val="20"/>
          <w:szCs w:val="20"/>
        </w:rPr>
      </w:pPr>
    </w:p>
    <w:p w14:paraId="7A10EFA4" w14:textId="77777777" w:rsidR="0034467D" w:rsidRPr="00551BFA" w:rsidRDefault="0034467D" w:rsidP="0034467D">
      <w:pPr>
        <w:pStyle w:val="Prrafodelista"/>
        <w:spacing w:after="0" w:line="240" w:lineRule="auto"/>
        <w:ind w:left="709" w:right="709"/>
        <w:jc w:val="both"/>
        <w:rPr>
          <w:rFonts w:ascii="Verdana" w:hAnsi="Verdana" w:cs="Arial"/>
          <w:i/>
          <w:sz w:val="20"/>
          <w:szCs w:val="20"/>
        </w:rPr>
      </w:pPr>
      <w:r w:rsidRPr="00551BFA">
        <w:rPr>
          <w:rFonts w:ascii="Verdana" w:hAnsi="Verdana" w:cs="Arial"/>
          <w:iCs/>
          <w:sz w:val="20"/>
          <w:szCs w:val="20"/>
        </w:rPr>
        <w:t>La excepción a la prohibición a la contratación directa prevista en el artículo 33 de la ley 996 de 2005, en “</w:t>
      </w:r>
      <w:r w:rsidRPr="00551BFA">
        <w:rPr>
          <w:rFonts w:ascii="Verdana" w:hAnsi="Verdana" w:cs="Arial"/>
          <w:i/>
          <w:iCs/>
          <w:sz w:val="20"/>
          <w:szCs w:val="20"/>
        </w:rPr>
        <w:t>lo referente a la defensa y seguridad del Estado”,</w:t>
      </w:r>
      <w:r w:rsidRPr="00551BFA">
        <w:rPr>
          <w:rFonts w:ascii="Verdana" w:hAnsi="Verdana" w:cs="Arial"/>
          <w:iCs/>
          <w:sz w:val="20"/>
          <w:szCs w:val="20"/>
        </w:rPr>
        <w:t xml:space="preserve"> es aplicable a la adquisición de bienes y servicios para atender los programas de desmovilización y reincorporación a la vida civil de grupos alzados en armas al margen de la ley y de los miembros de los mismos, que se manejan a través de la </w:t>
      </w:r>
      <w:r w:rsidRPr="00551BFA">
        <w:rPr>
          <w:rFonts w:ascii="Verdana" w:hAnsi="Verdana" w:cs="Arial"/>
          <w:sz w:val="20"/>
          <w:szCs w:val="20"/>
        </w:rPr>
        <w:t>Agencia Colombiana para la Reintegración de Personas y Grupos Alzados en Armas, de conformidad</w:t>
      </w:r>
      <w:r w:rsidRPr="00551BFA">
        <w:rPr>
          <w:rFonts w:ascii="Verdana" w:hAnsi="Verdana"/>
          <w:sz w:val="20"/>
          <w:szCs w:val="20"/>
        </w:rPr>
        <w:t xml:space="preserve"> </w:t>
      </w:r>
      <w:r w:rsidRPr="00551BFA">
        <w:rPr>
          <w:rFonts w:ascii="Verdana" w:hAnsi="Verdana" w:cs="Arial"/>
          <w:sz w:val="20"/>
          <w:szCs w:val="20"/>
        </w:rPr>
        <w:t>con las causales de contratación directa previstas en el Estatuto General de Contratación de la Administración Pública (leyes 80 de 1993 y 1150 de 2007) y su decreto reglamentario 1510 del 17 de julio de 2013</w:t>
      </w:r>
      <w:r>
        <w:rPr>
          <w:rFonts w:ascii="Verdana" w:hAnsi="Verdana" w:cs="Arial"/>
          <w:sz w:val="20"/>
          <w:szCs w:val="20"/>
        </w:rPr>
        <w:t>”</w:t>
      </w:r>
      <w:r w:rsidRPr="00551BFA">
        <w:rPr>
          <w:rStyle w:val="Refdenotaalpie"/>
          <w:rFonts w:ascii="Verdana" w:hAnsi="Verdana"/>
          <w:sz w:val="20"/>
          <w:szCs w:val="20"/>
        </w:rPr>
        <w:footnoteReference w:id="18"/>
      </w:r>
      <w:r w:rsidRPr="00551BFA">
        <w:rPr>
          <w:rFonts w:ascii="Verdana" w:hAnsi="Verdana" w:cs="Arial"/>
          <w:sz w:val="20"/>
          <w:szCs w:val="20"/>
        </w:rPr>
        <w:t xml:space="preserve">. </w:t>
      </w:r>
    </w:p>
    <w:p w14:paraId="76C64F40" w14:textId="77777777" w:rsidR="0034467D" w:rsidRPr="00551BFA" w:rsidRDefault="0034467D" w:rsidP="0034467D">
      <w:pPr>
        <w:spacing w:after="0" w:line="276" w:lineRule="auto"/>
        <w:ind w:firstLine="709"/>
        <w:jc w:val="both"/>
        <w:rPr>
          <w:rFonts w:ascii="Verdana" w:hAnsi="Verdana" w:cs="Arial"/>
          <w:color w:val="000000" w:themeColor="text1"/>
          <w:lang w:val="es-ES"/>
        </w:rPr>
      </w:pPr>
    </w:p>
    <w:p w14:paraId="30DB4103"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r w:rsidRPr="00551BFA">
        <w:rPr>
          <w:rFonts w:ascii="Verdana" w:hAnsi="Verdana" w:cs="Arial"/>
          <w:color w:val="000000" w:themeColor="text1"/>
          <w:lang w:val="es-ES_tradnl"/>
        </w:rPr>
        <w:t xml:space="preserve">Por su parte, la Sección Tercera del Consejo de Estado, al resolver la acción de nulidad contra el artículo 1 del Decreto 3740 de 2004, en sentencia del 27 de marzo de 2008, interpretó el concepto de </w:t>
      </w:r>
      <w:r>
        <w:rPr>
          <w:rFonts w:ascii="Verdana" w:hAnsi="Verdana" w:cs="Arial"/>
          <w:color w:val="000000" w:themeColor="text1"/>
          <w:lang w:val="es-ES_tradnl"/>
        </w:rPr>
        <w:t>“</w:t>
      </w:r>
      <w:r w:rsidRPr="00551BFA">
        <w:rPr>
          <w:rFonts w:ascii="Verdana" w:hAnsi="Verdana" w:cs="Arial"/>
          <w:color w:val="000000" w:themeColor="text1"/>
          <w:lang w:val="es-ES_tradnl"/>
        </w:rPr>
        <w:t>defensa y seguridad nacional</w:t>
      </w:r>
      <w:r>
        <w:rPr>
          <w:rFonts w:ascii="Verdana" w:hAnsi="Verdana" w:cs="Arial"/>
          <w:color w:val="000000" w:themeColor="text1"/>
          <w:lang w:val="es-ES_tradnl"/>
        </w:rPr>
        <w:t>”</w:t>
      </w:r>
      <w:r w:rsidRPr="00551BFA">
        <w:rPr>
          <w:rFonts w:ascii="Verdana" w:hAnsi="Verdana" w:cs="Arial"/>
          <w:color w:val="000000" w:themeColor="text1"/>
          <w:lang w:val="es-ES_tradnl"/>
        </w:rPr>
        <w:t xml:space="preserve"> de la siguiente manera: </w:t>
      </w:r>
    </w:p>
    <w:p w14:paraId="6659E62E"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p>
    <w:p w14:paraId="21E0679A"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sz w:val="20"/>
          <w:szCs w:val="20"/>
          <w:lang w:val="es-ES_tradnl"/>
        </w:rPr>
        <w:t>“</w:t>
      </w:r>
      <w:r w:rsidRPr="00551BFA">
        <w:rPr>
          <w:rFonts w:ascii="Verdana" w:hAnsi="Verdana" w:cs="Arial"/>
          <w:sz w:val="20"/>
          <w:szCs w:val="20"/>
        </w:rPr>
        <w:t xml:space="preserve">[…] una visión sistémica de la seguridad y defensa nacionales impone la articulación dinámica de diversos elementos (no sólo bélicos) con el entorno de violencia que agobia a la sociedad colombiana desde hace mucho tiempo. Asegurar la convivencia pacífica, base y razón de ser de la defensa y seguridad nacional, supone para el Estado la adopción de medidas que no siempre comportan la acción militar directa. En otros términos, la acción estatal en punto de seguridad no tiene que forzosa e ineludiblemente recaer en el empleo de las armas, ni en la estrategia militar o en el despliegue de fuerzas combatientes, sino que también puede haber otros medios eficaces para garantizar la defensa y seguridad nacionales. La prerrogativa legítima del ejercicio de la coacción exige la utilización de varios instrumentos, que no se reducen necesariamente al uso de las armas. La seguridad no sólo se </w:t>
      </w:r>
      <w:proofErr w:type="gramStart"/>
      <w:r w:rsidRPr="00551BFA">
        <w:rPr>
          <w:rFonts w:ascii="Verdana" w:hAnsi="Verdana" w:cs="Arial"/>
          <w:sz w:val="20"/>
          <w:szCs w:val="20"/>
        </w:rPr>
        <w:t>defiende</w:t>
      </w:r>
      <w:proofErr w:type="gramEnd"/>
      <w:r w:rsidRPr="00551BFA">
        <w:rPr>
          <w:rFonts w:ascii="Verdana" w:hAnsi="Verdana" w:cs="Arial"/>
          <w:sz w:val="20"/>
          <w:szCs w:val="20"/>
        </w:rPr>
        <w:t xml:space="preserve"> sino que se robustece si, por ejemplo, se materializa efectivamente una política de sometimiento de grupos que pretenden hacer de la seguridad un fin ilegítimo de su accionar delincuencial. </w:t>
      </w:r>
      <w:proofErr w:type="gramStart"/>
      <w:r w:rsidRPr="00551BFA">
        <w:rPr>
          <w:rFonts w:ascii="Verdana" w:hAnsi="Verdana" w:cs="Arial"/>
          <w:sz w:val="20"/>
          <w:szCs w:val="20"/>
        </w:rPr>
        <w:t>Un conclusión</w:t>
      </w:r>
      <w:proofErr w:type="gramEnd"/>
      <w:r w:rsidRPr="00551BFA">
        <w:rPr>
          <w:rFonts w:ascii="Verdana" w:hAnsi="Verdana" w:cs="Arial"/>
          <w:sz w:val="20"/>
          <w:szCs w:val="20"/>
        </w:rPr>
        <w:t xml:space="preserve"> se impone: la seguridad no es sólo una cuestión de medios bélicos, sino que ante todo es un asunto político, de ahí su lugar privilegiado en el texto político fundamental: la Constitución. </w:t>
      </w:r>
    </w:p>
    <w:p w14:paraId="38F34035" w14:textId="77777777" w:rsidR="0034467D" w:rsidRPr="00551BFA" w:rsidRDefault="0034467D" w:rsidP="0034467D">
      <w:pPr>
        <w:spacing w:after="0" w:line="240" w:lineRule="auto"/>
        <w:ind w:left="709" w:right="709"/>
        <w:jc w:val="both"/>
        <w:rPr>
          <w:rFonts w:ascii="Verdana" w:hAnsi="Verdana" w:cs="Arial"/>
          <w:sz w:val="20"/>
          <w:szCs w:val="20"/>
        </w:rPr>
      </w:pPr>
    </w:p>
    <w:p w14:paraId="66F3131C"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sz w:val="20"/>
          <w:szCs w:val="20"/>
        </w:rPr>
        <w:t xml:space="preserve">Dicho de otra manera, el diseño de estrategias de seguridad y defensa nacional en un entorno signado por convivencia pacífica evidentemente amenazada y perturbada por la acción de grupos ilegales, supone recurrir no solamente a estrategias estrictamente armamentistas, sino que también impone la formulación de ciertas políticas que constituyen del mismo modo manifestación de la seguridad y defensa nacionales. Las difíciles circunstancias de orden público y la complejidad que reviste el conflicto </w:t>
      </w:r>
      <w:proofErr w:type="gramStart"/>
      <w:r w:rsidRPr="00551BFA">
        <w:rPr>
          <w:rFonts w:ascii="Verdana" w:hAnsi="Verdana" w:cs="Arial"/>
          <w:sz w:val="20"/>
          <w:szCs w:val="20"/>
        </w:rPr>
        <w:t>interno,</w:t>
      </w:r>
      <w:proofErr w:type="gramEnd"/>
      <w:r w:rsidRPr="00551BFA">
        <w:rPr>
          <w:rFonts w:ascii="Verdana" w:hAnsi="Verdana" w:cs="Arial"/>
          <w:sz w:val="20"/>
          <w:szCs w:val="20"/>
        </w:rPr>
        <w:t xml:space="preserve"> hacen necesaria la adopción de medidas de acercamiento con los grupos armados actores de la violencia, para </w:t>
      </w:r>
      <w:r w:rsidRPr="00551BFA">
        <w:rPr>
          <w:rFonts w:ascii="Verdana" w:hAnsi="Verdana" w:cs="Arial"/>
          <w:i/>
          <w:sz w:val="20"/>
          <w:szCs w:val="20"/>
        </w:rPr>
        <w:t>“restablecer la tranquilidad pública y en aras de abordar el fenómeno de la violencia, se hacen necesarios mecanismos que faciliten un acercamiento con los diferentes grupos armados actores de la violencia”</w:t>
      </w:r>
      <w:r w:rsidRPr="00551BFA">
        <w:rPr>
          <w:rFonts w:ascii="Verdana" w:hAnsi="Verdana" w:cs="Arial"/>
          <w:sz w:val="20"/>
          <w:szCs w:val="20"/>
        </w:rPr>
        <w:t>, como señaló la exposición de motivos de la ley 418.</w:t>
      </w:r>
    </w:p>
    <w:p w14:paraId="1630FB8E" w14:textId="77777777" w:rsidR="0034467D" w:rsidRPr="00551BFA" w:rsidRDefault="0034467D" w:rsidP="0034467D">
      <w:pPr>
        <w:spacing w:after="0" w:line="240" w:lineRule="auto"/>
        <w:ind w:left="709" w:right="709"/>
        <w:jc w:val="both"/>
        <w:rPr>
          <w:rFonts w:ascii="Verdana" w:hAnsi="Verdana" w:cs="Arial"/>
          <w:sz w:val="20"/>
          <w:szCs w:val="20"/>
        </w:rPr>
      </w:pPr>
    </w:p>
    <w:p w14:paraId="702F3D04" w14:textId="77777777" w:rsidR="0034467D" w:rsidRPr="00551BFA" w:rsidRDefault="0034467D" w:rsidP="0034467D">
      <w:pPr>
        <w:spacing w:after="0" w:line="240" w:lineRule="auto"/>
        <w:ind w:left="709" w:right="709"/>
        <w:jc w:val="both"/>
        <w:rPr>
          <w:rFonts w:ascii="Verdana" w:hAnsi="Verdana" w:cs="Arial"/>
          <w:sz w:val="20"/>
          <w:szCs w:val="20"/>
        </w:rPr>
      </w:pPr>
      <w:r w:rsidRPr="00551BFA">
        <w:rPr>
          <w:rFonts w:ascii="Verdana" w:hAnsi="Verdana" w:cs="Arial"/>
          <w:sz w:val="20"/>
          <w:szCs w:val="20"/>
        </w:rPr>
        <w:t xml:space="preserve">En definitiva, en materia de seguridad, la consecución de objetivos de defensa y seguridad no autoriza sólo la compra de armamento como </w:t>
      </w:r>
      <w:r w:rsidRPr="00551BFA">
        <w:rPr>
          <w:rFonts w:ascii="Verdana" w:hAnsi="Verdana" w:cs="Arial"/>
          <w:i/>
          <w:sz w:val="20"/>
          <w:szCs w:val="20"/>
        </w:rPr>
        <w:t>prima facie</w:t>
      </w:r>
      <w:r w:rsidRPr="00551BFA">
        <w:rPr>
          <w:rFonts w:ascii="Verdana" w:hAnsi="Verdana" w:cs="Arial"/>
          <w:sz w:val="20"/>
          <w:szCs w:val="20"/>
        </w:rPr>
        <w:t xml:space="preserve"> parecería, sino que autoriza la adopción de medidas proporcionadas </w:t>
      </w:r>
      <w:r w:rsidRPr="00551BFA">
        <w:rPr>
          <w:rFonts w:ascii="Verdana" w:hAnsi="Verdana" w:cs="Arial"/>
          <w:sz w:val="20"/>
          <w:szCs w:val="20"/>
        </w:rPr>
        <w:lastRenderedPageBreak/>
        <w:t>y razonables al logro de ese objetivo, medidas que serán evaluadas caso por caso para determinar si realmente guardan relación y conexidad</w:t>
      </w:r>
      <w:r>
        <w:rPr>
          <w:rFonts w:ascii="Verdana" w:hAnsi="Verdana" w:cs="Arial"/>
          <w:sz w:val="20"/>
          <w:szCs w:val="20"/>
        </w:rPr>
        <w:t>”</w:t>
      </w:r>
      <w:r w:rsidRPr="00551BFA">
        <w:rPr>
          <w:rStyle w:val="Refdenotaalpie"/>
          <w:rFonts w:ascii="Verdana" w:hAnsi="Verdana"/>
          <w:sz w:val="20"/>
          <w:szCs w:val="20"/>
        </w:rPr>
        <w:footnoteReference w:id="19"/>
      </w:r>
      <w:r w:rsidRPr="00551BFA">
        <w:rPr>
          <w:rFonts w:ascii="Verdana" w:hAnsi="Verdana" w:cs="Arial"/>
          <w:sz w:val="20"/>
          <w:szCs w:val="20"/>
        </w:rPr>
        <w:t xml:space="preserve">. </w:t>
      </w:r>
      <w:r w:rsidRPr="00551BFA">
        <w:rPr>
          <w:rFonts w:ascii="Verdana" w:hAnsi="Verdana" w:cs="Arial"/>
          <w:color w:val="000000" w:themeColor="text1"/>
          <w:sz w:val="20"/>
          <w:szCs w:val="20"/>
          <w:lang w:val="es-ES_tradnl"/>
        </w:rPr>
        <w:t xml:space="preserve">  </w:t>
      </w:r>
    </w:p>
    <w:p w14:paraId="5F44B8C3"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p>
    <w:p w14:paraId="6A7109D9"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r w:rsidRPr="00551BFA">
        <w:rPr>
          <w:rFonts w:ascii="Verdana" w:hAnsi="Verdana" w:cs="Arial"/>
          <w:color w:val="000000" w:themeColor="text1"/>
          <w:lang w:val="es-ES_tradnl"/>
        </w:rPr>
        <w:t>Así mismo, en sentencia del 26 de julio de 2011, la Sección Tercera sostuvo:</w:t>
      </w:r>
    </w:p>
    <w:p w14:paraId="0D93B116"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p>
    <w:p w14:paraId="75FD5801" w14:textId="77777777" w:rsidR="0034467D" w:rsidRPr="00551BFA" w:rsidRDefault="0034467D" w:rsidP="0034467D">
      <w:pPr>
        <w:spacing w:after="0"/>
        <w:ind w:left="709" w:right="709"/>
        <w:jc w:val="both"/>
        <w:rPr>
          <w:rFonts w:ascii="Verdana" w:hAnsi="Verdana" w:cs="Arial"/>
          <w:bCs/>
          <w:sz w:val="20"/>
          <w:szCs w:val="20"/>
        </w:rPr>
      </w:pPr>
      <w:r w:rsidRPr="00551BFA">
        <w:rPr>
          <w:rFonts w:ascii="Verdana" w:hAnsi="Verdana" w:cs="Arial"/>
          <w:bCs/>
          <w:sz w:val="20"/>
          <w:szCs w:val="20"/>
        </w:rPr>
        <w:t xml:space="preserve">“[…] en vigencia de la ley 80 original –que rigió el proceso de selección </w:t>
      </w:r>
      <w:r w:rsidRPr="00551BFA">
        <w:rPr>
          <w:rFonts w:ascii="Verdana" w:hAnsi="Verdana" w:cs="Arial"/>
          <w:bCs/>
          <w:i/>
          <w:sz w:val="20"/>
          <w:szCs w:val="20"/>
        </w:rPr>
        <w:t>sub iudice</w:t>
      </w:r>
      <w:r w:rsidRPr="00551BFA">
        <w:rPr>
          <w:rFonts w:ascii="Verdana" w:hAnsi="Verdana" w:cs="Arial"/>
          <w:bCs/>
          <w:sz w:val="20"/>
          <w:szCs w:val="20"/>
        </w:rPr>
        <w:t>- la noción de bienes para la defensa y seguridad nacional fue un concepto jurídico indeterminado, cuyo alcance, como acontece normalmente con estas nociones vagas y amplias, suele quedar en manos del operador jurídico del caso, que tiene el deber de precisar su contenido para aplicarlo al asunto concreto. Claro está que luego procede el control judicial sobre los actos que definen el tema, y será el juez quien determinará la corrección o incorrección que la administración hace de su alcance”</w:t>
      </w:r>
      <w:r w:rsidRPr="00551BFA">
        <w:rPr>
          <w:rStyle w:val="Refdenotaalpie"/>
          <w:rFonts w:ascii="Verdana" w:hAnsi="Verdana"/>
          <w:sz w:val="20"/>
          <w:szCs w:val="20"/>
        </w:rPr>
        <w:footnoteReference w:id="20"/>
      </w:r>
      <w:r w:rsidRPr="00551BFA">
        <w:rPr>
          <w:rFonts w:ascii="Verdana" w:hAnsi="Verdana" w:cs="Arial"/>
          <w:bCs/>
          <w:sz w:val="20"/>
          <w:szCs w:val="20"/>
        </w:rPr>
        <w:t>.</w:t>
      </w:r>
    </w:p>
    <w:p w14:paraId="1326155A" w14:textId="77777777" w:rsidR="0034467D" w:rsidRPr="00551BFA" w:rsidRDefault="0034467D" w:rsidP="0034467D">
      <w:pPr>
        <w:spacing w:after="0" w:line="276" w:lineRule="auto"/>
        <w:jc w:val="both"/>
        <w:rPr>
          <w:rFonts w:ascii="Verdana" w:hAnsi="Verdana" w:cs="Arial"/>
          <w:color w:val="000000" w:themeColor="text1"/>
        </w:rPr>
      </w:pPr>
    </w:p>
    <w:p w14:paraId="370DE241"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r w:rsidRPr="00551BFA">
        <w:rPr>
          <w:rFonts w:ascii="Verdana" w:hAnsi="Verdana" w:cs="Arial"/>
          <w:color w:val="000000" w:themeColor="text1"/>
          <w:lang w:val="es-ES_tradnl"/>
        </w:rPr>
        <w:t>Finalmente, en la sentencia del 23 de julio de 2015, la Sección Tercera indicó:</w:t>
      </w:r>
    </w:p>
    <w:p w14:paraId="2AADB92C"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p>
    <w:p w14:paraId="65A5937D" w14:textId="77777777" w:rsidR="0034467D" w:rsidRPr="00551BFA" w:rsidRDefault="0034467D" w:rsidP="0034467D">
      <w:pPr>
        <w:spacing w:after="0" w:line="240" w:lineRule="auto"/>
        <w:ind w:left="709" w:right="709"/>
        <w:jc w:val="both"/>
        <w:rPr>
          <w:rFonts w:ascii="Verdana" w:hAnsi="Verdana" w:cs="Arial"/>
          <w:sz w:val="20"/>
          <w:szCs w:val="20"/>
          <w:lang w:val="es-ES" w:eastAsia="es-ES"/>
        </w:rPr>
      </w:pPr>
      <w:r w:rsidRPr="00551BFA">
        <w:rPr>
          <w:rFonts w:ascii="Verdana" w:hAnsi="Verdana" w:cs="Arial"/>
          <w:sz w:val="20"/>
          <w:szCs w:val="20"/>
          <w:lang w:val="es-ES" w:eastAsia="es-ES"/>
        </w:rPr>
        <w:t xml:space="preserve">“La defensa y seguridad nacional son </w:t>
      </w:r>
      <w:r w:rsidRPr="00551BFA">
        <w:rPr>
          <w:rFonts w:ascii="Verdana" w:hAnsi="Verdana" w:cs="Arial"/>
          <w:i/>
          <w:iCs/>
          <w:sz w:val="20"/>
          <w:szCs w:val="20"/>
          <w:lang w:val="es-ES" w:eastAsia="es-ES"/>
        </w:rPr>
        <w:t>conceptos normativos indeterminados</w:t>
      </w:r>
      <w:r w:rsidRPr="00551BFA">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w:t>
      </w:r>
      <w:proofErr w:type="gramStart"/>
      <w:r w:rsidRPr="00551BFA">
        <w:rPr>
          <w:rFonts w:ascii="Verdana" w:hAnsi="Verdana" w:cs="Arial"/>
          <w:sz w:val="20"/>
          <w:szCs w:val="20"/>
          <w:lang w:val="es-ES" w:eastAsia="es-ES"/>
        </w:rPr>
        <w:t>espacio-temporal</w:t>
      </w:r>
      <w:proofErr w:type="gramEnd"/>
      <w:r w:rsidRPr="00551BFA">
        <w:rPr>
          <w:rFonts w:ascii="Verdana" w:hAnsi="Verdana" w:cs="Arial"/>
          <w:sz w:val="20"/>
          <w:szCs w:val="20"/>
          <w:lang w:val="es-ES" w:eastAsia="es-ES"/>
        </w:rPr>
        <w:t xml:space="preserve">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1C181FB1" w14:textId="77777777" w:rsidR="0034467D" w:rsidRPr="00551BFA" w:rsidRDefault="0034467D" w:rsidP="0034467D">
      <w:pPr>
        <w:spacing w:after="0" w:line="240" w:lineRule="auto"/>
        <w:ind w:left="709" w:right="709"/>
        <w:jc w:val="both"/>
        <w:rPr>
          <w:rFonts w:ascii="Verdana" w:hAnsi="Verdana" w:cs="Arial"/>
          <w:sz w:val="20"/>
          <w:szCs w:val="20"/>
          <w:lang w:val="es-ES_tradnl" w:eastAsia="es-ES"/>
        </w:rPr>
      </w:pPr>
    </w:p>
    <w:p w14:paraId="648497C0" w14:textId="77777777" w:rsidR="0034467D" w:rsidRPr="00551BFA" w:rsidRDefault="0034467D" w:rsidP="0034467D">
      <w:pPr>
        <w:spacing w:after="0" w:line="240" w:lineRule="auto"/>
        <w:ind w:left="709" w:right="709"/>
        <w:jc w:val="both"/>
        <w:rPr>
          <w:rFonts w:ascii="Verdana" w:hAnsi="Verdana" w:cs="Arial"/>
          <w:sz w:val="20"/>
          <w:szCs w:val="20"/>
          <w:lang w:val="es-ES_tradnl" w:eastAsia="es-ES"/>
        </w:rPr>
      </w:pPr>
      <w:r w:rsidRPr="00551BFA">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551BFA">
        <w:rPr>
          <w:rFonts w:ascii="Verdana" w:hAnsi="Verdana" w:cs="Arial"/>
          <w:i/>
          <w:sz w:val="20"/>
          <w:szCs w:val="20"/>
          <w:lang w:val="es-ES_tradnl" w:eastAsia="es-ES"/>
        </w:rPr>
        <w:t>el criterio conforme al cual la seguridad es apenas un conjunto de dispositivos para la guerra</w:t>
      </w:r>
      <w:r w:rsidRPr="00551BFA">
        <w:rPr>
          <w:rFonts w:ascii="Verdana" w:hAnsi="Verdana" w:cs="Arial"/>
          <w:sz w:val="20"/>
          <w:szCs w:val="20"/>
          <w:lang w:val="es-ES_tradnl" w:eastAsia="es-ES"/>
        </w:rPr>
        <w:t xml:space="preserve">: es un fenómeno que, dadas las condiciones actuales de nuestras </w:t>
      </w:r>
      <w:r w:rsidRPr="00551BFA">
        <w:rPr>
          <w:rFonts w:ascii="Verdana" w:hAnsi="Verdana" w:cs="Arial"/>
          <w:sz w:val="20"/>
          <w:szCs w:val="20"/>
          <w:lang w:val="es-ES_tradnl" w:eastAsia="es-ES"/>
        </w:rPr>
        <w:lastRenderedPageBreak/>
        <w:t>sociedades, puede referir, incluso, a asuntos económicos, energéticos, ambientales y hasta de salud pública”</w:t>
      </w:r>
      <w:r w:rsidRPr="00551BFA">
        <w:rPr>
          <w:rStyle w:val="Refdenotaalpie"/>
          <w:rFonts w:ascii="Verdana" w:hAnsi="Verdana"/>
          <w:sz w:val="20"/>
          <w:szCs w:val="20"/>
        </w:rPr>
        <w:footnoteReference w:id="21"/>
      </w:r>
      <w:r w:rsidRPr="00551BFA">
        <w:rPr>
          <w:rFonts w:ascii="Verdana" w:hAnsi="Verdana" w:cs="Arial"/>
          <w:sz w:val="20"/>
          <w:szCs w:val="20"/>
          <w:lang w:val="es-ES_tradnl" w:eastAsia="es-ES"/>
        </w:rPr>
        <w:t>.</w:t>
      </w:r>
    </w:p>
    <w:p w14:paraId="4DBE8168" w14:textId="77777777" w:rsidR="0034467D" w:rsidRPr="00551BFA" w:rsidRDefault="0034467D" w:rsidP="0034467D">
      <w:pPr>
        <w:spacing w:after="0" w:line="276" w:lineRule="auto"/>
        <w:ind w:firstLine="709"/>
        <w:jc w:val="both"/>
        <w:rPr>
          <w:rFonts w:ascii="Verdana" w:hAnsi="Verdana" w:cs="Arial"/>
          <w:color w:val="000000" w:themeColor="text1"/>
          <w:lang w:val="es-ES_tradnl"/>
        </w:rPr>
      </w:pPr>
    </w:p>
    <w:p w14:paraId="207758C3" w14:textId="77777777" w:rsidR="0034467D" w:rsidRDefault="0034467D" w:rsidP="0034467D">
      <w:pPr>
        <w:spacing w:after="120" w:line="276" w:lineRule="auto"/>
        <w:ind w:firstLine="709"/>
        <w:jc w:val="both"/>
        <w:rPr>
          <w:rFonts w:ascii="Verdana" w:hAnsi="Verdana" w:cs="Arial"/>
          <w:color w:val="000000" w:themeColor="text1"/>
          <w:lang w:val="es-ES"/>
        </w:rPr>
      </w:pPr>
      <w:r w:rsidRPr="00551BFA">
        <w:rPr>
          <w:rFonts w:ascii="Verdana" w:hAnsi="Verdana" w:cs="Arial"/>
          <w:color w:val="000000" w:themeColor="text1"/>
          <w:lang w:val="es-ES"/>
        </w:rPr>
        <w:t xml:space="preserve">Del anterior recuento doctrinario y jurisprudencial se concluye que la expresión </w:t>
      </w:r>
      <w:r>
        <w:rPr>
          <w:rFonts w:ascii="Verdana" w:hAnsi="Verdana" w:cs="Arial"/>
          <w:color w:val="000000" w:themeColor="text1"/>
          <w:lang w:val="es-ES"/>
        </w:rPr>
        <w:t>“</w:t>
      </w:r>
      <w:r w:rsidRPr="00551BFA">
        <w:rPr>
          <w:rFonts w:ascii="Verdana" w:hAnsi="Verdana" w:cs="Arial"/>
          <w:color w:val="000000" w:themeColor="text1"/>
          <w:lang w:val="es-ES"/>
        </w:rPr>
        <w:t>defensa y seguridad del Estado</w:t>
      </w:r>
      <w:r>
        <w:rPr>
          <w:rFonts w:ascii="Verdana" w:hAnsi="Verdana" w:cs="Arial"/>
          <w:color w:val="000000" w:themeColor="text1"/>
          <w:lang w:val="es-ES"/>
        </w:rPr>
        <w:t>”</w:t>
      </w:r>
      <w:r w:rsidRPr="00551BFA">
        <w:rPr>
          <w:rFonts w:ascii="Verdana" w:hAnsi="Verdana" w:cs="Arial"/>
          <w:color w:val="000000" w:themeColor="text1"/>
          <w:lang w:val="es-ES"/>
        </w:rPr>
        <w:t xml:space="preserve">, empleada por el segundo inciso del artículo 33 de la Ley 996 de 2005 –y que se halla también en otras disposiciones normativas con la denominación de </w:t>
      </w:r>
      <w:r>
        <w:rPr>
          <w:rFonts w:ascii="Verdana" w:hAnsi="Verdana" w:cs="Arial"/>
          <w:color w:val="000000" w:themeColor="text1"/>
          <w:lang w:val="es-ES"/>
        </w:rPr>
        <w:t>“</w:t>
      </w:r>
      <w:r w:rsidRPr="00551BFA">
        <w:rPr>
          <w:rFonts w:ascii="Verdana" w:hAnsi="Verdana" w:cs="Arial"/>
          <w:color w:val="000000" w:themeColor="text1"/>
          <w:lang w:val="es-ES"/>
        </w:rPr>
        <w:t>defensa y seguridad nacional</w:t>
      </w:r>
      <w:r>
        <w:rPr>
          <w:rFonts w:ascii="Verdana" w:hAnsi="Verdana" w:cs="Arial"/>
          <w:color w:val="000000" w:themeColor="text1"/>
          <w:lang w:val="es-ES"/>
        </w:rPr>
        <w:t>”</w:t>
      </w:r>
      <w:r w:rsidRPr="00551BFA">
        <w:rPr>
          <w:rFonts w:ascii="Verdana" w:hAnsi="Verdana" w:cs="Arial"/>
          <w:color w:val="000000" w:themeColor="text1"/>
          <w:lang w:val="es-ES"/>
        </w:rPr>
        <w:t xml:space="preserve">– es un </w:t>
      </w:r>
      <w:r w:rsidRPr="00551BFA">
        <w:rPr>
          <w:rFonts w:ascii="Verdana" w:hAnsi="Verdana" w:cs="Arial"/>
          <w:i/>
          <w:iCs/>
          <w:color w:val="000000" w:themeColor="text1"/>
          <w:lang w:val="es-ES"/>
        </w:rPr>
        <w:t>concepto jurídico indeterminado</w:t>
      </w:r>
      <w:r w:rsidRPr="00551BFA">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de la sola adquisición de armamento o de los bienes y actividades requeridas para la </w:t>
      </w:r>
      <w:r>
        <w:rPr>
          <w:rFonts w:ascii="Verdana" w:hAnsi="Verdana" w:cs="Arial"/>
          <w:color w:val="000000" w:themeColor="text1"/>
          <w:lang w:val="es-ES"/>
        </w:rPr>
        <w:t>“</w:t>
      </w:r>
      <w:r w:rsidRPr="00551BFA">
        <w:rPr>
          <w:rFonts w:ascii="Verdana" w:hAnsi="Verdana" w:cs="Arial"/>
          <w:color w:val="000000" w:themeColor="text1"/>
          <w:lang w:val="es-ES"/>
        </w:rPr>
        <w:t>guerra</w:t>
      </w:r>
      <w:r>
        <w:rPr>
          <w:rFonts w:ascii="Verdana" w:hAnsi="Verdana" w:cs="Arial"/>
          <w:color w:val="000000" w:themeColor="text1"/>
          <w:lang w:val="es-ES"/>
        </w:rPr>
        <w:t>”</w:t>
      </w:r>
      <w:r w:rsidRPr="00551BFA">
        <w:rPr>
          <w:rFonts w:ascii="Verdana" w:hAnsi="Verdana" w:cs="Arial"/>
          <w:color w:val="000000" w:themeColor="text1"/>
          <w:lang w:val="es-ES"/>
        </w:rPr>
        <w:t xml:space="preserve">. Para el alto tribunal, aquel es un concepto que debe interpretarse bajo una comprensión sistemática del </w:t>
      </w:r>
      <w:r w:rsidRPr="000E6C92">
        <w:rPr>
          <w:rFonts w:ascii="Verdana" w:hAnsi="Verdana" w:cs="Arial"/>
          <w:i/>
          <w:iCs/>
          <w:color w:val="000000" w:themeColor="text1"/>
          <w:lang w:val="es-ES"/>
        </w:rPr>
        <w:t>orden público</w:t>
      </w:r>
      <w:r w:rsidRPr="00551BFA">
        <w:rPr>
          <w:rFonts w:ascii="Verdana" w:hAnsi="Verdana" w:cs="Arial"/>
          <w:color w:val="000000" w:themeColor="text1"/>
          <w:lang w:val="es-ES"/>
        </w:rPr>
        <w:t xml:space="preserve">. </w:t>
      </w:r>
    </w:p>
    <w:p w14:paraId="1D94EC7C" w14:textId="77777777" w:rsidR="0034467D" w:rsidRDefault="0034467D" w:rsidP="0034467D">
      <w:pPr>
        <w:spacing w:after="0" w:line="276" w:lineRule="auto"/>
        <w:ind w:firstLine="709"/>
        <w:jc w:val="both"/>
        <w:rPr>
          <w:rFonts w:ascii="Verdana" w:hAnsi="Verdana" w:cs="Arial"/>
          <w:color w:val="000000" w:themeColor="text1"/>
          <w:lang w:val="es-ES"/>
        </w:rPr>
      </w:pPr>
      <w:r>
        <w:rPr>
          <w:rFonts w:ascii="Verdana" w:hAnsi="Verdana" w:cs="Arial"/>
          <w:color w:val="000000" w:themeColor="text1"/>
          <w:lang w:val="es-ES"/>
        </w:rPr>
        <w:t>En virtud de lo anterior</w:t>
      </w:r>
      <w:r w:rsidRPr="00551BFA">
        <w:rPr>
          <w:rFonts w:ascii="Verdana" w:hAnsi="Verdana" w:cs="Arial"/>
          <w:color w:val="000000" w:themeColor="text1"/>
          <w:lang w:val="es-ES"/>
        </w:rPr>
        <w:t xml:space="preserve">, considerando estos criterios hermenéuticos, corresponde a la entidad que realiza la consulta interpretar el concepto jurídico </w:t>
      </w:r>
      <w:r>
        <w:rPr>
          <w:rFonts w:ascii="Verdana" w:hAnsi="Verdana" w:cs="Arial"/>
          <w:color w:val="000000" w:themeColor="text1"/>
          <w:lang w:val="es-ES"/>
        </w:rPr>
        <w:t>“</w:t>
      </w:r>
      <w:r w:rsidRPr="00551BFA">
        <w:rPr>
          <w:rFonts w:ascii="Verdana" w:hAnsi="Verdana" w:cs="Arial"/>
          <w:color w:val="000000" w:themeColor="text1"/>
          <w:lang w:val="es-ES"/>
        </w:rPr>
        <w:t>defensa y seguridad del Estado</w:t>
      </w:r>
      <w:r>
        <w:rPr>
          <w:rFonts w:ascii="Verdana" w:hAnsi="Verdana" w:cs="Arial"/>
          <w:color w:val="000000" w:themeColor="text1"/>
          <w:lang w:val="es-ES"/>
        </w:rPr>
        <w:t>”</w:t>
      </w:r>
      <w:r w:rsidRPr="00551BFA">
        <w:rPr>
          <w:rFonts w:ascii="Verdana" w:hAnsi="Verdana" w:cs="Arial"/>
          <w:color w:val="000000" w:themeColor="text1"/>
          <w:lang w:val="es-ES"/>
        </w:rPr>
        <w:t xml:space="preserve">, para determinar si se presenta la excepción a la contratación directa prevista en el segundo inciso del artículo 33 de la Ley 996 de 2005.    </w:t>
      </w:r>
    </w:p>
    <w:p w14:paraId="75411B00" w14:textId="77777777" w:rsidR="0034467D" w:rsidRPr="00551BFA" w:rsidRDefault="0034467D" w:rsidP="0034467D">
      <w:pPr>
        <w:spacing w:after="0" w:line="276" w:lineRule="auto"/>
        <w:jc w:val="both"/>
        <w:rPr>
          <w:rFonts w:ascii="Verdana" w:eastAsia="Century Gothic" w:hAnsi="Verdana" w:cs="Century Gothic"/>
          <w:bCs/>
          <w:lang w:val="es-ES"/>
        </w:rPr>
      </w:pPr>
    </w:p>
    <w:p w14:paraId="5DB5B38D" w14:textId="77777777" w:rsidR="0034467D" w:rsidRPr="00C13395" w:rsidRDefault="0034467D" w:rsidP="0034467D">
      <w:pPr>
        <w:spacing w:after="12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v</w:t>
      </w:r>
      <w:r>
        <w:rPr>
          <w:rFonts w:ascii="Verdana" w:eastAsia="Century Gothic" w:hAnsi="Verdana" w:cs="Century Gothic"/>
          <w:lang w:val="es-ES"/>
        </w:rPr>
        <w:t>ii</w:t>
      </w:r>
      <w:proofErr w:type="spellEnd"/>
      <w:r>
        <w:rPr>
          <w:rFonts w:ascii="Verdana" w:eastAsia="Century Gothic" w:hAnsi="Verdana" w:cs="Century Gothic"/>
          <w:lang w:val="es-ES"/>
        </w:rPr>
        <w:t>)</w:t>
      </w:r>
      <w:r w:rsidRPr="61CFEC75">
        <w:rPr>
          <w:rFonts w:ascii="Verdana" w:eastAsia="Century Gothic" w:hAnsi="Verdana" w:cs="Century Gothic"/>
          <w:lang w:val="es-ES"/>
        </w:rPr>
        <w:t xml:space="preserve">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EB61F70" w14:textId="77777777" w:rsidR="0034467D" w:rsidRPr="00C13395" w:rsidRDefault="0034467D" w:rsidP="0034467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Respecto de lo anterior, la Sala de Consulta y Servicio Civil del Consejo de Estado, en Concepto 1727 de fecha 20 de febrero de 2006, consideró que: </w:t>
      </w:r>
    </w:p>
    <w:p w14:paraId="4BE0BECA" w14:textId="77777777" w:rsidR="0034467D" w:rsidRPr="00C13395" w:rsidRDefault="0034467D" w:rsidP="0034467D">
      <w:pPr>
        <w:spacing w:after="0" w:line="276" w:lineRule="auto"/>
        <w:jc w:val="both"/>
        <w:rPr>
          <w:rFonts w:ascii="Verdana" w:eastAsia="Century Gothic" w:hAnsi="Verdana" w:cs="Century Gothic"/>
          <w:bCs/>
          <w:lang w:val="es-ES_tradnl"/>
        </w:rPr>
      </w:pPr>
    </w:p>
    <w:p w14:paraId="08042094" w14:textId="77777777" w:rsidR="0034467D"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“El artículo 33 de la ley 996 de 2005, efectivamente se aplica incluso a las entidades estatales con régimen especial de contratación y que están </w:t>
      </w:r>
      <w:r w:rsidRPr="00C13395">
        <w:rPr>
          <w:rFonts w:ascii="Verdana" w:eastAsia="Century Gothic" w:hAnsi="Verdana" w:cs="Century Gothic"/>
          <w:bCs/>
          <w:sz w:val="20"/>
          <w:szCs w:val="20"/>
          <w:lang w:val="es-ES_tradnl"/>
        </w:rPr>
        <w:lastRenderedPageBreak/>
        <w:t xml:space="preserve">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 . </w:t>
      </w:r>
    </w:p>
    <w:p w14:paraId="21629566" w14:textId="77777777" w:rsidR="0034467D" w:rsidRPr="00C13395" w:rsidRDefault="0034467D" w:rsidP="0034467D">
      <w:pPr>
        <w:spacing w:after="0" w:line="276" w:lineRule="auto"/>
        <w:ind w:left="709" w:right="709"/>
        <w:jc w:val="both"/>
        <w:rPr>
          <w:rFonts w:ascii="Verdana" w:eastAsia="Century Gothic" w:hAnsi="Verdana" w:cs="Century Gothic"/>
          <w:bCs/>
          <w:sz w:val="20"/>
          <w:szCs w:val="20"/>
          <w:lang w:val="es-ES_tradnl"/>
        </w:rPr>
      </w:pPr>
    </w:p>
    <w:p w14:paraId="5E0A3668" w14:textId="77777777" w:rsidR="0034467D" w:rsidRDefault="0034467D" w:rsidP="0034467D">
      <w:pPr>
        <w:spacing w:after="120" w:line="276" w:lineRule="auto"/>
        <w:ind w:firstLine="709"/>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 </w:t>
      </w:r>
    </w:p>
    <w:p w14:paraId="48D61124" w14:textId="77777777" w:rsidR="0034467D" w:rsidRDefault="0034467D" w:rsidP="0034467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Además, la Sala de Consulta y Servicio Civil del Consejo de Estado realizó la siguiente distinción, retomando el pronunciamiento de la misma sala del 20 de febrero de 2006, citado anteriormente:</w:t>
      </w:r>
    </w:p>
    <w:p w14:paraId="575C785B" w14:textId="77777777" w:rsidR="0034467D" w:rsidRPr="00C13395" w:rsidRDefault="0034467D" w:rsidP="0034467D">
      <w:pPr>
        <w:spacing w:after="0" w:line="276" w:lineRule="auto"/>
        <w:ind w:firstLine="708"/>
        <w:jc w:val="both"/>
        <w:rPr>
          <w:rFonts w:ascii="Verdana" w:eastAsia="Century Gothic" w:hAnsi="Verdana" w:cs="Century Gothic"/>
          <w:bCs/>
          <w:lang w:val="es-ES_tradnl"/>
        </w:rPr>
      </w:pPr>
    </w:p>
    <w:p w14:paraId="11821294" w14:textId="77777777" w:rsidR="0034467D"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60F713C" w14:textId="77777777" w:rsidR="0034467D" w:rsidRPr="00C13395" w:rsidRDefault="0034467D" w:rsidP="0034467D">
      <w:pPr>
        <w:spacing w:after="0" w:line="240" w:lineRule="auto"/>
        <w:ind w:left="709" w:right="709"/>
        <w:jc w:val="both"/>
        <w:rPr>
          <w:rFonts w:ascii="Verdana" w:eastAsia="Century Gothic" w:hAnsi="Verdana" w:cs="Century Gothic"/>
          <w:bCs/>
          <w:sz w:val="20"/>
          <w:szCs w:val="20"/>
          <w:lang w:val="es-ES_tradnl"/>
        </w:rPr>
      </w:pPr>
    </w:p>
    <w:p w14:paraId="5977F0D9" w14:textId="77777777" w:rsidR="0034467D" w:rsidRPr="00C13395" w:rsidRDefault="0034467D" w:rsidP="0034467D">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w:t>
      </w:r>
      <w:r w:rsidRPr="00C13395">
        <w:rPr>
          <w:rFonts w:ascii="Verdana" w:eastAsia="Century Gothic" w:hAnsi="Verdana" w:cs="Century Gothic"/>
          <w:bCs/>
          <w:sz w:val="20"/>
          <w:szCs w:val="20"/>
          <w:lang w:val="es-ES_tradnl"/>
        </w:rPr>
        <w:lastRenderedPageBreak/>
        <w:t>significaría la parálisis de tal actividad de interés público, lo que de ninguna manera es lo querido por la ley 996 de 2005”.</w:t>
      </w:r>
    </w:p>
    <w:p w14:paraId="695F9DCE" w14:textId="77777777" w:rsidR="0034467D" w:rsidRDefault="0034467D" w:rsidP="0034467D">
      <w:pPr>
        <w:spacing w:after="0" w:line="276" w:lineRule="auto"/>
        <w:ind w:firstLine="708"/>
        <w:jc w:val="both"/>
        <w:rPr>
          <w:rFonts w:ascii="Verdana" w:eastAsia="Century Gothic" w:hAnsi="Verdana" w:cs="Century Gothic"/>
          <w:bCs/>
          <w:lang w:val="es-ES_tradnl"/>
        </w:rPr>
      </w:pPr>
    </w:p>
    <w:p w14:paraId="1435D409"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 . </w:t>
      </w:r>
    </w:p>
    <w:p w14:paraId="70141BD5" w14:textId="77777777" w:rsidR="0034467D" w:rsidRDefault="0034467D" w:rsidP="0034467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Conforme a los expuesto,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E7CADEB" w14:textId="77777777" w:rsidR="0034467D" w:rsidRPr="00C13395" w:rsidRDefault="0034467D" w:rsidP="0034467D">
      <w:pPr>
        <w:spacing w:after="0" w:line="276" w:lineRule="auto"/>
        <w:ind w:firstLine="708"/>
        <w:jc w:val="both"/>
        <w:rPr>
          <w:rFonts w:ascii="Verdana" w:eastAsia="Century Gothic" w:hAnsi="Verdana" w:cs="Century Gothic"/>
          <w:bCs/>
          <w:lang w:val="es-ES_tradnl"/>
        </w:rPr>
      </w:pPr>
    </w:p>
    <w:p w14:paraId="2028EDCF" w14:textId="77777777" w:rsidR="0034467D" w:rsidRPr="000E6C92" w:rsidRDefault="0034467D" w:rsidP="0034467D">
      <w:pPr>
        <w:shd w:val="clear" w:color="auto" w:fill="FFFFFF"/>
        <w:spacing w:after="120" w:line="276" w:lineRule="auto"/>
        <w:jc w:val="both"/>
        <w:rPr>
          <w:rFonts w:ascii="Verdana" w:hAnsi="Verdana" w:cs="Arial"/>
          <w:lang w:val="es-ES" w:eastAsia="es-CO"/>
        </w:rPr>
      </w:pPr>
      <w:proofErr w:type="spellStart"/>
      <w:r>
        <w:rPr>
          <w:rFonts w:ascii="Verdana" w:eastAsia="Century Gothic" w:hAnsi="Verdana" w:cs="Century Gothic"/>
          <w:lang w:val="es-ES"/>
        </w:rPr>
        <w:t>viii</w:t>
      </w:r>
      <w:proofErr w:type="spellEnd"/>
      <w:r w:rsidRPr="122F1934">
        <w:rPr>
          <w:rFonts w:ascii="Verdana" w:eastAsia="Century Gothic" w:hAnsi="Verdana" w:cs="Century Gothic"/>
          <w:lang w:val="es-ES"/>
        </w:rPr>
        <w:t xml:space="preserve">) </w:t>
      </w:r>
      <w:r w:rsidRPr="00C13395">
        <w:rPr>
          <w:rFonts w:ascii="Verdana" w:eastAsia="Century Gothic" w:hAnsi="Verdana" w:cs="Century Gothic"/>
          <w:bCs/>
          <w:lang w:val="es-ES_tradnl"/>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w:t>
      </w:r>
      <w:r>
        <w:rPr>
          <w:rFonts w:ascii="Verdana" w:eastAsia="Century Gothic" w:hAnsi="Verdana" w:cs="Century Gothic"/>
          <w:bCs/>
          <w:lang w:val="es-ES_tradnl"/>
        </w:rPr>
        <w:t xml:space="preserve">Así las cosas, </w:t>
      </w:r>
      <w:r w:rsidRPr="00F43CC7">
        <w:rPr>
          <w:rFonts w:ascii="Verdana" w:eastAsia="Calibri" w:hAnsi="Verdana" w:cs="Arial"/>
          <w:lang w:val="es-ES"/>
        </w:rPr>
        <w:t xml:space="preserve">corresponde a cada entidad estatal realizar el análisis para determinar si aplica o no una determinada excepción a la prohibición del artículo 33 de la Ley de Garantías Electorales, según la situación fáctica y jurídica particular del caso </w:t>
      </w:r>
      <w:r w:rsidRPr="00F43CC7">
        <w:rPr>
          <w:rFonts w:ascii="Verdana" w:eastAsia="Calibri" w:hAnsi="Verdana" w:cs="Arial"/>
          <w:lang w:val="es-ES"/>
        </w:rPr>
        <w:lastRenderedPageBreak/>
        <w:t>concreto, para lo cual las consideraciones expuestas en el presente concepto constituyen un instrumento orientador.</w:t>
      </w:r>
      <w:r w:rsidRPr="00F43CC7">
        <w:rPr>
          <w:rFonts w:ascii="Verdana" w:hAnsi="Verdana" w:cs="Arial"/>
          <w:lang w:val="es-ES" w:eastAsia="es-CO"/>
        </w:rPr>
        <w:t xml:space="preserve"> Igualmente, las entidades podrán considerar la posibilidad de adelantar modalidades distintas a la contratación directa o implementar tipologías distintas a los convenios interadministrativos, es decir, aquellas que no se encuentren restringidas por el artículo 33 o el parágrafo del artículo 38 de la Ley 996 de 2005.</w:t>
      </w:r>
    </w:p>
    <w:p w14:paraId="5D37E514" w14:textId="77777777" w:rsidR="0034467D" w:rsidRPr="00C13395" w:rsidRDefault="0034467D" w:rsidP="0034467D">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45C2A06" w14:textId="77777777" w:rsidR="0034467D" w:rsidRPr="001F370F" w:rsidRDefault="0034467D" w:rsidP="0034467D">
      <w:pPr>
        <w:spacing w:after="0" w:line="276" w:lineRule="auto"/>
        <w:ind w:firstLine="709"/>
        <w:jc w:val="both"/>
        <w:rPr>
          <w:rFonts w:ascii="Verdana" w:eastAsia="Times New Roman" w:hAnsi="Verdana" w:cs="Arial"/>
          <w:bCs/>
          <w:lang w:val="es-MX" w:eastAsia="x-none"/>
        </w:rPr>
      </w:pPr>
      <w:r w:rsidRPr="001F370F">
        <w:rPr>
          <w:rFonts w:ascii="Verdana" w:eastAsia="Times New Roman" w:hAnsi="Verdana" w:cs="Arial"/>
          <w:bCs/>
          <w:lang w:val="es-MX" w:eastAsia="x-none"/>
        </w:rPr>
        <w:t>Finalmente, se reitera, c</w:t>
      </w:r>
      <w:r w:rsidRPr="001F370F">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vigor de las prohibiciones anotadas, así como la cesión de </w:t>
      </w:r>
      <w:proofErr w:type="gramStart"/>
      <w:r w:rsidRPr="001F370F">
        <w:rPr>
          <w:rFonts w:ascii="Verdana" w:eastAsia="Times New Roman" w:hAnsi="Verdana" w:cs="Arial"/>
          <w:bCs/>
          <w:lang w:val="es-MX" w:eastAsia="es-CO"/>
        </w:rPr>
        <w:t>los mismos</w:t>
      </w:r>
      <w:proofErr w:type="gramEnd"/>
      <w:r w:rsidRPr="001F370F">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1F370F">
        <w:rPr>
          <w:rFonts w:ascii="Verdana" w:eastAsia="Times New Roman" w:hAnsi="Verdana" w:cs="Arial"/>
          <w:bCs/>
          <w:vertAlign w:val="superscript"/>
          <w:lang w:val="es-MX" w:eastAsia="es-CO"/>
        </w:rPr>
        <w:footnoteReference w:id="22"/>
      </w:r>
      <w:r w:rsidRPr="001F370F">
        <w:rPr>
          <w:rFonts w:ascii="Verdana" w:eastAsia="Times New Roman" w:hAnsi="Verdana" w:cs="Arial"/>
          <w:bCs/>
          <w:lang w:val="es-MX" w:eastAsia="es-CO"/>
        </w:rPr>
        <w:t>. Además, también es posible que contratos celebrados previamente se continúen ejecutando con normalidad.</w:t>
      </w:r>
    </w:p>
    <w:p w14:paraId="1EC50864" w14:textId="77777777" w:rsidR="0034467D" w:rsidRPr="00E04358" w:rsidRDefault="0034467D" w:rsidP="0034467D">
      <w:pPr>
        <w:widowControl w:val="0"/>
        <w:autoSpaceDE w:val="0"/>
        <w:autoSpaceDN w:val="0"/>
        <w:spacing w:after="0" w:line="276" w:lineRule="auto"/>
        <w:jc w:val="both"/>
        <w:rPr>
          <w:rFonts w:ascii="Verdana" w:hAnsi="Verdana" w:cs="Arial"/>
          <w:lang w:val="es-MX" w:eastAsia="es-ES"/>
        </w:rPr>
      </w:pPr>
      <w:r>
        <w:rPr>
          <w:rFonts w:ascii="Verdana" w:hAnsi="Verdana" w:cs="Arial"/>
          <w:lang w:val="es-MX" w:eastAsia="es-ES"/>
        </w:rPr>
        <w:t xml:space="preserve"> </w:t>
      </w:r>
    </w:p>
    <w:bookmarkEnd w:id="4"/>
    <w:bookmarkEnd w:id="5"/>
    <w:p w14:paraId="07DFA080" w14:textId="77777777" w:rsidR="0034467D" w:rsidRPr="001F283D" w:rsidRDefault="0034467D" w:rsidP="0034467D">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291CFC82" w14:textId="77777777" w:rsidR="0034467D" w:rsidRPr="00593A5F" w:rsidRDefault="0034467D" w:rsidP="0034467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4467D" w:rsidRPr="002407CE" w14:paraId="7249C714" w14:textId="77777777" w:rsidTr="00BE0098">
        <w:trPr>
          <w:trHeight w:val="870"/>
          <w:jc w:val="center"/>
        </w:trPr>
        <w:tc>
          <w:tcPr>
            <w:tcW w:w="8647" w:type="dxa"/>
          </w:tcPr>
          <w:p w14:paraId="580FCEEF" w14:textId="77777777" w:rsidR="0034467D" w:rsidRPr="00144EB3" w:rsidRDefault="0034467D" w:rsidP="0034467D">
            <w:pPr>
              <w:widowControl w:val="0"/>
              <w:numPr>
                <w:ilvl w:val="0"/>
                <w:numId w:val="2"/>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 de 1989, artículo 38.</w:t>
            </w:r>
          </w:p>
          <w:p w14:paraId="71827A24" w14:textId="77777777" w:rsidR="0034467D" w:rsidRPr="00144EB3" w:rsidRDefault="0034467D" w:rsidP="0034467D">
            <w:pPr>
              <w:widowControl w:val="0"/>
              <w:numPr>
                <w:ilvl w:val="0"/>
                <w:numId w:val="2"/>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80 de 1993, artículos 13, 32 y 40.</w:t>
            </w:r>
          </w:p>
          <w:p w14:paraId="3594B6AF" w14:textId="77777777" w:rsidR="0034467D" w:rsidRPr="00144EB3" w:rsidRDefault="0034467D" w:rsidP="0034467D">
            <w:pPr>
              <w:widowControl w:val="0"/>
              <w:numPr>
                <w:ilvl w:val="0"/>
                <w:numId w:val="2"/>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136 de 1994, artículo 32.</w:t>
            </w:r>
          </w:p>
          <w:p w14:paraId="253117F1" w14:textId="77777777" w:rsidR="0034467D" w:rsidRPr="00144EB3" w:rsidRDefault="0034467D" w:rsidP="0034467D">
            <w:pPr>
              <w:widowControl w:val="0"/>
              <w:numPr>
                <w:ilvl w:val="0"/>
                <w:numId w:val="2"/>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 xml:space="preserve">Ley 489 de 1998, artículo 96. </w:t>
            </w:r>
          </w:p>
          <w:p w14:paraId="67702D26" w14:textId="77777777" w:rsidR="0034467D" w:rsidRDefault="0034467D" w:rsidP="0034467D">
            <w:pPr>
              <w:widowControl w:val="0"/>
              <w:numPr>
                <w:ilvl w:val="0"/>
                <w:numId w:val="2"/>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996 de 2005, artículos 33 y 38.</w:t>
            </w:r>
          </w:p>
          <w:p w14:paraId="5580F846" w14:textId="77777777" w:rsidR="0034467D" w:rsidRPr="000E6C92" w:rsidRDefault="0034467D" w:rsidP="0034467D">
            <w:pPr>
              <w:widowControl w:val="0"/>
              <w:numPr>
                <w:ilvl w:val="0"/>
                <w:numId w:val="2"/>
              </w:numPr>
              <w:autoSpaceDE w:val="0"/>
              <w:autoSpaceDN w:val="0"/>
              <w:spacing w:line="276" w:lineRule="auto"/>
              <w:jc w:val="both"/>
              <w:rPr>
                <w:rFonts w:ascii="Verdana" w:eastAsia="Arial MT" w:hAnsi="Verdana" w:cs="Arial"/>
                <w:lang w:val="es-ES" w:eastAsia="es-ES" w:bidi="es-ES"/>
              </w:rPr>
            </w:pPr>
            <w:r w:rsidRPr="0015038F">
              <w:rPr>
                <w:rFonts w:ascii="Verdana" w:eastAsia="Times New Roman" w:hAnsi="Verdana" w:cs="Times New Roman"/>
                <w:lang w:val="es-ES" w:eastAsia="es-MX"/>
              </w:rPr>
              <w:t xml:space="preserve">Ley 1150 de 2007: </w:t>
            </w:r>
            <w:r w:rsidRPr="0015038F">
              <w:rPr>
                <w:rFonts w:ascii="Verdana" w:eastAsia="Arial MT" w:hAnsi="Verdana" w:cs="Arial"/>
                <w:lang w:val="es-ES" w:eastAsia="es-ES" w:bidi="es-ES"/>
              </w:rPr>
              <w:t xml:space="preserve">artículo 2, numeral 4. </w:t>
            </w:r>
          </w:p>
          <w:p w14:paraId="4FC17DBB" w14:textId="77777777" w:rsidR="0034467D" w:rsidRPr="00144EB3" w:rsidRDefault="0034467D" w:rsidP="0034467D">
            <w:pPr>
              <w:widowControl w:val="0"/>
              <w:numPr>
                <w:ilvl w:val="0"/>
                <w:numId w:val="2"/>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Decreto 1333 de 1986, artículo 167.</w:t>
            </w:r>
          </w:p>
          <w:p w14:paraId="4D0142C7" w14:textId="77777777" w:rsidR="0034467D" w:rsidRPr="00144EB3" w:rsidRDefault="0034467D" w:rsidP="0034467D">
            <w:pPr>
              <w:numPr>
                <w:ilvl w:val="0"/>
                <w:numId w:val="2"/>
              </w:numPr>
              <w:spacing w:line="276" w:lineRule="auto"/>
              <w:jc w:val="both"/>
              <w:rPr>
                <w:rFonts w:ascii="Verdana" w:eastAsia="Calibri" w:hAnsi="Verdana" w:cs="Arial"/>
                <w:lang w:val="es-MX" w:bidi="es-ES"/>
              </w:rPr>
            </w:pPr>
            <w:r w:rsidRPr="00144EB3">
              <w:rPr>
                <w:rFonts w:ascii="Verdana" w:eastAsia="Calibri" w:hAnsi="Verdana" w:cs="Arial"/>
                <w:lang w:val="es-MX"/>
              </w:rPr>
              <w:t xml:space="preserve">Consejo de Estado. Sala de Consulta y del Servicio Civil. Concepto del 9 de octubre de 2014. </w:t>
            </w:r>
          </w:p>
          <w:p w14:paraId="446BAFF3" w14:textId="77777777" w:rsidR="0034467D" w:rsidRPr="00A323B7" w:rsidRDefault="0034467D" w:rsidP="0034467D">
            <w:pPr>
              <w:pStyle w:val="Prrafodelista"/>
              <w:widowControl w:val="0"/>
              <w:numPr>
                <w:ilvl w:val="0"/>
                <w:numId w:val="2"/>
              </w:numPr>
              <w:autoSpaceDE w:val="0"/>
              <w:autoSpaceDN w:val="0"/>
              <w:spacing w:after="120" w:line="276" w:lineRule="auto"/>
              <w:jc w:val="both"/>
              <w:rPr>
                <w:rFonts w:ascii="Verdana" w:hAnsi="Verdana" w:cs="Arial"/>
                <w:color w:val="000000" w:themeColor="text1"/>
              </w:rPr>
            </w:pPr>
            <w:r w:rsidRPr="00144EB3">
              <w:rPr>
                <w:rFonts w:ascii="Verdana" w:eastAsia="Calibri" w:hAnsi="Verdana" w:cs="Arial"/>
              </w:rPr>
              <w:t xml:space="preserve">Consejo de Estado. Sala de lo Contencioso Administrativo. Sección </w:t>
            </w:r>
            <w:r w:rsidRPr="00144EB3">
              <w:rPr>
                <w:rFonts w:ascii="Verdana" w:eastAsia="Calibri" w:hAnsi="Verdana" w:cs="Arial"/>
              </w:rPr>
              <w:lastRenderedPageBreak/>
              <w:t xml:space="preserve">Primera. Radicación número: 50001-23-31-000-2010-00548-01. 19 de septiembre de 2019. Consejera Ponente: Nubia </w:t>
            </w:r>
            <w:proofErr w:type="spellStart"/>
            <w:r w:rsidRPr="00144EB3">
              <w:rPr>
                <w:rFonts w:ascii="Verdana" w:eastAsia="Calibri" w:hAnsi="Verdana" w:cs="Arial"/>
              </w:rPr>
              <w:t>Margoth</w:t>
            </w:r>
            <w:proofErr w:type="spellEnd"/>
            <w:r w:rsidRPr="00144EB3">
              <w:rPr>
                <w:rFonts w:ascii="Verdana" w:eastAsia="Calibri" w:hAnsi="Verdana" w:cs="Arial"/>
              </w:rPr>
              <w:t xml:space="preserve"> Peña Garzón.</w:t>
            </w:r>
          </w:p>
        </w:tc>
      </w:tr>
    </w:tbl>
    <w:p w14:paraId="13674740" w14:textId="77777777" w:rsidR="0034467D" w:rsidRPr="00B9062E" w:rsidRDefault="0034467D" w:rsidP="0034467D">
      <w:pPr>
        <w:widowControl w:val="0"/>
        <w:autoSpaceDE w:val="0"/>
        <w:autoSpaceDN w:val="0"/>
        <w:spacing w:after="0" w:line="276" w:lineRule="auto"/>
        <w:jc w:val="both"/>
        <w:rPr>
          <w:rFonts w:ascii="Verdana" w:hAnsi="Verdana" w:cs="Arial"/>
        </w:rPr>
      </w:pPr>
    </w:p>
    <w:p w14:paraId="7C2514D3" w14:textId="77777777" w:rsidR="0034467D" w:rsidRPr="00B9062E" w:rsidRDefault="0034467D" w:rsidP="0034467D">
      <w:pPr>
        <w:tabs>
          <w:tab w:val="left" w:pos="142"/>
          <w:tab w:val="left" w:pos="284"/>
        </w:tabs>
        <w:spacing w:after="0" w:line="276" w:lineRule="auto"/>
        <w:jc w:val="both"/>
        <w:rPr>
          <w:rFonts w:ascii="Verdana" w:eastAsia="Century Gothic" w:hAnsi="Verdana" w:cs="Century Gothic"/>
          <w:b/>
          <w:bCs/>
        </w:rPr>
      </w:pPr>
      <w:r w:rsidRPr="00B9062E">
        <w:rPr>
          <w:rFonts w:ascii="Verdana" w:eastAsia="Century Gothic" w:hAnsi="Verdana" w:cs="Century Gothic"/>
          <w:b/>
          <w:bCs/>
        </w:rPr>
        <w:t>5. Doctrina de la Agencia Nacional de Contratación Pública:</w:t>
      </w:r>
    </w:p>
    <w:p w14:paraId="359CD3CC" w14:textId="77777777" w:rsidR="0034467D" w:rsidRPr="00B9062E" w:rsidRDefault="0034467D" w:rsidP="0034467D">
      <w:pPr>
        <w:widowControl w:val="0"/>
        <w:autoSpaceDE w:val="0"/>
        <w:autoSpaceDN w:val="0"/>
        <w:spacing w:after="0" w:line="276" w:lineRule="auto"/>
        <w:jc w:val="both"/>
        <w:rPr>
          <w:rFonts w:ascii="Verdana" w:eastAsia="Century Gothic" w:hAnsi="Verdana" w:cs="Century Gothic"/>
          <w:b/>
          <w:bCs/>
        </w:rPr>
      </w:pPr>
    </w:p>
    <w:p w14:paraId="5C75F760" w14:textId="77777777" w:rsidR="0034467D" w:rsidRPr="00B9062E" w:rsidRDefault="0034467D" w:rsidP="0034467D">
      <w:pPr>
        <w:spacing w:after="0" w:line="276" w:lineRule="auto"/>
        <w:jc w:val="both"/>
        <w:rPr>
          <w:rFonts w:ascii="Verdana" w:eastAsia="Aptos" w:hAnsi="Verdana" w:cs="Arial"/>
          <w:shd w:val="clear" w:color="auto" w:fill="FFFFFF"/>
        </w:rPr>
      </w:pPr>
      <w:r w:rsidRPr="00B9062E">
        <w:rPr>
          <w:rFonts w:ascii="Verdana" w:hAnsi="Verdana" w:cs="Arial"/>
          <w:bCs/>
          <w:shd w:val="clear" w:color="auto" w:fill="FFFFFF"/>
        </w:rPr>
        <w:t xml:space="preserve">La Agencia Nacional de Contratación Pública – Colombia Compra Eficiente ha expedido </w:t>
      </w:r>
      <w:r w:rsidRPr="00B9062E">
        <w:rPr>
          <w:rFonts w:ascii="Verdana" w:eastAsia="Calibri" w:hAnsi="Verdana" w:cs="Arial"/>
          <w:lang w:val="es-ES_tradnl"/>
        </w:rPr>
        <w:t>conceptos sobre</w:t>
      </w:r>
      <w:r w:rsidRPr="00B9062E">
        <w:rPr>
          <w:rFonts w:ascii="Verdana" w:eastAsia="Aptos" w:hAnsi="Verdana" w:cs="Arial"/>
          <w:shd w:val="clear" w:color="auto" w:fill="FFFFFF"/>
        </w:rPr>
        <w:t xml:space="preserve"> </w:t>
      </w:r>
      <w:r w:rsidRPr="00FD23F8">
        <w:rPr>
          <w:rFonts w:ascii="Verdana" w:eastAsia="Calibri" w:hAnsi="Verdana" w:cs="Arial"/>
          <w:shd w:val="clear" w:color="auto" w:fill="FFFFFF"/>
        </w:rPr>
        <w:t xml:space="preserve"> la finalidad y propósito de la Ley de Garantías Electorales, la ANCP- CCE se ha pronunciado en los Conceptos 4201913000004536 de 17 de julio de 2019, 4201912000005556 del 12 de septiembre de 2019, 4201913000005175 del 13 de septiembre de 2019, 42019130000</w:t>
      </w:r>
      <w:r w:rsidRPr="00A2319B">
        <w:rPr>
          <w:rFonts w:ascii="Verdana" w:eastAsia="Calibri" w:hAnsi="Verdana" w:cs="Arial"/>
          <w:shd w:val="clear" w:color="auto" w:fill="FFFFFF"/>
        </w:rPr>
        <w:t xml:space="preserve">06452 del 07 de octubre de 2019, 4201913000005082 del 17 de octubre de 2019, 4201913000006306 del 21 de octubre de 2019, 4201912000006552 del 07 de noviembre de 2019, 4201913000006604 del 17 de diciembre de 2019,  C-227 del 24 de mayo de 2021 y 396 del 13 </w:t>
      </w:r>
      <w:r w:rsidRPr="00B9062E">
        <w:rPr>
          <w:rFonts w:ascii="Verdana" w:eastAsia="Calibri" w:hAnsi="Verdana" w:cs="Arial"/>
          <w:shd w:val="clear" w:color="auto" w:fill="FFFFFF"/>
        </w:rPr>
        <w:t>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B9062E">
        <w:rPr>
          <w:rFonts w:ascii="Verdana" w:eastAsia="Aptos" w:hAnsi="Verdana" w:cs="Arial"/>
          <w:shd w:val="clear" w:color="auto" w:fill="FFFFFF"/>
          <w:lang w:val="es-ES"/>
        </w:rPr>
        <w:t xml:space="preserve">. </w:t>
      </w:r>
    </w:p>
    <w:p w14:paraId="349FF58B" w14:textId="77777777" w:rsidR="0034467D" w:rsidRPr="00B9062E" w:rsidRDefault="0034467D" w:rsidP="0034467D">
      <w:pPr>
        <w:spacing w:after="0" w:line="276" w:lineRule="auto"/>
        <w:jc w:val="both"/>
        <w:rPr>
          <w:rFonts w:ascii="Verdana" w:hAnsi="Verdana"/>
          <w:lang w:val="es-ES"/>
        </w:rPr>
      </w:pPr>
      <w:r w:rsidRPr="00B9062E">
        <w:rPr>
          <w:rFonts w:ascii="Verdana" w:hAnsi="Verdana" w:cs="Arial"/>
          <w:shd w:val="clear" w:color="auto" w:fill="FFFFFF"/>
          <w:lang w:val="es-ES"/>
        </w:rPr>
        <w:t>Estos</w:t>
      </w:r>
      <w:r w:rsidRPr="00B9062E">
        <w:rPr>
          <w:rFonts w:ascii="Verdana" w:hAnsi="Verdana"/>
          <w:lang w:val="es-ES"/>
        </w:rPr>
        <w:t xml:space="preserve"> y otros se encuentran disponibles para consulta en el Sistema de relatoría de la Agencia, al cual se puede acceder a través del siguiente enlace:</w:t>
      </w:r>
      <w:r w:rsidRPr="00B9062E">
        <w:rPr>
          <w:rFonts w:ascii="Verdana" w:hAnsi="Verdana" w:cs="Arial"/>
          <w:shd w:val="clear" w:color="auto" w:fill="FFFFFF"/>
          <w:lang w:val="es-ES"/>
        </w:rPr>
        <w:t xml:space="preserve"> </w:t>
      </w:r>
      <w:hyperlink r:id="rId10" w:history="1">
        <w:r w:rsidRPr="00B9062E">
          <w:rPr>
            <w:rStyle w:val="Hipervnculo"/>
            <w:rFonts w:ascii="Verdana" w:hAnsi="Verdana" w:cs="Arial"/>
            <w:shd w:val="clear" w:color="auto" w:fill="FFFFFF"/>
            <w:lang w:val="es-ES"/>
          </w:rPr>
          <w:t>https://relatoria.colombiacompra.gov.co/busqueda/conceptos</w:t>
        </w:r>
      </w:hyperlink>
      <w:r w:rsidRPr="00B9062E">
        <w:rPr>
          <w:rFonts w:ascii="Verdana" w:eastAsia="Calibri" w:hAnsi="Verdana" w:cs="Times New Roman"/>
        </w:rPr>
        <w:t xml:space="preserve"> </w:t>
      </w:r>
    </w:p>
    <w:p w14:paraId="779B9CE6" w14:textId="77777777" w:rsidR="0034467D" w:rsidRPr="00B9062E" w:rsidRDefault="0034467D" w:rsidP="0034467D">
      <w:pPr>
        <w:widowControl w:val="0"/>
        <w:autoSpaceDE w:val="0"/>
        <w:autoSpaceDN w:val="0"/>
        <w:spacing w:after="0" w:line="276" w:lineRule="auto"/>
        <w:jc w:val="both"/>
        <w:rPr>
          <w:rFonts w:ascii="Verdana" w:hAnsi="Verdana" w:cs="Arial"/>
          <w:shd w:val="clear" w:color="auto" w:fill="FFFFFF"/>
        </w:rPr>
      </w:pPr>
      <w:r w:rsidRPr="00B9062E">
        <w:rPr>
          <w:rFonts w:ascii="Verdana" w:hAnsi="Verdana" w:cs="Arial"/>
          <w:color w:val="FF0000"/>
          <w:shd w:val="clear" w:color="auto" w:fill="FFFFFF"/>
          <w:lang w:val="es-ES_tradnl"/>
        </w:rPr>
        <w:t xml:space="preserve"> </w:t>
      </w:r>
    </w:p>
    <w:p w14:paraId="27DF27BB" w14:textId="77777777" w:rsidR="0034467D" w:rsidRPr="00B9062E" w:rsidRDefault="0034467D" w:rsidP="0034467D">
      <w:pPr>
        <w:spacing w:after="0" w:line="276" w:lineRule="auto"/>
        <w:jc w:val="both"/>
        <w:rPr>
          <w:rFonts w:ascii="Verdana" w:eastAsia="Calibri" w:hAnsi="Verdana" w:cs="Times New Roman"/>
        </w:rPr>
      </w:pPr>
      <w:r w:rsidRPr="00FD23F8">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w:t>
      </w:r>
      <w:r w:rsidRPr="00FD23F8">
        <w:rPr>
          <w:rFonts w:ascii="Verdana" w:hAnsi="Verdana"/>
        </w:rPr>
        <w:lastRenderedPageBreak/>
        <w:t>requiera en el marco de nuestras f</w:t>
      </w:r>
      <w:r w:rsidRPr="00A2319B">
        <w:rPr>
          <w:rFonts w:ascii="Verdana" w:hAnsi="Verdana"/>
        </w:rPr>
        <w:t xml:space="preserve">unciones a través de nuestros diferentes canales de atención: </w:t>
      </w:r>
    </w:p>
    <w:p w14:paraId="3703F44C" w14:textId="77777777" w:rsidR="0034467D" w:rsidRPr="00B9062E" w:rsidRDefault="0034467D" w:rsidP="0034467D">
      <w:pPr>
        <w:pStyle w:val="Prrafodelista"/>
        <w:numPr>
          <w:ilvl w:val="0"/>
          <w:numId w:val="3"/>
        </w:numPr>
        <w:spacing w:after="0" w:line="276" w:lineRule="auto"/>
        <w:contextualSpacing w:val="0"/>
        <w:jc w:val="both"/>
        <w:rPr>
          <w:rFonts w:ascii="Verdana" w:hAnsi="Verdana"/>
        </w:rPr>
      </w:pPr>
      <w:r w:rsidRPr="00B9062E">
        <w:rPr>
          <w:rFonts w:ascii="Verdana" w:hAnsi="Verdana"/>
        </w:rPr>
        <w:t>Línea nacional gratuita o servicio a la ciudadanía: 01800 0520808</w:t>
      </w:r>
    </w:p>
    <w:p w14:paraId="2DBFC667" w14:textId="77777777" w:rsidR="0034467D" w:rsidRPr="00B9062E" w:rsidRDefault="0034467D" w:rsidP="0034467D">
      <w:pPr>
        <w:pStyle w:val="Prrafodelista"/>
        <w:numPr>
          <w:ilvl w:val="0"/>
          <w:numId w:val="3"/>
        </w:numPr>
        <w:spacing w:after="0" w:line="276" w:lineRule="auto"/>
        <w:contextualSpacing w:val="0"/>
        <w:jc w:val="both"/>
        <w:rPr>
          <w:rFonts w:ascii="Verdana" w:hAnsi="Verdana"/>
        </w:rPr>
      </w:pPr>
      <w:r w:rsidRPr="00B9062E">
        <w:rPr>
          <w:rFonts w:ascii="Verdana" w:hAnsi="Verdana"/>
        </w:rPr>
        <w:t>Línea en Bogotá (Mesa de servicio): +57 601 7456788</w:t>
      </w:r>
    </w:p>
    <w:p w14:paraId="312B1923" w14:textId="77777777" w:rsidR="0034467D" w:rsidRPr="00B9062E" w:rsidRDefault="0034467D" w:rsidP="0034467D">
      <w:pPr>
        <w:pStyle w:val="Prrafodelista"/>
        <w:numPr>
          <w:ilvl w:val="0"/>
          <w:numId w:val="3"/>
        </w:numPr>
        <w:spacing w:after="0" w:line="276" w:lineRule="auto"/>
        <w:contextualSpacing w:val="0"/>
        <w:jc w:val="both"/>
        <w:rPr>
          <w:rFonts w:ascii="Verdana" w:hAnsi="Verdana"/>
        </w:rPr>
      </w:pPr>
      <w:r w:rsidRPr="00B9062E">
        <w:rPr>
          <w:rFonts w:ascii="Verdana" w:hAnsi="Verdana"/>
        </w:rPr>
        <w:t>Línea de servicio y atención al ciudadano: +57 601 7956600</w:t>
      </w:r>
    </w:p>
    <w:p w14:paraId="5D7024A3" w14:textId="77777777" w:rsidR="0034467D" w:rsidRPr="00B9062E" w:rsidRDefault="0034467D" w:rsidP="0034467D">
      <w:pPr>
        <w:pStyle w:val="Prrafodelista"/>
        <w:numPr>
          <w:ilvl w:val="0"/>
          <w:numId w:val="3"/>
        </w:numPr>
        <w:spacing w:after="0" w:line="276" w:lineRule="auto"/>
        <w:contextualSpacing w:val="0"/>
        <w:jc w:val="both"/>
        <w:rPr>
          <w:rFonts w:ascii="Verdana" w:hAnsi="Verdana"/>
        </w:rPr>
      </w:pPr>
      <w:r w:rsidRPr="00B9062E">
        <w:rPr>
          <w:rFonts w:ascii="Verdana" w:hAnsi="Verdana"/>
        </w:rPr>
        <w:t xml:space="preserve">Página web: </w:t>
      </w:r>
      <w:hyperlink r:id="rId11" w:history="1">
        <w:r w:rsidRPr="00B9062E">
          <w:rPr>
            <w:rStyle w:val="Hipervnculo"/>
            <w:rFonts w:ascii="Verdana" w:hAnsi="Verdana"/>
          </w:rPr>
          <w:t>www.colombiacompra.gov.co</w:t>
        </w:r>
      </w:hyperlink>
    </w:p>
    <w:p w14:paraId="323A61A6" w14:textId="77777777" w:rsidR="0034467D" w:rsidRPr="00B9062E" w:rsidRDefault="0034467D" w:rsidP="0034467D">
      <w:pPr>
        <w:spacing w:after="0" w:line="276" w:lineRule="auto"/>
        <w:jc w:val="both"/>
        <w:rPr>
          <w:rFonts w:ascii="Verdana" w:hAnsi="Verdana"/>
        </w:rPr>
      </w:pPr>
      <w:r w:rsidRPr="00B9062E">
        <w:rPr>
          <w:rFonts w:ascii="Verdana" w:hAnsi="Verdana"/>
        </w:rPr>
        <w:t xml:space="preserve">Por último, lo invitamos a seguirnos en las redes sociales en las cuales se difunde información institucional: </w:t>
      </w:r>
    </w:p>
    <w:p w14:paraId="04C0EE62" w14:textId="77777777" w:rsidR="0034467D" w:rsidRPr="00B9062E" w:rsidRDefault="0034467D" w:rsidP="0034467D">
      <w:pPr>
        <w:spacing w:after="0" w:line="276" w:lineRule="auto"/>
        <w:jc w:val="both"/>
        <w:rPr>
          <w:rFonts w:ascii="Verdana" w:hAnsi="Verdana"/>
        </w:rPr>
      </w:pPr>
    </w:p>
    <w:p w14:paraId="7885C73E" w14:textId="77777777" w:rsidR="0034467D" w:rsidRPr="00B9062E" w:rsidRDefault="0034467D" w:rsidP="0034467D">
      <w:pPr>
        <w:spacing w:after="0" w:line="276" w:lineRule="auto"/>
        <w:jc w:val="both"/>
        <w:rPr>
          <w:rFonts w:ascii="Verdana" w:hAnsi="Verdana"/>
        </w:rPr>
      </w:pPr>
      <w:r w:rsidRPr="00A2319B">
        <w:rPr>
          <w:rFonts w:ascii="Verdana" w:hAnsi="Verdana"/>
        </w:rPr>
        <w:t xml:space="preserve">Twitter: </w:t>
      </w:r>
      <w:r w:rsidRPr="00D31B8D">
        <w:rPr>
          <w:rStyle w:val="Hipervnculo"/>
          <w:rFonts w:ascii="Verdana" w:hAnsi="Verdana"/>
        </w:rPr>
        <w:t>@colombiacompra</w:t>
      </w:r>
      <w:r w:rsidRPr="00B9062E">
        <w:rPr>
          <w:rFonts w:ascii="Verdana" w:hAnsi="Verdana"/>
        </w:rPr>
        <w:t xml:space="preserve"> </w:t>
      </w:r>
    </w:p>
    <w:p w14:paraId="3F3984B8" w14:textId="77777777" w:rsidR="0034467D" w:rsidRPr="00B9062E" w:rsidRDefault="0034467D" w:rsidP="0034467D">
      <w:pPr>
        <w:spacing w:after="0" w:line="276" w:lineRule="auto"/>
        <w:jc w:val="both"/>
        <w:rPr>
          <w:rFonts w:ascii="Verdana" w:hAnsi="Verdana"/>
        </w:rPr>
      </w:pPr>
      <w:r w:rsidRPr="00B9062E">
        <w:rPr>
          <w:rFonts w:ascii="Verdana" w:hAnsi="Verdana"/>
        </w:rPr>
        <w:t xml:space="preserve">Facebook: </w:t>
      </w:r>
      <w:proofErr w:type="spellStart"/>
      <w:r w:rsidRPr="00B9062E">
        <w:rPr>
          <w:rStyle w:val="Hipervnculo"/>
          <w:rFonts w:ascii="Verdana" w:hAnsi="Verdana"/>
        </w:rPr>
        <w:t>ColombiaCompraEficiente</w:t>
      </w:r>
      <w:proofErr w:type="spellEnd"/>
    </w:p>
    <w:p w14:paraId="1CA54F9A" w14:textId="77777777" w:rsidR="0034467D" w:rsidRPr="00B9062E" w:rsidRDefault="0034467D" w:rsidP="0034467D">
      <w:pPr>
        <w:spacing w:after="0" w:line="276" w:lineRule="auto"/>
        <w:jc w:val="both"/>
        <w:rPr>
          <w:rFonts w:ascii="Verdana" w:hAnsi="Verdana"/>
        </w:rPr>
      </w:pPr>
      <w:r w:rsidRPr="00B9062E">
        <w:rPr>
          <w:rFonts w:ascii="Verdana" w:hAnsi="Verdana"/>
        </w:rPr>
        <w:t xml:space="preserve">LinkedIn: </w:t>
      </w:r>
      <w:r w:rsidRPr="00B9062E">
        <w:rPr>
          <w:rStyle w:val="Hipervnculo"/>
          <w:rFonts w:ascii="Verdana" w:hAnsi="Verdana"/>
        </w:rPr>
        <w:t>Agencia Nacional de Contratación Pública - Colombia Compra Eficiente</w:t>
      </w:r>
      <w:r w:rsidRPr="00B9062E">
        <w:rPr>
          <w:rFonts w:ascii="Verdana" w:hAnsi="Verdana"/>
        </w:rPr>
        <w:t xml:space="preserve"> Instagram: </w:t>
      </w:r>
      <w:r w:rsidRPr="00B9062E">
        <w:rPr>
          <w:rStyle w:val="Hipervnculo"/>
          <w:rFonts w:ascii="Verdana" w:hAnsi="Verdana"/>
        </w:rPr>
        <w:t>@colombiacompraeficiente_cce</w:t>
      </w:r>
    </w:p>
    <w:p w14:paraId="0CEB88BC" w14:textId="77777777" w:rsidR="0034467D" w:rsidRPr="00B9062E" w:rsidRDefault="0034467D" w:rsidP="0034467D">
      <w:pPr>
        <w:spacing w:after="0" w:line="276" w:lineRule="auto"/>
        <w:jc w:val="both"/>
        <w:rPr>
          <w:rFonts w:ascii="Verdana" w:hAnsi="Verdana"/>
        </w:rPr>
      </w:pPr>
    </w:p>
    <w:p w14:paraId="42E95A35" w14:textId="77777777" w:rsidR="0034467D" w:rsidRPr="00B9062E" w:rsidRDefault="0034467D" w:rsidP="0034467D">
      <w:pPr>
        <w:spacing w:after="0" w:line="276" w:lineRule="auto"/>
        <w:jc w:val="both"/>
        <w:rPr>
          <w:rFonts w:ascii="Verdana" w:hAnsi="Verdana"/>
        </w:rPr>
      </w:pPr>
      <w:r w:rsidRPr="00B9062E">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D3668CA" w14:textId="77777777" w:rsidR="0034467D" w:rsidRPr="00B9062E" w:rsidRDefault="0034467D" w:rsidP="0034467D">
      <w:pPr>
        <w:spacing w:after="0" w:line="276" w:lineRule="auto"/>
        <w:jc w:val="both"/>
        <w:rPr>
          <w:rFonts w:ascii="Verdana" w:eastAsia="Calibri" w:hAnsi="Verdana" w:cs="Times New Roman"/>
        </w:rPr>
      </w:pPr>
    </w:p>
    <w:p w14:paraId="7B5ED66F" w14:textId="4EC02DC3" w:rsidR="0034467D" w:rsidRDefault="0034467D" w:rsidP="0034467D">
      <w:pPr>
        <w:spacing w:after="0" w:line="276" w:lineRule="auto"/>
        <w:jc w:val="both"/>
        <w:rPr>
          <w:rFonts w:ascii="Verdana" w:hAnsi="Verdana"/>
        </w:rPr>
      </w:pPr>
      <w:r w:rsidRPr="00B9062E">
        <w:rPr>
          <w:rFonts w:ascii="Verdana" w:eastAsia="Calibri" w:hAnsi="Verdana" w:cs="Times New Roman"/>
        </w:rPr>
        <w:t>Atentamente,</w:t>
      </w:r>
      <w:bookmarkEnd w:id="0"/>
      <w:bookmarkEnd w:id="1"/>
    </w:p>
    <w:p w14:paraId="40E6DA09" w14:textId="77777777" w:rsidR="0034467D" w:rsidRDefault="0034467D" w:rsidP="0034467D">
      <w:pPr>
        <w:spacing w:after="0"/>
        <w:rPr>
          <w:rFonts w:ascii="Verdana" w:hAnsi="Verdana"/>
        </w:rPr>
      </w:pPr>
    </w:p>
    <w:p w14:paraId="734772BE" w14:textId="74DF6573" w:rsidR="0034467D" w:rsidRDefault="003B6E64" w:rsidP="003B6E64">
      <w:pPr>
        <w:spacing w:after="0"/>
        <w:jc w:val="center"/>
        <w:rPr>
          <w:rFonts w:ascii="Verdana" w:hAnsi="Verdana"/>
        </w:rPr>
      </w:pPr>
      <w:r w:rsidRPr="002C3AD6">
        <w:rPr>
          <w:rFonts w:ascii="Century Gothic" w:hAnsi="Century Gothic"/>
          <w:noProof/>
        </w:rPr>
        <w:drawing>
          <wp:inline distT="0" distB="0" distL="0" distR="0" wp14:anchorId="3943D1EE" wp14:editId="79D979B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p w14:paraId="1709DD4F" w14:textId="77777777" w:rsidR="0034467D" w:rsidRDefault="0034467D" w:rsidP="0034467D">
      <w:pPr>
        <w:spacing w:after="0"/>
        <w:rPr>
          <w:rFonts w:ascii="Verdana" w:hAnsi="Verdana"/>
        </w:rPr>
      </w:pPr>
    </w:p>
    <w:p w14:paraId="707BE3F5" w14:textId="77777777" w:rsidR="0034467D" w:rsidRDefault="0034467D" w:rsidP="0034467D">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4467D" w:rsidRPr="00261B19" w14:paraId="24CC1806" w14:textId="77777777" w:rsidTr="00BE0098">
        <w:trPr>
          <w:trHeight w:val="315"/>
        </w:trPr>
        <w:tc>
          <w:tcPr>
            <w:tcW w:w="893" w:type="dxa"/>
            <w:vAlign w:val="center"/>
            <w:hideMark/>
          </w:tcPr>
          <w:p w14:paraId="5BE51A0D" w14:textId="77777777" w:rsidR="0034467D" w:rsidRPr="00261B19" w:rsidRDefault="0034467D" w:rsidP="00BE0098">
            <w:pPr>
              <w:contextualSpacing/>
              <w:rPr>
                <w:rFonts w:ascii="Verdana" w:hAnsi="Verdana" w:cs="Arial"/>
                <w:color w:val="000000" w:themeColor="text1"/>
                <w:sz w:val="16"/>
                <w:szCs w:val="16"/>
                <w:lang w:val="es-ES" w:eastAsia="es-ES"/>
              </w:rPr>
            </w:pPr>
            <w:r w:rsidRPr="00261B19">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253BDC" w14:textId="77777777" w:rsidR="0034467D" w:rsidRPr="00261B19" w:rsidRDefault="0034467D" w:rsidP="00BE0098">
            <w:pPr>
              <w:contextualSpacing/>
              <w:rPr>
                <w:rFonts w:ascii="Verdana" w:eastAsia="Arial" w:hAnsi="Verdana" w:cs="Arial"/>
                <w:color w:val="000000" w:themeColor="text1"/>
                <w:sz w:val="16"/>
                <w:szCs w:val="16"/>
              </w:rPr>
            </w:pPr>
            <w:r w:rsidRPr="00261B19">
              <w:rPr>
                <w:rFonts w:ascii="Verdana" w:eastAsia="Arial" w:hAnsi="Verdana" w:cs="Arial"/>
                <w:color w:val="000000" w:themeColor="text1"/>
                <w:sz w:val="16"/>
                <w:szCs w:val="16"/>
              </w:rPr>
              <w:t xml:space="preserve">Andreina Cerpa Muñoz </w:t>
            </w:r>
          </w:p>
          <w:p w14:paraId="527670A4" w14:textId="77777777" w:rsidR="0034467D" w:rsidRPr="00261B19" w:rsidRDefault="0034467D" w:rsidP="00BE0098">
            <w:pPr>
              <w:contextualSpacing/>
              <w:rPr>
                <w:rFonts w:ascii="Verdana" w:eastAsia="Arial" w:hAnsi="Verdana" w:cs="Arial"/>
                <w:color w:val="000000" w:themeColor="text1"/>
                <w:sz w:val="16"/>
                <w:szCs w:val="16"/>
              </w:rPr>
            </w:pPr>
            <w:r w:rsidRPr="00261B19">
              <w:rPr>
                <w:rStyle w:val="normaltextrun"/>
                <w:rFonts w:ascii="Verdana" w:eastAsia="Arial" w:hAnsi="Verdana" w:cs="Arial"/>
                <w:color w:val="000000" w:themeColor="text1"/>
                <w:sz w:val="16"/>
                <w:szCs w:val="16"/>
              </w:rPr>
              <w:t>Analista T2-02 de la Subdirección de Gestión Contractual</w:t>
            </w:r>
          </w:p>
        </w:tc>
      </w:tr>
      <w:tr w:rsidR="0034467D" w:rsidRPr="00261B19" w14:paraId="5871CD7C" w14:textId="77777777" w:rsidTr="00BE0098">
        <w:trPr>
          <w:trHeight w:val="330"/>
        </w:trPr>
        <w:tc>
          <w:tcPr>
            <w:tcW w:w="893" w:type="dxa"/>
            <w:vAlign w:val="center"/>
            <w:hideMark/>
          </w:tcPr>
          <w:p w14:paraId="44C26CDB" w14:textId="77777777" w:rsidR="0034467D" w:rsidRPr="00261B19" w:rsidRDefault="0034467D" w:rsidP="00BE0098">
            <w:pPr>
              <w:contextualSpacing/>
              <w:rPr>
                <w:rFonts w:ascii="Verdana" w:hAnsi="Verdana" w:cs="Arial"/>
                <w:color w:val="000000" w:themeColor="text1"/>
                <w:sz w:val="16"/>
                <w:szCs w:val="16"/>
                <w:lang w:val="es-ES" w:eastAsia="es-ES"/>
              </w:rPr>
            </w:pPr>
            <w:r w:rsidRPr="00261B19">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D6DCC1" w14:textId="77777777" w:rsidR="0034467D" w:rsidRPr="00261B19" w:rsidRDefault="0034467D" w:rsidP="00BE0098">
            <w:pPr>
              <w:pStyle w:val="paragraph"/>
              <w:spacing w:before="0" w:beforeAutospacing="0" w:after="0" w:afterAutospacing="0"/>
              <w:contextualSpacing/>
              <w:textAlignment w:val="baseline"/>
              <w:rPr>
                <w:rFonts w:ascii="Verdana" w:hAnsi="Verdana" w:cs="Segoe UI"/>
                <w:color w:val="000000" w:themeColor="text1"/>
                <w:sz w:val="16"/>
                <w:szCs w:val="16"/>
              </w:rPr>
            </w:pPr>
            <w:r w:rsidRPr="00261B19">
              <w:rPr>
                <w:rFonts w:ascii="Verdana" w:hAnsi="Verdana" w:cs="Segoe UI"/>
                <w:color w:val="000000" w:themeColor="text1"/>
                <w:sz w:val="16"/>
                <w:szCs w:val="16"/>
              </w:rPr>
              <w:t>Diana Lucía Saavedra</w:t>
            </w:r>
          </w:p>
          <w:p w14:paraId="5ADFD817" w14:textId="77777777" w:rsidR="0034467D" w:rsidRPr="00261B19" w:rsidRDefault="0034467D" w:rsidP="00BE0098">
            <w:pPr>
              <w:pStyle w:val="paragraph"/>
              <w:spacing w:before="0" w:beforeAutospacing="0" w:after="0" w:afterAutospacing="0"/>
              <w:contextualSpacing/>
              <w:textAlignment w:val="baseline"/>
              <w:rPr>
                <w:rFonts w:ascii="Verdana" w:hAnsi="Verdana" w:cs="Segoe UI"/>
                <w:color w:val="000000" w:themeColor="text1"/>
                <w:sz w:val="16"/>
                <w:szCs w:val="16"/>
              </w:rPr>
            </w:pPr>
            <w:r w:rsidRPr="00261B19">
              <w:rPr>
                <w:rStyle w:val="normaltextrun"/>
                <w:rFonts w:ascii="Verdana" w:hAnsi="Verdana" w:cs="Arial"/>
                <w:color w:val="000000" w:themeColor="text1"/>
                <w:sz w:val="16"/>
                <w:szCs w:val="16"/>
                <w:lang w:val="es-ES"/>
              </w:rPr>
              <w:t>Contratista de la Subdirección de Gestión Contractual</w:t>
            </w:r>
            <w:r w:rsidRPr="00261B19">
              <w:rPr>
                <w:rStyle w:val="eop"/>
                <w:rFonts w:ascii="Verdana" w:hAnsi="Verdana" w:cs="Arial"/>
                <w:color w:val="000000" w:themeColor="text1"/>
                <w:sz w:val="16"/>
                <w:szCs w:val="16"/>
              </w:rPr>
              <w:t> </w:t>
            </w:r>
          </w:p>
        </w:tc>
      </w:tr>
      <w:tr w:rsidR="0034467D" w:rsidRPr="00261B19" w14:paraId="204DEB47" w14:textId="77777777" w:rsidTr="00BE0098">
        <w:trPr>
          <w:trHeight w:val="300"/>
        </w:trPr>
        <w:tc>
          <w:tcPr>
            <w:tcW w:w="893" w:type="dxa"/>
            <w:vAlign w:val="center"/>
          </w:tcPr>
          <w:p w14:paraId="20E4F3CD" w14:textId="77777777" w:rsidR="0034467D" w:rsidRPr="00261B19" w:rsidRDefault="0034467D" w:rsidP="00BE0098">
            <w:pPr>
              <w:contextualSpacing/>
              <w:rPr>
                <w:rFonts w:ascii="Verdana" w:hAnsi="Verdana" w:cs="Arial"/>
                <w:color w:val="000000" w:themeColor="text1"/>
                <w:sz w:val="16"/>
                <w:szCs w:val="16"/>
                <w:lang w:val="es-ES" w:eastAsia="es-ES"/>
              </w:rPr>
            </w:pPr>
            <w:r w:rsidRPr="00261B19">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69CC94" w14:textId="77777777" w:rsidR="0034467D" w:rsidRPr="00261B19" w:rsidRDefault="0034467D" w:rsidP="00BE0098">
            <w:pPr>
              <w:contextualSpacing/>
              <w:rPr>
                <w:rFonts w:ascii="Verdana" w:eastAsia="Calibri" w:hAnsi="Verdana" w:cs="Arial"/>
                <w:color w:val="000000" w:themeColor="text1"/>
                <w:sz w:val="16"/>
                <w:szCs w:val="16"/>
                <w:lang w:val="pt-BR" w:eastAsia="es-ES"/>
              </w:rPr>
            </w:pPr>
            <w:r w:rsidRPr="00261B19">
              <w:rPr>
                <w:rFonts w:ascii="Verdana" w:eastAsia="Calibri" w:hAnsi="Verdana" w:cs="Arial"/>
                <w:color w:val="000000" w:themeColor="text1"/>
                <w:sz w:val="16"/>
                <w:szCs w:val="16"/>
                <w:lang w:val="pt-BR" w:eastAsia="es-ES"/>
              </w:rPr>
              <w:t xml:space="preserve">Carolina Quintero </w:t>
            </w:r>
            <w:proofErr w:type="spellStart"/>
            <w:r w:rsidRPr="00261B19">
              <w:rPr>
                <w:rFonts w:ascii="Verdana" w:eastAsia="Calibri" w:hAnsi="Verdana" w:cs="Arial"/>
                <w:color w:val="000000" w:themeColor="text1"/>
                <w:sz w:val="16"/>
                <w:szCs w:val="16"/>
                <w:lang w:val="pt-BR" w:eastAsia="es-ES"/>
              </w:rPr>
              <w:t>Gacharná</w:t>
            </w:r>
            <w:proofErr w:type="spellEnd"/>
          </w:p>
          <w:p w14:paraId="17D9F9B9" w14:textId="77777777" w:rsidR="0034467D" w:rsidRPr="00261B19" w:rsidRDefault="0034467D" w:rsidP="00BE0098">
            <w:pPr>
              <w:contextualSpacing/>
              <w:rPr>
                <w:rFonts w:ascii="Verdana" w:eastAsia="Calibri" w:hAnsi="Verdana" w:cs="Arial"/>
                <w:color w:val="000000" w:themeColor="text1"/>
                <w:sz w:val="16"/>
                <w:szCs w:val="16"/>
                <w:lang w:val="pt-BR" w:eastAsia="es-ES"/>
              </w:rPr>
            </w:pPr>
            <w:r w:rsidRPr="00261B19">
              <w:rPr>
                <w:rFonts w:ascii="Verdana" w:eastAsia="Calibri" w:hAnsi="Verdana" w:cs="Arial"/>
                <w:color w:val="000000" w:themeColor="text1"/>
                <w:sz w:val="16"/>
                <w:szCs w:val="16"/>
                <w:lang w:eastAsia="es-ES"/>
              </w:rPr>
              <w:t>Subdirectora</w:t>
            </w:r>
            <w:r w:rsidRPr="00261B19">
              <w:rPr>
                <w:rFonts w:ascii="Verdana" w:eastAsia="Calibri" w:hAnsi="Verdana" w:cs="Arial"/>
                <w:color w:val="000000" w:themeColor="text1"/>
                <w:sz w:val="16"/>
                <w:szCs w:val="16"/>
                <w:lang w:val="pt-BR" w:eastAsia="es-ES"/>
              </w:rPr>
              <w:t xml:space="preserve"> de Gestión </w:t>
            </w:r>
            <w:proofErr w:type="spellStart"/>
            <w:r w:rsidRPr="00261B19">
              <w:rPr>
                <w:rFonts w:ascii="Verdana" w:eastAsia="Calibri" w:hAnsi="Verdana" w:cs="Arial"/>
                <w:color w:val="000000" w:themeColor="text1"/>
                <w:sz w:val="16"/>
                <w:szCs w:val="16"/>
                <w:lang w:val="pt-BR" w:eastAsia="es-ES"/>
              </w:rPr>
              <w:t>Contractual</w:t>
            </w:r>
            <w:proofErr w:type="spellEnd"/>
            <w:r w:rsidRPr="00261B19">
              <w:rPr>
                <w:rFonts w:ascii="Verdana" w:eastAsia="Calibri" w:hAnsi="Verdana" w:cs="Arial"/>
                <w:color w:val="000000" w:themeColor="text1"/>
                <w:sz w:val="16"/>
                <w:szCs w:val="16"/>
                <w:lang w:val="pt-BR" w:eastAsia="es-ES"/>
              </w:rPr>
              <w:t xml:space="preserve"> ANCP – CCE</w:t>
            </w:r>
          </w:p>
        </w:tc>
      </w:tr>
    </w:tbl>
    <w:p w14:paraId="7CAFBAEE" w14:textId="77777777" w:rsidR="000F5A42" w:rsidRPr="00915E84" w:rsidRDefault="000F5A42" w:rsidP="00915E84"/>
    <w:sectPr w:rsidR="000F5A42" w:rsidRPr="00915E84" w:rsidSect="003F1BED">
      <w:headerReference w:type="default" r:id="rId13"/>
      <w:footerReference w:type="default" r:id="rId14"/>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7A18A" w14:textId="77777777" w:rsidR="00F84872" w:rsidRDefault="00F84872">
      <w:pPr>
        <w:spacing w:after="0" w:line="240" w:lineRule="auto"/>
      </w:pPr>
      <w:r>
        <w:separator/>
      </w:r>
    </w:p>
  </w:endnote>
  <w:endnote w:type="continuationSeparator" w:id="0">
    <w:p w14:paraId="7F28941D" w14:textId="77777777" w:rsidR="00F84872" w:rsidRDefault="00F84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6B6C6" w14:textId="77777777" w:rsidR="003F1BED" w:rsidRDefault="003F1BED" w:rsidP="000849D5">
    <w:pPr>
      <w:spacing w:after="0"/>
      <w:rPr>
        <w:rFonts w:ascii="Verdana" w:hAnsi="Verdana"/>
        <w:b/>
        <w:bCs/>
        <w:sz w:val="20"/>
        <w:szCs w:val="20"/>
      </w:rPr>
    </w:pPr>
  </w:p>
  <w:p w14:paraId="454EC689" w14:textId="77777777" w:rsidR="003F1BED" w:rsidRPr="00174B77" w:rsidRDefault="003F1BED"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A23523A" w14:textId="77777777" w:rsidR="003F1BED" w:rsidRDefault="003F1BED"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81680D1" w14:textId="77777777" w:rsidR="003F1BED" w:rsidRPr="00E41027" w:rsidRDefault="003F1BED" w:rsidP="000849D5">
    <w:pPr>
      <w:spacing w:after="0"/>
      <w:jc w:val="both"/>
      <w:rPr>
        <w:rFonts w:ascii="Verdana" w:hAnsi="Verdana"/>
        <w:sz w:val="18"/>
        <w:szCs w:val="18"/>
      </w:rPr>
    </w:pPr>
    <w:r w:rsidRPr="00E41027">
      <w:rPr>
        <w:rFonts w:ascii="Verdana" w:hAnsi="Verdana"/>
        <w:sz w:val="18"/>
        <w:szCs w:val="18"/>
      </w:rPr>
      <w:t>Mesa de servicio: (+57) 601 7456788</w:t>
    </w:r>
  </w:p>
  <w:p w14:paraId="5258B49B" w14:textId="77777777" w:rsidR="003F1BED" w:rsidRDefault="003F1BED"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015809E" w14:textId="77777777" w:rsidR="003F1BED" w:rsidRPr="007D04B2" w:rsidRDefault="003F1BED" w:rsidP="000849D5">
    <w:pPr>
      <w:pStyle w:val="Piedepgina"/>
    </w:pPr>
  </w:p>
  <w:p w14:paraId="43F3ECDD" w14:textId="77777777" w:rsidR="003F1BED" w:rsidRPr="000849D5" w:rsidRDefault="003F1BED"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4876E" w14:textId="77777777" w:rsidR="00F84872" w:rsidRDefault="00F84872">
      <w:pPr>
        <w:spacing w:after="0" w:line="240" w:lineRule="auto"/>
      </w:pPr>
      <w:r>
        <w:separator/>
      </w:r>
    </w:p>
  </w:footnote>
  <w:footnote w:type="continuationSeparator" w:id="0">
    <w:p w14:paraId="769E958A" w14:textId="77777777" w:rsidR="00F84872" w:rsidRDefault="00F84872">
      <w:pPr>
        <w:spacing w:after="0" w:line="240" w:lineRule="auto"/>
      </w:pPr>
      <w:r>
        <w:continuationSeparator/>
      </w:r>
    </w:p>
  </w:footnote>
  <w:footnote w:id="1">
    <w:p w14:paraId="7B1715DD" w14:textId="77777777" w:rsidR="0034467D" w:rsidRPr="000E6C92" w:rsidRDefault="0034467D" w:rsidP="0034467D">
      <w:pPr>
        <w:pStyle w:val="Textonotapie"/>
        <w:ind w:firstLine="708"/>
        <w:jc w:val="both"/>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PINO RICCI, Jorge. Régimen jurídico de los contratos estatales. Bogotá: Universidad Externado de Colombia, 2005. p. 264.</w:t>
      </w:r>
    </w:p>
  </w:footnote>
  <w:footnote w:id="2">
    <w:p w14:paraId="3FAEC99A" w14:textId="77777777" w:rsidR="0034467D" w:rsidRPr="000E6C92" w:rsidRDefault="0034467D" w:rsidP="0034467D">
      <w:pPr>
        <w:pStyle w:val="Textonotapie"/>
        <w:ind w:firstLine="708"/>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DÁVILA VINUEZA, Régimen jurídico… Ob. cit., p. 505.</w:t>
      </w:r>
    </w:p>
  </w:footnote>
  <w:footnote w:id="3">
    <w:p w14:paraId="2F78FEC6" w14:textId="77777777" w:rsidR="0034467D" w:rsidRPr="000E6C92" w:rsidRDefault="0034467D" w:rsidP="0034467D">
      <w:pPr>
        <w:pStyle w:val="Textonotapie"/>
        <w:ind w:firstLine="708"/>
        <w:jc w:val="both"/>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w:t>
      </w:r>
      <w:r w:rsidRPr="000E6C92">
        <w:rPr>
          <w:rFonts w:ascii="Verdana" w:hAnsi="Verdana"/>
          <w:i/>
          <w:iCs/>
          <w:sz w:val="14"/>
          <w:szCs w:val="14"/>
        </w:rPr>
        <w:t>Ibidem</w:t>
      </w:r>
      <w:r w:rsidRPr="000E6C92">
        <w:rPr>
          <w:rFonts w:ascii="Verdana" w:hAnsi="Verdana"/>
          <w:sz w:val="14"/>
          <w:szCs w:val="14"/>
        </w:rPr>
        <w:t xml:space="preserve">. </w:t>
      </w:r>
    </w:p>
  </w:footnote>
  <w:footnote w:id="4">
    <w:p w14:paraId="4FD2C600" w14:textId="77777777" w:rsidR="0034467D" w:rsidRPr="000E6C92" w:rsidRDefault="0034467D" w:rsidP="0034467D">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GONZÁLEZ LÓPEZ, Edgar. Los contratos estatales. El proceso de selección y la modificación de los contratos. Bógotá: Universidad Externado de Colombia – Tirant lo Blanch, 2023. p. 564.</w:t>
      </w:r>
    </w:p>
  </w:footnote>
  <w:footnote w:id="5">
    <w:p w14:paraId="6402C032" w14:textId="77777777" w:rsidR="0034467D" w:rsidRPr="000E6C92" w:rsidRDefault="0034467D" w:rsidP="0034467D">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RICO PUERTA, Luis Alonso. Teoría general y práctica de la contratación estatal. Volumen II. Decimotercera edición. Bogotá: Grupo Editorial Ibañez, 2025. p. 1142.</w:t>
      </w:r>
    </w:p>
  </w:footnote>
  <w:footnote w:id="6">
    <w:p w14:paraId="589421F8" w14:textId="77777777" w:rsidR="0034467D" w:rsidRPr="000E6C92" w:rsidRDefault="0034467D" w:rsidP="0034467D">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Por ejemplo, para RODRÍGUEZ TAMAYO “[…] resulta inútil la tramitación de convocatorias públicas que hacen algunas entidades estatales, cuando van a entregar en arrendamiento bienes inmuebles de su propiedad, pues en esos casos, el ordenamiento jurídico no exige tal procedimiento y, por el contrario, ello se presta para conflictos con los interesados que concurren a dichos llamados. Tanto la ley como el reglamento, dieron flexibilidad a la administración, ya sea para obrar como arrendador o como arrendatario, obviamente, teniendo como límite los precios del mercado y obrar en sentido contrario, en la práctica, implica regular aspectos no autorizados por la ley” (RODRÍGUEZ TAMAYO, Mauricio Fernando. Los contratos estatales en Colombia. Bogotá: Tirant lo Blanch, 2022. p. 199).</w:t>
      </w:r>
    </w:p>
    <w:p w14:paraId="45E7FED6" w14:textId="77777777" w:rsidR="0034467D" w:rsidRPr="000E6C92" w:rsidRDefault="0034467D" w:rsidP="0034467D">
      <w:pPr>
        <w:pStyle w:val="Textonotapie"/>
        <w:ind w:firstLine="708"/>
        <w:jc w:val="both"/>
        <w:rPr>
          <w:rFonts w:ascii="Verdana" w:hAnsi="Verdana"/>
          <w:sz w:val="14"/>
          <w:szCs w:val="14"/>
        </w:rPr>
      </w:pPr>
      <w:r w:rsidRPr="000E6C92">
        <w:rPr>
          <w:rFonts w:ascii="Verdana" w:hAnsi="Verdana"/>
          <w:sz w:val="14"/>
          <w:szCs w:val="14"/>
        </w:rPr>
        <w:t>En contraste, para SÁNCHEZ ESTRADA “[…] el legislador desaprovechó la oportunidad de corregir el yerro que viene desde los decretos 150 de 1976 y 222 de 1983, de habilitar la contratación directa tanto cuando la entidad estatal es arrendataria como cuando funge de arrendadora. En efecto, en la primera de las hipótesis está justificada la causal, pues cuando un ente estatal busca un inmueble el factor menos importante termina siendo el precio. La ubicación, funcionalidad, capacidad, etc., son criterios determinantes y muy difíciles de evaluar en un trámite licitatorio. No ocurre lo mismo cuando se trata de arrendar bienes de propiedad el Estado. En ese caso nada le impide a la administración adelantar un proceso de selección en el que escoja a quien, cumpliendo unas exigencias mínimas, le ofrezca pagar el mejor canon. De hecho, la aplicación amplia de la causal ha propiciado el favoritismo a la hora de arrendar bienes del Estado con privilegiada ubicación, no sólo en los entes territoriales.</w:t>
      </w:r>
    </w:p>
    <w:p w14:paraId="7028261D" w14:textId="77777777" w:rsidR="0034467D" w:rsidRPr="000E6C92" w:rsidRDefault="0034467D" w:rsidP="0034467D">
      <w:pPr>
        <w:pStyle w:val="Textonotapie"/>
        <w:ind w:firstLine="708"/>
        <w:jc w:val="both"/>
        <w:rPr>
          <w:rFonts w:ascii="Verdana" w:hAnsi="Verdana"/>
          <w:sz w:val="14"/>
          <w:szCs w:val="14"/>
        </w:rPr>
      </w:pPr>
      <w:r w:rsidRPr="000E6C92">
        <w:rPr>
          <w:rFonts w:ascii="Verdana" w:hAnsi="Verdana"/>
          <w:sz w:val="14"/>
          <w:szCs w:val="14"/>
        </w:rPr>
        <w:t>A manera de ejemplo, recordemos los recientes contratos de arrendamiento suscritos por el Incoder-Ministerio de Agricultura con los ocupantes ilegales de las Islas del Rosario, a quienes se les ‘sancionó’ su infracción celebrando con ellos, de forma directa y a precios risibles, contratos de arrendamiento. Sin duda, de haberse efectuado convocatoria pública, el Estado hubiera conseguido mejores contratistas. No entendemos cómo para los casos de compra y venta se tienen previstos procedimientos distintos y no ocurre lo mismo cuando se toman o dan en arriendo inmuebles de propiedad de las entidades del Estado” (ESTRADA SÁNCHEZ, Juan Pablo. Contratación directa, convenios interadministrativos y contratos de cooperación internacional. En: Contratación estatal. Estudios sobre la reforma del Estatuto Contractual Ley 1150 de 2007. Bogotá: Universidad Externado de Colombia, 2009. p. 315).</w:t>
      </w:r>
    </w:p>
  </w:footnote>
  <w:footnote w:id="7">
    <w:p w14:paraId="4F4B2696"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Ello de conformidad con </w:t>
      </w:r>
      <w:r w:rsidRPr="000E6C92">
        <w:rPr>
          <w:rFonts w:ascii="Verdana" w:eastAsia="Calibri" w:hAnsi="Verdana" w:cs="Arial"/>
          <w:color w:val="000000" w:themeColor="text1"/>
          <w:sz w:val="14"/>
          <w:szCs w:val="14"/>
          <w:lang w:val="es-ES_tradnl"/>
        </w:rPr>
        <w:t>el numeral 8 del artículo 11 y el numeral 5 del artículo 3 del Decreto Ley 4170 de 2011.</w:t>
      </w:r>
    </w:p>
  </w:footnote>
  <w:footnote w:id="8">
    <w:p w14:paraId="111432AB" w14:textId="77777777" w:rsidR="0034467D" w:rsidRPr="000E6C92" w:rsidRDefault="0034467D" w:rsidP="0034467D">
      <w:pPr>
        <w:pStyle w:val="Textonotapie"/>
        <w:jc w:val="both"/>
        <w:rPr>
          <w:rFonts w:ascii="Verdana" w:hAnsi="Verdana" w:cs="Arial"/>
          <w:color w:val="000000" w:themeColor="text1"/>
          <w:sz w:val="14"/>
          <w:szCs w:val="14"/>
        </w:rPr>
      </w:pPr>
      <w:r>
        <w:rPr>
          <w:rFonts w:ascii="Verdana" w:hAnsi="Verdana" w:cs="Arial"/>
          <w:color w:val="000000" w:themeColor="text1"/>
          <w:sz w:val="14"/>
          <w:szCs w:val="14"/>
        </w:rPr>
        <w:tab/>
      </w:r>
      <w:r w:rsidRPr="000E6C92">
        <w:rPr>
          <w:rStyle w:val="Refdenotaalpie"/>
          <w:rFonts w:ascii="Verdana" w:hAnsi="Verdana"/>
          <w:sz w:val="14"/>
          <w:szCs w:val="14"/>
        </w:rPr>
        <w:footnoteRef/>
      </w:r>
      <w:r w:rsidRPr="000E6C92">
        <w:rPr>
          <w:rFonts w:ascii="Verdana" w:hAnsi="Verdana" w:cs="Arial"/>
          <w:color w:val="000000" w:themeColor="text1"/>
          <w:sz w:val="14"/>
          <w:szCs w:val="14"/>
        </w:rPr>
        <w:t xml:space="preserve"> </w:t>
      </w:r>
      <w:r w:rsidRPr="000E6C92">
        <w:rPr>
          <w:rFonts w:ascii="Verdana" w:hAnsi="Verdana" w:cs="Arial"/>
          <w:color w:val="000000" w:themeColor="text1"/>
          <w:sz w:val="14"/>
          <w:szCs w:val="14"/>
          <w:lang w:val="es-ES"/>
        </w:rPr>
        <w:t>Según García de Enterría, “Estos concepto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footnote>
  <w:footnote w:id="9">
    <w:p w14:paraId="4EE88C5B" w14:textId="77777777" w:rsidR="0034467D" w:rsidRPr="000E6C92" w:rsidRDefault="0034467D" w:rsidP="0034467D">
      <w:pPr>
        <w:pStyle w:val="Textonotapie"/>
        <w:ind w:firstLine="709"/>
        <w:jc w:val="both"/>
        <w:rPr>
          <w:rFonts w:ascii="Verdana" w:hAnsi="Verdana" w:cs="Arial"/>
          <w:color w:val="000000" w:themeColor="text1"/>
          <w:sz w:val="14"/>
          <w:szCs w:val="14"/>
        </w:rPr>
      </w:pPr>
      <w:r w:rsidRPr="000E6C92">
        <w:rPr>
          <w:rStyle w:val="Refdenotaalpie"/>
          <w:rFonts w:ascii="Verdana" w:hAnsi="Verdana"/>
          <w:sz w:val="14"/>
          <w:szCs w:val="14"/>
        </w:rPr>
        <w:footnoteRef/>
      </w:r>
      <w:r w:rsidRPr="000E6C92">
        <w:rPr>
          <w:rFonts w:ascii="Verdana" w:hAnsi="Verdana" w:cs="Arial"/>
          <w:color w:val="000000" w:themeColor="text1"/>
          <w:sz w:val="14"/>
          <w:szCs w:val="14"/>
        </w:rPr>
        <w:t xml:space="preserve"> Sentencia C-382 de 2019, M.P. Alejandro Linares Cantillo.</w:t>
      </w:r>
    </w:p>
  </w:footnote>
  <w:footnote w:id="10">
    <w:p w14:paraId="4A5D6EC7"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w:t>
      </w:r>
      <w:r w:rsidRPr="000E6C92">
        <w:rPr>
          <w:rFonts w:ascii="Verdana" w:hAnsi="Verdana" w:cs="Arial"/>
          <w:sz w:val="14"/>
          <w:szCs w:val="14"/>
          <w:lang w:val="es-ES"/>
        </w:rPr>
        <w:t xml:space="preserve">Consejo de Estado. Sala de Consulta y Servicio Civil. Concepto del 30 de enero de 1997. Consejero Ponente: Javier Henao Hidrón. Expediente: </w:t>
      </w:r>
      <w:r w:rsidRPr="000E6C92">
        <w:rPr>
          <w:rStyle w:val="FontStyle23"/>
          <w:rFonts w:ascii="Verdana" w:hAnsi="Verdana" w:cs="Arial"/>
          <w:sz w:val="14"/>
          <w:szCs w:val="14"/>
          <w:lang w:val="es-ES_tradnl" w:eastAsia="es-ES_tradnl"/>
        </w:rPr>
        <w:t>938.</w:t>
      </w:r>
    </w:p>
  </w:footnote>
  <w:footnote w:id="11">
    <w:p w14:paraId="7D6F9B76"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w:t>
      </w:r>
      <w:r w:rsidRPr="000E6C92">
        <w:rPr>
          <w:rFonts w:ascii="Verdana" w:hAnsi="Verdana" w:cs="Arial"/>
          <w:sz w:val="14"/>
          <w:szCs w:val="14"/>
          <w:lang w:val="es-ES"/>
        </w:rPr>
        <w:t>Ibíd</w:t>
      </w:r>
      <w:r>
        <w:rPr>
          <w:rFonts w:ascii="Verdana" w:hAnsi="Verdana" w:cs="Arial"/>
          <w:sz w:val="14"/>
          <w:szCs w:val="14"/>
          <w:lang w:val="es-ES"/>
        </w:rPr>
        <w:t xml:space="preserve">. </w:t>
      </w:r>
    </w:p>
  </w:footnote>
  <w:footnote w:id="12">
    <w:p w14:paraId="3DABEF89"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w:t>
      </w:r>
      <w:r w:rsidRPr="000E6C92">
        <w:rPr>
          <w:rFonts w:ascii="Verdana" w:hAnsi="Verdana" w:cs="Arial"/>
          <w:sz w:val="14"/>
          <w:szCs w:val="14"/>
          <w:lang w:val="es-ES"/>
        </w:rPr>
        <w:t xml:space="preserve">Consejo de Estado. Sala de Consulta y Servicio Civil. Concepto del 15 de diciembre de 2005. Consejero Ponente: Gustavo Aponte Santos. Expediente: </w:t>
      </w:r>
      <w:r w:rsidRPr="000E6C92">
        <w:rPr>
          <w:rFonts w:ascii="Verdana" w:hAnsi="Verdana" w:cs="Arial"/>
          <w:sz w:val="14"/>
          <w:szCs w:val="14"/>
        </w:rPr>
        <w:t>1706</w:t>
      </w:r>
    </w:p>
  </w:footnote>
  <w:footnote w:id="13">
    <w:p w14:paraId="08112361"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w:t>
      </w:r>
      <w:r w:rsidRPr="000E6C92">
        <w:rPr>
          <w:rFonts w:ascii="Verdana" w:hAnsi="Verdana" w:cs="Arial"/>
          <w:sz w:val="14"/>
          <w:szCs w:val="14"/>
          <w:lang w:val="es-ES"/>
        </w:rPr>
        <w:t xml:space="preserve">Consejo de Estado. Sala de Consulta y Servicio Civil. Concepto del 17 de febrero de 2006. Consejero Ponente: Luis Fernando Álvarez Jaramillo. Expediente: </w:t>
      </w:r>
      <w:r w:rsidRPr="000E6C92">
        <w:rPr>
          <w:rFonts w:ascii="Verdana" w:hAnsi="Verdana" w:cs="Arial"/>
          <w:sz w:val="14"/>
          <w:szCs w:val="14"/>
          <w:lang w:val="es-ES_tradnl"/>
        </w:rPr>
        <w:t>1720.</w:t>
      </w:r>
    </w:p>
  </w:footnote>
  <w:footnote w:id="14">
    <w:p w14:paraId="1486F417"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w:t>
      </w:r>
      <w:r w:rsidRPr="000E6C92">
        <w:rPr>
          <w:rFonts w:ascii="Verdana" w:hAnsi="Verdana" w:cs="Arial"/>
          <w:sz w:val="14"/>
          <w:szCs w:val="14"/>
          <w:lang w:val="es-ES"/>
        </w:rPr>
        <w:t>Ibíd.</w:t>
      </w:r>
    </w:p>
  </w:footnote>
  <w:footnote w:id="15">
    <w:p w14:paraId="184EE482" w14:textId="77777777" w:rsidR="0034467D" w:rsidRPr="000E6C92" w:rsidRDefault="0034467D" w:rsidP="0034467D">
      <w:pPr>
        <w:pStyle w:val="Textonotapie"/>
        <w:jc w:val="both"/>
        <w:rPr>
          <w:rFonts w:ascii="Verdana" w:hAnsi="Verdana" w:cs="Arial"/>
          <w:sz w:val="14"/>
          <w:szCs w:val="14"/>
          <w:lang w:val="es-ES"/>
        </w:rPr>
      </w:pPr>
      <w:r>
        <w:rPr>
          <w:rFonts w:ascii="Verdana" w:hAnsi="Verdana" w:cs="Arial"/>
          <w:sz w:val="14"/>
          <w:szCs w:val="14"/>
        </w:rPr>
        <w:tab/>
      </w:r>
      <w:r w:rsidRPr="000E6C92">
        <w:rPr>
          <w:rStyle w:val="Refdenotaalpie"/>
          <w:rFonts w:ascii="Verdana" w:hAnsi="Verdana"/>
          <w:sz w:val="14"/>
          <w:szCs w:val="14"/>
        </w:rPr>
        <w:footnoteRef/>
      </w:r>
      <w:r w:rsidRPr="000E6C92">
        <w:rPr>
          <w:rFonts w:ascii="Verdana" w:hAnsi="Verdana" w:cs="Arial"/>
          <w:sz w:val="14"/>
          <w:szCs w:val="14"/>
        </w:rPr>
        <w:t xml:space="preserve"> Consejo de Estado. Sala de Consulta y Servicio Civil. </w:t>
      </w:r>
      <w:r w:rsidRPr="000E6C92">
        <w:rPr>
          <w:rFonts w:ascii="Verdana" w:hAnsi="Verdana" w:cs="Arial"/>
          <w:sz w:val="14"/>
          <w:szCs w:val="14"/>
          <w:lang w:val="es-ES"/>
        </w:rPr>
        <w:t xml:space="preserve">Concepto del 25 de marzo de 2010. Consejero Ponente: William Zambrano Cetina. Expediente: </w:t>
      </w:r>
      <w:r w:rsidRPr="000E6C92">
        <w:rPr>
          <w:rFonts w:ascii="Verdana" w:hAnsi="Verdana" w:cs="Arial"/>
          <w:sz w:val="14"/>
          <w:szCs w:val="14"/>
        </w:rPr>
        <w:t>1993.</w:t>
      </w:r>
      <w:r w:rsidRPr="000E6C92">
        <w:rPr>
          <w:rFonts w:ascii="Verdana" w:hAnsi="Verdana" w:cs="Arial"/>
          <w:sz w:val="14"/>
          <w:szCs w:val="14"/>
          <w:lang w:val="es-ES"/>
        </w:rPr>
        <w:t xml:space="preserve"> </w:t>
      </w:r>
    </w:p>
  </w:footnote>
  <w:footnote w:id="16">
    <w:p w14:paraId="25A11403"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w:t>
      </w:r>
      <w:r w:rsidRPr="000E6C92">
        <w:rPr>
          <w:rFonts w:ascii="Verdana" w:hAnsi="Verdana" w:cs="Arial"/>
          <w:sz w:val="14"/>
          <w:szCs w:val="14"/>
          <w:lang w:val="es-ES"/>
        </w:rPr>
        <w:t>Ibíd.</w:t>
      </w:r>
    </w:p>
  </w:footnote>
  <w:footnote w:id="17">
    <w:p w14:paraId="2F898731"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Consejo de Estado. Sala de Consulta y Servicio Civil. </w:t>
      </w:r>
      <w:r w:rsidRPr="000E6C92">
        <w:rPr>
          <w:rFonts w:ascii="Verdana" w:hAnsi="Verdana" w:cs="Arial"/>
          <w:sz w:val="14"/>
          <w:szCs w:val="14"/>
          <w:lang w:val="es-ES"/>
        </w:rPr>
        <w:t xml:space="preserve">Concepto del 2 de septiembre de 2013. Consejero Ponente: Álvaro Namén Vargas. Expediente: </w:t>
      </w:r>
      <w:r w:rsidRPr="000E6C92">
        <w:rPr>
          <w:rFonts w:ascii="Verdana" w:hAnsi="Verdana" w:cs="Arial"/>
          <w:sz w:val="14"/>
          <w:szCs w:val="14"/>
          <w:lang w:val="es-ES_tradnl"/>
        </w:rPr>
        <w:t>2168</w:t>
      </w:r>
      <w:r w:rsidRPr="000E6C92">
        <w:rPr>
          <w:rFonts w:ascii="Verdana" w:hAnsi="Verdana" w:cs="Arial"/>
          <w:sz w:val="14"/>
          <w:szCs w:val="14"/>
        </w:rPr>
        <w:t>.</w:t>
      </w:r>
    </w:p>
  </w:footnote>
  <w:footnote w:id="18">
    <w:p w14:paraId="4A141CF2"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w:t>
      </w:r>
      <w:r w:rsidRPr="000E6C92">
        <w:rPr>
          <w:rFonts w:ascii="Verdana" w:hAnsi="Verdana" w:cs="Arial"/>
          <w:sz w:val="14"/>
          <w:szCs w:val="14"/>
          <w:lang w:val="es-ES"/>
        </w:rPr>
        <w:t>Ibíd.</w:t>
      </w:r>
    </w:p>
  </w:footnote>
  <w:footnote w:id="19">
    <w:p w14:paraId="00A747F6"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Consejo de Estado. Sección Tercera. Sentencia del 27 de marzo de 2008. Consejera Ponente: Ruth Stella Correa Palacio. Expediente: 29393. Esta tesis fue sostenida también en el auto del 16 de marzo de 2006, dentro del mismo proceso de la referencia. </w:t>
      </w:r>
    </w:p>
  </w:footnote>
  <w:footnote w:id="20">
    <w:p w14:paraId="2C8045E4"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Consejo de Estado. Sección Tercera. Subsección C. Sentencia del 26 de julio de 2011. Consejero Ponente: Enrique Gil Botero. Expediente: </w:t>
      </w:r>
      <w:r w:rsidRPr="000E6C92">
        <w:rPr>
          <w:rFonts w:ascii="Verdana" w:hAnsi="Verdana" w:cs="Arial"/>
          <w:iCs/>
          <w:sz w:val="14"/>
          <w:szCs w:val="14"/>
        </w:rPr>
        <w:t>17661.</w:t>
      </w:r>
      <w:r w:rsidRPr="000E6C92">
        <w:rPr>
          <w:rFonts w:ascii="Verdana" w:hAnsi="Verdana" w:cs="Arial"/>
          <w:sz w:val="14"/>
          <w:szCs w:val="14"/>
        </w:rPr>
        <w:t xml:space="preserve"> </w:t>
      </w:r>
    </w:p>
  </w:footnote>
  <w:footnote w:id="21">
    <w:p w14:paraId="50060509" w14:textId="77777777" w:rsidR="0034467D" w:rsidRPr="000E6C92" w:rsidRDefault="0034467D" w:rsidP="0034467D">
      <w:pPr>
        <w:pStyle w:val="Textonotapie"/>
        <w:ind w:firstLine="709"/>
        <w:jc w:val="both"/>
        <w:rPr>
          <w:rFonts w:ascii="Verdana" w:hAnsi="Verdana" w:cs="Arial"/>
          <w:sz w:val="14"/>
          <w:szCs w:val="14"/>
          <w:lang w:val="es-ES"/>
        </w:rPr>
      </w:pPr>
      <w:r w:rsidRPr="000E6C92">
        <w:rPr>
          <w:rStyle w:val="Refdenotaalpie"/>
          <w:rFonts w:ascii="Verdana" w:hAnsi="Verdana"/>
          <w:sz w:val="14"/>
          <w:szCs w:val="14"/>
        </w:rPr>
        <w:footnoteRef/>
      </w:r>
      <w:r w:rsidRPr="000E6C92">
        <w:rPr>
          <w:rFonts w:ascii="Verdana" w:hAnsi="Verdana" w:cs="Arial"/>
          <w:sz w:val="14"/>
          <w:szCs w:val="14"/>
        </w:rPr>
        <w:t xml:space="preserve"> </w:t>
      </w:r>
      <w:r w:rsidRPr="000E6C92">
        <w:rPr>
          <w:rFonts w:ascii="Verdana" w:hAnsi="Verdana" w:cs="Arial"/>
          <w:sz w:val="14"/>
          <w:szCs w:val="14"/>
          <w:lang w:val="es-ES"/>
        </w:rPr>
        <w:t xml:space="preserve">Consejo de Estado. Sección Tercera. Sala Plena. Sentencia del 23 de julio de 2015. Consejero Ponente: Hernán Andrade Rincón. Expediente: </w:t>
      </w:r>
      <w:r w:rsidRPr="000E6C92">
        <w:rPr>
          <w:rFonts w:ascii="Verdana" w:hAnsi="Verdana" w:cs="Arial"/>
          <w:spacing w:val="4"/>
          <w:sz w:val="14"/>
          <w:szCs w:val="14"/>
          <w:lang w:val="es-ES_tradnl"/>
        </w:rPr>
        <w:t>36805.</w:t>
      </w:r>
    </w:p>
  </w:footnote>
  <w:footnote w:id="22">
    <w:p w14:paraId="11FBFB02" w14:textId="77777777" w:rsidR="0034467D" w:rsidRPr="000E6C92" w:rsidRDefault="0034467D" w:rsidP="0034467D">
      <w:pPr>
        <w:pStyle w:val="Textonotapie"/>
        <w:ind w:firstLine="708"/>
        <w:jc w:val="both"/>
        <w:rPr>
          <w:rFonts w:ascii="Arial" w:hAnsi="Arial" w:cs="Arial"/>
          <w:sz w:val="14"/>
          <w:szCs w:val="14"/>
        </w:rPr>
      </w:pPr>
      <w:r w:rsidRPr="000E6C92">
        <w:rPr>
          <w:rStyle w:val="Refdenotaalpie"/>
          <w:rFonts w:ascii="Verdana" w:hAnsi="Verdana" w:cs="Arial"/>
          <w:sz w:val="14"/>
          <w:szCs w:val="14"/>
        </w:rPr>
        <w:footnoteRef/>
      </w:r>
      <w:r w:rsidRPr="000E6C92">
        <w:rPr>
          <w:rFonts w:ascii="Verdana" w:hAnsi="Verdana" w:cs="Arial"/>
          <w:sz w:val="14"/>
          <w:szCs w:val="14"/>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BEB1F" w14:textId="77777777" w:rsidR="003F1BED" w:rsidRDefault="003F1BED" w:rsidP="00515FB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2D849FBD" wp14:editId="53F0D114">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5891C7AD" wp14:editId="6BA628C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AD7E179" w14:textId="77777777" w:rsidR="003F1BED" w:rsidRDefault="003F1BED" w:rsidP="00515FB5">
    <w:pPr>
      <w:pStyle w:val="Encabezado"/>
    </w:pPr>
  </w:p>
  <w:p w14:paraId="26F1B74D" w14:textId="77777777" w:rsidR="003F1BED" w:rsidRDefault="003F1BED" w:rsidP="00515FB5">
    <w:pPr>
      <w:pStyle w:val="Encabezado"/>
    </w:pPr>
  </w:p>
  <w:p w14:paraId="0F72F388" w14:textId="77777777" w:rsidR="003F1BED" w:rsidRPr="00515FB5" w:rsidRDefault="003F1BED"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D20488"/>
    <w:multiLevelType w:val="hybridMultilevel"/>
    <w:tmpl w:val="EF1826F6"/>
    <w:lvl w:ilvl="0" w:tplc="F05CB75C">
      <w:start w:val="1"/>
      <w:numFmt w:val="lowerRoman"/>
      <w:lvlText w:val="%1."/>
      <w:lvlJc w:val="left"/>
      <w:pPr>
        <w:ind w:left="795" w:hanging="720"/>
      </w:pPr>
      <w:rPr>
        <w:rFonts w:eastAsia="Calibri" w:hint="default"/>
        <w:color w:val="000000" w:themeColor="text1"/>
      </w:rPr>
    </w:lvl>
    <w:lvl w:ilvl="1" w:tplc="240A0019" w:tentative="1">
      <w:start w:val="1"/>
      <w:numFmt w:val="lowerLetter"/>
      <w:lvlText w:val="%2."/>
      <w:lvlJc w:val="left"/>
      <w:pPr>
        <w:ind w:left="1155" w:hanging="360"/>
      </w:pPr>
    </w:lvl>
    <w:lvl w:ilvl="2" w:tplc="240A001B" w:tentative="1">
      <w:start w:val="1"/>
      <w:numFmt w:val="lowerRoman"/>
      <w:lvlText w:val="%3."/>
      <w:lvlJc w:val="right"/>
      <w:pPr>
        <w:ind w:left="1875" w:hanging="180"/>
      </w:pPr>
    </w:lvl>
    <w:lvl w:ilvl="3" w:tplc="240A000F" w:tentative="1">
      <w:start w:val="1"/>
      <w:numFmt w:val="decimal"/>
      <w:lvlText w:val="%4."/>
      <w:lvlJc w:val="left"/>
      <w:pPr>
        <w:ind w:left="2595" w:hanging="360"/>
      </w:pPr>
    </w:lvl>
    <w:lvl w:ilvl="4" w:tplc="240A0019" w:tentative="1">
      <w:start w:val="1"/>
      <w:numFmt w:val="lowerLetter"/>
      <w:lvlText w:val="%5."/>
      <w:lvlJc w:val="left"/>
      <w:pPr>
        <w:ind w:left="3315" w:hanging="360"/>
      </w:pPr>
    </w:lvl>
    <w:lvl w:ilvl="5" w:tplc="240A001B" w:tentative="1">
      <w:start w:val="1"/>
      <w:numFmt w:val="lowerRoman"/>
      <w:lvlText w:val="%6."/>
      <w:lvlJc w:val="right"/>
      <w:pPr>
        <w:ind w:left="4035" w:hanging="180"/>
      </w:pPr>
    </w:lvl>
    <w:lvl w:ilvl="6" w:tplc="240A000F" w:tentative="1">
      <w:start w:val="1"/>
      <w:numFmt w:val="decimal"/>
      <w:lvlText w:val="%7."/>
      <w:lvlJc w:val="left"/>
      <w:pPr>
        <w:ind w:left="4755" w:hanging="360"/>
      </w:pPr>
    </w:lvl>
    <w:lvl w:ilvl="7" w:tplc="240A0019" w:tentative="1">
      <w:start w:val="1"/>
      <w:numFmt w:val="lowerLetter"/>
      <w:lvlText w:val="%8."/>
      <w:lvlJc w:val="left"/>
      <w:pPr>
        <w:ind w:left="5475" w:hanging="360"/>
      </w:pPr>
    </w:lvl>
    <w:lvl w:ilvl="8" w:tplc="240A001B" w:tentative="1">
      <w:start w:val="1"/>
      <w:numFmt w:val="lowerRoman"/>
      <w:lvlText w:val="%9."/>
      <w:lvlJc w:val="right"/>
      <w:pPr>
        <w:ind w:left="6195"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2"/>
  </w:num>
  <w:num w:numId="3" w16cid:durableId="390349800">
    <w:abstractNumId w:val="4"/>
  </w:num>
  <w:num w:numId="4" w16cid:durableId="1652173312">
    <w:abstractNumId w:val="1"/>
  </w:num>
  <w:num w:numId="5" w16cid:durableId="1532558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BED"/>
    <w:rsid w:val="00001CED"/>
    <w:rsid w:val="000129A4"/>
    <w:rsid w:val="0002657A"/>
    <w:rsid w:val="0002703F"/>
    <w:rsid w:val="00045644"/>
    <w:rsid w:val="000A0D49"/>
    <w:rsid w:val="000A2939"/>
    <w:rsid w:val="000B43F1"/>
    <w:rsid w:val="000D3AA1"/>
    <w:rsid w:val="000E5D0D"/>
    <w:rsid w:val="000F5A42"/>
    <w:rsid w:val="00122436"/>
    <w:rsid w:val="00152673"/>
    <w:rsid w:val="00164A33"/>
    <w:rsid w:val="00186EFC"/>
    <w:rsid w:val="001C416D"/>
    <w:rsid w:val="001F38BF"/>
    <w:rsid w:val="00260707"/>
    <w:rsid w:val="00291CBD"/>
    <w:rsid w:val="002F3466"/>
    <w:rsid w:val="0034467D"/>
    <w:rsid w:val="003714BB"/>
    <w:rsid w:val="00382EBA"/>
    <w:rsid w:val="00396D6B"/>
    <w:rsid w:val="003B6E64"/>
    <w:rsid w:val="003F1BED"/>
    <w:rsid w:val="004168CA"/>
    <w:rsid w:val="004314AA"/>
    <w:rsid w:val="00476C83"/>
    <w:rsid w:val="004D39EC"/>
    <w:rsid w:val="00501276"/>
    <w:rsid w:val="00514B24"/>
    <w:rsid w:val="00530A41"/>
    <w:rsid w:val="00537F59"/>
    <w:rsid w:val="005559ED"/>
    <w:rsid w:val="00586417"/>
    <w:rsid w:val="005A6E74"/>
    <w:rsid w:val="005B3AF8"/>
    <w:rsid w:val="005D4827"/>
    <w:rsid w:val="005D6806"/>
    <w:rsid w:val="00626FBA"/>
    <w:rsid w:val="006725F9"/>
    <w:rsid w:val="0067790B"/>
    <w:rsid w:val="006A3F29"/>
    <w:rsid w:val="006D15C6"/>
    <w:rsid w:val="006E2B6E"/>
    <w:rsid w:val="00702908"/>
    <w:rsid w:val="007325D3"/>
    <w:rsid w:val="00737330"/>
    <w:rsid w:val="00747B22"/>
    <w:rsid w:val="00756311"/>
    <w:rsid w:val="0078701C"/>
    <w:rsid w:val="007A2E56"/>
    <w:rsid w:val="007B37AC"/>
    <w:rsid w:val="007D1A31"/>
    <w:rsid w:val="007D271C"/>
    <w:rsid w:val="007F162A"/>
    <w:rsid w:val="00802E8B"/>
    <w:rsid w:val="00813A1A"/>
    <w:rsid w:val="00835F7F"/>
    <w:rsid w:val="0083742C"/>
    <w:rsid w:val="00851A05"/>
    <w:rsid w:val="00894277"/>
    <w:rsid w:val="008A62B2"/>
    <w:rsid w:val="008B0B68"/>
    <w:rsid w:val="008B42DD"/>
    <w:rsid w:val="008F0436"/>
    <w:rsid w:val="008F4636"/>
    <w:rsid w:val="0090012D"/>
    <w:rsid w:val="00903706"/>
    <w:rsid w:val="00915E84"/>
    <w:rsid w:val="0095059D"/>
    <w:rsid w:val="009509B4"/>
    <w:rsid w:val="009565F5"/>
    <w:rsid w:val="009933E4"/>
    <w:rsid w:val="009E250E"/>
    <w:rsid w:val="00A12218"/>
    <w:rsid w:val="00A323B7"/>
    <w:rsid w:val="00A72A9C"/>
    <w:rsid w:val="00A7774D"/>
    <w:rsid w:val="00A90678"/>
    <w:rsid w:val="00A91BA9"/>
    <w:rsid w:val="00A94068"/>
    <w:rsid w:val="00AA5360"/>
    <w:rsid w:val="00B338AA"/>
    <w:rsid w:val="00B46923"/>
    <w:rsid w:val="00B52CD2"/>
    <w:rsid w:val="00BA47E4"/>
    <w:rsid w:val="00BF179E"/>
    <w:rsid w:val="00C0134A"/>
    <w:rsid w:val="00C37472"/>
    <w:rsid w:val="00C37AFD"/>
    <w:rsid w:val="00C77731"/>
    <w:rsid w:val="00CB026C"/>
    <w:rsid w:val="00CF1D18"/>
    <w:rsid w:val="00D60092"/>
    <w:rsid w:val="00D6606A"/>
    <w:rsid w:val="00D77DEE"/>
    <w:rsid w:val="00D925E2"/>
    <w:rsid w:val="00DB416C"/>
    <w:rsid w:val="00DC0B71"/>
    <w:rsid w:val="00DC1D33"/>
    <w:rsid w:val="00DC28B3"/>
    <w:rsid w:val="00DF3F75"/>
    <w:rsid w:val="00E04358"/>
    <w:rsid w:val="00E31AF6"/>
    <w:rsid w:val="00E44D28"/>
    <w:rsid w:val="00E53FDC"/>
    <w:rsid w:val="00E73CC6"/>
    <w:rsid w:val="00E818F6"/>
    <w:rsid w:val="00E86A7F"/>
    <w:rsid w:val="00E92E64"/>
    <w:rsid w:val="00EA7194"/>
    <w:rsid w:val="00EB0C94"/>
    <w:rsid w:val="00EF6170"/>
    <w:rsid w:val="00F1047D"/>
    <w:rsid w:val="00F2678D"/>
    <w:rsid w:val="00F339C4"/>
    <w:rsid w:val="00F84872"/>
    <w:rsid w:val="00FD1E2B"/>
    <w:rsid w:val="00FD6F9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BBF31"/>
  <w15:chartTrackingRefBased/>
  <w15:docId w15:val="{E3D25521-E0AD-4D16-A990-2705B1CBD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A1A"/>
    <w:rPr>
      <w:kern w:val="0"/>
      <w14:ligatures w14:val="none"/>
    </w:rPr>
  </w:style>
  <w:style w:type="paragraph" w:styleId="Ttulo1">
    <w:name w:val="heading 1"/>
    <w:basedOn w:val="Normal"/>
    <w:next w:val="Normal"/>
    <w:link w:val="Ttulo1Car"/>
    <w:uiPriority w:val="9"/>
    <w:qFormat/>
    <w:rsid w:val="003F1B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F1B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F1BE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F1BE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F1BE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F1BE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F1BE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F1BE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F1BE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F1BE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F1BE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F1BE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F1BE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F1BE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F1BE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F1BE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F1BE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F1BED"/>
    <w:rPr>
      <w:rFonts w:eastAsiaTheme="majorEastAsia" w:cstheme="majorBidi"/>
      <w:color w:val="272727" w:themeColor="text1" w:themeTint="D8"/>
    </w:rPr>
  </w:style>
  <w:style w:type="paragraph" w:styleId="Ttulo">
    <w:name w:val="Title"/>
    <w:basedOn w:val="Normal"/>
    <w:next w:val="Normal"/>
    <w:link w:val="TtuloCar"/>
    <w:uiPriority w:val="10"/>
    <w:qFormat/>
    <w:rsid w:val="003F1B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F1BE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F1BE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F1BE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F1BED"/>
    <w:pPr>
      <w:spacing w:before="160"/>
      <w:jc w:val="center"/>
    </w:pPr>
    <w:rPr>
      <w:i/>
      <w:iCs/>
      <w:color w:val="404040" w:themeColor="text1" w:themeTint="BF"/>
    </w:rPr>
  </w:style>
  <w:style w:type="character" w:customStyle="1" w:styleId="CitaCar">
    <w:name w:val="Cita Car"/>
    <w:basedOn w:val="Fuentedeprrafopredeter"/>
    <w:link w:val="Cita"/>
    <w:uiPriority w:val="29"/>
    <w:rsid w:val="003F1BED"/>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3F1BED"/>
    <w:pPr>
      <w:ind w:left="720"/>
      <w:contextualSpacing/>
    </w:pPr>
  </w:style>
  <w:style w:type="character" w:styleId="nfasisintenso">
    <w:name w:val="Intense Emphasis"/>
    <w:basedOn w:val="Fuentedeprrafopredeter"/>
    <w:uiPriority w:val="21"/>
    <w:qFormat/>
    <w:rsid w:val="003F1BED"/>
    <w:rPr>
      <w:i/>
      <w:iCs/>
      <w:color w:val="0F4761" w:themeColor="accent1" w:themeShade="BF"/>
    </w:rPr>
  </w:style>
  <w:style w:type="paragraph" w:styleId="Citadestacada">
    <w:name w:val="Intense Quote"/>
    <w:basedOn w:val="Normal"/>
    <w:next w:val="Normal"/>
    <w:link w:val="CitadestacadaCar"/>
    <w:uiPriority w:val="30"/>
    <w:qFormat/>
    <w:rsid w:val="003F1B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F1BED"/>
    <w:rPr>
      <w:i/>
      <w:iCs/>
      <w:color w:val="0F4761" w:themeColor="accent1" w:themeShade="BF"/>
    </w:rPr>
  </w:style>
  <w:style w:type="character" w:styleId="Referenciaintensa">
    <w:name w:val="Intense Reference"/>
    <w:basedOn w:val="Fuentedeprrafopredeter"/>
    <w:uiPriority w:val="32"/>
    <w:qFormat/>
    <w:rsid w:val="003F1BED"/>
    <w:rPr>
      <w:b/>
      <w:bCs/>
      <w:smallCaps/>
      <w:color w:val="0F4761" w:themeColor="accent1" w:themeShade="BF"/>
      <w:spacing w:val="5"/>
    </w:rPr>
  </w:style>
  <w:style w:type="paragraph" w:styleId="Encabezado">
    <w:name w:val="header"/>
    <w:basedOn w:val="Normal"/>
    <w:link w:val="EncabezadoCar"/>
    <w:uiPriority w:val="99"/>
    <w:unhideWhenUsed/>
    <w:rsid w:val="003F1B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F1BED"/>
    <w:rPr>
      <w:kern w:val="0"/>
      <w14:ligatures w14:val="none"/>
    </w:rPr>
  </w:style>
  <w:style w:type="paragraph" w:styleId="Piedepgina">
    <w:name w:val="footer"/>
    <w:basedOn w:val="Normal"/>
    <w:link w:val="PiedepginaCar"/>
    <w:uiPriority w:val="99"/>
    <w:unhideWhenUsed/>
    <w:rsid w:val="003F1B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F1BED"/>
    <w:rPr>
      <w:kern w:val="0"/>
      <w14:ligatures w14:val="none"/>
    </w:rPr>
  </w:style>
  <w:style w:type="table" w:styleId="Tablaconcuadrcula">
    <w:name w:val="Table Grid"/>
    <w:basedOn w:val="Tablanormal"/>
    <w:uiPriority w:val="39"/>
    <w:qFormat/>
    <w:rsid w:val="003F1BE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F1BED"/>
    <w:rPr>
      <w:color w:val="467886" w:themeColor="hyperlink"/>
      <w:u w:val="single"/>
    </w:rPr>
  </w:style>
  <w:style w:type="character" w:customStyle="1" w:styleId="normaltextrun">
    <w:name w:val="normaltextrun"/>
    <w:basedOn w:val="Fuentedeprrafopredeter"/>
    <w:rsid w:val="003F1BED"/>
  </w:style>
  <w:style w:type="character" w:customStyle="1" w:styleId="eop">
    <w:name w:val="eop"/>
    <w:basedOn w:val="Fuentedeprrafopredeter"/>
    <w:rsid w:val="003F1BED"/>
  </w:style>
  <w:style w:type="paragraph" w:customStyle="1" w:styleId="paragraph">
    <w:name w:val="paragraph"/>
    <w:basedOn w:val="Normal"/>
    <w:rsid w:val="003F1BED"/>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F1BED"/>
  </w:style>
  <w:style w:type="paragraph" w:styleId="NormalWeb">
    <w:name w:val="Normal (Web)"/>
    <w:basedOn w:val="Normal"/>
    <w:link w:val="NormalWebCar"/>
    <w:uiPriority w:val="99"/>
    <w:unhideWhenUsed/>
    <w:rsid w:val="003F1BE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3F1BED"/>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382EBA"/>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82EBA"/>
    <w:rPr>
      <w:sz w:val="20"/>
      <w:szCs w:val="20"/>
      <w:lang w:val="es-MX"/>
    </w:rPr>
  </w:style>
  <w:style w:type="paragraph" w:customStyle="1" w:styleId="Car1">
    <w:name w:val="Car1"/>
    <w:basedOn w:val="Normal"/>
    <w:next w:val="Textonotapie"/>
    <w:uiPriority w:val="99"/>
    <w:unhideWhenUsed/>
    <w:qFormat/>
    <w:rsid w:val="00382EBA"/>
    <w:pPr>
      <w:spacing w:after="0" w:line="240" w:lineRule="auto"/>
    </w:pPr>
    <w:rPr>
      <w:sz w:val="20"/>
      <w:szCs w:val="20"/>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82EBA"/>
    <w:rPr>
      <w:vertAlign w:val="superscript"/>
    </w:rPr>
  </w:style>
  <w:style w:type="paragraph" w:customStyle="1" w:styleId="Appelnotedebasde">
    <w:name w:val="Appel note de bas de..."/>
    <w:basedOn w:val="Normal"/>
    <w:link w:val="Refdenotaalpie"/>
    <w:uiPriority w:val="99"/>
    <w:rsid w:val="00382EBA"/>
    <w:pPr>
      <w:spacing w:line="240" w:lineRule="exact"/>
    </w:pPr>
    <w:rPr>
      <w:kern w:val="2"/>
      <w:vertAlign w:val="superscript"/>
      <w14:ligatures w14:val="standardContextual"/>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382EB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82EBA"/>
    <w:rPr>
      <w:kern w:val="0"/>
      <w:sz w:val="20"/>
      <w:szCs w:val="20"/>
      <w14:ligatures w14:val="none"/>
    </w:rPr>
  </w:style>
  <w:style w:type="character" w:styleId="Refdecomentario">
    <w:name w:val="annotation reference"/>
    <w:basedOn w:val="Fuentedeprrafopredeter"/>
    <w:uiPriority w:val="99"/>
    <w:semiHidden/>
    <w:unhideWhenUsed/>
    <w:rsid w:val="00382EBA"/>
    <w:rPr>
      <w:sz w:val="16"/>
      <w:szCs w:val="16"/>
    </w:rPr>
  </w:style>
  <w:style w:type="character" w:customStyle="1" w:styleId="FontStyle23">
    <w:name w:val="Font Style23"/>
    <w:basedOn w:val="Fuentedeprrafopredeter"/>
    <w:rsid w:val="00382EBA"/>
    <w:rPr>
      <w:rFonts w:ascii="Times New Roman" w:hAnsi="Times New Roman" w:cs="Times New Roman"/>
      <w:sz w:val="20"/>
      <w:szCs w:val="20"/>
    </w:rPr>
  </w:style>
  <w:style w:type="paragraph" w:styleId="Textoindependiente">
    <w:name w:val="Body Text"/>
    <w:basedOn w:val="Normal"/>
    <w:link w:val="TextoindependienteCar"/>
    <w:uiPriority w:val="1"/>
    <w:unhideWhenUsed/>
    <w:qFormat/>
    <w:rsid w:val="00382EBA"/>
    <w:pPr>
      <w:spacing w:after="120"/>
    </w:pPr>
  </w:style>
  <w:style w:type="character" w:customStyle="1" w:styleId="TextoindependienteCar">
    <w:name w:val="Texto independiente Car"/>
    <w:basedOn w:val="Fuentedeprrafopredeter"/>
    <w:link w:val="Textoindependiente"/>
    <w:uiPriority w:val="1"/>
    <w:rsid w:val="00382EBA"/>
    <w:rPr>
      <w:kern w:val="0"/>
      <w14:ligatures w14:val="none"/>
    </w:rPr>
  </w:style>
  <w:style w:type="character" w:styleId="Fuerte">
    <w:name w:val="Strong"/>
    <w:basedOn w:val="Fuentedeprrafopredeter"/>
    <w:uiPriority w:val="22"/>
    <w:qFormat/>
    <w:rsid w:val="003446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ombiacompra.gov.c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mailto:marchila@cremil.gov.co"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25BBBEF-782B-4A06-A200-0273F5B6FA6D}"/>
</file>

<file path=customXml/itemProps2.xml><?xml version="1.0" encoding="utf-8"?>
<ds:datastoreItem xmlns:ds="http://schemas.openxmlformats.org/officeDocument/2006/customXml" ds:itemID="{1B089353-6AC0-4D5F-AD1B-1846A928E81D}"/>
</file>

<file path=customXml/itemProps3.xml><?xml version="1.0" encoding="utf-8"?>
<ds:datastoreItem xmlns:ds="http://schemas.openxmlformats.org/officeDocument/2006/customXml" ds:itemID="{8E376F09-82A3-450C-90D2-5B29163305CB}"/>
</file>

<file path=docProps/app.xml><?xml version="1.0" encoding="utf-8"?>
<Properties xmlns="http://schemas.openxmlformats.org/officeDocument/2006/extended-properties" xmlns:vt="http://schemas.openxmlformats.org/officeDocument/2006/docPropsVTypes">
  <Template>Normal</Template>
  <TotalTime>63</TotalTime>
  <Pages>32</Pages>
  <Words>11326</Words>
  <Characters>61954</Characters>
  <Application>Microsoft Office Word</Application>
  <DocSecurity>0</DocSecurity>
  <Lines>1191</Lines>
  <Paragraphs>189</Paragraphs>
  <ScaleCrop>false</ScaleCrop>
  <Company/>
  <LinksUpToDate>false</LinksUpToDate>
  <CharactersWithSpaces>73091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37</cp:revision>
  <dcterms:created xsi:type="dcterms:W3CDTF">2026-03-13T21:51:00Z</dcterms:created>
  <dcterms:modified xsi:type="dcterms:W3CDTF">2026-03-30T15:00:00Z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