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D0E43" w14:textId="77777777" w:rsidR="00987812" w:rsidRPr="00055BE1" w:rsidRDefault="00987812" w:rsidP="00987812">
      <w:pPr>
        <w:spacing w:after="0" w:line="240" w:lineRule="auto"/>
        <w:jc w:val="both"/>
        <w:rPr>
          <w:rFonts w:ascii="Verdana" w:hAnsi="Verdana" w:cs="Arial"/>
          <w:b/>
          <w:lang w:val="es-MX" w:eastAsia="es-ES_tradnl"/>
        </w:rPr>
      </w:pPr>
      <w:bookmarkStart w:id="0" w:name="_Hlk143780582"/>
      <w:r w:rsidRPr="00055BE1">
        <w:rPr>
          <w:rFonts w:ascii="Verdana" w:hAnsi="Verdana" w:cs="Arial"/>
          <w:b/>
          <w:lang w:val="es-MX" w:eastAsia="es-ES_tradnl"/>
        </w:rPr>
        <w:t xml:space="preserve">LEY DE GARANTÍAS ELECTORALES </w:t>
      </w:r>
      <w:r w:rsidRPr="00055BE1">
        <w:rPr>
          <w:rFonts w:ascii="Verdana" w:hAnsi="Verdana" w:cs="Arial"/>
          <w:b/>
          <w:bCs/>
          <w:lang w:val="es-MX" w:eastAsia="es-ES_tradnl"/>
        </w:rPr>
        <w:t>‒</w:t>
      </w:r>
      <w:r w:rsidRPr="00055BE1">
        <w:rPr>
          <w:rFonts w:ascii="Verdana" w:hAnsi="Verdana" w:cs="Arial"/>
          <w:b/>
          <w:lang w:val="es-MX" w:eastAsia="es-ES_tradnl"/>
        </w:rPr>
        <w:t xml:space="preserve"> Finalidad </w:t>
      </w:r>
    </w:p>
    <w:p w14:paraId="758906B0" w14:textId="77777777" w:rsidR="00987812" w:rsidRPr="00055BE1" w:rsidRDefault="00987812" w:rsidP="00987812">
      <w:pPr>
        <w:spacing w:after="0" w:line="240" w:lineRule="auto"/>
        <w:jc w:val="both"/>
        <w:rPr>
          <w:rFonts w:ascii="Verdana" w:hAnsi="Verdana" w:cs="Arial"/>
          <w:b/>
          <w:lang w:val="es-MX" w:eastAsia="es-ES_tradnl"/>
        </w:rPr>
      </w:pPr>
    </w:p>
    <w:p w14:paraId="24D292CA" w14:textId="77777777" w:rsidR="00987812" w:rsidRPr="00055BE1" w:rsidRDefault="00987812" w:rsidP="00987812">
      <w:pPr>
        <w:spacing w:after="0" w:line="240" w:lineRule="auto"/>
        <w:jc w:val="both"/>
        <w:rPr>
          <w:rFonts w:ascii="Verdana" w:eastAsia="Times New Roman" w:hAnsi="Verdana" w:cs="Arial"/>
          <w:lang w:val="es-MX" w:eastAsia="es-CO"/>
        </w:rPr>
      </w:pPr>
      <w:r w:rsidRPr="00055BE1">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3D5604CF" w14:textId="77777777" w:rsidR="00987812" w:rsidRPr="00055BE1" w:rsidRDefault="00987812" w:rsidP="00987812">
      <w:pPr>
        <w:spacing w:after="0" w:line="240" w:lineRule="auto"/>
        <w:jc w:val="both"/>
        <w:rPr>
          <w:rFonts w:ascii="Verdana" w:hAnsi="Verdana" w:cs="Arial"/>
          <w:b/>
          <w:lang w:val="es-MX" w:eastAsia="es-ES_tradnl"/>
        </w:rPr>
      </w:pPr>
    </w:p>
    <w:p w14:paraId="2803403C" w14:textId="77777777" w:rsidR="00987812" w:rsidRPr="00055BE1" w:rsidRDefault="00987812" w:rsidP="00987812">
      <w:pPr>
        <w:spacing w:after="0" w:line="240" w:lineRule="auto"/>
        <w:jc w:val="both"/>
        <w:rPr>
          <w:rFonts w:ascii="Verdana" w:hAnsi="Verdana" w:cs="Arial"/>
          <w:b/>
          <w:lang w:val="es-MX" w:eastAsia="es-ES_tradnl"/>
        </w:rPr>
      </w:pPr>
      <w:r w:rsidRPr="00055BE1">
        <w:rPr>
          <w:rFonts w:ascii="Verdana" w:hAnsi="Verdana" w:cs="Arial"/>
          <w:b/>
          <w:lang w:val="es-MX" w:eastAsia="es-ES_tradnl"/>
        </w:rPr>
        <w:t xml:space="preserve">LEY DE GARANTÍAS ELECTORALES </w:t>
      </w:r>
      <w:r w:rsidRPr="00055BE1">
        <w:rPr>
          <w:rFonts w:ascii="Verdana" w:hAnsi="Verdana" w:cs="Arial"/>
          <w:b/>
          <w:bCs/>
          <w:lang w:val="es-MX" w:eastAsia="es-ES_tradnl"/>
        </w:rPr>
        <w:t>‒</w:t>
      </w:r>
      <w:r w:rsidRPr="00055BE1">
        <w:rPr>
          <w:rFonts w:ascii="Verdana" w:hAnsi="Verdana" w:cs="Arial"/>
          <w:b/>
          <w:lang w:val="es-MX" w:eastAsia="es-ES_tradnl"/>
        </w:rPr>
        <w:t xml:space="preserve"> Tipos de restricciones </w:t>
      </w:r>
      <w:r w:rsidRPr="00055BE1">
        <w:rPr>
          <w:rFonts w:ascii="Verdana" w:hAnsi="Verdana" w:cs="Arial"/>
          <w:b/>
          <w:bCs/>
          <w:lang w:val="es-MX" w:eastAsia="es-ES_tradnl"/>
        </w:rPr>
        <w:t>‒</w:t>
      </w:r>
      <w:r w:rsidRPr="00055BE1">
        <w:rPr>
          <w:rFonts w:ascii="Verdana" w:hAnsi="Verdana" w:cs="Arial"/>
          <w:b/>
          <w:lang w:val="es-MX" w:eastAsia="es-ES_tradnl"/>
        </w:rPr>
        <w:t xml:space="preserve"> Ámbito temporal – Celebración </w:t>
      </w:r>
      <w:r w:rsidRPr="00055BE1">
        <w:rPr>
          <w:rFonts w:ascii="Verdana" w:hAnsi="Verdana" w:cs="Arial"/>
          <w:b/>
          <w:bCs/>
          <w:lang w:val="es-ES" w:eastAsia="es-ES_tradnl"/>
        </w:rPr>
        <w:t>–</w:t>
      </w:r>
      <w:r w:rsidRPr="00055BE1">
        <w:rPr>
          <w:rFonts w:ascii="Verdana" w:hAnsi="Verdana" w:cs="Arial"/>
          <w:b/>
          <w:lang w:val="es-MX" w:eastAsia="es-ES_tradnl"/>
        </w:rPr>
        <w:t xml:space="preserve"> Límite</w:t>
      </w:r>
    </w:p>
    <w:p w14:paraId="1FC3F8C5" w14:textId="77777777" w:rsidR="00987812" w:rsidRPr="00055BE1" w:rsidRDefault="00987812" w:rsidP="00987812">
      <w:pPr>
        <w:spacing w:after="0" w:line="240" w:lineRule="auto"/>
        <w:jc w:val="both"/>
        <w:rPr>
          <w:rFonts w:ascii="Verdana" w:hAnsi="Verdana" w:cs="Arial"/>
          <w:b/>
          <w:lang w:val="es-MX" w:eastAsia="es-ES_tradnl"/>
        </w:rPr>
      </w:pPr>
    </w:p>
    <w:p w14:paraId="3C2B4F2B" w14:textId="77777777" w:rsidR="00987812" w:rsidRPr="00055BE1" w:rsidRDefault="00987812" w:rsidP="00987812">
      <w:pPr>
        <w:spacing w:after="0" w:line="240" w:lineRule="auto"/>
        <w:jc w:val="both"/>
        <w:rPr>
          <w:rFonts w:ascii="Verdana" w:eastAsia="Calibri" w:hAnsi="Verdana" w:cs="Arial"/>
        </w:rPr>
      </w:pPr>
      <w:r w:rsidRPr="00055BE1">
        <w:rPr>
          <w:rFonts w:ascii="Verdana" w:eastAsia="Calibri" w:hAnsi="Verdana" w:cs="Arial"/>
        </w:rPr>
        <w:t xml:space="preserve">Por un lado, el </w:t>
      </w:r>
      <w:r w:rsidRPr="00055BE1">
        <w:rPr>
          <w:rFonts w:ascii="Verdana" w:eastAsia="Calibri" w:hAnsi="Verdana" w:cs="Arial"/>
          <w:i/>
          <w:iCs/>
        </w:rPr>
        <w:t>artículo 33 de la Ley 996 de 2005</w:t>
      </w:r>
      <w:r w:rsidRPr="00055BE1">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48907E6" w14:textId="77777777" w:rsidR="00987812" w:rsidRPr="00055BE1" w:rsidRDefault="00987812" w:rsidP="00987812">
      <w:pPr>
        <w:spacing w:after="0" w:line="240" w:lineRule="auto"/>
        <w:jc w:val="both"/>
        <w:rPr>
          <w:rFonts w:ascii="Verdana" w:eastAsia="Calibri" w:hAnsi="Verdana" w:cs="Arial"/>
        </w:rPr>
      </w:pPr>
    </w:p>
    <w:p w14:paraId="7800F63E" w14:textId="77777777" w:rsidR="00987812" w:rsidRPr="00055BE1" w:rsidRDefault="00987812" w:rsidP="00987812">
      <w:pPr>
        <w:widowControl w:val="0"/>
        <w:autoSpaceDE w:val="0"/>
        <w:autoSpaceDN w:val="0"/>
        <w:spacing w:after="0" w:line="240" w:lineRule="auto"/>
        <w:ind w:right="113"/>
        <w:jc w:val="both"/>
        <w:rPr>
          <w:rFonts w:ascii="Verdana" w:eastAsia="Arial" w:hAnsi="Verdana" w:cs="Arial"/>
          <w:lang w:val="es-ES" w:eastAsia="es-ES" w:bidi="es-ES"/>
        </w:rPr>
      </w:pPr>
      <w:r w:rsidRPr="00055BE1">
        <w:rPr>
          <w:rFonts w:ascii="Verdana" w:eastAsia="Calibri" w:hAnsi="Verdana" w:cs="Arial"/>
        </w:rPr>
        <w:t xml:space="preserve">Por otro lado, </w:t>
      </w:r>
      <w:r w:rsidRPr="00055BE1">
        <w:rPr>
          <w:rFonts w:ascii="Verdana" w:eastAsia="Calibri" w:hAnsi="Verdana" w:cs="Arial"/>
          <w:i/>
          <w:iCs/>
        </w:rPr>
        <w:t>el parágrafo del artículo 38 de la Ley 996 de 2005</w:t>
      </w:r>
      <w:r w:rsidRPr="00055BE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055BE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55BE1">
        <w:rPr>
          <w:rFonts w:ascii="Verdana" w:eastAsia="Calibri" w:hAnsi="Verdana" w:cs="Arial"/>
        </w:rPr>
        <w:t>”</w:t>
      </w:r>
      <w:r w:rsidRPr="00055BE1">
        <w:rPr>
          <w:rFonts w:ascii="Verdana" w:eastAsia="Calibri" w:hAnsi="Verdana" w:cs="Arial"/>
          <w:lang w:val="es-MX"/>
        </w:rPr>
        <w:t>.</w:t>
      </w:r>
      <w:r w:rsidRPr="00055BE1">
        <w:rPr>
          <w:rFonts w:ascii="Verdana" w:eastAsia="Arial" w:hAnsi="Verdana" w:cs="Arial"/>
          <w:lang w:val="es-ES" w:eastAsia="es-ES" w:bidi="es-ES"/>
        </w:rPr>
        <w:t xml:space="preserve"> </w:t>
      </w:r>
    </w:p>
    <w:p w14:paraId="57F393BF" w14:textId="77777777" w:rsidR="00987812" w:rsidRPr="00055BE1" w:rsidRDefault="00987812" w:rsidP="00987812">
      <w:pPr>
        <w:widowControl w:val="0"/>
        <w:autoSpaceDE w:val="0"/>
        <w:autoSpaceDN w:val="0"/>
        <w:spacing w:after="0" w:line="240" w:lineRule="auto"/>
        <w:ind w:right="113"/>
        <w:jc w:val="both"/>
        <w:rPr>
          <w:rFonts w:ascii="Verdana" w:eastAsia="Arial" w:hAnsi="Verdana" w:cs="Arial"/>
          <w:lang w:val="es-ES" w:eastAsia="es-ES" w:bidi="es-ES"/>
        </w:rPr>
      </w:pPr>
    </w:p>
    <w:p w14:paraId="3677DD87" w14:textId="77777777" w:rsidR="00987812" w:rsidRPr="00055BE1" w:rsidRDefault="00987812" w:rsidP="00987812">
      <w:pPr>
        <w:spacing w:after="0" w:line="240" w:lineRule="auto"/>
        <w:jc w:val="both"/>
        <w:rPr>
          <w:rFonts w:ascii="Verdana" w:eastAsia="Times New Roman" w:hAnsi="Verdana" w:cs="Arial"/>
          <w:bCs/>
          <w:lang w:val="es-ES" w:eastAsia="es-CO"/>
        </w:rPr>
      </w:pPr>
      <w:r w:rsidRPr="00055BE1">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055BE1">
        <w:rPr>
          <w:rFonts w:ascii="Verdana" w:eastAsia="Times New Roman" w:hAnsi="Verdana" w:cs="Arial"/>
          <w:bCs/>
          <w:lang w:val="es-ES" w:eastAsia="es-CO"/>
        </w:rPr>
        <w:t xml:space="preserve">la existencia de los contratos estatales, es decir, la producción de efectos jurídicos en los términos del artículo 1501 </w:t>
      </w:r>
      <w:r w:rsidRPr="00055BE1">
        <w:rPr>
          <w:rFonts w:ascii="Verdana" w:eastAsia="Times New Roman" w:hAnsi="Verdana" w:cs="Arial"/>
          <w:bCs/>
          <w:i/>
          <w:lang w:val="es-ES" w:eastAsia="es-CO"/>
        </w:rPr>
        <w:t>ibídem</w:t>
      </w:r>
      <w:r w:rsidRPr="00055BE1">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w:t>
      </w:r>
      <w:r w:rsidRPr="00055BE1">
        <w:rPr>
          <w:rFonts w:ascii="Verdana" w:eastAsia="Times New Roman" w:hAnsi="Verdana" w:cs="Arial"/>
          <w:bCs/>
          <w:lang w:val="es-ES" w:eastAsia="es-CO"/>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F7A6766" w14:textId="77777777" w:rsidR="00987812" w:rsidRPr="00055BE1" w:rsidRDefault="00987812" w:rsidP="00987812">
      <w:pPr>
        <w:spacing w:after="0" w:line="240" w:lineRule="auto"/>
        <w:jc w:val="both"/>
        <w:rPr>
          <w:rFonts w:ascii="Verdana" w:hAnsi="Verdana" w:cs="Arial"/>
          <w:b/>
          <w:lang w:val="es-MX" w:eastAsia="es-ES_tradnl"/>
        </w:rPr>
      </w:pPr>
    </w:p>
    <w:p w14:paraId="05DD885A" w14:textId="77777777" w:rsidR="00987812" w:rsidRPr="00055BE1" w:rsidRDefault="00987812" w:rsidP="00987812">
      <w:pPr>
        <w:spacing w:after="0" w:line="240" w:lineRule="auto"/>
        <w:jc w:val="both"/>
        <w:rPr>
          <w:rFonts w:ascii="Verdana" w:hAnsi="Verdana" w:cs="Arial"/>
          <w:b/>
          <w:lang w:val="es-MX" w:eastAsia="es-ES_tradnl"/>
        </w:rPr>
      </w:pPr>
      <w:r w:rsidRPr="00055BE1">
        <w:rPr>
          <w:rFonts w:ascii="Verdana" w:hAnsi="Verdana" w:cs="Arial"/>
          <w:b/>
          <w:lang w:val="es-MX" w:eastAsia="es-ES_tradnl"/>
        </w:rPr>
        <w:t xml:space="preserve">LEY DE GARANTÍAS ELECTORALES – Prohibición artículo 33 – Contratación directa – Alcance </w:t>
      </w:r>
    </w:p>
    <w:p w14:paraId="1EC4A570" w14:textId="77777777" w:rsidR="00987812" w:rsidRPr="00055BE1" w:rsidRDefault="00987812" w:rsidP="00987812">
      <w:pPr>
        <w:spacing w:after="0" w:line="240" w:lineRule="auto"/>
        <w:jc w:val="both"/>
        <w:rPr>
          <w:rFonts w:ascii="Verdana" w:hAnsi="Verdana" w:cs="Arial"/>
          <w:b/>
          <w:lang w:val="es-MX" w:eastAsia="es-ES_tradnl"/>
        </w:rPr>
      </w:pPr>
    </w:p>
    <w:p w14:paraId="790B6AC3" w14:textId="77777777" w:rsidR="00987812" w:rsidRPr="00055BE1" w:rsidRDefault="00987812" w:rsidP="00987812">
      <w:pPr>
        <w:spacing w:after="0" w:line="240" w:lineRule="auto"/>
        <w:jc w:val="both"/>
        <w:rPr>
          <w:rFonts w:ascii="Verdana" w:eastAsia="Times New Roman" w:hAnsi="Verdana" w:cs="Arial"/>
          <w:bCs/>
          <w:lang w:eastAsia="x-none"/>
        </w:rPr>
      </w:pPr>
      <w:r w:rsidRPr="00055BE1">
        <w:rPr>
          <w:rFonts w:ascii="Verdana" w:eastAsia="Times New Roman" w:hAnsi="Verdana" w:cs="Arial"/>
          <w:lang w:eastAsia="x-none"/>
        </w:rPr>
        <w:t xml:space="preserve">De acuerdo con el citado concepto, la prohibición del artículo 33 de la Ley de Garantías Electorales se refiere a </w:t>
      </w:r>
      <w:r w:rsidRPr="00055BE1">
        <w:rPr>
          <w:rFonts w:ascii="Verdana" w:eastAsia="Times New Roman" w:hAnsi="Verdana" w:cs="Arial"/>
          <w:lang w:eastAsia="en-GB"/>
        </w:rPr>
        <w:t>“</w:t>
      </w:r>
      <w:r w:rsidRPr="00055BE1">
        <w:rPr>
          <w:rFonts w:ascii="Verdana" w:eastAsia="Times New Roman" w:hAnsi="Verdana" w:cs="Arial"/>
          <w:lang w:eastAsia="x-none"/>
        </w:rPr>
        <w:t>cualquier sistema que no implique convocatoria pública y posibilidad de pluralidad de oferentes</w:t>
      </w:r>
      <w:r w:rsidRPr="00055BE1">
        <w:rPr>
          <w:rFonts w:ascii="Verdana" w:eastAsia="Times New Roman" w:hAnsi="Verdana" w:cs="Arial"/>
          <w:lang w:eastAsia="en-GB"/>
        </w:rPr>
        <w:t>”</w:t>
      </w:r>
      <w:r w:rsidRPr="00055BE1">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055BE1">
        <w:rPr>
          <w:rFonts w:ascii="Verdana" w:eastAsia="Times New Roman" w:hAnsi="Verdana" w:cs="Arial"/>
          <w:lang w:val="es-ES_tradnl" w:eastAsia="x-none"/>
        </w:rPr>
        <w:t>y la mínima cuantía</w:t>
      </w:r>
      <w:r w:rsidRPr="00055BE1" w:rsidDel="00A85D9F">
        <w:rPr>
          <w:rFonts w:ascii="Verdana" w:eastAsia="Times New Roman" w:hAnsi="Verdana" w:cs="Arial"/>
          <w:lang w:eastAsia="x-none"/>
        </w:rPr>
        <w:t xml:space="preserve"> </w:t>
      </w:r>
      <w:r w:rsidRPr="00055BE1">
        <w:rPr>
          <w:rFonts w:ascii="Verdana" w:eastAsia="Times New Roman" w:hAnsi="Verdana" w:cs="Arial"/>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055BE1">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460BBA11" w14:textId="77777777" w:rsidR="00987812" w:rsidRPr="00055BE1" w:rsidRDefault="00987812" w:rsidP="00987812">
      <w:pPr>
        <w:spacing w:after="0" w:line="240" w:lineRule="auto"/>
        <w:jc w:val="both"/>
        <w:rPr>
          <w:rFonts w:ascii="Verdana" w:hAnsi="Verdana" w:cs="Arial"/>
          <w:b/>
          <w:lang w:eastAsia="es-ES_tradnl"/>
        </w:rPr>
      </w:pPr>
    </w:p>
    <w:p w14:paraId="4AEE0880" w14:textId="77777777" w:rsidR="00987812" w:rsidRPr="00055BE1" w:rsidRDefault="00987812" w:rsidP="00987812">
      <w:pPr>
        <w:spacing w:after="0" w:line="240" w:lineRule="auto"/>
        <w:jc w:val="both"/>
        <w:rPr>
          <w:rFonts w:ascii="Verdana" w:hAnsi="Verdana" w:cs="Arial"/>
          <w:b/>
          <w:lang w:val="es-MX" w:eastAsia="es-ES_tradnl"/>
        </w:rPr>
      </w:pPr>
      <w:r w:rsidRPr="00055BE1">
        <w:rPr>
          <w:rFonts w:ascii="Verdana" w:hAnsi="Verdana" w:cs="Arial"/>
          <w:b/>
          <w:lang w:val="es-MX" w:eastAsia="es-ES_tradnl"/>
        </w:rPr>
        <w:t>LEY DE GARANTÍAS ELECTORALES – Excepciones</w:t>
      </w:r>
    </w:p>
    <w:p w14:paraId="28C8E6AD" w14:textId="77777777" w:rsidR="00987812" w:rsidRPr="00055BE1" w:rsidRDefault="00987812" w:rsidP="00987812">
      <w:pPr>
        <w:spacing w:after="0" w:line="240" w:lineRule="auto"/>
        <w:jc w:val="both"/>
        <w:rPr>
          <w:rFonts w:ascii="Verdana" w:hAnsi="Verdana" w:cs="Arial"/>
          <w:b/>
          <w:lang w:val="es-MX" w:eastAsia="es-ES_tradnl"/>
        </w:rPr>
      </w:pPr>
    </w:p>
    <w:p w14:paraId="3E463BF6" w14:textId="77777777" w:rsidR="00987812" w:rsidRPr="00055BE1" w:rsidRDefault="00987812" w:rsidP="00987812">
      <w:pPr>
        <w:spacing w:after="0" w:line="240" w:lineRule="auto"/>
        <w:jc w:val="both"/>
        <w:rPr>
          <w:rFonts w:ascii="Verdana" w:eastAsia="Times New Roman" w:hAnsi="Verdana" w:cs="Arial"/>
          <w:bCs/>
          <w:lang w:val="es-MX" w:eastAsia="es-CO"/>
        </w:rPr>
      </w:pPr>
      <w:r w:rsidRPr="00055BE1">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55BE1">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77204A" w14:textId="77777777" w:rsidR="00987812" w:rsidRPr="00055BE1" w:rsidRDefault="00987812" w:rsidP="00987812">
      <w:pPr>
        <w:spacing w:after="0" w:line="240" w:lineRule="auto"/>
        <w:jc w:val="both"/>
        <w:rPr>
          <w:rFonts w:ascii="Verdana" w:hAnsi="Verdana" w:cs="Arial"/>
          <w:b/>
          <w:lang w:val="es-MX" w:eastAsia="es-ES_tradnl"/>
        </w:rPr>
      </w:pPr>
    </w:p>
    <w:p w14:paraId="201E7B25" w14:textId="77777777" w:rsidR="00987812" w:rsidRPr="00055BE1" w:rsidRDefault="00987812" w:rsidP="00987812">
      <w:pPr>
        <w:spacing w:after="0" w:line="240" w:lineRule="auto"/>
        <w:jc w:val="both"/>
        <w:rPr>
          <w:rFonts w:ascii="Verdana" w:hAnsi="Verdana" w:cs="Arial"/>
          <w:b/>
          <w:lang w:val="es-MX" w:eastAsia="es-ES_tradnl"/>
        </w:rPr>
      </w:pPr>
      <w:r w:rsidRPr="00055BE1">
        <w:rPr>
          <w:rFonts w:ascii="Verdana" w:hAnsi="Verdana" w:cs="Arial"/>
          <w:b/>
          <w:lang w:val="es-MX" w:eastAsia="es-ES_tradnl"/>
        </w:rPr>
        <w:lastRenderedPageBreak/>
        <w:t xml:space="preserve"> LEY DE GARANTÍAS ELECTORALES – Prohibición del artículo 33 – Destinatarios </w:t>
      </w:r>
    </w:p>
    <w:p w14:paraId="4C670020" w14:textId="77777777" w:rsidR="00987812" w:rsidRPr="00055BE1" w:rsidRDefault="00987812" w:rsidP="00987812">
      <w:pPr>
        <w:spacing w:after="0" w:line="240" w:lineRule="auto"/>
        <w:rPr>
          <w:rFonts w:ascii="Verdana" w:hAnsi="Verdana" w:cs="Arial"/>
          <w:lang w:val="es-MX" w:eastAsia="es-ES_tradnl"/>
        </w:rPr>
      </w:pPr>
    </w:p>
    <w:p w14:paraId="267CA29E" w14:textId="77777777" w:rsidR="00987812" w:rsidRPr="00055BE1" w:rsidRDefault="00987812" w:rsidP="00987812">
      <w:pPr>
        <w:spacing w:after="0" w:line="240" w:lineRule="auto"/>
        <w:jc w:val="both"/>
        <w:rPr>
          <w:rFonts w:ascii="Verdana" w:eastAsia="Calibri" w:hAnsi="Verdana" w:cs="Arial"/>
          <w:lang w:val="es-MX"/>
        </w:rPr>
      </w:pPr>
      <w:r w:rsidRPr="00055BE1">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055BE1">
        <w:rPr>
          <w:rFonts w:ascii="Verdana" w:eastAsia="Times New Roman" w:hAnsi="Verdana" w:cs="Arial"/>
          <w:bCs/>
          <w:lang w:val="es-MX" w:eastAsia="x-none"/>
        </w:rPr>
        <w:t>establecimientos de crédito, las sociedades de servicios financieros y las entidades aseguradoras</w:t>
      </w:r>
      <w:r w:rsidRPr="00055BE1">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6775CD2" w14:textId="77777777" w:rsidR="00987812" w:rsidRPr="00055BE1" w:rsidRDefault="00987812" w:rsidP="00987812">
      <w:pPr>
        <w:spacing w:after="0"/>
        <w:rPr>
          <w:rFonts w:ascii="Verdana" w:hAnsi="Verdana"/>
          <w:lang w:val="es-MX"/>
        </w:rPr>
      </w:pPr>
    </w:p>
    <w:p w14:paraId="7C309A75" w14:textId="77777777" w:rsidR="00987812" w:rsidRPr="00055BE1" w:rsidRDefault="00987812" w:rsidP="00987812">
      <w:pPr>
        <w:spacing w:after="0" w:line="240" w:lineRule="auto"/>
        <w:jc w:val="both"/>
        <w:rPr>
          <w:rFonts w:ascii="Verdana" w:hAnsi="Verdana"/>
          <w:b/>
          <w:lang w:val="es-MX"/>
        </w:rPr>
      </w:pPr>
      <w:r w:rsidRPr="00055BE1">
        <w:rPr>
          <w:rFonts w:ascii="Verdana" w:hAnsi="Verdana"/>
          <w:b/>
          <w:lang w:val="es-MX"/>
        </w:rPr>
        <w:t xml:space="preserve">LEY DE GARANTÍAS ELECTORALES – Contratos y convenios interadministrativos – Criterio orgánico </w:t>
      </w:r>
    </w:p>
    <w:p w14:paraId="6FA28737" w14:textId="77777777" w:rsidR="00987812" w:rsidRPr="00055BE1" w:rsidRDefault="00987812" w:rsidP="00987812">
      <w:pPr>
        <w:spacing w:after="0" w:line="240" w:lineRule="auto"/>
        <w:jc w:val="both"/>
        <w:rPr>
          <w:rFonts w:ascii="Verdana" w:hAnsi="Verdana"/>
          <w:lang w:val="es-MX"/>
        </w:rPr>
      </w:pPr>
    </w:p>
    <w:p w14:paraId="492A4DFA" w14:textId="77777777" w:rsidR="00987812" w:rsidRPr="00055BE1" w:rsidRDefault="00987812" w:rsidP="00987812">
      <w:pPr>
        <w:spacing w:after="0" w:line="240" w:lineRule="auto"/>
        <w:jc w:val="both"/>
        <w:rPr>
          <w:rFonts w:ascii="Verdana" w:hAnsi="Verdana"/>
          <w:lang w:val="es-MX"/>
        </w:rPr>
      </w:pPr>
      <w:r w:rsidRPr="00055BE1">
        <w:rPr>
          <w:rFonts w:ascii="Verdana" w:hAnsi="Verdana"/>
          <w:lang w:val="es-ES"/>
        </w:rPr>
        <w:t xml:space="preserve">Ahora bien, respecto del alcance del parágrafo </w:t>
      </w:r>
      <w:r w:rsidRPr="00055BE1">
        <w:rPr>
          <w:rFonts w:ascii="Verdana" w:hAnsi="Verdana"/>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055BE1">
        <w:rPr>
          <w:rFonts w:ascii="Verdana" w:hAnsi="Verdana"/>
          <w:i/>
          <w:iCs/>
        </w:rPr>
        <w:t>convenios interadministrativos</w:t>
      </w:r>
      <w:r w:rsidRPr="00055BE1">
        <w:rPr>
          <w:rFonts w:ascii="Verdana" w:hAnsi="Verdana"/>
        </w:rPr>
        <w:t xml:space="preserve"> </w:t>
      </w:r>
      <w:r w:rsidRPr="00055BE1">
        <w:rPr>
          <w:rFonts w:ascii="Verdana" w:hAnsi="Verdana"/>
          <w:i/>
          <w:iCs/>
        </w:rPr>
        <w:t>para la ejecución de recursos públicos</w:t>
      </w:r>
      <w:r w:rsidRPr="00055BE1">
        <w:rPr>
          <w:rFonts w:ascii="Verdana" w:hAnsi="Verdana"/>
        </w:rPr>
        <w:t>”.</w:t>
      </w:r>
      <w:r w:rsidRPr="00055BE1">
        <w:rPr>
          <w:rFonts w:ascii="Verdana" w:hAnsi="Verdana"/>
          <w:lang w:val="es-MX"/>
        </w:rPr>
        <w:t xml:space="preserve"> [Énfasis fuera del texto original]</w:t>
      </w:r>
    </w:p>
    <w:p w14:paraId="76FE598B" w14:textId="77777777" w:rsidR="00987812" w:rsidRPr="00055BE1" w:rsidRDefault="00987812" w:rsidP="00987812">
      <w:pPr>
        <w:spacing w:after="0" w:line="240" w:lineRule="auto"/>
        <w:jc w:val="both"/>
        <w:rPr>
          <w:rFonts w:ascii="Verdana" w:hAnsi="Verdana"/>
          <w:lang w:val="es-ES"/>
        </w:rPr>
      </w:pPr>
    </w:p>
    <w:p w14:paraId="16BE0EA7" w14:textId="77777777" w:rsidR="00987812" w:rsidRPr="00055BE1" w:rsidRDefault="00987812" w:rsidP="00987812">
      <w:pPr>
        <w:spacing w:after="0" w:line="240" w:lineRule="auto"/>
        <w:jc w:val="both"/>
        <w:rPr>
          <w:rFonts w:ascii="Verdana" w:hAnsi="Verdana"/>
        </w:rPr>
      </w:pPr>
      <w:r w:rsidRPr="00055BE1">
        <w:rPr>
          <w:rFonts w:ascii="Verdana" w:hAnsi="Verdana"/>
          <w:lang w:val="es-ES"/>
        </w:rPr>
        <w:t xml:space="preserve">Para tales efectos, debe precisarse que los contratos o convenios interadministrativos están determinados por un criterio orgánico, pues es necesario que los extremos de la relación contractual sean entidades públicas, </w:t>
      </w:r>
      <w:r w:rsidRPr="00055BE1">
        <w:rPr>
          <w:rFonts w:ascii="Verdana" w:hAnsi="Verdana"/>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1444D88A" w14:textId="77777777" w:rsidR="00987812" w:rsidRPr="00055BE1" w:rsidRDefault="00987812" w:rsidP="00987812">
      <w:pPr>
        <w:spacing w:after="0" w:line="240" w:lineRule="auto"/>
        <w:jc w:val="both"/>
        <w:rPr>
          <w:rFonts w:ascii="Verdana" w:hAnsi="Verdana"/>
        </w:rPr>
      </w:pPr>
    </w:p>
    <w:p w14:paraId="3033DEA1" w14:textId="77777777" w:rsidR="00987812" w:rsidRPr="00055BE1" w:rsidRDefault="00987812" w:rsidP="00987812">
      <w:pPr>
        <w:spacing w:after="0" w:line="240" w:lineRule="auto"/>
        <w:jc w:val="both"/>
        <w:rPr>
          <w:rFonts w:ascii="Verdana" w:hAnsi="Verdana"/>
          <w:lang w:val="es-ES_tradnl"/>
        </w:rPr>
      </w:pPr>
      <w:r w:rsidRPr="00055BE1">
        <w:rPr>
          <w:rFonts w:ascii="Verdana" w:hAnsi="Verdana"/>
          <w:lang w:val="es-ES_tradnl"/>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w:t>
      </w:r>
      <w:r w:rsidRPr="00055BE1">
        <w:rPr>
          <w:rFonts w:ascii="Verdana" w:hAnsi="Verdana"/>
          <w:lang w:val="es-ES_tradnl"/>
        </w:rPr>
        <w:lastRenderedPageBreak/>
        <w:t>de convenios con una Entidad Estatal de régimen especial y no por ello dejará de ser un contrato o convenio interadministrativo.</w:t>
      </w:r>
    </w:p>
    <w:p w14:paraId="50F09EAE" w14:textId="77777777" w:rsidR="00987812" w:rsidRPr="00055BE1" w:rsidRDefault="00987812" w:rsidP="00987812">
      <w:pPr>
        <w:spacing w:after="0" w:line="240" w:lineRule="auto"/>
        <w:jc w:val="both"/>
        <w:rPr>
          <w:rFonts w:ascii="Verdana" w:hAnsi="Verdana"/>
          <w:b/>
          <w:lang w:val="es-MX"/>
        </w:rPr>
      </w:pPr>
    </w:p>
    <w:p w14:paraId="3A044B09" w14:textId="77777777" w:rsidR="00987812" w:rsidRPr="00055BE1" w:rsidRDefault="00987812" w:rsidP="00987812">
      <w:pPr>
        <w:spacing w:after="0" w:line="240" w:lineRule="auto"/>
        <w:rPr>
          <w:rFonts w:ascii="Verdana" w:hAnsi="Verdana"/>
        </w:rPr>
      </w:pPr>
    </w:p>
    <w:p w14:paraId="51BF593B" w14:textId="77777777" w:rsidR="00987812" w:rsidRDefault="00987812" w:rsidP="00987812">
      <w:pPr>
        <w:spacing w:after="0" w:line="240" w:lineRule="auto"/>
        <w:rPr>
          <w:rFonts w:ascii="Verdana" w:hAnsi="Verdana"/>
          <w:sz w:val="20"/>
          <w:szCs w:val="20"/>
        </w:rPr>
      </w:pPr>
    </w:p>
    <w:p w14:paraId="34CF18C8" w14:textId="77777777" w:rsidR="00987812" w:rsidRDefault="00987812" w:rsidP="00987812">
      <w:pPr>
        <w:spacing w:after="0" w:line="240" w:lineRule="auto"/>
        <w:rPr>
          <w:rFonts w:ascii="Verdana" w:hAnsi="Verdana"/>
          <w:sz w:val="20"/>
          <w:szCs w:val="20"/>
        </w:rPr>
      </w:pPr>
    </w:p>
    <w:p w14:paraId="07F67D29" w14:textId="77777777" w:rsidR="00987812" w:rsidRDefault="00987812" w:rsidP="00987812">
      <w:pPr>
        <w:spacing w:after="0" w:line="240" w:lineRule="auto"/>
        <w:rPr>
          <w:rFonts w:ascii="Verdana" w:hAnsi="Verdana"/>
          <w:sz w:val="20"/>
          <w:szCs w:val="20"/>
        </w:rPr>
      </w:pPr>
    </w:p>
    <w:p w14:paraId="162C52D5" w14:textId="77777777" w:rsidR="00987812" w:rsidRDefault="00987812" w:rsidP="00987812">
      <w:pPr>
        <w:spacing w:after="0" w:line="240" w:lineRule="auto"/>
        <w:rPr>
          <w:rFonts w:ascii="Verdana" w:hAnsi="Verdana"/>
          <w:sz w:val="20"/>
          <w:szCs w:val="20"/>
        </w:rPr>
      </w:pPr>
    </w:p>
    <w:p w14:paraId="3D726D0D" w14:textId="77777777" w:rsidR="00987812" w:rsidRDefault="00987812" w:rsidP="00987812">
      <w:pPr>
        <w:spacing w:after="0" w:line="240" w:lineRule="auto"/>
        <w:rPr>
          <w:rFonts w:ascii="Verdana" w:hAnsi="Verdana"/>
          <w:sz w:val="20"/>
          <w:szCs w:val="20"/>
        </w:rPr>
      </w:pPr>
    </w:p>
    <w:p w14:paraId="69CE63FC" w14:textId="77777777" w:rsidR="00987812" w:rsidRDefault="00987812" w:rsidP="00987812">
      <w:pPr>
        <w:spacing w:after="0" w:line="240" w:lineRule="auto"/>
        <w:rPr>
          <w:rFonts w:ascii="Verdana" w:hAnsi="Verdana"/>
          <w:sz w:val="20"/>
          <w:szCs w:val="20"/>
        </w:rPr>
      </w:pPr>
    </w:p>
    <w:p w14:paraId="2DDEB9B4" w14:textId="77777777" w:rsidR="00987812" w:rsidRDefault="00987812" w:rsidP="00987812">
      <w:pPr>
        <w:spacing w:after="0" w:line="240" w:lineRule="auto"/>
        <w:rPr>
          <w:rFonts w:ascii="Verdana" w:hAnsi="Verdana"/>
          <w:sz w:val="20"/>
          <w:szCs w:val="20"/>
        </w:rPr>
      </w:pPr>
    </w:p>
    <w:p w14:paraId="5486EB3B" w14:textId="77777777" w:rsidR="00987812" w:rsidRDefault="00987812" w:rsidP="00987812">
      <w:pPr>
        <w:spacing w:after="0" w:line="240" w:lineRule="auto"/>
        <w:rPr>
          <w:rFonts w:ascii="Verdana" w:hAnsi="Verdana"/>
          <w:sz w:val="20"/>
          <w:szCs w:val="20"/>
        </w:rPr>
      </w:pPr>
    </w:p>
    <w:p w14:paraId="56FB2327" w14:textId="77777777" w:rsidR="00987812" w:rsidRDefault="00987812" w:rsidP="00987812">
      <w:pPr>
        <w:spacing w:after="0" w:line="240" w:lineRule="auto"/>
        <w:rPr>
          <w:rFonts w:ascii="Verdana" w:hAnsi="Verdana"/>
          <w:sz w:val="20"/>
          <w:szCs w:val="20"/>
        </w:rPr>
      </w:pPr>
    </w:p>
    <w:p w14:paraId="537F61CD" w14:textId="77777777" w:rsidR="00055BE1" w:rsidRDefault="00055BE1" w:rsidP="00987812">
      <w:pPr>
        <w:spacing w:after="0" w:line="240" w:lineRule="auto"/>
        <w:rPr>
          <w:rFonts w:ascii="Verdana" w:hAnsi="Verdana"/>
          <w:sz w:val="20"/>
          <w:szCs w:val="20"/>
        </w:rPr>
      </w:pPr>
    </w:p>
    <w:p w14:paraId="68E8B0DD" w14:textId="77777777" w:rsidR="00055BE1" w:rsidRDefault="00055BE1" w:rsidP="00987812">
      <w:pPr>
        <w:spacing w:after="0" w:line="240" w:lineRule="auto"/>
        <w:rPr>
          <w:rFonts w:ascii="Verdana" w:hAnsi="Verdana"/>
          <w:sz w:val="20"/>
          <w:szCs w:val="20"/>
        </w:rPr>
      </w:pPr>
    </w:p>
    <w:p w14:paraId="496A2070" w14:textId="77777777" w:rsidR="00055BE1" w:rsidRDefault="00055BE1" w:rsidP="00987812">
      <w:pPr>
        <w:spacing w:after="0" w:line="240" w:lineRule="auto"/>
        <w:rPr>
          <w:rFonts w:ascii="Verdana" w:hAnsi="Verdana"/>
          <w:sz w:val="20"/>
          <w:szCs w:val="20"/>
        </w:rPr>
      </w:pPr>
    </w:p>
    <w:p w14:paraId="3B090E04" w14:textId="77777777" w:rsidR="00055BE1" w:rsidRDefault="00055BE1" w:rsidP="00987812">
      <w:pPr>
        <w:spacing w:after="0" w:line="240" w:lineRule="auto"/>
        <w:rPr>
          <w:rFonts w:ascii="Verdana" w:hAnsi="Verdana"/>
          <w:sz w:val="20"/>
          <w:szCs w:val="20"/>
        </w:rPr>
      </w:pPr>
    </w:p>
    <w:p w14:paraId="6673D6F7" w14:textId="77777777" w:rsidR="00055BE1" w:rsidRDefault="00055BE1" w:rsidP="00987812">
      <w:pPr>
        <w:spacing w:after="0" w:line="240" w:lineRule="auto"/>
        <w:rPr>
          <w:rFonts w:ascii="Verdana" w:hAnsi="Verdana"/>
          <w:sz w:val="20"/>
          <w:szCs w:val="20"/>
        </w:rPr>
      </w:pPr>
    </w:p>
    <w:p w14:paraId="03919B1F" w14:textId="77777777" w:rsidR="00055BE1" w:rsidRDefault="00055BE1" w:rsidP="00987812">
      <w:pPr>
        <w:spacing w:after="0" w:line="240" w:lineRule="auto"/>
        <w:rPr>
          <w:rFonts w:ascii="Verdana" w:hAnsi="Verdana"/>
          <w:sz w:val="20"/>
          <w:szCs w:val="20"/>
        </w:rPr>
      </w:pPr>
    </w:p>
    <w:p w14:paraId="72764FCA" w14:textId="77777777" w:rsidR="00055BE1" w:rsidRDefault="00055BE1" w:rsidP="00987812">
      <w:pPr>
        <w:spacing w:after="0" w:line="240" w:lineRule="auto"/>
        <w:rPr>
          <w:rFonts w:ascii="Verdana" w:hAnsi="Verdana"/>
          <w:sz w:val="20"/>
          <w:szCs w:val="20"/>
        </w:rPr>
      </w:pPr>
    </w:p>
    <w:p w14:paraId="0E08878D" w14:textId="77777777" w:rsidR="00055BE1" w:rsidRDefault="00055BE1" w:rsidP="00987812">
      <w:pPr>
        <w:spacing w:after="0" w:line="240" w:lineRule="auto"/>
        <w:rPr>
          <w:rFonts w:ascii="Verdana" w:hAnsi="Verdana"/>
          <w:sz w:val="20"/>
          <w:szCs w:val="20"/>
        </w:rPr>
      </w:pPr>
    </w:p>
    <w:p w14:paraId="057D453F" w14:textId="77777777" w:rsidR="00055BE1" w:rsidRDefault="00055BE1" w:rsidP="00987812">
      <w:pPr>
        <w:spacing w:after="0" w:line="240" w:lineRule="auto"/>
        <w:rPr>
          <w:rFonts w:ascii="Verdana" w:hAnsi="Verdana"/>
          <w:sz w:val="20"/>
          <w:szCs w:val="20"/>
        </w:rPr>
      </w:pPr>
    </w:p>
    <w:p w14:paraId="017F45D3" w14:textId="77777777" w:rsidR="00055BE1" w:rsidRDefault="00055BE1" w:rsidP="00987812">
      <w:pPr>
        <w:spacing w:after="0" w:line="240" w:lineRule="auto"/>
        <w:rPr>
          <w:rFonts w:ascii="Verdana" w:hAnsi="Verdana"/>
          <w:sz w:val="20"/>
          <w:szCs w:val="20"/>
        </w:rPr>
      </w:pPr>
    </w:p>
    <w:p w14:paraId="2AF3C926" w14:textId="77777777" w:rsidR="00055BE1" w:rsidRDefault="00055BE1" w:rsidP="00987812">
      <w:pPr>
        <w:spacing w:after="0" w:line="240" w:lineRule="auto"/>
        <w:rPr>
          <w:rFonts w:ascii="Verdana" w:hAnsi="Verdana"/>
          <w:sz w:val="20"/>
          <w:szCs w:val="20"/>
        </w:rPr>
      </w:pPr>
    </w:p>
    <w:p w14:paraId="596818AF" w14:textId="77777777" w:rsidR="00055BE1" w:rsidRDefault="00055BE1" w:rsidP="00987812">
      <w:pPr>
        <w:spacing w:after="0" w:line="240" w:lineRule="auto"/>
        <w:rPr>
          <w:rFonts w:ascii="Verdana" w:hAnsi="Verdana"/>
          <w:sz w:val="20"/>
          <w:szCs w:val="20"/>
        </w:rPr>
      </w:pPr>
    </w:p>
    <w:p w14:paraId="39235839" w14:textId="77777777" w:rsidR="00055BE1" w:rsidRDefault="00055BE1" w:rsidP="00987812">
      <w:pPr>
        <w:spacing w:after="0" w:line="240" w:lineRule="auto"/>
        <w:rPr>
          <w:rFonts w:ascii="Verdana" w:hAnsi="Verdana"/>
          <w:sz w:val="20"/>
          <w:szCs w:val="20"/>
        </w:rPr>
      </w:pPr>
    </w:p>
    <w:p w14:paraId="3C7CCCC3" w14:textId="77777777" w:rsidR="00055BE1" w:rsidRDefault="00055BE1" w:rsidP="00987812">
      <w:pPr>
        <w:spacing w:after="0" w:line="240" w:lineRule="auto"/>
        <w:rPr>
          <w:rFonts w:ascii="Verdana" w:hAnsi="Verdana"/>
          <w:sz w:val="20"/>
          <w:szCs w:val="20"/>
        </w:rPr>
      </w:pPr>
    </w:p>
    <w:p w14:paraId="0DECECCA" w14:textId="77777777" w:rsidR="00055BE1" w:rsidRDefault="00055BE1" w:rsidP="00987812">
      <w:pPr>
        <w:spacing w:after="0" w:line="240" w:lineRule="auto"/>
        <w:rPr>
          <w:rFonts w:ascii="Verdana" w:hAnsi="Verdana"/>
          <w:sz w:val="20"/>
          <w:szCs w:val="20"/>
        </w:rPr>
      </w:pPr>
    </w:p>
    <w:p w14:paraId="49763B1A" w14:textId="77777777" w:rsidR="00055BE1" w:rsidRDefault="00055BE1" w:rsidP="00987812">
      <w:pPr>
        <w:spacing w:after="0" w:line="240" w:lineRule="auto"/>
        <w:rPr>
          <w:rFonts w:ascii="Verdana" w:hAnsi="Verdana"/>
          <w:sz w:val="20"/>
          <w:szCs w:val="20"/>
        </w:rPr>
      </w:pPr>
    </w:p>
    <w:p w14:paraId="66C570E4" w14:textId="77777777" w:rsidR="00055BE1" w:rsidRDefault="00055BE1" w:rsidP="00987812">
      <w:pPr>
        <w:spacing w:after="0" w:line="240" w:lineRule="auto"/>
        <w:rPr>
          <w:rFonts w:ascii="Verdana" w:hAnsi="Verdana"/>
          <w:sz w:val="20"/>
          <w:szCs w:val="20"/>
        </w:rPr>
      </w:pPr>
    </w:p>
    <w:p w14:paraId="7D70544B" w14:textId="77777777" w:rsidR="00055BE1" w:rsidRDefault="00055BE1" w:rsidP="00987812">
      <w:pPr>
        <w:spacing w:after="0" w:line="240" w:lineRule="auto"/>
        <w:rPr>
          <w:rFonts w:ascii="Verdana" w:hAnsi="Verdana"/>
          <w:sz w:val="20"/>
          <w:szCs w:val="20"/>
        </w:rPr>
      </w:pPr>
    </w:p>
    <w:p w14:paraId="24247F75" w14:textId="77777777" w:rsidR="00055BE1" w:rsidRDefault="00055BE1" w:rsidP="00987812">
      <w:pPr>
        <w:spacing w:after="0" w:line="240" w:lineRule="auto"/>
        <w:rPr>
          <w:rFonts w:ascii="Verdana" w:hAnsi="Verdana"/>
          <w:sz w:val="20"/>
          <w:szCs w:val="20"/>
        </w:rPr>
      </w:pPr>
    </w:p>
    <w:p w14:paraId="0A487C16" w14:textId="77777777" w:rsidR="00055BE1" w:rsidRDefault="00055BE1" w:rsidP="00987812">
      <w:pPr>
        <w:spacing w:after="0" w:line="240" w:lineRule="auto"/>
        <w:rPr>
          <w:rFonts w:ascii="Verdana" w:hAnsi="Verdana"/>
          <w:sz w:val="20"/>
          <w:szCs w:val="20"/>
        </w:rPr>
      </w:pPr>
    </w:p>
    <w:p w14:paraId="6943B784" w14:textId="77777777" w:rsidR="00055BE1" w:rsidRDefault="00055BE1" w:rsidP="00987812">
      <w:pPr>
        <w:spacing w:after="0" w:line="240" w:lineRule="auto"/>
        <w:rPr>
          <w:rFonts w:ascii="Verdana" w:hAnsi="Verdana"/>
          <w:sz w:val="20"/>
          <w:szCs w:val="20"/>
        </w:rPr>
      </w:pPr>
    </w:p>
    <w:p w14:paraId="7D1CF34D" w14:textId="77777777" w:rsidR="00055BE1" w:rsidRDefault="00055BE1" w:rsidP="00987812">
      <w:pPr>
        <w:spacing w:after="0" w:line="240" w:lineRule="auto"/>
        <w:rPr>
          <w:rFonts w:ascii="Verdana" w:hAnsi="Verdana"/>
          <w:sz w:val="20"/>
          <w:szCs w:val="20"/>
        </w:rPr>
      </w:pPr>
    </w:p>
    <w:p w14:paraId="7D6AF63C" w14:textId="77777777" w:rsidR="00055BE1" w:rsidRDefault="00055BE1" w:rsidP="00987812">
      <w:pPr>
        <w:spacing w:after="0" w:line="240" w:lineRule="auto"/>
        <w:rPr>
          <w:rFonts w:ascii="Verdana" w:hAnsi="Verdana"/>
          <w:sz w:val="20"/>
          <w:szCs w:val="20"/>
        </w:rPr>
      </w:pPr>
    </w:p>
    <w:p w14:paraId="2FF86217" w14:textId="77777777" w:rsidR="00055BE1" w:rsidRDefault="00055BE1" w:rsidP="00987812">
      <w:pPr>
        <w:spacing w:after="0" w:line="240" w:lineRule="auto"/>
        <w:rPr>
          <w:rFonts w:ascii="Verdana" w:hAnsi="Verdana"/>
          <w:sz w:val="20"/>
          <w:szCs w:val="20"/>
        </w:rPr>
      </w:pPr>
    </w:p>
    <w:p w14:paraId="68A52FD5" w14:textId="77777777" w:rsidR="00055BE1" w:rsidRDefault="00055BE1" w:rsidP="00987812">
      <w:pPr>
        <w:spacing w:after="0" w:line="240" w:lineRule="auto"/>
        <w:rPr>
          <w:rFonts w:ascii="Verdana" w:hAnsi="Verdana"/>
          <w:sz w:val="20"/>
          <w:szCs w:val="20"/>
        </w:rPr>
      </w:pPr>
    </w:p>
    <w:p w14:paraId="7B807E82" w14:textId="77777777" w:rsidR="00987812" w:rsidRDefault="00987812" w:rsidP="00987812">
      <w:pPr>
        <w:spacing w:after="0" w:line="240" w:lineRule="auto"/>
        <w:rPr>
          <w:rFonts w:ascii="Verdana" w:hAnsi="Verdana"/>
          <w:sz w:val="20"/>
          <w:szCs w:val="20"/>
        </w:rPr>
      </w:pPr>
    </w:p>
    <w:p w14:paraId="0B823E49" w14:textId="77777777" w:rsidR="00987812" w:rsidRDefault="00987812" w:rsidP="00987812">
      <w:pPr>
        <w:spacing w:after="0" w:line="240" w:lineRule="auto"/>
        <w:rPr>
          <w:rFonts w:ascii="Verdana" w:hAnsi="Verdana"/>
          <w:sz w:val="20"/>
          <w:szCs w:val="20"/>
        </w:rPr>
      </w:pPr>
    </w:p>
    <w:p w14:paraId="1E9C3024" w14:textId="77777777" w:rsidR="00987812" w:rsidRDefault="00987812" w:rsidP="00987812">
      <w:pPr>
        <w:spacing w:after="0" w:line="240" w:lineRule="auto"/>
        <w:rPr>
          <w:rFonts w:ascii="Verdana" w:hAnsi="Verdana"/>
          <w:sz w:val="20"/>
          <w:szCs w:val="20"/>
        </w:rPr>
      </w:pPr>
    </w:p>
    <w:p w14:paraId="68EFA2B4" w14:textId="77777777" w:rsidR="00987812" w:rsidRDefault="00987812" w:rsidP="00987812">
      <w:pPr>
        <w:spacing w:after="0" w:line="240" w:lineRule="auto"/>
        <w:rPr>
          <w:rFonts w:ascii="Verdana" w:hAnsi="Verdana"/>
          <w:sz w:val="20"/>
          <w:szCs w:val="20"/>
        </w:rPr>
      </w:pPr>
    </w:p>
    <w:p w14:paraId="4C41B41F" w14:textId="77777777" w:rsidR="00987812" w:rsidRDefault="00987812" w:rsidP="00987812">
      <w:pPr>
        <w:spacing w:after="0" w:line="240" w:lineRule="auto"/>
        <w:rPr>
          <w:rFonts w:ascii="Verdana" w:hAnsi="Verdana"/>
          <w:sz w:val="20"/>
          <w:szCs w:val="20"/>
        </w:rPr>
      </w:pPr>
    </w:p>
    <w:p w14:paraId="0FA7F636" w14:textId="77777777" w:rsidR="00987812" w:rsidRDefault="00987812" w:rsidP="00987812">
      <w:pPr>
        <w:spacing w:after="0" w:line="240" w:lineRule="auto"/>
        <w:rPr>
          <w:rFonts w:ascii="Verdana" w:hAnsi="Verdana"/>
          <w:sz w:val="20"/>
          <w:szCs w:val="20"/>
        </w:rPr>
      </w:pPr>
    </w:p>
    <w:p w14:paraId="399D2D24" w14:textId="77777777" w:rsidR="00987812" w:rsidRDefault="00987812" w:rsidP="00987812">
      <w:pPr>
        <w:spacing w:after="0" w:line="240" w:lineRule="auto"/>
        <w:rPr>
          <w:rFonts w:ascii="Verdana" w:hAnsi="Verdana"/>
          <w:sz w:val="20"/>
          <w:szCs w:val="20"/>
        </w:rPr>
      </w:pPr>
    </w:p>
    <w:p w14:paraId="49F7C795" w14:textId="74174A9D" w:rsidR="00987812" w:rsidRPr="00E31648" w:rsidRDefault="00987812" w:rsidP="00987812">
      <w:pPr>
        <w:spacing w:after="0" w:line="240" w:lineRule="auto"/>
      </w:pPr>
      <w:r w:rsidRPr="00C562D4">
        <w:rPr>
          <w:rFonts w:ascii="Verdana" w:eastAsia="Calibri" w:hAnsi="Verdana" w:cs="Arial"/>
          <w:color w:val="000000" w:themeColor="text1"/>
        </w:rPr>
        <w:lastRenderedPageBreak/>
        <w:t xml:space="preserve">Bogotá D.C., </w:t>
      </w:r>
      <w:r w:rsidR="00A94CC6">
        <w:rPr>
          <w:rFonts w:ascii="Verdana" w:eastAsia="Calibri" w:hAnsi="Verdana" w:cs="Arial"/>
          <w:color w:val="000000" w:themeColor="text1"/>
        </w:rPr>
        <w:t>30</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marzo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41B07885" w14:textId="77777777" w:rsidR="00987812" w:rsidRDefault="00987812" w:rsidP="00987812">
      <w:pPr>
        <w:spacing w:after="0" w:line="240" w:lineRule="auto"/>
        <w:jc w:val="both"/>
        <w:rPr>
          <w:rFonts w:ascii="Verdana" w:eastAsia="Calibri" w:hAnsi="Verdana" w:cs="Arial"/>
          <w:color w:val="000000" w:themeColor="text1"/>
          <w:lang w:val="es-ES"/>
        </w:rPr>
      </w:pPr>
    </w:p>
    <w:p w14:paraId="4EEFF9A3" w14:textId="0AC655EC" w:rsidR="00065154" w:rsidRDefault="00065154" w:rsidP="00065154">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0B5A8A80" wp14:editId="6A5CF23F">
            <wp:extent cx="2981325" cy="838200"/>
            <wp:effectExtent l="0" t="0" r="9525" b="0"/>
            <wp:docPr id="119129766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81325" cy="838200"/>
                    </a:xfrm>
                    <a:prstGeom prst="rect">
                      <a:avLst/>
                    </a:prstGeom>
                    <a:noFill/>
                    <a:ln>
                      <a:noFill/>
                    </a:ln>
                  </pic:spPr>
                </pic:pic>
              </a:graphicData>
            </a:graphic>
          </wp:inline>
        </w:drawing>
      </w:r>
    </w:p>
    <w:p w14:paraId="2A0C548B" w14:textId="77777777" w:rsidR="00987812" w:rsidRPr="00115E3D" w:rsidRDefault="00987812" w:rsidP="00987812">
      <w:pPr>
        <w:spacing w:after="0" w:line="240" w:lineRule="auto"/>
        <w:jc w:val="both"/>
        <w:rPr>
          <w:rFonts w:ascii="Verdana" w:eastAsia="Calibri" w:hAnsi="Verdana" w:cs="Arial"/>
          <w:color w:val="000000" w:themeColor="text1"/>
          <w:lang w:val="es-ES"/>
        </w:rPr>
      </w:pPr>
    </w:p>
    <w:p w14:paraId="36142440" w14:textId="77777777" w:rsidR="00987812" w:rsidRPr="00115E3D" w:rsidRDefault="00987812" w:rsidP="00987812">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3DBF773A" w14:textId="77777777" w:rsidR="00987812" w:rsidRDefault="00987812" w:rsidP="00987812">
      <w:pPr>
        <w:spacing w:after="0" w:line="240" w:lineRule="auto"/>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MARIA CAROLINA CORDOBA PINTO</w:t>
      </w:r>
      <w:r w:rsidRPr="008D09A2">
        <w:rPr>
          <w:rFonts w:ascii="Verdana" w:eastAsia="Calibri" w:hAnsi="Verdana" w:cs="Arial"/>
          <w:b/>
          <w:bCs/>
          <w:color w:val="000000" w:themeColor="text1"/>
          <w:lang w:eastAsia="es-ES"/>
        </w:rPr>
        <w:t xml:space="preserve"> </w:t>
      </w:r>
    </w:p>
    <w:p w14:paraId="754DCCF3" w14:textId="77777777" w:rsidR="00987812" w:rsidRPr="0087638A" w:rsidRDefault="00987812" w:rsidP="00987812">
      <w:pPr>
        <w:spacing w:after="0" w:line="240" w:lineRule="auto"/>
        <w:rPr>
          <w:rFonts w:ascii="Verdana" w:eastAsia="Calibri" w:hAnsi="Verdana" w:cs="Arial"/>
          <w:color w:val="000000" w:themeColor="text1"/>
          <w:lang w:eastAsia="es-ES"/>
        </w:rPr>
      </w:pPr>
      <w:hyperlink r:id="rId11" w:history="1">
        <w:r w:rsidRPr="000914ED">
          <w:rPr>
            <w:rStyle w:val="Hipervnculo"/>
            <w:rFonts w:ascii="Verdana" w:hAnsi="Verdana"/>
          </w:rPr>
          <w:t>carocordoba2829@gmail.com</w:t>
        </w:r>
      </w:hyperlink>
      <w:r>
        <w:rPr>
          <w:rFonts w:ascii="Verdana" w:hAnsi="Verdana"/>
        </w:rPr>
        <w:t xml:space="preserve"> </w:t>
      </w:r>
      <w:r w:rsidRPr="0087638A">
        <w:rPr>
          <w:rFonts w:ascii="Verdana" w:hAnsi="Verdana"/>
        </w:rPr>
        <w:t xml:space="preserve"> </w:t>
      </w:r>
    </w:p>
    <w:p w14:paraId="44BC8129" w14:textId="77777777" w:rsidR="00987812" w:rsidRPr="00385D7A" w:rsidRDefault="00987812" w:rsidP="00987812">
      <w:pPr>
        <w:spacing w:after="0" w:line="240" w:lineRule="auto"/>
        <w:rPr>
          <w:rFonts w:ascii="Verdana" w:eastAsia="Calibri" w:hAnsi="Verdana" w:cs="Arial"/>
          <w:color w:val="000000" w:themeColor="text1"/>
          <w:lang w:eastAsia="es-ES"/>
        </w:rPr>
      </w:pPr>
      <w:r w:rsidRPr="00385D7A">
        <w:rPr>
          <w:rFonts w:ascii="Verdana" w:eastAsia="Calibri" w:hAnsi="Verdana" w:cs="Arial"/>
          <w:color w:val="000000" w:themeColor="text1"/>
          <w:lang w:eastAsia="es-ES"/>
        </w:rPr>
        <w:t>Valledupar (Cesar)</w:t>
      </w:r>
    </w:p>
    <w:p w14:paraId="0EB3D78A" w14:textId="77777777" w:rsidR="00987812" w:rsidRPr="00CB7ABE" w:rsidRDefault="00987812" w:rsidP="00987812">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987812" w:rsidRPr="00115E3D" w14:paraId="569DDAEB" w14:textId="77777777" w:rsidTr="00241FBC">
        <w:trPr>
          <w:trHeight w:val="615"/>
        </w:trPr>
        <w:tc>
          <w:tcPr>
            <w:tcW w:w="2270" w:type="dxa"/>
          </w:tcPr>
          <w:p w14:paraId="24609437" w14:textId="77777777" w:rsidR="00987812" w:rsidRPr="00CB7ABE" w:rsidRDefault="00987812" w:rsidP="00241FBC">
            <w:pPr>
              <w:jc w:val="both"/>
              <w:rPr>
                <w:rFonts w:ascii="Verdana" w:eastAsia="Calibri" w:hAnsi="Verdana" w:cs="Arial"/>
                <w:b/>
                <w:bCs/>
                <w:color w:val="000000" w:themeColor="text1"/>
                <w:lang w:eastAsia="es-ES_tradnl"/>
              </w:rPr>
            </w:pPr>
          </w:p>
        </w:tc>
        <w:tc>
          <w:tcPr>
            <w:tcW w:w="6547" w:type="dxa"/>
          </w:tcPr>
          <w:p w14:paraId="2822B59C" w14:textId="77777777" w:rsidR="00987812" w:rsidRPr="00115E3D" w:rsidRDefault="00987812" w:rsidP="00241FBC">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264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987812" w:rsidRPr="007E403E" w14:paraId="1E126F9A" w14:textId="77777777" w:rsidTr="00241FBC">
        <w:trPr>
          <w:trHeight w:val="1071"/>
        </w:trPr>
        <w:tc>
          <w:tcPr>
            <w:tcW w:w="2270" w:type="dxa"/>
          </w:tcPr>
          <w:p w14:paraId="00E43A86" w14:textId="77777777" w:rsidR="00987812" w:rsidRPr="001B36DA" w:rsidRDefault="00987812" w:rsidP="00241FBC">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4EA5CF4A" w14:textId="02FFFB6E" w:rsidR="00987812" w:rsidRDefault="00987812" w:rsidP="00241FBC">
            <w:pPr>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9F27AB">
              <w:rPr>
                <w:rFonts w:ascii="Verdana" w:hAnsi="Verdana" w:cs="Arial"/>
                <w:lang w:val="es-MX" w:eastAsia="es-ES_tradnl"/>
              </w:rPr>
              <w:t>LEY DE GARANTÍAS ELECTORALES – Contratos y convenios interadministrativos – Criterio orgánico / LEY DE GARANTÍAS ELECTORALES –Restricción- Convenios interadministrativos</w:t>
            </w:r>
            <w:r w:rsidR="0068171B">
              <w:rPr>
                <w:rFonts w:ascii="Verdana" w:hAnsi="Verdana" w:cs="Arial"/>
                <w:lang w:val="es-MX" w:eastAsia="es-ES_tradnl"/>
              </w:rPr>
              <w:t>.</w:t>
            </w:r>
          </w:p>
          <w:p w14:paraId="4A0E34F5" w14:textId="77777777" w:rsidR="00987812" w:rsidRPr="0087638A" w:rsidRDefault="00987812" w:rsidP="00241FBC">
            <w:pPr>
              <w:spacing w:line="276" w:lineRule="auto"/>
              <w:jc w:val="both"/>
              <w:rPr>
                <w:rFonts w:ascii="Verdana" w:eastAsia="Calibri" w:hAnsi="Verdana" w:cs="Arial"/>
                <w:color w:val="000000" w:themeColor="text1"/>
                <w:highlight w:val="yellow"/>
                <w:lang w:val="es-ES" w:eastAsia="es-ES"/>
              </w:rPr>
            </w:pPr>
          </w:p>
        </w:tc>
      </w:tr>
      <w:tr w:rsidR="00987812" w:rsidRPr="00115E3D" w14:paraId="5EFC55A0" w14:textId="77777777" w:rsidTr="00241FBC">
        <w:trPr>
          <w:trHeight w:val="653"/>
        </w:trPr>
        <w:tc>
          <w:tcPr>
            <w:tcW w:w="2270" w:type="dxa"/>
          </w:tcPr>
          <w:p w14:paraId="44501D32" w14:textId="77777777" w:rsidR="00987812" w:rsidRPr="00CB7ABE" w:rsidRDefault="00987812" w:rsidP="00241FBC">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07CCE1F" w14:textId="77777777" w:rsidR="00987812" w:rsidRPr="00CB7ABE" w:rsidRDefault="00987812" w:rsidP="00241FBC">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87638A">
              <w:rPr>
                <w:rFonts w:ascii="Verdana" w:eastAsia="Calibri" w:hAnsi="Verdana" w:cs="Arial"/>
                <w:color w:val="000000" w:themeColor="text1"/>
                <w:lang w:val="es-ES_tradnl" w:eastAsia="es-ES_tradnl"/>
              </w:rPr>
              <w:t>1_2026_02_20_002310</w:t>
            </w:r>
          </w:p>
        </w:tc>
      </w:tr>
    </w:tbl>
    <w:p w14:paraId="116DB737" w14:textId="77777777" w:rsidR="00987812" w:rsidRPr="00115E3D" w:rsidRDefault="00987812" w:rsidP="00987812">
      <w:pPr>
        <w:spacing w:after="0" w:line="240" w:lineRule="auto"/>
        <w:jc w:val="both"/>
        <w:rPr>
          <w:rFonts w:ascii="Verdana" w:eastAsia="Calibri" w:hAnsi="Verdana" w:cs="Arial"/>
          <w:color w:val="000000" w:themeColor="text1"/>
          <w:lang w:val="es-ES_tradnl" w:eastAsia="es-ES_tradnl"/>
        </w:rPr>
      </w:pPr>
    </w:p>
    <w:p w14:paraId="391A7586" w14:textId="7E5263CB" w:rsidR="00987812" w:rsidRPr="00115E3D" w:rsidRDefault="00987812" w:rsidP="00987812">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Córdoba;</w:t>
      </w:r>
    </w:p>
    <w:p w14:paraId="471B6687" w14:textId="77777777" w:rsidR="00987812" w:rsidRPr="00115E3D" w:rsidRDefault="00987812" w:rsidP="00987812">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1392283" w14:textId="77777777" w:rsidR="00987812" w:rsidRPr="00115E3D" w:rsidRDefault="00987812" w:rsidP="00987812">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en esta entidad el 18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07EDAA6C" w14:textId="77777777" w:rsidR="00987812" w:rsidRDefault="00987812" w:rsidP="00987812">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43AFB8DE" w14:textId="77777777" w:rsidR="00987812" w:rsidRDefault="00987812" w:rsidP="00987812">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lastRenderedPageBreak/>
        <w:t>“</w:t>
      </w:r>
      <w:r w:rsidRPr="0087638A">
        <w:rPr>
          <w:rFonts w:ascii="Verdana" w:eastAsia="Century Gothic" w:hAnsi="Verdana" w:cs="Century Gothic"/>
          <w:i/>
          <w:iCs/>
          <w:color w:val="000000" w:themeColor="text1"/>
          <w:sz w:val="20"/>
          <w:szCs w:val="20"/>
        </w:rPr>
        <w:t>Teniendo en cuenta la misionalidad del SENA, por parte de esta entidad se deben realizar convenios de articulación con la media con instituciones educativas privadas los cuales garantizan la doble titulación de los estudiantes de los grados 10 y 11, estos no generan afectación presupuestal, de igual manera se debe suscribir convenio interadministrativo entre el SENA y la Alcaldía de Valledupar para este mismo objeto. El Sena debe suscribir convenios de docencia de servicios con algunos hospitales y un convenio de cooperación especial con una universidad pública. Debido a lo anteriormente planteado, solicito se me indique sin en algún momento se está inmerso en las prohibiciones de la Ley de garantías toda vez que estos convenios no generan afectación presupuestal de ninguna índole. Información del solicitante</w:t>
      </w:r>
      <w:r>
        <w:rPr>
          <w:rFonts w:ascii="Verdana" w:eastAsia="Century Gothic" w:hAnsi="Verdana" w:cs="Century Gothic"/>
          <w:i/>
          <w:iCs/>
          <w:color w:val="000000" w:themeColor="text1"/>
          <w:sz w:val="20"/>
          <w:szCs w:val="20"/>
        </w:rPr>
        <w:t>”</w:t>
      </w:r>
    </w:p>
    <w:p w14:paraId="4753F480" w14:textId="77777777" w:rsidR="00987812" w:rsidRDefault="00987812" w:rsidP="00987812">
      <w:pPr>
        <w:spacing w:after="0" w:line="240" w:lineRule="auto"/>
        <w:ind w:left="709" w:right="709"/>
        <w:jc w:val="both"/>
        <w:rPr>
          <w:rFonts w:ascii="Verdana" w:eastAsia="Century Gothic" w:hAnsi="Verdana" w:cs="Century Gothic"/>
          <w:i/>
          <w:iCs/>
          <w:color w:val="000000" w:themeColor="text1"/>
          <w:sz w:val="20"/>
          <w:szCs w:val="20"/>
        </w:rPr>
      </w:pPr>
    </w:p>
    <w:p w14:paraId="7AD7BE8B" w14:textId="77777777" w:rsidR="00987812" w:rsidRDefault="00987812" w:rsidP="00987812">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1B5D7DA" w14:textId="77777777" w:rsidR="00987812" w:rsidRPr="00115E3D" w:rsidRDefault="00987812" w:rsidP="00987812">
      <w:pPr>
        <w:spacing w:after="0" w:line="240" w:lineRule="auto"/>
        <w:ind w:right="49"/>
        <w:jc w:val="both"/>
        <w:rPr>
          <w:rFonts w:ascii="Verdana" w:eastAsia="Calibri" w:hAnsi="Verdana" w:cs="Arial"/>
          <w:color w:val="000000" w:themeColor="text1"/>
          <w:szCs w:val="24"/>
          <w:lang w:val="es-ES_tradnl" w:eastAsia="es-ES_tradnl"/>
        </w:rPr>
      </w:pPr>
    </w:p>
    <w:p w14:paraId="78269BAF" w14:textId="77777777" w:rsidR="00987812" w:rsidRPr="00115E3D" w:rsidRDefault="00987812" w:rsidP="00987812">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7C2F9270" w14:textId="77777777" w:rsidR="00987812" w:rsidRPr="00115E3D" w:rsidRDefault="00987812" w:rsidP="00987812">
      <w:pPr>
        <w:spacing w:after="0" w:line="276" w:lineRule="auto"/>
        <w:ind w:firstLine="709"/>
        <w:jc w:val="both"/>
        <w:rPr>
          <w:rFonts w:ascii="Verdana" w:eastAsia="Calibri" w:hAnsi="Verdana" w:cs="Arial"/>
          <w:color w:val="000000" w:themeColor="text1"/>
          <w:lang w:val="es-ES" w:eastAsia="es-ES"/>
        </w:rPr>
      </w:pPr>
    </w:p>
    <w:p w14:paraId="4811DB48" w14:textId="77777777" w:rsidR="00987812" w:rsidRPr="00115E3D" w:rsidRDefault="00987812" w:rsidP="0098781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0163816" w14:textId="77777777" w:rsidR="00987812" w:rsidRPr="00115E3D" w:rsidRDefault="00987812" w:rsidP="00987812">
      <w:pPr>
        <w:tabs>
          <w:tab w:val="left" w:pos="426"/>
        </w:tabs>
        <w:spacing w:after="0" w:line="276" w:lineRule="auto"/>
        <w:jc w:val="both"/>
        <w:rPr>
          <w:rFonts w:ascii="Verdana" w:eastAsia="Century Gothic" w:hAnsi="Verdana" w:cs="Century Gothic"/>
          <w:color w:val="000000" w:themeColor="text1"/>
          <w:lang w:val="es-ES"/>
        </w:rPr>
      </w:pPr>
    </w:p>
    <w:p w14:paraId="1F72A984" w14:textId="77777777" w:rsidR="00987812" w:rsidRDefault="00987812" w:rsidP="00987812">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AB2829">
        <w:rPr>
          <w:rFonts w:ascii="Verdana" w:eastAsia="Calibri" w:hAnsi="Verdana" w:cs="Times New Roman"/>
        </w:rPr>
        <w:t xml:space="preserve">¿Es jurídicamente procedente la suscripción de convenios interadministrativos entre entidades del orden nacional y entidades territoriales </w:t>
      </w:r>
      <w:r w:rsidRPr="00AB2829">
        <w:rPr>
          <w:rFonts w:ascii="Verdana" w:eastAsia="Calibri" w:hAnsi="Verdana" w:cs="Times New Roman"/>
        </w:rPr>
        <w:lastRenderedPageBreak/>
        <w:t>durante el periodo de restricción previsto en la Ley 996 de 2005 (Ley de Garantías Electorales)?</w:t>
      </w:r>
    </w:p>
    <w:p w14:paraId="0CDDFACF" w14:textId="77777777" w:rsidR="00987812" w:rsidRDefault="00987812" w:rsidP="00987812">
      <w:pPr>
        <w:spacing w:after="0" w:line="276" w:lineRule="auto"/>
        <w:jc w:val="both"/>
        <w:rPr>
          <w:rFonts w:ascii="Verdana" w:hAnsi="Verdana"/>
        </w:rPr>
      </w:pPr>
    </w:p>
    <w:p w14:paraId="3AEB801C" w14:textId="77777777" w:rsidR="00987812" w:rsidRPr="00115E3D" w:rsidRDefault="00987812" w:rsidP="009878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79E92C0" w14:textId="77777777" w:rsidR="00987812" w:rsidRPr="00115E3D" w:rsidRDefault="00987812" w:rsidP="0098781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87812" w:rsidRPr="00115E3D" w14:paraId="099A03FD" w14:textId="77777777" w:rsidTr="00241FBC">
        <w:trPr>
          <w:trHeight w:val="774"/>
        </w:trPr>
        <w:tc>
          <w:tcPr>
            <w:tcW w:w="8828" w:type="dxa"/>
          </w:tcPr>
          <w:p w14:paraId="1970D520" w14:textId="77777777" w:rsidR="00987812" w:rsidRDefault="00987812" w:rsidP="00241FBC">
            <w:pPr>
              <w:spacing w:after="120" w:line="276" w:lineRule="auto"/>
              <w:jc w:val="both"/>
              <w:rPr>
                <w:rFonts w:ascii="Verdana" w:eastAsiaTheme="minorEastAsia" w:hAnsi="Verdana" w:cs="Arial"/>
                <w:lang w:eastAsia="es-CO"/>
              </w:rPr>
            </w:pPr>
            <w:r>
              <w:rPr>
                <w:rFonts w:ascii="Verdana" w:hAnsi="Verdana" w:cs="Arial"/>
              </w:rPr>
              <w:t xml:space="preserve">          </w:t>
            </w:r>
            <w:r w:rsidRPr="004F1C0A">
              <w:rPr>
                <w:rFonts w:ascii="Verdana" w:eastAsia="Calibri" w:hAnsi="Verdana" w:cs="Arial"/>
                <w:lang w:val="es-MX"/>
              </w:rPr>
              <w:t>De acuerdo con el problema jurídico</w:t>
            </w:r>
            <w:r>
              <w:rPr>
                <w:rFonts w:ascii="Verdana" w:eastAsia="Calibri" w:hAnsi="Verdana" w:cs="Arial"/>
                <w:lang w:val="es-MX"/>
              </w:rPr>
              <w:t xml:space="preserve"> </w:t>
            </w:r>
            <w:r w:rsidRPr="004F1C0A">
              <w:rPr>
                <w:rFonts w:ascii="Verdana" w:eastAsia="Calibri" w:hAnsi="Verdana" w:cs="Arial"/>
                <w:lang w:val="es-MX"/>
              </w:rPr>
              <w:t xml:space="preserve">objeto de consulta, </w:t>
            </w:r>
            <w:r>
              <w:rPr>
                <w:rFonts w:ascii="Verdana" w:eastAsiaTheme="minorEastAsia" w:hAnsi="Verdana" w:cs="Arial"/>
                <w:lang w:eastAsia="es-CO"/>
              </w:rPr>
              <w:t>se encuentra que l</w:t>
            </w:r>
            <w:r w:rsidRPr="00771E47">
              <w:rPr>
                <w:rFonts w:ascii="Verdana" w:eastAsiaTheme="minorEastAsia" w:hAnsi="Verdana" w:cs="Arial"/>
                <w:lang w:eastAsia="es-CO"/>
              </w:rPr>
              <w:t xml:space="preserve">os convenios interadministrativos, previstos en el artículo 95 de la Ley 489 de 1998, son instrumentos de cooperación que buscan la coordinación entre entidades públicas para alcanzar fines comunes de carácter administrativo y social. Su naturaleza se distingue por la finalidad asociativa, pues no persiguen la adquisición de bienes o servicios como los contratos estatales tradicionales, sino la articulación de esfuerzos, capacidades y recursos. </w:t>
            </w:r>
          </w:p>
          <w:p w14:paraId="18ACEC64" w14:textId="7B60AFB1" w:rsidR="00987812" w:rsidRPr="00EB180D" w:rsidRDefault="00C1342D" w:rsidP="00241FBC">
            <w:pPr>
              <w:jc w:val="both"/>
              <w:rPr>
                <w:rFonts w:ascii="Verdana" w:hAnsi="Verdana"/>
                <w:lang w:eastAsia="es-CO"/>
              </w:rPr>
            </w:pPr>
            <w:r>
              <w:rPr>
                <w:rFonts w:ascii="Verdana" w:hAnsi="Verdana"/>
                <w:lang w:eastAsia="es-CO"/>
              </w:rPr>
              <w:t xml:space="preserve">         </w:t>
            </w:r>
            <w:r w:rsidR="00987812" w:rsidRPr="00EB180D">
              <w:rPr>
                <w:rFonts w:ascii="Verdana" w:hAnsi="Verdana"/>
                <w:lang w:eastAsia="es-CO"/>
              </w:rPr>
              <w:t>Ahora bien, resulta pertinente precisar que los convenios interadministrativos suscritos entre entidades del orden nacional y las entidades territoriales —departamentos, distritos, municipios y entidades descentralizadas— se encuentran sujetos a la restricción prevista en el artículo 33 y 38 de la Ley 996 de 2005. Dicha disposición establece que la celebración de estos convenios por parte de alcaldes, gobernadores, secretarios, gerentes y directores de entidades del orden municipal, departamental o distrital debe observar las limitaciones allí señaladas, y entendiendo que los convenios interadministrativos se encuentran dentro de la modalidad de contratación directa, según lo establecido en el artículo 2.2.1.2.1.4.4</w:t>
            </w:r>
            <w:r w:rsidR="00536345">
              <w:rPr>
                <w:rFonts w:ascii="Verdana" w:hAnsi="Verdana"/>
                <w:lang w:eastAsia="es-CO"/>
              </w:rPr>
              <w:t xml:space="preserve"> del Decreto 1082 de 2015</w:t>
            </w:r>
            <w:r w:rsidR="00987812" w:rsidRPr="00EB180D">
              <w:rPr>
                <w:rFonts w:ascii="Verdana" w:hAnsi="Verdana"/>
                <w:lang w:eastAsia="es-CO"/>
              </w:rPr>
              <w:t xml:space="preserve">, existe la limitante para que </w:t>
            </w:r>
            <w:r w:rsidR="003F23AD">
              <w:rPr>
                <w:rFonts w:ascii="Verdana" w:hAnsi="Verdana"/>
                <w:lang w:eastAsia="es-CO"/>
              </w:rPr>
              <w:t>los mismos</w:t>
            </w:r>
            <w:r w:rsidR="00987812" w:rsidRPr="00EB180D">
              <w:rPr>
                <w:rFonts w:ascii="Verdana" w:hAnsi="Verdana"/>
                <w:lang w:eastAsia="es-CO"/>
              </w:rPr>
              <w:t xml:space="preserve"> sean suscritos durante la vigencia de la Ley de Garantías.</w:t>
            </w:r>
          </w:p>
          <w:p w14:paraId="3CF581E9" w14:textId="77777777" w:rsidR="00987812" w:rsidRDefault="00987812" w:rsidP="00241FBC">
            <w:pPr>
              <w:spacing w:after="120" w:line="276" w:lineRule="auto"/>
              <w:ind w:firstLine="708"/>
              <w:jc w:val="both"/>
              <w:rPr>
                <w:rFonts w:ascii="Verdana" w:eastAsiaTheme="minorEastAsia" w:hAnsi="Verdana" w:cs="Arial"/>
                <w:lang w:eastAsia="es-CO"/>
              </w:rPr>
            </w:pPr>
          </w:p>
          <w:p w14:paraId="3185895C" w14:textId="77777777" w:rsidR="00987812" w:rsidRDefault="00987812" w:rsidP="00241FBC">
            <w:pPr>
              <w:spacing w:after="120" w:line="276" w:lineRule="auto"/>
              <w:jc w:val="both"/>
              <w:rPr>
                <w:rFonts w:ascii="Verdana" w:eastAsiaTheme="minorEastAsia" w:hAnsi="Verdana" w:cs="Arial"/>
                <w:lang w:eastAsia="es-CO"/>
              </w:rPr>
            </w:pPr>
            <w:r>
              <w:rPr>
                <w:rFonts w:ascii="Verdana" w:eastAsiaTheme="minorEastAsia" w:hAnsi="Verdana" w:cs="Arial"/>
                <w:lang w:eastAsia="es-CO"/>
              </w:rPr>
              <w:t xml:space="preserve">         </w:t>
            </w:r>
            <w:r w:rsidRPr="004957D9">
              <w:rPr>
                <w:rFonts w:ascii="Verdana" w:eastAsiaTheme="minorEastAsia" w:hAnsi="Verdana" w:cs="Arial"/>
                <w:lang w:eastAsia="es-CO"/>
              </w:rPr>
              <w:t>En la medida en que la restricción establecida en el parágrafo del artículo</w:t>
            </w:r>
            <w:r>
              <w:rPr>
                <w:rFonts w:ascii="Verdana" w:eastAsiaTheme="minorEastAsia" w:hAnsi="Verdana" w:cs="Arial"/>
                <w:lang w:eastAsia="es-CO"/>
              </w:rPr>
              <w:t xml:space="preserve"> 33 y</w:t>
            </w:r>
            <w:r w:rsidRPr="004957D9">
              <w:rPr>
                <w:rFonts w:ascii="Verdana" w:eastAsiaTheme="minorEastAsia" w:hAnsi="Verdana" w:cs="Arial"/>
                <w:lang w:eastAsia="es-CO"/>
              </w:rPr>
              <w:t xml:space="preserve"> 38 de la Ley 996 de 2005 no diferencia en su ámbito de aplicación entre convenios marco</w:t>
            </w:r>
            <w:r>
              <w:rPr>
                <w:rFonts w:ascii="Verdana" w:eastAsiaTheme="minorEastAsia" w:hAnsi="Verdana" w:cs="Arial"/>
                <w:lang w:eastAsia="es-CO"/>
              </w:rPr>
              <w:t>,</w:t>
            </w:r>
            <w:r w:rsidRPr="004957D9">
              <w:rPr>
                <w:rFonts w:ascii="Verdana" w:eastAsiaTheme="minorEastAsia" w:hAnsi="Verdana" w:cs="Arial"/>
                <w:lang w:eastAsia="es-CO"/>
              </w:rPr>
              <w:t xml:space="preserve"> derivados</w:t>
            </w:r>
            <w:r>
              <w:rPr>
                <w:rFonts w:ascii="Verdana" w:eastAsiaTheme="minorEastAsia" w:hAnsi="Verdana" w:cs="Arial"/>
                <w:lang w:eastAsia="es-CO"/>
              </w:rPr>
              <w:t xml:space="preserve"> o de cooperación</w:t>
            </w:r>
            <w:r w:rsidRPr="004957D9">
              <w:rPr>
                <w:rFonts w:ascii="Verdana" w:eastAsiaTheme="minorEastAsia" w:hAnsi="Verdana" w:cs="Arial"/>
                <w:lang w:eastAsia="es-CO"/>
              </w:rPr>
              <w:t>, la celebración de ambos tipos de acuerdos entre entidades estatales debe entenderse restringida para las entidades territoriales y sus entidades descentralizadas</w:t>
            </w:r>
            <w:r>
              <w:rPr>
                <w:rFonts w:ascii="Verdana" w:eastAsiaTheme="minorEastAsia" w:hAnsi="Verdana" w:cs="Arial"/>
                <w:lang w:eastAsia="es-CO"/>
              </w:rPr>
              <w:t>, al estar dentro de la modalidad de contratación directa prevista en la Ley</w:t>
            </w:r>
            <w:r w:rsidRPr="004957D9">
              <w:rPr>
                <w:rFonts w:ascii="Verdana" w:eastAsiaTheme="minorEastAsia" w:hAnsi="Verdana" w:cs="Arial"/>
                <w:lang w:eastAsia="es-CO"/>
              </w:rPr>
              <w:t xml:space="preserve">. </w:t>
            </w:r>
          </w:p>
          <w:p w14:paraId="6AF34D5C" w14:textId="77777777" w:rsidR="00987812" w:rsidRPr="00195D47" w:rsidRDefault="00987812" w:rsidP="00241FBC">
            <w:pPr>
              <w:spacing w:after="120" w:line="276" w:lineRule="auto"/>
              <w:jc w:val="both"/>
              <w:rPr>
                <w:rFonts w:ascii="Verdana" w:eastAsia="Calibri" w:hAnsi="Verdana" w:cs="Arial"/>
                <w:bCs/>
                <w:lang w:eastAsia="es-ES_tradnl"/>
              </w:rPr>
            </w:pPr>
            <w:r>
              <w:rPr>
                <w:rFonts w:ascii="Verdana" w:eastAsiaTheme="minorEastAsia" w:hAnsi="Verdana" w:cs="Arial"/>
                <w:lang w:eastAsia="es-CO"/>
              </w:rPr>
              <w:t xml:space="preserve">           En ese sentido, d</w:t>
            </w:r>
            <w:r w:rsidRPr="00DA6629">
              <w:rPr>
                <w:rFonts w:ascii="Verdana" w:eastAsiaTheme="minorEastAsia" w:hAnsi="Verdana" w:cs="Arial"/>
                <w:lang w:eastAsia="es-CO"/>
              </w:rPr>
              <w:t>urante la vigencia de la restricción prevista en el parágrafo del artículo 38</w:t>
            </w:r>
            <w:r>
              <w:rPr>
                <w:rFonts w:ascii="Verdana" w:eastAsiaTheme="minorEastAsia" w:hAnsi="Verdana" w:cs="Arial"/>
                <w:lang w:eastAsia="es-CO"/>
              </w:rPr>
              <w:t xml:space="preserve"> y en el artículo 33</w:t>
            </w:r>
            <w:r w:rsidRPr="00DA6629">
              <w:rPr>
                <w:rFonts w:ascii="Verdana" w:eastAsiaTheme="minorEastAsia" w:hAnsi="Verdana" w:cs="Arial"/>
                <w:lang w:eastAsia="es-CO"/>
              </w:rPr>
              <w:t xml:space="preserve"> de la Ley 996 de 2005, no resulta</w:t>
            </w:r>
            <w:r>
              <w:rPr>
                <w:rFonts w:ascii="Verdana" w:eastAsiaTheme="minorEastAsia" w:hAnsi="Verdana" w:cs="Arial"/>
                <w:lang w:eastAsia="es-CO"/>
              </w:rPr>
              <w:t xml:space="preserve"> </w:t>
            </w:r>
            <w:r w:rsidRPr="00DA6629">
              <w:rPr>
                <w:rFonts w:ascii="Verdana" w:eastAsiaTheme="minorEastAsia" w:hAnsi="Verdana" w:cs="Arial"/>
                <w:lang w:eastAsia="es-CO"/>
              </w:rPr>
              <w:t xml:space="preserve">procedente suscribir convenios interadministrativos, en la medida en que la disposición establece de manera expresa y objetiva la prohibición de </w:t>
            </w:r>
            <w:r>
              <w:rPr>
                <w:rFonts w:ascii="Verdana" w:eastAsiaTheme="minorEastAsia" w:hAnsi="Verdana" w:cs="Arial"/>
                <w:lang w:eastAsia="es-CO"/>
              </w:rPr>
              <w:t xml:space="preserve">celebrar </w:t>
            </w:r>
            <w:r>
              <w:rPr>
                <w:rFonts w:ascii="Verdana" w:eastAsiaTheme="minorEastAsia" w:hAnsi="Verdana" w:cs="Arial"/>
                <w:lang w:eastAsia="es-CO"/>
              </w:rPr>
              <w:lastRenderedPageBreak/>
              <w:t>contratos enmarcados bajo la modalidad de contratación directa</w:t>
            </w:r>
            <w:r w:rsidRPr="00DA6629">
              <w:rPr>
                <w:rFonts w:ascii="Verdana" w:eastAsiaTheme="minorEastAsia" w:hAnsi="Verdana" w:cs="Arial"/>
                <w:lang w:eastAsia="es-CO"/>
              </w:rPr>
              <w:t>; por tanto, atendiendo el carácter excepcional, preventivo y de interpretación estricta de las normas prohibitivas en materia electoral —criterio sostenido por la Corte Constitucional y el Consejo de Estado— no es jurídicamente admisible introducir excepciones no previstas por el legislador ni acudir a denominaciones formales que encubran la constitución de un nuevo vínculo jurídico con autonomía obligacional y compromiso de recursos públicos, pues ello desconocería la finalidad de neutralidad, transparencia, igualdad y moralidad administrativa que inspira el régimen de garantías; en consecuencia, durante dicho periodo únicamente son viables las actuaciones estrictamente encaminadas a la ejecución, cumplimiento, seguimiento o liquidación de convenios válidamente celebrados con anterioridad al inicio de la restricción, siempre que no comporten la creación de un nuevo acuerdo interadministrativo ni la asunción de obligaciones adicionales que desborden el marco jurídico previamente constituido.</w:t>
            </w:r>
            <w:r w:rsidRPr="00CF41A0">
              <w:rPr>
                <w:rFonts w:ascii="Verdana" w:eastAsia="Aptos" w:hAnsi="Verdana" w:cs="Times New Roman"/>
                <w:lang w:val="es-MX"/>
              </w:rPr>
              <w:t xml:space="preserve"> </w:t>
            </w:r>
          </w:p>
          <w:p w14:paraId="12EBB271" w14:textId="77777777" w:rsidR="00987812" w:rsidRPr="00C71956" w:rsidRDefault="00987812" w:rsidP="00241FBC">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72961CE" w14:textId="77777777" w:rsidR="00987812" w:rsidRPr="0029110A" w:rsidRDefault="00987812" w:rsidP="00241FBC">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987812" w:rsidRPr="00115E3D" w14:paraId="7DB8EB8F" w14:textId="77777777" w:rsidTr="00241FBC">
        <w:trPr>
          <w:trHeight w:val="162"/>
        </w:trPr>
        <w:tc>
          <w:tcPr>
            <w:tcW w:w="8828" w:type="dxa"/>
          </w:tcPr>
          <w:p w14:paraId="7497C6F7" w14:textId="77777777" w:rsidR="00987812" w:rsidRDefault="00987812" w:rsidP="00241FBC">
            <w:pPr>
              <w:spacing w:line="276" w:lineRule="auto"/>
              <w:jc w:val="both"/>
              <w:rPr>
                <w:rFonts w:ascii="Verdana" w:eastAsia="Calibri" w:hAnsi="Verdana" w:cs="Arial"/>
              </w:rPr>
            </w:pPr>
          </w:p>
        </w:tc>
      </w:tr>
    </w:tbl>
    <w:p w14:paraId="3A31DAA4" w14:textId="77777777" w:rsidR="00987812" w:rsidRDefault="00987812" w:rsidP="0098781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59D8BA3" w14:textId="77777777" w:rsidR="00987812" w:rsidRDefault="00987812" w:rsidP="009878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2802BFB0" w14:textId="77777777" w:rsidR="00987812" w:rsidRPr="00115E3D" w:rsidRDefault="00987812" w:rsidP="00987812">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C8083C1" w14:textId="77777777" w:rsidR="00987812" w:rsidRPr="005055D5" w:rsidRDefault="00987812" w:rsidP="00987812">
      <w:pPr>
        <w:tabs>
          <w:tab w:val="left" w:pos="426"/>
        </w:tabs>
        <w:spacing w:after="120" w:line="276" w:lineRule="auto"/>
        <w:jc w:val="both"/>
        <w:rPr>
          <w:rFonts w:ascii="Verdana" w:eastAsia="Times New Roman" w:hAnsi="Verdana" w:cs="Arial"/>
          <w:lang w:eastAsia="es-CO"/>
        </w:rPr>
      </w:pPr>
      <w:bookmarkStart w:id="2" w:name="_Hlk204856061"/>
      <w:bookmarkStart w:id="3" w:name="_Hlk78820161"/>
      <w:r>
        <w:rPr>
          <w:rFonts w:ascii="Verdana" w:eastAsia="Calibri" w:hAnsi="Verdana" w:cs="Arial"/>
        </w:rPr>
        <w:lastRenderedPageBreak/>
        <w:tab/>
      </w:r>
      <w:r w:rsidRPr="005055D5">
        <w:rPr>
          <w:rFonts w:ascii="Verdana" w:eastAsia="Calibri" w:hAnsi="Verdana" w:cs="Arial"/>
        </w:rPr>
        <w:t>El ordenamiento jurídico colombiano contempla previsiones claras para evitar la obtención de beneficios personales en asuntos propios de la administración pública</w:t>
      </w:r>
      <w:r w:rsidRPr="005055D5">
        <w:rPr>
          <w:rFonts w:ascii="Verdana" w:eastAsia="Calibri" w:hAnsi="Verdana" w:cs="Arial"/>
          <w:i/>
        </w:rPr>
        <w:t xml:space="preserve">. </w:t>
      </w:r>
      <w:r w:rsidRPr="005055D5">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5055D5">
        <w:rPr>
          <w:rFonts w:ascii="Verdana" w:eastAsia="Calibri" w:hAnsi="Verdana" w:cs="Times New Roman"/>
          <w:vertAlign w:val="superscript"/>
        </w:rPr>
        <w:footnoteReference w:id="1"/>
      </w:r>
      <w:r w:rsidRPr="005055D5">
        <w:rPr>
          <w:rFonts w:ascii="Verdana" w:eastAsia="Calibri" w:hAnsi="Verdana" w:cs="Arial"/>
        </w:rPr>
        <w:t xml:space="preserve">. </w:t>
      </w:r>
    </w:p>
    <w:p w14:paraId="394B3B29" w14:textId="77777777" w:rsidR="00987812" w:rsidRPr="005055D5" w:rsidRDefault="00987812" w:rsidP="00987812">
      <w:pPr>
        <w:tabs>
          <w:tab w:val="left" w:pos="426"/>
        </w:tabs>
        <w:spacing w:after="0" w:line="276" w:lineRule="auto"/>
        <w:ind w:firstLine="709"/>
        <w:jc w:val="both"/>
        <w:rPr>
          <w:rFonts w:ascii="Verdana" w:eastAsia="Calibri" w:hAnsi="Verdana" w:cs="Arial"/>
          <w:lang w:val="es-ES_tradnl"/>
        </w:rPr>
      </w:pPr>
      <w:r w:rsidRPr="005055D5">
        <w:rPr>
          <w:rFonts w:ascii="Verdana" w:eastAsia="Times New Roman" w:hAnsi="Verdana" w:cs="Arial"/>
          <w:lang w:eastAsia="es-CO"/>
        </w:rPr>
        <w:t>En el mismo sentido</w:t>
      </w:r>
      <w:r w:rsidRPr="005055D5">
        <w:rPr>
          <w:rFonts w:ascii="Verdana" w:eastAsia="Times New Roman" w:hAnsi="Verdana" w:cs="Arial"/>
          <w:lang w:val="es-MX" w:eastAsia="es-CO"/>
        </w:rPr>
        <w:t xml:space="preserve">, </w:t>
      </w:r>
      <w:bookmarkStart w:id="4" w:name="_Hlk99576829"/>
      <w:r w:rsidRPr="005055D5">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55D5">
        <w:rPr>
          <w:rFonts w:ascii="Verdana" w:eastAsia="Times New Roman" w:hAnsi="Verdana" w:cs="Arial"/>
          <w:vertAlign w:val="superscript"/>
          <w:lang w:val="es-MX" w:eastAsia="es-CO"/>
        </w:rPr>
        <w:footnoteReference w:id="2"/>
      </w:r>
      <w:r w:rsidRPr="005055D5">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5055D5">
        <w:rPr>
          <w:rFonts w:ascii="Verdana" w:eastAsia="Calibri" w:hAnsi="Verdana" w:cs="Arial"/>
          <w:lang w:val="es-ES_tradnl"/>
        </w:rPr>
        <w:t xml:space="preserve"> </w:t>
      </w:r>
      <w:bookmarkEnd w:id="4"/>
      <w:r w:rsidRPr="005055D5">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62968A4" w14:textId="77777777" w:rsidR="00987812" w:rsidRPr="005055D5" w:rsidRDefault="00987812" w:rsidP="00987812">
      <w:pPr>
        <w:spacing w:after="0" w:line="276" w:lineRule="auto"/>
        <w:ind w:right="709"/>
        <w:contextualSpacing/>
        <w:jc w:val="both"/>
        <w:rPr>
          <w:rFonts w:ascii="Verdana" w:eastAsia="Times New Roman" w:hAnsi="Verdana" w:cs="Arial"/>
          <w:lang w:val="es-ES" w:eastAsia="es-CO"/>
        </w:rPr>
      </w:pPr>
    </w:p>
    <w:p w14:paraId="4DA01FC3" w14:textId="77777777" w:rsidR="00987812" w:rsidRPr="005055D5" w:rsidRDefault="00987812" w:rsidP="00987812">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ES" w:eastAsia="es-CO"/>
        </w:rPr>
        <w:t xml:space="preserve">“[…] </w:t>
      </w:r>
      <w:r w:rsidRPr="005055D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2EF60EC" w14:textId="77777777" w:rsidR="00987812" w:rsidRPr="005055D5" w:rsidRDefault="00987812" w:rsidP="00987812">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 xml:space="preserve">[…] </w:t>
      </w:r>
    </w:p>
    <w:p w14:paraId="0465F27D" w14:textId="77777777" w:rsidR="00987812" w:rsidRPr="005055D5" w:rsidRDefault="00987812" w:rsidP="00987812">
      <w:pPr>
        <w:spacing w:after="0" w:line="240" w:lineRule="auto"/>
        <w:ind w:left="709" w:right="709"/>
        <w:contextualSpacing/>
        <w:jc w:val="both"/>
        <w:rPr>
          <w:rFonts w:ascii="Verdana" w:eastAsia="Times New Roman" w:hAnsi="Verdana" w:cs="Arial"/>
          <w:sz w:val="12"/>
          <w:szCs w:val="12"/>
          <w:lang w:val="es-MX" w:eastAsia="es-CO"/>
        </w:rPr>
      </w:pPr>
    </w:p>
    <w:p w14:paraId="56145417" w14:textId="77777777" w:rsidR="00987812" w:rsidRPr="005055D5" w:rsidRDefault="00987812" w:rsidP="00987812">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055D5">
        <w:rPr>
          <w:rFonts w:ascii="Verdana" w:eastAsia="Calibri" w:hAnsi="Verdana" w:cs="Arial"/>
          <w:sz w:val="20"/>
          <w:szCs w:val="20"/>
          <w:vertAlign w:val="superscript"/>
          <w:lang w:val="es-MX"/>
        </w:rPr>
        <w:footnoteReference w:id="3"/>
      </w:r>
    </w:p>
    <w:p w14:paraId="64EAD669" w14:textId="77777777" w:rsidR="00987812" w:rsidRPr="005055D5" w:rsidRDefault="00987812" w:rsidP="00987812">
      <w:pPr>
        <w:spacing w:after="0" w:line="276" w:lineRule="auto"/>
        <w:ind w:firstLine="709"/>
        <w:jc w:val="both"/>
        <w:rPr>
          <w:rFonts w:ascii="Verdana" w:eastAsia="Times New Roman" w:hAnsi="Verdana" w:cs="Arial"/>
          <w:lang w:val="es-MX" w:eastAsia="es-CO"/>
        </w:rPr>
      </w:pPr>
      <w:bookmarkStart w:id="5" w:name="_Hlk78818186"/>
    </w:p>
    <w:p w14:paraId="2030751B" w14:textId="77777777" w:rsidR="00987812" w:rsidRPr="005055D5" w:rsidRDefault="00987812" w:rsidP="00987812">
      <w:pPr>
        <w:spacing w:after="0" w:line="276" w:lineRule="auto"/>
        <w:ind w:firstLine="709"/>
        <w:jc w:val="both"/>
        <w:rPr>
          <w:rFonts w:ascii="Verdana" w:eastAsia="Times New Roman" w:hAnsi="Verdana" w:cs="Arial"/>
          <w:lang w:val="es-MX" w:eastAsia="es-CO"/>
        </w:rPr>
      </w:pPr>
      <w:r w:rsidRPr="005055D5">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5"/>
      <w:r w:rsidRPr="005055D5">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7E09430E" w14:textId="77777777" w:rsidR="00987812" w:rsidRPr="005055D5" w:rsidRDefault="00987812" w:rsidP="00987812">
      <w:pPr>
        <w:spacing w:after="0" w:line="276" w:lineRule="auto"/>
        <w:ind w:firstLine="709"/>
        <w:jc w:val="both"/>
        <w:rPr>
          <w:rFonts w:ascii="Verdana" w:eastAsia="Times New Roman" w:hAnsi="Verdana" w:cs="Arial"/>
          <w:lang w:val="es-MX" w:eastAsia="es-CO"/>
        </w:rPr>
      </w:pPr>
    </w:p>
    <w:p w14:paraId="445E5D68" w14:textId="77777777" w:rsidR="00987812" w:rsidRPr="005055D5" w:rsidRDefault="00987812" w:rsidP="00987812">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3323938" w14:textId="77777777" w:rsidR="00987812" w:rsidRPr="005055D5" w:rsidRDefault="00987812" w:rsidP="00987812">
      <w:pPr>
        <w:spacing w:after="0" w:line="240" w:lineRule="auto"/>
        <w:ind w:right="709"/>
        <w:contextualSpacing/>
        <w:jc w:val="both"/>
        <w:rPr>
          <w:rFonts w:ascii="Verdana" w:eastAsia="Times New Roman" w:hAnsi="Verdana" w:cs="Arial"/>
          <w:sz w:val="12"/>
          <w:szCs w:val="12"/>
          <w:lang w:val="es-MX" w:eastAsia="es-CO"/>
        </w:rPr>
      </w:pPr>
    </w:p>
    <w:p w14:paraId="68C9FC66" w14:textId="77777777" w:rsidR="00987812" w:rsidRPr="005055D5" w:rsidRDefault="00987812" w:rsidP="00987812">
      <w:pPr>
        <w:spacing w:after="0" w:line="240" w:lineRule="auto"/>
        <w:ind w:left="709" w:right="709"/>
        <w:contextualSpacing/>
        <w:jc w:val="both"/>
        <w:rPr>
          <w:rFonts w:ascii="Verdana" w:eastAsia="Times New Roman" w:hAnsi="Verdana" w:cs="Arial"/>
          <w:sz w:val="20"/>
          <w:szCs w:val="20"/>
          <w:lang w:val="es-MX" w:eastAsia="es-CO"/>
        </w:rPr>
      </w:pPr>
      <w:r w:rsidRPr="005055D5">
        <w:rPr>
          <w:rFonts w:ascii="Verdana" w:eastAsia="Times New Roman" w:hAnsi="Verdana" w:cs="Arial"/>
          <w:sz w:val="20"/>
          <w:szCs w:val="20"/>
          <w:lang w:val="es-MX" w:eastAsia="es-CO"/>
        </w:rPr>
        <w:t>La jurisprudencia de la Corte Constitucional</w:t>
      </w:r>
      <w:r w:rsidRPr="005055D5">
        <w:rPr>
          <w:rFonts w:ascii="Verdana" w:eastAsia="Times New Roman" w:hAnsi="Verdana" w:cs="Arial"/>
          <w:sz w:val="20"/>
          <w:szCs w:val="20"/>
          <w:vertAlign w:val="superscript"/>
          <w:lang w:val="es-MX" w:eastAsia="es-CO"/>
        </w:rPr>
        <w:footnoteReference w:id="4"/>
      </w:r>
      <w:r w:rsidRPr="005055D5">
        <w:rPr>
          <w:rFonts w:ascii="Verdana" w:eastAsia="Times New Roman" w:hAnsi="Verdana" w:cs="Arial"/>
          <w:sz w:val="20"/>
          <w:szCs w:val="20"/>
          <w:lang w:val="es-MX" w:eastAsia="es-CO"/>
        </w:rPr>
        <w:t> y del Consejo de Estado</w:t>
      </w:r>
      <w:r w:rsidRPr="005055D5">
        <w:rPr>
          <w:rFonts w:ascii="Verdana" w:eastAsia="Times New Roman" w:hAnsi="Verdana" w:cs="Arial"/>
          <w:sz w:val="20"/>
          <w:szCs w:val="20"/>
          <w:vertAlign w:val="superscript"/>
          <w:lang w:val="es-MX" w:eastAsia="es-CO"/>
        </w:rPr>
        <w:footnoteReference w:id="5"/>
      </w:r>
      <w:r w:rsidRPr="005055D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055D5">
        <w:rPr>
          <w:rFonts w:ascii="Verdana" w:eastAsia="Times New Roman" w:hAnsi="Verdana" w:cs="Arial"/>
          <w:sz w:val="20"/>
          <w:szCs w:val="20"/>
          <w:vertAlign w:val="superscript"/>
          <w:lang w:val="es-MX" w:eastAsia="es-CO"/>
        </w:rPr>
        <w:footnoteReference w:id="6"/>
      </w:r>
      <w:r w:rsidRPr="005055D5">
        <w:rPr>
          <w:rFonts w:ascii="Verdana" w:eastAsia="Times New Roman" w:hAnsi="Verdana" w:cs="Arial"/>
          <w:sz w:val="20"/>
          <w:szCs w:val="20"/>
          <w:lang w:val="es-MX" w:eastAsia="es-CO"/>
        </w:rPr>
        <w:t>.</w:t>
      </w:r>
    </w:p>
    <w:p w14:paraId="27E4B3FE" w14:textId="77777777" w:rsidR="00987812" w:rsidRPr="005055D5" w:rsidRDefault="00987812" w:rsidP="00987812">
      <w:pPr>
        <w:spacing w:after="0" w:line="276" w:lineRule="auto"/>
        <w:jc w:val="both"/>
        <w:rPr>
          <w:rFonts w:ascii="Verdana" w:eastAsia="Calibri" w:hAnsi="Verdana" w:cs="Arial"/>
          <w:bCs/>
          <w:lang w:val="es-ES_tradnl"/>
        </w:rPr>
      </w:pPr>
    </w:p>
    <w:p w14:paraId="0BD9D013" w14:textId="77777777" w:rsidR="00987812" w:rsidRDefault="00987812" w:rsidP="00987812">
      <w:pPr>
        <w:spacing w:after="0" w:line="276" w:lineRule="auto"/>
        <w:ind w:firstLine="709"/>
        <w:jc w:val="both"/>
        <w:rPr>
          <w:rFonts w:ascii="Verdana" w:eastAsia="Arial" w:hAnsi="Verdana" w:cs="Arial"/>
          <w:lang w:val="es-ES" w:eastAsia="es-ES" w:bidi="es-ES"/>
        </w:rPr>
      </w:pPr>
      <w:r w:rsidRPr="005055D5">
        <w:rPr>
          <w:rFonts w:ascii="Verdana" w:eastAsia="Times New Roman" w:hAnsi="Verdana" w:cs="Arial"/>
          <w:lang w:val="es-MX" w:eastAsia="es-CO"/>
        </w:rPr>
        <w:t>De</w:t>
      </w:r>
      <w:r w:rsidRPr="005055D5">
        <w:rPr>
          <w:rFonts w:ascii="Verdana" w:eastAsia="Arial" w:hAnsi="Verdana" w:cs="Arial"/>
          <w:lang w:val="es-ES" w:eastAsia="es-ES" w:bidi="es-ES"/>
        </w:rPr>
        <w:t xml:space="preserve"> conformidad con lo anterior, </w:t>
      </w:r>
      <w:bookmarkStart w:id="6" w:name="_Hlk77236098"/>
      <w:bookmarkStart w:id="7" w:name="_Hlk100679383"/>
      <w:r w:rsidRPr="005055D5">
        <w:rPr>
          <w:rFonts w:ascii="Verdana" w:eastAsia="Arial" w:hAnsi="Verdana" w:cs="Arial"/>
          <w:lang w:val="es-ES" w:eastAsia="es-ES" w:bidi="es-ES"/>
        </w:rPr>
        <w:t xml:space="preserve">la Ley de Garantías Electorales estableció una serie de regulaciones y prohibiciones dirigidas a los servidores públicos. Con </w:t>
      </w:r>
      <w:r w:rsidRPr="005055D5">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E10103D" w14:textId="77777777" w:rsidR="00987812" w:rsidRPr="005055D5" w:rsidRDefault="00987812" w:rsidP="00987812">
      <w:pPr>
        <w:spacing w:after="0" w:line="276" w:lineRule="auto"/>
        <w:ind w:firstLine="709"/>
        <w:jc w:val="both"/>
        <w:rPr>
          <w:rFonts w:ascii="Verdana" w:eastAsia="Arial" w:hAnsi="Verdana" w:cs="Arial"/>
          <w:lang w:val="es-ES" w:eastAsia="es-ES" w:bidi="es-ES"/>
        </w:rPr>
      </w:pPr>
    </w:p>
    <w:p w14:paraId="094BDBDD" w14:textId="77777777" w:rsidR="00987812" w:rsidRPr="005055D5" w:rsidRDefault="00987812" w:rsidP="00987812">
      <w:pPr>
        <w:spacing w:after="120" w:line="276" w:lineRule="auto"/>
        <w:jc w:val="both"/>
        <w:rPr>
          <w:rFonts w:ascii="Verdana" w:eastAsia="Arial" w:hAnsi="Verdana" w:cs="Arial"/>
          <w:lang w:val="es-ES" w:eastAsia="es-ES" w:bidi="es-ES"/>
        </w:rPr>
      </w:pPr>
      <w:r w:rsidRPr="005055D5">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3E3E6FBF" w14:textId="77777777" w:rsidR="00987812" w:rsidRDefault="00987812" w:rsidP="00987812">
      <w:pPr>
        <w:spacing w:after="120" w:line="276" w:lineRule="auto"/>
        <w:ind w:firstLine="708"/>
        <w:jc w:val="both"/>
        <w:rPr>
          <w:rFonts w:ascii="Verdana" w:eastAsia="Calibri" w:hAnsi="Verdana" w:cs="Arial"/>
        </w:rPr>
      </w:pPr>
      <w:r w:rsidRPr="005055D5">
        <w:rPr>
          <w:rFonts w:ascii="Verdana" w:eastAsia="Calibri" w:hAnsi="Verdana" w:cs="Arial"/>
        </w:rPr>
        <w:t xml:space="preserve">Por un lado, el </w:t>
      </w:r>
      <w:r w:rsidRPr="005055D5">
        <w:rPr>
          <w:rFonts w:ascii="Verdana" w:eastAsia="Calibri" w:hAnsi="Verdana" w:cs="Arial"/>
          <w:i/>
          <w:iCs/>
        </w:rPr>
        <w:t>artículo 33 de la Ley 996 de 2005</w:t>
      </w:r>
      <w:r w:rsidRPr="005055D5">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055D5">
        <w:rPr>
          <w:rFonts w:ascii="Verdana" w:eastAsia="Calibri" w:hAnsi="Verdana" w:cs="Arial"/>
          <w:vertAlign w:val="superscript"/>
        </w:rPr>
        <w:footnoteReference w:id="7"/>
      </w:r>
      <w:r w:rsidRPr="005055D5">
        <w:rPr>
          <w:rFonts w:ascii="Verdana" w:eastAsia="Calibri" w:hAnsi="Verdana" w:cs="Arial"/>
        </w:rPr>
        <w:t>.</w:t>
      </w:r>
    </w:p>
    <w:p w14:paraId="7C51D0A5" w14:textId="77777777" w:rsidR="00987812" w:rsidRPr="00D63EFF" w:rsidRDefault="00987812" w:rsidP="00987812">
      <w:pPr>
        <w:pStyle w:val="NormalWeb"/>
        <w:shd w:val="clear" w:color="auto" w:fill="FFFFFF"/>
        <w:jc w:val="both"/>
        <w:rPr>
          <w:rFonts w:ascii="Verdana" w:eastAsia="Calibri" w:hAnsi="Verdana" w:cs="Arial"/>
          <w:sz w:val="22"/>
          <w:szCs w:val="22"/>
          <w:lang w:eastAsia="en-US"/>
        </w:rPr>
      </w:pPr>
      <w:r>
        <w:rPr>
          <w:rFonts w:ascii="Verdana" w:eastAsia="Calibri" w:hAnsi="Verdana" w:cs="Arial"/>
          <w:sz w:val="22"/>
          <w:szCs w:val="22"/>
          <w:lang w:eastAsia="en-US"/>
        </w:rPr>
        <w:t xml:space="preserve">        </w:t>
      </w:r>
      <w:r w:rsidRPr="00D63EFF">
        <w:rPr>
          <w:rFonts w:ascii="Verdana" w:eastAsia="Calibri" w:hAnsi="Verdana" w:cs="Arial"/>
          <w:sz w:val="22"/>
          <w:szCs w:val="22"/>
          <w:lang w:eastAsia="en-US"/>
        </w:rPr>
        <w:t xml:space="preserve">En línea con lo anterior, el Decreto 1082 de 2015, </w:t>
      </w:r>
      <w:r>
        <w:rPr>
          <w:rFonts w:ascii="Verdana" w:eastAsia="Calibri" w:hAnsi="Verdana" w:cs="Arial"/>
          <w:sz w:val="22"/>
          <w:szCs w:val="22"/>
          <w:lang w:eastAsia="en-US"/>
        </w:rPr>
        <w:t>dispone en su</w:t>
      </w:r>
      <w:r w:rsidRPr="00D63EFF">
        <w:rPr>
          <w:rFonts w:ascii="Verdana" w:eastAsia="Calibri" w:hAnsi="Verdana" w:cs="Arial"/>
          <w:sz w:val="22"/>
          <w:szCs w:val="22"/>
          <w:lang w:eastAsia="en-US"/>
        </w:rPr>
        <w:t xml:space="preserve"> </w:t>
      </w:r>
      <w:r w:rsidRPr="00D63EFF">
        <w:rPr>
          <w:rFonts w:ascii="Verdana" w:eastAsia="Calibri" w:hAnsi="Verdana" w:cs="Arial" w:hint="cs"/>
          <w:sz w:val="22"/>
          <w:szCs w:val="22"/>
          <w:lang w:eastAsia="en-US"/>
        </w:rPr>
        <w:t>Artículo 2.2.1.2.1.4.4</w:t>
      </w:r>
      <w:r>
        <w:rPr>
          <w:rFonts w:ascii="Verdana" w:eastAsia="Calibri" w:hAnsi="Verdana" w:cs="Arial"/>
          <w:sz w:val="22"/>
          <w:szCs w:val="22"/>
          <w:lang w:eastAsia="en-US"/>
        </w:rPr>
        <w:t xml:space="preserve"> lo siguiente:</w:t>
      </w:r>
      <w:r w:rsidRPr="00D63EFF">
        <w:rPr>
          <w:rFonts w:ascii="Verdana" w:eastAsia="Calibri" w:hAnsi="Verdana" w:cs="Arial" w:hint="cs"/>
          <w:sz w:val="22"/>
          <w:szCs w:val="22"/>
          <w:lang w:eastAsia="en-US"/>
        </w:rPr>
        <w:t xml:space="preserve"> </w:t>
      </w:r>
      <w:r w:rsidRPr="00D63EFF">
        <w:rPr>
          <w:rFonts w:ascii="Verdana" w:eastAsia="Calibri" w:hAnsi="Verdana" w:cs="Arial"/>
          <w:i/>
          <w:iCs/>
          <w:sz w:val="22"/>
          <w:szCs w:val="22"/>
          <w:lang w:eastAsia="en-US"/>
        </w:rPr>
        <w:t>“</w:t>
      </w:r>
      <w:r w:rsidRPr="00D63EFF">
        <w:rPr>
          <w:rFonts w:ascii="Verdana" w:eastAsia="Calibri" w:hAnsi="Verdana" w:cs="Arial" w:hint="cs"/>
          <w:i/>
          <w:iCs/>
          <w:sz w:val="22"/>
          <w:szCs w:val="22"/>
          <w:lang w:eastAsia="en-US"/>
        </w:rPr>
        <w:t xml:space="preserve">Convenios o contratos interadministrativos. </w:t>
      </w:r>
      <w:r w:rsidRPr="00D63EFF">
        <w:rPr>
          <w:rFonts w:ascii="Verdana" w:eastAsia="Calibri" w:hAnsi="Verdana" w:cs="Arial"/>
          <w:i/>
          <w:iCs/>
          <w:sz w:val="22"/>
          <w:szCs w:val="22"/>
          <w:u w:val="single"/>
          <w:lang w:eastAsia="en-US"/>
        </w:rPr>
        <w:t>La modalidad de selección para la contratación entre Entidades Estatales es la contratación directa</w:t>
      </w:r>
      <w:r w:rsidRPr="00D63EFF">
        <w:rPr>
          <w:rFonts w:ascii="Verdana" w:eastAsia="Calibri" w:hAnsi="Verdana" w:cs="Arial"/>
          <w:i/>
          <w:iCs/>
          <w:sz w:val="22"/>
          <w:szCs w:val="22"/>
          <w:lang w:eastAsia="en-US"/>
        </w:rPr>
        <w:t>; y en consecuencia, le es aplicable lo establecido en el artículo 2.2.1.2.1.4.1 del presente decreto”.</w:t>
      </w:r>
      <w:r w:rsidRPr="00D63EFF">
        <w:rPr>
          <w:rFonts w:ascii="Verdana" w:eastAsia="Calibri" w:hAnsi="Verdana" w:cs="Arial"/>
          <w:sz w:val="22"/>
          <w:szCs w:val="22"/>
          <w:lang w:eastAsia="en-US"/>
        </w:rPr>
        <w:t xml:space="preserve"> </w:t>
      </w:r>
      <w:r>
        <w:rPr>
          <w:rFonts w:ascii="Verdana" w:eastAsia="Calibri" w:hAnsi="Verdana" w:cs="Arial"/>
          <w:sz w:val="22"/>
          <w:szCs w:val="22"/>
          <w:lang w:eastAsia="en-US"/>
        </w:rPr>
        <w:t>(subraya propia).</w:t>
      </w:r>
    </w:p>
    <w:p w14:paraId="69BE371C" w14:textId="77777777" w:rsidR="00987812" w:rsidRPr="005055D5" w:rsidRDefault="00987812" w:rsidP="00987812">
      <w:pPr>
        <w:widowControl w:val="0"/>
        <w:autoSpaceDE w:val="0"/>
        <w:autoSpaceDN w:val="0"/>
        <w:spacing w:after="120" w:line="276" w:lineRule="auto"/>
        <w:ind w:right="113" w:firstLine="709"/>
        <w:jc w:val="both"/>
        <w:rPr>
          <w:rFonts w:ascii="Verdana" w:eastAsia="Arial" w:hAnsi="Verdana" w:cs="Arial"/>
          <w:lang w:val="es-ES" w:eastAsia="es-ES" w:bidi="es-ES"/>
        </w:rPr>
      </w:pPr>
      <w:r w:rsidRPr="005055D5">
        <w:rPr>
          <w:rFonts w:ascii="Verdana" w:eastAsia="Calibri" w:hAnsi="Verdana" w:cs="Arial"/>
        </w:rPr>
        <w:t xml:space="preserve">Por otro lado, </w:t>
      </w:r>
      <w:r w:rsidRPr="005055D5">
        <w:rPr>
          <w:rFonts w:ascii="Verdana" w:eastAsia="Calibri" w:hAnsi="Verdana" w:cs="Arial"/>
          <w:i/>
          <w:iCs/>
        </w:rPr>
        <w:t>el parágrafo del artículo 38 de la Ley 996 de 2005</w:t>
      </w:r>
      <w:r w:rsidRPr="005055D5">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055D5">
        <w:rPr>
          <w:rFonts w:ascii="Verdana" w:eastAsia="Calibri" w:hAnsi="Verdana" w:cs="Arial"/>
          <w:lang w:val="es-MX"/>
        </w:rPr>
        <w:t xml:space="preserve">celebrar convenios interadministrativos para la ejecución de recursos públicos, ni participar, promover y destinar recursos </w:t>
      </w:r>
      <w:r w:rsidRPr="005055D5">
        <w:rPr>
          <w:rFonts w:ascii="Verdana" w:eastAsia="Calibri" w:hAnsi="Verdana" w:cs="Arial"/>
          <w:lang w:val="es-MX"/>
        </w:rPr>
        <w:lastRenderedPageBreak/>
        <w:t>públicos de las entidades a su cargo, como tampoco de las que participen como miembros de sus juntas directivas, en o para reuniones de carácter proselitista</w:t>
      </w:r>
      <w:r w:rsidRPr="005055D5">
        <w:rPr>
          <w:rFonts w:ascii="Verdana" w:eastAsia="Calibri" w:hAnsi="Verdana" w:cs="Arial"/>
        </w:rPr>
        <w:t>”</w:t>
      </w:r>
      <w:bookmarkEnd w:id="7"/>
      <w:r w:rsidRPr="005055D5">
        <w:rPr>
          <w:rFonts w:ascii="Verdana" w:eastAsia="Calibri" w:hAnsi="Verdana" w:cs="Arial"/>
          <w:vertAlign w:val="superscript"/>
        </w:rPr>
        <w:footnoteReference w:id="8"/>
      </w:r>
      <w:r w:rsidRPr="005055D5">
        <w:rPr>
          <w:rFonts w:ascii="Verdana" w:eastAsia="Calibri" w:hAnsi="Verdana" w:cs="Arial"/>
          <w:lang w:val="es-MX"/>
        </w:rPr>
        <w:t>.</w:t>
      </w:r>
      <w:r w:rsidRPr="005055D5">
        <w:rPr>
          <w:rFonts w:ascii="Verdana" w:eastAsia="Arial" w:hAnsi="Verdana" w:cs="Arial"/>
          <w:lang w:val="es-ES" w:eastAsia="es-ES" w:bidi="es-ES"/>
        </w:rPr>
        <w:t xml:space="preserve"> </w:t>
      </w:r>
    </w:p>
    <w:p w14:paraId="4155200A" w14:textId="77777777" w:rsidR="00987812" w:rsidRPr="005055D5" w:rsidRDefault="00987812" w:rsidP="00987812">
      <w:pPr>
        <w:spacing w:after="120" w:line="276" w:lineRule="auto"/>
        <w:ind w:firstLine="708"/>
        <w:jc w:val="both"/>
        <w:rPr>
          <w:rFonts w:ascii="Verdana" w:eastAsia="Times New Roman" w:hAnsi="Verdana" w:cs="Arial"/>
          <w:bCs/>
          <w:lang w:eastAsia="es-CO"/>
        </w:rPr>
      </w:pPr>
      <w:r w:rsidRPr="005055D5">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5055D5">
        <w:rPr>
          <w:rFonts w:ascii="Verdana" w:eastAsia="Times New Roman" w:hAnsi="Verdana" w:cs="Arial"/>
          <w:bCs/>
          <w:lang w:eastAsia="es-CO"/>
        </w:rPr>
        <w:t>1. </w:t>
      </w:r>
      <w:r w:rsidRPr="005055D5">
        <w:rPr>
          <w:rFonts w:ascii="Verdana" w:eastAsia="Times New Roman" w:hAnsi="Verdana" w:cs="Arial"/>
          <w:bCs/>
          <w:i/>
          <w:iCs/>
          <w:lang w:eastAsia="es-CO"/>
        </w:rPr>
        <w:t>Gral.</w:t>
      </w:r>
      <w:r w:rsidRPr="005055D5">
        <w:rPr>
          <w:rFonts w:ascii="Verdana" w:eastAsia="Times New Roman" w:hAnsi="Verdana" w:cs="Arial"/>
          <w:bCs/>
          <w:lang w:eastAsia="es-CO"/>
        </w:rPr>
        <w:t xml:space="preserve"> Otorgar o firmar un contrato. 2. </w:t>
      </w:r>
      <w:r w:rsidRPr="005055D5">
        <w:rPr>
          <w:rFonts w:ascii="Verdana" w:eastAsia="Times New Roman" w:hAnsi="Verdana" w:cs="Arial"/>
          <w:bCs/>
          <w:i/>
          <w:iCs/>
          <w:lang w:eastAsia="es-CO"/>
        </w:rPr>
        <w:t>Proc.</w:t>
      </w:r>
      <w:r w:rsidRPr="005055D5">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9BAE490" w14:textId="77777777" w:rsidR="00987812" w:rsidRPr="005055D5" w:rsidRDefault="00987812" w:rsidP="00987812">
      <w:pPr>
        <w:spacing w:after="120" w:line="276" w:lineRule="auto"/>
        <w:ind w:firstLine="708"/>
        <w:jc w:val="both"/>
        <w:rPr>
          <w:rFonts w:ascii="Verdana" w:eastAsia="Times New Roman" w:hAnsi="Verdana" w:cs="Arial"/>
          <w:bCs/>
          <w:lang w:val="es-ES" w:eastAsia="es-CO"/>
        </w:rPr>
      </w:pPr>
      <w:r w:rsidRPr="005055D5">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5055D5">
        <w:rPr>
          <w:rFonts w:ascii="Verdana" w:eastAsia="Times New Roman" w:hAnsi="Verdana" w:cs="Arial"/>
          <w:bCs/>
          <w:lang w:val="es-ES" w:eastAsia="es-CO"/>
        </w:rPr>
        <w:t xml:space="preserve">la existencia de los contratos estatales, es decir, la producción de efectos jurídicos en los términos del artículo 1501 </w:t>
      </w:r>
      <w:r w:rsidRPr="005055D5">
        <w:rPr>
          <w:rFonts w:ascii="Verdana" w:eastAsia="Times New Roman" w:hAnsi="Verdana" w:cs="Arial"/>
          <w:bCs/>
          <w:i/>
          <w:lang w:val="es-ES" w:eastAsia="es-CO"/>
        </w:rPr>
        <w:t>ibidem</w:t>
      </w:r>
      <w:r w:rsidRPr="005055D5">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1DF6CB7" w14:textId="77777777" w:rsidR="00987812" w:rsidRPr="005055D5" w:rsidRDefault="00987812" w:rsidP="00987812">
      <w:pPr>
        <w:spacing w:after="120" w:line="276" w:lineRule="auto"/>
        <w:ind w:firstLine="708"/>
        <w:jc w:val="both"/>
        <w:rPr>
          <w:rFonts w:ascii="Verdana" w:eastAsia="Times New Roman" w:hAnsi="Verdana" w:cs="Arial"/>
          <w:bCs/>
          <w:lang w:val="es-ES" w:eastAsia="es-CO"/>
        </w:rPr>
      </w:pPr>
      <w:r w:rsidRPr="005055D5">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35A5A75" w14:textId="77777777" w:rsidR="00987812" w:rsidRPr="005055D5" w:rsidRDefault="00987812" w:rsidP="00987812">
      <w:pPr>
        <w:spacing w:after="120" w:line="276" w:lineRule="auto"/>
        <w:ind w:firstLine="708"/>
        <w:jc w:val="both"/>
        <w:rPr>
          <w:rFonts w:ascii="Verdana" w:eastAsia="Times New Roman" w:hAnsi="Verdana" w:cs="Arial"/>
          <w:bCs/>
          <w:lang w:val="es-ES" w:eastAsia="es-CO"/>
        </w:rPr>
      </w:pPr>
      <w:r w:rsidRPr="005055D5">
        <w:rPr>
          <w:rFonts w:ascii="Verdana" w:eastAsia="Times New Roman" w:hAnsi="Verdana" w:cs="Arial"/>
          <w:bCs/>
          <w:lang w:val="es-ES" w:eastAsia="es-CO"/>
        </w:rPr>
        <w:lastRenderedPageBreak/>
        <w:t xml:space="preserve">Asimismo, </w:t>
      </w:r>
      <w:r w:rsidRPr="005055D5">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055D5">
        <w:rPr>
          <w:rFonts w:ascii="Verdana" w:eastAsia="Times New Roman" w:hAnsi="Verdana" w:cs="Arial"/>
          <w:bCs/>
          <w:vertAlign w:val="superscript"/>
          <w:lang w:val="es-MX" w:eastAsia="es-CO"/>
        </w:rPr>
        <w:footnoteReference w:id="9"/>
      </w:r>
      <w:r w:rsidRPr="005055D5">
        <w:rPr>
          <w:rFonts w:ascii="Verdana" w:eastAsia="Times New Roman" w:hAnsi="Verdana" w:cs="Arial"/>
          <w:bCs/>
          <w:lang w:val="es-MX" w:eastAsia="es-CO"/>
        </w:rPr>
        <w:t xml:space="preserve">. </w:t>
      </w:r>
    </w:p>
    <w:p w14:paraId="7C4D1A42" w14:textId="77777777" w:rsidR="00987812" w:rsidRPr="005055D5" w:rsidRDefault="00987812" w:rsidP="0098781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055D5">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4F55B6D" w14:textId="77777777" w:rsidR="00987812" w:rsidRPr="005055D5" w:rsidRDefault="00987812" w:rsidP="00987812">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3C12B68" w14:textId="77777777" w:rsidR="00987812" w:rsidRPr="005055D5" w:rsidRDefault="00987812" w:rsidP="0098781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5055D5">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0" w:name="_Hlk76109421"/>
      <w:r w:rsidRPr="005055D5">
        <w:rPr>
          <w:rFonts w:ascii="Verdana" w:eastAsia="Arial" w:hAnsi="Verdana" w:cs="Arial"/>
          <w:sz w:val="20"/>
          <w:szCs w:val="20"/>
          <w:lang w:eastAsia="es-ES" w:bidi="es-ES"/>
        </w:rPr>
        <w:t>se integran parcialmente</w:t>
      </w:r>
      <w:bookmarkEnd w:id="10"/>
      <w:r w:rsidRPr="005055D5">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055D5">
        <w:rPr>
          <w:rFonts w:ascii="Verdana" w:eastAsia="Arial" w:hAnsi="Verdana" w:cs="Arial"/>
          <w:sz w:val="20"/>
          <w:szCs w:val="20"/>
          <w:vertAlign w:val="superscript"/>
          <w:lang w:eastAsia="es-ES" w:bidi="es-ES"/>
        </w:rPr>
        <w:footnoteReference w:id="10"/>
      </w:r>
    </w:p>
    <w:p w14:paraId="64AB0135" w14:textId="77777777" w:rsidR="00987812" w:rsidRPr="005055D5" w:rsidRDefault="00987812" w:rsidP="00987812">
      <w:pPr>
        <w:widowControl w:val="0"/>
        <w:autoSpaceDE w:val="0"/>
        <w:autoSpaceDN w:val="0"/>
        <w:spacing w:after="0" w:line="276" w:lineRule="auto"/>
        <w:contextualSpacing/>
        <w:rPr>
          <w:rFonts w:ascii="Verdana" w:eastAsia="Arial" w:hAnsi="Verdana" w:cs="Arial"/>
          <w:lang w:val="es-ES" w:eastAsia="es-ES" w:bidi="es-ES"/>
        </w:rPr>
      </w:pPr>
    </w:p>
    <w:p w14:paraId="0F5A3296" w14:textId="77777777" w:rsidR="00987812" w:rsidRPr="005055D5" w:rsidRDefault="00987812" w:rsidP="00987812">
      <w:pPr>
        <w:spacing w:after="120" w:line="276" w:lineRule="auto"/>
        <w:ind w:firstLine="709"/>
        <w:jc w:val="both"/>
        <w:rPr>
          <w:rFonts w:ascii="Verdana" w:eastAsia="Arial" w:hAnsi="Verdana" w:cs="Arial"/>
          <w:lang w:val="es-ES" w:eastAsia="es-ES" w:bidi="es-ES"/>
        </w:rPr>
      </w:pPr>
      <w:r w:rsidRPr="005055D5">
        <w:rPr>
          <w:rFonts w:ascii="Verdana" w:eastAsia="Arial" w:hAnsi="Verdana" w:cs="Arial"/>
          <w:lang w:val="es-ES" w:eastAsia="es-ES" w:bidi="es-ES"/>
        </w:rPr>
        <w:t xml:space="preserve">De conformidad con lo anterior, </w:t>
      </w:r>
      <w:bookmarkStart w:id="11" w:name="_Hlk77236420"/>
      <w:bookmarkStart w:id="12" w:name="_Hlk78818435"/>
      <w:bookmarkStart w:id="13" w:name="_Hlk75780333"/>
      <w:r w:rsidRPr="005055D5">
        <w:rPr>
          <w:rFonts w:ascii="Verdana" w:eastAsia="Arial" w:hAnsi="Verdana" w:cs="Arial"/>
          <w:lang w:val="es-ES" w:eastAsia="es-ES" w:bidi="es-ES"/>
        </w:rPr>
        <w:t xml:space="preserve">la Ley 996 de 2005 establece dos (2) tipos de restricciones en materia de contratación, las cuales coinciden parcialmente. </w:t>
      </w:r>
      <w:r w:rsidRPr="005055D5">
        <w:rPr>
          <w:rFonts w:ascii="Verdana" w:eastAsia="Arial" w:hAnsi="Verdana" w:cs="Arial"/>
          <w:i/>
          <w:lang w:val="es-ES" w:eastAsia="es-ES" w:bidi="es-ES"/>
        </w:rPr>
        <w:t>En primer lugar</w:t>
      </w:r>
      <w:r w:rsidRPr="005055D5">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w:t>
      </w:r>
      <w:r w:rsidRPr="005055D5">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5055D5">
        <w:rPr>
          <w:rFonts w:ascii="Verdana" w:eastAsia="Arial" w:hAnsi="Verdana" w:cs="Arial"/>
          <w:i/>
          <w:lang w:val="es-ES" w:eastAsia="es-ES" w:bidi="es-ES"/>
        </w:rPr>
        <w:t>En segundo lugar</w:t>
      </w:r>
      <w:r w:rsidRPr="005055D5">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1"/>
    </w:p>
    <w:bookmarkEnd w:id="12"/>
    <w:p w14:paraId="1253604A" w14:textId="77777777" w:rsidR="00987812" w:rsidRPr="005055D5" w:rsidRDefault="00987812" w:rsidP="00987812">
      <w:pPr>
        <w:spacing w:after="120" w:line="276" w:lineRule="auto"/>
        <w:ind w:firstLine="709"/>
        <w:jc w:val="both"/>
        <w:rPr>
          <w:rFonts w:ascii="Verdana" w:eastAsia="Arial" w:hAnsi="Verdana" w:cs="Arial"/>
          <w:lang w:val="es-ES" w:eastAsia="es-ES" w:bidi="es-ES"/>
        </w:rPr>
      </w:pPr>
      <w:r w:rsidRPr="005055D5">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3"/>
    <w:p w14:paraId="23A1A86A" w14:textId="77777777" w:rsidR="00987812" w:rsidRPr="005055D5" w:rsidRDefault="00987812" w:rsidP="00987812">
      <w:pPr>
        <w:spacing w:after="0" w:line="276" w:lineRule="auto"/>
        <w:ind w:firstLine="709"/>
        <w:jc w:val="both"/>
        <w:rPr>
          <w:rFonts w:ascii="Verdana" w:eastAsia="Arial" w:hAnsi="Verdana" w:cs="Arial"/>
          <w:lang w:val="es-ES" w:eastAsia="es-ES" w:bidi="es-ES"/>
        </w:rPr>
      </w:pPr>
      <w:r w:rsidRPr="005055D5">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0BC6A076" w14:textId="77777777" w:rsidR="00987812" w:rsidRPr="00DA73EA" w:rsidRDefault="00987812" w:rsidP="00987812">
      <w:pPr>
        <w:spacing w:after="120" w:line="276" w:lineRule="auto"/>
        <w:ind w:firstLine="709"/>
        <w:jc w:val="both"/>
        <w:rPr>
          <w:rFonts w:ascii="Verdana" w:hAnsi="Verdana" w:cs="Arial"/>
          <w:bCs/>
          <w:lang w:eastAsia="x-none"/>
        </w:rPr>
      </w:pPr>
      <w:r w:rsidRPr="00DA73EA">
        <w:rPr>
          <w:rFonts w:ascii="Verdana" w:eastAsia="Times New Roman" w:hAnsi="Verdana" w:cs="Arial"/>
          <w:bCs/>
          <w:lang w:val="es-MX" w:eastAsia="x-none"/>
        </w:rPr>
        <w:t xml:space="preserve">Teniendo en cuenta lo expuesto, </w:t>
      </w:r>
      <w:r w:rsidRPr="00DA73EA">
        <w:rPr>
          <w:rFonts w:ascii="Verdana" w:hAnsi="Verdana" w:cs="Arial"/>
          <w:bCs/>
          <w:lang w:eastAsia="x-none"/>
        </w:rPr>
        <w:t xml:space="preserve">durante la vigencia de las restricciones consagradas en el parágrafo del artículo 38 de la </w:t>
      </w:r>
      <w:r w:rsidRPr="00DA73EA">
        <w:rPr>
          <w:rFonts w:ascii="Verdana" w:eastAsia="Times New Roman" w:hAnsi="Verdana" w:cs="Arial"/>
          <w:bCs/>
          <w:lang w:eastAsia="x-none"/>
        </w:rPr>
        <w:t>Ley 996 de 2005</w:t>
      </w:r>
      <w:r w:rsidRPr="00DA73EA">
        <w:rPr>
          <w:rFonts w:ascii="Verdana" w:hAnsi="Verdana" w:cs="Arial"/>
          <w:bCs/>
          <w:lang w:eastAsia="x-none"/>
        </w:rPr>
        <w:t xml:space="preserve">, suscribir convenios interadministrativos que se originen en el desarrollo del objeto de un convenio principal cuando su formalización implique la celebración de un nuevo acuerdo para la ejecución de recursos públicos por parte de autoridades del orden territorial, en tanto la disposición establece una prohibición expresa, objetiva y temporal de </w:t>
      </w:r>
      <w:r w:rsidRPr="00DA73EA">
        <w:rPr>
          <w:rFonts w:ascii="Verdana" w:eastAsia="Times New Roman" w:hAnsi="Verdana" w:cs="Arial"/>
          <w:bCs/>
          <w:lang w:eastAsia="x-none"/>
        </w:rPr>
        <w:t>celebrar convenios interadministrativos</w:t>
      </w:r>
      <w:r w:rsidRPr="00DA73EA">
        <w:rPr>
          <w:rFonts w:ascii="Verdana" w:hAnsi="Verdana" w:cs="Arial"/>
          <w:bCs/>
          <w:lang w:eastAsia="x-none"/>
        </w:rPr>
        <w:t xml:space="preserve"> dentro de los cuatro (4) meses anteriores a cualquier elección, sin efectuar distinción alguna </w:t>
      </w:r>
      <w:r w:rsidRPr="00DA73EA">
        <w:rPr>
          <w:rFonts w:ascii="Verdana" w:hAnsi="Verdana" w:cs="Arial"/>
          <w:bCs/>
          <w:lang w:eastAsia="x-none"/>
        </w:rPr>
        <w:lastRenderedPageBreak/>
        <w:t>respecto de su modalidad, denominación o conexidad con acuerdos previamente celebrados.</w:t>
      </w:r>
    </w:p>
    <w:p w14:paraId="5E0679F3" w14:textId="77777777" w:rsidR="00987812" w:rsidRPr="00DA73EA" w:rsidRDefault="00987812" w:rsidP="00987812">
      <w:pPr>
        <w:spacing w:after="120" w:line="276" w:lineRule="auto"/>
        <w:ind w:firstLine="709"/>
        <w:jc w:val="both"/>
        <w:rPr>
          <w:rFonts w:ascii="Verdana" w:eastAsia="Times New Roman" w:hAnsi="Verdana" w:cs="Arial"/>
          <w:bCs/>
          <w:lang w:eastAsia="x-none"/>
        </w:rPr>
      </w:pPr>
      <w:r w:rsidRPr="00DA73EA">
        <w:rPr>
          <w:rFonts w:ascii="Verdana" w:eastAsia="Times New Roman" w:hAnsi="Verdana" w:cs="Arial"/>
          <w:bCs/>
          <w:lang w:eastAsia="x-none"/>
        </w:rPr>
        <w:t>Dicha restricción encuentra fundamento en los artículos 2, 13, 127 y 209 de la Constitución Política, orientados a garantizar la igualdad en la contienda electoral, la moralidad administrativa, la transparencia en el manejo de los recursos públicos y la neutralidad de la función administrativa. La Corte Constitucional ha sostenido que el régimen de garantías constituye un instrumento legítimo y razonable para preservar el equilibrio democrático, evitando que la contratación estatal se utilice como mecanismo de favorecimiento político o de incidencia indebida en los procesos electorales.</w:t>
      </w:r>
    </w:p>
    <w:p w14:paraId="39814A20" w14:textId="77777777" w:rsidR="00987812" w:rsidRPr="00DA73EA" w:rsidRDefault="00987812" w:rsidP="00987812">
      <w:pPr>
        <w:spacing w:after="120" w:line="276" w:lineRule="auto"/>
        <w:ind w:firstLine="709"/>
        <w:jc w:val="both"/>
        <w:rPr>
          <w:rFonts w:ascii="Verdana" w:eastAsia="Times New Roman" w:hAnsi="Verdana" w:cs="Arial"/>
          <w:bCs/>
          <w:lang w:eastAsia="x-none"/>
        </w:rPr>
      </w:pPr>
      <w:r w:rsidRPr="00DA73EA">
        <w:rPr>
          <w:rFonts w:ascii="Verdana" w:eastAsia="Times New Roman" w:hAnsi="Verdana" w:cs="Arial"/>
          <w:bCs/>
          <w:lang w:eastAsia="x-none"/>
        </w:rPr>
        <w:t>Por su parte, el Consejo de Estado ha reiterado que las normas que establecen prohibiciones en materia electoral son de carácter excepcional y, por ende, de interpretación estricta. Esto significa que no pueden extenderse por analogía a supuestos no previstos por el legislador, pero tampoco pueden restringirse mediante interpretaciones que vacíen su contenido material o permitan su elusión a través de fórmulas formales.</w:t>
      </w:r>
      <w:r>
        <w:rPr>
          <w:rFonts w:ascii="Verdana" w:eastAsia="Times New Roman" w:hAnsi="Verdana" w:cs="Arial"/>
          <w:bCs/>
          <w:lang w:eastAsia="x-none"/>
        </w:rPr>
        <w:t xml:space="preserve"> </w:t>
      </w:r>
      <w:r w:rsidRPr="00DA73EA">
        <w:rPr>
          <w:rFonts w:ascii="Verdana" w:eastAsia="Times New Roman" w:hAnsi="Verdana" w:cs="Arial"/>
          <w:bCs/>
          <w:lang w:eastAsia="x-none"/>
        </w:rPr>
        <w:t>En ese orden, el análisis debe ser sustancial y no meramente nominal. Si el instrumento que se pretende suscribir durante el periodo preelectoral comporta una nueva manifestación de voluntad, genera obligaciones autónomas, amplía el objeto o compromete recursos públicos adicionales, se configura materialmente la celebración de un nuevo convenio interadministrativo prohibido, aun cuando se presente como desarrollo o ejecución de uno previamente celebrado.</w:t>
      </w:r>
    </w:p>
    <w:p w14:paraId="30058837" w14:textId="77777777" w:rsidR="00987812" w:rsidRDefault="00987812" w:rsidP="00987812">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cuanto al tema específico objeto de consulta, debe advertir que la restricción establecida en el parágrafo del artículo 38 de la Ley 996 de 2005 no diferencia en su ámbito de aplicación  entre convenios marco y derivados, la celebración de ambos tipos de acuerdos entre entidades estatales, en los que se contemple la ejecución de recursos públicos, debe entenderse restringida para los entes territoriales y sus entidades descentralizadas. Esto con sustento en el principio interpretativo según el cual, </w:t>
      </w:r>
      <w:r w:rsidRPr="00A06E75">
        <w:rPr>
          <w:rFonts w:ascii="Verdana" w:eastAsiaTheme="minorEastAsia" w:hAnsi="Verdana" w:cs="Arial"/>
          <w:i/>
          <w:iCs/>
          <w:lang w:eastAsia="es-CO"/>
        </w:rPr>
        <w:t>donde el legislador no distingue no le está dado al interprete hacerlo.</w:t>
      </w:r>
    </w:p>
    <w:p w14:paraId="5F47709C" w14:textId="77777777" w:rsidR="00987812" w:rsidRPr="00DA73EA" w:rsidRDefault="00987812" w:rsidP="00987812">
      <w:pPr>
        <w:spacing w:after="120" w:line="276" w:lineRule="auto"/>
        <w:ind w:firstLine="709"/>
        <w:jc w:val="both"/>
        <w:rPr>
          <w:rFonts w:ascii="Verdana" w:eastAsia="Times New Roman" w:hAnsi="Verdana" w:cs="Arial"/>
          <w:bCs/>
          <w:lang w:eastAsia="x-none"/>
        </w:rPr>
      </w:pPr>
      <w:r w:rsidRPr="00DA73EA">
        <w:rPr>
          <w:rFonts w:ascii="Verdana" w:eastAsia="Times New Roman" w:hAnsi="Verdana" w:cs="Arial"/>
          <w:bCs/>
          <w:lang w:eastAsia="x-none"/>
        </w:rPr>
        <w:t xml:space="preserve">En consecuencia, durante el término de restricción únicamente resultan admisibles las actuaciones estrictamente inherentes a la ejecución, cumplimiento, seguimiento o liquidación de convenios válidamente celebrados con anterioridad al inicio del periodo prohibido, siempre que no impliquen la </w:t>
      </w:r>
      <w:r w:rsidRPr="00DA73EA">
        <w:rPr>
          <w:rFonts w:ascii="Verdana" w:eastAsia="Times New Roman" w:hAnsi="Verdana" w:cs="Arial"/>
          <w:bCs/>
          <w:lang w:eastAsia="x-none"/>
        </w:rPr>
        <w:lastRenderedPageBreak/>
        <w:t>constitución de un nuevo vínculo jurídico ni la asunción de obligaciones adicionales que desborden el marco obligacional previamente constituido.</w:t>
      </w:r>
    </w:p>
    <w:p w14:paraId="52B7E737" w14:textId="77777777" w:rsidR="00987812" w:rsidRPr="005055D5" w:rsidRDefault="00987812" w:rsidP="00987812">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2DFAF3" w14:textId="77777777" w:rsidR="00987812" w:rsidRDefault="00987812" w:rsidP="00987812">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301318B" w14:textId="77777777" w:rsidR="00987812" w:rsidRPr="00742A56" w:rsidRDefault="00987812" w:rsidP="00987812">
      <w:pPr>
        <w:spacing w:after="0" w:line="276" w:lineRule="auto"/>
        <w:jc w:val="both"/>
        <w:rPr>
          <w:rFonts w:ascii="Verdana" w:hAnsi="Verdana" w:cs="Arial"/>
          <w:bCs/>
          <w:color w:val="000000" w:themeColor="text1"/>
        </w:rPr>
      </w:pPr>
    </w:p>
    <w:bookmarkEnd w:id="2"/>
    <w:bookmarkEnd w:id="3"/>
    <w:p w14:paraId="7FD65F4F" w14:textId="77777777" w:rsidR="00987812" w:rsidRPr="00115E3D" w:rsidRDefault="00987812" w:rsidP="009878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5E135448" w14:textId="77777777" w:rsidR="00987812" w:rsidRPr="00115E3D" w:rsidRDefault="00987812" w:rsidP="0098781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87812" w:rsidRPr="00115E3D" w14:paraId="52BA7AD0" w14:textId="77777777" w:rsidTr="00241FBC">
        <w:trPr>
          <w:trHeight w:val="335"/>
        </w:trPr>
        <w:tc>
          <w:tcPr>
            <w:tcW w:w="8647" w:type="dxa"/>
          </w:tcPr>
          <w:p w14:paraId="26952E4B"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Constitución Política de 1991, artículos 69, 127, 190, 197 y 286.</w:t>
            </w:r>
          </w:p>
          <w:p w14:paraId="441DA872"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Ley 80 de 1993, artículos 2, 39 y 41.</w:t>
            </w:r>
          </w:p>
          <w:p w14:paraId="40D3F5E8"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 xml:space="preserve">Ley 489 de 1998, artículo 95. </w:t>
            </w:r>
          </w:p>
          <w:p w14:paraId="1E8D8C9E"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Ley 996 de 2005, artículos 33 y 38.</w:t>
            </w:r>
          </w:p>
          <w:p w14:paraId="375839E1"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Ley 1150 de 2007, artículo 2.</w:t>
            </w:r>
          </w:p>
          <w:p w14:paraId="4EB13438"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Código Civil, artículos 27, 31 y 1501.</w:t>
            </w:r>
          </w:p>
          <w:p w14:paraId="7F2D2D1E" w14:textId="77777777" w:rsidR="00987812" w:rsidRDefault="00987812" w:rsidP="0098781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 xml:space="preserve">Decreto 1077 de 2015, artículos </w:t>
            </w:r>
            <w:r w:rsidRPr="00C9323E">
              <w:rPr>
                <w:rFonts w:ascii="Verdana" w:hAnsi="Verdana" w:cs="Arial"/>
                <w:bCs/>
              </w:rPr>
              <w:t>2.3.4.4.8. y 2.3.4.4.11.</w:t>
            </w:r>
          </w:p>
          <w:p w14:paraId="0328E3DE" w14:textId="77777777" w:rsidR="00987812" w:rsidRPr="00D81159" w:rsidRDefault="00987812" w:rsidP="00241FBC">
            <w:pPr>
              <w:spacing w:line="276" w:lineRule="auto"/>
              <w:ind w:left="615"/>
              <w:jc w:val="both"/>
              <w:rPr>
                <w:rFonts w:ascii="Verdana" w:hAnsi="Verdana" w:cs="Arial"/>
              </w:rPr>
            </w:pPr>
          </w:p>
        </w:tc>
      </w:tr>
    </w:tbl>
    <w:p w14:paraId="57065C20" w14:textId="77777777" w:rsidR="00987812" w:rsidRPr="00115E3D" w:rsidRDefault="00987812" w:rsidP="00987812">
      <w:pPr>
        <w:widowControl w:val="0"/>
        <w:autoSpaceDE w:val="0"/>
        <w:autoSpaceDN w:val="0"/>
        <w:spacing w:after="0" w:line="276" w:lineRule="auto"/>
        <w:jc w:val="both"/>
        <w:rPr>
          <w:rFonts w:ascii="Verdana" w:hAnsi="Verdana" w:cs="Arial"/>
          <w:color w:val="000000" w:themeColor="text1"/>
        </w:rPr>
      </w:pPr>
    </w:p>
    <w:p w14:paraId="2A090AF2" w14:textId="77777777" w:rsidR="00987812" w:rsidRPr="00115E3D" w:rsidRDefault="00987812" w:rsidP="009878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7F5BF28" w14:textId="77777777" w:rsidR="00987812" w:rsidRPr="00115E3D" w:rsidRDefault="00987812" w:rsidP="00987812">
      <w:pPr>
        <w:widowControl w:val="0"/>
        <w:autoSpaceDE w:val="0"/>
        <w:autoSpaceDN w:val="0"/>
        <w:spacing w:after="0" w:line="276" w:lineRule="auto"/>
        <w:jc w:val="both"/>
        <w:rPr>
          <w:rFonts w:ascii="Verdana" w:hAnsi="Verdana" w:cs="Arial"/>
          <w:color w:val="000000" w:themeColor="text1"/>
        </w:rPr>
      </w:pPr>
    </w:p>
    <w:p w14:paraId="69B321D1" w14:textId="77777777" w:rsidR="00987812" w:rsidRPr="00B515A7" w:rsidRDefault="00987812" w:rsidP="00987812">
      <w:pPr>
        <w:tabs>
          <w:tab w:val="left" w:pos="142"/>
          <w:tab w:val="left" w:pos="284"/>
        </w:tabs>
        <w:spacing w:after="0" w:line="276" w:lineRule="auto"/>
        <w:jc w:val="both"/>
        <w:rPr>
          <w:rFonts w:ascii="Verdana" w:eastAsia="Century Gothic" w:hAnsi="Verdana" w:cs="Century Gothic"/>
          <w:b/>
          <w:bCs/>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 y concepto C-013 del 16 de febrero de 2026</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8254949" w14:textId="77777777" w:rsidR="00987812" w:rsidRPr="00185EE9" w:rsidRDefault="00987812" w:rsidP="00987812">
      <w:pPr>
        <w:spacing w:after="0" w:line="256" w:lineRule="auto"/>
        <w:jc w:val="both"/>
        <w:rPr>
          <w:rFonts w:ascii="Verdana" w:eastAsia="Calibri" w:hAnsi="Verdana" w:cs="Times New Roman"/>
        </w:rPr>
      </w:pPr>
      <w:hyperlink r:id="rId12" w:history="1">
        <w:r w:rsidRPr="00F14AAD">
          <w:rPr>
            <w:rStyle w:val="Hipervnculo"/>
            <w:rFonts w:ascii="Verdana" w:eastAsia="Calibri" w:hAnsi="Verdana" w:cs="Times New Roman"/>
          </w:rPr>
          <w:t>https://relatoria.colombiacompra.gov.co/busqueda/conceptos</w:t>
        </w:r>
      </w:hyperlink>
      <w:r w:rsidRPr="00185EE9">
        <w:rPr>
          <w:rFonts w:ascii="Verdana" w:eastAsia="Calibri" w:hAnsi="Verdana" w:cs="Times New Roman"/>
        </w:rPr>
        <w:t xml:space="preserve">. </w:t>
      </w:r>
    </w:p>
    <w:p w14:paraId="697940BF" w14:textId="77777777" w:rsidR="00987812" w:rsidRPr="00115E3D" w:rsidRDefault="00987812" w:rsidP="0098781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6BB5C74F" w14:textId="77777777" w:rsidR="00987812" w:rsidRPr="00115E3D" w:rsidRDefault="00987812" w:rsidP="00987812">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37AC1F6E" w14:textId="77777777" w:rsidR="00987812" w:rsidRPr="00115E3D" w:rsidRDefault="00987812" w:rsidP="00987812">
      <w:pPr>
        <w:spacing w:after="0" w:line="240" w:lineRule="auto"/>
        <w:jc w:val="both"/>
        <w:rPr>
          <w:rFonts w:ascii="Verdana" w:hAnsi="Verdana"/>
          <w:color w:val="000000" w:themeColor="text1"/>
        </w:rPr>
      </w:pPr>
    </w:p>
    <w:p w14:paraId="613E9101" w14:textId="77777777" w:rsidR="00987812" w:rsidRPr="00115E3D" w:rsidRDefault="00987812" w:rsidP="00987812">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84DCF98" w14:textId="77777777" w:rsidR="00987812" w:rsidRPr="00115E3D" w:rsidRDefault="00987812" w:rsidP="00987812">
      <w:pPr>
        <w:spacing w:after="0" w:line="240" w:lineRule="auto"/>
        <w:jc w:val="both"/>
        <w:rPr>
          <w:rFonts w:ascii="Verdana" w:hAnsi="Verdana"/>
          <w:color w:val="000000" w:themeColor="text1"/>
        </w:rPr>
      </w:pPr>
      <w:r w:rsidRPr="00115E3D">
        <w:rPr>
          <w:rFonts w:ascii="Verdana" w:hAnsi="Verdana"/>
          <w:color w:val="000000" w:themeColor="text1"/>
        </w:rPr>
        <w:lastRenderedPageBreak/>
        <w:t xml:space="preserve">Facebook: </w:t>
      </w:r>
      <w:r w:rsidRPr="00115E3D">
        <w:rPr>
          <w:rStyle w:val="Hipervnculo"/>
          <w:rFonts w:ascii="Verdana" w:hAnsi="Verdana"/>
          <w:color w:val="000000" w:themeColor="text1"/>
        </w:rPr>
        <w:t>ColombiaCompraEficiente</w:t>
      </w:r>
    </w:p>
    <w:p w14:paraId="1C21DA34" w14:textId="77777777" w:rsidR="00987812" w:rsidRPr="00115E3D" w:rsidRDefault="00987812" w:rsidP="00987812">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59BCCA84" w14:textId="77777777" w:rsidR="00987812" w:rsidRPr="00115E3D" w:rsidRDefault="00987812" w:rsidP="00987812">
      <w:pPr>
        <w:widowControl w:val="0"/>
        <w:autoSpaceDE w:val="0"/>
        <w:autoSpaceDN w:val="0"/>
        <w:spacing w:after="0" w:line="276" w:lineRule="auto"/>
        <w:jc w:val="both"/>
        <w:rPr>
          <w:rFonts w:ascii="Verdana" w:hAnsi="Verdana" w:cs="Arial"/>
          <w:color w:val="000000" w:themeColor="text1"/>
        </w:rPr>
      </w:pPr>
    </w:p>
    <w:p w14:paraId="3AB20AB0" w14:textId="77777777" w:rsidR="00987812" w:rsidRPr="00115E3D" w:rsidRDefault="00987812" w:rsidP="00987812">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B50C885" w14:textId="77777777" w:rsidR="00987812" w:rsidRPr="00115E3D" w:rsidRDefault="00987812" w:rsidP="00987812">
      <w:pPr>
        <w:widowControl w:val="0"/>
        <w:autoSpaceDE w:val="0"/>
        <w:autoSpaceDN w:val="0"/>
        <w:spacing w:after="0" w:line="276" w:lineRule="auto"/>
        <w:jc w:val="both"/>
        <w:rPr>
          <w:rFonts w:ascii="Verdana" w:hAnsi="Verdana" w:cs="Arial"/>
          <w:color w:val="000000" w:themeColor="text1"/>
        </w:rPr>
      </w:pPr>
    </w:p>
    <w:p w14:paraId="45297434" w14:textId="77777777" w:rsidR="00987812" w:rsidRPr="00115E3D" w:rsidRDefault="00987812" w:rsidP="00987812">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41DFDDCC" w:rsidR="00C15139" w:rsidRPr="000E2B93" w:rsidRDefault="002023B4" w:rsidP="002023B4">
      <w:pPr>
        <w:spacing w:after="0" w:line="240" w:lineRule="auto"/>
        <w:jc w:val="center"/>
        <w:textAlignment w:val="baseline"/>
        <w:rPr>
          <w:rFonts w:ascii="Verdana" w:eastAsia="Verdana" w:hAnsi="Verdana" w:cs="Verdana"/>
          <w:lang w:eastAsia="es-CO"/>
        </w:rPr>
      </w:pPr>
      <w:r>
        <w:rPr>
          <w:noProof/>
        </w:rPr>
        <w:drawing>
          <wp:inline distT="0" distB="0" distL="0" distR="0" wp14:anchorId="5FB831B9" wp14:editId="2E185D49">
            <wp:extent cx="3850005" cy="1652740"/>
            <wp:effectExtent l="0" t="0" r="0" b="5080"/>
            <wp:docPr id="1192063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59640" cy="1656876"/>
                    </a:xfrm>
                    <a:prstGeom prst="rect">
                      <a:avLst/>
                    </a:prstGeom>
                    <a:noFill/>
                    <a:ln>
                      <a:noFill/>
                    </a:ln>
                  </pic:spPr>
                </pic:pic>
              </a:graphicData>
            </a:graphic>
          </wp:inline>
        </w:drawing>
      </w:r>
    </w:p>
    <w:p w14:paraId="6DEE99E4" w14:textId="7F595226" w:rsidR="2C4D2425" w:rsidRDefault="2C4D2425" w:rsidP="2C4D2425">
      <w:pPr>
        <w:spacing w:after="0" w:line="240" w:lineRule="auto"/>
        <w:rPr>
          <w:rFonts w:ascii="Verdana" w:eastAsia="Verdana" w:hAnsi="Verdana" w:cs="Verdana"/>
          <w:lang w:eastAsia="es-CO"/>
        </w:rPr>
      </w:pPr>
    </w:p>
    <w:p w14:paraId="5C490B2B" w14:textId="77777777" w:rsidR="002023B4" w:rsidRDefault="002023B4" w:rsidP="2C4D2425">
      <w:pPr>
        <w:spacing w:after="0" w:line="240" w:lineRule="auto"/>
        <w:rPr>
          <w:rFonts w:ascii="Verdana" w:eastAsia="Verdana" w:hAnsi="Verdana" w:cs="Verdana"/>
          <w:lang w:eastAsia="es-CO"/>
        </w:rPr>
      </w:pPr>
    </w:p>
    <w:p w14:paraId="64F7EB55" w14:textId="77777777" w:rsidR="002023B4" w:rsidRDefault="002023B4" w:rsidP="2C4D2425">
      <w:pPr>
        <w:spacing w:after="0" w:line="240" w:lineRule="auto"/>
        <w:rPr>
          <w:rFonts w:ascii="Verdana" w:eastAsia="Verdana" w:hAnsi="Verdana" w:cs="Verdana"/>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87812" w:rsidRPr="00115E3D" w14:paraId="66EE5F35" w14:textId="77777777" w:rsidTr="00241FBC">
        <w:trPr>
          <w:trHeight w:val="315"/>
        </w:trPr>
        <w:tc>
          <w:tcPr>
            <w:tcW w:w="893" w:type="dxa"/>
            <w:vAlign w:val="center"/>
            <w:hideMark/>
          </w:tcPr>
          <w:p w14:paraId="3595FA9A" w14:textId="77777777" w:rsidR="00987812" w:rsidRPr="00115E3D" w:rsidRDefault="00987812" w:rsidP="00241FB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BBA6C2" w14:textId="77777777" w:rsidR="00987812" w:rsidRPr="00115E3D" w:rsidRDefault="00987812" w:rsidP="00241FBC">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1AF93EE4" w14:textId="77777777" w:rsidR="00987812" w:rsidRPr="00115E3D" w:rsidRDefault="00987812" w:rsidP="00241FBC">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987812" w:rsidRPr="00115E3D" w14:paraId="51565F49" w14:textId="77777777" w:rsidTr="00241FBC">
        <w:trPr>
          <w:trHeight w:val="330"/>
        </w:trPr>
        <w:tc>
          <w:tcPr>
            <w:tcW w:w="893" w:type="dxa"/>
            <w:vAlign w:val="center"/>
            <w:hideMark/>
          </w:tcPr>
          <w:p w14:paraId="61C75ECD" w14:textId="77777777" w:rsidR="00987812" w:rsidRPr="00115E3D" w:rsidRDefault="00987812" w:rsidP="00241FB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8CC38D" w14:textId="77777777" w:rsidR="00987812" w:rsidRPr="00B37171" w:rsidRDefault="00987812" w:rsidP="00241FB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Adriana Katerine López Rodriguez</w:t>
            </w:r>
          </w:p>
          <w:p w14:paraId="0B36D357" w14:textId="77777777" w:rsidR="00987812" w:rsidRPr="00115E3D" w:rsidRDefault="00987812" w:rsidP="00241FBC">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987812" w:rsidRPr="00115E3D" w14:paraId="270D7F2D" w14:textId="77777777" w:rsidTr="00241FBC">
        <w:trPr>
          <w:trHeight w:val="300"/>
        </w:trPr>
        <w:tc>
          <w:tcPr>
            <w:tcW w:w="893" w:type="dxa"/>
            <w:vAlign w:val="center"/>
          </w:tcPr>
          <w:p w14:paraId="79925393" w14:textId="77777777" w:rsidR="00987812" w:rsidRPr="00115E3D" w:rsidRDefault="00987812" w:rsidP="00241FB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9D295B" w14:textId="77777777" w:rsidR="00987812" w:rsidRPr="00115E3D" w:rsidRDefault="00987812" w:rsidP="00241FBC">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1488B1D" w14:textId="77777777" w:rsidR="00987812" w:rsidRPr="00115E3D" w:rsidRDefault="00987812" w:rsidP="00241FBC">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bookmarkEnd w:id="0"/>
    </w:tbl>
    <w:p w14:paraId="57A1B8D4" w14:textId="7CF63106" w:rsidR="2C4D2425" w:rsidRDefault="2C4D2425" w:rsidP="2C4D2425">
      <w:pPr>
        <w:spacing w:after="0" w:line="240" w:lineRule="auto"/>
        <w:rPr>
          <w:rFonts w:ascii="Verdana" w:eastAsia="Verdana" w:hAnsi="Verdana" w:cs="Verdana"/>
          <w:lang w:eastAsia="es-CO"/>
        </w:rPr>
      </w:pPr>
    </w:p>
    <w:sectPr w:rsidR="2C4D242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53FD4" w14:textId="77777777" w:rsidR="003701E9" w:rsidRDefault="003701E9" w:rsidP="004A1847">
      <w:pPr>
        <w:spacing w:after="0" w:line="240" w:lineRule="auto"/>
      </w:pPr>
      <w:r>
        <w:separator/>
      </w:r>
    </w:p>
  </w:endnote>
  <w:endnote w:type="continuationSeparator" w:id="0">
    <w:p w14:paraId="2E48A993" w14:textId="77777777" w:rsidR="003701E9" w:rsidRDefault="003701E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82C50" w14:textId="77777777" w:rsidR="003701E9" w:rsidRDefault="003701E9" w:rsidP="004A1847">
      <w:pPr>
        <w:spacing w:after="0" w:line="240" w:lineRule="auto"/>
      </w:pPr>
      <w:r>
        <w:separator/>
      </w:r>
    </w:p>
  </w:footnote>
  <w:footnote w:type="continuationSeparator" w:id="0">
    <w:p w14:paraId="1B96B8EE" w14:textId="77777777" w:rsidR="003701E9" w:rsidRDefault="003701E9" w:rsidP="004A1847">
      <w:pPr>
        <w:spacing w:after="0" w:line="240" w:lineRule="auto"/>
      </w:pPr>
      <w:r>
        <w:continuationSeparator/>
      </w:r>
    </w:p>
  </w:footnote>
  <w:footnote w:id="1">
    <w:p w14:paraId="27D89212" w14:textId="77777777" w:rsidR="00987812" w:rsidRPr="00625FFD" w:rsidRDefault="00987812" w:rsidP="00987812">
      <w:pPr>
        <w:pStyle w:val="Textonotapie"/>
        <w:ind w:firstLine="709"/>
        <w:jc w:val="both"/>
        <w:rPr>
          <w:rFonts w:ascii="Verdana" w:hAnsi="Verdana" w:cs="Arial"/>
          <w:sz w:val="14"/>
          <w:szCs w:val="14"/>
        </w:rPr>
      </w:pPr>
      <w:r w:rsidRPr="00625FFD">
        <w:rPr>
          <w:rStyle w:val="Refdenotaalpie"/>
          <w:rFonts w:ascii="Verdana" w:hAnsi="Verdana" w:cs="Arial"/>
          <w:sz w:val="14"/>
          <w:szCs w:val="14"/>
        </w:rPr>
        <w:footnoteRef/>
      </w:r>
      <w:r w:rsidRPr="00625FFD">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A688692" w14:textId="77777777" w:rsidR="00987812" w:rsidRPr="00625FFD" w:rsidRDefault="00987812" w:rsidP="00987812">
      <w:pPr>
        <w:pStyle w:val="Textonotapie"/>
        <w:ind w:firstLine="709"/>
        <w:jc w:val="both"/>
        <w:rPr>
          <w:rFonts w:ascii="Verdana" w:hAnsi="Verdana" w:cs="Arial"/>
          <w:sz w:val="14"/>
          <w:szCs w:val="14"/>
        </w:rPr>
      </w:pPr>
      <w:r w:rsidRPr="00625FFD">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6FF5432" w14:textId="77777777" w:rsidR="00987812" w:rsidRPr="004674CF" w:rsidRDefault="00987812" w:rsidP="00987812">
      <w:pPr>
        <w:pStyle w:val="Textonotapie"/>
        <w:ind w:firstLine="709"/>
        <w:jc w:val="both"/>
        <w:rPr>
          <w:rFonts w:ascii="Verdana" w:hAnsi="Verdana" w:cs="Arial"/>
          <w:sz w:val="16"/>
          <w:szCs w:val="16"/>
        </w:rPr>
      </w:pPr>
      <w:r w:rsidRPr="00625FFD">
        <w:rPr>
          <w:rStyle w:val="Refdenotaalpie"/>
          <w:rFonts w:ascii="Verdana" w:hAnsi="Verdana" w:cs="Arial"/>
          <w:sz w:val="14"/>
          <w:szCs w:val="14"/>
        </w:rPr>
        <w:footnoteRef/>
      </w:r>
      <w:r w:rsidRPr="00625FFD">
        <w:rPr>
          <w:rFonts w:ascii="Verdana" w:hAnsi="Verdana" w:cs="Arial"/>
          <w:sz w:val="14"/>
          <w:szCs w:val="14"/>
        </w:rPr>
        <w:t xml:space="preserve"> Gaceta del Congreso de la República No. 71 del 2005.</w:t>
      </w:r>
    </w:p>
  </w:footnote>
  <w:footnote w:id="3">
    <w:p w14:paraId="1C4DF51B" w14:textId="77777777" w:rsidR="00987812" w:rsidRPr="00625FFD" w:rsidRDefault="00987812" w:rsidP="00987812">
      <w:pPr>
        <w:pStyle w:val="Textonotapie"/>
        <w:ind w:firstLine="709"/>
        <w:jc w:val="both"/>
        <w:rPr>
          <w:rFonts w:ascii="Verdana" w:hAnsi="Verdana" w:cs="Arial"/>
          <w:sz w:val="14"/>
          <w:szCs w:val="14"/>
          <w:lang w:val="pt-BR"/>
        </w:rPr>
      </w:pPr>
      <w:r w:rsidRPr="00625FFD">
        <w:rPr>
          <w:rStyle w:val="Refdenotaalpie"/>
          <w:rFonts w:ascii="Verdana" w:hAnsi="Verdana" w:cs="Arial"/>
          <w:sz w:val="14"/>
          <w:szCs w:val="14"/>
        </w:rPr>
        <w:footnoteRef/>
      </w:r>
      <w:r w:rsidRPr="00625FFD">
        <w:rPr>
          <w:rFonts w:ascii="Verdana" w:hAnsi="Verdana" w:cs="Arial"/>
          <w:sz w:val="14"/>
          <w:szCs w:val="14"/>
          <w:lang w:val="pt-BR"/>
        </w:rPr>
        <w:t xml:space="preserve"> Corte Constitucional, Sentencia C- 1153 de 2005, M.P. Marco Gerardo Monroy Cabra.</w:t>
      </w:r>
    </w:p>
  </w:footnote>
  <w:footnote w:id="4">
    <w:p w14:paraId="75C0D8B5" w14:textId="77777777" w:rsidR="00987812" w:rsidRPr="0006483B" w:rsidRDefault="00987812" w:rsidP="00987812">
      <w:pPr>
        <w:pStyle w:val="Textonotapie"/>
        <w:ind w:firstLine="709"/>
        <w:jc w:val="both"/>
        <w:rPr>
          <w:rFonts w:ascii="Verdana" w:hAnsi="Verdana" w:cs="Arial"/>
          <w:sz w:val="14"/>
          <w:szCs w:val="14"/>
          <w:lang w:val="pt-BR"/>
        </w:rPr>
      </w:pPr>
      <w:r w:rsidRPr="0006483B">
        <w:rPr>
          <w:rStyle w:val="Refdenotaalpie"/>
          <w:rFonts w:ascii="Verdana" w:hAnsi="Verdana" w:cs="Arial"/>
          <w:sz w:val="14"/>
          <w:szCs w:val="14"/>
        </w:rPr>
        <w:footnoteRef/>
      </w:r>
      <w:r w:rsidRPr="0006483B">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02469809" w14:textId="77777777" w:rsidR="00987812" w:rsidRPr="0006483B" w:rsidRDefault="00987812" w:rsidP="00987812">
      <w:pPr>
        <w:pStyle w:val="Textonotapie"/>
        <w:ind w:firstLine="709"/>
        <w:jc w:val="both"/>
        <w:rPr>
          <w:rFonts w:ascii="Verdana" w:hAnsi="Verdana" w:cs="Arial"/>
          <w:sz w:val="14"/>
          <w:szCs w:val="14"/>
          <w:lang w:val="es-CO"/>
        </w:rPr>
      </w:pPr>
      <w:r w:rsidRPr="0006483B">
        <w:rPr>
          <w:rStyle w:val="Refdenotaalpie"/>
          <w:rFonts w:ascii="Verdana" w:hAnsi="Verdana" w:cs="Arial"/>
          <w:sz w:val="14"/>
          <w:szCs w:val="14"/>
        </w:rPr>
        <w:footnoteRef/>
      </w:r>
      <w:r w:rsidRPr="0006483B">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943438B" w14:textId="77777777" w:rsidR="00987812" w:rsidRPr="004674CF" w:rsidRDefault="00987812" w:rsidP="00987812">
      <w:pPr>
        <w:pStyle w:val="Textonotapie"/>
        <w:ind w:firstLine="709"/>
        <w:jc w:val="both"/>
        <w:rPr>
          <w:rFonts w:ascii="Verdana" w:hAnsi="Verdana" w:cs="Arial"/>
          <w:sz w:val="16"/>
          <w:szCs w:val="16"/>
        </w:rPr>
      </w:pPr>
      <w:r w:rsidRPr="0006483B">
        <w:rPr>
          <w:rStyle w:val="Refdenotaalpie"/>
          <w:rFonts w:ascii="Verdana" w:hAnsi="Verdana" w:cs="Arial"/>
          <w:sz w:val="14"/>
          <w:szCs w:val="14"/>
        </w:rPr>
        <w:footnoteRef/>
      </w:r>
      <w:r w:rsidRPr="0006483B">
        <w:rPr>
          <w:rFonts w:ascii="Verdana" w:hAnsi="Verdana" w:cs="Arial"/>
          <w:sz w:val="14"/>
          <w:szCs w:val="14"/>
        </w:rPr>
        <w:t xml:space="preserve"> Consejo de Estado, Sala de Consulta y Servicio Civil de fecha 24 de julio de 2013, radicado 2166, C. P. Álvaro Namén Vargas.</w:t>
      </w:r>
      <w:r w:rsidRPr="004674CF">
        <w:rPr>
          <w:rFonts w:ascii="Verdana" w:hAnsi="Verdana" w:cs="Arial"/>
          <w:sz w:val="16"/>
          <w:szCs w:val="16"/>
        </w:rPr>
        <w:t xml:space="preserve">  </w:t>
      </w:r>
    </w:p>
  </w:footnote>
  <w:footnote w:id="7">
    <w:p w14:paraId="54832721" w14:textId="77777777" w:rsidR="00987812" w:rsidRPr="004F4B4E" w:rsidRDefault="00987812" w:rsidP="00987812">
      <w:pPr>
        <w:spacing w:after="0" w:line="240" w:lineRule="auto"/>
        <w:ind w:firstLine="709"/>
        <w:jc w:val="both"/>
        <w:rPr>
          <w:rFonts w:ascii="Verdana" w:eastAsia="Times New Roman" w:hAnsi="Verdana" w:cs="Arial"/>
          <w:sz w:val="14"/>
          <w:szCs w:val="14"/>
        </w:rPr>
      </w:pPr>
      <w:r w:rsidRPr="004F4B4E">
        <w:rPr>
          <w:rStyle w:val="Refdenotaalpie"/>
          <w:rFonts w:ascii="Verdana" w:hAnsi="Verdana" w:cs="Arial"/>
          <w:sz w:val="14"/>
          <w:szCs w:val="14"/>
        </w:rPr>
        <w:footnoteRef/>
      </w:r>
      <w:r w:rsidRPr="004F4B4E">
        <w:rPr>
          <w:rFonts w:ascii="Verdana" w:hAnsi="Verdana" w:cs="Arial"/>
          <w:sz w:val="14"/>
          <w:szCs w:val="14"/>
        </w:rPr>
        <w:t xml:space="preserve"> </w:t>
      </w:r>
      <w:bookmarkStart w:id="8" w:name="33"/>
      <w:r w:rsidRPr="004F4B4E">
        <w:rPr>
          <w:rFonts w:ascii="Verdana" w:eastAsia="Calibri" w:hAnsi="Verdana" w:cs="Arial"/>
          <w:color w:val="000000"/>
          <w:sz w:val="14"/>
          <w:szCs w:val="14"/>
        </w:rPr>
        <w:t>“</w:t>
      </w:r>
      <w:r w:rsidRPr="004F4B4E">
        <w:rPr>
          <w:rFonts w:ascii="Verdana" w:eastAsia="Times New Roman" w:hAnsi="Verdana" w:cs="Arial"/>
          <w:sz w:val="14"/>
          <w:szCs w:val="14"/>
        </w:rPr>
        <w:t>Artículo 33. Restricciones a la contratación pública.</w:t>
      </w:r>
      <w:bookmarkEnd w:id="8"/>
      <w:r w:rsidRPr="004F4B4E">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46810297" w14:textId="77777777" w:rsidR="00987812" w:rsidRPr="004F4B4E" w:rsidRDefault="00987812" w:rsidP="00987812">
      <w:pPr>
        <w:spacing w:after="0" w:line="240" w:lineRule="auto"/>
        <w:ind w:firstLine="709"/>
        <w:jc w:val="both"/>
        <w:rPr>
          <w:rFonts w:ascii="Verdana" w:eastAsia="Times New Roman" w:hAnsi="Verdana" w:cs="Arial"/>
          <w:sz w:val="14"/>
          <w:szCs w:val="14"/>
        </w:rPr>
      </w:pPr>
      <w:r w:rsidRPr="004F4B4E">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F4B4E">
        <w:rPr>
          <w:rFonts w:ascii="Verdana" w:eastAsia="Calibri" w:hAnsi="Verdana" w:cs="Arial"/>
          <w:color w:val="000000"/>
          <w:sz w:val="14"/>
          <w:szCs w:val="14"/>
        </w:rPr>
        <w:t>”</w:t>
      </w:r>
      <w:r w:rsidRPr="004F4B4E">
        <w:rPr>
          <w:rFonts w:ascii="Verdana" w:eastAsia="Times New Roman" w:hAnsi="Verdana" w:cs="Arial"/>
          <w:sz w:val="14"/>
          <w:szCs w:val="14"/>
        </w:rPr>
        <w:t>.</w:t>
      </w:r>
    </w:p>
  </w:footnote>
  <w:footnote w:id="8">
    <w:p w14:paraId="5E4D4062" w14:textId="77777777" w:rsidR="00987812" w:rsidRPr="004F4B4E" w:rsidRDefault="00987812" w:rsidP="00987812">
      <w:pPr>
        <w:pStyle w:val="NormalWeb"/>
        <w:spacing w:before="0" w:beforeAutospacing="0" w:after="0" w:afterAutospacing="0"/>
        <w:ind w:firstLine="709"/>
        <w:jc w:val="both"/>
        <w:rPr>
          <w:rFonts w:ascii="Verdana" w:hAnsi="Verdana" w:cs="Arial"/>
          <w:sz w:val="14"/>
          <w:szCs w:val="14"/>
          <w:lang w:val="es-MX"/>
        </w:rPr>
      </w:pPr>
      <w:r w:rsidRPr="004F4B4E">
        <w:rPr>
          <w:rStyle w:val="Refdenotaalpie"/>
          <w:rFonts w:ascii="Verdana" w:eastAsiaTheme="majorEastAsia" w:hAnsi="Verdana" w:cs="Arial"/>
          <w:sz w:val="14"/>
          <w:szCs w:val="14"/>
        </w:rPr>
        <w:footnoteRef/>
      </w:r>
      <w:r w:rsidRPr="004F4B4E">
        <w:rPr>
          <w:rFonts w:ascii="Verdana" w:hAnsi="Verdana" w:cs="Arial"/>
          <w:sz w:val="14"/>
          <w:szCs w:val="14"/>
        </w:rPr>
        <w:t xml:space="preserve"> </w:t>
      </w:r>
      <w:bookmarkStart w:id="9" w:name="38"/>
      <w:r w:rsidRPr="004F4B4E">
        <w:rPr>
          <w:rFonts w:ascii="Verdana" w:eastAsia="Calibri" w:hAnsi="Verdana" w:cs="Arial"/>
          <w:color w:val="000000"/>
          <w:sz w:val="14"/>
          <w:szCs w:val="14"/>
        </w:rPr>
        <w:t>“</w:t>
      </w:r>
      <w:r w:rsidRPr="004F4B4E">
        <w:rPr>
          <w:rFonts w:ascii="Verdana" w:hAnsi="Verdana" w:cs="Arial"/>
          <w:sz w:val="14"/>
          <w:szCs w:val="14"/>
          <w:lang w:val="es-MX"/>
        </w:rPr>
        <w:t>Artículo 38. Prohibiciones para los servidores públicos. A los empleados del Estado les está prohibido:</w:t>
      </w:r>
      <w:bookmarkEnd w:id="9"/>
      <w:r w:rsidRPr="004F4B4E">
        <w:rPr>
          <w:rFonts w:ascii="Verdana" w:hAnsi="Verdana" w:cs="Arial"/>
          <w:sz w:val="14"/>
          <w:szCs w:val="14"/>
          <w:lang w:val="es-MX"/>
        </w:rPr>
        <w:t xml:space="preserve"> […]</w:t>
      </w:r>
    </w:p>
    <w:p w14:paraId="54ABCE29" w14:textId="77777777" w:rsidR="00987812" w:rsidRPr="004674CF" w:rsidRDefault="00987812" w:rsidP="00987812">
      <w:pPr>
        <w:pStyle w:val="NormalWeb"/>
        <w:spacing w:before="0" w:beforeAutospacing="0" w:after="0" w:afterAutospacing="0"/>
        <w:ind w:firstLine="709"/>
        <w:jc w:val="both"/>
        <w:rPr>
          <w:rFonts w:ascii="Verdana" w:hAnsi="Verdana" w:cs="Arial"/>
          <w:sz w:val="16"/>
          <w:szCs w:val="16"/>
          <w:lang w:val="es-MX"/>
        </w:rPr>
      </w:pPr>
      <w:r w:rsidRPr="004F4B4E">
        <w:rPr>
          <w:rStyle w:val="baj"/>
          <w:rFonts w:ascii="Verdana" w:hAnsi="Verdana" w:cs="Arial"/>
          <w:sz w:val="14"/>
          <w:szCs w:val="14"/>
          <w:lang w:val="es-MX"/>
        </w:rPr>
        <w:t>Parágrafo.</w:t>
      </w:r>
      <w:r w:rsidRPr="004F4B4E">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F4B4E">
        <w:rPr>
          <w:rFonts w:ascii="Verdana" w:eastAsia="Calibri" w:hAnsi="Verdana" w:cs="Arial"/>
          <w:color w:val="000000"/>
          <w:sz w:val="14"/>
          <w:szCs w:val="14"/>
        </w:rPr>
        <w:t>”</w:t>
      </w:r>
      <w:r w:rsidRPr="004F4B4E">
        <w:rPr>
          <w:rFonts w:ascii="Verdana" w:hAnsi="Verdana" w:cs="Arial"/>
          <w:sz w:val="14"/>
          <w:szCs w:val="14"/>
          <w:lang w:val="es-MX"/>
        </w:rPr>
        <w:t>.</w:t>
      </w:r>
    </w:p>
  </w:footnote>
  <w:footnote w:id="9">
    <w:p w14:paraId="5E10DD93" w14:textId="77777777" w:rsidR="00987812" w:rsidRPr="004674CF" w:rsidRDefault="00987812" w:rsidP="00987812">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footnote>
  <w:footnote w:id="10">
    <w:p w14:paraId="481132B5" w14:textId="77777777" w:rsidR="00987812" w:rsidRPr="004674CF" w:rsidRDefault="00987812" w:rsidP="00987812">
      <w:pPr>
        <w:spacing w:after="0" w:line="240" w:lineRule="auto"/>
        <w:ind w:left="100" w:right="244" w:firstLine="608"/>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232698451">
    <w:abstractNumId w:val="0"/>
  </w:num>
  <w:num w:numId="17" w16cid:durableId="11063917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BE1"/>
    <w:rsid w:val="00061B2A"/>
    <w:rsid w:val="00065154"/>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23B4"/>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01E9"/>
    <w:rsid w:val="00374F5E"/>
    <w:rsid w:val="00377E3E"/>
    <w:rsid w:val="003A779E"/>
    <w:rsid w:val="003D0F4D"/>
    <w:rsid w:val="003D5B0D"/>
    <w:rsid w:val="003E0499"/>
    <w:rsid w:val="003E2E53"/>
    <w:rsid w:val="003E4F80"/>
    <w:rsid w:val="003E6439"/>
    <w:rsid w:val="003F23AD"/>
    <w:rsid w:val="003F3941"/>
    <w:rsid w:val="00406575"/>
    <w:rsid w:val="00414C74"/>
    <w:rsid w:val="0042722E"/>
    <w:rsid w:val="0044528D"/>
    <w:rsid w:val="00466E39"/>
    <w:rsid w:val="004A1847"/>
    <w:rsid w:val="004A305D"/>
    <w:rsid w:val="004F21C4"/>
    <w:rsid w:val="004F685F"/>
    <w:rsid w:val="00536345"/>
    <w:rsid w:val="005566E8"/>
    <w:rsid w:val="00574867"/>
    <w:rsid w:val="00591460"/>
    <w:rsid w:val="005A65E0"/>
    <w:rsid w:val="005C3777"/>
    <w:rsid w:val="005C5CDC"/>
    <w:rsid w:val="005D476C"/>
    <w:rsid w:val="006200BF"/>
    <w:rsid w:val="006219F8"/>
    <w:rsid w:val="006302F7"/>
    <w:rsid w:val="00635187"/>
    <w:rsid w:val="00646B9F"/>
    <w:rsid w:val="00665D70"/>
    <w:rsid w:val="0068171B"/>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7812"/>
    <w:rsid w:val="009A0DFA"/>
    <w:rsid w:val="009A1C6F"/>
    <w:rsid w:val="009B2D26"/>
    <w:rsid w:val="009C71FA"/>
    <w:rsid w:val="009C72E7"/>
    <w:rsid w:val="009C7F7E"/>
    <w:rsid w:val="009D3058"/>
    <w:rsid w:val="009D422C"/>
    <w:rsid w:val="009F3A13"/>
    <w:rsid w:val="00A122D3"/>
    <w:rsid w:val="00A14468"/>
    <w:rsid w:val="00A17F13"/>
    <w:rsid w:val="00A20739"/>
    <w:rsid w:val="00A23AF9"/>
    <w:rsid w:val="00A33C78"/>
    <w:rsid w:val="00A94CC6"/>
    <w:rsid w:val="00AB0ADB"/>
    <w:rsid w:val="00B00C0E"/>
    <w:rsid w:val="00B01B1A"/>
    <w:rsid w:val="00B0381D"/>
    <w:rsid w:val="00B16424"/>
    <w:rsid w:val="00B44A47"/>
    <w:rsid w:val="00B72CD3"/>
    <w:rsid w:val="00B72FFF"/>
    <w:rsid w:val="00BC3D36"/>
    <w:rsid w:val="00BD54A6"/>
    <w:rsid w:val="00BD7F72"/>
    <w:rsid w:val="00BF7425"/>
    <w:rsid w:val="00C04FB3"/>
    <w:rsid w:val="00C11D8B"/>
    <w:rsid w:val="00C1342D"/>
    <w:rsid w:val="00C15139"/>
    <w:rsid w:val="00C330EB"/>
    <w:rsid w:val="00C50D69"/>
    <w:rsid w:val="00C5365C"/>
    <w:rsid w:val="00C560E4"/>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7AC5"/>
    <w:rsid w:val="00EA0E3D"/>
    <w:rsid w:val="00EC38A7"/>
    <w:rsid w:val="00EE1AA8"/>
    <w:rsid w:val="00F23FEA"/>
    <w:rsid w:val="00F31EDC"/>
    <w:rsid w:val="00F462B3"/>
    <w:rsid w:val="00F51C0D"/>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781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87812"/>
    <w:rPr>
      <w:rFonts w:ascii="Geomanist Light" w:hAnsi="Geomanist Light"/>
      <w:lang w:val="es-ES"/>
    </w:rPr>
  </w:style>
  <w:style w:type="character" w:customStyle="1" w:styleId="baj">
    <w:name w:val="b_aj"/>
    <w:basedOn w:val="Fuentedeprrafopredeter"/>
    <w:rsid w:val="00987812"/>
  </w:style>
  <w:style w:type="character" w:customStyle="1" w:styleId="NormalWebCar">
    <w:name w:val="Normal (Web) Car"/>
    <w:link w:val="NormalWeb"/>
    <w:uiPriority w:val="99"/>
    <w:locked/>
    <w:rsid w:val="0098781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ocordoba2829@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FA48E2-7BE5-49FC-9964-F2CCC35A8E3F}"/>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18</Pages>
  <Words>5800</Words>
  <Characters>31732</Characters>
  <Application>Microsoft Office Word</Application>
  <DocSecurity>0</DocSecurity>
  <Lines>610</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7</cp:revision>
  <cp:lastPrinted>2023-01-10T21:18:00Z</cp:lastPrinted>
  <dcterms:created xsi:type="dcterms:W3CDTF">2026-03-31T11:38:00Z</dcterms:created>
  <dcterms:modified xsi:type="dcterms:W3CDTF">2026-03-31T13:35:00Z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