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C38C74" w14:textId="77777777" w:rsidR="00B95C5A" w:rsidRPr="009412B5" w:rsidRDefault="00B95C5A" w:rsidP="00B95C5A">
      <w:pPr>
        <w:snapToGrid w:val="0"/>
        <w:spacing w:after="0" w:line="240" w:lineRule="auto"/>
        <w:contextualSpacing/>
        <w:jc w:val="both"/>
        <w:rPr>
          <w:rFonts w:ascii="Verdana" w:eastAsia="Calibri" w:hAnsi="Verdana" w:cs="Arial"/>
          <w:b/>
          <w:bCs/>
          <w:lang w:val="es-ES" w:eastAsia="es-ES"/>
        </w:rPr>
      </w:pPr>
      <w:r w:rsidRPr="009412B5">
        <w:rPr>
          <w:rFonts w:ascii="Verdana" w:eastAsia="Calibri" w:hAnsi="Verdana" w:cs="Arial"/>
          <w:b/>
          <w:bCs/>
          <w:lang w:val="es-ES" w:eastAsia="es-ES"/>
        </w:rPr>
        <w:t>LEY DE GARANTÍAS ELECTORALES – Finalidad</w:t>
      </w:r>
    </w:p>
    <w:p w14:paraId="26F02385" w14:textId="77777777" w:rsidR="00B95C5A" w:rsidRDefault="00B95C5A" w:rsidP="00B95C5A">
      <w:pPr>
        <w:tabs>
          <w:tab w:val="left" w:pos="426"/>
        </w:tabs>
        <w:snapToGrid w:val="0"/>
        <w:spacing w:after="0" w:line="240" w:lineRule="auto"/>
        <w:contextualSpacing/>
        <w:jc w:val="both"/>
        <w:rPr>
          <w:rFonts w:ascii="Verdana" w:eastAsia="Times New Roman" w:hAnsi="Verdana" w:cs="Arial"/>
          <w:sz w:val="20"/>
          <w:szCs w:val="20"/>
          <w:lang w:val="es-ES" w:eastAsia="es-CO"/>
        </w:rPr>
      </w:pPr>
    </w:p>
    <w:p w14:paraId="658F75F0" w14:textId="77777777" w:rsidR="00B95C5A" w:rsidRPr="009412B5" w:rsidRDefault="00B95C5A" w:rsidP="00B95C5A">
      <w:pPr>
        <w:tabs>
          <w:tab w:val="left" w:pos="426"/>
        </w:tabs>
        <w:snapToGrid w:val="0"/>
        <w:spacing w:after="0" w:line="240" w:lineRule="auto"/>
        <w:contextualSpacing/>
        <w:jc w:val="both"/>
        <w:rPr>
          <w:rFonts w:ascii="Verdana" w:eastAsia="Calibri" w:hAnsi="Verdana" w:cs="Arial"/>
          <w:sz w:val="20"/>
          <w:szCs w:val="20"/>
          <w:lang w:val="es-ES"/>
        </w:rPr>
      </w:pPr>
      <w:r w:rsidRPr="009412B5">
        <w:rPr>
          <w:rFonts w:ascii="Verdana" w:eastAsia="Times New Roman" w:hAnsi="Verdana" w:cs="Arial"/>
          <w:sz w:val="20"/>
          <w:szCs w:val="20"/>
          <w:lang w:val="es-ES" w:eastAsia="es-CO"/>
        </w:rPr>
        <w:t>En el mismo sentido, la Ley 996 de 2005, conocida como “Ley de Garantías Electorales”, se suma al andamiaje constitucional y legal que busca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w:t>
      </w:r>
      <w:r w:rsidRPr="009412B5">
        <w:rPr>
          <w:rFonts w:ascii="Verdana" w:eastAsia="Calibri" w:hAnsi="Verdana" w:cs="Arial"/>
          <w:sz w:val="20"/>
          <w:szCs w:val="20"/>
          <w:lang w:val="es-ES"/>
        </w:rPr>
        <w:t xml:space="preserve"> </w:t>
      </w:r>
    </w:p>
    <w:p w14:paraId="4BAC631C" w14:textId="77777777" w:rsidR="00B95C5A" w:rsidRPr="009412B5" w:rsidRDefault="00B95C5A" w:rsidP="00B95C5A">
      <w:pPr>
        <w:snapToGrid w:val="0"/>
        <w:spacing w:after="0" w:line="240" w:lineRule="auto"/>
        <w:contextualSpacing/>
        <w:jc w:val="both"/>
        <w:rPr>
          <w:rFonts w:ascii="Verdana" w:eastAsia="Calibri" w:hAnsi="Verdana" w:cs="Arial"/>
          <w:b/>
          <w:bCs/>
          <w:sz w:val="20"/>
          <w:szCs w:val="20"/>
          <w:lang w:val="es-ES" w:eastAsia="es-ES"/>
        </w:rPr>
      </w:pPr>
    </w:p>
    <w:p w14:paraId="2F630ABB" w14:textId="77777777" w:rsidR="00B95C5A" w:rsidRPr="009412B5" w:rsidRDefault="00B95C5A" w:rsidP="00B95C5A">
      <w:pPr>
        <w:snapToGrid w:val="0"/>
        <w:spacing w:after="0" w:line="240" w:lineRule="auto"/>
        <w:contextualSpacing/>
        <w:jc w:val="both"/>
        <w:rPr>
          <w:rFonts w:ascii="Verdana" w:eastAsia="Calibri" w:hAnsi="Verdana" w:cs="Arial"/>
          <w:b/>
          <w:bCs/>
          <w:lang w:val="es-ES" w:eastAsia="es-ES"/>
        </w:rPr>
      </w:pPr>
      <w:r w:rsidRPr="009412B5">
        <w:rPr>
          <w:rFonts w:ascii="Verdana" w:eastAsia="Calibri" w:hAnsi="Verdana" w:cs="Arial"/>
          <w:b/>
          <w:bCs/>
          <w:lang w:val="es-ES" w:eastAsia="es-ES"/>
        </w:rPr>
        <w:t>LEY DE GARANTÍAS ELECTORALES ‒ Restricciones ‒ Contratación ‒ Tipos de elección</w:t>
      </w:r>
    </w:p>
    <w:p w14:paraId="059F6E72" w14:textId="77777777" w:rsidR="00B95C5A" w:rsidRDefault="00B95C5A" w:rsidP="00B95C5A">
      <w:pPr>
        <w:snapToGrid w:val="0"/>
        <w:spacing w:after="0" w:line="240" w:lineRule="auto"/>
        <w:contextualSpacing/>
        <w:jc w:val="both"/>
        <w:rPr>
          <w:rFonts w:ascii="Verdana" w:eastAsia="Arial" w:hAnsi="Verdana" w:cs="Arial"/>
          <w:sz w:val="20"/>
          <w:szCs w:val="20"/>
          <w:lang w:val="es-ES" w:eastAsia="es-ES" w:bidi="es-ES"/>
        </w:rPr>
      </w:pPr>
    </w:p>
    <w:p w14:paraId="505CBBF8" w14:textId="77777777" w:rsidR="00B95C5A" w:rsidRPr="009412B5" w:rsidRDefault="00B95C5A" w:rsidP="00B95C5A">
      <w:pPr>
        <w:snapToGrid w:val="0"/>
        <w:spacing w:after="0" w:line="240" w:lineRule="auto"/>
        <w:contextualSpacing/>
        <w:jc w:val="both"/>
        <w:rPr>
          <w:rFonts w:ascii="Verdana" w:eastAsia="Arial" w:hAnsi="Verdana" w:cs="Arial"/>
          <w:sz w:val="20"/>
          <w:szCs w:val="20"/>
          <w:lang w:val="es-ES" w:eastAsia="es-ES" w:bidi="es-ES"/>
        </w:rPr>
      </w:pPr>
      <w:r w:rsidRPr="009412B5">
        <w:rPr>
          <w:rFonts w:ascii="Verdana" w:eastAsia="Arial" w:hAnsi="Verdana" w:cs="Arial"/>
          <w:sz w:val="20"/>
          <w:szCs w:val="20"/>
          <w:lang w:val="es-ES" w:eastAsia="es-ES" w:bidi="es-ES"/>
        </w:rPr>
        <w:t xml:space="preserve">De conformidad con lo anterior, la Ley 996 de 2005 establece dos (2) tipos de restricciones en materia de contratación, las cuales coinciden parcialmente. </w:t>
      </w:r>
      <w:r w:rsidRPr="009412B5">
        <w:rPr>
          <w:rFonts w:ascii="Verdana" w:eastAsia="Arial" w:hAnsi="Verdana" w:cs="Arial"/>
          <w:i/>
          <w:sz w:val="20"/>
          <w:szCs w:val="20"/>
          <w:lang w:val="es-ES" w:eastAsia="es-ES" w:bidi="es-ES"/>
        </w:rPr>
        <w:t>En primer lugar</w:t>
      </w:r>
      <w:r w:rsidRPr="009412B5">
        <w:rPr>
          <w:rFonts w:ascii="Verdana" w:eastAsia="Arial" w:hAnsi="Verdana" w:cs="Arial"/>
          <w:sz w:val="20"/>
          <w:szCs w:val="20"/>
          <w:lang w:val="es-ES" w:eastAsia="es-ES" w:bidi="es-ES"/>
        </w:rPr>
        <w:t xml:space="preserve">, la del artículo 33 que aplica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9412B5">
        <w:rPr>
          <w:rFonts w:ascii="Verdana" w:eastAsia="Arial" w:hAnsi="Verdana" w:cs="Arial"/>
          <w:i/>
          <w:sz w:val="20"/>
          <w:szCs w:val="20"/>
          <w:lang w:val="es-ES" w:eastAsia="es-ES" w:bidi="es-ES"/>
        </w:rPr>
        <w:t>En segundo lugar</w:t>
      </w:r>
      <w:r w:rsidRPr="009412B5">
        <w:rPr>
          <w:rFonts w:ascii="Verdana" w:eastAsia="Arial" w:hAnsi="Verdana" w:cs="Arial"/>
          <w:sz w:val="20"/>
          <w:szCs w:val="20"/>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p>
    <w:p w14:paraId="10A3E78C" w14:textId="77777777" w:rsidR="00B95C5A" w:rsidRDefault="00B95C5A" w:rsidP="00B95C5A">
      <w:pPr>
        <w:snapToGrid w:val="0"/>
        <w:spacing w:after="0" w:line="240" w:lineRule="auto"/>
        <w:contextualSpacing/>
        <w:jc w:val="both"/>
        <w:rPr>
          <w:rFonts w:ascii="Verdana" w:eastAsia="Arial" w:hAnsi="Verdana" w:cs="Arial"/>
          <w:sz w:val="20"/>
          <w:szCs w:val="20"/>
          <w:lang w:val="es-ES" w:eastAsia="es-ES" w:bidi="es-ES"/>
        </w:rPr>
      </w:pPr>
    </w:p>
    <w:p w14:paraId="7AF6A026" w14:textId="77777777" w:rsidR="00B95C5A" w:rsidRPr="009412B5" w:rsidRDefault="00B95C5A" w:rsidP="00B95C5A">
      <w:pPr>
        <w:snapToGrid w:val="0"/>
        <w:spacing w:after="0" w:line="240" w:lineRule="auto"/>
        <w:contextualSpacing/>
        <w:jc w:val="both"/>
        <w:rPr>
          <w:rFonts w:ascii="Verdana" w:eastAsia="Arial" w:hAnsi="Verdana" w:cs="Arial"/>
          <w:sz w:val="20"/>
          <w:szCs w:val="20"/>
          <w:lang w:val="es-ES" w:eastAsia="es-ES" w:bidi="es-ES"/>
        </w:rPr>
      </w:pPr>
      <w:r w:rsidRPr="009412B5">
        <w:rPr>
          <w:rFonts w:ascii="Verdana" w:eastAsia="Arial" w:hAnsi="Verdana" w:cs="Arial"/>
          <w:sz w:val="20"/>
          <w:szCs w:val="20"/>
          <w:lang w:val="es-ES" w:eastAsia="es-ES" w:bidi="es-ES"/>
        </w:rPr>
        <w:t xml:space="preserve">Ambas restricciones no son excluyentes, lo que permite concluir que, en el período preelectoral para elección de </w:t>
      </w:r>
      <w:proofErr w:type="gramStart"/>
      <w:r w:rsidRPr="009412B5">
        <w:rPr>
          <w:rFonts w:ascii="Verdana" w:eastAsia="Arial" w:hAnsi="Verdana" w:cs="Arial"/>
          <w:sz w:val="20"/>
          <w:szCs w:val="20"/>
          <w:lang w:val="es-ES" w:eastAsia="es-ES" w:bidi="es-ES"/>
        </w:rPr>
        <w:t>Presidente</w:t>
      </w:r>
      <w:proofErr w:type="gramEnd"/>
      <w:r w:rsidRPr="009412B5">
        <w:rPr>
          <w:rFonts w:ascii="Verdana" w:eastAsia="Arial" w:hAnsi="Verdana" w:cs="Arial"/>
          <w:sz w:val="20"/>
          <w:szCs w:val="20"/>
          <w:lang w:val="es-ES" w:eastAsia="es-ES" w:bidi="es-ES"/>
        </w:rPr>
        <w:t xml:space="preserve"> de la República, aplican las restricciones del artículo 33 con sus excepciones, así como las del parágrafo del artículo 38, a todos los entes del Estado. En cambio, tratándose de elecciones en general, excluyendo las correspondientes al </w:t>
      </w:r>
      <w:proofErr w:type="gramStart"/>
      <w:r w:rsidRPr="009412B5">
        <w:rPr>
          <w:rFonts w:ascii="Verdana" w:eastAsia="Arial" w:hAnsi="Verdana" w:cs="Arial"/>
          <w:sz w:val="20"/>
          <w:szCs w:val="20"/>
          <w:lang w:val="es-ES" w:eastAsia="es-ES" w:bidi="es-ES"/>
        </w:rPr>
        <w:t>Presidente</w:t>
      </w:r>
      <w:proofErr w:type="gramEnd"/>
      <w:r w:rsidRPr="009412B5">
        <w:rPr>
          <w:rFonts w:ascii="Verdana" w:eastAsia="Arial" w:hAnsi="Verdana" w:cs="Arial"/>
          <w:sz w:val="20"/>
          <w:szCs w:val="20"/>
          <w:lang w:val="es-ES" w:eastAsia="es-ES" w:bidi="es-ES"/>
        </w:rPr>
        <w:t xml:space="preserve"> de la República, las autoridades allí mencionadas sólo deben aplicar las restricciones contenidas en el parágrafo del artículo 38.</w:t>
      </w:r>
    </w:p>
    <w:p w14:paraId="626ADE25" w14:textId="77777777" w:rsidR="00B95C5A" w:rsidRPr="009412B5" w:rsidRDefault="00B95C5A" w:rsidP="00B95C5A">
      <w:pPr>
        <w:snapToGrid w:val="0"/>
        <w:spacing w:after="0" w:line="240" w:lineRule="auto"/>
        <w:contextualSpacing/>
        <w:jc w:val="both"/>
        <w:rPr>
          <w:rFonts w:ascii="Verdana" w:eastAsia="Calibri" w:hAnsi="Verdana" w:cs="Arial"/>
          <w:b/>
          <w:bCs/>
          <w:sz w:val="20"/>
          <w:szCs w:val="20"/>
          <w:lang w:val="es-ES" w:eastAsia="es-ES"/>
        </w:rPr>
      </w:pPr>
    </w:p>
    <w:p w14:paraId="38D91386" w14:textId="77777777" w:rsidR="00B95C5A" w:rsidRPr="009412B5" w:rsidRDefault="00B95C5A" w:rsidP="00B95C5A">
      <w:pPr>
        <w:snapToGrid w:val="0"/>
        <w:spacing w:after="0" w:line="240" w:lineRule="auto"/>
        <w:contextualSpacing/>
        <w:jc w:val="both"/>
        <w:rPr>
          <w:rFonts w:ascii="Verdana" w:eastAsia="Calibri" w:hAnsi="Verdana" w:cs="Arial"/>
          <w:b/>
          <w:bCs/>
          <w:lang w:val="es-ES" w:eastAsia="es-ES"/>
        </w:rPr>
      </w:pPr>
      <w:r w:rsidRPr="009412B5">
        <w:rPr>
          <w:rFonts w:ascii="Verdana" w:eastAsia="Calibri" w:hAnsi="Verdana" w:cs="Arial"/>
          <w:b/>
          <w:bCs/>
          <w:lang w:val="es-ES" w:eastAsia="es-ES"/>
        </w:rPr>
        <w:t xml:space="preserve">LEY DE GARANTÍAS ELECTORALES ‒ Artículo 33 ‒ </w:t>
      </w:r>
      <w:r>
        <w:rPr>
          <w:rFonts w:ascii="Verdana" w:eastAsia="Calibri" w:hAnsi="Verdana" w:cs="Arial"/>
          <w:b/>
          <w:bCs/>
          <w:lang w:val="es-ES" w:eastAsia="es-ES"/>
        </w:rPr>
        <w:t>Contratación directa</w:t>
      </w:r>
    </w:p>
    <w:p w14:paraId="7ACECC99" w14:textId="77777777" w:rsidR="00B95C5A" w:rsidRDefault="00B95C5A" w:rsidP="00B95C5A">
      <w:pPr>
        <w:snapToGrid w:val="0"/>
        <w:spacing w:after="0" w:line="240" w:lineRule="auto"/>
        <w:contextualSpacing/>
        <w:jc w:val="both"/>
        <w:rPr>
          <w:rFonts w:ascii="Verdana" w:eastAsia="Times New Roman" w:hAnsi="Verdana" w:cs="Arial"/>
          <w:sz w:val="20"/>
          <w:szCs w:val="20"/>
          <w:lang w:val="es-ES"/>
        </w:rPr>
      </w:pPr>
    </w:p>
    <w:p w14:paraId="6A8C1060" w14:textId="77777777" w:rsidR="00B95C5A" w:rsidRDefault="00B95C5A" w:rsidP="00B95C5A">
      <w:pPr>
        <w:snapToGrid w:val="0"/>
        <w:spacing w:after="0" w:line="240" w:lineRule="auto"/>
        <w:contextualSpacing/>
        <w:jc w:val="both"/>
        <w:rPr>
          <w:rFonts w:ascii="Verdana" w:eastAsia="Times New Roman" w:hAnsi="Verdana" w:cs="Arial"/>
          <w:sz w:val="20"/>
          <w:szCs w:val="20"/>
          <w:lang w:val="es-ES"/>
        </w:rPr>
      </w:pPr>
      <w:r w:rsidRPr="009412B5">
        <w:rPr>
          <w:rFonts w:ascii="Verdana" w:eastAsia="Times New Roman" w:hAnsi="Verdana" w:cs="Arial"/>
          <w:sz w:val="20"/>
          <w:szCs w:val="20"/>
          <w:lang w:val="es-ES"/>
        </w:rPr>
        <w:t xml:space="preserve">De lo anterior se desprende que la restricción aplica, sin perjuicio de las excepciones establecidas en la misma ley, para celebrar </w:t>
      </w:r>
      <w:r w:rsidRPr="009412B5">
        <w:rPr>
          <w:rFonts w:ascii="Verdana" w:eastAsia="Times New Roman" w:hAnsi="Verdana" w:cs="Arial"/>
          <w:i/>
          <w:iCs/>
          <w:sz w:val="20"/>
          <w:szCs w:val="20"/>
          <w:lang w:val="es-ES"/>
        </w:rPr>
        <w:t>cualquier contrato o convenio de forma directa</w:t>
      </w:r>
      <w:r w:rsidRPr="009412B5">
        <w:rPr>
          <w:rFonts w:ascii="Verdana" w:eastAsia="Times New Roman" w:hAnsi="Verdana" w:cs="Arial"/>
          <w:sz w:val="20"/>
          <w:szCs w:val="20"/>
          <w:lang w:val="es-ES"/>
        </w:rPr>
        <w:t xml:space="preserve">, esto es, sin que exista un proceso abierto y competitivo. Por tanto, no son materia de la prohibición los procesos de contratación que se adelanten mediante las demás modalidades de selección previstas en la Ley 1150 de 2007, es decir, la licitación pública, el concurso de méritos, la selección abreviada y la mínima cuantía, razón por la </w:t>
      </w:r>
      <w:r w:rsidRPr="009412B5">
        <w:rPr>
          <w:rFonts w:ascii="Verdana" w:eastAsia="Times New Roman" w:hAnsi="Verdana" w:cs="Arial"/>
          <w:sz w:val="20"/>
          <w:szCs w:val="20"/>
          <w:lang w:val="es-ES"/>
        </w:rPr>
        <w:lastRenderedPageBreak/>
        <w:t>cual en ese período preelectoral de que trata la disposición las entidades públicas pueden seguir contratando bajo estos sistemas.</w:t>
      </w:r>
    </w:p>
    <w:p w14:paraId="1A5D2A63" w14:textId="77777777" w:rsidR="00B95C5A" w:rsidRDefault="00B95C5A" w:rsidP="00B95C5A">
      <w:pPr>
        <w:snapToGrid w:val="0"/>
        <w:spacing w:after="0" w:line="240" w:lineRule="auto"/>
        <w:contextualSpacing/>
        <w:jc w:val="both"/>
        <w:rPr>
          <w:rFonts w:ascii="Verdana" w:eastAsia="Times New Roman" w:hAnsi="Verdana" w:cs="Arial"/>
          <w:sz w:val="20"/>
          <w:szCs w:val="20"/>
          <w:lang w:val="es-ES"/>
        </w:rPr>
      </w:pPr>
    </w:p>
    <w:p w14:paraId="032FE6F1" w14:textId="77777777" w:rsidR="00B95C5A" w:rsidRPr="009412B5" w:rsidRDefault="00B95C5A" w:rsidP="00B95C5A">
      <w:pPr>
        <w:snapToGrid w:val="0"/>
        <w:spacing w:after="0" w:line="240" w:lineRule="auto"/>
        <w:contextualSpacing/>
        <w:jc w:val="both"/>
        <w:rPr>
          <w:rFonts w:ascii="Verdana" w:eastAsia="Calibri" w:hAnsi="Verdana" w:cs="Arial"/>
          <w:b/>
          <w:bCs/>
          <w:lang w:val="es-ES" w:eastAsia="es-ES"/>
        </w:rPr>
      </w:pPr>
      <w:r w:rsidRPr="009412B5">
        <w:rPr>
          <w:rFonts w:ascii="Verdana" w:eastAsia="Calibri" w:hAnsi="Verdana" w:cs="Arial"/>
          <w:b/>
          <w:bCs/>
          <w:lang w:val="es-ES" w:eastAsia="es-ES"/>
        </w:rPr>
        <w:t xml:space="preserve">LEY DE GARANTÍAS ELECTORALES ‒ Artículo 33 ‒ </w:t>
      </w:r>
      <w:r>
        <w:rPr>
          <w:rFonts w:ascii="Verdana" w:eastAsia="Calibri" w:hAnsi="Verdana" w:cs="Arial"/>
          <w:b/>
          <w:bCs/>
          <w:lang w:val="es-ES" w:eastAsia="es-ES"/>
        </w:rPr>
        <w:t>Ámbito subjetivo</w:t>
      </w:r>
    </w:p>
    <w:p w14:paraId="5FBB7042" w14:textId="77777777" w:rsidR="00B95C5A" w:rsidRPr="009412B5" w:rsidRDefault="00B95C5A" w:rsidP="00B95C5A">
      <w:pPr>
        <w:snapToGrid w:val="0"/>
        <w:spacing w:after="0" w:line="240" w:lineRule="auto"/>
        <w:contextualSpacing/>
        <w:jc w:val="both"/>
        <w:rPr>
          <w:rFonts w:ascii="Verdana" w:eastAsia="Times New Roman" w:hAnsi="Verdana" w:cs="Arial"/>
          <w:sz w:val="20"/>
          <w:szCs w:val="20"/>
          <w:lang w:val="es-ES"/>
        </w:rPr>
      </w:pPr>
    </w:p>
    <w:p w14:paraId="71968E39" w14:textId="278F3A69" w:rsidR="00B95C5A" w:rsidRPr="00B95C5A" w:rsidRDefault="00B95C5A" w:rsidP="00B95C5A">
      <w:pPr>
        <w:snapToGrid w:val="0"/>
        <w:spacing w:after="0" w:line="240" w:lineRule="auto"/>
        <w:contextualSpacing/>
        <w:jc w:val="both"/>
        <w:rPr>
          <w:rFonts w:ascii="Verdana" w:hAnsi="Verdana" w:cs="Arial"/>
          <w:bCs/>
          <w:sz w:val="20"/>
          <w:szCs w:val="20"/>
          <w:lang w:val="es-ES" w:eastAsia="x-none"/>
        </w:rPr>
      </w:pPr>
      <w:r w:rsidRPr="00B95C5A">
        <w:rPr>
          <w:rFonts w:ascii="Verdana" w:hAnsi="Verdana" w:cs="Arial"/>
          <w:bCs/>
          <w:sz w:val="20"/>
          <w:szCs w:val="20"/>
          <w:lang w:val="es-ES" w:eastAsia="x-none"/>
        </w:rPr>
        <w:t>En consecuencia, el artículo 33 de la Ley 996 de 2005 señala expresamente que los destinatarios de la prohibición son “todos los entes del Estado”, expresión que contempla a los diferentes organismos o entidades autorizadas por la ley para suscribir contratos.</w:t>
      </w:r>
      <w:r w:rsidRPr="00B95C5A">
        <w:rPr>
          <w:rFonts w:ascii="Verdana" w:hAnsi="Verdana"/>
          <w:sz w:val="20"/>
          <w:szCs w:val="20"/>
          <w:lang w:val="es-ES"/>
        </w:rPr>
        <w:t xml:space="preserve"> </w:t>
      </w:r>
      <w:r w:rsidRPr="00B95C5A">
        <w:rPr>
          <w:rFonts w:ascii="Verdana" w:hAnsi="Verdana" w:cs="Arial"/>
          <w:bCs/>
          <w:sz w:val="20"/>
          <w:szCs w:val="20"/>
          <w:lang w:val="es-ES" w:eastAsia="x-none"/>
        </w:rPr>
        <w:t>En efecto, tal como lo ha sostenido el Consejo de Estado, el vocablo “todos” utilizado por el legislador comprende</w:t>
      </w:r>
      <w:r w:rsidRPr="00B95C5A">
        <w:rPr>
          <w:rFonts w:ascii="Verdana" w:hAnsi="Verdana"/>
          <w:sz w:val="20"/>
          <w:szCs w:val="20"/>
          <w:lang w:val="es-ES"/>
        </w:rPr>
        <w:t xml:space="preserve"> </w:t>
      </w:r>
      <w:r w:rsidRPr="00B95C5A">
        <w:rPr>
          <w:rFonts w:ascii="Verdana" w:hAnsi="Verdana" w:cs="Arial"/>
          <w:bCs/>
          <w:sz w:val="20"/>
          <w:szCs w:val="20"/>
          <w:lang w:val="es-ES" w:eastAsia="x-none"/>
        </w:rPr>
        <w:t>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w:t>
      </w:r>
    </w:p>
    <w:p w14:paraId="611DFEC4" w14:textId="77777777" w:rsidR="00B95C5A" w:rsidRDefault="00B95C5A" w:rsidP="00A4452B">
      <w:pPr>
        <w:spacing w:after="0" w:line="240" w:lineRule="auto"/>
        <w:jc w:val="both"/>
        <w:rPr>
          <w:rFonts w:ascii="Verdana" w:hAnsi="Verdana"/>
          <w:b/>
        </w:rPr>
      </w:pPr>
    </w:p>
    <w:p w14:paraId="30CD76E0" w14:textId="35C4FCAB" w:rsidR="00A4452B" w:rsidRDefault="00A4452B" w:rsidP="00A4452B">
      <w:pPr>
        <w:spacing w:after="0" w:line="240" w:lineRule="auto"/>
        <w:jc w:val="both"/>
        <w:rPr>
          <w:rFonts w:ascii="Verdana" w:hAnsi="Verdana"/>
          <w:b/>
        </w:rPr>
      </w:pPr>
      <w:r w:rsidRPr="008B7171">
        <w:rPr>
          <w:rFonts w:ascii="Verdana" w:hAnsi="Verdana"/>
          <w:b/>
        </w:rPr>
        <w:t>ENAJENACIÓN – Bienes muebles – Bienes Inmueb</w:t>
      </w:r>
      <w:r>
        <w:rPr>
          <w:rFonts w:ascii="Verdana" w:hAnsi="Verdana"/>
          <w:b/>
        </w:rPr>
        <w:t xml:space="preserve">les </w:t>
      </w:r>
    </w:p>
    <w:p w14:paraId="55563522" w14:textId="77777777" w:rsidR="00A4452B" w:rsidRDefault="00A4452B" w:rsidP="00A4452B">
      <w:pPr>
        <w:spacing w:after="0" w:line="240" w:lineRule="auto"/>
        <w:jc w:val="both"/>
        <w:rPr>
          <w:rFonts w:ascii="Verdana" w:hAnsi="Verdana"/>
          <w:b/>
        </w:rPr>
      </w:pPr>
    </w:p>
    <w:p w14:paraId="6741374F" w14:textId="77777777" w:rsidR="00A4452B" w:rsidRPr="008B7171" w:rsidRDefault="00A4452B" w:rsidP="00A4452B">
      <w:pPr>
        <w:spacing w:after="0" w:line="240" w:lineRule="auto"/>
        <w:jc w:val="both"/>
        <w:rPr>
          <w:rFonts w:ascii="Verdana" w:hAnsi="Verdana"/>
          <w:sz w:val="20"/>
        </w:rPr>
      </w:pPr>
      <w:r w:rsidRPr="008B7171">
        <w:rPr>
          <w:rFonts w:ascii="Verdana" w:hAnsi="Verdana"/>
          <w:sz w:val="20"/>
        </w:rPr>
        <w:t xml:space="preserve">La </w:t>
      </w:r>
      <w:r w:rsidRPr="008B7171">
        <w:rPr>
          <w:rFonts w:ascii="Verdana" w:hAnsi="Verdana"/>
          <w:sz w:val="20"/>
          <w:lang w:val="es-ES"/>
        </w:rPr>
        <w:t>enajenación</w:t>
      </w:r>
      <w:r w:rsidRPr="008B7171">
        <w:rPr>
          <w:rFonts w:ascii="Verdana" w:hAnsi="Verdana"/>
          <w:sz w:val="20"/>
        </w:rPr>
        <w:t xml:space="preserve"> se define como la transferencia del derecho real sobre un bien. Como indica la doctrina, “</w:t>
      </w:r>
      <w:r w:rsidRPr="008B7171">
        <w:rPr>
          <w:rFonts w:ascii="Verdana" w:hAnsi="Verdana"/>
          <w:i/>
          <w:iCs/>
          <w:sz w:val="20"/>
        </w:rPr>
        <w:t xml:space="preserve">Dar –en sentido restringido–, </w:t>
      </w:r>
      <w:proofErr w:type="spellStart"/>
      <w:r w:rsidRPr="008B7171">
        <w:rPr>
          <w:rFonts w:ascii="Verdana" w:hAnsi="Verdana"/>
          <w:i/>
          <w:iCs/>
          <w:sz w:val="20"/>
        </w:rPr>
        <w:t>traditar</w:t>
      </w:r>
      <w:proofErr w:type="spellEnd"/>
      <w:r w:rsidRPr="008B7171">
        <w:rPr>
          <w:rFonts w:ascii="Verdana" w:hAnsi="Verdana"/>
          <w:i/>
          <w:iCs/>
          <w:sz w:val="20"/>
        </w:rPr>
        <w:t xml:space="preserve">, enajenar, disponer, son conceptos sinónimos en el Código Civil. Cuando se da, se enajena. Cuando se </w:t>
      </w:r>
      <w:proofErr w:type="spellStart"/>
      <w:r w:rsidRPr="008B7171">
        <w:rPr>
          <w:rFonts w:ascii="Verdana" w:hAnsi="Verdana"/>
          <w:i/>
          <w:iCs/>
          <w:sz w:val="20"/>
        </w:rPr>
        <w:t>tradita</w:t>
      </w:r>
      <w:proofErr w:type="spellEnd"/>
      <w:r w:rsidRPr="008B7171">
        <w:rPr>
          <w:rFonts w:ascii="Verdana" w:hAnsi="Verdana"/>
          <w:i/>
          <w:iCs/>
          <w:sz w:val="20"/>
        </w:rPr>
        <w:t xml:space="preserve">, se enajena, Cuando se enajena, se da o se </w:t>
      </w:r>
      <w:proofErr w:type="spellStart"/>
      <w:r w:rsidRPr="008B7171">
        <w:rPr>
          <w:rFonts w:ascii="Verdana" w:hAnsi="Verdana"/>
          <w:i/>
          <w:iCs/>
          <w:sz w:val="20"/>
        </w:rPr>
        <w:t>tradita</w:t>
      </w:r>
      <w:proofErr w:type="spellEnd"/>
      <w:r w:rsidRPr="008B7171">
        <w:rPr>
          <w:rFonts w:ascii="Verdana" w:hAnsi="Verdana"/>
          <w:i/>
          <w:iCs/>
          <w:sz w:val="20"/>
        </w:rPr>
        <w:t>. Y, finalmente, cuando ocurre cualquiera de tales fenómenos, se dispone”.</w:t>
      </w:r>
      <w:r w:rsidRPr="008B7171">
        <w:rPr>
          <w:rFonts w:ascii="Verdana" w:hAnsi="Verdana"/>
          <w:sz w:val="20"/>
        </w:rPr>
        <w:t xml:space="preserve"> Lo más usual es que la enajenación se lleve a cabo respecto del derecho de propiedad; y en tal caso se efectúa a través de los modos señalados en el artículo 673 del Código Civil, pudiendo recaer tanto sobre los bienes muebles, como inmuebles, aunque frente a estos la ley exige solemnidades especiales. Entretanto, el artículo 1521 del Código Civil dispone que se presenta objeto ilícito en la enajenación: i) “De las cosas que no están en el comercio”, </w:t>
      </w:r>
      <w:proofErr w:type="spellStart"/>
      <w:r w:rsidRPr="008B7171">
        <w:rPr>
          <w:rFonts w:ascii="Verdana" w:hAnsi="Verdana"/>
          <w:sz w:val="20"/>
        </w:rPr>
        <w:t>ii</w:t>
      </w:r>
      <w:proofErr w:type="spellEnd"/>
      <w:r w:rsidRPr="008B7171">
        <w:rPr>
          <w:rFonts w:ascii="Verdana" w:hAnsi="Verdana"/>
          <w:sz w:val="20"/>
        </w:rPr>
        <w:t xml:space="preserve">) “De los derechos o privilegios que no pueden transferirse a otra persona” y </w:t>
      </w:r>
      <w:proofErr w:type="spellStart"/>
      <w:r w:rsidRPr="008B7171">
        <w:rPr>
          <w:rFonts w:ascii="Verdana" w:hAnsi="Verdana"/>
          <w:sz w:val="20"/>
        </w:rPr>
        <w:t>iii</w:t>
      </w:r>
      <w:proofErr w:type="spellEnd"/>
      <w:r w:rsidRPr="008B7171">
        <w:rPr>
          <w:rFonts w:ascii="Verdana" w:hAnsi="Verdana"/>
          <w:sz w:val="20"/>
        </w:rPr>
        <w:t>) “De las cosas embargadas por decreto judicial, a menos que el juez lo autorice o el acreedor consienta en ello”.</w:t>
      </w:r>
    </w:p>
    <w:p w14:paraId="4BF3C95C" w14:textId="77777777" w:rsidR="00A4452B" w:rsidRDefault="00A4452B" w:rsidP="00A4452B">
      <w:pPr>
        <w:spacing w:after="0" w:line="240" w:lineRule="auto"/>
        <w:jc w:val="both"/>
        <w:rPr>
          <w:rFonts w:ascii="Verdana" w:hAnsi="Verdana"/>
          <w:sz w:val="20"/>
        </w:rPr>
      </w:pPr>
      <w:r>
        <w:rPr>
          <w:rFonts w:ascii="Verdana" w:hAnsi="Verdana"/>
          <w:sz w:val="20"/>
        </w:rPr>
        <w:t>[…]</w:t>
      </w:r>
    </w:p>
    <w:p w14:paraId="6280AB55" w14:textId="77777777" w:rsidR="00A4452B" w:rsidRPr="008B7171" w:rsidRDefault="00A4452B" w:rsidP="00A4452B">
      <w:pPr>
        <w:spacing w:after="0" w:line="240" w:lineRule="auto"/>
        <w:jc w:val="both"/>
        <w:rPr>
          <w:rFonts w:ascii="Verdana" w:hAnsi="Verdana"/>
          <w:sz w:val="20"/>
          <w:lang w:val="es-ES"/>
        </w:rPr>
      </w:pPr>
      <w:r w:rsidRPr="008B7171">
        <w:rPr>
          <w:rFonts w:ascii="Verdana" w:hAnsi="Verdana"/>
          <w:sz w:val="20"/>
        </w:rPr>
        <w:t>Respecto del tipo de bienes que pueden ser objeto de donación es importante resaltar, en primer lugar, que e</w:t>
      </w:r>
      <w:r w:rsidRPr="008B7171">
        <w:rPr>
          <w:rFonts w:ascii="Verdana" w:hAnsi="Verdana"/>
          <w:sz w:val="20"/>
          <w:lang w:val="es-ES"/>
        </w:rPr>
        <w:t>l artículo 654 del Código Civil clasifica las cosas corporales en muebles e inmuebles. El artículo 655 define los bienes muebles como los que “</w:t>
      </w:r>
      <w:r w:rsidRPr="008B7171">
        <w:rPr>
          <w:rFonts w:ascii="Verdana" w:hAnsi="Verdana"/>
          <w:i/>
          <w:iCs/>
          <w:sz w:val="20"/>
          <w:lang w:val="es-ES"/>
        </w:rPr>
        <w:t>pueden transportarse de un lugar a otro, sea moviéndose ellas a sí mismas como los animales</w:t>
      </w:r>
      <w:r w:rsidRPr="008B7171">
        <w:rPr>
          <w:rFonts w:ascii="Verdana" w:hAnsi="Verdana"/>
          <w:sz w:val="20"/>
          <w:lang w:val="es-ES"/>
        </w:rPr>
        <w:t xml:space="preserve"> (</w:t>
      </w:r>
      <w:r w:rsidRPr="008B7171">
        <w:rPr>
          <w:rFonts w:ascii="Verdana" w:hAnsi="Verdana"/>
          <w:i/>
          <w:iCs/>
          <w:sz w:val="20"/>
          <w:lang w:val="es-ES"/>
        </w:rPr>
        <w:t>que por eso se llaman semovientes), sea que sólo se muevan por una fuerza externa, como las cosas inanimadas”</w:t>
      </w:r>
      <w:r w:rsidRPr="008B7171">
        <w:rPr>
          <w:rFonts w:ascii="Verdana" w:hAnsi="Verdana"/>
          <w:sz w:val="20"/>
          <w:lang w:val="es-ES"/>
        </w:rPr>
        <w:t>, mientras que el artículo 656 define los inmuebles así: “</w:t>
      </w:r>
      <w:r w:rsidRPr="008B7171">
        <w:rPr>
          <w:rFonts w:ascii="Verdana" w:hAnsi="Verdana"/>
          <w:i/>
          <w:iCs/>
          <w:sz w:val="20"/>
          <w:lang w:val="es-ES"/>
        </w:rPr>
        <w:t>Inmuebles o fincas o bienes raíces son las cosas que no pueden transportarse de un lugar a otro; como las tierras y minas, y las que adhieren permanentemente a ellas, como los edificios, los árboles. Las casas y veredas se llaman predios o fundos”.</w:t>
      </w:r>
      <w:r w:rsidRPr="008B7171">
        <w:rPr>
          <w:rFonts w:ascii="Verdana" w:hAnsi="Verdana"/>
          <w:sz w:val="20"/>
          <w:lang w:val="es-ES"/>
        </w:rPr>
        <w:t xml:space="preserve"> No obstante, esta definición se refiere a los inmuebles por naturaleza, pues el Código también considera inmuebles a las cosas que en principio eran muebles, pero que por su destinación o adhesión mutan su categoría. </w:t>
      </w:r>
    </w:p>
    <w:p w14:paraId="5F8079FA" w14:textId="77777777" w:rsidR="00A4452B" w:rsidRPr="00345791" w:rsidRDefault="00A4452B" w:rsidP="00A4452B">
      <w:pPr>
        <w:spacing w:after="0" w:line="240" w:lineRule="auto"/>
        <w:jc w:val="both"/>
        <w:rPr>
          <w:rFonts w:ascii="Verdana" w:hAnsi="Verdana"/>
          <w:b/>
          <w:lang w:val="es-MX"/>
        </w:rPr>
      </w:pPr>
    </w:p>
    <w:p w14:paraId="5ED44D86" w14:textId="77777777" w:rsidR="00A4452B" w:rsidRPr="008B7171" w:rsidRDefault="00A4452B" w:rsidP="00A4452B">
      <w:pPr>
        <w:spacing w:after="0" w:line="240" w:lineRule="auto"/>
        <w:jc w:val="both"/>
        <w:rPr>
          <w:rFonts w:ascii="Verdana" w:hAnsi="Verdana"/>
          <w:b/>
        </w:rPr>
      </w:pPr>
      <w:r w:rsidRPr="008B7171">
        <w:rPr>
          <w:rFonts w:ascii="Verdana" w:hAnsi="Verdana"/>
          <w:b/>
        </w:rPr>
        <w:t>ENAJENACIÓN – Bienes muebles – Título gratuito – Decreto 1082 de 2015 – Procedimiento</w:t>
      </w:r>
    </w:p>
    <w:p w14:paraId="11AF087E" w14:textId="77777777" w:rsidR="00A4452B" w:rsidRPr="00345791" w:rsidRDefault="00A4452B" w:rsidP="00A4452B">
      <w:pPr>
        <w:spacing w:after="0" w:line="240" w:lineRule="auto"/>
        <w:jc w:val="both"/>
        <w:rPr>
          <w:rFonts w:ascii="Verdana" w:hAnsi="Verdana"/>
          <w:sz w:val="20"/>
          <w:szCs w:val="20"/>
        </w:rPr>
      </w:pPr>
    </w:p>
    <w:p w14:paraId="02E57217" w14:textId="77777777" w:rsidR="00A4452B" w:rsidRDefault="00A4452B" w:rsidP="00A4452B">
      <w:pPr>
        <w:spacing w:after="0" w:line="240" w:lineRule="auto"/>
        <w:jc w:val="both"/>
        <w:rPr>
          <w:rFonts w:ascii="Verdana" w:hAnsi="Verdana"/>
          <w:sz w:val="20"/>
          <w:szCs w:val="20"/>
          <w:lang w:val="es-ES"/>
        </w:rPr>
      </w:pPr>
      <w:r w:rsidRPr="00345791">
        <w:rPr>
          <w:rFonts w:ascii="Verdana" w:hAnsi="Verdana"/>
          <w:sz w:val="20"/>
          <w:szCs w:val="20"/>
          <w:lang w:val="es-ES"/>
        </w:rPr>
        <w:t xml:space="preserve">Ahora bien, </w:t>
      </w:r>
      <w:r w:rsidRPr="00345791">
        <w:rPr>
          <w:rFonts w:ascii="Verdana" w:hAnsi="Verdana"/>
          <w:sz w:val="20"/>
          <w:szCs w:val="20"/>
        </w:rPr>
        <w:t>L</w:t>
      </w:r>
      <w:r w:rsidRPr="00345791">
        <w:rPr>
          <w:rFonts w:ascii="Verdana" w:hAnsi="Verdana"/>
          <w:sz w:val="20"/>
          <w:szCs w:val="20"/>
          <w:lang w:val="es-ES"/>
        </w:rPr>
        <w:t>os bienes muebles que se enajenen por la Entidad Estatal, que sean dados a título gratuito a otras Entidades Estatales en virtud de lo consagrado en el artículo 2.2.1.2.2.4.3. del Decreto 1082 de 2015, deberá realizar un inventario de los bienes muebles que no utilizan y, a continuación, se la habilita para ofrecerlos a título gratuito a las demás Entidades Estatales a través de un acto administrativo que deberá publicar en su página Web.</w:t>
      </w:r>
      <w:r w:rsidRPr="00345791">
        <w:rPr>
          <w:rFonts w:ascii="Verdana" w:hAnsi="Verdana"/>
          <w:sz w:val="20"/>
          <w:szCs w:val="20"/>
        </w:rPr>
        <w:t xml:space="preserve"> </w:t>
      </w:r>
      <w:r w:rsidRPr="00345791">
        <w:rPr>
          <w:rFonts w:ascii="Verdana" w:hAnsi="Verdana"/>
          <w:sz w:val="20"/>
          <w:szCs w:val="20"/>
          <w:lang w:val="es-ES"/>
        </w:rPr>
        <w:t xml:space="preserve">El acto administrativo que oferta bienes muebles a título gratuito entre entidades estatales cumple la función de un aviso de convocatoria, porque es el mecanismo mediante el cual la entidad propietaria informa públicamente que dispone de determinados bienes y que estos pueden solicitarse por otras entidades interesadas. Dicho acto administrativo garantiza la transparencia y publicidad del proceso, pues permite que todas las entidades estatales potencialmente beneficiarias tengan conocimiento de la oferta y puedan manifestar su interés en recibir los bienes. </w:t>
      </w:r>
    </w:p>
    <w:p w14:paraId="37568531" w14:textId="77777777" w:rsidR="00A4452B" w:rsidRPr="00345791" w:rsidRDefault="00A4452B" w:rsidP="00A4452B">
      <w:pPr>
        <w:spacing w:after="0" w:line="240" w:lineRule="auto"/>
        <w:jc w:val="both"/>
        <w:rPr>
          <w:rFonts w:ascii="Verdana" w:hAnsi="Verdana"/>
          <w:sz w:val="20"/>
          <w:szCs w:val="20"/>
          <w:lang w:val="es-ES"/>
        </w:rPr>
      </w:pPr>
    </w:p>
    <w:p w14:paraId="0D40826C" w14:textId="77777777" w:rsidR="00A4452B" w:rsidRDefault="00A4452B" w:rsidP="00A4452B">
      <w:pPr>
        <w:spacing w:after="0" w:line="240" w:lineRule="auto"/>
        <w:jc w:val="both"/>
        <w:rPr>
          <w:rFonts w:ascii="Verdana" w:hAnsi="Verdana"/>
          <w:sz w:val="20"/>
          <w:szCs w:val="20"/>
          <w:lang w:val="es-ES"/>
        </w:rPr>
      </w:pPr>
      <w:r w:rsidRPr="00345791">
        <w:rPr>
          <w:rFonts w:ascii="Verdana" w:hAnsi="Verdana"/>
          <w:sz w:val="20"/>
          <w:szCs w:val="20"/>
          <w:lang w:val="es-ES"/>
        </w:rPr>
        <w:t xml:space="preserve">Posterior a ello, la norma en mención indica que dentro de los treinta (30) días calendario siguientes a la fecha de publicación del acto administrativo, la Entidad Estatal interesada en adquirir estos bienes a título gratuito debe manifestar su interés, y con ella, debe señalar la necesidad funcional que pretende satisfacer con el bien </w:t>
      </w:r>
      <w:proofErr w:type="gramStart"/>
      <w:r w:rsidRPr="00345791">
        <w:rPr>
          <w:rFonts w:ascii="Verdana" w:hAnsi="Verdana"/>
          <w:sz w:val="20"/>
          <w:szCs w:val="20"/>
          <w:lang w:val="es-ES"/>
        </w:rPr>
        <w:t>conjuntamente con</w:t>
      </w:r>
      <w:proofErr w:type="gramEnd"/>
      <w:r w:rsidRPr="00345791">
        <w:rPr>
          <w:rFonts w:ascii="Verdana" w:hAnsi="Verdana"/>
          <w:sz w:val="20"/>
          <w:szCs w:val="20"/>
          <w:lang w:val="es-ES"/>
        </w:rPr>
        <w:t xml:space="preserve"> las razones que justifican su solicitud. Finalmente, la norma señala que, si hay dos o más manifestaciones de interés de Entidades Estatales para el mismo bien, la Entidad Estatal que primero haya manifestado su interés debe tener preferencia, sin que existan más normas complementarias o posteriores que hayan regulado con mayor detalle el procedimiento en mención.</w:t>
      </w:r>
    </w:p>
    <w:p w14:paraId="2A6D26A8" w14:textId="77777777" w:rsidR="00C56BE3" w:rsidRDefault="00C56BE3" w:rsidP="00A4452B">
      <w:pPr>
        <w:spacing w:after="0" w:line="240" w:lineRule="auto"/>
        <w:jc w:val="both"/>
        <w:rPr>
          <w:rFonts w:ascii="Verdana" w:hAnsi="Verdana"/>
          <w:sz w:val="20"/>
          <w:szCs w:val="20"/>
          <w:lang w:val="es-ES"/>
        </w:rPr>
      </w:pPr>
    </w:p>
    <w:p w14:paraId="5A10D2CA" w14:textId="52736A45" w:rsidR="00C56BE3" w:rsidRDefault="00C56BE3" w:rsidP="00A4452B">
      <w:pPr>
        <w:spacing w:after="0" w:line="240" w:lineRule="auto"/>
        <w:jc w:val="both"/>
        <w:rPr>
          <w:rFonts w:ascii="Verdana" w:hAnsi="Verdana" w:cs="Arial"/>
          <w:b/>
          <w:bCs/>
          <w:lang w:eastAsia="es-ES"/>
        </w:rPr>
      </w:pPr>
      <w:r w:rsidRPr="00C56BE3">
        <w:rPr>
          <w:rFonts w:ascii="Verdana" w:hAnsi="Verdana" w:cs="Arial"/>
          <w:b/>
          <w:bCs/>
          <w:lang w:eastAsia="es-ES"/>
        </w:rPr>
        <w:t>ENAJENACIÓN – Bienes muebles – Título gratuito – Ley de Garantías Electorales – Alcance</w:t>
      </w:r>
    </w:p>
    <w:p w14:paraId="57C77447" w14:textId="77777777" w:rsidR="00C56BE3" w:rsidRDefault="00C56BE3" w:rsidP="00A4452B">
      <w:pPr>
        <w:spacing w:after="0" w:line="240" w:lineRule="auto"/>
        <w:jc w:val="both"/>
        <w:rPr>
          <w:rFonts w:ascii="Verdana" w:hAnsi="Verdana" w:cs="Arial"/>
          <w:b/>
          <w:bCs/>
          <w:lang w:eastAsia="es-ES"/>
        </w:rPr>
      </w:pPr>
    </w:p>
    <w:p w14:paraId="229D526E" w14:textId="77777777" w:rsidR="00C56BE3" w:rsidRPr="00C56BE3" w:rsidRDefault="00C56BE3" w:rsidP="00C56BE3">
      <w:pPr>
        <w:widowControl w:val="0"/>
        <w:autoSpaceDE w:val="0"/>
        <w:autoSpaceDN w:val="0"/>
        <w:spacing w:after="120" w:line="240" w:lineRule="auto"/>
        <w:jc w:val="both"/>
        <w:rPr>
          <w:rFonts w:ascii="Verdana" w:eastAsia="Arial" w:hAnsi="Verdana" w:cs="Arial"/>
          <w:sz w:val="20"/>
          <w:szCs w:val="20"/>
          <w:lang w:val="es-ES"/>
        </w:rPr>
      </w:pPr>
      <w:r w:rsidRPr="00C56BE3">
        <w:rPr>
          <w:rFonts w:ascii="Verdana" w:eastAsia="Arial" w:hAnsi="Verdana" w:cs="Arial"/>
          <w:sz w:val="20"/>
          <w:szCs w:val="20"/>
          <w:lang w:val="es-ES"/>
        </w:rPr>
        <w:t xml:space="preserve">De esta manera, los procedimientos de contratación que adelanten las Entidades Estatales mediante la modalidad de selección abreviada para la enajenación de bienes muebles dados a título gratuito a otras entidades implican se implican la expedición de </w:t>
      </w:r>
      <w:proofErr w:type="gramStart"/>
      <w:r w:rsidRPr="00C56BE3">
        <w:rPr>
          <w:rFonts w:ascii="Verdana" w:eastAsia="Arial" w:hAnsi="Verdana" w:cs="Arial"/>
          <w:sz w:val="20"/>
          <w:szCs w:val="20"/>
          <w:lang w:val="es-ES"/>
        </w:rPr>
        <w:t>una acto administrativo</w:t>
      </w:r>
      <w:proofErr w:type="gramEnd"/>
      <w:r w:rsidRPr="00C56BE3">
        <w:rPr>
          <w:rFonts w:ascii="Verdana" w:eastAsia="Arial" w:hAnsi="Verdana" w:cs="Arial"/>
          <w:sz w:val="20"/>
          <w:szCs w:val="20"/>
          <w:lang w:val="es-ES"/>
        </w:rPr>
        <w:t xml:space="preserve"> que cumple la función de un aviso público de convocatoria. Adicionalmente, se trata de un procedimiento de selección que permite que todas las entidades puedan manifestar interés en recibir los bienes. De esta forma, se trata de un proceso de contratación estatal que incluye una convocatoria pública en alguna de sus etapas y que permite la participación de pluralidad de oferentes, requisitos establecidos por el Consejo de Estado para determinar que no se trata de un procedimiento de “contratación directa” sometido a la prohibición establecida en el artículo 33 de la Ley de Garantías Electorales. </w:t>
      </w:r>
    </w:p>
    <w:p w14:paraId="296F2EEC" w14:textId="77777777" w:rsidR="00C56BE3" w:rsidRPr="00C56BE3" w:rsidRDefault="00C56BE3" w:rsidP="00A4452B">
      <w:pPr>
        <w:spacing w:after="0" w:line="240" w:lineRule="auto"/>
        <w:jc w:val="both"/>
        <w:rPr>
          <w:rFonts w:ascii="Verdana" w:hAnsi="Verdana"/>
          <w:b/>
          <w:bCs/>
          <w:sz w:val="20"/>
          <w:szCs w:val="20"/>
          <w:lang w:val="es-ES"/>
        </w:rPr>
      </w:pPr>
    </w:p>
    <w:p w14:paraId="6B6F8851" w14:textId="77777777" w:rsidR="00A4452B" w:rsidRDefault="00A4452B" w:rsidP="006D7914">
      <w:pPr>
        <w:spacing w:after="0"/>
        <w:rPr>
          <w:rFonts w:ascii="Verdana" w:hAnsi="Verdana"/>
          <w:lang w:val="es-ES"/>
        </w:rPr>
      </w:pPr>
    </w:p>
    <w:p w14:paraId="452A4988" w14:textId="77777777" w:rsidR="00B95C5A" w:rsidRDefault="00B95C5A" w:rsidP="006D7914">
      <w:pPr>
        <w:spacing w:after="0"/>
        <w:rPr>
          <w:rFonts w:ascii="Verdana" w:hAnsi="Verdana"/>
          <w:lang w:val="es-ES"/>
        </w:rPr>
      </w:pPr>
    </w:p>
    <w:p w14:paraId="606AD4EC" w14:textId="77777777" w:rsidR="00B95C5A" w:rsidRDefault="00B95C5A" w:rsidP="006D7914">
      <w:pPr>
        <w:spacing w:after="0"/>
        <w:rPr>
          <w:rFonts w:ascii="Verdana" w:hAnsi="Verdana"/>
          <w:lang w:val="es-ES"/>
        </w:rPr>
      </w:pPr>
    </w:p>
    <w:p w14:paraId="6399CF0A" w14:textId="77777777" w:rsidR="00B95C5A" w:rsidRDefault="00B95C5A" w:rsidP="006D7914">
      <w:pPr>
        <w:spacing w:after="0"/>
        <w:rPr>
          <w:rFonts w:ascii="Verdana" w:hAnsi="Verdana"/>
          <w:lang w:val="es-ES"/>
        </w:rPr>
      </w:pPr>
    </w:p>
    <w:p w14:paraId="459FF2EB" w14:textId="77777777" w:rsidR="00B95C5A" w:rsidRDefault="00B95C5A" w:rsidP="006D7914">
      <w:pPr>
        <w:spacing w:after="0"/>
        <w:rPr>
          <w:rFonts w:ascii="Verdana" w:hAnsi="Verdana"/>
          <w:lang w:val="es-ES"/>
        </w:rPr>
      </w:pPr>
    </w:p>
    <w:p w14:paraId="5BB13396" w14:textId="5B76AF48" w:rsidR="006D7914" w:rsidRPr="00FC6F34" w:rsidRDefault="006D7914" w:rsidP="006D7914">
      <w:pPr>
        <w:spacing w:after="0"/>
        <w:rPr>
          <w:rFonts w:ascii="Verdana" w:hAnsi="Verdana"/>
          <w:lang w:val="es-ES"/>
        </w:rPr>
      </w:pPr>
      <w:r w:rsidRPr="00FC6F34">
        <w:rPr>
          <w:rFonts w:ascii="Verdana" w:hAnsi="Verdana"/>
          <w:lang w:val="es-ES"/>
        </w:rPr>
        <w:lastRenderedPageBreak/>
        <w:t xml:space="preserve">Bogotá D.C., </w:t>
      </w:r>
      <w:r w:rsidR="00A4452B">
        <w:rPr>
          <w:rFonts w:ascii="Verdana" w:hAnsi="Verdana"/>
          <w:lang w:val="es-ES"/>
        </w:rPr>
        <w:t xml:space="preserve">01 de </w:t>
      </w:r>
      <w:r w:rsidR="007346F0">
        <w:rPr>
          <w:rFonts w:ascii="Verdana" w:hAnsi="Verdana"/>
          <w:lang w:val="es-ES"/>
        </w:rPr>
        <w:t>abril</w:t>
      </w:r>
      <w:r w:rsidR="00A4452B">
        <w:rPr>
          <w:rFonts w:ascii="Verdana" w:hAnsi="Verdana"/>
          <w:lang w:val="es-ES"/>
        </w:rPr>
        <w:t xml:space="preserve"> de 2026</w:t>
      </w:r>
    </w:p>
    <w:p w14:paraId="3814D7CF" w14:textId="5F3D3F38" w:rsidR="006D7914" w:rsidRPr="00FC6F34" w:rsidRDefault="007346F0" w:rsidP="006D7914">
      <w:pPr>
        <w:spacing w:after="0"/>
        <w:rPr>
          <w:rFonts w:ascii="Verdana" w:hAnsi="Verdana"/>
          <w:lang w:val="es-ES"/>
        </w:rPr>
      </w:pPr>
      <w:r>
        <w:rPr>
          <w:rFonts w:ascii="Verdana" w:hAnsi="Verdana"/>
          <w:noProof/>
          <w:lang w:val="es-ES"/>
        </w:rPr>
        <w:drawing>
          <wp:anchor distT="0" distB="0" distL="114300" distR="114300" simplePos="0" relativeHeight="251661313" behindDoc="0" locked="0" layoutInCell="1" allowOverlap="1" wp14:anchorId="760F8852" wp14:editId="704D3AF7">
            <wp:simplePos x="0" y="0"/>
            <wp:positionH relativeFrom="column">
              <wp:posOffset>3777615</wp:posOffset>
            </wp:positionH>
            <wp:positionV relativeFrom="paragraph">
              <wp:posOffset>8890</wp:posOffset>
            </wp:positionV>
            <wp:extent cx="2258695" cy="747395"/>
            <wp:effectExtent l="0" t="0" r="8255" b="0"/>
            <wp:wrapSquare wrapText="bothSides"/>
            <wp:docPr id="149234111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2341116" name="Picture 1492341116"/>
                    <pic:cNvPicPr/>
                  </pic:nvPicPr>
                  <pic:blipFill>
                    <a:blip r:embed="rId10">
                      <a:extLst>
                        <a:ext uri="{28A0092B-C50C-407E-A947-70E740481C1C}">
                          <a14:useLocalDpi xmlns:a14="http://schemas.microsoft.com/office/drawing/2010/main" val="0"/>
                        </a:ext>
                      </a:extLst>
                    </a:blip>
                    <a:stretch>
                      <a:fillRect/>
                    </a:stretch>
                  </pic:blipFill>
                  <pic:spPr>
                    <a:xfrm>
                      <a:off x="0" y="0"/>
                      <a:ext cx="2258695" cy="747395"/>
                    </a:xfrm>
                    <a:prstGeom prst="rect">
                      <a:avLst/>
                    </a:prstGeom>
                  </pic:spPr>
                </pic:pic>
              </a:graphicData>
            </a:graphic>
            <wp14:sizeRelH relativeFrom="page">
              <wp14:pctWidth>0</wp14:pctWidth>
            </wp14:sizeRelH>
            <wp14:sizeRelV relativeFrom="page">
              <wp14:pctHeight>0</wp14:pctHeight>
            </wp14:sizeRelV>
          </wp:anchor>
        </w:drawing>
      </w:r>
    </w:p>
    <w:p w14:paraId="12A803A2" w14:textId="7C11273B" w:rsidR="006D7914" w:rsidRPr="00D35E1F" w:rsidRDefault="006D7914" w:rsidP="006D7914">
      <w:pPr>
        <w:spacing w:after="0" w:line="240" w:lineRule="auto"/>
        <w:rPr>
          <w:rFonts w:ascii="Verdana" w:hAnsi="Verdana"/>
          <w:lang w:val="es-ES"/>
        </w:rPr>
      </w:pPr>
      <w:bookmarkStart w:id="0" w:name="_Hlk143780582"/>
      <w:r>
        <w:rPr>
          <w:rFonts w:ascii="Verdana" w:eastAsia="Calibri" w:hAnsi="Verdana" w:cs="Arial"/>
          <w:color w:val="000000" w:themeColor="text1"/>
          <w:lang w:val="es-ES" w:eastAsia="es-ES"/>
        </w:rPr>
        <w:t>Doctora</w:t>
      </w:r>
    </w:p>
    <w:p w14:paraId="52A012C0" w14:textId="77777777" w:rsidR="006D7914" w:rsidRDefault="006D7914" w:rsidP="006D7914">
      <w:pPr>
        <w:spacing w:after="0"/>
        <w:rPr>
          <w:rFonts w:ascii="Verdana" w:eastAsia="Calibri" w:hAnsi="Verdana" w:cs="Arial"/>
          <w:b/>
          <w:color w:val="000000" w:themeColor="text1"/>
          <w:lang w:eastAsia="es-ES"/>
        </w:rPr>
      </w:pPr>
      <w:r w:rsidRPr="00D35E1F">
        <w:rPr>
          <w:rFonts w:ascii="Verdana" w:eastAsia="Calibri" w:hAnsi="Verdana" w:cs="Arial"/>
          <w:b/>
          <w:color w:val="000000" w:themeColor="text1"/>
          <w:lang w:eastAsia="es-ES"/>
        </w:rPr>
        <w:t xml:space="preserve">Luz Stella García Salcedo </w:t>
      </w:r>
    </w:p>
    <w:p w14:paraId="61FC32BB" w14:textId="77777777" w:rsidR="006D7914" w:rsidRDefault="006D7914" w:rsidP="006D7914">
      <w:pPr>
        <w:spacing w:after="0"/>
        <w:rPr>
          <w:rFonts w:ascii="Verdana" w:eastAsia="Calibri" w:hAnsi="Verdana" w:cs="Arial"/>
          <w:color w:val="000000" w:themeColor="text1"/>
          <w:lang w:eastAsia="es-ES"/>
        </w:rPr>
      </w:pPr>
      <w:r w:rsidRPr="00D35E1F">
        <w:rPr>
          <w:rFonts w:ascii="Verdana" w:eastAsia="Calibri" w:hAnsi="Verdana" w:cs="Arial"/>
          <w:color w:val="000000" w:themeColor="text1"/>
          <w:lang w:eastAsia="es-ES"/>
        </w:rPr>
        <w:t xml:space="preserve">Coordinadora Grupo de Servicios Administrativos </w:t>
      </w:r>
    </w:p>
    <w:p w14:paraId="233307C0" w14:textId="77777777" w:rsidR="006D7914" w:rsidRDefault="006D7914" w:rsidP="006D7914">
      <w:pPr>
        <w:spacing w:after="0"/>
        <w:rPr>
          <w:rFonts w:ascii="Verdana" w:eastAsia="Calibri" w:hAnsi="Verdana" w:cs="Arial"/>
          <w:color w:val="000000" w:themeColor="text1"/>
          <w:lang w:eastAsia="es-ES"/>
        </w:rPr>
      </w:pPr>
      <w:r>
        <w:rPr>
          <w:rFonts w:ascii="Verdana" w:eastAsia="Calibri" w:hAnsi="Verdana" w:cs="Arial"/>
          <w:color w:val="000000" w:themeColor="text1"/>
          <w:lang w:eastAsia="es-ES"/>
        </w:rPr>
        <w:t>Ministerio de Ambiente y Desarrollo Sostenible</w:t>
      </w:r>
    </w:p>
    <w:p w14:paraId="77BD2617" w14:textId="77777777" w:rsidR="006D7914" w:rsidRPr="00D35E1F" w:rsidRDefault="006D7914" w:rsidP="006D7914">
      <w:pPr>
        <w:spacing w:after="0"/>
        <w:rPr>
          <w:rFonts w:ascii="Verdana" w:eastAsia="Calibri" w:hAnsi="Verdana" w:cs="Arial"/>
          <w:color w:val="000000" w:themeColor="text1"/>
          <w:lang w:eastAsia="es-ES"/>
        </w:rPr>
      </w:pPr>
      <w:r>
        <w:rPr>
          <w:rFonts w:ascii="Verdana" w:eastAsia="Calibri" w:hAnsi="Verdana" w:cs="Arial"/>
          <w:color w:val="000000" w:themeColor="text1"/>
          <w:lang w:eastAsia="es-ES"/>
        </w:rPr>
        <w:t>Bogotá D.C.</w:t>
      </w:r>
    </w:p>
    <w:p w14:paraId="2E6B3C4A" w14:textId="77777777" w:rsidR="006D7914" w:rsidRPr="00FC6F34" w:rsidRDefault="006D7914" w:rsidP="006D7914">
      <w:pPr>
        <w:spacing w:after="0" w:line="240" w:lineRule="auto"/>
        <w:rPr>
          <w:rFonts w:ascii="Verdana" w:eastAsia="Calibri" w:hAnsi="Verdana" w:cs="Arial"/>
          <w:b/>
          <w:bCs/>
          <w:color w:val="000000" w:themeColor="text1"/>
          <w:lang w:val="es-ES" w:eastAsia="es-ES"/>
        </w:rPr>
      </w:pPr>
    </w:p>
    <w:tbl>
      <w:tblPr>
        <w:tblStyle w:val="Tablaconcuadrcula"/>
        <w:tblW w:w="8510"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100"/>
      </w:tblGrid>
      <w:tr w:rsidR="006D7914" w:rsidRPr="00FC6F34" w14:paraId="38BE8677" w14:textId="77777777" w:rsidTr="005F22F2">
        <w:trPr>
          <w:trHeight w:val="300"/>
        </w:trPr>
        <w:tc>
          <w:tcPr>
            <w:tcW w:w="2410" w:type="dxa"/>
          </w:tcPr>
          <w:p w14:paraId="62F4A724" w14:textId="77777777" w:rsidR="006D7914" w:rsidRPr="00FC6F34" w:rsidRDefault="006D7914" w:rsidP="005F22F2">
            <w:pPr>
              <w:ind w:left="-142"/>
              <w:jc w:val="both"/>
              <w:rPr>
                <w:rFonts w:ascii="Verdana" w:eastAsia="Calibri" w:hAnsi="Verdana" w:cs="Arial"/>
                <w:b/>
                <w:bCs/>
                <w:color w:val="000000" w:themeColor="text1"/>
                <w:lang w:val="es-ES" w:eastAsia="es-ES_tradnl"/>
              </w:rPr>
            </w:pPr>
          </w:p>
        </w:tc>
        <w:tc>
          <w:tcPr>
            <w:tcW w:w="6100" w:type="dxa"/>
          </w:tcPr>
          <w:p w14:paraId="5EBCFC20" w14:textId="77777777" w:rsidR="006D7914" w:rsidRDefault="006D7914" w:rsidP="005F22F2">
            <w:pPr>
              <w:ind w:left="3"/>
              <w:jc w:val="both"/>
              <w:rPr>
                <w:rFonts w:ascii="Verdana" w:eastAsia="Calibri" w:hAnsi="Verdana" w:cs="Arial"/>
                <w:b/>
                <w:bCs/>
                <w:color w:val="000000" w:themeColor="text1"/>
                <w:lang w:val="es-ES" w:eastAsia="es-ES"/>
              </w:rPr>
            </w:pPr>
          </w:p>
          <w:p w14:paraId="13212E9F" w14:textId="77777777" w:rsidR="006D7914" w:rsidRPr="00FC6F34" w:rsidRDefault="006D7914" w:rsidP="005F22F2">
            <w:pPr>
              <w:ind w:left="3"/>
              <w:jc w:val="both"/>
              <w:rPr>
                <w:rFonts w:ascii="Verdana" w:eastAsia="Calibri" w:hAnsi="Verdana" w:cs="Arial"/>
                <w:b/>
                <w:bCs/>
                <w:color w:val="000000" w:themeColor="text1"/>
                <w:lang w:val="es-ES" w:eastAsia="es-ES"/>
              </w:rPr>
            </w:pPr>
            <w:r w:rsidRPr="00FC6F34">
              <w:rPr>
                <w:rFonts w:ascii="Verdana" w:eastAsia="Calibri" w:hAnsi="Verdana" w:cs="Arial"/>
                <w:b/>
                <w:bCs/>
                <w:color w:val="000000" w:themeColor="text1"/>
                <w:lang w:val="es-ES" w:eastAsia="es-ES"/>
              </w:rPr>
              <w:t>Concepto C-</w:t>
            </w:r>
            <w:r>
              <w:rPr>
                <w:rFonts w:ascii="Verdana" w:eastAsia="Calibri" w:hAnsi="Verdana" w:cs="Arial"/>
                <w:b/>
                <w:bCs/>
                <w:color w:val="000000" w:themeColor="text1"/>
                <w:lang w:val="es-ES" w:eastAsia="es-ES"/>
              </w:rPr>
              <w:t>267</w:t>
            </w:r>
            <w:r w:rsidRPr="00FC6F34">
              <w:rPr>
                <w:rFonts w:ascii="Verdana" w:eastAsia="Calibri" w:hAnsi="Verdana" w:cs="Arial"/>
                <w:b/>
                <w:bCs/>
                <w:color w:val="000000" w:themeColor="text1"/>
                <w:lang w:val="es-ES" w:eastAsia="es-ES"/>
              </w:rPr>
              <w:t xml:space="preserve"> de 202</w:t>
            </w:r>
            <w:r>
              <w:rPr>
                <w:rFonts w:ascii="Verdana" w:eastAsia="Calibri" w:hAnsi="Verdana" w:cs="Arial"/>
                <w:b/>
                <w:bCs/>
                <w:color w:val="000000" w:themeColor="text1"/>
                <w:lang w:val="es-ES" w:eastAsia="es-ES"/>
              </w:rPr>
              <w:t>6</w:t>
            </w:r>
          </w:p>
          <w:p w14:paraId="7B0638D0" w14:textId="77777777" w:rsidR="006D7914" w:rsidRPr="00FC6F34" w:rsidRDefault="006D7914" w:rsidP="005F22F2">
            <w:pPr>
              <w:ind w:left="3"/>
              <w:jc w:val="both"/>
              <w:rPr>
                <w:rFonts w:ascii="Verdana" w:eastAsia="Calibri" w:hAnsi="Verdana" w:cs="Arial"/>
                <w:b/>
                <w:bCs/>
                <w:color w:val="000000" w:themeColor="text1"/>
                <w:lang w:val="es-ES" w:eastAsia="es-ES"/>
              </w:rPr>
            </w:pPr>
          </w:p>
        </w:tc>
      </w:tr>
      <w:tr w:rsidR="006D7914" w:rsidRPr="00F07540" w14:paraId="474C6596" w14:textId="77777777" w:rsidTr="005F22F2">
        <w:trPr>
          <w:trHeight w:val="300"/>
        </w:trPr>
        <w:tc>
          <w:tcPr>
            <w:tcW w:w="2410" w:type="dxa"/>
          </w:tcPr>
          <w:p w14:paraId="0039434C" w14:textId="77777777" w:rsidR="006D7914" w:rsidRPr="00FC6F34" w:rsidRDefault="006D7914" w:rsidP="005F22F2">
            <w:pPr>
              <w:ind w:left="424" w:firstLine="142"/>
              <w:jc w:val="both"/>
              <w:rPr>
                <w:rFonts w:ascii="Verdana" w:eastAsia="Calibri" w:hAnsi="Verdana" w:cs="Arial"/>
                <w:color w:val="000000" w:themeColor="text1"/>
                <w:lang w:val="es-ES" w:eastAsia="es-ES_tradnl"/>
              </w:rPr>
            </w:pPr>
            <w:r w:rsidRPr="00FC6F34">
              <w:rPr>
                <w:rFonts w:ascii="Verdana" w:eastAsia="Calibri" w:hAnsi="Verdana" w:cs="Arial"/>
                <w:b/>
                <w:color w:val="000000" w:themeColor="text1"/>
                <w:lang w:val="es-ES" w:eastAsia="es-ES_tradnl"/>
              </w:rPr>
              <w:t>Temas:</w:t>
            </w:r>
            <w:r w:rsidRPr="00FC6F34">
              <w:rPr>
                <w:rFonts w:ascii="Verdana" w:eastAsia="Calibri" w:hAnsi="Verdana" w:cs="Arial"/>
                <w:color w:val="000000" w:themeColor="text1"/>
                <w:lang w:val="es-ES" w:eastAsia="es-ES_tradnl"/>
              </w:rPr>
              <w:t xml:space="preserve">                  </w:t>
            </w:r>
          </w:p>
        </w:tc>
        <w:tc>
          <w:tcPr>
            <w:tcW w:w="6100" w:type="dxa"/>
          </w:tcPr>
          <w:p w14:paraId="2FD779B3" w14:textId="3698350C" w:rsidR="006D7914" w:rsidRPr="00F07540" w:rsidRDefault="006D7914" w:rsidP="00F07540">
            <w:pPr>
              <w:jc w:val="both"/>
              <w:rPr>
                <w:rFonts w:ascii="Verdana" w:hAnsi="Verdana"/>
              </w:rPr>
            </w:pPr>
            <w:r w:rsidRPr="00F07540">
              <w:rPr>
                <w:rFonts w:ascii="Verdana" w:eastAsia="Calibri" w:hAnsi="Verdana" w:cs="Arial"/>
                <w:lang w:val="es-ES" w:eastAsia="es-ES"/>
              </w:rPr>
              <w:t xml:space="preserve">LEY DE GARANTÍAS ELECTORALES – Finalidad / LEY DE GARANTÍAS ELECTORALES ‒ Restricciones ‒ Contratación ‒ Tipos de elección / LEY DE GARANTÍAS ELECTORALES ‒ Artículo 33 ‒ Ámbito subjetivo / </w:t>
            </w:r>
            <w:r w:rsidRPr="00F07540">
              <w:rPr>
                <w:rFonts w:ascii="Verdana" w:hAnsi="Verdana" w:cs="Arial"/>
                <w:lang w:eastAsia="es-ES"/>
              </w:rPr>
              <w:t xml:space="preserve">ENAJENACIÓN – Bienes muebles – Bienes Inmuebles </w:t>
            </w:r>
            <w:r w:rsidR="007346F0" w:rsidRPr="00F07540">
              <w:rPr>
                <w:rFonts w:ascii="Verdana" w:hAnsi="Verdana" w:cs="Arial"/>
                <w:lang w:eastAsia="es-ES"/>
              </w:rPr>
              <w:t>/ ENAJENACIÓN</w:t>
            </w:r>
            <w:r w:rsidR="00F07540" w:rsidRPr="00F07540">
              <w:rPr>
                <w:rFonts w:ascii="Verdana" w:hAnsi="Verdana"/>
              </w:rPr>
              <w:t xml:space="preserve"> – Bienes muebles – Título gratuito – Decreto 1082 de 2015 – Procedimiento / </w:t>
            </w:r>
            <w:r w:rsidRPr="00F07540">
              <w:rPr>
                <w:rFonts w:ascii="Verdana" w:hAnsi="Verdana" w:cs="Arial"/>
                <w:lang w:eastAsia="es-ES"/>
              </w:rPr>
              <w:t>ENAJENACIÓN – Bienes muebles – Título gratuito – Ley de Garantías Electorales – Alcance</w:t>
            </w:r>
          </w:p>
          <w:p w14:paraId="78649F9E" w14:textId="77777777" w:rsidR="006D7914" w:rsidRPr="00F07540" w:rsidRDefault="006D7914" w:rsidP="005F22F2">
            <w:pPr>
              <w:spacing w:line="276" w:lineRule="auto"/>
              <w:jc w:val="both"/>
              <w:rPr>
                <w:rFonts w:ascii="Verdana" w:eastAsia="Calibri" w:hAnsi="Verdana" w:cs="Arial"/>
                <w:color w:val="000000" w:themeColor="text1"/>
                <w:lang w:val="es-ES" w:eastAsia="es-ES"/>
              </w:rPr>
            </w:pPr>
          </w:p>
        </w:tc>
      </w:tr>
      <w:tr w:rsidR="006D7914" w:rsidRPr="00FC6F34" w14:paraId="14BFB0CE" w14:textId="77777777" w:rsidTr="005F22F2">
        <w:tc>
          <w:tcPr>
            <w:tcW w:w="2410" w:type="dxa"/>
          </w:tcPr>
          <w:p w14:paraId="58E208A0" w14:textId="77777777" w:rsidR="006D7914" w:rsidRPr="00FC6F34" w:rsidRDefault="006D7914" w:rsidP="005F22F2">
            <w:pPr>
              <w:ind w:left="561"/>
              <w:jc w:val="both"/>
              <w:rPr>
                <w:rFonts w:ascii="Verdana" w:eastAsia="Calibri" w:hAnsi="Verdana" w:cs="Arial"/>
                <w:b/>
                <w:color w:val="000000" w:themeColor="text1"/>
                <w:lang w:val="es-ES" w:eastAsia="es-ES_tradnl"/>
              </w:rPr>
            </w:pPr>
            <w:r w:rsidRPr="00FC6F34">
              <w:rPr>
                <w:rFonts w:ascii="Verdana" w:eastAsia="Calibri" w:hAnsi="Verdana" w:cs="Arial"/>
                <w:b/>
                <w:color w:val="000000" w:themeColor="text1"/>
                <w:lang w:val="es-ES" w:eastAsia="es-ES_tradnl"/>
              </w:rPr>
              <w:t>Radicación:</w:t>
            </w:r>
            <w:r w:rsidRPr="00FC6F34">
              <w:rPr>
                <w:rFonts w:ascii="Verdana" w:eastAsia="Calibri" w:hAnsi="Verdana" w:cs="Arial"/>
                <w:color w:val="000000" w:themeColor="text1"/>
                <w:lang w:val="es-ES" w:eastAsia="es-ES_tradnl"/>
              </w:rPr>
              <w:t xml:space="preserve">              </w:t>
            </w:r>
          </w:p>
        </w:tc>
        <w:tc>
          <w:tcPr>
            <w:tcW w:w="6100" w:type="dxa"/>
          </w:tcPr>
          <w:p w14:paraId="7271D9DC" w14:textId="77777777" w:rsidR="006D7914" w:rsidRPr="00FC6F34" w:rsidRDefault="006D7914" w:rsidP="005F22F2">
            <w:pPr>
              <w:ind w:left="3"/>
              <w:jc w:val="both"/>
              <w:rPr>
                <w:rFonts w:ascii="Verdana" w:hAnsi="Verdana"/>
                <w:color w:val="000000"/>
                <w:lang w:val="es-ES"/>
              </w:rPr>
            </w:pPr>
            <w:r w:rsidRPr="00FC6F34">
              <w:rPr>
                <w:rFonts w:ascii="Verdana" w:eastAsia="Calibri" w:hAnsi="Verdana" w:cs="Arial"/>
                <w:color w:val="000000" w:themeColor="text1"/>
                <w:lang w:val="es-ES" w:eastAsia="es-ES"/>
              </w:rPr>
              <w:t>Respuesta a consulta con radicado No.</w:t>
            </w:r>
            <w:r>
              <w:rPr>
                <w:rFonts w:ascii="Verdana" w:eastAsia="Calibri" w:hAnsi="Verdana" w:cs="Arial"/>
                <w:color w:val="000000" w:themeColor="text1"/>
                <w:lang w:val="es-ES" w:eastAsia="es-ES"/>
              </w:rPr>
              <w:t xml:space="preserve"> </w:t>
            </w:r>
            <w:r w:rsidRPr="001B553B">
              <w:rPr>
                <w:rFonts w:ascii="Verdana" w:eastAsia="Calibri" w:hAnsi="Verdana" w:cs="Arial"/>
                <w:color w:val="000000" w:themeColor="text1"/>
                <w:lang w:val="es-ES" w:eastAsia="es-ES"/>
              </w:rPr>
              <w:t>1_2026_02_20_002350</w:t>
            </w:r>
          </w:p>
        </w:tc>
      </w:tr>
    </w:tbl>
    <w:p w14:paraId="18EE8742" w14:textId="77777777" w:rsidR="006D7914" w:rsidRPr="00FC6F34" w:rsidRDefault="006D7914" w:rsidP="006D7914">
      <w:pPr>
        <w:spacing w:after="0" w:line="276" w:lineRule="auto"/>
        <w:jc w:val="both"/>
        <w:rPr>
          <w:rFonts w:ascii="Verdana" w:eastAsia="Calibri" w:hAnsi="Verdana" w:cs="Arial"/>
          <w:color w:val="000000" w:themeColor="text1"/>
          <w:lang w:val="es-ES" w:eastAsia="es-ES"/>
        </w:rPr>
      </w:pPr>
    </w:p>
    <w:p w14:paraId="11C7C034" w14:textId="77777777" w:rsidR="006D7914" w:rsidRPr="00FC6F34" w:rsidRDefault="006D7914" w:rsidP="006D7914">
      <w:pPr>
        <w:spacing w:after="0" w:line="276" w:lineRule="auto"/>
        <w:jc w:val="both"/>
        <w:rPr>
          <w:rFonts w:ascii="Verdana" w:eastAsia="Calibri" w:hAnsi="Verdana" w:cs="Arial"/>
          <w:color w:val="000000" w:themeColor="text1"/>
          <w:lang w:val="es-ES" w:eastAsia="es-ES"/>
        </w:rPr>
      </w:pPr>
      <w:r w:rsidRPr="00FC6F34">
        <w:rPr>
          <w:rFonts w:ascii="Verdana" w:eastAsia="Calibri" w:hAnsi="Verdana" w:cs="Arial"/>
          <w:color w:val="000000" w:themeColor="text1"/>
          <w:lang w:val="es-ES" w:eastAsia="es-ES"/>
        </w:rPr>
        <w:t>Estimad</w:t>
      </w:r>
      <w:r>
        <w:rPr>
          <w:rFonts w:ascii="Verdana" w:eastAsia="Calibri" w:hAnsi="Verdana" w:cs="Arial"/>
          <w:color w:val="000000" w:themeColor="text1"/>
          <w:lang w:val="es-ES" w:eastAsia="es-ES"/>
        </w:rPr>
        <w:t>a</w:t>
      </w:r>
      <w:r w:rsidRPr="00FC6F34">
        <w:rPr>
          <w:rFonts w:ascii="Verdana" w:eastAsia="Calibri" w:hAnsi="Verdana" w:cs="Arial"/>
          <w:color w:val="000000" w:themeColor="text1"/>
          <w:lang w:val="es-ES" w:eastAsia="es-ES"/>
        </w:rPr>
        <w:t xml:space="preserve"> </w:t>
      </w:r>
      <w:r>
        <w:rPr>
          <w:rFonts w:ascii="Verdana" w:eastAsia="Calibri" w:hAnsi="Verdana" w:cs="Arial"/>
          <w:color w:val="000000" w:themeColor="text1"/>
          <w:lang w:val="es-ES" w:eastAsia="es-ES"/>
        </w:rPr>
        <w:t>Doctora</w:t>
      </w:r>
      <w:r w:rsidRPr="00FC6F34">
        <w:rPr>
          <w:rFonts w:ascii="Verdana" w:eastAsia="Calibri" w:hAnsi="Verdana" w:cs="Arial"/>
          <w:color w:val="000000" w:themeColor="text1"/>
          <w:lang w:val="es-ES" w:eastAsia="es-ES"/>
        </w:rPr>
        <w:t xml:space="preserve"> </w:t>
      </w:r>
      <w:r>
        <w:rPr>
          <w:rFonts w:ascii="Verdana" w:eastAsia="Calibri" w:hAnsi="Verdana" w:cs="Arial"/>
          <w:color w:val="000000" w:themeColor="text1"/>
          <w:lang w:val="es-ES" w:eastAsia="es-ES"/>
        </w:rPr>
        <w:t>García</w:t>
      </w:r>
      <w:r w:rsidRPr="00FC6F34">
        <w:rPr>
          <w:rFonts w:ascii="Verdana" w:eastAsia="Calibri" w:hAnsi="Verdana" w:cs="Arial"/>
          <w:color w:val="000000" w:themeColor="text1"/>
          <w:lang w:val="es-ES" w:eastAsia="es-ES"/>
        </w:rPr>
        <w:t xml:space="preserve">: </w:t>
      </w:r>
    </w:p>
    <w:p w14:paraId="37253A79" w14:textId="77777777" w:rsidR="006D7914" w:rsidRPr="00FC6F34" w:rsidRDefault="006D7914" w:rsidP="006D7914">
      <w:pPr>
        <w:tabs>
          <w:tab w:val="left" w:pos="3768"/>
        </w:tabs>
        <w:spacing w:after="0" w:line="276" w:lineRule="auto"/>
        <w:jc w:val="both"/>
        <w:rPr>
          <w:rFonts w:ascii="Verdana" w:eastAsia="Calibri" w:hAnsi="Verdana" w:cs="Arial"/>
          <w:color w:val="000000" w:themeColor="text1"/>
          <w:lang w:val="es-ES" w:eastAsia="es-ES"/>
        </w:rPr>
      </w:pPr>
      <w:r w:rsidRPr="00FC6F34">
        <w:rPr>
          <w:rFonts w:ascii="Verdana" w:eastAsia="Calibri" w:hAnsi="Verdana" w:cs="Arial"/>
          <w:color w:val="000000" w:themeColor="text1"/>
          <w:lang w:val="es-ES" w:eastAsia="es-ES"/>
        </w:rPr>
        <w:tab/>
      </w:r>
    </w:p>
    <w:p w14:paraId="2A40F48C" w14:textId="77777777" w:rsidR="006D7914" w:rsidRPr="00FC6F34" w:rsidRDefault="006D7914" w:rsidP="006D7914">
      <w:pPr>
        <w:spacing w:after="0" w:line="276" w:lineRule="auto"/>
        <w:jc w:val="both"/>
        <w:rPr>
          <w:rFonts w:ascii="Verdana" w:eastAsia="Calibri" w:hAnsi="Verdana" w:cs="Arial"/>
          <w:color w:val="000000" w:themeColor="text1"/>
          <w:lang w:val="es-ES" w:eastAsia="es-ES"/>
        </w:rPr>
      </w:pPr>
      <w:r w:rsidRPr="00FC6F34">
        <w:rPr>
          <w:rFonts w:ascii="Verdana" w:eastAsia="Calibri" w:hAnsi="Verdana" w:cs="Arial"/>
          <w:color w:val="000000" w:themeColor="text1"/>
          <w:lang w:val="es-ES" w:eastAsia="es-ES"/>
        </w:rPr>
        <w:t>En ejercicio de la competencia otorgada por los artículos 3, numeral 5º, y 11, numeral 8º, del Decreto Ley 4170 de 2011,</w:t>
      </w:r>
      <w:r w:rsidRPr="00FC6F34">
        <w:rPr>
          <w:rFonts w:ascii="Verdana" w:eastAsia="Arial MT" w:hAnsi="Verdana" w:cs="Arial MT"/>
          <w:color w:val="000000" w:themeColor="text1"/>
          <w:lang w:val="es-ES" w:eastAsia="es-ES"/>
        </w:rPr>
        <w:t xml:space="preserve"> </w:t>
      </w:r>
      <w:r w:rsidRPr="00FC6F34">
        <w:rPr>
          <w:rFonts w:ascii="Verdana" w:hAnsi="Verdana" w:cs="Arial"/>
          <w:color w:val="000000" w:themeColor="text1"/>
          <w:lang w:val="es-ES"/>
        </w:rPr>
        <w:t xml:space="preserve">así como lo establecido en el artículo 4 de la Resolución 1707 de 2018 expedida por esta Entidad, </w:t>
      </w:r>
      <w:r w:rsidRPr="00FC6F34">
        <w:rPr>
          <w:rFonts w:ascii="Verdana" w:eastAsia="Calibri" w:hAnsi="Verdana" w:cs="Arial"/>
          <w:color w:val="000000" w:themeColor="text1"/>
          <w:lang w:val="es-ES" w:eastAsia="es-ES"/>
        </w:rPr>
        <w:t xml:space="preserve">la Agencia Nacional de Contratación Pública – Colombia Compra Eficiente– responde su solicitud de consulta de fecha </w:t>
      </w:r>
      <w:r>
        <w:rPr>
          <w:rFonts w:ascii="Verdana" w:eastAsia="Calibri" w:hAnsi="Verdana" w:cs="Arial"/>
          <w:color w:val="000000" w:themeColor="text1"/>
          <w:lang w:val="es-ES" w:eastAsia="es-ES"/>
        </w:rPr>
        <w:t>20</w:t>
      </w:r>
      <w:r w:rsidRPr="00FC6F34">
        <w:rPr>
          <w:rFonts w:ascii="Verdana" w:eastAsia="Calibri" w:hAnsi="Verdana" w:cs="Arial"/>
          <w:color w:val="000000" w:themeColor="text1"/>
          <w:lang w:val="es-ES" w:eastAsia="es-ES"/>
        </w:rPr>
        <w:t xml:space="preserve"> de </w:t>
      </w:r>
      <w:r>
        <w:rPr>
          <w:rFonts w:ascii="Verdana" w:eastAsia="Calibri" w:hAnsi="Verdana" w:cs="Arial"/>
          <w:color w:val="000000" w:themeColor="text1"/>
          <w:lang w:val="es-ES" w:eastAsia="es-ES"/>
        </w:rPr>
        <w:t>febrero</w:t>
      </w:r>
      <w:r w:rsidRPr="00FC6F34">
        <w:rPr>
          <w:rFonts w:ascii="Verdana" w:eastAsia="Calibri" w:hAnsi="Verdana" w:cs="Arial"/>
          <w:color w:val="000000" w:themeColor="text1"/>
          <w:lang w:val="es-ES" w:eastAsia="es-ES"/>
        </w:rPr>
        <w:t xml:space="preserve"> de 202</w:t>
      </w:r>
      <w:r>
        <w:rPr>
          <w:rFonts w:ascii="Verdana" w:eastAsia="Calibri" w:hAnsi="Verdana" w:cs="Arial"/>
          <w:color w:val="000000" w:themeColor="text1"/>
          <w:lang w:val="es-ES" w:eastAsia="es-ES"/>
        </w:rPr>
        <w:t>6</w:t>
      </w:r>
      <w:r w:rsidRPr="00FC6F34">
        <w:rPr>
          <w:rFonts w:ascii="Verdana" w:eastAsia="Calibri" w:hAnsi="Verdana" w:cs="Arial"/>
          <w:color w:val="000000" w:themeColor="text1"/>
          <w:lang w:val="es-ES" w:eastAsia="es-ES"/>
        </w:rPr>
        <w:t xml:space="preserve">, en la cual manifiesta lo siguiente: </w:t>
      </w:r>
    </w:p>
    <w:p w14:paraId="18F2685E" w14:textId="77777777" w:rsidR="006D7914" w:rsidRPr="00BF306B" w:rsidRDefault="006D7914" w:rsidP="006D7914">
      <w:pPr>
        <w:tabs>
          <w:tab w:val="left" w:pos="142"/>
          <w:tab w:val="left" w:pos="284"/>
        </w:tabs>
        <w:spacing w:after="0" w:line="276" w:lineRule="auto"/>
        <w:contextualSpacing/>
        <w:jc w:val="both"/>
        <w:rPr>
          <w:rFonts w:ascii="Verdana" w:eastAsia="Century Gothic" w:hAnsi="Verdana" w:cs="Century Gothic"/>
          <w:b/>
          <w:color w:val="000000" w:themeColor="text1"/>
          <w:sz w:val="20"/>
          <w:szCs w:val="20"/>
          <w:lang w:val="es-ES"/>
        </w:rPr>
      </w:pPr>
    </w:p>
    <w:p w14:paraId="269A98E5" w14:textId="77777777" w:rsidR="006D7914" w:rsidRPr="00D35E1F" w:rsidRDefault="006D7914" w:rsidP="006D7914">
      <w:pPr>
        <w:spacing w:after="0"/>
        <w:ind w:left="720" w:right="709"/>
        <w:jc w:val="both"/>
        <w:rPr>
          <w:rFonts w:ascii="Verdana" w:eastAsia="Century Gothic" w:hAnsi="Verdana" w:cs="Century Gothic"/>
          <w:i/>
          <w:color w:val="000000" w:themeColor="text1"/>
          <w:sz w:val="20"/>
          <w:szCs w:val="20"/>
          <w:lang/>
        </w:rPr>
      </w:pPr>
      <w:r w:rsidRPr="00BF306B">
        <w:rPr>
          <w:rFonts w:ascii="Verdana" w:eastAsia="Century Gothic" w:hAnsi="Verdana" w:cs="Century Gothic"/>
          <w:i/>
          <w:color w:val="000000" w:themeColor="text1"/>
          <w:sz w:val="20"/>
          <w:szCs w:val="20"/>
          <w:lang w:val="es-ES"/>
        </w:rPr>
        <w:t>“</w:t>
      </w:r>
      <w:r>
        <w:rPr>
          <w:rFonts w:ascii="Verdana" w:eastAsia="Century Gothic" w:hAnsi="Verdana" w:cs="Century Gothic"/>
          <w:i/>
          <w:color w:val="000000" w:themeColor="text1"/>
          <w:sz w:val="20"/>
          <w:szCs w:val="20"/>
          <w:lang w:val="es-ES"/>
        </w:rPr>
        <w:t>[…]</w:t>
      </w:r>
      <w:r w:rsidRPr="00D35E1F">
        <w:rPr>
          <w:rFonts w:ascii="Verdana" w:eastAsia="Century Gothic" w:hAnsi="Verdana" w:cs="Century Gothic"/>
          <w:i/>
          <w:color w:val="000000" w:themeColor="text1"/>
          <w:sz w:val="20"/>
          <w:szCs w:val="20"/>
          <w:lang/>
        </w:rPr>
        <w:t xml:space="preserve">se han conocido conceptos emitidos por Colombia Compra Eficiente —entre ellos la Respuesta a consulta No. 4201912000006293 y el Concepto C-1548_BP— en los cuales se señala que la enajenación de bienes por parte de entidades públicas podría estar sujeta a las restricciones de la Ley de Garantías cuando se adelante bajo la modalidad de contratación directa, particularmente durante los cuatro (4) meses anteriores a las elecciones presidenciales. </w:t>
      </w:r>
    </w:p>
    <w:p w14:paraId="13E84C41" w14:textId="77777777" w:rsidR="006D7914" w:rsidRPr="00D35E1F" w:rsidRDefault="006D7914" w:rsidP="006D7914">
      <w:pPr>
        <w:spacing w:after="0"/>
        <w:ind w:left="720" w:right="709"/>
        <w:jc w:val="both"/>
        <w:rPr>
          <w:rFonts w:ascii="Verdana" w:eastAsia="Century Gothic" w:hAnsi="Verdana" w:cs="Century Gothic"/>
          <w:i/>
          <w:color w:val="000000" w:themeColor="text1"/>
          <w:sz w:val="20"/>
          <w:szCs w:val="20"/>
          <w:lang/>
        </w:rPr>
      </w:pPr>
      <w:r w:rsidRPr="00D35E1F">
        <w:rPr>
          <w:rFonts w:ascii="Verdana" w:eastAsia="Century Gothic" w:hAnsi="Verdana" w:cs="Century Gothic"/>
          <w:i/>
          <w:color w:val="000000" w:themeColor="text1"/>
          <w:sz w:val="20"/>
          <w:szCs w:val="20"/>
          <w:lang/>
        </w:rPr>
        <w:t xml:space="preserve">En ese contexto, respetuosamente se solicita conceptuar: </w:t>
      </w:r>
    </w:p>
    <w:p w14:paraId="51C222E4" w14:textId="77777777" w:rsidR="006D7914" w:rsidRPr="00D35E1F" w:rsidRDefault="006D7914" w:rsidP="006D7914">
      <w:pPr>
        <w:spacing w:after="0"/>
        <w:ind w:left="720" w:right="709"/>
        <w:jc w:val="both"/>
        <w:rPr>
          <w:rFonts w:ascii="Verdana" w:eastAsia="Century Gothic" w:hAnsi="Verdana" w:cs="Century Gothic"/>
          <w:i/>
          <w:color w:val="000000" w:themeColor="text1"/>
          <w:sz w:val="20"/>
          <w:szCs w:val="20"/>
          <w:lang/>
        </w:rPr>
      </w:pPr>
      <w:r>
        <w:rPr>
          <w:rFonts w:ascii="Verdana" w:eastAsia="Century Gothic" w:hAnsi="Verdana" w:cs="Century Gothic"/>
          <w:i/>
          <w:color w:val="000000" w:themeColor="text1"/>
          <w:sz w:val="20"/>
          <w:szCs w:val="20"/>
          <w:lang w:val="es-ES"/>
        </w:rPr>
        <w:lastRenderedPageBreak/>
        <w:t xml:space="preserve">1. </w:t>
      </w:r>
      <w:r w:rsidRPr="00D35E1F">
        <w:rPr>
          <w:rFonts w:ascii="Verdana" w:eastAsia="Century Gothic" w:hAnsi="Verdana" w:cs="Century Gothic"/>
          <w:i/>
          <w:color w:val="000000" w:themeColor="text1"/>
          <w:sz w:val="20"/>
          <w:szCs w:val="20"/>
          <w:lang/>
        </w:rPr>
        <w:t xml:space="preserve">Si la enajenación a título gratuito de bienes muebles entre entidades públicas, cuando se realiza mediante actos administrativos de baja y transferencia y no a través de contrato estatal, se encuentra o no sometida a la restricción prevista en el artículo 33 de la Ley 996 de 2005. </w:t>
      </w:r>
    </w:p>
    <w:p w14:paraId="1FC17765" w14:textId="77777777" w:rsidR="006D7914" w:rsidRDefault="006D7914" w:rsidP="006D7914">
      <w:pPr>
        <w:spacing w:after="0"/>
        <w:ind w:left="720" w:right="709"/>
        <w:jc w:val="both"/>
        <w:rPr>
          <w:rFonts w:ascii="Verdana" w:eastAsia="Century Gothic" w:hAnsi="Verdana" w:cs="Century Gothic"/>
          <w:i/>
          <w:color w:val="000000" w:themeColor="text1"/>
          <w:sz w:val="20"/>
          <w:szCs w:val="20"/>
          <w:lang/>
        </w:rPr>
      </w:pPr>
      <w:r>
        <w:rPr>
          <w:rFonts w:ascii="Verdana" w:eastAsia="Century Gothic" w:hAnsi="Verdana" w:cs="Century Gothic"/>
          <w:i/>
          <w:color w:val="000000" w:themeColor="text1"/>
          <w:sz w:val="20"/>
          <w:szCs w:val="20"/>
          <w:lang/>
        </w:rPr>
        <w:t xml:space="preserve">2. </w:t>
      </w:r>
      <w:r w:rsidRPr="00D35E1F">
        <w:rPr>
          <w:rFonts w:ascii="Verdana" w:eastAsia="Century Gothic" w:hAnsi="Verdana" w:cs="Century Gothic"/>
          <w:i/>
          <w:color w:val="000000" w:themeColor="text1"/>
          <w:sz w:val="20"/>
          <w:szCs w:val="20"/>
          <w:lang/>
        </w:rPr>
        <w:t xml:space="preserve">Si dicha actuación puede considerarse una modalidad de contratación directa en los términos de la Ley 80 de 1993 o si, por el contrario, corresponde a un acto administrativo de gestión patrimonial excluido del régimen de prohibición electoral. </w:t>
      </w:r>
    </w:p>
    <w:p w14:paraId="5C0E2D1D" w14:textId="77777777" w:rsidR="006D7914" w:rsidRPr="00851E42" w:rsidRDefault="006D7914" w:rsidP="006D7914">
      <w:pPr>
        <w:spacing w:after="0"/>
        <w:ind w:left="720" w:right="709"/>
        <w:jc w:val="both"/>
        <w:rPr>
          <w:rFonts w:ascii="Verdana" w:eastAsia="Century Gothic" w:hAnsi="Verdana" w:cs="Century Gothic"/>
          <w:i/>
          <w:color w:val="000000" w:themeColor="text1"/>
          <w:sz w:val="20"/>
          <w:szCs w:val="20"/>
          <w:lang/>
        </w:rPr>
      </w:pPr>
      <w:r>
        <w:rPr>
          <w:rFonts w:ascii="Verdana" w:eastAsia="Century Gothic" w:hAnsi="Verdana" w:cs="Century Gothic"/>
          <w:i/>
          <w:color w:val="000000" w:themeColor="text1"/>
          <w:sz w:val="20"/>
          <w:szCs w:val="20"/>
          <w:lang/>
        </w:rPr>
        <w:t xml:space="preserve">3. </w:t>
      </w:r>
      <w:r w:rsidRPr="00D35E1F">
        <w:rPr>
          <w:rFonts w:ascii="Verdana" w:eastAsia="Century Gothic" w:hAnsi="Verdana" w:cs="Century Gothic"/>
          <w:i/>
          <w:color w:val="000000" w:themeColor="text1"/>
          <w:sz w:val="20"/>
          <w:szCs w:val="20"/>
          <w:lang/>
        </w:rPr>
        <w:t>En caso de considerarse aplicable la restricción, cuál sería la medida procedente frente a los trámites que actualmente se encuentran en curso</w:t>
      </w:r>
      <w:r w:rsidRPr="00BF306B">
        <w:rPr>
          <w:rFonts w:ascii="Verdana" w:hAnsi="Verdana"/>
          <w:sz w:val="20"/>
          <w:szCs w:val="20"/>
        </w:rPr>
        <w:t>”</w:t>
      </w:r>
      <w:r>
        <w:rPr>
          <w:rFonts w:ascii="Verdana" w:hAnsi="Verdana"/>
          <w:sz w:val="20"/>
          <w:szCs w:val="20"/>
        </w:rPr>
        <w:t>.</w:t>
      </w:r>
    </w:p>
    <w:p w14:paraId="26E5A00E" w14:textId="77777777" w:rsidR="006D7914" w:rsidRPr="00FC6F34" w:rsidRDefault="006D7914" w:rsidP="006D7914">
      <w:pPr>
        <w:spacing w:after="0" w:line="276" w:lineRule="auto"/>
        <w:ind w:right="709"/>
        <w:jc w:val="both"/>
        <w:rPr>
          <w:rFonts w:ascii="Verdana" w:eastAsia="Calibri" w:hAnsi="Verdana" w:cs="Arial"/>
          <w:lang w:val="es-ES"/>
        </w:rPr>
      </w:pPr>
    </w:p>
    <w:p w14:paraId="523A0FDA" w14:textId="77777777" w:rsidR="006D7914" w:rsidRPr="00FC6F34" w:rsidRDefault="006D7914" w:rsidP="006D7914">
      <w:pPr>
        <w:spacing w:after="120" w:line="276" w:lineRule="auto"/>
        <w:ind w:firstLine="708"/>
        <w:jc w:val="both"/>
        <w:rPr>
          <w:rFonts w:ascii="Verdana" w:eastAsia="Calibri" w:hAnsi="Verdana" w:cs="Arial"/>
          <w:color w:val="000000" w:themeColor="text1"/>
          <w:lang w:val="es-ES" w:eastAsia="es-ES"/>
        </w:rPr>
      </w:pPr>
      <w:r w:rsidRPr="00FC6F34">
        <w:rPr>
          <w:rFonts w:ascii="Verdana" w:eastAsia="Calibri" w:hAnsi="Verdana" w:cs="Arial"/>
          <w:color w:val="000000" w:themeColor="text1"/>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FC6F34">
        <w:rPr>
          <w:lang w:val="es-ES"/>
        </w:rPr>
        <w:tab/>
      </w:r>
    </w:p>
    <w:p w14:paraId="187F0513" w14:textId="77777777" w:rsidR="006D7914" w:rsidRDefault="006D7914" w:rsidP="006D7914">
      <w:pPr>
        <w:spacing w:after="0" w:line="276" w:lineRule="auto"/>
        <w:ind w:firstLine="709"/>
        <w:jc w:val="both"/>
        <w:rPr>
          <w:rFonts w:ascii="Verdana" w:eastAsia="Calibri" w:hAnsi="Verdana" w:cs="Arial"/>
          <w:color w:val="000000" w:themeColor="text1"/>
          <w:lang w:val="es-ES" w:eastAsia="es-ES"/>
        </w:rPr>
      </w:pPr>
      <w:r w:rsidRPr="00FC6F34">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w:t>
      </w:r>
      <w:r>
        <w:rPr>
          <w:rFonts w:ascii="Verdana" w:eastAsia="Calibri" w:hAnsi="Verdana" w:cs="Arial"/>
          <w:color w:val="000000" w:themeColor="text1"/>
          <w:lang w:val="es-ES" w:eastAsia="es-ES"/>
        </w:rPr>
        <w:t>atendiendo a aquellas preguntas relacionadas con el ámbito de la contratación pública.</w:t>
      </w:r>
    </w:p>
    <w:p w14:paraId="5BF26C70" w14:textId="77777777" w:rsidR="006D7914" w:rsidRPr="00FC6F34" w:rsidRDefault="006D7914" w:rsidP="006D7914">
      <w:pPr>
        <w:spacing w:after="0" w:line="276" w:lineRule="auto"/>
        <w:jc w:val="both"/>
        <w:rPr>
          <w:rFonts w:ascii="Verdana" w:eastAsia="Calibri" w:hAnsi="Verdana" w:cs="Arial"/>
          <w:color w:val="000000" w:themeColor="text1"/>
          <w:lang w:val="es-ES" w:eastAsia="es-ES"/>
        </w:rPr>
      </w:pPr>
    </w:p>
    <w:p w14:paraId="7E36E9EA" w14:textId="77777777" w:rsidR="006D7914" w:rsidRPr="00FC6F34" w:rsidRDefault="006D7914" w:rsidP="006D7914">
      <w:pPr>
        <w:pStyle w:val="Prrafodelista"/>
        <w:numPr>
          <w:ilvl w:val="0"/>
          <w:numId w:val="17"/>
        </w:numPr>
        <w:tabs>
          <w:tab w:val="left" w:pos="142"/>
          <w:tab w:val="left" w:pos="284"/>
        </w:tabs>
        <w:spacing w:after="0" w:line="276" w:lineRule="auto"/>
        <w:jc w:val="both"/>
        <w:rPr>
          <w:rFonts w:ascii="Verdana" w:eastAsia="Century Gothic" w:hAnsi="Verdana" w:cs="Century Gothic"/>
          <w:b/>
          <w:color w:val="000000" w:themeColor="text1"/>
        </w:rPr>
      </w:pPr>
      <w:r w:rsidRPr="00BF306B">
        <w:rPr>
          <w:rFonts w:ascii="Verdana" w:eastAsia="Century Gothic" w:hAnsi="Verdana" w:cs="Century Gothic"/>
          <w:b/>
          <w:color w:val="000000" w:themeColor="text1"/>
        </w:rPr>
        <w:t>Problema planteado:</w:t>
      </w:r>
    </w:p>
    <w:p w14:paraId="1BB89F0F" w14:textId="77777777" w:rsidR="006D7914" w:rsidRPr="00FC6F34" w:rsidRDefault="006D7914" w:rsidP="006D7914">
      <w:pPr>
        <w:tabs>
          <w:tab w:val="left" w:pos="426"/>
        </w:tabs>
        <w:spacing w:after="0" w:line="276" w:lineRule="auto"/>
        <w:jc w:val="both"/>
        <w:rPr>
          <w:rFonts w:ascii="Verdana" w:eastAsia="Century Gothic" w:hAnsi="Verdana" w:cs="Century Gothic"/>
          <w:color w:val="000000" w:themeColor="text1"/>
          <w:lang w:val="es-ES"/>
        </w:rPr>
      </w:pPr>
    </w:p>
    <w:p w14:paraId="14BACF67" w14:textId="77777777" w:rsidR="006D7914" w:rsidRPr="00FC6F34" w:rsidRDefault="006D7914" w:rsidP="006D7914">
      <w:pPr>
        <w:spacing w:after="0" w:line="276" w:lineRule="auto"/>
        <w:jc w:val="both"/>
        <w:rPr>
          <w:rFonts w:ascii="Verdana" w:eastAsia="Century Gothic" w:hAnsi="Verdana" w:cs="Century Gothic"/>
          <w:color w:val="000000" w:themeColor="text1"/>
          <w:lang w:val="es-ES"/>
        </w:rPr>
      </w:pPr>
      <w:r w:rsidRPr="00FC6F34">
        <w:rPr>
          <w:rFonts w:ascii="Verdana" w:eastAsia="Century Gothic" w:hAnsi="Verdana" w:cs="Century Gothic"/>
          <w:color w:val="000000" w:themeColor="text1"/>
          <w:lang w:val="es-ES"/>
        </w:rPr>
        <w:t>De acuerdo con el contenido de su solicitud, esta Agencia resolverá el siguiente problema jurídico: ¿</w:t>
      </w:r>
      <w:r>
        <w:rPr>
          <w:rFonts w:ascii="Verdana" w:eastAsia="Century Gothic" w:hAnsi="Verdana" w:cs="Century Gothic"/>
          <w:color w:val="000000" w:themeColor="text1"/>
          <w:lang w:val="es-ES"/>
        </w:rPr>
        <w:t>Cuál es el ámbito de aplicación de la Ley de Garantías con respecto a la enajenación de bienes muebles a título gratuito?</w:t>
      </w:r>
    </w:p>
    <w:p w14:paraId="5DB36ACC" w14:textId="77777777" w:rsidR="006D7914" w:rsidRPr="00FC6F34" w:rsidRDefault="006D7914" w:rsidP="006D7914">
      <w:pPr>
        <w:spacing w:after="0" w:line="276" w:lineRule="auto"/>
        <w:jc w:val="both"/>
        <w:rPr>
          <w:rFonts w:ascii="Verdana" w:eastAsia="Calibri" w:hAnsi="Verdana" w:cs="Arial"/>
          <w:color w:val="000000" w:themeColor="text1"/>
          <w:lang w:val="es-ES"/>
        </w:rPr>
      </w:pPr>
    </w:p>
    <w:p w14:paraId="4714FFC8" w14:textId="77777777" w:rsidR="006D7914" w:rsidRPr="00FC6F34" w:rsidRDefault="006D7914" w:rsidP="006D7914">
      <w:pPr>
        <w:pStyle w:val="Prrafodelista"/>
        <w:numPr>
          <w:ilvl w:val="0"/>
          <w:numId w:val="17"/>
        </w:numPr>
        <w:tabs>
          <w:tab w:val="left" w:pos="142"/>
          <w:tab w:val="left" w:pos="284"/>
        </w:tabs>
        <w:spacing w:after="0" w:line="276" w:lineRule="auto"/>
        <w:jc w:val="both"/>
        <w:rPr>
          <w:rFonts w:ascii="Verdana" w:eastAsia="Century Gothic" w:hAnsi="Verdana" w:cs="Century Gothic"/>
          <w:b/>
          <w:color w:val="000000" w:themeColor="text1"/>
        </w:rPr>
      </w:pPr>
      <w:r w:rsidRPr="00BF306B">
        <w:rPr>
          <w:rFonts w:ascii="Verdana" w:eastAsia="Century Gothic" w:hAnsi="Verdana" w:cs="Century Gothic"/>
          <w:b/>
          <w:color w:val="000000" w:themeColor="text1"/>
        </w:rPr>
        <w:t>Respuesta:</w:t>
      </w:r>
    </w:p>
    <w:p w14:paraId="0BA5762C" w14:textId="77777777" w:rsidR="006D7914" w:rsidRPr="00FC6F34" w:rsidRDefault="006D7914" w:rsidP="006D7914">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6D7914" w:rsidRPr="00FC6F34" w14:paraId="71A7E579" w14:textId="77777777" w:rsidTr="005F22F2">
        <w:tc>
          <w:tcPr>
            <w:tcW w:w="8828" w:type="dxa"/>
          </w:tcPr>
          <w:p w14:paraId="27B7499B" w14:textId="4E30935D" w:rsidR="006D7914" w:rsidRDefault="006D7914" w:rsidP="00CD7EEF">
            <w:pPr>
              <w:spacing w:after="120" w:line="276" w:lineRule="auto"/>
              <w:jc w:val="both"/>
              <w:rPr>
                <w:rFonts w:ascii="Verdana" w:eastAsia="Calibri" w:hAnsi="Verdana" w:cs="Arial"/>
                <w:lang w:val="es-ES"/>
              </w:rPr>
            </w:pPr>
            <w:r w:rsidRPr="00FC6F34">
              <w:rPr>
                <w:rFonts w:ascii="Verdana" w:eastAsia="Times New Roman" w:hAnsi="Verdana" w:cs="Arial"/>
                <w:color w:val="000000" w:themeColor="text1"/>
                <w:lang w:val="es-ES" w:eastAsia="es-ES"/>
              </w:rPr>
              <w:lastRenderedPageBreak/>
              <w:t xml:space="preserve"> </w:t>
            </w:r>
            <w:r w:rsidR="00CD7EEF">
              <w:rPr>
                <w:rFonts w:ascii="Verdana" w:eastAsia="Times New Roman" w:hAnsi="Verdana" w:cs="Arial"/>
                <w:color w:val="000000" w:themeColor="text1"/>
                <w:lang w:val="es-ES" w:eastAsia="es-ES"/>
              </w:rPr>
              <w:t>E</w:t>
            </w:r>
            <w:r w:rsidRPr="00FC6F34">
              <w:rPr>
                <w:rFonts w:ascii="Verdana" w:eastAsia="Calibri" w:hAnsi="Verdana" w:cs="Arial"/>
                <w:lang w:val="es-ES"/>
              </w:rPr>
              <w:t xml:space="preserve">l </w:t>
            </w:r>
            <w:r w:rsidRPr="00FC6F34">
              <w:rPr>
                <w:rFonts w:ascii="Verdana" w:eastAsia="Calibri" w:hAnsi="Verdana" w:cs="Arial"/>
                <w:i/>
                <w:iCs/>
                <w:lang w:val="es-ES"/>
              </w:rPr>
              <w:t xml:space="preserve">artículo 33 </w:t>
            </w:r>
            <w:r w:rsidRPr="00FC6F34">
              <w:rPr>
                <w:rFonts w:ascii="Verdana" w:eastAsia="Calibri" w:hAnsi="Verdana" w:cs="Arial"/>
                <w:lang w:val="es-ES"/>
              </w:rPr>
              <w:t xml:space="preserve">de la Ley 996 de 2005 prohíbe “[…] la contratación directa por parte de </w:t>
            </w:r>
            <w:r w:rsidRPr="00FC6F34">
              <w:rPr>
                <w:rFonts w:ascii="Verdana" w:eastAsia="Calibri" w:hAnsi="Verdana" w:cs="Arial"/>
                <w:i/>
                <w:iCs/>
                <w:lang w:val="es-ES"/>
              </w:rPr>
              <w:t>todos los entes del Estado</w:t>
            </w:r>
            <w:r w:rsidRPr="00FC6F34">
              <w:rPr>
                <w:rFonts w:ascii="Verdana" w:eastAsia="Calibri" w:hAnsi="Verdana" w:cs="Arial"/>
                <w:lang w:val="es-ES"/>
              </w:rPr>
              <w:t xml:space="preserve">” durante los cuatro (4) meses anteriores a las </w:t>
            </w:r>
            <w:r w:rsidRPr="00FC6F34">
              <w:rPr>
                <w:rFonts w:ascii="Verdana" w:eastAsia="Calibri" w:hAnsi="Verdana" w:cs="Arial"/>
                <w:i/>
                <w:iCs/>
                <w:lang w:val="es-ES"/>
              </w:rPr>
              <w:t>elecciones presidenciales</w:t>
            </w:r>
            <w:r w:rsidRPr="00FC6F34">
              <w:rPr>
                <w:rFonts w:ascii="Verdana" w:eastAsia="Calibri" w:hAnsi="Verdana" w:cs="Arial"/>
                <w:lang w:val="es-ES"/>
              </w:rPr>
              <w:t>,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FC6F34">
              <w:rPr>
                <w:rFonts w:ascii="Verdana" w:eastAsia="Calibri" w:hAnsi="Verdana" w:cs="Arial"/>
                <w:vertAlign w:val="superscript"/>
                <w:lang w:val="es-ES"/>
              </w:rPr>
              <w:footnoteReference w:id="2"/>
            </w:r>
            <w:r w:rsidRPr="00FC6F34">
              <w:rPr>
                <w:rFonts w:ascii="Verdana" w:eastAsia="Calibri" w:hAnsi="Verdana" w:cs="Arial"/>
                <w:lang w:val="es-ES"/>
              </w:rPr>
              <w:t>.</w:t>
            </w:r>
          </w:p>
          <w:p w14:paraId="3D8F90E8" w14:textId="7EAE1BA7" w:rsidR="006D7914" w:rsidRDefault="006D7914" w:rsidP="005F22F2">
            <w:pPr>
              <w:spacing w:after="120" w:line="276" w:lineRule="auto"/>
              <w:ind w:firstLine="708"/>
              <w:jc w:val="both"/>
              <w:rPr>
                <w:rFonts w:ascii="Verdana" w:eastAsia="Times New Roman" w:hAnsi="Verdana" w:cs="Arial"/>
                <w:lang w:val="es-ES"/>
              </w:rPr>
            </w:pPr>
            <w:r w:rsidRPr="00FC6F34">
              <w:rPr>
                <w:rFonts w:ascii="Verdana" w:eastAsia="Times New Roman" w:hAnsi="Verdana" w:cs="Arial"/>
                <w:lang w:val="es-ES"/>
              </w:rPr>
              <w:t xml:space="preserve">El </w:t>
            </w:r>
            <w:r w:rsidRPr="00CD0948">
              <w:rPr>
                <w:rFonts w:ascii="Verdana" w:eastAsia="Times New Roman" w:hAnsi="Verdana" w:cs="Arial"/>
                <w:i/>
                <w:iCs/>
                <w:lang w:val="es-ES"/>
              </w:rPr>
              <w:t>ámbito material</w:t>
            </w:r>
            <w:r w:rsidRPr="00FC6F34">
              <w:rPr>
                <w:rFonts w:ascii="Verdana" w:eastAsia="Times New Roman" w:hAnsi="Verdana" w:cs="Arial"/>
                <w:lang w:val="es-ES"/>
              </w:rPr>
              <w:t xml:space="preserve"> de esta prohibición </w:t>
            </w:r>
            <w:r w:rsidRPr="00FC6F34">
              <w:rPr>
                <w:rFonts w:ascii="Verdana" w:eastAsia="Times New Roman" w:hAnsi="Verdana" w:cs="Arial"/>
                <w:lang w:val="es-ES" w:eastAsia="x-none"/>
              </w:rPr>
              <w:t xml:space="preserve">se refiere a </w:t>
            </w:r>
            <w:r w:rsidRPr="00FC6F34">
              <w:rPr>
                <w:rFonts w:ascii="Verdana" w:eastAsia="Times New Roman" w:hAnsi="Verdana" w:cs="Arial"/>
                <w:sz w:val="19"/>
                <w:szCs w:val="19"/>
                <w:lang w:val="es-ES" w:eastAsia="en-GB"/>
              </w:rPr>
              <w:t>“</w:t>
            </w:r>
            <w:r w:rsidRPr="002D360F">
              <w:rPr>
                <w:rFonts w:ascii="Verdana" w:eastAsia="Times New Roman" w:hAnsi="Verdana" w:cs="Arial"/>
                <w:i/>
                <w:iCs/>
                <w:lang w:val="es-ES" w:eastAsia="x-none"/>
              </w:rPr>
              <w:t>cualquier sistema</w:t>
            </w:r>
            <w:r w:rsidRPr="00FC6F34">
              <w:rPr>
                <w:rFonts w:ascii="Verdana" w:eastAsia="Times New Roman" w:hAnsi="Verdana" w:cs="Arial"/>
                <w:lang w:val="es-ES" w:eastAsia="x-none"/>
              </w:rPr>
              <w:t xml:space="preserve"> que no implique convocatoria pública y posibilidad de pluralidad de oferentes</w:t>
            </w:r>
            <w:r w:rsidRPr="00FC6F34">
              <w:rPr>
                <w:rFonts w:ascii="Verdana" w:eastAsia="Times New Roman" w:hAnsi="Verdana" w:cs="Arial"/>
                <w:lang w:val="es-ES" w:eastAsia="en-GB"/>
              </w:rPr>
              <w:t>”</w:t>
            </w:r>
            <w:r w:rsidRPr="00FC6F34">
              <w:rPr>
                <w:rFonts w:ascii="Verdana" w:eastAsia="Times New Roman" w:hAnsi="Verdana" w:cs="Arial"/>
                <w:lang w:val="es-ES" w:eastAsia="x-none"/>
              </w:rPr>
              <w:t xml:space="preserve">, por lo que excluye las demás modalidades de contratación previstas en la Ley 1150 de 2007, es decir, la licitación pública, la selección abreviada, el concurso de méritos </w:t>
            </w:r>
            <w:r w:rsidRPr="00FC6F34">
              <w:rPr>
                <w:rFonts w:ascii="Verdana" w:eastAsia="Times New Roman" w:hAnsi="Verdana" w:cs="Arial"/>
                <w:lang w:val="es-ES"/>
              </w:rPr>
              <w:t>y la mínima cuantía</w:t>
            </w:r>
            <w:r w:rsidRPr="00FC6F34" w:rsidDel="00A85D9F">
              <w:rPr>
                <w:rFonts w:ascii="Verdana" w:eastAsia="Times New Roman" w:hAnsi="Verdana" w:cs="Arial"/>
                <w:lang w:val="es-ES" w:eastAsia="x-none"/>
              </w:rPr>
              <w:t xml:space="preserve"> </w:t>
            </w:r>
            <w:r w:rsidRPr="00FC6F34">
              <w:rPr>
                <w:rFonts w:ascii="Verdana" w:eastAsia="Times New Roman" w:hAnsi="Verdana" w:cs="Arial"/>
                <w:lang w:val="es-ES"/>
              </w:rPr>
              <w:t xml:space="preserve">u otros previstos en normas especiales. De lo anterior se desprende que la restricción aplica, sin perjuicio de las excepciones establecidas en la misma ley, para celebrar </w:t>
            </w:r>
            <w:r w:rsidRPr="00FC6F34">
              <w:rPr>
                <w:rFonts w:ascii="Verdana" w:eastAsia="Times New Roman" w:hAnsi="Verdana" w:cs="Arial"/>
                <w:i/>
                <w:iCs/>
                <w:lang w:val="es-ES"/>
              </w:rPr>
              <w:t>cualquier contrato</w:t>
            </w:r>
            <w:r>
              <w:rPr>
                <w:rFonts w:ascii="Verdana" w:eastAsia="Times New Roman" w:hAnsi="Verdana" w:cs="Arial"/>
                <w:i/>
                <w:iCs/>
                <w:lang w:val="es-ES"/>
              </w:rPr>
              <w:t xml:space="preserve"> o convenio</w:t>
            </w:r>
            <w:r w:rsidRPr="00FC6F34">
              <w:rPr>
                <w:rFonts w:ascii="Verdana" w:eastAsia="Times New Roman" w:hAnsi="Verdana" w:cs="Arial"/>
                <w:i/>
                <w:iCs/>
                <w:lang w:val="es-ES"/>
              </w:rPr>
              <w:t xml:space="preserve"> de forma directa</w:t>
            </w:r>
            <w:r w:rsidRPr="00FC6F34">
              <w:rPr>
                <w:rFonts w:ascii="Verdana" w:eastAsia="Times New Roman" w:hAnsi="Verdana" w:cs="Arial"/>
                <w:lang w:val="es-ES"/>
              </w:rPr>
              <w:t xml:space="preserve">, esto es, sin que exista un proceso abierto y competitivo. Por tanto, no son materia de la prohibición </w:t>
            </w:r>
            <w:r>
              <w:rPr>
                <w:rFonts w:ascii="Verdana" w:eastAsia="Times New Roman" w:hAnsi="Verdana" w:cs="Arial"/>
                <w:lang w:val="es-ES"/>
              </w:rPr>
              <w:t xml:space="preserve">los procesos de contratación que se adelanten mediante </w:t>
            </w:r>
            <w:r w:rsidRPr="00FC6F34">
              <w:rPr>
                <w:rFonts w:ascii="Verdana" w:eastAsia="Times New Roman" w:hAnsi="Verdana" w:cs="Arial"/>
                <w:lang w:val="es-ES"/>
              </w:rPr>
              <w:t>las demás modalidades de selección previstas en la Ley 1150 de 2007</w:t>
            </w:r>
            <w:r>
              <w:rPr>
                <w:rFonts w:ascii="Verdana" w:eastAsia="Times New Roman" w:hAnsi="Verdana" w:cs="Arial"/>
                <w:lang w:val="es-ES"/>
              </w:rPr>
              <w:t>.</w:t>
            </w:r>
          </w:p>
          <w:p w14:paraId="61E01502" w14:textId="02674932" w:rsidR="00A04EDE" w:rsidRPr="00A04EDE" w:rsidRDefault="00A04EDE" w:rsidP="00A04EDE">
            <w:pPr>
              <w:spacing w:after="120" w:line="276" w:lineRule="auto"/>
              <w:ind w:firstLine="708"/>
              <w:jc w:val="both"/>
              <w:rPr>
                <w:rFonts w:ascii="Verdana" w:eastAsia="Times New Roman" w:hAnsi="Verdana" w:cs="Arial"/>
                <w:color w:val="000000" w:themeColor="text1"/>
                <w:lang w:val="es-ES" w:eastAsia="es-ES_tradnl"/>
              </w:rPr>
            </w:pPr>
            <w:r w:rsidRPr="51C34F01">
              <w:rPr>
                <w:rFonts w:ascii="Verdana" w:eastAsia="Arial" w:hAnsi="Verdana" w:cs="Arial"/>
              </w:rPr>
              <w:t xml:space="preserve">El literal e) del numeral 2 del artículo 2 de la Ley 1150 de 2007 dispone que la enajenación de bienes del Estado, con excepción de aquellos a que se refiere la Ley 226 de 1995, se realiza a través de la </w:t>
            </w:r>
            <w:r w:rsidRPr="00F323B0">
              <w:rPr>
                <w:rFonts w:ascii="Verdana" w:eastAsia="Arial" w:hAnsi="Verdana" w:cs="Arial"/>
                <w:i/>
                <w:iCs/>
              </w:rPr>
              <w:t>modalidad de selección abreviada</w:t>
            </w:r>
            <w:r w:rsidRPr="51C34F01">
              <w:rPr>
                <w:rFonts w:ascii="Verdana" w:eastAsia="Arial" w:hAnsi="Verdana" w:cs="Arial"/>
              </w:rPr>
              <w:t xml:space="preserve">. En virtud de ello, el Decreto 1082 de 2015, por medio del cual se expide el Decreto Único Reglamentario del Sector Administrativo de Planeación Nacional, dispuso en los artículos 2.2.1.2.2.1.1. y siguientes, las reglas que deben tener en cuenta las Entidades Estatales, cuando utilicen </w:t>
            </w:r>
            <w:proofErr w:type="gramStart"/>
            <w:r w:rsidRPr="51C34F01">
              <w:rPr>
                <w:rFonts w:ascii="Verdana" w:eastAsia="Arial" w:hAnsi="Verdana" w:cs="Arial"/>
              </w:rPr>
              <w:t>dicha  modalidad</w:t>
            </w:r>
            <w:proofErr w:type="gramEnd"/>
            <w:r w:rsidRPr="51C34F01">
              <w:rPr>
                <w:rFonts w:ascii="Verdana" w:eastAsia="Arial" w:hAnsi="Verdana" w:cs="Arial"/>
              </w:rPr>
              <w:t xml:space="preserve"> de selección para enajenar</w:t>
            </w:r>
            <w:r w:rsidRPr="51C34F01">
              <w:rPr>
                <w:rFonts w:ascii="Verdana" w:eastAsia="Arial" w:hAnsi="Verdana" w:cs="Arial"/>
                <w:spacing w:val="9"/>
              </w:rPr>
              <w:t xml:space="preserve"> </w:t>
            </w:r>
            <w:r w:rsidRPr="51C34F01">
              <w:rPr>
                <w:rFonts w:ascii="Verdana" w:eastAsia="Arial" w:hAnsi="Verdana" w:cs="Arial"/>
                <w:spacing w:val="13"/>
              </w:rPr>
              <w:t xml:space="preserve">sus </w:t>
            </w:r>
            <w:r w:rsidRPr="51C34F01">
              <w:rPr>
                <w:rFonts w:ascii="Verdana" w:eastAsia="Arial" w:hAnsi="Verdana" w:cs="Arial"/>
              </w:rPr>
              <w:t xml:space="preserve">bienes fiscales, para lo cual, la Entidad Estatal interesada en realizar </w:t>
            </w:r>
            <w:proofErr w:type="gramStart"/>
            <w:r w:rsidRPr="51C34F01">
              <w:rPr>
                <w:rFonts w:ascii="Verdana" w:eastAsia="Arial" w:hAnsi="Verdana" w:cs="Arial"/>
              </w:rPr>
              <w:t>dicha proceso</w:t>
            </w:r>
            <w:proofErr w:type="gramEnd"/>
            <w:r w:rsidRPr="51C34F01">
              <w:rPr>
                <w:rFonts w:ascii="Verdana" w:eastAsia="Arial" w:hAnsi="Verdana" w:cs="Arial"/>
              </w:rPr>
              <w:t xml:space="preserve"> de enajenación deberá </w:t>
            </w:r>
            <w:r w:rsidRPr="51C34F01">
              <w:rPr>
                <w:rFonts w:ascii="Verdana" w:eastAsia="Arial" w:hAnsi="Verdana" w:cs="Arial"/>
              </w:rPr>
              <w:lastRenderedPageBreak/>
              <w:t xml:space="preserve">determinar, en primer lugar, si los bienes sobre los cuales requiere realizar la enajenación son </w:t>
            </w:r>
            <w:r w:rsidRPr="00207545">
              <w:rPr>
                <w:rFonts w:ascii="Verdana" w:eastAsia="Arial" w:hAnsi="Verdana" w:cs="Arial"/>
                <w:i/>
                <w:iCs/>
              </w:rPr>
              <w:t xml:space="preserve">muebles o inmuebles, lo que va a incidir en las reglas </w:t>
            </w:r>
            <w:r w:rsidRPr="00207545">
              <w:rPr>
                <w:rFonts w:ascii="Verdana" w:eastAsia="Arial" w:hAnsi="Verdana" w:cs="Arial"/>
                <w:i/>
                <w:iCs/>
                <w:spacing w:val="13"/>
              </w:rPr>
              <w:t>qu</w:t>
            </w:r>
            <w:r w:rsidRPr="00207545">
              <w:rPr>
                <w:rFonts w:ascii="Verdana" w:eastAsia="Arial" w:hAnsi="Verdana" w:cs="Arial"/>
                <w:i/>
                <w:iCs/>
              </w:rPr>
              <w:t>e deberá aplicar de conformidad con lo dispuesto en el Decreto 1082 de 2015</w:t>
            </w:r>
            <w:r w:rsidRPr="51C34F01">
              <w:rPr>
                <w:rFonts w:ascii="Verdana" w:eastAsia="Arial" w:hAnsi="Verdana" w:cs="Arial"/>
                <w:vertAlign w:val="superscript"/>
              </w:rPr>
              <w:footnoteReference w:id="3"/>
            </w:r>
            <w:r w:rsidRPr="51C34F01">
              <w:rPr>
                <w:rFonts w:ascii="Verdana" w:eastAsia="Arial" w:hAnsi="Verdana" w:cs="Arial"/>
              </w:rPr>
              <w:t>.</w:t>
            </w:r>
            <w:r w:rsidRPr="51C34F01">
              <w:rPr>
                <w:rFonts w:ascii="Verdana" w:eastAsia="Arial" w:hAnsi="Verdana" w:cs="Arial"/>
                <w:vertAlign w:val="superscript"/>
              </w:rPr>
              <w:t>.</w:t>
            </w:r>
          </w:p>
          <w:p w14:paraId="47B6E6B4" w14:textId="7867DE1C" w:rsidR="006D7914" w:rsidRPr="00097627" w:rsidRDefault="006D7914" w:rsidP="005F22F2">
            <w:pPr>
              <w:widowControl w:val="0"/>
              <w:autoSpaceDE w:val="0"/>
              <w:autoSpaceDN w:val="0"/>
              <w:spacing w:after="120" w:line="276" w:lineRule="auto"/>
              <w:ind w:firstLine="708"/>
              <w:jc w:val="both"/>
              <w:rPr>
                <w:rFonts w:ascii="Verdana" w:eastAsia="Arial" w:hAnsi="Verdana" w:cs="Arial"/>
                <w:lang w:val="es-ES"/>
              </w:rPr>
            </w:pPr>
            <w:r>
              <w:rPr>
                <w:rFonts w:ascii="Verdana" w:eastAsia="Arial" w:hAnsi="Verdana" w:cs="Arial"/>
                <w:lang w:val="es-ES"/>
              </w:rPr>
              <w:t>P</w:t>
            </w:r>
            <w:r>
              <w:rPr>
                <w:rFonts w:ascii="Verdana" w:eastAsia="Calibri" w:hAnsi="Verdana" w:cs="Times New Roman"/>
              </w:rPr>
              <w:t xml:space="preserve">ara la enajenación de bienes </w:t>
            </w:r>
            <w:r w:rsidRPr="00EC393D">
              <w:rPr>
                <w:rFonts w:ascii="Verdana" w:eastAsia="Calibri" w:hAnsi="Verdana" w:cs="Times New Roman"/>
                <w:i/>
                <w:iCs/>
                <w:u w:val="single"/>
              </w:rPr>
              <w:t>muebles</w:t>
            </w:r>
            <w:r>
              <w:rPr>
                <w:rFonts w:ascii="Verdana" w:eastAsia="Calibri" w:hAnsi="Verdana" w:cs="Times New Roman"/>
              </w:rPr>
              <w:t xml:space="preserve"> </w:t>
            </w:r>
            <w:r>
              <w:rPr>
                <w:rFonts w:ascii="Verdana" w:eastAsia="Arial" w:hAnsi="Verdana" w:cs="Arial"/>
                <w:lang w:val="es-ES"/>
              </w:rPr>
              <w:t xml:space="preserve">que sean dados a </w:t>
            </w:r>
            <w:r w:rsidRPr="00097627">
              <w:rPr>
                <w:rFonts w:ascii="Verdana" w:eastAsia="Arial" w:hAnsi="Verdana" w:cs="Arial"/>
                <w:lang w:val="es-ES"/>
              </w:rPr>
              <w:t>título gratuito a otras Entidades Estatales</w:t>
            </w:r>
            <w:r w:rsidR="00D23FB7">
              <w:rPr>
                <w:rFonts w:ascii="Verdana" w:eastAsia="Arial" w:hAnsi="Verdana" w:cs="Arial"/>
                <w:lang w:val="es-ES"/>
              </w:rPr>
              <w:t>,</w:t>
            </w:r>
            <w:r w:rsidRPr="00097627">
              <w:rPr>
                <w:rFonts w:ascii="Verdana" w:eastAsia="Arial" w:hAnsi="Verdana" w:cs="Arial"/>
                <w:lang w:val="es-ES"/>
              </w:rPr>
              <w:t xml:space="preserve"> en virtud de lo consagrado en el</w:t>
            </w:r>
            <w:r w:rsidRPr="00097627">
              <w:rPr>
                <w:rFonts w:ascii="Verdana" w:eastAsia="Arial" w:hAnsi="Verdana" w:cs="Arial"/>
                <w:spacing w:val="13"/>
                <w:lang w:val="es-ES"/>
              </w:rPr>
              <w:t xml:space="preserve"> </w:t>
            </w:r>
            <w:r w:rsidRPr="00097627">
              <w:rPr>
                <w:rFonts w:ascii="Verdana" w:eastAsia="Arial" w:hAnsi="Verdana" w:cs="Arial"/>
                <w:lang w:val="es-ES"/>
              </w:rPr>
              <w:t>artículo</w:t>
            </w:r>
            <w:r w:rsidRPr="00097627">
              <w:rPr>
                <w:rFonts w:ascii="Verdana" w:eastAsia="Arial" w:hAnsi="Verdana" w:cs="Arial"/>
                <w:spacing w:val="16"/>
                <w:lang w:val="es-ES"/>
              </w:rPr>
              <w:t xml:space="preserve"> </w:t>
            </w:r>
            <w:r w:rsidRPr="00097627">
              <w:rPr>
                <w:rFonts w:ascii="Verdana" w:eastAsia="Arial" w:hAnsi="Verdana" w:cs="Arial"/>
                <w:lang w:val="es-ES"/>
              </w:rPr>
              <w:t>2.2.1.2.2.4.3.</w:t>
            </w:r>
            <w:r w:rsidRPr="00097627">
              <w:rPr>
                <w:rFonts w:ascii="Verdana" w:eastAsia="Arial" w:hAnsi="Verdana" w:cs="Arial"/>
                <w:spacing w:val="12"/>
                <w:lang w:val="es-ES"/>
              </w:rPr>
              <w:t xml:space="preserve"> </w:t>
            </w:r>
            <w:r w:rsidRPr="00097627">
              <w:rPr>
                <w:rFonts w:ascii="Verdana" w:eastAsia="Arial" w:hAnsi="Verdana" w:cs="Arial"/>
                <w:lang w:val="es-ES"/>
              </w:rPr>
              <w:t xml:space="preserve">del Decreto 1082 de 2015, </w:t>
            </w:r>
            <w:r>
              <w:rPr>
                <w:rFonts w:ascii="Verdana" w:eastAsia="Arial" w:hAnsi="Verdana" w:cs="Arial"/>
                <w:lang w:val="es-ES"/>
              </w:rPr>
              <w:t xml:space="preserve">las entidades </w:t>
            </w:r>
            <w:r w:rsidRPr="00097627">
              <w:rPr>
                <w:rFonts w:ascii="Verdana" w:eastAsia="Arial" w:hAnsi="Verdana" w:cs="Arial"/>
                <w:lang w:val="es-ES"/>
              </w:rPr>
              <w:t>deberá</w:t>
            </w:r>
            <w:r>
              <w:rPr>
                <w:rFonts w:ascii="Verdana" w:eastAsia="Arial" w:hAnsi="Verdana" w:cs="Arial"/>
                <w:lang w:val="es-ES"/>
              </w:rPr>
              <w:t>n</w:t>
            </w:r>
            <w:r w:rsidRPr="00097627">
              <w:rPr>
                <w:rFonts w:ascii="Verdana" w:eastAsia="Arial" w:hAnsi="Verdana" w:cs="Arial"/>
                <w:lang w:val="es-ES"/>
              </w:rPr>
              <w:t xml:space="preserve"> realizar</w:t>
            </w:r>
            <w:r>
              <w:rPr>
                <w:rFonts w:ascii="Verdana" w:eastAsia="Arial" w:hAnsi="Verdana" w:cs="Arial"/>
                <w:lang w:val="es-ES"/>
              </w:rPr>
              <w:t xml:space="preserve"> </w:t>
            </w:r>
            <w:r w:rsidRPr="00097627">
              <w:rPr>
                <w:rFonts w:ascii="Verdana" w:eastAsia="Arial" w:hAnsi="Verdana" w:cs="Arial"/>
                <w:lang w:val="es-ES"/>
              </w:rPr>
              <w:t>un inventario de los bienes muebles que no utilizan</w:t>
            </w:r>
            <w:r>
              <w:rPr>
                <w:rFonts w:ascii="Verdana" w:eastAsia="Arial" w:hAnsi="Verdana" w:cs="Arial"/>
                <w:lang w:val="es-ES"/>
              </w:rPr>
              <w:t xml:space="preserve">. Con esto se </w:t>
            </w:r>
            <w:r w:rsidRPr="00097627">
              <w:rPr>
                <w:rFonts w:ascii="Verdana" w:eastAsia="Arial" w:hAnsi="Verdana" w:cs="Arial"/>
                <w:lang w:val="es-ES"/>
              </w:rPr>
              <w:t>habilita</w:t>
            </w:r>
            <w:r>
              <w:rPr>
                <w:rFonts w:ascii="Verdana" w:eastAsia="Arial" w:hAnsi="Verdana" w:cs="Arial"/>
                <w:lang w:val="es-ES"/>
              </w:rPr>
              <w:t xml:space="preserve"> la posibilidad de</w:t>
            </w:r>
            <w:r w:rsidRPr="00097627">
              <w:rPr>
                <w:rFonts w:ascii="Verdana" w:eastAsia="Arial" w:hAnsi="Verdana" w:cs="Arial"/>
                <w:lang w:val="es-ES"/>
              </w:rPr>
              <w:t xml:space="preserve"> ofrecerlos a título gratuito a las demás Entidades Estatales a través de un acto administrativo que deberá</w:t>
            </w:r>
            <w:r>
              <w:rPr>
                <w:rFonts w:ascii="Verdana" w:eastAsia="Arial" w:hAnsi="Verdana" w:cs="Arial"/>
                <w:lang w:val="es-ES"/>
              </w:rPr>
              <w:t>n</w:t>
            </w:r>
            <w:r w:rsidRPr="00097627">
              <w:rPr>
                <w:rFonts w:ascii="Verdana" w:eastAsia="Arial" w:hAnsi="Verdana" w:cs="Arial"/>
                <w:lang w:val="es-ES"/>
              </w:rPr>
              <w:t xml:space="preserve"> publicar en su página Web.</w:t>
            </w:r>
            <w:r w:rsidRPr="009877B5">
              <w:t xml:space="preserve"> </w:t>
            </w:r>
            <w:r w:rsidRPr="009877B5">
              <w:rPr>
                <w:rFonts w:ascii="Verdana" w:eastAsia="Arial" w:hAnsi="Verdana" w:cs="Arial"/>
                <w:lang w:val="es-ES"/>
              </w:rPr>
              <w:t xml:space="preserve">El acto administrativo que oferta bienes muebles a título gratuito entre entidades estatales cumple la función de un </w:t>
            </w:r>
            <w:r w:rsidRPr="00EC393D">
              <w:rPr>
                <w:rFonts w:ascii="Verdana" w:eastAsia="Arial" w:hAnsi="Verdana" w:cs="Arial"/>
                <w:i/>
                <w:iCs/>
                <w:lang w:val="es-ES"/>
              </w:rPr>
              <w:t>aviso de convocatoria</w:t>
            </w:r>
            <w:r w:rsidRPr="009877B5">
              <w:rPr>
                <w:rFonts w:ascii="Verdana" w:eastAsia="Arial" w:hAnsi="Verdana" w:cs="Arial"/>
                <w:lang w:val="es-ES"/>
              </w:rPr>
              <w:t>, porque es el mecanismo mediante el cual la entidad propietaria informa públicamente que dispone de determinado</w:t>
            </w:r>
            <w:r>
              <w:rPr>
                <w:rFonts w:ascii="Verdana" w:eastAsia="Arial" w:hAnsi="Verdana" w:cs="Arial"/>
                <w:lang w:val="es-ES"/>
              </w:rPr>
              <w:t xml:space="preserve">s bienes y que estos pueden solicitarse </w:t>
            </w:r>
            <w:r w:rsidRPr="009877B5">
              <w:rPr>
                <w:rFonts w:ascii="Verdana" w:eastAsia="Arial" w:hAnsi="Verdana" w:cs="Arial"/>
                <w:lang w:val="es-ES"/>
              </w:rPr>
              <w:t>p</w:t>
            </w:r>
            <w:r>
              <w:rPr>
                <w:rFonts w:ascii="Verdana" w:eastAsia="Arial" w:hAnsi="Verdana" w:cs="Arial"/>
                <w:lang w:val="es-ES"/>
              </w:rPr>
              <w:t xml:space="preserve">or otras entidades interesadas. Dicho acto administrativo </w:t>
            </w:r>
            <w:r w:rsidRPr="009877B5">
              <w:rPr>
                <w:rFonts w:ascii="Verdana" w:eastAsia="Arial" w:hAnsi="Verdana" w:cs="Arial"/>
                <w:lang w:val="es-ES"/>
              </w:rPr>
              <w:t xml:space="preserve">garantiza la transparencia y publicidad del proceso, pues permite que </w:t>
            </w:r>
            <w:r w:rsidRPr="00EC393D">
              <w:rPr>
                <w:rFonts w:ascii="Verdana" w:eastAsia="Arial" w:hAnsi="Verdana" w:cs="Arial"/>
                <w:i/>
                <w:iCs/>
                <w:lang w:val="es-ES"/>
              </w:rPr>
              <w:t>todas las entidades estatales potencialmente beneficiarias tengan conocimiento de la oferta y puedan manifestar su interés en recibir los bienes</w:t>
            </w:r>
            <w:r>
              <w:rPr>
                <w:rFonts w:ascii="Verdana" w:eastAsia="Arial" w:hAnsi="Verdana" w:cs="Arial"/>
                <w:lang w:val="es-ES"/>
              </w:rPr>
              <w:t xml:space="preserve">. </w:t>
            </w:r>
          </w:p>
          <w:p w14:paraId="4EBD59BC" w14:textId="77777777" w:rsidR="006D7914" w:rsidRDefault="006D7914" w:rsidP="005F22F2">
            <w:pPr>
              <w:widowControl w:val="0"/>
              <w:autoSpaceDE w:val="0"/>
              <w:autoSpaceDN w:val="0"/>
              <w:spacing w:after="120" w:line="276" w:lineRule="auto"/>
              <w:ind w:firstLine="708"/>
              <w:jc w:val="both"/>
              <w:rPr>
                <w:rFonts w:ascii="Verdana" w:eastAsia="Arial" w:hAnsi="Verdana" w:cs="Arial"/>
                <w:lang w:val="es-ES"/>
              </w:rPr>
            </w:pPr>
            <w:r w:rsidRPr="00097627">
              <w:rPr>
                <w:rFonts w:ascii="Verdana" w:eastAsia="Arial" w:hAnsi="Verdana" w:cs="Arial"/>
                <w:lang w:val="es-ES"/>
              </w:rPr>
              <w:t xml:space="preserve">Posterior a ello, la norma en mención indica que dentro de los treinta (30) días calendario siguientes a la fecha de publicación del acto administrativo, la Entidad Estatal interesada en adquirir estos bienes a título gratuito debe manifestar su interés, y con ella, debe señalar la necesidad funcional que pretende satisfacer con el bien </w:t>
            </w:r>
            <w:proofErr w:type="gramStart"/>
            <w:r w:rsidRPr="00097627">
              <w:rPr>
                <w:rFonts w:ascii="Verdana" w:eastAsia="Arial" w:hAnsi="Verdana" w:cs="Arial"/>
                <w:lang w:val="es-ES"/>
              </w:rPr>
              <w:t>conjuntamente con</w:t>
            </w:r>
            <w:proofErr w:type="gramEnd"/>
            <w:r w:rsidRPr="00097627">
              <w:rPr>
                <w:rFonts w:ascii="Verdana" w:eastAsia="Arial" w:hAnsi="Verdana" w:cs="Arial"/>
                <w:lang w:val="es-ES"/>
              </w:rPr>
              <w:t xml:space="preserve"> las razones que justifican su solicitud.</w:t>
            </w:r>
            <w:r>
              <w:rPr>
                <w:rFonts w:ascii="Verdana" w:eastAsia="Arial" w:hAnsi="Verdana" w:cs="Arial"/>
                <w:lang w:val="es-ES"/>
              </w:rPr>
              <w:t xml:space="preserve"> </w:t>
            </w:r>
            <w:r w:rsidRPr="00097627">
              <w:rPr>
                <w:rFonts w:ascii="Verdana" w:eastAsia="Arial" w:hAnsi="Verdana" w:cs="Arial"/>
                <w:lang w:val="es-ES"/>
              </w:rPr>
              <w:t>Finalmente, la norma señala que, si hay dos o más manifestaciones de interés de Entidades Estatales para el mismo bien, la Entidad Estatal que primero haya manifestado su interés debe tener preferencia, sin que existan más normas complementarias o posteriores que hayan regulado con mayor detalle el procedimiento en mención.</w:t>
            </w:r>
          </w:p>
          <w:p w14:paraId="5128730A" w14:textId="77777777" w:rsidR="006D7914" w:rsidRDefault="006D7914" w:rsidP="005F22F2">
            <w:pPr>
              <w:widowControl w:val="0"/>
              <w:autoSpaceDE w:val="0"/>
              <w:autoSpaceDN w:val="0"/>
              <w:spacing w:after="120" w:line="276" w:lineRule="auto"/>
              <w:ind w:firstLine="708"/>
              <w:jc w:val="both"/>
              <w:rPr>
                <w:rFonts w:ascii="Verdana" w:eastAsia="Arial" w:hAnsi="Verdana" w:cs="Arial"/>
                <w:lang w:val="es-ES"/>
              </w:rPr>
            </w:pPr>
            <w:r>
              <w:rPr>
                <w:rFonts w:ascii="Verdana" w:eastAsia="Arial" w:hAnsi="Verdana" w:cs="Arial"/>
                <w:lang w:val="es-ES"/>
              </w:rPr>
              <w:t xml:space="preserve">De esta manera, los procedimientos de contratación que adelanten las Entidades Estatales mediante la modalidad de selección abreviada para la enajenación de bienes muebles dados a título gratuito a otras entidades implican se implican la expedición de </w:t>
            </w:r>
            <w:proofErr w:type="gramStart"/>
            <w:r>
              <w:rPr>
                <w:rFonts w:ascii="Verdana" w:eastAsia="Arial" w:hAnsi="Verdana" w:cs="Arial"/>
                <w:lang w:val="es-ES"/>
              </w:rPr>
              <w:t>una acto administrativo</w:t>
            </w:r>
            <w:proofErr w:type="gramEnd"/>
            <w:r>
              <w:rPr>
                <w:rFonts w:ascii="Verdana" w:eastAsia="Arial" w:hAnsi="Verdana" w:cs="Arial"/>
                <w:lang w:val="es-ES"/>
              </w:rPr>
              <w:t xml:space="preserve"> que cumple la </w:t>
            </w:r>
            <w:r>
              <w:rPr>
                <w:rFonts w:ascii="Verdana" w:eastAsia="Arial" w:hAnsi="Verdana" w:cs="Arial"/>
                <w:lang w:val="es-ES"/>
              </w:rPr>
              <w:lastRenderedPageBreak/>
              <w:t xml:space="preserve">función de un aviso público de convocatoria. Adicionalmente, se trata de un procedimiento de selección que permite que todas las entidades puedan manifestar interés en recibir los bienes. De esta forma, se trata de un proceso de contratación estatal que incluye una convocatoria pública en alguna de sus etapas y que permite la participación de pluralidad de oferentes, requisitos establecidos por el Consejo de Estado para determinar que no se trata de un procedimiento de “contratación directa” sometido a la prohibición establecida en el artículo 33 de la Ley de Garantías Electorales. </w:t>
            </w:r>
          </w:p>
          <w:p w14:paraId="17D21622" w14:textId="77777777" w:rsidR="006D7914" w:rsidRPr="00571E66" w:rsidRDefault="006D7914" w:rsidP="005F22F2">
            <w:pPr>
              <w:widowControl w:val="0"/>
              <w:autoSpaceDE w:val="0"/>
              <w:autoSpaceDN w:val="0"/>
              <w:spacing w:after="120" w:line="276" w:lineRule="auto"/>
              <w:ind w:firstLine="708"/>
              <w:jc w:val="both"/>
              <w:rPr>
                <w:rFonts w:ascii="Verdana" w:eastAsia="Arial" w:hAnsi="Verdana" w:cs="Arial"/>
                <w:lang w:val="es-ES"/>
              </w:rPr>
            </w:pPr>
            <w:r>
              <w:rPr>
                <w:rFonts w:ascii="Verdana" w:eastAsia="Times New Roman" w:hAnsi="Verdana" w:cs="Arial"/>
                <w:lang w:val="es-ES"/>
              </w:rPr>
              <w:t>En cualquier caso, c</w:t>
            </w:r>
            <w:r w:rsidRPr="00FC6F34">
              <w:rPr>
                <w:rFonts w:ascii="Verdana" w:eastAsia="Times New Roman" w:hAnsi="Verdana" w:cs="Arial"/>
                <w:lang w:val="es-ES"/>
              </w:rPr>
              <w:t xml:space="preserve">ompete a cada </w:t>
            </w:r>
            <w:r>
              <w:rPr>
                <w:rFonts w:ascii="Verdana" w:eastAsia="Times New Roman" w:hAnsi="Verdana" w:cs="Arial"/>
                <w:lang w:val="es-ES"/>
              </w:rPr>
              <w:t>E</w:t>
            </w:r>
            <w:r w:rsidRPr="00FC6F34">
              <w:rPr>
                <w:rFonts w:ascii="Verdana" w:eastAsia="Times New Roman" w:hAnsi="Verdana" w:cs="Arial"/>
                <w:lang w:val="es-ES"/>
              </w:rPr>
              <w:t xml:space="preserve">ntidad </w:t>
            </w:r>
            <w:r>
              <w:rPr>
                <w:rFonts w:ascii="Verdana" w:eastAsia="Times New Roman" w:hAnsi="Verdana" w:cs="Arial"/>
                <w:lang w:val="es-ES"/>
              </w:rPr>
              <w:t>E</w:t>
            </w:r>
            <w:r w:rsidRPr="00FC6F34">
              <w:rPr>
                <w:rFonts w:ascii="Verdana" w:eastAsia="Times New Roman" w:hAnsi="Verdana" w:cs="Arial"/>
                <w:lang w:val="es-ES"/>
              </w:rPr>
              <w:t>statal que considera celebrar un contrato específico definir si este se enmarca</w:t>
            </w:r>
            <w:r>
              <w:rPr>
                <w:rFonts w:ascii="Verdana" w:eastAsia="Times New Roman" w:hAnsi="Verdana" w:cs="Arial"/>
                <w:lang w:val="es-ES"/>
              </w:rPr>
              <w:t xml:space="preserve"> en alguna de las prohibiciones de la Ley de Garantías Electorales</w:t>
            </w:r>
            <w:r w:rsidRPr="00FC6F34">
              <w:rPr>
                <w:rFonts w:ascii="Verdana" w:eastAsia="Times New Roman" w:hAnsi="Verdana" w:cs="Arial"/>
                <w:lang w:val="es-ES"/>
              </w:rPr>
              <w:t xml:space="preserve">. </w:t>
            </w:r>
            <w:r w:rsidRPr="00FC6F34">
              <w:rPr>
                <w:rFonts w:ascii="Verdana" w:eastAsia="Times New Roman" w:hAnsi="Verdana" w:cs="Arial"/>
                <w:color w:val="000000" w:themeColor="text1"/>
                <w:lang w:val="es-ES" w:eastAsia="es-ES"/>
              </w:rPr>
              <w:t>Dentro de este marco, la entidad contratante definirá en cada caso concreto lo relacionado con el tema objeto de consulta.</w:t>
            </w:r>
          </w:p>
        </w:tc>
      </w:tr>
    </w:tbl>
    <w:p w14:paraId="511B4BF7" w14:textId="77777777" w:rsidR="006D7914" w:rsidRPr="00FC6F34" w:rsidRDefault="006D7914" w:rsidP="006D7914">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1F3E2A0F" w14:textId="77777777" w:rsidR="006D7914" w:rsidRPr="00FC6F34" w:rsidRDefault="006D7914" w:rsidP="006D7914">
      <w:pPr>
        <w:pStyle w:val="Prrafodelista"/>
        <w:numPr>
          <w:ilvl w:val="0"/>
          <w:numId w:val="17"/>
        </w:numPr>
        <w:tabs>
          <w:tab w:val="left" w:pos="142"/>
          <w:tab w:val="left" w:pos="284"/>
        </w:tabs>
        <w:spacing w:after="0" w:line="276" w:lineRule="auto"/>
        <w:jc w:val="both"/>
        <w:rPr>
          <w:rFonts w:ascii="Verdana" w:eastAsia="Century Gothic" w:hAnsi="Verdana" w:cs="Century Gothic"/>
          <w:b/>
          <w:color w:val="000000" w:themeColor="text1"/>
        </w:rPr>
      </w:pPr>
      <w:r w:rsidRPr="00BF306B">
        <w:rPr>
          <w:rFonts w:ascii="Verdana" w:eastAsia="Century Gothic" w:hAnsi="Verdana" w:cs="Century Gothic"/>
          <w:b/>
          <w:color w:val="000000" w:themeColor="text1"/>
        </w:rPr>
        <w:t>Razones de la respuesta:</w:t>
      </w:r>
    </w:p>
    <w:p w14:paraId="2EE0476F" w14:textId="77777777" w:rsidR="006D7914" w:rsidRPr="00FC6F34" w:rsidRDefault="006D7914" w:rsidP="006D7914">
      <w:pPr>
        <w:spacing w:after="0" w:line="276" w:lineRule="auto"/>
        <w:jc w:val="both"/>
        <w:rPr>
          <w:rFonts w:ascii="Verdana" w:eastAsia="Calibri" w:hAnsi="Verdana" w:cs="Arial"/>
          <w:color w:val="000000" w:themeColor="text1"/>
          <w:lang w:val="es-ES"/>
        </w:rPr>
      </w:pPr>
    </w:p>
    <w:p w14:paraId="6D2139D3" w14:textId="77777777" w:rsidR="006D7914" w:rsidRPr="00FC6F34" w:rsidRDefault="006D7914" w:rsidP="006D7914">
      <w:pPr>
        <w:tabs>
          <w:tab w:val="left" w:pos="426"/>
        </w:tabs>
        <w:spacing w:after="120" w:line="276" w:lineRule="auto"/>
        <w:jc w:val="both"/>
        <w:rPr>
          <w:rFonts w:ascii="Verdana" w:eastAsia="Times New Roman" w:hAnsi="Verdana" w:cs="Arial"/>
          <w:lang w:val="es-ES" w:eastAsia="es-CO"/>
        </w:rPr>
      </w:pPr>
      <w:bookmarkStart w:id="1" w:name="_Hlk102983874"/>
      <w:bookmarkStart w:id="2" w:name="_Hlk102388095"/>
      <w:r w:rsidRPr="00FC6F34">
        <w:rPr>
          <w:rFonts w:ascii="Verdana" w:eastAsia="Calibri" w:hAnsi="Verdana" w:cs="Arial"/>
          <w:color w:val="000000" w:themeColor="text1"/>
          <w:lang w:val="es-ES"/>
        </w:rPr>
        <w:t>i)</w:t>
      </w:r>
      <w:r w:rsidRPr="00FC6F34">
        <w:rPr>
          <w:rFonts w:ascii="Verdana" w:eastAsia="Verdana" w:hAnsi="Verdana" w:cs="Verdana"/>
          <w:lang w:val="es-ES"/>
        </w:rPr>
        <w:t xml:space="preserve"> </w:t>
      </w:r>
      <w:r w:rsidRPr="00FC6F34">
        <w:rPr>
          <w:rFonts w:ascii="Verdana" w:eastAsia="Calibri" w:hAnsi="Verdana" w:cs="Arial"/>
          <w:lang w:val="es-ES"/>
        </w:rPr>
        <w:t>El ordenamiento jurídico colombiano contempla medidas para evitar la obtención de beneficios personales en asuntos propios de la administración pública</w:t>
      </w:r>
      <w:r w:rsidRPr="00FC6F34">
        <w:rPr>
          <w:rFonts w:ascii="Verdana" w:eastAsia="Calibri" w:hAnsi="Verdana" w:cs="Arial"/>
          <w:i/>
          <w:lang w:val="es-ES"/>
        </w:rPr>
        <w:t xml:space="preserve">. </w:t>
      </w:r>
      <w:r w:rsidRPr="00FC6F34">
        <w:rPr>
          <w:rFonts w:ascii="Verdana" w:eastAsia="Calibri" w:hAnsi="Verdana" w:cs="Arial"/>
          <w:lang w:val="es-ES"/>
        </w:rPr>
        <w:t>Por ejemplo, el artículo 127 de la Constitución Política establece una prohibición contractual a los servidores públicos y, en cuanto a aspectos políticos, señala restricciones a ciertos empleados del Estado, incluso en época no electoral</w:t>
      </w:r>
      <w:r w:rsidRPr="00FC6F34">
        <w:rPr>
          <w:rFonts w:ascii="Verdana" w:hAnsi="Verdana"/>
          <w:vertAlign w:val="superscript"/>
          <w:lang w:val="es-ES"/>
        </w:rPr>
        <w:footnoteReference w:id="4"/>
      </w:r>
      <w:r w:rsidRPr="00FC6F34">
        <w:rPr>
          <w:rFonts w:ascii="Verdana" w:eastAsia="Calibri" w:hAnsi="Verdana" w:cs="Arial"/>
          <w:lang w:val="es-ES"/>
        </w:rPr>
        <w:t xml:space="preserve">. </w:t>
      </w:r>
    </w:p>
    <w:p w14:paraId="2EB43EF3" w14:textId="77777777" w:rsidR="006D7914" w:rsidRPr="00FC6F34" w:rsidRDefault="006D7914" w:rsidP="006D7914">
      <w:pPr>
        <w:tabs>
          <w:tab w:val="left" w:pos="426"/>
        </w:tabs>
        <w:spacing w:after="120" w:line="276" w:lineRule="auto"/>
        <w:ind w:firstLine="709"/>
        <w:jc w:val="both"/>
        <w:rPr>
          <w:rFonts w:ascii="Verdana" w:eastAsia="Calibri" w:hAnsi="Verdana" w:cs="Arial"/>
          <w:lang w:val="es-ES"/>
        </w:rPr>
      </w:pPr>
      <w:r w:rsidRPr="00FC6F34">
        <w:rPr>
          <w:rFonts w:ascii="Verdana" w:eastAsia="Times New Roman" w:hAnsi="Verdana" w:cs="Arial"/>
          <w:lang w:val="es-ES" w:eastAsia="es-CO"/>
        </w:rPr>
        <w:t>En el mismo sentido, la Ley 996 de 2005, conocida como “Ley de Garantías Electorales”, se suma al andamiaje constitucional y legal que busca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FC6F34">
        <w:rPr>
          <w:rFonts w:ascii="Verdana" w:eastAsia="Times New Roman" w:hAnsi="Verdana" w:cs="Arial"/>
          <w:vertAlign w:val="superscript"/>
          <w:lang w:val="es-ES" w:eastAsia="es-CO"/>
        </w:rPr>
        <w:footnoteReference w:id="5"/>
      </w:r>
      <w:r w:rsidRPr="00FC6F34">
        <w:rPr>
          <w:rFonts w:ascii="Verdana" w:eastAsia="Times New Roman" w:hAnsi="Verdana" w:cs="Arial"/>
          <w:lang w:val="es-ES" w:eastAsia="es-CO"/>
        </w:rPr>
        <w:t xml:space="preserve">. En esta medida, introduce </w:t>
      </w:r>
      <w:r w:rsidRPr="00FC6F34">
        <w:rPr>
          <w:rFonts w:ascii="Verdana" w:eastAsia="Times New Roman" w:hAnsi="Verdana" w:cs="Arial"/>
          <w:lang w:val="es-ES" w:eastAsia="es-CO"/>
        </w:rPr>
        <w:lastRenderedPageBreak/>
        <w:t>limitaciones para realizar nombramientos, postulaciones, contrataciones o cualquier otro tipo de actividad que implique destinación de recursos públicos bajo el devenir propio de las Entidades Estatales.</w:t>
      </w:r>
      <w:r w:rsidRPr="00FC6F34">
        <w:rPr>
          <w:rFonts w:ascii="Verdana" w:eastAsia="Calibri" w:hAnsi="Verdana" w:cs="Arial"/>
          <w:lang w:val="es-ES"/>
        </w:rPr>
        <w:t xml:space="preserve"> </w:t>
      </w:r>
    </w:p>
    <w:p w14:paraId="53DFCE50" w14:textId="77777777" w:rsidR="006D7914" w:rsidRPr="00FC6F34" w:rsidRDefault="006D7914" w:rsidP="006D7914">
      <w:pPr>
        <w:tabs>
          <w:tab w:val="left" w:pos="426"/>
        </w:tabs>
        <w:spacing w:after="0" w:line="276" w:lineRule="auto"/>
        <w:ind w:firstLine="709"/>
        <w:jc w:val="both"/>
        <w:rPr>
          <w:rFonts w:ascii="Verdana" w:eastAsia="Calibri" w:hAnsi="Verdana" w:cs="Arial"/>
          <w:lang w:val="es-ES"/>
        </w:rPr>
      </w:pPr>
      <w:r w:rsidRPr="00FC6F34">
        <w:rPr>
          <w:rFonts w:ascii="Verdana" w:eastAsia="Times New Roman" w:hAnsi="Verdana" w:cs="Arial"/>
          <w:lang w:val="es-ES" w:eastAsia="es-CO"/>
        </w:rPr>
        <w:t>En armonía con lo anterior, la Corte Constitucional ha abordado la definición de la Ley de Garantías Electorales. De esta manera, explica que tiene como propósito:</w:t>
      </w:r>
    </w:p>
    <w:p w14:paraId="4BFAAB54" w14:textId="77777777" w:rsidR="006D7914" w:rsidRPr="00FC6F34" w:rsidRDefault="006D7914" w:rsidP="006D7914">
      <w:pPr>
        <w:spacing w:after="0" w:line="276" w:lineRule="auto"/>
        <w:ind w:right="709"/>
        <w:jc w:val="both"/>
        <w:rPr>
          <w:rFonts w:ascii="Verdana" w:eastAsia="Times New Roman" w:hAnsi="Verdana" w:cs="Arial"/>
          <w:lang w:val="es-ES" w:eastAsia="es-CO"/>
        </w:rPr>
      </w:pPr>
    </w:p>
    <w:p w14:paraId="6A8B8E4E" w14:textId="77777777" w:rsidR="006D7914" w:rsidRPr="00FC6F34" w:rsidRDefault="006D7914" w:rsidP="006D7914">
      <w:pPr>
        <w:spacing w:after="0" w:line="240" w:lineRule="auto"/>
        <w:ind w:left="709" w:right="709"/>
        <w:contextualSpacing/>
        <w:jc w:val="both"/>
        <w:rPr>
          <w:rFonts w:ascii="Verdana" w:eastAsia="Times New Roman" w:hAnsi="Verdana" w:cs="Arial"/>
          <w:sz w:val="20"/>
          <w:szCs w:val="20"/>
          <w:lang w:val="es-ES" w:eastAsia="es-CO"/>
        </w:rPr>
      </w:pPr>
      <w:r w:rsidRPr="00FC6F34">
        <w:rPr>
          <w:rFonts w:ascii="Verdana" w:eastAsia="Times New Roman" w:hAnsi="Verdana" w:cs="Arial"/>
          <w:sz w:val="20"/>
          <w:szCs w:val="20"/>
          <w:lang w:val="es-ES" w:eastAsia="es-CO"/>
        </w:rPr>
        <w:t>“[…] la definición de reglas claras que permitan acceder a los canales de expresión democrática de manera efectiva e igualitaria. El objetivo de una ley de garantías es definir esas reglas.</w:t>
      </w:r>
    </w:p>
    <w:p w14:paraId="06DF298B" w14:textId="77777777" w:rsidR="006D7914" w:rsidRPr="00FC6F34" w:rsidRDefault="006D7914" w:rsidP="006D7914">
      <w:pPr>
        <w:spacing w:after="0" w:line="240" w:lineRule="auto"/>
        <w:ind w:left="709" w:right="709"/>
        <w:contextualSpacing/>
        <w:jc w:val="both"/>
        <w:rPr>
          <w:rFonts w:ascii="Verdana" w:eastAsia="Times New Roman" w:hAnsi="Verdana" w:cs="Arial"/>
          <w:sz w:val="20"/>
          <w:szCs w:val="20"/>
          <w:lang w:val="es-ES" w:eastAsia="es-CO"/>
        </w:rPr>
      </w:pPr>
      <w:r w:rsidRPr="00FC6F34">
        <w:rPr>
          <w:rFonts w:ascii="Verdana" w:eastAsia="Times New Roman" w:hAnsi="Verdana" w:cs="Arial"/>
          <w:sz w:val="20"/>
          <w:szCs w:val="20"/>
          <w:lang w:val="es-ES" w:eastAsia="es-CO"/>
        </w:rPr>
        <w:t xml:space="preserve">[…] </w:t>
      </w:r>
    </w:p>
    <w:p w14:paraId="3A497FDB" w14:textId="77777777" w:rsidR="006D7914" w:rsidRPr="00FC6F34" w:rsidRDefault="006D7914" w:rsidP="006D7914">
      <w:pPr>
        <w:spacing w:after="0" w:line="240" w:lineRule="auto"/>
        <w:ind w:left="709" w:right="709"/>
        <w:contextualSpacing/>
        <w:jc w:val="both"/>
        <w:rPr>
          <w:rFonts w:ascii="Verdana" w:eastAsia="Times New Roman" w:hAnsi="Verdana" w:cs="Arial"/>
          <w:sz w:val="20"/>
          <w:szCs w:val="20"/>
          <w:lang w:val="es-ES" w:eastAsia="es-CO"/>
        </w:rPr>
      </w:pPr>
      <w:r w:rsidRPr="00FC6F34">
        <w:rPr>
          <w:rFonts w:ascii="Verdana" w:eastAsia="Times New Roman" w:hAnsi="Verdana" w:cs="Arial"/>
          <w:sz w:val="20"/>
          <w:szCs w:val="20"/>
          <w:lang w:val="es-ES"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FC6F34">
        <w:rPr>
          <w:rFonts w:ascii="Verdana" w:eastAsia="Calibri" w:hAnsi="Verdana" w:cs="Arial"/>
          <w:sz w:val="20"/>
          <w:szCs w:val="20"/>
          <w:vertAlign w:val="superscript"/>
          <w:lang w:val="es-ES"/>
        </w:rPr>
        <w:footnoteReference w:id="6"/>
      </w:r>
    </w:p>
    <w:p w14:paraId="30BABD8A" w14:textId="77777777" w:rsidR="006D7914" w:rsidRPr="00FC6F34" w:rsidRDefault="006D7914" w:rsidP="006D7914">
      <w:pPr>
        <w:spacing w:after="0" w:line="276" w:lineRule="auto"/>
        <w:ind w:firstLine="709"/>
        <w:jc w:val="both"/>
        <w:rPr>
          <w:rFonts w:ascii="Verdana" w:eastAsia="Times New Roman" w:hAnsi="Verdana" w:cs="Arial"/>
          <w:lang w:val="es-ES" w:eastAsia="es-CO"/>
        </w:rPr>
      </w:pPr>
    </w:p>
    <w:p w14:paraId="07062DD4" w14:textId="77777777" w:rsidR="006D7914" w:rsidRPr="00FC6F34" w:rsidRDefault="006D7914" w:rsidP="006D7914">
      <w:pPr>
        <w:spacing w:after="0" w:line="276" w:lineRule="auto"/>
        <w:ind w:firstLine="709"/>
        <w:jc w:val="both"/>
        <w:rPr>
          <w:rFonts w:ascii="Verdana" w:eastAsia="Times New Roman" w:hAnsi="Verdana" w:cs="Arial"/>
          <w:lang w:val="es-ES" w:eastAsia="es-CO"/>
        </w:rPr>
      </w:pPr>
      <w:r w:rsidRPr="00FC6F34">
        <w:rPr>
          <w:rFonts w:ascii="Verdana" w:eastAsia="Times New Roman" w:hAnsi="Verdana" w:cs="Arial"/>
          <w:lang w:val="es-ES" w:eastAsia="es-CO"/>
        </w:rPr>
        <w:t>En este contexto, la Ley de Garantías Electorales establece el marco jurídico para el desarrollo de las elecciones, procurando condiciones de igualdad y transparencia para los aspirantes. Paralelamente, incluye restricciones en las actuaciones de los servidores públicos, evitando interferencias en la contienda electoral, así como la posible desviación de recursos públicos en aspiraciones electorales. Por ello, varias disposiciones de la Ley 996 de 2005, al contener normas prohibitivas, deben interpretarse restrictivamente. En efecto, la Sala de Consulta y Servicio Civil del Consejo de Estado, precisó:</w:t>
      </w:r>
    </w:p>
    <w:p w14:paraId="1318D790" w14:textId="77777777" w:rsidR="006D7914" w:rsidRPr="00FC6F34" w:rsidRDefault="006D7914" w:rsidP="006D7914">
      <w:pPr>
        <w:spacing w:after="0" w:line="276" w:lineRule="auto"/>
        <w:ind w:firstLine="709"/>
        <w:jc w:val="both"/>
        <w:rPr>
          <w:rFonts w:ascii="Verdana" w:eastAsia="Times New Roman" w:hAnsi="Verdana" w:cs="Arial"/>
          <w:lang w:val="es-ES" w:eastAsia="es-CO"/>
        </w:rPr>
      </w:pPr>
    </w:p>
    <w:p w14:paraId="3B1275F8" w14:textId="77777777" w:rsidR="006D7914" w:rsidRPr="00FC6F34" w:rsidRDefault="006D7914" w:rsidP="006D7914">
      <w:pPr>
        <w:spacing w:after="0" w:line="240" w:lineRule="auto"/>
        <w:ind w:left="709" w:right="709"/>
        <w:jc w:val="both"/>
        <w:rPr>
          <w:rFonts w:ascii="Verdana" w:eastAsia="Times New Roman" w:hAnsi="Verdana" w:cs="Arial"/>
          <w:sz w:val="20"/>
          <w:szCs w:val="20"/>
          <w:lang w:val="es-ES" w:eastAsia="es-CO"/>
        </w:rPr>
      </w:pPr>
      <w:r w:rsidRPr="00FC6F34">
        <w:rPr>
          <w:rFonts w:ascii="Verdana" w:eastAsia="Times New Roman" w:hAnsi="Verdana" w:cs="Arial"/>
          <w:sz w:val="20"/>
          <w:szCs w:val="20"/>
          <w:lang w:val="es-ES"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FC6F34">
        <w:rPr>
          <w:rFonts w:ascii="Verdana" w:eastAsia="Times New Roman" w:hAnsi="Verdana" w:cs="Arial"/>
          <w:sz w:val="20"/>
          <w:szCs w:val="20"/>
          <w:lang w:val="es-ES" w:eastAsia="es-CO"/>
        </w:rPr>
        <w:t>legis</w:t>
      </w:r>
      <w:proofErr w:type="spellEnd"/>
      <w:r w:rsidRPr="00FC6F34">
        <w:rPr>
          <w:rFonts w:ascii="Verdana" w:eastAsia="Times New Roman" w:hAnsi="Verdana" w:cs="Arial"/>
          <w:sz w:val="20"/>
          <w:szCs w:val="20"/>
          <w:lang w:val="es-ES" w:eastAsia="es-CO"/>
        </w:rPr>
        <w:t xml:space="preserve"> o iuris y la interpretación extensiva. Las normas legales de contenido prohibitivo hacen parte de un conjunto de disposiciones que integran un régimen jurídico imperativo y de orden público, razón por la cual no son </w:t>
      </w:r>
      <w:r w:rsidRPr="00FC6F34">
        <w:rPr>
          <w:rFonts w:ascii="Verdana" w:eastAsia="Times New Roman" w:hAnsi="Verdana" w:cs="Arial"/>
          <w:sz w:val="20"/>
          <w:szCs w:val="20"/>
          <w:lang w:val="es-ES" w:eastAsia="es-CO"/>
        </w:rPr>
        <w:lastRenderedPageBreak/>
        <w:t>disponibles ni pueden ser derogadas, modificadas, ampliadas o adicionadas por acuerdo o convenio o acto unilateral.</w:t>
      </w:r>
    </w:p>
    <w:p w14:paraId="4E448FF2" w14:textId="77777777" w:rsidR="006D7914" w:rsidRPr="00FC6F34" w:rsidRDefault="006D7914" w:rsidP="006D7914">
      <w:pPr>
        <w:spacing w:after="0" w:line="240" w:lineRule="auto"/>
        <w:ind w:right="709"/>
        <w:jc w:val="both"/>
        <w:rPr>
          <w:rFonts w:ascii="Verdana" w:eastAsia="Times New Roman" w:hAnsi="Verdana" w:cs="Arial"/>
          <w:lang w:val="es-ES" w:eastAsia="es-CO"/>
        </w:rPr>
      </w:pPr>
    </w:p>
    <w:p w14:paraId="3753237C" w14:textId="77777777" w:rsidR="006D7914" w:rsidRPr="00FC6F34" w:rsidRDefault="006D7914" w:rsidP="006D7914">
      <w:pPr>
        <w:spacing w:after="0" w:line="240" w:lineRule="auto"/>
        <w:ind w:left="709" w:right="709"/>
        <w:jc w:val="both"/>
        <w:rPr>
          <w:rFonts w:ascii="Verdana" w:eastAsia="Times New Roman" w:hAnsi="Verdana" w:cs="Arial"/>
          <w:sz w:val="20"/>
          <w:szCs w:val="20"/>
          <w:lang w:val="es-ES" w:eastAsia="es-CO"/>
        </w:rPr>
      </w:pPr>
      <w:r w:rsidRPr="00FC6F34">
        <w:rPr>
          <w:rFonts w:ascii="Verdana" w:eastAsia="Times New Roman" w:hAnsi="Verdana" w:cs="Arial"/>
          <w:sz w:val="20"/>
          <w:szCs w:val="20"/>
          <w:lang w:val="es-ES" w:eastAsia="es-CO"/>
        </w:rPr>
        <w:t>La jurisprudencia de la Corte Constitucional</w:t>
      </w:r>
      <w:r w:rsidRPr="00FC6F34">
        <w:rPr>
          <w:rFonts w:ascii="Verdana" w:eastAsia="Times New Roman" w:hAnsi="Verdana" w:cs="Arial"/>
          <w:sz w:val="20"/>
          <w:szCs w:val="20"/>
          <w:vertAlign w:val="superscript"/>
          <w:lang w:val="es-ES" w:eastAsia="es-CO"/>
        </w:rPr>
        <w:footnoteReference w:id="7"/>
      </w:r>
      <w:r w:rsidRPr="00FC6F34">
        <w:rPr>
          <w:rFonts w:ascii="Verdana" w:eastAsia="Times New Roman" w:hAnsi="Verdana" w:cs="Arial"/>
          <w:sz w:val="20"/>
          <w:szCs w:val="20"/>
          <w:lang w:val="es-ES" w:eastAsia="es-CO"/>
        </w:rPr>
        <w:t> y del Consejo de Estado</w:t>
      </w:r>
      <w:r w:rsidRPr="00FC6F34">
        <w:rPr>
          <w:rFonts w:ascii="Verdana" w:eastAsia="Times New Roman" w:hAnsi="Verdana" w:cs="Arial"/>
          <w:sz w:val="20"/>
          <w:szCs w:val="20"/>
          <w:vertAlign w:val="superscript"/>
          <w:lang w:val="es-ES" w:eastAsia="es-CO"/>
        </w:rPr>
        <w:footnoteReference w:id="8"/>
      </w:r>
      <w:r w:rsidRPr="00FC6F34">
        <w:rPr>
          <w:rFonts w:ascii="Verdana" w:eastAsia="Times New Roman" w:hAnsi="Verdana" w:cs="Arial"/>
          <w:sz w:val="20"/>
          <w:szCs w:val="20"/>
          <w:lang w:val="es-ES"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FC6F34">
        <w:rPr>
          <w:rFonts w:ascii="Verdana" w:eastAsia="Times New Roman" w:hAnsi="Verdana" w:cs="Arial"/>
          <w:sz w:val="20"/>
          <w:szCs w:val="20"/>
          <w:vertAlign w:val="superscript"/>
          <w:lang w:val="es-ES" w:eastAsia="es-CO"/>
        </w:rPr>
        <w:footnoteReference w:id="9"/>
      </w:r>
      <w:r w:rsidRPr="00FC6F34">
        <w:rPr>
          <w:rFonts w:ascii="Verdana" w:eastAsia="Times New Roman" w:hAnsi="Verdana" w:cs="Arial"/>
          <w:sz w:val="20"/>
          <w:szCs w:val="20"/>
          <w:lang w:val="es-ES" w:eastAsia="es-CO"/>
        </w:rPr>
        <w:t>.</w:t>
      </w:r>
    </w:p>
    <w:p w14:paraId="0B852D75" w14:textId="77777777" w:rsidR="006D7914" w:rsidRPr="00FC6F34" w:rsidRDefault="006D7914" w:rsidP="006D7914">
      <w:pPr>
        <w:spacing w:after="0" w:line="276" w:lineRule="auto"/>
        <w:jc w:val="both"/>
        <w:rPr>
          <w:rFonts w:ascii="Verdana" w:eastAsia="Calibri" w:hAnsi="Verdana" w:cs="Arial"/>
          <w:bCs/>
          <w:lang w:val="es-ES"/>
        </w:rPr>
      </w:pPr>
    </w:p>
    <w:p w14:paraId="0F2D9A14" w14:textId="77777777" w:rsidR="006D7914" w:rsidRDefault="006D7914" w:rsidP="006D7914">
      <w:pPr>
        <w:spacing w:after="0" w:line="276" w:lineRule="auto"/>
        <w:ind w:firstLine="709"/>
        <w:jc w:val="both"/>
        <w:rPr>
          <w:rFonts w:ascii="Verdana" w:eastAsia="Arial" w:hAnsi="Verdana" w:cs="Arial"/>
          <w:lang w:val="es-ES" w:eastAsia="es-ES" w:bidi="es-ES"/>
        </w:rPr>
      </w:pPr>
      <w:r w:rsidRPr="00FC6F34">
        <w:rPr>
          <w:rFonts w:ascii="Verdana" w:eastAsia="Times New Roman" w:hAnsi="Verdana" w:cs="Arial"/>
          <w:lang w:val="es-ES" w:eastAsia="es-CO"/>
        </w:rPr>
        <w:t>De</w:t>
      </w:r>
      <w:r w:rsidRPr="00FC6F34">
        <w:rPr>
          <w:rFonts w:ascii="Verdana" w:eastAsia="Arial" w:hAnsi="Verdana" w:cs="Arial"/>
          <w:lang w:val="es-ES" w:eastAsia="es-ES" w:bidi="es-ES"/>
        </w:rPr>
        <w:t xml:space="preserve"> conformidad con lo anterior, la Ley de Garantías Electorales estableció una serie de regulaciones y prohibiciones dirigidas a los servidores públicos</w:t>
      </w:r>
      <w:r>
        <w:rPr>
          <w:rFonts w:ascii="Verdana" w:eastAsia="Arial" w:hAnsi="Verdana" w:cs="Arial"/>
          <w:lang w:val="es-ES" w:eastAsia="es-ES" w:bidi="es-ES"/>
        </w:rPr>
        <w:t xml:space="preserve"> en materia de contratación pública</w:t>
      </w:r>
      <w:r w:rsidRPr="00FC6F34">
        <w:rPr>
          <w:rFonts w:ascii="Verdana" w:eastAsia="Arial" w:hAnsi="Verdana" w:cs="Arial"/>
          <w:lang w:val="es-ES" w:eastAsia="es-ES" w:bidi="es-ES"/>
        </w:rPr>
        <w:t xml:space="preserve">. Con la finalidad de preservar la igualdad entre los candidatos en las elecciones, aumentó las garantías en materia de contratación, de forma que no exista siquiera sospecha de que, por ese medio, en los periodos previos a la contienda electoral, se alteren las condiciones de igualdad entre los candidatos. </w:t>
      </w:r>
    </w:p>
    <w:p w14:paraId="637CAA0F" w14:textId="77777777" w:rsidR="006D7914" w:rsidRPr="00FC6F34" w:rsidRDefault="006D7914" w:rsidP="006D7914">
      <w:pPr>
        <w:spacing w:after="0" w:line="276" w:lineRule="auto"/>
        <w:ind w:firstLine="709"/>
        <w:jc w:val="both"/>
        <w:rPr>
          <w:rFonts w:ascii="Verdana" w:eastAsia="Arial" w:hAnsi="Verdana" w:cs="Arial"/>
          <w:lang w:val="es-ES" w:eastAsia="es-ES" w:bidi="es-ES"/>
        </w:rPr>
      </w:pPr>
    </w:p>
    <w:p w14:paraId="4094F583" w14:textId="77777777" w:rsidR="006D7914" w:rsidRPr="00FC6F34" w:rsidRDefault="006D7914" w:rsidP="006D7914">
      <w:pPr>
        <w:spacing w:after="120" w:line="276" w:lineRule="auto"/>
        <w:jc w:val="both"/>
        <w:rPr>
          <w:rFonts w:ascii="Verdana" w:eastAsia="Arial" w:hAnsi="Verdana" w:cs="Arial"/>
          <w:lang w:val="es-ES" w:eastAsia="es-ES" w:bidi="es-ES"/>
        </w:rPr>
      </w:pPr>
      <w:proofErr w:type="spellStart"/>
      <w:r w:rsidRPr="00FC6F34">
        <w:rPr>
          <w:rFonts w:ascii="Verdana" w:eastAsia="Arial" w:hAnsi="Verdana" w:cs="Arial"/>
          <w:lang w:val="es-ES" w:eastAsia="es-ES" w:bidi="es-ES"/>
        </w:rPr>
        <w:t>ii</w:t>
      </w:r>
      <w:proofErr w:type="spellEnd"/>
      <w:r w:rsidRPr="00FC6F34">
        <w:rPr>
          <w:rFonts w:ascii="Verdana" w:eastAsia="Arial" w:hAnsi="Verdana" w:cs="Arial"/>
          <w:lang w:val="es-ES" w:eastAsia="es-ES" w:bidi="es-ES"/>
        </w:rPr>
        <w:t xml:space="preserve">) Las restricciones consagradas en la Ley de Garantías </w:t>
      </w:r>
      <w:r>
        <w:rPr>
          <w:rFonts w:ascii="Verdana" w:eastAsia="Arial" w:hAnsi="Verdana" w:cs="Arial"/>
          <w:lang w:val="es-ES" w:eastAsia="es-ES" w:bidi="es-ES"/>
        </w:rPr>
        <w:t xml:space="preserve">en materia de contratación pública </w:t>
      </w:r>
      <w:r w:rsidRPr="00FC6F34">
        <w:rPr>
          <w:rFonts w:ascii="Verdana" w:eastAsia="Arial" w:hAnsi="Verdana" w:cs="Arial"/>
          <w:lang w:val="es-ES" w:eastAsia="es-ES" w:bidi="es-ES"/>
        </w:rPr>
        <w:t>se dirigen a dos (2) tipos de campañas electorales diferenciadas: las presidenciales y las que se adelanten para la elección de los demás cargos de elección popular, tanto a nivel nacional como territorial.</w:t>
      </w:r>
    </w:p>
    <w:p w14:paraId="2D9B8A4B" w14:textId="77777777" w:rsidR="006D7914" w:rsidRPr="00FC6F34" w:rsidRDefault="006D7914" w:rsidP="006D7914">
      <w:pPr>
        <w:spacing w:after="120" w:line="276" w:lineRule="auto"/>
        <w:ind w:firstLine="708"/>
        <w:jc w:val="both"/>
        <w:rPr>
          <w:rFonts w:ascii="Verdana" w:eastAsia="Calibri" w:hAnsi="Verdana" w:cs="Arial"/>
          <w:lang w:val="es-ES"/>
        </w:rPr>
      </w:pPr>
      <w:r w:rsidRPr="00FC6F34">
        <w:rPr>
          <w:rFonts w:ascii="Verdana" w:eastAsia="Calibri" w:hAnsi="Verdana" w:cs="Arial"/>
          <w:lang w:val="es-ES"/>
        </w:rPr>
        <w:t xml:space="preserve">Por un lado, el </w:t>
      </w:r>
      <w:r w:rsidRPr="00FC6F34">
        <w:rPr>
          <w:rFonts w:ascii="Verdana" w:eastAsia="Calibri" w:hAnsi="Verdana" w:cs="Arial"/>
          <w:i/>
          <w:iCs/>
          <w:lang w:val="es-ES"/>
        </w:rPr>
        <w:t xml:space="preserve">artículo 33 </w:t>
      </w:r>
      <w:r w:rsidRPr="00FC6F34">
        <w:rPr>
          <w:rFonts w:ascii="Verdana" w:eastAsia="Calibri" w:hAnsi="Verdana" w:cs="Arial"/>
          <w:lang w:val="es-ES"/>
        </w:rPr>
        <w:t xml:space="preserve">de la Ley 996 de 2005 prohíbe “[…] la contratación directa por parte de </w:t>
      </w:r>
      <w:r w:rsidRPr="00FC6F34">
        <w:rPr>
          <w:rFonts w:ascii="Verdana" w:eastAsia="Calibri" w:hAnsi="Verdana" w:cs="Arial"/>
          <w:i/>
          <w:iCs/>
          <w:lang w:val="es-ES"/>
        </w:rPr>
        <w:t>todos los entes del Estado</w:t>
      </w:r>
      <w:r w:rsidRPr="00FC6F34">
        <w:rPr>
          <w:rFonts w:ascii="Verdana" w:eastAsia="Calibri" w:hAnsi="Verdana" w:cs="Arial"/>
          <w:lang w:val="es-ES"/>
        </w:rPr>
        <w:t xml:space="preserve">” durante los cuatro (4) meses anteriores a las </w:t>
      </w:r>
      <w:r w:rsidRPr="00FC6F34">
        <w:rPr>
          <w:rFonts w:ascii="Verdana" w:eastAsia="Calibri" w:hAnsi="Verdana" w:cs="Arial"/>
          <w:i/>
          <w:iCs/>
          <w:lang w:val="es-ES"/>
        </w:rPr>
        <w:t>elecciones presidenciales</w:t>
      </w:r>
      <w:r w:rsidRPr="00FC6F34">
        <w:rPr>
          <w:rFonts w:ascii="Verdana" w:eastAsia="Calibri" w:hAnsi="Verdana" w:cs="Arial"/>
          <w:lang w:val="es-ES"/>
        </w:rPr>
        <w:t xml:space="preserve">, salvo “[…] lo referente a la defensa y seguridad del Estado, los contratos de crédito público, los requeridos </w:t>
      </w:r>
      <w:r w:rsidRPr="00FC6F34">
        <w:rPr>
          <w:rFonts w:ascii="Verdana" w:eastAsia="Calibri" w:hAnsi="Verdana" w:cs="Arial"/>
          <w:lang w:val="es-ES"/>
        </w:rPr>
        <w:lastRenderedPageBreak/>
        <w:t>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FC6F34">
        <w:rPr>
          <w:rFonts w:ascii="Verdana" w:eastAsia="Calibri" w:hAnsi="Verdana" w:cs="Arial"/>
          <w:vertAlign w:val="superscript"/>
          <w:lang w:val="es-ES"/>
        </w:rPr>
        <w:footnoteReference w:id="10"/>
      </w:r>
      <w:r w:rsidRPr="00FC6F34">
        <w:rPr>
          <w:rFonts w:ascii="Verdana" w:eastAsia="Calibri" w:hAnsi="Verdana" w:cs="Arial"/>
          <w:lang w:val="es-ES"/>
        </w:rPr>
        <w:t>.</w:t>
      </w:r>
    </w:p>
    <w:p w14:paraId="431521B5" w14:textId="77777777" w:rsidR="006D7914" w:rsidRPr="00FC6F34" w:rsidRDefault="006D7914" w:rsidP="006D7914">
      <w:pPr>
        <w:widowControl w:val="0"/>
        <w:autoSpaceDE w:val="0"/>
        <w:autoSpaceDN w:val="0"/>
        <w:spacing w:after="120" w:line="276" w:lineRule="auto"/>
        <w:ind w:right="113" w:firstLine="709"/>
        <w:jc w:val="both"/>
        <w:rPr>
          <w:rFonts w:ascii="Verdana" w:eastAsia="Arial" w:hAnsi="Verdana" w:cs="Arial"/>
          <w:lang w:val="es-ES" w:eastAsia="es-ES" w:bidi="es-ES"/>
        </w:rPr>
      </w:pPr>
      <w:r w:rsidRPr="00FC6F34">
        <w:rPr>
          <w:rFonts w:ascii="Verdana" w:eastAsia="Calibri" w:hAnsi="Verdana" w:cs="Arial"/>
          <w:lang w:val="es-ES"/>
        </w:rPr>
        <w:t xml:space="preserve">Por otro lado, </w:t>
      </w:r>
      <w:r w:rsidRPr="00FC6F34">
        <w:rPr>
          <w:rFonts w:ascii="Verdana" w:eastAsia="Calibri" w:hAnsi="Verdana" w:cs="Arial"/>
          <w:i/>
          <w:iCs/>
          <w:lang w:val="es-ES"/>
        </w:rPr>
        <w:t xml:space="preserve">el parágrafo del artículo 38 </w:t>
      </w:r>
      <w:r w:rsidRPr="00FC6F34">
        <w:rPr>
          <w:rFonts w:ascii="Verdana" w:eastAsia="Calibri" w:hAnsi="Verdana" w:cs="Arial"/>
          <w:lang w:val="es-ES"/>
        </w:rPr>
        <w:t xml:space="preserve">de la Ley 996 de 2005 prevé una restricción, aplicable respecto de </w:t>
      </w:r>
      <w:r w:rsidRPr="00FC6F34">
        <w:rPr>
          <w:rFonts w:ascii="Verdana" w:eastAsia="Calibri" w:hAnsi="Verdana" w:cs="Arial"/>
          <w:i/>
          <w:iCs/>
          <w:lang w:val="es-ES"/>
        </w:rPr>
        <w:t>cualquier tipo de contienda electoral</w:t>
      </w:r>
      <w:r w:rsidRPr="00FC6F34">
        <w:rPr>
          <w:rFonts w:ascii="Verdana" w:eastAsia="Calibri" w:hAnsi="Verdana" w:cs="Arial"/>
          <w:lang w:val="es-ES"/>
        </w:rPr>
        <w:t>, que prohíbe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FC6F34">
        <w:rPr>
          <w:rFonts w:ascii="Verdana" w:eastAsia="Calibri" w:hAnsi="Verdana" w:cs="Arial"/>
          <w:vertAlign w:val="superscript"/>
          <w:lang w:val="es-ES"/>
        </w:rPr>
        <w:footnoteReference w:id="11"/>
      </w:r>
      <w:r w:rsidRPr="00FC6F34">
        <w:rPr>
          <w:rFonts w:ascii="Verdana" w:eastAsia="Calibri" w:hAnsi="Verdana" w:cs="Arial"/>
          <w:lang w:val="es-ES"/>
        </w:rPr>
        <w:t>.</w:t>
      </w:r>
      <w:r w:rsidRPr="00FC6F34">
        <w:rPr>
          <w:rFonts w:ascii="Verdana" w:eastAsia="Arial" w:hAnsi="Verdana" w:cs="Arial"/>
          <w:lang w:val="es-ES" w:eastAsia="es-ES" w:bidi="es-ES"/>
        </w:rPr>
        <w:t xml:space="preserve"> </w:t>
      </w:r>
    </w:p>
    <w:p w14:paraId="1CBAFB04" w14:textId="77777777" w:rsidR="006D7914" w:rsidRPr="00FC6F34" w:rsidRDefault="006D7914" w:rsidP="006D7914">
      <w:pPr>
        <w:widowControl w:val="0"/>
        <w:autoSpaceDE w:val="0"/>
        <w:autoSpaceDN w:val="0"/>
        <w:spacing w:after="0" w:line="276" w:lineRule="auto"/>
        <w:ind w:right="113" w:firstLine="708"/>
        <w:contextualSpacing/>
        <w:jc w:val="both"/>
        <w:rPr>
          <w:rFonts w:ascii="Verdana" w:eastAsia="Arial" w:hAnsi="Verdana" w:cs="Arial"/>
          <w:lang w:val="es-ES" w:eastAsia="es-ES" w:bidi="es-ES"/>
        </w:rPr>
      </w:pPr>
      <w:r w:rsidRPr="00FC6F34">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señala:</w:t>
      </w:r>
    </w:p>
    <w:p w14:paraId="4C3C8F43" w14:textId="77777777" w:rsidR="006D7914" w:rsidRPr="00FC6F34" w:rsidRDefault="006D7914" w:rsidP="006D7914">
      <w:pPr>
        <w:widowControl w:val="0"/>
        <w:autoSpaceDE w:val="0"/>
        <w:autoSpaceDN w:val="0"/>
        <w:spacing w:after="0" w:line="240" w:lineRule="auto"/>
        <w:ind w:left="805" w:right="812"/>
        <w:contextualSpacing/>
        <w:jc w:val="both"/>
        <w:rPr>
          <w:rFonts w:ascii="Verdana" w:eastAsia="Arial" w:hAnsi="Verdana" w:cs="Arial"/>
          <w:lang w:val="es-ES" w:eastAsia="es-ES" w:bidi="es-ES"/>
        </w:rPr>
      </w:pPr>
    </w:p>
    <w:p w14:paraId="4A50C9C4" w14:textId="77777777" w:rsidR="006D7914" w:rsidRPr="00FC6F34" w:rsidRDefault="006D7914" w:rsidP="006D7914">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r w:rsidRPr="00FC6F34">
        <w:rPr>
          <w:rFonts w:ascii="Verdana" w:eastAsia="Arial" w:hAnsi="Verdana" w:cs="Arial"/>
          <w:sz w:val="20"/>
          <w:szCs w:val="20"/>
          <w:lang w:val="es-ES"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se integran parcialmente, lo que permite concluir que </w:t>
      </w:r>
      <w:r w:rsidRPr="00FC6F34">
        <w:rPr>
          <w:rFonts w:ascii="Verdana" w:eastAsia="Arial" w:hAnsi="Verdana" w:cs="Arial"/>
          <w:sz w:val="20"/>
          <w:szCs w:val="20"/>
          <w:lang w:val="es-ES" w:eastAsia="es-ES" w:bidi="es-ES"/>
        </w:rPr>
        <w:lastRenderedPageBreak/>
        <w:t xml:space="preserve">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w:t>
      </w:r>
      <w:proofErr w:type="gramStart"/>
      <w:r w:rsidRPr="00FC6F34">
        <w:rPr>
          <w:rFonts w:ascii="Verdana" w:eastAsia="Arial" w:hAnsi="Verdana" w:cs="Arial"/>
          <w:sz w:val="20"/>
          <w:szCs w:val="20"/>
          <w:lang w:val="es-ES" w:eastAsia="es-ES" w:bidi="es-ES"/>
        </w:rPr>
        <w:t>Presidente</w:t>
      </w:r>
      <w:proofErr w:type="gramEnd"/>
      <w:r w:rsidRPr="00FC6F34">
        <w:rPr>
          <w:rFonts w:ascii="Verdana" w:eastAsia="Arial" w:hAnsi="Verdana" w:cs="Arial"/>
          <w:sz w:val="20"/>
          <w:szCs w:val="20"/>
          <w:lang w:val="es-ES" w:eastAsia="es-ES" w:bidi="es-ES"/>
        </w:rPr>
        <w:t xml:space="preserve"> de la República, a las autoridades territoriales allí mencionadas sólo se aplican las restricciones contenidas en el parágrafo del artículo 38”.</w:t>
      </w:r>
      <w:r w:rsidRPr="00FC6F34">
        <w:rPr>
          <w:rFonts w:ascii="Verdana" w:eastAsia="Arial" w:hAnsi="Verdana" w:cs="Arial"/>
          <w:sz w:val="20"/>
          <w:szCs w:val="20"/>
          <w:vertAlign w:val="superscript"/>
          <w:lang w:val="es-ES" w:eastAsia="es-ES" w:bidi="es-ES"/>
        </w:rPr>
        <w:footnoteReference w:id="12"/>
      </w:r>
    </w:p>
    <w:p w14:paraId="18594889" w14:textId="77777777" w:rsidR="006D7914" w:rsidRPr="00FC6F34" w:rsidRDefault="006D7914" w:rsidP="006D7914">
      <w:pPr>
        <w:widowControl w:val="0"/>
        <w:autoSpaceDE w:val="0"/>
        <w:autoSpaceDN w:val="0"/>
        <w:spacing w:after="0" w:line="276" w:lineRule="auto"/>
        <w:contextualSpacing/>
        <w:rPr>
          <w:rFonts w:ascii="Verdana" w:eastAsia="Arial" w:hAnsi="Verdana" w:cs="Arial"/>
          <w:lang w:val="es-ES" w:eastAsia="es-ES" w:bidi="es-ES"/>
        </w:rPr>
      </w:pPr>
    </w:p>
    <w:p w14:paraId="34406B90" w14:textId="77777777" w:rsidR="006D7914" w:rsidRPr="00FC6F34" w:rsidRDefault="006D7914" w:rsidP="006D7914">
      <w:pPr>
        <w:spacing w:after="120" w:line="276" w:lineRule="auto"/>
        <w:ind w:firstLine="709"/>
        <w:jc w:val="both"/>
        <w:rPr>
          <w:rFonts w:ascii="Verdana" w:eastAsia="Arial" w:hAnsi="Verdana" w:cs="Arial"/>
          <w:lang w:val="es-ES" w:eastAsia="es-ES" w:bidi="es-ES"/>
        </w:rPr>
      </w:pPr>
      <w:r w:rsidRPr="00FC6F34">
        <w:rPr>
          <w:rFonts w:ascii="Verdana" w:eastAsia="Arial" w:hAnsi="Verdana" w:cs="Arial"/>
          <w:lang w:val="es-ES" w:eastAsia="es-ES" w:bidi="es-ES"/>
        </w:rPr>
        <w:t xml:space="preserve">De conformidad con lo anterior, la Ley 996 de 2005 establece dos (2) tipos de restricciones en materia de contratación, las cuales coinciden parcialmente. </w:t>
      </w:r>
      <w:r w:rsidRPr="00FC6F34">
        <w:rPr>
          <w:rFonts w:ascii="Verdana" w:eastAsia="Arial" w:hAnsi="Verdana" w:cs="Arial"/>
          <w:i/>
          <w:lang w:val="es-ES" w:eastAsia="es-ES" w:bidi="es-ES"/>
        </w:rPr>
        <w:t>En primer lugar</w:t>
      </w:r>
      <w:r w:rsidRPr="00FC6F34">
        <w:rPr>
          <w:rFonts w:ascii="Verdana" w:eastAsia="Arial" w:hAnsi="Verdana" w:cs="Arial"/>
          <w:lang w:val="es-ES" w:eastAsia="es-ES" w:bidi="es-ES"/>
        </w:rPr>
        <w:t xml:space="preserve">, la del artículo 33 que aplica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FC6F34">
        <w:rPr>
          <w:rFonts w:ascii="Verdana" w:eastAsia="Arial" w:hAnsi="Verdana" w:cs="Arial"/>
          <w:i/>
          <w:lang w:val="es-ES" w:eastAsia="es-ES" w:bidi="es-ES"/>
        </w:rPr>
        <w:t>En segundo lugar</w:t>
      </w:r>
      <w:r w:rsidRPr="00FC6F34">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p>
    <w:p w14:paraId="266B4B35" w14:textId="77777777" w:rsidR="006D7914" w:rsidRPr="00FC6F34" w:rsidRDefault="006D7914" w:rsidP="006D7914">
      <w:pPr>
        <w:spacing w:after="120" w:line="276" w:lineRule="auto"/>
        <w:ind w:firstLine="709"/>
        <w:jc w:val="both"/>
        <w:rPr>
          <w:rFonts w:ascii="Verdana" w:eastAsia="Arial" w:hAnsi="Verdana" w:cs="Arial"/>
          <w:lang w:val="es-ES" w:eastAsia="es-ES" w:bidi="es-ES"/>
        </w:rPr>
      </w:pPr>
      <w:r w:rsidRPr="00FC6F34">
        <w:rPr>
          <w:rFonts w:ascii="Verdana" w:eastAsia="Arial" w:hAnsi="Verdana" w:cs="Arial"/>
          <w:lang w:val="es-ES" w:eastAsia="es-ES" w:bidi="es-ES"/>
        </w:rPr>
        <w:t xml:space="preserve">Ambas restricciones no son excluyentes, lo que permite concluir que, en el período preelectoral para elección de </w:t>
      </w:r>
      <w:proofErr w:type="gramStart"/>
      <w:r w:rsidRPr="00FC6F34">
        <w:rPr>
          <w:rFonts w:ascii="Verdana" w:eastAsia="Arial" w:hAnsi="Verdana" w:cs="Arial"/>
          <w:lang w:val="es-ES" w:eastAsia="es-ES" w:bidi="es-ES"/>
        </w:rPr>
        <w:t>Presidente</w:t>
      </w:r>
      <w:proofErr w:type="gramEnd"/>
      <w:r w:rsidRPr="00FC6F34">
        <w:rPr>
          <w:rFonts w:ascii="Verdana" w:eastAsia="Arial" w:hAnsi="Verdana" w:cs="Arial"/>
          <w:lang w:val="es-ES" w:eastAsia="es-ES" w:bidi="es-ES"/>
        </w:rPr>
        <w:t xml:space="preserve"> de la República, aplican las restricciones del artículo 33 con sus excepciones, así como las del parágrafo del artículo 38, a todos los entes del Estado. En cambio, tratándose de elecciones en general, excluyendo las correspondientes al </w:t>
      </w:r>
      <w:proofErr w:type="gramStart"/>
      <w:r w:rsidRPr="00FC6F34">
        <w:rPr>
          <w:rFonts w:ascii="Verdana" w:eastAsia="Arial" w:hAnsi="Verdana" w:cs="Arial"/>
          <w:lang w:val="es-ES" w:eastAsia="es-ES" w:bidi="es-ES"/>
        </w:rPr>
        <w:t>Presidente</w:t>
      </w:r>
      <w:proofErr w:type="gramEnd"/>
      <w:r w:rsidRPr="00FC6F34">
        <w:rPr>
          <w:rFonts w:ascii="Verdana" w:eastAsia="Arial" w:hAnsi="Verdana" w:cs="Arial"/>
          <w:lang w:val="es-ES" w:eastAsia="es-ES" w:bidi="es-ES"/>
        </w:rPr>
        <w:t xml:space="preserve"> de la República, las autoridades allí mencionadas sólo deben aplicar las restricciones contenidas en el parágrafo del artículo 38.</w:t>
      </w:r>
    </w:p>
    <w:p w14:paraId="7D30E633" w14:textId="77777777" w:rsidR="006D7914" w:rsidRPr="00FC6F34" w:rsidRDefault="006D7914" w:rsidP="006D7914">
      <w:pPr>
        <w:spacing w:after="120" w:line="276" w:lineRule="auto"/>
        <w:jc w:val="both"/>
        <w:rPr>
          <w:rFonts w:ascii="Verdana" w:eastAsia="Times New Roman" w:hAnsi="Verdana" w:cs="Arial"/>
          <w:bCs/>
          <w:lang w:val="es-ES" w:eastAsia="es-CO"/>
        </w:rPr>
      </w:pPr>
      <w:proofErr w:type="spellStart"/>
      <w:r w:rsidRPr="00FC6F34">
        <w:rPr>
          <w:rFonts w:ascii="Verdana" w:eastAsia="Calibri" w:hAnsi="Verdana" w:cs="Arial"/>
          <w:lang w:val="es-ES"/>
        </w:rPr>
        <w:t>iii</w:t>
      </w:r>
      <w:proofErr w:type="spellEnd"/>
      <w:r w:rsidRPr="00FC6F34">
        <w:rPr>
          <w:rFonts w:ascii="Verdana" w:eastAsia="Calibri" w:hAnsi="Verdana" w:cs="Arial"/>
          <w:lang w:val="es-ES"/>
        </w:rPr>
        <w:t xml:space="preserve">) </w:t>
      </w:r>
      <w:r>
        <w:rPr>
          <w:rFonts w:ascii="Verdana" w:eastAsia="Calibri" w:hAnsi="Verdana" w:cs="Arial"/>
          <w:lang w:val="es-ES" w:eastAsia="es-ES" w:bidi="es-ES"/>
        </w:rPr>
        <w:t>P</w:t>
      </w:r>
      <w:r w:rsidRPr="00FC6F34">
        <w:rPr>
          <w:rFonts w:ascii="Verdana" w:eastAsia="Calibri" w:hAnsi="Verdana" w:cs="Arial"/>
          <w:lang w:val="es-ES" w:eastAsia="es-ES" w:bidi="es-ES"/>
        </w:rPr>
        <w:t xml:space="preserve">ara responder al problema jurídico planteado es necesario precisar el alcance de la prohibición </w:t>
      </w:r>
      <w:r w:rsidRPr="00FC6F34">
        <w:rPr>
          <w:rFonts w:ascii="Verdana" w:eastAsia="Arial" w:hAnsi="Verdana" w:cs="Arial"/>
          <w:lang w:val="es-ES" w:eastAsia="es-ES" w:bidi="es-ES"/>
        </w:rPr>
        <w:t>establecida en e</w:t>
      </w:r>
      <w:r w:rsidRPr="00FC6F34">
        <w:rPr>
          <w:rFonts w:ascii="Verdana" w:eastAsia="Calibri" w:hAnsi="Verdana" w:cs="Arial"/>
          <w:lang w:val="es-ES"/>
        </w:rPr>
        <w:t xml:space="preserve">l </w:t>
      </w:r>
      <w:r w:rsidRPr="00FC6F34">
        <w:rPr>
          <w:rFonts w:ascii="Verdana" w:eastAsia="Times New Roman" w:hAnsi="Verdana" w:cs="Arial"/>
          <w:lang w:val="es-ES"/>
        </w:rPr>
        <w:t xml:space="preserve">artículo 33 de la Ley 996 de 2005. El </w:t>
      </w:r>
      <w:r w:rsidRPr="00CD0948">
        <w:rPr>
          <w:rFonts w:ascii="Verdana" w:eastAsia="Times New Roman" w:hAnsi="Verdana" w:cs="Arial"/>
          <w:i/>
          <w:iCs/>
          <w:lang w:val="es-ES"/>
        </w:rPr>
        <w:t>ámbito material</w:t>
      </w:r>
      <w:r w:rsidRPr="00FC6F34">
        <w:rPr>
          <w:rFonts w:ascii="Verdana" w:eastAsia="Times New Roman" w:hAnsi="Verdana" w:cs="Arial"/>
          <w:lang w:val="es-ES"/>
        </w:rPr>
        <w:t xml:space="preserve"> de esta prohibición está delimitado por la expresión </w:t>
      </w:r>
      <w:r w:rsidRPr="00FC6F34">
        <w:rPr>
          <w:rFonts w:ascii="Verdana" w:eastAsia="Calibri" w:hAnsi="Verdana" w:cs="Arial"/>
          <w:bCs/>
          <w:lang w:val="es-ES"/>
        </w:rPr>
        <w:t>“</w:t>
      </w:r>
      <w:r w:rsidRPr="00FC6F34">
        <w:rPr>
          <w:rFonts w:ascii="Verdana" w:eastAsia="Times New Roman" w:hAnsi="Verdana" w:cs="Arial"/>
          <w:lang w:val="es-ES"/>
        </w:rPr>
        <w:t>queda prohibida la contratación directa</w:t>
      </w:r>
      <w:r w:rsidRPr="00FC6F34">
        <w:rPr>
          <w:rFonts w:ascii="Verdana" w:eastAsia="Calibri" w:hAnsi="Verdana" w:cs="Arial"/>
          <w:lang w:val="es-ES"/>
        </w:rPr>
        <w:t>”</w:t>
      </w:r>
      <w:r w:rsidRPr="00FC6F34">
        <w:rPr>
          <w:rFonts w:ascii="Verdana" w:eastAsia="Times New Roman" w:hAnsi="Verdana" w:cs="Arial"/>
          <w:lang w:val="es-ES"/>
        </w:rPr>
        <w:t xml:space="preserve">. </w:t>
      </w:r>
      <w:r w:rsidRPr="00FC6F34">
        <w:rPr>
          <w:rFonts w:ascii="Verdana" w:eastAsia="Times New Roman" w:hAnsi="Verdana" w:cs="Arial"/>
          <w:lang w:val="es-ES" w:eastAsia="es-CO"/>
        </w:rPr>
        <w:t xml:space="preserve">A propósito de esta restricción de la Ley de </w:t>
      </w:r>
      <w:r w:rsidRPr="00FC6F34">
        <w:rPr>
          <w:rFonts w:ascii="Verdana" w:eastAsia="Times New Roman" w:hAnsi="Verdana" w:cs="Arial"/>
          <w:lang w:val="es-ES" w:eastAsia="es-CO"/>
        </w:rPr>
        <w:lastRenderedPageBreak/>
        <w:t>Garantías Electorales, la Sala de Consulta y Servicio Civil del Consejo de Estado ha considerado que:</w:t>
      </w:r>
    </w:p>
    <w:p w14:paraId="57FC2A56" w14:textId="77777777" w:rsidR="006D7914" w:rsidRPr="00FC6F34" w:rsidRDefault="006D7914" w:rsidP="006D7914">
      <w:pPr>
        <w:spacing w:after="0" w:line="240" w:lineRule="auto"/>
        <w:ind w:left="709" w:right="709"/>
        <w:jc w:val="both"/>
        <w:rPr>
          <w:rFonts w:ascii="Verdana" w:eastAsia="Calibri" w:hAnsi="Verdana" w:cs="Arial"/>
          <w:sz w:val="20"/>
          <w:szCs w:val="20"/>
          <w:lang w:val="es-ES"/>
        </w:rPr>
      </w:pPr>
      <w:r w:rsidRPr="00FC6F34">
        <w:rPr>
          <w:rFonts w:ascii="Verdana" w:eastAsia="Calibri" w:hAnsi="Verdana" w:cs="Arial"/>
          <w:sz w:val="20"/>
          <w:szCs w:val="20"/>
          <w:lang w:val="es-ES"/>
        </w:rPr>
        <w:t xml:space="preserve">“[…] Esta Sala ha entendido </w:t>
      </w:r>
      <w:proofErr w:type="gramStart"/>
      <w:r w:rsidRPr="00FC6F34">
        <w:rPr>
          <w:rFonts w:ascii="Verdana" w:eastAsia="Calibri" w:hAnsi="Verdana" w:cs="Arial"/>
          <w:sz w:val="20"/>
          <w:szCs w:val="20"/>
          <w:lang w:val="es-ES"/>
        </w:rPr>
        <w:t>que</w:t>
      </w:r>
      <w:proofErr w:type="gramEnd"/>
      <w:r w:rsidRPr="00FC6F34">
        <w:rPr>
          <w:rFonts w:ascii="Verdana" w:eastAsia="Calibri" w:hAnsi="Verdana" w:cs="Arial"/>
          <w:sz w:val="20"/>
          <w:szCs w:val="20"/>
          <w:lang w:val="es-ES"/>
        </w:rPr>
        <w:t xml:space="preserve"> para los efectos de la ley de garantías, y dada su finalidad, el enunciado ´contratación directa´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concurso</w:t>
      </w:r>
      <w:r w:rsidRPr="00FC6F34">
        <w:rPr>
          <w:rFonts w:ascii="Verdana" w:eastAsia="Times New Roman" w:hAnsi="Verdana" w:cs="Arial"/>
          <w:sz w:val="20"/>
          <w:szCs w:val="20"/>
          <w:vertAlign w:val="superscript"/>
          <w:lang w:val="es-ES"/>
        </w:rPr>
        <w:footnoteReference w:id="13"/>
      </w:r>
      <w:r w:rsidRPr="00FC6F34">
        <w:rPr>
          <w:rFonts w:ascii="Verdana" w:eastAsia="Times New Roman" w:hAnsi="Verdana" w:cs="Arial"/>
          <w:sz w:val="20"/>
          <w:szCs w:val="20"/>
          <w:vertAlign w:val="superscript"/>
          <w:lang w:val="es-ES"/>
        </w:rPr>
        <w:t>.</w:t>
      </w:r>
      <w:r w:rsidRPr="00FC6F34">
        <w:rPr>
          <w:rFonts w:ascii="Verdana" w:eastAsia="Calibri" w:hAnsi="Verdana" w:cs="Arial"/>
          <w:sz w:val="20"/>
          <w:szCs w:val="20"/>
          <w:lang w:val="es-ES"/>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sidRPr="00FC6F34">
        <w:rPr>
          <w:rFonts w:ascii="Verdana" w:eastAsia="Times New Roman" w:hAnsi="Verdana" w:cs="Arial"/>
          <w:sz w:val="20"/>
          <w:szCs w:val="20"/>
          <w:vertAlign w:val="superscript"/>
          <w:lang w:val="es-ES" w:eastAsia="es-CO"/>
        </w:rPr>
        <w:footnoteReference w:id="14"/>
      </w:r>
      <w:r w:rsidRPr="00FC6F34">
        <w:rPr>
          <w:rFonts w:ascii="Verdana" w:eastAsia="Calibri" w:hAnsi="Verdana" w:cs="Arial"/>
          <w:sz w:val="20"/>
          <w:szCs w:val="20"/>
          <w:lang w:val="es-ES"/>
        </w:rPr>
        <w:t xml:space="preserve"> .</w:t>
      </w:r>
    </w:p>
    <w:p w14:paraId="7FF11029" w14:textId="77777777" w:rsidR="006D7914" w:rsidRPr="00FC6F34" w:rsidRDefault="006D7914" w:rsidP="006D7914">
      <w:pPr>
        <w:shd w:val="clear" w:color="auto" w:fill="FFFFFF" w:themeFill="background1"/>
        <w:spacing w:after="0" w:line="276" w:lineRule="auto"/>
        <w:ind w:firstLine="709"/>
        <w:jc w:val="both"/>
        <w:rPr>
          <w:rFonts w:ascii="Verdana" w:eastAsia="Times New Roman" w:hAnsi="Verdana" w:cs="Arial"/>
          <w:lang w:val="es-ES" w:eastAsia="x-none"/>
        </w:rPr>
      </w:pPr>
    </w:p>
    <w:p w14:paraId="5E05FCD0" w14:textId="77777777" w:rsidR="006D7914" w:rsidRPr="00FC6F34" w:rsidRDefault="006D7914" w:rsidP="006D7914">
      <w:pPr>
        <w:spacing w:after="120" w:line="276" w:lineRule="auto"/>
        <w:ind w:firstLine="708"/>
        <w:jc w:val="both"/>
        <w:rPr>
          <w:rFonts w:ascii="Verdana" w:eastAsia="Times New Roman" w:hAnsi="Verdana" w:cs="Arial"/>
          <w:bCs/>
          <w:lang w:val="es-ES" w:eastAsia="x-none"/>
        </w:rPr>
      </w:pPr>
      <w:r w:rsidRPr="00FC6F34">
        <w:rPr>
          <w:rFonts w:ascii="Verdana" w:eastAsia="Times New Roman" w:hAnsi="Verdana" w:cs="Arial"/>
          <w:lang w:val="es-ES" w:eastAsia="x-none"/>
        </w:rPr>
        <w:t xml:space="preserve">De acuerdo con este concepto, la prohibición del artículo 33 de la Ley de Garantías Electorales se refiere a </w:t>
      </w:r>
      <w:r w:rsidRPr="00FC6F34">
        <w:rPr>
          <w:rFonts w:ascii="Verdana" w:eastAsia="Times New Roman" w:hAnsi="Verdana" w:cs="Arial"/>
          <w:sz w:val="19"/>
          <w:szCs w:val="19"/>
          <w:lang w:val="es-ES" w:eastAsia="en-GB"/>
        </w:rPr>
        <w:t>“</w:t>
      </w:r>
      <w:r w:rsidRPr="002D360F">
        <w:rPr>
          <w:rFonts w:ascii="Verdana" w:eastAsia="Times New Roman" w:hAnsi="Verdana" w:cs="Arial"/>
          <w:i/>
          <w:iCs/>
          <w:lang w:val="es-ES" w:eastAsia="x-none"/>
        </w:rPr>
        <w:t>cualquier sistema</w:t>
      </w:r>
      <w:r w:rsidRPr="00FC6F34">
        <w:rPr>
          <w:rFonts w:ascii="Verdana" w:eastAsia="Times New Roman" w:hAnsi="Verdana" w:cs="Arial"/>
          <w:lang w:val="es-ES" w:eastAsia="x-none"/>
        </w:rPr>
        <w:t xml:space="preserve"> que no implique convocatoria pública y posibilidad de pluralidad de oferentes</w:t>
      </w:r>
      <w:r w:rsidRPr="00FC6F34">
        <w:rPr>
          <w:rFonts w:ascii="Verdana" w:eastAsia="Times New Roman" w:hAnsi="Verdana" w:cs="Arial"/>
          <w:lang w:val="es-ES" w:eastAsia="en-GB"/>
        </w:rPr>
        <w:t>”</w:t>
      </w:r>
      <w:r w:rsidRPr="00FC6F34">
        <w:rPr>
          <w:rFonts w:ascii="Verdana" w:eastAsia="Times New Roman" w:hAnsi="Verdana" w:cs="Arial"/>
          <w:lang w:val="es-ES" w:eastAsia="x-none"/>
        </w:rPr>
        <w:t xml:space="preserve">, por lo que excluye las demás modalidades de contratación previstas en la Ley 1150 de 2007, es decir, la licitación pública, la selección abreviada, el concurso de méritos </w:t>
      </w:r>
      <w:r w:rsidRPr="00FC6F34">
        <w:rPr>
          <w:rFonts w:ascii="Verdana" w:eastAsia="Times New Roman" w:hAnsi="Verdana" w:cs="Arial"/>
          <w:lang w:val="es-ES"/>
        </w:rPr>
        <w:t>y la mínima cuantía</w:t>
      </w:r>
      <w:r w:rsidRPr="00FC6F34" w:rsidDel="00A85D9F">
        <w:rPr>
          <w:rFonts w:ascii="Verdana" w:eastAsia="Times New Roman" w:hAnsi="Verdana" w:cs="Arial"/>
          <w:lang w:val="es-ES" w:eastAsia="x-none"/>
        </w:rPr>
        <w:t xml:space="preserve"> </w:t>
      </w:r>
      <w:r w:rsidRPr="00FC6F34">
        <w:rPr>
          <w:rFonts w:ascii="Verdana" w:eastAsia="Times New Roman" w:hAnsi="Verdana" w:cs="Arial"/>
          <w:lang w:val="es-ES"/>
        </w:rPr>
        <w:t xml:space="preserve">u otros previstos en normas especiales. </w:t>
      </w:r>
      <w:r w:rsidRPr="00FC6F34">
        <w:rPr>
          <w:rFonts w:ascii="Verdana" w:eastAsia="Times New Roman" w:hAnsi="Verdana" w:cs="Arial"/>
          <w:lang w:val="es-ES" w:eastAsia="x-none"/>
        </w:rPr>
        <w:t>Esta posición es congruente con la expedición de la Ley 1150 de 2007 que, entre otras reformas, introdujo la selección abreviada, rediseñó el concurso de méritos</w:t>
      </w:r>
      <w:r w:rsidRPr="00FC6F34">
        <w:rPr>
          <w:rFonts w:ascii="Verdana" w:eastAsia="Times New Roman" w:hAnsi="Verdana" w:cs="Arial"/>
          <w:vertAlign w:val="superscript"/>
          <w:lang w:val="es-ES" w:eastAsia="x-none"/>
        </w:rPr>
        <w:footnoteReference w:id="15"/>
      </w:r>
      <w:r w:rsidRPr="00FC6F34">
        <w:rPr>
          <w:rFonts w:ascii="Verdana" w:eastAsia="Times New Roman" w:hAnsi="Verdana" w:cs="Arial"/>
          <w:lang w:val="es-ES" w:eastAsia="x-none"/>
        </w:rPr>
        <w:t xml:space="preserve"> y sistematizó las causales de contratación directa</w:t>
      </w:r>
      <w:r w:rsidRPr="00FC6F34">
        <w:rPr>
          <w:rFonts w:ascii="Verdana" w:eastAsia="Times New Roman" w:hAnsi="Verdana" w:cs="Arial"/>
          <w:vertAlign w:val="superscript"/>
          <w:lang w:val="es-ES" w:eastAsia="x-none"/>
        </w:rPr>
        <w:footnoteReference w:id="16"/>
      </w:r>
      <w:r w:rsidRPr="00FC6F34">
        <w:rPr>
          <w:rFonts w:ascii="Verdana" w:eastAsia="Times New Roman" w:hAnsi="Verdana" w:cs="Arial"/>
          <w:lang w:val="es-ES" w:eastAsia="x-none"/>
        </w:rPr>
        <w:t xml:space="preserve">, </w:t>
      </w:r>
      <w:r w:rsidRPr="00FC6F34">
        <w:rPr>
          <w:rFonts w:ascii="Verdana" w:eastAsia="Calibri" w:hAnsi="Verdana" w:cs="Arial"/>
          <w:lang w:val="es-ES" w:eastAsia="x-none"/>
        </w:rPr>
        <w:t>además lo es con la posterior creación de la modalidad de mínima cuantía establecida actualmente en el numeral 5 del artículo 2 de la Ley 1150 de 2007, de acuerdo con las modificaciones realizadas por leyes posteriores.</w:t>
      </w:r>
    </w:p>
    <w:p w14:paraId="26C0A496" w14:textId="77777777" w:rsidR="006D7914" w:rsidRPr="00FC6F34" w:rsidRDefault="006D7914" w:rsidP="006D7914">
      <w:pPr>
        <w:spacing w:after="120" w:line="276" w:lineRule="auto"/>
        <w:ind w:firstLine="708"/>
        <w:jc w:val="both"/>
        <w:rPr>
          <w:rFonts w:ascii="Verdana" w:eastAsia="Times New Roman" w:hAnsi="Verdana" w:cs="Arial"/>
          <w:bCs/>
          <w:lang w:val="es-ES" w:eastAsia="es-CO"/>
        </w:rPr>
      </w:pPr>
      <w:r w:rsidRPr="00FC6F34">
        <w:rPr>
          <w:rFonts w:ascii="Verdana" w:eastAsia="Times New Roman" w:hAnsi="Verdana" w:cs="Arial"/>
          <w:bCs/>
          <w:lang w:val="es-ES" w:eastAsia="es-CO"/>
        </w:rPr>
        <w:t xml:space="preserve">Como se advierte de lo anterior, el Consejo de Estado realiza una interpretación amplia de la contratación directa, para efectos de aplicar las restricciones establecidas en la Ley de Garantías Electorales, al señalar que no solo aplica frente a las entidades sometidas al Estatuto </w:t>
      </w:r>
      <w:r>
        <w:rPr>
          <w:rFonts w:ascii="Verdana" w:eastAsia="Times New Roman" w:hAnsi="Verdana" w:cs="Arial"/>
          <w:bCs/>
          <w:lang w:val="es-ES" w:eastAsia="es-CO"/>
        </w:rPr>
        <w:t>G</w:t>
      </w:r>
      <w:r w:rsidRPr="00FC6F34">
        <w:rPr>
          <w:rFonts w:ascii="Verdana" w:eastAsia="Times New Roman" w:hAnsi="Verdana" w:cs="Arial"/>
          <w:bCs/>
          <w:lang w:val="es-ES" w:eastAsia="es-CO"/>
        </w:rPr>
        <w:t>eneral de Contratación de la Administración Pública</w:t>
      </w:r>
      <w:r w:rsidRPr="00FC6F34">
        <w:rPr>
          <w:rFonts w:ascii="Verdana" w:eastAsia="Times New Roman" w:hAnsi="Verdana" w:cs="Arial"/>
          <w:bCs/>
          <w:i/>
          <w:iCs/>
          <w:lang w:val="es-ES" w:eastAsia="es-CO"/>
        </w:rPr>
        <w:t>, sino también frente a las entidades que tengan un régimen especial de contratación</w:t>
      </w:r>
      <w:r w:rsidRPr="00FC6F34">
        <w:rPr>
          <w:rFonts w:ascii="Verdana" w:eastAsia="Times New Roman" w:hAnsi="Verdana" w:cs="Arial"/>
          <w:bCs/>
          <w:lang w:val="es-ES" w:eastAsia="es-CO"/>
        </w:rPr>
        <w:t xml:space="preserve">. No obstante, también se observa que luego de la expedición de Ley 1150 de 2007, el Consejo de Estado comenzó a delimitar </w:t>
      </w:r>
      <w:r w:rsidRPr="00FC6F34">
        <w:rPr>
          <w:rFonts w:ascii="Verdana" w:eastAsia="Times New Roman" w:hAnsi="Verdana" w:cs="Arial"/>
          <w:bCs/>
          <w:lang w:val="es-ES" w:eastAsia="es-CO"/>
        </w:rPr>
        <w:lastRenderedPageBreak/>
        <w:t xml:space="preserve">con mayor precisión el término de “contratación directa”. </w:t>
      </w:r>
      <w:r w:rsidRPr="00FC6F34">
        <w:rPr>
          <w:rFonts w:ascii="Verdana" w:eastAsia="Times New Roman" w:hAnsi="Verdana" w:cs="Arial"/>
          <w:lang w:val="es-ES"/>
        </w:rPr>
        <w:t xml:space="preserve">Así, para la prohibición o restricción temporal contenida en su artículo 33, “contratación directa” es </w:t>
      </w:r>
      <w:r w:rsidRPr="00CD0948">
        <w:rPr>
          <w:rFonts w:ascii="Verdana" w:eastAsia="Times New Roman" w:hAnsi="Verdana" w:cs="Arial"/>
          <w:i/>
          <w:iCs/>
          <w:lang w:val="es-ES"/>
        </w:rPr>
        <w:t>cualquier</w:t>
      </w:r>
      <w:r w:rsidRPr="00FC6F34">
        <w:rPr>
          <w:rFonts w:ascii="Verdana" w:eastAsia="Times New Roman" w:hAnsi="Verdana" w:cs="Arial"/>
          <w:lang w:val="es-ES"/>
        </w:rPr>
        <w:t xml:space="preserve"> sistema de selección o procedimiento de contratación utilizado por las entidades estatales que no incluya la convocatoria pública en alguna de sus etapas, ni permita la participación de una pluralidad de oferentes</w:t>
      </w:r>
      <w:r w:rsidRPr="00FC6F34">
        <w:rPr>
          <w:rFonts w:ascii="Verdana" w:eastAsia="Times New Roman" w:hAnsi="Verdana" w:cs="Arial"/>
          <w:vertAlign w:val="superscript"/>
          <w:lang w:val="es-ES" w:eastAsia="x-none"/>
        </w:rPr>
        <w:footnoteReference w:id="17"/>
      </w:r>
      <w:r w:rsidRPr="00FC6F34">
        <w:rPr>
          <w:rFonts w:ascii="Verdana" w:eastAsia="Times New Roman" w:hAnsi="Verdana" w:cs="Arial"/>
          <w:lang w:val="es-ES"/>
        </w:rPr>
        <w:t>.</w:t>
      </w:r>
      <w:r w:rsidRPr="00FC6F34">
        <w:rPr>
          <w:rFonts w:ascii="Verdana" w:eastAsia="Times New Roman" w:hAnsi="Verdana" w:cs="Arial"/>
          <w:vertAlign w:val="superscript"/>
          <w:lang w:val="es-ES" w:eastAsia="x-none"/>
        </w:rPr>
        <w:t xml:space="preserve"> </w:t>
      </w:r>
    </w:p>
    <w:p w14:paraId="4776CCFB" w14:textId="77777777" w:rsidR="006D7914" w:rsidRPr="00FC6F34" w:rsidRDefault="006D7914" w:rsidP="006D7914">
      <w:pPr>
        <w:spacing w:after="0" w:line="276" w:lineRule="auto"/>
        <w:ind w:firstLine="708"/>
        <w:jc w:val="both"/>
        <w:rPr>
          <w:rFonts w:ascii="Verdana" w:eastAsia="Times New Roman" w:hAnsi="Verdana" w:cs="Arial"/>
          <w:lang w:val="es-ES"/>
        </w:rPr>
      </w:pPr>
      <w:r w:rsidRPr="00FC6F34">
        <w:rPr>
          <w:rFonts w:ascii="Verdana" w:eastAsia="Times New Roman" w:hAnsi="Verdana" w:cs="Arial"/>
          <w:lang w:val="es-ES"/>
        </w:rPr>
        <w:t xml:space="preserve">De lo anterior se desprende que la restricción aplica, sin perjuicio de las excepciones establecidas en la misma ley, para celebrar </w:t>
      </w:r>
      <w:r w:rsidRPr="00FC6F34">
        <w:rPr>
          <w:rFonts w:ascii="Verdana" w:eastAsia="Times New Roman" w:hAnsi="Verdana" w:cs="Arial"/>
          <w:i/>
          <w:iCs/>
          <w:lang w:val="es-ES"/>
        </w:rPr>
        <w:t>cualquier contrato</w:t>
      </w:r>
      <w:r>
        <w:rPr>
          <w:rFonts w:ascii="Verdana" w:eastAsia="Times New Roman" w:hAnsi="Verdana" w:cs="Arial"/>
          <w:i/>
          <w:iCs/>
          <w:lang w:val="es-ES"/>
        </w:rPr>
        <w:t xml:space="preserve"> o convenio</w:t>
      </w:r>
      <w:r w:rsidRPr="00FC6F34">
        <w:rPr>
          <w:rFonts w:ascii="Verdana" w:eastAsia="Times New Roman" w:hAnsi="Verdana" w:cs="Arial"/>
          <w:i/>
          <w:iCs/>
          <w:lang w:val="es-ES"/>
        </w:rPr>
        <w:t xml:space="preserve"> de forma directa</w:t>
      </w:r>
      <w:r w:rsidRPr="00FC6F34">
        <w:rPr>
          <w:rFonts w:ascii="Verdana" w:eastAsia="Times New Roman" w:hAnsi="Verdana" w:cs="Arial"/>
          <w:lang w:val="es-ES"/>
        </w:rPr>
        <w:t xml:space="preserve">, esto es, sin que exista un proceso abierto y competitivo. Por tanto, no son materia de la prohibición </w:t>
      </w:r>
      <w:r>
        <w:rPr>
          <w:rFonts w:ascii="Verdana" w:eastAsia="Times New Roman" w:hAnsi="Verdana" w:cs="Arial"/>
          <w:lang w:val="es-ES"/>
        </w:rPr>
        <w:t xml:space="preserve">los procesos de contratación que se adelanten mediante </w:t>
      </w:r>
      <w:r w:rsidRPr="00FC6F34">
        <w:rPr>
          <w:rFonts w:ascii="Verdana" w:eastAsia="Times New Roman" w:hAnsi="Verdana" w:cs="Arial"/>
          <w:lang w:val="es-ES"/>
        </w:rPr>
        <w:t>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sistemas.</w:t>
      </w:r>
    </w:p>
    <w:p w14:paraId="33A2A5C1" w14:textId="77777777" w:rsidR="006D7914" w:rsidRPr="00FC6F34" w:rsidRDefault="006D7914" w:rsidP="006D7914">
      <w:pPr>
        <w:spacing w:after="0" w:line="276" w:lineRule="auto"/>
        <w:ind w:firstLine="708"/>
        <w:jc w:val="both"/>
        <w:rPr>
          <w:rFonts w:ascii="Verdana" w:eastAsia="Times New Roman" w:hAnsi="Verdana" w:cs="Arial"/>
          <w:lang w:val="es-ES"/>
        </w:rPr>
      </w:pPr>
    </w:p>
    <w:p w14:paraId="01BDBE86" w14:textId="77777777" w:rsidR="006D7914" w:rsidRPr="00FC6F34" w:rsidRDefault="006D7914" w:rsidP="006D7914">
      <w:pPr>
        <w:spacing w:after="0" w:line="276" w:lineRule="auto"/>
        <w:jc w:val="both"/>
        <w:rPr>
          <w:rFonts w:ascii="Verdana" w:eastAsia="Times New Roman" w:hAnsi="Verdana" w:cs="Arial"/>
          <w:lang w:val="es-ES"/>
        </w:rPr>
      </w:pPr>
      <w:proofErr w:type="spellStart"/>
      <w:r w:rsidRPr="00FC6F34">
        <w:rPr>
          <w:rFonts w:ascii="Verdana" w:eastAsia="Times New Roman" w:hAnsi="Verdana" w:cs="Arial"/>
          <w:bCs/>
          <w:lang w:val="es-ES" w:eastAsia="es-CO"/>
        </w:rPr>
        <w:t>iv</w:t>
      </w:r>
      <w:proofErr w:type="spellEnd"/>
      <w:r w:rsidRPr="00FC6F34">
        <w:rPr>
          <w:rFonts w:ascii="Verdana" w:eastAsia="Times New Roman" w:hAnsi="Verdana" w:cs="Arial"/>
          <w:bCs/>
          <w:lang w:val="es-ES" w:eastAsia="es-CO"/>
        </w:rPr>
        <w:t xml:space="preserve">) Con respecto a los </w:t>
      </w:r>
      <w:r w:rsidRPr="00FC6F34">
        <w:rPr>
          <w:rFonts w:ascii="Verdana" w:eastAsia="Times New Roman" w:hAnsi="Verdana" w:cs="Arial"/>
          <w:bCs/>
          <w:i/>
          <w:iCs/>
          <w:lang w:val="es-ES" w:eastAsia="es-CO"/>
        </w:rPr>
        <w:t>sujetos</w:t>
      </w:r>
      <w:r w:rsidRPr="00FC6F34">
        <w:rPr>
          <w:rFonts w:ascii="Verdana" w:eastAsia="Times New Roman" w:hAnsi="Verdana" w:cs="Arial"/>
          <w:bCs/>
          <w:lang w:val="es-ES" w:eastAsia="es-CO"/>
        </w:rPr>
        <w:t xml:space="preserve"> que se encuentran enmarcados en la prohibición del artículo 33, </w:t>
      </w:r>
      <w:r w:rsidRPr="00FC6F34">
        <w:rPr>
          <w:rFonts w:ascii="Verdana" w:eastAsia="Times New Roman" w:hAnsi="Verdana" w:cs="Arial"/>
          <w:lang w:val="es-ES"/>
        </w:rPr>
        <w:t>la Ley 996 de 2005 señala expresamente que son “</w:t>
      </w:r>
      <w:r w:rsidRPr="00FC6F34">
        <w:rPr>
          <w:rFonts w:ascii="Verdana" w:eastAsia="Times New Roman" w:hAnsi="Verdana" w:cs="Arial"/>
          <w:i/>
          <w:iCs/>
          <w:u w:val="single"/>
          <w:lang w:val="es-ES"/>
        </w:rPr>
        <w:t>todos</w:t>
      </w:r>
      <w:r w:rsidRPr="00FC6F34">
        <w:rPr>
          <w:rFonts w:ascii="Verdana" w:eastAsia="Times New Roman" w:hAnsi="Verdana" w:cs="Arial"/>
          <w:i/>
          <w:iCs/>
          <w:lang w:val="es-ES"/>
        </w:rPr>
        <w:t xml:space="preserve"> los entes del Estado</w:t>
      </w:r>
      <w:r w:rsidRPr="00FC6F34">
        <w:rPr>
          <w:rFonts w:ascii="Verdana" w:eastAsia="Times New Roman" w:hAnsi="Verdana" w:cs="Arial"/>
          <w:lang w:val="es-ES"/>
        </w:rPr>
        <w:t xml:space="preserve">” [énfasis propio]. Al respecto la Sala </w:t>
      </w:r>
      <w:r>
        <w:rPr>
          <w:rFonts w:ascii="Verdana" w:eastAsia="Times New Roman" w:hAnsi="Verdana" w:cs="Arial"/>
          <w:lang w:val="es-ES"/>
        </w:rPr>
        <w:t>d</w:t>
      </w:r>
      <w:r w:rsidRPr="00FC6F34">
        <w:rPr>
          <w:rFonts w:ascii="Verdana" w:eastAsia="Times New Roman" w:hAnsi="Verdana" w:cs="Arial"/>
          <w:lang w:val="es-ES"/>
        </w:rPr>
        <w:t>e Consulta y Servicio Civil del Consejo de Estado señaló lo siguiente:</w:t>
      </w:r>
    </w:p>
    <w:p w14:paraId="6742D340" w14:textId="77777777" w:rsidR="006D7914" w:rsidRPr="00FC6F34" w:rsidRDefault="006D7914" w:rsidP="006D7914">
      <w:pPr>
        <w:spacing w:after="0" w:line="276" w:lineRule="auto"/>
        <w:ind w:firstLine="708"/>
        <w:jc w:val="both"/>
        <w:rPr>
          <w:rFonts w:ascii="Verdana" w:eastAsia="Times New Roman" w:hAnsi="Verdana" w:cs="Arial"/>
          <w:lang w:val="es-ES"/>
        </w:rPr>
      </w:pPr>
    </w:p>
    <w:p w14:paraId="09AF1D6A" w14:textId="77777777" w:rsidR="006D7914" w:rsidRPr="00FC6F34" w:rsidRDefault="006D7914" w:rsidP="006D7914">
      <w:pPr>
        <w:spacing w:after="0" w:line="240" w:lineRule="auto"/>
        <w:ind w:left="709" w:right="709"/>
        <w:jc w:val="both"/>
        <w:rPr>
          <w:rFonts w:ascii="Verdana" w:eastAsia="Times New Roman" w:hAnsi="Verdana" w:cs="Arial"/>
          <w:bCs/>
          <w:lang w:val="es-ES" w:eastAsia="es-CO"/>
        </w:rPr>
      </w:pPr>
      <w:r w:rsidRPr="00FC6F34">
        <w:rPr>
          <w:rFonts w:ascii="Verdana" w:eastAsia="Times New Roman" w:hAnsi="Verdana" w:cs="Arial"/>
          <w:bCs/>
          <w:sz w:val="20"/>
          <w:szCs w:val="20"/>
          <w:lang w:val="es-ES" w:eastAsia="es-CO"/>
        </w:rPr>
        <w:t>“El vocablo "todos" que utilizó el legislador, comprende, en consecuencia, sin distinción del "régimen jurídico, forma de organización o naturaleza, su pertenencia a una u otra rama del poder público o su autonomía, a la totalidad de los entes del Estado. Es decir, la prohibición cobija a cualquier ente público que eventualmente pueda a través de la contratación directa romper el equilibrio entre los partidos y los candidatos a las elecciones presidenciales […]”</w:t>
      </w:r>
      <w:r w:rsidRPr="00FC6F34">
        <w:rPr>
          <w:rStyle w:val="Refdenotaalpie"/>
          <w:rFonts w:ascii="Verdana" w:eastAsia="Times New Roman" w:hAnsi="Verdana" w:cs="Arial"/>
          <w:bCs/>
          <w:sz w:val="20"/>
          <w:szCs w:val="20"/>
          <w:lang w:val="es-ES" w:eastAsia="es-CO"/>
        </w:rPr>
        <w:footnoteReference w:id="18"/>
      </w:r>
      <w:r w:rsidRPr="00FC6F34">
        <w:rPr>
          <w:rFonts w:ascii="Verdana" w:eastAsia="Times New Roman" w:hAnsi="Verdana" w:cs="Arial"/>
          <w:bCs/>
          <w:sz w:val="20"/>
          <w:szCs w:val="20"/>
          <w:lang w:val="es-ES" w:eastAsia="es-CO"/>
        </w:rPr>
        <w:t>.</w:t>
      </w:r>
    </w:p>
    <w:p w14:paraId="1E0829DA" w14:textId="77777777" w:rsidR="006D7914" w:rsidRPr="00FC6F34" w:rsidRDefault="006D7914" w:rsidP="006D7914">
      <w:pPr>
        <w:spacing w:before="240" w:line="276" w:lineRule="auto"/>
        <w:ind w:firstLine="708"/>
        <w:jc w:val="both"/>
        <w:rPr>
          <w:rFonts w:ascii="Verdana" w:hAnsi="Verdana" w:cs="Arial"/>
          <w:bCs/>
          <w:sz w:val="20"/>
          <w:szCs w:val="20"/>
          <w:lang w:val="es-ES" w:eastAsia="es-CO"/>
        </w:rPr>
      </w:pPr>
      <w:r w:rsidRPr="00FC6F34">
        <w:rPr>
          <w:rFonts w:ascii="Verdana" w:hAnsi="Verdana" w:cs="Arial"/>
          <w:bCs/>
          <w:lang w:val="es-ES" w:eastAsia="x-none"/>
        </w:rPr>
        <w:t>En consecuencia, el artículo 33 de la Ley 996 de 2005 señala expresamente que los destinatarios de la prohibición son “todos los entes del Estado”, expresión que contempla a los diferentes organismos o entidades autorizadas por la ley para suscribir contratos.</w:t>
      </w:r>
      <w:r w:rsidRPr="00FC6F34">
        <w:rPr>
          <w:rFonts w:ascii="Verdana" w:hAnsi="Verdana"/>
          <w:lang w:val="es-ES"/>
        </w:rPr>
        <w:t xml:space="preserve"> </w:t>
      </w:r>
      <w:r w:rsidRPr="00FC6F34">
        <w:rPr>
          <w:rFonts w:ascii="Verdana" w:hAnsi="Verdana" w:cs="Arial"/>
          <w:bCs/>
          <w:lang w:val="es-ES" w:eastAsia="x-none"/>
        </w:rPr>
        <w:t>En efecto, tal como lo ha sostenido el Consejo de Estado, el vocablo “todos” utilizado por el legislador comprende</w:t>
      </w:r>
      <w:r w:rsidRPr="00FC6F34">
        <w:rPr>
          <w:rFonts w:ascii="Verdana" w:hAnsi="Verdana"/>
          <w:lang w:val="es-ES"/>
        </w:rPr>
        <w:t xml:space="preserve"> </w:t>
      </w:r>
      <w:r w:rsidRPr="00FC6F34">
        <w:rPr>
          <w:rFonts w:ascii="Verdana" w:hAnsi="Verdana" w:cs="Arial"/>
          <w:bCs/>
          <w:lang w:val="es-ES" w:eastAsia="x-none"/>
        </w:rPr>
        <w:t xml:space="preserve">a la totalidad de los entes del Estado, sin distinción del régimen </w:t>
      </w:r>
      <w:r w:rsidRPr="00FC6F34">
        <w:rPr>
          <w:rFonts w:ascii="Verdana" w:hAnsi="Verdana" w:cs="Arial"/>
          <w:bCs/>
          <w:lang w:val="es-ES" w:eastAsia="x-none"/>
        </w:rPr>
        <w:lastRenderedPageBreak/>
        <w:t>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w:t>
      </w:r>
      <w:r w:rsidRPr="00FC6F34">
        <w:rPr>
          <w:rStyle w:val="Refdenotaalpie"/>
          <w:rFonts w:ascii="Verdana" w:hAnsi="Verdana" w:cs="Arial"/>
          <w:bCs/>
          <w:sz w:val="20"/>
          <w:szCs w:val="20"/>
          <w:lang w:val="es-ES" w:eastAsia="x-none"/>
        </w:rPr>
        <w:footnoteReference w:id="19"/>
      </w:r>
      <w:r w:rsidRPr="00FC6F34">
        <w:rPr>
          <w:rFonts w:ascii="Verdana" w:hAnsi="Verdana" w:cs="Arial"/>
          <w:bCs/>
          <w:sz w:val="20"/>
          <w:szCs w:val="20"/>
          <w:lang w:val="es-ES" w:eastAsia="x-none"/>
        </w:rPr>
        <w:t>.</w:t>
      </w:r>
      <w:r w:rsidRPr="00FC6F34">
        <w:rPr>
          <w:rFonts w:ascii="Verdana" w:hAnsi="Verdana" w:cs="Arial"/>
          <w:bCs/>
          <w:sz w:val="20"/>
          <w:szCs w:val="20"/>
          <w:lang w:val="es-ES" w:eastAsia="es-CO"/>
        </w:rPr>
        <w:t>”</w:t>
      </w:r>
    </w:p>
    <w:p w14:paraId="3A3A4878" w14:textId="77777777" w:rsidR="006D7914" w:rsidRPr="00FC6F34" w:rsidRDefault="006D7914" w:rsidP="006D7914">
      <w:pPr>
        <w:spacing w:line="276" w:lineRule="auto"/>
        <w:ind w:firstLine="709"/>
        <w:jc w:val="both"/>
        <w:rPr>
          <w:rFonts w:ascii="Verdana" w:eastAsia="Arial" w:hAnsi="Verdana" w:cs="Arial"/>
          <w:bCs/>
          <w:color w:val="000000" w:themeColor="text1"/>
          <w:lang w:val="es-ES"/>
        </w:rPr>
      </w:pPr>
      <w:r w:rsidRPr="00FC6F34">
        <w:rPr>
          <w:rFonts w:ascii="Verdana" w:eastAsia="Arial" w:hAnsi="Verdana" w:cs="Arial"/>
          <w:color w:val="000000" w:themeColor="text1"/>
          <w:lang w:val="es-ES"/>
        </w:rPr>
        <w:t>Por lo tanto, la restricción del artículo 33 prevista en la Ley 996 de 2005, teniendo en cuenta la finalidad de la ley de garantías electorales, cobija a cualquier ente público que pueda</w:t>
      </w:r>
      <w:r w:rsidRPr="00F07F5D">
        <w:rPr>
          <w:rFonts w:ascii="Verdana" w:eastAsia="Arial" w:hAnsi="Verdana" w:cs="Arial"/>
          <w:color w:val="000000" w:themeColor="text1"/>
          <w:lang w:val="es-ES"/>
        </w:rPr>
        <w:t xml:space="preserve"> </w:t>
      </w:r>
      <w:r w:rsidRPr="00FC6F34">
        <w:rPr>
          <w:rFonts w:ascii="Verdana" w:eastAsia="Arial" w:hAnsi="Verdana" w:cs="Arial"/>
          <w:color w:val="000000" w:themeColor="text1"/>
          <w:lang w:val="es-ES"/>
        </w:rPr>
        <w:t>romper el equilibrio entre los partidos y los candidatos en las elecciones presidenciales a través de la contratación directa. Tampoco existe un supuesto de exoneración a la prohibición por tener un régimen especial de los actos o contratos, pues, la posibilidad de que los entes del Estado utilicen la contratación con fines políticos, esto es, con la intención de influir a los electores y alterar la voluntad popular en las contiendas electorales, se puede presentar tanto en la contratación regulada por la Ley 80 de 1993 como en la regida por el derecho privado o normas especiales.</w:t>
      </w:r>
    </w:p>
    <w:p w14:paraId="68FAE6E1" w14:textId="77777777" w:rsidR="006D7914" w:rsidRPr="00FC6F34" w:rsidRDefault="006D7914" w:rsidP="006D7914">
      <w:pPr>
        <w:spacing w:before="120" w:line="276" w:lineRule="auto"/>
        <w:ind w:firstLine="709"/>
        <w:jc w:val="both"/>
        <w:rPr>
          <w:rFonts w:ascii="Verdana" w:hAnsi="Verdana" w:cs="Arial"/>
          <w:bCs/>
          <w:color w:val="000000" w:themeColor="text1"/>
          <w:lang w:val="es-ES"/>
        </w:rPr>
      </w:pPr>
      <w:r w:rsidRPr="00FC6F34">
        <w:rPr>
          <w:rFonts w:ascii="Verdana" w:eastAsia="Arial" w:hAnsi="Verdana" w:cs="Arial"/>
          <w:bCs/>
          <w:color w:val="000000" w:themeColor="text1"/>
          <w:lang w:val="es-ES"/>
        </w:rPr>
        <w:t xml:space="preserve">En este punto, debe tenerse en cuenta que, en principio, todos los entes del Estado están cobijados por la prohibición para contratar directamente establecida en el artículo 33 de la Ley de Garantías Electorales. Sin embargo, es importante reiterar que </w:t>
      </w:r>
      <w:r w:rsidRPr="00FC6F34">
        <w:rPr>
          <w:rFonts w:ascii="Verdana" w:hAnsi="Verdana" w:cs="Arial"/>
          <w:bCs/>
          <w:color w:val="000000" w:themeColor="text1"/>
          <w:lang w:val="es-ES"/>
        </w:rPr>
        <w:t>el segundo inciso de la misma disposición consagró las excepciones aplicables a la prohibición de contratación directa establecida en el mismo artículo. Como se indicó, las excepciones a la prohibición del artículo 33 de la norma mencionada son las siguientes:</w:t>
      </w:r>
    </w:p>
    <w:p w14:paraId="7C7823EB" w14:textId="77777777" w:rsidR="006D7914" w:rsidRPr="00FC6F34" w:rsidRDefault="006D7914" w:rsidP="006D7914">
      <w:pPr>
        <w:tabs>
          <w:tab w:val="left" w:pos="709"/>
        </w:tabs>
        <w:spacing w:before="120" w:line="276" w:lineRule="auto"/>
        <w:jc w:val="both"/>
        <w:rPr>
          <w:rFonts w:ascii="Verdana" w:hAnsi="Verdana" w:cs="Arial"/>
          <w:bCs/>
          <w:color w:val="000000" w:themeColor="text1"/>
          <w:lang w:val="es-ES"/>
        </w:rPr>
      </w:pPr>
      <w:r w:rsidRPr="00FC6F34">
        <w:rPr>
          <w:rFonts w:ascii="Verdana" w:hAnsi="Verdana" w:cs="Arial"/>
          <w:bCs/>
          <w:color w:val="000000" w:themeColor="text1"/>
          <w:lang w:val="es-ES"/>
        </w:rPr>
        <w:tab/>
      </w:r>
      <w:r>
        <w:rPr>
          <w:rFonts w:ascii="Verdana" w:hAnsi="Verdana" w:cs="Arial"/>
          <w:bCs/>
          <w:color w:val="000000" w:themeColor="text1"/>
          <w:lang w:val="es-ES"/>
        </w:rPr>
        <w:t>1</w:t>
      </w:r>
      <w:r w:rsidRPr="00FC6F34">
        <w:rPr>
          <w:rFonts w:ascii="Verdana" w:hAnsi="Verdana" w:cs="Arial"/>
          <w:bCs/>
          <w:color w:val="000000" w:themeColor="text1"/>
          <w:lang w:val="es-ES"/>
        </w:rPr>
        <w:t>) La contratación referente a la defensa y seguridad del Estado;</w:t>
      </w:r>
    </w:p>
    <w:p w14:paraId="2806FAF0" w14:textId="77777777" w:rsidR="006D7914" w:rsidRPr="00FC6F34" w:rsidRDefault="006D7914" w:rsidP="006D7914">
      <w:pPr>
        <w:tabs>
          <w:tab w:val="left" w:pos="709"/>
        </w:tabs>
        <w:spacing w:before="120" w:line="276" w:lineRule="auto"/>
        <w:jc w:val="both"/>
        <w:rPr>
          <w:rFonts w:ascii="Verdana" w:hAnsi="Verdana" w:cs="Arial"/>
          <w:bCs/>
          <w:color w:val="000000" w:themeColor="text1"/>
          <w:lang w:val="es-ES"/>
        </w:rPr>
      </w:pPr>
      <w:r w:rsidRPr="00FC6F34">
        <w:rPr>
          <w:rFonts w:ascii="Verdana" w:hAnsi="Verdana" w:cs="Arial"/>
          <w:bCs/>
          <w:color w:val="000000" w:themeColor="text1"/>
          <w:lang w:val="es-ES"/>
        </w:rPr>
        <w:tab/>
      </w:r>
      <w:r>
        <w:rPr>
          <w:rFonts w:ascii="Verdana" w:hAnsi="Verdana" w:cs="Arial"/>
          <w:bCs/>
          <w:color w:val="000000" w:themeColor="text1"/>
          <w:lang w:val="es-ES"/>
        </w:rPr>
        <w:t>2</w:t>
      </w:r>
      <w:r w:rsidRPr="00FC6F34">
        <w:rPr>
          <w:rFonts w:ascii="Verdana" w:hAnsi="Verdana" w:cs="Arial"/>
          <w:bCs/>
          <w:color w:val="000000" w:themeColor="text1"/>
          <w:lang w:val="es-ES"/>
        </w:rPr>
        <w:t>) Los contratos de crédito público;</w:t>
      </w:r>
    </w:p>
    <w:p w14:paraId="2ED599BD" w14:textId="77777777" w:rsidR="006D7914" w:rsidRPr="00FC6F34" w:rsidRDefault="006D7914" w:rsidP="006D7914">
      <w:pPr>
        <w:tabs>
          <w:tab w:val="left" w:pos="709"/>
        </w:tabs>
        <w:spacing w:before="120" w:line="276" w:lineRule="auto"/>
        <w:jc w:val="both"/>
        <w:rPr>
          <w:rFonts w:ascii="Verdana" w:hAnsi="Verdana" w:cs="Arial"/>
          <w:bCs/>
          <w:color w:val="000000" w:themeColor="text1"/>
          <w:lang w:val="es-ES"/>
        </w:rPr>
      </w:pPr>
      <w:r w:rsidRPr="00FC6F34">
        <w:rPr>
          <w:rFonts w:ascii="Verdana" w:hAnsi="Verdana" w:cs="Arial"/>
          <w:bCs/>
          <w:color w:val="000000" w:themeColor="text1"/>
          <w:lang w:val="es-ES"/>
        </w:rPr>
        <w:tab/>
      </w:r>
      <w:r>
        <w:rPr>
          <w:rFonts w:ascii="Verdana" w:hAnsi="Verdana" w:cs="Arial"/>
          <w:bCs/>
          <w:color w:val="000000" w:themeColor="text1"/>
          <w:lang w:val="es-ES"/>
        </w:rPr>
        <w:t>3</w:t>
      </w:r>
      <w:r w:rsidRPr="00FC6F34">
        <w:rPr>
          <w:rFonts w:ascii="Verdana" w:hAnsi="Verdana" w:cs="Arial"/>
          <w:bCs/>
          <w:color w:val="000000" w:themeColor="text1"/>
          <w:lang w:val="es-ES"/>
        </w:rPr>
        <w:t xml:space="preserve">) Los contratos requeridos para cubrir las </w:t>
      </w:r>
      <w:r w:rsidRPr="00934074">
        <w:rPr>
          <w:rFonts w:ascii="Verdana" w:hAnsi="Verdana" w:cs="Arial"/>
          <w:bCs/>
          <w:i/>
          <w:iCs/>
          <w:color w:val="000000" w:themeColor="text1"/>
          <w:lang w:val="es-ES"/>
        </w:rPr>
        <w:t>emergencias</w:t>
      </w:r>
      <w:r w:rsidRPr="00FC6F34">
        <w:rPr>
          <w:rFonts w:ascii="Verdana" w:hAnsi="Verdana" w:cs="Arial"/>
          <w:bCs/>
          <w:color w:val="000000" w:themeColor="text1"/>
          <w:lang w:val="es-ES"/>
        </w:rPr>
        <w:t xml:space="preserve"> educativas, sanitarias y desastres; </w:t>
      </w:r>
    </w:p>
    <w:p w14:paraId="5377A540" w14:textId="77777777" w:rsidR="006D7914" w:rsidRPr="00FC6F34" w:rsidRDefault="006D7914" w:rsidP="006D7914">
      <w:pPr>
        <w:tabs>
          <w:tab w:val="left" w:pos="709"/>
        </w:tabs>
        <w:spacing w:before="120" w:line="276" w:lineRule="auto"/>
        <w:jc w:val="both"/>
        <w:rPr>
          <w:rFonts w:ascii="Verdana" w:hAnsi="Verdana" w:cs="Arial"/>
          <w:bCs/>
          <w:color w:val="000000" w:themeColor="text1"/>
          <w:lang w:val="es-ES"/>
        </w:rPr>
      </w:pPr>
      <w:r w:rsidRPr="00FC6F34">
        <w:rPr>
          <w:rFonts w:ascii="Verdana" w:hAnsi="Verdana" w:cs="Arial"/>
          <w:bCs/>
          <w:color w:val="000000" w:themeColor="text1"/>
          <w:lang w:val="es-ES"/>
        </w:rPr>
        <w:tab/>
      </w:r>
      <w:r>
        <w:rPr>
          <w:rFonts w:ascii="Verdana" w:hAnsi="Verdana" w:cs="Arial"/>
          <w:bCs/>
          <w:color w:val="000000" w:themeColor="text1"/>
          <w:lang w:val="es-ES"/>
        </w:rPr>
        <w:t>4</w:t>
      </w:r>
      <w:r w:rsidRPr="00FC6F34">
        <w:rPr>
          <w:rFonts w:ascii="Verdana" w:hAnsi="Verdana" w:cs="Arial"/>
          <w:bCs/>
          <w:color w:val="000000" w:themeColor="text1"/>
          <w:lang w:val="es-ES"/>
        </w:rPr>
        <w:t xml:space="preserve">) La contratación para la reconstrucción de vías, puentes, carreteras, infraestructura energética y de comunicaciones, en caso de que hayan sido </w:t>
      </w:r>
      <w:r w:rsidRPr="00FC6F34">
        <w:rPr>
          <w:rFonts w:ascii="Verdana" w:hAnsi="Verdana" w:cs="Arial"/>
          <w:bCs/>
          <w:color w:val="000000" w:themeColor="text1"/>
          <w:lang w:val="es-ES"/>
        </w:rPr>
        <w:lastRenderedPageBreak/>
        <w:t>objeto de atentados, acciones terroristas, desastres naturales o casos de fuerza mayor y;</w:t>
      </w:r>
    </w:p>
    <w:p w14:paraId="300B6DEE" w14:textId="77777777" w:rsidR="006D7914" w:rsidRPr="00FC6F34" w:rsidRDefault="006D7914" w:rsidP="006D7914">
      <w:pPr>
        <w:tabs>
          <w:tab w:val="left" w:pos="709"/>
        </w:tabs>
        <w:spacing w:before="120" w:line="276" w:lineRule="auto"/>
        <w:jc w:val="both"/>
        <w:rPr>
          <w:rFonts w:ascii="Verdana" w:hAnsi="Verdana" w:cs="Arial"/>
          <w:bCs/>
          <w:color w:val="000000" w:themeColor="text1"/>
          <w:lang w:val="es-ES"/>
        </w:rPr>
      </w:pPr>
      <w:r w:rsidRPr="00FC6F34">
        <w:rPr>
          <w:rFonts w:ascii="Verdana" w:hAnsi="Verdana" w:cs="Arial"/>
          <w:bCs/>
          <w:color w:val="000000" w:themeColor="text1"/>
          <w:lang w:val="es-ES"/>
        </w:rPr>
        <w:tab/>
      </w:r>
      <w:r>
        <w:rPr>
          <w:rFonts w:ascii="Verdana" w:hAnsi="Verdana" w:cs="Arial"/>
          <w:bCs/>
          <w:color w:val="000000" w:themeColor="text1"/>
          <w:lang w:val="es-ES"/>
        </w:rPr>
        <w:t>5</w:t>
      </w:r>
      <w:r w:rsidRPr="00FC6F34">
        <w:rPr>
          <w:rFonts w:ascii="Verdana" w:hAnsi="Verdana" w:cs="Arial"/>
          <w:bCs/>
          <w:color w:val="000000" w:themeColor="text1"/>
          <w:lang w:val="es-ES"/>
        </w:rPr>
        <w:t xml:space="preserve">) La contratación que deban realizar las entidades sanitarias y hospitalarias. </w:t>
      </w:r>
    </w:p>
    <w:p w14:paraId="41850998" w14:textId="77777777" w:rsidR="006D7914" w:rsidRPr="00FC6F34" w:rsidRDefault="006D7914" w:rsidP="006D7914">
      <w:pPr>
        <w:spacing w:before="240" w:line="276" w:lineRule="auto"/>
        <w:ind w:firstLine="708"/>
        <w:jc w:val="both"/>
        <w:rPr>
          <w:rFonts w:ascii="Verdana" w:hAnsi="Verdana" w:cs="Arial"/>
          <w:lang w:val="es-ES" w:eastAsia="x-none"/>
        </w:rPr>
      </w:pPr>
      <w:r>
        <w:rPr>
          <w:rFonts w:ascii="Verdana" w:hAnsi="Verdana" w:cs="Arial"/>
          <w:bCs/>
          <w:color w:val="000000" w:themeColor="text1"/>
          <w:lang w:val="es-ES"/>
        </w:rPr>
        <w:t xml:space="preserve">De esta forma, </w:t>
      </w:r>
      <w:r>
        <w:rPr>
          <w:rFonts w:ascii="Verdana" w:hAnsi="Verdana" w:cs="Arial"/>
          <w:lang w:val="es-ES" w:eastAsia="x-none"/>
        </w:rPr>
        <w:t>c</w:t>
      </w:r>
      <w:r w:rsidRPr="00FC6F34">
        <w:rPr>
          <w:rFonts w:ascii="Verdana" w:hAnsi="Verdana" w:cs="Arial"/>
          <w:lang w:val="es-ES" w:eastAsia="x-none"/>
        </w:rPr>
        <w:t>omo lo anotó la Corte Constitucional, en Sentencia C-1153 de noviembre 11 de 2005, “si bien la limitación garantiza la igualdad de condiciones, también es necesario que tal limitación que pretende la igualdad no termine yendo en detrimento de intereses públicos, cuya garantía está en cabeza del ejecutivo, como son los inmersos en las excepciones para la prohibición de contratación”</w:t>
      </w:r>
      <w:r w:rsidRPr="00FC6F34">
        <w:rPr>
          <w:rFonts w:ascii="Verdana" w:hAnsi="Verdana" w:cs="Arial"/>
          <w:color w:val="000000" w:themeColor="text1"/>
          <w:vertAlign w:val="superscript"/>
          <w:lang w:val="es-ES" w:eastAsia="es-CO"/>
        </w:rPr>
        <w:t xml:space="preserve"> </w:t>
      </w:r>
      <w:r w:rsidRPr="00FC6F34">
        <w:rPr>
          <w:rFonts w:ascii="Verdana" w:hAnsi="Verdana" w:cs="Arial"/>
          <w:color w:val="000000" w:themeColor="text1"/>
          <w:vertAlign w:val="superscript"/>
          <w:lang w:val="es-ES" w:eastAsia="es-CO"/>
        </w:rPr>
        <w:footnoteReference w:id="20"/>
      </w:r>
      <w:r w:rsidRPr="00FC6F34">
        <w:rPr>
          <w:rFonts w:ascii="Verdana" w:hAnsi="Verdana" w:cs="Arial"/>
          <w:lang w:val="es-ES" w:eastAsia="x-none"/>
        </w:rPr>
        <w:t xml:space="preserve">. De ahí que la Corte haya hecho particular énfasis en que las excepciones a la restricción protegen diversos tipos de </w:t>
      </w:r>
      <w:r w:rsidRPr="00934074">
        <w:rPr>
          <w:rFonts w:ascii="Verdana" w:hAnsi="Verdana" w:cs="Arial"/>
          <w:i/>
          <w:iCs/>
          <w:lang w:val="es-ES" w:eastAsia="x-none"/>
        </w:rPr>
        <w:t>urgencias</w:t>
      </w:r>
      <w:r w:rsidRPr="00FC6F34">
        <w:rPr>
          <w:rFonts w:ascii="Verdana" w:hAnsi="Verdana" w:cs="Arial"/>
          <w:lang w:val="es-ES" w:eastAsia="x-none"/>
        </w:rPr>
        <w:t xml:space="preserve"> de defensa, salud, educación, infraestructura vial y de servicios públicos y ecológicas, que tienden a no limitar desproporcionadamente la acción del Estado en el cumplimiento de sus fines, en procura de la igualdad entre los candidatos como garantía electoral.</w:t>
      </w:r>
    </w:p>
    <w:p w14:paraId="27CDE6A9" w14:textId="77777777" w:rsidR="006D7914" w:rsidRPr="00FC6F34" w:rsidRDefault="006D7914" w:rsidP="006D7914">
      <w:pPr>
        <w:tabs>
          <w:tab w:val="left" w:pos="426"/>
        </w:tabs>
        <w:spacing w:before="120" w:line="276" w:lineRule="auto"/>
        <w:ind w:firstLine="709"/>
        <w:jc w:val="both"/>
        <w:rPr>
          <w:rFonts w:ascii="Verdana" w:hAnsi="Verdana" w:cs="Arial"/>
          <w:bCs/>
          <w:color w:val="000000" w:themeColor="text1"/>
          <w:lang w:val="es-ES"/>
        </w:rPr>
      </w:pPr>
      <w:r w:rsidRPr="00FC6F34">
        <w:rPr>
          <w:rFonts w:ascii="Verdana" w:hAnsi="Verdana" w:cs="Arial"/>
          <w:bCs/>
          <w:color w:val="000000" w:themeColor="text1"/>
          <w:lang w:val="es-ES"/>
        </w:rPr>
        <w:t xml:space="preserve">La Sala de Consulta y Servicio Civil del Consejo de Estado, en concepto del 4 de febrero de 2010, se pronunció frente a las razones por las que el legislador consagró excepciones al artículo 33 de la Ley de Garantías Electorales en los siguientes términos: </w:t>
      </w:r>
    </w:p>
    <w:p w14:paraId="21169E17" w14:textId="77777777" w:rsidR="006D7914" w:rsidRPr="00FC6F34" w:rsidRDefault="006D7914" w:rsidP="006D7914">
      <w:pPr>
        <w:shd w:val="clear" w:color="auto" w:fill="FFFFFF"/>
        <w:ind w:left="709" w:right="709"/>
        <w:jc w:val="both"/>
        <w:rPr>
          <w:rFonts w:ascii="Verdana" w:hAnsi="Verdana" w:cs="Arial"/>
          <w:color w:val="000000" w:themeColor="text1"/>
          <w:sz w:val="20"/>
          <w:szCs w:val="20"/>
          <w:lang w:val="es-ES" w:eastAsia="es-CO"/>
        </w:rPr>
      </w:pPr>
      <w:r w:rsidRPr="00FC6F34">
        <w:rPr>
          <w:rFonts w:ascii="Verdana" w:hAnsi="Verdana" w:cs="Arial"/>
          <w:color w:val="000000" w:themeColor="text1"/>
          <w:sz w:val="20"/>
          <w:szCs w:val="20"/>
          <w:lang w:val="es-ES" w:eastAsia="es-CO"/>
        </w:rPr>
        <w:t>“[…] Las excepciones establecidas en los artículos 32 y 33 en comento, guardan relación, exclusivamente, con algunos servicios públicos que por su naturaleza no admiten postergaciones en la atención de sus necesidades de personal, bienes y servicios [...]</w:t>
      </w:r>
      <w:r w:rsidRPr="00FC6F34">
        <w:rPr>
          <w:rFonts w:ascii="Verdana" w:hAnsi="Verdana" w:cs="Arial"/>
          <w:color w:val="000000" w:themeColor="text1"/>
          <w:sz w:val="20"/>
          <w:szCs w:val="20"/>
          <w:vertAlign w:val="superscript"/>
          <w:lang w:val="es-ES" w:eastAsia="es-CO"/>
        </w:rPr>
        <w:footnoteReference w:id="21"/>
      </w:r>
      <w:r w:rsidRPr="00FC6F34">
        <w:rPr>
          <w:rFonts w:ascii="Verdana" w:hAnsi="Verdana" w:cs="Arial"/>
          <w:color w:val="000000" w:themeColor="text1"/>
          <w:sz w:val="20"/>
          <w:szCs w:val="20"/>
          <w:lang w:val="es-ES" w:eastAsia="es-CO"/>
        </w:rPr>
        <w:t xml:space="preserve">”. </w:t>
      </w:r>
    </w:p>
    <w:p w14:paraId="7BBB90C6" w14:textId="77777777" w:rsidR="006D7914" w:rsidRPr="00153204" w:rsidRDefault="006D7914" w:rsidP="006D7914">
      <w:pPr>
        <w:tabs>
          <w:tab w:val="left" w:pos="426"/>
        </w:tabs>
        <w:spacing w:before="120" w:after="120" w:line="276" w:lineRule="auto"/>
        <w:ind w:firstLine="709"/>
        <w:jc w:val="both"/>
        <w:rPr>
          <w:rFonts w:ascii="Verdana" w:hAnsi="Verdana" w:cs="Arial"/>
          <w:color w:val="000000" w:themeColor="text1"/>
          <w:shd w:val="clear" w:color="auto" w:fill="FFFFFF"/>
          <w:lang w:val="es-ES"/>
        </w:rPr>
      </w:pPr>
      <w:r w:rsidRPr="00FC6F34">
        <w:rPr>
          <w:rFonts w:ascii="Verdana" w:hAnsi="Verdana" w:cs="Arial"/>
          <w:bCs/>
          <w:color w:val="000000" w:themeColor="text1"/>
          <w:lang w:val="es-ES"/>
        </w:rPr>
        <w:t xml:space="preserve">Por tanto, las excepciones a la prohibición contenida en el inciso segundo de artículo 33 de la </w:t>
      </w:r>
      <w:r>
        <w:rPr>
          <w:rFonts w:ascii="Verdana" w:hAnsi="Verdana" w:cs="Arial"/>
          <w:bCs/>
          <w:color w:val="000000" w:themeColor="text1"/>
          <w:lang w:val="es-ES"/>
        </w:rPr>
        <w:t>L</w:t>
      </w:r>
      <w:r w:rsidRPr="00FC6F34">
        <w:rPr>
          <w:rFonts w:ascii="Verdana" w:hAnsi="Verdana" w:cs="Arial"/>
          <w:bCs/>
          <w:color w:val="000000" w:themeColor="text1"/>
          <w:lang w:val="es-ES"/>
        </w:rPr>
        <w:t xml:space="preserve">ey de </w:t>
      </w:r>
      <w:r>
        <w:rPr>
          <w:rFonts w:ascii="Verdana" w:hAnsi="Verdana" w:cs="Arial"/>
          <w:bCs/>
          <w:color w:val="000000" w:themeColor="text1"/>
          <w:lang w:val="es-ES"/>
        </w:rPr>
        <w:t>G</w:t>
      </w:r>
      <w:r w:rsidRPr="00FC6F34">
        <w:rPr>
          <w:rFonts w:ascii="Verdana" w:hAnsi="Verdana" w:cs="Arial"/>
          <w:bCs/>
          <w:color w:val="000000" w:themeColor="text1"/>
          <w:lang w:val="es-ES"/>
        </w:rPr>
        <w:t xml:space="preserve">arantías </w:t>
      </w:r>
      <w:r>
        <w:rPr>
          <w:rFonts w:ascii="Verdana" w:hAnsi="Verdana" w:cs="Arial"/>
          <w:bCs/>
          <w:color w:val="000000" w:themeColor="text1"/>
          <w:lang w:val="es-ES"/>
        </w:rPr>
        <w:t>E</w:t>
      </w:r>
      <w:r w:rsidRPr="00FC6F34">
        <w:rPr>
          <w:rFonts w:ascii="Verdana" w:hAnsi="Verdana" w:cs="Arial"/>
          <w:bCs/>
          <w:color w:val="000000" w:themeColor="text1"/>
          <w:lang w:val="es-ES"/>
        </w:rPr>
        <w:t>lectorales tienen por finalidad garantizar la realización ininterrumpida de ciertas actividades que, dada su importancia en el orden interno, se verían irrazonablemente afectadas por la restricción. De igual forma, la Sala de Consulta y Servicio Civil del Consejo de Estado, en concepto del 2 de septiembre de 2013</w:t>
      </w:r>
      <w:r w:rsidRPr="00FC6F34">
        <w:rPr>
          <w:rFonts w:ascii="Verdana" w:hAnsi="Verdana" w:cs="Arial"/>
          <w:color w:val="000000" w:themeColor="text1"/>
          <w:lang w:val="es-ES"/>
        </w:rPr>
        <w:t xml:space="preserve">, mencionó las excepciones a la prohibición del artículo 33 de la Ley de Garantías Electorales, resaltando su carácter taxativo, y señalando la independencia de los supuestos, así: </w:t>
      </w:r>
      <w:r w:rsidRPr="00153204">
        <w:rPr>
          <w:rFonts w:ascii="Verdana" w:hAnsi="Verdana" w:cs="Arial"/>
          <w:color w:val="000000" w:themeColor="text1"/>
          <w:lang w:val="es-ES"/>
        </w:rPr>
        <w:t>“[…]</w:t>
      </w:r>
      <w:r>
        <w:rPr>
          <w:rFonts w:ascii="Verdana" w:hAnsi="Verdana" w:cs="Arial"/>
          <w:i/>
          <w:color w:val="000000" w:themeColor="text1"/>
          <w:lang w:val="es-ES"/>
        </w:rPr>
        <w:t xml:space="preserve"> </w:t>
      </w:r>
      <w:r w:rsidRPr="00153204">
        <w:rPr>
          <w:rFonts w:ascii="Verdana" w:hAnsi="Verdana" w:cs="Arial"/>
          <w:color w:val="000000" w:themeColor="text1"/>
          <w:shd w:val="clear" w:color="auto" w:fill="FFFFFF"/>
          <w:lang w:val="es-ES"/>
        </w:rPr>
        <w:t xml:space="preserve">Ahora bien, </w:t>
      </w:r>
      <w:r w:rsidRPr="00153204">
        <w:rPr>
          <w:rFonts w:ascii="Verdana" w:hAnsi="Verdana" w:cs="Arial"/>
          <w:color w:val="000000" w:themeColor="text1"/>
          <w:shd w:val="clear" w:color="auto" w:fill="FFFFFF"/>
          <w:lang w:val="es-ES"/>
        </w:rPr>
        <w:lastRenderedPageBreak/>
        <w:t>las únicas excepciones a las disposiciones previstas en la Ley de Garantías se encuentran numeradas taxativamente en el último inciso del artículo 33 de la ley 996 de 2005 […]”</w:t>
      </w:r>
      <w:r w:rsidRPr="00153204">
        <w:rPr>
          <w:rFonts w:ascii="Verdana" w:hAnsi="Verdana" w:cs="Arial"/>
          <w:color w:val="000000" w:themeColor="text1"/>
          <w:shd w:val="clear" w:color="auto" w:fill="FFFFFF"/>
          <w:vertAlign w:val="superscript"/>
          <w:lang w:val="es-ES"/>
        </w:rPr>
        <w:footnoteReference w:id="22"/>
      </w:r>
      <w:r w:rsidRPr="00153204">
        <w:rPr>
          <w:rFonts w:ascii="Verdana" w:hAnsi="Verdana" w:cs="Arial"/>
          <w:color w:val="000000" w:themeColor="text1"/>
          <w:shd w:val="clear" w:color="auto" w:fill="FFFFFF"/>
          <w:lang w:val="es-ES"/>
        </w:rPr>
        <w:t>.</w:t>
      </w:r>
    </w:p>
    <w:p w14:paraId="65ADF383" w14:textId="77777777" w:rsidR="006D7914" w:rsidRDefault="006D7914" w:rsidP="006D7914">
      <w:pPr>
        <w:tabs>
          <w:tab w:val="left" w:pos="426"/>
        </w:tabs>
        <w:spacing w:after="0" w:line="276" w:lineRule="auto"/>
        <w:ind w:firstLine="709"/>
        <w:jc w:val="both"/>
        <w:rPr>
          <w:rFonts w:ascii="Verdana" w:hAnsi="Verdana" w:cs="Arial"/>
          <w:bCs/>
          <w:color w:val="000000" w:themeColor="text1"/>
          <w:lang w:val="es-ES"/>
        </w:rPr>
      </w:pPr>
      <w:r w:rsidRPr="00FC6F34">
        <w:rPr>
          <w:rFonts w:ascii="Verdana" w:hAnsi="Verdana" w:cs="Arial"/>
          <w:bCs/>
          <w:color w:val="000000" w:themeColor="text1"/>
          <w:lang w:val="es-ES"/>
        </w:rPr>
        <w:t xml:space="preserve">Lo anterior implica que las excepciones al artículo 33 en comento deben interpretarse y aplicarse de manera </w:t>
      </w:r>
      <w:r w:rsidRPr="002D4C10">
        <w:rPr>
          <w:rFonts w:ascii="Verdana" w:hAnsi="Verdana" w:cs="Arial"/>
          <w:bCs/>
          <w:i/>
          <w:iCs/>
          <w:color w:val="000000" w:themeColor="text1"/>
          <w:lang w:val="es-ES"/>
        </w:rPr>
        <w:t>estricta</w:t>
      </w:r>
      <w:r w:rsidRPr="00FC6F34">
        <w:rPr>
          <w:rFonts w:ascii="Verdana" w:hAnsi="Verdana" w:cs="Arial"/>
          <w:bCs/>
          <w:color w:val="000000" w:themeColor="text1"/>
          <w:lang w:val="es-ES"/>
        </w:rPr>
        <w:t>. En otras palabras, no es factible hacer interpretaciones extensivas</w:t>
      </w:r>
      <w:r w:rsidRPr="00FC6F34">
        <w:rPr>
          <w:rFonts w:ascii="Verdana" w:hAnsi="Verdana" w:cs="Arial"/>
          <w:bCs/>
          <w:i/>
          <w:iCs/>
          <w:color w:val="000000" w:themeColor="text1"/>
          <w:lang w:val="es-ES"/>
        </w:rPr>
        <w:t xml:space="preserve"> </w:t>
      </w:r>
      <w:r w:rsidRPr="00FC6F34">
        <w:rPr>
          <w:rFonts w:ascii="Verdana" w:hAnsi="Verdana" w:cs="Arial"/>
          <w:bCs/>
          <w:color w:val="000000" w:themeColor="text1"/>
          <w:lang w:val="es-ES"/>
        </w:rPr>
        <w:t xml:space="preserve">para incluir otros supuestos de hecho similares a las circunstancias previstas en dicho artículo, pues el carácter taxativo implica que solo en los eventos consagrados expresamente en la norma permiten que ciertas entidades estatales se vean exceptuadas de la prohibición. </w:t>
      </w:r>
    </w:p>
    <w:p w14:paraId="5D63E4E5" w14:textId="77777777" w:rsidR="006D7914" w:rsidRPr="00FC6F34" w:rsidRDefault="006D7914" w:rsidP="006D7914">
      <w:pPr>
        <w:tabs>
          <w:tab w:val="left" w:pos="426"/>
        </w:tabs>
        <w:spacing w:after="0" w:line="276" w:lineRule="auto"/>
        <w:ind w:firstLine="709"/>
        <w:jc w:val="both"/>
        <w:rPr>
          <w:rFonts w:ascii="Verdana" w:hAnsi="Verdana" w:cs="Arial"/>
          <w:bCs/>
          <w:color w:val="000000" w:themeColor="text1"/>
          <w:lang w:val="es-ES"/>
        </w:rPr>
      </w:pPr>
    </w:p>
    <w:p w14:paraId="5C510C24" w14:textId="77777777" w:rsidR="006D7914" w:rsidRPr="00097627" w:rsidRDefault="006D7914" w:rsidP="006D7914">
      <w:pPr>
        <w:spacing w:after="120" w:line="276" w:lineRule="auto"/>
        <w:jc w:val="both"/>
        <w:rPr>
          <w:rFonts w:ascii="Verdana" w:eastAsia="Times New Roman" w:hAnsi="Verdana" w:cs="Arial"/>
          <w:color w:val="000000" w:themeColor="text1"/>
          <w:lang w:eastAsia="es-ES_tradnl"/>
        </w:rPr>
      </w:pPr>
      <w:r>
        <w:rPr>
          <w:rFonts w:ascii="Verdana" w:eastAsia="Arial" w:hAnsi="Verdana" w:cs="Arial"/>
          <w:bCs/>
          <w:color w:val="000000" w:themeColor="text1"/>
          <w:lang w:val="es-ES"/>
        </w:rPr>
        <w:t>v) Con respecto al tema objeto de consulta, también es importante resaltar que</w:t>
      </w:r>
      <w:r>
        <w:rPr>
          <w:rFonts w:ascii="Verdana" w:eastAsia="Times New Roman" w:hAnsi="Verdana" w:cs="Arial"/>
          <w:color w:val="000000" w:themeColor="text1"/>
          <w:lang w:eastAsia="es-ES_tradnl"/>
        </w:rPr>
        <w:t xml:space="preserve"> l</w:t>
      </w:r>
      <w:r w:rsidRPr="00097627">
        <w:rPr>
          <w:rFonts w:ascii="Verdana" w:eastAsia="Times New Roman" w:hAnsi="Verdana" w:cs="Arial"/>
          <w:color w:val="000000" w:themeColor="text1"/>
          <w:lang w:eastAsia="es-ES_tradnl"/>
        </w:rPr>
        <w:t xml:space="preserve">a </w:t>
      </w:r>
      <w:r w:rsidRPr="00097627">
        <w:rPr>
          <w:rFonts w:ascii="Verdana" w:eastAsia="Times New Roman" w:hAnsi="Verdana" w:cs="Arial"/>
          <w:color w:val="000000" w:themeColor="text1"/>
          <w:lang w:val="es-ES" w:eastAsia="es-ES_tradnl"/>
        </w:rPr>
        <w:t>enajenación</w:t>
      </w:r>
      <w:r w:rsidRPr="00097627">
        <w:rPr>
          <w:rFonts w:ascii="Verdana" w:eastAsia="Times New Roman" w:hAnsi="Verdana" w:cs="Arial"/>
          <w:color w:val="000000" w:themeColor="text1"/>
          <w:lang w:eastAsia="es-ES_tradnl"/>
        </w:rPr>
        <w:t xml:space="preserve"> se define como la transferencia del derecho real</w:t>
      </w:r>
      <w:r w:rsidRPr="00097627">
        <w:rPr>
          <w:rFonts w:ascii="Verdana" w:eastAsia="Times New Roman" w:hAnsi="Verdana" w:cs="Arial"/>
          <w:color w:val="000000" w:themeColor="text1"/>
          <w:vertAlign w:val="superscript"/>
          <w:lang w:eastAsia="es-ES_tradnl"/>
        </w:rPr>
        <w:footnoteReference w:id="23"/>
      </w:r>
      <w:r w:rsidRPr="00097627">
        <w:rPr>
          <w:rFonts w:ascii="Verdana" w:eastAsia="Times New Roman" w:hAnsi="Verdana" w:cs="Arial"/>
          <w:color w:val="000000" w:themeColor="text1"/>
          <w:lang w:eastAsia="es-ES_tradnl"/>
        </w:rPr>
        <w:t xml:space="preserve"> sobre un bien</w:t>
      </w:r>
      <w:r w:rsidRPr="00097627">
        <w:rPr>
          <w:rFonts w:ascii="Verdana" w:eastAsia="Times New Roman" w:hAnsi="Verdana" w:cs="Arial"/>
          <w:color w:val="000000" w:themeColor="text1"/>
          <w:vertAlign w:val="superscript"/>
          <w:lang w:eastAsia="es-ES_tradnl"/>
        </w:rPr>
        <w:footnoteReference w:id="24"/>
      </w:r>
      <w:r>
        <w:rPr>
          <w:rFonts w:ascii="Verdana" w:eastAsia="Times New Roman" w:hAnsi="Verdana" w:cs="Arial"/>
          <w:color w:val="000000" w:themeColor="text1"/>
          <w:lang w:eastAsia="es-ES_tradnl"/>
        </w:rPr>
        <w:t>. Como indica la doctrina, “</w:t>
      </w:r>
      <w:r w:rsidRPr="00097627">
        <w:rPr>
          <w:rFonts w:ascii="Verdana" w:eastAsia="Times New Roman" w:hAnsi="Verdana" w:cs="Arial"/>
          <w:i/>
          <w:iCs/>
          <w:color w:val="000000" w:themeColor="text1"/>
          <w:lang w:eastAsia="es-ES_tradnl"/>
        </w:rPr>
        <w:t xml:space="preserve">Dar –en sentido restringido–, </w:t>
      </w:r>
      <w:proofErr w:type="spellStart"/>
      <w:r w:rsidRPr="00097627">
        <w:rPr>
          <w:rFonts w:ascii="Verdana" w:eastAsia="Times New Roman" w:hAnsi="Verdana" w:cs="Arial"/>
          <w:i/>
          <w:iCs/>
          <w:color w:val="000000" w:themeColor="text1"/>
          <w:lang w:eastAsia="es-ES_tradnl"/>
        </w:rPr>
        <w:t>traditar</w:t>
      </w:r>
      <w:proofErr w:type="spellEnd"/>
      <w:r w:rsidRPr="00097627">
        <w:rPr>
          <w:rFonts w:ascii="Verdana" w:eastAsia="Times New Roman" w:hAnsi="Verdana" w:cs="Arial"/>
          <w:i/>
          <w:iCs/>
          <w:color w:val="000000" w:themeColor="text1"/>
          <w:lang w:eastAsia="es-ES_tradnl"/>
        </w:rPr>
        <w:t xml:space="preserve">, enajenar, disponer, son conceptos sinónimos en el Código Civil. Cuando se da, se enajena. Cuando se </w:t>
      </w:r>
      <w:proofErr w:type="spellStart"/>
      <w:r w:rsidRPr="00097627">
        <w:rPr>
          <w:rFonts w:ascii="Verdana" w:eastAsia="Times New Roman" w:hAnsi="Verdana" w:cs="Arial"/>
          <w:i/>
          <w:iCs/>
          <w:color w:val="000000" w:themeColor="text1"/>
          <w:lang w:eastAsia="es-ES_tradnl"/>
        </w:rPr>
        <w:t>tradita</w:t>
      </w:r>
      <w:proofErr w:type="spellEnd"/>
      <w:r w:rsidRPr="00097627">
        <w:rPr>
          <w:rFonts w:ascii="Verdana" w:eastAsia="Times New Roman" w:hAnsi="Verdana" w:cs="Arial"/>
          <w:i/>
          <w:iCs/>
          <w:color w:val="000000" w:themeColor="text1"/>
          <w:lang w:eastAsia="es-ES_tradnl"/>
        </w:rPr>
        <w:t xml:space="preserve">, se enajena, Cuando se enajena, se da o se </w:t>
      </w:r>
      <w:proofErr w:type="spellStart"/>
      <w:r w:rsidRPr="00097627">
        <w:rPr>
          <w:rFonts w:ascii="Verdana" w:eastAsia="Times New Roman" w:hAnsi="Verdana" w:cs="Arial"/>
          <w:i/>
          <w:iCs/>
          <w:color w:val="000000" w:themeColor="text1"/>
          <w:lang w:eastAsia="es-ES_tradnl"/>
        </w:rPr>
        <w:t>tradita</w:t>
      </w:r>
      <w:proofErr w:type="spellEnd"/>
      <w:r w:rsidRPr="00097627">
        <w:rPr>
          <w:rFonts w:ascii="Verdana" w:eastAsia="Times New Roman" w:hAnsi="Verdana" w:cs="Arial"/>
          <w:i/>
          <w:iCs/>
          <w:color w:val="000000" w:themeColor="text1"/>
          <w:lang w:eastAsia="es-ES_tradnl"/>
        </w:rPr>
        <w:t>. Y, finalmente, cuando ocurre cualquiera</w:t>
      </w:r>
      <w:r>
        <w:rPr>
          <w:rFonts w:ascii="Verdana" w:eastAsia="Times New Roman" w:hAnsi="Verdana" w:cs="Arial"/>
          <w:i/>
          <w:iCs/>
          <w:color w:val="000000" w:themeColor="text1"/>
          <w:lang w:eastAsia="es-ES_tradnl"/>
        </w:rPr>
        <w:t xml:space="preserve"> de tales fenómenos, se dispone”</w:t>
      </w:r>
      <w:r w:rsidRPr="00097627">
        <w:rPr>
          <w:rFonts w:ascii="Verdana" w:eastAsia="Times New Roman" w:hAnsi="Verdana" w:cs="Arial"/>
          <w:i/>
          <w:iCs/>
          <w:color w:val="000000" w:themeColor="text1"/>
          <w:vertAlign w:val="superscript"/>
          <w:lang w:eastAsia="es-ES_tradnl"/>
        </w:rPr>
        <w:footnoteReference w:id="25"/>
      </w:r>
      <w:r w:rsidRPr="00097627">
        <w:rPr>
          <w:rFonts w:ascii="Verdana" w:eastAsia="Times New Roman" w:hAnsi="Verdana" w:cs="Arial"/>
          <w:i/>
          <w:iCs/>
          <w:color w:val="000000" w:themeColor="text1"/>
          <w:lang w:eastAsia="es-ES_tradnl"/>
        </w:rPr>
        <w:t>.</w:t>
      </w:r>
      <w:r w:rsidRPr="00097627">
        <w:rPr>
          <w:rFonts w:ascii="Verdana" w:eastAsia="Times New Roman" w:hAnsi="Verdana" w:cs="Arial"/>
          <w:color w:val="000000" w:themeColor="text1"/>
          <w:lang w:eastAsia="es-ES_tradnl"/>
        </w:rPr>
        <w:t xml:space="preserve"> Lo más usual es que la enajenación se lleve a cabo respecto del derecho de propiedad; y en tal caso se efectúa a través de los modos señalados en el artículo 673 del Código Civil</w:t>
      </w:r>
      <w:r w:rsidRPr="00097627">
        <w:rPr>
          <w:rFonts w:ascii="Verdana" w:eastAsia="Times New Roman" w:hAnsi="Verdana" w:cs="Arial"/>
          <w:color w:val="000000" w:themeColor="text1"/>
          <w:vertAlign w:val="superscript"/>
          <w:lang w:eastAsia="es-ES_tradnl"/>
        </w:rPr>
        <w:footnoteReference w:id="26"/>
      </w:r>
      <w:r w:rsidRPr="00097627">
        <w:rPr>
          <w:rFonts w:ascii="Verdana" w:eastAsia="Times New Roman" w:hAnsi="Verdana" w:cs="Arial"/>
          <w:color w:val="000000" w:themeColor="text1"/>
          <w:lang w:eastAsia="es-ES_tradnl"/>
        </w:rPr>
        <w:t>, pudiendo recaer tanto sobre los bienes muebles, como inmuebles, aunque frente a estos la ley exige solemnidades especiales</w:t>
      </w:r>
      <w:r w:rsidRPr="00097627">
        <w:rPr>
          <w:rFonts w:ascii="Verdana" w:eastAsia="Times New Roman" w:hAnsi="Verdana" w:cs="Arial"/>
          <w:color w:val="000000" w:themeColor="text1"/>
          <w:vertAlign w:val="superscript"/>
          <w:lang w:eastAsia="es-ES_tradnl"/>
        </w:rPr>
        <w:footnoteReference w:id="27"/>
      </w:r>
      <w:r w:rsidRPr="00097627">
        <w:rPr>
          <w:rFonts w:ascii="Verdana" w:eastAsia="Times New Roman" w:hAnsi="Verdana" w:cs="Arial"/>
          <w:color w:val="000000" w:themeColor="text1"/>
          <w:lang w:eastAsia="es-ES_tradnl"/>
        </w:rPr>
        <w:t>. Entretanto, el artículo 1521 del Código Civil dispone que se presenta objeto</w:t>
      </w:r>
      <w:r>
        <w:rPr>
          <w:rFonts w:ascii="Verdana" w:eastAsia="Times New Roman" w:hAnsi="Verdana" w:cs="Arial"/>
          <w:color w:val="000000" w:themeColor="text1"/>
          <w:lang w:eastAsia="es-ES_tradnl"/>
        </w:rPr>
        <w:t xml:space="preserve"> ilícito en la enajenación: i) “</w:t>
      </w:r>
      <w:r w:rsidRPr="00097627">
        <w:rPr>
          <w:rFonts w:ascii="Verdana" w:eastAsia="Times New Roman" w:hAnsi="Verdana" w:cs="Arial"/>
          <w:color w:val="000000" w:themeColor="text1"/>
          <w:lang w:eastAsia="es-ES_tradnl"/>
        </w:rPr>
        <w:t>De las c</w:t>
      </w:r>
      <w:r>
        <w:rPr>
          <w:rFonts w:ascii="Verdana" w:eastAsia="Times New Roman" w:hAnsi="Verdana" w:cs="Arial"/>
          <w:color w:val="000000" w:themeColor="text1"/>
          <w:lang w:eastAsia="es-ES_tradnl"/>
        </w:rPr>
        <w:t xml:space="preserve">osas que no están en el comercio”, </w:t>
      </w:r>
      <w:proofErr w:type="spellStart"/>
      <w:r>
        <w:rPr>
          <w:rFonts w:ascii="Verdana" w:eastAsia="Times New Roman" w:hAnsi="Verdana" w:cs="Arial"/>
          <w:color w:val="000000" w:themeColor="text1"/>
          <w:lang w:eastAsia="es-ES_tradnl"/>
        </w:rPr>
        <w:t>ii</w:t>
      </w:r>
      <w:proofErr w:type="spellEnd"/>
      <w:r>
        <w:rPr>
          <w:rFonts w:ascii="Verdana" w:eastAsia="Times New Roman" w:hAnsi="Verdana" w:cs="Arial"/>
          <w:color w:val="000000" w:themeColor="text1"/>
          <w:lang w:eastAsia="es-ES_tradnl"/>
        </w:rPr>
        <w:t>) “</w:t>
      </w:r>
      <w:r w:rsidRPr="00097627">
        <w:rPr>
          <w:rFonts w:ascii="Verdana" w:eastAsia="Times New Roman" w:hAnsi="Verdana" w:cs="Arial"/>
          <w:color w:val="000000" w:themeColor="text1"/>
          <w:lang w:eastAsia="es-ES_tradnl"/>
        </w:rPr>
        <w:t xml:space="preserve">De los derechos </w:t>
      </w:r>
      <w:r w:rsidRPr="00097627">
        <w:rPr>
          <w:rFonts w:ascii="Verdana" w:eastAsia="Times New Roman" w:hAnsi="Verdana" w:cs="Arial"/>
          <w:color w:val="000000" w:themeColor="text1"/>
          <w:lang w:eastAsia="es-ES_tradnl"/>
        </w:rPr>
        <w:lastRenderedPageBreak/>
        <w:t>o privilegios que no pueden tran</w:t>
      </w:r>
      <w:r>
        <w:rPr>
          <w:rFonts w:ascii="Verdana" w:eastAsia="Times New Roman" w:hAnsi="Verdana" w:cs="Arial"/>
          <w:color w:val="000000" w:themeColor="text1"/>
          <w:lang w:eastAsia="es-ES_tradnl"/>
        </w:rPr>
        <w:t xml:space="preserve">sferirse a otra persona” y </w:t>
      </w:r>
      <w:proofErr w:type="spellStart"/>
      <w:r>
        <w:rPr>
          <w:rFonts w:ascii="Verdana" w:eastAsia="Times New Roman" w:hAnsi="Verdana" w:cs="Arial"/>
          <w:color w:val="000000" w:themeColor="text1"/>
          <w:lang w:eastAsia="es-ES_tradnl"/>
        </w:rPr>
        <w:t>iii</w:t>
      </w:r>
      <w:proofErr w:type="spellEnd"/>
      <w:r>
        <w:rPr>
          <w:rFonts w:ascii="Verdana" w:eastAsia="Times New Roman" w:hAnsi="Verdana" w:cs="Arial"/>
          <w:color w:val="000000" w:themeColor="text1"/>
          <w:lang w:eastAsia="es-ES_tradnl"/>
        </w:rPr>
        <w:t>) “</w:t>
      </w:r>
      <w:r w:rsidRPr="00097627">
        <w:rPr>
          <w:rFonts w:ascii="Verdana" w:eastAsia="Times New Roman" w:hAnsi="Verdana" w:cs="Arial"/>
          <w:color w:val="000000" w:themeColor="text1"/>
          <w:lang w:eastAsia="es-ES_tradnl"/>
        </w:rPr>
        <w:t xml:space="preserve">De las cosas embargadas por decreto judicial, a menos que el juez lo autorice </w:t>
      </w:r>
      <w:r>
        <w:rPr>
          <w:rFonts w:ascii="Verdana" w:eastAsia="Times New Roman" w:hAnsi="Verdana" w:cs="Arial"/>
          <w:color w:val="000000" w:themeColor="text1"/>
          <w:lang w:eastAsia="es-ES_tradnl"/>
        </w:rPr>
        <w:t>o el acreedor consienta en ello”</w:t>
      </w:r>
      <w:r w:rsidRPr="00097627">
        <w:rPr>
          <w:rFonts w:ascii="Verdana" w:eastAsia="Times New Roman" w:hAnsi="Verdana" w:cs="Arial"/>
          <w:color w:val="000000" w:themeColor="text1"/>
          <w:lang w:eastAsia="es-ES_tradnl"/>
        </w:rPr>
        <w:t>.</w:t>
      </w:r>
    </w:p>
    <w:p w14:paraId="2C4BB0F3" w14:textId="77777777" w:rsidR="006D7914" w:rsidRPr="00097627" w:rsidRDefault="006D7914" w:rsidP="006D7914">
      <w:pPr>
        <w:spacing w:after="120" w:line="276" w:lineRule="auto"/>
        <w:ind w:firstLine="709"/>
        <w:jc w:val="both"/>
        <w:rPr>
          <w:rFonts w:ascii="Verdana" w:eastAsia="Times New Roman" w:hAnsi="Verdana" w:cs="Arial"/>
          <w:lang w:eastAsia="es-ES_tradnl"/>
        </w:rPr>
      </w:pPr>
      <w:r>
        <w:rPr>
          <w:rFonts w:ascii="Verdana" w:eastAsia="Times New Roman" w:hAnsi="Verdana" w:cs="Arial"/>
          <w:color w:val="000000" w:themeColor="text1"/>
          <w:lang w:eastAsia="es-ES_tradnl"/>
        </w:rPr>
        <w:t>Por su parte, l</w:t>
      </w:r>
      <w:r w:rsidRPr="00097627">
        <w:rPr>
          <w:rFonts w:ascii="Verdana" w:eastAsia="Times New Roman" w:hAnsi="Verdana" w:cs="Arial"/>
          <w:color w:val="000000" w:themeColor="text1"/>
          <w:lang w:eastAsia="es-ES_tradnl"/>
        </w:rPr>
        <w:t xml:space="preserve">a enajenación de bienes a título gratuito está relacionada con el contrato de donación, definido en </w:t>
      </w:r>
      <w:r w:rsidRPr="00097627">
        <w:rPr>
          <w:rFonts w:ascii="Verdana" w:eastAsia="Times New Roman" w:hAnsi="Verdana" w:cs="Arial"/>
          <w:lang w:eastAsia="es-ES_tradnl"/>
        </w:rPr>
        <w:t>Código Civ</w:t>
      </w:r>
      <w:r>
        <w:rPr>
          <w:rFonts w:ascii="Verdana" w:eastAsia="Times New Roman" w:hAnsi="Verdana" w:cs="Arial"/>
          <w:lang w:eastAsia="es-ES_tradnl"/>
        </w:rPr>
        <w:t>il como “</w:t>
      </w:r>
      <w:r w:rsidRPr="00097627">
        <w:rPr>
          <w:rFonts w:ascii="Verdana" w:eastAsia="Times New Roman" w:hAnsi="Verdana" w:cs="Arial"/>
          <w:i/>
          <w:iCs/>
          <w:lang w:eastAsia="es-ES_tradnl"/>
        </w:rPr>
        <w:t>un acto por el cual una persona transfiere, gratuita e irrevocablemente, una parte de sus bienes a otra persona que la acepta</w:t>
      </w:r>
      <w:r>
        <w:rPr>
          <w:rFonts w:ascii="Verdana" w:eastAsia="Times New Roman" w:hAnsi="Verdana" w:cs="Arial"/>
          <w:i/>
          <w:iCs/>
          <w:lang w:eastAsia="es-ES_tradnl"/>
        </w:rPr>
        <w:t>”</w:t>
      </w:r>
      <w:r w:rsidRPr="00097627">
        <w:rPr>
          <w:rFonts w:ascii="Verdana" w:eastAsia="Times New Roman" w:hAnsi="Verdana" w:cs="Arial"/>
          <w:lang w:eastAsia="es-ES_tradnl"/>
        </w:rPr>
        <w:t>. El Consejo de Estado</w:t>
      </w:r>
      <w:r w:rsidRPr="00097627">
        <w:rPr>
          <w:rFonts w:ascii="Verdana" w:eastAsia="Times New Roman" w:hAnsi="Verdana" w:cs="Arial"/>
          <w:vertAlign w:val="superscript"/>
          <w:lang w:eastAsia="es-ES_tradnl"/>
        </w:rPr>
        <w:footnoteReference w:id="28"/>
      </w:r>
      <w:r w:rsidRPr="00097627">
        <w:rPr>
          <w:rFonts w:ascii="Verdana" w:eastAsia="Times New Roman" w:hAnsi="Verdana" w:cs="Arial"/>
          <w:lang w:eastAsia="es-ES_tradnl"/>
        </w:rPr>
        <w:t xml:space="preserve"> sostuvo respecto de la definición de la donación del Código Civil, que era naturalmente imprecisa toda vez q</w:t>
      </w:r>
      <w:r>
        <w:rPr>
          <w:rFonts w:ascii="Verdana" w:eastAsia="Times New Roman" w:hAnsi="Verdana" w:cs="Arial"/>
          <w:lang w:eastAsia="es-ES_tradnl"/>
        </w:rPr>
        <w:t>ue la donación es un verdadero “contrato”</w:t>
      </w:r>
      <w:r w:rsidRPr="00097627">
        <w:rPr>
          <w:rFonts w:ascii="Verdana" w:eastAsia="Times New Roman" w:hAnsi="Verdana" w:cs="Arial"/>
          <w:lang w:eastAsia="es-ES_tradnl"/>
        </w:rPr>
        <w:t xml:space="preserve"> y no solo un acto, lo anterior porque</w:t>
      </w:r>
      <w:r>
        <w:rPr>
          <w:rFonts w:ascii="Verdana" w:eastAsia="Times New Roman" w:hAnsi="Verdana" w:cs="Arial"/>
          <w:lang w:eastAsia="es-ES_tradnl"/>
        </w:rPr>
        <w:t xml:space="preserve"> para el perfeccionamiento del “contrato”</w:t>
      </w:r>
      <w:r w:rsidRPr="00097627">
        <w:rPr>
          <w:rFonts w:ascii="Verdana" w:eastAsia="Times New Roman" w:hAnsi="Verdana" w:cs="Arial"/>
          <w:lang w:eastAsia="es-ES_tradnl"/>
        </w:rPr>
        <w:t xml:space="preserve"> concurre i) la voluntad dispositiva de la persona que pretende entregar parte de su patrimonio –donante– y </w:t>
      </w:r>
      <w:proofErr w:type="spellStart"/>
      <w:r w:rsidRPr="00097627">
        <w:rPr>
          <w:rFonts w:ascii="Verdana" w:eastAsia="Times New Roman" w:hAnsi="Verdana" w:cs="Arial"/>
          <w:lang w:eastAsia="es-ES_tradnl"/>
        </w:rPr>
        <w:t>ii</w:t>
      </w:r>
      <w:proofErr w:type="spellEnd"/>
      <w:r w:rsidRPr="00097627">
        <w:rPr>
          <w:rFonts w:ascii="Verdana" w:eastAsia="Times New Roman" w:hAnsi="Verdana" w:cs="Arial"/>
          <w:lang w:eastAsia="es-ES_tradnl"/>
        </w:rPr>
        <w:t>) la aceptación de quien recibirá el beneficio económico –donatario–</w:t>
      </w:r>
      <w:r w:rsidRPr="00097627">
        <w:rPr>
          <w:rFonts w:ascii="Verdana" w:eastAsia="Times New Roman" w:hAnsi="Verdana" w:cs="Arial"/>
          <w:vertAlign w:val="superscript"/>
          <w:lang w:eastAsia="es-ES_tradnl"/>
        </w:rPr>
        <w:t xml:space="preserve"> </w:t>
      </w:r>
    </w:p>
    <w:p w14:paraId="6ED01505" w14:textId="77777777" w:rsidR="006D7914" w:rsidRDefault="006D7914" w:rsidP="006D7914">
      <w:pPr>
        <w:spacing w:after="120" w:line="276" w:lineRule="auto"/>
        <w:ind w:firstLine="708"/>
        <w:jc w:val="both"/>
        <w:rPr>
          <w:rFonts w:ascii="Verdana" w:eastAsia="Times New Roman" w:hAnsi="Verdana" w:cs="Arial"/>
          <w:color w:val="000000" w:themeColor="text1"/>
          <w:lang w:val="es-ES" w:eastAsia="es-ES_tradnl"/>
        </w:rPr>
      </w:pPr>
      <w:r w:rsidRPr="00097627">
        <w:rPr>
          <w:rFonts w:ascii="Verdana" w:eastAsia="Times New Roman" w:hAnsi="Verdana" w:cs="Arial"/>
          <w:color w:val="000000" w:themeColor="text1"/>
          <w:lang w:eastAsia="es-ES_tradnl"/>
        </w:rPr>
        <w:t>Respecto del tipo de bienes que pueden ser objeto de donación es importante resaltar, en primer lugar, que e</w:t>
      </w:r>
      <w:r w:rsidRPr="00097627">
        <w:rPr>
          <w:rFonts w:ascii="Verdana" w:eastAsia="Times New Roman" w:hAnsi="Verdana" w:cs="Arial"/>
          <w:color w:val="000000" w:themeColor="text1"/>
          <w:lang w:val="es-ES" w:eastAsia="es-ES_tradnl"/>
        </w:rPr>
        <w:t xml:space="preserve">l artículo 654 del Código Civil clasifica las cosas corporales en muebles e inmuebles. El artículo 655 define </w:t>
      </w:r>
      <w:r>
        <w:rPr>
          <w:rFonts w:ascii="Verdana" w:eastAsia="Times New Roman" w:hAnsi="Verdana" w:cs="Arial"/>
          <w:color w:val="000000" w:themeColor="text1"/>
          <w:lang w:val="es-ES" w:eastAsia="es-ES_tradnl"/>
        </w:rPr>
        <w:t>los bienes muebles como los que “</w:t>
      </w:r>
      <w:r w:rsidRPr="00097627">
        <w:rPr>
          <w:rFonts w:ascii="Verdana" w:eastAsia="Times New Roman" w:hAnsi="Verdana" w:cs="Arial"/>
          <w:i/>
          <w:iCs/>
          <w:color w:val="000000" w:themeColor="text1"/>
          <w:lang w:val="es-ES" w:eastAsia="es-ES_tradnl"/>
        </w:rPr>
        <w:t>pueden transportarse de un lugar a otro, sea moviéndose ellas a sí mismas como los animales</w:t>
      </w:r>
      <w:r w:rsidRPr="00097627">
        <w:rPr>
          <w:rFonts w:ascii="Verdana" w:eastAsia="Times New Roman" w:hAnsi="Verdana" w:cs="Arial"/>
          <w:color w:val="000000" w:themeColor="text1"/>
          <w:lang w:val="es-ES" w:eastAsia="es-ES_tradnl"/>
        </w:rPr>
        <w:t xml:space="preserve"> (</w:t>
      </w:r>
      <w:r w:rsidRPr="00097627">
        <w:rPr>
          <w:rFonts w:ascii="Verdana" w:eastAsia="Times New Roman" w:hAnsi="Verdana" w:cs="Arial"/>
          <w:i/>
          <w:iCs/>
          <w:color w:val="000000" w:themeColor="text1"/>
          <w:lang w:val="es-ES" w:eastAsia="es-ES_tradnl"/>
        </w:rPr>
        <w:t>que por eso se llaman semovientes), sea que sólo se muevan por una fuerza ext</w:t>
      </w:r>
      <w:r>
        <w:rPr>
          <w:rFonts w:ascii="Verdana" w:eastAsia="Times New Roman" w:hAnsi="Verdana" w:cs="Arial"/>
          <w:i/>
          <w:iCs/>
          <w:color w:val="000000" w:themeColor="text1"/>
          <w:lang w:val="es-ES" w:eastAsia="es-ES_tradnl"/>
        </w:rPr>
        <w:t>erna, como las cosas inanimadas”</w:t>
      </w:r>
      <w:r w:rsidRPr="00097627">
        <w:rPr>
          <w:rFonts w:ascii="Verdana" w:eastAsia="Times New Roman" w:hAnsi="Verdana" w:cs="Arial"/>
          <w:color w:val="000000" w:themeColor="text1"/>
          <w:lang w:val="es-ES" w:eastAsia="es-ES_tradnl"/>
        </w:rPr>
        <w:t>, mientras que el artícul</w:t>
      </w:r>
      <w:r>
        <w:rPr>
          <w:rFonts w:ascii="Verdana" w:eastAsia="Times New Roman" w:hAnsi="Verdana" w:cs="Arial"/>
          <w:color w:val="000000" w:themeColor="text1"/>
          <w:lang w:val="es-ES" w:eastAsia="es-ES_tradnl"/>
        </w:rPr>
        <w:t>o 656 define los inmuebles así: “</w:t>
      </w:r>
      <w:r w:rsidRPr="00097627">
        <w:rPr>
          <w:rFonts w:ascii="Verdana" w:eastAsia="Times New Roman" w:hAnsi="Verdana" w:cs="Arial"/>
          <w:i/>
          <w:iCs/>
          <w:color w:val="000000" w:themeColor="text1"/>
          <w:lang w:val="es-ES" w:eastAsia="es-ES_tradnl"/>
        </w:rPr>
        <w:t>Inmuebles o fincas o bienes raíces son las cosas que no pueden transportarse de un lugar a otro; como las tierras y minas, y las que adhieren permanentemente a ellas, como los edificios, los árboles. Las casas y ver</w:t>
      </w:r>
      <w:r>
        <w:rPr>
          <w:rFonts w:ascii="Verdana" w:eastAsia="Times New Roman" w:hAnsi="Verdana" w:cs="Arial"/>
          <w:i/>
          <w:iCs/>
          <w:color w:val="000000" w:themeColor="text1"/>
          <w:lang w:val="es-ES" w:eastAsia="es-ES_tradnl"/>
        </w:rPr>
        <w:t>edas se llaman predios o fundos”</w:t>
      </w:r>
      <w:r w:rsidRPr="00097627">
        <w:rPr>
          <w:rFonts w:ascii="Verdana" w:eastAsia="Times New Roman" w:hAnsi="Verdana" w:cs="Arial"/>
          <w:i/>
          <w:iCs/>
          <w:color w:val="000000" w:themeColor="text1"/>
          <w:lang w:val="es-ES" w:eastAsia="es-ES_tradnl"/>
        </w:rPr>
        <w:t>.</w:t>
      </w:r>
      <w:r w:rsidRPr="00097627">
        <w:rPr>
          <w:rFonts w:ascii="Verdana" w:eastAsia="Times New Roman" w:hAnsi="Verdana" w:cs="Arial"/>
          <w:color w:val="000000" w:themeColor="text1"/>
          <w:lang w:val="es-ES" w:eastAsia="es-ES_tradnl"/>
        </w:rPr>
        <w:t xml:space="preserve"> No obstante, esta definición se refiere a los inmuebles por naturaleza, pues el Código también considera inmuebles a las cosas que en principio eran muebles, pero que por su destinación o adhesión mutan su categoría. </w:t>
      </w:r>
    </w:p>
    <w:p w14:paraId="3FC34A3E" w14:textId="77777777" w:rsidR="006D7914" w:rsidRPr="00F323B0" w:rsidRDefault="006D7914" w:rsidP="006D7914">
      <w:pPr>
        <w:spacing w:after="120" w:line="276" w:lineRule="auto"/>
        <w:ind w:firstLine="708"/>
        <w:jc w:val="both"/>
        <w:rPr>
          <w:rFonts w:ascii="Verdana" w:eastAsia="Times New Roman" w:hAnsi="Verdana" w:cs="Arial"/>
          <w:color w:val="000000" w:themeColor="text1"/>
          <w:lang w:val="es-ES" w:eastAsia="es-ES_tradnl"/>
        </w:rPr>
      </w:pPr>
      <w:r w:rsidRPr="51C34F01">
        <w:rPr>
          <w:rFonts w:ascii="Verdana" w:eastAsia="Arial" w:hAnsi="Verdana" w:cs="Arial"/>
        </w:rPr>
        <w:t xml:space="preserve">El literal e) del numeral 2 del artículo 2 de la Ley 1150 de 2007 dispone que la enajenación de bienes del Estado, con excepción de aquellos a que se refiere la Ley 226 de 1995, se realiza a través de la </w:t>
      </w:r>
      <w:r w:rsidRPr="00F323B0">
        <w:rPr>
          <w:rFonts w:ascii="Verdana" w:eastAsia="Arial" w:hAnsi="Verdana" w:cs="Arial"/>
          <w:i/>
          <w:iCs/>
        </w:rPr>
        <w:t>modalidad de selección abreviada</w:t>
      </w:r>
      <w:r w:rsidRPr="51C34F01">
        <w:rPr>
          <w:rFonts w:ascii="Verdana" w:eastAsia="Arial" w:hAnsi="Verdana" w:cs="Arial"/>
        </w:rPr>
        <w:t xml:space="preserve">. En virtud de ello, el Decreto 1082 de 2015, por medio del cual se expide el Decreto Único Reglamentario del Sector Administrativo de Planeación Nacional, dispuso en los artículos 2.2.1.2.2.1.1. y siguientes, las reglas que deben tener en cuenta las Entidades Estatales, cuando utilicen </w:t>
      </w:r>
      <w:proofErr w:type="gramStart"/>
      <w:r w:rsidRPr="51C34F01">
        <w:rPr>
          <w:rFonts w:ascii="Verdana" w:eastAsia="Arial" w:hAnsi="Verdana" w:cs="Arial"/>
        </w:rPr>
        <w:t>dicha  modalidad</w:t>
      </w:r>
      <w:proofErr w:type="gramEnd"/>
      <w:r w:rsidRPr="51C34F01">
        <w:rPr>
          <w:rFonts w:ascii="Verdana" w:eastAsia="Arial" w:hAnsi="Verdana" w:cs="Arial"/>
        </w:rPr>
        <w:t xml:space="preserve"> de selección para enajenar</w:t>
      </w:r>
      <w:r w:rsidRPr="51C34F01">
        <w:rPr>
          <w:rFonts w:ascii="Verdana" w:eastAsia="Arial" w:hAnsi="Verdana" w:cs="Arial"/>
          <w:spacing w:val="9"/>
        </w:rPr>
        <w:t xml:space="preserve"> </w:t>
      </w:r>
      <w:r w:rsidRPr="51C34F01">
        <w:rPr>
          <w:rFonts w:ascii="Verdana" w:eastAsia="Arial" w:hAnsi="Verdana" w:cs="Arial"/>
          <w:spacing w:val="13"/>
        </w:rPr>
        <w:t xml:space="preserve">sus </w:t>
      </w:r>
      <w:r w:rsidRPr="51C34F01">
        <w:rPr>
          <w:rFonts w:ascii="Verdana" w:eastAsia="Arial" w:hAnsi="Verdana" w:cs="Arial"/>
        </w:rPr>
        <w:t xml:space="preserve">bienes fiscales, para lo cual, la Entidad Estatal </w:t>
      </w:r>
      <w:r w:rsidRPr="51C34F01">
        <w:rPr>
          <w:rFonts w:ascii="Verdana" w:eastAsia="Arial" w:hAnsi="Verdana" w:cs="Arial"/>
        </w:rPr>
        <w:lastRenderedPageBreak/>
        <w:t xml:space="preserve">interesada en realizar </w:t>
      </w:r>
      <w:proofErr w:type="gramStart"/>
      <w:r w:rsidRPr="51C34F01">
        <w:rPr>
          <w:rFonts w:ascii="Verdana" w:eastAsia="Arial" w:hAnsi="Verdana" w:cs="Arial"/>
        </w:rPr>
        <w:t>dicha proceso</w:t>
      </w:r>
      <w:proofErr w:type="gramEnd"/>
      <w:r w:rsidRPr="51C34F01">
        <w:rPr>
          <w:rFonts w:ascii="Verdana" w:eastAsia="Arial" w:hAnsi="Verdana" w:cs="Arial"/>
        </w:rPr>
        <w:t xml:space="preserve"> de enajenación deberá determinar, en primer lugar, si los bienes sobre los cuales requiere realizar la enajenación son </w:t>
      </w:r>
      <w:r w:rsidRPr="00207545">
        <w:rPr>
          <w:rFonts w:ascii="Verdana" w:eastAsia="Arial" w:hAnsi="Verdana" w:cs="Arial"/>
          <w:i/>
          <w:iCs/>
        </w:rPr>
        <w:t xml:space="preserve">muebles o inmuebles, lo que va a incidir en las reglas </w:t>
      </w:r>
      <w:r w:rsidRPr="00207545">
        <w:rPr>
          <w:rFonts w:ascii="Verdana" w:eastAsia="Arial" w:hAnsi="Verdana" w:cs="Arial"/>
          <w:i/>
          <w:iCs/>
          <w:spacing w:val="13"/>
        </w:rPr>
        <w:t>qu</w:t>
      </w:r>
      <w:r w:rsidRPr="00207545">
        <w:rPr>
          <w:rFonts w:ascii="Verdana" w:eastAsia="Arial" w:hAnsi="Verdana" w:cs="Arial"/>
          <w:i/>
          <w:iCs/>
        </w:rPr>
        <w:t>e deberá aplicar de conformidad con lo dispuesto en el Decreto 1082 de 2015</w:t>
      </w:r>
      <w:r w:rsidRPr="51C34F01">
        <w:rPr>
          <w:rFonts w:ascii="Verdana" w:eastAsia="Arial" w:hAnsi="Verdana" w:cs="Arial"/>
          <w:vertAlign w:val="superscript"/>
        </w:rPr>
        <w:footnoteReference w:id="29"/>
      </w:r>
      <w:r w:rsidRPr="51C34F01">
        <w:rPr>
          <w:rFonts w:ascii="Verdana" w:eastAsia="Arial" w:hAnsi="Verdana" w:cs="Arial"/>
        </w:rPr>
        <w:t>.</w:t>
      </w:r>
      <w:r w:rsidRPr="51C34F01">
        <w:rPr>
          <w:rFonts w:ascii="Verdana" w:eastAsia="Arial" w:hAnsi="Verdana" w:cs="Arial"/>
          <w:vertAlign w:val="superscript"/>
        </w:rPr>
        <w:t>.</w:t>
      </w:r>
    </w:p>
    <w:p w14:paraId="4203F5E1" w14:textId="77777777" w:rsidR="006D7914" w:rsidRPr="00097627" w:rsidRDefault="006D7914" w:rsidP="006D7914">
      <w:pPr>
        <w:widowControl w:val="0"/>
        <w:autoSpaceDE w:val="0"/>
        <w:autoSpaceDN w:val="0"/>
        <w:spacing w:after="120" w:line="276" w:lineRule="auto"/>
        <w:ind w:firstLine="708"/>
        <w:jc w:val="both"/>
        <w:rPr>
          <w:rFonts w:ascii="Verdana" w:eastAsia="Arial" w:hAnsi="Verdana" w:cs="Arial"/>
          <w:lang w:val="es-ES"/>
        </w:rPr>
      </w:pPr>
      <w:r>
        <w:rPr>
          <w:rFonts w:ascii="Verdana" w:eastAsia="Arial" w:hAnsi="Verdana" w:cs="Arial"/>
          <w:lang w:val="es-ES"/>
        </w:rPr>
        <w:t>P</w:t>
      </w:r>
      <w:r>
        <w:rPr>
          <w:rFonts w:ascii="Verdana" w:eastAsia="Calibri" w:hAnsi="Verdana" w:cs="Times New Roman"/>
        </w:rPr>
        <w:t xml:space="preserve">ara la enajenación de bienes </w:t>
      </w:r>
      <w:r w:rsidRPr="00EC393D">
        <w:rPr>
          <w:rFonts w:ascii="Verdana" w:eastAsia="Calibri" w:hAnsi="Verdana" w:cs="Times New Roman"/>
          <w:i/>
          <w:iCs/>
          <w:u w:val="single"/>
        </w:rPr>
        <w:t>muebles</w:t>
      </w:r>
      <w:r>
        <w:rPr>
          <w:rFonts w:ascii="Verdana" w:eastAsia="Calibri" w:hAnsi="Verdana" w:cs="Times New Roman"/>
        </w:rPr>
        <w:t xml:space="preserve"> </w:t>
      </w:r>
      <w:r>
        <w:rPr>
          <w:rFonts w:ascii="Verdana" w:eastAsia="Arial" w:hAnsi="Verdana" w:cs="Arial"/>
          <w:lang w:val="es-ES"/>
        </w:rPr>
        <w:t xml:space="preserve">que sean dados a </w:t>
      </w:r>
      <w:r w:rsidRPr="00097627">
        <w:rPr>
          <w:rFonts w:ascii="Verdana" w:eastAsia="Arial" w:hAnsi="Verdana" w:cs="Arial"/>
          <w:lang w:val="es-ES"/>
        </w:rPr>
        <w:t>título gratuito a otras Entidades Estatales en virtud de lo consagrado en el</w:t>
      </w:r>
      <w:r w:rsidRPr="00097627">
        <w:rPr>
          <w:rFonts w:ascii="Verdana" w:eastAsia="Arial" w:hAnsi="Verdana" w:cs="Arial"/>
          <w:spacing w:val="13"/>
          <w:lang w:val="es-ES"/>
        </w:rPr>
        <w:t xml:space="preserve"> </w:t>
      </w:r>
      <w:r w:rsidRPr="00097627">
        <w:rPr>
          <w:rFonts w:ascii="Verdana" w:eastAsia="Arial" w:hAnsi="Verdana" w:cs="Arial"/>
          <w:lang w:val="es-ES"/>
        </w:rPr>
        <w:t>artículo</w:t>
      </w:r>
      <w:r w:rsidRPr="00097627">
        <w:rPr>
          <w:rFonts w:ascii="Verdana" w:eastAsia="Arial" w:hAnsi="Verdana" w:cs="Arial"/>
          <w:spacing w:val="16"/>
          <w:lang w:val="es-ES"/>
        </w:rPr>
        <w:t xml:space="preserve"> </w:t>
      </w:r>
      <w:r w:rsidRPr="00097627">
        <w:rPr>
          <w:rFonts w:ascii="Verdana" w:eastAsia="Arial" w:hAnsi="Verdana" w:cs="Arial"/>
          <w:lang w:val="es-ES"/>
        </w:rPr>
        <w:t>2.2.1.2.2.4.3.</w:t>
      </w:r>
      <w:r w:rsidRPr="00097627">
        <w:rPr>
          <w:rFonts w:ascii="Verdana" w:eastAsia="Arial" w:hAnsi="Verdana" w:cs="Arial"/>
          <w:spacing w:val="12"/>
          <w:lang w:val="es-ES"/>
        </w:rPr>
        <w:t xml:space="preserve"> </w:t>
      </w:r>
      <w:r w:rsidRPr="00097627">
        <w:rPr>
          <w:rFonts w:ascii="Verdana" w:eastAsia="Arial" w:hAnsi="Verdana" w:cs="Arial"/>
          <w:lang w:val="es-ES"/>
        </w:rPr>
        <w:t xml:space="preserve">del Decreto 1082 de 2015, </w:t>
      </w:r>
      <w:r>
        <w:rPr>
          <w:rFonts w:ascii="Verdana" w:eastAsia="Arial" w:hAnsi="Verdana" w:cs="Arial"/>
          <w:lang w:val="es-ES"/>
        </w:rPr>
        <w:t xml:space="preserve">las entidades </w:t>
      </w:r>
      <w:r w:rsidRPr="00097627">
        <w:rPr>
          <w:rFonts w:ascii="Verdana" w:eastAsia="Arial" w:hAnsi="Verdana" w:cs="Arial"/>
          <w:lang w:val="es-ES"/>
        </w:rPr>
        <w:t>deberá</w:t>
      </w:r>
      <w:r>
        <w:rPr>
          <w:rFonts w:ascii="Verdana" w:eastAsia="Arial" w:hAnsi="Verdana" w:cs="Arial"/>
          <w:lang w:val="es-ES"/>
        </w:rPr>
        <w:t>n</w:t>
      </w:r>
      <w:r w:rsidRPr="00097627">
        <w:rPr>
          <w:rFonts w:ascii="Verdana" w:eastAsia="Arial" w:hAnsi="Verdana" w:cs="Arial"/>
          <w:lang w:val="es-ES"/>
        </w:rPr>
        <w:t xml:space="preserve"> realizar</w:t>
      </w:r>
      <w:r>
        <w:rPr>
          <w:rFonts w:ascii="Verdana" w:eastAsia="Arial" w:hAnsi="Verdana" w:cs="Arial"/>
          <w:lang w:val="es-ES"/>
        </w:rPr>
        <w:t xml:space="preserve"> </w:t>
      </w:r>
      <w:r w:rsidRPr="00097627">
        <w:rPr>
          <w:rFonts w:ascii="Verdana" w:eastAsia="Arial" w:hAnsi="Verdana" w:cs="Arial"/>
          <w:lang w:val="es-ES"/>
        </w:rPr>
        <w:t>un inventario de los bienes muebles que no utilizan</w:t>
      </w:r>
      <w:r>
        <w:rPr>
          <w:rFonts w:ascii="Verdana" w:eastAsia="Arial" w:hAnsi="Verdana" w:cs="Arial"/>
          <w:lang w:val="es-ES"/>
        </w:rPr>
        <w:t xml:space="preserve">. Con esto se </w:t>
      </w:r>
      <w:r w:rsidRPr="00097627">
        <w:rPr>
          <w:rFonts w:ascii="Verdana" w:eastAsia="Arial" w:hAnsi="Verdana" w:cs="Arial"/>
          <w:lang w:val="es-ES"/>
        </w:rPr>
        <w:t>habilita</w:t>
      </w:r>
      <w:r>
        <w:rPr>
          <w:rFonts w:ascii="Verdana" w:eastAsia="Arial" w:hAnsi="Verdana" w:cs="Arial"/>
          <w:lang w:val="es-ES"/>
        </w:rPr>
        <w:t xml:space="preserve"> la posibilidad de</w:t>
      </w:r>
      <w:r w:rsidRPr="00097627">
        <w:rPr>
          <w:rFonts w:ascii="Verdana" w:eastAsia="Arial" w:hAnsi="Verdana" w:cs="Arial"/>
          <w:lang w:val="es-ES"/>
        </w:rPr>
        <w:t xml:space="preserve"> ofrecerlos a título gratuito a las demás Entidades Estatales a través de un acto administrativo que deberá</w:t>
      </w:r>
      <w:r>
        <w:rPr>
          <w:rFonts w:ascii="Verdana" w:eastAsia="Arial" w:hAnsi="Verdana" w:cs="Arial"/>
          <w:lang w:val="es-ES"/>
        </w:rPr>
        <w:t>n</w:t>
      </w:r>
      <w:r w:rsidRPr="00097627">
        <w:rPr>
          <w:rFonts w:ascii="Verdana" w:eastAsia="Arial" w:hAnsi="Verdana" w:cs="Arial"/>
          <w:lang w:val="es-ES"/>
        </w:rPr>
        <w:t xml:space="preserve"> publicar en su página Web.</w:t>
      </w:r>
      <w:r w:rsidRPr="009877B5">
        <w:t xml:space="preserve"> </w:t>
      </w:r>
      <w:r w:rsidRPr="009877B5">
        <w:rPr>
          <w:rFonts w:ascii="Verdana" w:eastAsia="Arial" w:hAnsi="Verdana" w:cs="Arial"/>
          <w:lang w:val="es-ES"/>
        </w:rPr>
        <w:t xml:space="preserve">El acto administrativo que oferta bienes muebles a título gratuito entre entidades estatales cumple la función de un </w:t>
      </w:r>
      <w:r w:rsidRPr="00EC393D">
        <w:rPr>
          <w:rFonts w:ascii="Verdana" w:eastAsia="Arial" w:hAnsi="Verdana" w:cs="Arial"/>
          <w:i/>
          <w:iCs/>
          <w:lang w:val="es-ES"/>
        </w:rPr>
        <w:t>aviso de convocatoria</w:t>
      </w:r>
      <w:r w:rsidRPr="009877B5">
        <w:rPr>
          <w:rFonts w:ascii="Verdana" w:eastAsia="Arial" w:hAnsi="Verdana" w:cs="Arial"/>
          <w:lang w:val="es-ES"/>
        </w:rPr>
        <w:t>, porque es el mecanismo mediante el cual la entidad propietaria informa públicamente que dispone de determinado</w:t>
      </w:r>
      <w:r>
        <w:rPr>
          <w:rFonts w:ascii="Verdana" w:eastAsia="Arial" w:hAnsi="Verdana" w:cs="Arial"/>
          <w:lang w:val="es-ES"/>
        </w:rPr>
        <w:t xml:space="preserve">s bienes y que estos pueden solicitarse </w:t>
      </w:r>
      <w:r w:rsidRPr="009877B5">
        <w:rPr>
          <w:rFonts w:ascii="Verdana" w:eastAsia="Arial" w:hAnsi="Verdana" w:cs="Arial"/>
          <w:lang w:val="es-ES"/>
        </w:rPr>
        <w:t>p</w:t>
      </w:r>
      <w:r>
        <w:rPr>
          <w:rFonts w:ascii="Verdana" w:eastAsia="Arial" w:hAnsi="Verdana" w:cs="Arial"/>
          <w:lang w:val="es-ES"/>
        </w:rPr>
        <w:t xml:space="preserve">or otras entidades interesadas. Dicho acto administrativo </w:t>
      </w:r>
      <w:r w:rsidRPr="009877B5">
        <w:rPr>
          <w:rFonts w:ascii="Verdana" w:eastAsia="Arial" w:hAnsi="Verdana" w:cs="Arial"/>
          <w:lang w:val="es-ES"/>
        </w:rPr>
        <w:t xml:space="preserve">garantiza la transparencia y publicidad del proceso, pues permite que </w:t>
      </w:r>
      <w:r w:rsidRPr="00EC393D">
        <w:rPr>
          <w:rFonts w:ascii="Verdana" w:eastAsia="Arial" w:hAnsi="Verdana" w:cs="Arial"/>
          <w:i/>
          <w:iCs/>
          <w:lang w:val="es-ES"/>
        </w:rPr>
        <w:t>todas las entidades estatales potencialmente beneficiarias tengan conocimiento de la oferta y puedan manifestar su interés en recibir los bienes</w:t>
      </w:r>
      <w:r>
        <w:rPr>
          <w:rFonts w:ascii="Verdana" w:eastAsia="Arial" w:hAnsi="Verdana" w:cs="Arial"/>
          <w:lang w:val="es-ES"/>
        </w:rPr>
        <w:t xml:space="preserve">. </w:t>
      </w:r>
    </w:p>
    <w:p w14:paraId="2CFC8BE9" w14:textId="77777777" w:rsidR="006D7914" w:rsidRDefault="006D7914" w:rsidP="006D7914">
      <w:pPr>
        <w:widowControl w:val="0"/>
        <w:autoSpaceDE w:val="0"/>
        <w:autoSpaceDN w:val="0"/>
        <w:spacing w:after="120" w:line="276" w:lineRule="auto"/>
        <w:ind w:firstLine="708"/>
        <w:jc w:val="both"/>
        <w:rPr>
          <w:rFonts w:ascii="Verdana" w:eastAsia="Arial" w:hAnsi="Verdana" w:cs="Arial"/>
          <w:lang w:val="es-ES"/>
        </w:rPr>
      </w:pPr>
      <w:r w:rsidRPr="00097627">
        <w:rPr>
          <w:rFonts w:ascii="Verdana" w:eastAsia="Arial" w:hAnsi="Verdana" w:cs="Arial"/>
          <w:lang w:val="es-ES"/>
        </w:rPr>
        <w:t xml:space="preserve">Posterior a ello, la norma en mención indica que dentro de los treinta (30) días calendario siguientes a la fecha de publicación del acto administrativo, la Entidad Estatal interesada en adquirir estos bienes a título gratuito debe manifestar su interés, y con ella, debe señalar la necesidad funcional que pretende satisfacer con el bien </w:t>
      </w:r>
      <w:proofErr w:type="gramStart"/>
      <w:r w:rsidRPr="00097627">
        <w:rPr>
          <w:rFonts w:ascii="Verdana" w:eastAsia="Arial" w:hAnsi="Verdana" w:cs="Arial"/>
          <w:lang w:val="es-ES"/>
        </w:rPr>
        <w:t>conjuntamente con</w:t>
      </w:r>
      <w:proofErr w:type="gramEnd"/>
      <w:r w:rsidRPr="00097627">
        <w:rPr>
          <w:rFonts w:ascii="Verdana" w:eastAsia="Arial" w:hAnsi="Verdana" w:cs="Arial"/>
          <w:lang w:val="es-ES"/>
        </w:rPr>
        <w:t xml:space="preserve"> las razones que justifican su solicitud.</w:t>
      </w:r>
      <w:r>
        <w:rPr>
          <w:rFonts w:ascii="Verdana" w:eastAsia="Arial" w:hAnsi="Verdana" w:cs="Arial"/>
          <w:lang w:val="es-ES"/>
        </w:rPr>
        <w:t xml:space="preserve"> </w:t>
      </w:r>
      <w:r w:rsidRPr="00097627">
        <w:rPr>
          <w:rFonts w:ascii="Verdana" w:eastAsia="Arial" w:hAnsi="Verdana" w:cs="Arial"/>
          <w:lang w:val="es-ES"/>
        </w:rPr>
        <w:t>Finalmente, la norma señala que, si hay dos o más manifestaciones de interés de Entidades Estatales para el mismo bien, la Entidad Estatal que primero haya manifestado su interés debe tener preferencia, sin que existan más normas complementarias o posteriores que hayan regulado con mayor detalle el procedimiento en mención.</w:t>
      </w:r>
    </w:p>
    <w:p w14:paraId="6F9034F2" w14:textId="77777777" w:rsidR="006D7914" w:rsidRDefault="006D7914" w:rsidP="006D7914">
      <w:pPr>
        <w:widowControl w:val="0"/>
        <w:autoSpaceDE w:val="0"/>
        <w:autoSpaceDN w:val="0"/>
        <w:spacing w:after="120" w:line="276" w:lineRule="auto"/>
        <w:ind w:firstLine="708"/>
        <w:jc w:val="both"/>
        <w:rPr>
          <w:rFonts w:ascii="Verdana" w:eastAsia="Arial" w:hAnsi="Verdana" w:cs="Arial"/>
          <w:lang w:val="es-ES"/>
        </w:rPr>
      </w:pPr>
      <w:r>
        <w:rPr>
          <w:rFonts w:ascii="Verdana" w:eastAsia="Arial" w:hAnsi="Verdana" w:cs="Arial"/>
          <w:lang w:val="es-ES"/>
        </w:rPr>
        <w:t xml:space="preserve">De esta manera, los procedimientos de contratación que adelanten las Entidades Estatales mediante la modalidad de selección abreviada para la enajenación de bienes muebles dados a título gratuito a otras entidades implican se implican la expedición de </w:t>
      </w:r>
      <w:proofErr w:type="gramStart"/>
      <w:r>
        <w:rPr>
          <w:rFonts w:ascii="Verdana" w:eastAsia="Arial" w:hAnsi="Verdana" w:cs="Arial"/>
          <w:lang w:val="es-ES"/>
        </w:rPr>
        <w:t>una acto administrativo</w:t>
      </w:r>
      <w:proofErr w:type="gramEnd"/>
      <w:r>
        <w:rPr>
          <w:rFonts w:ascii="Verdana" w:eastAsia="Arial" w:hAnsi="Verdana" w:cs="Arial"/>
          <w:lang w:val="es-ES"/>
        </w:rPr>
        <w:t xml:space="preserve"> que cumple la función de </w:t>
      </w:r>
      <w:r>
        <w:rPr>
          <w:rFonts w:ascii="Verdana" w:eastAsia="Arial" w:hAnsi="Verdana" w:cs="Arial"/>
          <w:lang w:val="es-ES"/>
        </w:rPr>
        <w:lastRenderedPageBreak/>
        <w:t xml:space="preserve">un aviso público de convocatoria. Adicionalmente, se trata de un procedimiento de selección que permite que todas las entidades puedan manifestar interés en recibir los bienes. De esta forma, se trata de un proceso de contratación estatal que incluye una convocatoria pública en alguna de sus etapas y que permite la participación de pluralidad de oferentes, requisitos establecidos por el Consejo de Estado para determinar que no se trata de un procedimiento de “contratación directa” sometido a la prohibición establecida en el artículo 33 de la Ley de Garantías Electorales. </w:t>
      </w:r>
    </w:p>
    <w:p w14:paraId="0A4C16D0" w14:textId="77777777" w:rsidR="006D7914" w:rsidRPr="00D52CEA" w:rsidRDefault="006D7914" w:rsidP="006D7914">
      <w:pPr>
        <w:widowControl w:val="0"/>
        <w:autoSpaceDE w:val="0"/>
        <w:autoSpaceDN w:val="0"/>
        <w:spacing w:after="120" w:line="276" w:lineRule="auto"/>
        <w:ind w:firstLine="708"/>
        <w:jc w:val="both"/>
        <w:rPr>
          <w:rFonts w:ascii="Verdana" w:eastAsia="Arial" w:hAnsi="Verdana" w:cs="Arial"/>
          <w:lang w:val="es-ES"/>
        </w:rPr>
      </w:pPr>
      <w:r>
        <w:rPr>
          <w:rFonts w:ascii="Verdana" w:eastAsia="Calibri" w:hAnsi="Verdana" w:cs="Arial"/>
          <w:lang w:val="es-ES"/>
        </w:rPr>
        <w:t xml:space="preserve">En cualquier caso, </w:t>
      </w:r>
      <w:r w:rsidRPr="00584759">
        <w:rPr>
          <w:rFonts w:ascii="Verdana" w:eastAsia="Calibri" w:hAnsi="Verdana" w:cs="Arial"/>
          <w:lang w:val="es-ES"/>
        </w:rPr>
        <w:t xml:space="preserve">corresponde a cada </w:t>
      </w:r>
      <w:r>
        <w:rPr>
          <w:rFonts w:ascii="Verdana" w:eastAsia="Calibri" w:hAnsi="Verdana" w:cs="Arial"/>
          <w:lang w:val="es-ES"/>
        </w:rPr>
        <w:t>E</w:t>
      </w:r>
      <w:r w:rsidRPr="00584759">
        <w:rPr>
          <w:rFonts w:ascii="Verdana" w:eastAsia="Calibri" w:hAnsi="Verdana" w:cs="Arial"/>
          <w:lang w:val="es-ES"/>
        </w:rPr>
        <w:t xml:space="preserve">ntidad </w:t>
      </w:r>
      <w:r>
        <w:rPr>
          <w:rFonts w:ascii="Verdana" w:eastAsia="Calibri" w:hAnsi="Verdana" w:cs="Arial"/>
          <w:lang w:val="es-ES"/>
        </w:rPr>
        <w:t>E</w:t>
      </w:r>
      <w:r w:rsidRPr="00584759">
        <w:rPr>
          <w:rFonts w:ascii="Verdana" w:eastAsia="Calibri" w:hAnsi="Verdana" w:cs="Arial"/>
          <w:lang w:val="es-ES"/>
        </w:rPr>
        <w:t>statal realizar el análisis para determinar si aplica o no una determinada excepción</w:t>
      </w:r>
      <w:r>
        <w:rPr>
          <w:rFonts w:ascii="Verdana" w:eastAsia="Calibri" w:hAnsi="Verdana" w:cs="Arial"/>
          <w:lang w:val="es-ES"/>
        </w:rPr>
        <w:t xml:space="preserve"> a la prohibición del artículo 33 de la Ley de Garantías</w:t>
      </w:r>
      <w:r w:rsidRPr="00584759">
        <w:rPr>
          <w:rFonts w:ascii="Verdana" w:eastAsia="Calibri" w:hAnsi="Verdana" w:cs="Arial"/>
          <w:lang w:val="es-ES"/>
        </w:rPr>
        <w:t xml:space="preserve"> </w:t>
      </w:r>
      <w:r>
        <w:rPr>
          <w:rFonts w:ascii="Verdana" w:eastAsia="Calibri" w:hAnsi="Verdana" w:cs="Arial"/>
          <w:lang w:val="es-ES"/>
        </w:rPr>
        <w:t xml:space="preserve">Electorales, según </w:t>
      </w:r>
      <w:r w:rsidRPr="00584759">
        <w:rPr>
          <w:rFonts w:ascii="Verdana" w:eastAsia="Calibri" w:hAnsi="Verdana" w:cs="Arial"/>
          <w:lang w:val="es-ES"/>
        </w:rPr>
        <w:t>la situación fáctica y jurídica particular del caso concreto, para lo cual las consideraciones expuestas en el presente concepto constituyen un instrumento orientador</w:t>
      </w:r>
      <w:r>
        <w:rPr>
          <w:rFonts w:ascii="Verdana" w:eastAsia="Calibri" w:hAnsi="Verdana" w:cs="Arial"/>
          <w:lang w:val="es-ES"/>
        </w:rPr>
        <w:t xml:space="preserve">. </w:t>
      </w:r>
      <w:r>
        <w:rPr>
          <w:rFonts w:ascii="Verdana" w:hAnsi="Verdana" w:cs="Arial"/>
          <w:lang w:val="es-ES" w:eastAsia="es-CO"/>
        </w:rPr>
        <w:t>Cuando la contratación se encuentre restringida, las entidades podrán considerar l</w:t>
      </w:r>
      <w:r w:rsidRPr="00FC6F34">
        <w:rPr>
          <w:rFonts w:ascii="Verdana" w:hAnsi="Verdana" w:cs="Arial"/>
          <w:lang w:val="es-ES" w:eastAsia="es-CO"/>
        </w:rPr>
        <w:t xml:space="preserve">a posibilidad </w:t>
      </w:r>
      <w:r>
        <w:rPr>
          <w:rFonts w:ascii="Verdana" w:hAnsi="Verdana" w:cs="Arial"/>
          <w:lang w:val="es-ES" w:eastAsia="es-CO"/>
        </w:rPr>
        <w:t>de adelantar modalidades distintas a la contratación directa o implementar tipologías distintas a los convenios interadministrativos</w:t>
      </w:r>
      <w:r w:rsidRPr="00FC6F34">
        <w:rPr>
          <w:rFonts w:ascii="Verdana" w:hAnsi="Verdana" w:cs="Arial"/>
          <w:lang w:val="es-ES" w:eastAsia="es-CO"/>
        </w:rPr>
        <w:t xml:space="preserve">, </w:t>
      </w:r>
      <w:r>
        <w:rPr>
          <w:rFonts w:ascii="Verdana" w:hAnsi="Verdana" w:cs="Arial"/>
          <w:lang w:val="es-ES" w:eastAsia="es-CO"/>
        </w:rPr>
        <w:t xml:space="preserve">es decir, aquellas que </w:t>
      </w:r>
      <w:r w:rsidRPr="00FC6F34">
        <w:rPr>
          <w:rFonts w:ascii="Verdana" w:hAnsi="Verdana" w:cs="Arial"/>
          <w:lang w:val="es-ES" w:eastAsia="es-CO"/>
        </w:rPr>
        <w:t>no se encuentr</w:t>
      </w:r>
      <w:r>
        <w:rPr>
          <w:rFonts w:ascii="Verdana" w:hAnsi="Verdana" w:cs="Arial"/>
          <w:lang w:val="es-ES" w:eastAsia="es-CO"/>
        </w:rPr>
        <w:t>e</w:t>
      </w:r>
      <w:r w:rsidRPr="00FC6F34">
        <w:rPr>
          <w:rFonts w:ascii="Verdana" w:hAnsi="Verdana" w:cs="Arial"/>
          <w:lang w:val="es-ES" w:eastAsia="es-CO"/>
        </w:rPr>
        <w:t>n restringidas por el artículo 33</w:t>
      </w:r>
      <w:r>
        <w:rPr>
          <w:rFonts w:ascii="Verdana" w:hAnsi="Verdana" w:cs="Arial"/>
          <w:lang w:val="es-ES" w:eastAsia="es-CO"/>
        </w:rPr>
        <w:t xml:space="preserve"> o el parágrafo del artículo 38</w:t>
      </w:r>
      <w:r w:rsidRPr="00FC6F34">
        <w:rPr>
          <w:rFonts w:ascii="Verdana" w:hAnsi="Verdana" w:cs="Arial"/>
          <w:lang w:val="es-ES" w:eastAsia="es-CO"/>
        </w:rPr>
        <w:t xml:space="preserve"> de la Ley 996 de 2005.</w:t>
      </w:r>
    </w:p>
    <w:p w14:paraId="2413D672" w14:textId="77777777" w:rsidR="006D7914" w:rsidRPr="008C4F0A" w:rsidRDefault="006D7914" w:rsidP="006D7914">
      <w:pPr>
        <w:spacing w:after="120" w:line="276" w:lineRule="auto"/>
        <w:ind w:firstLine="708"/>
        <w:jc w:val="both"/>
        <w:rPr>
          <w:rFonts w:ascii="Verdana" w:eastAsia="Times New Roman" w:hAnsi="Verdana" w:cs="Arial"/>
          <w:bCs/>
          <w:lang w:val="es-ES" w:eastAsia="es-CO"/>
        </w:rPr>
      </w:pPr>
      <w:r w:rsidRPr="00FC6F34">
        <w:rPr>
          <w:rFonts w:ascii="Verdana" w:eastAsia="Arial" w:hAnsi="Verdana" w:cs="Arial"/>
          <w:color w:val="000000" w:themeColor="text1"/>
          <w:lang w:val="es-ES"/>
        </w:rPr>
        <w:t xml:space="preserve">Finalmente, es importante advertir que </w:t>
      </w:r>
      <w:r w:rsidRPr="00FC6F34">
        <w:rPr>
          <w:rFonts w:ascii="Verdana" w:eastAsia="Times New Roman" w:hAnsi="Verdana" w:cs="Arial"/>
          <w:lang w:val="es-ES"/>
        </w:rPr>
        <w:t xml:space="preserve">compete a cada </w:t>
      </w:r>
      <w:r>
        <w:rPr>
          <w:rFonts w:ascii="Verdana" w:eastAsia="Times New Roman" w:hAnsi="Verdana" w:cs="Arial"/>
          <w:lang w:val="es-ES"/>
        </w:rPr>
        <w:t>E</w:t>
      </w:r>
      <w:r w:rsidRPr="00FC6F34">
        <w:rPr>
          <w:rFonts w:ascii="Verdana" w:eastAsia="Times New Roman" w:hAnsi="Verdana" w:cs="Arial"/>
          <w:lang w:val="es-ES"/>
        </w:rPr>
        <w:t xml:space="preserve">ntidad </w:t>
      </w:r>
      <w:r>
        <w:rPr>
          <w:rFonts w:ascii="Verdana" w:eastAsia="Times New Roman" w:hAnsi="Verdana" w:cs="Arial"/>
          <w:lang w:val="es-ES"/>
        </w:rPr>
        <w:t>E</w:t>
      </w:r>
      <w:r w:rsidRPr="00FC6F34">
        <w:rPr>
          <w:rFonts w:ascii="Verdana" w:eastAsia="Times New Roman" w:hAnsi="Verdana" w:cs="Arial"/>
          <w:lang w:val="es-ES"/>
        </w:rPr>
        <w:t>statal que considera celebrar un contrato específico definir si este se enmarca</w:t>
      </w:r>
      <w:r>
        <w:rPr>
          <w:rFonts w:ascii="Verdana" w:eastAsia="Times New Roman" w:hAnsi="Verdana" w:cs="Arial"/>
          <w:lang w:val="es-ES"/>
        </w:rPr>
        <w:t xml:space="preserve"> en alguna de las prohibiciones de la Ley de Garantías Electorales</w:t>
      </w:r>
      <w:r w:rsidRPr="00FC6F34">
        <w:rPr>
          <w:rFonts w:ascii="Verdana" w:eastAsia="Times New Roman" w:hAnsi="Verdana" w:cs="Arial"/>
          <w:lang w:val="es-ES"/>
        </w:rPr>
        <w:t xml:space="preserve">. </w:t>
      </w:r>
      <w:r w:rsidRPr="00FC6F34">
        <w:rPr>
          <w:rFonts w:ascii="Verdana" w:eastAsia="Times New Roman" w:hAnsi="Verdana" w:cs="Arial"/>
          <w:color w:val="000000" w:themeColor="text1"/>
          <w:lang w:val="es-ES" w:eastAsia="es-ES"/>
        </w:rPr>
        <w:t xml:space="preserve">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establecerá la forma de adelantar su gestión contractual, sin que sea atribución de la Agencia Nacional de Contratación Pública - Colombia Compra Eficiente validarla. </w:t>
      </w:r>
    </w:p>
    <w:bookmarkEnd w:id="1"/>
    <w:bookmarkEnd w:id="2"/>
    <w:p w14:paraId="2816A5B0" w14:textId="77777777" w:rsidR="006D7914" w:rsidRPr="00FC6F34" w:rsidRDefault="006D7914" w:rsidP="006D7914">
      <w:pPr>
        <w:tabs>
          <w:tab w:val="left" w:pos="142"/>
          <w:tab w:val="left" w:pos="284"/>
        </w:tabs>
        <w:spacing w:after="0" w:line="276" w:lineRule="auto"/>
        <w:jc w:val="both"/>
        <w:rPr>
          <w:rFonts w:ascii="Verdana" w:eastAsia="Century Gothic" w:hAnsi="Verdana" w:cs="Century Gothic"/>
          <w:b/>
          <w:color w:val="000000" w:themeColor="text1"/>
          <w:lang w:val="es-ES"/>
        </w:rPr>
      </w:pPr>
      <w:r w:rsidRPr="00FC6F34">
        <w:rPr>
          <w:rFonts w:ascii="Verdana" w:eastAsia="Century Gothic" w:hAnsi="Verdana" w:cs="Century Gothic"/>
          <w:b/>
          <w:color w:val="000000" w:themeColor="text1"/>
          <w:lang w:val="es-ES"/>
        </w:rPr>
        <w:t>4.Referencias normativas, jurisprudenciales y otras fuentes:</w:t>
      </w:r>
    </w:p>
    <w:p w14:paraId="07DF155A" w14:textId="77777777" w:rsidR="006D7914" w:rsidRPr="00FC6F34" w:rsidRDefault="006D7914" w:rsidP="006D7914">
      <w:pPr>
        <w:widowControl w:val="0"/>
        <w:autoSpaceDE w:val="0"/>
        <w:autoSpaceDN w:val="0"/>
        <w:spacing w:after="0" w:line="276" w:lineRule="auto"/>
        <w:jc w:val="both"/>
        <w:rPr>
          <w:rFonts w:ascii="Verdana" w:hAnsi="Verdana" w:cs="Arial"/>
          <w:color w:val="000000" w:themeColor="text1"/>
          <w:lang w:val="es-ES"/>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6D7914" w:rsidRPr="00FC6F34" w14:paraId="48914BB3" w14:textId="77777777" w:rsidTr="005F22F2">
        <w:trPr>
          <w:trHeight w:val="870"/>
        </w:trPr>
        <w:tc>
          <w:tcPr>
            <w:tcW w:w="8647" w:type="dxa"/>
          </w:tcPr>
          <w:p w14:paraId="1442CAF4" w14:textId="77777777" w:rsidR="006D7914" w:rsidRDefault="006D7914" w:rsidP="005F22F2">
            <w:pPr>
              <w:widowControl w:val="0"/>
              <w:numPr>
                <w:ilvl w:val="0"/>
                <w:numId w:val="16"/>
              </w:numPr>
              <w:autoSpaceDE w:val="0"/>
              <w:autoSpaceDN w:val="0"/>
              <w:spacing w:after="120"/>
              <w:jc w:val="both"/>
              <w:rPr>
                <w:rFonts w:ascii="Verdana" w:eastAsia="Arial MT" w:hAnsi="Verdana" w:cs="Arial"/>
                <w:lang w:val="es-ES" w:eastAsia="es-ES" w:bidi="es-ES"/>
              </w:rPr>
            </w:pPr>
            <w:r w:rsidRPr="00FC6F34">
              <w:rPr>
                <w:rFonts w:ascii="Verdana" w:eastAsia="Arial MT" w:hAnsi="Verdana" w:cs="Arial"/>
                <w:lang w:val="es-ES" w:eastAsia="es-ES" w:bidi="es-ES"/>
              </w:rPr>
              <w:t xml:space="preserve">Ley 80 de 1993, artículos 39, 41. </w:t>
            </w:r>
          </w:p>
          <w:p w14:paraId="6170C163" w14:textId="77777777" w:rsidR="006D7914" w:rsidRPr="008C4F0A" w:rsidRDefault="006D7914" w:rsidP="005F22F2">
            <w:pPr>
              <w:pStyle w:val="Prrafodelista"/>
              <w:widowControl w:val="0"/>
              <w:numPr>
                <w:ilvl w:val="0"/>
                <w:numId w:val="16"/>
              </w:numPr>
              <w:autoSpaceDE w:val="0"/>
              <w:autoSpaceDN w:val="0"/>
              <w:spacing w:before="120" w:after="120" w:line="276" w:lineRule="auto"/>
              <w:contextualSpacing w:val="0"/>
              <w:jc w:val="both"/>
              <w:rPr>
                <w:rFonts w:ascii="Verdana" w:eastAsia="Arial MT" w:hAnsi="Verdana" w:cs="Arial"/>
                <w:lang w:eastAsia="es-ES" w:bidi="es-ES"/>
              </w:rPr>
            </w:pPr>
            <w:r>
              <w:rPr>
                <w:rFonts w:ascii="Verdana" w:eastAsia="Arial MT" w:hAnsi="Verdana" w:cs="Arial"/>
                <w:lang w:eastAsia="es-ES" w:bidi="es-ES"/>
              </w:rPr>
              <w:t xml:space="preserve">Código Civil, artículos 665 y 749. </w:t>
            </w:r>
          </w:p>
          <w:p w14:paraId="3DB7EF7F" w14:textId="77777777" w:rsidR="006D7914" w:rsidRPr="00FC6F34" w:rsidRDefault="006D7914" w:rsidP="005F22F2">
            <w:pPr>
              <w:widowControl w:val="0"/>
              <w:numPr>
                <w:ilvl w:val="0"/>
                <w:numId w:val="16"/>
              </w:numPr>
              <w:autoSpaceDE w:val="0"/>
              <w:autoSpaceDN w:val="0"/>
              <w:spacing w:after="120"/>
              <w:jc w:val="both"/>
              <w:rPr>
                <w:rFonts w:ascii="Verdana" w:eastAsia="Arial MT" w:hAnsi="Verdana" w:cs="Arial"/>
                <w:lang w:val="es-ES" w:eastAsia="es-ES" w:bidi="es-ES"/>
              </w:rPr>
            </w:pPr>
            <w:r w:rsidRPr="00FC6F34">
              <w:rPr>
                <w:rFonts w:ascii="Verdana" w:eastAsia="Arial MT" w:hAnsi="Verdana" w:cs="Arial"/>
                <w:bCs/>
                <w:lang w:val="es-ES" w:eastAsia="es-ES" w:bidi="es-ES"/>
              </w:rPr>
              <w:lastRenderedPageBreak/>
              <w:t xml:space="preserve">Ley 996 de 2005: artículos 33 y </w:t>
            </w:r>
            <w:r>
              <w:rPr>
                <w:rFonts w:ascii="Verdana" w:eastAsia="Arial MT" w:hAnsi="Verdana" w:cs="Arial"/>
                <w:bCs/>
                <w:lang w:val="es-ES" w:eastAsia="es-ES" w:bidi="es-ES"/>
              </w:rPr>
              <w:t>parágrafo del artículo</w:t>
            </w:r>
            <w:r w:rsidRPr="00FC6F34">
              <w:rPr>
                <w:rFonts w:ascii="Verdana" w:eastAsia="Arial MT" w:hAnsi="Verdana" w:cs="Arial"/>
                <w:bCs/>
                <w:lang w:val="es-ES" w:eastAsia="es-ES" w:bidi="es-ES"/>
              </w:rPr>
              <w:t>38.</w:t>
            </w:r>
          </w:p>
          <w:p w14:paraId="546BB0A1" w14:textId="77777777" w:rsidR="006D7914" w:rsidRDefault="006D7914" w:rsidP="005F22F2">
            <w:pPr>
              <w:widowControl w:val="0"/>
              <w:numPr>
                <w:ilvl w:val="0"/>
                <w:numId w:val="16"/>
              </w:numPr>
              <w:autoSpaceDE w:val="0"/>
              <w:autoSpaceDN w:val="0"/>
              <w:spacing w:after="120"/>
              <w:jc w:val="both"/>
              <w:rPr>
                <w:rFonts w:ascii="Verdana" w:eastAsia="Arial MT" w:hAnsi="Verdana" w:cs="Arial"/>
                <w:lang w:val="es-ES" w:eastAsia="es-ES" w:bidi="es-ES"/>
              </w:rPr>
            </w:pPr>
            <w:r w:rsidRPr="00FC6F34">
              <w:rPr>
                <w:rFonts w:ascii="Verdana" w:eastAsia="Times New Roman" w:hAnsi="Verdana" w:cs="Times New Roman"/>
                <w:lang w:val="es-ES" w:eastAsia="es-MX"/>
              </w:rPr>
              <w:t xml:space="preserve">Ley 1150 de 2007, </w:t>
            </w:r>
            <w:r w:rsidRPr="00FC6F34">
              <w:rPr>
                <w:rFonts w:ascii="Verdana" w:eastAsia="Arial MT" w:hAnsi="Verdana" w:cs="Arial"/>
                <w:lang w:val="es-ES" w:eastAsia="es-ES" w:bidi="es-ES"/>
              </w:rPr>
              <w:t xml:space="preserve">Artículo 2, numeral 4. </w:t>
            </w:r>
          </w:p>
          <w:p w14:paraId="4263F3FE" w14:textId="77777777" w:rsidR="006D7914" w:rsidRPr="008C4F0A" w:rsidRDefault="006D7914" w:rsidP="005F22F2">
            <w:pPr>
              <w:pStyle w:val="Prrafodelista"/>
              <w:widowControl w:val="0"/>
              <w:numPr>
                <w:ilvl w:val="0"/>
                <w:numId w:val="16"/>
              </w:numPr>
              <w:autoSpaceDE w:val="0"/>
              <w:autoSpaceDN w:val="0"/>
              <w:spacing w:before="120" w:after="120" w:line="276" w:lineRule="auto"/>
              <w:contextualSpacing w:val="0"/>
              <w:jc w:val="both"/>
              <w:rPr>
                <w:rFonts w:ascii="Verdana" w:eastAsia="Arial MT" w:hAnsi="Verdana" w:cs="Arial"/>
                <w:lang w:eastAsia="es-ES" w:bidi="es-ES"/>
              </w:rPr>
            </w:pPr>
            <w:r w:rsidRPr="00A52377">
              <w:rPr>
                <w:rFonts w:ascii="Verdana" w:eastAsia="Arial MT" w:hAnsi="Verdana" w:cs="Arial"/>
                <w:lang w:eastAsia="es-ES" w:bidi="es-ES"/>
              </w:rPr>
              <w:t xml:space="preserve">Decreto 1082 de 2015, artículos </w:t>
            </w:r>
            <w:r w:rsidRPr="00AC78D9">
              <w:rPr>
                <w:rFonts w:ascii="Verdana" w:eastAsia="Arial MT" w:hAnsi="Verdana" w:cs="Arial"/>
                <w:lang w:val="es-CO" w:eastAsia="es-ES" w:bidi="es-ES"/>
              </w:rPr>
              <w:t>2.2.1.2.2.1.1.</w:t>
            </w:r>
            <w:r>
              <w:rPr>
                <w:rFonts w:ascii="Verdana" w:eastAsia="Arial MT" w:hAnsi="Verdana" w:cs="Arial"/>
                <w:lang w:val="es-CO" w:eastAsia="es-ES" w:bidi="es-ES"/>
              </w:rPr>
              <w:t xml:space="preserve">, </w:t>
            </w:r>
            <w:r w:rsidRPr="00AC78D9">
              <w:rPr>
                <w:rFonts w:ascii="Verdana" w:eastAsia="Arial MT" w:hAnsi="Verdana" w:cs="Arial"/>
                <w:lang w:val="es-MX" w:eastAsia="es-ES" w:bidi="es-ES"/>
              </w:rPr>
              <w:t xml:space="preserve">2.2.1.1.2.1.1, </w:t>
            </w:r>
            <w:r w:rsidRPr="00AC78D9">
              <w:rPr>
                <w:rFonts w:ascii="Verdana" w:eastAsia="Arial MT" w:hAnsi="Verdana" w:cs="Arial"/>
                <w:lang w:eastAsia="es-ES" w:bidi="es-ES"/>
              </w:rPr>
              <w:t>2.2.1.2.2.4.3.</w:t>
            </w:r>
          </w:p>
          <w:p w14:paraId="0F943982" w14:textId="77777777" w:rsidR="006D7914" w:rsidRPr="00FC6F34" w:rsidRDefault="006D7914" w:rsidP="005F22F2">
            <w:pPr>
              <w:widowControl w:val="0"/>
              <w:numPr>
                <w:ilvl w:val="0"/>
                <w:numId w:val="16"/>
              </w:numPr>
              <w:autoSpaceDE w:val="0"/>
              <w:autoSpaceDN w:val="0"/>
              <w:spacing w:after="120"/>
              <w:jc w:val="both"/>
              <w:rPr>
                <w:rFonts w:ascii="Verdana" w:eastAsia="Calibri" w:hAnsi="Verdana" w:cs="Arial"/>
                <w:lang w:val="es-ES"/>
              </w:rPr>
            </w:pPr>
            <w:r w:rsidRPr="00FC6F34">
              <w:rPr>
                <w:rFonts w:ascii="Verdana" w:eastAsia="Calibri" w:hAnsi="Verdana" w:cs="Arial"/>
                <w:lang w:val="es-ES"/>
              </w:rPr>
              <w:t xml:space="preserve">Consejo de Estado, Sección Primera. Sentencia de 3 de marzo de 2005, </w:t>
            </w:r>
            <w:proofErr w:type="spellStart"/>
            <w:r w:rsidRPr="00FC6F34">
              <w:rPr>
                <w:rFonts w:ascii="Verdana" w:eastAsia="Calibri" w:hAnsi="Verdana" w:cs="Arial"/>
                <w:lang w:val="es-ES"/>
              </w:rPr>
              <w:t>Exp</w:t>
            </w:r>
            <w:proofErr w:type="spellEnd"/>
            <w:r w:rsidRPr="00FC6F34">
              <w:rPr>
                <w:rFonts w:ascii="Verdana" w:eastAsia="Calibri" w:hAnsi="Verdana" w:cs="Arial"/>
                <w:lang w:val="es-ES"/>
              </w:rPr>
              <w:t xml:space="preserve">. 2004-00823-01(PI). </w:t>
            </w:r>
          </w:p>
          <w:p w14:paraId="446EE8B9" w14:textId="77777777" w:rsidR="006D7914" w:rsidRPr="00FC6F34" w:rsidRDefault="006D7914" w:rsidP="005F22F2">
            <w:pPr>
              <w:widowControl w:val="0"/>
              <w:numPr>
                <w:ilvl w:val="0"/>
                <w:numId w:val="16"/>
              </w:numPr>
              <w:autoSpaceDE w:val="0"/>
              <w:autoSpaceDN w:val="0"/>
              <w:spacing w:after="120"/>
              <w:jc w:val="both"/>
              <w:rPr>
                <w:rFonts w:ascii="Verdana" w:eastAsia="Calibri" w:hAnsi="Verdana" w:cs="Arial"/>
                <w:lang w:val="es-ES"/>
              </w:rPr>
            </w:pPr>
            <w:r w:rsidRPr="00FC6F34">
              <w:rPr>
                <w:rFonts w:ascii="Verdana" w:eastAsia="Calibri" w:hAnsi="Verdana" w:cs="Arial"/>
                <w:lang w:val="es-ES"/>
              </w:rPr>
              <w:t xml:space="preserve">Consejo de Estado, Sala de Consulta y Servicio Civil, Concepto de fecha 24 de julio de 2013, Rad. 2166, C. P. Álvaro Namén Vargas. </w:t>
            </w:r>
          </w:p>
          <w:p w14:paraId="6DE2D965" w14:textId="77777777" w:rsidR="006D7914" w:rsidRPr="00FC6F34" w:rsidRDefault="006D7914" w:rsidP="005F22F2">
            <w:pPr>
              <w:pStyle w:val="Prrafodelista"/>
              <w:numPr>
                <w:ilvl w:val="0"/>
                <w:numId w:val="16"/>
              </w:numPr>
              <w:spacing w:before="120" w:after="120" w:line="276" w:lineRule="auto"/>
              <w:contextualSpacing w:val="0"/>
              <w:jc w:val="both"/>
              <w:rPr>
                <w:rFonts w:ascii="Verdana" w:hAnsi="Verdana" w:cs="Arial"/>
              </w:rPr>
            </w:pPr>
            <w:r w:rsidRPr="00FC6F34">
              <w:rPr>
                <w:rFonts w:ascii="Verdana" w:eastAsia="Calibri" w:hAnsi="Verdana" w:cs="Arial"/>
              </w:rPr>
              <w:t>Consejo de Estado. Sala de Consulta y Servicio Civil. Concepto del 17 de febrero de 2015. C.P. William Zambrano Cetina. Radicación No. 11001-03-06-000-2015-00164-00(2269).</w:t>
            </w:r>
          </w:p>
          <w:p w14:paraId="32BAEFE1" w14:textId="77777777" w:rsidR="006D7914" w:rsidRPr="00FC6F34" w:rsidRDefault="006D7914" w:rsidP="005F22F2">
            <w:pPr>
              <w:widowControl w:val="0"/>
              <w:numPr>
                <w:ilvl w:val="0"/>
                <w:numId w:val="16"/>
              </w:numPr>
              <w:autoSpaceDE w:val="0"/>
              <w:autoSpaceDN w:val="0"/>
              <w:spacing w:after="120"/>
              <w:jc w:val="both"/>
              <w:rPr>
                <w:rFonts w:ascii="Verdana" w:hAnsi="Verdana" w:cs="Arial"/>
              </w:rPr>
            </w:pPr>
            <w:r w:rsidRPr="00FC6F34">
              <w:rPr>
                <w:rFonts w:ascii="Verdana" w:eastAsia="Calibri" w:hAnsi="Verdana" w:cs="Arial"/>
              </w:rPr>
              <w:t>Consejo de Estado, Sala de Consulta y Servicio Civil, Concepto de fecha 8 de mayo de 2018, No. 2382. C. P. Álvaro Namén Vargas.</w:t>
            </w:r>
          </w:p>
        </w:tc>
      </w:tr>
    </w:tbl>
    <w:p w14:paraId="0911FE61" w14:textId="77777777" w:rsidR="006D7914" w:rsidRPr="00FC6F34" w:rsidRDefault="006D7914" w:rsidP="006D7914">
      <w:pPr>
        <w:widowControl w:val="0"/>
        <w:autoSpaceDE w:val="0"/>
        <w:autoSpaceDN w:val="0"/>
        <w:spacing w:after="0" w:line="276" w:lineRule="auto"/>
        <w:jc w:val="both"/>
        <w:rPr>
          <w:rFonts w:ascii="Verdana" w:hAnsi="Verdana" w:cs="Arial"/>
          <w:color w:val="000000" w:themeColor="text1"/>
          <w:lang w:val="es-ES"/>
        </w:rPr>
      </w:pPr>
    </w:p>
    <w:p w14:paraId="12587561" w14:textId="77777777" w:rsidR="006D7914" w:rsidRPr="00FC6F34" w:rsidRDefault="006D7914" w:rsidP="006D7914">
      <w:pPr>
        <w:tabs>
          <w:tab w:val="left" w:pos="142"/>
          <w:tab w:val="left" w:pos="284"/>
        </w:tabs>
        <w:spacing w:after="0" w:line="276" w:lineRule="auto"/>
        <w:jc w:val="both"/>
        <w:rPr>
          <w:rFonts w:ascii="Verdana" w:eastAsia="Century Gothic" w:hAnsi="Verdana" w:cs="Century Gothic"/>
          <w:b/>
          <w:color w:val="000000" w:themeColor="text1"/>
          <w:lang w:val="es-ES"/>
        </w:rPr>
      </w:pPr>
      <w:r w:rsidRPr="00FC6F34">
        <w:rPr>
          <w:rFonts w:ascii="Verdana" w:eastAsia="Century Gothic" w:hAnsi="Verdana" w:cs="Century Gothic"/>
          <w:b/>
          <w:color w:val="000000" w:themeColor="text1"/>
          <w:lang w:val="es-ES"/>
        </w:rPr>
        <w:t>5.Doctrina de la Agencia Nacional de Contratación Pública:</w:t>
      </w:r>
    </w:p>
    <w:p w14:paraId="669BCF2C" w14:textId="77777777" w:rsidR="006D7914" w:rsidRPr="00FC6F34" w:rsidRDefault="006D7914" w:rsidP="006D7914">
      <w:pPr>
        <w:widowControl w:val="0"/>
        <w:autoSpaceDE w:val="0"/>
        <w:autoSpaceDN w:val="0"/>
        <w:spacing w:after="0" w:line="276" w:lineRule="auto"/>
        <w:jc w:val="both"/>
        <w:rPr>
          <w:rFonts w:ascii="Verdana" w:hAnsi="Verdana" w:cs="Arial"/>
          <w:color w:val="000000" w:themeColor="text1"/>
          <w:lang w:val="es-ES"/>
        </w:rPr>
      </w:pPr>
    </w:p>
    <w:p w14:paraId="0267A906" w14:textId="77777777" w:rsidR="006D7914" w:rsidRPr="00AB2B12" w:rsidRDefault="006D7914" w:rsidP="006D7914">
      <w:pPr>
        <w:spacing w:after="0" w:line="256" w:lineRule="auto"/>
        <w:jc w:val="both"/>
        <w:rPr>
          <w:rFonts w:ascii="Verdana" w:eastAsia="Calibri" w:hAnsi="Verdana" w:cs="Times New Roman"/>
          <w:b/>
          <w:bCs/>
          <w:lang w:val="es-ES"/>
        </w:rPr>
      </w:pPr>
      <w:r w:rsidRPr="00FC6F34">
        <w:rPr>
          <w:rFonts w:ascii="Verdana" w:eastAsia="Calibri" w:hAnsi="Verdana" w:cs="Arial"/>
          <w:lang w:val="es-ES"/>
        </w:rPr>
        <w:t xml:space="preserve">La Agencia Nacional de Contratación Pública – Colombia Compra Eficiente se ha referido </w:t>
      </w:r>
      <w:r w:rsidRPr="00FC6F34">
        <w:rPr>
          <w:rFonts w:ascii="Verdana" w:hAnsi="Verdana" w:cs="Arial"/>
          <w:shd w:val="clear" w:color="auto" w:fill="FFFFFF"/>
          <w:lang w:val="es-ES"/>
        </w:rPr>
        <w:t>sobre la Ley de Garantías Electorales en los conceptos con radicado 4201913000006306 del 21 de octubre de 2019, 4201912000006552 del 07 de noviembre de 2019, 4201913000006604 del 17 de diciembre de 2019,  C-227 del 24 de mayo de 2021 y 396 del 13 de agosto de 2021, C-439 del 27 de agosto de 2021, C-456 del 3 de septiembre, C-481 del 9 de septiembre de 2021, C- 528 del 27 de septiembre de 2021, C-550 del 5 de octubre de 2021 y C-523 del 10 de octubre de 2021, C-606 del 28 de octubre de 2021 y C-614 del 2 de noviembre de 2021, C-636 del 16 de noviembre de 2021, 681 del 7 de diciembre de 2021, C-686 del 21 de diciembre de 2021, C-697 del 3 de enero de 2022, C-180 del 21 de marzo de 2025, C-317 del 25 de abril de 2025, C-510 del 4 de junio de 2025, C -635 del 27 de junio de 2025, C–750 de 17 de julio 2025, C-729 del 15 de Julio de 2015 y C-273-A de 2025</w:t>
      </w:r>
      <w:r>
        <w:rPr>
          <w:rFonts w:ascii="Verdana" w:hAnsi="Verdana" w:cs="Arial"/>
          <w:shd w:val="clear" w:color="auto" w:fill="FFFFFF"/>
          <w:lang w:val="es-ES"/>
        </w:rPr>
        <w:t xml:space="preserve">, entre otros. Sobre la enajenación de bienes muebles a título gratuito se refirió en el concepto </w:t>
      </w:r>
      <w:r w:rsidRPr="00AB2B12">
        <w:rPr>
          <w:rFonts w:ascii="Verdana" w:eastAsia="Calibri" w:hAnsi="Verdana" w:cs="Times New Roman"/>
          <w:lang w:val="es-ES"/>
        </w:rPr>
        <w:t>C–1631 del 16 de diciembre de 2025</w:t>
      </w:r>
      <w:r w:rsidRPr="00AB2B12">
        <w:rPr>
          <w:rFonts w:ascii="Verdana" w:hAnsi="Verdana"/>
          <w:lang w:val="es-ES"/>
        </w:rPr>
        <w:t xml:space="preserve"> y otros se encuentran disponibles para consulta en el Sistema de relatoría de la Agencia, al cual se puede acceder a través del siguiente enlace:</w:t>
      </w:r>
      <w:r w:rsidRPr="00AB2B12">
        <w:rPr>
          <w:rFonts w:ascii="Verdana" w:hAnsi="Verdana" w:cs="Arial"/>
          <w:shd w:val="clear" w:color="auto" w:fill="FFFFFF"/>
          <w:lang w:val="es-ES"/>
        </w:rPr>
        <w:t xml:space="preserve"> </w:t>
      </w:r>
      <w:hyperlink r:id="rId11" w:history="1">
        <w:r w:rsidRPr="00FC6F34">
          <w:rPr>
            <w:rFonts w:ascii="Verdana" w:hAnsi="Verdana" w:cs="Arial"/>
            <w:color w:val="0000FF"/>
            <w:u w:val="single"/>
            <w:shd w:val="clear" w:color="auto" w:fill="FFFFFF"/>
            <w:lang w:val="es-ES"/>
          </w:rPr>
          <w:t>https://relatoria.colombiacompra.gov.co/busqueda/concept os</w:t>
        </w:r>
      </w:hyperlink>
      <w:r w:rsidRPr="00FC6F34">
        <w:rPr>
          <w:rFonts w:ascii="Verdana" w:hAnsi="Verdana" w:cs="Arial"/>
          <w:shd w:val="clear" w:color="auto" w:fill="FFFFFF"/>
          <w:lang w:val="es-ES"/>
        </w:rPr>
        <w:t>.</w:t>
      </w:r>
      <w:r w:rsidRPr="00FC6F34">
        <w:rPr>
          <w:rFonts w:ascii="Verdana" w:hAnsi="Verdana" w:cs="Arial"/>
          <w:color w:val="FF0000"/>
          <w:shd w:val="clear" w:color="auto" w:fill="FFFFFF"/>
          <w:lang w:val="es-ES"/>
        </w:rPr>
        <w:t xml:space="preserve"> </w:t>
      </w:r>
      <w:r w:rsidRPr="00FC6F34">
        <w:rPr>
          <w:rFonts w:ascii="Verdana" w:hAnsi="Verdana" w:cs="Arial"/>
          <w:color w:val="000000" w:themeColor="text1"/>
          <w:shd w:val="clear" w:color="auto" w:fill="FFFFFF"/>
          <w:lang w:val="es-ES"/>
        </w:rPr>
        <w:t>  </w:t>
      </w:r>
    </w:p>
    <w:p w14:paraId="5DCBFD15" w14:textId="77777777" w:rsidR="006D7914" w:rsidRDefault="006D7914" w:rsidP="006D7914">
      <w:pPr>
        <w:spacing w:after="0" w:line="276" w:lineRule="auto"/>
        <w:jc w:val="both"/>
        <w:rPr>
          <w:rFonts w:ascii="Verdana" w:hAnsi="Verdana"/>
        </w:rPr>
      </w:pPr>
    </w:p>
    <w:p w14:paraId="75B8E76B" w14:textId="77777777" w:rsidR="006D7914" w:rsidRPr="003E2460" w:rsidRDefault="006D7914" w:rsidP="006D7914">
      <w:pPr>
        <w:spacing w:after="0" w:line="276" w:lineRule="auto"/>
        <w:jc w:val="both"/>
        <w:rPr>
          <w:rFonts w:ascii="Verdana" w:hAnsi="Verdana"/>
        </w:rPr>
      </w:pPr>
      <w:r w:rsidRPr="003E2460">
        <w:rPr>
          <w:rFonts w:ascii="Verdana" w:hAnsi="Verdana"/>
        </w:rPr>
        <w:lastRenderedPageBreak/>
        <w:t xml:space="preserve">Por último, lo invitamos a seguirnos en las redes sociales en las cuales se difunde información institucional: </w:t>
      </w:r>
    </w:p>
    <w:p w14:paraId="5192EE14" w14:textId="77777777" w:rsidR="006D7914" w:rsidRPr="003E2460" w:rsidRDefault="006D7914" w:rsidP="006D7914">
      <w:pPr>
        <w:spacing w:after="0" w:line="276" w:lineRule="auto"/>
        <w:jc w:val="both"/>
        <w:rPr>
          <w:rFonts w:ascii="Verdana" w:hAnsi="Verdana"/>
        </w:rPr>
      </w:pPr>
    </w:p>
    <w:p w14:paraId="0CC45900" w14:textId="77777777" w:rsidR="006D7914" w:rsidRPr="003E2460" w:rsidRDefault="006D7914" w:rsidP="006D7914">
      <w:pPr>
        <w:spacing w:after="0" w:line="276" w:lineRule="auto"/>
        <w:jc w:val="both"/>
        <w:rPr>
          <w:rFonts w:ascii="Verdana" w:hAnsi="Verdana"/>
        </w:rPr>
      </w:pPr>
      <w:r w:rsidRPr="003E2460">
        <w:rPr>
          <w:rFonts w:ascii="Verdana" w:hAnsi="Verdana"/>
        </w:rPr>
        <w:t xml:space="preserve">Twitter: </w:t>
      </w:r>
      <w:r w:rsidRPr="00386BAA">
        <w:rPr>
          <w:rStyle w:val="Hipervnculo"/>
          <w:rFonts w:ascii="Verdana" w:hAnsi="Verdana" w:cs="Arial"/>
          <w:shd w:val="clear" w:color="auto" w:fill="FFFFFF"/>
        </w:rPr>
        <w:t>@colombiacompra</w:t>
      </w:r>
      <w:r w:rsidRPr="003E2460">
        <w:rPr>
          <w:rFonts w:ascii="Verdana" w:hAnsi="Verdana"/>
          <w:color w:val="4472C4" w:themeColor="accent1"/>
        </w:rPr>
        <w:t xml:space="preserve"> </w:t>
      </w:r>
    </w:p>
    <w:p w14:paraId="6396FF68" w14:textId="77777777" w:rsidR="006D7914" w:rsidRPr="003E2460" w:rsidRDefault="006D7914" w:rsidP="006D7914">
      <w:pPr>
        <w:spacing w:after="0" w:line="276" w:lineRule="auto"/>
        <w:jc w:val="both"/>
        <w:rPr>
          <w:rFonts w:ascii="Verdana" w:hAnsi="Verdana"/>
        </w:rPr>
      </w:pPr>
      <w:r w:rsidRPr="003E2460">
        <w:rPr>
          <w:rFonts w:ascii="Verdana" w:hAnsi="Verdana"/>
        </w:rPr>
        <w:t xml:space="preserve">Facebook: </w:t>
      </w:r>
      <w:proofErr w:type="spellStart"/>
      <w:r w:rsidRPr="00386BAA">
        <w:rPr>
          <w:rStyle w:val="Hipervnculo"/>
          <w:rFonts w:ascii="Verdana" w:hAnsi="Verdana" w:cs="Arial"/>
          <w:shd w:val="clear" w:color="auto" w:fill="FFFFFF"/>
        </w:rPr>
        <w:t>ColombiaCompraEficiente</w:t>
      </w:r>
      <w:proofErr w:type="spellEnd"/>
    </w:p>
    <w:p w14:paraId="32D131A4" w14:textId="77777777" w:rsidR="006D7914" w:rsidRPr="003E2460" w:rsidRDefault="006D7914" w:rsidP="006D7914">
      <w:pPr>
        <w:spacing w:after="0" w:line="276" w:lineRule="auto"/>
        <w:jc w:val="both"/>
        <w:rPr>
          <w:rFonts w:ascii="Verdana" w:hAnsi="Verdana"/>
        </w:rPr>
      </w:pPr>
      <w:r w:rsidRPr="003E2460">
        <w:rPr>
          <w:rFonts w:ascii="Verdana" w:hAnsi="Verdana"/>
        </w:rPr>
        <w:t xml:space="preserve">LinkedIn: </w:t>
      </w:r>
      <w:r w:rsidRPr="00386BAA">
        <w:rPr>
          <w:rStyle w:val="Hipervnculo"/>
          <w:rFonts w:ascii="Verdana" w:hAnsi="Verdana" w:cs="Arial"/>
          <w:shd w:val="clear" w:color="auto" w:fill="FFFFFF"/>
        </w:rPr>
        <w:t>Agencia Nacional de Contratación Pública - Colombia Compra Eficiente</w:t>
      </w:r>
      <w:r w:rsidRPr="003A7064">
        <w:rPr>
          <w:rStyle w:val="Hipervnculo"/>
          <w:rFonts w:ascii="Verdana" w:hAnsi="Verdana" w:cs="Arial"/>
          <w:shd w:val="clear" w:color="auto" w:fill="FFFFFF"/>
        </w:rPr>
        <w:t xml:space="preserve"> </w:t>
      </w:r>
      <w:r w:rsidRPr="003E2460">
        <w:rPr>
          <w:rFonts w:ascii="Verdana" w:hAnsi="Verdana"/>
        </w:rPr>
        <w:t xml:space="preserve">Instagram: </w:t>
      </w:r>
      <w:r w:rsidRPr="00386BAA">
        <w:rPr>
          <w:rStyle w:val="Hipervnculo"/>
          <w:rFonts w:ascii="Verdana" w:hAnsi="Verdana" w:cs="Arial"/>
          <w:shd w:val="clear" w:color="auto" w:fill="FFFFFF"/>
        </w:rPr>
        <w:t>@colombiacompraeficiente_cce</w:t>
      </w:r>
    </w:p>
    <w:p w14:paraId="1E6A39E5" w14:textId="77777777" w:rsidR="006D7914" w:rsidRDefault="006D7914" w:rsidP="006D7914">
      <w:pPr>
        <w:widowControl w:val="0"/>
        <w:autoSpaceDE w:val="0"/>
        <w:autoSpaceDN w:val="0"/>
        <w:spacing w:after="0" w:line="276" w:lineRule="auto"/>
        <w:jc w:val="both"/>
        <w:rPr>
          <w:rFonts w:ascii="Verdana" w:hAnsi="Verdana" w:cs="Arial"/>
          <w:lang w:val="es-ES"/>
        </w:rPr>
      </w:pPr>
    </w:p>
    <w:p w14:paraId="6C3BCD72" w14:textId="77777777" w:rsidR="006D7914" w:rsidRPr="00FC6F34" w:rsidRDefault="006D7914" w:rsidP="006D7914">
      <w:pPr>
        <w:widowControl w:val="0"/>
        <w:autoSpaceDE w:val="0"/>
        <w:autoSpaceDN w:val="0"/>
        <w:spacing w:after="0" w:line="276" w:lineRule="auto"/>
        <w:jc w:val="both"/>
        <w:rPr>
          <w:rFonts w:ascii="Verdana" w:hAnsi="Verdana" w:cs="Arial"/>
          <w:lang w:val="es-ES"/>
        </w:rPr>
      </w:pPr>
      <w:r w:rsidRPr="00FC6F34">
        <w:rPr>
          <w:rFonts w:ascii="Verdana"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4D4584A7" w14:textId="77777777" w:rsidR="006D7914" w:rsidRPr="00FC6F34" w:rsidRDefault="006D7914" w:rsidP="006D7914">
      <w:pPr>
        <w:widowControl w:val="0"/>
        <w:autoSpaceDE w:val="0"/>
        <w:autoSpaceDN w:val="0"/>
        <w:spacing w:after="0" w:line="276" w:lineRule="auto"/>
        <w:jc w:val="both"/>
        <w:rPr>
          <w:rFonts w:ascii="Verdana" w:hAnsi="Verdana" w:cs="Arial"/>
          <w:lang w:val="es-ES"/>
        </w:rPr>
      </w:pPr>
    </w:p>
    <w:p w14:paraId="7EFEC66B" w14:textId="773E4101" w:rsidR="006D7914" w:rsidRPr="00FC6F34" w:rsidRDefault="006D7914" w:rsidP="006D7914">
      <w:pPr>
        <w:spacing w:after="0" w:line="276" w:lineRule="auto"/>
        <w:rPr>
          <w:rFonts w:ascii="Verdana" w:hAnsi="Verdana" w:cs="Arial"/>
          <w:color w:val="000000" w:themeColor="text1"/>
          <w:lang w:val="es-ES" w:eastAsia="es-CO"/>
        </w:rPr>
      </w:pPr>
      <w:r w:rsidRPr="00FC6F34">
        <w:rPr>
          <w:rFonts w:ascii="Verdana" w:eastAsia="Times New Roman" w:hAnsi="Verdana" w:cs="Arial"/>
          <w:color w:val="000000" w:themeColor="text1"/>
          <w:lang w:val="es-ES" w:eastAsia="es-CO"/>
        </w:rPr>
        <w:t>Atentamente,</w:t>
      </w:r>
      <w:r w:rsidRPr="00FC6F34">
        <w:rPr>
          <w:rFonts w:ascii="Verdana" w:hAnsi="Verdana" w:cs="Arial"/>
          <w:color w:val="000000" w:themeColor="text1"/>
          <w:lang w:val="es-ES" w:eastAsia="es-CO"/>
        </w:rPr>
        <w:t xml:space="preserve"> </w:t>
      </w:r>
    </w:p>
    <w:p w14:paraId="0F0EE937" w14:textId="2A50C30C" w:rsidR="006D7914" w:rsidRPr="00FC6F34" w:rsidRDefault="00F23D42" w:rsidP="006D7914">
      <w:pPr>
        <w:spacing w:after="0" w:line="276" w:lineRule="auto"/>
        <w:rPr>
          <w:rFonts w:ascii="Verdana" w:hAnsi="Verdana" w:cs="Arial"/>
          <w:color w:val="000000" w:themeColor="text1"/>
          <w:lang w:val="es-ES" w:eastAsia="es-CO"/>
        </w:rPr>
      </w:pPr>
      <w:r w:rsidRPr="002C3AD6">
        <w:rPr>
          <w:rFonts w:ascii="Century Gothic" w:hAnsi="Century Gothic"/>
          <w:noProof/>
        </w:rPr>
        <w:drawing>
          <wp:anchor distT="0" distB="0" distL="114300" distR="114300" simplePos="0" relativeHeight="251660289" behindDoc="0" locked="0" layoutInCell="1" allowOverlap="1" wp14:anchorId="35FF912C" wp14:editId="083893E8">
            <wp:simplePos x="0" y="0"/>
            <wp:positionH relativeFrom="column">
              <wp:posOffset>1343025</wp:posOffset>
            </wp:positionH>
            <wp:positionV relativeFrom="page">
              <wp:posOffset>4271169</wp:posOffset>
            </wp:positionV>
            <wp:extent cx="3406775" cy="1264285"/>
            <wp:effectExtent l="0" t="0" r="0" b="5715"/>
            <wp:wrapSquare wrapText="bothSides"/>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2">
                      <a:extLst>
                        <a:ext uri="{28A0092B-C50C-407E-A947-70E740481C1C}">
                          <a14:useLocalDpi xmlns:a14="http://schemas.microsoft.com/office/drawing/2010/main" val="0"/>
                        </a:ext>
                      </a:extLst>
                    </a:blip>
                    <a:stretch>
                      <a:fillRect/>
                    </a:stretch>
                  </pic:blipFill>
                  <pic:spPr>
                    <a:xfrm>
                      <a:off x="0" y="0"/>
                      <a:ext cx="3406775" cy="1264285"/>
                    </a:xfrm>
                    <a:prstGeom prst="rect">
                      <a:avLst/>
                    </a:prstGeom>
                  </pic:spPr>
                </pic:pic>
              </a:graphicData>
            </a:graphic>
            <wp14:sizeRelH relativeFrom="page">
              <wp14:pctWidth>0</wp14:pctWidth>
            </wp14:sizeRelH>
            <wp14:sizeRelV relativeFrom="page">
              <wp14:pctHeight>0</wp14:pctHeight>
            </wp14:sizeRelV>
          </wp:anchor>
        </w:drawing>
      </w:r>
    </w:p>
    <w:p w14:paraId="4A159DA6" w14:textId="77777777" w:rsidR="006D7914" w:rsidRPr="00FC6F34" w:rsidRDefault="006D7914" w:rsidP="006D7914">
      <w:pPr>
        <w:spacing w:line="276" w:lineRule="auto"/>
        <w:jc w:val="center"/>
        <w:rPr>
          <w:rFonts w:ascii="Verdana" w:hAnsi="Verdana" w:cs="Arial"/>
          <w:color w:val="000000" w:themeColor="text1"/>
          <w:lang w:val="es-ES"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6D7914" w:rsidRPr="00FC6F34" w14:paraId="48EDFAA4" w14:textId="77777777" w:rsidTr="005F22F2">
        <w:trPr>
          <w:trHeight w:val="315"/>
        </w:trPr>
        <w:tc>
          <w:tcPr>
            <w:tcW w:w="893" w:type="dxa"/>
            <w:vAlign w:val="center"/>
            <w:hideMark/>
          </w:tcPr>
          <w:p w14:paraId="3A4DCBC3" w14:textId="77777777" w:rsidR="006D7914" w:rsidRPr="00FC6F34" w:rsidRDefault="006D7914" w:rsidP="005F22F2">
            <w:pPr>
              <w:contextualSpacing/>
              <w:rPr>
                <w:rFonts w:ascii="Verdana" w:hAnsi="Verdana" w:cs="Arial"/>
                <w:sz w:val="16"/>
                <w:szCs w:val="16"/>
                <w:lang w:val="es-ES" w:eastAsia="es-ES"/>
              </w:rPr>
            </w:pPr>
            <w:r w:rsidRPr="00FC6F34">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558EC53D" w14:textId="77777777" w:rsidR="006D7914" w:rsidRPr="00FC6F34" w:rsidRDefault="006D7914" w:rsidP="005F22F2">
            <w:pPr>
              <w:contextualSpacing/>
              <w:rPr>
                <w:rFonts w:ascii="Verdana" w:eastAsia="Arial" w:hAnsi="Verdana" w:cs="Arial"/>
                <w:color w:val="000000" w:themeColor="text1"/>
                <w:sz w:val="16"/>
                <w:szCs w:val="16"/>
                <w:lang w:val="es-ES"/>
              </w:rPr>
            </w:pPr>
            <w:r w:rsidRPr="00FC6F34">
              <w:rPr>
                <w:rFonts w:ascii="Verdana" w:eastAsia="Arial" w:hAnsi="Verdana" w:cs="Arial"/>
                <w:color w:val="000000" w:themeColor="text1"/>
                <w:sz w:val="16"/>
                <w:szCs w:val="16"/>
                <w:lang w:val="es-ES"/>
              </w:rPr>
              <w:t>Anamaría Bonilla Prieto</w:t>
            </w:r>
          </w:p>
          <w:p w14:paraId="6131A759" w14:textId="77777777" w:rsidR="006D7914" w:rsidRPr="00FC6F34" w:rsidRDefault="006D7914" w:rsidP="005F22F2">
            <w:pPr>
              <w:contextualSpacing/>
              <w:rPr>
                <w:rFonts w:ascii="Verdana" w:eastAsia="Arial" w:hAnsi="Verdana" w:cs="Arial"/>
                <w:sz w:val="16"/>
                <w:szCs w:val="16"/>
                <w:lang w:val="es-ES"/>
              </w:rPr>
            </w:pPr>
            <w:r w:rsidRPr="00FC6F34">
              <w:rPr>
                <w:rStyle w:val="normaltextrun"/>
                <w:rFonts w:ascii="Verdana" w:eastAsia="Arial" w:hAnsi="Verdana" w:cs="Arial"/>
                <w:color w:val="000000" w:themeColor="text1"/>
                <w:sz w:val="16"/>
                <w:szCs w:val="16"/>
                <w:lang w:val="es-ES"/>
              </w:rPr>
              <w:t xml:space="preserve">Contratista de la Subdirección </w:t>
            </w:r>
            <w:r w:rsidRPr="00FC6F34">
              <w:rPr>
                <w:rStyle w:val="normaltextrun"/>
                <w:rFonts w:ascii="Verdana" w:eastAsia="Arial" w:hAnsi="Verdana" w:cs="Arial"/>
                <w:sz w:val="16"/>
                <w:szCs w:val="16"/>
                <w:lang w:val="es-ES"/>
              </w:rPr>
              <w:t>de Gestión Contractual</w:t>
            </w:r>
          </w:p>
        </w:tc>
      </w:tr>
      <w:tr w:rsidR="006D7914" w:rsidRPr="00FC6F34" w14:paraId="59172878" w14:textId="77777777" w:rsidTr="005F22F2">
        <w:trPr>
          <w:trHeight w:val="330"/>
        </w:trPr>
        <w:tc>
          <w:tcPr>
            <w:tcW w:w="893" w:type="dxa"/>
            <w:vAlign w:val="center"/>
            <w:hideMark/>
          </w:tcPr>
          <w:p w14:paraId="6CB54256" w14:textId="77777777" w:rsidR="006D7914" w:rsidRPr="00FC6F34" w:rsidRDefault="006D7914" w:rsidP="005F22F2">
            <w:pPr>
              <w:contextualSpacing/>
              <w:rPr>
                <w:rFonts w:ascii="Verdana" w:hAnsi="Verdana" w:cs="Arial"/>
                <w:sz w:val="16"/>
                <w:szCs w:val="16"/>
                <w:lang w:val="es-ES" w:eastAsia="es-ES"/>
              </w:rPr>
            </w:pPr>
            <w:r w:rsidRPr="00FC6F34">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00BED881" w14:textId="77777777" w:rsidR="006D7914" w:rsidRDefault="006D7914" w:rsidP="005F22F2">
            <w:pPr>
              <w:pStyle w:val="paragraph"/>
              <w:spacing w:before="0" w:beforeAutospacing="0" w:after="0" w:afterAutospacing="0"/>
              <w:contextualSpacing/>
              <w:textAlignment w:val="baseline"/>
              <w:rPr>
                <w:rFonts w:ascii="Verdana" w:hAnsi="Verdana" w:cs="Segoe UI"/>
                <w:sz w:val="16"/>
                <w:szCs w:val="16"/>
                <w:lang w:val="es-ES"/>
              </w:rPr>
            </w:pPr>
            <w:r>
              <w:rPr>
                <w:rFonts w:ascii="Verdana" w:hAnsi="Verdana" w:cs="Segoe UI"/>
                <w:sz w:val="16"/>
                <w:szCs w:val="16"/>
                <w:lang w:val="es-ES"/>
              </w:rPr>
              <w:t>Diana Lucía Saavedra Castañeda</w:t>
            </w:r>
          </w:p>
          <w:p w14:paraId="348478B3" w14:textId="77777777" w:rsidR="006D7914" w:rsidRPr="00FC6F34" w:rsidRDefault="006D7914" w:rsidP="005F22F2">
            <w:pPr>
              <w:pStyle w:val="paragraph"/>
              <w:spacing w:before="0" w:beforeAutospacing="0" w:after="0" w:afterAutospacing="0"/>
              <w:contextualSpacing/>
              <w:textAlignment w:val="baseline"/>
              <w:rPr>
                <w:rFonts w:ascii="Verdana" w:hAnsi="Verdana" w:cs="Segoe UI"/>
                <w:sz w:val="16"/>
                <w:szCs w:val="16"/>
                <w:lang w:val="es-ES"/>
              </w:rPr>
            </w:pPr>
            <w:r w:rsidRPr="00FC6F34">
              <w:rPr>
                <w:rStyle w:val="normaltextrun"/>
                <w:rFonts w:ascii="Verdana" w:eastAsia="Arial" w:hAnsi="Verdana" w:cs="Arial"/>
                <w:color w:val="000000" w:themeColor="text1"/>
                <w:sz w:val="16"/>
                <w:szCs w:val="16"/>
                <w:lang w:val="es-ES"/>
              </w:rPr>
              <w:t xml:space="preserve">Contratista de la Subdirección </w:t>
            </w:r>
            <w:r w:rsidRPr="00FC6F34">
              <w:rPr>
                <w:rStyle w:val="normaltextrun"/>
                <w:rFonts w:ascii="Verdana" w:eastAsia="Arial" w:hAnsi="Verdana" w:cs="Arial"/>
                <w:sz w:val="16"/>
                <w:szCs w:val="16"/>
                <w:lang w:val="es-ES"/>
              </w:rPr>
              <w:t>de Gestión Contractual</w:t>
            </w:r>
          </w:p>
        </w:tc>
      </w:tr>
      <w:tr w:rsidR="006D7914" w:rsidRPr="00FC6F34" w14:paraId="350F4D3D" w14:textId="77777777" w:rsidTr="005F22F2">
        <w:trPr>
          <w:trHeight w:val="300"/>
        </w:trPr>
        <w:tc>
          <w:tcPr>
            <w:tcW w:w="893" w:type="dxa"/>
            <w:vAlign w:val="center"/>
          </w:tcPr>
          <w:p w14:paraId="687866D6" w14:textId="77777777" w:rsidR="006D7914" w:rsidRPr="00FC6F34" w:rsidRDefault="006D7914" w:rsidP="005F22F2">
            <w:pPr>
              <w:contextualSpacing/>
              <w:rPr>
                <w:rFonts w:ascii="Verdana" w:hAnsi="Verdana" w:cs="Arial"/>
                <w:sz w:val="16"/>
                <w:szCs w:val="16"/>
                <w:lang w:val="es-ES" w:eastAsia="es-ES"/>
              </w:rPr>
            </w:pPr>
            <w:r w:rsidRPr="00FC6F34">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6E0DFCCD" w14:textId="77777777" w:rsidR="006D7914" w:rsidRPr="00FC6F34" w:rsidRDefault="006D7914" w:rsidP="005F22F2">
            <w:pPr>
              <w:contextualSpacing/>
              <w:rPr>
                <w:rFonts w:ascii="Verdana" w:eastAsia="Calibri" w:hAnsi="Verdana" w:cs="Arial"/>
                <w:sz w:val="16"/>
                <w:szCs w:val="16"/>
                <w:lang w:val="es-ES" w:eastAsia="es-ES"/>
              </w:rPr>
            </w:pPr>
            <w:r w:rsidRPr="00FC6F34">
              <w:rPr>
                <w:rFonts w:ascii="Verdana" w:eastAsia="Calibri" w:hAnsi="Verdana" w:cs="Arial"/>
                <w:sz w:val="16"/>
                <w:szCs w:val="16"/>
                <w:lang w:val="es-ES" w:eastAsia="es-ES"/>
              </w:rPr>
              <w:t>Carolina Quintero Gacharná</w:t>
            </w:r>
          </w:p>
          <w:p w14:paraId="29A8353E" w14:textId="77777777" w:rsidR="006D7914" w:rsidRPr="00FC6F34" w:rsidRDefault="006D7914" w:rsidP="005F22F2">
            <w:pPr>
              <w:contextualSpacing/>
              <w:rPr>
                <w:rFonts w:ascii="Verdana" w:eastAsia="Calibri" w:hAnsi="Verdana" w:cs="Arial"/>
                <w:sz w:val="16"/>
                <w:szCs w:val="16"/>
                <w:lang w:val="es-ES" w:eastAsia="es-ES"/>
              </w:rPr>
            </w:pPr>
            <w:r w:rsidRPr="00FC6F34">
              <w:rPr>
                <w:rFonts w:ascii="Verdana" w:eastAsia="Calibri" w:hAnsi="Verdana" w:cs="Arial"/>
                <w:sz w:val="16"/>
                <w:szCs w:val="16"/>
                <w:lang w:val="es-ES" w:eastAsia="es-ES"/>
              </w:rPr>
              <w:t>Subdirectora de Gestión Contractual ANCP – CCE</w:t>
            </w:r>
          </w:p>
        </w:tc>
      </w:tr>
    </w:tbl>
    <w:p w14:paraId="2712DC1A" w14:textId="1941149B" w:rsidR="006D7914" w:rsidRPr="00FC6F34" w:rsidRDefault="006D7914" w:rsidP="006D7914">
      <w:pPr>
        <w:spacing w:after="0" w:line="276" w:lineRule="auto"/>
        <w:jc w:val="center"/>
        <w:rPr>
          <w:lang w:val="es-ES"/>
        </w:rPr>
      </w:pPr>
    </w:p>
    <w:bookmarkEnd w:id="0"/>
    <w:p w14:paraId="19929B1A" w14:textId="77777777" w:rsidR="006D7914" w:rsidRPr="00927895" w:rsidRDefault="006D7914" w:rsidP="006D7914"/>
    <w:p w14:paraId="0F293BF4" w14:textId="4B729496" w:rsidR="00127233" w:rsidRPr="006D7914" w:rsidRDefault="00127233" w:rsidP="006D7914"/>
    <w:sectPr w:rsidR="00127233" w:rsidRPr="006D7914" w:rsidSect="007C0C0F">
      <w:headerReference w:type="default" r:id="rId13"/>
      <w:footerReference w:type="default" r:id="rId14"/>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C9752F" w14:textId="77777777" w:rsidR="00B27D96" w:rsidRDefault="00B27D96" w:rsidP="004A1847">
      <w:pPr>
        <w:spacing w:after="0" w:line="240" w:lineRule="auto"/>
      </w:pPr>
      <w:r>
        <w:separator/>
      </w:r>
    </w:p>
  </w:endnote>
  <w:endnote w:type="continuationSeparator" w:id="0">
    <w:p w14:paraId="37F8D6EE" w14:textId="77777777" w:rsidR="00B27D96" w:rsidRDefault="00B27D96" w:rsidP="004A1847">
      <w:pPr>
        <w:spacing w:after="0" w:line="240" w:lineRule="auto"/>
      </w:pPr>
      <w:r>
        <w:continuationSeparator/>
      </w:r>
    </w:p>
  </w:endnote>
  <w:endnote w:type="continuationNotice" w:id="1">
    <w:p w14:paraId="00CE1FBC" w14:textId="77777777" w:rsidR="00B27D96" w:rsidRDefault="00B27D9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Yu Gothic Light">
    <w:panose1 w:val="020B0300000000000000"/>
    <w:charset w:val="80"/>
    <w:family w:val="swiss"/>
    <w:pitch w:val="variable"/>
    <w:sig w:usb0="E00002FF" w:usb1="2AC7FDFF" w:usb2="00000016" w:usb3="00000000" w:csb0="0002009F"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Yu Mincho">
    <w:charset w:val="80"/>
    <w:family w:val="roman"/>
    <w:pitch w:val="variable"/>
    <w:sig w:usb0="800002E7" w:usb1="2AC7FCFF" w:usb2="00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630586" w14:textId="77777777" w:rsidR="00B27D96" w:rsidRDefault="00B27D96" w:rsidP="004A1847">
      <w:pPr>
        <w:spacing w:after="0" w:line="240" w:lineRule="auto"/>
      </w:pPr>
      <w:r>
        <w:separator/>
      </w:r>
    </w:p>
  </w:footnote>
  <w:footnote w:type="continuationSeparator" w:id="0">
    <w:p w14:paraId="4EE3EE1C" w14:textId="77777777" w:rsidR="00B27D96" w:rsidRDefault="00B27D96" w:rsidP="004A1847">
      <w:pPr>
        <w:spacing w:after="0" w:line="240" w:lineRule="auto"/>
      </w:pPr>
      <w:r>
        <w:continuationSeparator/>
      </w:r>
    </w:p>
  </w:footnote>
  <w:footnote w:type="continuationNotice" w:id="1">
    <w:p w14:paraId="42FFEFC3" w14:textId="77777777" w:rsidR="00B27D96" w:rsidRDefault="00B27D96">
      <w:pPr>
        <w:spacing w:after="0" w:line="240" w:lineRule="auto"/>
      </w:pPr>
    </w:p>
  </w:footnote>
  <w:footnote w:id="2">
    <w:p w14:paraId="1E43AFCC" w14:textId="77777777" w:rsidR="006D7914" w:rsidRPr="00A81ED8" w:rsidRDefault="006D7914" w:rsidP="006D7914">
      <w:pPr>
        <w:spacing w:after="0" w:line="240" w:lineRule="auto"/>
        <w:ind w:firstLine="709"/>
        <w:contextualSpacing/>
        <w:jc w:val="both"/>
        <w:rPr>
          <w:rFonts w:ascii="Verdana" w:eastAsia="Times New Roman" w:hAnsi="Verdana" w:cs="Arial"/>
          <w:sz w:val="16"/>
          <w:szCs w:val="16"/>
        </w:rPr>
      </w:pPr>
      <w:r w:rsidRPr="00A81ED8">
        <w:rPr>
          <w:rStyle w:val="Refdenotaalpie"/>
          <w:rFonts w:ascii="Verdana" w:hAnsi="Verdana" w:cs="Arial"/>
          <w:sz w:val="16"/>
          <w:szCs w:val="16"/>
        </w:rPr>
        <w:footnoteRef/>
      </w:r>
      <w:r w:rsidRPr="00A81ED8">
        <w:rPr>
          <w:rFonts w:ascii="Verdana" w:hAnsi="Verdana" w:cs="Arial"/>
          <w:sz w:val="16"/>
          <w:szCs w:val="16"/>
        </w:rPr>
        <w:t xml:space="preserve"> </w:t>
      </w:r>
      <w:r w:rsidRPr="00A81ED8">
        <w:rPr>
          <w:rFonts w:ascii="Verdana" w:eastAsia="Calibri" w:hAnsi="Verdana" w:cs="Arial"/>
          <w:color w:val="000000"/>
          <w:sz w:val="16"/>
          <w:szCs w:val="16"/>
        </w:rPr>
        <w:t>“</w:t>
      </w:r>
      <w:r w:rsidRPr="00A81ED8">
        <w:rPr>
          <w:rFonts w:ascii="Verdana" w:eastAsia="Times New Roman" w:hAnsi="Verdana" w:cs="Arial"/>
          <w:sz w:val="16"/>
          <w:szCs w:val="16"/>
        </w:rPr>
        <w:t>Artículo 33. Restricciones a la contratación pública. Durante los cuatro (4) meses anteriores a la elección presidencial y hasta la realización de la elección en la segunda vuelta, si fuere el caso, queda prohibida la contratación directa por parte de todos los entes del Estado.</w:t>
      </w:r>
    </w:p>
    <w:p w14:paraId="25BBF103" w14:textId="77777777" w:rsidR="006D7914" w:rsidRPr="00A81ED8" w:rsidRDefault="006D7914" w:rsidP="006D7914">
      <w:pPr>
        <w:spacing w:after="0" w:line="240" w:lineRule="auto"/>
        <w:ind w:firstLine="709"/>
        <w:contextualSpacing/>
        <w:jc w:val="both"/>
        <w:rPr>
          <w:rFonts w:ascii="Verdana" w:eastAsia="Times New Roman" w:hAnsi="Verdana" w:cs="Arial"/>
          <w:sz w:val="16"/>
          <w:szCs w:val="16"/>
        </w:rPr>
      </w:pPr>
      <w:r w:rsidRPr="00A81ED8">
        <w:rPr>
          <w:rFonts w:ascii="Verdana" w:eastAsia="Times New Roman"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A81ED8">
        <w:rPr>
          <w:rFonts w:ascii="Verdana" w:eastAsia="Calibri" w:hAnsi="Verdana" w:cs="Arial"/>
          <w:color w:val="000000"/>
          <w:sz w:val="16"/>
          <w:szCs w:val="16"/>
        </w:rPr>
        <w:t>”</w:t>
      </w:r>
      <w:r w:rsidRPr="00A81ED8">
        <w:rPr>
          <w:rFonts w:ascii="Verdana" w:eastAsia="Times New Roman" w:hAnsi="Verdana" w:cs="Arial"/>
          <w:sz w:val="16"/>
          <w:szCs w:val="16"/>
        </w:rPr>
        <w:t>.</w:t>
      </w:r>
    </w:p>
  </w:footnote>
  <w:footnote w:id="3">
    <w:p w14:paraId="56E7ACDF" w14:textId="77777777" w:rsidR="00A04EDE" w:rsidRPr="00A81ED8" w:rsidRDefault="00A04EDE" w:rsidP="00A04EDE">
      <w:pPr>
        <w:spacing w:after="0" w:line="240" w:lineRule="auto"/>
        <w:ind w:firstLine="707"/>
        <w:jc w:val="both"/>
        <w:rPr>
          <w:rFonts w:ascii="Verdana" w:hAnsi="Verdana" w:cs="Arial"/>
          <w:sz w:val="16"/>
          <w:szCs w:val="16"/>
        </w:rPr>
      </w:pPr>
      <w:r w:rsidRPr="00A81ED8">
        <w:rPr>
          <w:rStyle w:val="Refdenotaalpie"/>
          <w:rFonts w:ascii="Verdana" w:hAnsi="Verdana" w:cs="Arial"/>
          <w:sz w:val="16"/>
          <w:szCs w:val="16"/>
        </w:rPr>
        <w:footnoteRef/>
      </w:r>
      <w:r w:rsidRPr="00A81ED8">
        <w:rPr>
          <w:rFonts w:ascii="Verdana" w:hAnsi="Verdana" w:cs="Arial"/>
          <w:sz w:val="16"/>
          <w:szCs w:val="16"/>
        </w:rPr>
        <w:t xml:space="preserve"> Decreto 1082 de 2015: </w:t>
      </w:r>
      <w:r>
        <w:rPr>
          <w:rFonts w:ascii="Verdana" w:hAnsi="Verdana" w:cs="Arial"/>
          <w:sz w:val="16"/>
          <w:szCs w:val="16"/>
        </w:rPr>
        <w:t>“</w:t>
      </w:r>
      <w:r w:rsidRPr="00A81ED8">
        <w:rPr>
          <w:rFonts w:ascii="Verdana" w:hAnsi="Verdana" w:cs="Arial"/>
          <w:sz w:val="16"/>
          <w:szCs w:val="16"/>
        </w:rPr>
        <w:t>Artículo 2.2.1.2.2.1.1. Aplicación. La selección abreviada es la modalidad para la enajenación de bienes del Estado, la cual se rige por las disposiciones contenidas en el presente capítulo, salvo por las normas aplicables a la enajenación de los bienes a cargo del Fondo para la Rehabilitación, Inversión Social y Lucha contra el Crimen Organizado y la enajenación de que tratan la Ley 226 de 1995, el Decreto-Ley 254 de 2000 y la Ley 1105 de 2006</w:t>
      </w:r>
      <w:r>
        <w:rPr>
          <w:rFonts w:ascii="Verdana" w:hAnsi="Verdana" w:cs="Arial"/>
          <w:sz w:val="16"/>
          <w:szCs w:val="16"/>
        </w:rPr>
        <w:t>”</w:t>
      </w:r>
      <w:r w:rsidRPr="00A81ED8">
        <w:rPr>
          <w:rFonts w:ascii="Verdana" w:hAnsi="Verdana" w:cs="Arial"/>
          <w:sz w:val="16"/>
          <w:szCs w:val="16"/>
        </w:rPr>
        <w:t>.</w:t>
      </w:r>
    </w:p>
  </w:footnote>
  <w:footnote w:id="4">
    <w:p w14:paraId="3619DA01" w14:textId="77777777" w:rsidR="006D7914" w:rsidRPr="00A81ED8" w:rsidRDefault="006D7914" w:rsidP="006D7914">
      <w:pPr>
        <w:pStyle w:val="Textonotapie"/>
        <w:ind w:firstLine="709"/>
        <w:contextualSpacing/>
        <w:jc w:val="both"/>
        <w:rPr>
          <w:rFonts w:ascii="Verdana" w:hAnsi="Verdana" w:cs="Arial"/>
          <w:sz w:val="16"/>
          <w:szCs w:val="16"/>
        </w:rPr>
      </w:pPr>
      <w:r w:rsidRPr="00A81ED8">
        <w:rPr>
          <w:rStyle w:val="Refdenotaalpie"/>
          <w:rFonts w:ascii="Verdana" w:hAnsi="Verdana" w:cs="Arial"/>
          <w:sz w:val="16"/>
          <w:szCs w:val="16"/>
        </w:rPr>
        <w:footnoteRef/>
      </w:r>
      <w:r w:rsidRPr="00A81ED8">
        <w:rPr>
          <w:rFonts w:ascii="Verdana" w:hAnsi="Verdana" w:cs="Arial"/>
          <w:sz w:val="16"/>
          <w:szCs w:val="16"/>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18CD3102" w14:textId="77777777" w:rsidR="006D7914" w:rsidRPr="00A81ED8" w:rsidRDefault="006D7914" w:rsidP="006D7914">
      <w:pPr>
        <w:pStyle w:val="Textonotapie"/>
        <w:ind w:firstLine="709"/>
        <w:contextualSpacing/>
        <w:jc w:val="both"/>
        <w:rPr>
          <w:rFonts w:ascii="Verdana" w:hAnsi="Verdana" w:cs="Arial"/>
          <w:sz w:val="16"/>
          <w:szCs w:val="16"/>
        </w:rPr>
      </w:pPr>
      <w:r w:rsidRPr="00A81ED8">
        <w:rPr>
          <w:rFonts w:ascii="Verdana" w:hAnsi="Verdana" w:cs="Arial"/>
          <w:sz w:val="16"/>
          <w:szCs w:val="16"/>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footnote>
  <w:footnote w:id="5">
    <w:p w14:paraId="12DDC8A2" w14:textId="77777777" w:rsidR="006D7914" w:rsidRPr="00A81ED8" w:rsidRDefault="006D7914" w:rsidP="006D7914">
      <w:pPr>
        <w:pStyle w:val="Textonotapie"/>
        <w:ind w:firstLine="709"/>
        <w:contextualSpacing/>
        <w:jc w:val="both"/>
        <w:rPr>
          <w:rFonts w:ascii="Verdana" w:hAnsi="Verdana" w:cs="Arial"/>
          <w:sz w:val="16"/>
          <w:szCs w:val="16"/>
        </w:rPr>
      </w:pPr>
      <w:r w:rsidRPr="00A81ED8">
        <w:rPr>
          <w:rStyle w:val="Refdenotaalpie"/>
          <w:rFonts w:ascii="Verdana" w:hAnsi="Verdana" w:cs="Arial"/>
          <w:sz w:val="16"/>
          <w:szCs w:val="16"/>
        </w:rPr>
        <w:footnoteRef/>
      </w:r>
      <w:r w:rsidRPr="00A81ED8">
        <w:rPr>
          <w:rFonts w:ascii="Verdana" w:hAnsi="Verdana" w:cs="Arial"/>
          <w:sz w:val="16"/>
          <w:szCs w:val="16"/>
        </w:rPr>
        <w:t xml:space="preserve"> Gaceta del Congreso de la República No. 71 del 2005.</w:t>
      </w:r>
    </w:p>
  </w:footnote>
  <w:footnote w:id="6">
    <w:p w14:paraId="6166BD73" w14:textId="77777777" w:rsidR="006D7914" w:rsidRPr="00A81ED8" w:rsidRDefault="006D7914" w:rsidP="006D7914">
      <w:pPr>
        <w:pStyle w:val="Textonotapie"/>
        <w:ind w:firstLine="709"/>
        <w:contextualSpacing/>
        <w:jc w:val="both"/>
        <w:rPr>
          <w:rFonts w:ascii="Verdana" w:hAnsi="Verdana" w:cs="Arial"/>
          <w:sz w:val="16"/>
          <w:szCs w:val="16"/>
          <w:lang w:val="pt-BR"/>
        </w:rPr>
      </w:pPr>
      <w:r w:rsidRPr="00A81ED8">
        <w:rPr>
          <w:rStyle w:val="Refdenotaalpie"/>
          <w:rFonts w:ascii="Verdana" w:hAnsi="Verdana" w:cs="Arial"/>
          <w:sz w:val="16"/>
          <w:szCs w:val="16"/>
        </w:rPr>
        <w:footnoteRef/>
      </w:r>
      <w:r w:rsidRPr="00A81ED8">
        <w:rPr>
          <w:rFonts w:ascii="Verdana" w:hAnsi="Verdana" w:cs="Arial"/>
          <w:sz w:val="16"/>
          <w:szCs w:val="16"/>
          <w:lang w:val="pt-BR"/>
        </w:rPr>
        <w:t xml:space="preserve"> Corte Constitucional, Sentencia C- 1153 de 2005, M.P. Marco Gerardo </w:t>
      </w:r>
      <w:proofErr w:type="spellStart"/>
      <w:r w:rsidRPr="00A81ED8">
        <w:rPr>
          <w:rFonts w:ascii="Verdana" w:hAnsi="Verdana" w:cs="Arial"/>
          <w:sz w:val="16"/>
          <w:szCs w:val="16"/>
          <w:lang w:val="pt-BR"/>
        </w:rPr>
        <w:t>Monroy</w:t>
      </w:r>
      <w:proofErr w:type="spellEnd"/>
      <w:r w:rsidRPr="00A81ED8">
        <w:rPr>
          <w:rFonts w:ascii="Verdana" w:hAnsi="Verdana" w:cs="Arial"/>
          <w:sz w:val="16"/>
          <w:szCs w:val="16"/>
          <w:lang w:val="pt-BR"/>
        </w:rPr>
        <w:t xml:space="preserve"> Cabra.</w:t>
      </w:r>
    </w:p>
  </w:footnote>
  <w:footnote w:id="7">
    <w:p w14:paraId="3D7ED35F" w14:textId="77777777" w:rsidR="006D7914" w:rsidRPr="00A81ED8" w:rsidRDefault="006D7914" w:rsidP="006D7914">
      <w:pPr>
        <w:pStyle w:val="Textonotapie"/>
        <w:ind w:firstLine="709"/>
        <w:contextualSpacing/>
        <w:jc w:val="both"/>
        <w:rPr>
          <w:rFonts w:ascii="Verdana" w:hAnsi="Verdana" w:cs="Arial"/>
          <w:sz w:val="16"/>
          <w:szCs w:val="16"/>
          <w:lang w:val="pt-BR"/>
        </w:rPr>
      </w:pPr>
      <w:r w:rsidRPr="00A81ED8">
        <w:rPr>
          <w:rStyle w:val="Refdenotaalpie"/>
          <w:rFonts w:ascii="Verdana" w:hAnsi="Verdana" w:cs="Arial"/>
          <w:sz w:val="16"/>
          <w:szCs w:val="16"/>
        </w:rPr>
        <w:footnoteRef/>
      </w:r>
      <w:r w:rsidRPr="00A81ED8">
        <w:rPr>
          <w:rFonts w:ascii="Verdana" w:hAnsi="Verdana" w:cs="Arial"/>
          <w:sz w:val="16"/>
          <w:szCs w:val="16"/>
          <w:lang w:val="pt-BR"/>
        </w:rPr>
        <w:t xml:space="preserve"> Corte Constitucional. Sentencias: C-233 de 4 de abril de 2002, expediente: D-3704; C-551 de 9 de </w:t>
      </w:r>
      <w:proofErr w:type="spellStart"/>
      <w:r w:rsidRPr="00A81ED8">
        <w:rPr>
          <w:rFonts w:ascii="Verdana" w:hAnsi="Verdana" w:cs="Arial"/>
          <w:sz w:val="16"/>
          <w:szCs w:val="16"/>
          <w:lang w:val="pt-BR"/>
        </w:rPr>
        <w:t>julio</w:t>
      </w:r>
      <w:proofErr w:type="spellEnd"/>
      <w:r w:rsidRPr="00A81ED8">
        <w:rPr>
          <w:rFonts w:ascii="Verdana" w:hAnsi="Verdana" w:cs="Arial"/>
          <w:sz w:val="16"/>
          <w:szCs w:val="16"/>
          <w:lang w:val="pt-BR"/>
        </w:rPr>
        <w:t xml:space="preserve"> de 2003, expediente: CRF-001 de 9 de </w:t>
      </w:r>
      <w:proofErr w:type="spellStart"/>
      <w:r w:rsidRPr="00A81ED8">
        <w:rPr>
          <w:rFonts w:ascii="Verdana" w:hAnsi="Verdana" w:cs="Arial"/>
          <w:sz w:val="16"/>
          <w:szCs w:val="16"/>
          <w:lang w:val="pt-BR"/>
        </w:rPr>
        <w:t>julio</w:t>
      </w:r>
      <w:proofErr w:type="spellEnd"/>
      <w:r w:rsidRPr="00A81ED8">
        <w:rPr>
          <w:rFonts w:ascii="Verdana" w:hAnsi="Verdana" w:cs="Arial"/>
          <w:sz w:val="16"/>
          <w:szCs w:val="16"/>
          <w:lang w:val="pt-BR"/>
        </w:rPr>
        <w:t xml:space="preserve"> de 2003; C-652 de 5 de agosto de 2003, expediente: D-4330; C-353 de 20 de </w:t>
      </w:r>
      <w:proofErr w:type="spellStart"/>
      <w:r w:rsidRPr="00A81ED8">
        <w:rPr>
          <w:rFonts w:ascii="Verdana" w:hAnsi="Verdana" w:cs="Arial"/>
          <w:sz w:val="16"/>
          <w:szCs w:val="16"/>
          <w:lang w:val="pt-BR"/>
        </w:rPr>
        <w:t>mayo</w:t>
      </w:r>
      <w:proofErr w:type="spellEnd"/>
      <w:r w:rsidRPr="00A81ED8">
        <w:rPr>
          <w:rFonts w:ascii="Verdana" w:hAnsi="Verdana" w:cs="Arial"/>
          <w:sz w:val="16"/>
          <w:szCs w:val="16"/>
          <w:lang w:val="pt-BR"/>
        </w:rPr>
        <w:t xml:space="preserve"> de 2009, expediente: D-7518, C-541 de 30 de </w:t>
      </w:r>
      <w:proofErr w:type="spellStart"/>
      <w:r w:rsidRPr="00A81ED8">
        <w:rPr>
          <w:rFonts w:ascii="Verdana" w:hAnsi="Verdana" w:cs="Arial"/>
          <w:sz w:val="16"/>
          <w:szCs w:val="16"/>
          <w:lang w:val="pt-BR"/>
        </w:rPr>
        <w:t>junio</w:t>
      </w:r>
      <w:proofErr w:type="spellEnd"/>
      <w:r w:rsidRPr="00A81ED8">
        <w:rPr>
          <w:rFonts w:ascii="Verdana" w:hAnsi="Verdana" w:cs="Arial"/>
          <w:sz w:val="16"/>
          <w:szCs w:val="16"/>
          <w:lang w:val="pt-BR"/>
        </w:rPr>
        <w:t xml:space="preserve"> de 2010, expediente: DD7966; entre otras.</w:t>
      </w:r>
    </w:p>
  </w:footnote>
  <w:footnote w:id="8">
    <w:p w14:paraId="457FC13F" w14:textId="77777777" w:rsidR="006D7914" w:rsidRPr="00A81ED8" w:rsidRDefault="006D7914" w:rsidP="006D7914">
      <w:pPr>
        <w:pStyle w:val="Textonotapie"/>
        <w:ind w:firstLine="709"/>
        <w:contextualSpacing/>
        <w:jc w:val="both"/>
        <w:rPr>
          <w:rFonts w:ascii="Verdana" w:hAnsi="Verdana" w:cs="Arial"/>
          <w:sz w:val="16"/>
          <w:szCs w:val="16"/>
          <w:lang w:val="es-CO"/>
        </w:rPr>
      </w:pPr>
      <w:r w:rsidRPr="00A81ED8">
        <w:rPr>
          <w:rStyle w:val="Refdenotaalpie"/>
          <w:rFonts w:ascii="Verdana" w:hAnsi="Verdana" w:cs="Arial"/>
          <w:sz w:val="16"/>
          <w:szCs w:val="16"/>
        </w:rPr>
        <w:footnoteRef/>
      </w:r>
      <w:r w:rsidRPr="00A81ED8">
        <w:rPr>
          <w:rFonts w:ascii="Verdana" w:hAnsi="Verdana" w:cs="Arial"/>
          <w:sz w:val="16"/>
          <w:szCs w:val="16"/>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w:t>
      </w:r>
      <w:r w:rsidRPr="00A81ED8">
        <w:rPr>
          <w:rFonts w:ascii="Verdana" w:hAnsi="Verdana" w:cs="Arial"/>
          <w:sz w:val="16"/>
          <w:szCs w:val="16"/>
          <w:lang w:val="es-CO"/>
        </w:rPr>
        <w:t>Sentencia de 20 de noviembre de 2001, expediente número 2001-0130-01(PI), entre otras.</w:t>
      </w:r>
    </w:p>
  </w:footnote>
  <w:footnote w:id="9">
    <w:p w14:paraId="512570A4" w14:textId="77777777" w:rsidR="006D7914" w:rsidRPr="00A81ED8" w:rsidRDefault="006D7914" w:rsidP="006D7914">
      <w:pPr>
        <w:pStyle w:val="Textonotapie"/>
        <w:ind w:firstLine="709"/>
        <w:contextualSpacing/>
        <w:jc w:val="both"/>
        <w:rPr>
          <w:rFonts w:ascii="Verdana" w:hAnsi="Verdana" w:cs="Arial"/>
          <w:sz w:val="16"/>
          <w:szCs w:val="16"/>
        </w:rPr>
      </w:pPr>
      <w:r w:rsidRPr="00A81ED8">
        <w:rPr>
          <w:rStyle w:val="Refdenotaalpie"/>
          <w:rFonts w:ascii="Verdana" w:hAnsi="Verdana" w:cs="Arial"/>
          <w:sz w:val="16"/>
          <w:szCs w:val="16"/>
        </w:rPr>
        <w:footnoteRef/>
      </w:r>
      <w:r w:rsidRPr="00A81ED8">
        <w:rPr>
          <w:rFonts w:ascii="Verdana" w:hAnsi="Verdana" w:cs="Arial"/>
          <w:sz w:val="16"/>
          <w:szCs w:val="16"/>
        </w:rPr>
        <w:t xml:space="preserve"> Consejo de Estado, Sala de Consulta y Servicio Civil de fecha 24 de julio de 2013, Rad. 2166, C. P. Álvaro Namén Vargas.  </w:t>
      </w:r>
    </w:p>
  </w:footnote>
  <w:footnote w:id="10">
    <w:p w14:paraId="245F2CDB" w14:textId="77777777" w:rsidR="006D7914" w:rsidRPr="00A81ED8" w:rsidRDefault="006D7914" w:rsidP="006D7914">
      <w:pPr>
        <w:spacing w:after="0" w:line="240" w:lineRule="auto"/>
        <w:ind w:firstLine="709"/>
        <w:contextualSpacing/>
        <w:jc w:val="both"/>
        <w:rPr>
          <w:rFonts w:ascii="Verdana" w:eastAsia="Times New Roman" w:hAnsi="Verdana" w:cs="Arial"/>
          <w:sz w:val="16"/>
          <w:szCs w:val="16"/>
        </w:rPr>
      </w:pPr>
      <w:r w:rsidRPr="00A81ED8">
        <w:rPr>
          <w:rStyle w:val="Refdenotaalpie"/>
          <w:rFonts w:ascii="Verdana" w:hAnsi="Verdana" w:cs="Arial"/>
          <w:sz w:val="16"/>
          <w:szCs w:val="16"/>
        </w:rPr>
        <w:footnoteRef/>
      </w:r>
      <w:r w:rsidRPr="00A81ED8">
        <w:rPr>
          <w:rFonts w:ascii="Verdana" w:hAnsi="Verdana" w:cs="Arial"/>
          <w:sz w:val="16"/>
          <w:szCs w:val="16"/>
        </w:rPr>
        <w:t xml:space="preserve"> </w:t>
      </w:r>
      <w:r w:rsidRPr="00A81ED8">
        <w:rPr>
          <w:rFonts w:ascii="Verdana" w:eastAsia="Calibri" w:hAnsi="Verdana" w:cs="Arial"/>
          <w:color w:val="000000"/>
          <w:sz w:val="16"/>
          <w:szCs w:val="16"/>
        </w:rPr>
        <w:t>“</w:t>
      </w:r>
      <w:r w:rsidRPr="00A81ED8">
        <w:rPr>
          <w:rFonts w:ascii="Verdana" w:eastAsia="Times New Roman" w:hAnsi="Verdana" w:cs="Arial"/>
          <w:sz w:val="16"/>
          <w:szCs w:val="16"/>
        </w:rPr>
        <w:t>Artículo 33. Restricciones a la contratación pública. Durante los cuatro (4) meses anteriores a la elección presidencial y hasta la realización de la elección en la segunda vuelta, si fuere el caso, queda prohibida la contratación directa por parte de todos los entes del Estado.</w:t>
      </w:r>
    </w:p>
    <w:p w14:paraId="724888E6" w14:textId="77777777" w:rsidR="006D7914" w:rsidRPr="00A81ED8" w:rsidRDefault="006D7914" w:rsidP="006D7914">
      <w:pPr>
        <w:spacing w:after="0" w:line="240" w:lineRule="auto"/>
        <w:ind w:firstLine="709"/>
        <w:contextualSpacing/>
        <w:jc w:val="both"/>
        <w:rPr>
          <w:rFonts w:ascii="Verdana" w:eastAsia="Times New Roman" w:hAnsi="Verdana" w:cs="Arial"/>
          <w:sz w:val="16"/>
          <w:szCs w:val="16"/>
        </w:rPr>
      </w:pPr>
      <w:r w:rsidRPr="00A81ED8">
        <w:rPr>
          <w:rFonts w:ascii="Verdana" w:eastAsia="Times New Roman"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A81ED8">
        <w:rPr>
          <w:rFonts w:ascii="Verdana" w:eastAsia="Calibri" w:hAnsi="Verdana" w:cs="Arial"/>
          <w:color w:val="000000"/>
          <w:sz w:val="16"/>
          <w:szCs w:val="16"/>
        </w:rPr>
        <w:t>”</w:t>
      </w:r>
      <w:r w:rsidRPr="00A81ED8">
        <w:rPr>
          <w:rFonts w:ascii="Verdana" w:eastAsia="Times New Roman" w:hAnsi="Verdana" w:cs="Arial"/>
          <w:sz w:val="16"/>
          <w:szCs w:val="16"/>
        </w:rPr>
        <w:t>.</w:t>
      </w:r>
    </w:p>
  </w:footnote>
  <w:footnote w:id="11">
    <w:p w14:paraId="63B8DA5C" w14:textId="77777777" w:rsidR="006D7914" w:rsidRPr="00A81ED8" w:rsidRDefault="006D7914" w:rsidP="006D7914">
      <w:pPr>
        <w:pStyle w:val="NormalWeb"/>
        <w:spacing w:before="0" w:beforeAutospacing="0" w:after="0" w:afterAutospacing="0"/>
        <w:ind w:firstLine="709"/>
        <w:contextualSpacing/>
        <w:jc w:val="both"/>
        <w:rPr>
          <w:rFonts w:ascii="Verdana" w:hAnsi="Verdana" w:cs="Arial"/>
          <w:sz w:val="16"/>
          <w:szCs w:val="16"/>
          <w:lang w:val="es-MX"/>
        </w:rPr>
      </w:pPr>
      <w:r w:rsidRPr="00A81ED8">
        <w:rPr>
          <w:rStyle w:val="Refdenotaalpie"/>
          <w:rFonts w:ascii="Verdana" w:hAnsi="Verdana" w:cs="Arial"/>
          <w:sz w:val="16"/>
          <w:szCs w:val="16"/>
        </w:rPr>
        <w:footnoteRef/>
      </w:r>
      <w:r w:rsidRPr="00A81ED8">
        <w:rPr>
          <w:rFonts w:ascii="Verdana" w:hAnsi="Verdana" w:cs="Arial"/>
          <w:sz w:val="16"/>
          <w:szCs w:val="16"/>
        </w:rPr>
        <w:t xml:space="preserve"> </w:t>
      </w:r>
      <w:r w:rsidRPr="00A81ED8">
        <w:rPr>
          <w:rFonts w:ascii="Verdana" w:eastAsia="Calibri" w:hAnsi="Verdana" w:cs="Arial"/>
          <w:color w:val="000000"/>
          <w:sz w:val="16"/>
          <w:szCs w:val="16"/>
        </w:rPr>
        <w:t>“</w:t>
      </w:r>
      <w:r w:rsidRPr="00A81ED8">
        <w:rPr>
          <w:rFonts w:ascii="Verdana" w:hAnsi="Verdana" w:cs="Arial"/>
          <w:sz w:val="16"/>
          <w:szCs w:val="16"/>
          <w:lang w:val="es-MX"/>
        </w:rPr>
        <w:t>Artículo 38. Prohibiciones para los servidores públicos. A los empleados del Estado les está prohibido: […]</w:t>
      </w:r>
    </w:p>
    <w:p w14:paraId="459DF089" w14:textId="77777777" w:rsidR="006D7914" w:rsidRPr="00A81ED8" w:rsidRDefault="006D7914" w:rsidP="006D7914">
      <w:pPr>
        <w:pStyle w:val="NormalWeb"/>
        <w:spacing w:before="0" w:beforeAutospacing="0" w:after="0" w:afterAutospacing="0"/>
        <w:ind w:firstLine="709"/>
        <w:contextualSpacing/>
        <w:jc w:val="both"/>
        <w:rPr>
          <w:rFonts w:ascii="Verdana" w:hAnsi="Verdana" w:cs="Arial"/>
          <w:sz w:val="16"/>
          <w:szCs w:val="16"/>
          <w:lang w:val="es-MX"/>
        </w:rPr>
      </w:pPr>
      <w:r w:rsidRPr="00A81ED8">
        <w:rPr>
          <w:rStyle w:val="baj"/>
          <w:rFonts w:ascii="Verdana" w:hAnsi="Verdana" w:cs="Arial"/>
          <w:sz w:val="16"/>
          <w:szCs w:val="16"/>
          <w:lang w:val="es-MX"/>
        </w:rPr>
        <w:t>Parágrafo.</w:t>
      </w:r>
      <w:r w:rsidRPr="00A81ED8">
        <w:rPr>
          <w:rFonts w:ascii="Verdana" w:hAnsi="Verdana" w:cs="Arial"/>
          <w:sz w:val="16"/>
          <w:szCs w:val="16"/>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A81ED8">
        <w:rPr>
          <w:rFonts w:ascii="Verdana" w:eastAsia="Calibri" w:hAnsi="Verdana" w:cs="Arial"/>
          <w:color w:val="000000"/>
          <w:sz w:val="16"/>
          <w:szCs w:val="16"/>
        </w:rPr>
        <w:t>”</w:t>
      </w:r>
      <w:r w:rsidRPr="00A81ED8">
        <w:rPr>
          <w:rFonts w:ascii="Verdana" w:hAnsi="Verdana" w:cs="Arial"/>
          <w:sz w:val="16"/>
          <w:szCs w:val="16"/>
          <w:lang w:val="es-MX"/>
        </w:rPr>
        <w:t>.</w:t>
      </w:r>
    </w:p>
  </w:footnote>
  <w:footnote w:id="12">
    <w:p w14:paraId="57218DF0" w14:textId="77777777" w:rsidR="006D7914" w:rsidRPr="00A81ED8" w:rsidRDefault="006D7914" w:rsidP="006D7914">
      <w:pPr>
        <w:spacing w:after="0" w:line="240" w:lineRule="auto"/>
        <w:ind w:left="100" w:right="244" w:firstLine="709"/>
        <w:contextualSpacing/>
        <w:jc w:val="both"/>
        <w:rPr>
          <w:rFonts w:ascii="Verdana" w:hAnsi="Verdana" w:cs="Arial"/>
          <w:sz w:val="16"/>
          <w:szCs w:val="16"/>
          <w:lang w:val="es-ES"/>
        </w:rPr>
      </w:pPr>
      <w:r w:rsidRPr="00A81ED8">
        <w:rPr>
          <w:rStyle w:val="Refdenotaalpie"/>
          <w:rFonts w:ascii="Verdana" w:hAnsi="Verdana" w:cs="Arial"/>
          <w:sz w:val="16"/>
          <w:szCs w:val="16"/>
        </w:rPr>
        <w:footnoteRef/>
      </w:r>
      <w:r w:rsidRPr="00A81ED8">
        <w:rPr>
          <w:rFonts w:ascii="Verdana" w:hAnsi="Verdana" w:cs="Arial"/>
          <w:sz w:val="16"/>
          <w:szCs w:val="16"/>
        </w:rPr>
        <w:t xml:space="preserve"> Consejo de Estado. Sala de Consulta y Servicio Civil. Concepto del 17 de febrero de 2015. C.P. William Zambrano Cetina. Radicación No. 11001-03-06-000-2015-00164-00(2269).</w:t>
      </w:r>
    </w:p>
  </w:footnote>
  <w:footnote w:id="13">
    <w:p w14:paraId="3D4F05AE" w14:textId="77777777" w:rsidR="006D7914" w:rsidRPr="00A81ED8" w:rsidRDefault="006D7914" w:rsidP="006D7914">
      <w:pPr>
        <w:pStyle w:val="Textonotapie"/>
        <w:ind w:right="51" w:firstLine="709"/>
        <w:contextualSpacing/>
        <w:jc w:val="both"/>
        <w:rPr>
          <w:rFonts w:ascii="Verdana" w:hAnsi="Verdana" w:cs="Arial"/>
          <w:sz w:val="16"/>
          <w:szCs w:val="16"/>
        </w:rPr>
      </w:pPr>
      <w:r w:rsidRPr="00A81ED8">
        <w:rPr>
          <w:rStyle w:val="Refdenotaalpie"/>
          <w:rFonts w:ascii="Verdana" w:hAnsi="Verdana" w:cs="Arial"/>
          <w:sz w:val="16"/>
          <w:szCs w:val="16"/>
        </w:rPr>
        <w:footnoteRef/>
      </w:r>
      <w:r w:rsidRPr="00A81ED8">
        <w:rPr>
          <w:rFonts w:ascii="Verdana" w:hAnsi="Verdana" w:cs="Arial"/>
          <w:sz w:val="16"/>
          <w:szCs w:val="16"/>
        </w:rPr>
        <w:t xml:space="preserve"> “</w:t>
      </w:r>
      <w:r w:rsidRPr="00A81ED8">
        <w:rPr>
          <w:rFonts w:ascii="Verdana" w:hAnsi="Verdana" w:cs="Arial"/>
          <w:sz w:val="16"/>
          <w:szCs w:val="16"/>
          <w:lang w:val="es-ES"/>
        </w:rPr>
        <w:t xml:space="preserve">[26] </w:t>
      </w:r>
      <w:r w:rsidRPr="00A81ED8">
        <w:rPr>
          <w:rFonts w:ascii="Verdana" w:hAnsi="Verdana" w:cs="Arial"/>
          <w:sz w:val="16"/>
          <w:szCs w:val="16"/>
        </w:rPr>
        <w:t>Al respecto ver el concepto 1712 de 2 de febrero de 2006. Consejo de Estado Sala de Consulta y Servicio Civil”.</w:t>
      </w:r>
    </w:p>
  </w:footnote>
  <w:footnote w:id="14">
    <w:p w14:paraId="1B99C7B8" w14:textId="77777777" w:rsidR="006D7914" w:rsidRPr="00A81ED8" w:rsidRDefault="006D7914" w:rsidP="006D7914">
      <w:pPr>
        <w:pStyle w:val="Textonotapie"/>
        <w:ind w:firstLine="709"/>
        <w:contextualSpacing/>
        <w:jc w:val="both"/>
        <w:rPr>
          <w:rFonts w:ascii="Verdana" w:hAnsi="Verdana" w:cs="Arial"/>
          <w:sz w:val="16"/>
          <w:szCs w:val="16"/>
        </w:rPr>
      </w:pPr>
      <w:r w:rsidRPr="00A81ED8">
        <w:rPr>
          <w:rStyle w:val="Refdenotaalpie"/>
          <w:rFonts w:ascii="Verdana" w:hAnsi="Verdana" w:cs="Arial"/>
          <w:sz w:val="16"/>
          <w:szCs w:val="16"/>
        </w:rPr>
        <w:footnoteRef/>
      </w:r>
      <w:r w:rsidRPr="00A81ED8">
        <w:rPr>
          <w:rFonts w:ascii="Verdana" w:hAnsi="Verdana" w:cs="Arial"/>
          <w:sz w:val="16"/>
          <w:szCs w:val="16"/>
        </w:rPr>
        <w:t xml:space="preserve"> Consejo de Estado. Sala de Consulta y Servicio Civil. Concepto del 2 de septiembre de 2013. Radicación número: 11001-03-06-000-2013-00412-00 (2168). Consejero Ponente: Álvaro Namén Vargas.</w:t>
      </w:r>
    </w:p>
  </w:footnote>
  <w:footnote w:id="15">
    <w:p w14:paraId="758F99B5" w14:textId="77777777" w:rsidR="006D7914" w:rsidRPr="00A81ED8" w:rsidRDefault="006D7914" w:rsidP="006D7914">
      <w:pPr>
        <w:pStyle w:val="Textonotapie"/>
        <w:ind w:firstLine="709"/>
        <w:contextualSpacing/>
        <w:jc w:val="both"/>
        <w:rPr>
          <w:rFonts w:ascii="Verdana" w:hAnsi="Verdana" w:cs="Arial"/>
          <w:sz w:val="16"/>
          <w:szCs w:val="16"/>
          <w:lang w:val="es-ES"/>
        </w:rPr>
      </w:pPr>
      <w:r w:rsidRPr="00A81ED8">
        <w:rPr>
          <w:rStyle w:val="Refdenotaalpie"/>
          <w:rFonts w:ascii="Verdana" w:hAnsi="Verdana" w:cs="Arial"/>
          <w:sz w:val="16"/>
          <w:szCs w:val="16"/>
        </w:rPr>
        <w:footnoteRef/>
      </w:r>
      <w:r w:rsidRPr="00A81ED8">
        <w:rPr>
          <w:rFonts w:ascii="Verdana" w:hAnsi="Verdana" w:cs="Arial"/>
          <w:sz w:val="16"/>
          <w:szCs w:val="16"/>
        </w:rPr>
        <w:t xml:space="preserve"> </w:t>
      </w:r>
      <w:r w:rsidRPr="00A81ED8">
        <w:rPr>
          <w:rFonts w:ascii="Verdana" w:hAnsi="Verdana" w:cs="Arial"/>
          <w:sz w:val="16"/>
          <w:szCs w:val="16"/>
          <w:lang w:val="es-ES"/>
        </w:rPr>
        <w:t xml:space="preserve">Artículo 2. </w:t>
      </w:r>
    </w:p>
  </w:footnote>
  <w:footnote w:id="16">
    <w:p w14:paraId="2108B9FB" w14:textId="77777777" w:rsidR="006D7914" w:rsidRPr="00A81ED8" w:rsidRDefault="006D7914" w:rsidP="006D7914">
      <w:pPr>
        <w:pStyle w:val="Textonotapie"/>
        <w:ind w:firstLine="709"/>
        <w:contextualSpacing/>
        <w:jc w:val="both"/>
        <w:rPr>
          <w:rFonts w:ascii="Verdana" w:hAnsi="Verdana" w:cs="Arial"/>
          <w:sz w:val="16"/>
          <w:szCs w:val="16"/>
          <w:lang w:val="es-ES"/>
        </w:rPr>
      </w:pPr>
      <w:r w:rsidRPr="00A81ED8">
        <w:rPr>
          <w:rStyle w:val="Refdenotaalpie"/>
          <w:rFonts w:ascii="Verdana" w:hAnsi="Verdana" w:cs="Arial"/>
          <w:sz w:val="16"/>
          <w:szCs w:val="16"/>
        </w:rPr>
        <w:footnoteRef/>
      </w:r>
      <w:r w:rsidRPr="00A81ED8">
        <w:rPr>
          <w:rFonts w:ascii="Verdana" w:hAnsi="Verdana" w:cs="Arial"/>
          <w:sz w:val="16"/>
          <w:szCs w:val="16"/>
        </w:rPr>
        <w:t xml:space="preserve"> </w:t>
      </w:r>
      <w:r w:rsidRPr="00A81ED8">
        <w:rPr>
          <w:rFonts w:ascii="Verdana" w:hAnsi="Verdana" w:cs="Arial"/>
          <w:i/>
          <w:sz w:val="16"/>
          <w:szCs w:val="16"/>
          <w:lang w:val="es-ES"/>
        </w:rPr>
        <w:t>Ídem</w:t>
      </w:r>
      <w:r w:rsidRPr="00A81ED8">
        <w:rPr>
          <w:rFonts w:ascii="Verdana" w:hAnsi="Verdana" w:cs="Arial"/>
          <w:sz w:val="16"/>
          <w:szCs w:val="16"/>
          <w:lang w:val="es-ES"/>
        </w:rPr>
        <w:t>.</w:t>
      </w:r>
    </w:p>
  </w:footnote>
  <w:footnote w:id="17">
    <w:p w14:paraId="66D38429" w14:textId="77777777" w:rsidR="006D7914" w:rsidRPr="00A81ED8" w:rsidRDefault="006D7914" w:rsidP="006D7914">
      <w:pPr>
        <w:pStyle w:val="Textonotapie"/>
        <w:ind w:firstLine="709"/>
        <w:contextualSpacing/>
        <w:jc w:val="both"/>
        <w:rPr>
          <w:rFonts w:ascii="Verdana" w:hAnsi="Verdana" w:cs="Arial"/>
          <w:sz w:val="16"/>
          <w:szCs w:val="16"/>
        </w:rPr>
      </w:pPr>
      <w:r w:rsidRPr="00A81ED8">
        <w:rPr>
          <w:rStyle w:val="Refdenotaalpie"/>
          <w:rFonts w:ascii="Verdana" w:hAnsi="Verdana" w:cs="Arial"/>
          <w:sz w:val="16"/>
          <w:szCs w:val="16"/>
        </w:rPr>
        <w:footnoteRef/>
      </w:r>
      <w:r w:rsidRPr="00A81ED8">
        <w:rPr>
          <w:rFonts w:ascii="Verdana" w:hAnsi="Verdana" w:cs="Arial"/>
          <w:sz w:val="16"/>
          <w:szCs w:val="16"/>
        </w:rPr>
        <w:t xml:space="preserve"> Consejo de Estado. Sala de Consulta y Servicio Civil. Concepto del 08 de mayo de 2018. Exp. 2.382. C.P. Álvaro Namén Vargas.</w:t>
      </w:r>
    </w:p>
  </w:footnote>
  <w:footnote w:id="18">
    <w:p w14:paraId="5B81F8A7" w14:textId="77777777" w:rsidR="006D7914" w:rsidRPr="00A81ED8" w:rsidRDefault="006D7914" w:rsidP="006D7914">
      <w:pPr>
        <w:pStyle w:val="Textonotapie"/>
        <w:ind w:firstLine="708"/>
        <w:contextualSpacing/>
        <w:jc w:val="both"/>
        <w:rPr>
          <w:rFonts w:ascii="Verdana" w:hAnsi="Verdana"/>
          <w:sz w:val="16"/>
          <w:szCs w:val="16"/>
          <w:lang w:val="es-ES"/>
        </w:rPr>
      </w:pPr>
      <w:r w:rsidRPr="00A81ED8">
        <w:rPr>
          <w:rStyle w:val="Refdenotaalpie"/>
          <w:rFonts w:ascii="Verdana" w:hAnsi="Verdana"/>
          <w:sz w:val="16"/>
          <w:szCs w:val="16"/>
        </w:rPr>
        <w:footnoteRef/>
      </w:r>
      <w:r w:rsidRPr="00A81ED8">
        <w:rPr>
          <w:rFonts w:ascii="Verdana" w:hAnsi="Verdana"/>
          <w:sz w:val="16"/>
          <w:szCs w:val="16"/>
        </w:rPr>
        <w:t xml:space="preserve"> </w:t>
      </w:r>
      <w:r w:rsidRPr="00A81ED8">
        <w:rPr>
          <w:rFonts w:ascii="Verdana" w:eastAsia="Calibri" w:hAnsi="Verdana" w:cs="Arial"/>
          <w:sz w:val="16"/>
          <w:szCs w:val="16"/>
          <w:lang w:val="es-ES"/>
        </w:rPr>
        <w:t xml:space="preserve">Consejo de Estado, Sala de Consulta y Servicio Civil, Concepto de fecha 8 de mayo de 2018, No. </w:t>
      </w:r>
      <w:r w:rsidRPr="00A81ED8">
        <w:rPr>
          <w:rFonts w:ascii="Verdana" w:hAnsi="Verdana"/>
          <w:sz w:val="16"/>
          <w:szCs w:val="16"/>
          <w:lang w:val="es-CO"/>
        </w:rPr>
        <w:t>2382.</w:t>
      </w:r>
      <w:r w:rsidRPr="00A81ED8">
        <w:rPr>
          <w:rFonts w:ascii="Verdana" w:hAnsi="Verdana"/>
          <w:sz w:val="16"/>
          <w:szCs w:val="16"/>
        </w:rPr>
        <w:t xml:space="preserve"> </w:t>
      </w:r>
      <w:r w:rsidRPr="00A81ED8">
        <w:rPr>
          <w:rFonts w:ascii="Verdana" w:hAnsi="Verdana"/>
          <w:sz w:val="16"/>
          <w:szCs w:val="16"/>
          <w:lang w:val="es-CO"/>
        </w:rPr>
        <w:t>C. P. Álvaro Namén Vargas.</w:t>
      </w:r>
    </w:p>
  </w:footnote>
  <w:footnote w:id="19">
    <w:p w14:paraId="242CFDC1" w14:textId="77777777" w:rsidR="006D7914" w:rsidRPr="00A81ED8" w:rsidRDefault="006D7914" w:rsidP="006D7914">
      <w:pPr>
        <w:spacing w:after="0" w:line="240" w:lineRule="auto"/>
        <w:ind w:firstLine="709"/>
        <w:contextualSpacing/>
        <w:jc w:val="both"/>
        <w:rPr>
          <w:rFonts w:ascii="Verdana" w:hAnsi="Verdana" w:cs="Arial"/>
          <w:color w:val="000000" w:themeColor="text1"/>
          <w:sz w:val="16"/>
          <w:szCs w:val="16"/>
        </w:rPr>
      </w:pPr>
      <w:r w:rsidRPr="00A81ED8">
        <w:rPr>
          <w:rStyle w:val="Refdenotaalpie"/>
          <w:rFonts w:ascii="Verdana" w:hAnsi="Verdana" w:cs="Arial"/>
          <w:color w:val="000000" w:themeColor="text1"/>
          <w:sz w:val="16"/>
          <w:szCs w:val="16"/>
        </w:rPr>
        <w:footnoteRef/>
      </w:r>
      <w:r w:rsidRPr="00A81ED8">
        <w:rPr>
          <w:rFonts w:ascii="Verdana" w:hAnsi="Verdana" w:cs="Arial"/>
          <w:color w:val="000000" w:themeColor="text1"/>
          <w:sz w:val="16"/>
          <w:szCs w:val="16"/>
        </w:rPr>
        <w:t xml:space="preserve"> Consejo de Estado. Sala de Consulta y Servicio Civil. Concepto de 20 de febrero de 2006. Radicación Número: 11001-03-06-000-2006-00026-00(1727). Consejero Ponente: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footnote>
  <w:footnote w:id="20">
    <w:p w14:paraId="6D0F9BD8" w14:textId="77777777" w:rsidR="006D7914" w:rsidRPr="00A81ED8" w:rsidRDefault="006D7914" w:rsidP="006D7914">
      <w:pPr>
        <w:pStyle w:val="Textonotapie"/>
        <w:ind w:firstLine="708"/>
        <w:contextualSpacing/>
        <w:jc w:val="both"/>
        <w:rPr>
          <w:rFonts w:ascii="Verdana" w:hAnsi="Verdana" w:cs="Arial"/>
          <w:color w:val="000000" w:themeColor="text1"/>
          <w:sz w:val="16"/>
          <w:szCs w:val="16"/>
        </w:rPr>
      </w:pPr>
      <w:r w:rsidRPr="00A81ED8">
        <w:rPr>
          <w:rStyle w:val="Refdenotaalpie"/>
          <w:rFonts w:ascii="Verdana" w:hAnsi="Verdana" w:cs="Arial"/>
          <w:color w:val="000000" w:themeColor="text1"/>
          <w:sz w:val="16"/>
          <w:szCs w:val="16"/>
        </w:rPr>
        <w:footnoteRef/>
      </w:r>
      <w:r w:rsidRPr="00A81ED8">
        <w:rPr>
          <w:rFonts w:ascii="Verdana" w:hAnsi="Verdana" w:cs="Arial"/>
          <w:color w:val="000000" w:themeColor="text1"/>
          <w:sz w:val="16"/>
          <w:szCs w:val="16"/>
        </w:rPr>
        <w:t xml:space="preserve"> CORTE CONSTITUCIONAL. Sentencia C-1153 de 2005 M.P. Marco Gerardo Monroy Cabra. </w:t>
      </w:r>
    </w:p>
  </w:footnote>
  <w:footnote w:id="21">
    <w:p w14:paraId="0ADA994B" w14:textId="77777777" w:rsidR="006D7914" w:rsidRPr="00A81ED8" w:rsidRDefault="006D7914" w:rsidP="006D7914">
      <w:pPr>
        <w:pStyle w:val="Textonotapie"/>
        <w:ind w:firstLine="708"/>
        <w:contextualSpacing/>
        <w:jc w:val="both"/>
        <w:rPr>
          <w:rFonts w:ascii="Verdana" w:hAnsi="Verdana" w:cs="Arial"/>
          <w:color w:val="000000" w:themeColor="text1"/>
          <w:sz w:val="16"/>
          <w:szCs w:val="16"/>
        </w:rPr>
      </w:pPr>
      <w:r w:rsidRPr="00A81ED8">
        <w:rPr>
          <w:rStyle w:val="Refdenotaalpie"/>
          <w:rFonts w:ascii="Verdana" w:hAnsi="Verdana" w:cs="Arial"/>
          <w:color w:val="000000" w:themeColor="text1"/>
          <w:sz w:val="16"/>
          <w:szCs w:val="16"/>
        </w:rPr>
        <w:footnoteRef/>
      </w:r>
      <w:r w:rsidRPr="00A81ED8">
        <w:rPr>
          <w:rFonts w:ascii="Verdana" w:hAnsi="Verdana" w:cs="Arial"/>
          <w:color w:val="000000" w:themeColor="text1"/>
          <w:sz w:val="16"/>
          <w:szCs w:val="16"/>
        </w:rPr>
        <w:t xml:space="preserve"> CONSEJO DE ESTADO. Sala de Consulta y Servicio Civil. Concepto del 18 de febrero 2010. Rad. 11001-03-06-000-2010-00006-00 (1985). C.P. Enrique José Arboleda Perdomo.</w:t>
      </w:r>
    </w:p>
  </w:footnote>
  <w:footnote w:id="22">
    <w:p w14:paraId="7F379467" w14:textId="77777777" w:rsidR="006D7914" w:rsidRPr="00A81ED8" w:rsidRDefault="006D7914" w:rsidP="006D7914">
      <w:pPr>
        <w:pStyle w:val="Textonotapie"/>
        <w:ind w:firstLine="708"/>
        <w:contextualSpacing/>
        <w:jc w:val="both"/>
        <w:rPr>
          <w:rFonts w:ascii="Verdana" w:hAnsi="Verdana" w:cs="Arial"/>
          <w:color w:val="000000" w:themeColor="text1"/>
          <w:sz w:val="16"/>
          <w:szCs w:val="16"/>
        </w:rPr>
      </w:pPr>
      <w:r w:rsidRPr="00A81ED8">
        <w:rPr>
          <w:rStyle w:val="Refdenotaalpie"/>
          <w:rFonts w:ascii="Verdana" w:hAnsi="Verdana" w:cs="Arial"/>
          <w:color w:val="000000" w:themeColor="text1"/>
          <w:sz w:val="16"/>
          <w:szCs w:val="16"/>
        </w:rPr>
        <w:footnoteRef/>
      </w:r>
      <w:r w:rsidRPr="00A81ED8">
        <w:rPr>
          <w:rFonts w:ascii="Verdana" w:hAnsi="Verdana" w:cs="Arial"/>
          <w:color w:val="000000" w:themeColor="text1"/>
          <w:sz w:val="16"/>
          <w:szCs w:val="16"/>
        </w:rPr>
        <w:t xml:space="preserve"> Consejo de Estado. Sala de Consulta y Servicio Civil. Concepto del 02 de septiembre de 2013. Rad. 11001-03-06-000-2013-00412-00 (2168). C.P. Álvaro Namén Vargas.</w:t>
      </w:r>
    </w:p>
  </w:footnote>
  <w:footnote w:id="23">
    <w:p w14:paraId="12454289" w14:textId="77777777" w:rsidR="006D7914" w:rsidRPr="00A81ED8" w:rsidRDefault="006D7914" w:rsidP="006D7914">
      <w:pPr>
        <w:pStyle w:val="Textonotapie"/>
        <w:ind w:firstLine="709"/>
        <w:jc w:val="both"/>
        <w:rPr>
          <w:rFonts w:ascii="Verdana" w:hAnsi="Verdana" w:cs="Arial"/>
          <w:color w:val="000000" w:themeColor="text1"/>
          <w:sz w:val="16"/>
          <w:szCs w:val="16"/>
        </w:rPr>
      </w:pPr>
      <w:r w:rsidRPr="00A81ED8">
        <w:rPr>
          <w:rStyle w:val="Refdenotaalpie"/>
          <w:rFonts w:ascii="Verdana" w:hAnsi="Verdana" w:cs="Arial"/>
          <w:color w:val="000000" w:themeColor="text1"/>
          <w:sz w:val="16"/>
          <w:szCs w:val="16"/>
        </w:rPr>
        <w:footnoteRef/>
      </w:r>
      <w:r w:rsidRPr="00A81ED8">
        <w:rPr>
          <w:rFonts w:ascii="Verdana" w:hAnsi="Verdana" w:cs="Arial"/>
          <w:color w:val="000000" w:themeColor="text1"/>
          <w:sz w:val="16"/>
          <w:szCs w:val="16"/>
        </w:rPr>
        <w:t xml:space="preserve"> En los términos del artículo 665 del Código Civil: “Derecho real es el que tenemos sobre una cosa sin especto a determinada persona.</w:t>
      </w:r>
    </w:p>
    <w:p w14:paraId="061632DA" w14:textId="77777777" w:rsidR="006D7914" w:rsidRPr="00A81ED8" w:rsidRDefault="006D7914" w:rsidP="006D7914">
      <w:pPr>
        <w:pStyle w:val="Textonotapie"/>
        <w:ind w:firstLine="709"/>
        <w:jc w:val="both"/>
        <w:rPr>
          <w:rFonts w:ascii="Verdana" w:hAnsi="Verdana" w:cs="Arial"/>
          <w:color w:val="000000" w:themeColor="text1"/>
          <w:sz w:val="16"/>
          <w:szCs w:val="16"/>
        </w:rPr>
      </w:pPr>
      <w:r w:rsidRPr="00A81ED8">
        <w:rPr>
          <w:rFonts w:ascii="Verdana" w:hAnsi="Verdana" w:cs="Arial"/>
          <w:color w:val="000000" w:themeColor="text1"/>
          <w:sz w:val="16"/>
          <w:szCs w:val="16"/>
        </w:rPr>
        <w:t>Son derechos reales el de dominio, el de herencia, los de usufructo, uso o habitación, los de servidumbres activas, el de prenda y el de hipoteca. De estos derechos nacen las acciones reales”.</w:t>
      </w:r>
    </w:p>
  </w:footnote>
  <w:footnote w:id="24">
    <w:p w14:paraId="1CA987B3" w14:textId="77777777" w:rsidR="006D7914" w:rsidRPr="00A81ED8" w:rsidRDefault="006D7914" w:rsidP="006D7914">
      <w:pPr>
        <w:pStyle w:val="Textonotapie"/>
        <w:ind w:firstLine="709"/>
        <w:jc w:val="both"/>
        <w:rPr>
          <w:rFonts w:ascii="Verdana" w:hAnsi="Verdana" w:cs="Arial"/>
          <w:color w:val="000000" w:themeColor="text1"/>
          <w:sz w:val="16"/>
          <w:szCs w:val="16"/>
        </w:rPr>
      </w:pPr>
      <w:r w:rsidRPr="00A81ED8">
        <w:rPr>
          <w:rStyle w:val="Refdenotaalpie"/>
          <w:rFonts w:ascii="Verdana" w:hAnsi="Verdana" w:cs="Arial"/>
          <w:color w:val="000000" w:themeColor="text1"/>
          <w:sz w:val="16"/>
          <w:szCs w:val="16"/>
        </w:rPr>
        <w:footnoteRef/>
      </w:r>
      <w:r w:rsidRPr="00A81ED8">
        <w:rPr>
          <w:rFonts w:ascii="Verdana" w:hAnsi="Verdana" w:cs="Arial"/>
          <w:color w:val="000000" w:themeColor="text1"/>
          <w:sz w:val="16"/>
          <w:szCs w:val="16"/>
        </w:rPr>
        <w:t xml:space="preserve"> Según el Diccionario del español jurídico, enajenar es «Disponer de un bien o derecho transmitiendo su titularidad». En sitio web: https://dej.rae.es/lema/enajenar. Por su parte, la jurisprudencia ha definido la enajenación del siguiente modo: “En términos jurídicos ’enajenación’ significa ’La transmisión de la propiedad de una cosa, a cambio de otra (como en la compraventa y en la permuta) o gratuitamente (como en la donación y el préstamo sin interés).</w:t>
      </w:r>
    </w:p>
    <w:p w14:paraId="2EC7A1D7" w14:textId="77777777" w:rsidR="006D7914" w:rsidRPr="00A81ED8" w:rsidRDefault="006D7914" w:rsidP="006D7914">
      <w:pPr>
        <w:spacing w:after="0" w:line="240" w:lineRule="auto"/>
        <w:ind w:firstLine="709"/>
        <w:jc w:val="both"/>
        <w:rPr>
          <w:rFonts w:ascii="Verdana" w:hAnsi="Verdana" w:cs="Arial"/>
          <w:color w:val="000000" w:themeColor="text1"/>
          <w:sz w:val="16"/>
          <w:szCs w:val="16"/>
        </w:rPr>
      </w:pPr>
      <w:r w:rsidRPr="00A81ED8">
        <w:rPr>
          <w:rFonts w:ascii="Verdana" w:hAnsi="Verdana" w:cs="Arial"/>
          <w:color w:val="000000" w:themeColor="text1"/>
          <w:sz w:val="16"/>
          <w:szCs w:val="16"/>
        </w:rPr>
        <w:t xml:space="preserve">Igualmente, para la doctrina la palabra enajenación en su sentido natural indica la transmisión de cualquier derecho patrimonial de una cabeza a otra, por lo que constituye una adquisición derivada por acto entre vivos del contenido total o parcial de un derecho” (Consejo de Estado. Sección Cuarta. Sentencia del 6 de febrero de 2006. C.P. María Inés Ortiz Barbosa. </w:t>
      </w:r>
      <w:proofErr w:type="spellStart"/>
      <w:r w:rsidRPr="00A81ED8">
        <w:rPr>
          <w:rFonts w:ascii="Verdana" w:hAnsi="Verdana" w:cs="Arial"/>
          <w:color w:val="000000" w:themeColor="text1"/>
          <w:sz w:val="16"/>
          <w:szCs w:val="16"/>
        </w:rPr>
        <w:t>Exp</w:t>
      </w:r>
      <w:proofErr w:type="spellEnd"/>
      <w:r w:rsidRPr="00A81ED8">
        <w:rPr>
          <w:rFonts w:ascii="Verdana" w:hAnsi="Verdana" w:cs="Arial"/>
          <w:color w:val="000000" w:themeColor="text1"/>
          <w:sz w:val="16"/>
          <w:szCs w:val="16"/>
        </w:rPr>
        <w:t>. 14.123).</w:t>
      </w:r>
    </w:p>
  </w:footnote>
  <w:footnote w:id="25">
    <w:p w14:paraId="3B987758" w14:textId="77777777" w:rsidR="006D7914" w:rsidRPr="00A81ED8" w:rsidRDefault="006D7914" w:rsidP="006D7914">
      <w:pPr>
        <w:pStyle w:val="Textonotapie"/>
        <w:ind w:firstLine="709"/>
        <w:jc w:val="both"/>
        <w:rPr>
          <w:rFonts w:ascii="Verdana" w:hAnsi="Verdana" w:cs="Arial"/>
          <w:color w:val="000000" w:themeColor="text1"/>
          <w:sz w:val="16"/>
          <w:szCs w:val="16"/>
        </w:rPr>
      </w:pPr>
      <w:r w:rsidRPr="00A81ED8">
        <w:rPr>
          <w:rStyle w:val="Refdenotaalpie"/>
          <w:rFonts w:ascii="Verdana" w:hAnsi="Verdana" w:cs="Arial"/>
          <w:color w:val="000000" w:themeColor="text1"/>
          <w:sz w:val="16"/>
          <w:szCs w:val="16"/>
        </w:rPr>
        <w:footnoteRef/>
      </w:r>
      <w:r w:rsidRPr="00A81ED8">
        <w:rPr>
          <w:rFonts w:ascii="Verdana" w:hAnsi="Verdana" w:cs="Arial"/>
          <w:color w:val="000000" w:themeColor="text1"/>
          <w:sz w:val="16"/>
          <w:szCs w:val="16"/>
        </w:rPr>
        <w:t xml:space="preserve"> VELÁSQUEZ, Hernán Darío. Estudio sobre obligaciones. Bogotá: Temis, 2010. p. 10.</w:t>
      </w:r>
    </w:p>
  </w:footnote>
  <w:footnote w:id="26">
    <w:p w14:paraId="63273452" w14:textId="77777777" w:rsidR="006D7914" w:rsidRPr="00A81ED8" w:rsidRDefault="006D7914" w:rsidP="006D7914">
      <w:pPr>
        <w:pStyle w:val="Textonotapie"/>
        <w:ind w:firstLine="709"/>
        <w:jc w:val="both"/>
        <w:rPr>
          <w:rFonts w:ascii="Verdana" w:hAnsi="Verdana" w:cs="Arial"/>
          <w:color w:val="000000" w:themeColor="text1"/>
          <w:sz w:val="16"/>
          <w:szCs w:val="16"/>
        </w:rPr>
      </w:pPr>
      <w:r w:rsidRPr="00A81ED8">
        <w:rPr>
          <w:rStyle w:val="Refdenotaalpie"/>
          <w:rFonts w:ascii="Verdana" w:hAnsi="Verdana" w:cs="Arial"/>
          <w:color w:val="000000" w:themeColor="text1"/>
          <w:sz w:val="16"/>
          <w:szCs w:val="16"/>
        </w:rPr>
        <w:footnoteRef/>
      </w:r>
      <w:r w:rsidRPr="00A81ED8">
        <w:rPr>
          <w:rFonts w:ascii="Verdana" w:hAnsi="Verdana" w:cs="Arial"/>
          <w:color w:val="000000" w:themeColor="text1"/>
          <w:sz w:val="16"/>
          <w:szCs w:val="16"/>
        </w:rPr>
        <w:t xml:space="preserve"> “Los modos de adquirir el dominio son la ocupación, la accesión, la tradición, la sucesión por causa de muerte y la prescripción”.</w:t>
      </w:r>
    </w:p>
  </w:footnote>
  <w:footnote w:id="27">
    <w:p w14:paraId="720F2752" w14:textId="77777777" w:rsidR="006D7914" w:rsidRPr="00A81ED8" w:rsidRDefault="006D7914" w:rsidP="006D7914">
      <w:pPr>
        <w:spacing w:after="0" w:line="240" w:lineRule="auto"/>
        <w:ind w:firstLine="709"/>
        <w:jc w:val="both"/>
        <w:rPr>
          <w:rFonts w:ascii="Verdana" w:hAnsi="Verdana" w:cs="Arial"/>
          <w:color w:val="000000" w:themeColor="text1"/>
          <w:sz w:val="16"/>
          <w:szCs w:val="16"/>
          <w:lang w:val="es-ES"/>
        </w:rPr>
      </w:pPr>
      <w:r w:rsidRPr="00A81ED8">
        <w:rPr>
          <w:rStyle w:val="Refdenotaalpie"/>
          <w:rFonts w:ascii="Verdana" w:hAnsi="Verdana" w:cs="Arial"/>
          <w:color w:val="000000" w:themeColor="text1"/>
          <w:sz w:val="16"/>
          <w:szCs w:val="16"/>
        </w:rPr>
        <w:footnoteRef/>
      </w:r>
      <w:r w:rsidRPr="00A81ED8">
        <w:rPr>
          <w:rFonts w:ascii="Verdana" w:hAnsi="Verdana" w:cs="Arial"/>
          <w:color w:val="000000" w:themeColor="text1"/>
          <w:sz w:val="16"/>
          <w:szCs w:val="16"/>
        </w:rPr>
        <w:t xml:space="preserve"> </w:t>
      </w:r>
      <w:r w:rsidRPr="00A81ED8">
        <w:rPr>
          <w:rFonts w:ascii="Verdana" w:hAnsi="Verdana" w:cs="Arial"/>
          <w:color w:val="000000" w:themeColor="text1"/>
          <w:sz w:val="16"/>
          <w:szCs w:val="16"/>
          <w:lang w:val="es-ES"/>
        </w:rPr>
        <w:t>Según el artículo 749 del Código Civil “Si la ley exige solemnidades especiales para la enajenación, no se transfiere el dominio sin ellas”.</w:t>
      </w:r>
    </w:p>
  </w:footnote>
  <w:footnote w:id="28">
    <w:p w14:paraId="4A646674" w14:textId="77777777" w:rsidR="006D7914" w:rsidRPr="00A81ED8" w:rsidRDefault="006D7914" w:rsidP="006D7914">
      <w:pPr>
        <w:pStyle w:val="Textonotapie"/>
        <w:ind w:firstLine="708"/>
        <w:jc w:val="both"/>
        <w:rPr>
          <w:rFonts w:ascii="Verdana" w:hAnsi="Verdana" w:cs="Arial"/>
          <w:sz w:val="16"/>
          <w:szCs w:val="16"/>
          <w:lang w:val="es-ES"/>
        </w:rPr>
      </w:pPr>
      <w:r w:rsidRPr="00A81ED8">
        <w:rPr>
          <w:rStyle w:val="Refdenotaalpie"/>
          <w:rFonts w:ascii="Verdana" w:hAnsi="Verdana" w:cs="Arial"/>
          <w:sz w:val="16"/>
          <w:szCs w:val="16"/>
        </w:rPr>
        <w:footnoteRef/>
      </w:r>
      <w:r w:rsidRPr="00A81ED8">
        <w:rPr>
          <w:rFonts w:ascii="Verdana" w:hAnsi="Verdana" w:cs="Arial"/>
          <w:sz w:val="16"/>
          <w:szCs w:val="16"/>
        </w:rPr>
        <w:t xml:space="preserve"> Consejo de Estado, Sección Tercera, Subsección A. Sentencia del 25 de mayo de 2016. C.P. Hernán Andrade Rincón.</w:t>
      </w:r>
    </w:p>
  </w:footnote>
  <w:footnote w:id="29">
    <w:p w14:paraId="08BB5F1D" w14:textId="77777777" w:rsidR="006D7914" w:rsidRPr="00A81ED8" w:rsidRDefault="006D7914" w:rsidP="006D7914">
      <w:pPr>
        <w:spacing w:after="0" w:line="240" w:lineRule="auto"/>
        <w:ind w:firstLine="707"/>
        <w:jc w:val="both"/>
        <w:rPr>
          <w:rFonts w:ascii="Verdana" w:hAnsi="Verdana" w:cs="Arial"/>
          <w:sz w:val="16"/>
          <w:szCs w:val="16"/>
        </w:rPr>
      </w:pPr>
      <w:r w:rsidRPr="00A81ED8">
        <w:rPr>
          <w:rStyle w:val="Refdenotaalpie"/>
          <w:rFonts w:ascii="Verdana" w:hAnsi="Verdana" w:cs="Arial"/>
          <w:sz w:val="16"/>
          <w:szCs w:val="16"/>
        </w:rPr>
        <w:footnoteRef/>
      </w:r>
      <w:r w:rsidRPr="00A81ED8">
        <w:rPr>
          <w:rFonts w:ascii="Verdana" w:hAnsi="Verdana" w:cs="Arial"/>
          <w:sz w:val="16"/>
          <w:szCs w:val="16"/>
        </w:rPr>
        <w:t xml:space="preserve"> Decreto 1082 de 2015: </w:t>
      </w:r>
      <w:r>
        <w:rPr>
          <w:rFonts w:ascii="Verdana" w:hAnsi="Verdana" w:cs="Arial"/>
          <w:sz w:val="16"/>
          <w:szCs w:val="16"/>
        </w:rPr>
        <w:t>“</w:t>
      </w:r>
      <w:r w:rsidRPr="00A81ED8">
        <w:rPr>
          <w:rFonts w:ascii="Verdana" w:hAnsi="Verdana" w:cs="Arial"/>
          <w:sz w:val="16"/>
          <w:szCs w:val="16"/>
        </w:rPr>
        <w:t>Artículo 2.2.1.2.2.1.1. Aplicación. La selección abreviada es la modalidad para la enajenación de bienes del Estado, la cual se rige por las disposiciones contenidas en el presente capítulo, salvo por las normas aplicables a la enajenación de los bienes a cargo del Fondo para la Rehabilitación, Inversión Social y Lucha contra el Crimen Organizado y la enajenación de que tratan la Ley 226 de 1995, el Decreto-Ley 254 de 2000 y la Ley 1105 de 2006</w:t>
      </w:r>
      <w:r>
        <w:rPr>
          <w:rFonts w:ascii="Verdana" w:hAnsi="Verdana" w:cs="Arial"/>
          <w:sz w:val="16"/>
          <w:szCs w:val="16"/>
        </w:rPr>
        <w:t>”</w:t>
      </w:r>
      <w:r w:rsidRPr="00A81ED8">
        <w:rPr>
          <w:rFonts w:ascii="Verdana" w:hAnsi="Verdana" w:cs="Arial"/>
          <w:sz w:val="16"/>
          <w:szCs w:val="16"/>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1.2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18679D0"/>
    <w:multiLevelType w:val="hybridMultilevel"/>
    <w:tmpl w:val="0020073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497E2709"/>
    <w:multiLevelType w:val="hybridMultilevel"/>
    <w:tmpl w:val="527A8C58"/>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5"/>
  </w:num>
  <w:num w:numId="2" w16cid:durableId="19822139">
    <w:abstractNumId w:val="1"/>
  </w:num>
  <w:num w:numId="3" w16cid:durableId="876742304">
    <w:abstractNumId w:val="3"/>
  </w:num>
  <w:num w:numId="4" w16cid:durableId="24518640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3"/>
  </w:num>
  <w:num w:numId="7" w16cid:durableId="1946422806">
    <w:abstractNumId w:val="4"/>
  </w:num>
  <w:num w:numId="8" w16cid:durableId="152644682">
    <w:abstractNumId w:val="12"/>
  </w:num>
  <w:num w:numId="9" w16cid:durableId="1317221377">
    <w:abstractNumId w:val="6"/>
  </w:num>
  <w:num w:numId="10" w16cid:durableId="1471245386">
    <w:abstractNumId w:val="11"/>
  </w:num>
  <w:num w:numId="11" w16cid:durableId="289172385">
    <w:abstractNumId w:val="7"/>
  </w:num>
  <w:num w:numId="12" w16cid:durableId="1470781324">
    <w:abstractNumId w:val="0"/>
  </w:num>
  <w:num w:numId="13" w16cid:durableId="1512908409">
    <w:abstractNumId w:val="2"/>
  </w:num>
  <w:num w:numId="14" w16cid:durableId="895897244">
    <w:abstractNumId w:val="14"/>
  </w:num>
  <w:num w:numId="15" w16cid:durableId="390349800">
    <w:abstractNumId w:val="10"/>
  </w:num>
  <w:num w:numId="16" w16cid:durableId="153255849">
    <w:abstractNumId w:val="8"/>
  </w:num>
  <w:num w:numId="17" w16cid:durableId="133768369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F6486"/>
    <w:rsid w:val="00116940"/>
    <w:rsid w:val="00125105"/>
    <w:rsid w:val="00127233"/>
    <w:rsid w:val="00147B40"/>
    <w:rsid w:val="0015699B"/>
    <w:rsid w:val="00192B64"/>
    <w:rsid w:val="001A33BF"/>
    <w:rsid w:val="001D11F7"/>
    <w:rsid w:val="001E4177"/>
    <w:rsid w:val="001F0B24"/>
    <w:rsid w:val="001F7DC6"/>
    <w:rsid w:val="0022400B"/>
    <w:rsid w:val="002421BB"/>
    <w:rsid w:val="0025796E"/>
    <w:rsid w:val="002707A2"/>
    <w:rsid w:val="002951A0"/>
    <w:rsid w:val="002962BC"/>
    <w:rsid w:val="002A093D"/>
    <w:rsid w:val="002A0DD0"/>
    <w:rsid w:val="002A49AC"/>
    <w:rsid w:val="002A64FD"/>
    <w:rsid w:val="002C4BA1"/>
    <w:rsid w:val="002C7A84"/>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F21C4"/>
    <w:rsid w:val="004F685F"/>
    <w:rsid w:val="005566E8"/>
    <w:rsid w:val="00574867"/>
    <w:rsid w:val="00591460"/>
    <w:rsid w:val="005A65E0"/>
    <w:rsid w:val="005C3777"/>
    <w:rsid w:val="005C5CDC"/>
    <w:rsid w:val="005C5DC1"/>
    <w:rsid w:val="005D476C"/>
    <w:rsid w:val="005F22F2"/>
    <w:rsid w:val="006200BF"/>
    <w:rsid w:val="006219F8"/>
    <w:rsid w:val="006302F7"/>
    <w:rsid w:val="00646B9F"/>
    <w:rsid w:val="00665D70"/>
    <w:rsid w:val="006900D9"/>
    <w:rsid w:val="006D7914"/>
    <w:rsid w:val="00706C16"/>
    <w:rsid w:val="007340C3"/>
    <w:rsid w:val="007346F0"/>
    <w:rsid w:val="0075235A"/>
    <w:rsid w:val="00756841"/>
    <w:rsid w:val="007649AB"/>
    <w:rsid w:val="00771D0C"/>
    <w:rsid w:val="007833AC"/>
    <w:rsid w:val="007B268C"/>
    <w:rsid w:val="007B7171"/>
    <w:rsid w:val="007C0C0F"/>
    <w:rsid w:val="007C3DC2"/>
    <w:rsid w:val="007E5497"/>
    <w:rsid w:val="00806F5F"/>
    <w:rsid w:val="008136D1"/>
    <w:rsid w:val="00820278"/>
    <w:rsid w:val="008258C9"/>
    <w:rsid w:val="00844AE9"/>
    <w:rsid w:val="00867F95"/>
    <w:rsid w:val="008843B6"/>
    <w:rsid w:val="00891928"/>
    <w:rsid w:val="008A446D"/>
    <w:rsid w:val="008B25F1"/>
    <w:rsid w:val="008D180B"/>
    <w:rsid w:val="008F0EA7"/>
    <w:rsid w:val="00923EEF"/>
    <w:rsid w:val="009419F9"/>
    <w:rsid w:val="009538CE"/>
    <w:rsid w:val="0095685E"/>
    <w:rsid w:val="00961B09"/>
    <w:rsid w:val="00965334"/>
    <w:rsid w:val="0097093E"/>
    <w:rsid w:val="009A0DFA"/>
    <w:rsid w:val="009A1C6F"/>
    <w:rsid w:val="009B2D26"/>
    <w:rsid w:val="009C71FA"/>
    <w:rsid w:val="009C72E7"/>
    <w:rsid w:val="009C7F7E"/>
    <w:rsid w:val="009D3058"/>
    <w:rsid w:val="009F3A13"/>
    <w:rsid w:val="00A04EDE"/>
    <w:rsid w:val="00A122D3"/>
    <w:rsid w:val="00A14468"/>
    <w:rsid w:val="00A17F13"/>
    <w:rsid w:val="00A20739"/>
    <w:rsid w:val="00A23AF9"/>
    <w:rsid w:val="00A33C78"/>
    <w:rsid w:val="00A4452B"/>
    <w:rsid w:val="00AB0ADB"/>
    <w:rsid w:val="00AD20DB"/>
    <w:rsid w:val="00B00C0E"/>
    <w:rsid w:val="00B01B1A"/>
    <w:rsid w:val="00B0381D"/>
    <w:rsid w:val="00B27D96"/>
    <w:rsid w:val="00B44A47"/>
    <w:rsid w:val="00B72CD3"/>
    <w:rsid w:val="00B72FFF"/>
    <w:rsid w:val="00B95C5A"/>
    <w:rsid w:val="00BC3D36"/>
    <w:rsid w:val="00BD54A6"/>
    <w:rsid w:val="00BD7F72"/>
    <w:rsid w:val="00BF61BE"/>
    <w:rsid w:val="00BF7425"/>
    <w:rsid w:val="00C04FB3"/>
    <w:rsid w:val="00C11D8B"/>
    <w:rsid w:val="00C15139"/>
    <w:rsid w:val="00C1569A"/>
    <w:rsid w:val="00C330EB"/>
    <w:rsid w:val="00C353ED"/>
    <w:rsid w:val="00C50D69"/>
    <w:rsid w:val="00C5365C"/>
    <w:rsid w:val="00C56BE3"/>
    <w:rsid w:val="00C754BE"/>
    <w:rsid w:val="00C76B1C"/>
    <w:rsid w:val="00C925AC"/>
    <w:rsid w:val="00CB6357"/>
    <w:rsid w:val="00CC1B26"/>
    <w:rsid w:val="00CD7EEF"/>
    <w:rsid w:val="00D23FB7"/>
    <w:rsid w:val="00D361FD"/>
    <w:rsid w:val="00D423A2"/>
    <w:rsid w:val="00D44E26"/>
    <w:rsid w:val="00D520D8"/>
    <w:rsid w:val="00D63AC2"/>
    <w:rsid w:val="00D7383B"/>
    <w:rsid w:val="00D7788A"/>
    <w:rsid w:val="00DA231B"/>
    <w:rsid w:val="00DC39FC"/>
    <w:rsid w:val="00DD4BEA"/>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07540"/>
    <w:rsid w:val="00F23D42"/>
    <w:rsid w:val="00F23FEA"/>
    <w:rsid w:val="00F31EDC"/>
    <w:rsid w:val="00F462B3"/>
    <w:rsid w:val="00F5664F"/>
    <w:rsid w:val="00F666C4"/>
    <w:rsid w:val="00F76AFC"/>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36F1A5DD-3E9F-BA43-A65C-7EF4674E62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6D7914"/>
    <w:pPr>
      <w:spacing w:line="240" w:lineRule="exact"/>
    </w:pPr>
    <w:rPr>
      <w:vertAlign w:val="superscript"/>
    </w:rPr>
  </w:style>
  <w:style w:type="character" w:customStyle="1" w:styleId="baj">
    <w:name w:val="b_aj"/>
    <w:basedOn w:val="Fuentedeprrafopredeter"/>
    <w:rsid w:val="006D7914"/>
  </w:style>
  <w:style w:type="character" w:customStyle="1" w:styleId="NormalWebCar">
    <w:name w:val="Normal (Web) Car"/>
    <w:link w:val="NormalWeb"/>
    <w:uiPriority w:val="99"/>
    <w:locked/>
    <w:rsid w:val="006D7914"/>
    <w:rPr>
      <w:rFonts w:ascii="Times New Roman" w:eastAsia="Times New Roman" w:hAnsi="Times New Roman" w:cs="Times New Roman"/>
      <w:sz w:val="24"/>
      <w:szCs w:val="24"/>
      <w:lang w:eastAsia="es-CO"/>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6D7914"/>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relatoria.colombiacompra.gov.co/busqueda/concept%20os"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F2E0F32964D9B84EA054B84E5D4157A0" ma:contentTypeVersion="20" ma:contentTypeDescription="Create a new document." ma:contentTypeScope="" ma:versionID="2d11913c19decc3d479cc6872ae6112c">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e2487d1a4901a13ef6d3082403ba44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9F672D36-A6C1-4973-A6C6-04D3E3E1CFA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13</TotalTime>
  <Pages>22</Pages>
  <Words>7546</Words>
  <Characters>40524</Characters>
  <Application>Microsoft Office Word</Application>
  <DocSecurity>0</DocSecurity>
  <Lines>750</Lines>
  <Paragraphs>145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47925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8</cp:revision>
  <cp:lastPrinted>2023-01-10T18:18:00Z</cp:lastPrinted>
  <dcterms:created xsi:type="dcterms:W3CDTF">2026-04-01T21:12:00Z</dcterms:created>
  <dcterms:modified xsi:type="dcterms:W3CDTF">2026-04-06T21:24:00Z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