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C2A02" w14:textId="77777777" w:rsidR="003C1913" w:rsidRPr="002E76E6" w:rsidRDefault="003C1913" w:rsidP="003C1913">
      <w:pPr>
        <w:spacing w:after="0" w:line="240" w:lineRule="auto"/>
        <w:jc w:val="both"/>
        <w:rPr>
          <w:rFonts w:ascii="Verdana" w:hAnsi="Verdana" w:cs="Arial"/>
          <w:b/>
          <w:lang w:val="es-MX" w:eastAsia="es-ES_tradnl"/>
        </w:rPr>
      </w:pPr>
      <w:bookmarkStart w:id="0" w:name="_Hlk143780582"/>
      <w:r w:rsidRPr="002E76E6">
        <w:rPr>
          <w:rFonts w:ascii="Verdana" w:hAnsi="Verdana" w:cs="Arial"/>
          <w:b/>
          <w:lang w:val="es-MX" w:eastAsia="es-ES_tradnl"/>
        </w:rPr>
        <w:t xml:space="preserve">LEY DE GARANTÍAS ELECTORALES </w:t>
      </w:r>
      <w:r w:rsidRPr="002E76E6">
        <w:rPr>
          <w:rFonts w:ascii="Verdana" w:hAnsi="Verdana" w:cs="Arial"/>
          <w:b/>
          <w:bCs/>
          <w:lang w:val="es-MX" w:eastAsia="es-ES_tradnl"/>
        </w:rPr>
        <w:t>‒</w:t>
      </w:r>
      <w:r w:rsidRPr="002E76E6">
        <w:rPr>
          <w:rFonts w:ascii="Verdana" w:hAnsi="Verdana" w:cs="Arial"/>
          <w:b/>
          <w:lang w:val="es-MX" w:eastAsia="es-ES_tradnl"/>
        </w:rPr>
        <w:t xml:space="preserve"> Finalidad </w:t>
      </w:r>
    </w:p>
    <w:p w14:paraId="0EA455FD" w14:textId="77777777" w:rsidR="003C1913" w:rsidRPr="002E76E6" w:rsidRDefault="003C1913" w:rsidP="003C1913">
      <w:pPr>
        <w:spacing w:after="0" w:line="240" w:lineRule="auto"/>
        <w:jc w:val="both"/>
        <w:rPr>
          <w:rFonts w:ascii="Verdana" w:hAnsi="Verdana" w:cs="Arial"/>
          <w:b/>
          <w:lang w:val="es-MX" w:eastAsia="es-ES_tradnl"/>
        </w:rPr>
      </w:pPr>
    </w:p>
    <w:p w14:paraId="5183746B" w14:textId="77777777" w:rsidR="003C1913" w:rsidRPr="002E76E6" w:rsidRDefault="003C1913" w:rsidP="003C1913">
      <w:pPr>
        <w:spacing w:after="0" w:line="240" w:lineRule="auto"/>
        <w:jc w:val="both"/>
        <w:rPr>
          <w:rFonts w:ascii="Verdana" w:eastAsia="Times New Roman" w:hAnsi="Verdana" w:cs="Arial"/>
          <w:sz w:val="20"/>
          <w:lang w:val="es-MX" w:eastAsia="es-CO"/>
        </w:rPr>
      </w:pPr>
      <w:r w:rsidRPr="002E76E6">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3B161ED6" w14:textId="77777777" w:rsidR="003C1913" w:rsidRPr="002E76E6" w:rsidRDefault="003C1913" w:rsidP="003C1913">
      <w:pPr>
        <w:spacing w:after="0" w:line="240" w:lineRule="auto"/>
        <w:jc w:val="both"/>
        <w:rPr>
          <w:rFonts w:ascii="Verdana" w:hAnsi="Verdana" w:cs="Arial"/>
          <w:b/>
          <w:sz w:val="20"/>
          <w:lang w:val="es-MX" w:eastAsia="es-ES_tradnl"/>
        </w:rPr>
      </w:pPr>
    </w:p>
    <w:p w14:paraId="5AA9DC25" w14:textId="77777777" w:rsidR="003C1913" w:rsidRPr="002E76E6" w:rsidRDefault="003C1913" w:rsidP="003C1913">
      <w:pPr>
        <w:spacing w:after="0" w:line="240" w:lineRule="auto"/>
        <w:jc w:val="both"/>
        <w:rPr>
          <w:rFonts w:ascii="Verdana" w:hAnsi="Verdana" w:cs="Arial"/>
          <w:b/>
          <w:lang w:val="es-MX" w:eastAsia="es-ES_tradnl"/>
        </w:rPr>
      </w:pPr>
      <w:r w:rsidRPr="002E76E6">
        <w:rPr>
          <w:rFonts w:ascii="Verdana" w:hAnsi="Verdana" w:cs="Arial"/>
          <w:b/>
          <w:lang w:val="es-MX" w:eastAsia="es-ES_tradnl"/>
        </w:rPr>
        <w:t xml:space="preserve">LEY DE GARANTÍAS ELECTORALES </w:t>
      </w:r>
      <w:r w:rsidRPr="002E76E6">
        <w:rPr>
          <w:rFonts w:ascii="Verdana" w:hAnsi="Verdana" w:cs="Arial"/>
          <w:b/>
          <w:bCs/>
          <w:lang w:val="es-MX" w:eastAsia="es-ES_tradnl"/>
        </w:rPr>
        <w:t>‒</w:t>
      </w:r>
      <w:r w:rsidRPr="002E76E6">
        <w:rPr>
          <w:rFonts w:ascii="Verdana" w:hAnsi="Verdana" w:cs="Arial"/>
          <w:b/>
          <w:lang w:val="es-MX" w:eastAsia="es-ES_tradnl"/>
        </w:rPr>
        <w:t xml:space="preserve"> Tipos de restricciones </w:t>
      </w:r>
      <w:r w:rsidRPr="002E76E6">
        <w:rPr>
          <w:rFonts w:ascii="Verdana" w:hAnsi="Verdana" w:cs="Arial"/>
          <w:b/>
          <w:bCs/>
          <w:lang w:val="es-MX" w:eastAsia="es-ES_tradnl"/>
        </w:rPr>
        <w:t>‒</w:t>
      </w:r>
      <w:r w:rsidRPr="002E76E6">
        <w:rPr>
          <w:rFonts w:ascii="Verdana" w:hAnsi="Verdana" w:cs="Arial"/>
          <w:b/>
          <w:lang w:val="es-MX" w:eastAsia="es-ES_tradnl"/>
        </w:rPr>
        <w:t xml:space="preserve"> Ámbito temporal – celebración- límite</w:t>
      </w:r>
    </w:p>
    <w:p w14:paraId="416F6091" w14:textId="77777777" w:rsidR="003C1913" w:rsidRPr="002E76E6" w:rsidRDefault="003C1913" w:rsidP="003C1913">
      <w:pPr>
        <w:spacing w:after="0" w:line="240" w:lineRule="auto"/>
        <w:jc w:val="both"/>
        <w:rPr>
          <w:rFonts w:ascii="Verdana" w:hAnsi="Verdana" w:cs="Arial"/>
          <w:b/>
          <w:lang w:val="es-MX" w:eastAsia="es-ES_tradnl"/>
        </w:rPr>
      </w:pPr>
    </w:p>
    <w:p w14:paraId="68D86E72" w14:textId="77777777" w:rsidR="003C1913" w:rsidRPr="002E76E6" w:rsidRDefault="003C1913" w:rsidP="003C1913">
      <w:pPr>
        <w:spacing w:after="0" w:line="240" w:lineRule="auto"/>
        <w:jc w:val="both"/>
        <w:rPr>
          <w:rFonts w:ascii="Verdana" w:eastAsia="Calibri" w:hAnsi="Verdana" w:cs="Arial"/>
          <w:sz w:val="20"/>
        </w:rPr>
      </w:pPr>
      <w:r w:rsidRPr="002E76E6">
        <w:rPr>
          <w:rFonts w:ascii="Verdana" w:eastAsia="Calibri" w:hAnsi="Verdana" w:cs="Arial"/>
          <w:sz w:val="20"/>
        </w:rPr>
        <w:t xml:space="preserve">Por un lado, el </w:t>
      </w:r>
      <w:r w:rsidRPr="002E76E6">
        <w:rPr>
          <w:rFonts w:ascii="Verdana" w:eastAsia="Calibri" w:hAnsi="Verdana" w:cs="Arial"/>
          <w:i/>
          <w:iCs/>
          <w:sz w:val="20"/>
        </w:rPr>
        <w:t>artículo 33 de la Ley 996 de 2005</w:t>
      </w:r>
      <w:r w:rsidRPr="002E76E6">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211E819" w14:textId="77777777" w:rsidR="003C1913" w:rsidRPr="002E76E6" w:rsidRDefault="003C1913" w:rsidP="003C1913">
      <w:pPr>
        <w:spacing w:after="0" w:line="240" w:lineRule="auto"/>
        <w:jc w:val="both"/>
        <w:rPr>
          <w:rFonts w:ascii="Verdana" w:eastAsia="Calibri" w:hAnsi="Verdana" w:cs="Arial"/>
          <w:sz w:val="20"/>
        </w:rPr>
      </w:pPr>
    </w:p>
    <w:p w14:paraId="1401FB60" w14:textId="77777777" w:rsidR="003C1913" w:rsidRPr="002E76E6" w:rsidRDefault="003C1913" w:rsidP="003C1913">
      <w:pPr>
        <w:widowControl w:val="0"/>
        <w:autoSpaceDE w:val="0"/>
        <w:autoSpaceDN w:val="0"/>
        <w:spacing w:after="0" w:line="240" w:lineRule="auto"/>
        <w:ind w:right="113"/>
        <w:jc w:val="both"/>
        <w:rPr>
          <w:rFonts w:ascii="Verdana" w:eastAsia="Arial" w:hAnsi="Verdana" w:cs="Arial"/>
          <w:sz w:val="20"/>
          <w:lang w:val="es-ES" w:eastAsia="es-ES" w:bidi="es-ES"/>
        </w:rPr>
      </w:pPr>
      <w:r w:rsidRPr="002E76E6">
        <w:rPr>
          <w:rFonts w:ascii="Verdana" w:eastAsia="Calibri" w:hAnsi="Verdana" w:cs="Arial"/>
          <w:sz w:val="20"/>
        </w:rPr>
        <w:t xml:space="preserve">Por otro lado, </w:t>
      </w:r>
      <w:r w:rsidRPr="002E76E6">
        <w:rPr>
          <w:rFonts w:ascii="Verdana" w:eastAsia="Calibri" w:hAnsi="Verdana" w:cs="Arial"/>
          <w:i/>
          <w:iCs/>
          <w:sz w:val="20"/>
        </w:rPr>
        <w:t>el parágrafo del artículo 38 de la Ley 996 de 2005</w:t>
      </w:r>
      <w:r w:rsidRPr="002E76E6">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2E76E6">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E76E6">
        <w:rPr>
          <w:rFonts w:ascii="Verdana" w:eastAsia="Calibri" w:hAnsi="Verdana" w:cs="Arial"/>
          <w:sz w:val="20"/>
        </w:rPr>
        <w:t>”</w:t>
      </w:r>
      <w:r w:rsidRPr="002E76E6">
        <w:rPr>
          <w:rFonts w:ascii="Verdana" w:eastAsia="Calibri" w:hAnsi="Verdana" w:cs="Arial"/>
          <w:sz w:val="20"/>
          <w:lang w:val="es-MX"/>
        </w:rPr>
        <w:t>.</w:t>
      </w:r>
      <w:r w:rsidRPr="002E76E6">
        <w:rPr>
          <w:rFonts w:ascii="Verdana" w:eastAsia="Arial" w:hAnsi="Verdana" w:cs="Arial"/>
          <w:sz w:val="20"/>
          <w:lang w:val="es-ES" w:eastAsia="es-ES" w:bidi="es-ES"/>
        </w:rPr>
        <w:t xml:space="preserve"> </w:t>
      </w:r>
    </w:p>
    <w:p w14:paraId="2B1541C1" w14:textId="77777777" w:rsidR="003C1913" w:rsidRPr="002E76E6" w:rsidRDefault="003C1913" w:rsidP="003C1913">
      <w:pPr>
        <w:widowControl w:val="0"/>
        <w:autoSpaceDE w:val="0"/>
        <w:autoSpaceDN w:val="0"/>
        <w:spacing w:after="0" w:line="240" w:lineRule="auto"/>
        <w:ind w:right="113"/>
        <w:jc w:val="both"/>
        <w:rPr>
          <w:rFonts w:ascii="Verdana" w:eastAsia="Arial" w:hAnsi="Verdana" w:cs="Arial"/>
          <w:sz w:val="20"/>
          <w:lang w:val="es-ES" w:eastAsia="es-ES" w:bidi="es-ES"/>
        </w:rPr>
      </w:pPr>
    </w:p>
    <w:p w14:paraId="69886593" w14:textId="77777777" w:rsidR="003C1913" w:rsidRPr="002E76E6" w:rsidRDefault="003C1913" w:rsidP="003C1913">
      <w:pPr>
        <w:spacing w:after="0" w:line="240" w:lineRule="auto"/>
        <w:jc w:val="both"/>
        <w:rPr>
          <w:rFonts w:ascii="Verdana" w:eastAsia="Times New Roman" w:hAnsi="Verdana" w:cs="Arial"/>
          <w:bCs/>
          <w:sz w:val="20"/>
          <w:lang w:val="es-ES" w:eastAsia="es-CO"/>
        </w:rPr>
      </w:pPr>
      <w:r w:rsidRPr="002E76E6">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2E76E6">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2E76E6">
        <w:rPr>
          <w:rFonts w:ascii="Verdana" w:eastAsia="Times New Roman" w:hAnsi="Verdana" w:cs="Arial"/>
          <w:bCs/>
          <w:i/>
          <w:sz w:val="20"/>
          <w:lang w:val="es-ES" w:eastAsia="es-CO"/>
        </w:rPr>
        <w:t>ibídem</w:t>
      </w:r>
      <w:r w:rsidRPr="002E76E6">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0AD97CA" w14:textId="77777777" w:rsidR="003C1913" w:rsidRPr="002E76E6" w:rsidRDefault="003C1913" w:rsidP="003C1913">
      <w:pPr>
        <w:spacing w:after="0" w:line="240" w:lineRule="auto"/>
        <w:jc w:val="both"/>
        <w:rPr>
          <w:rFonts w:ascii="Verdana" w:hAnsi="Verdana" w:cs="Arial"/>
          <w:b/>
          <w:lang w:val="es-ES" w:eastAsia="es-ES_tradnl"/>
        </w:rPr>
      </w:pPr>
    </w:p>
    <w:p w14:paraId="0EA4DCA1" w14:textId="77777777" w:rsidR="003C1913" w:rsidRPr="002E76E6" w:rsidRDefault="003C1913" w:rsidP="003C1913">
      <w:pPr>
        <w:spacing w:after="0" w:line="240" w:lineRule="auto"/>
        <w:jc w:val="both"/>
        <w:rPr>
          <w:rFonts w:ascii="Verdana" w:hAnsi="Verdana" w:cs="Arial"/>
          <w:b/>
          <w:lang w:val="es-MX" w:eastAsia="es-ES_tradnl"/>
        </w:rPr>
      </w:pPr>
      <w:r w:rsidRPr="002E76E6">
        <w:rPr>
          <w:rFonts w:ascii="Verdana" w:hAnsi="Verdana" w:cs="Arial"/>
          <w:b/>
          <w:lang w:val="es-MX" w:eastAsia="es-ES_tradnl"/>
        </w:rPr>
        <w:lastRenderedPageBreak/>
        <w:t xml:space="preserve">LEY DE GARANTÍAS ELECTORALES – Contratos y convenios interadministrativos – Criterio orgánico </w:t>
      </w:r>
    </w:p>
    <w:p w14:paraId="65B0C176" w14:textId="77777777" w:rsidR="003C1913" w:rsidRPr="002E76E6" w:rsidRDefault="003C1913" w:rsidP="003C1913">
      <w:pPr>
        <w:spacing w:after="0" w:line="240" w:lineRule="auto"/>
        <w:jc w:val="both"/>
        <w:rPr>
          <w:rFonts w:ascii="Verdana" w:hAnsi="Verdana" w:cs="Arial"/>
          <w:b/>
          <w:lang w:val="es-MX" w:eastAsia="es-ES_tradnl"/>
        </w:rPr>
      </w:pPr>
    </w:p>
    <w:p w14:paraId="48FAB5D1" w14:textId="77777777" w:rsidR="003C1913" w:rsidRPr="002E76E6" w:rsidRDefault="003C1913" w:rsidP="003C1913">
      <w:pPr>
        <w:spacing w:after="0" w:line="240" w:lineRule="auto"/>
        <w:jc w:val="both"/>
        <w:rPr>
          <w:rFonts w:ascii="Verdana" w:eastAsia="Calibri" w:hAnsi="Verdana" w:cs="Arial"/>
          <w:sz w:val="20"/>
          <w:lang w:bidi="es-ES"/>
        </w:rPr>
      </w:pPr>
      <w:r w:rsidRPr="002E76E6">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2E76E6">
        <w:rPr>
          <w:rFonts w:ascii="Verdana" w:eastAsia="Arial" w:hAnsi="Verdana" w:cs="Arial"/>
          <w:sz w:val="20"/>
          <w:lang w:val="es-ES" w:eastAsia="es-ES" w:bidi="es-ES"/>
        </w:rPr>
        <w:t>e</w:t>
      </w:r>
      <w:r w:rsidRPr="002E76E6">
        <w:rPr>
          <w:rFonts w:ascii="Verdana" w:eastAsia="Calibri" w:hAnsi="Verdana" w:cs="Arial"/>
          <w:sz w:val="20"/>
        </w:rPr>
        <w:t xml:space="preserve">l parágrafo del artículo 38 cobija tanto a los convenios como a los contratos interadministrativos. Esta tesis se fundamenta en que </w:t>
      </w:r>
      <w:r w:rsidRPr="002E76E6">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51DE69F" w14:textId="77777777" w:rsidR="003C1913" w:rsidRPr="002E76E6" w:rsidRDefault="003C1913" w:rsidP="003C1913">
      <w:pPr>
        <w:spacing w:after="0" w:line="240" w:lineRule="auto"/>
        <w:jc w:val="both"/>
        <w:rPr>
          <w:rFonts w:ascii="Verdana" w:hAnsi="Verdana" w:cs="Arial"/>
          <w:b/>
          <w:lang w:val="es-MX" w:eastAsia="es-ES_tradnl"/>
        </w:rPr>
      </w:pPr>
    </w:p>
    <w:p w14:paraId="7725377A" w14:textId="77777777" w:rsidR="003C1913" w:rsidRPr="002E76E6" w:rsidRDefault="003C1913" w:rsidP="003C1913">
      <w:pPr>
        <w:spacing w:after="0" w:line="240" w:lineRule="auto"/>
        <w:jc w:val="both"/>
        <w:rPr>
          <w:rFonts w:ascii="Verdana" w:hAnsi="Verdana" w:cs="Arial"/>
          <w:b/>
          <w:lang w:val="es-MX" w:eastAsia="es-ES_tradnl"/>
        </w:rPr>
      </w:pPr>
      <w:r w:rsidRPr="002E76E6">
        <w:rPr>
          <w:rFonts w:ascii="Verdana" w:hAnsi="Verdana" w:cs="Arial"/>
          <w:b/>
          <w:lang w:val="es-MX" w:eastAsia="es-ES_tradnl"/>
        </w:rPr>
        <w:t>CONTRATOS Y CONVENIOS INTERADMINISTRATIVOS – Definición – Criterio orgánico</w:t>
      </w:r>
    </w:p>
    <w:p w14:paraId="69CE3BBA" w14:textId="77777777" w:rsidR="003C1913" w:rsidRPr="002E76E6" w:rsidRDefault="003C1913" w:rsidP="003C1913">
      <w:pPr>
        <w:spacing w:after="0" w:line="240" w:lineRule="auto"/>
        <w:jc w:val="both"/>
        <w:rPr>
          <w:rFonts w:ascii="Verdana" w:hAnsi="Verdana" w:cs="Arial"/>
          <w:b/>
          <w:lang w:val="es-MX" w:eastAsia="es-ES_tradnl"/>
        </w:rPr>
      </w:pPr>
    </w:p>
    <w:p w14:paraId="27D64AE1" w14:textId="77777777" w:rsidR="003C1913" w:rsidRPr="002E76E6" w:rsidRDefault="003C1913" w:rsidP="003C1913">
      <w:pPr>
        <w:spacing w:after="0" w:line="240" w:lineRule="auto"/>
        <w:jc w:val="both"/>
        <w:rPr>
          <w:rFonts w:ascii="Verdana" w:hAnsi="Verdana" w:cs="Arial"/>
          <w:b/>
          <w:lang w:val="es-MX" w:eastAsia="es-ES_tradnl"/>
        </w:rPr>
      </w:pPr>
      <w:r w:rsidRPr="002E76E6">
        <w:rPr>
          <w:rFonts w:ascii="Verdana" w:eastAsia="Calibri" w:hAnsi="Verdana" w:cs="Arial"/>
          <w:sz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2E76E6">
        <w:rPr>
          <w:rFonts w:ascii="Verdana" w:eastAsia="Arial" w:hAnsi="Verdana" w:cs="Arial"/>
          <w:sz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63035A53" w14:textId="77777777" w:rsidR="003C1913" w:rsidRPr="002E76E6" w:rsidRDefault="003C1913" w:rsidP="003C1913">
      <w:pPr>
        <w:spacing w:after="0" w:line="240" w:lineRule="auto"/>
        <w:jc w:val="both"/>
        <w:rPr>
          <w:rFonts w:ascii="Verdana" w:eastAsia="Calibri" w:hAnsi="Verdana" w:cs="Arial"/>
          <w:sz w:val="20"/>
          <w:lang w:bidi="es-ES"/>
        </w:rPr>
      </w:pPr>
    </w:p>
    <w:p w14:paraId="12AD1206" w14:textId="77777777" w:rsidR="003C1913" w:rsidRPr="002E76E6" w:rsidRDefault="003C1913" w:rsidP="003C1913">
      <w:pPr>
        <w:spacing w:after="0" w:line="240" w:lineRule="auto"/>
        <w:jc w:val="both"/>
        <w:rPr>
          <w:rFonts w:ascii="Verdana" w:eastAsia="Arial" w:hAnsi="Verdana" w:cs="Arial"/>
          <w:sz w:val="20"/>
          <w:lang w:val="es-ES" w:eastAsia="es-ES" w:bidi="es-ES"/>
        </w:rPr>
      </w:pPr>
      <w:r w:rsidRPr="002E76E6">
        <w:rPr>
          <w:rFonts w:ascii="Verdana" w:eastAsia="Calibri" w:hAnsi="Verdana" w:cs="Arial"/>
          <w:sz w:val="20"/>
          <w:lang w:val="es-ES" w:bidi="es-ES"/>
        </w:rPr>
        <w:t>De este modo, en la Circular Externa</w:t>
      </w:r>
      <w:r w:rsidRPr="002E76E6">
        <w:rPr>
          <w:rFonts w:ascii="Verdana" w:eastAsia="Arial" w:hAnsi="Verdana" w:cs="Arial"/>
          <w:sz w:val="20"/>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w:t>
      </w:r>
    </w:p>
    <w:p w14:paraId="14992AED" w14:textId="77777777" w:rsidR="003C1913" w:rsidRPr="002E76E6" w:rsidRDefault="003C1913" w:rsidP="003C1913">
      <w:pPr>
        <w:spacing w:after="0"/>
        <w:rPr>
          <w:rFonts w:ascii="Verdana" w:hAnsi="Verdana"/>
          <w:lang w:val="es-ES"/>
        </w:rPr>
      </w:pPr>
    </w:p>
    <w:p w14:paraId="5894D437" w14:textId="77777777" w:rsidR="003C1913" w:rsidRPr="002E76E6" w:rsidRDefault="003C1913" w:rsidP="30821638">
      <w:pPr>
        <w:spacing w:after="0"/>
        <w:rPr>
          <w:rFonts w:ascii="Verdana" w:eastAsia="Verdana" w:hAnsi="Verdana" w:cs="Verdana"/>
          <w:lang w:val="es-ES"/>
        </w:rPr>
      </w:pPr>
    </w:p>
    <w:p w14:paraId="31020665" w14:textId="77777777" w:rsidR="003C1913" w:rsidRPr="002E76E6" w:rsidRDefault="003C1913" w:rsidP="30821638">
      <w:pPr>
        <w:spacing w:after="0"/>
        <w:rPr>
          <w:rFonts w:ascii="Verdana" w:eastAsia="Verdana" w:hAnsi="Verdana" w:cs="Verdana"/>
        </w:rPr>
      </w:pPr>
    </w:p>
    <w:p w14:paraId="25DF1906" w14:textId="77777777" w:rsidR="003C1913" w:rsidRPr="002E76E6" w:rsidRDefault="003C1913" w:rsidP="30821638">
      <w:pPr>
        <w:spacing w:after="0"/>
        <w:rPr>
          <w:rFonts w:ascii="Verdana" w:eastAsia="Verdana" w:hAnsi="Verdana" w:cs="Verdana"/>
        </w:rPr>
      </w:pPr>
    </w:p>
    <w:p w14:paraId="11E135DB" w14:textId="77777777" w:rsidR="003C1913" w:rsidRPr="002E76E6" w:rsidRDefault="003C1913" w:rsidP="30821638">
      <w:pPr>
        <w:spacing w:after="0"/>
        <w:rPr>
          <w:rFonts w:ascii="Verdana" w:eastAsia="Verdana" w:hAnsi="Verdana" w:cs="Verdana"/>
        </w:rPr>
      </w:pPr>
    </w:p>
    <w:p w14:paraId="1407276E" w14:textId="77777777" w:rsidR="003C1913" w:rsidRPr="002E76E6" w:rsidRDefault="003C1913" w:rsidP="30821638">
      <w:pPr>
        <w:spacing w:after="0"/>
        <w:rPr>
          <w:rFonts w:ascii="Verdana" w:eastAsia="Verdana" w:hAnsi="Verdana" w:cs="Verdana"/>
        </w:rPr>
      </w:pPr>
    </w:p>
    <w:p w14:paraId="3FA1A1D1" w14:textId="77777777" w:rsidR="003C1913" w:rsidRPr="002E76E6" w:rsidRDefault="003C1913" w:rsidP="30821638">
      <w:pPr>
        <w:spacing w:after="0"/>
        <w:rPr>
          <w:rFonts w:ascii="Verdana" w:eastAsia="Verdana" w:hAnsi="Verdana" w:cs="Verdana"/>
        </w:rPr>
      </w:pPr>
    </w:p>
    <w:p w14:paraId="2A3EC906" w14:textId="77777777" w:rsidR="00591086" w:rsidRPr="002E76E6" w:rsidRDefault="00591086" w:rsidP="30821638">
      <w:pPr>
        <w:spacing w:after="0"/>
        <w:rPr>
          <w:rFonts w:ascii="Verdana" w:eastAsia="Verdana" w:hAnsi="Verdana" w:cs="Verdana"/>
        </w:rPr>
      </w:pPr>
    </w:p>
    <w:p w14:paraId="4D70AF50" w14:textId="77777777" w:rsidR="00CC4F90" w:rsidRPr="002E76E6" w:rsidRDefault="00CC4F90" w:rsidP="30821638">
      <w:pPr>
        <w:spacing w:after="0"/>
        <w:rPr>
          <w:rFonts w:ascii="Verdana" w:eastAsia="Verdana" w:hAnsi="Verdana" w:cs="Verdana"/>
        </w:rPr>
      </w:pPr>
    </w:p>
    <w:p w14:paraId="26DD2130" w14:textId="77777777" w:rsidR="00CC4F90" w:rsidRPr="002E76E6" w:rsidRDefault="00C15139" w:rsidP="00677B37">
      <w:pPr>
        <w:spacing w:after="0" w:line="240" w:lineRule="auto"/>
        <w:rPr>
          <w:rFonts w:ascii="Verdana" w:eastAsia="Verdana" w:hAnsi="Verdana" w:cs="Verdana"/>
        </w:rPr>
      </w:pPr>
      <w:r w:rsidRPr="002E76E6">
        <w:rPr>
          <w:rFonts w:ascii="Verdana" w:eastAsia="Verdana" w:hAnsi="Verdana" w:cs="Verdana"/>
        </w:rPr>
        <w:lastRenderedPageBreak/>
        <w:t xml:space="preserve">Bogotá D.C., </w:t>
      </w:r>
      <w:r w:rsidR="00CC4F90" w:rsidRPr="002E76E6">
        <w:rPr>
          <w:rFonts w:ascii="Verdana" w:eastAsia="Verdana" w:hAnsi="Verdana" w:cs="Verdana"/>
        </w:rPr>
        <w:t>31 de marzo del 2026</w:t>
      </w:r>
    </w:p>
    <w:p w14:paraId="12443EE0" w14:textId="1445BC2B" w:rsidR="00C15139" w:rsidRPr="002E76E6" w:rsidRDefault="00C15139" w:rsidP="00D604DC">
      <w:pPr>
        <w:spacing w:after="0" w:line="240" w:lineRule="auto"/>
        <w:jc w:val="right"/>
        <w:rPr>
          <w:rFonts w:ascii="Verdana" w:hAnsi="Verdana"/>
        </w:rPr>
      </w:pPr>
      <w:r w:rsidRPr="002E76E6">
        <w:rPr>
          <w:rFonts w:ascii="Verdana" w:hAnsi="Verdana"/>
        </w:rPr>
        <w:br/>
      </w:r>
      <w:r w:rsidR="00D604DC" w:rsidRPr="002E76E6">
        <w:rPr>
          <w:rFonts w:ascii="Verdana" w:hAnsi="Verdana"/>
        </w:rPr>
        <w:drawing>
          <wp:inline distT="0" distB="0" distL="0" distR="0" wp14:anchorId="525088C6" wp14:editId="46288EEF">
            <wp:extent cx="2609215" cy="800100"/>
            <wp:effectExtent l="0" t="0" r="635" b="0"/>
            <wp:docPr id="19954818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481884" name=""/>
                    <pic:cNvPicPr/>
                  </pic:nvPicPr>
                  <pic:blipFill>
                    <a:blip r:embed="rId11"/>
                    <a:stretch>
                      <a:fillRect/>
                    </a:stretch>
                  </pic:blipFill>
                  <pic:spPr>
                    <a:xfrm>
                      <a:off x="0" y="0"/>
                      <a:ext cx="2612650" cy="801153"/>
                    </a:xfrm>
                    <a:prstGeom prst="rect">
                      <a:avLst/>
                    </a:prstGeom>
                  </pic:spPr>
                </pic:pic>
              </a:graphicData>
            </a:graphic>
          </wp:inline>
        </w:drawing>
      </w:r>
    </w:p>
    <w:p w14:paraId="441DF4F3" w14:textId="31679388" w:rsidR="00220D11" w:rsidRPr="002E76E6" w:rsidRDefault="00220D11" w:rsidP="00AC6517">
      <w:pPr>
        <w:spacing w:after="0" w:line="240" w:lineRule="auto"/>
        <w:rPr>
          <w:rFonts w:ascii="Verdana" w:hAnsi="Verdana"/>
        </w:rPr>
      </w:pPr>
      <w:r w:rsidRPr="002E76E6">
        <w:rPr>
          <w:rFonts w:ascii="Verdana" w:eastAsia="Calibri" w:hAnsi="Verdana" w:cs="Arial"/>
          <w:color w:val="000000" w:themeColor="text1"/>
          <w:lang w:val="es-ES" w:eastAsia="es-ES"/>
        </w:rPr>
        <w:t>Señor</w:t>
      </w:r>
      <w:r w:rsidR="007A01AB" w:rsidRPr="002E76E6">
        <w:rPr>
          <w:rFonts w:ascii="Verdana" w:eastAsia="Calibri" w:hAnsi="Verdana" w:cs="Arial"/>
          <w:color w:val="000000" w:themeColor="text1"/>
          <w:lang w:val="es-ES" w:eastAsia="es-ES"/>
        </w:rPr>
        <w:t>a</w:t>
      </w:r>
      <w:r w:rsidRPr="002E76E6">
        <w:rPr>
          <w:rFonts w:ascii="Verdana" w:eastAsia="Calibri" w:hAnsi="Verdana" w:cs="Arial"/>
          <w:color w:val="000000" w:themeColor="text1"/>
          <w:lang w:val="es-ES" w:eastAsia="es-ES"/>
        </w:rPr>
        <w:t>:</w:t>
      </w:r>
    </w:p>
    <w:p w14:paraId="48E918C2" w14:textId="77777777" w:rsidR="007A01AB" w:rsidRPr="002E76E6" w:rsidRDefault="007A01AB" w:rsidP="007E3BAA">
      <w:pPr>
        <w:spacing w:after="0" w:line="240" w:lineRule="auto"/>
        <w:rPr>
          <w:rFonts w:ascii="Verdana" w:eastAsia="Calibri" w:hAnsi="Verdana" w:cs="Arial"/>
          <w:b/>
          <w:bCs/>
          <w:color w:val="000000" w:themeColor="text1"/>
          <w:lang w:eastAsia="es-ES"/>
        </w:rPr>
      </w:pPr>
      <w:r w:rsidRPr="002E76E6">
        <w:rPr>
          <w:rFonts w:ascii="Verdana" w:eastAsia="Calibri" w:hAnsi="Verdana" w:cs="Arial"/>
          <w:b/>
          <w:bCs/>
          <w:color w:val="000000" w:themeColor="text1"/>
          <w:lang w:eastAsia="es-ES"/>
        </w:rPr>
        <w:t>Yina Cardenas</w:t>
      </w:r>
    </w:p>
    <w:p w14:paraId="3127D1FB" w14:textId="37CCDA8D" w:rsidR="00BC426E" w:rsidRPr="002E76E6" w:rsidRDefault="00BC426E" w:rsidP="007E3BAA">
      <w:pPr>
        <w:spacing w:after="0" w:line="240" w:lineRule="auto"/>
        <w:rPr>
          <w:rFonts w:ascii="Verdana" w:hAnsi="Verdana"/>
        </w:rPr>
      </w:pPr>
      <w:hyperlink r:id="rId12" w:history="1">
        <w:r w:rsidRPr="002E76E6">
          <w:rPr>
            <w:rStyle w:val="Hipervnculo"/>
            <w:rFonts w:ascii="Verdana" w:hAnsi="Verdana"/>
          </w:rPr>
          <w:t>yinacardenasjuridca@gmail.com</w:t>
        </w:r>
      </w:hyperlink>
    </w:p>
    <w:p w14:paraId="24A1887C" w14:textId="194B64A4" w:rsidR="00220D11" w:rsidRPr="002E76E6" w:rsidRDefault="00BC426E">
      <w:pPr>
        <w:spacing w:after="0" w:line="240" w:lineRule="auto"/>
        <w:rPr>
          <w:rFonts w:ascii="Verdana" w:eastAsia="Calibri" w:hAnsi="Verdana" w:cs="Arial"/>
          <w:b/>
          <w:bCs/>
          <w:color w:val="000000" w:themeColor="text1"/>
          <w:lang w:val="es-ES_tradnl" w:eastAsia="es-ES"/>
        </w:rPr>
      </w:pPr>
      <w:r w:rsidRPr="002E76E6">
        <w:rPr>
          <w:rFonts w:ascii="Verdana" w:eastAsia="Calibri" w:hAnsi="Verdana" w:cs="Arial"/>
          <w:color w:val="000000" w:themeColor="text1"/>
          <w:lang w:val="es-ES_tradnl" w:eastAsia="es-ES"/>
        </w:rPr>
        <w:t xml:space="preserve">Pasto, Nariño </w:t>
      </w:r>
    </w:p>
    <w:p w14:paraId="63FDD097" w14:textId="77777777" w:rsidR="00220D11" w:rsidRPr="002E76E6" w:rsidRDefault="00220D11">
      <w:pPr>
        <w:spacing w:after="0" w:line="240" w:lineRule="auto"/>
        <w:rPr>
          <w:rFonts w:ascii="Verdana" w:eastAsia="Calibri" w:hAnsi="Verdana" w:cs="Arial"/>
          <w:b/>
          <w:bCs/>
          <w:color w:val="000000" w:themeColor="text1"/>
          <w:highlight w:val="cyan"/>
          <w:lang w:val="es-ES_tradnl" w:eastAsia="es-ES_tradnl"/>
        </w:rPr>
      </w:pPr>
    </w:p>
    <w:p w14:paraId="1B381F01" w14:textId="77777777" w:rsidR="00220D11" w:rsidRPr="002E76E6" w:rsidRDefault="00220D11">
      <w:pPr>
        <w:spacing w:after="0" w:line="240" w:lineRule="auto"/>
        <w:rPr>
          <w:rFonts w:ascii="Verdana" w:eastAsia="Calibri" w:hAnsi="Verdana" w:cs="Arial"/>
          <w:b/>
          <w:bCs/>
          <w:color w:val="000000" w:themeColor="text1"/>
          <w:highlight w:val="cyan"/>
          <w:lang w:val="es-ES_tradnl" w:eastAsia="es-ES_tradnl"/>
        </w:rPr>
      </w:pPr>
    </w:p>
    <w:p w14:paraId="530A1D4A" w14:textId="2FA66400" w:rsidR="00220D11" w:rsidRPr="002E76E6" w:rsidRDefault="00220D11">
      <w:pPr>
        <w:spacing w:after="0" w:line="240" w:lineRule="auto"/>
        <w:rPr>
          <w:rFonts w:ascii="Verdana" w:eastAsia="Calibri" w:hAnsi="Verdana" w:cs="Arial"/>
          <w:b/>
          <w:bCs/>
          <w:color w:val="000000" w:themeColor="text1"/>
          <w:lang w:val="es-ES_tradnl" w:eastAsia="es-ES_tradnl"/>
        </w:rPr>
      </w:pPr>
      <w:r w:rsidRPr="002E76E6">
        <w:rPr>
          <w:rFonts w:ascii="Verdana" w:eastAsia="Calibri" w:hAnsi="Verdana" w:cs="Arial"/>
          <w:b/>
          <w:bCs/>
          <w:color w:val="000000" w:themeColor="text1"/>
          <w:lang w:val="es-ES_tradnl" w:eastAsia="es-ES_tradnl"/>
        </w:rPr>
        <w:t xml:space="preserve">                                   Concepto </w:t>
      </w:r>
      <w:r w:rsidR="00586DF7" w:rsidRPr="002E76E6">
        <w:rPr>
          <w:rFonts w:ascii="Verdana" w:eastAsia="Calibri" w:hAnsi="Verdana" w:cs="Arial"/>
          <w:b/>
          <w:bCs/>
          <w:color w:val="000000" w:themeColor="text1"/>
          <w:lang w:val="es-ES_tradnl" w:eastAsia="es-ES_tradnl"/>
        </w:rPr>
        <w:t>C-269</w:t>
      </w:r>
      <w:r w:rsidRPr="002E76E6">
        <w:rPr>
          <w:rFonts w:ascii="Verdana" w:eastAsia="Calibri" w:hAnsi="Verdana" w:cs="Arial"/>
          <w:b/>
          <w:bCs/>
          <w:color w:val="000000" w:themeColor="text1"/>
          <w:lang w:val="es-ES_tradnl" w:eastAsia="es-ES_tradnl"/>
        </w:rPr>
        <w:t xml:space="preserve">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20D11" w:rsidRPr="002E76E6" w14:paraId="48E6A504" w14:textId="77777777" w:rsidTr="00B07C70">
        <w:trPr>
          <w:gridAfter w:val="1"/>
          <w:wAfter w:w="6100" w:type="dxa"/>
          <w:trHeight w:val="133"/>
        </w:trPr>
        <w:tc>
          <w:tcPr>
            <w:tcW w:w="2689" w:type="dxa"/>
          </w:tcPr>
          <w:p w14:paraId="4D1F6807" w14:textId="4F1F88AB" w:rsidR="00AC6517" w:rsidRPr="002E76E6" w:rsidRDefault="00AC6517">
            <w:pPr>
              <w:jc w:val="both"/>
              <w:rPr>
                <w:rFonts w:ascii="Verdana" w:eastAsia="Calibri" w:hAnsi="Verdana" w:cs="Arial"/>
                <w:b/>
                <w:bCs/>
                <w:color w:val="000000" w:themeColor="text1"/>
                <w:highlight w:val="cyan"/>
                <w:lang w:val="es-ES_tradnl" w:eastAsia="es-ES_tradnl"/>
              </w:rPr>
            </w:pPr>
          </w:p>
        </w:tc>
      </w:tr>
      <w:tr w:rsidR="00220D11" w:rsidRPr="002E76E6" w14:paraId="6588F194" w14:textId="77777777" w:rsidTr="00B07C70">
        <w:trPr>
          <w:trHeight w:val="884"/>
        </w:trPr>
        <w:tc>
          <w:tcPr>
            <w:tcW w:w="2689" w:type="dxa"/>
          </w:tcPr>
          <w:p w14:paraId="53556770" w14:textId="77777777" w:rsidR="00220D11" w:rsidRPr="002E76E6" w:rsidRDefault="00220D11" w:rsidP="00AC6517">
            <w:pPr>
              <w:jc w:val="both"/>
              <w:rPr>
                <w:rFonts w:ascii="Verdana" w:eastAsia="Calibri" w:hAnsi="Verdana" w:cs="Arial"/>
                <w:color w:val="000000" w:themeColor="text1"/>
                <w:lang w:val="es-ES_tradnl" w:eastAsia="es-ES_tradnl"/>
              </w:rPr>
            </w:pPr>
            <w:r w:rsidRPr="002E76E6">
              <w:rPr>
                <w:rFonts w:ascii="Verdana" w:eastAsia="Calibri" w:hAnsi="Verdana" w:cs="Arial"/>
                <w:b/>
                <w:color w:val="000000" w:themeColor="text1"/>
                <w:lang w:val="es-ES_tradnl" w:eastAsia="es-ES_tradnl"/>
              </w:rPr>
              <w:t>Temas:</w:t>
            </w:r>
            <w:r w:rsidRPr="002E76E6">
              <w:rPr>
                <w:rFonts w:ascii="Verdana" w:eastAsia="Calibri" w:hAnsi="Verdana" w:cs="Arial"/>
                <w:color w:val="000000" w:themeColor="text1"/>
                <w:lang w:val="es-ES_tradnl" w:eastAsia="es-ES_tradnl"/>
              </w:rPr>
              <w:t xml:space="preserve">                   </w:t>
            </w:r>
          </w:p>
        </w:tc>
        <w:tc>
          <w:tcPr>
            <w:tcW w:w="6100" w:type="dxa"/>
          </w:tcPr>
          <w:p w14:paraId="34CF84C1" w14:textId="77777777" w:rsidR="00EB5257" w:rsidRPr="002E76E6" w:rsidRDefault="00EB5257" w:rsidP="00677B37">
            <w:pPr>
              <w:jc w:val="both"/>
              <w:rPr>
                <w:rFonts w:ascii="Verdana" w:eastAsia="Calibri" w:hAnsi="Verdana" w:cs="Arial"/>
                <w:lang w:val="es-ES" w:eastAsia="es-ES"/>
              </w:rPr>
            </w:pPr>
            <w:r w:rsidRPr="002E76E6">
              <w:rPr>
                <w:rFonts w:ascii="Verdana" w:eastAsia="Calibri" w:hAnsi="Verdana" w:cs="Arial"/>
                <w:lang w:val="es-ES" w:eastAsia="es-ES"/>
              </w:rPr>
              <w:t xml:space="preserve">LEY DE GARANTÍAS ELECTORALES ‒ Finalidad / LEY DE GARANTÍAS ELECTORALES ‒ Tipos de restricciones ‒ Ámbito temporal – Celebración – Límite / LEY DE GARANTÍAS ELECTORALES – Contratos y convenios interadministrativos – Criterio orgánico / CONTRATOS Y CONVENIOS INTERADMINISTRATIVOS – Definición – Criterio orgánico                    </w:t>
            </w:r>
          </w:p>
          <w:p w14:paraId="316E0A2B" w14:textId="77777777" w:rsidR="00220D11" w:rsidRPr="002E76E6" w:rsidRDefault="00220D11" w:rsidP="00AC6517">
            <w:pPr>
              <w:jc w:val="both"/>
              <w:rPr>
                <w:rFonts w:ascii="Verdana" w:hAnsi="Verdana" w:cs="Arial"/>
                <w:bCs/>
                <w:color w:val="000000" w:themeColor="text1"/>
                <w:highlight w:val="cyan"/>
                <w:lang w:val="es-ES"/>
              </w:rPr>
            </w:pPr>
          </w:p>
        </w:tc>
      </w:tr>
      <w:tr w:rsidR="00220D11" w:rsidRPr="002E76E6" w14:paraId="55AED31A" w14:textId="77777777" w:rsidTr="00B07C70">
        <w:tc>
          <w:tcPr>
            <w:tcW w:w="2689" w:type="dxa"/>
          </w:tcPr>
          <w:p w14:paraId="51A8B26D" w14:textId="77777777" w:rsidR="00220D11" w:rsidRPr="002E76E6" w:rsidRDefault="00220D11" w:rsidP="00AC6517">
            <w:pPr>
              <w:jc w:val="both"/>
              <w:rPr>
                <w:rFonts w:ascii="Verdana" w:eastAsia="Calibri" w:hAnsi="Verdana" w:cs="Arial"/>
                <w:b/>
                <w:color w:val="000000" w:themeColor="text1"/>
                <w:lang w:val="es-ES_tradnl" w:eastAsia="es-ES_tradnl"/>
              </w:rPr>
            </w:pPr>
            <w:r w:rsidRPr="002E76E6">
              <w:rPr>
                <w:rFonts w:ascii="Verdana" w:eastAsia="Calibri" w:hAnsi="Verdana" w:cs="Arial"/>
                <w:b/>
                <w:color w:val="000000" w:themeColor="text1"/>
                <w:lang w:val="es-ES_tradnl" w:eastAsia="es-ES_tradnl"/>
              </w:rPr>
              <w:t>Radicación:</w:t>
            </w:r>
            <w:r w:rsidRPr="002E76E6">
              <w:rPr>
                <w:rFonts w:ascii="Verdana" w:eastAsia="Calibri" w:hAnsi="Verdana" w:cs="Arial"/>
                <w:color w:val="000000" w:themeColor="text1"/>
                <w:lang w:val="es-ES_tradnl" w:eastAsia="es-ES_tradnl"/>
              </w:rPr>
              <w:t xml:space="preserve">               </w:t>
            </w:r>
          </w:p>
        </w:tc>
        <w:tc>
          <w:tcPr>
            <w:tcW w:w="6100" w:type="dxa"/>
          </w:tcPr>
          <w:p w14:paraId="4FD1DC82" w14:textId="0F84C774" w:rsidR="00220D11" w:rsidRPr="002E76E6" w:rsidRDefault="00220D11" w:rsidP="007E3BAA">
            <w:pPr>
              <w:jc w:val="both"/>
              <w:rPr>
                <w:rFonts w:ascii="Verdana" w:eastAsia="Calibri" w:hAnsi="Verdana" w:cs="Arial"/>
                <w:color w:val="000000" w:themeColor="text1"/>
                <w:lang w:eastAsia="es-ES_tradnl"/>
              </w:rPr>
            </w:pPr>
            <w:r w:rsidRPr="002E76E6">
              <w:rPr>
                <w:rFonts w:ascii="Verdana" w:eastAsia="Calibri" w:hAnsi="Verdana" w:cs="Arial"/>
                <w:color w:val="000000" w:themeColor="text1"/>
                <w:lang w:val="es-ES_tradnl" w:eastAsia="es-ES_tradnl"/>
              </w:rPr>
              <w:t>Respuesta a consulta con radicado No.</w:t>
            </w:r>
            <w:r w:rsidRPr="002E76E6">
              <w:rPr>
                <w:rFonts w:ascii="Verdana" w:hAnsi="Verdana"/>
              </w:rPr>
              <w:t xml:space="preserve"> </w:t>
            </w:r>
            <w:r w:rsidR="00400645" w:rsidRPr="002E76E6">
              <w:rPr>
                <w:rFonts w:ascii="Verdana" w:eastAsia="Calibri" w:hAnsi="Verdana" w:cs="Arial"/>
                <w:color w:val="000000" w:themeColor="text1"/>
                <w:lang w:eastAsia="es-ES_tradnl"/>
              </w:rPr>
              <w:t xml:space="preserve">1_2026_02_20_002352 </w:t>
            </w:r>
            <w:r w:rsidR="00586DF7" w:rsidRPr="002E76E6">
              <w:rPr>
                <w:rFonts w:ascii="Verdana" w:eastAsia="Calibri" w:hAnsi="Verdana" w:cs="Arial"/>
                <w:color w:val="000000" w:themeColor="text1"/>
                <w:lang w:eastAsia="es-ES_tradnl"/>
              </w:rPr>
              <w:t xml:space="preserve">acumulada con la Nro. </w:t>
            </w:r>
            <w:r w:rsidR="00400645" w:rsidRPr="002E76E6">
              <w:rPr>
                <w:rFonts w:ascii="Verdana" w:eastAsia="Calibri" w:hAnsi="Verdana" w:cs="Arial"/>
                <w:color w:val="000000" w:themeColor="text1"/>
                <w:lang w:eastAsia="es-ES_tradnl"/>
              </w:rPr>
              <w:t>1_2026_02_20_002374</w:t>
            </w:r>
          </w:p>
          <w:p w14:paraId="41054A0F" w14:textId="77777777" w:rsidR="00220D11" w:rsidRPr="002E76E6" w:rsidRDefault="00220D11">
            <w:pPr>
              <w:jc w:val="both"/>
              <w:rPr>
                <w:rFonts w:ascii="Verdana" w:hAnsi="Verdana" w:cs="Arial"/>
              </w:rPr>
            </w:pPr>
          </w:p>
          <w:p w14:paraId="02F6EB55" w14:textId="77777777" w:rsidR="00220D11" w:rsidRPr="002E76E6" w:rsidRDefault="00220D11">
            <w:pPr>
              <w:jc w:val="both"/>
              <w:rPr>
                <w:rFonts w:ascii="Verdana" w:hAnsi="Verdana"/>
                <w:color w:val="000000"/>
              </w:rPr>
            </w:pPr>
          </w:p>
        </w:tc>
      </w:tr>
    </w:tbl>
    <w:p w14:paraId="2EE56145" w14:textId="55014217" w:rsidR="00220D11" w:rsidRPr="002E76E6" w:rsidRDefault="00220D11" w:rsidP="00AC6517">
      <w:pPr>
        <w:spacing w:after="0" w:line="276" w:lineRule="auto"/>
        <w:jc w:val="both"/>
        <w:rPr>
          <w:rFonts w:ascii="Verdana" w:eastAsia="Calibri" w:hAnsi="Verdana" w:cs="Arial"/>
          <w:color w:val="000000" w:themeColor="text1"/>
          <w:lang w:val="es-ES" w:eastAsia="es-ES"/>
        </w:rPr>
      </w:pPr>
      <w:r w:rsidRPr="002E76E6">
        <w:rPr>
          <w:rFonts w:ascii="Verdana" w:eastAsia="Calibri" w:hAnsi="Verdana" w:cs="Arial"/>
          <w:color w:val="000000" w:themeColor="text1"/>
          <w:lang w:val="es-ES" w:eastAsia="es-ES"/>
        </w:rPr>
        <w:t>Estimad</w:t>
      </w:r>
      <w:r w:rsidR="007A01AB" w:rsidRPr="002E76E6">
        <w:rPr>
          <w:rFonts w:ascii="Verdana" w:eastAsia="Calibri" w:hAnsi="Verdana" w:cs="Arial"/>
          <w:color w:val="000000" w:themeColor="text1"/>
          <w:lang w:val="es-ES" w:eastAsia="es-ES"/>
        </w:rPr>
        <w:t>a</w:t>
      </w:r>
      <w:r w:rsidRPr="002E76E6">
        <w:rPr>
          <w:rFonts w:ascii="Verdana" w:eastAsia="Calibri" w:hAnsi="Verdana" w:cs="Arial"/>
          <w:color w:val="000000" w:themeColor="text1"/>
          <w:lang w:val="es-ES" w:eastAsia="es-ES"/>
        </w:rPr>
        <w:t xml:space="preserve"> </w:t>
      </w:r>
      <w:r w:rsidR="007A01AB" w:rsidRPr="002E76E6">
        <w:rPr>
          <w:rFonts w:ascii="Verdana" w:eastAsia="Calibri" w:hAnsi="Verdana" w:cs="Arial"/>
          <w:color w:val="000000" w:themeColor="text1"/>
          <w:lang w:val="es-ES" w:eastAsia="es-ES"/>
        </w:rPr>
        <w:t xml:space="preserve">señora </w:t>
      </w:r>
      <w:r w:rsidR="007A01AB" w:rsidRPr="002E76E6">
        <w:rPr>
          <w:rFonts w:ascii="Verdana" w:eastAsia="Calibri" w:hAnsi="Verdana" w:cs="Arial"/>
          <w:color w:val="000000" w:themeColor="text1"/>
          <w:lang w:eastAsia="es-ES"/>
        </w:rPr>
        <w:t>Cardenas</w:t>
      </w:r>
      <w:r w:rsidRPr="002E76E6">
        <w:rPr>
          <w:rFonts w:ascii="Verdana" w:eastAsia="Calibri" w:hAnsi="Verdana" w:cs="Arial"/>
          <w:color w:val="000000" w:themeColor="text1"/>
          <w:lang w:val="es-ES" w:eastAsia="es-ES"/>
        </w:rPr>
        <w:t xml:space="preserve">: </w:t>
      </w:r>
    </w:p>
    <w:p w14:paraId="30D14FDC" w14:textId="77777777" w:rsidR="00220D11" w:rsidRPr="002E76E6" w:rsidRDefault="00220D11" w:rsidP="007E3BAA">
      <w:pPr>
        <w:spacing w:after="0" w:line="276" w:lineRule="auto"/>
        <w:rPr>
          <w:rFonts w:ascii="Verdana" w:eastAsia="Times New Roman" w:hAnsi="Verdana" w:cs="Segoe UI"/>
          <w:highlight w:val="cyan"/>
          <w:lang w:eastAsia="es-CO"/>
        </w:rPr>
      </w:pPr>
    </w:p>
    <w:p w14:paraId="68F182D0" w14:textId="28261AEC" w:rsidR="00220D11" w:rsidRPr="002E76E6" w:rsidRDefault="00220D11">
      <w:pPr>
        <w:spacing w:after="0" w:line="276" w:lineRule="auto"/>
        <w:jc w:val="both"/>
        <w:rPr>
          <w:rFonts w:ascii="Verdana" w:eastAsia="Calibri" w:hAnsi="Verdana" w:cs="Arial"/>
          <w:lang w:val="es-ES" w:eastAsia="es-ES"/>
        </w:rPr>
      </w:pPr>
      <w:r w:rsidRPr="002E76E6">
        <w:rPr>
          <w:rFonts w:ascii="Verdana" w:eastAsia="Calibri" w:hAnsi="Verdana" w:cs="Arial"/>
          <w:lang w:val="es-ES" w:eastAsia="es-ES"/>
        </w:rPr>
        <w:t>En ejercicio de la competencia otorgada por los artículos 3, numeral 5º, y 11, numeral 8º, del Decreto Ley 4170 de 2011,</w:t>
      </w:r>
      <w:r w:rsidRPr="002E76E6">
        <w:rPr>
          <w:rFonts w:ascii="Verdana" w:eastAsia="Arial MT" w:hAnsi="Verdana" w:cs="Arial"/>
          <w:lang w:val="es-ES" w:eastAsia="es-ES"/>
        </w:rPr>
        <w:t xml:space="preserve"> </w:t>
      </w:r>
      <w:r w:rsidRPr="002E76E6">
        <w:rPr>
          <w:rFonts w:ascii="Verdana" w:hAnsi="Verdana" w:cs="Arial"/>
        </w:rPr>
        <w:t xml:space="preserve">así como lo establecido en el artículo 4 de la Resolución 1707 de 2018 expedida por esta Entidad, </w:t>
      </w:r>
      <w:r w:rsidRPr="002E76E6">
        <w:rPr>
          <w:rFonts w:ascii="Verdana" w:eastAsia="Calibri" w:hAnsi="Verdana" w:cs="Arial"/>
          <w:lang w:val="es-ES" w:eastAsia="es-ES"/>
        </w:rPr>
        <w:t>la Agencia Nacional de Contratación Pública – Colombia Compra Eficiente– responde su</w:t>
      </w:r>
      <w:r w:rsidR="00A87F78" w:rsidRPr="002E76E6">
        <w:rPr>
          <w:rFonts w:ascii="Verdana" w:eastAsia="Calibri" w:hAnsi="Verdana" w:cs="Arial"/>
          <w:lang w:val="es-ES" w:eastAsia="es-ES"/>
        </w:rPr>
        <w:t>s</w:t>
      </w:r>
      <w:r w:rsidRPr="002E76E6">
        <w:rPr>
          <w:rFonts w:ascii="Verdana" w:eastAsia="Calibri" w:hAnsi="Verdana" w:cs="Arial"/>
          <w:lang w:val="es-ES" w:eastAsia="es-ES"/>
        </w:rPr>
        <w:t xml:space="preserve"> solicitud</w:t>
      </w:r>
      <w:r w:rsidR="00A87F78" w:rsidRPr="002E76E6">
        <w:rPr>
          <w:rFonts w:ascii="Verdana" w:eastAsia="Calibri" w:hAnsi="Verdana" w:cs="Arial"/>
          <w:lang w:val="es-ES" w:eastAsia="es-ES"/>
        </w:rPr>
        <w:t>es</w:t>
      </w:r>
      <w:r w:rsidRPr="002E76E6">
        <w:rPr>
          <w:rFonts w:ascii="Verdana" w:eastAsia="Calibri" w:hAnsi="Verdana" w:cs="Arial"/>
          <w:lang w:val="es-ES" w:eastAsia="es-ES"/>
        </w:rPr>
        <w:t xml:space="preserve"> del </w:t>
      </w:r>
      <w:r w:rsidR="00FC2D9F" w:rsidRPr="002E76E6">
        <w:rPr>
          <w:rFonts w:ascii="Verdana" w:eastAsia="Calibri" w:hAnsi="Verdana" w:cs="Arial"/>
          <w:lang w:val="es-ES" w:eastAsia="es-ES"/>
        </w:rPr>
        <w:t>19 de febrero del 2026</w:t>
      </w:r>
      <w:r w:rsidR="00A87F78" w:rsidRPr="002E76E6">
        <w:rPr>
          <w:rFonts w:ascii="Verdana" w:eastAsia="Calibri" w:hAnsi="Verdana" w:cs="Arial"/>
          <w:lang w:val="es-ES" w:eastAsia="es-ES"/>
        </w:rPr>
        <w:t xml:space="preserve"> y el 20 de febrero del 2026</w:t>
      </w:r>
      <w:r w:rsidRPr="002E76E6">
        <w:rPr>
          <w:rFonts w:ascii="Verdana" w:eastAsia="Calibri" w:hAnsi="Verdana" w:cs="Arial"/>
          <w:lang w:val="es-ES" w:eastAsia="es-ES"/>
        </w:rPr>
        <w:t xml:space="preserve">, en la cual manifiesta lo siguiente: </w:t>
      </w:r>
    </w:p>
    <w:p w14:paraId="143441E1" w14:textId="77777777" w:rsidR="00220D11" w:rsidRPr="002E76E6" w:rsidRDefault="00220D11">
      <w:pPr>
        <w:spacing w:after="0" w:line="276" w:lineRule="auto"/>
        <w:jc w:val="both"/>
        <w:rPr>
          <w:rFonts w:ascii="Verdana" w:eastAsia="Calibri" w:hAnsi="Verdana" w:cs="Arial"/>
          <w:lang w:val="es-ES" w:eastAsia="es-ES"/>
        </w:rPr>
      </w:pPr>
    </w:p>
    <w:p w14:paraId="57B38BF2" w14:textId="202958CA" w:rsidR="00B415D0" w:rsidRPr="002E76E6" w:rsidRDefault="00220D11">
      <w:pPr>
        <w:spacing w:after="0" w:line="240" w:lineRule="auto"/>
        <w:ind w:left="709" w:right="709"/>
        <w:jc w:val="both"/>
        <w:rPr>
          <w:rFonts w:ascii="Verdana" w:eastAsia="Century Gothic" w:hAnsi="Verdana" w:cs="Arial"/>
          <w:sz w:val="20"/>
          <w:szCs w:val="20"/>
        </w:rPr>
      </w:pPr>
      <w:r w:rsidRPr="002E76E6">
        <w:rPr>
          <w:rFonts w:ascii="Verdana" w:eastAsia="Century Gothic" w:hAnsi="Verdana" w:cs="Arial"/>
          <w:sz w:val="20"/>
          <w:szCs w:val="20"/>
          <w:lang w:val="es-ES"/>
        </w:rPr>
        <w:t xml:space="preserve">“[…] </w:t>
      </w:r>
      <w:r w:rsidR="00B415D0" w:rsidRPr="002E76E6">
        <w:rPr>
          <w:rFonts w:ascii="Verdana" w:eastAsia="Century Gothic" w:hAnsi="Verdana" w:cs="Arial"/>
          <w:sz w:val="20"/>
          <w:szCs w:val="20"/>
        </w:rPr>
        <w:t>¿</w:t>
      </w:r>
      <w:r w:rsidR="008D76C2" w:rsidRPr="002E76E6">
        <w:rPr>
          <w:rFonts w:ascii="Verdana" w:eastAsia="Century Gothic" w:hAnsi="Verdana" w:cs="Arial"/>
          <w:sz w:val="20"/>
          <w:szCs w:val="20"/>
        </w:rPr>
        <w:t>C</w:t>
      </w:r>
      <w:r w:rsidR="00B415D0" w:rsidRPr="002E76E6">
        <w:rPr>
          <w:rFonts w:ascii="Verdana" w:eastAsia="Century Gothic" w:hAnsi="Verdana" w:cs="Arial"/>
          <w:sz w:val="20"/>
          <w:szCs w:val="20"/>
        </w:rPr>
        <w:t>omo ente</w:t>
      </w:r>
      <w:r w:rsidR="008D76C2" w:rsidRPr="002E76E6">
        <w:rPr>
          <w:rFonts w:ascii="Verdana" w:eastAsia="Century Gothic" w:hAnsi="Verdana" w:cs="Arial"/>
          <w:sz w:val="20"/>
          <w:szCs w:val="20"/>
        </w:rPr>
        <w:t xml:space="preserve"> </w:t>
      </w:r>
      <w:r w:rsidR="00B415D0" w:rsidRPr="002E76E6">
        <w:rPr>
          <w:rFonts w:ascii="Verdana" w:eastAsia="Century Gothic" w:hAnsi="Verdana" w:cs="Arial"/>
          <w:sz w:val="20"/>
          <w:szCs w:val="20"/>
        </w:rPr>
        <w:t xml:space="preserve">ejecutor, la asociación </w:t>
      </w:r>
      <w:r w:rsidR="008D76C2" w:rsidRPr="002E76E6">
        <w:rPr>
          <w:rFonts w:ascii="Verdana" w:eastAsia="Century Gothic" w:hAnsi="Verdana" w:cs="Arial"/>
          <w:sz w:val="20"/>
          <w:szCs w:val="20"/>
        </w:rPr>
        <w:t>d</w:t>
      </w:r>
      <w:r w:rsidR="00B415D0" w:rsidRPr="002E76E6">
        <w:rPr>
          <w:rFonts w:ascii="Verdana" w:eastAsia="Century Gothic" w:hAnsi="Verdana" w:cs="Arial"/>
          <w:sz w:val="20"/>
          <w:szCs w:val="20"/>
        </w:rPr>
        <w:t xml:space="preserve">e cabildos indígenas y / autoridades indígenas, para la ejecución de este convenio se debe acoger a la Ley de garantías, puesto que ya él convenio interadministrativo  había sido suscrito, los términos y anexos técnicos establecen la forma de </w:t>
      </w:r>
      <w:r w:rsidR="00B415D0" w:rsidRPr="002E76E6">
        <w:rPr>
          <w:rFonts w:ascii="Verdana" w:eastAsia="Century Gothic" w:hAnsi="Verdana" w:cs="Arial"/>
          <w:sz w:val="20"/>
          <w:szCs w:val="20"/>
        </w:rPr>
        <w:lastRenderedPageBreak/>
        <w:t>contratación y presupuestó para le ejecución de estos recursos, así como los perfiles y las comunidades étnicas a intervenir, él estatuto de contratación de la asociación  interna establece la contratación directa para los montos de contratación prevé,</w:t>
      </w:r>
      <w:r w:rsidR="003767AE" w:rsidRPr="002E76E6">
        <w:rPr>
          <w:rFonts w:ascii="Verdana" w:eastAsia="Century Gothic" w:hAnsi="Verdana" w:cs="Arial"/>
          <w:sz w:val="20"/>
          <w:szCs w:val="20"/>
        </w:rPr>
        <w:t xml:space="preserve"> </w:t>
      </w:r>
      <w:r w:rsidR="00B415D0" w:rsidRPr="002E76E6">
        <w:rPr>
          <w:rFonts w:ascii="Verdana" w:eastAsia="Century Gothic" w:hAnsi="Verdana" w:cs="Arial"/>
          <w:sz w:val="20"/>
          <w:szCs w:val="20"/>
        </w:rPr>
        <w:t>la contratación directa como única forma. Y él personal a contratar debe tener un perfil específico y ser parte de cada comunidad a Intervenir, circunstancia por la cual no hay posibilidad de abrir una convocatoria pública. Puesto que los términos de </w:t>
      </w:r>
      <w:r w:rsidR="003767AE" w:rsidRPr="002E76E6">
        <w:rPr>
          <w:rFonts w:ascii="Verdana" w:eastAsia="Century Gothic" w:hAnsi="Verdana" w:cs="Arial"/>
          <w:sz w:val="20"/>
          <w:szCs w:val="20"/>
        </w:rPr>
        <w:t>esa</w:t>
      </w:r>
      <w:r w:rsidR="00B415D0" w:rsidRPr="002E76E6">
        <w:rPr>
          <w:rFonts w:ascii="Verdana" w:eastAsia="Century Gothic" w:hAnsi="Verdana" w:cs="Arial"/>
          <w:sz w:val="20"/>
          <w:szCs w:val="20"/>
        </w:rPr>
        <w:t> no podrían dejar ejecutar en él plazo establecido él objeto del convenio.? </w:t>
      </w:r>
    </w:p>
    <w:p w14:paraId="1E0CAF0A" w14:textId="77777777" w:rsidR="00B415D0" w:rsidRPr="002E76E6" w:rsidRDefault="00B415D0">
      <w:pPr>
        <w:spacing w:after="0" w:line="240" w:lineRule="auto"/>
        <w:ind w:left="709" w:right="709"/>
        <w:jc w:val="both"/>
        <w:rPr>
          <w:rFonts w:ascii="Verdana" w:eastAsia="Century Gothic" w:hAnsi="Verdana" w:cs="Arial"/>
          <w:sz w:val="20"/>
          <w:szCs w:val="20"/>
        </w:rPr>
      </w:pPr>
      <w:r w:rsidRPr="002E76E6">
        <w:rPr>
          <w:rFonts w:ascii="Verdana" w:eastAsia="Century Gothic" w:hAnsi="Verdana" w:cs="Arial"/>
          <w:sz w:val="20"/>
          <w:szCs w:val="20"/>
        </w:rPr>
        <w:t> </w:t>
      </w:r>
    </w:p>
    <w:p w14:paraId="67A3CA3A" w14:textId="633C375D" w:rsidR="00B415D0" w:rsidRPr="002E76E6" w:rsidRDefault="00B415D0">
      <w:pPr>
        <w:spacing w:after="0" w:line="240" w:lineRule="auto"/>
        <w:ind w:left="709" w:right="709"/>
        <w:jc w:val="both"/>
        <w:rPr>
          <w:rFonts w:ascii="Verdana" w:eastAsia="Century Gothic" w:hAnsi="Verdana" w:cs="Arial"/>
          <w:sz w:val="20"/>
          <w:szCs w:val="20"/>
        </w:rPr>
      </w:pPr>
      <w:r w:rsidRPr="002E76E6">
        <w:rPr>
          <w:rFonts w:ascii="Verdana" w:eastAsia="Century Gothic" w:hAnsi="Verdana" w:cs="Arial"/>
          <w:sz w:val="20"/>
          <w:szCs w:val="20"/>
        </w:rPr>
        <w:t>¿En </w:t>
      </w:r>
      <w:r w:rsidR="003767AE" w:rsidRPr="002E76E6">
        <w:rPr>
          <w:rFonts w:ascii="Verdana" w:eastAsia="Century Gothic" w:hAnsi="Verdana" w:cs="Arial"/>
          <w:sz w:val="20"/>
          <w:szCs w:val="20"/>
        </w:rPr>
        <w:t>el</w:t>
      </w:r>
      <w:r w:rsidRPr="002E76E6">
        <w:rPr>
          <w:rFonts w:ascii="Verdana" w:eastAsia="Century Gothic" w:hAnsi="Verdana" w:cs="Arial"/>
          <w:sz w:val="20"/>
          <w:szCs w:val="20"/>
        </w:rPr>
        <w:t> caso de sujeto ejecutor, con un convenio ya suscrito en debida forma, para llevar a cabo él desarrollo normal del convenio, se puede contratar directo con los recursos de un convenio ya suscrito antes de la ley de garantías, él cual estableció un presupuestó y términos de contratación para cada perfil? </w:t>
      </w:r>
    </w:p>
    <w:p w14:paraId="1A412032" w14:textId="77777777" w:rsidR="00B415D0" w:rsidRPr="002E76E6" w:rsidRDefault="00B415D0">
      <w:pPr>
        <w:spacing w:after="0" w:line="240" w:lineRule="auto"/>
        <w:ind w:left="709" w:right="709"/>
        <w:jc w:val="both"/>
        <w:rPr>
          <w:rFonts w:ascii="Verdana" w:eastAsia="Century Gothic" w:hAnsi="Verdana" w:cs="Arial"/>
          <w:sz w:val="20"/>
          <w:szCs w:val="20"/>
        </w:rPr>
      </w:pPr>
    </w:p>
    <w:p w14:paraId="014F7452" w14:textId="20A82E85" w:rsidR="00220D11" w:rsidRPr="002E76E6" w:rsidRDefault="008219FB">
      <w:pPr>
        <w:spacing w:after="0" w:line="240" w:lineRule="auto"/>
        <w:ind w:left="709" w:right="709"/>
        <w:jc w:val="both"/>
        <w:rPr>
          <w:rFonts w:ascii="Verdana" w:eastAsia="Century Gothic" w:hAnsi="Verdana" w:cs="Arial"/>
          <w:sz w:val="20"/>
          <w:szCs w:val="20"/>
        </w:rPr>
      </w:pPr>
      <w:r w:rsidRPr="002E76E6">
        <w:rPr>
          <w:rFonts w:ascii="Verdana" w:eastAsia="Century Gothic" w:hAnsi="Verdana" w:cs="Arial"/>
          <w:sz w:val="20"/>
          <w:szCs w:val="20"/>
        </w:rPr>
        <w:t>¿De</w:t>
      </w:r>
      <w:r w:rsidR="00B415D0" w:rsidRPr="002E76E6">
        <w:rPr>
          <w:rFonts w:ascii="Verdana" w:eastAsia="Century Gothic" w:hAnsi="Verdana" w:cs="Arial"/>
          <w:sz w:val="20"/>
          <w:szCs w:val="20"/>
        </w:rPr>
        <w:t> </w:t>
      </w:r>
      <w:r w:rsidRPr="002E76E6">
        <w:rPr>
          <w:rFonts w:ascii="Verdana" w:eastAsia="Century Gothic" w:hAnsi="Verdana" w:cs="Arial"/>
          <w:sz w:val="20"/>
          <w:szCs w:val="20"/>
        </w:rPr>
        <w:t>qué</w:t>
      </w:r>
      <w:r w:rsidR="00B415D0" w:rsidRPr="002E76E6">
        <w:rPr>
          <w:rFonts w:ascii="Verdana" w:eastAsia="Century Gothic" w:hAnsi="Verdana" w:cs="Arial"/>
          <w:sz w:val="20"/>
          <w:szCs w:val="20"/>
        </w:rPr>
        <w:t xml:space="preserve"> forma se podrá adelantar a contratación para él personal que es obligatorio para ejecutar él convenio.?  </w:t>
      </w:r>
      <w:r w:rsidR="00220D11" w:rsidRPr="002E76E6">
        <w:rPr>
          <w:rFonts w:ascii="Verdana" w:eastAsia="Century Gothic" w:hAnsi="Verdana" w:cs="Arial"/>
          <w:sz w:val="20"/>
          <w:szCs w:val="20"/>
        </w:rPr>
        <w:t>[…]”</w:t>
      </w:r>
      <w:r w:rsidR="00AC6517" w:rsidRPr="002E76E6">
        <w:rPr>
          <w:rFonts w:ascii="Verdana" w:eastAsia="Century Gothic" w:hAnsi="Verdana" w:cs="Arial"/>
          <w:sz w:val="20"/>
          <w:szCs w:val="20"/>
        </w:rPr>
        <w:t>.</w:t>
      </w:r>
    </w:p>
    <w:p w14:paraId="602E2B9A" w14:textId="77777777" w:rsidR="00220D11" w:rsidRPr="002E76E6" w:rsidRDefault="00220D11" w:rsidP="00220D11">
      <w:pPr>
        <w:spacing w:after="0"/>
        <w:jc w:val="both"/>
        <w:rPr>
          <w:rFonts w:ascii="Verdana" w:hAnsi="Verdana" w:cs="Arial"/>
          <w:highlight w:val="cyan"/>
          <w:lang w:val="es-ES"/>
        </w:rPr>
      </w:pPr>
    </w:p>
    <w:p w14:paraId="664BAD87" w14:textId="18E62DF5" w:rsidR="00220D11" w:rsidRPr="002E76E6" w:rsidRDefault="00220D11" w:rsidP="00220D11">
      <w:pPr>
        <w:spacing w:after="120" w:line="276" w:lineRule="auto"/>
        <w:ind w:firstLine="709"/>
        <w:jc w:val="both"/>
        <w:rPr>
          <w:rFonts w:ascii="Verdana" w:eastAsia="Calibri" w:hAnsi="Verdana" w:cs="Arial"/>
          <w:color w:val="000000"/>
          <w:lang w:val="es-ES_tradnl" w:eastAsia="es-ES_tradnl"/>
        </w:rPr>
      </w:pPr>
      <w:r w:rsidRPr="002E76E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4C51F2" w:rsidRPr="002E76E6">
        <w:rPr>
          <w:rFonts w:ascii="Verdana" w:eastAsia="Calibri" w:hAnsi="Verdana" w:cs="Arial"/>
          <w:color w:val="000000"/>
          <w:lang w:val="es-ES" w:eastAsia="es-ES"/>
        </w:rPr>
        <w:t xml:space="preserve">la Agencia Nacional de Contratación Pública – </w:t>
      </w:r>
      <w:r w:rsidRPr="002E76E6">
        <w:rPr>
          <w:rFonts w:ascii="Verdana" w:eastAsia="Calibri" w:hAnsi="Verdana" w:cs="Arial"/>
          <w:color w:val="000000"/>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04CFFA5" w14:textId="476E8EEB" w:rsidR="00220D11" w:rsidRPr="002E76E6" w:rsidRDefault="00220D11" w:rsidP="00220D11">
      <w:pPr>
        <w:spacing w:after="0" w:line="276" w:lineRule="auto"/>
        <w:ind w:firstLine="709"/>
        <w:jc w:val="both"/>
        <w:rPr>
          <w:rFonts w:ascii="Verdana" w:eastAsia="Calibri" w:hAnsi="Verdana" w:cs="Arial"/>
          <w:color w:val="000000"/>
          <w:lang w:val="es-ES" w:eastAsia="es-ES"/>
        </w:rPr>
      </w:pPr>
      <w:r w:rsidRPr="002E76E6">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4C51F2" w:rsidRPr="002E76E6">
        <w:rPr>
          <w:rFonts w:ascii="Verdana" w:eastAsia="Calibri" w:hAnsi="Verdana" w:cs="Arial"/>
          <w:color w:val="000000"/>
          <w:lang w:val="es-ES" w:eastAsia="es-ES"/>
        </w:rPr>
        <w:t>señalando alg</w:t>
      </w:r>
      <w:r w:rsidRPr="002E76E6">
        <w:rPr>
          <w:rFonts w:ascii="Verdana" w:eastAsia="Calibri" w:hAnsi="Verdana" w:cs="Arial"/>
          <w:color w:val="000000"/>
          <w:lang w:val="es-ES" w:eastAsia="es-ES"/>
        </w:rPr>
        <w:t xml:space="preserve">unas consideraciones sobre las normas generales relacionadas con el problema jurídico de su consulta.  </w:t>
      </w:r>
    </w:p>
    <w:p w14:paraId="24F80A20" w14:textId="77777777" w:rsidR="00220D11" w:rsidRPr="002E76E6" w:rsidRDefault="00220D11" w:rsidP="007E3BAA">
      <w:pPr>
        <w:spacing w:after="0" w:line="276" w:lineRule="auto"/>
        <w:jc w:val="both"/>
        <w:rPr>
          <w:rStyle w:val="Hipervnculo"/>
          <w:rFonts w:ascii="Verdana" w:hAnsi="Verdana"/>
          <w:highlight w:val="cyan"/>
          <w:lang w:val="es-ES"/>
        </w:rPr>
      </w:pPr>
    </w:p>
    <w:p w14:paraId="5AA93568" w14:textId="77777777" w:rsidR="00220D11" w:rsidRPr="002E76E6" w:rsidRDefault="00220D11" w:rsidP="007E3BA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2E76E6">
        <w:rPr>
          <w:rFonts w:ascii="Verdana" w:eastAsia="Century Gothic" w:hAnsi="Verdana" w:cs="Arial"/>
          <w:b/>
          <w:bCs/>
        </w:rPr>
        <w:t>Problema planteado:</w:t>
      </w:r>
    </w:p>
    <w:p w14:paraId="2872BF75" w14:textId="77777777" w:rsidR="00220D11" w:rsidRPr="002E76E6" w:rsidRDefault="00220D11">
      <w:pPr>
        <w:spacing w:after="0" w:line="276" w:lineRule="auto"/>
        <w:jc w:val="both"/>
        <w:rPr>
          <w:rStyle w:val="Hipervnculo"/>
          <w:rFonts w:ascii="Verdana" w:hAnsi="Verdana" w:cs="Arial"/>
          <w:highlight w:val="cyan"/>
        </w:rPr>
      </w:pPr>
    </w:p>
    <w:p w14:paraId="5B854D42" w14:textId="12DEF4DB" w:rsidR="007E478D" w:rsidRPr="002E76E6" w:rsidRDefault="007E478D">
      <w:pPr>
        <w:spacing w:after="0" w:line="276" w:lineRule="auto"/>
        <w:jc w:val="both"/>
        <w:rPr>
          <w:rFonts w:ascii="Verdana" w:eastAsia="Century Gothic" w:hAnsi="Verdana" w:cs="Century Gothic"/>
        </w:rPr>
      </w:pPr>
      <w:r w:rsidRPr="002E76E6">
        <w:rPr>
          <w:rFonts w:ascii="Verdana" w:eastAsia="Century Gothic" w:hAnsi="Verdana" w:cs="Century Gothic"/>
        </w:rPr>
        <w:lastRenderedPageBreak/>
        <w:t xml:space="preserve">De acuerdo con el contenido de su solicitud, esta Agencia resolverá el siguiente problema jurídico: ¿cuál es el </w:t>
      </w:r>
      <w:r w:rsidR="007E3BAA" w:rsidRPr="002E76E6">
        <w:rPr>
          <w:rFonts w:ascii="Verdana" w:eastAsia="Century Gothic" w:hAnsi="Verdana" w:cs="Century Gothic"/>
        </w:rPr>
        <w:t>alcance</w:t>
      </w:r>
      <w:r w:rsidRPr="002E76E6">
        <w:rPr>
          <w:rFonts w:ascii="Verdana" w:eastAsia="Century Gothic" w:hAnsi="Verdana" w:cs="Century Gothic"/>
        </w:rPr>
        <w:t xml:space="preserve"> interpreta</w:t>
      </w:r>
      <w:r w:rsidR="007E3BAA" w:rsidRPr="002E76E6">
        <w:rPr>
          <w:rFonts w:ascii="Verdana" w:eastAsia="Century Gothic" w:hAnsi="Verdana" w:cs="Century Gothic"/>
        </w:rPr>
        <w:t>t</w:t>
      </w:r>
      <w:r w:rsidRPr="002E76E6">
        <w:rPr>
          <w:rFonts w:ascii="Verdana" w:eastAsia="Century Gothic" w:hAnsi="Verdana" w:cs="Century Gothic"/>
        </w:rPr>
        <w:t>i</w:t>
      </w:r>
      <w:r w:rsidR="007E3BAA" w:rsidRPr="002E76E6">
        <w:rPr>
          <w:rFonts w:ascii="Verdana" w:eastAsia="Century Gothic" w:hAnsi="Verdana" w:cs="Century Gothic"/>
        </w:rPr>
        <w:t>vo</w:t>
      </w:r>
      <w:r w:rsidRPr="002E76E6">
        <w:rPr>
          <w:rFonts w:ascii="Verdana" w:eastAsia="Century Gothic" w:hAnsi="Verdana" w:cs="Century Gothic"/>
        </w:rPr>
        <w:t xml:space="preserve"> de las restricciones previstas en los artículos 33 y 38 de la Ley 996 de 2005?              </w:t>
      </w:r>
      <w:r w:rsidRPr="002E76E6">
        <w:rPr>
          <w:rFonts w:ascii="Verdana" w:eastAsia="Century Gothic" w:hAnsi="Verdana" w:cs="Century Gothic"/>
          <w:color w:val="7030A0"/>
        </w:rPr>
        <w:t xml:space="preserve"> </w:t>
      </w:r>
    </w:p>
    <w:p w14:paraId="705D8310" w14:textId="77777777" w:rsidR="00220D11" w:rsidRPr="002E76E6" w:rsidRDefault="00220D11">
      <w:pPr>
        <w:spacing w:after="0" w:line="276" w:lineRule="auto"/>
        <w:jc w:val="both"/>
        <w:rPr>
          <w:rStyle w:val="Hipervnculo"/>
          <w:rFonts w:ascii="Verdana" w:hAnsi="Verdana" w:cs="Arial"/>
          <w:highlight w:val="cyan"/>
        </w:rPr>
      </w:pPr>
    </w:p>
    <w:p w14:paraId="4E79EEDA" w14:textId="77777777" w:rsidR="00220D11" w:rsidRPr="002E76E6" w:rsidRDefault="00220D11">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2E76E6">
        <w:rPr>
          <w:rFonts w:ascii="Verdana" w:eastAsia="Arial" w:hAnsi="Verdana" w:cs="Arial"/>
          <w:b/>
          <w:bCs/>
        </w:rPr>
        <w:t>Respuesta:</w:t>
      </w:r>
    </w:p>
    <w:p w14:paraId="70D74E5F" w14:textId="77777777" w:rsidR="002A0DD0" w:rsidRPr="002E76E6" w:rsidRDefault="002A0DD0" w:rsidP="00677B37">
      <w:pPr>
        <w:spacing w:after="0" w:line="276" w:lineRule="auto"/>
        <w:jc w:val="both"/>
        <w:rPr>
          <w:rFonts w:ascii="Verdana" w:eastAsia="Verdana" w:hAnsi="Verdana" w:cs="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34C5A" w:rsidRPr="002E76E6" w14:paraId="7FFD9D98" w14:textId="77777777" w:rsidTr="00B07C70">
        <w:tc>
          <w:tcPr>
            <w:tcW w:w="8828" w:type="dxa"/>
          </w:tcPr>
          <w:p w14:paraId="040807A2" w14:textId="77777777" w:rsidR="00D34C5A" w:rsidRPr="002E76E6" w:rsidRDefault="00D34C5A" w:rsidP="00B07C70">
            <w:pPr>
              <w:spacing w:before="120" w:after="120" w:line="276" w:lineRule="auto"/>
              <w:jc w:val="both"/>
              <w:rPr>
                <w:rFonts w:ascii="Verdana" w:hAnsi="Verdana" w:cs="Arial"/>
                <w:color w:val="000000" w:themeColor="text1"/>
              </w:rPr>
            </w:pPr>
            <w:r w:rsidRPr="002E76E6">
              <w:rPr>
                <w:rFonts w:ascii="Verdana" w:hAnsi="Verdana" w:cs="Arial"/>
                <w:color w:val="000000" w:themeColor="text1"/>
              </w:rPr>
              <w:t>En respuesta al problema antes planteado esta Subdirección manifiesta lo siguiente:</w:t>
            </w:r>
          </w:p>
          <w:p w14:paraId="4319766B" w14:textId="77777777" w:rsidR="00D34C5A" w:rsidRPr="002E76E6" w:rsidRDefault="00D34C5A" w:rsidP="00B07C70">
            <w:pPr>
              <w:spacing w:before="120" w:after="120" w:line="276" w:lineRule="auto"/>
              <w:ind w:firstLine="709"/>
              <w:jc w:val="both"/>
              <w:rPr>
                <w:rFonts w:ascii="Verdana" w:hAnsi="Verdana" w:cs="Arial"/>
              </w:rPr>
            </w:pPr>
            <w:r w:rsidRPr="002E76E6">
              <w:rPr>
                <w:rFonts w:ascii="Verdana" w:eastAsia="Calibri" w:hAnsi="Verdana" w:cs="Arial"/>
                <w:bCs/>
                <w:color w:val="000000" w:themeColor="text1"/>
              </w:rPr>
              <w:t>Conforme a la interpretación general de las normas del sistema de compras públicas</w:t>
            </w:r>
            <w:r w:rsidRPr="002E76E6">
              <w:rPr>
                <w:rFonts w:ascii="Verdana" w:eastAsia="Arial" w:hAnsi="Verdana" w:cs="Arial"/>
                <w:lang w:val="es-MX" w:eastAsia="es-ES" w:bidi="es-ES"/>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2E0B2EC" w14:textId="33D733D7" w:rsidR="00D34C5A" w:rsidRPr="002E76E6" w:rsidRDefault="00D34C5A" w:rsidP="00B07C70">
            <w:pPr>
              <w:spacing w:before="120" w:line="276" w:lineRule="auto"/>
              <w:jc w:val="both"/>
              <w:rPr>
                <w:rFonts w:ascii="Verdana" w:eastAsia="Arial" w:hAnsi="Verdana" w:cs="Arial"/>
                <w:lang w:val="es-MX" w:eastAsia="es-ES" w:bidi="es-ES"/>
              </w:rPr>
            </w:pPr>
            <w:r w:rsidRPr="002E76E6">
              <w:rPr>
                <w:rFonts w:ascii="Verdana" w:eastAsia="Arial" w:hAnsi="Verdana" w:cs="Arial"/>
                <w:lang w:val="es-MX" w:eastAsia="es-ES" w:bidi="es-ES"/>
              </w:rPr>
              <w:tab/>
              <w:t xml:space="preserve">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w:t>
            </w:r>
            <w:r w:rsidRPr="002E76E6">
              <w:rPr>
                <w:rFonts w:ascii="Verdana" w:eastAsia="Arial" w:hAnsi="Verdana" w:cs="Arial"/>
                <w:u w:val="single"/>
                <w:lang w:val="es-MX" w:eastAsia="es-ES" w:bidi="es-ES"/>
              </w:rPr>
              <w:t xml:space="preserve">sin distinción del régimen jurídico, forma de organización o naturaleza, su pertenencia a una u otra rama del poder público o su autonomía, e incluso si las </w:t>
            </w:r>
            <w:r w:rsidR="00845B43" w:rsidRPr="002E76E6">
              <w:rPr>
                <w:rFonts w:ascii="Verdana" w:eastAsia="Arial" w:hAnsi="Verdana" w:cs="Arial"/>
                <w:u w:val="single"/>
                <w:lang w:val="es-MX" w:eastAsia="es-ES" w:bidi="es-ES"/>
              </w:rPr>
              <w:t>E</w:t>
            </w:r>
            <w:r w:rsidRPr="002E76E6">
              <w:rPr>
                <w:rFonts w:ascii="Verdana" w:eastAsia="Arial" w:hAnsi="Verdana" w:cs="Arial"/>
                <w:u w:val="single"/>
                <w:lang w:val="es-MX" w:eastAsia="es-ES" w:bidi="es-ES"/>
              </w:rPr>
              <w:t xml:space="preserve">ntidades </w:t>
            </w:r>
            <w:r w:rsidR="00845B43" w:rsidRPr="002E76E6">
              <w:rPr>
                <w:rFonts w:ascii="Verdana" w:eastAsia="Arial" w:hAnsi="Verdana" w:cs="Arial"/>
                <w:u w:val="single"/>
                <w:lang w:val="es-MX" w:eastAsia="es-ES" w:bidi="es-ES"/>
              </w:rPr>
              <w:t>E</w:t>
            </w:r>
            <w:r w:rsidRPr="002E76E6">
              <w:rPr>
                <w:rFonts w:ascii="Verdana" w:eastAsia="Arial" w:hAnsi="Verdana" w:cs="Arial"/>
                <w:u w:val="single"/>
                <w:lang w:val="es-MX" w:eastAsia="es-ES" w:bidi="es-ES"/>
              </w:rPr>
              <w:t>statales tienen régimen especial de contratación y están exceptuadas del ámbito de aplicación del Estatuto General de Contratación de la Administración Pública.</w:t>
            </w:r>
          </w:p>
          <w:p w14:paraId="413CEF96" w14:textId="77777777" w:rsidR="00D34C5A" w:rsidRPr="002E76E6" w:rsidRDefault="00D34C5A" w:rsidP="00B07C70">
            <w:pPr>
              <w:spacing w:before="120" w:line="276" w:lineRule="auto"/>
              <w:ind w:firstLine="708"/>
              <w:jc w:val="both"/>
              <w:rPr>
                <w:rFonts w:ascii="Verdana" w:eastAsia="Times New Roman" w:hAnsi="Verdana" w:cs="Arial"/>
                <w:lang w:val="es-MX" w:eastAsia="es-CO"/>
              </w:rPr>
            </w:pPr>
            <w:r w:rsidRPr="002E76E6">
              <w:rPr>
                <w:rFonts w:ascii="Verdana" w:eastAsia="Times New Roman" w:hAnsi="Verdana" w:cs="Arial"/>
                <w:lang w:val="es-MX" w:eastAsia="es-CO"/>
              </w:rPr>
              <w:t xml:space="preserve">Por su parte, el parágrafo del artículo 38 de la Ley 996 de 2005 prohíbe a los Alcaldes, Gobernadores, Secretarios, Gerentes y Directores de las entidades del orden municipal, departamental o distrital celebrar </w:t>
            </w:r>
            <w:r w:rsidRPr="002E76E6">
              <w:rPr>
                <w:rFonts w:ascii="Verdana" w:eastAsia="Times New Roman" w:hAnsi="Verdana" w:cs="Arial"/>
                <w:i/>
                <w:iCs/>
                <w:lang w:val="es-MX" w:eastAsia="es-CO"/>
              </w:rPr>
              <w:t>convenios interadministrativos</w:t>
            </w:r>
            <w:r w:rsidRPr="002E76E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2E76E6">
              <w:rPr>
                <w:rFonts w:ascii="Verdana" w:eastAsia="Times New Roman" w:hAnsi="Verdana" w:cs="Arial"/>
                <w:i/>
                <w:lang w:val="es-MX" w:eastAsia="es-CO"/>
              </w:rPr>
              <w:t>ibidem</w:t>
            </w:r>
            <w:r w:rsidRPr="002E76E6">
              <w:rPr>
                <w:rFonts w:ascii="Verdana" w:eastAsia="Times New Roman" w:hAnsi="Verdana" w:cs="Arial"/>
                <w:lang w:val="es-MX" w:eastAsia="es-CO"/>
              </w:rPr>
              <w:t xml:space="preserve">, no podrá celebrar tales </w:t>
            </w:r>
            <w:r w:rsidRPr="002E76E6">
              <w:rPr>
                <w:rFonts w:ascii="Verdana" w:eastAsia="Times New Roman" w:hAnsi="Verdana" w:cs="Arial"/>
                <w:i/>
                <w:iCs/>
                <w:lang w:val="es-MX" w:eastAsia="es-CO"/>
              </w:rPr>
              <w:t>convenios</w:t>
            </w:r>
            <w:r w:rsidRPr="002E76E6">
              <w:rPr>
                <w:rFonts w:ascii="Verdana" w:eastAsia="Times New Roman" w:hAnsi="Verdana" w:cs="Arial"/>
                <w:lang w:val="es-MX" w:eastAsia="es-CO"/>
              </w:rPr>
              <w:t xml:space="preserve"> durante la </w:t>
            </w:r>
            <w:r w:rsidRPr="002E76E6">
              <w:rPr>
                <w:rFonts w:ascii="Verdana" w:eastAsia="Times New Roman" w:hAnsi="Verdana" w:cs="Arial"/>
                <w:lang w:val="es-MX" w:eastAsia="es-CO"/>
              </w:rPr>
              <w:lastRenderedPageBreak/>
              <w:t xml:space="preserve">aplicación de la Ley de Garantías Electorales, toda vez que la citada disposición hace referencia a dicha tipología contractual sin que el legislador hubiere contemplado un efecto extensivo a otra tipología. </w:t>
            </w:r>
          </w:p>
          <w:p w14:paraId="59C01DE4" w14:textId="77777777" w:rsidR="00D34C5A" w:rsidRPr="002E76E6" w:rsidRDefault="00D34C5A" w:rsidP="00B07C70">
            <w:pPr>
              <w:spacing w:before="120" w:line="276" w:lineRule="auto"/>
              <w:ind w:firstLine="708"/>
              <w:jc w:val="both"/>
              <w:rPr>
                <w:rFonts w:ascii="Verdana" w:eastAsia="Times New Roman" w:hAnsi="Verdana" w:cs="Arial"/>
                <w:lang w:eastAsia="es-CO"/>
              </w:rPr>
            </w:pPr>
            <w:r w:rsidRPr="002E76E6">
              <w:rPr>
                <w:rFonts w:ascii="Verdana" w:eastAsia="Times New Roman" w:hAnsi="Verdana" w:cs="Arial"/>
                <w:lang w:val="es-MX" w:eastAsia="es-CO"/>
              </w:rPr>
              <w:t>Respecto del alcance de esta prohibición la Circular Externa No. 006 de 2025 expedida por la ANCP-CCE, en los literales ii) y iv) del numeral 2</w:t>
            </w:r>
            <w:r w:rsidRPr="002E76E6">
              <w:rPr>
                <w:rFonts w:ascii="Verdana" w:eastAsia="Times New Roman" w:hAnsi="Verdana" w:cs="Arial"/>
                <w:lang w:eastAsia="es-CO"/>
              </w:rPr>
              <w:t>,</w:t>
            </w:r>
            <w:r w:rsidRPr="002E76E6">
              <w:rPr>
                <w:rFonts w:ascii="Verdana" w:eastAsia="Times New Roman" w:hAnsi="Verdana" w:cs="Arial"/>
                <w:lang w:val="es-MX" w:eastAsia="es-CO"/>
              </w:rPr>
              <w:t xml:space="preserve"> indica que el </w:t>
            </w:r>
            <w:r w:rsidRPr="002E76E6">
              <w:rPr>
                <w:rFonts w:ascii="Verdana" w:eastAsia="Times New Roman" w:hAnsi="Verdana" w:cs="Arial"/>
                <w:lang w:eastAsia="es-CO"/>
              </w:rPr>
              <w:t xml:space="preserve">parágrafo del artículo 38 de la Ley 996 de 2005 cobija expresamente a los </w:t>
            </w:r>
            <w:r w:rsidRPr="002E76E6">
              <w:rPr>
                <w:rFonts w:ascii="Verdana" w:eastAsia="Times New Roman" w:hAnsi="Verdana" w:cs="Arial"/>
                <w:i/>
                <w:iCs/>
                <w:lang w:eastAsia="es-CO"/>
              </w:rPr>
              <w:t>convenios interadministrativos</w:t>
            </w:r>
            <w:r w:rsidRPr="002E76E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2E76E6">
              <w:rPr>
                <w:rFonts w:ascii="Verdana" w:eastAsia="Times New Roman" w:hAnsi="Verdana" w:cs="Arial"/>
                <w:i/>
                <w:iCs/>
                <w:lang w:eastAsia="es-CO"/>
              </w:rPr>
              <w:t>“aunque se configure alguno de los supuestos de excepción que señaló el inciso final del artículo 33”.</w:t>
            </w:r>
            <w:r w:rsidRPr="002E76E6">
              <w:rPr>
                <w:rFonts w:ascii="Verdana" w:eastAsia="Times New Roman" w:hAnsi="Verdana" w:cs="Arial"/>
                <w:lang w:eastAsia="es-CO"/>
              </w:rPr>
              <w:t xml:space="preserve"> Es decir, no aplica a “[…] los requeridos para cubrir las emergencias educativas, sanitarias y desastres […]”, expresiones cuyo alcance se determina a partir de las 1523 de 2012 y 1753 de 2015, así como la Resolución del Ministerio de Educación Nacional 6519 del 1˚ de abril de 2025. 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3A4789D9" w14:textId="77777777" w:rsidR="00D34C5A" w:rsidRPr="002E76E6" w:rsidRDefault="00D34C5A" w:rsidP="00B07C70">
            <w:pPr>
              <w:spacing w:before="120" w:after="120" w:line="276" w:lineRule="auto"/>
              <w:ind w:firstLine="709"/>
              <w:jc w:val="both"/>
              <w:rPr>
                <w:rFonts w:ascii="Verdana" w:eastAsia="Times New Roman" w:hAnsi="Verdana" w:cs="Arial"/>
                <w:lang w:eastAsia="es-CO"/>
              </w:rPr>
            </w:pPr>
            <w:r w:rsidRPr="002E76E6">
              <w:rPr>
                <w:rFonts w:ascii="Verdana" w:eastAsia="Times New Roman" w:hAnsi="Verdana" w:cs="Arial"/>
                <w:lang w:eastAsia="es-CO"/>
              </w:rPr>
              <w:t xml:space="preserve">Dichas prohibiciones coinciden parcialmente. </w:t>
            </w:r>
            <w:r w:rsidRPr="002E76E6">
              <w:rPr>
                <w:rFonts w:ascii="Verdana" w:eastAsia="Times New Roman" w:hAnsi="Verdana" w:cs="Arial"/>
                <w:i/>
                <w:iCs/>
                <w:lang w:eastAsia="es-CO"/>
              </w:rPr>
              <w:t>En primer lugar</w:t>
            </w:r>
            <w:r w:rsidRPr="002E76E6">
              <w:rPr>
                <w:rFonts w:ascii="Verdana" w:eastAsia="Times New Roman" w:hAnsi="Verdana" w:cs="Arial"/>
                <w:lang w:eastAsia="es-CO"/>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E76E6">
              <w:rPr>
                <w:rFonts w:ascii="Verdana" w:eastAsia="Times New Roman" w:hAnsi="Verdana" w:cs="Arial"/>
                <w:i/>
                <w:iCs/>
                <w:lang w:eastAsia="es-CO"/>
              </w:rPr>
              <w:t>En segundo lugar</w:t>
            </w:r>
            <w:r w:rsidRPr="002E76E6">
              <w:rPr>
                <w:rFonts w:ascii="Verdana" w:eastAsia="Times New Roman" w:hAnsi="Verdana" w:cs="Arial"/>
                <w:lang w:eastAsia="es-CO"/>
              </w:rPr>
              <w:t xml:space="preserve">, también se encuentra la prohibición del parágrafo del artículo 38, el cual debe aplicarse respecto de cualquier tipo de contienda electoral, y que prohíbe la celebración de convenios </w:t>
            </w:r>
            <w:r w:rsidRPr="002E76E6">
              <w:rPr>
                <w:rFonts w:ascii="Verdana" w:eastAsia="Times New Roman" w:hAnsi="Verdana" w:cs="Arial"/>
                <w:lang w:eastAsia="es-CO"/>
              </w:rPr>
              <w:lastRenderedPageBreak/>
              <w:t>interadministrativos que impliquen la ejecución de recursos públicos dentro de los cuatro (4) meses anteriores a la respectiva jornada de votaciones.</w:t>
            </w:r>
          </w:p>
          <w:p w14:paraId="7D27EEB5" w14:textId="77777777" w:rsidR="00D34C5A" w:rsidRPr="002E76E6" w:rsidRDefault="00D34C5A" w:rsidP="00B07C70">
            <w:pPr>
              <w:spacing w:before="120" w:after="120" w:line="276" w:lineRule="auto"/>
              <w:ind w:firstLine="709"/>
              <w:jc w:val="both"/>
              <w:rPr>
                <w:rFonts w:ascii="Verdana" w:eastAsia="Times New Roman" w:hAnsi="Verdana" w:cs="Arial"/>
                <w:lang w:eastAsia="es-CO"/>
              </w:rPr>
            </w:pPr>
            <w:r w:rsidRPr="002E76E6">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7A44998" w14:textId="77777777" w:rsidR="001A33BF" w:rsidRPr="002E76E6" w:rsidRDefault="001A33BF" w:rsidP="00677B37">
      <w:pPr>
        <w:spacing w:after="0" w:line="276" w:lineRule="auto"/>
        <w:jc w:val="both"/>
        <w:rPr>
          <w:rFonts w:ascii="Verdana" w:eastAsia="Verdana" w:hAnsi="Verdana" w:cs="Verdana"/>
        </w:rPr>
      </w:pPr>
    </w:p>
    <w:p w14:paraId="462E483F" w14:textId="77777777" w:rsidR="00D22A56" w:rsidRPr="002E76E6" w:rsidRDefault="00D22A56" w:rsidP="007E3BA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2E76E6">
        <w:rPr>
          <w:rFonts w:ascii="Verdana" w:eastAsia="Century Gothic" w:hAnsi="Verdana" w:cs="Century Gothic"/>
          <w:b/>
          <w:bCs/>
          <w:color w:val="000000" w:themeColor="text1"/>
        </w:rPr>
        <w:t>Razones de la respuesta:</w:t>
      </w:r>
    </w:p>
    <w:p w14:paraId="789663F6" w14:textId="77777777" w:rsidR="00D22A56" w:rsidRPr="002E76E6" w:rsidRDefault="00D22A56" w:rsidP="00E1176D">
      <w:pPr>
        <w:tabs>
          <w:tab w:val="left" w:pos="426"/>
        </w:tabs>
        <w:spacing w:after="0" w:line="276" w:lineRule="auto"/>
        <w:jc w:val="both"/>
        <w:rPr>
          <w:rFonts w:ascii="Verdana" w:eastAsia="Century Gothic" w:hAnsi="Verdana" w:cs="Century Gothic"/>
          <w:color w:val="000000" w:themeColor="text1"/>
        </w:rPr>
      </w:pPr>
    </w:p>
    <w:p w14:paraId="3C85D4B8" w14:textId="77777777" w:rsidR="00D22A56" w:rsidRPr="002E76E6" w:rsidRDefault="00D22A56" w:rsidP="00E1176D">
      <w:pPr>
        <w:spacing w:after="0" w:line="276" w:lineRule="auto"/>
        <w:jc w:val="both"/>
        <w:rPr>
          <w:rFonts w:ascii="Verdana" w:eastAsia="Calibri" w:hAnsi="Verdana" w:cs="Arial"/>
          <w:lang w:val="es-ES"/>
        </w:rPr>
      </w:pPr>
      <w:r w:rsidRPr="002E76E6">
        <w:rPr>
          <w:rFonts w:ascii="Verdana" w:eastAsia="Calibri" w:hAnsi="Verdana" w:cs="Arial"/>
          <w:lang w:val="es-ES"/>
        </w:rPr>
        <w:t>Lo anterior se sustenta en las siguientes consideraciones:</w:t>
      </w:r>
    </w:p>
    <w:p w14:paraId="753E7686" w14:textId="77777777" w:rsidR="00D22A56" w:rsidRPr="002E76E6" w:rsidRDefault="00D22A56">
      <w:pPr>
        <w:spacing w:after="0" w:line="276" w:lineRule="auto"/>
        <w:jc w:val="both"/>
        <w:rPr>
          <w:rFonts w:ascii="Verdana" w:eastAsia="Calibri" w:hAnsi="Verdana" w:cs="Arial"/>
          <w:lang w:val="es-ES"/>
        </w:rPr>
      </w:pPr>
    </w:p>
    <w:p w14:paraId="7855F128" w14:textId="77777777" w:rsidR="00D22A56" w:rsidRPr="002E76E6" w:rsidRDefault="00D22A56" w:rsidP="00D22A56">
      <w:pPr>
        <w:tabs>
          <w:tab w:val="left" w:pos="426"/>
        </w:tabs>
        <w:spacing w:after="120" w:line="276" w:lineRule="auto"/>
        <w:jc w:val="both"/>
        <w:rPr>
          <w:rFonts w:ascii="Verdana" w:eastAsia="Times New Roman" w:hAnsi="Verdana" w:cs="Arial"/>
          <w:lang w:eastAsia="es-CO"/>
        </w:rPr>
      </w:pPr>
      <w:r w:rsidRPr="002E76E6">
        <w:rPr>
          <w:rFonts w:ascii="Verdana" w:eastAsia="Calibri" w:hAnsi="Verdana" w:cs="Arial"/>
          <w:color w:val="000000" w:themeColor="text1"/>
        </w:rPr>
        <w:t xml:space="preserve">i. </w:t>
      </w:r>
      <w:r w:rsidRPr="002E76E6">
        <w:rPr>
          <w:rFonts w:ascii="Verdana" w:eastAsia="Calibri" w:hAnsi="Verdana" w:cs="Arial"/>
        </w:rPr>
        <w:t>El ordenamiento jurídico colombiano contempla previsiones claras para evitar la obtención de beneficios personales en asuntos propios de la administración pública</w:t>
      </w:r>
      <w:r w:rsidRPr="002E76E6">
        <w:rPr>
          <w:rFonts w:ascii="Verdana" w:eastAsia="Calibri" w:hAnsi="Verdana" w:cs="Arial"/>
          <w:i/>
        </w:rPr>
        <w:t xml:space="preserve">. </w:t>
      </w:r>
      <w:r w:rsidRPr="002E76E6">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2E76E6">
        <w:rPr>
          <w:rFonts w:ascii="Verdana" w:eastAsia="Calibri" w:hAnsi="Verdana" w:cs="Arial"/>
          <w:vertAlign w:val="superscript"/>
        </w:rPr>
        <w:footnoteReference w:id="1"/>
      </w:r>
      <w:r w:rsidRPr="002E76E6">
        <w:rPr>
          <w:rFonts w:ascii="Verdana" w:eastAsia="Calibri" w:hAnsi="Verdana" w:cs="Arial"/>
        </w:rPr>
        <w:t xml:space="preserve">. </w:t>
      </w:r>
    </w:p>
    <w:p w14:paraId="14117CC0" w14:textId="77777777" w:rsidR="00D22A56" w:rsidRPr="002E76E6" w:rsidRDefault="00D22A56" w:rsidP="00D22A56">
      <w:pPr>
        <w:tabs>
          <w:tab w:val="left" w:pos="426"/>
        </w:tabs>
        <w:spacing w:after="0" w:line="276" w:lineRule="auto"/>
        <w:ind w:firstLine="709"/>
        <w:jc w:val="both"/>
        <w:rPr>
          <w:rFonts w:ascii="Verdana" w:eastAsia="Times New Roman" w:hAnsi="Verdana" w:cs="Arial"/>
          <w:lang w:val="es-MX" w:eastAsia="es-CO"/>
        </w:rPr>
      </w:pPr>
      <w:r w:rsidRPr="002E76E6">
        <w:rPr>
          <w:rFonts w:ascii="Verdana" w:eastAsia="Times New Roman" w:hAnsi="Verdana" w:cs="Arial"/>
          <w:lang w:eastAsia="es-CO"/>
        </w:rPr>
        <w:t>En el mismo sentido</w:t>
      </w:r>
      <w:r w:rsidRPr="002E76E6">
        <w:rPr>
          <w:rFonts w:ascii="Verdana" w:eastAsia="Times New Roman" w:hAnsi="Verdana" w:cs="Arial"/>
          <w:lang w:val="es-MX" w:eastAsia="es-CO"/>
        </w:rPr>
        <w:t xml:space="preserve">, </w:t>
      </w:r>
      <w:bookmarkStart w:id="1" w:name="_Hlk99576829"/>
      <w:r w:rsidRPr="002E76E6">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2E76E6">
        <w:rPr>
          <w:rFonts w:ascii="Verdana" w:eastAsia="Times New Roman" w:hAnsi="Verdana" w:cs="Arial"/>
          <w:vertAlign w:val="superscript"/>
          <w:lang w:val="es-MX" w:eastAsia="es-CO"/>
        </w:rPr>
        <w:footnoteReference w:id="2"/>
      </w:r>
      <w:r w:rsidRPr="002E76E6">
        <w:rPr>
          <w:rFonts w:ascii="Verdana" w:eastAsia="Times New Roman" w:hAnsi="Verdana" w:cs="Arial"/>
          <w:lang w:val="es-MX" w:eastAsia="es-CO"/>
        </w:rPr>
        <w:t xml:space="preserve">. En esta </w:t>
      </w:r>
      <w:r w:rsidRPr="002E76E6">
        <w:rPr>
          <w:rFonts w:ascii="Verdana" w:eastAsia="Times New Roman" w:hAnsi="Verdana" w:cs="Arial"/>
          <w:lang w:val="es-MX" w:eastAsia="es-CO"/>
        </w:rPr>
        <w:lastRenderedPageBreak/>
        <w:t>medida, introduce limitaciones para realizar nombramientos, postulaciones, contrataciones o cualquier otro tipo de actividad que implique destinación de recursos públicos bajo el devenir propio de las entidades estatales.</w:t>
      </w:r>
      <w:r w:rsidRPr="002E76E6">
        <w:rPr>
          <w:rFonts w:ascii="Verdana" w:eastAsia="Calibri" w:hAnsi="Verdana" w:cs="Arial"/>
          <w:lang w:val="es-ES_tradnl"/>
        </w:rPr>
        <w:t xml:space="preserve"> </w:t>
      </w:r>
      <w:bookmarkEnd w:id="1"/>
      <w:r w:rsidRPr="002E76E6">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DEB96E8" w14:textId="77777777" w:rsidR="00D22A56" w:rsidRPr="002E76E6" w:rsidRDefault="00D22A56" w:rsidP="00D22A56">
      <w:pPr>
        <w:spacing w:after="0" w:line="276" w:lineRule="auto"/>
        <w:ind w:right="709"/>
        <w:contextualSpacing/>
        <w:jc w:val="both"/>
        <w:rPr>
          <w:rFonts w:ascii="Verdana" w:eastAsia="Times New Roman" w:hAnsi="Verdana" w:cs="Arial"/>
          <w:sz w:val="21"/>
          <w:szCs w:val="21"/>
          <w:lang w:val="es-ES" w:eastAsia="es-CO"/>
        </w:rPr>
      </w:pPr>
    </w:p>
    <w:p w14:paraId="52093538" w14:textId="77777777" w:rsidR="00D22A56" w:rsidRPr="002E76E6" w:rsidRDefault="00D22A56" w:rsidP="00DE328D">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ES" w:eastAsia="es-CO"/>
        </w:rPr>
        <w:t xml:space="preserve">“[…] </w:t>
      </w:r>
      <w:r w:rsidRPr="002E76E6">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64B97C2" w14:textId="77777777" w:rsidR="00D22A56" w:rsidRPr="002E76E6" w:rsidRDefault="00D22A56" w:rsidP="00677B37">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 xml:space="preserve">[…] </w:t>
      </w:r>
    </w:p>
    <w:p w14:paraId="5D09D553" w14:textId="77777777" w:rsidR="00D22A56" w:rsidRPr="002E76E6" w:rsidRDefault="00D22A56" w:rsidP="00677B37">
      <w:pPr>
        <w:spacing w:after="0" w:line="240" w:lineRule="auto"/>
        <w:ind w:left="709" w:right="709"/>
        <w:contextualSpacing/>
        <w:jc w:val="both"/>
        <w:rPr>
          <w:rFonts w:ascii="Verdana" w:eastAsia="Times New Roman" w:hAnsi="Verdana" w:cs="Arial"/>
          <w:sz w:val="20"/>
          <w:szCs w:val="20"/>
          <w:lang w:val="es-MX" w:eastAsia="es-CO"/>
        </w:rPr>
      </w:pPr>
    </w:p>
    <w:p w14:paraId="5D49C7EA" w14:textId="77777777" w:rsidR="00D22A56" w:rsidRPr="002E76E6" w:rsidRDefault="00D22A56" w:rsidP="00DE328D">
      <w:pPr>
        <w:spacing w:after="0" w:line="240" w:lineRule="auto"/>
        <w:ind w:left="709" w:right="709"/>
        <w:contextualSpacing/>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2E76E6">
        <w:rPr>
          <w:rFonts w:ascii="Verdana" w:eastAsia="Calibri" w:hAnsi="Verdana" w:cs="Arial"/>
          <w:sz w:val="20"/>
          <w:szCs w:val="20"/>
          <w:vertAlign w:val="superscript"/>
          <w:lang w:val="es-MX"/>
        </w:rPr>
        <w:footnoteReference w:id="3"/>
      </w:r>
      <w:r w:rsidRPr="002E76E6">
        <w:rPr>
          <w:rFonts w:ascii="Verdana" w:eastAsia="Times New Roman" w:hAnsi="Verdana" w:cs="Arial"/>
          <w:sz w:val="20"/>
          <w:szCs w:val="20"/>
          <w:lang w:val="es-MX" w:eastAsia="es-CO"/>
        </w:rPr>
        <w:t>.</w:t>
      </w:r>
    </w:p>
    <w:p w14:paraId="72873206" w14:textId="77777777" w:rsidR="00D22A56" w:rsidRPr="002E76E6" w:rsidRDefault="00D22A56" w:rsidP="00677B37">
      <w:pPr>
        <w:spacing w:after="0" w:line="276" w:lineRule="auto"/>
        <w:ind w:left="709" w:right="709"/>
        <w:jc w:val="both"/>
        <w:rPr>
          <w:rFonts w:ascii="Verdana" w:eastAsia="Times New Roman" w:hAnsi="Verdana" w:cs="Arial"/>
          <w:lang w:val="es-MX" w:eastAsia="es-CO"/>
        </w:rPr>
      </w:pPr>
    </w:p>
    <w:p w14:paraId="797314A6" w14:textId="4D647C82" w:rsidR="00DF1B79" w:rsidRPr="002E76E6" w:rsidRDefault="00D22A56" w:rsidP="00677B37">
      <w:pPr>
        <w:spacing w:after="120" w:line="276" w:lineRule="auto"/>
        <w:ind w:firstLine="709"/>
        <w:jc w:val="both"/>
        <w:rPr>
          <w:rFonts w:ascii="Verdana" w:eastAsia="Times New Roman" w:hAnsi="Verdana" w:cs="Arial"/>
          <w:lang w:val="es-MX" w:eastAsia="es-CO"/>
        </w:rPr>
      </w:pPr>
      <w:bookmarkStart w:id="2" w:name="_Hlk78818186"/>
      <w:r w:rsidRPr="002E76E6">
        <w:rPr>
          <w:rFonts w:ascii="Verdana" w:eastAsia="Times New Roman" w:hAnsi="Verdana" w:cs="Arial"/>
          <w:lang w:val="es-MX" w:eastAsia="es-CO"/>
        </w:rPr>
        <w:t>De esta manera, la Ley de Garantías Electorales establece el marco jurídico para el desarrollo de las elecciones, procurando condiciones de igualdad y transparencia para los aspirante</w:t>
      </w:r>
      <w:r w:rsidR="004A07AF" w:rsidRPr="002E76E6">
        <w:rPr>
          <w:rFonts w:ascii="Verdana" w:eastAsia="Times New Roman" w:hAnsi="Verdana" w:cs="Arial"/>
          <w:lang w:val="es-MX" w:eastAsia="es-CO"/>
        </w:rPr>
        <w:t>. P</w:t>
      </w:r>
      <w:r w:rsidRPr="002E76E6">
        <w:rPr>
          <w:rFonts w:ascii="Verdana" w:eastAsia="Times New Roman" w:hAnsi="Verdana" w:cs="Arial"/>
          <w:lang w:val="es-MX" w:eastAsia="es-CO"/>
        </w:rPr>
        <w:t>aralelamente</w:t>
      </w:r>
      <w:r w:rsidR="004A07AF" w:rsidRPr="002E76E6">
        <w:rPr>
          <w:rFonts w:ascii="Verdana" w:eastAsia="Times New Roman" w:hAnsi="Verdana" w:cs="Arial"/>
          <w:lang w:val="es-MX" w:eastAsia="es-CO"/>
        </w:rPr>
        <w:t>,</w:t>
      </w:r>
      <w:r w:rsidRPr="002E76E6">
        <w:rPr>
          <w:rFonts w:ascii="Verdana" w:eastAsia="Times New Roman" w:hAnsi="Verdana" w:cs="Arial"/>
          <w:lang w:val="es-MX" w:eastAsia="es-CO"/>
        </w:rPr>
        <w:t xml:space="preserve"> incluye restricciones en el actuar de los servidores públicos, evitando interferencias en la contienda electoral, así como la posible desviación de recursos públicos en aspiraciones electorales. </w:t>
      </w:r>
      <w:bookmarkEnd w:id="2"/>
      <w:r w:rsidRPr="002E76E6">
        <w:rPr>
          <w:rFonts w:ascii="Verdana" w:eastAsia="Times New Roman" w:hAnsi="Verdana" w:cs="Arial"/>
          <w:lang w:val="es-MX" w:eastAsia="es-CO"/>
        </w:rPr>
        <w:t xml:space="preserve">Por ello, varias de las disposiciones de la Ley 996 de 2005, al contener normas prohibitivas, no admiten una interpretación amplia, sino que deben interpretarse restrictivamente. </w:t>
      </w:r>
    </w:p>
    <w:p w14:paraId="4796FE19" w14:textId="352C2423" w:rsidR="00D22A56" w:rsidRPr="002E76E6" w:rsidRDefault="00D22A56" w:rsidP="004A07AF">
      <w:pPr>
        <w:spacing w:after="0" w:line="276" w:lineRule="auto"/>
        <w:ind w:firstLine="709"/>
        <w:jc w:val="both"/>
        <w:rPr>
          <w:rFonts w:ascii="Verdana" w:eastAsia="Times New Roman" w:hAnsi="Verdana" w:cs="Arial"/>
          <w:lang w:val="es-MX" w:eastAsia="es-CO"/>
        </w:rPr>
      </w:pPr>
      <w:r w:rsidRPr="002E76E6">
        <w:rPr>
          <w:rFonts w:ascii="Verdana" w:eastAsia="Times New Roman" w:hAnsi="Verdana" w:cs="Arial"/>
          <w:lang w:val="es-MX" w:eastAsia="es-CO"/>
        </w:rPr>
        <w:t>En efecto, la Sala de Consulta y Servicio Civil del Consejo de Estado, precisó lo siguiente:</w:t>
      </w:r>
    </w:p>
    <w:p w14:paraId="069EF0E8" w14:textId="77777777" w:rsidR="00D22A56" w:rsidRPr="002E76E6" w:rsidRDefault="00D22A56" w:rsidP="00677B37">
      <w:pPr>
        <w:spacing w:after="0" w:line="276" w:lineRule="auto"/>
        <w:ind w:firstLine="709"/>
        <w:jc w:val="both"/>
        <w:rPr>
          <w:rFonts w:ascii="Verdana" w:eastAsia="Times New Roman" w:hAnsi="Verdana" w:cs="Arial"/>
          <w:lang w:val="es-MX" w:eastAsia="es-CO"/>
        </w:rPr>
      </w:pPr>
    </w:p>
    <w:p w14:paraId="1A8CB65F" w14:textId="77777777" w:rsidR="00D22A56" w:rsidRPr="002E76E6" w:rsidRDefault="00D22A56" w:rsidP="00677B37">
      <w:pPr>
        <w:spacing w:after="0" w:line="240" w:lineRule="auto"/>
        <w:ind w:left="709" w:right="709"/>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w:t>
      </w:r>
      <w:r w:rsidRPr="002E76E6">
        <w:rPr>
          <w:rFonts w:ascii="Verdana" w:eastAsia="Times New Roman" w:hAnsi="Verdana" w:cs="Arial"/>
          <w:sz w:val="20"/>
          <w:szCs w:val="20"/>
          <w:lang w:val="es-MX" w:eastAsia="es-CO"/>
        </w:rPr>
        <w:lastRenderedPageBreak/>
        <w:t>régimen jurídico imperativo y de orden público, razón por la cual no son disponibles ni pueden ser derogadas, modificadas, ampliadas o adicionadas por acuerdo o convenio o acto unilateral.</w:t>
      </w:r>
    </w:p>
    <w:p w14:paraId="233D15EF" w14:textId="77777777" w:rsidR="00D22A56" w:rsidRPr="002E76E6" w:rsidRDefault="00D22A56" w:rsidP="00677B37">
      <w:pPr>
        <w:spacing w:after="0" w:line="240" w:lineRule="auto"/>
        <w:ind w:left="709" w:right="709"/>
        <w:jc w:val="both"/>
        <w:rPr>
          <w:rFonts w:ascii="Verdana" w:eastAsia="Times New Roman" w:hAnsi="Verdana" w:cs="Arial"/>
          <w:sz w:val="12"/>
          <w:szCs w:val="12"/>
          <w:lang w:val="es-MX" w:eastAsia="es-CO"/>
        </w:rPr>
      </w:pPr>
    </w:p>
    <w:p w14:paraId="797F26DF" w14:textId="77777777" w:rsidR="00D22A56" w:rsidRPr="002E76E6" w:rsidRDefault="00D22A56" w:rsidP="00677B37">
      <w:pPr>
        <w:spacing w:after="0" w:line="240" w:lineRule="auto"/>
        <w:ind w:left="709" w:right="709"/>
        <w:jc w:val="both"/>
        <w:rPr>
          <w:rFonts w:ascii="Verdana" w:eastAsia="Times New Roman" w:hAnsi="Verdana" w:cs="Arial"/>
          <w:sz w:val="20"/>
          <w:szCs w:val="20"/>
          <w:lang w:val="es-MX" w:eastAsia="es-CO"/>
        </w:rPr>
      </w:pPr>
      <w:r w:rsidRPr="002E76E6">
        <w:rPr>
          <w:rFonts w:ascii="Verdana" w:eastAsia="Times New Roman" w:hAnsi="Verdana" w:cs="Arial"/>
          <w:sz w:val="20"/>
          <w:szCs w:val="20"/>
          <w:lang w:val="es-MX" w:eastAsia="es-CO"/>
        </w:rPr>
        <w:t>La jurisprudencia de la Corte Constitucional</w:t>
      </w:r>
      <w:r w:rsidRPr="002E76E6">
        <w:rPr>
          <w:rFonts w:ascii="Verdana" w:eastAsia="Times New Roman" w:hAnsi="Verdana" w:cs="Arial"/>
          <w:sz w:val="20"/>
          <w:szCs w:val="20"/>
          <w:vertAlign w:val="superscript"/>
          <w:lang w:val="es-MX" w:eastAsia="es-CO"/>
        </w:rPr>
        <w:footnoteReference w:id="4"/>
      </w:r>
      <w:r w:rsidRPr="002E76E6">
        <w:rPr>
          <w:rFonts w:ascii="Verdana" w:eastAsia="Times New Roman" w:hAnsi="Verdana" w:cs="Arial"/>
          <w:sz w:val="20"/>
          <w:szCs w:val="20"/>
          <w:lang w:val="es-MX" w:eastAsia="es-CO"/>
        </w:rPr>
        <w:t> y del Consejo de Estado</w:t>
      </w:r>
      <w:r w:rsidRPr="002E76E6">
        <w:rPr>
          <w:rFonts w:ascii="Verdana" w:eastAsia="Times New Roman" w:hAnsi="Verdana" w:cs="Arial"/>
          <w:sz w:val="20"/>
          <w:szCs w:val="20"/>
          <w:vertAlign w:val="superscript"/>
          <w:lang w:val="es-MX" w:eastAsia="es-CO"/>
        </w:rPr>
        <w:footnoteReference w:id="5"/>
      </w:r>
      <w:r w:rsidRPr="002E76E6">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2E76E6">
        <w:rPr>
          <w:rFonts w:ascii="Verdana" w:eastAsia="Times New Roman" w:hAnsi="Verdana" w:cs="Arial"/>
          <w:sz w:val="20"/>
          <w:szCs w:val="20"/>
          <w:vertAlign w:val="superscript"/>
          <w:lang w:val="es-MX" w:eastAsia="es-CO"/>
        </w:rPr>
        <w:footnoteReference w:id="6"/>
      </w:r>
      <w:r w:rsidRPr="002E76E6">
        <w:rPr>
          <w:rFonts w:ascii="Verdana" w:eastAsia="Times New Roman" w:hAnsi="Verdana" w:cs="Arial"/>
          <w:sz w:val="20"/>
          <w:szCs w:val="20"/>
          <w:lang w:val="es-MX" w:eastAsia="es-CO"/>
        </w:rPr>
        <w:t>.</w:t>
      </w:r>
    </w:p>
    <w:p w14:paraId="1E0329EE" w14:textId="77777777" w:rsidR="00D22A56" w:rsidRPr="002E76E6" w:rsidRDefault="00D22A56" w:rsidP="00D22A56">
      <w:pPr>
        <w:spacing w:after="0" w:line="276" w:lineRule="auto"/>
        <w:ind w:right="709"/>
        <w:contextualSpacing/>
        <w:jc w:val="both"/>
        <w:rPr>
          <w:rFonts w:ascii="Verdana" w:eastAsia="Times New Roman" w:hAnsi="Verdana" w:cs="Arial"/>
          <w:sz w:val="21"/>
          <w:szCs w:val="21"/>
          <w:lang w:val="es-MX" w:eastAsia="es-CO"/>
        </w:rPr>
      </w:pPr>
    </w:p>
    <w:p w14:paraId="7A6C5F1B" w14:textId="3D61525E" w:rsidR="00D22A56" w:rsidRPr="002E76E6" w:rsidRDefault="00D22A56" w:rsidP="00E1176D">
      <w:pPr>
        <w:spacing w:after="120" w:line="276" w:lineRule="auto"/>
        <w:jc w:val="both"/>
        <w:rPr>
          <w:rFonts w:ascii="Verdana" w:eastAsia="Arial" w:hAnsi="Verdana" w:cs="Arial"/>
          <w:lang w:val="es-ES" w:eastAsia="es-ES" w:bidi="es-ES"/>
        </w:rPr>
      </w:pPr>
      <w:r w:rsidRPr="002E76E6">
        <w:rPr>
          <w:rFonts w:ascii="Verdana" w:eastAsia="Times New Roman" w:hAnsi="Verdana" w:cs="Arial"/>
          <w:lang w:val="es-MX" w:eastAsia="es-CO"/>
        </w:rPr>
        <w:tab/>
        <w:t>De</w:t>
      </w:r>
      <w:r w:rsidRPr="002E76E6">
        <w:rPr>
          <w:rFonts w:ascii="Verdana" w:eastAsia="Arial" w:hAnsi="Verdana" w:cs="Arial"/>
          <w:lang w:val="es-ES" w:eastAsia="es-ES" w:bidi="es-ES"/>
        </w:rPr>
        <w:t xml:space="preserve"> conformidad con lo anterior, </w:t>
      </w:r>
      <w:bookmarkStart w:id="3" w:name="_Hlk77236098"/>
      <w:bookmarkStart w:id="4" w:name="_Hlk100679383"/>
      <w:r w:rsidRPr="002E76E6">
        <w:rPr>
          <w:rFonts w:ascii="Verdana" w:eastAsia="Arial" w:hAnsi="Verdana" w:cs="Arial"/>
          <w:lang w:val="es-ES" w:eastAsia="es-ES" w:bidi="es-ES"/>
        </w:rPr>
        <w:t xml:space="preserve">la Ley de Garantías Electorales fijó una serie de regulaciones y prohibiciones dirigidas a los servidores públicos. </w:t>
      </w:r>
      <w:r w:rsidR="00DF1B79" w:rsidRPr="002E76E6">
        <w:rPr>
          <w:rFonts w:ascii="Verdana" w:eastAsia="Arial" w:hAnsi="Verdana" w:cs="Arial"/>
          <w:lang w:val="es-ES" w:eastAsia="es-ES" w:bidi="es-ES"/>
        </w:rPr>
        <w:t>Así, c</w:t>
      </w:r>
      <w:r w:rsidRPr="002E76E6">
        <w:rPr>
          <w:rFonts w:ascii="Verdana" w:eastAsia="Arial" w:hAnsi="Verdana" w:cs="Arial"/>
          <w:lang w:val="es-ES" w:eastAsia="es-ES" w:bidi="es-ES"/>
        </w:rPr>
        <w:t xml:space="preserve">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w:t>
      </w:r>
      <w:r w:rsidR="00E018B3" w:rsidRPr="002E76E6">
        <w:rPr>
          <w:rFonts w:ascii="Verdana" w:eastAsia="Arial" w:hAnsi="Verdana" w:cs="Arial"/>
          <w:lang w:val="es-ES" w:eastAsia="es-ES" w:bidi="es-ES"/>
        </w:rPr>
        <w:t>L</w:t>
      </w:r>
      <w:r w:rsidRPr="002E76E6">
        <w:rPr>
          <w:rFonts w:ascii="Verdana" w:eastAsia="Arial" w:hAnsi="Verdana" w:cs="Arial"/>
          <w:lang w:val="es-ES" w:eastAsia="es-ES" w:bidi="es-ES"/>
        </w:rPr>
        <w:t>ey se dirigen a dos (2) tipos de campañas electorales claramente diferenciadas: las presidenciales y las demás que se adelanten para la elección de los demás cargos de elección popular, tanto a nivel nacional como territorial.</w:t>
      </w:r>
      <w:bookmarkEnd w:id="3"/>
    </w:p>
    <w:p w14:paraId="2A89923C" w14:textId="77777777" w:rsidR="00D22A56" w:rsidRPr="002E76E6" w:rsidRDefault="00D22A56">
      <w:pPr>
        <w:spacing w:after="120" w:line="276" w:lineRule="auto"/>
        <w:ind w:firstLine="708"/>
        <w:jc w:val="both"/>
        <w:rPr>
          <w:rFonts w:ascii="Verdana" w:eastAsia="Calibri" w:hAnsi="Verdana" w:cs="Arial"/>
        </w:rPr>
      </w:pPr>
      <w:r w:rsidRPr="002E76E6">
        <w:rPr>
          <w:rFonts w:ascii="Verdana" w:eastAsia="Calibri" w:hAnsi="Verdana" w:cs="Arial"/>
          <w:i/>
          <w:iCs/>
        </w:rPr>
        <w:t>Por un lado</w:t>
      </w:r>
      <w:r w:rsidRPr="002E76E6">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2E76E6">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sidRPr="002E76E6">
        <w:rPr>
          <w:rFonts w:ascii="Verdana" w:eastAsia="Calibri" w:hAnsi="Verdana" w:cs="Arial"/>
          <w:vertAlign w:val="superscript"/>
        </w:rPr>
        <w:footnoteReference w:id="7"/>
      </w:r>
      <w:r w:rsidRPr="002E76E6">
        <w:rPr>
          <w:rFonts w:ascii="Verdana" w:eastAsia="Calibri" w:hAnsi="Verdana" w:cs="Arial"/>
        </w:rPr>
        <w:t>.</w:t>
      </w:r>
    </w:p>
    <w:p w14:paraId="00E79724" w14:textId="77777777" w:rsidR="00E1176D" w:rsidRPr="002E76E6" w:rsidRDefault="00D22A56" w:rsidP="00677B37">
      <w:pPr>
        <w:widowControl w:val="0"/>
        <w:autoSpaceDE w:val="0"/>
        <w:autoSpaceDN w:val="0"/>
        <w:spacing w:after="120" w:line="276" w:lineRule="auto"/>
        <w:ind w:firstLine="709"/>
        <w:jc w:val="both"/>
        <w:rPr>
          <w:rFonts w:ascii="Verdana" w:eastAsia="Arial" w:hAnsi="Verdana" w:cs="Arial"/>
          <w:lang w:val="es-ES" w:eastAsia="es-ES" w:bidi="es-ES"/>
        </w:rPr>
      </w:pPr>
      <w:r w:rsidRPr="002E76E6">
        <w:rPr>
          <w:rFonts w:ascii="Verdana" w:eastAsia="Calibri" w:hAnsi="Verdana" w:cs="Arial"/>
          <w:i/>
          <w:iCs/>
        </w:rPr>
        <w:t>Por otro</w:t>
      </w:r>
      <w:r w:rsidRPr="002E76E6">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2E76E6">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E76E6">
        <w:rPr>
          <w:rFonts w:ascii="Verdana" w:eastAsia="Calibri" w:hAnsi="Verdana" w:cs="Arial"/>
          <w:sz w:val="19"/>
          <w:szCs w:val="19"/>
        </w:rPr>
        <w:t>”</w:t>
      </w:r>
      <w:bookmarkEnd w:id="4"/>
      <w:r w:rsidRPr="002E76E6">
        <w:rPr>
          <w:rFonts w:ascii="Verdana" w:eastAsia="Calibri" w:hAnsi="Verdana" w:cs="Arial"/>
          <w:sz w:val="19"/>
          <w:szCs w:val="19"/>
          <w:vertAlign w:val="superscript"/>
        </w:rPr>
        <w:footnoteReference w:id="8"/>
      </w:r>
      <w:r w:rsidRPr="002E76E6">
        <w:rPr>
          <w:rFonts w:ascii="Verdana" w:eastAsia="Calibri" w:hAnsi="Verdana" w:cs="Arial"/>
          <w:lang w:val="es-MX"/>
        </w:rPr>
        <w:t>.</w:t>
      </w:r>
      <w:r w:rsidRPr="002E76E6">
        <w:rPr>
          <w:rFonts w:ascii="Verdana" w:eastAsia="Arial" w:hAnsi="Verdana" w:cs="Arial"/>
          <w:lang w:val="es-ES" w:eastAsia="es-ES" w:bidi="es-ES"/>
        </w:rPr>
        <w:t xml:space="preserve"> </w:t>
      </w:r>
    </w:p>
    <w:p w14:paraId="7ABBD259" w14:textId="31D62F76" w:rsidR="00D22A56" w:rsidRPr="002E76E6" w:rsidRDefault="00D22A56" w:rsidP="00677B37">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2E76E6">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2819646" w14:textId="77777777" w:rsidR="00D22A56" w:rsidRPr="002E76E6" w:rsidRDefault="00D22A56" w:rsidP="00677B37">
      <w:pPr>
        <w:widowControl w:val="0"/>
        <w:autoSpaceDE w:val="0"/>
        <w:autoSpaceDN w:val="0"/>
        <w:spacing w:after="0" w:line="276" w:lineRule="auto"/>
        <w:contextualSpacing/>
        <w:jc w:val="both"/>
        <w:rPr>
          <w:rFonts w:ascii="Verdana" w:eastAsia="Arial" w:hAnsi="Verdana" w:cs="Arial"/>
          <w:lang w:val="es-ES" w:eastAsia="es-ES" w:bidi="es-ES"/>
        </w:rPr>
      </w:pPr>
    </w:p>
    <w:p w14:paraId="106EAB50" w14:textId="77777777" w:rsidR="00D22A56" w:rsidRPr="002E76E6" w:rsidRDefault="00D22A56" w:rsidP="00D22A56">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2E76E6">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2E76E6">
        <w:rPr>
          <w:rFonts w:ascii="Verdana" w:eastAsia="Arial" w:hAnsi="Verdana" w:cs="Arial"/>
          <w:sz w:val="20"/>
          <w:szCs w:val="20"/>
          <w:lang w:val="es-ES" w:eastAsia="es-ES" w:bidi="es-ES"/>
        </w:rPr>
        <w:t>se integran parcialmente</w:t>
      </w:r>
      <w:bookmarkEnd w:id="7"/>
      <w:r w:rsidRPr="002E76E6">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w:t>
      </w:r>
      <w:r w:rsidRPr="002E76E6">
        <w:rPr>
          <w:rFonts w:ascii="Verdana" w:eastAsia="Arial" w:hAnsi="Verdana" w:cs="Arial"/>
          <w:sz w:val="20"/>
          <w:szCs w:val="20"/>
          <w:lang w:val="es-ES" w:eastAsia="es-ES" w:bidi="es-ES"/>
        </w:rPr>
        <w:lastRenderedPageBreak/>
        <w:t>del parágrafo del artículo 38. En cambio, para elecciones en general, excluyendo las correspondientes a Presidente de la República, a las autoridades territoriales allí mencionadas sólo se aplican las restricciones contenidas en el parágrafo del artículo 38”</w:t>
      </w:r>
      <w:r w:rsidRPr="002E76E6">
        <w:rPr>
          <w:rFonts w:ascii="Verdana" w:eastAsia="Arial" w:hAnsi="Verdana" w:cs="Arial"/>
          <w:sz w:val="20"/>
          <w:szCs w:val="20"/>
          <w:vertAlign w:val="superscript"/>
          <w:lang w:val="es-ES" w:eastAsia="es-ES" w:bidi="es-ES"/>
        </w:rPr>
        <w:footnoteReference w:id="9"/>
      </w:r>
      <w:r w:rsidRPr="002E76E6">
        <w:rPr>
          <w:rFonts w:ascii="Verdana" w:eastAsia="Arial" w:hAnsi="Verdana" w:cs="Arial"/>
          <w:sz w:val="20"/>
          <w:szCs w:val="20"/>
          <w:lang w:val="es-ES" w:eastAsia="es-ES" w:bidi="es-ES"/>
        </w:rPr>
        <w:t>.</w:t>
      </w:r>
    </w:p>
    <w:p w14:paraId="00AED22A" w14:textId="77777777" w:rsidR="00D22A56" w:rsidRPr="002E76E6" w:rsidRDefault="00D22A56" w:rsidP="00D22A56">
      <w:pPr>
        <w:widowControl w:val="0"/>
        <w:autoSpaceDE w:val="0"/>
        <w:autoSpaceDN w:val="0"/>
        <w:spacing w:after="0" w:line="276" w:lineRule="auto"/>
        <w:contextualSpacing/>
        <w:rPr>
          <w:rFonts w:ascii="Verdana" w:eastAsia="Arial" w:hAnsi="Verdana" w:cs="Arial"/>
          <w:lang w:val="es-ES" w:eastAsia="es-ES" w:bidi="es-ES"/>
        </w:rPr>
      </w:pPr>
    </w:p>
    <w:p w14:paraId="4DC14E47" w14:textId="77777777" w:rsidR="00D22A56" w:rsidRPr="002E76E6" w:rsidRDefault="00D22A56" w:rsidP="00D22A56">
      <w:pPr>
        <w:spacing w:after="120" w:line="276" w:lineRule="auto"/>
        <w:ind w:firstLine="709"/>
        <w:jc w:val="both"/>
        <w:rPr>
          <w:rFonts w:ascii="Verdana" w:eastAsia="Arial" w:hAnsi="Verdana" w:cs="Arial"/>
          <w:lang w:val="es-ES" w:eastAsia="es-ES" w:bidi="es-ES"/>
        </w:rPr>
      </w:pPr>
      <w:r w:rsidRPr="002E76E6">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2E76E6">
        <w:rPr>
          <w:rFonts w:ascii="Verdana" w:eastAsia="Arial" w:hAnsi="Verdana" w:cs="Arial"/>
          <w:lang w:val="es-ES" w:eastAsia="es-ES" w:bidi="es-ES"/>
        </w:rPr>
        <w:t xml:space="preserve">la Ley 996 de 2005 establece dos (2) tipos de restricciones en materia de contratación, las cuales coinciden parcialmente. </w:t>
      </w:r>
      <w:r w:rsidRPr="002E76E6">
        <w:rPr>
          <w:rFonts w:ascii="Verdana" w:eastAsia="Arial" w:hAnsi="Verdana" w:cs="Arial"/>
          <w:i/>
          <w:lang w:val="es-ES" w:eastAsia="es-ES" w:bidi="es-ES"/>
        </w:rPr>
        <w:t>En primer lugar</w:t>
      </w:r>
      <w:r w:rsidRPr="002E76E6">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E76E6">
        <w:rPr>
          <w:rFonts w:ascii="Verdana" w:eastAsia="Arial" w:hAnsi="Verdana" w:cs="Arial"/>
          <w:i/>
          <w:lang w:val="es-ES" w:eastAsia="es-ES" w:bidi="es-ES"/>
        </w:rPr>
        <w:t>En segundo lugar</w:t>
      </w:r>
      <w:r w:rsidRPr="002E76E6">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0BE4DC67" w14:textId="77777777" w:rsidR="00D22A56" w:rsidRPr="002E76E6" w:rsidRDefault="00D22A56" w:rsidP="00D22A56">
      <w:pPr>
        <w:spacing w:after="120" w:line="276" w:lineRule="auto"/>
        <w:ind w:firstLine="709"/>
        <w:jc w:val="both"/>
        <w:rPr>
          <w:rFonts w:ascii="Verdana" w:eastAsia="Arial" w:hAnsi="Verdana" w:cs="Arial"/>
          <w:lang w:val="es-ES" w:eastAsia="es-ES" w:bidi="es-ES"/>
        </w:rPr>
      </w:pPr>
      <w:r w:rsidRPr="002E76E6">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65E81BDB" w14:textId="77777777" w:rsidR="00D22A56" w:rsidRPr="002E76E6" w:rsidRDefault="00D22A56" w:rsidP="00D22A56">
      <w:pPr>
        <w:spacing w:after="0" w:line="276" w:lineRule="auto"/>
        <w:ind w:firstLine="708"/>
        <w:jc w:val="both"/>
        <w:rPr>
          <w:rFonts w:ascii="Verdana" w:eastAsia="Arial" w:hAnsi="Verdana" w:cs="Arial"/>
          <w:lang w:val="es-ES" w:eastAsia="es-ES" w:bidi="es-ES"/>
        </w:rPr>
      </w:pPr>
      <w:r w:rsidRPr="002E76E6">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w:t>
      </w:r>
      <w:r w:rsidRPr="002E76E6">
        <w:rPr>
          <w:rFonts w:ascii="Verdana" w:eastAsia="Arial" w:hAnsi="Verdana" w:cs="Arial"/>
          <w:lang w:val="es-ES" w:eastAsia="es-ES" w:bidi="es-ES"/>
        </w:rPr>
        <w:lastRenderedPageBreak/>
        <w:t>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1481827E" w14:textId="77777777" w:rsidR="00D22A56" w:rsidRPr="002E76E6" w:rsidRDefault="00D22A56" w:rsidP="00E1176D">
      <w:pPr>
        <w:spacing w:after="0" w:line="276" w:lineRule="auto"/>
        <w:jc w:val="both"/>
        <w:rPr>
          <w:rFonts w:ascii="Verdana" w:eastAsia="Arial" w:hAnsi="Verdana" w:cs="Arial"/>
          <w:lang w:val="es-ES" w:eastAsia="es-ES" w:bidi="es-ES"/>
        </w:rPr>
      </w:pPr>
    </w:p>
    <w:p w14:paraId="4777DEC2" w14:textId="2E827866" w:rsidR="00D22A56" w:rsidRPr="002E76E6" w:rsidRDefault="00D22A56" w:rsidP="00E1176D">
      <w:pPr>
        <w:spacing w:after="0" w:line="276" w:lineRule="auto"/>
        <w:jc w:val="both"/>
        <w:rPr>
          <w:rFonts w:ascii="Verdana" w:hAnsi="Verdana" w:cs="Arial"/>
          <w:bCs/>
          <w:lang w:val="es-MX" w:eastAsia="es-CO"/>
        </w:rPr>
      </w:pPr>
      <w:r w:rsidRPr="002E76E6">
        <w:rPr>
          <w:rFonts w:ascii="Verdana" w:eastAsia="Arial" w:hAnsi="Verdana" w:cs="Arial"/>
          <w:lang w:val="es-ES" w:eastAsia="es-ES" w:bidi="es-ES"/>
        </w:rPr>
        <w:t xml:space="preserve">ii. </w:t>
      </w:r>
      <w:r w:rsidRPr="002E76E6">
        <w:rPr>
          <w:rFonts w:ascii="Verdana" w:hAnsi="Verdana" w:cs="Arial"/>
          <w:bCs/>
          <w:lang w:val="es-MX" w:eastAsia="x-none"/>
        </w:rPr>
        <w:t xml:space="preserve">El ámbito material de la prohibición contenida en el artículo 33 de la </w:t>
      </w:r>
      <w:r w:rsidR="00E1176D" w:rsidRPr="002E76E6">
        <w:rPr>
          <w:rFonts w:ascii="Verdana" w:hAnsi="Verdana" w:cs="Arial"/>
          <w:bCs/>
          <w:lang w:val="es-MX" w:eastAsia="x-none"/>
        </w:rPr>
        <w:t>L</w:t>
      </w:r>
      <w:r w:rsidRPr="002E76E6">
        <w:rPr>
          <w:rFonts w:ascii="Verdana" w:hAnsi="Verdana" w:cs="Arial"/>
          <w:bCs/>
          <w:lang w:val="es-MX" w:eastAsia="x-none"/>
        </w:rPr>
        <w:t xml:space="preserve">ey 996 de 2005 está delimitado por la expresión </w:t>
      </w:r>
      <w:r w:rsidRPr="002E76E6">
        <w:rPr>
          <w:rFonts w:ascii="Verdana" w:eastAsia="Calibri" w:hAnsi="Verdana" w:cs="Arial"/>
          <w:bCs/>
          <w:sz w:val="20"/>
          <w:szCs w:val="20"/>
          <w:lang w:val="es-MX"/>
        </w:rPr>
        <w:t>“</w:t>
      </w:r>
      <w:r w:rsidRPr="002E76E6">
        <w:rPr>
          <w:rFonts w:ascii="Verdana" w:hAnsi="Verdana" w:cs="Arial"/>
          <w:bCs/>
          <w:lang w:val="es-MX" w:eastAsia="x-none"/>
        </w:rPr>
        <w:t>queda prohibida la contratación directa</w:t>
      </w:r>
      <w:r w:rsidRPr="002E76E6">
        <w:rPr>
          <w:rFonts w:ascii="Verdana" w:hAnsi="Verdana" w:cs="Arial"/>
          <w:sz w:val="20"/>
          <w:szCs w:val="20"/>
          <w:lang w:val="es-MX"/>
        </w:rPr>
        <w:t>”</w:t>
      </w:r>
      <w:r w:rsidRPr="002E76E6">
        <w:rPr>
          <w:rFonts w:ascii="Verdana" w:hAnsi="Verdana" w:cs="Arial"/>
          <w:bCs/>
          <w:lang w:val="es-MX" w:eastAsia="x-none"/>
        </w:rPr>
        <w:t xml:space="preserve">. </w:t>
      </w:r>
      <w:r w:rsidRPr="002E76E6">
        <w:rPr>
          <w:rFonts w:ascii="Verdana" w:hAnsi="Verdana" w:cs="Arial"/>
          <w:lang w:val="es-MX" w:eastAsia="es-CO"/>
        </w:rPr>
        <w:t xml:space="preserve">A propósito de </w:t>
      </w:r>
      <w:r w:rsidRPr="002E76E6">
        <w:rPr>
          <w:rFonts w:ascii="Verdana" w:hAnsi="Verdana" w:cs="Arial"/>
          <w:lang w:eastAsia="es-CO"/>
        </w:rPr>
        <w:t>esta restricción de la Ley de Garantías Electorales, la Sala de Consulta y Servicio Civil del Consejo de Estado ha considerado que:</w:t>
      </w:r>
    </w:p>
    <w:p w14:paraId="5CA9A126" w14:textId="77777777" w:rsidR="00D22A56" w:rsidRPr="002E76E6" w:rsidRDefault="00D22A56" w:rsidP="00677B37">
      <w:pPr>
        <w:spacing w:after="0" w:line="276" w:lineRule="auto"/>
        <w:jc w:val="both"/>
        <w:rPr>
          <w:rFonts w:ascii="Verdana" w:hAnsi="Verdana" w:cs="Arial"/>
          <w:lang w:val="es-MX"/>
        </w:rPr>
      </w:pPr>
    </w:p>
    <w:p w14:paraId="7298257D" w14:textId="4542EEC4" w:rsidR="00D22A56" w:rsidRPr="002E76E6" w:rsidRDefault="00D22A56" w:rsidP="00E1176D">
      <w:pPr>
        <w:spacing w:after="0" w:line="240" w:lineRule="auto"/>
        <w:ind w:left="709" w:right="709"/>
        <w:jc w:val="both"/>
        <w:rPr>
          <w:rFonts w:ascii="Verdana" w:hAnsi="Verdana" w:cs="Arial"/>
          <w:sz w:val="20"/>
          <w:szCs w:val="20"/>
          <w:lang w:val="es-MX"/>
        </w:rPr>
      </w:pPr>
      <w:r w:rsidRPr="002E76E6">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E76E6">
        <w:rPr>
          <w:rFonts w:ascii="Verdana" w:hAnsi="Verdana" w:cs="Arial"/>
          <w:sz w:val="20"/>
          <w:szCs w:val="20"/>
          <w:vertAlign w:val="superscript"/>
          <w:lang w:eastAsia="es-CO"/>
        </w:rPr>
        <w:footnoteReference w:id="10"/>
      </w:r>
      <w:r w:rsidRPr="002E76E6">
        <w:rPr>
          <w:rFonts w:ascii="Verdana" w:hAnsi="Verdana" w:cs="Arial"/>
          <w:sz w:val="20"/>
          <w:szCs w:val="20"/>
          <w:lang w:val="es-MX"/>
        </w:rPr>
        <w:t>.</w:t>
      </w:r>
    </w:p>
    <w:p w14:paraId="33CEA035" w14:textId="77777777" w:rsidR="00E1176D" w:rsidRPr="002E76E6" w:rsidRDefault="00E1176D" w:rsidP="00677B37">
      <w:pPr>
        <w:spacing w:after="0" w:line="240" w:lineRule="auto"/>
        <w:ind w:left="709" w:right="709"/>
        <w:jc w:val="both"/>
        <w:rPr>
          <w:rFonts w:ascii="Verdana" w:hAnsi="Verdana" w:cs="Arial"/>
          <w:sz w:val="20"/>
          <w:szCs w:val="20"/>
          <w:lang w:val="es-MX"/>
        </w:rPr>
      </w:pPr>
    </w:p>
    <w:p w14:paraId="51E321D2" w14:textId="77777777" w:rsidR="00D22A56" w:rsidRPr="002E76E6" w:rsidRDefault="00D22A56" w:rsidP="00677B37">
      <w:pPr>
        <w:spacing w:after="0" w:line="240" w:lineRule="auto"/>
        <w:ind w:left="708" w:right="709"/>
        <w:jc w:val="both"/>
        <w:rPr>
          <w:rFonts w:ascii="Verdana" w:hAnsi="Verdana" w:cs="Arial"/>
          <w:sz w:val="20"/>
          <w:szCs w:val="20"/>
          <w:lang w:val="es-MX"/>
        </w:rPr>
      </w:pPr>
      <w:r w:rsidRPr="002E76E6">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2E76E6">
        <w:rPr>
          <w:rFonts w:ascii="Verdana" w:hAnsi="Verdana" w:cs="Arial"/>
          <w:sz w:val="20"/>
          <w:szCs w:val="20"/>
          <w:vertAlign w:val="superscript"/>
          <w:lang w:val="es-MX"/>
        </w:rPr>
        <w:footnoteReference w:id="11"/>
      </w:r>
      <w:r w:rsidRPr="002E76E6">
        <w:rPr>
          <w:rFonts w:ascii="Verdana" w:hAnsi="Verdana" w:cs="Arial"/>
          <w:sz w:val="20"/>
          <w:szCs w:val="20"/>
          <w:vertAlign w:val="superscript"/>
          <w:lang w:val="es-MX"/>
        </w:rPr>
        <w:t>.</w:t>
      </w:r>
      <w:r w:rsidRPr="002E76E6">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E76E6">
        <w:rPr>
          <w:rFonts w:ascii="Verdana" w:hAnsi="Verdana" w:cs="Arial"/>
          <w:sz w:val="20"/>
          <w:szCs w:val="20"/>
          <w:vertAlign w:val="superscript"/>
          <w:lang w:eastAsia="es-CO"/>
        </w:rPr>
        <w:footnoteReference w:id="12"/>
      </w:r>
      <w:r w:rsidRPr="002E76E6">
        <w:rPr>
          <w:rFonts w:ascii="Verdana" w:hAnsi="Verdana" w:cs="Arial"/>
          <w:sz w:val="20"/>
          <w:szCs w:val="20"/>
          <w:lang w:val="es-MX"/>
        </w:rPr>
        <w:t>.</w:t>
      </w:r>
    </w:p>
    <w:p w14:paraId="11956768" w14:textId="77777777" w:rsidR="00D22A56" w:rsidRPr="002E76E6" w:rsidRDefault="00D22A56" w:rsidP="00E1176D">
      <w:pPr>
        <w:shd w:val="clear" w:color="auto" w:fill="FFFFFF"/>
        <w:spacing w:after="0" w:line="276" w:lineRule="auto"/>
        <w:ind w:firstLine="709"/>
        <w:jc w:val="both"/>
        <w:rPr>
          <w:rFonts w:ascii="Verdana" w:hAnsi="Verdana" w:cs="Arial"/>
          <w:lang w:eastAsia="x-none"/>
        </w:rPr>
      </w:pPr>
    </w:p>
    <w:p w14:paraId="2BACCCC3" w14:textId="5B6A2FF8" w:rsidR="00D22A56" w:rsidRPr="002E76E6" w:rsidRDefault="00D22A56" w:rsidP="00D22A56">
      <w:pPr>
        <w:spacing w:after="120" w:line="276" w:lineRule="auto"/>
        <w:ind w:firstLine="708"/>
        <w:jc w:val="both"/>
        <w:rPr>
          <w:rFonts w:ascii="Verdana" w:hAnsi="Verdana" w:cs="Arial"/>
          <w:bCs/>
          <w:lang w:eastAsia="x-none"/>
        </w:rPr>
      </w:pPr>
      <w:r w:rsidRPr="002E76E6">
        <w:rPr>
          <w:rFonts w:ascii="Verdana" w:hAnsi="Verdana" w:cs="Arial"/>
          <w:lang w:eastAsia="x-none"/>
        </w:rPr>
        <w:t xml:space="preserve">De acuerdo con el citado concepto, la prohibición del artículo 33 de la Ley de Garantías Electorales se refiere a </w:t>
      </w:r>
      <w:r w:rsidRPr="002E76E6">
        <w:rPr>
          <w:rFonts w:ascii="Verdana" w:hAnsi="Verdana" w:cs="Arial"/>
          <w:sz w:val="19"/>
          <w:szCs w:val="19"/>
          <w:lang w:eastAsia="en-GB"/>
        </w:rPr>
        <w:t>“</w:t>
      </w:r>
      <w:r w:rsidRPr="002E76E6">
        <w:rPr>
          <w:rFonts w:ascii="Verdana" w:hAnsi="Verdana" w:cs="Arial"/>
          <w:lang w:eastAsia="x-none"/>
        </w:rPr>
        <w:t xml:space="preserve">cualquier sistema que no implique </w:t>
      </w:r>
      <w:r w:rsidRPr="002E76E6">
        <w:rPr>
          <w:rFonts w:ascii="Verdana" w:hAnsi="Verdana" w:cs="Arial"/>
          <w:lang w:eastAsia="x-none"/>
        </w:rPr>
        <w:lastRenderedPageBreak/>
        <w:t>convocatoria pública y posibilidad de pluralidad de oferentes</w:t>
      </w:r>
      <w:r w:rsidRPr="002E76E6">
        <w:rPr>
          <w:rFonts w:ascii="Verdana" w:hAnsi="Verdana" w:cs="Arial"/>
          <w:lang w:eastAsia="en-GB"/>
        </w:rPr>
        <w:t>”</w:t>
      </w:r>
      <w:r w:rsidRPr="002E76E6">
        <w:rPr>
          <w:rFonts w:ascii="Verdana" w:hAnsi="Verdana" w:cs="Arial"/>
          <w:lang w:eastAsia="x-none"/>
        </w:rPr>
        <w:t xml:space="preserve">, por lo que excluye las demás modalidades de contratación previstas en la Ley 1150 de 2007, es decir, la licitación pública, la selección abreviada y el concurso de méritos u otros </w:t>
      </w:r>
      <w:r w:rsidR="000262F7" w:rsidRPr="002E76E6">
        <w:rPr>
          <w:rFonts w:ascii="Verdana" w:hAnsi="Verdana" w:cs="Arial"/>
          <w:lang w:eastAsia="x-none"/>
        </w:rPr>
        <w:t xml:space="preserve">procedimientos abiertos y competitivos </w:t>
      </w:r>
      <w:r w:rsidRPr="002E76E6">
        <w:rPr>
          <w:rFonts w:ascii="Verdana" w:hAnsi="Verdana" w:cs="Arial"/>
          <w:lang w:eastAsia="x-none"/>
        </w:rPr>
        <w:t>previstos en normas especiales. Esta posición es congruente con la expedición de la Ley 1150 de 2007 que, entre otras reformas, introdujo la selección abreviada, rediseñó el concurso de méritos</w:t>
      </w:r>
      <w:r w:rsidRPr="002E76E6">
        <w:rPr>
          <w:rFonts w:ascii="Verdana" w:hAnsi="Verdana" w:cs="Arial"/>
          <w:vertAlign w:val="superscript"/>
          <w:lang w:val="en-GB" w:eastAsia="x-none"/>
        </w:rPr>
        <w:footnoteReference w:id="13"/>
      </w:r>
      <w:r w:rsidRPr="002E76E6">
        <w:rPr>
          <w:rFonts w:ascii="Verdana" w:hAnsi="Verdana" w:cs="Arial"/>
          <w:lang w:eastAsia="x-none"/>
        </w:rPr>
        <w:t xml:space="preserve"> y sistematizó las causales de contratación directa</w:t>
      </w:r>
      <w:r w:rsidRPr="002E76E6">
        <w:rPr>
          <w:rFonts w:ascii="Verdana" w:hAnsi="Verdana" w:cs="Arial"/>
          <w:vertAlign w:val="superscript"/>
          <w:lang w:val="en-GB" w:eastAsia="x-none"/>
        </w:rPr>
        <w:footnoteReference w:id="14"/>
      </w:r>
      <w:r w:rsidRPr="002E76E6">
        <w:rPr>
          <w:rFonts w:ascii="Verdana" w:hAnsi="Verdana" w:cs="Arial"/>
          <w:lang w:eastAsia="x-none"/>
        </w:rPr>
        <w:t xml:space="preserve">. </w:t>
      </w:r>
    </w:p>
    <w:p w14:paraId="1F380F5C" w14:textId="77777777" w:rsidR="00D22A56" w:rsidRPr="002E76E6" w:rsidRDefault="00D22A56" w:rsidP="00D22A56">
      <w:pPr>
        <w:spacing w:after="120" w:line="276" w:lineRule="auto"/>
        <w:ind w:firstLine="708"/>
        <w:jc w:val="both"/>
        <w:rPr>
          <w:rFonts w:ascii="Verdana" w:hAnsi="Verdana" w:cs="Arial"/>
          <w:lang w:val="es-MX" w:eastAsia="x-none"/>
        </w:rPr>
      </w:pPr>
      <w:r w:rsidRPr="002E76E6">
        <w:rPr>
          <w:rFonts w:ascii="Verdana" w:hAnsi="Verdana" w:cs="Arial"/>
          <w:lang w:eastAsia="x-none"/>
        </w:rPr>
        <w:t xml:space="preserve">De esta forma, con fundamento en la evolución de la normativa sobre la contratación pública, se ha depurado la noción de </w:t>
      </w:r>
      <w:r w:rsidRPr="002E76E6">
        <w:rPr>
          <w:rFonts w:ascii="Verdana" w:hAnsi="Verdana" w:cs="Arial"/>
          <w:sz w:val="19"/>
          <w:szCs w:val="19"/>
          <w:lang w:eastAsia="en-GB"/>
        </w:rPr>
        <w:t>“</w:t>
      </w:r>
      <w:r w:rsidRPr="002E76E6">
        <w:rPr>
          <w:rFonts w:ascii="Verdana" w:hAnsi="Verdana" w:cs="Arial"/>
          <w:lang w:eastAsia="x-none"/>
        </w:rPr>
        <w:t>contratación directa</w:t>
      </w:r>
      <w:r w:rsidRPr="002E76E6">
        <w:rPr>
          <w:rFonts w:ascii="Verdana" w:hAnsi="Verdana" w:cs="Arial"/>
          <w:lang w:eastAsia="en-GB"/>
        </w:rPr>
        <w:t>”</w:t>
      </w:r>
      <w:r w:rsidRPr="002E76E6">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2E76E6">
        <w:rPr>
          <w:rFonts w:ascii="Verdana" w:hAnsi="Verdana" w:cs="Arial"/>
          <w:vertAlign w:val="superscript"/>
          <w:lang w:val="en-GB" w:eastAsia="x-none"/>
        </w:rPr>
        <w:footnoteReference w:id="15"/>
      </w:r>
      <w:r w:rsidRPr="002E76E6">
        <w:rPr>
          <w:rFonts w:ascii="Verdana" w:hAnsi="Verdana" w:cs="Arial"/>
          <w:lang w:eastAsia="x-none"/>
        </w:rPr>
        <w:t>, han establecido sistemas de contratación que implican convocatoria pública y participación de varios oferentes</w:t>
      </w:r>
      <w:r w:rsidRPr="002E76E6">
        <w:rPr>
          <w:rFonts w:ascii="Verdana" w:hAnsi="Verdana" w:cs="Arial"/>
          <w:lang w:eastAsia="en-GB"/>
        </w:rPr>
        <w:t>”</w:t>
      </w:r>
      <w:r w:rsidRPr="002E76E6">
        <w:rPr>
          <w:rFonts w:ascii="Verdana" w:hAnsi="Verdana" w:cs="Arial"/>
          <w:lang w:eastAsia="x-none"/>
        </w:rPr>
        <w:t xml:space="preserve">. </w:t>
      </w:r>
    </w:p>
    <w:p w14:paraId="44B210F1" w14:textId="5E51B712" w:rsidR="00D22A56" w:rsidRPr="002E76E6" w:rsidRDefault="00D22A56" w:rsidP="00D22A56">
      <w:pPr>
        <w:spacing w:after="120" w:line="276" w:lineRule="auto"/>
        <w:ind w:firstLine="708"/>
        <w:jc w:val="both"/>
        <w:rPr>
          <w:rFonts w:ascii="Verdana" w:hAnsi="Verdana" w:cs="Arial"/>
          <w:bCs/>
          <w:lang w:val="es-MX" w:eastAsia="es-CO"/>
        </w:rPr>
      </w:pPr>
      <w:r w:rsidRPr="002E76E6">
        <w:rPr>
          <w:rFonts w:ascii="Verdana" w:hAnsi="Verdana" w:cs="Arial"/>
          <w:bCs/>
          <w:lang w:val="es-MX" w:eastAsia="x-none"/>
        </w:rPr>
        <w:t>E</w:t>
      </w:r>
      <w:r w:rsidRPr="002E76E6">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2E76E6">
        <w:rPr>
          <w:rFonts w:ascii="Verdana" w:hAnsi="Verdana" w:cs="Arial"/>
          <w:vertAlign w:val="superscript"/>
          <w:lang w:eastAsia="x-none"/>
        </w:rPr>
        <w:footnoteReference w:id="16"/>
      </w:r>
      <w:r w:rsidRPr="002E76E6">
        <w:rPr>
          <w:rFonts w:ascii="Verdana" w:hAnsi="Verdana" w:cs="Arial"/>
          <w:lang w:eastAsia="x-none"/>
        </w:rPr>
        <w:t xml:space="preserve">. </w:t>
      </w:r>
    </w:p>
    <w:p w14:paraId="7E40C331" w14:textId="7FE91B75" w:rsidR="00D22A56" w:rsidRPr="002E76E6" w:rsidRDefault="00D22A56" w:rsidP="00D22A56">
      <w:pPr>
        <w:spacing w:after="120" w:line="276" w:lineRule="auto"/>
        <w:ind w:firstLine="708"/>
        <w:jc w:val="both"/>
        <w:rPr>
          <w:rFonts w:ascii="Verdana" w:hAnsi="Verdana" w:cs="Arial"/>
          <w:bCs/>
          <w:lang w:val="es-MX" w:eastAsia="es-CO"/>
        </w:rPr>
      </w:pPr>
      <w:r w:rsidRPr="002E76E6">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w:t>
      </w:r>
      <w:r w:rsidR="005F5962" w:rsidRPr="002E76E6">
        <w:rPr>
          <w:rFonts w:ascii="Verdana" w:hAnsi="Verdana" w:cs="Arial"/>
          <w:bCs/>
          <w:lang w:val="es-MX" w:eastAsia="es-CO"/>
        </w:rPr>
        <w:t xml:space="preserve"> Electorales</w:t>
      </w:r>
      <w:r w:rsidRPr="002E76E6">
        <w:rPr>
          <w:rFonts w:ascii="Verdana" w:hAnsi="Verdana" w:cs="Arial"/>
          <w:bCs/>
          <w:lang w:val="es-MX" w:eastAsia="es-CO"/>
        </w:rPr>
        <w:t xml:space="preserve">, al señalar que no </w:t>
      </w:r>
      <w:r w:rsidRPr="002E76E6">
        <w:rPr>
          <w:rFonts w:ascii="Verdana" w:hAnsi="Verdana" w:cs="Arial"/>
          <w:bCs/>
          <w:lang w:val="es-MX" w:eastAsia="es-CO"/>
        </w:rPr>
        <w:lastRenderedPageBreak/>
        <w:t xml:space="preserve">solo aplica frente a las entidades sometidas al Estatuto </w:t>
      </w:r>
      <w:r w:rsidR="007D5BD4" w:rsidRPr="002E76E6">
        <w:rPr>
          <w:rFonts w:ascii="Verdana" w:hAnsi="Verdana" w:cs="Arial"/>
          <w:bCs/>
          <w:lang w:val="es-MX" w:eastAsia="es-CO"/>
        </w:rPr>
        <w:t>G</w:t>
      </w:r>
      <w:r w:rsidRPr="002E76E6">
        <w:rPr>
          <w:rFonts w:ascii="Verdana" w:hAnsi="Verdana" w:cs="Arial"/>
          <w:bCs/>
          <w:lang w:val="es-MX" w:eastAsia="es-CO"/>
        </w:rPr>
        <w:t>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58D203F" w14:textId="77777777" w:rsidR="00D22A56" w:rsidRPr="002E76E6" w:rsidRDefault="00D22A56" w:rsidP="00D22A56">
      <w:pPr>
        <w:spacing w:after="120" w:line="276" w:lineRule="auto"/>
        <w:ind w:firstLine="708"/>
        <w:jc w:val="both"/>
        <w:rPr>
          <w:rFonts w:ascii="Verdana" w:hAnsi="Verdana" w:cs="Arial"/>
          <w:bCs/>
          <w:lang w:val="es-MX" w:eastAsia="x-none"/>
        </w:rPr>
      </w:pPr>
      <w:r w:rsidRPr="002E76E6">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E76E6">
        <w:rPr>
          <w:rFonts w:ascii="Verdana" w:hAnsi="Verdana" w:cs="Arial"/>
          <w:vertAlign w:val="superscript"/>
          <w:lang w:eastAsia="x-none"/>
        </w:rPr>
        <w:footnoteReference w:id="17"/>
      </w:r>
      <w:r w:rsidRPr="002E76E6">
        <w:rPr>
          <w:rFonts w:ascii="Verdana" w:hAnsi="Verdana" w:cs="Arial"/>
          <w:bCs/>
          <w:lang w:val="es-MX" w:eastAsia="x-none"/>
        </w:rPr>
        <w:t>.</w:t>
      </w:r>
      <w:r w:rsidRPr="002E76E6">
        <w:rPr>
          <w:rFonts w:ascii="Verdana" w:hAnsi="Verdana" w:cs="Arial"/>
          <w:vertAlign w:val="superscript"/>
          <w:lang w:eastAsia="x-none"/>
        </w:rPr>
        <w:t xml:space="preserve"> </w:t>
      </w:r>
    </w:p>
    <w:p w14:paraId="621AC4A9" w14:textId="77777777" w:rsidR="00D22A56" w:rsidRPr="002E76E6" w:rsidRDefault="00D22A56" w:rsidP="00D22A56">
      <w:pPr>
        <w:spacing w:after="120" w:line="276" w:lineRule="auto"/>
        <w:ind w:firstLine="708"/>
        <w:jc w:val="both"/>
        <w:rPr>
          <w:rFonts w:ascii="Verdana" w:hAnsi="Verdana" w:cs="Arial"/>
          <w:lang w:eastAsia="x-none"/>
        </w:rPr>
      </w:pPr>
      <w:r w:rsidRPr="002E76E6">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E76E6">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37F774F1" w14:textId="1A8F5962" w:rsidR="00D22A56" w:rsidRPr="002E76E6" w:rsidRDefault="00D22A56" w:rsidP="00677B37">
      <w:pPr>
        <w:spacing w:after="0" w:line="276" w:lineRule="auto"/>
        <w:ind w:firstLine="709"/>
        <w:jc w:val="both"/>
        <w:rPr>
          <w:rFonts w:ascii="Verdana" w:hAnsi="Verdana" w:cs="Arial"/>
          <w:bCs/>
          <w:lang w:val="es-MX" w:eastAsia="x-none"/>
        </w:rPr>
      </w:pPr>
      <w:bookmarkStart w:id="11" w:name="_Hlk77237094"/>
      <w:r w:rsidRPr="002E76E6">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sidR="00C5729A" w:rsidRPr="002E76E6">
        <w:rPr>
          <w:rFonts w:ascii="Verdana" w:hAnsi="Verdana" w:cs="Arial"/>
          <w:bCs/>
          <w:lang w:val="es-MX" w:eastAsia="es-CO"/>
        </w:rPr>
        <w:t xml:space="preserve"> Electorales</w:t>
      </w:r>
      <w:r w:rsidRPr="002E76E6">
        <w:rPr>
          <w:rFonts w:ascii="Verdana" w:hAnsi="Verdana" w:cs="Arial"/>
          <w:bCs/>
          <w:lang w:val="es-MX" w:eastAsia="es-CO"/>
        </w:rPr>
        <w:t>, sin que ello haga nugatoria la restricción de la contratación directa y siempre que cumplan los principios de planeación, transparencia y responsabilidad.</w:t>
      </w:r>
      <w:bookmarkEnd w:id="11"/>
    </w:p>
    <w:p w14:paraId="012A0D84" w14:textId="77777777" w:rsidR="006C7DB0" w:rsidRPr="002E76E6" w:rsidRDefault="006C7DB0" w:rsidP="00677B37">
      <w:pPr>
        <w:spacing w:after="0" w:line="276" w:lineRule="auto"/>
        <w:jc w:val="both"/>
        <w:rPr>
          <w:rFonts w:ascii="Verdana" w:hAnsi="Verdana" w:cs="Arial"/>
          <w:bCs/>
          <w:lang w:val="es-MX" w:eastAsia="x-none"/>
        </w:rPr>
      </w:pPr>
    </w:p>
    <w:p w14:paraId="2B4E0A75" w14:textId="699AB048" w:rsidR="00D22A56" w:rsidRPr="002E76E6" w:rsidRDefault="006C7DB0" w:rsidP="00677B37">
      <w:pPr>
        <w:spacing w:after="120" w:line="276" w:lineRule="auto"/>
        <w:jc w:val="both"/>
        <w:rPr>
          <w:rFonts w:ascii="Verdana" w:hAnsi="Verdana" w:cs="Arial"/>
          <w:bCs/>
          <w:lang w:val="es-MX" w:eastAsia="es-CO"/>
        </w:rPr>
      </w:pPr>
      <w:r w:rsidRPr="002E76E6">
        <w:rPr>
          <w:rFonts w:ascii="Verdana" w:hAnsi="Verdana" w:cs="Arial"/>
          <w:bCs/>
          <w:lang w:val="es-MX" w:eastAsia="x-none"/>
        </w:rPr>
        <w:t xml:space="preserve">iii. </w:t>
      </w:r>
      <w:r w:rsidR="00D22A56" w:rsidRPr="002E76E6">
        <w:rPr>
          <w:rFonts w:ascii="Verdana" w:hAnsi="Verdana" w:cs="Arial"/>
          <w:bCs/>
          <w:lang w:val="es-MX" w:eastAsia="x-none"/>
        </w:rPr>
        <w:t>De otro lado, las excepciones a la restricción prevista en la Ley de Garantías</w:t>
      </w:r>
      <w:r w:rsidR="00BB6048" w:rsidRPr="002E76E6">
        <w:rPr>
          <w:rFonts w:ascii="Verdana" w:hAnsi="Verdana" w:cs="Arial"/>
          <w:bCs/>
          <w:lang w:val="es-MX" w:eastAsia="x-none"/>
        </w:rPr>
        <w:t xml:space="preserve"> Electorales</w:t>
      </w:r>
      <w:r w:rsidR="00D22A56" w:rsidRPr="002E76E6">
        <w:rPr>
          <w:rFonts w:ascii="Verdana" w:hAnsi="Verdana" w:cs="Arial"/>
          <w:bCs/>
          <w:lang w:val="es-MX" w:eastAsia="x-none"/>
        </w:rPr>
        <w:t xml:space="preserve">,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w:t>
      </w:r>
      <w:r w:rsidR="00D22A56" w:rsidRPr="002E76E6">
        <w:rPr>
          <w:rFonts w:ascii="Verdana" w:hAnsi="Verdana" w:cs="Arial"/>
          <w:bCs/>
          <w:lang w:val="es-MX" w:eastAsia="x-none"/>
        </w:rPr>
        <w:lastRenderedPageBreak/>
        <w:t>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00D22A56" w:rsidRPr="002E76E6">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BF3FA3A" w14:textId="78899E76" w:rsidR="00D22A56" w:rsidRPr="002E76E6" w:rsidRDefault="00D22A56" w:rsidP="00677B37">
      <w:pPr>
        <w:spacing w:after="120" w:line="276" w:lineRule="auto"/>
        <w:ind w:firstLine="708"/>
        <w:jc w:val="both"/>
        <w:rPr>
          <w:rFonts w:ascii="Verdana" w:hAnsi="Verdana" w:cs="Arial"/>
          <w:bCs/>
          <w:lang w:val="es-MX" w:eastAsia="x-none"/>
        </w:rPr>
      </w:pPr>
      <w:r w:rsidRPr="002E76E6">
        <w:rPr>
          <w:rFonts w:ascii="Verdana" w:hAnsi="Verdana" w:cs="Arial"/>
          <w:bCs/>
          <w:lang w:val="es-MX" w:eastAsia="x-none"/>
        </w:rPr>
        <w:t xml:space="preserve">En esta labor es importante tener en cuenta, como lo anotó la Corte Constitucional, en Sentencia C-1153 de noviembre 11 de 2005 </w:t>
      </w:r>
      <w:bookmarkStart w:id="12" w:name="_Hlk74309042"/>
      <w:r w:rsidRPr="002E76E6">
        <w:rPr>
          <w:rFonts w:ascii="Verdana" w:hAnsi="Verdana" w:cs="Arial"/>
          <w:bCs/>
          <w:lang w:val="es-MX" w:eastAsia="x-none"/>
        </w:rPr>
        <w:t>que “</w:t>
      </w:r>
      <w:bookmarkEnd w:id="12"/>
      <w:r w:rsidRPr="002E76E6">
        <w:rPr>
          <w:rFonts w:ascii="Verdana" w:hAnsi="Verdana" w:cs="Arial"/>
          <w:bCs/>
          <w:lang w:val="es-MX" w:eastAsia="x-none"/>
        </w:rPr>
        <w:t xml:space="preserve">si bien la limitación garantiza la igualdad de condiciones, también es necesario que tal limitación que pretende la igualdad </w:t>
      </w:r>
      <w:bookmarkStart w:id="13" w:name="_Hlk75768308"/>
      <w:r w:rsidRPr="002E76E6">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2E76E6">
        <w:rPr>
          <w:rFonts w:ascii="Verdana" w:hAnsi="Verdana" w:cs="Arial"/>
          <w:vertAlign w:val="superscript"/>
          <w:lang w:val="es-MX"/>
        </w:rPr>
        <w:footnoteReference w:id="18"/>
      </w:r>
      <w:r w:rsidRPr="002E76E6">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3"/>
    </w:p>
    <w:p w14:paraId="0BE4030A" w14:textId="77777777" w:rsidR="005261A7" w:rsidRPr="002E76E6" w:rsidRDefault="005261A7" w:rsidP="00677B37">
      <w:pPr>
        <w:shd w:val="clear" w:color="auto" w:fill="FFFFFF" w:themeFill="background1"/>
        <w:spacing w:after="120" w:line="276" w:lineRule="auto"/>
        <w:ind w:firstLine="709"/>
        <w:jc w:val="both"/>
        <w:rPr>
          <w:rFonts w:ascii="Verdana" w:hAnsi="Verdana" w:cs="Arial"/>
          <w:lang w:val="es-ES" w:eastAsia="es-CO"/>
        </w:rPr>
      </w:pPr>
      <w:r w:rsidRPr="002E76E6">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002E76E6">
        <w:rPr>
          <w:rFonts w:ascii="Verdana" w:hAnsi="Verdana" w:cs="Arial"/>
          <w:lang w:val="es-ES" w:eastAsia="es-CO"/>
        </w:rPr>
        <w:t>exequibilidad</w:t>
      </w:r>
      <w:proofErr w:type="spellEnd"/>
      <w:r w:rsidRPr="002E76E6">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2E76E6">
        <w:rPr>
          <w:rStyle w:val="Refdenotaalpie"/>
          <w:rFonts w:ascii="Verdana" w:hAnsi="Verdana" w:cs="Arial"/>
          <w:lang w:val="es-ES" w:eastAsia="es-CO"/>
        </w:rPr>
        <w:footnoteReference w:id="19"/>
      </w:r>
      <w:r w:rsidRPr="002E76E6">
        <w:rPr>
          <w:rFonts w:ascii="Verdana" w:hAnsi="Verdana" w:cs="Arial"/>
          <w:lang w:val="es-ES" w:eastAsia="es-CO"/>
        </w:rPr>
        <w:t xml:space="preserve">. </w:t>
      </w:r>
    </w:p>
    <w:p w14:paraId="5ABACF57" w14:textId="33478EEA" w:rsidR="00C03DE6" w:rsidRPr="002E76E6" w:rsidRDefault="005261A7" w:rsidP="00677B37">
      <w:pPr>
        <w:shd w:val="clear" w:color="auto" w:fill="FFFFFF"/>
        <w:spacing w:after="120" w:line="276" w:lineRule="auto"/>
        <w:ind w:firstLine="709"/>
        <w:jc w:val="both"/>
        <w:rPr>
          <w:rFonts w:ascii="Verdana" w:hAnsi="Verdana" w:cs="Arial"/>
          <w:bCs/>
          <w:lang w:val="es-ES_tradnl"/>
        </w:rPr>
      </w:pPr>
      <w:r w:rsidRPr="002E76E6">
        <w:rPr>
          <w:rFonts w:ascii="Verdana" w:hAnsi="Verdana" w:cs="Arial"/>
          <w:bCs/>
          <w:lang w:val="es-ES_tradnl"/>
        </w:rPr>
        <w:t xml:space="preserve">Por tanto, las excepciones a la prohibición contenida en el inciso segundo de artículo 33 de la Ley de Garantías Electorales tienen por finalidad garantizar </w:t>
      </w:r>
      <w:r w:rsidRPr="002E76E6">
        <w:rPr>
          <w:rFonts w:ascii="Verdana" w:hAnsi="Verdana" w:cs="Arial"/>
          <w:bCs/>
          <w:lang w:val="es-ES_tradnl"/>
        </w:rPr>
        <w:lastRenderedPageBreak/>
        <w:t xml:space="preserve">la prestación ininterrumpida de algunos servicios públicos que, dada su importancia en el orden interno, se verían irrazonablemente afectados por la restricción explicada. </w:t>
      </w:r>
    </w:p>
    <w:p w14:paraId="52911704" w14:textId="6813CD60" w:rsidR="005261A7" w:rsidRPr="002E76E6" w:rsidRDefault="005261A7" w:rsidP="00677B37">
      <w:pPr>
        <w:shd w:val="clear" w:color="auto" w:fill="FFFFFF"/>
        <w:spacing w:after="0" w:line="276" w:lineRule="auto"/>
        <w:ind w:firstLine="709"/>
        <w:jc w:val="both"/>
        <w:rPr>
          <w:rFonts w:ascii="Verdana" w:hAnsi="Verdana" w:cs="Arial"/>
          <w:lang w:val="es-ES_tradnl" w:eastAsia="es-CO"/>
        </w:rPr>
      </w:pPr>
      <w:r w:rsidRPr="002E76E6">
        <w:rPr>
          <w:rFonts w:ascii="Verdana" w:hAnsi="Verdana" w:cs="Arial"/>
          <w:bCs/>
          <w:lang w:val="es-ES_tradnl"/>
        </w:rPr>
        <w:t>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1FD65E4F" w14:textId="77777777" w:rsidR="00C03DE6" w:rsidRPr="002E76E6" w:rsidRDefault="00C03DE6" w:rsidP="00677B37">
      <w:pPr>
        <w:spacing w:after="0" w:line="276" w:lineRule="auto"/>
        <w:jc w:val="both"/>
        <w:rPr>
          <w:rFonts w:ascii="Verdana" w:hAnsi="Verdana" w:cs="Arial"/>
          <w:bCs/>
          <w:lang w:val="es-MX" w:eastAsia="x-none"/>
        </w:rPr>
      </w:pPr>
      <w:r w:rsidRPr="002E76E6">
        <w:rPr>
          <w:rFonts w:ascii="Verdana" w:hAnsi="Verdana" w:cs="Arial"/>
          <w:bCs/>
          <w:lang w:val="es-MX" w:eastAsia="x-none"/>
        </w:rPr>
        <w:t>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2E76E6">
        <w:rPr>
          <w:rStyle w:val="Refdenotaalpie"/>
          <w:rFonts w:ascii="Verdana" w:hAnsi="Verdana" w:cs="Arial"/>
          <w:lang w:val="es-ES_tradnl" w:eastAsia="es-CO"/>
        </w:rPr>
        <w:footnoteReference w:id="20"/>
      </w:r>
      <w:r w:rsidRPr="002E76E6">
        <w:rPr>
          <w:rFonts w:ascii="Verdana" w:hAnsi="Verdana" w:cs="Arial"/>
          <w:bCs/>
          <w:lang w:val="es-MX" w:eastAsia="x-none"/>
        </w:rPr>
        <w:t>.</w:t>
      </w:r>
    </w:p>
    <w:p w14:paraId="09D3671A" w14:textId="77777777" w:rsidR="00D22A56" w:rsidRPr="002E76E6" w:rsidRDefault="00D22A56" w:rsidP="00677B37">
      <w:pPr>
        <w:spacing w:after="0" w:line="276" w:lineRule="auto"/>
        <w:jc w:val="both"/>
        <w:rPr>
          <w:rFonts w:ascii="Verdana" w:hAnsi="Verdana" w:cs="Arial"/>
          <w:bCs/>
          <w:lang w:val="es-MX" w:eastAsia="x-none"/>
        </w:rPr>
      </w:pPr>
    </w:p>
    <w:p w14:paraId="7CE9464A" w14:textId="2CCF4341" w:rsidR="00BB6048" w:rsidRPr="002E76E6" w:rsidRDefault="00D22A56" w:rsidP="00677B37">
      <w:pPr>
        <w:spacing w:after="120" w:line="276" w:lineRule="auto"/>
        <w:jc w:val="both"/>
        <w:rPr>
          <w:rFonts w:ascii="Verdana" w:hAnsi="Verdana" w:cs="Arial"/>
          <w:bCs/>
          <w:lang w:val="es-MX" w:eastAsia="x-none"/>
        </w:rPr>
      </w:pPr>
      <w:proofErr w:type="spellStart"/>
      <w:r w:rsidRPr="002E76E6">
        <w:rPr>
          <w:rFonts w:ascii="Verdana" w:eastAsia="Arial" w:hAnsi="Verdana" w:cs="Arial"/>
          <w:lang w:val="es-MX" w:eastAsia="es-ES" w:bidi="es-ES"/>
        </w:rPr>
        <w:t>i</w:t>
      </w:r>
      <w:r w:rsidR="005261A7" w:rsidRPr="002E76E6">
        <w:rPr>
          <w:rFonts w:ascii="Verdana" w:eastAsia="Arial" w:hAnsi="Verdana" w:cs="Arial"/>
          <w:lang w:val="es-MX" w:eastAsia="es-ES" w:bidi="es-ES"/>
        </w:rPr>
        <w:t>v</w:t>
      </w:r>
      <w:proofErr w:type="spellEnd"/>
      <w:r w:rsidRPr="002E76E6">
        <w:rPr>
          <w:rFonts w:ascii="Verdana" w:eastAsia="Arial" w:hAnsi="Verdana" w:cs="Arial"/>
          <w:lang w:val="es-MX" w:eastAsia="es-ES" w:bidi="es-ES"/>
        </w:rPr>
        <w:t xml:space="preserve">. </w:t>
      </w:r>
      <w:r w:rsidRPr="002E76E6">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2E76E6">
        <w:rPr>
          <w:rFonts w:ascii="Verdana" w:hAnsi="Verdana" w:cs="Arial"/>
          <w:lang w:val="es-MX"/>
        </w:rPr>
        <w:t xml:space="preserve"> </w:t>
      </w:r>
      <w:r w:rsidRPr="002E76E6">
        <w:rPr>
          <w:rFonts w:ascii="Verdana" w:hAnsi="Verdana" w:cs="Arial"/>
          <w:bCs/>
          <w:lang w:val="es-MX" w:eastAsia="x-none"/>
        </w:rPr>
        <w:t>En efecto, tal como lo ha sostenido el Consejo de Estado, el vocablo “todos” utilizado por el legislador comprende</w:t>
      </w:r>
      <w:r w:rsidRPr="002E76E6">
        <w:rPr>
          <w:rFonts w:ascii="Verdana" w:hAnsi="Verdana" w:cs="Arial"/>
          <w:lang w:val="es-MX"/>
        </w:rPr>
        <w:t xml:space="preserve"> </w:t>
      </w:r>
      <w:r w:rsidRPr="002E76E6">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E2716CE" w14:textId="2D17962F" w:rsidR="00D22A56" w:rsidRPr="002E76E6" w:rsidRDefault="00D22A56" w:rsidP="00677B37">
      <w:pPr>
        <w:spacing w:after="0" w:line="276" w:lineRule="auto"/>
        <w:ind w:firstLine="708"/>
        <w:jc w:val="both"/>
        <w:rPr>
          <w:rFonts w:ascii="Verdana" w:hAnsi="Verdana" w:cs="Arial"/>
          <w:bCs/>
          <w:lang w:val="es-MX" w:eastAsia="x-none"/>
        </w:rPr>
      </w:pPr>
      <w:r w:rsidRPr="002E76E6">
        <w:rPr>
          <w:rFonts w:ascii="Verdana" w:hAnsi="Verdana" w:cs="Arial"/>
          <w:bCs/>
          <w:lang w:val="es-MX" w:eastAsia="x-none"/>
        </w:rPr>
        <w:t xml:space="preserve">El Consejo de Estado, en Concepto con radicado 1727 de fecha 20 de febrero de 2006, consideró que: </w:t>
      </w:r>
    </w:p>
    <w:p w14:paraId="0CA2A5D2" w14:textId="77777777" w:rsidR="00D22A56" w:rsidRPr="002E76E6" w:rsidRDefault="00D22A56" w:rsidP="00D22A56">
      <w:pPr>
        <w:spacing w:after="0" w:line="276" w:lineRule="auto"/>
        <w:ind w:firstLine="708"/>
        <w:jc w:val="both"/>
        <w:rPr>
          <w:rFonts w:ascii="Verdana" w:hAnsi="Verdana" w:cs="Arial"/>
          <w:bCs/>
          <w:lang w:val="es-MX" w:eastAsia="x-none"/>
        </w:rPr>
      </w:pPr>
    </w:p>
    <w:p w14:paraId="56C0199E" w14:textId="77777777" w:rsidR="00D22A56" w:rsidRPr="002E76E6" w:rsidRDefault="00D22A56" w:rsidP="00D22A56">
      <w:pPr>
        <w:spacing w:after="0" w:line="240" w:lineRule="auto"/>
        <w:ind w:left="708" w:right="709"/>
        <w:jc w:val="both"/>
        <w:rPr>
          <w:rFonts w:ascii="Verdana" w:hAnsi="Verdana" w:cs="Arial"/>
          <w:bCs/>
          <w:sz w:val="20"/>
          <w:szCs w:val="20"/>
          <w:lang w:val="es-MX" w:eastAsia="es-CO"/>
        </w:rPr>
      </w:pPr>
      <w:r w:rsidRPr="002E76E6">
        <w:rPr>
          <w:rFonts w:ascii="Verdana" w:hAnsi="Verdana" w:cs="Arial"/>
          <w:bCs/>
          <w:sz w:val="20"/>
          <w:szCs w:val="20"/>
          <w:lang w:val="es-MX" w:eastAsia="x-none"/>
        </w:rPr>
        <w:t xml:space="preserve">“El artículo 33 de la ley 996 de 2005, </w:t>
      </w:r>
      <w:bookmarkStart w:id="14" w:name="_Hlk75787147"/>
      <w:r w:rsidRPr="002E76E6">
        <w:rPr>
          <w:rFonts w:ascii="Verdana" w:hAnsi="Verdana" w:cs="Arial"/>
          <w:bCs/>
          <w:sz w:val="20"/>
          <w:szCs w:val="20"/>
          <w:lang w:val="es-MX" w:eastAsia="x-none"/>
        </w:rPr>
        <w:t xml:space="preserve">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w:t>
      </w:r>
      <w:r w:rsidRPr="002E76E6">
        <w:rPr>
          <w:rFonts w:ascii="Verdana" w:hAnsi="Verdana" w:cs="Arial"/>
          <w:bCs/>
          <w:sz w:val="20"/>
          <w:szCs w:val="20"/>
          <w:lang w:val="es-MX" w:eastAsia="x-none"/>
        </w:rPr>
        <w:lastRenderedPageBreak/>
        <w:t>prestadores directos, incluyendo las excepciones contenidas en el segundo inciso de esta norma”</w:t>
      </w:r>
      <w:r w:rsidRPr="002E76E6">
        <w:rPr>
          <w:rFonts w:ascii="Verdana" w:hAnsi="Verdana" w:cs="Arial"/>
          <w:bCs/>
          <w:sz w:val="20"/>
          <w:szCs w:val="20"/>
          <w:vertAlign w:val="superscript"/>
          <w:lang w:val="es-MX" w:eastAsia="x-none"/>
        </w:rPr>
        <w:footnoteReference w:id="21"/>
      </w:r>
      <w:r w:rsidRPr="002E76E6">
        <w:rPr>
          <w:rFonts w:ascii="Verdana" w:hAnsi="Verdana" w:cs="Arial"/>
          <w:bCs/>
          <w:sz w:val="20"/>
          <w:szCs w:val="20"/>
          <w:lang w:val="es-MX" w:eastAsia="x-none"/>
        </w:rPr>
        <w:t>.</w:t>
      </w:r>
      <w:r w:rsidRPr="002E76E6">
        <w:rPr>
          <w:rFonts w:ascii="Verdana" w:hAnsi="Verdana" w:cs="Arial"/>
          <w:bCs/>
          <w:sz w:val="20"/>
          <w:szCs w:val="20"/>
          <w:lang w:val="es-MX" w:eastAsia="es-CO"/>
        </w:rPr>
        <w:t xml:space="preserve"> </w:t>
      </w:r>
    </w:p>
    <w:p w14:paraId="22A3A24F" w14:textId="77777777" w:rsidR="00D22A56" w:rsidRPr="002E76E6" w:rsidRDefault="00D22A56" w:rsidP="00D22A56">
      <w:pPr>
        <w:spacing w:after="0" w:line="276" w:lineRule="auto"/>
        <w:ind w:firstLine="708"/>
        <w:jc w:val="both"/>
        <w:rPr>
          <w:rFonts w:ascii="Verdana" w:hAnsi="Verdana" w:cs="Arial"/>
          <w:bCs/>
          <w:lang w:val="es-MX" w:eastAsia="es-CO"/>
        </w:rPr>
      </w:pPr>
    </w:p>
    <w:p w14:paraId="1CACA89C" w14:textId="77777777" w:rsidR="004B28CE" w:rsidRPr="002E76E6" w:rsidRDefault="00D22A56" w:rsidP="00677B37">
      <w:pPr>
        <w:spacing w:after="120" w:line="276" w:lineRule="auto"/>
        <w:ind w:firstLine="708"/>
        <w:jc w:val="both"/>
        <w:rPr>
          <w:rFonts w:ascii="Verdana" w:hAnsi="Verdana" w:cs="Arial"/>
          <w:lang w:val="es-MX"/>
        </w:rPr>
      </w:pPr>
      <w:r w:rsidRPr="002E76E6">
        <w:rPr>
          <w:rFonts w:ascii="Verdana" w:hAnsi="Verdana" w:cs="Arial"/>
          <w:bCs/>
          <w:lang w:val="es-MX" w:eastAsia="x-none"/>
        </w:rPr>
        <w:t>De igual forma, en Concepto con radicado 1738 de 6 de abril de 2006, esa misma Corporación manifestó que</w:t>
      </w:r>
      <w:r w:rsidR="00BB6048" w:rsidRPr="002E76E6">
        <w:rPr>
          <w:rFonts w:ascii="Verdana" w:hAnsi="Verdana" w:cs="Arial"/>
          <w:bCs/>
          <w:lang w:val="es-MX" w:eastAsia="x-none"/>
        </w:rPr>
        <w:t>:</w:t>
      </w:r>
      <w:r w:rsidRPr="002E76E6">
        <w:rPr>
          <w:rFonts w:ascii="Verdana" w:hAnsi="Verdana" w:cs="Arial"/>
          <w:bCs/>
          <w:lang w:val="es-MX" w:eastAsia="x-none"/>
        </w:rPr>
        <w:t xml:space="preserv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5" w:name="_Hlk75758868"/>
      <w:bookmarkStart w:id="16" w:name="_Hlk75741220"/>
      <w:r w:rsidRPr="002E76E6">
        <w:rPr>
          <w:rFonts w:ascii="Verdana" w:hAnsi="Verdana" w:cs="Arial"/>
          <w:vertAlign w:val="superscript"/>
          <w:lang w:val="es-MX"/>
        </w:rPr>
        <w:footnoteReference w:id="22"/>
      </w:r>
      <w:bookmarkEnd w:id="15"/>
      <w:bookmarkEnd w:id="16"/>
      <w:r w:rsidRPr="002E76E6">
        <w:rPr>
          <w:rFonts w:ascii="Verdana" w:hAnsi="Verdana" w:cs="Arial"/>
          <w:bCs/>
          <w:lang w:val="es-MX" w:eastAsia="x-none"/>
        </w:rPr>
        <w:t>.</w:t>
      </w:r>
      <w:r w:rsidRPr="002E76E6">
        <w:rPr>
          <w:rFonts w:ascii="Verdana" w:hAnsi="Verdana" w:cs="Arial"/>
          <w:lang w:val="es-MX"/>
        </w:rPr>
        <w:t xml:space="preserve"> </w:t>
      </w:r>
    </w:p>
    <w:p w14:paraId="7A96775A" w14:textId="2EC37D5A" w:rsidR="00D22A56" w:rsidRPr="002E76E6" w:rsidRDefault="00D22A56" w:rsidP="00D22A56">
      <w:pPr>
        <w:spacing w:after="0" w:line="276" w:lineRule="auto"/>
        <w:ind w:firstLine="708"/>
        <w:jc w:val="both"/>
        <w:rPr>
          <w:rFonts w:ascii="Verdana" w:hAnsi="Verdana" w:cs="Arial"/>
          <w:lang w:val="es-MX"/>
        </w:rPr>
      </w:pPr>
      <w:r w:rsidRPr="002E76E6">
        <w:rPr>
          <w:rFonts w:ascii="Verdana" w:hAnsi="Verdana" w:cs="Arial"/>
          <w:lang w:val="es-MX"/>
        </w:rPr>
        <w:t>Sin embargo, debe precisarse el siguiente aspecto que distinguió la Sala de Consulta y Servicio Civil:</w:t>
      </w:r>
    </w:p>
    <w:p w14:paraId="796DC2E9" w14:textId="77777777" w:rsidR="00D22A56" w:rsidRPr="002E76E6" w:rsidRDefault="00D22A56" w:rsidP="00D22A56">
      <w:pPr>
        <w:spacing w:after="0" w:line="276" w:lineRule="auto"/>
        <w:jc w:val="both"/>
        <w:rPr>
          <w:rFonts w:ascii="Verdana" w:hAnsi="Verdana" w:cs="Arial"/>
          <w:lang w:val="es-MX"/>
        </w:rPr>
      </w:pPr>
    </w:p>
    <w:p w14:paraId="02DB515F" w14:textId="77777777" w:rsidR="00D22A56" w:rsidRPr="002E76E6" w:rsidRDefault="00D22A56" w:rsidP="00677B37">
      <w:pPr>
        <w:spacing w:after="0" w:line="240" w:lineRule="auto"/>
        <w:ind w:left="709" w:right="709"/>
        <w:jc w:val="both"/>
        <w:rPr>
          <w:rFonts w:ascii="Verdana" w:hAnsi="Verdana" w:cs="Arial"/>
          <w:sz w:val="20"/>
          <w:szCs w:val="20"/>
          <w:lang w:val="es-MX"/>
        </w:rPr>
      </w:pPr>
      <w:bookmarkStart w:id="18" w:name="_Hlk75811446"/>
      <w:r w:rsidRPr="002E76E6">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8"/>
      <w:r w:rsidRPr="002E76E6">
        <w:rPr>
          <w:rFonts w:ascii="Verdana" w:hAnsi="Verdana" w:cs="Arial"/>
          <w:sz w:val="20"/>
          <w:szCs w:val="20"/>
          <w:lang w:val="es-MX"/>
        </w:rPr>
        <w:t>”</w:t>
      </w:r>
      <w:r w:rsidRPr="002E76E6">
        <w:rPr>
          <w:rFonts w:ascii="Verdana" w:hAnsi="Verdana" w:cs="Arial"/>
          <w:sz w:val="20"/>
          <w:szCs w:val="20"/>
          <w:vertAlign w:val="superscript"/>
          <w:lang w:val="es-MX"/>
        </w:rPr>
        <w:footnoteReference w:id="23"/>
      </w:r>
      <w:r w:rsidRPr="002E76E6">
        <w:rPr>
          <w:rFonts w:ascii="Verdana" w:hAnsi="Verdana" w:cs="Arial"/>
          <w:bCs/>
          <w:sz w:val="20"/>
          <w:szCs w:val="20"/>
          <w:lang w:val="es-MX" w:eastAsia="x-none"/>
        </w:rPr>
        <w:t>.</w:t>
      </w:r>
    </w:p>
    <w:p w14:paraId="32CD4C34" w14:textId="77777777" w:rsidR="00D22A56" w:rsidRPr="002E76E6" w:rsidRDefault="00D22A56" w:rsidP="00D22A56">
      <w:pPr>
        <w:spacing w:after="0" w:line="276" w:lineRule="auto"/>
        <w:jc w:val="both"/>
        <w:rPr>
          <w:rFonts w:ascii="Verdana" w:hAnsi="Verdana" w:cs="Arial"/>
          <w:lang w:val="es-MX"/>
        </w:rPr>
      </w:pPr>
    </w:p>
    <w:p w14:paraId="08F1448F" w14:textId="2653CFE2" w:rsidR="00D22A56" w:rsidRPr="002E76E6" w:rsidRDefault="00D22A56" w:rsidP="00D22A56">
      <w:pPr>
        <w:spacing w:after="120" w:line="276" w:lineRule="auto"/>
        <w:ind w:firstLine="709"/>
        <w:jc w:val="both"/>
        <w:rPr>
          <w:rFonts w:ascii="Verdana" w:hAnsi="Verdana" w:cs="Arial"/>
          <w:bCs/>
          <w:lang w:val="es-MX" w:eastAsia="x-none"/>
        </w:rPr>
      </w:pPr>
      <w:r w:rsidRPr="002E76E6">
        <w:rPr>
          <w:rFonts w:ascii="Verdana" w:hAnsi="Verdana" w:cs="Arial"/>
          <w:lang w:val="es-MX"/>
        </w:rPr>
        <w:lastRenderedPageBreak/>
        <w:t>Aplicando este razonamiento,</w:t>
      </w:r>
      <w:bookmarkStart w:id="19" w:name="_Hlk75811096"/>
      <w:r w:rsidRPr="002E76E6">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w:t>
      </w:r>
      <w:r w:rsidR="00B025EF" w:rsidRPr="002E76E6">
        <w:rPr>
          <w:rFonts w:ascii="Verdana" w:hAnsi="Verdana" w:cs="Arial"/>
          <w:lang w:val="es-MX"/>
        </w:rPr>
        <w:t>L</w:t>
      </w:r>
      <w:r w:rsidRPr="002E76E6">
        <w:rPr>
          <w:rFonts w:ascii="Verdana" w:hAnsi="Verdana" w:cs="Arial"/>
          <w:lang w:val="es-MX"/>
        </w:rPr>
        <w:t>ey 996 de 2005</w:t>
      </w:r>
      <w:bookmarkEnd w:id="19"/>
      <w:r w:rsidRPr="002E76E6">
        <w:rPr>
          <w:rFonts w:ascii="Verdana" w:hAnsi="Verdana" w:cs="Arial"/>
          <w:lang w:val="es-MX"/>
        </w:rPr>
        <w:t>”</w:t>
      </w:r>
      <w:r w:rsidRPr="002E76E6">
        <w:rPr>
          <w:rFonts w:ascii="Verdana" w:hAnsi="Verdana" w:cs="Arial"/>
          <w:vertAlign w:val="superscript"/>
          <w:lang w:val="es-MX"/>
        </w:rPr>
        <w:t xml:space="preserve"> </w:t>
      </w:r>
      <w:r w:rsidRPr="002E76E6">
        <w:rPr>
          <w:rFonts w:ascii="Verdana" w:hAnsi="Verdana" w:cs="Arial"/>
          <w:vertAlign w:val="superscript"/>
          <w:lang w:val="es-MX"/>
        </w:rPr>
        <w:footnoteReference w:id="24"/>
      </w:r>
      <w:r w:rsidRPr="002E76E6">
        <w:rPr>
          <w:rFonts w:ascii="Verdana" w:hAnsi="Verdana" w:cs="Arial"/>
          <w:lang w:val="es-MX"/>
        </w:rPr>
        <w:t>.</w:t>
      </w:r>
    </w:p>
    <w:p w14:paraId="2ADFC804" w14:textId="6017B136" w:rsidR="00D22A56" w:rsidRPr="002E76E6" w:rsidRDefault="00D22A56" w:rsidP="00D22A56">
      <w:pPr>
        <w:spacing w:after="0" w:line="276" w:lineRule="auto"/>
        <w:ind w:firstLine="708"/>
        <w:jc w:val="both"/>
        <w:rPr>
          <w:rFonts w:ascii="Verdana" w:hAnsi="Verdana" w:cs="Arial"/>
          <w:bCs/>
          <w:lang w:val="es-MX" w:eastAsia="x-none"/>
        </w:rPr>
      </w:pPr>
      <w:bookmarkStart w:id="20" w:name="_Hlk77237229"/>
      <w:bookmarkEnd w:id="14"/>
      <w:r w:rsidRPr="002E76E6">
        <w:rPr>
          <w:rFonts w:ascii="Verdana" w:hAnsi="Verdana" w:cs="Arial"/>
          <w:lang w:val="es-MX"/>
        </w:rPr>
        <w:t>Por lo tanto, la restricción prevista en la Ley 996 de 200</w:t>
      </w:r>
      <w:bookmarkStart w:id="21" w:name="_Hlk75741539"/>
      <w:r w:rsidRPr="002E76E6">
        <w:rPr>
          <w:rFonts w:ascii="Verdana" w:hAnsi="Verdana" w:cs="Arial"/>
          <w:lang w:val="es-MX"/>
        </w:rPr>
        <w:t xml:space="preserve">5, </w:t>
      </w:r>
      <w:r w:rsidRPr="002E76E6">
        <w:rPr>
          <w:rFonts w:ascii="Verdana" w:hAnsi="Verdana" w:cs="Arial"/>
          <w:bCs/>
          <w:lang w:val="es-MX" w:eastAsia="x-none"/>
        </w:rPr>
        <w:t xml:space="preserve">teniendo en cuenta la finalidad de la </w:t>
      </w:r>
      <w:r w:rsidR="00CA618E" w:rsidRPr="002E76E6">
        <w:rPr>
          <w:rFonts w:ascii="Verdana" w:hAnsi="Verdana" w:cs="Arial"/>
          <w:bCs/>
          <w:lang w:val="es-MX" w:eastAsia="x-none"/>
        </w:rPr>
        <w:t>L</w:t>
      </w:r>
      <w:r w:rsidRPr="002E76E6">
        <w:rPr>
          <w:rFonts w:ascii="Verdana" w:hAnsi="Verdana" w:cs="Arial"/>
          <w:bCs/>
          <w:lang w:val="es-MX" w:eastAsia="x-none"/>
        </w:rPr>
        <w:t xml:space="preserve">ey de </w:t>
      </w:r>
      <w:r w:rsidR="00CA618E" w:rsidRPr="002E76E6">
        <w:rPr>
          <w:rFonts w:ascii="Verdana" w:hAnsi="Verdana" w:cs="Arial"/>
          <w:bCs/>
          <w:lang w:val="es-MX" w:eastAsia="x-none"/>
        </w:rPr>
        <w:t>G</w:t>
      </w:r>
      <w:r w:rsidRPr="002E76E6">
        <w:rPr>
          <w:rFonts w:ascii="Verdana" w:hAnsi="Verdana" w:cs="Arial"/>
          <w:bCs/>
          <w:lang w:val="es-MX" w:eastAsia="x-none"/>
        </w:rPr>
        <w:t xml:space="preserve">arantías </w:t>
      </w:r>
      <w:r w:rsidR="00CA618E" w:rsidRPr="002E76E6">
        <w:rPr>
          <w:rFonts w:ascii="Verdana" w:hAnsi="Verdana" w:cs="Arial"/>
          <w:bCs/>
          <w:lang w:val="es-MX" w:eastAsia="x-none"/>
        </w:rPr>
        <w:t>E</w:t>
      </w:r>
      <w:r w:rsidRPr="002E76E6">
        <w:rPr>
          <w:rFonts w:ascii="Verdana" w:hAnsi="Verdana" w:cs="Arial"/>
          <w:bCs/>
          <w:lang w:val="es-MX" w:eastAsia="x-none"/>
        </w:rPr>
        <w:t>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7E5E4A04" w14:textId="77777777" w:rsidR="00D22A56" w:rsidRPr="002E76E6" w:rsidRDefault="00D22A56" w:rsidP="00D22A56">
      <w:pPr>
        <w:spacing w:after="0" w:line="276" w:lineRule="auto"/>
        <w:jc w:val="both"/>
        <w:rPr>
          <w:rFonts w:ascii="Verdana" w:eastAsia="Arial" w:hAnsi="Verdana" w:cs="Arial"/>
          <w:bCs/>
        </w:rPr>
      </w:pPr>
    </w:p>
    <w:p w14:paraId="024A6B66" w14:textId="77777777" w:rsidR="00D22A56" w:rsidRPr="002E76E6" w:rsidRDefault="00D22A56" w:rsidP="00D22A56">
      <w:pPr>
        <w:spacing w:after="120" w:line="276" w:lineRule="auto"/>
        <w:jc w:val="both"/>
        <w:rPr>
          <w:rFonts w:ascii="Verdana" w:hAnsi="Verdana" w:cs="Arial"/>
          <w:lang w:val="es-ES"/>
        </w:rPr>
      </w:pPr>
      <w:r w:rsidRPr="002E76E6">
        <w:rPr>
          <w:rFonts w:ascii="Verdana" w:eastAsia="Calibri" w:hAnsi="Verdana" w:cs="Arial"/>
        </w:rPr>
        <w:t xml:space="preserve">v. </w:t>
      </w:r>
      <w:bookmarkEnd w:id="20"/>
      <w:bookmarkEnd w:id="21"/>
      <w:r w:rsidRPr="002E76E6">
        <w:rPr>
          <w:rFonts w:ascii="Verdana" w:hAnsi="Verdana" w:cs="Arial"/>
          <w:lang w:val="es-ES"/>
        </w:rPr>
        <w:t xml:space="preserve">Ahora bien, respecto del alcance del parágrafo </w:t>
      </w:r>
      <w:r w:rsidRPr="002E76E6">
        <w:rPr>
          <w:rFonts w:ascii="Verdana" w:hAnsi="Verdana" w:cs="Arial"/>
        </w:rPr>
        <w:t>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2E76E6">
        <w:rPr>
          <w:rFonts w:ascii="Verdana" w:eastAsia="Times New Roman" w:hAnsi="Verdana" w:cs="Arial"/>
          <w:lang w:val="es-MX" w:eastAsia="x-none"/>
        </w:rPr>
        <w:t xml:space="preserve"> </w:t>
      </w:r>
    </w:p>
    <w:p w14:paraId="7C06E9EA" w14:textId="77777777" w:rsidR="00D22A56" w:rsidRPr="002E76E6" w:rsidRDefault="00D22A56" w:rsidP="00D22A56">
      <w:pPr>
        <w:spacing w:after="120" w:line="276" w:lineRule="auto"/>
        <w:ind w:firstLine="709"/>
        <w:jc w:val="both"/>
        <w:rPr>
          <w:rFonts w:ascii="Verdana" w:hAnsi="Verdana" w:cs="Arial"/>
          <w:lang w:eastAsia="es-ES"/>
        </w:rPr>
      </w:pPr>
      <w:r w:rsidRPr="002E76E6">
        <w:rPr>
          <w:rFonts w:ascii="Verdana" w:eastAsia="Times New Roman" w:hAnsi="Verdana" w:cs="Arial"/>
          <w:lang w:val="es-ES" w:eastAsia="es-ES"/>
        </w:rPr>
        <w:t xml:space="preserve">Para tales efectos, debe precisarse que </w:t>
      </w:r>
      <w:r w:rsidRPr="002E76E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2E76E6">
        <w:rPr>
          <w:rFonts w:ascii="Verdana" w:hAnsi="Verdana" w:cs="Arial"/>
          <w:lang w:eastAsia="es-ES"/>
        </w:rPr>
        <w:t xml:space="preserve">independientemente de las normas que regulan la relación contractual. En este sentido, los convenios interadministrativos solo pueden ser celebrados entre </w:t>
      </w:r>
      <w:r w:rsidRPr="002E76E6">
        <w:rPr>
          <w:rFonts w:ascii="Verdana" w:hAnsi="Verdana" w:cs="Arial"/>
          <w:lang w:eastAsia="es-ES"/>
        </w:rPr>
        <w:lastRenderedPageBreak/>
        <w:t>entidades públicas, pues a éstas corresponde la realización de los fines y tareas que el legislador les ha asignado</w:t>
      </w:r>
      <w:r w:rsidRPr="002E76E6">
        <w:rPr>
          <w:rFonts w:ascii="Verdana" w:hAnsi="Verdana" w:cs="Arial"/>
          <w:vertAlign w:val="superscript"/>
          <w:lang w:eastAsia="es-ES"/>
        </w:rPr>
        <w:footnoteReference w:id="25"/>
      </w:r>
      <w:r w:rsidRPr="002E76E6">
        <w:rPr>
          <w:rFonts w:ascii="Verdana" w:hAnsi="Verdana" w:cs="Arial"/>
          <w:lang w:eastAsia="es-ES"/>
        </w:rPr>
        <w:t>.</w:t>
      </w:r>
    </w:p>
    <w:p w14:paraId="3048A940" w14:textId="052429B4" w:rsidR="00D22A56" w:rsidRPr="002E76E6" w:rsidRDefault="00D22A56" w:rsidP="00D22A56">
      <w:pPr>
        <w:spacing w:after="120" w:line="276" w:lineRule="auto"/>
        <w:ind w:firstLine="709"/>
        <w:jc w:val="both"/>
        <w:rPr>
          <w:rFonts w:ascii="Verdana" w:hAnsi="Verdana" w:cs="Arial"/>
          <w:color w:val="000000" w:themeColor="text1"/>
          <w:lang w:val="es-ES_tradnl"/>
        </w:rPr>
      </w:pPr>
      <w:r w:rsidRPr="002E76E6">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w:t>
      </w:r>
      <w:r w:rsidR="00C0248F" w:rsidRPr="002E76E6">
        <w:rPr>
          <w:rFonts w:ascii="Verdana" w:hAnsi="Verdana" w:cs="Arial"/>
          <w:color w:val="000000" w:themeColor="text1"/>
          <w:lang w:val="es-ES_tradnl"/>
        </w:rPr>
        <w:t>e</w:t>
      </w:r>
      <w:r w:rsidRPr="002E76E6">
        <w:rPr>
          <w:rFonts w:ascii="Verdana" w:hAnsi="Verdana" w:cs="Arial"/>
          <w:color w:val="000000" w:themeColor="text1"/>
          <w:lang w:val="es-ES_tradnl"/>
        </w:rPr>
        <w:t xml:space="preserve">ntidad </w:t>
      </w:r>
      <w:r w:rsidR="00C0248F" w:rsidRPr="002E76E6">
        <w:rPr>
          <w:rFonts w:ascii="Verdana" w:hAnsi="Verdana" w:cs="Arial"/>
          <w:color w:val="000000" w:themeColor="text1"/>
          <w:lang w:val="es-ES_tradnl"/>
        </w:rPr>
        <w:t>e</w:t>
      </w:r>
      <w:r w:rsidRPr="002E76E6">
        <w:rPr>
          <w:rFonts w:ascii="Verdana" w:hAnsi="Verdana" w:cs="Arial"/>
          <w:color w:val="000000" w:themeColor="text1"/>
          <w:lang w:val="es-ES_tradnl"/>
        </w:rPr>
        <w:t>statal de la Ley 80 de 1993 – como es el caso de un municipio – bien puede celebrar esta clase de convenios con una Entidad Estatal de régimen especial y no por ello dejará de ser un contrato o convenio interadministrativo.</w:t>
      </w:r>
    </w:p>
    <w:p w14:paraId="6E91D4BD" w14:textId="77777777" w:rsidR="00D22A56" w:rsidRPr="002E76E6" w:rsidRDefault="00D22A56" w:rsidP="00D22A56">
      <w:pPr>
        <w:spacing w:before="120" w:after="0" w:line="276" w:lineRule="auto"/>
        <w:ind w:firstLine="708"/>
        <w:jc w:val="both"/>
        <w:rPr>
          <w:rFonts w:ascii="Verdana" w:hAnsi="Verdana" w:cs="Arial"/>
          <w:lang w:val="es-ES_tradnl"/>
        </w:rPr>
      </w:pPr>
      <w:r w:rsidRPr="002E76E6">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2E76E6">
        <w:rPr>
          <w:rFonts w:ascii="Verdana" w:hAnsi="Verdana" w:cs="Arial"/>
          <w:vertAlign w:val="superscript"/>
          <w:lang w:val="es-ES"/>
        </w:rPr>
        <w:footnoteReference w:id="26"/>
      </w:r>
      <w:r w:rsidRPr="002E76E6">
        <w:rPr>
          <w:rFonts w:ascii="Verdana" w:hAnsi="Verdana" w:cs="Arial"/>
          <w:lang w:val="es-ES"/>
        </w:rPr>
        <w:t>. Nótese que, en este caso, lo que cambia es la modalidad de selección y no la naturaleza de contrato interadministrativo.</w:t>
      </w:r>
    </w:p>
    <w:p w14:paraId="6B9B445A" w14:textId="77777777" w:rsidR="00D22A56" w:rsidRPr="002E76E6" w:rsidRDefault="00D22A56" w:rsidP="00D22A56">
      <w:pPr>
        <w:spacing w:before="120" w:after="0" w:line="276" w:lineRule="auto"/>
        <w:ind w:firstLine="708"/>
        <w:jc w:val="both"/>
        <w:rPr>
          <w:rFonts w:ascii="Verdana" w:hAnsi="Verdana" w:cs="Arial"/>
          <w:lang w:val="es-ES_tradnl"/>
        </w:rPr>
      </w:pPr>
      <w:r w:rsidRPr="002E76E6">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2E76E6">
        <w:rPr>
          <w:rFonts w:ascii="Verdana" w:hAnsi="Verdana" w:cs="Arial"/>
          <w:vertAlign w:val="superscript"/>
          <w:lang w:val="es-ES"/>
        </w:rPr>
        <w:footnoteReference w:id="27"/>
      </w:r>
      <w:r w:rsidRPr="002E76E6">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E9A2DE7" w14:textId="77777777" w:rsidR="00D22A56" w:rsidRPr="002E76E6" w:rsidRDefault="00D22A56" w:rsidP="00D22A56">
      <w:pPr>
        <w:spacing w:before="120" w:after="0" w:line="276" w:lineRule="auto"/>
        <w:ind w:firstLine="708"/>
        <w:jc w:val="both"/>
        <w:rPr>
          <w:rFonts w:ascii="Verdana" w:hAnsi="Verdana"/>
          <w:sz w:val="24"/>
          <w:szCs w:val="24"/>
          <w:lang w:eastAsia="es-CO"/>
        </w:rPr>
      </w:pPr>
      <w:r w:rsidRPr="002E76E6">
        <w:rPr>
          <w:rFonts w:ascii="Verdana" w:hAnsi="Verdana" w:cs="Arial"/>
          <w:lang w:val="es-ES"/>
        </w:rPr>
        <w:t xml:space="preserve">Sobre este aspecto, se resalta que la Corte Constitucional señaló en la Sentencia C–671 de 2015 que “Lo que hace interadministrativo a un contrato o </w:t>
      </w:r>
      <w:r w:rsidRPr="002E76E6">
        <w:rPr>
          <w:rFonts w:ascii="Verdana" w:hAnsi="Verdana" w:cs="Arial"/>
          <w:lang w:val="es-ES"/>
        </w:rPr>
        <w:lastRenderedPageBreak/>
        <w:t>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2E76E6">
        <w:rPr>
          <w:rFonts w:ascii="Verdana" w:hAnsi="Verdana" w:cs="Arial"/>
          <w:vertAlign w:val="superscript"/>
          <w:lang w:val="es-ES"/>
        </w:rPr>
        <w:footnoteReference w:id="28"/>
      </w:r>
      <w:r w:rsidRPr="002E76E6">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2E76E6">
        <w:rPr>
          <w:rFonts w:ascii="Verdana" w:hAnsi="Verdana"/>
          <w:sz w:val="24"/>
          <w:szCs w:val="24"/>
          <w:lang w:eastAsia="es-CO"/>
        </w:rPr>
        <w:t>.</w:t>
      </w:r>
    </w:p>
    <w:p w14:paraId="3BDFBE7A" w14:textId="77777777" w:rsidR="00D22A56" w:rsidRPr="002E76E6" w:rsidRDefault="00D22A56" w:rsidP="00D22A56">
      <w:pPr>
        <w:spacing w:before="120" w:after="0" w:line="276" w:lineRule="auto"/>
        <w:ind w:firstLine="708"/>
        <w:jc w:val="both"/>
        <w:rPr>
          <w:rFonts w:ascii="Verdana" w:eastAsia="Times New Roman" w:hAnsi="Verdana" w:cs="Arial"/>
          <w:lang w:val="es-MX" w:eastAsia="es-CO"/>
        </w:rPr>
      </w:pPr>
      <w:r w:rsidRPr="002E76E6">
        <w:rPr>
          <w:rFonts w:ascii="Verdana" w:eastAsia="Arial" w:hAnsi="Verdana" w:cs="Arial"/>
          <w:lang w:val="es-MX" w:eastAsia="es-ES" w:bidi="es-ES"/>
        </w:rPr>
        <w:t>De esta manera, se</w:t>
      </w:r>
      <w:r w:rsidRPr="002E76E6">
        <w:rPr>
          <w:rFonts w:ascii="Verdana" w:eastAsia="Times New Roman" w:hAnsi="Verdana" w:cs="Arial"/>
          <w:lang w:eastAsia="es-CO"/>
        </w:rPr>
        <w:t xml:space="preserve"> observa entonces que </w:t>
      </w:r>
      <w:r w:rsidRPr="002E76E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2E76E6">
        <w:rPr>
          <w:rFonts w:ascii="Verdana" w:eastAsia="Times New Roman" w:hAnsi="Verdana" w:cs="Arial"/>
          <w:i/>
          <w:iCs/>
          <w:lang w:val="es-MX" w:eastAsia="es-CO"/>
        </w:rPr>
        <w:t>convenios interadministrativos</w:t>
      </w:r>
      <w:r w:rsidRPr="002E76E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2E76E6">
        <w:rPr>
          <w:rFonts w:ascii="Verdana" w:eastAsia="Times New Roman" w:hAnsi="Verdana" w:cs="Arial"/>
          <w:i/>
          <w:lang w:val="es-MX" w:eastAsia="es-CO"/>
        </w:rPr>
        <w:t>ibidem</w:t>
      </w:r>
      <w:r w:rsidRPr="002E76E6">
        <w:rPr>
          <w:rFonts w:ascii="Verdana" w:eastAsia="Times New Roman" w:hAnsi="Verdana" w:cs="Arial"/>
          <w:lang w:val="es-MX" w:eastAsia="es-CO"/>
        </w:rPr>
        <w:t xml:space="preserve">, no podrá celebrar tales </w:t>
      </w:r>
      <w:r w:rsidRPr="002E76E6">
        <w:rPr>
          <w:rFonts w:ascii="Verdana" w:eastAsia="Times New Roman" w:hAnsi="Verdana" w:cs="Arial"/>
          <w:i/>
          <w:iCs/>
          <w:lang w:val="es-MX" w:eastAsia="es-CO"/>
        </w:rPr>
        <w:t>convenios</w:t>
      </w:r>
      <w:r w:rsidRPr="002E76E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19B13B5" w14:textId="57609157" w:rsidR="00D22A56" w:rsidRPr="002E76E6" w:rsidRDefault="00D22A56" w:rsidP="00D22A56">
      <w:pPr>
        <w:spacing w:before="120" w:after="0" w:line="276" w:lineRule="auto"/>
        <w:ind w:firstLine="708"/>
        <w:jc w:val="both"/>
        <w:rPr>
          <w:rFonts w:ascii="Verdana" w:eastAsia="Times New Roman" w:hAnsi="Verdana" w:cs="Arial"/>
          <w:lang w:eastAsia="es-CO"/>
        </w:rPr>
      </w:pPr>
      <w:r w:rsidRPr="002E76E6">
        <w:rPr>
          <w:rFonts w:ascii="Verdana" w:eastAsia="Times New Roman" w:hAnsi="Verdana" w:cs="Arial"/>
          <w:lang w:val="es-MX" w:eastAsia="es-CO"/>
        </w:rPr>
        <w:t>Respecto del alcance de esta prohibición la Circular Externa No. 006 de 2025 expedida por la A</w:t>
      </w:r>
      <w:r w:rsidR="00C0248F" w:rsidRPr="002E76E6">
        <w:rPr>
          <w:rFonts w:ascii="Verdana" w:eastAsia="Times New Roman" w:hAnsi="Verdana" w:cs="Arial"/>
          <w:lang w:val="es-MX" w:eastAsia="es-CO"/>
        </w:rPr>
        <w:t xml:space="preserve">gencia </w:t>
      </w:r>
      <w:r w:rsidRPr="002E76E6">
        <w:rPr>
          <w:rFonts w:ascii="Verdana" w:eastAsia="Times New Roman" w:hAnsi="Verdana" w:cs="Arial"/>
          <w:lang w:val="es-MX" w:eastAsia="es-CO"/>
        </w:rPr>
        <w:t>N</w:t>
      </w:r>
      <w:r w:rsidR="00C0248F" w:rsidRPr="002E76E6">
        <w:rPr>
          <w:rFonts w:ascii="Verdana" w:eastAsia="Times New Roman" w:hAnsi="Verdana" w:cs="Arial"/>
          <w:lang w:val="es-MX" w:eastAsia="es-CO"/>
        </w:rPr>
        <w:t xml:space="preserve">acional </w:t>
      </w:r>
      <w:r w:rsidRPr="002E76E6">
        <w:rPr>
          <w:rFonts w:ascii="Verdana" w:eastAsia="Times New Roman" w:hAnsi="Verdana" w:cs="Arial"/>
          <w:lang w:val="es-MX" w:eastAsia="es-CO"/>
        </w:rPr>
        <w:t>C</w:t>
      </w:r>
      <w:r w:rsidR="00C0248F" w:rsidRPr="002E76E6">
        <w:rPr>
          <w:rFonts w:ascii="Verdana" w:eastAsia="Times New Roman" w:hAnsi="Verdana" w:cs="Arial"/>
          <w:lang w:val="es-MX" w:eastAsia="es-CO"/>
        </w:rPr>
        <w:t xml:space="preserve">ontratación </w:t>
      </w:r>
      <w:r w:rsidRPr="002E76E6">
        <w:rPr>
          <w:rFonts w:ascii="Verdana" w:eastAsia="Times New Roman" w:hAnsi="Verdana" w:cs="Arial"/>
          <w:lang w:val="es-MX" w:eastAsia="es-CO"/>
        </w:rPr>
        <w:t>P</w:t>
      </w:r>
      <w:r w:rsidR="00C0248F" w:rsidRPr="002E76E6">
        <w:rPr>
          <w:rFonts w:ascii="Verdana" w:eastAsia="Times New Roman" w:hAnsi="Verdana" w:cs="Arial"/>
          <w:lang w:val="es-MX" w:eastAsia="es-CO"/>
        </w:rPr>
        <w:t xml:space="preserve">ública – </w:t>
      </w:r>
      <w:r w:rsidRPr="002E76E6">
        <w:rPr>
          <w:rFonts w:ascii="Verdana" w:eastAsia="Times New Roman" w:hAnsi="Verdana" w:cs="Arial"/>
          <w:lang w:val="es-MX" w:eastAsia="es-CO"/>
        </w:rPr>
        <w:t>C</w:t>
      </w:r>
      <w:r w:rsidR="00C0248F" w:rsidRPr="002E76E6">
        <w:rPr>
          <w:rFonts w:ascii="Verdana" w:eastAsia="Times New Roman" w:hAnsi="Verdana" w:cs="Arial"/>
          <w:lang w:val="es-MX" w:eastAsia="es-CO"/>
        </w:rPr>
        <w:t xml:space="preserve">olombia </w:t>
      </w:r>
      <w:r w:rsidRPr="002E76E6">
        <w:rPr>
          <w:rFonts w:ascii="Verdana" w:eastAsia="Times New Roman" w:hAnsi="Verdana" w:cs="Arial"/>
          <w:lang w:val="es-MX" w:eastAsia="es-CO"/>
        </w:rPr>
        <w:t>C</w:t>
      </w:r>
      <w:r w:rsidR="00C0248F" w:rsidRPr="002E76E6">
        <w:rPr>
          <w:rFonts w:ascii="Verdana" w:eastAsia="Times New Roman" w:hAnsi="Verdana" w:cs="Arial"/>
          <w:lang w:val="es-MX" w:eastAsia="es-CO"/>
        </w:rPr>
        <w:t xml:space="preserve">ompra </w:t>
      </w:r>
      <w:r w:rsidRPr="002E76E6">
        <w:rPr>
          <w:rFonts w:ascii="Verdana" w:eastAsia="Times New Roman" w:hAnsi="Verdana" w:cs="Arial"/>
          <w:lang w:val="es-MX" w:eastAsia="es-CO"/>
        </w:rPr>
        <w:t>E</w:t>
      </w:r>
      <w:r w:rsidR="00C0248F" w:rsidRPr="002E76E6">
        <w:rPr>
          <w:rFonts w:ascii="Verdana" w:eastAsia="Times New Roman" w:hAnsi="Verdana" w:cs="Arial"/>
          <w:lang w:val="es-MX" w:eastAsia="es-CO"/>
        </w:rPr>
        <w:t>ficiente</w:t>
      </w:r>
      <w:r w:rsidRPr="002E76E6">
        <w:rPr>
          <w:rFonts w:ascii="Verdana" w:eastAsia="Times New Roman" w:hAnsi="Verdana" w:cs="Arial"/>
          <w:lang w:val="es-MX" w:eastAsia="es-CO"/>
        </w:rPr>
        <w:t>, en los literales ii) y iv) del numeral 2</w:t>
      </w:r>
      <w:r w:rsidRPr="002E76E6">
        <w:rPr>
          <w:rFonts w:ascii="Verdana" w:eastAsia="Times New Roman" w:hAnsi="Verdana" w:cs="Arial"/>
          <w:lang w:eastAsia="es-CO"/>
        </w:rPr>
        <w:t>,</w:t>
      </w:r>
      <w:r w:rsidRPr="002E76E6">
        <w:rPr>
          <w:rFonts w:ascii="Verdana" w:eastAsia="Times New Roman" w:hAnsi="Verdana" w:cs="Arial"/>
          <w:lang w:val="es-MX" w:eastAsia="es-CO"/>
        </w:rPr>
        <w:t xml:space="preserve"> indica que el </w:t>
      </w:r>
      <w:r w:rsidRPr="002E76E6">
        <w:rPr>
          <w:rFonts w:ascii="Verdana" w:eastAsia="Times New Roman" w:hAnsi="Verdana" w:cs="Arial"/>
          <w:lang w:eastAsia="es-CO"/>
        </w:rPr>
        <w:t xml:space="preserve">parágrafo del artículo 38 de la Ley 996 de 2005 cobija expresamente a los </w:t>
      </w:r>
      <w:r w:rsidRPr="002E76E6">
        <w:rPr>
          <w:rFonts w:ascii="Verdana" w:eastAsia="Times New Roman" w:hAnsi="Verdana" w:cs="Arial"/>
          <w:i/>
          <w:iCs/>
          <w:lang w:eastAsia="es-CO"/>
        </w:rPr>
        <w:t>convenios interadministrativos</w:t>
      </w:r>
      <w:r w:rsidRPr="002E76E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2E76E6">
        <w:rPr>
          <w:rFonts w:ascii="Verdana" w:eastAsia="Times New Roman" w:hAnsi="Verdana" w:cs="Arial"/>
          <w:i/>
          <w:iCs/>
          <w:lang w:eastAsia="es-CO"/>
        </w:rPr>
        <w:t>“aunque se configure alguno de los supuestos de excepción que señaló el inciso final del artículo 33</w:t>
      </w:r>
      <w:r w:rsidRPr="002E76E6">
        <w:rPr>
          <w:rFonts w:ascii="Verdana" w:eastAsia="Times New Roman" w:hAnsi="Verdana" w:cs="Arial"/>
          <w:lang w:eastAsia="es-CO"/>
        </w:rPr>
        <w:t xml:space="preserve">”. Es decir, no aplica a </w:t>
      </w:r>
      <w:r w:rsidRPr="002E76E6">
        <w:rPr>
          <w:rFonts w:ascii="Verdana" w:hAnsi="Verdana" w:cs="Arial"/>
          <w:bCs/>
          <w:lang w:val="es-MX" w:eastAsia="x-none"/>
        </w:rPr>
        <w:t>“[…] l</w:t>
      </w:r>
      <w:r w:rsidRPr="002E76E6">
        <w:rPr>
          <w:rFonts w:ascii="Verdana" w:hAnsi="Verdana" w:cs="Arial"/>
          <w:bCs/>
          <w:lang w:eastAsia="x-none"/>
        </w:rPr>
        <w:t>os requeridos para cubrir las emergencias educativas, sanitarias y desastres […]”</w:t>
      </w:r>
      <w:r w:rsidR="00BD07B1" w:rsidRPr="002E76E6">
        <w:rPr>
          <w:rFonts w:ascii="Verdana" w:hAnsi="Verdana" w:cs="Arial"/>
          <w:bCs/>
          <w:lang w:eastAsia="x-none"/>
        </w:rPr>
        <w:t>, entre otras</w:t>
      </w:r>
      <w:r w:rsidRPr="002E76E6">
        <w:rPr>
          <w:rFonts w:ascii="Verdana" w:hAnsi="Verdana" w:cs="Arial"/>
          <w:bCs/>
          <w:lang w:val="es-MX" w:eastAsia="x-none"/>
        </w:rPr>
        <w:t>.</w:t>
      </w:r>
      <w:r w:rsidRPr="002E76E6">
        <w:rPr>
          <w:rFonts w:ascii="Verdana" w:eastAsia="Times New Roman" w:hAnsi="Verdana" w:cs="Arial"/>
          <w:lang w:eastAsia="es-CO"/>
        </w:rPr>
        <w:t xml:space="preserve"> 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w:t>
      </w:r>
      <w:r w:rsidRPr="002E76E6">
        <w:rPr>
          <w:rFonts w:ascii="Verdana" w:eastAsia="Times New Roman" w:hAnsi="Verdana" w:cs="Arial"/>
          <w:lang w:eastAsia="es-CO"/>
        </w:rPr>
        <w:lastRenderedPageBreak/>
        <w:t>suscribir el negocio jurídico, por lo que no existe justificación alguna para desconocer la prohibición.</w:t>
      </w:r>
    </w:p>
    <w:p w14:paraId="054FC1E0" w14:textId="77777777" w:rsidR="00D22A56" w:rsidRPr="002E76E6" w:rsidRDefault="00D22A56" w:rsidP="00D22A56">
      <w:pPr>
        <w:spacing w:before="120" w:after="0" w:line="276" w:lineRule="auto"/>
        <w:ind w:firstLine="708"/>
        <w:jc w:val="both"/>
        <w:rPr>
          <w:rFonts w:ascii="Verdana" w:eastAsia="Times New Roman" w:hAnsi="Verdana" w:cs="Arial"/>
          <w:lang w:eastAsia="es-CO"/>
        </w:rPr>
      </w:pPr>
      <w:r w:rsidRPr="002E76E6">
        <w:rPr>
          <w:rFonts w:ascii="Verdana" w:eastAsia="Times New Roman" w:hAnsi="Verdana" w:cs="Arial"/>
          <w:lang w:eastAsia="es-CO"/>
        </w:rPr>
        <w:t xml:space="preserve">Sin embargo, el ámbito de aplicación de la restricción prevista en el parágrafo del artículo 38 de la Ley 996 de 2005 comprende a los </w:t>
      </w:r>
      <w:r w:rsidRPr="002E76E6">
        <w:rPr>
          <w:rFonts w:ascii="Verdana" w:eastAsia="Times New Roman" w:hAnsi="Verdana" w:cs="Arial"/>
          <w:i/>
          <w:iCs/>
          <w:lang w:eastAsia="es-CO"/>
        </w:rPr>
        <w:t>convenios interadministrativos</w:t>
      </w:r>
      <w:r w:rsidRPr="002E76E6">
        <w:rPr>
          <w:rFonts w:ascii="Verdana" w:eastAsia="Times New Roman" w:hAnsi="Verdana" w:cs="Arial"/>
          <w:lang w:eastAsia="es-CO"/>
        </w:rPr>
        <w:t xml:space="preserve"> en los que exista </w:t>
      </w:r>
      <w:r w:rsidRPr="002E76E6">
        <w:rPr>
          <w:rFonts w:ascii="Verdana" w:eastAsia="Times New Roman" w:hAnsi="Verdana" w:cs="Arial"/>
          <w:i/>
          <w:iCs/>
          <w:lang w:eastAsia="es-CO"/>
        </w:rPr>
        <w:t>ejecución de recursos públicos</w:t>
      </w:r>
      <w:r w:rsidRPr="002E76E6">
        <w:rPr>
          <w:rFonts w:ascii="Verdana" w:eastAsia="Times New Roman" w:hAnsi="Verdana" w:cs="Arial"/>
          <w:lang w:eastAsia="es-CO"/>
        </w:rPr>
        <w:t xml:space="preserve">, sin importar de que estos sean en dinero o en especie, ya que la norma no distingue. </w:t>
      </w:r>
      <w:r w:rsidRPr="002E76E6">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2E76E6">
        <w:rPr>
          <w:rStyle w:val="Refdenotaalpie"/>
          <w:rFonts w:ascii="Verdana" w:hAnsi="Verdana" w:cs="Arial"/>
          <w:lang w:val="es-ES"/>
        </w:rPr>
        <w:footnoteReference w:id="29"/>
      </w:r>
      <w:r w:rsidRPr="002E76E6">
        <w:rPr>
          <w:rFonts w:ascii="Verdana" w:eastAsia="Times New Roman" w:hAnsi="Verdana" w:cs="Arial"/>
          <w:lang w:val="es-ES" w:eastAsia="es-CO"/>
        </w:rPr>
        <w:t>.</w:t>
      </w:r>
      <w:r w:rsidRPr="002E76E6">
        <w:rPr>
          <w:rFonts w:ascii="Verdana" w:eastAsia="Times New Roman" w:hAnsi="Verdana" w:cs="Arial"/>
          <w:lang w:eastAsia="es-CO"/>
        </w:rPr>
        <w:t xml:space="preserve">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5FCD6DEA" w14:textId="77777777" w:rsidR="00D22A56" w:rsidRPr="002E76E6" w:rsidRDefault="00D22A56" w:rsidP="00D22A56">
      <w:pPr>
        <w:spacing w:before="120" w:after="0" w:line="276" w:lineRule="auto"/>
        <w:ind w:firstLine="708"/>
        <w:jc w:val="both"/>
        <w:rPr>
          <w:rFonts w:ascii="Verdana" w:eastAsia="Times New Roman" w:hAnsi="Verdana" w:cs="Arial"/>
          <w:lang w:eastAsia="es-CO"/>
        </w:rPr>
      </w:pPr>
      <w:r w:rsidRPr="002E76E6">
        <w:rPr>
          <w:rFonts w:ascii="Verdana" w:eastAsia="Times New Roman" w:hAnsi="Verdana" w:cs="Arial"/>
          <w:lang w:eastAsia="es-CO"/>
        </w:rPr>
        <w:t xml:space="preserve">De esta manera, conforme a lo dispuesto en la Circular referida, si se suscriben </w:t>
      </w:r>
      <w:r w:rsidRPr="002E76E6">
        <w:rPr>
          <w:rFonts w:ascii="Verdana" w:eastAsia="Times New Roman" w:hAnsi="Verdana" w:cs="Arial"/>
          <w:i/>
          <w:iCs/>
          <w:lang w:eastAsia="es-CO"/>
        </w:rPr>
        <w:t>convenios interadministrativos para la ejecución de recursos públicos</w:t>
      </w:r>
      <w:r w:rsidRPr="002E76E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2E76E6">
        <w:rPr>
          <w:rFonts w:ascii="Verdana" w:eastAsia="Times New Roman" w:hAnsi="Verdana" w:cs="Arial"/>
          <w:i/>
          <w:iCs/>
          <w:lang w:eastAsia="es-CO"/>
        </w:rPr>
        <w:t>ibidem</w:t>
      </w:r>
      <w:r w:rsidRPr="002E76E6">
        <w:rPr>
          <w:rFonts w:ascii="Verdana" w:eastAsia="Times New Roman" w:hAnsi="Verdana" w:cs="Arial"/>
          <w:lang w:eastAsia="es-CO"/>
        </w:rPr>
        <w:t>, independientemente de que se configure alguno de los supuestos de excepción que señaló el inciso final del artículo 33, es decir, que se trate de:</w:t>
      </w:r>
      <w:r w:rsidRPr="002E76E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w:t>
      </w:r>
      <w:r w:rsidRPr="002E76E6">
        <w:rPr>
          <w:rFonts w:ascii="Verdana" w:hAnsi="Verdana" w:cs="Arial"/>
          <w:bCs/>
          <w:lang w:val="es-MX" w:eastAsia="x-none"/>
        </w:rPr>
        <w:lastRenderedPageBreak/>
        <w:t>de fuerza mayor; y, v) los que deban realizar las entidades sanitarias y hospitalarias.</w:t>
      </w:r>
      <w:r w:rsidRPr="002E76E6">
        <w:rPr>
          <w:rFonts w:ascii="Verdana" w:hAnsi="Verdana" w:cs="Arial"/>
          <w:bCs/>
          <w:lang w:val="es-MX" w:eastAsia="es-CO"/>
        </w:rPr>
        <w:t xml:space="preserve"> </w:t>
      </w:r>
      <w:r w:rsidRPr="002E76E6">
        <w:rPr>
          <w:rFonts w:ascii="Verdana" w:eastAsia="Times New Roman" w:hAnsi="Verdana" w:cs="Arial"/>
          <w:lang w:eastAsia="es-CO"/>
        </w:rPr>
        <w:t xml:space="preserve">  </w:t>
      </w:r>
    </w:p>
    <w:p w14:paraId="66FE850B" w14:textId="77777777" w:rsidR="00D22A56" w:rsidRPr="002E76E6" w:rsidRDefault="00D22A56" w:rsidP="00D22A56">
      <w:pPr>
        <w:spacing w:before="120" w:after="0" w:line="276" w:lineRule="auto"/>
        <w:ind w:firstLine="708"/>
        <w:jc w:val="both"/>
        <w:rPr>
          <w:rFonts w:ascii="Verdana" w:eastAsia="Times New Roman" w:hAnsi="Verdana" w:cs="Arial"/>
          <w:lang w:eastAsia="es-CO"/>
        </w:rPr>
      </w:pPr>
      <w:r w:rsidRPr="002E76E6">
        <w:rPr>
          <w:rFonts w:ascii="Verdana" w:eastAsia="Times New Roman" w:hAnsi="Verdana" w:cs="Arial"/>
          <w:lang w:eastAsia="es-CO"/>
        </w:rPr>
        <w:t xml:space="preserve">En este punto, teniendo en cuenta lo señalado en el contenido de su petición, vale la pena destacar que </w:t>
      </w:r>
      <w:r w:rsidRPr="002E76E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2E76E6">
        <w:rPr>
          <w:rFonts w:ascii="Verdana" w:hAnsi="Verdana" w:cs="Arial"/>
        </w:rPr>
        <w:t>numeral 16.2 de la Circular Externa Única de 2022 expedida por la Agencia Nacional de Contratación Pública – Colombia Compra Eficiente, concretamente, respecto de los siguientes apartes normativos</w:t>
      </w:r>
      <w:r w:rsidRPr="002E76E6">
        <w:rPr>
          <w:rFonts w:ascii="Verdana" w:hAnsi="Verdana" w:cs="Arial"/>
          <w:vertAlign w:val="superscript"/>
        </w:rPr>
        <w:footnoteReference w:id="30"/>
      </w:r>
      <w:r w:rsidRPr="002E76E6">
        <w:rPr>
          <w:rFonts w:ascii="Verdana" w:hAnsi="Verdana" w:cs="Arial"/>
        </w:rPr>
        <w:t xml:space="preserve">: </w:t>
      </w:r>
    </w:p>
    <w:p w14:paraId="4D42EB6F" w14:textId="77777777" w:rsidR="00D22A56" w:rsidRPr="002E76E6" w:rsidRDefault="00D22A56" w:rsidP="00D22A56">
      <w:pPr>
        <w:spacing w:after="0" w:line="276" w:lineRule="auto"/>
        <w:ind w:firstLine="709"/>
        <w:jc w:val="both"/>
        <w:rPr>
          <w:rFonts w:ascii="Verdana" w:hAnsi="Verdana" w:cs="Arial"/>
        </w:rPr>
      </w:pPr>
    </w:p>
    <w:p w14:paraId="1B4EE582" w14:textId="042CE170" w:rsidR="00D22A56" w:rsidRPr="002E76E6" w:rsidRDefault="00D22A56" w:rsidP="00BD07B1">
      <w:pPr>
        <w:spacing w:after="0" w:line="240" w:lineRule="auto"/>
        <w:ind w:left="709" w:right="709"/>
        <w:jc w:val="both"/>
        <w:rPr>
          <w:rFonts w:ascii="Verdana" w:hAnsi="Verdana" w:cs="Arial"/>
          <w:sz w:val="20"/>
          <w:szCs w:val="20"/>
        </w:rPr>
      </w:pPr>
      <w:r w:rsidRPr="002E76E6">
        <w:rPr>
          <w:rFonts w:ascii="Verdana" w:hAnsi="Verdana" w:cs="Arial"/>
          <w:sz w:val="20"/>
          <w:szCs w:val="20"/>
          <w:lang w:val="es-MX"/>
        </w:rPr>
        <w:t>“i)</w:t>
      </w:r>
      <w:r w:rsidRPr="002E76E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8D140F5" w14:textId="77777777" w:rsidR="00BD07B1" w:rsidRPr="002E76E6" w:rsidRDefault="00BD07B1" w:rsidP="00677B37">
      <w:pPr>
        <w:spacing w:after="0" w:line="240" w:lineRule="auto"/>
        <w:ind w:left="709" w:right="709"/>
        <w:jc w:val="both"/>
        <w:rPr>
          <w:rFonts w:ascii="Verdana" w:hAnsi="Verdana" w:cs="Arial"/>
          <w:sz w:val="20"/>
          <w:szCs w:val="20"/>
        </w:rPr>
      </w:pPr>
    </w:p>
    <w:p w14:paraId="3CC75A15" w14:textId="77777777" w:rsidR="00D22A56" w:rsidRPr="002E76E6" w:rsidRDefault="00D22A56" w:rsidP="00BD07B1">
      <w:pPr>
        <w:spacing w:after="0" w:line="240" w:lineRule="auto"/>
        <w:ind w:left="709" w:right="709"/>
        <w:jc w:val="both"/>
        <w:rPr>
          <w:rFonts w:ascii="Verdana" w:hAnsi="Verdana" w:cs="Arial"/>
          <w:sz w:val="20"/>
          <w:szCs w:val="20"/>
        </w:rPr>
      </w:pPr>
      <w:r w:rsidRPr="002E76E6">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6D7B7C3" w14:textId="77777777" w:rsidR="00D22A56" w:rsidRPr="002E76E6" w:rsidRDefault="00D22A56" w:rsidP="00D22A56">
      <w:pPr>
        <w:spacing w:after="0" w:line="276" w:lineRule="auto"/>
        <w:ind w:left="709" w:right="709"/>
        <w:jc w:val="both"/>
        <w:rPr>
          <w:rFonts w:ascii="Verdana" w:hAnsi="Verdana" w:cs="Arial"/>
        </w:rPr>
      </w:pPr>
    </w:p>
    <w:p w14:paraId="71F3CD68" w14:textId="77777777" w:rsidR="008A1CBB" w:rsidRPr="002E76E6" w:rsidRDefault="00D22A56" w:rsidP="00D22A56">
      <w:pPr>
        <w:spacing w:after="120" w:line="276" w:lineRule="auto"/>
        <w:ind w:firstLine="709"/>
        <w:jc w:val="both"/>
        <w:rPr>
          <w:rFonts w:ascii="Verdana" w:eastAsia="Arial" w:hAnsi="Verdana" w:cs="Arial"/>
          <w:i/>
          <w:iCs/>
          <w:lang w:eastAsia="es-ES" w:bidi="es-ES"/>
        </w:rPr>
      </w:pPr>
      <w:r w:rsidRPr="002E76E6">
        <w:rPr>
          <w:rFonts w:ascii="Verdana" w:eastAsia="Arial" w:hAnsi="Verdana" w:cs="Arial"/>
          <w:lang w:val="es-MX" w:eastAsia="es-ES" w:bidi="es-ES"/>
        </w:rPr>
        <w:t xml:space="preserve">De conformidad con los argumentos de dicha providencia, se parte de la distinción entre los conceptos </w:t>
      </w:r>
      <w:r w:rsidRPr="002E76E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2E76E6">
        <w:rPr>
          <w:rFonts w:ascii="Verdana" w:hAnsi="Verdana"/>
          <w:sz w:val="24"/>
          <w:szCs w:val="24"/>
          <w:lang w:eastAsia="es-CO"/>
        </w:rPr>
        <w:t xml:space="preserve"> </w:t>
      </w:r>
      <w:r w:rsidRPr="002E76E6">
        <w:rPr>
          <w:rFonts w:ascii="Verdana" w:eastAsia="Arial" w:hAnsi="Verdana" w:cs="Arial"/>
          <w:lang w:eastAsia="es-ES" w:bidi="es-ES"/>
        </w:rPr>
        <w:t xml:space="preserve">En este sentido, en relación con el parágrafo del artículo 38 de la Ley 996 de 2005 concluyó que </w:t>
      </w:r>
      <w:r w:rsidRPr="002E76E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p>
    <w:p w14:paraId="5CB18F67" w14:textId="5B1FE728" w:rsidR="00D22A56" w:rsidRPr="002E76E6" w:rsidRDefault="00D22A56" w:rsidP="00D22A56">
      <w:pPr>
        <w:spacing w:after="120" w:line="276" w:lineRule="auto"/>
        <w:ind w:firstLine="709"/>
        <w:jc w:val="both"/>
        <w:rPr>
          <w:rFonts w:ascii="Verdana" w:eastAsia="Arial" w:hAnsi="Verdana" w:cs="Arial"/>
          <w:i/>
          <w:iCs/>
          <w:lang w:eastAsia="es-ES" w:bidi="es-ES"/>
        </w:rPr>
      </w:pPr>
      <w:r w:rsidRPr="002E76E6">
        <w:rPr>
          <w:rFonts w:ascii="Verdana" w:eastAsia="Arial" w:hAnsi="Verdana" w:cs="Arial"/>
          <w:lang w:eastAsia="es-ES" w:bidi="es-ES"/>
        </w:rPr>
        <w:lastRenderedPageBreak/>
        <w:t xml:space="preserve">Por tal motivo, para efectos de decretar la medida de suspensión provisional de los apartes señalados del numeral 16.2 de la Circular Externa Única, argumentó que </w:t>
      </w:r>
      <w:r w:rsidRPr="002E76E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2E76E6">
        <w:rPr>
          <w:rFonts w:ascii="Verdana" w:eastAsia="Arial" w:hAnsi="Verdana" w:cs="Arial"/>
          <w:lang w:eastAsia="es-ES" w:bidi="es-ES"/>
        </w:rPr>
        <w:t>”</w:t>
      </w:r>
      <w:r w:rsidRPr="002E76E6">
        <w:rPr>
          <w:rFonts w:ascii="Verdana" w:eastAsia="Arial" w:hAnsi="Verdana" w:cs="Arial"/>
          <w:i/>
          <w:iCs/>
          <w:lang w:eastAsia="es-ES" w:bidi="es-ES"/>
        </w:rPr>
        <w:t xml:space="preserve">. </w:t>
      </w:r>
    </w:p>
    <w:p w14:paraId="22D73AE9" w14:textId="77777777" w:rsidR="00D22A56" w:rsidRPr="002E76E6" w:rsidRDefault="00D22A56" w:rsidP="00D22A56">
      <w:pPr>
        <w:spacing w:after="120" w:line="276" w:lineRule="auto"/>
        <w:ind w:firstLine="709"/>
        <w:jc w:val="both"/>
        <w:rPr>
          <w:rFonts w:ascii="Verdana" w:eastAsia="Arial" w:hAnsi="Verdana" w:cs="Arial"/>
          <w:lang w:eastAsia="es-ES" w:bidi="es-ES"/>
        </w:rPr>
      </w:pPr>
      <w:r w:rsidRPr="002E76E6">
        <w:rPr>
          <w:rFonts w:ascii="Verdana" w:eastAsia="Arial" w:hAnsi="Verdana" w:cs="Arial"/>
          <w:lang w:eastAsia="es-ES" w:bidi="es-ES"/>
        </w:rPr>
        <w:t>De igual manera, mediante auto del 6 de noviembre de 2025, el Consejo de Estado, Subsección A de la Sección Tercera, decretó</w:t>
      </w:r>
      <w:r w:rsidRPr="002E76E6">
        <w:rPr>
          <w:rFonts w:ascii="Verdana" w:eastAsia="Arial" w:hAnsi="Verdana" w:cs="Arial"/>
          <w:b/>
          <w:bCs/>
          <w:lang w:eastAsia="es-ES" w:bidi="es-ES"/>
        </w:rPr>
        <w:t xml:space="preserve"> </w:t>
      </w:r>
      <w:r w:rsidRPr="002E76E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2E76E6">
        <w:rPr>
          <w:rFonts w:ascii="Verdana" w:eastAsia="Arial" w:hAnsi="Verdana" w:cs="Arial"/>
          <w:vertAlign w:val="superscript"/>
          <w:lang w:eastAsia="es-ES" w:bidi="es-ES"/>
        </w:rPr>
        <w:footnoteReference w:id="31"/>
      </w:r>
      <w:r w:rsidRPr="002E76E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2E76E6">
        <w:rPr>
          <w:rFonts w:ascii="Verdana" w:eastAsia="Arial" w:hAnsi="Verdana" w:cs="Arial"/>
          <w:lang w:eastAsia="es-ES" w:bidi="es-ES"/>
        </w:rPr>
        <w:t>legis</w:t>
      </w:r>
      <w:proofErr w:type="spellEnd"/>
      <w:r w:rsidRPr="002E76E6">
        <w:rPr>
          <w:rFonts w:ascii="Verdana" w:eastAsia="Arial" w:hAnsi="Verdana" w:cs="Arial"/>
          <w:lang w:eastAsia="es-ES" w:bidi="es-ES"/>
        </w:rPr>
        <w:t xml:space="preserve"> o iuris y la interpretación extensiva y reiteró los argumentos sobre la diferencia entre contratos y convenios interadministrativos. </w:t>
      </w:r>
    </w:p>
    <w:p w14:paraId="35FBC3FA" w14:textId="77777777" w:rsidR="00D22A56" w:rsidRPr="002E76E6" w:rsidRDefault="00D22A56" w:rsidP="00D22A56">
      <w:pPr>
        <w:spacing w:after="120" w:line="276" w:lineRule="auto"/>
        <w:ind w:firstLine="709"/>
        <w:jc w:val="both"/>
        <w:rPr>
          <w:rFonts w:ascii="Verdana" w:eastAsia="Times New Roman" w:hAnsi="Verdana" w:cs="Times New Roman"/>
          <w:lang w:eastAsia="es-ES"/>
        </w:rPr>
      </w:pPr>
      <w:r w:rsidRPr="002E76E6">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2E76E6">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w:t>
      </w:r>
      <w:r w:rsidRPr="002E76E6">
        <w:rPr>
          <w:rFonts w:ascii="Verdana" w:eastAsia="Times New Roman" w:hAnsi="Verdana" w:cs="Times New Roman"/>
          <w:lang w:eastAsia="es-ES"/>
        </w:rPr>
        <w:lastRenderedPageBreak/>
        <w:t xml:space="preserve">“Esta restricción es aplicable tanto a los convenios como a los contratos interadministrativos…”. </w:t>
      </w:r>
    </w:p>
    <w:p w14:paraId="169A24AA" w14:textId="77777777" w:rsidR="00D22A56" w:rsidRPr="002E76E6" w:rsidRDefault="00D22A56" w:rsidP="00D22A56">
      <w:pPr>
        <w:spacing w:after="120" w:line="276" w:lineRule="auto"/>
        <w:ind w:firstLine="709"/>
        <w:jc w:val="both"/>
        <w:rPr>
          <w:rFonts w:ascii="Verdana" w:eastAsia="Times New Roman" w:hAnsi="Verdana" w:cs="Times New Roman"/>
          <w:lang w:eastAsia="es-ES"/>
        </w:rPr>
      </w:pPr>
      <w:r w:rsidRPr="002E76E6">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2E76E6">
        <w:rPr>
          <w:rStyle w:val="Refdenotaalpie"/>
          <w:rFonts w:ascii="Verdana" w:eastAsia="Times New Roman" w:hAnsi="Verdana" w:cs="Times New Roman"/>
          <w:lang w:eastAsia="es-ES"/>
        </w:rPr>
        <w:footnoteReference w:id="32"/>
      </w:r>
      <w:r w:rsidRPr="002E76E6">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27D553E" w14:textId="77777777" w:rsidR="00D22A56" w:rsidRPr="002E76E6" w:rsidRDefault="00D22A56" w:rsidP="00D22A56">
      <w:pPr>
        <w:spacing w:after="0" w:line="276" w:lineRule="auto"/>
        <w:ind w:firstLine="709"/>
        <w:jc w:val="both"/>
        <w:rPr>
          <w:rFonts w:ascii="Verdana" w:eastAsia="Times New Roman" w:hAnsi="Verdana" w:cs="Arial"/>
          <w:lang w:eastAsia="es-CO"/>
        </w:rPr>
      </w:pPr>
      <w:r w:rsidRPr="002E76E6">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2E76E6">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2E76E6">
        <w:rPr>
          <w:rFonts w:ascii="Verdana" w:eastAsia="Times New Roman" w:hAnsi="Verdana" w:cs="Arial"/>
          <w:i/>
          <w:iCs/>
          <w:lang w:eastAsia="es-CO"/>
        </w:rPr>
        <w:t>contratos interadministrativos</w:t>
      </w:r>
      <w:r w:rsidRPr="002E76E6">
        <w:rPr>
          <w:rFonts w:ascii="Verdana" w:eastAsia="Times New Roman" w:hAnsi="Verdana" w:cs="Arial"/>
          <w:lang w:eastAsia="es-CO"/>
        </w:rPr>
        <w:t>, esta prohibición solo aplicaría a los convenios interadministrativos que impliquen la ejecución de recursos públicos</w:t>
      </w:r>
      <w:r w:rsidRPr="002E76E6">
        <w:rPr>
          <w:rStyle w:val="Refdenotaalpie"/>
          <w:rFonts w:ascii="Verdana" w:eastAsia="Times New Roman" w:hAnsi="Verdana" w:cs="Arial"/>
          <w:lang w:eastAsia="es-CO"/>
        </w:rPr>
        <w:footnoteReference w:id="33"/>
      </w:r>
      <w:r w:rsidRPr="002E76E6">
        <w:rPr>
          <w:rFonts w:ascii="Verdana" w:eastAsia="Times New Roman" w:hAnsi="Verdana" w:cs="Arial"/>
          <w:lang w:eastAsia="es-CO"/>
        </w:rPr>
        <w:t>.</w:t>
      </w:r>
    </w:p>
    <w:p w14:paraId="0D3BE9F1" w14:textId="77777777" w:rsidR="00D22A56" w:rsidRPr="002E76E6" w:rsidRDefault="00D22A56" w:rsidP="00D22A56">
      <w:pPr>
        <w:spacing w:after="0" w:line="276" w:lineRule="auto"/>
        <w:jc w:val="both"/>
        <w:rPr>
          <w:rFonts w:ascii="Verdana" w:eastAsia="Arial" w:hAnsi="Verdana" w:cs="Arial"/>
          <w:lang w:val="es-ES" w:eastAsia="es-ES" w:bidi="es-ES"/>
        </w:rPr>
      </w:pPr>
    </w:p>
    <w:p w14:paraId="4E8A81CA" w14:textId="77777777" w:rsidR="00D22A56" w:rsidRPr="002E76E6" w:rsidRDefault="00D22A56" w:rsidP="00D22A56">
      <w:pPr>
        <w:spacing w:after="120" w:line="276" w:lineRule="auto"/>
        <w:jc w:val="both"/>
        <w:rPr>
          <w:rFonts w:ascii="Verdana" w:eastAsia="Calibri" w:hAnsi="Verdana" w:cs="Arial"/>
          <w:bCs/>
          <w:color w:val="000000" w:themeColor="text1"/>
        </w:rPr>
      </w:pPr>
      <w:r w:rsidRPr="002E76E6">
        <w:rPr>
          <w:rFonts w:ascii="Verdana" w:eastAsia="Calibri" w:hAnsi="Verdana" w:cs="Arial"/>
          <w:bCs/>
          <w:color w:val="000000" w:themeColor="text1"/>
        </w:rPr>
        <w:lastRenderedPageBreak/>
        <w:t>vi.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2A207E9" w14:textId="77777777" w:rsidR="00D22A56" w:rsidRPr="002E76E6" w:rsidRDefault="00D22A56" w:rsidP="00D22A56">
      <w:pPr>
        <w:spacing w:after="0" w:line="276" w:lineRule="auto"/>
        <w:ind w:firstLine="708"/>
        <w:jc w:val="both"/>
        <w:rPr>
          <w:rFonts w:ascii="Verdana" w:eastAsia="Calibri" w:hAnsi="Verdana" w:cs="Arial"/>
          <w:bCs/>
          <w:color w:val="000000" w:themeColor="text1"/>
        </w:rPr>
      </w:pPr>
      <w:r w:rsidRPr="002E76E6">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D165435" w14:textId="77777777" w:rsidR="00D22A56" w:rsidRPr="002E76E6" w:rsidRDefault="00D22A56" w:rsidP="00D03782">
      <w:pPr>
        <w:spacing w:after="0" w:line="276" w:lineRule="auto"/>
        <w:jc w:val="both"/>
        <w:rPr>
          <w:rFonts w:ascii="Verdana" w:eastAsia="Calibri" w:hAnsi="Verdana" w:cs="Arial"/>
          <w:bCs/>
          <w:color w:val="000000" w:themeColor="text1"/>
        </w:rPr>
      </w:pPr>
    </w:p>
    <w:p w14:paraId="2CA93193" w14:textId="77777777" w:rsidR="00D22A56" w:rsidRPr="002E76E6" w:rsidRDefault="00D22A56">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2E76E6">
        <w:rPr>
          <w:rFonts w:ascii="Verdana" w:eastAsia="Century Gothic" w:hAnsi="Verdana" w:cs="Century Gothic"/>
          <w:b/>
          <w:bCs/>
          <w:lang w:val="es-ES_tradnl"/>
        </w:rPr>
        <w:t>Referencias normativas:</w:t>
      </w:r>
    </w:p>
    <w:p w14:paraId="71DF9058" w14:textId="77777777" w:rsidR="00D22A56" w:rsidRPr="002E76E6" w:rsidRDefault="00D22A56">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22A56" w:rsidRPr="002E76E6" w14:paraId="0CBD0964" w14:textId="77777777" w:rsidTr="00B07C70">
        <w:trPr>
          <w:trHeight w:val="491"/>
          <w:jc w:val="center"/>
        </w:trPr>
        <w:tc>
          <w:tcPr>
            <w:tcW w:w="8647" w:type="dxa"/>
          </w:tcPr>
          <w:p w14:paraId="28B165CC" w14:textId="77777777" w:rsidR="00D22A56" w:rsidRPr="002E76E6" w:rsidRDefault="00D22A56" w:rsidP="00677B37">
            <w:pPr>
              <w:widowControl w:val="0"/>
              <w:numPr>
                <w:ilvl w:val="0"/>
                <w:numId w:val="18"/>
              </w:numPr>
              <w:autoSpaceDE w:val="0"/>
              <w:autoSpaceDN w:val="0"/>
              <w:spacing w:line="276" w:lineRule="auto"/>
              <w:jc w:val="both"/>
              <w:rPr>
                <w:rFonts w:ascii="Verdana" w:eastAsia="Arial MT" w:hAnsi="Verdana" w:cs="Arial"/>
                <w:lang w:val="es-ES" w:eastAsia="es-ES" w:bidi="es-ES"/>
              </w:rPr>
            </w:pPr>
            <w:r w:rsidRPr="002E76E6">
              <w:rPr>
                <w:rFonts w:ascii="Verdana" w:eastAsia="Arial MT" w:hAnsi="Verdana" w:cs="Arial"/>
                <w:lang w:val="es-ES" w:eastAsia="es-ES" w:bidi="es-ES"/>
              </w:rPr>
              <w:t>Constitución Política, artículo 127 y 197</w:t>
            </w:r>
          </w:p>
          <w:p w14:paraId="389B1741" w14:textId="77777777" w:rsidR="00D22A56" w:rsidRPr="002E76E6" w:rsidRDefault="00D22A56" w:rsidP="00677B37">
            <w:pPr>
              <w:widowControl w:val="0"/>
              <w:numPr>
                <w:ilvl w:val="0"/>
                <w:numId w:val="18"/>
              </w:numPr>
              <w:autoSpaceDE w:val="0"/>
              <w:autoSpaceDN w:val="0"/>
              <w:spacing w:line="276" w:lineRule="auto"/>
              <w:jc w:val="both"/>
              <w:rPr>
                <w:rFonts w:ascii="Verdana" w:eastAsia="Arial MT" w:hAnsi="Verdana" w:cs="Arial"/>
                <w:lang w:val="es-ES" w:eastAsia="es-ES" w:bidi="es-ES"/>
              </w:rPr>
            </w:pPr>
            <w:r w:rsidRPr="002E76E6">
              <w:rPr>
                <w:rFonts w:ascii="Verdana" w:eastAsia="Arial MT" w:hAnsi="Verdana" w:cs="Arial"/>
                <w:lang w:eastAsia="es-ES" w:bidi="es-ES"/>
              </w:rPr>
              <w:t>Ley 80 de 1993, artículos 39 y 41.</w:t>
            </w:r>
          </w:p>
          <w:p w14:paraId="30D7F1C7" w14:textId="77777777" w:rsidR="00D22A56" w:rsidRPr="002E76E6" w:rsidRDefault="00D22A56" w:rsidP="00677B37">
            <w:pPr>
              <w:widowControl w:val="0"/>
              <w:numPr>
                <w:ilvl w:val="0"/>
                <w:numId w:val="18"/>
              </w:numPr>
              <w:autoSpaceDE w:val="0"/>
              <w:autoSpaceDN w:val="0"/>
              <w:spacing w:line="276" w:lineRule="auto"/>
              <w:jc w:val="both"/>
              <w:rPr>
                <w:rFonts w:ascii="Verdana" w:eastAsia="Arial MT" w:hAnsi="Verdana" w:cs="Arial"/>
                <w:lang w:val="es-ES" w:eastAsia="es-ES" w:bidi="es-ES"/>
              </w:rPr>
            </w:pPr>
            <w:r w:rsidRPr="002E76E6">
              <w:rPr>
                <w:rFonts w:ascii="Verdana" w:eastAsia="Arial MT" w:hAnsi="Verdana" w:cs="Arial"/>
                <w:bCs/>
                <w:lang w:val="es-ES" w:eastAsia="es-ES" w:bidi="es-ES"/>
              </w:rPr>
              <w:t>Ley 996 de 2005, artículos 33 y 38.</w:t>
            </w:r>
          </w:p>
          <w:p w14:paraId="67633EF9" w14:textId="77777777" w:rsidR="00D22A56" w:rsidRPr="002E76E6" w:rsidRDefault="00D22A56" w:rsidP="00677B37">
            <w:pPr>
              <w:widowControl w:val="0"/>
              <w:numPr>
                <w:ilvl w:val="0"/>
                <w:numId w:val="18"/>
              </w:numPr>
              <w:autoSpaceDE w:val="0"/>
              <w:autoSpaceDN w:val="0"/>
              <w:spacing w:line="276" w:lineRule="auto"/>
              <w:jc w:val="both"/>
              <w:rPr>
                <w:rFonts w:ascii="Verdana" w:eastAsia="Arial MT" w:hAnsi="Verdana" w:cs="Arial"/>
                <w:lang w:val="es-ES" w:eastAsia="es-ES" w:bidi="es-ES"/>
              </w:rPr>
            </w:pPr>
            <w:r w:rsidRPr="002E76E6">
              <w:rPr>
                <w:rFonts w:ascii="Verdana" w:hAnsi="Verdana" w:cs="Arial"/>
                <w:bCs/>
                <w:color w:val="000000" w:themeColor="text1"/>
                <w:lang w:val="es-ES"/>
              </w:rPr>
              <w:t>Ley 1150 de 2007, artículo 2.</w:t>
            </w:r>
          </w:p>
          <w:p w14:paraId="7F3DF407" w14:textId="77777777" w:rsidR="00D03782" w:rsidRPr="002E76E6" w:rsidRDefault="00D03782" w:rsidP="00D03782">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Corte Constitucional. Sentencias: C-233 de 4 de abril de 2002, expediente: D-3704; C-551 de 9 de julio de 2003, expediente: CRF-001 de 9 de julio de 2003</w:t>
            </w:r>
            <w:r w:rsidRPr="002E76E6">
              <w:rPr>
                <w:rFonts w:ascii="Verdana" w:hAnsi="Verdana"/>
              </w:rPr>
              <w:t xml:space="preserve">, </w:t>
            </w:r>
            <w:r w:rsidRPr="002E76E6">
              <w:rPr>
                <w:rFonts w:ascii="Verdana" w:hAnsi="Verdana" w:cs="Arial"/>
                <w:lang w:val="es-ES"/>
              </w:rPr>
              <w:t>C-652 de 5 de agosto de 2003, expediente: D-4330; C-353 de 20 de mayo de 2009, expediente: D-7518, C-541 de 30 de junio de 2010, expediente: DD7966</w:t>
            </w:r>
          </w:p>
          <w:p w14:paraId="6573D4EF" w14:textId="2EA67F58" w:rsidR="00D22A56" w:rsidRPr="002E76E6" w:rsidRDefault="00D22A56">
            <w:pPr>
              <w:widowControl w:val="0"/>
              <w:numPr>
                <w:ilvl w:val="0"/>
                <w:numId w:val="18"/>
              </w:numPr>
              <w:autoSpaceDE w:val="0"/>
              <w:autoSpaceDN w:val="0"/>
              <w:spacing w:line="276" w:lineRule="auto"/>
              <w:jc w:val="both"/>
              <w:rPr>
                <w:rFonts w:ascii="Verdana" w:hAnsi="Verdana" w:cs="Arial"/>
                <w:lang w:val="es-ES"/>
              </w:rPr>
            </w:pPr>
            <w:r w:rsidRPr="002E76E6">
              <w:rPr>
                <w:rFonts w:ascii="Verdana" w:eastAsia="Times New Roman" w:hAnsi="Verdana" w:cs="Times New Roman"/>
                <w:lang w:eastAsia="es-ES_tradnl"/>
              </w:rPr>
              <w:t>Corte Constitucional. Sentencia C- 1153 de 2005. M.P. Marco Gerardo Monroy Cabra</w:t>
            </w:r>
            <w:r w:rsidR="00D03782" w:rsidRPr="002E76E6">
              <w:rPr>
                <w:rFonts w:ascii="Verdana" w:eastAsia="Times New Roman" w:hAnsi="Verdana" w:cs="Times New Roman"/>
                <w:lang w:eastAsia="es-ES_tradnl"/>
              </w:rPr>
              <w:t>.</w:t>
            </w:r>
            <w:r w:rsidRPr="002E76E6">
              <w:rPr>
                <w:rFonts w:ascii="Verdana" w:eastAsia="Times New Roman" w:hAnsi="Verdana" w:cs="Times New Roman"/>
                <w:lang w:eastAsia="es-ES_tradnl"/>
              </w:rPr>
              <w:t xml:space="preserve"> </w:t>
            </w:r>
          </w:p>
          <w:p w14:paraId="44700D0A" w14:textId="753A4B8B" w:rsidR="00D03782" w:rsidRPr="002E76E6" w:rsidRDefault="00D03782" w:rsidP="00677B37">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Corte Constitucional. Sentencia C-1153-05 de 11 de noviembre de 2005. Magistrado Ponente Marco Gerardo Monroy Cabra.</w:t>
            </w:r>
          </w:p>
          <w:p w14:paraId="10065915" w14:textId="5CF4C8EB" w:rsidR="00D22A56" w:rsidRPr="002E76E6" w:rsidRDefault="00D22A56" w:rsidP="00D03782">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 xml:space="preserve">Consejo de Estado, Sala de lo Contencioso Administrativo, Sección </w:t>
            </w:r>
            <w:r w:rsidRPr="002E76E6">
              <w:rPr>
                <w:rFonts w:ascii="Verdana" w:hAnsi="Verdana" w:cs="Arial"/>
                <w:lang w:val="es-ES"/>
              </w:rPr>
              <w:lastRenderedPageBreak/>
              <w:t>Primera. Sentencia de 3 de marzo de 2005, expediente número 2004-00823-01(PI).</w:t>
            </w:r>
          </w:p>
          <w:p w14:paraId="59ABE048" w14:textId="77777777" w:rsidR="00D03782" w:rsidRPr="002E76E6" w:rsidRDefault="00D03782">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 20 de febrero de 2006. Radicación Número: 11001-03-06-000-2006-00026-00 (1727). C.P. Enrique José Arboleda Perdomo.</w:t>
            </w:r>
          </w:p>
          <w:p w14:paraId="35CCBF48" w14:textId="31C8184D" w:rsidR="00D03782" w:rsidRPr="002E76E6" w:rsidRDefault="00D03782" w:rsidP="00677B37">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 xml:space="preserve">Consejo de Estado. Sala de Consulta y Servicio Civil. Concepto de 6 de abril de 2006. Radicación Número: 11001-03-06-000-2006-00038-00 (1738). C.P. Enrique José Arboleda </w:t>
            </w:r>
            <w:proofErr w:type="spellStart"/>
            <w:r w:rsidRPr="002E76E6">
              <w:rPr>
                <w:rFonts w:ascii="Verdana" w:hAnsi="Verdana" w:cs="Arial"/>
                <w:lang w:val="es-ES"/>
              </w:rPr>
              <w:t>Perdomo.Consejo</w:t>
            </w:r>
            <w:proofErr w:type="spellEnd"/>
            <w:r w:rsidRPr="002E76E6">
              <w:rPr>
                <w:rFonts w:ascii="Verdana" w:hAnsi="Verdana" w:cs="Arial"/>
                <w:lang w:val="es-ES"/>
              </w:rPr>
              <w:t xml:space="preserve"> de Estado. Sección Tercera. Sentencia de 3 de diciembre de 2007. Radicados: 24.715, 25.206, 25.409, 24.524, 27.834, 25.410, 26.105, 28.244, 31.447 -acumulados.</w:t>
            </w:r>
          </w:p>
          <w:p w14:paraId="5E94403C" w14:textId="65C4A3C6" w:rsidR="00D22A56" w:rsidRPr="002E76E6" w:rsidRDefault="00D22A56" w:rsidP="00D03782">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 xml:space="preserve">Consejo de Estado, Sala de Consulta y Servicio Civil de fecha 24 de julio de 2013, radicado 2166, C. P. Álvaro Namén Vargas.  </w:t>
            </w:r>
          </w:p>
          <w:p w14:paraId="43CBC024" w14:textId="11B1EAB9" w:rsidR="00D03782" w:rsidRPr="002E76E6" w:rsidRDefault="00D03782" w:rsidP="00677B37">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del 2 de septiembre de 2013. Radicación número: 11001-03-06-000-2013-00412-00 (2168). Consejero Ponente: Álvaro Namén Vargas.</w:t>
            </w:r>
          </w:p>
          <w:p w14:paraId="7871342E" w14:textId="77777777" w:rsidR="00D22A56" w:rsidRPr="002E76E6" w:rsidRDefault="00D22A56" w:rsidP="00677B37">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del 17 de febrero de 2015. C.P. William Zambrano Cetina. Radicación No. 11001-03-06-000-2015-00164-00(2269).</w:t>
            </w:r>
          </w:p>
          <w:p w14:paraId="12C946E9" w14:textId="77777777" w:rsidR="00D22A56" w:rsidRPr="002E76E6" w:rsidRDefault="00D22A56" w:rsidP="00677B37">
            <w:pPr>
              <w:widowControl w:val="0"/>
              <w:numPr>
                <w:ilvl w:val="0"/>
                <w:numId w:val="18"/>
              </w:numPr>
              <w:autoSpaceDE w:val="0"/>
              <w:autoSpaceDN w:val="0"/>
              <w:spacing w:line="276" w:lineRule="auto"/>
              <w:jc w:val="both"/>
              <w:rPr>
                <w:rFonts w:ascii="Verdana" w:hAnsi="Verdana" w:cs="Arial"/>
                <w:lang w:val="es-ES"/>
              </w:rPr>
            </w:pPr>
            <w:r w:rsidRPr="002E76E6">
              <w:rPr>
                <w:rFonts w:ascii="Verdana" w:hAnsi="Verdana" w:cs="Arial"/>
                <w:lang w:val="es-ES"/>
              </w:rPr>
              <w:t>Consejo de Estado. Sala de Consulta y Servicio Civil, Concepto de 8 de mayo de 2018. Radicación Número: 11001-03-06-000-2018-00095-00(2382). C.P. Álvaro Namén Vargas.</w:t>
            </w:r>
          </w:p>
          <w:p w14:paraId="32449962" w14:textId="6FACB1F3" w:rsidR="00D22A56" w:rsidRPr="002E76E6" w:rsidRDefault="00D22A56" w:rsidP="00677B37">
            <w:pPr>
              <w:widowControl w:val="0"/>
              <w:numPr>
                <w:ilvl w:val="0"/>
                <w:numId w:val="18"/>
              </w:numPr>
              <w:autoSpaceDE w:val="0"/>
              <w:autoSpaceDN w:val="0"/>
              <w:spacing w:line="276" w:lineRule="auto"/>
              <w:jc w:val="both"/>
              <w:rPr>
                <w:rFonts w:ascii="Verdana" w:hAnsi="Verdana" w:cs="Arial"/>
                <w:lang w:val="es-ES"/>
              </w:rPr>
            </w:pPr>
          </w:p>
        </w:tc>
      </w:tr>
    </w:tbl>
    <w:p w14:paraId="4B1DEB10" w14:textId="77777777" w:rsidR="00D22A56" w:rsidRPr="002E76E6" w:rsidRDefault="00D22A56" w:rsidP="00D03782">
      <w:pPr>
        <w:widowControl w:val="0"/>
        <w:autoSpaceDE w:val="0"/>
        <w:autoSpaceDN w:val="0"/>
        <w:spacing w:after="0" w:line="276" w:lineRule="auto"/>
        <w:jc w:val="both"/>
        <w:rPr>
          <w:rFonts w:ascii="Verdana" w:hAnsi="Verdana" w:cs="Arial"/>
          <w:lang w:val="es-ES_tradnl"/>
        </w:rPr>
      </w:pPr>
    </w:p>
    <w:p w14:paraId="55CFA552" w14:textId="77777777" w:rsidR="00D22A56" w:rsidRPr="002E76E6" w:rsidRDefault="00D22A56">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2E76E6">
        <w:rPr>
          <w:rFonts w:ascii="Verdana" w:eastAsia="Century Gothic" w:hAnsi="Verdana" w:cs="Century Gothic"/>
          <w:b/>
          <w:bCs/>
          <w:lang w:val="es-ES_tradnl"/>
        </w:rPr>
        <w:t>Doctrina de la Agencia Nacional de Contratación Pública:</w:t>
      </w:r>
    </w:p>
    <w:p w14:paraId="1A0612D5" w14:textId="77777777" w:rsidR="00D22A56" w:rsidRPr="002E76E6" w:rsidRDefault="00D22A56">
      <w:pPr>
        <w:widowControl w:val="0"/>
        <w:autoSpaceDE w:val="0"/>
        <w:autoSpaceDN w:val="0"/>
        <w:spacing w:after="0" w:line="276" w:lineRule="auto"/>
        <w:jc w:val="both"/>
        <w:rPr>
          <w:rFonts w:ascii="Verdana" w:hAnsi="Verdana" w:cs="Arial"/>
          <w:lang w:val="es-ES_tradnl"/>
        </w:rPr>
      </w:pPr>
    </w:p>
    <w:p w14:paraId="760D3943" w14:textId="79DDFEE8" w:rsidR="00D22A56" w:rsidRPr="002E76E6" w:rsidRDefault="00D22A56">
      <w:pPr>
        <w:widowControl w:val="0"/>
        <w:autoSpaceDE w:val="0"/>
        <w:autoSpaceDN w:val="0"/>
        <w:spacing w:after="0" w:line="276" w:lineRule="auto"/>
        <w:jc w:val="both"/>
        <w:rPr>
          <w:rFonts w:ascii="Verdana" w:hAnsi="Verdana" w:cs="Arial"/>
          <w:shd w:val="clear" w:color="auto" w:fill="FFFFFF"/>
        </w:rPr>
      </w:pPr>
      <w:r w:rsidRPr="002E76E6">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w:t>
      </w:r>
      <w:r w:rsidRPr="002E76E6">
        <w:rPr>
          <w:rFonts w:ascii="Verdana" w:hAnsi="Verdana" w:cs="Arial"/>
          <w:shd w:val="clear" w:color="auto" w:fill="FFFFFF"/>
        </w:rPr>
        <w:lastRenderedPageBreak/>
        <w:t>septiembre de 2025, C-1350 del 1˚ de octubre de 2025</w:t>
      </w:r>
      <w:r w:rsidR="008B1BEB" w:rsidRPr="002E76E6">
        <w:rPr>
          <w:rFonts w:ascii="Verdana" w:hAnsi="Verdana" w:cs="Arial"/>
          <w:shd w:val="clear" w:color="auto" w:fill="FFFFFF"/>
        </w:rPr>
        <w:t xml:space="preserve">, </w:t>
      </w:r>
      <w:r w:rsidRPr="002E76E6">
        <w:rPr>
          <w:rFonts w:ascii="Verdana" w:hAnsi="Verdana" w:cs="Arial"/>
          <w:shd w:val="clear" w:color="auto" w:fill="FFFFFF"/>
        </w:rPr>
        <w:t>C-1430 del 12 de noviembre del 2025</w:t>
      </w:r>
      <w:r w:rsidR="008B1BEB" w:rsidRPr="002E76E6">
        <w:rPr>
          <w:rFonts w:ascii="Verdana" w:hAnsi="Verdana" w:cs="Arial"/>
          <w:shd w:val="clear" w:color="auto" w:fill="FFFFFF"/>
        </w:rPr>
        <w:t xml:space="preserve"> y</w:t>
      </w:r>
      <w:r w:rsidR="008B1BEB" w:rsidRPr="002E76E6">
        <w:rPr>
          <w:rFonts w:ascii="Verdana" w:hAnsi="Verdana"/>
        </w:rPr>
        <w:t xml:space="preserve"> </w:t>
      </w:r>
      <w:r w:rsidR="008B1BEB" w:rsidRPr="002E76E6">
        <w:rPr>
          <w:rFonts w:ascii="Verdana" w:hAnsi="Verdana" w:cs="Arial"/>
          <w:shd w:val="clear" w:color="auto" w:fill="FFFFFF"/>
        </w:rPr>
        <w:t>C-1661 del 22 de diciembre del 2025</w:t>
      </w:r>
      <w:r w:rsidRPr="002E76E6">
        <w:rPr>
          <w:rFonts w:ascii="Verdana" w:hAnsi="Verdana" w:cs="Arial"/>
          <w:shd w:val="clear" w:color="auto" w:fill="FFFFFF"/>
        </w:rPr>
        <w:t xml:space="preserve">. </w:t>
      </w:r>
      <w:r w:rsidRPr="002E76E6">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2E76E6">
          <w:rPr>
            <w:rFonts w:ascii="Verdana" w:hAnsi="Verdana" w:cs="Arial"/>
            <w:color w:val="0000FF"/>
            <w:u w:val="single"/>
            <w:shd w:val="clear" w:color="auto" w:fill="FFFFFF"/>
            <w:lang w:val="es-ES_tradnl"/>
          </w:rPr>
          <w:t>https://relatoria.colombiacompra.gov.co/busqueda/conceptos</w:t>
        </w:r>
      </w:hyperlink>
      <w:r w:rsidRPr="002E76E6">
        <w:rPr>
          <w:rFonts w:ascii="Verdana" w:hAnsi="Verdana" w:cs="Arial"/>
          <w:shd w:val="clear" w:color="auto" w:fill="FFFFFF"/>
          <w:lang w:val="es-ES_tradnl"/>
        </w:rPr>
        <w:t xml:space="preserve">. </w:t>
      </w:r>
      <w:r w:rsidRPr="002E76E6">
        <w:rPr>
          <w:rFonts w:ascii="Verdana" w:hAnsi="Verdana" w:cs="Arial"/>
          <w:color w:val="FF0000"/>
          <w:shd w:val="clear" w:color="auto" w:fill="FFFFFF"/>
          <w:lang w:val="es-ES_tradnl"/>
        </w:rPr>
        <w:t xml:space="preserve"> </w:t>
      </w:r>
    </w:p>
    <w:p w14:paraId="745AAEE8" w14:textId="77777777" w:rsidR="00D22A56" w:rsidRPr="002E76E6" w:rsidRDefault="00D22A56">
      <w:pPr>
        <w:widowControl w:val="0"/>
        <w:autoSpaceDE w:val="0"/>
        <w:autoSpaceDN w:val="0"/>
        <w:spacing w:after="0" w:line="276" w:lineRule="auto"/>
        <w:jc w:val="both"/>
        <w:rPr>
          <w:rFonts w:ascii="Verdana" w:hAnsi="Verdana" w:cs="Arial"/>
          <w:color w:val="FF0000"/>
          <w:shd w:val="clear" w:color="auto" w:fill="FFFFFF"/>
          <w:lang w:val="es-ES_tradnl"/>
        </w:rPr>
      </w:pPr>
    </w:p>
    <w:p w14:paraId="55F4E5F4" w14:textId="4F33B3E2" w:rsidR="00D22A56" w:rsidRPr="002E76E6" w:rsidRDefault="00D22A56">
      <w:pPr>
        <w:shd w:val="clear" w:color="auto" w:fill="FFFFFF"/>
        <w:spacing w:after="0" w:line="276" w:lineRule="auto"/>
        <w:jc w:val="both"/>
        <w:rPr>
          <w:rFonts w:ascii="Verdana" w:hAnsi="Verdana"/>
          <w:color w:val="467886"/>
          <w:u w:val="single"/>
        </w:rPr>
      </w:pPr>
      <w:r w:rsidRPr="002E76E6">
        <w:rPr>
          <w:rFonts w:ascii="Verdana" w:hAnsi="Verdana"/>
          <w:color w:val="000000"/>
          <w:lang w:val="es-ES_tradnl"/>
        </w:rPr>
        <w:t>Informamos</w:t>
      </w:r>
      <w:r w:rsidRPr="002E76E6">
        <w:rPr>
          <w:rFonts w:ascii="Verdana" w:hAnsi="Verdana"/>
          <w:color w:val="000000"/>
        </w:rPr>
        <w:t xml:space="preserve"> que ya se encuentra disponible la </w:t>
      </w:r>
      <w:r w:rsidRPr="002E76E6">
        <w:rPr>
          <w:rFonts w:ascii="Verdana" w:hAnsi="Verdana"/>
          <w:b/>
          <w:bCs/>
          <w:color w:val="000000"/>
        </w:rPr>
        <w:t>Guía de lineamientos de transparencia y selección objetiva para el departamento de La Guajira – Objetivo sexto constitucional de la Sentencia T-302 del 2017. </w:t>
      </w:r>
      <w:r w:rsidRPr="002E76E6">
        <w:rPr>
          <w:rFonts w:ascii="Verdana" w:hAnsi="Verdana"/>
          <w:color w:val="000000"/>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E76E6">
        <w:rPr>
          <w:rFonts w:ascii="Verdana" w:hAnsi="Verdana"/>
          <w:color w:val="000000"/>
        </w:rPr>
        <w:t>Wayúu</w:t>
      </w:r>
      <w:proofErr w:type="spellEnd"/>
      <w:r w:rsidRPr="002E76E6">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2E76E6">
          <w:rPr>
            <w:rFonts w:ascii="Verdana" w:hAnsi="Verdana"/>
            <w:color w:val="0000FF"/>
            <w:u w:val="single"/>
          </w:rPr>
          <w:t>Guía de lineamientos de transparencia y selección objetiva para el departamento de La Guajira – Objetivo sexto constitucional de la Sentencia T-302 del 2017</w:t>
        </w:r>
      </w:hyperlink>
      <w:r w:rsidRPr="002E76E6">
        <w:rPr>
          <w:rFonts w:ascii="Verdana" w:hAnsi="Verdana"/>
          <w:color w:val="000000"/>
          <w:u w:val="single"/>
        </w:rPr>
        <w:t>.</w:t>
      </w:r>
    </w:p>
    <w:p w14:paraId="2F269C3B" w14:textId="77777777" w:rsidR="00D22A56" w:rsidRPr="002E76E6" w:rsidRDefault="00D22A56">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2E76E6">
        <w:rPr>
          <w:rFonts w:ascii="Verdana" w:hAnsi="Verdana" w:cs="Arial"/>
          <w:color w:val="000000" w:themeColor="text1"/>
          <w:shd w:val="clear" w:color="auto" w:fill="FFFFFF"/>
          <w:lang w:val="es-ES_tradnl"/>
        </w:rPr>
        <w:t xml:space="preserve"> </w:t>
      </w:r>
    </w:p>
    <w:p w14:paraId="77444E0F" w14:textId="77777777" w:rsidR="00D22A56" w:rsidRPr="002E76E6" w:rsidRDefault="00D22A56" w:rsidP="00677B37">
      <w:pPr>
        <w:spacing w:after="0" w:line="276" w:lineRule="auto"/>
        <w:jc w:val="both"/>
        <w:rPr>
          <w:rFonts w:ascii="Verdana" w:hAnsi="Verdana"/>
        </w:rPr>
      </w:pPr>
      <w:r w:rsidRPr="002E76E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273925C" w14:textId="77777777" w:rsidR="00D22A56" w:rsidRPr="002E76E6" w:rsidRDefault="00D22A56" w:rsidP="00677B37">
      <w:pPr>
        <w:spacing w:after="0" w:line="276" w:lineRule="auto"/>
        <w:jc w:val="both"/>
        <w:rPr>
          <w:rFonts w:ascii="Verdana" w:hAnsi="Verdana"/>
        </w:rPr>
      </w:pPr>
    </w:p>
    <w:p w14:paraId="76C27F1A" w14:textId="77777777" w:rsidR="00D22A56" w:rsidRPr="002E76E6" w:rsidRDefault="00D22A56" w:rsidP="00677B37">
      <w:pPr>
        <w:numPr>
          <w:ilvl w:val="0"/>
          <w:numId w:val="15"/>
        </w:numPr>
        <w:spacing w:after="0" w:line="276" w:lineRule="auto"/>
        <w:jc w:val="both"/>
        <w:rPr>
          <w:rFonts w:ascii="Verdana" w:eastAsia="Verdana" w:hAnsi="Verdana" w:cs="Verdana"/>
          <w:color w:val="4472C4" w:themeColor="accent1"/>
          <w:u w:val="single"/>
          <w:lang w:val="es-MX"/>
        </w:rPr>
      </w:pPr>
      <w:r w:rsidRPr="002E76E6">
        <w:rPr>
          <w:rFonts w:ascii="Verdana" w:eastAsia="Verdana" w:hAnsi="Verdana" w:cs="Verdana"/>
          <w:lang w:val="es-MX"/>
        </w:rPr>
        <w:t xml:space="preserve">Línea nacional gratuita o servicio a la ciudadanía (Mesa de servicio): </w:t>
      </w:r>
      <w:r w:rsidRPr="002E76E6">
        <w:rPr>
          <w:rFonts w:ascii="Verdana" w:hAnsi="Verdana"/>
          <w:color w:val="0000FF"/>
          <w:u w:val="single"/>
          <w:lang w:val="es-ES"/>
        </w:rPr>
        <w:t>01800 0520808</w:t>
      </w:r>
    </w:p>
    <w:p w14:paraId="1E9304AE" w14:textId="77777777" w:rsidR="00D22A56" w:rsidRPr="002E76E6" w:rsidRDefault="00D22A56" w:rsidP="00677B37">
      <w:pPr>
        <w:numPr>
          <w:ilvl w:val="0"/>
          <w:numId w:val="15"/>
        </w:numPr>
        <w:spacing w:after="0" w:line="276" w:lineRule="auto"/>
        <w:rPr>
          <w:rFonts w:ascii="Verdana" w:eastAsia="Verdana" w:hAnsi="Verdana" w:cs="Verdana"/>
          <w:color w:val="4472C4" w:themeColor="accent1"/>
          <w:u w:val="single"/>
          <w:lang w:val="es-MX"/>
        </w:rPr>
      </w:pPr>
      <w:r w:rsidRPr="002E76E6">
        <w:rPr>
          <w:rFonts w:ascii="Verdana" w:eastAsia="Verdana" w:hAnsi="Verdana" w:cs="Verdana"/>
          <w:lang w:val="es-MX"/>
        </w:rPr>
        <w:t>Línea en Bogotá (Mesa de servicio):</w:t>
      </w:r>
      <w:r w:rsidRPr="002E76E6">
        <w:rPr>
          <w:rFonts w:ascii="Verdana" w:hAnsi="Verdana"/>
          <w:color w:val="0000FF"/>
          <w:u w:val="single"/>
          <w:lang w:val="es-ES"/>
        </w:rPr>
        <w:t>+57 601 7456788</w:t>
      </w:r>
    </w:p>
    <w:p w14:paraId="092740FC" w14:textId="77777777" w:rsidR="00D22A56" w:rsidRPr="002E76E6" w:rsidRDefault="00D22A56" w:rsidP="00677B37">
      <w:pPr>
        <w:numPr>
          <w:ilvl w:val="0"/>
          <w:numId w:val="15"/>
        </w:numPr>
        <w:spacing w:after="0" w:line="276" w:lineRule="auto"/>
        <w:rPr>
          <w:rFonts w:ascii="Verdana" w:eastAsia="Verdana" w:hAnsi="Verdana" w:cs="Verdana"/>
          <w:color w:val="0000FF"/>
          <w:u w:val="single"/>
          <w:lang w:val="es-MX"/>
        </w:rPr>
      </w:pPr>
      <w:r w:rsidRPr="002E76E6">
        <w:rPr>
          <w:rFonts w:ascii="Verdana" w:eastAsia="Verdana" w:hAnsi="Verdana" w:cs="Verdana"/>
          <w:lang w:val="es-MX"/>
        </w:rPr>
        <w:t xml:space="preserve">Correo de radicación de correspondencia: </w:t>
      </w:r>
      <w:hyperlink r:id="rId15" w:history="1">
        <w:r w:rsidRPr="002E76E6">
          <w:rPr>
            <w:rFonts w:ascii="Verdana" w:eastAsia="Verdana" w:hAnsi="Verdana" w:cs="Verdana"/>
            <w:color w:val="0000FF"/>
            <w:u w:val="single"/>
            <w:lang w:val="es-MX"/>
          </w:rPr>
          <w:t>ventanilladeradicacion@colombiacompra.gov.co</w:t>
        </w:r>
      </w:hyperlink>
    </w:p>
    <w:p w14:paraId="41F4B8BF" w14:textId="77777777" w:rsidR="00D22A56" w:rsidRPr="002E76E6" w:rsidRDefault="00D22A56" w:rsidP="00677B37">
      <w:pPr>
        <w:numPr>
          <w:ilvl w:val="0"/>
          <w:numId w:val="15"/>
        </w:numPr>
        <w:spacing w:after="0" w:line="276" w:lineRule="auto"/>
        <w:rPr>
          <w:rFonts w:ascii="Verdana" w:eastAsia="Verdana" w:hAnsi="Verdana" w:cs="Verdana"/>
          <w:color w:val="0000FF"/>
          <w:u w:val="single"/>
          <w:lang w:val="es-MX"/>
        </w:rPr>
      </w:pPr>
      <w:r w:rsidRPr="002E76E6">
        <w:rPr>
          <w:rFonts w:ascii="Verdana" w:eastAsia="Verdana" w:hAnsi="Verdana" w:cs="Verdana"/>
          <w:lang w:val="es-ES"/>
        </w:rPr>
        <w:t xml:space="preserve">Formulario web para PQRSD: </w:t>
      </w:r>
      <w:hyperlink r:id="rId16" w:history="1">
        <w:r w:rsidRPr="002E76E6">
          <w:rPr>
            <w:rFonts w:ascii="Verdana" w:eastAsia="Verdana" w:hAnsi="Verdana" w:cs="Verdana"/>
            <w:color w:val="0000FF"/>
            <w:u w:val="single"/>
            <w:lang w:val="es-MX"/>
          </w:rPr>
          <w:t>https://www.colombiacompra.gov.co/pqrsd/informacion-importante-antes-de-formular-una-pqrsd</w:t>
        </w:r>
      </w:hyperlink>
    </w:p>
    <w:p w14:paraId="64604FE0" w14:textId="77777777" w:rsidR="00D22A56" w:rsidRPr="002E76E6" w:rsidRDefault="00D22A56" w:rsidP="00677B37">
      <w:pPr>
        <w:spacing w:after="0" w:line="276" w:lineRule="auto"/>
        <w:ind w:left="720"/>
        <w:jc w:val="both"/>
        <w:rPr>
          <w:rFonts w:ascii="Verdana" w:hAnsi="Verdana"/>
        </w:rPr>
      </w:pPr>
    </w:p>
    <w:p w14:paraId="5DE53212" w14:textId="77777777" w:rsidR="00D22A56" w:rsidRPr="002E76E6" w:rsidRDefault="00D22A56" w:rsidP="00677B37">
      <w:pPr>
        <w:spacing w:after="0" w:line="276" w:lineRule="auto"/>
        <w:rPr>
          <w:rFonts w:ascii="Verdana" w:hAnsi="Verdana"/>
        </w:rPr>
      </w:pPr>
      <w:r w:rsidRPr="002E76E6">
        <w:rPr>
          <w:rFonts w:ascii="Verdana" w:hAnsi="Verdana"/>
        </w:rPr>
        <w:t xml:space="preserve">Evalúa el servicio que ofrece la Agencia por el canal de atención de PQRSD en el siguiente enlace: </w:t>
      </w:r>
      <w:hyperlink r:id="rId17" w:history="1">
        <w:r w:rsidRPr="002E76E6">
          <w:rPr>
            <w:rStyle w:val="Hipervnculo"/>
            <w:rFonts w:ascii="Verdana" w:hAnsi="Verdana"/>
          </w:rPr>
          <w:t>https://forms.office.com/r/pPHyWVs2SZ</w:t>
        </w:r>
      </w:hyperlink>
      <w:r w:rsidRPr="002E76E6">
        <w:rPr>
          <w:rFonts w:ascii="Verdana" w:hAnsi="Verdana"/>
        </w:rPr>
        <w:t xml:space="preserve"> .¡Ayúdanos a mejorar porque el compromiso es de todos!</w:t>
      </w:r>
    </w:p>
    <w:p w14:paraId="3CBEB362" w14:textId="77777777" w:rsidR="00D22A56" w:rsidRPr="002E76E6" w:rsidRDefault="00D22A56" w:rsidP="00677B37">
      <w:pPr>
        <w:spacing w:after="0" w:line="276" w:lineRule="auto"/>
        <w:rPr>
          <w:rFonts w:ascii="Verdana" w:hAnsi="Verdana"/>
        </w:rPr>
      </w:pPr>
    </w:p>
    <w:p w14:paraId="7AF47E14" w14:textId="77777777" w:rsidR="00D22A56" w:rsidRPr="002E76E6" w:rsidRDefault="00D22A56" w:rsidP="00677B37">
      <w:pPr>
        <w:spacing w:after="0" w:line="276" w:lineRule="auto"/>
        <w:jc w:val="both"/>
        <w:rPr>
          <w:rFonts w:ascii="Verdana" w:hAnsi="Verdana"/>
        </w:rPr>
      </w:pPr>
      <w:r w:rsidRPr="002E76E6">
        <w:rPr>
          <w:rFonts w:ascii="Verdana" w:hAnsi="Verdana"/>
        </w:rPr>
        <w:t xml:space="preserve">Por último, lo invitamos a seguirnos en las redes sociales en las cuales se difunde información institucional: </w:t>
      </w:r>
    </w:p>
    <w:p w14:paraId="1095D069" w14:textId="77777777" w:rsidR="00D22A56" w:rsidRPr="002E76E6" w:rsidRDefault="00D22A56" w:rsidP="00677B37">
      <w:pPr>
        <w:spacing w:after="0" w:line="276" w:lineRule="auto"/>
        <w:jc w:val="both"/>
        <w:rPr>
          <w:rFonts w:ascii="Verdana" w:hAnsi="Verdana"/>
        </w:rPr>
      </w:pPr>
    </w:p>
    <w:p w14:paraId="5E690B75" w14:textId="77777777" w:rsidR="00D22A56" w:rsidRPr="002E76E6" w:rsidRDefault="00D22A56" w:rsidP="00677B37">
      <w:pPr>
        <w:spacing w:after="0" w:line="276" w:lineRule="auto"/>
        <w:jc w:val="both"/>
        <w:rPr>
          <w:rFonts w:ascii="Verdana" w:hAnsi="Verdana"/>
        </w:rPr>
      </w:pPr>
      <w:r w:rsidRPr="002E76E6">
        <w:rPr>
          <w:rFonts w:ascii="Verdana" w:hAnsi="Verdana"/>
        </w:rPr>
        <w:t xml:space="preserve">Twitter: </w:t>
      </w:r>
      <w:r w:rsidRPr="002E76E6">
        <w:rPr>
          <w:rFonts w:ascii="Verdana" w:hAnsi="Verdana"/>
          <w:color w:val="0000FF"/>
          <w:u w:val="single"/>
        </w:rPr>
        <w:t>@colombiacompra</w:t>
      </w:r>
      <w:r w:rsidRPr="002E76E6">
        <w:rPr>
          <w:rFonts w:ascii="Verdana" w:hAnsi="Verdana"/>
        </w:rPr>
        <w:t xml:space="preserve"> </w:t>
      </w:r>
    </w:p>
    <w:p w14:paraId="7EE973FF" w14:textId="77777777" w:rsidR="00D22A56" w:rsidRPr="002E76E6" w:rsidRDefault="00D22A56" w:rsidP="00677B37">
      <w:pPr>
        <w:spacing w:after="0" w:line="276" w:lineRule="auto"/>
        <w:jc w:val="both"/>
        <w:rPr>
          <w:rFonts w:ascii="Verdana" w:hAnsi="Verdana"/>
        </w:rPr>
      </w:pPr>
      <w:r w:rsidRPr="002E76E6">
        <w:rPr>
          <w:rFonts w:ascii="Verdana" w:hAnsi="Verdana"/>
        </w:rPr>
        <w:t xml:space="preserve">Facebook: </w:t>
      </w:r>
      <w:proofErr w:type="spellStart"/>
      <w:r w:rsidRPr="002E76E6">
        <w:rPr>
          <w:rFonts w:ascii="Verdana" w:hAnsi="Verdana"/>
          <w:color w:val="0000FF"/>
          <w:u w:val="single"/>
        </w:rPr>
        <w:t>ColombiaCompraEficiente</w:t>
      </w:r>
      <w:proofErr w:type="spellEnd"/>
    </w:p>
    <w:p w14:paraId="5D13FE70" w14:textId="77777777" w:rsidR="00D22A56" w:rsidRPr="002E76E6" w:rsidRDefault="00D22A56" w:rsidP="00677B37">
      <w:pPr>
        <w:spacing w:after="0" w:line="276" w:lineRule="auto"/>
        <w:jc w:val="both"/>
        <w:rPr>
          <w:rFonts w:ascii="Verdana" w:hAnsi="Verdana"/>
        </w:rPr>
      </w:pPr>
      <w:r w:rsidRPr="002E76E6">
        <w:rPr>
          <w:rFonts w:ascii="Verdana" w:hAnsi="Verdana"/>
        </w:rPr>
        <w:t xml:space="preserve">LinkedIn: </w:t>
      </w:r>
      <w:r w:rsidRPr="002E76E6">
        <w:rPr>
          <w:rFonts w:ascii="Verdana" w:hAnsi="Verdana"/>
          <w:color w:val="0000FF"/>
          <w:u w:val="single"/>
        </w:rPr>
        <w:t>Agencia Nacional de Contratación Pública - Colombia Compra Eficiente</w:t>
      </w:r>
      <w:r w:rsidRPr="002E76E6">
        <w:rPr>
          <w:rFonts w:ascii="Verdana" w:hAnsi="Verdana"/>
        </w:rPr>
        <w:t xml:space="preserve"> Instagram: </w:t>
      </w:r>
      <w:r w:rsidRPr="002E76E6">
        <w:rPr>
          <w:rFonts w:ascii="Verdana" w:hAnsi="Verdana"/>
          <w:color w:val="0000FF"/>
          <w:u w:val="single"/>
        </w:rPr>
        <w:t>@colombiacompraeficiente_cce</w:t>
      </w:r>
    </w:p>
    <w:p w14:paraId="6314F1D1" w14:textId="77777777" w:rsidR="00D22A56" w:rsidRPr="002E76E6" w:rsidRDefault="00D22A56" w:rsidP="00677B37">
      <w:pPr>
        <w:widowControl w:val="0"/>
        <w:autoSpaceDE w:val="0"/>
        <w:autoSpaceDN w:val="0"/>
        <w:spacing w:after="0" w:line="276" w:lineRule="auto"/>
        <w:jc w:val="both"/>
        <w:rPr>
          <w:rFonts w:ascii="Verdana" w:hAnsi="Verdana" w:cs="Arial"/>
          <w:color w:val="FF0000"/>
          <w:shd w:val="clear" w:color="auto" w:fill="FFFFFF"/>
          <w:lang w:val="es-ES_tradnl"/>
        </w:rPr>
      </w:pPr>
      <w:r w:rsidRPr="002E76E6">
        <w:rPr>
          <w:rFonts w:ascii="Verdana" w:hAnsi="Verdana" w:cs="Arial"/>
          <w:color w:val="FF0000"/>
          <w:shd w:val="clear" w:color="auto" w:fill="FFFFFF"/>
          <w:lang w:val="es-ES_tradnl"/>
        </w:rPr>
        <w:t xml:space="preserve">        </w:t>
      </w:r>
    </w:p>
    <w:p w14:paraId="358DC4AE" w14:textId="77777777" w:rsidR="00D22A56" w:rsidRPr="002E76E6" w:rsidRDefault="00D22A56" w:rsidP="00D03782">
      <w:pPr>
        <w:widowControl w:val="0"/>
        <w:autoSpaceDE w:val="0"/>
        <w:autoSpaceDN w:val="0"/>
        <w:spacing w:after="0" w:line="276" w:lineRule="auto"/>
        <w:jc w:val="both"/>
        <w:rPr>
          <w:rFonts w:ascii="Verdana" w:hAnsi="Verdana" w:cs="Arial"/>
          <w:lang w:val="es-ES_tradnl"/>
        </w:rPr>
      </w:pPr>
      <w:r w:rsidRPr="002E76E6">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1ABF1451" w14:textId="77777777" w:rsidR="00D22A56" w:rsidRPr="002E76E6" w:rsidRDefault="00D22A56">
      <w:pPr>
        <w:widowControl w:val="0"/>
        <w:autoSpaceDE w:val="0"/>
        <w:autoSpaceDN w:val="0"/>
        <w:spacing w:after="0" w:line="276" w:lineRule="auto"/>
        <w:jc w:val="both"/>
        <w:rPr>
          <w:rFonts w:ascii="Verdana" w:hAnsi="Verdana" w:cs="Arial"/>
          <w:lang w:val="es-ES_tradnl"/>
        </w:rPr>
      </w:pPr>
    </w:p>
    <w:p w14:paraId="2F7B1762" w14:textId="77777777" w:rsidR="00D22A56" w:rsidRPr="002E76E6" w:rsidRDefault="00D22A56" w:rsidP="00677B37">
      <w:pPr>
        <w:spacing w:after="0" w:line="276" w:lineRule="auto"/>
        <w:rPr>
          <w:rFonts w:ascii="Verdana" w:hAnsi="Verdana" w:cs="Arial"/>
          <w:lang w:val="es-ES_tradnl" w:eastAsia="es-CO"/>
        </w:rPr>
      </w:pPr>
      <w:r w:rsidRPr="002E76E6">
        <w:rPr>
          <w:rFonts w:ascii="Verdana" w:eastAsia="Times New Roman" w:hAnsi="Verdana" w:cs="Arial"/>
          <w:lang w:val="es-ES" w:eastAsia="es-CO"/>
        </w:rPr>
        <w:t>Atentamente,</w:t>
      </w:r>
      <w:r w:rsidRPr="002E76E6">
        <w:rPr>
          <w:rFonts w:ascii="Verdana" w:hAnsi="Verdana" w:cs="Arial"/>
          <w:lang w:val="es-ES" w:eastAsia="es-CO"/>
        </w:rPr>
        <w:t xml:space="preserve"> </w:t>
      </w:r>
    </w:p>
    <w:p w14:paraId="56C4C662" w14:textId="41DA6CD4" w:rsidR="00D22A56" w:rsidRPr="002E76E6" w:rsidRDefault="00737434" w:rsidP="00D22A56">
      <w:pPr>
        <w:spacing w:after="0"/>
        <w:jc w:val="center"/>
        <w:rPr>
          <w:rFonts w:ascii="Verdana" w:eastAsia="Times New Roman" w:hAnsi="Verdana" w:cs="Segoe UI"/>
          <w:lang w:val="es-ES" w:eastAsia="es-CO"/>
        </w:rPr>
      </w:pPr>
      <w:r w:rsidRPr="002E76E6">
        <w:rPr>
          <w:rFonts w:ascii="Verdana" w:hAnsi="Verdana"/>
          <w:noProof/>
        </w:rPr>
        <w:drawing>
          <wp:inline distT="0" distB="0" distL="0" distR="0" wp14:anchorId="738DD47C" wp14:editId="231D803A">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p w14:paraId="55FB8095" w14:textId="77777777" w:rsidR="00D22A56" w:rsidRPr="002E76E6" w:rsidRDefault="00D22A56" w:rsidP="00D22A56">
      <w:pPr>
        <w:spacing w:after="0"/>
        <w:jc w:val="center"/>
        <w:rPr>
          <w:rFonts w:ascii="Verdana" w:eastAsia="Times New Roman" w:hAnsi="Verdana" w:cs="Segoe UI"/>
          <w:lang w:val="es-ES" w:eastAsia="es-CO"/>
        </w:rPr>
      </w:pPr>
    </w:p>
    <w:tbl>
      <w:tblPr>
        <w:tblStyle w:val="Tablaconcuadrcula1"/>
        <w:tblW w:w="6521" w:type="dxa"/>
        <w:tblLook w:val="04A0" w:firstRow="1" w:lastRow="0" w:firstColumn="1" w:lastColumn="0" w:noHBand="0" w:noVBand="1"/>
      </w:tblPr>
      <w:tblGrid>
        <w:gridCol w:w="893"/>
        <w:gridCol w:w="5628"/>
      </w:tblGrid>
      <w:tr w:rsidR="00D22A56" w:rsidRPr="002E76E6" w14:paraId="66F5EBF8" w14:textId="77777777" w:rsidTr="00B07C70">
        <w:trPr>
          <w:trHeight w:val="315"/>
        </w:trPr>
        <w:tc>
          <w:tcPr>
            <w:tcW w:w="893" w:type="dxa"/>
            <w:vAlign w:val="center"/>
            <w:hideMark/>
          </w:tcPr>
          <w:p w14:paraId="2C80ABF2" w14:textId="77777777" w:rsidR="00D22A56" w:rsidRPr="002E76E6" w:rsidRDefault="00D22A56" w:rsidP="00B07C70">
            <w:pPr>
              <w:spacing w:after="160"/>
              <w:contextualSpacing/>
              <w:rPr>
                <w:rFonts w:ascii="Verdana" w:hAnsi="Verdana" w:cs="Arial"/>
                <w:sz w:val="16"/>
                <w:szCs w:val="16"/>
                <w:lang w:val="es-ES" w:eastAsia="es-ES"/>
              </w:rPr>
            </w:pPr>
            <w:r w:rsidRPr="002E76E6">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513841" w14:textId="77777777" w:rsidR="00D22A56" w:rsidRPr="002E76E6" w:rsidRDefault="00D22A56" w:rsidP="00B07C70">
            <w:pPr>
              <w:spacing w:after="160"/>
              <w:contextualSpacing/>
              <w:rPr>
                <w:rFonts w:ascii="Verdana" w:hAnsi="Verdana"/>
                <w:sz w:val="16"/>
                <w:szCs w:val="16"/>
              </w:rPr>
            </w:pPr>
            <w:r w:rsidRPr="002E76E6">
              <w:rPr>
                <w:rFonts w:ascii="Verdana" w:hAnsi="Verdana"/>
                <w:sz w:val="16"/>
                <w:szCs w:val="16"/>
              </w:rPr>
              <w:t>Ana María Ortiz Ballesteros</w:t>
            </w:r>
          </w:p>
          <w:p w14:paraId="49E8118B" w14:textId="77777777" w:rsidR="00D22A56" w:rsidRPr="002E76E6" w:rsidRDefault="00D22A56" w:rsidP="00B07C70">
            <w:pPr>
              <w:spacing w:after="160"/>
              <w:contextualSpacing/>
              <w:rPr>
                <w:rFonts w:ascii="Verdana" w:eastAsia="Arial" w:hAnsi="Verdana" w:cs="Arial"/>
                <w:sz w:val="16"/>
                <w:szCs w:val="16"/>
                <w:highlight w:val="cyan"/>
              </w:rPr>
            </w:pPr>
            <w:r w:rsidRPr="002E76E6">
              <w:rPr>
                <w:rFonts w:ascii="Verdana" w:hAnsi="Verdana"/>
                <w:sz w:val="16"/>
                <w:szCs w:val="16"/>
              </w:rPr>
              <w:t>Contratista de la Subdirección de Gestión Contractual</w:t>
            </w:r>
          </w:p>
        </w:tc>
      </w:tr>
      <w:tr w:rsidR="00D22A56" w:rsidRPr="002E76E6" w14:paraId="7F86BDD2" w14:textId="77777777" w:rsidTr="00B07C70">
        <w:trPr>
          <w:trHeight w:val="330"/>
        </w:trPr>
        <w:tc>
          <w:tcPr>
            <w:tcW w:w="893" w:type="dxa"/>
            <w:vAlign w:val="center"/>
            <w:hideMark/>
          </w:tcPr>
          <w:p w14:paraId="036A6735" w14:textId="77777777" w:rsidR="00D22A56" w:rsidRPr="002E76E6" w:rsidRDefault="00D22A56" w:rsidP="00B07C70">
            <w:pPr>
              <w:spacing w:after="160"/>
              <w:contextualSpacing/>
              <w:rPr>
                <w:rFonts w:ascii="Verdana" w:hAnsi="Verdana" w:cs="Arial"/>
                <w:sz w:val="16"/>
                <w:szCs w:val="16"/>
                <w:lang w:val="es-ES" w:eastAsia="es-ES"/>
              </w:rPr>
            </w:pPr>
            <w:r w:rsidRPr="002E76E6">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061520" w14:textId="77777777" w:rsidR="00D22A56" w:rsidRPr="002E76E6" w:rsidRDefault="00D22A56" w:rsidP="00B07C70">
            <w:pPr>
              <w:spacing w:after="160"/>
              <w:contextualSpacing/>
              <w:textAlignment w:val="baseline"/>
              <w:rPr>
                <w:rFonts w:ascii="Verdana" w:eastAsia="Times New Roman" w:hAnsi="Verdana" w:cs="Segoe UI"/>
                <w:sz w:val="16"/>
                <w:szCs w:val="16"/>
                <w:lang w:eastAsia="es-ES_tradnl"/>
              </w:rPr>
            </w:pPr>
            <w:r w:rsidRPr="002E76E6">
              <w:rPr>
                <w:rFonts w:ascii="Verdana" w:eastAsia="Times New Roman" w:hAnsi="Verdana" w:cs="Segoe UI"/>
                <w:sz w:val="16"/>
                <w:szCs w:val="16"/>
                <w:lang w:eastAsia="es-ES_tradnl"/>
              </w:rPr>
              <w:t xml:space="preserve">Diana Lucia Saavedra Castañeda </w:t>
            </w:r>
          </w:p>
          <w:p w14:paraId="1865414C" w14:textId="77777777" w:rsidR="00D22A56" w:rsidRPr="002E76E6" w:rsidRDefault="00D22A56" w:rsidP="00B07C70">
            <w:pPr>
              <w:spacing w:after="160"/>
              <w:contextualSpacing/>
              <w:textAlignment w:val="baseline"/>
              <w:rPr>
                <w:rFonts w:ascii="Verdana" w:eastAsia="Times New Roman" w:hAnsi="Verdana" w:cs="Segoe UI"/>
                <w:sz w:val="16"/>
                <w:szCs w:val="16"/>
                <w:highlight w:val="cyan"/>
                <w:lang w:eastAsia="es-ES_tradnl"/>
              </w:rPr>
            </w:pPr>
            <w:r w:rsidRPr="002E76E6">
              <w:rPr>
                <w:rFonts w:ascii="Verdana" w:hAnsi="Verdana"/>
                <w:sz w:val="16"/>
                <w:szCs w:val="16"/>
              </w:rPr>
              <w:t>Contratista de la Subdirección de Gestión Contractual</w:t>
            </w:r>
          </w:p>
        </w:tc>
      </w:tr>
      <w:tr w:rsidR="00D22A56" w:rsidRPr="002E76E6" w14:paraId="6B326C7F" w14:textId="77777777" w:rsidTr="00B07C70">
        <w:trPr>
          <w:trHeight w:val="300"/>
        </w:trPr>
        <w:tc>
          <w:tcPr>
            <w:tcW w:w="893" w:type="dxa"/>
            <w:vAlign w:val="center"/>
          </w:tcPr>
          <w:p w14:paraId="6F2D30D9" w14:textId="77777777" w:rsidR="00D22A56" w:rsidRPr="002E76E6" w:rsidRDefault="00D22A56" w:rsidP="00B07C70">
            <w:pPr>
              <w:spacing w:after="160"/>
              <w:contextualSpacing/>
              <w:rPr>
                <w:rFonts w:ascii="Verdana" w:hAnsi="Verdana" w:cs="Arial"/>
                <w:sz w:val="16"/>
                <w:szCs w:val="16"/>
                <w:lang w:val="es-ES" w:eastAsia="es-ES"/>
              </w:rPr>
            </w:pPr>
            <w:r w:rsidRPr="002E76E6">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B7F5EF" w14:textId="77777777" w:rsidR="00D22A56" w:rsidRPr="002E76E6" w:rsidRDefault="00D22A56" w:rsidP="00B07C70">
            <w:pPr>
              <w:spacing w:after="160"/>
              <w:contextualSpacing/>
              <w:rPr>
                <w:rFonts w:ascii="Verdana" w:hAnsi="Verdana" w:cs="Arial"/>
                <w:sz w:val="16"/>
                <w:szCs w:val="16"/>
                <w:lang w:val="pt-BR" w:eastAsia="es-ES"/>
              </w:rPr>
            </w:pPr>
            <w:r w:rsidRPr="002E76E6">
              <w:rPr>
                <w:rFonts w:ascii="Verdana" w:hAnsi="Verdana" w:cs="Arial"/>
                <w:sz w:val="16"/>
                <w:szCs w:val="16"/>
                <w:lang w:val="pt-BR" w:eastAsia="es-ES"/>
              </w:rPr>
              <w:t xml:space="preserve">Carolina Quintero </w:t>
            </w:r>
            <w:proofErr w:type="spellStart"/>
            <w:r w:rsidRPr="002E76E6">
              <w:rPr>
                <w:rFonts w:ascii="Verdana" w:hAnsi="Verdana" w:cs="Arial"/>
                <w:sz w:val="16"/>
                <w:szCs w:val="16"/>
                <w:lang w:val="pt-BR" w:eastAsia="es-ES"/>
              </w:rPr>
              <w:t>Gacharná</w:t>
            </w:r>
            <w:proofErr w:type="spellEnd"/>
          </w:p>
          <w:p w14:paraId="3362AA77" w14:textId="77777777" w:rsidR="00D22A56" w:rsidRPr="002E76E6" w:rsidRDefault="00D22A56" w:rsidP="00B07C70">
            <w:pPr>
              <w:spacing w:after="160"/>
              <w:contextualSpacing/>
              <w:rPr>
                <w:rFonts w:ascii="Verdana" w:hAnsi="Verdana" w:cs="Arial"/>
                <w:sz w:val="16"/>
                <w:szCs w:val="16"/>
                <w:lang w:val="pt-BR" w:eastAsia="es-ES"/>
              </w:rPr>
            </w:pPr>
            <w:r w:rsidRPr="002E76E6">
              <w:rPr>
                <w:rFonts w:ascii="Verdana" w:hAnsi="Verdana" w:cs="Arial"/>
                <w:sz w:val="16"/>
                <w:szCs w:val="16"/>
                <w:lang w:eastAsia="es-ES"/>
              </w:rPr>
              <w:t>Subdirectora</w:t>
            </w:r>
            <w:r w:rsidRPr="002E76E6">
              <w:rPr>
                <w:rFonts w:ascii="Verdana" w:hAnsi="Verdana" w:cs="Arial"/>
                <w:sz w:val="16"/>
                <w:szCs w:val="16"/>
                <w:lang w:val="pt-BR" w:eastAsia="es-ES"/>
              </w:rPr>
              <w:t xml:space="preserve"> de Gestión Contratual ANCP – CCE</w:t>
            </w:r>
          </w:p>
        </w:tc>
      </w:tr>
      <w:bookmarkEnd w:id="0"/>
    </w:tbl>
    <w:p w14:paraId="0F293BF4" w14:textId="55B4389C" w:rsidR="00127233" w:rsidRPr="002E76E6" w:rsidRDefault="00127233" w:rsidP="00220D11">
      <w:pPr>
        <w:spacing w:after="0" w:line="240" w:lineRule="auto"/>
        <w:ind w:left="1080"/>
        <w:jc w:val="both"/>
        <w:textAlignment w:val="baseline"/>
        <w:rPr>
          <w:rFonts w:ascii="Verdana" w:eastAsia="Verdana" w:hAnsi="Verdana" w:cs="Verdana"/>
          <w:lang w:eastAsia="es-CO"/>
        </w:rPr>
      </w:pPr>
    </w:p>
    <w:sectPr w:rsidR="00127233" w:rsidRPr="002E76E6"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6D4BB" w14:textId="77777777" w:rsidR="005771B3" w:rsidRDefault="005771B3" w:rsidP="004A1847">
      <w:pPr>
        <w:spacing w:after="0" w:line="240" w:lineRule="auto"/>
      </w:pPr>
      <w:r>
        <w:separator/>
      </w:r>
    </w:p>
  </w:endnote>
  <w:endnote w:type="continuationSeparator" w:id="0">
    <w:p w14:paraId="7E49C4F3" w14:textId="77777777" w:rsidR="005771B3" w:rsidRDefault="005771B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C90A2C" w14:textId="77777777" w:rsidR="005771B3" w:rsidRDefault="005771B3" w:rsidP="004A1847">
      <w:pPr>
        <w:spacing w:after="0" w:line="240" w:lineRule="auto"/>
      </w:pPr>
      <w:r>
        <w:separator/>
      </w:r>
    </w:p>
  </w:footnote>
  <w:footnote w:type="continuationSeparator" w:id="0">
    <w:p w14:paraId="715A6D0C" w14:textId="77777777" w:rsidR="005771B3" w:rsidRDefault="005771B3" w:rsidP="004A1847">
      <w:pPr>
        <w:spacing w:after="0" w:line="240" w:lineRule="auto"/>
      </w:pPr>
      <w:r>
        <w:continuationSeparator/>
      </w:r>
    </w:p>
  </w:footnote>
  <w:footnote w:id="1">
    <w:p w14:paraId="2533F4C7" w14:textId="77777777" w:rsidR="00D22A56" w:rsidRPr="00677B37" w:rsidRDefault="00D22A56" w:rsidP="00677B37">
      <w:pPr>
        <w:pStyle w:val="Textonotapie"/>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5423994" w14:textId="77777777" w:rsidR="00D22A56" w:rsidRPr="00677B37" w:rsidRDefault="00D22A56" w:rsidP="00677B37">
      <w:pPr>
        <w:pStyle w:val="Textonotapie"/>
        <w:ind w:firstLine="709"/>
        <w:jc w:val="both"/>
        <w:rPr>
          <w:rFonts w:ascii="Verdana" w:hAnsi="Verdana" w:cs="Arial"/>
          <w:sz w:val="16"/>
          <w:szCs w:val="16"/>
        </w:rPr>
      </w:pPr>
      <w:r w:rsidRPr="00677B37">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8A7C0F3" w14:textId="77777777" w:rsidR="00D22A56" w:rsidRPr="00677B37" w:rsidRDefault="00D22A56" w:rsidP="00677B37">
      <w:pPr>
        <w:pStyle w:val="Textonotapie"/>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Gaceta del Congreso de la República No. 71 del 2005.</w:t>
      </w:r>
    </w:p>
  </w:footnote>
  <w:footnote w:id="3">
    <w:p w14:paraId="06A2107C" w14:textId="77777777" w:rsidR="00D22A56" w:rsidRPr="00677B37" w:rsidRDefault="00D22A56" w:rsidP="00677B37">
      <w:pPr>
        <w:pStyle w:val="Textonotapie"/>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Corte Constitucional, Sentencia C- 1153 de 2005, M.P. Marco Gerardo Monroy Cabra.</w:t>
      </w:r>
    </w:p>
  </w:footnote>
  <w:footnote w:id="4">
    <w:p w14:paraId="125F0F3C" w14:textId="77777777" w:rsidR="00D22A56" w:rsidRPr="00677B37" w:rsidRDefault="00D22A56" w:rsidP="00677B37">
      <w:pPr>
        <w:pStyle w:val="Textonotapie"/>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3D82E63" w14:textId="77777777" w:rsidR="00D22A56" w:rsidRPr="00677B37" w:rsidRDefault="00D22A56" w:rsidP="00677B37">
      <w:pPr>
        <w:pStyle w:val="Textonotapie"/>
        <w:ind w:firstLine="709"/>
        <w:jc w:val="both"/>
        <w:rPr>
          <w:rFonts w:ascii="Verdana" w:hAnsi="Verdana" w:cs="Arial"/>
          <w:sz w:val="16"/>
          <w:szCs w:val="16"/>
          <w:lang w:val="es-CO"/>
        </w:rPr>
      </w:pPr>
      <w:r w:rsidRPr="00677B37">
        <w:rPr>
          <w:rStyle w:val="Refdenotaalpie"/>
          <w:rFonts w:ascii="Verdana" w:hAnsi="Verdana" w:cs="Arial"/>
          <w:sz w:val="16"/>
          <w:szCs w:val="16"/>
        </w:rPr>
        <w:footnoteRef/>
      </w:r>
      <w:r w:rsidRPr="00677B37">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777871A4" w14:textId="77777777" w:rsidR="00D22A56" w:rsidRPr="00677B37" w:rsidRDefault="00D22A56" w:rsidP="00677B37">
      <w:pPr>
        <w:pStyle w:val="Textonotapie"/>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62AC8D13" w14:textId="77777777" w:rsidR="00D22A56" w:rsidRPr="00677B37" w:rsidRDefault="00D22A56" w:rsidP="00677B37">
      <w:pPr>
        <w:spacing w:after="0" w:line="240" w:lineRule="auto"/>
        <w:ind w:firstLine="709"/>
        <w:jc w:val="both"/>
        <w:rPr>
          <w:rFonts w:ascii="Verdana" w:eastAsia="Times New Roman"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w:t>
      </w:r>
      <w:bookmarkStart w:id="5" w:name="33"/>
      <w:r w:rsidRPr="00677B37">
        <w:rPr>
          <w:rFonts w:ascii="Verdana" w:eastAsia="Calibri" w:hAnsi="Verdana" w:cs="Arial"/>
          <w:color w:val="000000"/>
          <w:sz w:val="16"/>
          <w:szCs w:val="16"/>
        </w:rPr>
        <w:t>“</w:t>
      </w:r>
      <w:r w:rsidRPr="00677B37">
        <w:rPr>
          <w:rFonts w:ascii="Verdana" w:eastAsia="Times New Roman" w:hAnsi="Verdana" w:cs="Arial"/>
          <w:sz w:val="16"/>
          <w:szCs w:val="16"/>
        </w:rPr>
        <w:t>Artículo 33. Restricciones a la contratación pública.</w:t>
      </w:r>
      <w:bookmarkEnd w:id="5"/>
      <w:r w:rsidRPr="00677B37">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0ACEC58" w14:textId="77777777" w:rsidR="00D22A56" w:rsidRPr="00677B37" w:rsidRDefault="00D22A56" w:rsidP="00677B37">
      <w:pPr>
        <w:spacing w:after="0" w:line="240" w:lineRule="auto"/>
        <w:ind w:firstLine="709"/>
        <w:jc w:val="both"/>
        <w:rPr>
          <w:rFonts w:ascii="Verdana" w:eastAsia="Times New Roman" w:hAnsi="Verdana" w:cs="Arial"/>
          <w:sz w:val="16"/>
          <w:szCs w:val="16"/>
        </w:rPr>
      </w:pPr>
      <w:r w:rsidRPr="00677B37">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77B37">
        <w:rPr>
          <w:rFonts w:ascii="Verdana" w:eastAsia="Calibri" w:hAnsi="Verdana" w:cs="Arial"/>
          <w:color w:val="000000"/>
          <w:sz w:val="16"/>
          <w:szCs w:val="16"/>
        </w:rPr>
        <w:t>”</w:t>
      </w:r>
      <w:r w:rsidRPr="00677B37">
        <w:rPr>
          <w:rFonts w:ascii="Verdana" w:eastAsia="Times New Roman" w:hAnsi="Verdana" w:cs="Arial"/>
          <w:sz w:val="16"/>
          <w:szCs w:val="16"/>
        </w:rPr>
        <w:t>.</w:t>
      </w:r>
    </w:p>
  </w:footnote>
  <w:footnote w:id="8">
    <w:p w14:paraId="54F3A8A9" w14:textId="77777777" w:rsidR="00D22A56" w:rsidRPr="00677B37" w:rsidRDefault="00D22A56" w:rsidP="00677B37">
      <w:pPr>
        <w:pStyle w:val="NormalWeb"/>
        <w:spacing w:before="0" w:beforeAutospacing="0" w:after="0" w:afterAutospacing="0"/>
        <w:ind w:firstLine="709"/>
        <w:jc w:val="both"/>
        <w:rPr>
          <w:rFonts w:ascii="Verdana" w:hAnsi="Verdana" w:cs="Arial"/>
          <w:sz w:val="16"/>
          <w:szCs w:val="16"/>
          <w:lang w:val="es-MX"/>
        </w:rPr>
      </w:pPr>
      <w:r w:rsidRPr="00677B37">
        <w:rPr>
          <w:rStyle w:val="Refdenotaalpie"/>
          <w:rFonts w:ascii="Verdana" w:hAnsi="Verdana" w:cs="Arial"/>
          <w:sz w:val="16"/>
          <w:szCs w:val="16"/>
        </w:rPr>
        <w:footnoteRef/>
      </w:r>
      <w:r w:rsidRPr="00677B37">
        <w:rPr>
          <w:rFonts w:ascii="Verdana" w:hAnsi="Verdana" w:cs="Arial"/>
          <w:sz w:val="16"/>
          <w:szCs w:val="16"/>
        </w:rPr>
        <w:t xml:space="preserve"> </w:t>
      </w:r>
      <w:bookmarkStart w:id="6" w:name="38"/>
      <w:r w:rsidRPr="00677B37">
        <w:rPr>
          <w:rFonts w:ascii="Verdana" w:eastAsia="Calibri" w:hAnsi="Verdana" w:cs="Arial"/>
          <w:color w:val="000000"/>
          <w:sz w:val="16"/>
          <w:szCs w:val="16"/>
        </w:rPr>
        <w:t>“</w:t>
      </w:r>
      <w:r w:rsidRPr="00677B37">
        <w:rPr>
          <w:rFonts w:ascii="Verdana" w:hAnsi="Verdana" w:cs="Arial"/>
          <w:sz w:val="16"/>
          <w:szCs w:val="16"/>
          <w:lang w:val="es-MX"/>
        </w:rPr>
        <w:t>Artículo 38. Prohibiciones para los servidores públicos. A los empleados del Estado les está prohibido:</w:t>
      </w:r>
      <w:bookmarkEnd w:id="6"/>
    </w:p>
    <w:p w14:paraId="229A3A2E" w14:textId="77777777" w:rsidR="00D22A56" w:rsidRPr="00677B37" w:rsidRDefault="00D22A56" w:rsidP="00677B37">
      <w:pPr>
        <w:pStyle w:val="NormalWeb"/>
        <w:spacing w:before="0" w:beforeAutospacing="0" w:after="0" w:afterAutospacing="0"/>
        <w:ind w:firstLine="709"/>
        <w:jc w:val="both"/>
        <w:rPr>
          <w:rFonts w:ascii="Verdana" w:hAnsi="Verdana" w:cs="Arial"/>
          <w:sz w:val="16"/>
          <w:szCs w:val="16"/>
          <w:lang w:val="es-MX"/>
        </w:rPr>
      </w:pPr>
      <w:r w:rsidRPr="00677B37">
        <w:rPr>
          <w:rFonts w:ascii="Verdana" w:hAnsi="Verdana" w:cs="Arial"/>
          <w:sz w:val="16"/>
          <w:szCs w:val="16"/>
          <w:lang w:val="es-MX"/>
        </w:rPr>
        <w:t>[…]</w:t>
      </w:r>
    </w:p>
    <w:p w14:paraId="11B6C7F0" w14:textId="77777777" w:rsidR="00D22A56" w:rsidRPr="00677B37" w:rsidRDefault="00D22A56" w:rsidP="00677B37">
      <w:pPr>
        <w:pStyle w:val="NormalWeb"/>
        <w:spacing w:before="0" w:beforeAutospacing="0" w:after="0" w:afterAutospacing="0"/>
        <w:ind w:firstLine="709"/>
        <w:jc w:val="both"/>
        <w:rPr>
          <w:rFonts w:ascii="Verdana" w:hAnsi="Verdana" w:cs="Arial"/>
          <w:sz w:val="16"/>
          <w:szCs w:val="16"/>
          <w:lang w:val="es-MX"/>
        </w:rPr>
      </w:pPr>
      <w:r w:rsidRPr="00677B37">
        <w:rPr>
          <w:rStyle w:val="baj"/>
          <w:rFonts w:ascii="Verdana" w:eastAsiaTheme="minorEastAsia" w:hAnsi="Verdana" w:cs="Arial"/>
          <w:sz w:val="16"/>
          <w:szCs w:val="16"/>
          <w:lang w:val="es-MX"/>
        </w:rPr>
        <w:t>Parágrafo.</w:t>
      </w:r>
      <w:r w:rsidRPr="00677B37">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77B37">
        <w:rPr>
          <w:rFonts w:ascii="Verdana" w:eastAsia="Calibri" w:hAnsi="Verdana" w:cs="Arial"/>
          <w:color w:val="000000"/>
          <w:sz w:val="16"/>
          <w:szCs w:val="16"/>
        </w:rPr>
        <w:t>”</w:t>
      </w:r>
      <w:r w:rsidRPr="00677B37">
        <w:rPr>
          <w:rFonts w:ascii="Verdana" w:hAnsi="Verdana" w:cs="Arial"/>
          <w:sz w:val="16"/>
          <w:szCs w:val="16"/>
          <w:lang w:val="es-MX"/>
        </w:rPr>
        <w:t>.</w:t>
      </w:r>
    </w:p>
  </w:footnote>
  <w:footnote w:id="9">
    <w:p w14:paraId="2C20F1C5" w14:textId="77777777" w:rsidR="00D22A56" w:rsidRPr="00677B37" w:rsidRDefault="00D22A56" w:rsidP="00677B37">
      <w:pPr>
        <w:spacing w:after="0" w:line="240" w:lineRule="auto"/>
        <w:ind w:left="100" w:right="244" w:firstLine="709"/>
        <w:jc w:val="both"/>
        <w:rPr>
          <w:rFonts w:ascii="Verdana" w:hAnsi="Verdana" w:cs="Arial"/>
          <w:sz w:val="16"/>
          <w:szCs w:val="16"/>
          <w:lang w:val="es-ES"/>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06E7D329" w14:textId="77777777" w:rsidR="00D22A56" w:rsidRPr="00677B37" w:rsidRDefault="00D22A56" w:rsidP="00E1176D">
      <w:pPr>
        <w:pStyle w:val="Textonotapie"/>
        <w:ind w:right="51"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w:t>
      </w:r>
      <w:r w:rsidRPr="00677B37">
        <w:rPr>
          <w:rFonts w:ascii="Verdana" w:hAnsi="Verdana" w:cs="Arial"/>
          <w:sz w:val="16"/>
          <w:szCs w:val="16"/>
          <w:lang w:val="es-ES"/>
        </w:rPr>
        <w:t xml:space="preserve">[25] </w:t>
      </w:r>
      <w:r w:rsidRPr="00677B37">
        <w:rPr>
          <w:rFonts w:ascii="Verdana" w:hAnsi="Verdana" w:cs="Arial"/>
          <w:sz w:val="16"/>
          <w:szCs w:val="16"/>
        </w:rPr>
        <w:t>Cfr. Consejo de Estado. Sección Tercera. Sentencia de 3 de diciembre de 2007. Radicados: 24.715, 25.206, 25.409, 24.524, 27.834, 25.410, 26.105, 28.244, 31.447 -acumulados-”.</w:t>
      </w:r>
    </w:p>
  </w:footnote>
  <w:footnote w:id="11">
    <w:p w14:paraId="069C6F0A" w14:textId="77777777" w:rsidR="00D22A56" w:rsidRPr="00677B37" w:rsidRDefault="00D22A56" w:rsidP="00E1176D">
      <w:pPr>
        <w:pStyle w:val="Textonotapie"/>
        <w:ind w:right="51"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w:t>
      </w:r>
      <w:r w:rsidRPr="00677B37">
        <w:rPr>
          <w:rFonts w:ascii="Verdana" w:hAnsi="Verdana" w:cs="Arial"/>
          <w:sz w:val="16"/>
          <w:szCs w:val="16"/>
          <w:lang w:val="es-ES"/>
        </w:rPr>
        <w:t xml:space="preserve">[26] </w:t>
      </w:r>
      <w:r w:rsidRPr="00677B37">
        <w:rPr>
          <w:rFonts w:ascii="Verdana" w:hAnsi="Verdana" w:cs="Arial"/>
          <w:sz w:val="16"/>
          <w:szCs w:val="16"/>
        </w:rPr>
        <w:t>Al respecto ver el concepto 1712 de 2 de febrero de 2006. Consejo de Estado Sala de Consulta y Servicio Civil”.</w:t>
      </w:r>
    </w:p>
  </w:footnote>
  <w:footnote w:id="12">
    <w:p w14:paraId="3A5C8D61" w14:textId="77777777" w:rsidR="00D22A56" w:rsidRPr="00677B37" w:rsidRDefault="00D22A56" w:rsidP="00E1176D">
      <w:pPr>
        <w:pStyle w:val="Textonotapie"/>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0BA8854D" w14:textId="77777777" w:rsidR="00D22A56" w:rsidRPr="00677B37" w:rsidRDefault="00D22A56" w:rsidP="00E1176D">
      <w:pPr>
        <w:pStyle w:val="Textonotapie"/>
        <w:ind w:firstLine="709"/>
        <w:jc w:val="both"/>
        <w:rPr>
          <w:rFonts w:ascii="Verdana" w:hAnsi="Verdana" w:cs="Arial"/>
          <w:sz w:val="16"/>
          <w:szCs w:val="16"/>
          <w:lang w:val="es-ES"/>
        </w:rPr>
      </w:pPr>
      <w:r w:rsidRPr="00677B37">
        <w:rPr>
          <w:rStyle w:val="Refdenotaalpie"/>
          <w:rFonts w:ascii="Verdana" w:hAnsi="Verdana" w:cs="Arial"/>
          <w:sz w:val="16"/>
          <w:szCs w:val="16"/>
        </w:rPr>
        <w:footnoteRef/>
      </w:r>
      <w:r w:rsidRPr="00677B37">
        <w:rPr>
          <w:rFonts w:ascii="Verdana" w:hAnsi="Verdana" w:cs="Arial"/>
          <w:sz w:val="16"/>
          <w:szCs w:val="16"/>
        </w:rPr>
        <w:t xml:space="preserve"> </w:t>
      </w:r>
      <w:r w:rsidRPr="00677B37">
        <w:rPr>
          <w:rFonts w:ascii="Verdana" w:hAnsi="Verdana" w:cs="Arial"/>
          <w:sz w:val="16"/>
          <w:szCs w:val="16"/>
          <w:lang w:val="es-ES"/>
        </w:rPr>
        <w:t xml:space="preserve">Artículo 2. </w:t>
      </w:r>
    </w:p>
  </w:footnote>
  <w:footnote w:id="14">
    <w:p w14:paraId="5B0EA440" w14:textId="77777777" w:rsidR="00D22A56" w:rsidRPr="00677B37" w:rsidRDefault="00D22A56" w:rsidP="00E1176D">
      <w:pPr>
        <w:pStyle w:val="Textonotapie"/>
        <w:ind w:firstLine="709"/>
        <w:jc w:val="both"/>
        <w:rPr>
          <w:rFonts w:ascii="Verdana" w:hAnsi="Verdana" w:cs="Arial"/>
          <w:sz w:val="16"/>
          <w:szCs w:val="16"/>
          <w:lang w:val="es-ES"/>
        </w:rPr>
      </w:pPr>
      <w:r w:rsidRPr="00677B37">
        <w:rPr>
          <w:rStyle w:val="Refdenotaalpie"/>
          <w:rFonts w:ascii="Verdana" w:hAnsi="Verdana" w:cs="Arial"/>
          <w:sz w:val="16"/>
          <w:szCs w:val="16"/>
        </w:rPr>
        <w:footnoteRef/>
      </w:r>
      <w:r w:rsidRPr="00677B37">
        <w:rPr>
          <w:rFonts w:ascii="Verdana" w:hAnsi="Verdana" w:cs="Arial"/>
          <w:sz w:val="16"/>
          <w:szCs w:val="16"/>
        </w:rPr>
        <w:t xml:space="preserve"> </w:t>
      </w:r>
      <w:r w:rsidRPr="00677B37">
        <w:rPr>
          <w:rFonts w:ascii="Verdana" w:hAnsi="Verdana" w:cs="Arial"/>
          <w:i/>
          <w:sz w:val="16"/>
          <w:szCs w:val="16"/>
          <w:lang w:val="es-ES"/>
        </w:rPr>
        <w:t>Ibidem</w:t>
      </w:r>
      <w:r w:rsidRPr="00677B37">
        <w:rPr>
          <w:rFonts w:ascii="Verdana" w:hAnsi="Verdana" w:cs="Arial"/>
          <w:sz w:val="16"/>
          <w:szCs w:val="16"/>
          <w:lang w:val="es-ES"/>
        </w:rPr>
        <w:t>.</w:t>
      </w:r>
    </w:p>
  </w:footnote>
  <w:footnote w:id="15">
    <w:p w14:paraId="5BC01DD0" w14:textId="77777777" w:rsidR="00D22A56" w:rsidRPr="00677B37" w:rsidRDefault="00D22A56" w:rsidP="00E1176D">
      <w:pPr>
        <w:pStyle w:val="Textonotapie"/>
        <w:ind w:firstLine="709"/>
        <w:jc w:val="both"/>
        <w:rPr>
          <w:rFonts w:ascii="Verdana" w:hAnsi="Verdana" w:cs="Arial"/>
          <w:sz w:val="16"/>
          <w:szCs w:val="16"/>
          <w:lang w:val="es-ES"/>
        </w:rPr>
      </w:pPr>
      <w:r w:rsidRPr="00677B37">
        <w:rPr>
          <w:rStyle w:val="Refdenotaalpie"/>
          <w:rFonts w:ascii="Verdana" w:hAnsi="Verdana" w:cs="Arial"/>
          <w:sz w:val="16"/>
          <w:szCs w:val="16"/>
        </w:rPr>
        <w:footnoteRef/>
      </w:r>
      <w:r w:rsidRPr="00677B37">
        <w:rPr>
          <w:rStyle w:val="Refdenotaalpie"/>
          <w:rFonts w:ascii="Verdana" w:hAnsi="Verdana" w:cs="Arial"/>
          <w:sz w:val="16"/>
          <w:szCs w:val="16"/>
        </w:rPr>
        <w:t xml:space="preserve"> </w:t>
      </w:r>
      <w:r w:rsidRPr="00677B37">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7444AA59" w14:textId="77777777" w:rsidR="00D22A56" w:rsidRPr="00677B37" w:rsidRDefault="00D22A56" w:rsidP="00677B37">
      <w:pPr>
        <w:shd w:val="clear" w:color="auto" w:fill="FFFFFF"/>
        <w:spacing w:after="0" w:line="240" w:lineRule="auto"/>
        <w:ind w:firstLine="709"/>
        <w:jc w:val="both"/>
        <w:rPr>
          <w:rFonts w:ascii="Verdana" w:hAnsi="Verdana" w:cs="Arial"/>
          <w:sz w:val="16"/>
          <w:szCs w:val="16"/>
          <w:lang w:val="es-ES"/>
        </w:rPr>
      </w:pPr>
      <w:r w:rsidRPr="00677B37">
        <w:rPr>
          <w:rStyle w:val="Refdenotaalpie"/>
          <w:rFonts w:ascii="Verdana" w:hAnsi="Verdana" w:cs="Arial"/>
          <w:sz w:val="16"/>
          <w:szCs w:val="16"/>
        </w:rPr>
        <w:footnoteRef/>
      </w:r>
      <w:r w:rsidRPr="00677B37">
        <w:rPr>
          <w:rStyle w:val="Refdenotaalpie"/>
          <w:rFonts w:ascii="Verdana" w:hAnsi="Verdana" w:cs="Arial"/>
          <w:sz w:val="16"/>
          <w:szCs w:val="16"/>
        </w:rPr>
        <w:t xml:space="preserve"> </w:t>
      </w:r>
      <w:r w:rsidRPr="00677B3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094806DB" w14:textId="77777777" w:rsidR="00D22A56" w:rsidRPr="00677B37" w:rsidRDefault="00D22A56" w:rsidP="00E1176D">
      <w:pPr>
        <w:pStyle w:val="Textonotapie"/>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Concepto del 08 de mayo de 2018. Exp. 2.382. C.P. Álvaro Namén Vargas.</w:t>
      </w:r>
    </w:p>
  </w:footnote>
  <w:footnote w:id="18">
    <w:p w14:paraId="2B3BB00A" w14:textId="77777777" w:rsidR="00D22A56" w:rsidRPr="00677B37" w:rsidRDefault="00D22A56" w:rsidP="00E1176D">
      <w:pPr>
        <w:pStyle w:val="Textonotapie"/>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1E65519C" w14:textId="77777777" w:rsidR="005261A7" w:rsidRPr="00896225" w:rsidRDefault="005261A7" w:rsidP="005261A7">
      <w:pPr>
        <w:pStyle w:val="Textonotapie"/>
        <w:ind w:firstLine="709"/>
        <w:jc w:val="both"/>
        <w:rPr>
          <w:rFonts w:ascii="Verdana" w:hAnsi="Verdana" w:cs="Arial"/>
          <w:sz w:val="16"/>
          <w:szCs w:val="16"/>
        </w:rPr>
      </w:pPr>
      <w:r w:rsidRPr="00896225">
        <w:rPr>
          <w:rStyle w:val="Refdenotaalpie"/>
          <w:rFonts w:ascii="Verdana" w:hAnsi="Verdana" w:cs="Arial"/>
          <w:sz w:val="16"/>
          <w:szCs w:val="16"/>
        </w:rPr>
        <w:footnoteRef/>
      </w:r>
      <w:r w:rsidRPr="00896225">
        <w:rPr>
          <w:rFonts w:ascii="Verdana" w:hAnsi="Verdana" w:cs="Arial"/>
          <w:sz w:val="16"/>
          <w:szCs w:val="16"/>
        </w:rPr>
        <w:t xml:space="preserve"> Corte Constitucional. Sentencia C-1153 de 2005 M.P. Marco Gerardo Monroy Cabra. </w:t>
      </w:r>
    </w:p>
  </w:footnote>
  <w:footnote w:id="20">
    <w:p w14:paraId="7DECB9EA" w14:textId="77777777" w:rsidR="00C03DE6" w:rsidRPr="00896225" w:rsidRDefault="00C03DE6" w:rsidP="00C03DE6">
      <w:pPr>
        <w:pStyle w:val="Textonotapie"/>
        <w:ind w:firstLine="709"/>
        <w:jc w:val="both"/>
        <w:rPr>
          <w:rFonts w:ascii="Verdana" w:hAnsi="Verdana" w:cs="Arial"/>
          <w:sz w:val="16"/>
          <w:szCs w:val="16"/>
        </w:rPr>
      </w:pPr>
      <w:r w:rsidRPr="00896225">
        <w:rPr>
          <w:rStyle w:val="Refdenotaalpie"/>
          <w:rFonts w:ascii="Verdana" w:hAnsi="Verdana" w:cs="Arial"/>
          <w:sz w:val="16"/>
          <w:szCs w:val="16"/>
        </w:rPr>
        <w:footnoteRef/>
      </w:r>
      <w:r w:rsidRPr="00896225">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1">
    <w:p w14:paraId="2BDD371E" w14:textId="77777777" w:rsidR="00D22A56" w:rsidRPr="00677B37" w:rsidRDefault="00D22A56" w:rsidP="00677B37">
      <w:pPr>
        <w:spacing w:after="0" w:line="240" w:lineRule="auto"/>
        <w:ind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60983850" w14:textId="77777777" w:rsidR="00D22A56" w:rsidRPr="00677B37" w:rsidRDefault="00D22A56" w:rsidP="00DD1B3F">
      <w:pPr>
        <w:pStyle w:val="Textonotapie"/>
        <w:ind w:right="51"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w:t>
      </w:r>
      <w:bookmarkStart w:id="17" w:name="_Hlk75633115"/>
      <w:r w:rsidRPr="00677B37">
        <w:rPr>
          <w:rFonts w:ascii="Verdana" w:hAnsi="Verdana" w:cs="Arial"/>
          <w:sz w:val="16"/>
          <w:szCs w:val="16"/>
        </w:rPr>
        <w:t xml:space="preserve">Consejo de Estado. Sala de Consulta y Servicio Civil. Concepto </w:t>
      </w:r>
      <w:bookmarkEnd w:id="17"/>
      <w:r w:rsidRPr="00677B37">
        <w:rPr>
          <w:rFonts w:ascii="Verdana" w:hAnsi="Verdana" w:cs="Arial"/>
          <w:sz w:val="16"/>
          <w:szCs w:val="16"/>
        </w:rPr>
        <w:t>de 6 de abril de 2006. Radicación Número: 11001-03-06-000-2006-00038-00(1738). Consejero Ponente: Enrique José Arboleda Perdomo:</w:t>
      </w:r>
      <w:r w:rsidRPr="00677B37">
        <w:rPr>
          <w:rFonts w:ascii="Verdana" w:eastAsia="Times New Roman" w:hAnsi="Verdana" w:cs="Arial"/>
          <w:bCs/>
          <w:sz w:val="16"/>
          <w:szCs w:val="16"/>
          <w:lang w:eastAsia="x-none"/>
        </w:rPr>
        <w:t xml:space="preserve"> “</w:t>
      </w:r>
      <w:r w:rsidRPr="00677B37">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677B37">
        <w:rPr>
          <w:rFonts w:ascii="Verdana" w:eastAsia="Times New Roman" w:hAnsi="Verdana" w:cs="Arial"/>
          <w:bCs/>
          <w:sz w:val="16"/>
          <w:szCs w:val="16"/>
          <w:lang w:eastAsia="x-none"/>
        </w:rPr>
        <w:t>”.</w:t>
      </w:r>
    </w:p>
  </w:footnote>
  <w:footnote w:id="23">
    <w:p w14:paraId="4AB53AAA" w14:textId="77777777" w:rsidR="00D22A56" w:rsidRPr="00677B37" w:rsidRDefault="00D22A56" w:rsidP="00E1176D">
      <w:pPr>
        <w:pStyle w:val="Textonotapie"/>
        <w:ind w:right="51"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4">
    <w:p w14:paraId="2598714A" w14:textId="77777777" w:rsidR="00D22A56" w:rsidRPr="00677B37" w:rsidRDefault="00D22A56" w:rsidP="00E1176D">
      <w:pPr>
        <w:pStyle w:val="Textonotapie"/>
        <w:ind w:right="51" w:firstLine="709"/>
        <w:jc w:val="both"/>
        <w:rPr>
          <w:rFonts w:ascii="Verdana" w:hAnsi="Verdana" w:cs="Arial"/>
          <w:sz w:val="16"/>
          <w:szCs w:val="16"/>
        </w:rPr>
      </w:pPr>
      <w:r w:rsidRPr="00677B37">
        <w:rPr>
          <w:rStyle w:val="Refdenotaalpie"/>
          <w:rFonts w:ascii="Verdana" w:hAnsi="Verdana" w:cs="Arial"/>
          <w:sz w:val="16"/>
          <w:szCs w:val="16"/>
        </w:rPr>
        <w:footnoteRef/>
      </w:r>
      <w:r w:rsidRPr="00677B37">
        <w:rPr>
          <w:rFonts w:ascii="Verdana" w:hAnsi="Verdana" w:cs="Arial"/>
          <w:sz w:val="16"/>
          <w:szCs w:val="16"/>
        </w:rPr>
        <w:t xml:space="preserve"> Consejo de Estado. Sala de Consulta y Servicio Civil, </w:t>
      </w:r>
      <w:r w:rsidRPr="00677B37">
        <w:rPr>
          <w:rFonts w:ascii="Verdana" w:hAnsi="Verdana" w:cs="Arial"/>
          <w:i/>
          <w:iCs/>
          <w:sz w:val="16"/>
          <w:szCs w:val="16"/>
        </w:rPr>
        <w:t>ibidem</w:t>
      </w:r>
      <w:r w:rsidRPr="00677B37">
        <w:rPr>
          <w:rFonts w:ascii="Verdana" w:hAnsi="Verdana" w:cs="Arial"/>
          <w:sz w:val="16"/>
          <w:szCs w:val="16"/>
        </w:rPr>
        <w:t>.</w:t>
      </w:r>
    </w:p>
  </w:footnote>
  <w:footnote w:id="25">
    <w:p w14:paraId="300B87C6" w14:textId="77777777" w:rsidR="00D22A56" w:rsidRPr="00677B37" w:rsidRDefault="00D22A56" w:rsidP="00677B37">
      <w:pPr>
        <w:pStyle w:val="Textonotapie"/>
        <w:ind w:firstLine="709"/>
        <w:jc w:val="both"/>
        <w:rPr>
          <w:rFonts w:ascii="Verdana" w:hAnsi="Verdana" w:cs="Arial"/>
          <w:sz w:val="16"/>
          <w:szCs w:val="16"/>
        </w:rPr>
      </w:pPr>
      <w:r w:rsidRPr="00677B37">
        <w:rPr>
          <w:rStyle w:val="Refdenotaalpie"/>
          <w:rFonts w:ascii="Verdana" w:hAnsi="Verdana"/>
          <w:sz w:val="16"/>
          <w:szCs w:val="16"/>
        </w:rPr>
        <w:footnoteRef/>
      </w:r>
      <w:r w:rsidRPr="00677B37">
        <w:rPr>
          <w:rFonts w:ascii="Verdana" w:hAnsi="Verdana"/>
          <w:sz w:val="16"/>
          <w:szCs w:val="16"/>
        </w:rPr>
        <w:t xml:space="preserve"> </w:t>
      </w:r>
      <w:r w:rsidRPr="00677B37">
        <w:rPr>
          <w:rFonts w:ascii="Verdana" w:hAnsi="Verdana" w:cs="Arial"/>
          <w:sz w:val="16"/>
          <w:szCs w:val="16"/>
        </w:rPr>
        <w:t>Consejo de Estado -Sección Tercera-. Sentencia del 21 de febrero de 2025. Radicación Número: 68.280. CP: José Roberto Sáchica Méndez.</w:t>
      </w:r>
    </w:p>
  </w:footnote>
  <w:footnote w:id="26">
    <w:p w14:paraId="456473FF" w14:textId="77777777" w:rsidR="00D22A56" w:rsidRPr="00677B37" w:rsidRDefault="00D22A56" w:rsidP="00677B37">
      <w:pPr>
        <w:pStyle w:val="Textonotapie"/>
        <w:ind w:firstLine="709"/>
        <w:jc w:val="both"/>
        <w:rPr>
          <w:rFonts w:ascii="Verdana" w:hAnsi="Verdana" w:cs="Arial"/>
          <w:sz w:val="16"/>
          <w:szCs w:val="16"/>
        </w:rPr>
      </w:pPr>
      <w:r w:rsidRPr="00677B37">
        <w:rPr>
          <w:rFonts w:ascii="Verdana" w:hAnsi="Verdana"/>
          <w:sz w:val="16"/>
          <w:szCs w:val="16"/>
          <w:vertAlign w:val="superscript"/>
        </w:rPr>
        <w:footnoteRef/>
      </w:r>
      <w:r w:rsidRPr="00677B37">
        <w:rPr>
          <w:rFonts w:ascii="Verdana" w:hAnsi="Verdana"/>
          <w:sz w:val="16"/>
          <w:szCs w:val="16"/>
          <w:vertAlign w:val="superscript"/>
        </w:rPr>
        <w:t xml:space="preserve"> </w:t>
      </w:r>
      <w:r w:rsidRPr="00677B37">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7">
    <w:p w14:paraId="39C2D8E6" w14:textId="77777777" w:rsidR="00D22A56" w:rsidRPr="00677B37" w:rsidRDefault="00D22A56" w:rsidP="00677B37">
      <w:pPr>
        <w:pStyle w:val="Textonotapie"/>
        <w:ind w:firstLine="709"/>
        <w:jc w:val="both"/>
        <w:rPr>
          <w:rFonts w:ascii="Verdana" w:hAnsi="Verdana" w:cs="Arial"/>
          <w:sz w:val="16"/>
          <w:szCs w:val="16"/>
        </w:rPr>
      </w:pPr>
      <w:r w:rsidRPr="00677B37">
        <w:rPr>
          <w:rFonts w:ascii="Verdana" w:hAnsi="Verdana"/>
          <w:sz w:val="16"/>
          <w:szCs w:val="16"/>
          <w:vertAlign w:val="superscript"/>
        </w:rPr>
        <w:footnoteRef/>
      </w:r>
      <w:r w:rsidRPr="00677B37">
        <w:rPr>
          <w:rFonts w:ascii="Verdana" w:hAnsi="Verdana" w:cs="Arial"/>
          <w:sz w:val="16"/>
          <w:szCs w:val="16"/>
          <w:vertAlign w:val="superscript"/>
        </w:rPr>
        <w:t xml:space="preserve"> </w:t>
      </w:r>
      <w:r w:rsidRPr="00677B37">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0307D28A" w14:textId="77777777" w:rsidR="00D22A56" w:rsidRPr="00677B37" w:rsidRDefault="00D22A56" w:rsidP="00677B37">
      <w:pPr>
        <w:pStyle w:val="Textonotapie"/>
        <w:ind w:firstLine="709"/>
        <w:jc w:val="both"/>
        <w:rPr>
          <w:rFonts w:ascii="Verdana" w:hAnsi="Verdana" w:cs="Arial"/>
          <w:sz w:val="16"/>
          <w:szCs w:val="16"/>
        </w:rPr>
      </w:pPr>
      <w:r w:rsidRPr="00677B37">
        <w:rPr>
          <w:rFonts w:ascii="Verdana" w:hAnsi="Verdana" w:cs="Arial"/>
          <w:sz w:val="16"/>
          <w:szCs w:val="16"/>
        </w:rPr>
        <w:t>[…]”.</w:t>
      </w:r>
    </w:p>
  </w:footnote>
  <w:footnote w:id="28">
    <w:p w14:paraId="5E24A995" w14:textId="77777777" w:rsidR="00D22A56" w:rsidRPr="00677B37" w:rsidRDefault="00D22A56" w:rsidP="00677B37">
      <w:pPr>
        <w:pStyle w:val="Textonotapie"/>
        <w:ind w:firstLine="709"/>
        <w:jc w:val="both"/>
        <w:rPr>
          <w:rFonts w:ascii="Verdana" w:hAnsi="Verdana" w:cs="Arial"/>
          <w:sz w:val="16"/>
          <w:szCs w:val="16"/>
        </w:rPr>
      </w:pPr>
      <w:r w:rsidRPr="00677B37">
        <w:rPr>
          <w:rFonts w:ascii="Verdana" w:hAnsi="Verdana"/>
          <w:sz w:val="16"/>
          <w:szCs w:val="16"/>
          <w:vertAlign w:val="superscript"/>
        </w:rPr>
        <w:footnoteRef/>
      </w:r>
      <w:r w:rsidRPr="00677B37">
        <w:rPr>
          <w:rFonts w:ascii="Verdana" w:hAnsi="Verdana" w:cs="Arial"/>
          <w:sz w:val="16"/>
          <w:szCs w:val="16"/>
          <w:vertAlign w:val="superscript"/>
        </w:rPr>
        <w:t xml:space="preserve"> </w:t>
      </w:r>
      <w:r w:rsidRPr="00677B37">
        <w:rPr>
          <w:rFonts w:ascii="Verdana" w:hAnsi="Verdana" w:cs="Arial"/>
          <w:sz w:val="16"/>
          <w:szCs w:val="16"/>
        </w:rPr>
        <w:t>Código Civil: “Artículo 27. Cuando el sentido de la ley sea claro, no se desatenderá su tenor a pretexto de consultar su espíritu”.</w:t>
      </w:r>
    </w:p>
  </w:footnote>
  <w:footnote w:id="29">
    <w:p w14:paraId="3F8AB4D7" w14:textId="77777777" w:rsidR="00D22A56" w:rsidRPr="00677B37" w:rsidRDefault="00D22A56" w:rsidP="00677B37">
      <w:pPr>
        <w:pStyle w:val="Textonotapie"/>
        <w:ind w:firstLine="709"/>
        <w:jc w:val="both"/>
        <w:rPr>
          <w:rFonts w:ascii="Verdana" w:hAnsi="Verdana"/>
          <w:sz w:val="16"/>
          <w:szCs w:val="16"/>
          <w:lang w:val="es-ES"/>
        </w:rPr>
      </w:pPr>
      <w:r w:rsidRPr="00677B37">
        <w:rPr>
          <w:rStyle w:val="Refdenotaalpie"/>
          <w:rFonts w:ascii="Verdana" w:hAnsi="Verdana"/>
          <w:sz w:val="16"/>
          <w:szCs w:val="16"/>
        </w:rPr>
        <w:footnoteRef/>
      </w:r>
      <w:r w:rsidRPr="00677B37">
        <w:rPr>
          <w:rFonts w:ascii="Verdana" w:hAnsi="Verdana"/>
          <w:sz w:val="16"/>
          <w:szCs w:val="16"/>
        </w:rPr>
        <w:t xml:space="preserve"> </w:t>
      </w:r>
      <w:r w:rsidRPr="00677B37">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proofErr w:type="spellStart"/>
      <w:r w:rsidRPr="00677B37">
        <w:rPr>
          <w:rFonts w:ascii="Verdana" w:hAnsi="Verdana"/>
          <w:i/>
          <w:iCs/>
          <w:sz w:val="16"/>
          <w:szCs w:val="16"/>
          <w:lang w:val="es-ES"/>
        </w:rPr>
        <w:t>Ubi</w:t>
      </w:r>
      <w:proofErr w:type="spellEnd"/>
      <w:r w:rsidRPr="00677B37">
        <w:rPr>
          <w:rFonts w:ascii="Verdana" w:hAnsi="Verdana"/>
          <w:i/>
          <w:iCs/>
          <w:sz w:val="16"/>
          <w:szCs w:val="16"/>
          <w:lang w:val="es-ES"/>
        </w:rPr>
        <w:t xml:space="preserve"> lex non </w:t>
      </w:r>
      <w:proofErr w:type="spellStart"/>
      <w:r w:rsidRPr="00677B37">
        <w:rPr>
          <w:rFonts w:ascii="Verdana" w:hAnsi="Verdana"/>
          <w:i/>
          <w:iCs/>
          <w:sz w:val="16"/>
          <w:szCs w:val="16"/>
          <w:lang w:val="es-ES"/>
        </w:rPr>
        <w:t>distinguit</w:t>
      </w:r>
      <w:proofErr w:type="spellEnd"/>
      <w:r w:rsidRPr="00677B37">
        <w:rPr>
          <w:rFonts w:ascii="Verdana" w:hAnsi="Verdana"/>
          <w:i/>
          <w:iCs/>
          <w:sz w:val="16"/>
          <w:szCs w:val="16"/>
          <w:lang w:val="es-ES"/>
        </w:rPr>
        <w:t xml:space="preserve"> </w:t>
      </w:r>
      <w:proofErr w:type="spellStart"/>
      <w:r w:rsidRPr="00677B37">
        <w:rPr>
          <w:rFonts w:ascii="Verdana" w:hAnsi="Verdana"/>
          <w:i/>
          <w:iCs/>
          <w:sz w:val="16"/>
          <w:szCs w:val="16"/>
          <w:lang w:val="es-ES"/>
        </w:rPr>
        <w:t>nec</w:t>
      </w:r>
      <w:proofErr w:type="spellEnd"/>
      <w:r w:rsidRPr="00677B37">
        <w:rPr>
          <w:rFonts w:ascii="Verdana" w:hAnsi="Verdana"/>
          <w:i/>
          <w:iCs/>
          <w:sz w:val="16"/>
          <w:szCs w:val="16"/>
          <w:lang w:val="es-ES"/>
        </w:rPr>
        <w:t xml:space="preserve"> nos </w:t>
      </w:r>
      <w:proofErr w:type="spellStart"/>
      <w:r w:rsidRPr="00677B37">
        <w:rPr>
          <w:rFonts w:ascii="Verdana" w:hAnsi="Verdana"/>
          <w:i/>
          <w:iCs/>
          <w:sz w:val="16"/>
          <w:szCs w:val="16"/>
          <w:lang w:val="es-ES"/>
        </w:rPr>
        <w:t>distinguere</w:t>
      </w:r>
      <w:proofErr w:type="spellEnd"/>
      <w:r w:rsidRPr="00677B37">
        <w:rPr>
          <w:rFonts w:ascii="Verdana" w:hAnsi="Verdana"/>
          <w:i/>
          <w:iCs/>
          <w:sz w:val="16"/>
          <w:szCs w:val="16"/>
          <w:lang w:val="es-ES"/>
        </w:rPr>
        <w:t xml:space="preserve"> </w:t>
      </w:r>
      <w:proofErr w:type="spellStart"/>
      <w:r w:rsidRPr="00677B37">
        <w:rPr>
          <w:rFonts w:ascii="Verdana" w:hAnsi="Verdana"/>
          <w:i/>
          <w:iCs/>
          <w:sz w:val="16"/>
          <w:szCs w:val="16"/>
          <w:lang w:val="es-ES"/>
        </w:rPr>
        <w:t>debemus</w:t>
      </w:r>
      <w:proofErr w:type="spellEnd"/>
      <w:r w:rsidRPr="00677B37">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47486250" w14:textId="77777777" w:rsidR="00D22A56" w:rsidRPr="00677B37" w:rsidRDefault="00D22A56" w:rsidP="00677B37">
      <w:pPr>
        <w:pStyle w:val="Textonotapie"/>
        <w:ind w:firstLine="709"/>
        <w:jc w:val="both"/>
        <w:rPr>
          <w:rFonts w:ascii="Verdana" w:hAnsi="Verdana"/>
          <w:sz w:val="16"/>
          <w:szCs w:val="16"/>
          <w:lang w:val="es-CO"/>
        </w:rPr>
      </w:pPr>
      <w:r w:rsidRPr="00677B37">
        <w:rPr>
          <w:rFonts w:ascii="Verdana" w:hAnsi="Verdana"/>
          <w:sz w:val="16"/>
          <w:szCs w:val="16"/>
          <w:lang w:val="es-ES"/>
        </w:rPr>
        <w:t xml:space="preserve">En el derecho antiguo y en el derecho canónico se distinguían las leyes en favorables y odiosas, para ampliar o restringir su interpretación. </w:t>
      </w:r>
      <w:r w:rsidRPr="00677B37">
        <w:rPr>
          <w:rFonts w:ascii="Verdana" w:hAnsi="Verdana"/>
          <w:i/>
          <w:iCs/>
          <w:sz w:val="16"/>
          <w:szCs w:val="16"/>
          <w:lang w:val="es-ES"/>
        </w:rPr>
        <w:t xml:space="preserve">Odia restringí et favores </w:t>
      </w:r>
      <w:proofErr w:type="spellStart"/>
      <w:r w:rsidRPr="00677B37">
        <w:rPr>
          <w:rFonts w:ascii="Verdana" w:hAnsi="Verdana"/>
          <w:i/>
          <w:iCs/>
          <w:sz w:val="16"/>
          <w:szCs w:val="16"/>
          <w:lang w:val="es-ES"/>
        </w:rPr>
        <w:t>convenit</w:t>
      </w:r>
      <w:proofErr w:type="spellEnd"/>
      <w:r w:rsidRPr="00677B37">
        <w:rPr>
          <w:rFonts w:ascii="Verdana" w:hAnsi="Verdana"/>
          <w:i/>
          <w:iCs/>
          <w:sz w:val="16"/>
          <w:szCs w:val="16"/>
          <w:lang w:val="es-ES"/>
        </w:rPr>
        <w:t xml:space="preserve"> </w:t>
      </w:r>
      <w:proofErr w:type="spellStart"/>
      <w:r w:rsidRPr="00677B37">
        <w:rPr>
          <w:rFonts w:ascii="Verdana" w:hAnsi="Verdana"/>
          <w:i/>
          <w:iCs/>
          <w:sz w:val="16"/>
          <w:szCs w:val="16"/>
          <w:lang w:val="es-ES"/>
        </w:rPr>
        <w:t>ampliari</w:t>
      </w:r>
      <w:proofErr w:type="spellEnd"/>
      <w:r w:rsidRPr="00677B37">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677B37">
        <w:rPr>
          <w:rFonts w:ascii="Verdana" w:hAnsi="Verdana"/>
          <w:sz w:val="16"/>
          <w:szCs w:val="16"/>
        </w:rPr>
        <w:t>CLARO SOLAR, Luis. Explicaciones de derecho civil chileno y comparado. Volumen I. Tomo I. Santiago: Editorial Jurídica de Chile, 2013. p. 119. Énfasis dentro del texto).</w:t>
      </w:r>
    </w:p>
  </w:footnote>
  <w:footnote w:id="30">
    <w:p w14:paraId="3EF07878" w14:textId="77777777" w:rsidR="00D22A56" w:rsidRPr="00677B37" w:rsidRDefault="00D22A56" w:rsidP="00677B37">
      <w:pPr>
        <w:pStyle w:val="Textonotapie"/>
        <w:ind w:firstLine="709"/>
        <w:jc w:val="both"/>
        <w:rPr>
          <w:rFonts w:ascii="Verdana" w:hAnsi="Verdana"/>
          <w:sz w:val="16"/>
          <w:szCs w:val="16"/>
          <w:lang w:val="es-CO"/>
        </w:rPr>
      </w:pPr>
      <w:r w:rsidRPr="00677B37">
        <w:rPr>
          <w:rStyle w:val="Refdenotaalpie"/>
          <w:rFonts w:ascii="Verdana" w:hAnsi="Verdana"/>
          <w:sz w:val="16"/>
          <w:szCs w:val="16"/>
        </w:rPr>
        <w:footnoteRef/>
      </w:r>
      <w:r w:rsidRPr="00677B37">
        <w:rPr>
          <w:rFonts w:ascii="Verdana" w:hAnsi="Verdana"/>
          <w:sz w:val="16"/>
          <w:szCs w:val="16"/>
          <w:lang w:val="es-CO"/>
        </w:rPr>
        <w:t xml:space="preserve"> Consejo de Estado, Sección Tercera. Auto del 4 de octubre de 2024. </w:t>
      </w:r>
      <w:proofErr w:type="spellStart"/>
      <w:r w:rsidRPr="00677B37">
        <w:rPr>
          <w:rFonts w:ascii="Verdana" w:hAnsi="Verdana"/>
          <w:sz w:val="16"/>
          <w:szCs w:val="16"/>
          <w:lang w:val="es-CO"/>
        </w:rPr>
        <w:t>Exp</w:t>
      </w:r>
      <w:proofErr w:type="spellEnd"/>
      <w:r w:rsidRPr="00677B37">
        <w:rPr>
          <w:rFonts w:ascii="Verdana" w:hAnsi="Verdana"/>
          <w:sz w:val="16"/>
          <w:szCs w:val="16"/>
          <w:lang w:val="es-CO"/>
        </w:rPr>
        <w:t>. 70.313. C.P: Fredy Ibarra Martínez.</w:t>
      </w:r>
    </w:p>
  </w:footnote>
  <w:footnote w:id="31">
    <w:p w14:paraId="2A4A7288" w14:textId="77777777" w:rsidR="00D22A56" w:rsidRPr="00677B37" w:rsidRDefault="00D22A56" w:rsidP="00677B37">
      <w:pPr>
        <w:pStyle w:val="Textonotapie"/>
        <w:ind w:firstLine="709"/>
        <w:jc w:val="both"/>
        <w:rPr>
          <w:rFonts w:ascii="Verdana" w:hAnsi="Verdana"/>
          <w:sz w:val="16"/>
          <w:szCs w:val="16"/>
          <w:lang w:val="es-CO"/>
        </w:rPr>
      </w:pPr>
      <w:r w:rsidRPr="00677B37">
        <w:rPr>
          <w:rStyle w:val="Refdenotaalpie"/>
          <w:rFonts w:ascii="Verdana" w:hAnsi="Verdana"/>
          <w:sz w:val="16"/>
          <w:szCs w:val="16"/>
        </w:rPr>
        <w:footnoteRef/>
      </w:r>
      <w:r w:rsidRPr="00677B37">
        <w:rPr>
          <w:rFonts w:ascii="Verdana" w:hAnsi="Verdana"/>
          <w:sz w:val="16"/>
          <w:szCs w:val="16"/>
        </w:rPr>
        <w:t xml:space="preserve"> La parte resolutiva del auto dispone lo siguiente; “</w:t>
      </w:r>
      <w:r w:rsidRPr="00677B37">
        <w:rPr>
          <w:rFonts w:ascii="Verdana" w:hAnsi="Verdana"/>
          <w:b/>
          <w:sz w:val="16"/>
          <w:szCs w:val="16"/>
          <w:lang w:val="es-CO"/>
        </w:rPr>
        <w:t xml:space="preserve">PRIMERO: DECRETAR </w:t>
      </w:r>
      <w:r w:rsidRPr="00677B37">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677B37">
        <w:rPr>
          <w:rFonts w:ascii="Verdana" w:hAnsi="Verdana"/>
          <w:i/>
          <w:sz w:val="16"/>
          <w:szCs w:val="16"/>
          <w:lang w:val="es-CO"/>
        </w:rPr>
        <w:t>“[e]</w:t>
      </w:r>
      <w:proofErr w:type="spellStart"/>
      <w:r w:rsidRPr="00677B37">
        <w:rPr>
          <w:rFonts w:ascii="Verdana" w:hAnsi="Verdana"/>
          <w:i/>
          <w:sz w:val="16"/>
          <w:szCs w:val="16"/>
          <w:lang w:val="es-CO"/>
        </w:rPr>
        <w:t>sta</w:t>
      </w:r>
      <w:proofErr w:type="spellEnd"/>
      <w:r w:rsidRPr="00677B37">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677B37">
        <w:rPr>
          <w:rFonts w:ascii="Verdana" w:hAnsi="Verdana"/>
          <w:sz w:val="16"/>
          <w:szCs w:val="16"/>
          <w:lang w:val="es-CO"/>
        </w:rPr>
        <w:t xml:space="preserve">, por las razones expuestas en precedencia. </w:t>
      </w:r>
    </w:p>
    <w:p w14:paraId="05188435" w14:textId="77777777" w:rsidR="00D22A56" w:rsidRPr="00677B37" w:rsidRDefault="00D22A56" w:rsidP="00677B37">
      <w:pPr>
        <w:pStyle w:val="Textonotapie"/>
        <w:ind w:firstLine="709"/>
        <w:jc w:val="both"/>
        <w:rPr>
          <w:rFonts w:ascii="Verdana" w:hAnsi="Verdana"/>
          <w:sz w:val="16"/>
          <w:szCs w:val="16"/>
          <w:lang w:val="es-CO"/>
        </w:rPr>
      </w:pPr>
      <w:r w:rsidRPr="00677B37">
        <w:rPr>
          <w:rFonts w:ascii="Verdana" w:hAnsi="Verdana"/>
          <w:b/>
          <w:sz w:val="16"/>
          <w:szCs w:val="16"/>
          <w:lang w:val="es-CO"/>
        </w:rPr>
        <w:t xml:space="preserve">SEGUNDO: DECRETAR </w:t>
      </w:r>
      <w:r w:rsidRPr="00677B37">
        <w:rPr>
          <w:rFonts w:ascii="Verdana" w:hAnsi="Verdana"/>
          <w:sz w:val="16"/>
          <w:szCs w:val="16"/>
          <w:lang w:val="es-CO"/>
        </w:rPr>
        <w:t>la suspensión provisional de la expresión “</w:t>
      </w:r>
      <w:r w:rsidRPr="00677B37">
        <w:rPr>
          <w:rFonts w:ascii="Verdana" w:hAnsi="Verdana"/>
          <w:i/>
          <w:sz w:val="16"/>
          <w:szCs w:val="16"/>
          <w:lang w:val="es-CO"/>
        </w:rPr>
        <w:t>contratos</w:t>
      </w:r>
      <w:r w:rsidRPr="00677B37">
        <w:rPr>
          <w:rFonts w:ascii="Verdana" w:hAnsi="Verdana"/>
          <w:sz w:val="16"/>
          <w:szCs w:val="16"/>
          <w:lang w:val="es-CO"/>
        </w:rPr>
        <w:t xml:space="preserve">” y del párrafo </w:t>
      </w:r>
      <w:r w:rsidRPr="00677B37">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677B37">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677B37">
        <w:rPr>
          <w:rFonts w:ascii="Verdana" w:hAnsi="Verdana"/>
          <w:sz w:val="16"/>
          <w:szCs w:val="16"/>
          <w:lang w:val="es-CO"/>
        </w:rPr>
        <w:t>Exp</w:t>
      </w:r>
      <w:proofErr w:type="spellEnd"/>
      <w:r w:rsidRPr="00677B37">
        <w:rPr>
          <w:rFonts w:ascii="Verdana" w:hAnsi="Verdana"/>
          <w:sz w:val="16"/>
          <w:szCs w:val="16"/>
          <w:lang w:val="es-CO"/>
        </w:rPr>
        <w:t xml:space="preserve">. 72.424. C.P: Fernando Alexei Pardo Flórez. </w:t>
      </w:r>
    </w:p>
  </w:footnote>
  <w:footnote w:id="32">
    <w:p w14:paraId="18948C98" w14:textId="77777777" w:rsidR="00D22A56" w:rsidRPr="00677B37" w:rsidRDefault="00D22A56" w:rsidP="00677B37">
      <w:pPr>
        <w:spacing w:after="0" w:line="240" w:lineRule="auto"/>
        <w:ind w:firstLine="709"/>
        <w:jc w:val="both"/>
        <w:rPr>
          <w:rFonts w:ascii="Verdana" w:eastAsia="Times New Roman" w:hAnsi="Verdana" w:cs="Times New Roman"/>
          <w:sz w:val="16"/>
          <w:szCs w:val="16"/>
          <w:lang w:eastAsia="es-ES"/>
        </w:rPr>
      </w:pPr>
      <w:r w:rsidRPr="00677B37">
        <w:rPr>
          <w:rStyle w:val="Refdenotaalpie"/>
          <w:rFonts w:ascii="Verdana" w:hAnsi="Verdana"/>
          <w:sz w:val="16"/>
          <w:szCs w:val="16"/>
        </w:rPr>
        <w:footnoteRef/>
      </w:r>
      <w:r w:rsidRPr="00677B37">
        <w:rPr>
          <w:rFonts w:ascii="Verdana" w:hAnsi="Verdana"/>
          <w:sz w:val="16"/>
          <w:szCs w:val="16"/>
        </w:rPr>
        <w:t xml:space="preserve"> </w:t>
      </w:r>
      <w:r w:rsidRPr="00677B37">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677B37">
        <w:rPr>
          <w:rFonts w:ascii="Verdana" w:hAnsi="Verdana"/>
          <w:sz w:val="16"/>
          <w:szCs w:val="16"/>
        </w:rPr>
        <w:t xml:space="preserve">La parte de la providencia señala: </w:t>
      </w:r>
      <w:r w:rsidRPr="00677B37">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3">
    <w:p w14:paraId="15E2648F" w14:textId="77777777" w:rsidR="00D22A56" w:rsidRPr="00E1176D" w:rsidRDefault="00D22A56" w:rsidP="00E1176D">
      <w:pPr>
        <w:pStyle w:val="Textonotapie"/>
        <w:ind w:firstLine="709"/>
        <w:rPr>
          <w:rFonts w:ascii="Verdana" w:hAnsi="Verdana"/>
          <w:sz w:val="16"/>
          <w:szCs w:val="16"/>
          <w:lang w:val="es-CO"/>
        </w:rPr>
      </w:pPr>
      <w:r w:rsidRPr="00677B37">
        <w:rPr>
          <w:rStyle w:val="Refdenotaalpie"/>
          <w:rFonts w:ascii="Verdana" w:hAnsi="Verdana"/>
          <w:sz w:val="16"/>
          <w:szCs w:val="16"/>
        </w:rPr>
        <w:footnoteRef/>
      </w:r>
      <w:r w:rsidRPr="00677B37">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3E26ED5"/>
    <w:multiLevelType w:val="hybridMultilevel"/>
    <w:tmpl w:val="34D8BCCC"/>
    <w:lvl w:ilvl="0" w:tplc="1CDEDC7C">
      <w:start w:val="12"/>
      <w:numFmt w:val="bullet"/>
      <w:lvlText w:val="-"/>
      <w:lvlJc w:val="left"/>
      <w:pPr>
        <w:ind w:left="1069" w:hanging="360"/>
      </w:pPr>
      <w:rPr>
        <w:rFonts w:ascii="Verdana" w:eastAsia="Century Gothic"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9898329">
    <w:abstractNumId w:val="6"/>
  </w:num>
  <w:num w:numId="2" w16cid:durableId="1640719227">
    <w:abstractNumId w:val="2"/>
  </w:num>
  <w:num w:numId="3" w16cid:durableId="848062943">
    <w:abstractNumId w:val="4"/>
  </w:num>
  <w:num w:numId="4" w16cid:durableId="494262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66045142">
    <w:abstractNumId w:val="2"/>
  </w:num>
  <w:num w:numId="6" w16cid:durableId="2114475004">
    <w:abstractNumId w:val="14"/>
  </w:num>
  <w:num w:numId="7" w16cid:durableId="424809723">
    <w:abstractNumId w:val="5"/>
  </w:num>
  <w:num w:numId="8" w16cid:durableId="877354090">
    <w:abstractNumId w:val="13"/>
  </w:num>
  <w:num w:numId="9" w16cid:durableId="2025201994">
    <w:abstractNumId w:val="7"/>
  </w:num>
  <w:num w:numId="10" w16cid:durableId="703363112">
    <w:abstractNumId w:val="12"/>
  </w:num>
  <w:num w:numId="11" w16cid:durableId="1459257261">
    <w:abstractNumId w:val="8"/>
  </w:num>
  <w:num w:numId="12" w16cid:durableId="438767002">
    <w:abstractNumId w:val="1"/>
  </w:num>
  <w:num w:numId="13" w16cid:durableId="283269675">
    <w:abstractNumId w:val="3"/>
  </w:num>
  <w:num w:numId="14" w16cid:durableId="961499940">
    <w:abstractNumId w:val="15"/>
  </w:num>
  <w:num w:numId="15" w16cid:durableId="853881887">
    <w:abstractNumId w:val="11"/>
  </w:num>
  <w:num w:numId="16" w16cid:durableId="227889760">
    <w:abstractNumId w:val="0"/>
  </w:num>
  <w:num w:numId="17" w16cid:durableId="789517958">
    <w:abstractNumId w:val="10"/>
  </w:num>
  <w:num w:numId="18" w16cid:durableId="10928217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2F7"/>
    <w:rsid w:val="00046945"/>
    <w:rsid w:val="00061B2A"/>
    <w:rsid w:val="00071C72"/>
    <w:rsid w:val="00082362"/>
    <w:rsid w:val="000A683E"/>
    <w:rsid w:val="000B19B9"/>
    <w:rsid w:val="000B6775"/>
    <w:rsid w:val="000D0334"/>
    <w:rsid w:val="000D5DA7"/>
    <w:rsid w:val="000F6486"/>
    <w:rsid w:val="00103225"/>
    <w:rsid w:val="00116940"/>
    <w:rsid w:val="00125105"/>
    <w:rsid w:val="00127233"/>
    <w:rsid w:val="00151BE9"/>
    <w:rsid w:val="0015699B"/>
    <w:rsid w:val="001A33BF"/>
    <w:rsid w:val="001E4177"/>
    <w:rsid w:val="001F0B24"/>
    <w:rsid w:val="001F7DC6"/>
    <w:rsid w:val="00220D11"/>
    <w:rsid w:val="0022400B"/>
    <w:rsid w:val="002421BB"/>
    <w:rsid w:val="0025796E"/>
    <w:rsid w:val="002707A2"/>
    <w:rsid w:val="002951A0"/>
    <w:rsid w:val="002962BC"/>
    <w:rsid w:val="002A093D"/>
    <w:rsid w:val="002A0DD0"/>
    <w:rsid w:val="002A49AC"/>
    <w:rsid w:val="002A64FD"/>
    <w:rsid w:val="002C7A84"/>
    <w:rsid w:val="002E2BF8"/>
    <w:rsid w:val="002E4FD9"/>
    <w:rsid w:val="002E76E6"/>
    <w:rsid w:val="00303B34"/>
    <w:rsid w:val="0030657A"/>
    <w:rsid w:val="00322A85"/>
    <w:rsid w:val="00324168"/>
    <w:rsid w:val="00324E13"/>
    <w:rsid w:val="00330834"/>
    <w:rsid w:val="003448F4"/>
    <w:rsid w:val="00374F5E"/>
    <w:rsid w:val="003767AE"/>
    <w:rsid w:val="00377E3E"/>
    <w:rsid w:val="003A4824"/>
    <w:rsid w:val="003A779E"/>
    <w:rsid w:val="003C1913"/>
    <w:rsid w:val="003D0F4D"/>
    <w:rsid w:val="003D5B0D"/>
    <w:rsid w:val="003E0499"/>
    <w:rsid w:val="003E4F80"/>
    <w:rsid w:val="003E6439"/>
    <w:rsid w:val="003F3941"/>
    <w:rsid w:val="003F6AE6"/>
    <w:rsid w:val="00400645"/>
    <w:rsid w:val="00406575"/>
    <w:rsid w:val="00414C74"/>
    <w:rsid w:val="0042722E"/>
    <w:rsid w:val="0044528D"/>
    <w:rsid w:val="004551F6"/>
    <w:rsid w:val="00466E39"/>
    <w:rsid w:val="004A07AF"/>
    <w:rsid w:val="004A1847"/>
    <w:rsid w:val="004A305D"/>
    <w:rsid w:val="004B28CE"/>
    <w:rsid w:val="004C51F2"/>
    <w:rsid w:val="004F21C4"/>
    <w:rsid w:val="004F685F"/>
    <w:rsid w:val="005261A7"/>
    <w:rsid w:val="005566E8"/>
    <w:rsid w:val="00574867"/>
    <w:rsid w:val="00574F8F"/>
    <w:rsid w:val="005771B3"/>
    <w:rsid w:val="00586DF7"/>
    <w:rsid w:val="00591086"/>
    <w:rsid w:val="00591460"/>
    <w:rsid w:val="00597EFD"/>
    <w:rsid w:val="005A65E0"/>
    <w:rsid w:val="005C2D2C"/>
    <w:rsid w:val="005C3777"/>
    <w:rsid w:val="005C5CDC"/>
    <w:rsid w:val="005D476C"/>
    <w:rsid w:val="005F5962"/>
    <w:rsid w:val="006200BF"/>
    <w:rsid w:val="006219F8"/>
    <w:rsid w:val="006302F7"/>
    <w:rsid w:val="00646B9F"/>
    <w:rsid w:val="00654CA1"/>
    <w:rsid w:val="00665D70"/>
    <w:rsid w:val="00677B37"/>
    <w:rsid w:val="006900D9"/>
    <w:rsid w:val="006C7DB0"/>
    <w:rsid w:val="00706C16"/>
    <w:rsid w:val="007111DE"/>
    <w:rsid w:val="007340C3"/>
    <w:rsid w:val="00737434"/>
    <w:rsid w:val="0075235A"/>
    <w:rsid w:val="00756841"/>
    <w:rsid w:val="007649AB"/>
    <w:rsid w:val="00770D80"/>
    <w:rsid w:val="00771D0C"/>
    <w:rsid w:val="007833AC"/>
    <w:rsid w:val="007A01AB"/>
    <w:rsid w:val="007B268C"/>
    <w:rsid w:val="007B7171"/>
    <w:rsid w:val="007C0C0F"/>
    <w:rsid w:val="007C3DC2"/>
    <w:rsid w:val="007D5BD4"/>
    <w:rsid w:val="007E3BAA"/>
    <w:rsid w:val="007E478D"/>
    <w:rsid w:val="007E5497"/>
    <w:rsid w:val="00806F5F"/>
    <w:rsid w:val="00820278"/>
    <w:rsid w:val="008219FB"/>
    <w:rsid w:val="008258C9"/>
    <w:rsid w:val="00844AE9"/>
    <w:rsid w:val="00845B43"/>
    <w:rsid w:val="00867F95"/>
    <w:rsid w:val="008843B6"/>
    <w:rsid w:val="00891928"/>
    <w:rsid w:val="008A16BF"/>
    <w:rsid w:val="008A1CBB"/>
    <w:rsid w:val="008A446D"/>
    <w:rsid w:val="008B1BEB"/>
    <w:rsid w:val="008B25F1"/>
    <w:rsid w:val="008D180B"/>
    <w:rsid w:val="008D76C2"/>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7750"/>
    <w:rsid w:val="00A122D3"/>
    <w:rsid w:val="00A14468"/>
    <w:rsid w:val="00A17F13"/>
    <w:rsid w:val="00A20739"/>
    <w:rsid w:val="00A23AF9"/>
    <w:rsid w:val="00A266F1"/>
    <w:rsid w:val="00A33C78"/>
    <w:rsid w:val="00A8229C"/>
    <w:rsid w:val="00A87F78"/>
    <w:rsid w:val="00AB0ADB"/>
    <w:rsid w:val="00AC6517"/>
    <w:rsid w:val="00B00C0E"/>
    <w:rsid w:val="00B01B1A"/>
    <w:rsid w:val="00B025EF"/>
    <w:rsid w:val="00B0381D"/>
    <w:rsid w:val="00B415D0"/>
    <w:rsid w:val="00B44A47"/>
    <w:rsid w:val="00B72CD3"/>
    <w:rsid w:val="00B72FFF"/>
    <w:rsid w:val="00BB6048"/>
    <w:rsid w:val="00BC3D36"/>
    <w:rsid w:val="00BC426E"/>
    <w:rsid w:val="00BD07B1"/>
    <w:rsid w:val="00BD54A6"/>
    <w:rsid w:val="00BD7F72"/>
    <w:rsid w:val="00BF7425"/>
    <w:rsid w:val="00C0248F"/>
    <w:rsid w:val="00C03DE6"/>
    <w:rsid w:val="00C04FB3"/>
    <w:rsid w:val="00C11D8B"/>
    <w:rsid w:val="00C15139"/>
    <w:rsid w:val="00C264CE"/>
    <w:rsid w:val="00C330EB"/>
    <w:rsid w:val="00C50D69"/>
    <w:rsid w:val="00C5365C"/>
    <w:rsid w:val="00C5729A"/>
    <w:rsid w:val="00C754BE"/>
    <w:rsid w:val="00C76B1C"/>
    <w:rsid w:val="00C925AC"/>
    <w:rsid w:val="00C92BFE"/>
    <w:rsid w:val="00CA618E"/>
    <w:rsid w:val="00CB6357"/>
    <w:rsid w:val="00CC1B26"/>
    <w:rsid w:val="00CC4F90"/>
    <w:rsid w:val="00D03782"/>
    <w:rsid w:val="00D2109C"/>
    <w:rsid w:val="00D22A56"/>
    <w:rsid w:val="00D34C5A"/>
    <w:rsid w:val="00D361FD"/>
    <w:rsid w:val="00D423A2"/>
    <w:rsid w:val="00D44E26"/>
    <w:rsid w:val="00D520D8"/>
    <w:rsid w:val="00D604DC"/>
    <w:rsid w:val="00D63AC2"/>
    <w:rsid w:val="00D7383B"/>
    <w:rsid w:val="00D7788A"/>
    <w:rsid w:val="00DA231B"/>
    <w:rsid w:val="00DC39FC"/>
    <w:rsid w:val="00DD1B3F"/>
    <w:rsid w:val="00DE213D"/>
    <w:rsid w:val="00DE328D"/>
    <w:rsid w:val="00DF1B79"/>
    <w:rsid w:val="00DF5254"/>
    <w:rsid w:val="00E018B3"/>
    <w:rsid w:val="00E02524"/>
    <w:rsid w:val="00E02770"/>
    <w:rsid w:val="00E1176D"/>
    <w:rsid w:val="00E16408"/>
    <w:rsid w:val="00E20894"/>
    <w:rsid w:val="00E245AB"/>
    <w:rsid w:val="00E2764C"/>
    <w:rsid w:val="00E27F2E"/>
    <w:rsid w:val="00E50AFE"/>
    <w:rsid w:val="00E75C92"/>
    <w:rsid w:val="00E771DC"/>
    <w:rsid w:val="00E8254F"/>
    <w:rsid w:val="00E8772A"/>
    <w:rsid w:val="00E90F6B"/>
    <w:rsid w:val="00E92C27"/>
    <w:rsid w:val="00EA0E3D"/>
    <w:rsid w:val="00EA2554"/>
    <w:rsid w:val="00EB5257"/>
    <w:rsid w:val="00EC38A7"/>
    <w:rsid w:val="00EE1AA8"/>
    <w:rsid w:val="00EE584B"/>
    <w:rsid w:val="00F23FEA"/>
    <w:rsid w:val="00F31EDC"/>
    <w:rsid w:val="00F462B3"/>
    <w:rsid w:val="00F5664F"/>
    <w:rsid w:val="00F666C4"/>
    <w:rsid w:val="00F76AFC"/>
    <w:rsid w:val="00F91D17"/>
    <w:rsid w:val="00FA47C0"/>
    <w:rsid w:val="00FB5DD1"/>
    <w:rsid w:val="00FC2B5D"/>
    <w:rsid w:val="00FC2D9F"/>
    <w:rsid w:val="00FE087B"/>
    <w:rsid w:val="00FF1449"/>
    <w:rsid w:val="00FF1C85"/>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20D11"/>
    <w:rPr>
      <w:rFonts w:ascii="Geomanist Light" w:hAnsi="Geomanist Light"/>
      <w:lang w:val="es-ES"/>
    </w:rPr>
  </w:style>
  <w:style w:type="character" w:customStyle="1" w:styleId="s15">
    <w:name w:val="s15"/>
    <w:basedOn w:val="Fuentedeprrafopredeter"/>
    <w:rsid w:val="00D34C5A"/>
  </w:style>
  <w:style w:type="paragraph" w:customStyle="1" w:styleId="Appelnotedebasde">
    <w:name w:val="Appel note de bas de..."/>
    <w:basedOn w:val="Normal"/>
    <w:link w:val="Refdenotaalpie"/>
    <w:uiPriority w:val="99"/>
    <w:rsid w:val="00D22A56"/>
    <w:pPr>
      <w:spacing w:line="240" w:lineRule="exact"/>
    </w:pPr>
    <w:rPr>
      <w:vertAlign w:val="superscript"/>
    </w:rPr>
  </w:style>
  <w:style w:type="character" w:customStyle="1" w:styleId="NormalWebCar">
    <w:name w:val="Normal (Web) Car"/>
    <w:link w:val="NormalWeb"/>
    <w:uiPriority w:val="99"/>
    <w:rsid w:val="00D22A56"/>
    <w:rPr>
      <w:rFonts w:ascii="Times New Roman" w:eastAsia="Times New Roman" w:hAnsi="Times New Roman" w:cs="Times New Roman"/>
      <w:sz w:val="24"/>
      <w:szCs w:val="24"/>
      <w:lang w:eastAsia="es-CO"/>
    </w:rPr>
  </w:style>
  <w:style w:type="character" w:customStyle="1" w:styleId="baj">
    <w:name w:val="b_aj"/>
    <w:basedOn w:val="Fuentedeprrafopredeter"/>
    <w:rsid w:val="00D22A56"/>
  </w:style>
  <w:style w:type="table" w:customStyle="1" w:styleId="Tablaconcuadrcula1">
    <w:name w:val="Tabla con cuadrícula1"/>
    <w:basedOn w:val="Tablanormal"/>
    <w:next w:val="Tablaconcuadrcula"/>
    <w:uiPriority w:val="39"/>
    <w:qFormat/>
    <w:rsid w:val="00D22A56"/>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yinacardenasjuridca@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DAE64D-B21E-43E4-B71F-D036286198BC}"/>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6240C44-1C21-4FC6-9F51-A3AA0636F5CA}">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28</Pages>
  <Words>9249</Words>
  <Characters>50872</Characters>
  <Application>Microsoft Office Word</Application>
  <DocSecurity>0</DocSecurity>
  <Lines>423</Lines>
  <Paragraphs>120</Paragraphs>
  <ScaleCrop>false</ScaleCrop>
  <Company/>
  <LinksUpToDate>false</LinksUpToDate>
  <CharactersWithSpaces>60001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19</cp:revision>
  <cp:lastPrinted>2023-01-10T21:18:00Z</cp:lastPrinted>
  <dcterms:created xsi:type="dcterms:W3CDTF">2026-03-31T16:01:00Z</dcterms:created>
  <dcterms:modified xsi:type="dcterms:W3CDTF">2026-03-31T17:21:00Z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