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F11C9" w14:textId="77777777" w:rsidR="0041488A" w:rsidRPr="0041488A" w:rsidRDefault="0041488A" w:rsidP="00545645">
      <w:pPr>
        <w:spacing w:after="0" w:line="240" w:lineRule="auto"/>
        <w:jc w:val="both"/>
        <w:rPr>
          <w:rFonts w:ascii="Verdana" w:eastAsia="Verdana" w:hAnsi="Verdana" w:cs="Verdana"/>
          <w:b/>
          <w:lang w:val="es-ES"/>
        </w:rPr>
      </w:pPr>
      <w:bookmarkStart w:id="0" w:name="_Hlk143780582"/>
      <w:r w:rsidRPr="0041488A">
        <w:rPr>
          <w:rFonts w:ascii="Verdana" w:eastAsia="Verdana" w:hAnsi="Verdana" w:cs="Verdana"/>
          <w:b/>
          <w:lang w:val="es-ES"/>
        </w:rPr>
        <w:t>INSTITUCIONES EDUCATIVAS – Naturaleza jurídica – Capacidad para contratar – Régimen contractual</w:t>
      </w:r>
    </w:p>
    <w:p w14:paraId="49C848AD" w14:textId="77777777" w:rsidR="0041488A" w:rsidRPr="0041488A" w:rsidRDefault="0041488A" w:rsidP="00545645">
      <w:pPr>
        <w:spacing w:after="0" w:line="240" w:lineRule="auto"/>
        <w:jc w:val="both"/>
        <w:rPr>
          <w:rFonts w:ascii="Verdana" w:eastAsia="Verdana" w:hAnsi="Verdana" w:cs="Verdana"/>
          <w:b/>
          <w:lang w:val="es-ES"/>
        </w:rPr>
      </w:pPr>
    </w:p>
    <w:p w14:paraId="5527B863" w14:textId="7FC7F7D2" w:rsidR="0041488A" w:rsidRDefault="0041488A" w:rsidP="00545645">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presupuestal de los recursos que reciben los establecimientos educativos.</w:t>
      </w:r>
    </w:p>
    <w:p w14:paraId="7B3FE89C" w14:textId="11BD5F08" w:rsidR="0041488A" w:rsidRPr="0041488A" w:rsidRDefault="0041488A" w:rsidP="00545645">
      <w:pPr>
        <w:spacing w:after="0" w:line="240" w:lineRule="auto"/>
        <w:jc w:val="both"/>
        <w:rPr>
          <w:rFonts w:ascii="Verdana" w:eastAsia="Verdana" w:hAnsi="Verdana" w:cs="Verdana"/>
          <w:sz w:val="20"/>
          <w:lang w:val="es-MX"/>
        </w:rPr>
      </w:pPr>
      <w:r>
        <w:rPr>
          <w:rFonts w:ascii="Verdana" w:eastAsia="Verdana" w:hAnsi="Verdana" w:cs="Verdana"/>
          <w:sz w:val="20"/>
          <w:lang w:val="es-MX"/>
        </w:rPr>
        <w:t>[…]</w:t>
      </w:r>
    </w:p>
    <w:p w14:paraId="28777ADA" w14:textId="18CC8D2F" w:rsidR="0041488A" w:rsidRDefault="0041488A" w:rsidP="00545645">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p>
    <w:p w14:paraId="7A511405" w14:textId="77777777" w:rsidR="0041488A" w:rsidRPr="0041488A" w:rsidRDefault="0041488A" w:rsidP="00545645">
      <w:pPr>
        <w:spacing w:after="0" w:line="240" w:lineRule="auto"/>
        <w:jc w:val="both"/>
        <w:rPr>
          <w:rFonts w:ascii="Verdana" w:eastAsia="Verdana" w:hAnsi="Verdana" w:cs="Verdana"/>
          <w:sz w:val="20"/>
          <w:lang w:val="es-ES"/>
        </w:rPr>
      </w:pPr>
    </w:p>
    <w:p w14:paraId="6CCA260B" w14:textId="77777777" w:rsidR="0041488A" w:rsidRPr="0041488A" w:rsidRDefault="0041488A" w:rsidP="00545645">
      <w:pPr>
        <w:spacing w:after="0" w:line="240" w:lineRule="auto"/>
        <w:jc w:val="both"/>
        <w:rPr>
          <w:rFonts w:ascii="Verdana" w:eastAsia="Verdana" w:hAnsi="Verdana" w:cs="Verdana"/>
          <w:b/>
          <w:lang w:val="es-ES"/>
        </w:rPr>
      </w:pPr>
      <w:r w:rsidRPr="0041488A">
        <w:rPr>
          <w:rFonts w:ascii="Verdana" w:eastAsia="Verdana" w:hAnsi="Verdana" w:cs="Verdana"/>
          <w:b/>
          <w:lang w:val="es-ES"/>
        </w:rPr>
        <w:t>FONDOS DE SERVICIOS EDUCATIVOS – Noción – Artículo 2.3.1.6.3.4 - Decreto 1075 de 2015</w:t>
      </w:r>
    </w:p>
    <w:p w14:paraId="37682B94" w14:textId="6B0EC0FD" w:rsidR="0041488A" w:rsidRPr="0041488A" w:rsidRDefault="0041488A" w:rsidP="00545645">
      <w:pPr>
        <w:spacing w:after="0" w:line="240" w:lineRule="auto"/>
        <w:jc w:val="both"/>
        <w:rPr>
          <w:rFonts w:ascii="Verdana" w:eastAsia="Verdana" w:hAnsi="Verdana" w:cs="Verdana"/>
          <w:b/>
          <w:sz w:val="20"/>
          <w:lang w:val="es-MX"/>
        </w:rPr>
      </w:pPr>
    </w:p>
    <w:p w14:paraId="325CB020" w14:textId="77777777" w:rsidR="0041488A" w:rsidRPr="0041488A" w:rsidRDefault="0041488A" w:rsidP="00545645">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Los fondos de servicios educativos tampoco cuentan con personería jurídica según lo previsto en el artículo 2.3.1.6.3.4 del Decreto 1075 de 2015, Decreto Único Reglamentario del Sector Educación: “Artículo 2.3.1.6.3.4. Ordenación del gasto. Los fondos de servicios educativos carecen de personería jurídica. El rector o director rural es el ordenador del gasto del Fondo de Servicios Educativos y su ejercicio no implica representación legal”.</w:t>
      </w:r>
    </w:p>
    <w:p w14:paraId="5F409206" w14:textId="77777777" w:rsidR="0041488A" w:rsidRPr="0041488A" w:rsidRDefault="0041488A" w:rsidP="00545645">
      <w:pPr>
        <w:spacing w:after="0" w:line="240" w:lineRule="auto"/>
        <w:jc w:val="both"/>
        <w:rPr>
          <w:rFonts w:ascii="Verdana" w:eastAsia="Verdana" w:hAnsi="Verdana" w:cs="Verdana"/>
          <w:b/>
          <w:lang w:val="es-MX"/>
        </w:rPr>
      </w:pPr>
    </w:p>
    <w:p w14:paraId="29BE96CB" w14:textId="77777777" w:rsidR="0041488A" w:rsidRDefault="0041488A" w:rsidP="00545645">
      <w:pPr>
        <w:spacing w:after="0" w:line="240" w:lineRule="auto"/>
        <w:jc w:val="both"/>
        <w:rPr>
          <w:rFonts w:ascii="Verdana" w:eastAsia="Verdana" w:hAnsi="Verdana" w:cs="Verdana"/>
          <w:b/>
          <w:lang w:val="es-ES"/>
        </w:rPr>
      </w:pPr>
      <w:r w:rsidRPr="0041488A">
        <w:rPr>
          <w:rFonts w:ascii="Verdana" w:eastAsia="Verdana" w:hAnsi="Verdana" w:cs="Verdana"/>
          <w:b/>
          <w:lang w:val="es-ES"/>
        </w:rPr>
        <w:t>FONDOS DE SERVICIOS E</w:t>
      </w:r>
      <w:r>
        <w:rPr>
          <w:rFonts w:ascii="Verdana" w:eastAsia="Verdana" w:hAnsi="Verdana" w:cs="Verdana"/>
          <w:b/>
          <w:lang w:val="es-ES"/>
        </w:rPr>
        <w:t xml:space="preserve">DUCATIVOS – Consejo Directivo </w:t>
      </w:r>
    </w:p>
    <w:p w14:paraId="2B4EA208" w14:textId="77777777" w:rsidR="0041488A" w:rsidRPr="0041488A" w:rsidRDefault="0041488A" w:rsidP="00545645">
      <w:pPr>
        <w:spacing w:after="0" w:line="240" w:lineRule="auto"/>
        <w:jc w:val="both"/>
        <w:rPr>
          <w:rFonts w:ascii="Verdana" w:eastAsia="Verdana" w:hAnsi="Verdana" w:cs="Verdana"/>
          <w:sz w:val="20"/>
          <w:lang w:val="es-ES"/>
        </w:rPr>
      </w:pPr>
    </w:p>
    <w:p w14:paraId="31BE307E" w14:textId="1EC73682" w:rsidR="0041488A" w:rsidRPr="0041488A" w:rsidRDefault="0041488A" w:rsidP="00545645">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 xml:space="preserve">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 </w:t>
      </w:r>
    </w:p>
    <w:p w14:paraId="63B86FB8" w14:textId="60CEA981" w:rsidR="0041488A" w:rsidRPr="0041488A" w:rsidRDefault="0041488A" w:rsidP="00545645">
      <w:pPr>
        <w:spacing w:after="0" w:line="240" w:lineRule="auto"/>
        <w:jc w:val="both"/>
        <w:rPr>
          <w:rFonts w:ascii="Verdana" w:eastAsia="Verdana" w:hAnsi="Verdana" w:cs="Verdana"/>
          <w:b/>
        </w:rPr>
      </w:pPr>
    </w:p>
    <w:p w14:paraId="5DAEF9BF" w14:textId="39CF6091" w:rsidR="0041488A" w:rsidRPr="0041488A" w:rsidRDefault="0041488A" w:rsidP="00545645">
      <w:pPr>
        <w:spacing w:after="0" w:line="240" w:lineRule="auto"/>
        <w:jc w:val="both"/>
        <w:rPr>
          <w:rFonts w:ascii="Verdana" w:eastAsia="Verdana" w:hAnsi="Verdana" w:cs="Verdana"/>
          <w:b/>
          <w:lang w:val="es-ES"/>
        </w:rPr>
      </w:pPr>
      <w:r w:rsidRPr="0041488A">
        <w:rPr>
          <w:rFonts w:ascii="Verdana" w:eastAsia="Verdana" w:hAnsi="Verdana" w:cs="Verdana"/>
          <w:b/>
          <w:lang w:val="es-ES"/>
        </w:rPr>
        <w:t xml:space="preserve">FONDOS DE SERVICIOS EDUCATIVOS – Reglamento </w:t>
      </w:r>
    </w:p>
    <w:p w14:paraId="0EFE7592" w14:textId="77777777" w:rsidR="0041488A" w:rsidRPr="0041488A" w:rsidRDefault="0041488A" w:rsidP="00545645">
      <w:pPr>
        <w:spacing w:after="0" w:line="240" w:lineRule="auto"/>
        <w:jc w:val="both"/>
        <w:rPr>
          <w:rFonts w:ascii="Verdana" w:eastAsia="Verdana" w:hAnsi="Verdana" w:cs="Verdana"/>
          <w:b/>
          <w:lang w:val="es-ES"/>
        </w:rPr>
      </w:pPr>
    </w:p>
    <w:p w14:paraId="289E867E" w14:textId="451644D7" w:rsidR="0041488A" w:rsidRDefault="0041488A" w:rsidP="00545645">
      <w:pPr>
        <w:spacing w:after="0" w:line="240" w:lineRule="auto"/>
        <w:jc w:val="both"/>
        <w:rPr>
          <w:rFonts w:ascii="Verdana" w:eastAsia="Verdana" w:hAnsi="Verdana" w:cs="Verdana"/>
          <w:sz w:val="20"/>
          <w:lang w:val="es-MX"/>
        </w:rPr>
      </w:pPr>
      <w:r w:rsidRPr="0041488A">
        <w:rPr>
          <w:rFonts w:ascii="Verdana" w:eastAsia="Verdana" w:hAnsi="Verdana" w:cs="Verdana"/>
          <w:sz w:val="20"/>
          <w:lang w:val="es-MX"/>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principios de igualdad, moralidad, </w:t>
      </w:r>
      <w:r w:rsidRPr="0041488A">
        <w:rPr>
          <w:rFonts w:ascii="Verdana" w:eastAsia="Verdana" w:hAnsi="Verdana" w:cs="Verdana"/>
          <w:sz w:val="20"/>
          <w:lang w:val="es-MX"/>
        </w:rPr>
        <w:lastRenderedPageBreak/>
        <w:t xml:space="preserve">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025BB5C4" w14:textId="77777777" w:rsidR="0041488A" w:rsidRPr="0041488A" w:rsidRDefault="0041488A" w:rsidP="00545645">
      <w:pPr>
        <w:spacing w:after="0" w:line="240" w:lineRule="auto"/>
        <w:jc w:val="both"/>
        <w:rPr>
          <w:rFonts w:ascii="Verdana" w:eastAsia="Verdana" w:hAnsi="Verdana" w:cs="Verdana"/>
          <w:sz w:val="20"/>
          <w:lang w:val="es-MX"/>
        </w:rPr>
      </w:pPr>
    </w:p>
    <w:p w14:paraId="649A4A24" w14:textId="77777777" w:rsidR="0041488A" w:rsidRPr="0041488A" w:rsidRDefault="0041488A" w:rsidP="00545645">
      <w:pPr>
        <w:spacing w:after="0" w:line="240" w:lineRule="auto"/>
        <w:jc w:val="both"/>
        <w:rPr>
          <w:rFonts w:ascii="Verdana" w:eastAsia="Verdana" w:hAnsi="Verdana" w:cs="Verdana"/>
          <w:sz w:val="20"/>
        </w:rPr>
      </w:pPr>
      <w:r w:rsidRPr="0041488A">
        <w:rPr>
          <w:rFonts w:ascii="Verdana" w:eastAsia="Verdana" w:hAnsi="Verdana" w:cs="Verdana"/>
          <w:sz w:val="20"/>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00420F52" w14:textId="77777777" w:rsidR="0041488A" w:rsidRPr="0041488A" w:rsidRDefault="0041488A" w:rsidP="00545645">
      <w:pPr>
        <w:spacing w:after="0" w:line="240" w:lineRule="auto"/>
        <w:jc w:val="both"/>
        <w:rPr>
          <w:rFonts w:ascii="Verdana" w:eastAsia="Verdana" w:hAnsi="Verdana" w:cs="Verdana"/>
          <w:b/>
        </w:rPr>
      </w:pPr>
    </w:p>
    <w:p w14:paraId="0546CBD5" w14:textId="77777777" w:rsidR="0041488A" w:rsidRPr="0041488A" w:rsidRDefault="0041488A" w:rsidP="00545645">
      <w:pPr>
        <w:spacing w:after="0" w:line="240" w:lineRule="auto"/>
        <w:jc w:val="both"/>
        <w:rPr>
          <w:rFonts w:ascii="Verdana" w:eastAsia="Verdana" w:hAnsi="Verdana" w:cs="Verdana"/>
          <w:b/>
          <w:lang w:val="es-ES"/>
        </w:rPr>
      </w:pPr>
      <w:r w:rsidRPr="0041488A">
        <w:rPr>
          <w:rFonts w:ascii="Verdana" w:eastAsia="Verdana" w:hAnsi="Verdana" w:cs="Verdana"/>
          <w:b/>
          <w:lang w:val="es-ES"/>
        </w:rPr>
        <w:t xml:space="preserve">URGENCIA MANIFIESTA – Definición – Causal – Contratación directa </w:t>
      </w:r>
    </w:p>
    <w:p w14:paraId="725B57C0" w14:textId="77777777" w:rsidR="0041488A" w:rsidRPr="0041488A" w:rsidRDefault="0041488A" w:rsidP="00545645">
      <w:pPr>
        <w:spacing w:after="0" w:line="240" w:lineRule="auto"/>
        <w:jc w:val="both"/>
        <w:rPr>
          <w:rFonts w:ascii="Verdana" w:eastAsia="Verdana" w:hAnsi="Verdana" w:cs="Verdana"/>
          <w:sz w:val="20"/>
          <w:lang w:val="es-ES"/>
        </w:rPr>
      </w:pPr>
    </w:p>
    <w:p w14:paraId="156ECDF2" w14:textId="3EFB8E3D" w:rsidR="0041488A" w:rsidRPr="0041488A" w:rsidRDefault="0041488A" w:rsidP="00545645">
      <w:pPr>
        <w:spacing w:after="0" w:line="240" w:lineRule="auto"/>
        <w:jc w:val="both"/>
        <w:rPr>
          <w:rFonts w:ascii="Verdana" w:eastAsia="Verdana" w:hAnsi="Verdana" w:cs="Verdana"/>
          <w:sz w:val="20"/>
          <w:lang w:val="es-ES_tradnl"/>
        </w:rPr>
      </w:pPr>
      <w:r w:rsidRPr="0041488A">
        <w:rPr>
          <w:rFonts w:ascii="Verdana" w:eastAsia="Verdana" w:hAnsi="Verdana" w:cs="Verdana"/>
          <w:sz w:val="20"/>
          <w:lang w:val="es-ES_tradnl"/>
        </w:rPr>
        <w:t>Esta causal tiene como antecedente el derogado artículo 43.16 del Decreto-Ley 222 de 1983, que autorizaba la contratación directa “Cuando hubiere urgencia evidente calificada por el Consejo de Ministros, que no permita el tiempo necesario para la licitación o concurso”, entendiendo por tal “[…]</w:t>
      </w:r>
      <w:r w:rsidRPr="0041488A">
        <w:rPr>
          <w:rFonts w:ascii="Verdana" w:eastAsia="Verdana" w:hAnsi="Verdana" w:cs="Verdana"/>
          <w:sz w:val="20"/>
        </w:rPr>
        <w:t xml:space="preserve"> </w:t>
      </w:r>
      <w:r w:rsidRPr="0041488A">
        <w:rPr>
          <w:rFonts w:ascii="Verdana" w:eastAsia="Verdana" w:hAnsi="Verdana" w:cs="Verdana"/>
          <w:sz w:val="20"/>
          <w:lang w:val="es-ES_tradnl"/>
        </w:rPr>
        <w:t xml:space="preserve">necesidades actuales o previsibles de orden público, seguridad nacional o calamidad pública”; razón por la cual, los controles para su utilización eran tan evidentes que al declarase por un órgano distinto, el juez debía declarar la nulidad absoluta del contrato, por la falta de competencia. En contraste, el </w:t>
      </w:r>
      <w:r w:rsidRPr="0041488A">
        <w:rPr>
          <w:rFonts w:ascii="Verdana" w:eastAsia="Verdana" w:hAnsi="Verdana" w:cs="Verdana"/>
          <w:sz w:val="20"/>
        </w:rPr>
        <w:t>Estatuto General de Contratación de la Administración Pública</w:t>
      </w:r>
      <w:r w:rsidRPr="0041488A">
        <w:rPr>
          <w:rFonts w:ascii="Verdana" w:eastAsia="Verdana" w:hAnsi="Verdana" w:cs="Verdana"/>
          <w:sz w:val="20"/>
          <w:lang w:val="es-ES_tradnl"/>
        </w:rPr>
        <w:t xml:space="preserve">, interpretando de manera más realista las necesidades de la Administración, autoriza al jefe o representante legal de la entidad estatal para declarar la urgencia, siempre que tenga el carácter de </w:t>
      </w:r>
      <w:r w:rsidRPr="0041488A">
        <w:rPr>
          <w:rFonts w:ascii="Verdana" w:eastAsia="Verdana" w:hAnsi="Verdana" w:cs="Verdana"/>
          <w:i/>
          <w:iCs/>
          <w:sz w:val="20"/>
          <w:lang w:val="es-ES_tradnl"/>
        </w:rPr>
        <w:t>manifiesta</w:t>
      </w:r>
      <w:r w:rsidRPr="0041488A">
        <w:rPr>
          <w:rFonts w:ascii="Verdana" w:eastAsia="Verdana" w:hAnsi="Verdana" w:cs="Verdana"/>
          <w:sz w:val="20"/>
          <w:lang w:val="es-ES_tradnl"/>
        </w:rPr>
        <w:t>.</w:t>
      </w:r>
    </w:p>
    <w:p w14:paraId="538C981F" w14:textId="77777777" w:rsidR="0041488A" w:rsidRPr="0041488A" w:rsidRDefault="0041488A" w:rsidP="00545645">
      <w:pPr>
        <w:spacing w:after="0" w:line="240" w:lineRule="auto"/>
        <w:jc w:val="both"/>
        <w:rPr>
          <w:rFonts w:ascii="Verdana" w:eastAsia="Verdana" w:hAnsi="Verdana" w:cs="Verdana"/>
          <w:sz w:val="20"/>
          <w:lang w:val="es-ES_tradnl"/>
        </w:rPr>
      </w:pPr>
    </w:p>
    <w:p w14:paraId="1919AB83" w14:textId="0D497263" w:rsidR="0041488A" w:rsidRPr="0041488A" w:rsidRDefault="0041488A" w:rsidP="00545645">
      <w:pPr>
        <w:spacing w:after="0" w:line="240" w:lineRule="auto"/>
        <w:jc w:val="both"/>
        <w:rPr>
          <w:rFonts w:ascii="Verdana" w:eastAsia="Verdana" w:hAnsi="Verdana" w:cs="Verdana"/>
          <w:sz w:val="20"/>
          <w:lang w:val="es-ES"/>
        </w:rPr>
      </w:pPr>
      <w:r w:rsidRPr="0041488A">
        <w:rPr>
          <w:rFonts w:ascii="Verdana" w:eastAsia="Verdana" w:hAnsi="Verdana" w:cs="Verdana"/>
          <w:sz w:val="20"/>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p>
    <w:p w14:paraId="55B5F011" w14:textId="77777777" w:rsidR="0041488A" w:rsidRPr="0041488A" w:rsidRDefault="0041488A" w:rsidP="00545645">
      <w:pPr>
        <w:spacing w:after="0" w:line="240" w:lineRule="auto"/>
        <w:jc w:val="both"/>
        <w:rPr>
          <w:rFonts w:ascii="Verdana" w:eastAsia="Verdana" w:hAnsi="Verdana" w:cs="Verdana"/>
          <w:b/>
          <w:lang w:val="es-ES"/>
        </w:rPr>
      </w:pPr>
    </w:p>
    <w:p w14:paraId="1A2C6CE1" w14:textId="3B6126C8" w:rsidR="0041488A" w:rsidRPr="0041488A" w:rsidRDefault="0041488A" w:rsidP="00545645">
      <w:pPr>
        <w:spacing w:after="0" w:line="240" w:lineRule="auto"/>
        <w:jc w:val="both"/>
        <w:rPr>
          <w:rFonts w:ascii="Verdana" w:eastAsia="Verdana" w:hAnsi="Verdana" w:cs="Verdana"/>
          <w:b/>
          <w:lang w:val="es-ES"/>
        </w:rPr>
      </w:pPr>
      <w:r w:rsidRPr="0041488A">
        <w:rPr>
          <w:rFonts w:ascii="Verdana" w:eastAsia="Verdana" w:hAnsi="Verdana" w:cs="Verdana"/>
          <w:b/>
          <w:lang w:val="es-ES"/>
        </w:rPr>
        <w:t>URGENCIA MANIFIESTA – Causal – Circunstancias</w:t>
      </w:r>
    </w:p>
    <w:p w14:paraId="5EE9EB6F" w14:textId="77777777" w:rsidR="0041488A" w:rsidRPr="009D02FD" w:rsidRDefault="0041488A" w:rsidP="00545645">
      <w:pPr>
        <w:spacing w:after="0" w:line="240" w:lineRule="auto"/>
        <w:jc w:val="both"/>
        <w:rPr>
          <w:rFonts w:ascii="Verdana" w:eastAsia="Verdana" w:hAnsi="Verdana" w:cs="Verdana"/>
          <w:sz w:val="20"/>
          <w:lang w:val="es-ES"/>
        </w:rPr>
      </w:pPr>
    </w:p>
    <w:p w14:paraId="70229E94" w14:textId="77777777" w:rsidR="009D02FD" w:rsidRPr="009D02FD" w:rsidRDefault="009D02FD" w:rsidP="00545645">
      <w:pPr>
        <w:spacing w:after="0" w:line="240" w:lineRule="auto"/>
        <w:jc w:val="both"/>
        <w:rPr>
          <w:rFonts w:ascii="Verdana" w:eastAsia="Verdana" w:hAnsi="Verdana" w:cs="Verdana"/>
          <w:sz w:val="20"/>
          <w:lang w:val="es-ES_tradnl"/>
        </w:rPr>
      </w:pPr>
      <w:r w:rsidRPr="009D02FD">
        <w:rPr>
          <w:rFonts w:ascii="Verdana" w:eastAsia="Verdana" w:hAnsi="Verdana" w:cs="Verdana"/>
          <w:sz w:val="20"/>
          <w:lang w:val="es-ES_tradnl"/>
        </w:rPr>
        <w:t xml:space="preserve">En esta medida, el precitado artículo 42 del </w:t>
      </w:r>
      <w:r w:rsidRPr="009D02FD">
        <w:rPr>
          <w:rFonts w:ascii="Verdana" w:eastAsia="Verdana" w:hAnsi="Verdana" w:cs="Verdana"/>
          <w:sz w:val="20"/>
        </w:rPr>
        <w:t>Estatuto General de Contratación de la Administración Pública</w:t>
      </w:r>
      <w:r w:rsidRPr="009D02FD">
        <w:rPr>
          <w:rFonts w:ascii="Verdana" w:eastAsia="Verdana" w:hAnsi="Verdana" w:cs="Verdana"/>
          <w:sz w:val="20"/>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ii) cuando se presenten situaciones relacionadas con los estados de excepción; iii) cuando se trate de conjurar situaciones excepcionales relacionadas con hechos de calamidad o constitutivos de fuerza mayor o desastre que demanden </w:t>
      </w:r>
      <w:r w:rsidRPr="009D02FD">
        <w:rPr>
          <w:rFonts w:ascii="Verdana" w:eastAsia="Verdana" w:hAnsi="Verdana" w:cs="Verdana"/>
          <w:sz w:val="20"/>
          <w:lang w:val="es-ES_tradnl"/>
        </w:rPr>
        <w:lastRenderedPageBreak/>
        <w:t>actuaciones inmediatas; y iv) en general, cuando se trate de situaciones similares que imposibiliten acudir a los procedimientos de selección o concurso públicos.</w:t>
      </w:r>
    </w:p>
    <w:p w14:paraId="2A60138C" w14:textId="77777777" w:rsidR="0041488A" w:rsidRPr="009D02FD" w:rsidRDefault="0041488A" w:rsidP="00545645">
      <w:pPr>
        <w:spacing w:after="0" w:line="240" w:lineRule="auto"/>
        <w:jc w:val="both"/>
        <w:rPr>
          <w:rFonts w:ascii="Verdana" w:eastAsia="Verdana" w:hAnsi="Verdana" w:cs="Verdana"/>
          <w:b/>
          <w:lang w:val="es-ES_tradnl"/>
        </w:rPr>
      </w:pPr>
    </w:p>
    <w:p w14:paraId="02C0376D" w14:textId="67F99372" w:rsidR="0041488A" w:rsidRPr="0041488A" w:rsidRDefault="0041488A" w:rsidP="00545645">
      <w:pPr>
        <w:spacing w:after="0" w:line="240" w:lineRule="auto"/>
        <w:jc w:val="both"/>
        <w:rPr>
          <w:rFonts w:ascii="Verdana" w:eastAsia="Verdana" w:hAnsi="Verdana" w:cs="Verdana"/>
          <w:b/>
          <w:lang w:val="es-ES"/>
        </w:rPr>
      </w:pPr>
      <w:r w:rsidRPr="0041488A">
        <w:rPr>
          <w:rFonts w:ascii="Verdana" w:eastAsia="Verdana" w:hAnsi="Verdana" w:cs="Verdana"/>
          <w:b/>
          <w:lang w:val="es-ES"/>
        </w:rPr>
        <w:t>URGENCIA MANIFIESTA – Posibilidad – Facultad – Rector</w:t>
      </w:r>
      <w:r w:rsidR="00F477A0">
        <w:rPr>
          <w:rFonts w:ascii="Verdana" w:eastAsia="Verdana" w:hAnsi="Verdana" w:cs="Verdana"/>
          <w:b/>
          <w:lang w:val="es-ES"/>
        </w:rPr>
        <w:t xml:space="preserve"> </w:t>
      </w:r>
      <w:r w:rsidR="00F477A0" w:rsidRPr="00F477A0">
        <w:rPr>
          <w:rFonts w:ascii="Verdana" w:eastAsia="Verdana" w:hAnsi="Verdana" w:cs="Verdana"/>
          <w:b/>
          <w:bCs/>
          <w:lang w:val="es-ES"/>
        </w:rPr>
        <w:t>–</w:t>
      </w:r>
      <w:r w:rsidRPr="0041488A">
        <w:rPr>
          <w:rFonts w:ascii="Verdana" w:eastAsia="Verdana" w:hAnsi="Verdana" w:cs="Verdana"/>
          <w:b/>
          <w:lang w:val="es-ES"/>
        </w:rPr>
        <w:t xml:space="preserve"> EGCAP </w:t>
      </w:r>
    </w:p>
    <w:p w14:paraId="45550995" w14:textId="77777777" w:rsidR="0041488A" w:rsidRPr="0041488A" w:rsidRDefault="0041488A" w:rsidP="00545645">
      <w:pPr>
        <w:spacing w:after="0" w:line="240" w:lineRule="auto"/>
        <w:jc w:val="both"/>
        <w:rPr>
          <w:rFonts w:ascii="Verdana" w:eastAsia="Verdana" w:hAnsi="Verdana" w:cs="Verdana"/>
          <w:lang w:val="es-ES"/>
        </w:rPr>
      </w:pPr>
    </w:p>
    <w:p w14:paraId="36108A7F" w14:textId="7EE748BA" w:rsidR="009D02FD" w:rsidRPr="00545645" w:rsidRDefault="009D02FD" w:rsidP="00545645">
      <w:pPr>
        <w:spacing w:after="0" w:line="240" w:lineRule="auto"/>
        <w:jc w:val="both"/>
        <w:rPr>
          <w:rFonts w:ascii="Verdana" w:eastAsia="Verdana" w:hAnsi="Verdana" w:cs="Verdana"/>
          <w:bCs/>
          <w:sz w:val="20"/>
        </w:rPr>
      </w:pPr>
      <w:r w:rsidRPr="00545645">
        <w:rPr>
          <w:rFonts w:ascii="Verdana" w:eastAsia="Verdana" w:hAnsi="Verdana" w:cs="Verdana"/>
          <w:bCs/>
          <w:sz w:val="20"/>
        </w:rPr>
        <w:t>En este escenario, el rector, como funcionario competente para la celebración de contratos, puede declarar la urgencia manifiesta prevista en el artículo 42 de la Ley 80 de 1993, siempre que la contratación que se pretenda adelantar esté sometida al Estatuto General de Contratación de la Administración Pública. Esto ocurre cuando el valor del contrato supera la cuantía de los veinte (20) salarios mínimos legales mensuales vigentes, evento en el cual resulta aplicable el EGCAP, y en esta línea, la institución de la urgencia manifiesta.</w:t>
      </w:r>
    </w:p>
    <w:p w14:paraId="09DDF532" w14:textId="77777777" w:rsidR="009D02FD" w:rsidRPr="00545645" w:rsidRDefault="009D02FD" w:rsidP="00545645">
      <w:pPr>
        <w:spacing w:after="0" w:line="240" w:lineRule="auto"/>
        <w:jc w:val="both"/>
        <w:rPr>
          <w:rFonts w:ascii="Verdana" w:eastAsia="Verdana" w:hAnsi="Verdana" w:cs="Verdana"/>
          <w:bCs/>
          <w:sz w:val="20"/>
        </w:rPr>
      </w:pPr>
    </w:p>
    <w:p w14:paraId="339DED20" w14:textId="39E7D7FA" w:rsidR="009D02FD" w:rsidRPr="00545645" w:rsidRDefault="009D02FD" w:rsidP="00545645">
      <w:pPr>
        <w:spacing w:after="0" w:line="240" w:lineRule="auto"/>
        <w:jc w:val="both"/>
        <w:rPr>
          <w:rFonts w:ascii="Verdana" w:eastAsia="Verdana" w:hAnsi="Verdana" w:cs="Verdana"/>
          <w:bCs/>
          <w:sz w:val="20"/>
        </w:rPr>
      </w:pPr>
      <w:r w:rsidRPr="00545645">
        <w:rPr>
          <w:rFonts w:ascii="Verdana" w:eastAsia="Verdana" w:hAnsi="Verdana" w:cs="Verdana"/>
          <w:bCs/>
          <w:sz w:val="20"/>
        </w:rPr>
        <w:t>Ahora bien, cuando se trata de contrataciones cuyo valor no excede la citada cuantía, estas no se rigen por la Ley 80 de 1993, sino por las reglas y condiciones establecidas en el Reglamento que expidió el Consejo Directivo de la institución educativa, de acuerdo a lo prescrito en el artículo 13 de la Ley 715 de 2001. Por tanto, en este ámbito el rector debe ajustar su actuación a lo dispuesto por dicho reglamento, sin que resulte procedente la aplicación de figuras propias del Estatuto General de Contratación, como la urgencia manifiesta, salvo que expresamente se encuentren previstas en la normativa interna aplicable.</w:t>
      </w:r>
    </w:p>
    <w:p w14:paraId="0E5559E8" w14:textId="6515A2ED" w:rsidR="009D02FD" w:rsidRDefault="009D02FD" w:rsidP="009D02FD">
      <w:pPr>
        <w:spacing w:after="0" w:line="240" w:lineRule="auto"/>
        <w:jc w:val="both"/>
        <w:rPr>
          <w:rFonts w:ascii="Verdana" w:eastAsia="Verdana" w:hAnsi="Verdana" w:cs="Verdana"/>
          <w:bCs/>
        </w:rPr>
      </w:pPr>
    </w:p>
    <w:p w14:paraId="0A183F5C" w14:textId="53248E92" w:rsidR="009D02FD" w:rsidRDefault="009D02FD" w:rsidP="009D02FD">
      <w:pPr>
        <w:spacing w:after="0" w:line="240" w:lineRule="auto"/>
        <w:jc w:val="both"/>
        <w:rPr>
          <w:rFonts w:ascii="Verdana" w:eastAsia="Verdana" w:hAnsi="Verdana" w:cs="Verdana"/>
          <w:bCs/>
        </w:rPr>
      </w:pPr>
    </w:p>
    <w:p w14:paraId="3C7E53BA" w14:textId="0C4921AD" w:rsidR="009D02FD" w:rsidRDefault="009D02FD" w:rsidP="009D02FD">
      <w:pPr>
        <w:spacing w:after="0" w:line="240" w:lineRule="auto"/>
        <w:jc w:val="both"/>
        <w:rPr>
          <w:rFonts w:ascii="Verdana" w:eastAsia="Verdana" w:hAnsi="Verdana" w:cs="Verdana"/>
          <w:bCs/>
        </w:rPr>
      </w:pPr>
    </w:p>
    <w:p w14:paraId="6C9DA065" w14:textId="78D43554" w:rsidR="009D02FD" w:rsidRDefault="009D02FD" w:rsidP="009D02FD">
      <w:pPr>
        <w:spacing w:after="0" w:line="240" w:lineRule="auto"/>
        <w:jc w:val="both"/>
        <w:rPr>
          <w:rFonts w:ascii="Verdana" w:eastAsia="Verdana" w:hAnsi="Verdana" w:cs="Verdana"/>
          <w:bCs/>
        </w:rPr>
      </w:pPr>
    </w:p>
    <w:p w14:paraId="000ED819" w14:textId="63D783A4" w:rsidR="009D02FD" w:rsidRDefault="009D02FD" w:rsidP="009D02FD">
      <w:pPr>
        <w:spacing w:after="0" w:line="240" w:lineRule="auto"/>
        <w:jc w:val="both"/>
        <w:rPr>
          <w:rFonts w:ascii="Verdana" w:eastAsia="Verdana" w:hAnsi="Verdana" w:cs="Verdana"/>
          <w:bCs/>
        </w:rPr>
      </w:pPr>
    </w:p>
    <w:p w14:paraId="5DE226A8" w14:textId="4C5DA4C6" w:rsidR="009D02FD" w:rsidRDefault="009D02FD" w:rsidP="009D02FD">
      <w:pPr>
        <w:spacing w:after="0" w:line="240" w:lineRule="auto"/>
        <w:jc w:val="both"/>
        <w:rPr>
          <w:rFonts w:ascii="Verdana" w:eastAsia="Verdana" w:hAnsi="Verdana" w:cs="Verdana"/>
          <w:bCs/>
        </w:rPr>
      </w:pPr>
    </w:p>
    <w:p w14:paraId="3F8721DC" w14:textId="3A84B03C" w:rsidR="009D02FD" w:rsidRDefault="009D02FD" w:rsidP="009D02FD">
      <w:pPr>
        <w:spacing w:after="0" w:line="240" w:lineRule="auto"/>
        <w:jc w:val="both"/>
        <w:rPr>
          <w:rFonts w:ascii="Verdana" w:eastAsia="Verdana" w:hAnsi="Verdana" w:cs="Verdana"/>
          <w:bCs/>
        </w:rPr>
      </w:pPr>
    </w:p>
    <w:p w14:paraId="0F69B5A8" w14:textId="7E7EE52A" w:rsidR="009D02FD" w:rsidRDefault="009D02FD" w:rsidP="009D02FD">
      <w:pPr>
        <w:spacing w:after="0" w:line="240" w:lineRule="auto"/>
        <w:jc w:val="both"/>
        <w:rPr>
          <w:rFonts w:ascii="Verdana" w:eastAsia="Verdana" w:hAnsi="Verdana" w:cs="Verdana"/>
          <w:bCs/>
        </w:rPr>
      </w:pPr>
    </w:p>
    <w:p w14:paraId="652A7437" w14:textId="62BB97B7" w:rsidR="009D02FD" w:rsidRDefault="009D02FD" w:rsidP="009D02FD">
      <w:pPr>
        <w:spacing w:after="0" w:line="240" w:lineRule="auto"/>
        <w:jc w:val="both"/>
        <w:rPr>
          <w:rFonts w:ascii="Verdana" w:eastAsia="Verdana" w:hAnsi="Verdana" w:cs="Verdana"/>
          <w:bCs/>
        </w:rPr>
      </w:pPr>
    </w:p>
    <w:p w14:paraId="51B83879" w14:textId="61079158" w:rsidR="009D02FD" w:rsidRDefault="009D02FD" w:rsidP="009D02FD">
      <w:pPr>
        <w:spacing w:after="0" w:line="240" w:lineRule="auto"/>
        <w:jc w:val="both"/>
        <w:rPr>
          <w:rFonts w:ascii="Verdana" w:eastAsia="Verdana" w:hAnsi="Verdana" w:cs="Verdana"/>
          <w:bCs/>
        </w:rPr>
      </w:pPr>
    </w:p>
    <w:p w14:paraId="7A5FCF88" w14:textId="1B02031D" w:rsidR="009D02FD" w:rsidRDefault="009D02FD" w:rsidP="009D02FD">
      <w:pPr>
        <w:spacing w:after="0" w:line="240" w:lineRule="auto"/>
        <w:jc w:val="both"/>
        <w:rPr>
          <w:rFonts w:ascii="Verdana" w:eastAsia="Verdana" w:hAnsi="Verdana" w:cs="Verdana"/>
          <w:bCs/>
        </w:rPr>
      </w:pPr>
    </w:p>
    <w:p w14:paraId="373E1F91" w14:textId="398BF224" w:rsidR="009D02FD" w:rsidRDefault="009D02FD" w:rsidP="009D02FD">
      <w:pPr>
        <w:spacing w:after="0" w:line="240" w:lineRule="auto"/>
        <w:jc w:val="both"/>
        <w:rPr>
          <w:rFonts w:ascii="Verdana" w:eastAsia="Verdana" w:hAnsi="Verdana" w:cs="Verdana"/>
          <w:bCs/>
        </w:rPr>
      </w:pPr>
    </w:p>
    <w:p w14:paraId="48D50EEB" w14:textId="7794AFC3" w:rsidR="009D02FD" w:rsidRDefault="009D02FD" w:rsidP="009D02FD">
      <w:pPr>
        <w:spacing w:after="0" w:line="240" w:lineRule="auto"/>
        <w:jc w:val="both"/>
        <w:rPr>
          <w:rFonts w:ascii="Verdana" w:eastAsia="Verdana" w:hAnsi="Verdana" w:cs="Verdana"/>
          <w:bCs/>
        </w:rPr>
      </w:pPr>
    </w:p>
    <w:p w14:paraId="1E27D51C" w14:textId="4AAFC3AF" w:rsidR="009D02FD" w:rsidRDefault="009D02FD" w:rsidP="009D02FD">
      <w:pPr>
        <w:spacing w:after="0" w:line="240" w:lineRule="auto"/>
        <w:jc w:val="both"/>
        <w:rPr>
          <w:rFonts w:ascii="Verdana" w:eastAsia="Verdana" w:hAnsi="Verdana" w:cs="Verdana"/>
          <w:bCs/>
        </w:rPr>
      </w:pPr>
    </w:p>
    <w:p w14:paraId="53F2E4A5" w14:textId="23C0B71F" w:rsidR="009D02FD" w:rsidRDefault="009D02FD" w:rsidP="009D02FD">
      <w:pPr>
        <w:spacing w:after="0" w:line="240" w:lineRule="auto"/>
        <w:jc w:val="both"/>
        <w:rPr>
          <w:rFonts w:ascii="Verdana" w:eastAsia="Verdana" w:hAnsi="Verdana" w:cs="Verdana"/>
          <w:bCs/>
        </w:rPr>
      </w:pPr>
    </w:p>
    <w:p w14:paraId="333DF18F" w14:textId="77777777" w:rsidR="009D02FD" w:rsidRPr="009D02FD" w:rsidRDefault="009D02FD" w:rsidP="009D02FD">
      <w:pPr>
        <w:spacing w:after="0" w:line="240" w:lineRule="auto"/>
        <w:jc w:val="both"/>
        <w:rPr>
          <w:rFonts w:ascii="Verdana" w:eastAsia="Verdana" w:hAnsi="Verdana" w:cs="Verdana"/>
          <w:bCs/>
        </w:rPr>
      </w:pPr>
    </w:p>
    <w:p w14:paraId="723075E8" w14:textId="77777777" w:rsidR="0041488A" w:rsidRDefault="0041488A" w:rsidP="00F66F14">
      <w:pPr>
        <w:spacing w:after="0"/>
        <w:rPr>
          <w:rFonts w:ascii="Verdana" w:eastAsia="Verdana" w:hAnsi="Verdana" w:cs="Verdana"/>
        </w:rPr>
      </w:pPr>
    </w:p>
    <w:p w14:paraId="55200F8B" w14:textId="6B3BDA3E" w:rsidR="00F66F14" w:rsidRDefault="00662EF3" w:rsidP="00F66F14">
      <w:pPr>
        <w:spacing w:after="0"/>
        <w:rPr>
          <w:rFonts w:ascii="Verdana" w:hAnsi="Verdana"/>
        </w:rPr>
      </w:pPr>
      <w:r w:rsidRPr="00662EF3">
        <w:rPr>
          <w:noProof/>
          <w:lang w:val="en-US"/>
        </w:rPr>
        <w:lastRenderedPageBreak/>
        <w:drawing>
          <wp:anchor distT="0" distB="0" distL="114300" distR="114300" simplePos="0" relativeHeight="251658240" behindDoc="0" locked="0" layoutInCell="1" allowOverlap="1" wp14:anchorId="17418049" wp14:editId="719145C3">
            <wp:simplePos x="0" y="0"/>
            <wp:positionH relativeFrom="margin">
              <wp:align>right</wp:align>
            </wp:positionH>
            <wp:positionV relativeFrom="paragraph">
              <wp:posOffset>173355</wp:posOffset>
            </wp:positionV>
            <wp:extent cx="2607310" cy="721995"/>
            <wp:effectExtent l="0" t="0" r="2540" b="190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7310" cy="7219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 xml:space="preserve">Bogotá D.C., 2 de abril de 2026 </w:t>
      </w:r>
      <w:r w:rsidR="00F66F14">
        <w:tab/>
      </w:r>
      <w:r w:rsidR="00F66F14">
        <w:br/>
      </w:r>
    </w:p>
    <w:p w14:paraId="47267115" w14:textId="77777777" w:rsidR="00662EF3" w:rsidRPr="00891006" w:rsidRDefault="00662EF3" w:rsidP="00F66F14">
      <w:pPr>
        <w:spacing w:after="0"/>
        <w:rPr>
          <w:rFonts w:ascii="Verdana" w:hAnsi="Verdana"/>
        </w:rPr>
      </w:pPr>
    </w:p>
    <w:p w14:paraId="4A013245" w14:textId="01698813" w:rsidR="00F66F14" w:rsidRPr="004B74F9" w:rsidRDefault="00F66F14" w:rsidP="00F66F14">
      <w:pPr>
        <w:spacing w:after="0" w:line="240" w:lineRule="auto"/>
        <w:rPr>
          <w:rFonts w:ascii="Verdana" w:eastAsia="Calibri" w:hAnsi="Verdana" w:cs="Times New Roman"/>
        </w:rPr>
      </w:pPr>
      <w:r w:rsidRPr="004B74F9">
        <w:rPr>
          <w:rFonts w:ascii="Verdana" w:eastAsia="Calibri" w:hAnsi="Verdana" w:cs="Times New Roman"/>
        </w:rPr>
        <w:t>Señor</w:t>
      </w:r>
    </w:p>
    <w:p w14:paraId="2AF254B0" w14:textId="77777777" w:rsidR="00F66F14" w:rsidRPr="004B74F9" w:rsidRDefault="00F66F14" w:rsidP="00F66F14">
      <w:pPr>
        <w:spacing w:after="0" w:line="240" w:lineRule="auto"/>
        <w:rPr>
          <w:rFonts w:ascii="Verdana" w:eastAsia="Calibri" w:hAnsi="Verdana" w:cs="Times New Roman"/>
          <w:b/>
        </w:rPr>
      </w:pPr>
      <w:r w:rsidRPr="004B74F9">
        <w:rPr>
          <w:rFonts w:ascii="Verdana" w:eastAsia="Calibri" w:hAnsi="Verdana" w:cs="Times New Roman"/>
          <w:b/>
        </w:rPr>
        <w:t>Luis Miguel Tapiero Osio</w:t>
      </w:r>
    </w:p>
    <w:p w14:paraId="2DA7B2B0" w14:textId="0E078E13" w:rsidR="00F66F14" w:rsidRPr="004B74F9" w:rsidRDefault="00F66F14" w:rsidP="00F66F14">
      <w:pPr>
        <w:spacing w:after="0" w:line="240" w:lineRule="auto"/>
        <w:rPr>
          <w:rFonts w:ascii="Verdana" w:hAnsi="Verdana"/>
        </w:rPr>
      </w:pPr>
      <w:hyperlink r:id="rId12" w:history="1">
        <w:r w:rsidRPr="004B74F9">
          <w:rPr>
            <w:rStyle w:val="Hipervnculo"/>
            <w:rFonts w:ascii="Verdana" w:hAnsi="Verdana"/>
          </w:rPr>
          <w:t>infotrabajo.lt@gmail.com</w:t>
        </w:r>
      </w:hyperlink>
    </w:p>
    <w:p w14:paraId="157EE01C" w14:textId="77777777" w:rsidR="00F66F14" w:rsidRPr="004B74F9" w:rsidRDefault="00F66F14" w:rsidP="00F66F14">
      <w:pPr>
        <w:spacing w:after="0" w:line="240" w:lineRule="auto"/>
        <w:rPr>
          <w:rFonts w:ascii="Verdana" w:eastAsia="Calibri" w:hAnsi="Verdana" w:cs="Times New Roman"/>
        </w:rPr>
      </w:pPr>
      <w:r w:rsidRPr="004B74F9">
        <w:rPr>
          <w:rFonts w:ascii="Verdana" w:eastAsia="Calibri" w:hAnsi="Verdana" w:cs="Times New Roman"/>
        </w:rPr>
        <w:t>Maicao, Guajira</w:t>
      </w:r>
    </w:p>
    <w:p w14:paraId="3F68414D" w14:textId="77777777" w:rsidR="00F66F14" w:rsidRPr="00891006" w:rsidRDefault="00F66F14" w:rsidP="00F66F14">
      <w:pPr>
        <w:spacing w:after="0" w:line="240" w:lineRule="auto"/>
        <w:rPr>
          <w:rFonts w:ascii="Verdana" w:eastAsia="Calibri" w:hAnsi="Verdana" w:cs="Times New Roman"/>
        </w:rPr>
      </w:pPr>
    </w:p>
    <w:p w14:paraId="1D9E0A7B" w14:textId="77777777" w:rsidR="00F66F14" w:rsidRPr="00891006" w:rsidRDefault="00F66F14" w:rsidP="00F66F14">
      <w:pPr>
        <w:spacing w:after="0" w:line="240" w:lineRule="auto"/>
        <w:rPr>
          <w:rFonts w:ascii="Verdana" w:eastAsia="Calibri" w:hAnsi="Verdana" w:cs="Times New Roman"/>
        </w:rPr>
      </w:pPr>
    </w:p>
    <w:p w14:paraId="5304CC8D" w14:textId="4A8750B3" w:rsidR="00F66F14" w:rsidRPr="00891006" w:rsidRDefault="00F66F14" w:rsidP="00F66F14">
      <w:pPr>
        <w:spacing w:after="0" w:line="240" w:lineRule="auto"/>
        <w:rPr>
          <w:rFonts w:ascii="Verdana" w:eastAsia="Calibri" w:hAnsi="Verdana" w:cs="Times New Roman"/>
          <w:b/>
          <w:bCs/>
        </w:rPr>
      </w:pPr>
      <w:r w:rsidRPr="00891006">
        <w:rPr>
          <w:rFonts w:ascii="Verdana" w:eastAsia="Calibri" w:hAnsi="Verdana" w:cs="Times New Roman"/>
          <w:b/>
          <w:bCs/>
        </w:rPr>
        <w:t xml:space="preserve">                                    Concepto C-</w:t>
      </w:r>
      <w:r>
        <w:rPr>
          <w:rFonts w:ascii="Verdana" w:eastAsia="Calibri" w:hAnsi="Verdana" w:cs="Times New Roman"/>
          <w:b/>
          <w:bCs/>
        </w:rPr>
        <w:t>273 de 2026</w:t>
      </w:r>
    </w:p>
    <w:p w14:paraId="7A281C14" w14:textId="77777777" w:rsidR="00F66F14" w:rsidRPr="00891006" w:rsidRDefault="00F66F14" w:rsidP="00F66F14">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66F14" w:rsidRPr="00891006" w14:paraId="069F4BA5" w14:textId="77777777" w:rsidTr="00B21DA7">
        <w:trPr>
          <w:trHeight w:val="645"/>
        </w:trPr>
        <w:tc>
          <w:tcPr>
            <w:tcW w:w="2685" w:type="dxa"/>
            <w:hideMark/>
          </w:tcPr>
          <w:p w14:paraId="6FCA29D1" w14:textId="77777777" w:rsidR="00F66F14" w:rsidRPr="00891006" w:rsidRDefault="00F66F14" w:rsidP="00B21DA7">
            <w:pPr>
              <w:spacing w:line="256" w:lineRule="auto"/>
              <w:rPr>
                <w:rFonts w:ascii="Verdana" w:hAnsi="Verdana"/>
                <w:b/>
                <w:bCs/>
              </w:rPr>
            </w:pPr>
            <w:r w:rsidRPr="00891006">
              <w:rPr>
                <w:rFonts w:ascii="Verdana" w:hAnsi="Verdana"/>
                <w:b/>
                <w:bCs/>
              </w:rPr>
              <w:t xml:space="preserve">Temas:                   </w:t>
            </w:r>
          </w:p>
        </w:tc>
        <w:tc>
          <w:tcPr>
            <w:tcW w:w="6241" w:type="dxa"/>
            <w:hideMark/>
          </w:tcPr>
          <w:p w14:paraId="39B32F30" w14:textId="77777777" w:rsidR="00F66F14" w:rsidRPr="004B74F9" w:rsidRDefault="00F66F14" w:rsidP="00B21DA7">
            <w:pPr>
              <w:spacing w:line="276" w:lineRule="auto"/>
              <w:jc w:val="both"/>
              <w:rPr>
                <w:rFonts w:ascii="Verdana" w:hAnsi="Verdana" w:cs="Arial"/>
                <w:lang w:val="es-ES" w:eastAsia="es-ES_tradnl"/>
              </w:rPr>
            </w:pPr>
            <w:r w:rsidRPr="004B74F9">
              <w:rPr>
                <w:rFonts w:ascii="Verdana" w:hAnsi="Verdana" w:cs="Arial"/>
                <w:lang w:val="es-ES" w:eastAsia="es-ES_tradnl"/>
              </w:rPr>
              <w:t>INSTITUCIONES EDUCATIVAS – Naturaleza jurídica – Capacidad para contratar – Régimen contractual / FONDOS DE SERVICIOS EDUCATIVOS – Noción – Artículo 2.3.1.6.3.4 - Decreto 1075 de 2015 / FONDOS DE SERVICIOS EDUCATIVOS – Consejo Directivo – FONDOS DE SER</w:t>
            </w:r>
            <w:r>
              <w:rPr>
                <w:rFonts w:ascii="Verdana" w:hAnsi="Verdana" w:cs="Arial"/>
                <w:lang w:val="es-ES" w:eastAsia="es-ES_tradnl"/>
              </w:rPr>
              <w:t xml:space="preserve">VICIOS EDUCATIVOS – Reglamento / </w:t>
            </w:r>
            <w:r w:rsidRPr="00357965">
              <w:rPr>
                <w:rFonts w:ascii="Verdana" w:hAnsi="Verdana" w:cs="Arial"/>
                <w:lang w:val="es-ES" w:eastAsia="es-ES_tradnl"/>
              </w:rPr>
              <w:t>URGENCIA MANIFIESTA – Definición – Causal – Contratación directa</w:t>
            </w:r>
            <w:r>
              <w:rPr>
                <w:rFonts w:ascii="Verdana" w:hAnsi="Verdana" w:cs="Arial"/>
                <w:lang w:val="es-ES" w:eastAsia="es-ES_tradnl"/>
              </w:rPr>
              <w:t xml:space="preserve"> / URGENCIA MANIFIESTA – Causal – Circunstancias / URGENCIA MANIFIESTA – Posibilidad – Facultad – Rector- EGCAP. </w:t>
            </w:r>
          </w:p>
          <w:p w14:paraId="2A260C72" w14:textId="77777777" w:rsidR="00F66F14" w:rsidRPr="00891006" w:rsidRDefault="00F66F14" w:rsidP="00B21DA7">
            <w:pPr>
              <w:spacing w:line="276" w:lineRule="auto"/>
              <w:jc w:val="both"/>
              <w:rPr>
                <w:rFonts w:ascii="Verdana" w:hAnsi="Verdana" w:cs="Arial"/>
                <w:lang w:eastAsia="es-ES"/>
              </w:rPr>
            </w:pPr>
          </w:p>
        </w:tc>
        <w:tc>
          <w:tcPr>
            <w:tcW w:w="6237" w:type="dxa"/>
          </w:tcPr>
          <w:p w14:paraId="10B83A3F" w14:textId="77777777" w:rsidR="00F66F14" w:rsidRPr="00891006" w:rsidRDefault="00F66F14" w:rsidP="00B21DA7">
            <w:pPr>
              <w:spacing w:line="256" w:lineRule="auto"/>
              <w:rPr>
                <w:rFonts w:ascii="Verdana" w:hAnsi="Verdana"/>
              </w:rPr>
            </w:pPr>
          </w:p>
        </w:tc>
      </w:tr>
      <w:tr w:rsidR="00F66F14" w:rsidRPr="00380CA4" w14:paraId="1E6E5B80" w14:textId="77777777" w:rsidTr="00B21DA7">
        <w:tc>
          <w:tcPr>
            <w:tcW w:w="2685" w:type="dxa"/>
          </w:tcPr>
          <w:p w14:paraId="2825BABB" w14:textId="77777777" w:rsidR="00F66F14" w:rsidRPr="00380CA4" w:rsidRDefault="00F66F14" w:rsidP="00B21DA7">
            <w:pPr>
              <w:rPr>
                <w:rFonts w:ascii="Verdana" w:hAnsi="Verdana"/>
                <w:b/>
                <w:bCs/>
              </w:rPr>
            </w:pPr>
          </w:p>
          <w:p w14:paraId="4A795DD7" w14:textId="77777777" w:rsidR="00F66F14" w:rsidRPr="00380CA4" w:rsidRDefault="00F66F14" w:rsidP="00B21DA7">
            <w:pPr>
              <w:rPr>
                <w:rFonts w:ascii="Verdana" w:hAnsi="Verdana"/>
                <w:b/>
                <w:bCs/>
              </w:rPr>
            </w:pPr>
            <w:r w:rsidRPr="00380CA4">
              <w:rPr>
                <w:rFonts w:ascii="Verdana" w:hAnsi="Verdana"/>
                <w:b/>
                <w:bCs/>
              </w:rPr>
              <w:t xml:space="preserve">Radicación:               </w:t>
            </w:r>
          </w:p>
        </w:tc>
        <w:tc>
          <w:tcPr>
            <w:tcW w:w="6241" w:type="dxa"/>
          </w:tcPr>
          <w:p w14:paraId="2D11ED01" w14:textId="77777777" w:rsidR="00F66F14" w:rsidRPr="00380CA4" w:rsidRDefault="00F66F14" w:rsidP="00B21DA7">
            <w:pPr>
              <w:jc w:val="both"/>
              <w:rPr>
                <w:rFonts w:ascii="Verdana" w:hAnsi="Verdana"/>
              </w:rPr>
            </w:pPr>
          </w:p>
          <w:p w14:paraId="23BE086C" w14:textId="77777777" w:rsidR="00F66F14" w:rsidRPr="00380CA4" w:rsidRDefault="00F66F14" w:rsidP="00B21DA7">
            <w:pPr>
              <w:jc w:val="both"/>
              <w:rPr>
                <w:rFonts w:ascii="Verdana" w:hAnsi="Verdana"/>
              </w:rPr>
            </w:pPr>
            <w:r w:rsidRPr="00380CA4">
              <w:rPr>
                <w:rFonts w:ascii="Verdana" w:hAnsi="Verdana"/>
              </w:rPr>
              <w:t xml:space="preserve">Respuesta a </w:t>
            </w:r>
            <w:r>
              <w:rPr>
                <w:rFonts w:ascii="Verdana" w:hAnsi="Verdana"/>
              </w:rPr>
              <w:t xml:space="preserve">consulta con radicado No.  </w:t>
            </w:r>
            <w:r w:rsidRPr="00B30A48">
              <w:rPr>
                <w:rFonts w:ascii="Verdana" w:hAnsi="Verdana"/>
              </w:rPr>
              <w:t>1_2026_02_22_002387</w:t>
            </w:r>
          </w:p>
          <w:p w14:paraId="4C55CE88" w14:textId="77777777" w:rsidR="00F66F14" w:rsidRPr="00380CA4" w:rsidRDefault="00F66F14" w:rsidP="00B21DA7">
            <w:pPr>
              <w:jc w:val="both"/>
              <w:rPr>
                <w:rFonts w:ascii="Verdana" w:hAnsi="Verdana"/>
              </w:rPr>
            </w:pPr>
          </w:p>
          <w:p w14:paraId="12E11332" w14:textId="77777777" w:rsidR="00F66F14" w:rsidRPr="00380CA4" w:rsidRDefault="00F66F14" w:rsidP="00B21DA7">
            <w:pPr>
              <w:jc w:val="both"/>
              <w:rPr>
                <w:rFonts w:ascii="Verdana" w:hAnsi="Verdana"/>
              </w:rPr>
            </w:pPr>
          </w:p>
        </w:tc>
        <w:tc>
          <w:tcPr>
            <w:tcW w:w="6237" w:type="dxa"/>
          </w:tcPr>
          <w:p w14:paraId="5FAA2C32" w14:textId="77777777" w:rsidR="00F66F14" w:rsidRPr="00380CA4" w:rsidRDefault="00F66F14" w:rsidP="00B21DA7">
            <w:pPr>
              <w:spacing w:line="256" w:lineRule="auto"/>
              <w:rPr>
                <w:rFonts w:ascii="Verdana" w:hAnsi="Verdana"/>
              </w:rPr>
            </w:pPr>
          </w:p>
        </w:tc>
      </w:tr>
    </w:tbl>
    <w:p w14:paraId="0AB8EF1B" w14:textId="77777777" w:rsidR="00F66F14" w:rsidRPr="00380CA4" w:rsidRDefault="00F66F14" w:rsidP="00F66F14">
      <w:pPr>
        <w:spacing w:after="0" w:line="256" w:lineRule="auto"/>
        <w:rPr>
          <w:rFonts w:ascii="Verdana" w:eastAsia="Calibri" w:hAnsi="Verdana" w:cs="Times New Roman"/>
        </w:rPr>
      </w:pPr>
      <w:r>
        <w:rPr>
          <w:rFonts w:ascii="Verdana" w:eastAsia="Calibri" w:hAnsi="Verdana" w:cs="Times New Roman"/>
        </w:rPr>
        <w:t>Estimado Señor Tapiero</w:t>
      </w:r>
      <w:r w:rsidRPr="00380CA4">
        <w:rPr>
          <w:rFonts w:ascii="Verdana" w:eastAsia="Calibri" w:hAnsi="Verdana" w:cs="Times New Roman"/>
        </w:rPr>
        <w:t xml:space="preserve">: </w:t>
      </w:r>
    </w:p>
    <w:p w14:paraId="73B99BB9" w14:textId="77777777" w:rsidR="00F66F14" w:rsidRPr="00380CA4" w:rsidRDefault="00F66F14" w:rsidP="00F66F14">
      <w:pPr>
        <w:spacing w:after="0" w:line="256" w:lineRule="auto"/>
        <w:rPr>
          <w:rFonts w:ascii="Verdana" w:eastAsia="Calibri" w:hAnsi="Verdana" w:cs="Times New Roman"/>
        </w:rPr>
      </w:pPr>
    </w:p>
    <w:p w14:paraId="3297FBE6" w14:textId="77777777" w:rsidR="00F66F14" w:rsidRPr="008835FD" w:rsidRDefault="00F66F14" w:rsidP="00F66F14">
      <w:pPr>
        <w:spacing w:after="120" w:line="276" w:lineRule="auto"/>
        <w:jc w:val="both"/>
        <w:rPr>
          <w:rFonts w:ascii="Verdana" w:eastAsia="Calibri" w:hAnsi="Verdana" w:cs="Times New Roman"/>
        </w:rPr>
      </w:pPr>
      <w:r w:rsidRPr="00380CA4">
        <w:rPr>
          <w:rFonts w:ascii="Verdana" w:eastAsia="Calibri" w:hAnsi="Verdana" w:cs="Arial"/>
          <w:bCs/>
          <w:color w:val="000000" w:themeColor="text1"/>
          <w:lang w:eastAsia="es-ES" w:bidi="es-ES"/>
        </w:rPr>
        <w:t xml:space="preserve">En ejercicio de la competencia otorgada por los artículos 3, numeral 5º, y 11, numeral 8º, del Decreto Ley 4170 de 2011, </w:t>
      </w:r>
      <w:r w:rsidRPr="00380CA4">
        <w:rPr>
          <w:rFonts w:ascii="Verdana" w:eastAsia="Calibri" w:hAnsi="Verdana" w:cs="Arial"/>
          <w:bCs/>
          <w:color w:val="000000" w:themeColor="text1"/>
          <w:lang w:eastAsia="es-ES"/>
        </w:rPr>
        <w:t xml:space="preserve">así como lo establecido por la Resolución 469 de 2025 expedida por esta Entidad, </w:t>
      </w:r>
      <w:r w:rsidRPr="00380CA4">
        <w:rPr>
          <w:rFonts w:ascii="Verdana" w:eastAsia="Calibri" w:hAnsi="Verdana" w:cs="Arial"/>
          <w:bCs/>
          <w:color w:val="000000" w:themeColor="text1"/>
          <w:lang w:eastAsia="es-ES" w:bidi="es-ES"/>
        </w:rPr>
        <w:t xml:space="preserve">la Agencia Nacional de Contratación Pública – Colombia Compra Eficiente– responde la solicitud de consulta </w:t>
      </w:r>
      <w:r w:rsidRPr="00380CA4">
        <w:rPr>
          <w:rFonts w:ascii="Verdana" w:eastAsia="Calibri" w:hAnsi="Verdana" w:cs="Times New Roman"/>
        </w:rPr>
        <w:t xml:space="preserve">presentada el </w:t>
      </w:r>
      <w:r>
        <w:rPr>
          <w:rFonts w:ascii="Verdana" w:eastAsia="Calibri" w:hAnsi="Verdana" w:cs="Times New Roman"/>
        </w:rPr>
        <w:t xml:space="preserve">22 de febrero </w:t>
      </w:r>
      <w:r w:rsidRPr="00380CA4">
        <w:rPr>
          <w:rFonts w:ascii="Verdana" w:eastAsia="Calibri" w:hAnsi="Verdana" w:cs="Times New Roman"/>
        </w:rPr>
        <w:t xml:space="preserve">de 2026, en la cual manifiesta: </w:t>
      </w:r>
      <w:r>
        <w:rPr>
          <w:rFonts w:ascii="Verdana" w:eastAsia="Calibri" w:hAnsi="Verdana" w:cs="Times New Roman"/>
        </w:rPr>
        <w:t>“</w:t>
      </w:r>
      <w:r w:rsidRPr="008835FD">
        <w:rPr>
          <w:rFonts w:ascii="Verdana" w:eastAsia="Calibri" w:hAnsi="Verdana" w:cs="Times New Roman"/>
        </w:rPr>
        <w:t>Solicito muy comedidamente a la A</w:t>
      </w:r>
      <w:r>
        <w:rPr>
          <w:rFonts w:ascii="Verdana" w:eastAsia="Calibri" w:hAnsi="Verdana" w:cs="Times New Roman"/>
        </w:rPr>
        <w:t>gencia Nacional de Contratación Publica emita concepto sobre L</w:t>
      </w:r>
      <w:r w:rsidRPr="008835FD">
        <w:rPr>
          <w:rFonts w:ascii="Verdana" w:eastAsia="Calibri" w:hAnsi="Verdana" w:cs="Times New Roman"/>
        </w:rPr>
        <w:t>a capacidad del rector de un colegio público sujeto a régimen especial</w:t>
      </w:r>
      <w:r>
        <w:rPr>
          <w:rFonts w:ascii="Verdana" w:eastAsia="Calibri" w:hAnsi="Verdana" w:cs="Times New Roman"/>
        </w:rPr>
        <w:t xml:space="preserve"> </w:t>
      </w:r>
      <w:r w:rsidRPr="008835FD">
        <w:rPr>
          <w:rFonts w:ascii="Verdana" w:eastAsia="Calibri" w:hAnsi="Verdana" w:cs="Times New Roman"/>
        </w:rPr>
        <w:t>de contratación para d</w:t>
      </w:r>
      <w:r>
        <w:rPr>
          <w:rFonts w:ascii="Verdana" w:eastAsia="Calibri" w:hAnsi="Verdana" w:cs="Times New Roman"/>
        </w:rPr>
        <w:t>eclarar la urgencia manifiesta”</w:t>
      </w:r>
    </w:p>
    <w:p w14:paraId="0BA76B6B" w14:textId="77777777" w:rsidR="00F66F14" w:rsidRPr="00380CA4" w:rsidRDefault="00F66F14" w:rsidP="00F66F14">
      <w:pPr>
        <w:spacing w:after="120" w:line="276" w:lineRule="auto"/>
        <w:ind w:firstLine="709"/>
        <w:jc w:val="both"/>
        <w:rPr>
          <w:rFonts w:ascii="Verdana" w:eastAsia="Calibri" w:hAnsi="Verdana" w:cs="Times New Roman"/>
        </w:rPr>
      </w:pPr>
      <w:r w:rsidRPr="00380CA4">
        <w:rPr>
          <w:rFonts w:ascii="Verdana" w:eastAsia="Calibri" w:hAnsi="Verdana" w:cs="Times New Roman"/>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0D09893" w14:textId="77777777" w:rsidR="00F66F14" w:rsidRPr="00380CA4" w:rsidRDefault="00F66F14" w:rsidP="00F66F14">
      <w:pPr>
        <w:spacing w:after="0" w:line="276" w:lineRule="auto"/>
        <w:ind w:firstLine="708"/>
        <w:jc w:val="both"/>
        <w:rPr>
          <w:rFonts w:ascii="Verdana" w:eastAsia="Calibri" w:hAnsi="Verdana" w:cs="Times New Roman"/>
        </w:rPr>
      </w:pPr>
      <w:r w:rsidRPr="00380CA4">
        <w:rPr>
          <w:rFonts w:ascii="Verdana" w:eastAsia="Calibri" w:hAnsi="Verdana" w:cs="Times New Roman"/>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rPr>
        <w:t xml:space="preserve">s generales relacionadas con el problema jurídico </w:t>
      </w:r>
      <w:r w:rsidRPr="00380CA4">
        <w:rPr>
          <w:rFonts w:ascii="Verdana" w:eastAsia="Calibri" w:hAnsi="Verdana" w:cs="Times New Roman"/>
        </w:rPr>
        <w:t xml:space="preserve">de su consulta. </w:t>
      </w:r>
    </w:p>
    <w:p w14:paraId="4D7A1BCA" w14:textId="77777777" w:rsidR="00F66F14" w:rsidRPr="00380CA4" w:rsidRDefault="00F66F14" w:rsidP="00F66F14">
      <w:pPr>
        <w:spacing w:after="0" w:line="276" w:lineRule="auto"/>
        <w:rPr>
          <w:rFonts w:ascii="Verdana" w:eastAsia="Calibri" w:hAnsi="Verdana" w:cs="Times New Roman"/>
        </w:rPr>
      </w:pPr>
    </w:p>
    <w:p w14:paraId="6088ECCC" w14:textId="77777777" w:rsidR="00F66F14" w:rsidRPr="00380CA4" w:rsidRDefault="00F66F14" w:rsidP="00F66F14">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Problema planteado:</w:t>
      </w:r>
    </w:p>
    <w:p w14:paraId="7FF134D5" w14:textId="77777777" w:rsidR="00F66F14" w:rsidRPr="00380CA4" w:rsidRDefault="00F66F14" w:rsidP="00F66F14">
      <w:pPr>
        <w:spacing w:after="0" w:line="276" w:lineRule="auto"/>
        <w:rPr>
          <w:rFonts w:ascii="Verdana" w:eastAsia="Calibri" w:hAnsi="Verdana" w:cs="Times New Roman"/>
        </w:rPr>
      </w:pPr>
    </w:p>
    <w:p w14:paraId="6384D0B4" w14:textId="77777777" w:rsidR="00F66F14" w:rsidRPr="004B74F9" w:rsidRDefault="00F66F14" w:rsidP="00F66F14">
      <w:pPr>
        <w:spacing w:after="0" w:line="276" w:lineRule="auto"/>
        <w:jc w:val="both"/>
        <w:rPr>
          <w:rFonts w:ascii="Verdana" w:eastAsia="Calibri" w:hAnsi="Verdana" w:cs="Times New Roman"/>
          <w:iCs/>
        </w:rPr>
      </w:pPr>
      <w:r w:rsidRPr="00380CA4">
        <w:rPr>
          <w:rFonts w:ascii="Verdana" w:eastAsia="Calibri" w:hAnsi="Verdana" w:cs="Times New Roman"/>
        </w:rPr>
        <w:t>De</w:t>
      </w:r>
      <w:r>
        <w:rPr>
          <w:rFonts w:ascii="Verdana" w:eastAsia="Calibri" w:hAnsi="Verdana" w:cs="Times New Roman"/>
        </w:rPr>
        <w:t xml:space="preserve"> acuerdo con el contenido de su solicitud</w:t>
      </w:r>
      <w:r w:rsidRPr="00380CA4">
        <w:rPr>
          <w:rFonts w:ascii="Verdana" w:eastAsia="Calibri" w:hAnsi="Verdana" w:cs="Times New Roman"/>
        </w:rPr>
        <w:t>, esta Agencia procede a resolver</w:t>
      </w:r>
      <w:r>
        <w:rPr>
          <w:rFonts w:ascii="Verdana" w:eastAsia="Calibri" w:hAnsi="Verdana" w:cs="Times New Roman"/>
        </w:rPr>
        <w:t xml:space="preserve"> el siguiente problema jurídico</w:t>
      </w:r>
      <w:r w:rsidRPr="00380CA4">
        <w:rPr>
          <w:rFonts w:ascii="Verdana" w:eastAsia="Calibri" w:hAnsi="Verdana" w:cs="Times New Roman"/>
        </w:rPr>
        <w:t>:</w:t>
      </w:r>
      <w:r w:rsidRPr="00380CA4">
        <w:rPr>
          <w:rFonts w:ascii="Verdana" w:eastAsia="Calibri" w:hAnsi="Verdana" w:cs="Times New Roman"/>
          <w:iCs/>
        </w:rPr>
        <w:t xml:space="preserve"> </w:t>
      </w:r>
      <w:r>
        <w:rPr>
          <w:rFonts w:ascii="Verdana" w:eastAsia="Calibri" w:hAnsi="Verdana" w:cs="Times New Roman"/>
          <w:iCs/>
        </w:rPr>
        <w:t>¿E</w:t>
      </w:r>
      <w:r w:rsidRPr="004B74F9">
        <w:rPr>
          <w:rFonts w:ascii="Verdana" w:eastAsia="Calibri" w:hAnsi="Verdana" w:cs="Times New Roman"/>
          <w:iCs/>
        </w:rPr>
        <w:t>l rector de un</w:t>
      </w:r>
      <w:r>
        <w:rPr>
          <w:rFonts w:ascii="Verdana" w:eastAsia="Calibri" w:hAnsi="Verdana" w:cs="Times New Roman"/>
          <w:iCs/>
        </w:rPr>
        <w:t xml:space="preserve">a Institución Educativa tiene </w:t>
      </w:r>
      <w:r w:rsidRPr="004B74F9">
        <w:rPr>
          <w:rFonts w:ascii="Verdana" w:eastAsia="Calibri" w:hAnsi="Verdana" w:cs="Times New Roman"/>
          <w:iCs/>
        </w:rPr>
        <w:t>competencia legal para declarar la urgencia manifiest</w:t>
      </w:r>
      <w:r>
        <w:rPr>
          <w:rFonts w:ascii="Verdana" w:eastAsia="Calibri" w:hAnsi="Verdana" w:cs="Times New Roman"/>
          <w:iCs/>
        </w:rPr>
        <w:t>a, con el fin de celebrar de contratos, conforme lo</w:t>
      </w:r>
      <w:r w:rsidRPr="004B74F9">
        <w:rPr>
          <w:rFonts w:ascii="Verdana" w:eastAsia="Calibri" w:hAnsi="Verdana" w:cs="Times New Roman"/>
          <w:iCs/>
        </w:rPr>
        <w:t xml:space="preserve"> previs</w:t>
      </w:r>
      <w:r>
        <w:rPr>
          <w:rFonts w:ascii="Verdana" w:eastAsia="Calibri" w:hAnsi="Verdana" w:cs="Times New Roman"/>
          <w:iCs/>
        </w:rPr>
        <w:t>to en el ordenamiento jurídico</w:t>
      </w:r>
      <w:r w:rsidRPr="004B74F9">
        <w:rPr>
          <w:rFonts w:ascii="Verdana" w:eastAsia="Calibri" w:hAnsi="Verdana" w:cs="Times New Roman"/>
          <w:iCs/>
        </w:rPr>
        <w:t>?</w:t>
      </w:r>
    </w:p>
    <w:p w14:paraId="79477702" w14:textId="77777777" w:rsidR="00F66F14" w:rsidRPr="00380CA4" w:rsidRDefault="00F66F14" w:rsidP="00F66F14">
      <w:pPr>
        <w:spacing w:after="0" w:line="276" w:lineRule="auto"/>
        <w:jc w:val="both"/>
        <w:rPr>
          <w:rFonts w:ascii="Verdana" w:eastAsia="Calibri" w:hAnsi="Verdana" w:cs="Times New Roman"/>
          <w:i/>
          <w:iCs/>
        </w:rPr>
      </w:pPr>
    </w:p>
    <w:p w14:paraId="45AD7DF7" w14:textId="77777777" w:rsidR="00F66F14" w:rsidRPr="00380CA4" w:rsidRDefault="00F66F14" w:rsidP="00F66F14">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Respuesta:</w:t>
      </w:r>
    </w:p>
    <w:p w14:paraId="2BC6387C" w14:textId="77777777" w:rsidR="00F66F14" w:rsidRPr="00380CA4" w:rsidRDefault="00F66F14" w:rsidP="00F66F14">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66F14" w:rsidRPr="00380CA4" w14:paraId="2D6FBFAB" w14:textId="77777777" w:rsidTr="00B21DA7">
        <w:trPr>
          <w:trHeight w:val="345"/>
          <w:jc w:val="center"/>
        </w:trPr>
        <w:tc>
          <w:tcPr>
            <w:tcW w:w="8784" w:type="dxa"/>
            <w:tcBorders>
              <w:bottom w:val="single" w:sz="4" w:space="0" w:color="auto"/>
            </w:tcBorders>
          </w:tcPr>
          <w:p w14:paraId="6E71B906" w14:textId="77777777" w:rsidR="00F66F14" w:rsidRPr="004E652D" w:rsidRDefault="00F66F14" w:rsidP="00B21DA7">
            <w:pPr>
              <w:spacing w:after="120" w:line="276" w:lineRule="auto"/>
              <w:jc w:val="both"/>
              <w:rPr>
                <w:rFonts w:ascii="Verdana" w:eastAsia="Arial" w:hAnsi="Verdana" w:cs="Arial"/>
                <w:bCs/>
                <w:lang w:eastAsia="es-ES" w:bidi="es-ES"/>
              </w:rPr>
            </w:pPr>
            <w:r w:rsidRPr="004E652D">
              <w:rPr>
                <w:rFonts w:ascii="Verdana" w:eastAsia="Calibri" w:hAnsi="Verdana" w:cs="Times New Roman"/>
              </w:rPr>
              <w:t>En torno al problema jurídico,</w:t>
            </w:r>
            <w:r w:rsidRPr="004E652D">
              <w:rPr>
                <w:rFonts w:ascii="Verdana" w:eastAsia="Calibri" w:hAnsi="Verdana" w:cs="Arial"/>
                <w:lang w:val="es-ES"/>
              </w:rPr>
              <w:t xml:space="preserve"> </w:t>
            </w:r>
            <w:r w:rsidRPr="004E652D">
              <w:rPr>
                <w:rFonts w:ascii="Verdana" w:eastAsia="Arial" w:hAnsi="Verdana" w:cs="Arial"/>
                <w:bCs/>
                <w:lang w:eastAsia="es-ES" w:bidi="es-ES"/>
              </w:rPr>
              <w:t xml:space="preserve">el rector, como funcionario competente para la celebración de contratos, puede declarar la urgencia manifiesta prevista en el artículo 42 de la Ley 80 de 1993, siempre que la contratación que se pretenda adelantar esté sometida al Estatuto General de Contratación de la Administración Pública. Esto ocurre cuando el valor del contrato supera la cuantía de los veinte (20) salarios mínimos legales mensuales vigentes, </w:t>
            </w:r>
            <w:r w:rsidRPr="004E652D">
              <w:rPr>
                <w:rFonts w:ascii="Verdana" w:eastAsia="Arial" w:hAnsi="Verdana" w:cs="Arial"/>
                <w:bCs/>
                <w:lang w:eastAsia="es-ES" w:bidi="es-ES"/>
              </w:rPr>
              <w:lastRenderedPageBreak/>
              <w:t>evento en el cual resulta aplicable el EGCAP, y en esta línea, la institución de la urgencia manifiesta.</w:t>
            </w:r>
          </w:p>
          <w:p w14:paraId="1BD3FC11" w14:textId="77777777" w:rsidR="00F66F14" w:rsidRPr="004E652D" w:rsidRDefault="00F66F14" w:rsidP="00B21DA7">
            <w:pPr>
              <w:spacing w:after="120" w:line="276" w:lineRule="auto"/>
              <w:ind w:firstLine="709"/>
              <w:jc w:val="both"/>
              <w:rPr>
                <w:rFonts w:ascii="Verdana" w:eastAsia="Arial" w:hAnsi="Verdana" w:cs="Arial"/>
                <w:bCs/>
                <w:lang w:eastAsia="es-ES" w:bidi="es-ES"/>
              </w:rPr>
            </w:pPr>
            <w:r w:rsidRPr="004E652D">
              <w:rPr>
                <w:rFonts w:ascii="Verdana" w:eastAsia="Arial" w:hAnsi="Verdana" w:cs="Arial"/>
                <w:bCs/>
                <w:lang w:eastAsia="es-ES" w:bidi="es-ES"/>
              </w:rPr>
              <w:t xml:space="preserve">Teniendo en cuenta esta precisión, </w:t>
            </w:r>
            <w:r w:rsidRPr="004E652D">
              <w:rPr>
                <w:rFonts w:ascii="Verdana" w:eastAsia="Calibri" w:hAnsi="Verdana" w:cs="Arial"/>
                <w:lang w:val="es-ES"/>
              </w:rPr>
              <w:t xml:space="preserve">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 </w:t>
            </w:r>
          </w:p>
          <w:p w14:paraId="2E79C668" w14:textId="77777777" w:rsidR="00F66F14" w:rsidRPr="00F52FBA" w:rsidRDefault="00F66F14" w:rsidP="00B21DA7">
            <w:pPr>
              <w:spacing w:after="120" w:line="276" w:lineRule="auto"/>
              <w:ind w:firstLine="709"/>
              <w:jc w:val="both"/>
              <w:rPr>
                <w:rFonts w:ascii="Verdana" w:eastAsia="Calibri" w:hAnsi="Verdana" w:cs="Arial"/>
                <w:lang w:val="es-ES_tradnl"/>
              </w:rPr>
            </w:pPr>
            <w:r w:rsidRPr="004E652D">
              <w:rPr>
                <w:rFonts w:ascii="Verdana" w:eastAsia="Calibri" w:hAnsi="Verdana" w:cs="Arial"/>
                <w:lang w:val="es-ES_tradnl"/>
              </w:rPr>
              <w:t xml:space="preserve">En esta medida, el precitado artículo 42 del </w:t>
            </w:r>
            <w:r w:rsidRPr="004E652D">
              <w:rPr>
                <w:rFonts w:ascii="Verdana" w:eastAsia="Calibri" w:hAnsi="Verdana" w:cs="Arial"/>
              </w:rPr>
              <w:t>Estatuto General de Contratación de la Administración Pública</w:t>
            </w:r>
            <w:r w:rsidRPr="004E652D">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ii) cuando se presenten situaciones relacionadas con los estados de excepción; iii) cuando se trate de conjurar situaciones excepcionales relacionadas con hechos de calamidad o constitutivos de fuerza mayor o desastre que demanden actuaciones inmediatas; y iv) en general, cuando se trate de situaciones similares que imposibiliten</w:t>
            </w:r>
            <w:r w:rsidRPr="00BE5FE3">
              <w:rPr>
                <w:rFonts w:ascii="Verdana" w:eastAsia="Calibri" w:hAnsi="Verdana" w:cs="Arial"/>
                <w:lang w:val="es-ES_tradnl"/>
              </w:rPr>
              <w:t xml:space="preserve"> acudir a los procedimientos de</w:t>
            </w:r>
            <w:r>
              <w:rPr>
                <w:rFonts w:ascii="Verdana" w:eastAsia="Calibri" w:hAnsi="Verdana" w:cs="Arial"/>
                <w:lang w:val="es-ES_tradnl"/>
              </w:rPr>
              <w:t xml:space="preserve"> selección o concurso públicos.</w:t>
            </w:r>
          </w:p>
          <w:p w14:paraId="10BD6065" w14:textId="77777777" w:rsidR="00F66F14" w:rsidRPr="00793F58" w:rsidRDefault="00F66F14" w:rsidP="00B21DA7">
            <w:pPr>
              <w:spacing w:after="120" w:line="276" w:lineRule="auto"/>
              <w:ind w:firstLine="708"/>
              <w:jc w:val="both"/>
              <w:rPr>
                <w:rFonts w:ascii="Verdana" w:eastAsia="Arial" w:hAnsi="Verdana" w:cs="Arial"/>
                <w:bCs/>
                <w:lang w:eastAsia="es-ES" w:bidi="es-ES"/>
              </w:rPr>
            </w:pPr>
            <w:r w:rsidRPr="00793F58">
              <w:rPr>
                <w:rFonts w:ascii="Verdana" w:eastAsia="Arial" w:hAnsi="Verdana" w:cs="Arial"/>
                <w:bCs/>
                <w:lang w:eastAsia="es-ES" w:bidi="es-ES"/>
              </w:rPr>
              <w:t>Ahora bien, cuando se trata de contrataciones cuyo valor no excede la citada cuantía, estas no se rigen por la Ley 80 de 1993, sino por las reglas y condiciones e</w:t>
            </w:r>
            <w:r>
              <w:rPr>
                <w:rFonts w:ascii="Verdana" w:eastAsia="Arial" w:hAnsi="Verdana" w:cs="Arial"/>
                <w:bCs/>
                <w:lang w:eastAsia="es-ES" w:bidi="es-ES"/>
              </w:rPr>
              <w:t>stablecidas en el Reglamento que expidió el</w:t>
            </w:r>
            <w:r w:rsidRPr="00793F58">
              <w:rPr>
                <w:rFonts w:ascii="Verdana" w:eastAsia="Arial" w:hAnsi="Verdana" w:cs="Arial"/>
                <w:bCs/>
                <w:lang w:eastAsia="es-ES" w:bidi="es-ES"/>
              </w:rPr>
              <w:t xml:space="preserve"> Consejo Directivo de la institución educativa</w:t>
            </w:r>
            <w:r>
              <w:rPr>
                <w:rFonts w:ascii="Verdana" w:eastAsia="Arial" w:hAnsi="Verdana" w:cs="Arial"/>
                <w:bCs/>
                <w:lang w:eastAsia="es-ES" w:bidi="es-ES"/>
              </w:rPr>
              <w:t>, de acuerdo a lo prescrito en el artículo 13 de la Ley 715 de 2001</w:t>
            </w:r>
            <w:r w:rsidRPr="00793F58">
              <w:rPr>
                <w:rFonts w:ascii="Verdana" w:eastAsia="Arial" w:hAnsi="Verdana" w:cs="Arial"/>
                <w:bCs/>
                <w:lang w:eastAsia="es-ES" w:bidi="es-ES"/>
              </w:rPr>
              <w:t>.</w:t>
            </w:r>
            <w:r>
              <w:rPr>
                <w:rFonts w:ascii="Verdana" w:eastAsia="Arial" w:hAnsi="Verdana" w:cs="Arial"/>
                <w:bCs/>
                <w:lang w:eastAsia="es-ES" w:bidi="es-ES"/>
              </w:rPr>
              <w:t xml:space="preserve"> Por tanto</w:t>
            </w:r>
            <w:r w:rsidRPr="00793F58">
              <w:rPr>
                <w:rFonts w:ascii="Verdana" w:eastAsia="Arial" w:hAnsi="Verdana" w:cs="Arial"/>
                <w:bCs/>
                <w:lang w:eastAsia="es-ES" w:bidi="es-ES"/>
              </w:rPr>
              <w:t>, en este ámbito el rector debe ajustar su actuación a lo dispuesto por dicho reglamento, sin que resulte procedente la aplicación de figuras propias del Estatuto General de Contratación, como la urgencia manifiesta, salvo que expresamente se encuentren previstas en la normativa interna aplicable.</w:t>
            </w:r>
          </w:p>
          <w:p w14:paraId="4C27C9A6" w14:textId="77777777" w:rsidR="00F66F14" w:rsidRPr="00436054" w:rsidRDefault="00F66F14" w:rsidP="00B21DA7">
            <w:pPr>
              <w:spacing w:after="12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w:t>
            </w:r>
            <w:r w:rsidRPr="00380CA4">
              <w:rPr>
                <w:rFonts w:ascii="Verdana" w:eastAsia="Times New Roman" w:hAnsi="Verdana" w:cs="Arial"/>
                <w:color w:val="000000"/>
                <w:lang w:eastAsia="es-ES"/>
              </w:rPr>
              <w:lastRenderedPageBreak/>
              <w:t xml:space="preserve">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3318DF36" w14:textId="77777777" w:rsidR="00F66F14" w:rsidRPr="00380CA4" w:rsidRDefault="00F66F14" w:rsidP="00F66F14">
      <w:pPr>
        <w:spacing w:after="0" w:line="240" w:lineRule="auto"/>
        <w:jc w:val="both"/>
        <w:rPr>
          <w:rFonts w:ascii="Verdana" w:eastAsia="Calibri" w:hAnsi="Verdana" w:cs="Arial"/>
          <w:bCs/>
          <w:color w:val="000000" w:themeColor="text1"/>
        </w:rPr>
      </w:pPr>
    </w:p>
    <w:p w14:paraId="5C37D728" w14:textId="77777777" w:rsidR="00F66F14" w:rsidRPr="00380CA4" w:rsidRDefault="00F66F14" w:rsidP="00F66F14">
      <w:pPr>
        <w:numPr>
          <w:ilvl w:val="0"/>
          <w:numId w:val="21"/>
        </w:numPr>
        <w:tabs>
          <w:tab w:val="left" w:pos="2268"/>
        </w:tabs>
        <w:spacing w:after="0" w:line="240" w:lineRule="auto"/>
        <w:rPr>
          <w:rFonts w:ascii="Verdana" w:eastAsia="Calibri" w:hAnsi="Verdana" w:cs="Times New Roman"/>
          <w:b/>
          <w:bCs/>
        </w:rPr>
      </w:pPr>
      <w:r w:rsidRPr="00380CA4">
        <w:rPr>
          <w:rFonts w:ascii="Verdana" w:eastAsia="Calibri" w:hAnsi="Verdana" w:cs="Times New Roman"/>
          <w:b/>
          <w:bCs/>
        </w:rPr>
        <w:t>Razones de la respuesta:</w:t>
      </w:r>
    </w:p>
    <w:p w14:paraId="654610BD" w14:textId="77777777" w:rsidR="00F66F14" w:rsidRPr="00380CA4" w:rsidRDefault="00F66F14" w:rsidP="00F66F14">
      <w:pPr>
        <w:spacing w:after="0" w:line="240" w:lineRule="auto"/>
        <w:rPr>
          <w:rFonts w:ascii="Verdana" w:eastAsia="Calibri" w:hAnsi="Verdana" w:cs="Times New Roman"/>
          <w:b/>
          <w:bCs/>
        </w:rPr>
      </w:pPr>
    </w:p>
    <w:p w14:paraId="4BFD227D" w14:textId="77777777" w:rsidR="00F66F14" w:rsidRPr="00380CA4" w:rsidRDefault="00F66F14" w:rsidP="00F66F14">
      <w:pPr>
        <w:spacing w:after="0" w:line="240" w:lineRule="auto"/>
        <w:jc w:val="both"/>
        <w:rPr>
          <w:rFonts w:ascii="Verdana" w:eastAsia="Calibri" w:hAnsi="Verdana" w:cs="Arial"/>
        </w:rPr>
      </w:pPr>
      <w:r w:rsidRPr="00380CA4">
        <w:rPr>
          <w:rFonts w:ascii="Verdana" w:eastAsia="Calibri" w:hAnsi="Verdana" w:cs="Arial"/>
        </w:rPr>
        <w:t xml:space="preserve">Lo anterior se sustenta en las siguientes consideraciones: </w:t>
      </w:r>
    </w:p>
    <w:p w14:paraId="4920EA9A" w14:textId="77777777" w:rsidR="00F66F14" w:rsidRDefault="00F66F14" w:rsidP="00F66F14">
      <w:pPr>
        <w:spacing w:after="0" w:line="240" w:lineRule="auto"/>
        <w:jc w:val="both"/>
        <w:rPr>
          <w:rFonts w:ascii="Verdana" w:eastAsia="Calibri" w:hAnsi="Verdana" w:cs="Arial"/>
          <w:lang w:val="es-ES"/>
        </w:rPr>
      </w:pPr>
    </w:p>
    <w:p w14:paraId="0ED503F2" w14:textId="77777777" w:rsidR="00F66F14" w:rsidRPr="006B5858" w:rsidRDefault="00F66F14" w:rsidP="00F66F14">
      <w:pPr>
        <w:spacing w:after="120" w:line="276" w:lineRule="auto"/>
        <w:jc w:val="both"/>
        <w:rPr>
          <w:rFonts w:ascii="Verdana" w:hAnsi="Verdana" w:cs="Arial"/>
          <w:lang w:val="es-MX"/>
          <w14:ligatures w14:val="standardContextual"/>
        </w:rPr>
      </w:pPr>
      <w:r w:rsidRPr="002D6B43">
        <w:rPr>
          <w:rFonts w:ascii="Verdana" w:eastAsia="Calibri" w:hAnsi="Verdana" w:cs="Arial"/>
        </w:rPr>
        <w:t xml:space="preserve">i. </w:t>
      </w:r>
      <w:bookmarkStart w:id="1" w:name="_Hlk198934308"/>
      <w:bookmarkStart w:id="2" w:name="_Hlk199915599"/>
      <w:r w:rsidRPr="006B5858">
        <w:rPr>
          <w:rFonts w:ascii="Verdana" w:hAnsi="Verdana" w:cs="Arial"/>
          <w:lang w:val="es-MX"/>
          <w14:ligatures w14:val="standardContextual"/>
        </w:rPr>
        <w:t>Las Leyes 60 de 1993 y 715 de 200</w:t>
      </w:r>
      <w:bookmarkEnd w:id="1"/>
      <w:r w:rsidRPr="006B5858">
        <w:rPr>
          <w:rFonts w:ascii="Verdana" w:hAnsi="Verdana" w:cs="Arial"/>
          <w:lang w:val="es-MX"/>
          <w14:ligatures w14:val="standardContextual"/>
        </w:rPr>
        <w:t xml:space="preserve">1 descentralizaron el sistema educativo en Colombia, asignándoles a los departamentos, distritos y municipios las competencias y los recursos para dirigir las instituciones educativas. Es decir, el sistema educativo está descentralizado por las competencias propias que se les ha otorgado a las entidades territoriales para administrar las instituciones educativas, que pueden ser de los diferentes niveles, pero estas no son entidades descentralizadas. </w:t>
      </w:r>
    </w:p>
    <w:p w14:paraId="1D0500E8" w14:textId="77777777" w:rsidR="00F66F14" w:rsidRPr="003658FE" w:rsidRDefault="00F66F14" w:rsidP="00F66F14">
      <w:pPr>
        <w:spacing w:after="12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 xml:space="preserve">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w:t>
      </w:r>
      <w:r w:rsidRPr="003658FE">
        <w:rPr>
          <w:rFonts w:ascii="Verdana" w:hAnsi="Verdana" w:cs="Arial"/>
          <w:lang w:val="es-MX"/>
          <w14:ligatures w14:val="standardContextual"/>
        </w:rPr>
        <w:t>presupuestal de los recursos que reciben los establecimientos educativos</w:t>
      </w:r>
      <w:r w:rsidRPr="003658FE">
        <w:rPr>
          <w:rFonts w:ascii="Verdana" w:hAnsi="Verdana" w:cs="Arial"/>
          <w:vertAlign w:val="superscript"/>
          <w:lang w:val="es-MX"/>
          <w14:ligatures w14:val="standardContextual"/>
        </w:rPr>
        <w:footnoteReference w:id="2"/>
      </w:r>
      <w:r w:rsidRPr="003658FE">
        <w:rPr>
          <w:rFonts w:ascii="Verdana" w:hAnsi="Verdana" w:cs="Arial"/>
          <w:lang w:val="es-MX"/>
          <w14:ligatures w14:val="standardContextual"/>
        </w:rPr>
        <w:t>.</w:t>
      </w:r>
    </w:p>
    <w:p w14:paraId="64007B47" w14:textId="77777777" w:rsidR="00F66F14" w:rsidRPr="006B5858" w:rsidRDefault="00F66F14" w:rsidP="00F66F14">
      <w:pPr>
        <w:spacing w:after="120" w:line="276" w:lineRule="auto"/>
        <w:ind w:firstLine="709"/>
        <w:jc w:val="both"/>
        <w:rPr>
          <w:rFonts w:ascii="Verdana" w:hAnsi="Verdana" w:cs="Arial"/>
          <w:lang w:val="es-MX"/>
          <w14:ligatures w14:val="standardContextual"/>
        </w:rPr>
      </w:pPr>
      <w:r w:rsidRPr="003658FE">
        <w:rPr>
          <w:rFonts w:ascii="Verdana" w:hAnsi="Verdana" w:cs="Arial"/>
          <w:lang w:val="es-MX"/>
          <w14:ligatures w14:val="standardContextual"/>
        </w:rPr>
        <w:t xml:space="preserve">Los fondos de servicios educativos tampoco cuentan con personería jurídica según lo previsto en el artículo </w:t>
      </w:r>
      <w:bookmarkStart w:id="4" w:name="_Hlk198934350"/>
      <w:r w:rsidRPr="003658FE">
        <w:rPr>
          <w:rFonts w:ascii="Verdana" w:hAnsi="Verdana" w:cs="Arial"/>
          <w:lang w:val="es-MX"/>
          <w14:ligatures w14:val="standardContextual"/>
        </w:rPr>
        <w:t xml:space="preserve">2.3.1.6.3.4 </w:t>
      </w:r>
      <w:bookmarkEnd w:id="4"/>
      <w:r w:rsidRPr="003658FE">
        <w:rPr>
          <w:rFonts w:ascii="Verdana" w:hAnsi="Verdana" w:cs="Arial"/>
          <w:lang w:val="es-MX"/>
          <w14:ligatures w14:val="standardContextual"/>
        </w:rPr>
        <w:t xml:space="preserve">del </w:t>
      </w:r>
      <w:bookmarkStart w:id="5" w:name="_Hlk198934340"/>
      <w:r w:rsidRPr="003658FE">
        <w:rPr>
          <w:rFonts w:ascii="Verdana" w:hAnsi="Verdana" w:cs="Arial"/>
          <w:lang w:val="es-MX"/>
          <w14:ligatures w14:val="standardContextual"/>
        </w:rPr>
        <w:t>Decreto 1075 de 2015</w:t>
      </w:r>
      <w:bookmarkEnd w:id="5"/>
      <w:r w:rsidRPr="003658FE">
        <w:rPr>
          <w:rFonts w:ascii="Verdana" w:hAnsi="Verdana" w:cs="Arial"/>
          <w:lang w:val="es-MX"/>
          <w14:ligatures w14:val="standardContextual"/>
        </w:rPr>
        <w:t xml:space="preserve">, Decreto Único Reglamentario del Sector Educación: “Artículo 2.3.1.6.3.4. Ordenación del gasto. Los fondos de servicios educativos carecen de personería </w:t>
      </w:r>
      <w:r w:rsidRPr="003658FE">
        <w:rPr>
          <w:rFonts w:ascii="Verdana" w:hAnsi="Verdana" w:cs="Arial"/>
          <w:lang w:val="es-MX"/>
          <w14:ligatures w14:val="standardContextual"/>
        </w:rPr>
        <w:lastRenderedPageBreak/>
        <w:t>jurídica. El rector o director rural es el ordenador del gasto del Fondo de Servicios Educativos y su ejercicio no implica representación legal”</w:t>
      </w:r>
      <w:r w:rsidRPr="003658FE">
        <w:rPr>
          <w:rFonts w:ascii="Verdana" w:hAnsi="Verdana" w:cs="Arial"/>
          <w:vertAlign w:val="superscript"/>
          <w:lang w:val="es-MX"/>
          <w14:ligatures w14:val="standardContextual"/>
        </w:rPr>
        <w:footnoteReference w:id="3"/>
      </w:r>
      <w:r>
        <w:rPr>
          <w:rFonts w:ascii="Verdana" w:hAnsi="Verdana" w:cs="Arial"/>
          <w:lang w:val="es-MX"/>
          <w14:ligatures w14:val="standardContextual"/>
        </w:rPr>
        <w:t>.</w:t>
      </w:r>
    </w:p>
    <w:p w14:paraId="01863913" w14:textId="77777777" w:rsidR="00F66F14" w:rsidRPr="006B5858" w:rsidRDefault="00F66F14" w:rsidP="00F66F14">
      <w:pPr>
        <w:spacing w:after="120" w:line="276" w:lineRule="auto"/>
        <w:ind w:firstLine="709"/>
        <w:jc w:val="both"/>
        <w:rPr>
          <w:rFonts w:ascii="Verdana" w:hAnsi="Verdana" w:cs="Arial"/>
          <w:lang w:val="es-MX"/>
          <w14:ligatures w14:val="standardContextual"/>
        </w:rPr>
      </w:pPr>
      <w:bookmarkStart w:id="6" w:name="_Hlk114553994"/>
      <w:r w:rsidRPr="006B5858">
        <w:rPr>
          <w:rFonts w:ascii="Verdana" w:hAnsi="Verdana" w:cs="Arial"/>
          <w:lang w:val="es-MX"/>
          <w14:ligatures w14:val="standardContextual"/>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6B5858">
        <w:rPr>
          <w:rFonts w:ascii="Verdana" w:hAnsi="Verdana" w:cs="Arial"/>
          <w:vertAlign w:val="superscript"/>
          <w:lang w:val="es-MX"/>
          <w14:ligatures w14:val="standardContextual"/>
        </w:rPr>
        <w:footnoteReference w:id="4"/>
      </w:r>
      <w:r w:rsidRPr="006B5858">
        <w:rPr>
          <w:rFonts w:ascii="Verdana" w:hAnsi="Verdana" w:cs="Arial"/>
          <w:lang w:val="es-MX"/>
          <w14:ligatures w14:val="standardContextual"/>
        </w:rPr>
        <w:t xml:space="preserve">. </w:t>
      </w:r>
    </w:p>
    <w:p w14:paraId="15483F0F" w14:textId="77777777" w:rsidR="00F66F14" w:rsidRPr="006B5858" w:rsidRDefault="00F66F14" w:rsidP="00F66F14">
      <w:pPr>
        <w:spacing w:after="12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0FA7DBEC" w14:textId="77777777" w:rsidR="00F66F14" w:rsidRPr="006B5858" w:rsidRDefault="00F66F14" w:rsidP="00F66F14">
      <w:pPr>
        <w:spacing w:after="120" w:line="276" w:lineRule="auto"/>
        <w:ind w:firstLine="709"/>
        <w:jc w:val="both"/>
        <w:rPr>
          <w:rFonts w:ascii="Verdana" w:eastAsia="Times New Roman" w:hAnsi="Verdana" w:cs="Arial"/>
          <w:lang w:eastAsia="es-MX"/>
          <w14:ligatures w14:val="standardContextual"/>
        </w:rPr>
      </w:pPr>
      <w:bookmarkStart w:id="7" w:name="_Hlk114554080"/>
      <w:bookmarkEnd w:id="6"/>
      <w:r w:rsidRPr="006B5858">
        <w:rPr>
          <w:rFonts w:ascii="Verdana" w:eastAsia="Times New Roman" w:hAnsi="Verdana" w:cs="Arial"/>
          <w:lang w:eastAsia="es-MX"/>
          <w14:ligatures w14:val="standardContextual"/>
        </w:rPr>
        <w:t xml:space="preserve">En ese sentido, tratándose de la contratación realizada por dichas instituciones por debajo de la cuantía de veinte (20) salarios mínimos legales </w:t>
      </w:r>
      <w:r w:rsidRPr="006B5858">
        <w:rPr>
          <w:rFonts w:ascii="Verdana" w:eastAsia="Times New Roman" w:hAnsi="Verdana" w:cs="Arial"/>
          <w:lang w:eastAsia="es-MX"/>
          <w14:ligatures w14:val="standardContextual"/>
        </w:rPr>
        <w:lastRenderedPageBreak/>
        <w:t xml:space="preserve">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35ACB7ED" w14:textId="77777777" w:rsidR="00F66F14" w:rsidRPr="006B5858" w:rsidRDefault="00F66F14" w:rsidP="00F66F14">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EGCAP, procediendo la aplicación de las modalidades de selección definidas en la Ley 1150 de 2007, así como los requisitos y formalidades establecidos en el Decreto 1082 del 2015 y demás normas aplicables.</w:t>
      </w:r>
    </w:p>
    <w:bookmarkEnd w:id="7"/>
    <w:p w14:paraId="3E18D05C" w14:textId="77777777" w:rsidR="00F66F14" w:rsidRPr="006B5858" w:rsidRDefault="00F66F14" w:rsidP="00F66F14">
      <w:pPr>
        <w:spacing w:before="120" w:after="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r w:rsidRPr="006B5858">
        <w:rPr>
          <w:rFonts w:ascii="Verdana" w:eastAsia="Times New Roman" w:hAnsi="Verdana" w:cs="Arial"/>
          <w:i/>
          <w:iCs/>
          <w:lang w:eastAsia="es-MX"/>
          <w14:ligatures w14:val="standardContextual"/>
        </w:rPr>
        <w:t>ibídem</w:t>
      </w:r>
      <w:r w:rsidRPr="006B5858">
        <w:rPr>
          <w:rFonts w:ascii="Verdana" w:eastAsia="Times New Roman" w:hAnsi="Verdana" w:cs="Arial"/>
          <w:vertAlign w:val="superscript"/>
          <w:lang w:eastAsia="es-MX"/>
          <w14:ligatures w14:val="standardContextual"/>
        </w:rPr>
        <w:footnoteReference w:id="5"/>
      </w:r>
      <w:r w:rsidRPr="006B5858">
        <w:rPr>
          <w:rFonts w:ascii="Verdana" w:eastAsia="Times New Roman" w:hAnsi="Verdana" w:cs="Arial"/>
          <w:lang w:eastAsia="es-MX"/>
          <w14:ligatures w14:val="standardContextual"/>
        </w:rPr>
        <w:t>, esto significa que los contratos de las entidades sometidas al EGCAP se rigen generalmente por el derecho privado y, excepcionalmente, por el derecho público, pues las normas civiles y comerciales son el derecho común de los contratos estatales</w:t>
      </w:r>
      <w:r w:rsidRPr="006B5858">
        <w:rPr>
          <w:rFonts w:ascii="Verdana" w:eastAsia="Times New Roman" w:hAnsi="Verdana" w:cs="Arial"/>
          <w:vertAlign w:val="superscript"/>
          <w:lang w:eastAsia="es-MX"/>
          <w14:ligatures w14:val="standardContextual"/>
        </w:rPr>
        <w:footnoteReference w:id="6"/>
      </w:r>
      <w:r w:rsidRPr="006B5858">
        <w:rPr>
          <w:rFonts w:ascii="Verdana" w:eastAsia="Times New Roman" w:hAnsi="Verdana" w:cs="Arial"/>
          <w:lang w:eastAsia="es-MX"/>
          <w14:ligatures w14:val="standardContextual"/>
        </w:rPr>
        <w:t>. Así lo ha entendido la doctrina:</w:t>
      </w:r>
    </w:p>
    <w:p w14:paraId="58FE1FB4" w14:textId="77777777" w:rsidR="00F66F14" w:rsidRPr="006B5858" w:rsidRDefault="00F66F14" w:rsidP="00F66F14">
      <w:pPr>
        <w:spacing w:after="0" w:line="276" w:lineRule="auto"/>
        <w:ind w:firstLine="709"/>
        <w:contextualSpacing/>
        <w:jc w:val="both"/>
        <w:rPr>
          <w:rFonts w:ascii="Verdana" w:eastAsia="Times New Roman" w:hAnsi="Verdana" w:cs="Arial"/>
          <w:lang w:eastAsia="es-MX"/>
          <w14:ligatures w14:val="standardContextual"/>
        </w:rPr>
      </w:pPr>
    </w:p>
    <w:p w14:paraId="281324C4" w14:textId="77777777" w:rsidR="00F66F14" w:rsidRPr="00BC30ED" w:rsidRDefault="00F66F14" w:rsidP="00F66F14">
      <w:pPr>
        <w:spacing w:after="0" w:line="240" w:lineRule="auto"/>
        <w:ind w:left="709" w:right="709"/>
        <w:contextualSpacing/>
        <w:jc w:val="both"/>
        <w:rPr>
          <w:rFonts w:ascii="Verdana" w:eastAsia="Times New Roman" w:hAnsi="Verdana" w:cs="Arial"/>
          <w:sz w:val="20"/>
          <w:szCs w:val="20"/>
          <w:lang w:eastAsia="es-MX"/>
          <w14:ligatures w14:val="standardContextual"/>
        </w:rPr>
      </w:pPr>
      <w:r w:rsidRPr="00BC30ED">
        <w:rPr>
          <w:rFonts w:ascii="Verdana" w:eastAsia="Times New Roman" w:hAnsi="Verdana" w:cs="Arial"/>
          <w:sz w:val="20"/>
          <w:szCs w:val="20"/>
          <w:lang w:eastAsia="es-MX"/>
          <w14:ligatures w14:val="standardContextual"/>
        </w:rPr>
        <w:t xml:space="preserve">“[…] no hace otra cosa que aprovechar ciertos principios rectores de las contratación general que aunque tengan su consagración en códigos de derecho privado como el civil y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Extremos éstos que de derecho privado no tienen sino […] el nombre y que la tradición, desde su origen romano se acostumbró a calificarlos así y a no preocuparse por su cuestionamiento. </w:t>
      </w:r>
      <w:r w:rsidRPr="00BC30ED">
        <w:rPr>
          <w:rFonts w:ascii="Verdana" w:eastAsia="Times New Roman" w:hAnsi="Verdana" w:cs="Arial"/>
          <w:sz w:val="20"/>
          <w:szCs w:val="20"/>
          <w:lang w:eastAsia="es-MX"/>
          <w14:ligatures w14:val="standardContextual"/>
        </w:rPr>
        <w:lastRenderedPageBreak/>
        <w:t>En otras palabras, extremos como los indicados […] son […] de derecho propio, aplicables a toda relación contractual, con prescindencia de los sujetos involucrados en la misma”</w:t>
      </w:r>
      <w:r w:rsidRPr="00BC30ED">
        <w:rPr>
          <w:rFonts w:ascii="Verdana" w:eastAsia="Times New Roman" w:hAnsi="Verdana" w:cs="Arial"/>
          <w:sz w:val="20"/>
          <w:szCs w:val="20"/>
          <w:vertAlign w:val="superscript"/>
          <w:lang w:eastAsia="es-MX"/>
          <w14:ligatures w14:val="standardContextual"/>
        </w:rPr>
        <w:footnoteReference w:id="7"/>
      </w:r>
      <w:r w:rsidRPr="00BC30ED">
        <w:rPr>
          <w:rFonts w:ascii="Verdana" w:eastAsia="Times New Roman" w:hAnsi="Verdana" w:cs="Arial"/>
          <w:sz w:val="20"/>
          <w:szCs w:val="20"/>
          <w:lang w:eastAsia="es-MX"/>
          <w14:ligatures w14:val="standardContextual"/>
        </w:rPr>
        <w:t xml:space="preserve">. </w:t>
      </w:r>
    </w:p>
    <w:p w14:paraId="01764E05" w14:textId="77777777" w:rsidR="00F66F14" w:rsidRPr="006B5858" w:rsidRDefault="00F66F14" w:rsidP="00F66F14">
      <w:pPr>
        <w:spacing w:after="0" w:line="276" w:lineRule="auto"/>
        <w:ind w:left="709" w:right="709"/>
        <w:contextualSpacing/>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 xml:space="preserve"> </w:t>
      </w:r>
    </w:p>
    <w:p w14:paraId="329BCEFD" w14:textId="77777777" w:rsidR="00F66F14" w:rsidRPr="006B5858" w:rsidRDefault="00F66F14" w:rsidP="00F66F14">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ab/>
        <w:t>Ello no implica una privatización fuerte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EGCAP, es posible aplicar las normas civiles y comerciales.</w:t>
      </w:r>
    </w:p>
    <w:p w14:paraId="1E608A18" w14:textId="77777777" w:rsidR="00F66F14" w:rsidRPr="006B5858" w:rsidRDefault="00F66F14" w:rsidP="00F66F14">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ab/>
        <w:t>En lo que respecta a los contratos exceptuados de la Ley 80 de 1993, si bien el régimen sustantivo no se rige por los citados artíc</w:t>
      </w:r>
      <w:r>
        <w:rPr>
          <w:rFonts w:ascii="Verdana" w:eastAsia="Times New Roman" w:hAnsi="Verdana" w:cs="Arial"/>
          <w:lang w:eastAsia="es-MX"/>
          <w14:ligatures w14:val="standardContextual"/>
        </w:rPr>
        <w:t>ulos 13, 32 y 40 del Estatuto General de</w:t>
      </w:r>
      <w:r w:rsidRPr="006B5858">
        <w:rPr>
          <w:rFonts w:ascii="Verdana" w:eastAsia="Times New Roman" w:hAnsi="Verdana" w:cs="Arial"/>
          <w:lang w:eastAsia="es-MX"/>
          <w14:ligatures w14:val="standardContextual"/>
        </w:rPr>
        <w:t xml:space="preserve"> Contratación</w:t>
      </w:r>
      <w:r>
        <w:rPr>
          <w:rFonts w:ascii="Verdana" w:eastAsia="Times New Roman" w:hAnsi="Verdana" w:cs="Arial"/>
          <w:lang w:eastAsia="es-MX"/>
          <w14:ligatures w14:val="standardContextual"/>
        </w:rPr>
        <w:t xml:space="preserve"> de la Administración Pública</w:t>
      </w:r>
      <w:r w:rsidRPr="006B5858">
        <w:rPr>
          <w:rFonts w:ascii="Verdana" w:eastAsia="Times New Roman" w:hAnsi="Verdana" w:cs="Arial"/>
          <w:lang w:eastAsia="es-MX"/>
          <w14:ligatures w14:val="standardContextual"/>
        </w:rPr>
        <w:t xml:space="preserve">,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naturaleza de las obligaciones emanadas de los mismos, etc., pues contiene las reglas comunes de la materia. </w:t>
      </w:r>
    </w:p>
    <w:p w14:paraId="789E72F3" w14:textId="77777777" w:rsidR="00F66F14" w:rsidRPr="006B5858" w:rsidRDefault="00F66F14" w:rsidP="00F66F14">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ab/>
        <w:t xml:space="preserve">En consecuencia, cuando los contratos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w:t>
      </w:r>
      <w:bookmarkStart w:id="10" w:name="_Hlk198934507"/>
      <w:r w:rsidRPr="006B5858">
        <w:rPr>
          <w:rFonts w:ascii="Verdana" w:eastAsia="Times New Roman" w:hAnsi="Verdana" w:cs="Arial"/>
          <w:lang w:eastAsia="es-MX"/>
          <w14:ligatures w14:val="standardContextual"/>
        </w:rPr>
        <w:t>2.3.1.6.3.17.</w:t>
      </w:r>
      <w:bookmarkEnd w:id="10"/>
      <w:r w:rsidRPr="006B5858">
        <w:rPr>
          <w:rFonts w:ascii="Verdana" w:eastAsia="Times New Roman" w:hAnsi="Verdana" w:cs="Arial"/>
          <w:lang w:eastAsia="es-MX"/>
          <w14:ligatures w14:val="standardContextual"/>
        </w:rPr>
        <w:t xml:space="preserve">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14:paraId="71ACCD9F" w14:textId="77777777" w:rsidR="00F66F14" w:rsidRPr="006B5858" w:rsidRDefault="00F66F14" w:rsidP="00F66F14">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lastRenderedPageBreak/>
        <w:t>Naturalmente, los contratos mencionados en el párrafo precedente no se rigen exclusivamente por las normas civiles y comerciales, pues además del reglamento del consejo directivo, el artículo 13 de la Ley 1150 de 2007 dispone que la contratación exceptuada del EGCAP también se rige por los principios de la función administrativa, los principios de la gestión fiscal y el régimen de inhabilidades e incompatibilidades previsto para la contratación estatal</w:t>
      </w:r>
      <w:r w:rsidRPr="006B5858">
        <w:rPr>
          <w:rFonts w:ascii="Verdana" w:eastAsia="Times New Roman" w:hAnsi="Verdana" w:cs="Arial"/>
          <w:vertAlign w:val="superscript"/>
          <w:lang w:eastAsia="es-MX"/>
          <w14:ligatures w14:val="standardContextual"/>
        </w:rPr>
        <w:footnoteReference w:id="8"/>
      </w:r>
      <w:r w:rsidRPr="006B5858">
        <w:rPr>
          <w:rFonts w:ascii="Verdana" w:eastAsia="Times New Roman" w:hAnsi="Verdana" w:cs="Arial"/>
          <w:lang w:eastAsia="es-MX"/>
          <w14:ligatures w14:val="standardContextual"/>
        </w:rPr>
        <w:t xml:space="preserve">. Así mismo, el citado artículo consagra el deber de publicación en el SECOP II de la actividad contractual por parte de las entidades exceptuadas, el cual se desarrollará a continuación. </w:t>
      </w:r>
    </w:p>
    <w:p w14:paraId="0D59403B" w14:textId="77777777" w:rsidR="00F66F14" w:rsidRPr="006B5858" w:rsidRDefault="00F66F14" w:rsidP="00F66F14">
      <w:pPr>
        <w:spacing w:after="0" w:line="276" w:lineRule="auto"/>
        <w:ind w:firstLine="709"/>
        <w:jc w:val="both"/>
        <w:rPr>
          <w:rFonts w:ascii="Verdana" w:hAnsi="Verdana" w:cs="Arial"/>
          <w14:ligatures w14:val="standardContextual"/>
        </w:rPr>
      </w:pPr>
      <w:r w:rsidRPr="006B5858">
        <w:rPr>
          <w:rFonts w:ascii="Verdana" w:hAnsi="Verdana" w:cs="Arial"/>
          <w14:ligatures w14:val="standardContextual"/>
        </w:rPr>
        <w:t xml:space="preserve">Ahora bien, de conformidad con lo dispuesto en el Decreto 4791 de 2008 compilado </w:t>
      </w:r>
      <w:r>
        <w:rPr>
          <w:rFonts w:ascii="Verdana" w:hAnsi="Verdana" w:cs="Arial"/>
          <w14:ligatures w14:val="standardContextual"/>
        </w:rPr>
        <w:t xml:space="preserve">mediante </w:t>
      </w:r>
      <w:r w:rsidRPr="006B5858">
        <w:rPr>
          <w:rFonts w:ascii="Verdana" w:hAnsi="Verdana" w:cs="Arial"/>
          <w14:ligatures w14:val="standardContextual"/>
        </w:rPr>
        <w:t xml:space="preserve">el Decreto 1075 de 2025, el consejo directivo que conforma el fondo de servicios educativos tiene a su cargo varias funciones, a saber: </w:t>
      </w:r>
    </w:p>
    <w:p w14:paraId="3401C777" w14:textId="77777777" w:rsidR="00F66F14" w:rsidRPr="006B5858" w:rsidRDefault="00F66F14" w:rsidP="00F66F14">
      <w:pPr>
        <w:spacing w:after="0" w:line="240" w:lineRule="auto"/>
        <w:jc w:val="both"/>
        <w:rPr>
          <w:rFonts w:ascii="Verdana" w:hAnsi="Verdana" w:cs="Arial"/>
          <w14:ligatures w14:val="standardContextual"/>
        </w:rPr>
      </w:pPr>
    </w:p>
    <w:p w14:paraId="434DE444" w14:textId="77777777" w:rsidR="00F66F14" w:rsidRPr="006B5858" w:rsidRDefault="00F66F14" w:rsidP="00F66F14">
      <w:pPr>
        <w:pStyle w:val="Prrafodelista"/>
        <w:numPr>
          <w:ilvl w:val="0"/>
          <w:numId w:val="26"/>
        </w:numPr>
        <w:spacing w:after="0" w:line="276" w:lineRule="auto"/>
        <w:jc w:val="both"/>
        <w:rPr>
          <w:rFonts w:ascii="Verdana" w:hAnsi="Verdana" w:cs="Arial"/>
          <w14:ligatures w14:val="standardContextual"/>
        </w:rPr>
      </w:pPr>
      <w:r w:rsidRPr="006B5858">
        <w:rPr>
          <w:rFonts w:ascii="Verdana" w:hAnsi="Verdana" w:cs="Arial"/>
          <w14:ligatures w14:val="standardContextual"/>
        </w:rPr>
        <w:t>Administrar en coordinación con el rector o director rural del establecimiento educativo estatal el Fondo de Servicios Educativos de acuerdo con las funciones otorgadas</w:t>
      </w:r>
      <w:r w:rsidRPr="006B5858">
        <w:rPr>
          <w:rStyle w:val="Refdenotaalpie"/>
          <w:rFonts w:ascii="Verdana" w:hAnsi="Verdana" w:cs="Arial"/>
          <w14:ligatures w14:val="standardContextual"/>
        </w:rPr>
        <w:footnoteReference w:id="9"/>
      </w:r>
      <w:r w:rsidRPr="006B5858">
        <w:rPr>
          <w:rFonts w:ascii="Verdana" w:hAnsi="Verdana" w:cs="Arial"/>
          <w14:ligatures w14:val="standardContextual"/>
        </w:rPr>
        <w:t>.</w:t>
      </w:r>
    </w:p>
    <w:p w14:paraId="1E3ADBD9" w14:textId="77777777" w:rsidR="00F66F14" w:rsidRPr="006B5858" w:rsidRDefault="00F66F14" w:rsidP="00F66F14">
      <w:pPr>
        <w:pStyle w:val="Prrafodelista"/>
        <w:numPr>
          <w:ilvl w:val="0"/>
          <w:numId w:val="26"/>
        </w:numPr>
        <w:spacing w:after="0" w:line="276" w:lineRule="auto"/>
        <w:jc w:val="both"/>
        <w:rPr>
          <w:rFonts w:ascii="Verdana" w:hAnsi="Verdana" w:cs="Arial"/>
          <w14:ligatures w14:val="standardContextual"/>
        </w:rPr>
      </w:pPr>
      <w:r w:rsidRPr="006B5858">
        <w:rPr>
          <w:rFonts w:ascii="Verdana" w:hAnsi="Verdana" w:cs="Arial"/>
          <w14:ligatures w14:val="standardContextual"/>
        </w:rPr>
        <w:t>Determinar los actos o contratos que requieran su autorización expresa.</w:t>
      </w:r>
    </w:p>
    <w:p w14:paraId="5310D0D3" w14:textId="77777777" w:rsidR="00F66F14" w:rsidRPr="006B5858" w:rsidRDefault="00F66F14" w:rsidP="00F66F14">
      <w:pPr>
        <w:pStyle w:val="Prrafodelista"/>
        <w:numPr>
          <w:ilvl w:val="0"/>
          <w:numId w:val="26"/>
        </w:numPr>
        <w:spacing w:after="0" w:line="276" w:lineRule="auto"/>
        <w:jc w:val="both"/>
        <w:rPr>
          <w:rFonts w:ascii="Verdana" w:hAnsi="Verdana" w:cs="Arial"/>
          <w14:ligatures w14:val="standardContextual"/>
        </w:rPr>
      </w:pPr>
      <w:r w:rsidRPr="006B5858">
        <w:rPr>
          <w:rFonts w:ascii="Verdana" w:hAnsi="Verdana" w:cs="Arial"/>
          <w:lang w:val="es-CO"/>
          <w14:ligatures w14:val="standardContextual"/>
        </w:rPr>
        <w:t xml:space="preserve">Reglamentar mediante acuerdo los procedimientos, formalidades y garantías para toda contratación que no supere los veinte (20) salarios mínimos legales mensuales vigentes. </w:t>
      </w:r>
    </w:p>
    <w:p w14:paraId="472802F2" w14:textId="77777777" w:rsidR="00F66F14" w:rsidRPr="006B5858" w:rsidRDefault="00F66F14" w:rsidP="00F66F14">
      <w:pPr>
        <w:pStyle w:val="Prrafodelista"/>
        <w:numPr>
          <w:ilvl w:val="0"/>
          <w:numId w:val="26"/>
        </w:numPr>
        <w:spacing w:after="0" w:line="276" w:lineRule="auto"/>
        <w:jc w:val="both"/>
        <w:rPr>
          <w:rFonts w:ascii="Verdana" w:hAnsi="Verdana" w:cs="Arial"/>
          <w14:ligatures w14:val="standardContextual"/>
        </w:rPr>
      </w:pPr>
      <w:r w:rsidRPr="006B5858">
        <w:rPr>
          <w:rFonts w:ascii="Verdana" w:hAnsi="Verdana" w:cs="Arial"/>
          <w14:ligatures w14:val="standardContextual"/>
        </w:rPr>
        <w:t>Aprobar la utilización de recursos del Fondo de Servicios Educativos para la realización de eventos pedagógicos, científicos, culturales, deportivos, o l</w:t>
      </w:r>
      <w:r>
        <w:rPr>
          <w:rFonts w:ascii="Verdana" w:hAnsi="Verdana" w:cs="Arial"/>
          <w14:ligatures w14:val="standardContextual"/>
        </w:rPr>
        <w:t>a participación de los educando</w:t>
      </w:r>
      <w:r w:rsidRPr="006B5858">
        <w:rPr>
          <w:rFonts w:ascii="Verdana" w:hAnsi="Verdana" w:cs="Arial"/>
          <w14:ligatures w14:val="standardContextual"/>
        </w:rPr>
        <w:t>s en representación del establecimiento educativo y fijar la cuantía que se destine para el efecto.</w:t>
      </w:r>
    </w:p>
    <w:p w14:paraId="6505E503" w14:textId="77777777" w:rsidR="00F66F14" w:rsidRPr="006B5858" w:rsidRDefault="00F66F14" w:rsidP="00F66F14">
      <w:pPr>
        <w:pStyle w:val="Prrafodelista"/>
        <w:numPr>
          <w:ilvl w:val="0"/>
          <w:numId w:val="26"/>
        </w:numPr>
        <w:spacing w:after="0" w:line="276" w:lineRule="auto"/>
        <w:jc w:val="both"/>
        <w:rPr>
          <w:rFonts w:ascii="Verdana" w:hAnsi="Verdana" w:cs="Arial"/>
          <w14:ligatures w14:val="standardContextual"/>
        </w:rPr>
      </w:pPr>
      <w:r w:rsidRPr="006B5858">
        <w:rPr>
          <w:rFonts w:ascii="Verdana" w:hAnsi="Verdana" w:cs="Arial"/>
          <w14:ligatures w14:val="standardContextual"/>
        </w:rPr>
        <w:t xml:space="preserve">En cuanto a la utilización de los recursos del fondo, éstos se podrán destinar para la contratación de servicios técnicos y profesionales prestados para una gestión específica y temporal en desarrollo de actividades diferentes a las educativas, cuando no sean atendidas por personal de planta. Estos contratos requerirán la autorización del consejo directivo del establecimiento educativo y se rigen por las normas y principios de la contratación estatal. En ningún caso podrán celebrarse </w:t>
      </w:r>
      <w:r w:rsidRPr="006B5858">
        <w:rPr>
          <w:rFonts w:ascii="Verdana" w:hAnsi="Verdana" w:cs="Arial"/>
          <w14:ligatures w14:val="standardContextual"/>
        </w:rPr>
        <w:lastRenderedPageBreak/>
        <w:t>contratos de trabajo, ni estipularse obligaciones propias de las relaciones laborales tales como subordinación, cumplimiento de jornada laboral o pago de salarios. En todo caso, los recursos del Fondo de Servicios Educativos no podrán destinarse al pago de acreencias laborales de ningún orden.</w:t>
      </w:r>
    </w:p>
    <w:p w14:paraId="2E2FA1E5" w14:textId="77777777" w:rsidR="00F66F14" w:rsidRPr="006B5858" w:rsidRDefault="00F66F14" w:rsidP="00F66F14">
      <w:pPr>
        <w:pStyle w:val="Prrafodelista"/>
        <w:numPr>
          <w:ilvl w:val="0"/>
          <w:numId w:val="26"/>
        </w:numPr>
        <w:spacing w:after="0" w:line="276" w:lineRule="auto"/>
        <w:jc w:val="both"/>
        <w:rPr>
          <w:rFonts w:ascii="Verdana" w:hAnsi="Verdana" w:cs="Arial"/>
          <w14:ligatures w14:val="standardContextual"/>
        </w:rPr>
      </w:pPr>
      <w:r w:rsidRPr="006B5858">
        <w:rPr>
          <w:rFonts w:ascii="Verdana" w:hAnsi="Verdana" w:cs="Arial"/>
          <w14:ligatures w14:val="standardContextual"/>
        </w:rPr>
        <w:t>Cuando un particular destine bienes o servicios para provecho directo de la comunidad educativa, debe realizarse un contrato entre éste y el rector o director rural, previa autorización del consejo directivo, en el cual se señale la destinación del bien y la transferencia o no de la propiedad. Este contrato se regirá por las normas del Código Civil</w:t>
      </w:r>
      <w:r w:rsidRPr="006B5858">
        <w:rPr>
          <w:rStyle w:val="Refdenotaalpie"/>
          <w:rFonts w:ascii="Verdana" w:hAnsi="Verdana" w:cs="Arial"/>
          <w:lang w:val="es-CO"/>
          <w14:ligatures w14:val="standardContextual"/>
        </w:rPr>
        <w:footnoteReference w:id="10"/>
      </w:r>
      <w:r w:rsidRPr="006B5858">
        <w:rPr>
          <w:rFonts w:ascii="Verdana" w:hAnsi="Verdana" w:cs="Arial"/>
          <w14:ligatures w14:val="standardContextual"/>
        </w:rPr>
        <w:t>.</w:t>
      </w:r>
    </w:p>
    <w:p w14:paraId="7462A70E" w14:textId="77777777" w:rsidR="00F66F14" w:rsidRPr="006B5858" w:rsidRDefault="00F66F14" w:rsidP="00F66F14">
      <w:pPr>
        <w:spacing w:after="0" w:line="240" w:lineRule="auto"/>
        <w:jc w:val="both"/>
        <w:rPr>
          <w:rFonts w:ascii="Verdana" w:hAnsi="Verdana" w:cs="Arial"/>
          <w14:ligatures w14:val="standardContextual"/>
        </w:rPr>
      </w:pPr>
    </w:p>
    <w:p w14:paraId="07AFAE43" w14:textId="77777777" w:rsidR="00F66F14" w:rsidRPr="006B5858" w:rsidRDefault="00F66F14" w:rsidP="00F66F14">
      <w:pPr>
        <w:spacing w:after="120" w:line="276" w:lineRule="auto"/>
        <w:ind w:firstLine="709"/>
        <w:jc w:val="both"/>
        <w:rPr>
          <w:rFonts w:ascii="Verdana" w:hAnsi="Verdana" w:cs="Arial"/>
        </w:rPr>
      </w:pPr>
      <w:r w:rsidRPr="006B5858">
        <w:rPr>
          <w:rFonts w:ascii="Verdana" w:hAnsi="Verdana" w:cs="Arial"/>
        </w:rPr>
        <w:t>De acuerdo con lo dispuesto en el artículo 3 del Decreto 4791 de 2008 “El rector o director rural en coordinación con el consejo directivo del establecimiento educativo estatal administra el Fondo de Servicios Educativos”.</w:t>
      </w:r>
    </w:p>
    <w:p w14:paraId="79BD02A6" w14:textId="77777777" w:rsidR="00F66F14" w:rsidRPr="006B5858" w:rsidRDefault="00F66F14" w:rsidP="00F66F14">
      <w:pPr>
        <w:spacing w:after="120" w:line="276" w:lineRule="auto"/>
        <w:ind w:firstLine="709"/>
        <w:jc w:val="both"/>
        <w:rPr>
          <w:rFonts w:ascii="Verdana" w:hAnsi="Verdana" w:cs="Arial"/>
        </w:rPr>
      </w:pPr>
      <w:r w:rsidRPr="006B5858">
        <w:rPr>
          <w:rFonts w:ascii="Verdana" w:hAnsi="Verdana" w:cs="Arial"/>
        </w:rPr>
        <w:t>El parágrafo del artículo mencionado indica que se entiende por administrar “[…] las acciones de presupuestación, recaudo, conservación, inversión, compromiso, ejecución de sus recursos y rendición de cuentas, entre otras, con sujeción a la reglamentación pertinente y a lo dispuesto por el consejo directivo”.</w:t>
      </w:r>
    </w:p>
    <w:p w14:paraId="631B90FD" w14:textId="77777777" w:rsidR="00F66F14" w:rsidRPr="006B5858" w:rsidRDefault="00F66F14" w:rsidP="00F66F14">
      <w:pPr>
        <w:spacing w:after="120" w:line="276" w:lineRule="auto"/>
        <w:ind w:firstLine="709"/>
        <w:jc w:val="both"/>
        <w:rPr>
          <w:rFonts w:ascii="Verdana" w:hAnsi="Verdana" w:cs="Arial"/>
        </w:rPr>
      </w:pPr>
      <w:r w:rsidRPr="006B5858">
        <w:rPr>
          <w:rFonts w:ascii="Verdana" w:hAnsi="Verdana" w:cs="Arial"/>
        </w:rPr>
        <w:t>Por su parte, de acuerdo con lo dispuesto en el artículo 13 de la Ley 715 de 2001 “[…]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 […]”. </w:t>
      </w:r>
    </w:p>
    <w:p w14:paraId="33962F53" w14:textId="77777777" w:rsidR="00F66F14" w:rsidRPr="006B5858" w:rsidRDefault="00F66F14" w:rsidP="00F66F14">
      <w:pPr>
        <w:spacing w:after="120" w:line="276" w:lineRule="auto"/>
        <w:ind w:firstLine="709"/>
        <w:jc w:val="both"/>
        <w:rPr>
          <w:rFonts w:ascii="Verdana" w:hAnsi="Verdana" w:cs="Arial"/>
        </w:rPr>
      </w:pPr>
      <w:r>
        <w:rPr>
          <w:rFonts w:ascii="Verdana" w:hAnsi="Verdana" w:cs="Arial"/>
        </w:rPr>
        <w:t xml:space="preserve">De la interpretación de las anteriores normas, puede inferirse </w:t>
      </w:r>
      <w:r w:rsidRPr="006B5858">
        <w:rPr>
          <w:rFonts w:ascii="Verdana" w:hAnsi="Verdana" w:cs="Arial"/>
        </w:rPr>
        <w:t xml:space="preserve">que el Consejo Directivo tiene la facultad de expedir el reglamento para la contratación cuya cuantía no supere los veinte (20) salarios mínimos mensuales legales vigentes y tal reglamento deberá contener y garantizar los principios de </w:t>
      </w:r>
      <w:r w:rsidRPr="006B5858">
        <w:rPr>
          <w:rFonts w:ascii="Verdana" w:hAnsi="Verdana" w:cs="Arial"/>
        </w:rPr>
        <w:lastRenderedPageBreak/>
        <w:t xml:space="preserve">transparencia, publicidad y responsabilidad de conformidad con los postulados de la función administrativa. </w:t>
      </w:r>
    </w:p>
    <w:p w14:paraId="23A24ED5" w14:textId="77777777" w:rsidR="00F66F14" w:rsidRPr="006B5858" w:rsidRDefault="00F66F14" w:rsidP="00F66F14">
      <w:pPr>
        <w:spacing w:after="0" w:line="276" w:lineRule="auto"/>
        <w:ind w:firstLine="709"/>
        <w:jc w:val="both"/>
        <w:rPr>
          <w:rFonts w:ascii="Verdana" w:hAnsi="Verdana" w:cs="Arial"/>
        </w:rPr>
      </w:pPr>
      <w:r w:rsidRPr="006B5858">
        <w:rPr>
          <w:rFonts w:ascii="Verdana" w:hAnsi="Verdana" w:cs="Arial"/>
        </w:rPr>
        <w:t>Nada obsta para que en el reglamento expedido por parte del Consejo Directivo se incluya un comité de compras, pues dicho cuerpo colegiado determinará las pautas, procedimientos y procesos para así definir la contratación inferior a los veinte (20) salarios mínimos mensuales legales vigentes, así como la celebración de contratos en los cuales se requiera de autorización expresa</w:t>
      </w:r>
      <w:r w:rsidRPr="006B5858">
        <w:rPr>
          <w:rStyle w:val="Refdenotaalpie"/>
          <w:rFonts w:ascii="Verdana" w:hAnsi="Verdana" w:cs="Arial"/>
        </w:rPr>
        <w:footnoteReference w:id="11"/>
      </w:r>
      <w:r w:rsidRPr="006B5858">
        <w:rPr>
          <w:rFonts w:ascii="Verdana" w:hAnsi="Verdana" w:cs="Arial"/>
        </w:rPr>
        <w:t xml:space="preserve"> por parte del Consejo Directivo. Así mismo, debe advertirse que no existe norma que disponga la obligación de incorporar un comité de compras, por lo tanto, corresponde a una potestad del Consejo Directivo incluir o no el comité de compras. </w:t>
      </w:r>
    </w:p>
    <w:bookmarkEnd w:id="2"/>
    <w:p w14:paraId="24B70664" w14:textId="77777777" w:rsidR="00F66F14" w:rsidRDefault="00F66F14" w:rsidP="00F66F14">
      <w:pPr>
        <w:spacing w:after="0" w:line="276" w:lineRule="auto"/>
        <w:jc w:val="both"/>
        <w:rPr>
          <w:rFonts w:ascii="Verdana" w:eastAsia="Arial" w:hAnsi="Verdana" w:cs="Arial"/>
          <w:bCs/>
          <w:lang w:val="es-MX" w:eastAsia="es-ES" w:bidi="es-ES"/>
        </w:rPr>
      </w:pPr>
    </w:p>
    <w:p w14:paraId="1C7CE8F8" w14:textId="77777777" w:rsidR="00F66F14" w:rsidRPr="002C4545" w:rsidRDefault="00F66F14" w:rsidP="00F66F14">
      <w:pPr>
        <w:spacing w:after="120" w:line="276" w:lineRule="auto"/>
        <w:jc w:val="both"/>
        <w:rPr>
          <w:rFonts w:ascii="Verdana" w:eastAsia="Arial" w:hAnsi="Verdana" w:cs="Arial"/>
          <w:bCs/>
          <w:lang w:eastAsia="es-ES" w:bidi="es-ES"/>
        </w:rPr>
      </w:pPr>
      <w:r>
        <w:rPr>
          <w:rFonts w:ascii="Verdana" w:eastAsia="Arial" w:hAnsi="Verdana" w:cs="Arial"/>
          <w:bCs/>
          <w:lang w:val="es-MX" w:eastAsia="es-ES" w:bidi="es-ES"/>
        </w:rPr>
        <w:t xml:space="preserve">ii. De acuerdo a lo expuesto, </w:t>
      </w:r>
      <w:r>
        <w:rPr>
          <w:rFonts w:ascii="Verdana" w:eastAsia="Arial" w:hAnsi="Verdana" w:cs="Arial"/>
          <w:bCs/>
          <w:lang w:eastAsia="es-ES" w:bidi="es-ES"/>
        </w:rPr>
        <w:t>cuando la contratación celebrada</w:t>
      </w:r>
      <w:r w:rsidRPr="002C4545">
        <w:rPr>
          <w:rFonts w:ascii="Verdana" w:eastAsia="Arial" w:hAnsi="Verdana" w:cs="Arial"/>
          <w:bCs/>
          <w:lang w:eastAsia="es-ES" w:bidi="es-ES"/>
        </w:rPr>
        <w:t xml:space="preserve"> por las instituciones educativas oficiales con cargo al fondo de servicios educativos sea por una cuantía inferior a veinte (20) salarios mínimos legales mensuales vigentes, la competencia para establecer las reglas aplicables al proceso corresponde al consejo directivo. En estos casos, dicho órgano define las condiciones conforme a las cuales debe adelantarse la adquisición de bienes, obras y servicios, incluyendo los procedimientos, mecanismos, requisitos y formalidades que deben observarse, en ejercicio de la autonomía que la normativa le reconoce.</w:t>
      </w:r>
    </w:p>
    <w:p w14:paraId="7F02463C" w14:textId="77777777" w:rsidR="00F66F14" w:rsidRDefault="00F66F14" w:rsidP="00F66F14">
      <w:pPr>
        <w:spacing w:after="120" w:line="276" w:lineRule="auto"/>
        <w:ind w:firstLine="708"/>
        <w:jc w:val="both"/>
        <w:rPr>
          <w:rFonts w:ascii="Verdana" w:eastAsia="Arial" w:hAnsi="Verdana" w:cs="Arial"/>
          <w:bCs/>
          <w:lang w:eastAsia="es-ES" w:bidi="es-ES"/>
        </w:rPr>
      </w:pPr>
      <w:r w:rsidRPr="002C4545">
        <w:rPr>
          <w:rFonts w:ascii="Verdana" w:eastAsia="Arial" w:hAnsi="Verdana" w:cs="Arial"/>
          <w:bCs/>
          <w:lang w:eastAsia="es-ES" w:bidi="es-ES"/>
        </w:rPr>
        <w:t>Por el contrario, cuando la celebración de contratos con recursos del fondo de servicios educativos supere la cuantía de los veinte (20) salarios mínimos legales mensuales vigentes, la entidad debe sujetarse de manera estricta a lo dispuesto en la Ley 80 de 1993. En este escenario, los procedimientos contractuales deben ajustarse a las reglas propias del régimen general de contratación estatal, atendiendo los principios y disposiciones que lo gobiernan.</w:t>
      </w:r>
      <w:r>
        <w:rPr>
          <w:rFonts w:ascii="Verdana" w:eastAsia="Arial" w:hAnsi="Verdana" w:cs="Arial"/>
          <w:bCs/>
          <w:lang w:eastAsia="es-ES" w:bidi="es-ES"/>
        </w:rPr>
        <w:t xml:space="preserve"> </w:t>
      </w:r>
      <w:r w:rsidRPr="002C4545">
        <w:rPr>
          <w:rFonts w:ascii="Verdana" w:eastAsia="Arial" w:hAnsi="Verdana" w:cs="Arial"/>
          <w:bCs/>
          <w:lang w:eastAsia="es-ES" w:bidi="es-ES"/>
        </w:rPr>
        <w:t>En consecuencia, para esta segunda hipótesis resulta plenamente aplicable el Estatuto General de Contratació</w:t>
      </w:r>
      <w:r>
        <w:rPr>
          <w:rFonts w:ascii="Verdana" w:eastAsia="Arial" w:hAnsi="Verdana" w:cs="Arial"/>
          <w:bCs/>
          <w:lang w:eastAsia="es-ES" w:bidi="es-ES"/>
        </w:rPr>
        <w:t>n de la Administración Pública –EGCAP-</w:t>
      </w:r>
      <w:r w:rsidRPr="002C4545">
        <w:rPr>
          <w:rFonts w:ascii="Verdana" w:eastAsia="Arial" w:hAnsi="Verdana" w:cs="Arial"/>
          <w:bCs/>
          <w:lang w:eastAsia="es-ES" w:bidi="es-ES"/>
        </w:rPr>
        <w:t xml:space="preserve">, lo que implica, entre otros aspectos, la obligación de adelantar el proceso de selección conforme a las modalidades previstas en la Ley 1150 de 2007, así como cumplir </w:t>
      </w:r>
      <w:r w:rsidRPr="002C4545">
        <w:rPr>
          <w:rFonts w:ascii="Verdana" w:eastAsia="Arial" w:hAnsi="Verdana" w:cs="Arial"/>
          <w:bCs/>
          <w:lang w:eastAsia="es-ES" w:bidi="es-ES"/>
        </w:rPr>
        <w:lastRenderedPageBreak/>
        <w:t>los requisitos, etapas y formalidades establecidos en el Decreto 1082 de 2015 y en las demás normas que regulan la contratación estatal.</w:t>
      </w:r>
    </w:p>
    <w:p w14:paraId="154D6B54" w14:textId="77777777" w:rsidR="00F66F14" w:rsidRPr="00C16D58" w:rsidRDefault="00F66F14" w:rsidP="00F66F14">
      <w:pPr>
        <w:spacing w:after="0" w:line="276" w:lineRule="auto"/>
        <w:ind w:firstLine="709"/>
        <w:jc w:val="both"/>
        <w:rPr>
          <w:rFonts w:ascii="Verdana" w:eastAsia="Calibri" w:hAnsi="Verdana" w:cs="Arial"/>
          <w:lang w:val="es-ES"/>
        </w:rPr>
      </w:pPr>
      <w:r>
        <w:rPr>
          <w:rFonts w:ascii="Verdana" w:eastAsia="Arial" w:hAnsi="Verdana" w:cs="Arial"/>
          <w:bCs/>
          <w:lang w:eastAsia="es-ES" w:bidi="es-ES"/>
        </w:rPr>
        <w:t xml:space="preserve">En este sentido, </w:t>
      </w:r>
      <w:r w:rsidRPr="00C16D58">
        <w:rPr>
          <w:rFonts w:ascii="Verdana" w:eastAsia="Calibri" w:hAnsi="Verdana" w:cs="Arial"/>
          <w:lang w:val="es-ES"/>
        </w:rPr>
        <w:t xml:space="preserve">la licitación pública es la modalidad de selección que constituye la regla general para las entidades regidas por el Estatuto General de Contratación de la Administración Pública, </w:t>
      </w:r>
      <w:r>
        <w:rPr>
          <w:rFonts w:ascii="Verdana" w:eastAsia="Calibri" w:hAnsi="Verdana" w:cs="Arial"/>
          <w:lang w:val="es-ES"/>
        </w:rPr>
        <w:t xml:space="preserve">sin perjuicio de las excepciones consagradas en el artículo 2 de la Ley 1150 de 2007. Bajo este contexto, </w:t>
      </w:r>
      <w:r w:rsidRPr="00C16D58">
        <w:rPr>
          <w:rFonts w:ascii="Verdana" w:eastAsia="Calibri" w:hAnsi="Verdana" w:cs="Arial"/>
          <w:lang w:val="es-ES"/>
        </w:rPr>
        <w:t>el artículo 2.4</w:t>
      </w:r>
      <w:r>
        <w:rPr>
          <w:rFonts w:ascii="Verdana" w:eastAsia="Calibri" w:hAnsi="Verdana" w:cs="Arial"/>
          <w:lang w:val="es-ES"/>
        </w:rPr>
        <w:t xml:space="preserve"> de la Ley 1150 de 2007 regula</w:t>
      </w:r>
      <w:r w:rsidRPr="00C16D58">
        <w:rPr>
          <w:rFonts w:ascii="Verdana" w:eastAsia="Calibri" w:hAnsi="Verdana" w:cs="Arial"/>
          <w:lang w:val="es-ES"/>
        </w:rPr>
        <w:t xml:space="preserve">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 Esta norma dispone lo siguiente:</w:t>
      </w:r>
    </w:p>
    <w:p w14:paraId="561B2EFC" w14:textId="77777777" w:rsidR="00F66F14" w:rsidRPr="00BE5FE3" w:rsidRDefault="00F66F14" w:rsidP="00F66F14">
      <w:pPr>
        <w:spacing w:after="0" w:line="276" w:lineRule="auto"/>
        <w:jc w:val="both"/>
        <w:rPr>
          <w:rFonts w:ascii="Verdana" w:eastAsia="Calibri" w:hAnsi="Verdana" w:cs="Arial"/>
          <w:lang w:val="es-ES_tradnl"/>
        </w:rPr>
      </w:pPr>
    </w:p>
    <w:p w14:paraId="6BE65F99" w14:textId="77777777" w:rsidR="00F66F14" w:rsidRPr="0003776E" w:rsidRDefault="00F66F14" w:rsidP="00F66F14">
      <w:pPr>
        <w:spacing w:after="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 xml:space="preserve">“Artículo 42. De la urgencia manifiesta. Existe urgencia manifiesta </w:t>
      </w:r>
      <w:bookmarkStart w:id="13" w:name="_Hlk35851184"/>
      <w:r w:rsidRPr="0003776E">
        <w:rPr>
          <w:rFonts w:ascii="Verdana" w:eastAsia="Calibri" w:hAnsi="Verdana" w:cs="Arial"/>
          <w:sz w:val="20"/>
          <w:szCs w:val="20"/>
          <w:lang w:val="es-ES_tradnl"/>
        </w:rPr>
        <w:t>cuando la continuidad del servicio exige el suministro de bienes, o la prestación de servicios, o la ejecución de obras en el inmediato futuro</w:t>
      </w:r>
      <w:bookmarkEnd w:id="13"/>
      <w:r w:rsidRPr="0003776E">
        <w:rPr>
          <w:rFonts w:ascii="Verdana" w:eastAsia="Calibri" w:hAnsi="Verdana" w:cs="Arial"/>
          <w:sz w:val="20"/>
          <w:szCs w:val="20"/>
          <w:lang w:val="es-ES_tradnl"/>
        </w:rPr>
        <w:t xml:space="preserve">; </w:t>
      </w:r>
      <w:bookmarkStart w:id="14" w:name="_Hlk35857288"/>
      <w:r w:rsidRPr="0003776E">
        <w:rPr>
          <w:rFonts w:ascii="Verdana" w:eastAsia="Calibri" w:hAnsi="Verdana" w:cs="Arial"/>
          <w:sz w:val="20"/>
          <w:szCs w:val="20"/>
          <w:lang w:val="es-ES_tradnl"/>
        </w:rPr>
        <w:t xml:space="preserve">cuando se presenten </w:t>
      </w:r>
      <w:bookmarkStart w:id="15" w:name="_Hlk35857424"/>
      <w:r w:rsidRPr="0003776E">
        <w:rPr>
          <w:rFonts w:ascii="Verdana" w:eastAsia="Calibri" w:hAnsi="Verdana" w:cs="Arial"/>
          <w:sz w:val="20"/>
          <w:szCs w:val="20"/>
          <w:lang w:val="es-ES_tradnl"/>
        </w:rPr>
        <w:t>situaciones relacionadas con los estados de excepción</w:t>
      </w:r>
      <w:bookmarkEnd w:id="14"/>
      <w:bookmarkEnd w:id="15"/>
      <w:r w:rsidRPr="0003776E">
        <w:rPr>
          <w:rFonts w:ascii="Verdana" w:eastAsia="Calibri" w:hAnsi="Verdana" w:cs="Arial"/>
          <w:sz w:val="20"/>
          <w:szCs w:val="20"/>
          <w:lang w:val="es-ES_tradnl"/>
        </w:rPr>
        <w:t xml:space="preserve">; </w:t>
      </w:r>
      <w:bookmarkStart w:id="16" w:name="_Hlk35865550"/>
      <w:r w:rsidRPr="0003776E">
        <w:rPr>
          <w:rFonts w:ascii="Verdana" w:eastAsia="Calibri" w:hAnsi="Verdana" w:cs="Arial"/>
          <w:sz w:val="20"/>
          <w:szCs w:val="20"/>
          <w:lang w:val="es-ES_tradnl"/>
        </w:rPr>
        <w:t xml:space="preserve">cuando se trate de conjurar situaciones excepcionales relacionadas con hechos de calamidad o constitutivos de fuerza mayor o desastre que demanden actuaciones inmediatas </w:t>
      </w:r>
      <w:bookmarkEnd w:id="16"/>
      <w:r w:rsidRPr="0003776E">
        <w:rPr>
          <w:rFonts w:ascii="Verdana" w:eastAsia="Calibri" w:hAnsi="Verdana" w:cs="Arial"/>
          <w:sz w:val="20"/>
          <w:szCs w:val="20"/>
          <w:lang w:val="es-ES_tradnl"/>
        </w:rPr>
        <w:t>y, en general, cuando se trate de situaciones similares que imposibiliten acudir a los procedimientos de selección o concurso públicos.</w:t>
      </w:r>
    </w:p>
    <w:p w14:paraId="7FEE598E" w14:textId="77777777" w:rsidR="00F66F14" w:rsidRPr="0003776E" w:rsidRDefault="00F66F14" w:rsidP="00F66F14">
      <w:pPr>
        <w:spacing w:after="0" w:line="240" w:lineRule="auto"/>
        <w:ind w:left="709" w:right="709"/>
        <w:jc w:val="both"/>
        <w:rPr>
          <w:rFonts w:ascii="Verdana" w:eastAsia="Calibri" w:hAnsi="Verdana" w:cs="Arial"/>
          <w:sz w:val="20"/>
          <w:szCs w:val="20"/>
          <w:lang w:val="es-ES_tradnl"/>
        </w:rPr>
      </w:pPr>
    </w:p>
    <w:p w14:paraId="75EE88DB" w14:textId="77777777" w:rsidR="00F66F14" w:rsidRPr="0003776E" w:rsidRDefault="00F66F14" w:rsidP="00F66F14">
      <w:pPr>
        <w:spacing w:after="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La urgencia manifiesta se declarará mediante acto administrativo motivado.</w:t>
      </w:r>
    </w:p>
    <w:p w14:paraId="5B052587" w14:textId="77777777" w:rsidR="00F66F14" w:rsidRDefault="00F66F14" w:rsidP="00F66F14">
      <w:pPr>
        <w:spacing w:after="0" w:line="240" w:lineRule="auto"/>
        <w:ind w:left="709" w:right="709"/>
        <w:jc w:val="both"/>
        <w:rPr>
          <w:rFonts w:ascii="Verdana" w:eastAsia="Calibri" w:hAnsi="Verdana" w:cs="Arial"/>
          <w:sz w:val="20"/>
          <w:szCs w:val="20"/>
          <w:lang w:val="es-ES"/>
        </w:rPr>
      </w:pPr>
    </w:p>
    <w:p w14:paraId="6F7DA281" w14:textId="77777777" w:rsidR="00F66F14" w:rsidRPr="00BE5FE3" w:rsidRDefault="00F66F14" w:rsidP="00F66F14">
      <w:pPr>
        <w:spacing w:after="0" w:line="240" w:lineRule="auto"/>
        <w:ind w:left="709" w:right="709"/>
        <w:jc w:val="both"/>
        <w:rPr>
          <w:rFonts w:ascii="Verdana" w:eastAsia="Calibri" w:hAnsi="Verdana" w:cs="Arial"/>
          <w:sz w:val="21"/>
          <w:szCs w:val="21"/>
          <w:lang w:val="es-ES"/>
        </w:rPr>
      </w:pPr>
      <w:r w:rsidRPr="0003776E">
        <w:rPr>
          <w:rFonts w:ascii="Verdana" w:eastAsia="Calibri" w:hAnsi="Verdana" w:cs="Arial"/>
          <w:sz w:val="20"/>
          <w:szCs w:val="20"/>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41D00F5F" w14:textId="77777777" w:rsidR="00F66F14" w:rsidRPr="00BE5FE3" w:rsidRDefault="00F66F14" w:rsidP="00F66F14">
      <w:pPr>
        <w:spacing w:after="0" w:line="276" w:lineRule="auto"/>
        <w:ind w:left="709" w:right="709"/>
        <w:jc w:val="both"/>
        <w:rPr>
          <w:rFonts w:ascii="Verdana" w:eastAsia="Calibri" w:hAnsi="Verdana" w:cs="Arial"/>
          <w:lang w:val="es-ES_tradnl"/>
        </w:rPr>
      </w:pPr>
    </w:p>
    <w:p w14:paraId="65EA878D" w14:textId="77777777" w:rsidR="00F66F14" w:rsidRPr="00BE5FE3" w:rsidRDefault="00F66F14" w:rsidP="00F66F14">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t>Esta causal tiene como antecedente el derogado artículo 43.16 del Decreto-Ley 222 de 1983, que autorizaba la contratación directa “Cuando hubiere urgencia evidente calificada por el Consejo de Ministros, que no permita el tiempo necesario para la licitación o concurso”, entendiendo por tal “[…]</w:t>
      </w:r>
      <w:r w:rsidRPr="00BE5FE3">
        <w:rPr>
          <w:rFonts w:ascii="Verdana" w:hAnsi="Verdana"/>
        </w:rPr>
        <w:t xml:space="preserve"> </w:t>
      </w:r>
      <w:r w:rsidRPr="00BE5FE3">
        <w:rPr>
          <w:rFonts w:ascii="Verdana" w:eastAsia="Calibri" w:hAnsi="Verdana" w:cs="Arial"/>
          <w:lang w:val="es-ES_tradnl"/>
        </w:rPr>
        <w:t xml:space="preserve">necesidades actuales o previsibles de orden público, seguridad nacional o calamidad pública”; razón por la cual, los controles para su utilización eran tan </w:t>
      </w:r>
      <w:r w:rsidRPr="00BE5FE3">
        <w:rPr>
          <w:rFonts w:ascii="Verdana" w:eastAsia="Calibri" w:hAnsi="Verdana" w:cs="Arial"/>
          <w:lang w:val="es-ES_tradnl"/>
        </w:rPr>
        <w:lastRenderedPageBreak/>
        <w:t>evidentes que al declarase por un órgano distinto, el juez debía declarar la nulidad absoluta del contrato, por la falta de competencia</w:t>
      </w:r>
      <w:r w:rsidRPr="00BE5FE3">
        <w:rPr>
          <w:rStyle w:val="Refdenotaalpie"/>
          <w:rFonts w:ascii="Verdana" w:eastAsia="Calibri" w:hAnsi="Verdana" w:cs="Arial"/>
          <w:lang w:val="es-ES_tradnl"/>
        </w:rPr>
        <w:footnoteReference w:id="12"/>
      </w:r>
      <w:r w:rsidRPr="00BE5FE3">
        <w:rPr>
          <w:rFonts w:ascii="Verdana" w:eastAsia="Calibri" w:hAnsi="Verdana" w:cs="Arial"/>
          <w:lang w:val="es-ES_tradnl"/>
        </w:rPr>
        <w:t xml:space="preserve">. En contraste, el </w:t>
      </w:r>
      <w:r w:rsidRPr="00BE5FE3">
        <w:rPr>
          <w:rFonts w:ascii="Verdana" w:eastAsia="Calibri" w:hAnsi="Verdana" w:cs="Arial"/>
        </w:rPr>
        <w:t>Estatuto General de Contratación de la Administración Pública</w:t>
      </w:r>
      <w:r w:rsidRPr="00BE5FE3">
        <w:rPr>
          <w:rFonts w:ascii="Verdana" w:eastAsia="Calibri" w:hAnsi="Verdana" w:cs="Arial"/>
          <w:lang w:val="es-ES_tradnl"/>
        </w:rPr>
        <w:t xml:space="preserve">, interpretando de manera más realista las necesidades de la Administración, autoriza al jefe o representante legal de la entidad estatal para declarar la urgencia, siempre que tenga el carácter de </w:t>
      </w:r>
      <w:r w:rsidRPr="00BE5FE3">
        <w:rPr>
          <w:rFonts w:ascii="Verdana" w:eastAsia="Calibri" w:hAnsi="Verdana" w:cs="Arial"/>
          <w:i/>
          <w:iCs/>
          <w:lang w:val="es-ES_tradnl"/>
        </w:rPr>
        <w:t>manifiesta</w:t>
      </w:r>
      <w:r w:rsidRPr="00BE5FE3">
        <w:rPr>
          <w:rStyle w:val="Refdenotaalpie"/>
          <w:rFonts w:ascii="Verdana" w:eastAsia="Calibri" w:hAnsi="Verdana" w:cs="Arial"/>
          <w:sz w:val="21"/>
          <w:szCs w:val="21"/>
          <w:lang w:val="es-ES_tradnl"/>
        </w:rPr>
        <w:footnoteReference w:id="13"/>
      </w:r>
      <w:r w:rsidRPr="00BE5FE3">
        <w:rPr>
          <w:rFonts w:ascii="Verdana" w:eastAsia="Calibri" w:hAnsi="Verdana" w:cs="Arial"/>
          <w:sz w:val="21"/>
          <w:szCs w:val="21"/>
          <w:lang w:val="es-ES_tradnl"/>
        </w:rPr>
        <w:t>.</w:t>
      </w:r>
    </w:p>
    <w:p w14:paraId="715F1678" w14:textId="77777777" w:rsidR="00F66F14" w:rsidRPr="00BE5FE3" w:rsidRDefault="00F66F14" w:rsidP="00F66F14">
      <w:pPr>
        <w:spacing w:after="120" w:line="276" w:lineRule="auto"/>
        <w:ind w:firstLine="708"/>
        <w:jc w:val="both"/>
        <w:rPr>
          <w:rFonts w:ascii="Verdana" w:eastAsia="Calibri" w:hAnsi="Verdana" w:cs="Arial"/>
          <w:lang w:val="es-ES"/>
        </w:rPr>
      </w:pPr>
      <w:bookmarkStart w:id="17" w:name="_Hlk35959309"/>
      <w:r w:rsidRPr="0026167B">
        <w:rPr>
          <w:rFonts w:ascii="Verdana" w:eastAsia="Calibri" w:hAnsi="Verdana" w:cs="Arial"/>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sidRPr="00C16D58">
        <w:rPr>
          <w:rStyle w:val="Refdenotaalpie"/>
          <w:rFonts w:ascii="Verdana" w:eastAsia="Calibri" w:hAnsi="Verdana" w:cs="Arial"/>
          <w:lang w:val="es-ES"/>
        </w:rPr>
        <w:footnoteReference w:id="14"/>
      </w:r>
      <w:r w:rsidRPr="00C16D58">
        <w:rPr>
          <w:rFonts w:ascii="Verdana" w:eastAsia="Calibri" w:hAnsi="Verdana" w:cs="Arial"/>
          <w:vertAlign w:val="superscript"/>
          <w:lang w:val="es-ES"/>
        </w:rPr>
        <w:t>.</w:t>
      </w:r>
      <w:r w:rsidRPr="3683B926">
        <w:rPr>
          <w:rFonts w:ascii="Verdana" w:eastAsia="Calibri" w:hAnsi="Verdana" w:cs="Arial"/>
          <w:lang w:val="es-ES"/>
        </w:rPr>
        <w:t xml:space="preserve"> </w:t>
      </w:r>
    </w:p>
    <w:p w14:paraId="67EDE929" w14:textId="77777777" w:rsidR="00F66F14" w:rsidRPr="00BE5FE3" w:rsidRDefault="00F66F14" w:rsidP="00F66F14">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5FE3">
        <w:rPr>
          <w:rStyle w:val="Refdenotaalpie"/>
          <w:rFonts w:ascii="Verdana" w:eastAsia="Calibri" w:hAnsi="Verdana" w:cs="Arial"/>
          <w:lang w:val="es-ES_tradnl"/>
        </w:rPr>
        <w:footnoteReference w:id="15"/>
      </w:r>
      <w:r w:rsidRPr="00BE5FE3">
        <w:rPr>
          <w:rFonts w:ascii="Verdana" w:eastAsia="Calibri" w:hAnsi="Verdana" w:cs="Arial"/>
          <w:lang w:val="es-ES_tradnl"/>
        </w:rPr>
        <w:t xml:space="preserve">. </w:t>
      </w:r>
    </w:p>
    <w:bookmarkEnd w:id="17"/>
    <w:p w14:paraId="2D16B591" w14:textId="77777777" w:rsidR="00F66F14" w:rsidRPr="00BE5FE3" w:rsidRDefault="00F66F14" w:rsidP="00F66F14">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esta medida, el precitado artículo 42 del </w:t>
      </w:r>
      <w:r w:rsidRPr="00BE5FE3">
        <w:rPr>
          <w:rFonts w:ascii="Verdana" w:eastAsia="Calibri" w:hAnsi="Verdana" w:cs="Arial"/>
        </w:rPr>
        <w:t>Estatuto General de Contratación</w:t>
      </w:r>
      <w:r>
        <w:rPr>
          <w:rFonts w:ascii="Verdana" w:eastAsia="Calibri" w:hAnsi="Verdana" w:cs="Arial"/>
        </w:rPr>
        <w:t xml:space="preserve"> de la Administración Pública</w:t>
      </w:r>
      <w:r w:rsidRPr="00BE5FE3">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w:t>
      </w:r>
      <w:r w:rsidRPr="00BE5FE3">
        <w:rPr>
          <w:rFonts w:ascii="Verdana" w:eastAsia="Calibri" w:hAnsi="Verdana" w:cs="Arial"/>
          <w:lang w:val="es-ES_tradnl"/>
        </w:rPr>
        <w:lastRenderedPageBreak/>
        <w:t>de servicios, o la ejecución de obras en el inmediato futuro; ii) cuando se presenten situaciones relacionadas con los estados de excepción; iii) cuando se trate de conjurar situaciones excepcionales relacionadas con hechos de calamidad o constitutivos de fuerza mayor o desastre que demanden actuaciones inmediatas; y iv) en general, cuando se trate de situaciones similares que imposibiliten acudir a los procedimientos de selección o concurso públicos.</w:t>
      </w:r>
    </w:p>
    <w:p w14:paraId="5B405630" w14:textId="77777777" w:rsidR="00F66F14" w:rsidRPr="00BE5FE3" w:rsidRDefault="00F66F14" w:rsidP="00F66F14">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La </w:t>
      </w:r>
      <w:r w:rsidRPr="3683B926">
        <w:rPr>
          <w:rFonts w:ascii="Verdana" w:eastAsia="Calibri" w:hAnsi="Verdana" w:cs="Arial"/>
          <w:i/>
          <w:lang w:val="es-ES"/>
        </w:rPr>
        <w:t>primera circunstancia</w:t>
      </w:r>
      <w:r w:rsidRPr="3683B926">
        <w:rPr>
          <w:rFonts w:ascii="Verdana" w:eastAsia="Calibri" w:hAnsi="Verdana" w:cs="Arial"/>
          <w:lang w:val="es-ES"/>
        </w:rPr>
        <w:t xml:space="preserve"> se configura cuando la continuidad del servicio exige el suministro de bienes, la prestación de servicios, o la ejecución de obras en el inmediato futuro. En este caso, se busca evitar la paralización de un servicio, pues están destinados a satisfacer necesidades colectivas en forma general, permanente y continua. En este contexto, no puede olvidarse que el servicio público responde, por definición, a una necesidad de interés general, razón por la cual no podría ser discontinuo, pues la interrupción ocasiona problemas graves para la vida colectiva. </w:t>
      </w:r>
    </w:p>
    <w:p w14:paraId="4E375976" w14:textId="77777777" w:rsidR="00F66F14" w:rsidRPr="00BE5FE3" w:rsidRDefault="00F66F14" w:rsidP="00F66F14">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esta causal es secundaria la previsibilidad de la situación, porque –si así fuera– se llegaría al absurdo de permitir que efectivamente se paralizara el servicio, sacrificando el interés general por causa de la inactividad de los servidores</w:t>
      </w:r>
      <w:r w:rsidRPr="00BE5FE3">
        <w:rPr>
          <w:rStyle w:val="Refdenotaalpie"/>
          <w:rFonts w:ascii="Verdana" w:eastAsia="Calibri" w:hAnsi="Verdana" w:cs="Arial"/>
          <w:lang w:val="es-ES_tradnl"/>
        </w:rPr>
        <w:footnoteReference w:id="16"/>
      </w:r>
      <w:r w:rsidRPr="00BE5FE3">
        <w:rPr>
          <w:rFonts w:ascii="Verdana" w:eastAsia="Calibri" w:hAnsi="Verdana" w:cs="Arial"/>
          <w:lang w:val="es-ES_tradnl"/>
        </w:rPr>
        <w:t>. En consecuencia, “[…] uno de los elementos esenciales de la urgencia manifiesta lo constituye la obligación de verificar que el objeto del contrato necesita su permanencia, es decir, que se requiere garantizar por parte de la Administración la continuidad de un servicio que exige suministro de bienes, ejecución de obras o la propia prestación de servicios”</w:t>
      </w:r>
      <w:r w:rsidRPr="00BE5FE3">
        <w:rPr>
          <w:rStyle w:val="Refdenotaalpie"/>
          <w:rFonts w:ascii="Verdana" w:eastAsia="Calibri" w:hAnsi="Verdana" w:cs="Arial"/>
          <w:lang w:val="es-ES_tradnl"/>
        </w:rPr>
        <w:footnoteReference w:id="17"/>
      </w:r>
      <w:r w:rsidRPr="00BE5FE3">
        <w:rPr>
          <w:rFonts w:ascii="Verdana" w:eastAsia="Calibri" w:hAnsi="Verdana" w:cs="Arial"/>
          <w:lang w:val="es-ES_tradnl"/>
        </w:rPr>
        <w:t xml:space="preserve">. </w:t>
      </w:r>
    </w:p>
    <w:p w14:paraId="3C6FDE88" w14:textId="77777777" w:rsidR="00F66F14" w:rsidRPr="00BE5FE3" w:rsidRDefault="00F66F14" w:rsidP="00F66F14">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 xml:space="preserve">La </w:t>
      </w:r>
      <w:r w:rsidRPr="00BE5FE3">
        <w:rPr>
          <w:rFonts w:ascii="Verdana" w:eastAsia="Calibri" w:hAnsi="Verdana" w:cs="Arial"/>
          <w:i/>
          <w:iCs/>
          <w:lang w:val="es-ES_tradnl"/>
        </w:rPr>
        <w:t>segunda circunstancia</w:t>
      </w:r>
      <w:r w:rsidRPr="00BE5FE3">
        <w:rPr>
          <w:rFonts w:ascii="Verdana" w:eastAsia="Calibri" w:hAnsi="Verdana" w:cs="Arial"/>
          <w:lang w:val="es-ES_tradnl"/>
        </w:rPr>
        <w:t xml:space="preserve"> se presenta en las situaciones relacionadas con los estados de excepción, siendo necesaria la remisión a los artículos 212, 213 y 215 superiores. Estas normas se refieren a la declaración de los estados de guerra exterior, conmoción interior y emergencia económica, social y ecológica. De hecho, el uso indiscriminado, excesivo e incontrolado del estado de sitio, durante la vigencia de la Constitución Nacional de 1886, llevó a que los supuestos fácticos, las facultades y los controles adscritos a cada uno de ellos </w:t>
      </w:r>
      <w:r w:rsidRPr="00BE5FE3">
        <w:rPr>
          <w:rFonts w:ascii="Verdana" w:eastAsia="Calibri" w:hAnsi="Verdana" w:cs="Arial"/>
          <w:lang w:val="es-ES_tradnl"/>
        </w:rPr>
        <w:lastRenderedPageBreak/>
        <w:t>fueran específicamente regulados tanto en la Constitución Política como en la Ley Estatutaria 137 de 1994</w:t>
      </w:r>
      <w:r w:rsidRPr="00BE5FE3">
        <w:rPr>
          <w:rStyle w:val="Refdenotaalpie"/>
          <w:rFonts w:ascii="Verdana" w:eastAsia="Calibri" w:hAnsi="Verdana" w:cs="Arial"/>
          <w:lang w:val="es-ES_tradnl"/>
        </w:rPr>
        <w:footnoteReference w:id="18"/>
      </w:r>
      <w:r w:rsidRPr="00BE5FE3">
        <w:rPr>
          <w:rFonts w:ascii="Verdana" w:eastAsia="Calibri" w:hAnsi="Verdana" w:cs="Arial"/>
          <w:lang w:val="es-ES_tradnl"/>
        </w:rPr>
        <w:t xml:space="preserve">. </w:t>
      </w:r>
    </w:p>
    <w:p w14:paraId="2AB8D901" w14:textId="77777777" w:rsidR="00F66F14" w:rsidRPr="00BE5FE3" w:rsidRDefault="00F66F14" w:rsidP="00F66F14">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De conformidad con las normas citadas, los estados de excepción se declaran en caso de situación de anormalidad, y están acompañados de facultades y limitaciones que permiten el retorno a la regularidad. Por eso, mientras subsista la situación que la origina, y sólo en lo relacionado con la declaración previa del presidente de la república, con la firma de todos los ministros, las entidades pueden contratar directamente, por urgencia manifiesta, como medida </w:t>
      </w:r>
      <w:r w:rsidRPr="3683B926">
        <w:rPr>
          <w:rFonts w:ascii="Verdana" w:eastAsia="Calibri" w:hAnsi="Verdana" w:cs="Arial"/>
          <w:i/>
          <w:lang w:val="es-ES"/>
        </w:rPr>
        <w:t>pro tempore</w:t>
      </w:r>
      <w:r w:rsidRPr="3683B926">
        <w:rPr>
          <w:rFonts w:ascii="Verdana" w:eastAsia="Calibri" w:hAnsi="Verdana" w:cs="Arial"/>
          <w:lang w:val="es-ES"/>
        </w:rPr>
        <w:t xml:space="preserve"> para adquirir bienes y servicios que permitan superar la crisis. En contraste, cuando cesen las causas, las entidades deben contratar de conformidad con las reglas generales del Estatuto de Contratación.</w:t>
      </w:r>
    </w:p>
    <w:p w14:paraId="1069CDCA" w14:textId="77777777" w:rsidR="00F66F14" w:rsidRPr="00BE5FE3" w:rsidRDefault="00F66F14" w:rsidP="00F66F14">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este supuesto, cuando se declara un estado de excepción, se configura el supuesto para declarar a continuación la “urgencia manifiesta”, por parte de cualquier entidad estatal regida por la Ley 80 de 1993, por configurarse uno de los cuatro (4) supuestos del art. 42 de la Ley 80 de 1993. En este evento no es suficiente la declaración del estado de excepción, por parte del presidente y sus ministros, sino que es necesario expedir, luego, el acto que declare la urgencia manifiesta, con fundamento en la declaración previa de alguno de los tres estados de excepción.</w:t>
      </w:r>
    </w:p>
    <w:p w14:paraId="46086A5E" w14:textId="77777777" w:rsidR="00F66F14" w:rsidRPr="0061155F" w:rsidRDefault="00F66F14" w:rsidP="00F66F14">
      <w:pPr>
        <w:spacing w:after="120" w:line="276" w:lineRule="auto"/>
        <w:ind w:firstLine="709"/>
        <w:jc w:val="both"/>
        <w:rPr>
          <w:rFonts w:ascii="Verdana" w:eastAsia="Calibri" w:hAnsi="Verdana" w:cs="Arial"/>
          <w:lang w:val="es-ES_tradnl"/>
        </w:rPr>
      </w:pPr>
      <w:r w:rsidRPr="48C53EE2">
        <w:rPr>
          <w:rFonts w:ascii="Verdana" w:eastAsia="Calibri" w:hAnsi="Verdana" w:cs="Arial"/>
          <w:lang w:val="es-ES"/>
        </w:rPr>
        <w:t xml:space="preserve">La </w:t>
      </w:r>
      <w:r w:rsidRPr="48C53EE2">
        <w:rPr>
          <w:rFonts w:ascii="Verdana" w:eastAsia="Calibri" w:hAnsi="Verdana" w:cs="Arial"/>
          <w:i/>
          <w:lang w:val="es-ES"/>
        </w:rPr>
        <w:t>tercera circunstancia</w:t>
      </w:r>
      <w:r w:rsidRPr="48C53EE2">
        <w:rPr>
          <w:rFonts w:ascii="Verdana" w:eastAsia="Calibri" w:hAnsi="Verdana" w:cs="Arial"/>
          <w:lang w:val="es-ES"/>
        </w:rPr>
        <w:t xml:space="preserve"> surge de la necesidad de conjurar situaciones excepcionales relacionadas con </w:t>
      </w:r>
      <w:r w:rsidRPr="48C53EE2">
        <w:rPr>
          <w:rFonts w:ascii="Verdana" w:eastAsia="Calibri" w:hAnsi="Verdana" w:cs="Arial"/>
          <w:i/>
          <w:lang w:val="es-ES"/>
        </w:rPr>
        <w:t>hechos de calamidad o constitutivos de fuerza mayor o desastre</w:t>
      </w:r>
      <w:r w:rsidRPr="48C53EE2">
        <w:rPr>
          <w:rFonts w:ascii="Verdana" w:eastAsia="Calibri" w:hAnsi="Verdana" w:cs="Arial"/>
          <w:lang w:val="es-ES"/>
        </w:rPr>
        <w:t xml:space="preserve"> que demanden actuaciones inmediatas, causa que –conforme se analiza en el siguiente acápite– exige tener en cuenta lo </w:t>
      </w:r>
      <w:r>
        <w:rPr>
          <w:rFonts w:ascii="Verdana" w:eastAsia="Calibri" w:hAnsi="Verdana" w:cs="Arial"/>
          <w:lang w:val="es-ES"/>
        </w:rPr>
        <w:t>previsto en la Ley 1523 de 2012, la cual dispone que</w:t>
      </w:r>
      <w:r w:rsidRPr="00D93A6C">
        <w:rPr>
          <w:rFonts w:ascii="Verdana" w:eastAsia="Calibri" w:hAnsi="Verdana" w:cs="Arial"/>
          <w:lang w:val="es-ES_tradnl"/>
        </w:rPr>
        <w:t>, una vez se declara la situación de calamidad o la situación de desastre bajo los criterios señalados en el artículo 59 de</w:t>
      </w:r>
      <w:r>
        <w:rPr>
          <w:rFonts w:ascii="Verdana" w:eastAsia="Calibri" w:hAnsi="Verdana" w:cs="Arial"/>
          <w:lang w:val="es-ES_tradnl"/>
        </w:rPr>
        <w:t xml:space="preserve"> la precitada ley</w:t>
      </w:r>
      <w:r w:rsidRPr="00D93A6C">
        <w:rPr>
          <w:rFonts w:ascii="Verdana" w:eastAsia="Calibri" w:hAnsi="Verdana" w:cs="Arial"/>
          <w:lang w:val="es-ES_tradnl"/>
        </w:rPr>
        <w:t xml:space="preserve">,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w:t>
      </w:r>
      <w:r w:rsidRPr="0061155F">
        <w:rPr>
          <w:rFonts w:ascii="Verdana" w:eastAsia="Calibri" w:hAnsi="Verdana" w:cs="Arial"/>
          <w:lang w:val="es-ES_tradnl"/>
        </w:rPr>
        <w:t xml:space="preserve">fundamento fáctico y jurídico la declaración de situación de calamidad o la situación de desastre. </w:t>
      </w:r>
    </w:p>
    <w:p w14:paraId="4BE56387" w14:textId="77777777" w:rsidR="00F66F14" w:rsidRPr="0061155F" w:rsidRDefault="00F66F14" w:rsidP="00F66F14">
      <w:pPr>
        <w:spacing w:after="120" w:line="276" w:lineRule="auto"/>
        <w:ind w:firstLine="709"/>
        <w:jc w:val="both"/>
        <w:rPr>
          <w:rFonts w:ascii="Verdana" w:eastAsia="Calibri" w:hAnsi="Verdana" w:cs="Arial"/>
          <w:lang w:val="es-ES"/>
        </w:rPr>
      </w:pPr>
      <w:r w:rsidRPr="0061155F">
        <w:rPr>
          <w:rFonts w:ascii="Verdana" w:eastAsia="Calibri" w:hAnsi="Verdana" w:cs="Arial"/>
          <w:lang w:val="es-ES"/>
        </w:rPr>
        <w:lastRenderedPageBreak/>
        <w:t>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ii) el segundo, la declaración propiamente dicha de “urgencia manifiesta” de que trata el artículo 42 del Estatuto General de Contratación, amparado o fundamentado en la declaración previa del desastre o calamidad.</w:t>
      </w:r>
    </w:p>
    <w:p w14:paraId="3A28018B" w14:textId="77777777" w:rsidR="00F66F14" w:rsidRPr="0057211B" w:rsidRDefault="00F66F14" w:rsidP="00F66F14">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w:t>
      </w:r>
      <w:r>
        <w:rPr>
          <w:rFonts w:ascii="Verdana" w:eastAsia="Calibri" w:hAnsi="Verdana" w:cs="Arial"/>
          <w:lang w:val="es-ES"/>
        </w:rPr>
        <w:t>Esto</w:t>
      </w:r>
      <w:r w:rsidRPr="736CB040">
        <w:rPr>
          <w:rFonts w:ascii="Verdana" w:eastAsia="Calibri" w:hAnsi="Verdana" w:cs="Arial"/>
          <w:lang w:val="es-ES"/>
        </w:rPr>
        <w:t xml:space="preserve">, porque la situación de calamidad pública o la situación de desastre depende tanto de la ocurrencia de los hechos que dan lugar a las mismas como de la declaración del órgano competente, de manera que ninguna se configura a falta de alguna de estas condiciones. </w:t>
      </w:r>
      <w:r>
        <w:rPr>
          <w:rFonts w:ascii="Verdana" w:eastAsia="Calibri" w:hAnsi="Verdana" w:cs="Arial"/>
          <w:lang w:val="es-ES"/>
        </w:rPr>
        <w:t>En efecto, 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r w:rsidRPr="48C53EE2">
        <w:rPr>
          <w:rFonts w:ascii="Verdana" w:eastAsia="Calibri" w:hAnsi="Verdana" w:cs="Arial"/>
          <w:lang w:val="es-ES"/>
        </w:rPr>
        <w:t xml:space="preserve">Lo anterior sin perjuicio de que, conforme a la </w:t>
      </w:r>
      <w:r w:rsidRPr="48C53EE2">
        <w:rPr>
          <w:rFonts w:ascii="Verdana" w:eastAsia="Calibri" w:hAnsi="Verdana" w:cs="Arial"/>
          <w:i/>
          <w:lang w:val="es-ES"/>
        </w:rPr>
        <w:t>cuarta circunstancia</w:t>
      </w:r>
      <w:r>
        <w:rPr>
          <w:rFonts w:ascii="Verdana" w:eastAsia="Calibri" w:hAnsi="Verdana" w:cs="Arial"/>
          <w:i/>
          <w:lang w:val="es-ES"/>
        </w:rPr>
        <w:t xml:space="preserve"> </w:t>
      </w:r>
      <w:r w:rsidRPr="0057211B">
        <w:rPr>
          <w:rFonts w:ascii="Verdana" w:eastAsia="Calibri" w:hAnsi="Verdana" w:cs="Arial"/>
          <w:lang w:val="es-ES"/>
        </w:rPr>
        <w:t>regulada en el artículo 42 de la Ley 80 de 1993</w:t>
      </w:r>
      <w:r w:rsidRPr="48C53EE2">
        <w:rPr>
          <w:rFonts w:ascii="Verdana" w:eastAsia="Calibri" w:hAnsi="Verdana" w:cs="Arial"/>
          <w:lang w:val="es-ES"/>
        </w:rPr>
        <w:t xml:space="preserve">, surjan situaciones similares que imposibiliten acudir a los procedimientos de selección o concurso públicos. </w:t>
      </w:r>
    </w:p>
    <w:p w14:paraId="2BD0009F" w14:textId="77777777" w:rsidR="00F66F14" w:rsidRPr="00BE5FE3" w:rsidRDefault="00F66F14" w:rsidP="00F66F14">
      <w:pPr>
        <w:spacing w:after="120" w:line="276" w:lineRule="auto"/>
        <w:ind w:firstLine="708"/>
        <w:jc w:val="both"/>
        <w:rPr>
          <w:rFonts w:ascii="Verdana" w:eastAsia="Calibri" w:hAnsi="Verdana" w:cs="Arial"/>
          <w:lang w:val="es-ES_tradnl"/>
        </w:rPr>
      </w:pPr>
      <w:bookmarkStart w:id="18" w:name="_Hlk132729706"/>
      <w:r w:rsidRPr="00BE5FE3">
        <w:rPr>
          <w:rFonts w:ascii="Verdana" w:eastAsia="Calibri" w:hAnsi="Verdana" w:cs="Arial"/>
          <w:lang w:val="es-ES_tradnl"/>
        </w:rPr>
        <w:t xml:space="preserve">El elemento común en los cuatro (4) eventos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servicio, e impiden acudir a los procedimientos de selección ordinarios, es decir, </w:t>
      </w:r>
      <w:r w:rsidRPr="00BE5FE3">
        <w:rPr>
          <w:rFonts w:ascii="Verdana" w:eastAsia="Calibri" w:hAnsi="Verdana" w:cs="Arial"/>
          <w:lang w:val="es-ES_tradnl"/>
        </w:rPr>
        <w:lastRenderedPageBreak/>
        <w:t>a la licitación pública, la selección abreviada, el concurso de méritos y la contratación de mínima cuantía</w:t>
      </w:r>
      <w:r w:rsidRPr="00BE5FE3">
        <w:rPr>
          <w:rStyle w:val="Refdenotaalpie"/>
          <w:rFonts w:ascii="Verdana" w:eastAsia="Calibri" w:hAnsi="Verdana" w:cs="Arial"/>
          <w:sz w:val="21"/>
          <w:szCs w:val="21"/>
          <w:lang w:val="es-ES_tradnl"/>
        </w:rPr>
        <w:footnoteReference w:id="19"/>
      </w:r>
      <w:r w:rsidRPr="00BE5FE3">
        <w:rPr>
          <w:rFonts w:ascii="Verdana" w:eastAsia="Calibri" w:hAnsi="Verdana" w:cs="Arial"/>
          <w:sz w:val="21"/>
          <w:szCs w:val="21"/>
          <w:lang w:val="es-ES_tradnl"/>
        </w:rPr>
        <w:t>.</w:t>
      </w:r>
    </w:p>
    <w:bookmarkEnd w:id="18"/>
    <w:p w14:paraId="65B4A668" w14:textId="77777777" w:rsidR="00F66F14" w:rsidRPr="00BE5FE3" w:rsidRDefault="00F66F14" w:rsidP="00F66F14">
      <w:pPr>
        <w:spacing w:after="120" w:line="276" w:lineRule="auto"/>
        <w:ind w:firstLine="709"/>
        <w:jc w:val="both"/>
        <w:rPr>
          <w:rFonts w:ascii="Verdana" w:eastAsia="Calibri" w:hAnsi="Verdana" w:cs="Arial"/>
          <w:lang w:val="es-ES_tradnl"/>
        </w:rPr>
      </w:pPr>
      <w:r w:rsidRPr="00C16D58">
        <w:rPr>
          <w:rFonts w:ascii="Verdana" w:eastAsia="Calibri" w:hAnsi="Verdana" w:cs="Arial"/>
          <w:lang w:val="es-ES_tradnl"/>
        </w:rPr>
        <w:t xml:space="preserve">Se insiste en que cuando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C16D58">
        <w:rPr>
          <w:rFonts w:ascii="Verdana" w:eastAsia="Calibri" w:hAnsi="Verdana" w:cs="Arial"/>
          <w:i/>
          <w:iCs/>
          <w:lang w:val="es-ES_tradnl"/>
        </w:rPr>
        <w:t>ibidem</w:t>
      </w:r>
      <w:r w:rsidRPr="00C16D58">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5E60CB08" w14:textId="77777777" w:rsidR="00F66F14" w:rsidRDefault="00F66F14" w:rsidP="00F66F14">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la Corte Constitucional en la Sentencia C-772 de 1998, “[…] bajo el entendimiento de que los traslados presupuestales internos a que se refiere dicha norma se efectúen afectando exclusivamente el anexo del decreto de liquidación del Presupuesto”</w:t>
      </w:r>
      <w:r w:rsidRPr="3683B926">
        <w:rPr>
          <w:rFonts w:ascii="Verdana" w:eastAsia="Calibri" w:hAnsi="Verdana" w:cs="Arial"/>
          <w:vertAlign w:val="superscript"/>
          <w:lang w:val="es-ES"/>
        </w:rPr>
        <w:footnoteReference w:id="20"/>
      </w:r>
      <w:r w:rsidRPr="3683B926">
        <w:rPr>
          <w:rFonts w:ascii="Verdana" w:eastAsia="Calibri" w:hAnsi="Verdana" w:cs="Arial"/>
          <w:lang w:val="es-ES"/>
        </w:rPr>
        <w:t xml:space="preserve">. </w:t>
      </w:r>
    </w:p>
    <w:p w14:paraId="4259D749" w14:textId="77777777" w:rsidR="00F66F14" w:rsidRPr="00793F58" w:rsidRDefault="00F66F14" w:rsidP="00F66F14">
      <w:pPr>
        <w:spacing w:after="120" w:line="276" w:lineRule="auto"/>
        <w:ind w:firstLine="708"/>
        <w:jc w:val="both"/>
        <w:rPr>
          <w:rFonts w:ascii="Verdana" w:eastAsia="Arial" w:hAnsi="Verdana" w:cs="Arial"/>
          <w:bCs/>
          <w:lang w:eastAsia="es-ES" w:bidi="es-ES"/>
        </w:rPr>
      </w:pPr>
      <w:r w:rsidRPr="00793F58">
        <w:rPr>
          <w:rFonts w:ascii="Verdana" w:eastAsia="Arial" w:hAnsi="Verdana" w:cs="Arial"/>
          <w:bCs/>
          <w:lang w:eastAsia="es-ES" w:bidi="es-ES"/>
        </w:rPr>
        <w:t xml:space="preserve">En este escenario, el rector, como funcionario competente para la celebración de contratos, puede declarar la urgencia manifiesta prevista en el artículo 42 de la Ley 80 de 1993, siempre que la contratación que se pretenda </w:t>
      </w:r>
      <w:r w:rsidRPr="00793F58">
        <w:rPr>
          <w:rFonts w:ascii="Verdana" w:eastAsia="Arial" w:hAnsi="Verdana" w:cs="Arial"/>
          <w:bCs/>
          <w:lang w:eastAsia="es-ES" w:bidi="es-ES"/>
        </w:rPr>
        <w:lastRenderedPageBreak/>
        <w:t>adelantar esté sometida al Estatuto General de Contratación de la Administración Pública. Esto ocurre cuando el valor del contrato supera la cuantía de los veinte (20) salarios mínimo</w:t>
      </w:r>
      <w:r>
        <w:rPr>
          <w:rFonts w:ascii="Verdana" w:eastAsia="Arial" w:hAnsi="Verdana" w:cs="Arial"/>
          <w:bCs/>
          <w:lang w:eastAsia="es-ES" w:bidi="es-ES"/>
        </w:rPr>
        <w:t>s legales mensuales vigentes, evento en el cual resulta aplicable el EGCAP, y en esta línea, la institución de la urgencia manifiesta.</w:t>
      </w:r>
    </w:p>
    <w:p w14:paraId="0BA4DC25" w14:textId="77777777" w:rsidR="00F66F14" w:rsidRPr="00793F58" w:rsidRDefault="00F66F14" w:rsidP="00F66F14">
      <w:pPr>
        <w:spacing w:after="0" w:line="276" w:lineRule="auto"/>
        <w:ind w:firstLine="709"/>
        <w:jc w:val="both"/>
        <w:rPr>
          <w:rFonts w:ascii="Verdana" w:eastAsia="Arial" w:hAnsi="Verdana" w:cs="Arial"/>
          <w:bCs/>
          <w:lang w:eastAsia="es-ES" w:bidi="es-ES"/>
        </w:rPr>
      </w:pPr>
      <w:r w:rsidRPr="00793F58">
        <w:rPr>
          <w:rFonts w:ascii="Verdana" w:eastAsia="Arial" w:hAnsi="Verdana" w:cs="Arial"/>
          <w:bCs/>
          <w:lang w:eastAsia="es-ES" w:bidi="es-ES"/>
        </w:rPr>
        <w:t>Ahora bien, cuando se trata de contrataciones cuyo valor no excede la citada cuantía, estas no se rigen por la Ley 80 de 1993, sino por las reglas y condiciones e</w:t>
      </w:r>
      <w:r>
        <w:rPr>
          <w:rFonts w:ascii="Verdana" w:eastAsia="Arial" w:hAnsi="Verdana" w:cs="Arial"/>
          <w:bCs/>
          <w:lang w:eastAsia="es-ES" w:bidi="es-ES"/>
        </w:rPr>
        <w:t>stablecidas en el Reglamento que expidió el</w:t>
      </w:r>
      <w:r w:rsidRPr="00793F58">
        <w:rPr>
          <w:rFonts w:ascii="Verdana" w:eastAsia="Arial" w:hAnsi="Verdana" w:cs="Arial"/>
          <w:bCs/>
          <w:lang w:eastAsia="es-ES" w:bidi="es-ES"/>
        </w:rPr>
        <w:t xml:space="preserve"> Consejo Directivo de la institución educativa</w:t>
      </w:r>
      <w:r>
        <w:rPr>
          <w:rFonts w:ascii="Verdana" w:eastAsia="Arial" w:hAnsi="Verdana" w:cs="Arial"/>
          <w:bCs/>
          <w:lang w:eastAsia="es-ES" w:bidi="es-ES"/>
        </w:rPr>
        <w:t>, de acuerdo a lo prescrito en el artículo 13 de la Ley 715 de 2001</w:t>
      </w:r>
      <w:r w:rsidRPr="00793F58">
        <w:rPr>
          <w:rFonts w:ascii="Verdana" w:eastAsia="Arial" w:hAnsi="Verdana" w:cs="Arial"/>
          <w:bCs/>
          <w:lang w:eastAsia="es-ES" w:bidi="es-ES"/>
        </w:rPr>
        <w:t>.</w:t>
      </w:r>
      <w:r>
        <w:rPr>
          <w:rFonts w:ascii="Verdana" w:eastAsia="Arial" w:hAnsi="Verdana" w:cs="Arial"/>
          <w:bCs/>
          <w:lang w:eastAsia="es-ES" w:bidi="es-ES"/>
        </w:rPr>
        <w:t xml:space="preserve"> Por tanto</w:t>
      </w:r>
      <w:r w:rsidRPr="00793F58">
        <w:rPr>
          <w:rFonts w:ascii="Verdana" w:eastAsia="Arial" w:hAnsi="Verdana" w:cs="Arial"/>
          <w:bCs/>
          <w:lang w:eastAsia="es-ES" w:bidi="es-ES"/>
        </w:rPr>
        <w:t>, en este ámbito el rector debe ajustar su actuación a lo dispuesto por dicho reglamento, sin que resulte procedente la aplicación de figuras propias del Estatuto General de Contratación, como la urgencia manifiesta, salvo que expresamente se encuentren previstas en la normativa interna aplicable.</w:t>
      </w:r>
    </w:p>
    <w:p w14:paraId="4E9E3C00" w14:textId="77777777" w:rsidR="00F66F14" w:rsidRPr="00793F58" w:rsidRDefault="00F66F14" w:rsidP="00F66F14">
      <w:pPr>
        <w:spacing w:after="0" w:line="276" w:lineRule="auto"/>
        <w:jc w:val="both"/>
        <w:rPr>
          <w:rFonts w:ascii="Verdana" w:eastAsia="Arial" w:hAnsi="Verdana" w:cs="Arial"/>
          <w:bCs/>
          <w:lang w:eastAsia="es-ES" w:bidi="es-ES"/>
        </w:rPr>
      </w:pPr>
    </w:p>
    <w:p w14:paraId="2770AD8F" w14:textId="77777777" w:rsidR="00F66F14" w:rsidRPr="00AF1D17" w:rsidRDefault="00F66F14" w:rsidP="00F66F14">
      <w:pPr>
        <w:spacing w:after="120" w:line="276" w:lineRule="auto"/>
        <w:jc w:val="both"/>
        <w:rPr>
          <w:rFonts w:ascii="Verdana" w:eastAsia="Times New Roman" w:hAnsi="Verdana" w:cs="Arial"/>
          <w:lang w:eastAsia="es-CO"/>
        </w:rPr>
      </w:pPr>
      <w:r>
        <w:rPr>
          <w:rFonts w:ascii="Verdana" w:hAnsi="Verdana" w:cs="Arial"/>
          <w:lang w:eastAsia="es-ES"/>
        </w:rPr>
        <w:t xml:space="preserve">iii. </w:t>
      </w: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8BF0D75" w14:textId="77777777" w:rsidR="00F66F14" w:rsidRPr="00380CA4" w:rsidRDefault="00F66F14" w:rsidP="00F66F14">
      <w:pPr>
        <w:spacing w:after="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474186C" w14:textId="5693E21A" w:rsidR="00F66F14" w:rsidRDefault="00F66F14" w:rsidP="00F66F14">
      <w:pPr>
        <w:spacing w:after="0" w:line="276" w:lineRule="auto"/>
        <w:jc w:val="both"/>
        <w:rPr>
          <w:rFonts w:ascii="Verdana" w:eastAsia="Calibri" w:hAnsi="Verdana" w:cs="Arial"/>
          <w:lang w:eastAsia="es-MX"/>
        </w:rPr>
      </w:pPr>
    </w:p>
    <w:p w14:paraId="0255D0AC" w14:textId="1154FCD7" w:rsidR="00662EF3" w:rsidRDefault="00662EF3" w:rsidP="00F66F14">
      <w:pPr>
        <w:spacing w:after="0" w:line="276" w:lineRule="auto"/>
        <w:jc w:val="both"/>
        <w:rPr>
          <w:rFonts w:ascii="Verdana" w:eastAsia="Calibri" w:hAnsi="Verdana" w:cs="Arial"/>
          <w:lang w:eastAsia="es-MX"/>
        </w:rPr>
      </w:pPr>
    </w:p>
    <w:p w14:paraId="04748213" w14:textId="77777777" w:rsidR="00662EF3" w:rsidRPr="00380CA4" w:rsidRDefault="00662EF3" w:rsidP="00F66F14">
      <w:pPr>
        <w:spacing w:after="0" w:line="276" w:lineRule="auto"/>
        <w:jc w:val="both"/>
        <w:rPr>
          <w:rFonts w:ascii="Verdana" w:eastAsia="Calibri" w:hAnsi="Verdana" w:cs="Arial"/>
          <w:lang w:eastAsia="es-MX"/>
        </w:rPr>
      </w:pPr>
    </w:p>
    <w:p w14:paraId="34D9B5AF" w14:textId="77777777" w:rsidR="00F66F14" w:rsidRPr="00380CA4" w:rsidRDefault="00F66F14" w:rsidP="00F66F14">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Pr>
          <w:rFonts w:ascii="Verdana" w:eastAsia="Century Gothic" w:hAnsi="Verdana" w:cs="Century Gothic"/>
          <w:b/>
          <w:bCs/>
          <w:lang w:val="es-CO"/>
        </w:rPr>
        <w:lastRenderedPageBreak/>
        <w:t>Referencias normativas, jurisprudenciales y otras fuentes:</w:t>
      </w:r>
      <w:r w:rsidRPr="00380CA4">
        <w:rPr>
          <w:rFonts w:ascii="Verdana" w:eastAsia="Century Gothic" w:hAnsi="Verdana" w:cs="Century Gothic"/>
          <w:b/>
          <w:bCs/>
          <w:lang w:val="es-CO"/>
        </w:rPr>
        <w:t xml:space="preserve"> </w:t>
      </w:r>
    </w:p>
    <w:p w14:paraId="1F1BDB3C" w14:textId="77777777" w:rsidR="00F66F14" w:rsidRPr="00380CA4" w:rsidRDefault="00F66F14" w:rsidP="00F66F1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66F14" w:rsidRPr="00380CA4" w14:paraId="13B7D662" w14:textId="77777777" w:rsidTr="00B21DA7">
        <w:trPr>
          <w:trHeight w:val="487"/>
          <w:jc w:val="center"/>
        </w:trPr>
        <w:tc>
          <w:tcPr>
            <w:tcW w:w="8647" w:type="dxa"/>
          </w:tcPr>
          <w:p w14:paraId="0AB64C6A" w14:textId="77777777" w:rsidR="00F66F14" w:rsidRDefault="00F66F14" w:rsidP="00F66F14">
            <w:pPr>
              <w:widowControl w:val="0"/>
              <w:numPr>
                <w:ilvl w:val="0"/>
                <w:numId w:val="17"/>
              </w:numPr>
              <w:autoSpaceDE w:val="0"/>
              <w:autoSpaceDN w:val="0"/>
              <w:spacing w:after="120" w:line="276" w:lineRule="auto"/>
              <w:ind w:left="714" w:hanging="357"/>
              <w:jc w:val="both"/>
              <w:rPr>
                <w:rFonts w:ascii="Verdana" w:eastAsia="Calibri" w:hAnsi="Verdana" w:cs="Arial"/>
              </w:rPr>
            </w:pPr>
            <w:r w:rsidRPr="00357965">
              <w:rPr>
                <w:rFonts w:ascii="Verdana" w:eastAsia="Calibri" w:hAnsi="Verdana" w:cs="Arial"/>
              </w:rPr>
              <w:t xml:space="preserve">Ley 80 de 1993, artículos 13, 32, 40 y 42. </w:t>
            </w:r>
          </w:p>
          <w:p w14:paraId="0E9E3A27" w14:textId="77777777" w:rsidR="00F66F14" w:rsidRDefault="00F66F14" w:rsidP="00F66F14">
            <w:pPr>
              <w:widowControl w:val="0"/>
              <w:numPr>
                <w:ilvl w:val="0"/>
                <w:numId w:val="17"/>
              </w:numPr>
              <w:autoSpaceDE w:val="0"/>
              <w:autoSpaceDN w:val="0"/>
              <w:spacing w:after="120" w:line="276" w:lineRule="auto"/>
              <w:ind w:left="714" w:hanging="357"/>
              <w:jc w:val="both"/>
              <w:rPr>
                <w:rFonts w:ascii="Verdana" w:eastAsia="Calibri" w:hAnsi="Verdana" w:cs="Arial"/>
              </w:rPr>
            </w:pPr>
            <w:r>
              <w:rPr>
                <w:rFonts w:ascii="Verdana" w:eastAsia="Calibri" w:hAnsi="Verdana" w:cs="Arial"/>
              </w:rPr>
              <w:t xml:space="preserve">Ley 715 de 2001, artículo 13. </w:t>
            </w:r>
          </w:p>
          <w:p w14:paraId="6729B41F" w14:textId="77777777" w:rsidR="00F66F14" w:rsidRDefault="00F66F14" w:rsidP="00F66F14">
            <w:pPr>
              <w:widowControl w:val="0"/>
              <w:numPr>
                <w:ilvl w:val="0"/>
                <w:numId w:val="17"/>
              </w:numPr>
              <w:autoSpaceDE w:val="0"/>
              <w:autoSpaceDN w:val="0"/>
              <w:spacing w:after="120" w:line="276" w:lineRule="auto"/>
              <w:ind w:left="714" w:hanging="357"/>
              <w:jc w:val="both"/>
              <w:rPr>
                <w:rFonts w:ascii="Verdana" w:eastAsia="Calibri" w:hAnsi="Verdana" w:cs="Arial"/>
              </w:rPr>
            </w:pPr>
            <w:r>
              <w:rPr>
                <w:rFonts w:ascii="Verdana" w:eastAsia="Calibri" w:hAnsi="Verdana" w:cs="Arial"/>
              </w:rPr>
              <w:t xml:space="preserve">Decreto 4791 de 2008. </w:t>
            </w:r>
          </w:p>
          <w:p w14:paraId="45EFEDD1" w14:textId="77777777" w:rsidR="00F66F14" w:rsidRDefault="00F66F14" w:rsidP="00F66F14">
            <w:pPr>
              <w:widowControl w:val="0"/>
              <w:numPr>
                <w:ilvl w:val="0"/>
                <w:numId w:val="17"/>
              </w:numPr>
              <w:autoSpaceDE w:val="0"/>
              <w:autoSpaceDN w:val="0"/>
              <w:spacing w:after="120" w:line="276" w:lineRule="auto"/>
              <w:ind w:left="714" w:hanging="357"/>
              <w:jc w:val="both"/>
              <w:rPr>
                <w:rFonts w:ascii="Verdana" w:eastAsia="Calibri" w:hAnsi="Verdana" w:cs="Arial"/>
                <w:lang w:val="es-ES"/>
              </w:rPr>
            </w:pPr>
            <w:r>
              <w:rPr>
                <w:rFonts w:ascii="Verdana" w:eastAsia="Calibri" w:hAnsi="Verdana" w:cs="Arial"/>
              </w:rPr>
              <w:t xml:space="preserve">Decreto 1075 de 2015, artículos </w:t>
            </w:r>
            <w:r w:rsidRPr="00541FC5">
              <w:rPr>
                <w:rFonts w:ascii="Verdana" w:eastAsia="Calibri" w:hAnsi="Verdana" w:cs="Arial"/>
                <w:lang w:val="es-MX"/>
              </w:rPr>
              <w:t>Artículo 2.3.1.6.3.4.</w:t>
            </w:r>
            <w:r>
              <w:rPr>
                <w:rFonts w:ascii="Verdana" w:eastAsia="Calibri" w:hAnsi="Verdana" w:cs="Arial"/>
                <w:lang w:val="es-MX"/>
              </w:rPr>
              <w:t xml:space="preserve">, Artículo 2.3.1.6.3.5., </w:t>
            </w:r>
            <w:r w:rsidRPr="00541FC5">
              <w:rPr>
                <w:rFonts w:ascii="Verdana" w:eastAsia="Calibri" w:hAnsi="Verdana" w:cs="Arial"/>
              </w:rPr>
              <w:t>2.3.1.6.3.3.</w:t>
            </w:r>
            <w:r>
              <w:rPr>
                <w:rFonts w:ascii="Verdana" w:eastAsia="Calibri" w:hAnsi="Verdana" w:cs="Arial"/>
              </w:rPr>
              <w:t>,</w:t>
            </w:r>
            <w:r>
              <w:rPr>
                <w:rFonts w:ascii="Verdana" w:eastAsia="Calibri" w:hAnsi="Verdana" w:cs="Arial"/>
                <w:lang w:val="es-ES"/>
              </w:rPr>
              <w:t xml:space="preserve"> 2.3.6.3.17.</w:t>
            </w:r>
            <w:r w:rsidRPr="00541FC5">
              <w:rPr>
                <w:rFonts w:ascii="Verdana" w:eastAsia="Calibri" w:hAnsi="Verdana" w:cs="Arial"/>
                <w:lang w:val="es-ES"/>
              </w:rPr>
              <w:t>, 2.3.1.3.6.5</w:t>
            </w:r>
            <w:r>
              <w:rPr>
                <w:rFonts w:ascii="Verdana" w:eastAsia="Calibri" w:hAnsi="Verdana" w:cs="Arial"/>
                <w:lang w:val="es-ES"/>
              </w:rPr>
              <w:t>.</w:t>
            </w:r>
          </w:p>
          <w:p w14:paraId="20833BA0"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CONSEJO DE ESTADO. Sala de Consulta y de Servicio Civil. Concepto del 28 de enero de 1998. Rad. 1.073. C.P. Javier Henao Hidrón.</w:t>
            </w:r>
          </w:p>
          <w:p w14:paraId="659334A7"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 xml:space="preserve">CONSEJO DE ESTADO. Sección Tercera. Sentencia del 27 de abril de 2006. Rad. 5.229. C.P. Ramiro Saavedra Becerra. </w:t>
            </w:r>
          </w:p>
          <w:p w14:paraId="5B57C81A"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CONSEJO DE ESTADO. Sección Tercera. Subsección C. Sentencia del 7 de febrero de 2011. Rad. 34.425. C.P. Jaime Orlando Santofimio Gamboa.</w:t>
            </w:r>
          </w:p>
          <w:p w14:paraId="51A47AB1"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CORTE CONSTITUCIONAL. Sentencia C-772 de 1998. M.P. Fabio Morón Díaz.</w:t>
            </w:r>
          </w:p>
          <w:p w14:paraId="2E03ABB3"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 xml:space="preserve">BENAVIDES, José Luis. El contrato estatal: entre el derecho público y el derecho privado. Segunda edición. Bogotá: Universidad Externado de Colombia, 2009. pp. 78-79.     </w:t>
            </w:r>
          </w:p>
          <w:p w14:paraId="5DDEABDF"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 xml:space="preserve">BETANCUR JARAMILLO, Carlos. Derecho procesal administrativo. Cuarta edición. Medellín: Señal Editora, 1994. pp. 522-523. </w:t>
            </w:r>
          </w:p>
          <w:p w14:paraId="42746C8B"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 xml:space="preserve">DROMI, José Roberto. La licitación pública. Buenos Aires: Ciudad Argentina, 1980. </w:t>
            </w:r>
          </w:p>
          <w:p w14:paraId="0774E4DE"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GORDILLO, Agustín. Tratado de derecho administrativo y obras selectas. Tomo IX. Buenos Aires: FDA, 2014. p. XVI-16.</w:t>
            </w:r>
          </w:p>
          <w:p w14:paraId="2A7CE05B" w14:textId="77777777" w:rsidR="00F66F14" w:rsidRPr="00541FC5" w:rsidRDefault="00F66F14" w:rsidP="00F66F14">
            <w:pPr>
              <w:widowControl w:val="0"/>
              <w:numPr>
                <w:ilvl w:val="0"/>
                <w:numId w:val="17"/>
              </w:numPr>
              <w:autoSpaceDE w:val="0"/>
              <w:autoSpaceDN w:val="0"/>
              <w:spacing w:after="120" w:line="276" w:lineRule="auto"/>
              <w:jc w:val="both"/>
              <w:rPr>
                <w:rFonts w:ascii="Verdana" w:eastAsia="Calibri" w:hAnsi="Verdana" w:cs="Arial"/>
                <w:lang w:val="es-ES"/>
              </w:rPr>
            </w:pPr>
            <w:r w:rsidRPr="00541FC5">
              <w:rPr>
                <w:rFonts w:ascii="Verdana" w:eastAsia="Calibri" w:hAnsi="Verdana" w:cs="Arial"/>
                <w:lang w:val="es-ES"/>
              </w:rPr>
              <w:t xml:space="preserve">MATALLANA CAMACHO, Ernesto. Manual de contratación de la administración pública. Segunda Edición. Bogotá: Universidad Externado de Colombia, 2009. </w:t>
            </w:r>
          </w:p>
        </w:tc>
      </w:tr>
    </w:tbl>
    <w:p w14:paraId="0EA8207B" w14:textId="4203E96B" w:rsidR="00F66F14" w:rsidRDefault="00F66F14" w:rsidP="00F66F14">
      <w:pPr>
        <w:widowControl w:val="0"/>
        <w:autoSpaceDE w:val="0"/>
        <w:autoSpaceDN w:val="0"/>
        <w:spacing w:after="0" w:line="276" w:lineRule="auto"/>
        <w:jc w:val="both"/>
        <w:rPr>
          <w:rFonts w:ascii="Verdana" w:hAnsi="Verdana" w:cs="Arial"/>
        </w:rPr>
      </w:pPr>
    </w:p>
    <w:p w14:paraId="2B1E8B29" w14:textId="74B50BFF" w:rsidR="00662EF3" w:rsidRDefault="00662EF3" w:rsidP="00F66F14">
      <w:pPr>
        <w:widowControl w:val="0"/>
        <w:autoSpaceDE w:val="0"/>
        <w:autoSpaceDN w:val="0"/>
        <w:spacing w:after="0" w:line="276" w:lineRule="auto"/>
        <w:jc w:val="both"/>
        <w:rPr>
          <w:rFonts w:ascii="Verdana" w:hAnsi="Verdana" w:cs="Arial"/>
        </w:rPr>
      </w:pPr>
    </w:p>
    <w:p w14:paraId="609A3D68" w14:textId="77777777" w:rsidR="00662EF3" w:rsidRPr="00380CA4" w:rsidRDefault="00662EF3" w:rsidP="00F66F14">
      <w:pPr>
        <w:widowControl w:val="0"/>
        <w:autoSpaceDE w:val="0"/>
        <w:autoSpaceDN w:val="0"/>
        <w:spacing w:after="0" w:line="276" w:lineRule="auto"/>
        <w:jc w:val="both"/>
        <w:rPr>
          <w:rFonts w:ascii="Verdana" w:hAnsi="Verdana" w:cs="Arial"/>
        </w:rPr>
      </w:pPr>
    </w:p>
    <w:p w14:paraId="62F2CEF8" w14:textId="77777777" w:rsidR="00F66F14" w:rsidRPr="00380CA4" w:rsidRDefault="00F66F14" w:rsidP="00F66F14">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sidRPr="00380CA4">
        <w:rPr>
          <w:rFonts w:ascii="Verdana" w:eastAsia="Century Gothic" w:hAnsi="Verdana" w:cs="Century Gothic"/>
          <w:b/>
          <w:bCs/>
          <w:lang w:val="es-CO"/>
        </w:rPr>
        <w:lastRenderedPageBreak/>
        <w:t>Doctrina de la Agencia Nacional de Contratación Pública:</w:t>
      </w:r>
    </w:p>
    <w:p w14:paraId="17FAFA74" w14:textId="77777777" w:rsidR="00F66F14" w:rsidRPr="00380CA4" w:rsidRDefault="00F66F14" w:rsidP="00F66F14">
      <w:pPr>
        <w:widowControl w:val="0"/>
        <w:autoSpaceDE w:val="0"/>
        <w:autoSpaceDN w:val="0"/>
        <w:spacing w:after="0" w:line="276" w:lineRule="auto"/>
        <w:jc w:val="both"/>
        <w:rPr>
          <w:rFonts w:ascii="Verdana" w:hAnsi="Verdana" w:cs="Arial"/>
        </w:rPr>
      </w:pPr>
    </w:p>
    <w:p w14:paraId="1266FF5F" w14:textId="77777777" w:rsidR="00F66F14" w:rsidRPr="00C04BE5" w:rsidRDefault="00F66F14" w:rsidP="00F66F14">
      <w:pPr>
        <w:widowControl w:val="0"/>
        <w:autoSpaceDE w:val="0"/>
        <w:autoSpaceDN w:val="0"/>
        <w:spacing w:after="0" w:line="276" w:lineRule="auto"/>
        <w:jc w:val="both"/>
        <w:rPr>
          <w:rFonts w:ascii="Verdana" w:eastAsia="Calibri" w:hAnsi="Verdana" w:cs="Times New Roman"/>
        </w:rPr>
      </w:pPr>
      <w:r w:rsidRPr="00CF6A58">
        <w:rPr>
          <w:rFonts w:ascii="Verdana" w:hAnsi="Verdana"/>
        </w:rPr>
        <w:t>Sobre</w:t>
      </w:r>
      <w:r w:rsidRPr="00CF6A58">
        <w:rPr>
          <w:rFonts w:ascii="Verdana" w:hAnsi="Verdana"/>
          <w:spacing w:val="1"/>
        </w:rPr>
        <w:t xml:space="preserve"> </w:t>
      </w:r>
      <w:r w:rsidRPr="00CF6A58">
        <w:rPr>
          <w:rFonts w:ascii="Verdana" w:hAnsi="Verdana"/>
        </w:rPr>
        <w:t>régimen de contratación de las instituciones educativas oficiales, esta</w:t>
      </w:r>
      <w:r w:rsidRPr="00CF6A58">
        <w:rPr>
          <w:rFonts w:ascii="Verdana" w:hAnsi="Verdana"/>
          <w:spacing w:val="1"/>
        </w:rPr>
        <w:t xml:space="preserve"> </w:t>
      </w:r>
      <w:r w:rsidRPr="00CF6A58">
        <w:rPr>
          <w:rFonts w:ascii="Verdana" w:hAnsi="Verdana"/>
        </w:rPr>
        <w:t>Subdirección</w:t>
      </w:r>
      <w:r w:rsidRPr="00CF6A58">
        <w:rPr>
          <w:rFonts w:ascii="Verdana" w:hAnsi="Verdana"/>
          <w:spacing w:val="-12"/>
        </w:rPr>
        <w:t xml:space="preserve"> </w:t>
      </w:r>
      <w:r w:rsidRPr="00CF6A58">
        <w:rPr>
          <w:rFonts w:ascii="Verdana" w:hAnsi="Verdana"/>
        </w:rPr>
        <w:t>se</w:t>
      </w:r>
      <w:r w:rsidRPr="00CF6A58">
        <w:rPr>
          <w:rFonts w:ascii="Verdana" w:hAnsi="Verdana"/>
          <w:spacing w:val="-15"/>
        </w:rPr>
        <w:t xml:space="preserve"> </w:t>
      </w:r>
      <w:r w:rsidRPr="00CF6A58">
        <w:rPr>
          <w:rFonts w:ascii="Verdana" w:hAnsi="Verdana"/>
        </w:rPr>
        <w:t>pronunció</w:t>
      </w:r>
      <w:r w:rsidRPr="00CF6A58">
        <w:rPr>
          <w:rFonts w:ascii="Verdana" w:hAnsi="Verdana"/>
          <w:spacing w:val="-13"/>
        </w:rPr>
        <w:t xml:space="preserve"> </w:t>
      </w:r>
      <w:r w:rsidRPr="00CF6A58">
        <w:rPr>
          <w:rFonts w:ascii="Verdana" w:hAnsi="Verdana"/>
        </w:rPr>
        <w:t>en</w:t>
      </w:r>
      <w:r w:rsidRPr="00CF6A58">
        <w:rPr>
          <w:rFonts w:ascii="Verdana" w:hAnsi="Verdana"/>
          <w:spacing w:val="-14"/>
        </w:rPr>
        <w:t xml:space="preserve"> </w:t>
      </w:r>
      <w:r w:rsidRPr="00CF6A58">
        <w:rPr>
          <w:rFonts w:ascii="Verdana" w:hAnsi="Verdana"/>
        </w:rPr>
        <w:t>los</w:t>
      </w:r>
      <w:r w:rsidRPr="00CF6A58">
        <w:rPr>
          <w:rFonts w:ascii="Verdana" w:hAnsi="Verdana"/>
          <w:spacing w:val="-15"/>
        </w:rPr>
        <w:t xml:space="preserve"> </w:t>
      </w:r>
      <w:r w:rsidRPr="00CF6A58">
        <w:rPr>
          <w:rFonts w:ascii="Verdana" w:hAnsi="Verdana"/>
        </w:rPr>
        <w:t>conceptos</w:t>
      </w:r>
      <w:r w:rsidRPr="00CF6A58">
        <w:rPr>
          <w:rFonts w:ascii="Verdana" w:hAnsi="Verdana"/>
          <w:spacing w:val="-13"/>
        </w:rPr>
        <w:t xml:space="preserve"> </w:t>
      </w:r>
      <w:r w:rsidRPr="00CF6A58">
        <w:rPr>
          <w:rFonts w:ascii="Verdana" w:hAnsi="Verdana"/>
        </w:rPr>
        <w:t>C-355</w:t>
      </w:r>
      <w:r w:rsidRPr="00CF6A58">
        <w:rPr>
          <w:rFonts w:ascii="Verdana" w:hAnsi="Verdana"/>
          <w:spacing w:val="-15"/>
        </w:rPr>
        <w:t xml:space="preserve"> </w:t>
      </w:r>
      <w:r w:rsidRPr="00CF6A58">
        <w:rPr>
          <w:rFonts w:ascii="Verdana" w:hAnsi="Verdana"/>
        </w:rPr>
        <w:t>del</w:t>
      </w:r>
      <w:r w:rsidRPr="00CF6A58">
        <w:rPr>
          <w:rFonts w:ascii="Verdana" w:hAnsi="Verdana"/>
          <w:spacing w:val="-15"/>
        </w:rPr>
        <w:t xml:space="preserve"> </w:t>
      </w:r>
      <w:r w:rsidRPr="00CF6A58">
        <w:rPr>
          <w:rFonts w:ascii="Verdana" w:hAnsi="Verdana"/>
        </w:rPr>
        <w:t>2</w:t>
      </w:r>
      <w:r w:rsidRPr="00CF6A58">
        <w:rPr>
          <w:rFonts w:ascii="Verdana" w:hAnsi="Verdana"/>
          <w:spacing w:val="-15"/>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junio</w:t>
      </w:r>
      <w:r w:rsidRPr="00CF6A58">
        <w:rPr>
          <w:rFonts w:ascii="Verdana" w:hAnsi="Verdana"/>
          <w:spacing w:val="-14"/>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2022,</w:t>
      </w:r>
      <w:r w:rsidRPr="00CF6A58">
        <w:rPr>
          <w:rFonts w:ascii="Verdana" w:hAnsi="Verdana"/>
          <w:spacing w:val="-13"/>
        </w:rPr>
        <w:t xml:space="preserve"> </w:t>
      </w:r>
      <w:r w:rsidRPr="00CF6A58">
        <w:rPr>
          <w:rFonts w:ascii="Verdana" w:hAnsi="Verdana"/>
        </w:rPr>
        <w:t>C-203</w:t>
      </w:r>
      <w:r w:rsidRPr="00CF6A58">
        <w:rPr>
          <w:rFonts w:ascii="Verdana" w:hAnsi="Verdana"/>
          <w:spacing w:val="-75"/>
        </w:rPr>
        <w:t xml:space="preserve"> </w:t>
      </w:r>
      <w:r w:rsidRPr="00CF6A58">
        <w:rPr>
          <w:rFonts w:ascii="Verdana" w:hAnsi="Verdana"/>
        </w:rPr>
        <w:t>del 13 de abril de 2022,</w:t>
      </w:r>
      <w:r w:rsidRPr="00CF6A58">
        <w:rPr>
          <w:rFonts w:ascii="Verdana" w:hAnsi="Verdana"/>
          <w:spacing w:val="1"/>
        </w:rPr>
        <w:t xml:space="preserve"> </w:t>
      </w:r>
      <w:r w:rsidRPr="00CF6A58">
        <w:rPr>
          <w:rFonts w:ascii="Verdana" w:hAnsi="Verdana"/>
        </w:rPr>
        <w:t>C-552 del 31 de agosto del 2020</w:t>
      </w:r>
      <w:r>
        <w:rPr>
          <w:rFonts w:ascii="Verdana" w:hAnsi="Verdana"/>
        </w:rPr>
        <w:t xml:space="preserve">, </w:t>
      </w:r>
      <w:r w:rsidRPr="00CF6A58">
        <w:rPr>
          <w:rFonts w:ascii="Verdana" w:hAnsi="Verdana"/>
        </w:rPr>
        <w:t>C-171 del 25 de julio de 2024</w:t>
      </w:r>
      <w:r>
        <w:rPr>
          <w:rFonts w:ascii="Verdana" w:eastAsia="Calibri" w:hAnsi="Verdana" w:cs="Arial"/>
          <w:lang w:val="es-ES" w:eastAsia="es-ES"/>
        </w:rPr>
        <w:t xml:space="preserve">, C-955 del 17 de diciembre de 2024, C-1206 del 6 de octubre de 2025, C-1521 del 28 de noviembre de 2025,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sidRPr="00380CA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45FA114" w14:textId="77777777" w:rsidR="00F66F14" w:rsidRPr="00380CA4" w:rsidRDefault="00F66F14" w:rsidP="00F66F14">
      <w:pPr>
        <w:spacing w:after="0" w:line="256" w:lineRule="auto"/>
        <w:jc w:val="both"/>
        <w:rPr>
          <w:rFonts w:ascii="Verdana" w:eastAsia="Calibri" w:hAnsi="Verdana" w:cs="Times New Roman"/>
        </w:rPr>
      </w:pPr>
      <w:hyperlink r:id="rId13" w:history="1">
        <w:r w:rsidRPr="00380CA4">
          <w:rPr>
            <w:rStyle w:val="Hipervnculo"/>
            <w:rFonts w:ascii="Verdana" w:eastAsia="Calibri" w:hAnsi="Verdana" w:cs="Times New Roman"/>
          </w:rPr>
          <w:t>https://relatoria.colombiacompra.gov.co/busqueda/conceptos</w:t>
        </w:r>
      </w:hyperlink>
      <w:r w:rsidRPr="00380CA4">
        <w:rPr>
          <w:rFonts w:ascii="Verdana" w:eastAsia="Calibri" w:hAnsi="Verdana" w:cs="Times New Roman"/>
        </w:rPr>
        <w:t xml:space="preserve">. </w:t>
      </w:r>
    </w:p>
    <w:p w14:paraId="33B32D45" w14:textId="77777777" w:rsidR="00F66F14" w:rsidRPr="00380CA4" w:rsidRDefault="00F66F14" w:rsidP="00F66F14">
      <w:pPr>
        <w:widowControl w:val="0"/>
        <w:autoSpaceDE w:val="0"/>
        <w:autoSpaceDN w:val="0"/>
        <w:spacing w:after="0" w:line="276" w:lineRule="auto"/>
        <w:jc w:val="both"/>
        <w:rPr>
          <w:rFonts w:ascii="Verdana" w:hAnsi="Verdana" w:cs="Arial"/>
          <w:color w:val="000000" w:themeColor="text1"/>
          <w:shd w:val="clear" w:color="auto" w:fill="FFFFFF"/>
        </w:rPr>
      </w:pPr>
    </w:p>
    <w:p w14:paraId="7BDC81F6" w14:textId="77777777" w:rsidR="00F66F14" w:rsidRPr="00231A97" w:rsidRDefault="00F66F14" w:rsidP="00F66F14">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5572A8A9" w14:textId="77777777" w:rsidR="00F66F14" w:rsidRDefault="00F66F14" w:rsidP="00F66F14">
      <w:pPr>
        <w:spacing w:after="0" w:line="256" w:lineRule="auto"/>
        <w:jc w:val="both"/>
        <w:rPr>
          <w:rFonts w:ascii="Verdana" w:eastAsia="Calibri" w:hAnsi="Verdana" w:cs="Times New Roman"/>
        </w:rPr>
      </w:pPr>
    </w:p>
    <w:p w14:paraId="2ABD439F" w14:textId="77777777" w:rsidR="00F66F14" w:rsidRPr="00231A97" w:rsidRDefault="00F66F14" w:rsidP="00F66F14">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39D7F7A4" w14:textId="77777777" w:rsidR="00F66F14" w:rsidRDefault="00F66F14" w:rsidP="00F66F14">
      <w:pPr>
        <w:spacing w:after="0" w:line="256" w:lineRule="auto"/>
        <w:jc w:val="both"/>
        <w:rPr>
          <w:rFonts w:ascii="Verdana" w:eastAsia="Calibri" w:hAnsi="Verdana" w:cs="Times New Roman"/>
        </w:rPr>
      </w:pPr>
    </w:p>
    <w:p w14:paraId="2D440FFE" w14:textId="77777777" w:rsidR="00F66F14" w:rsidRPr="00231A97" w:rsidRDefault="00F66F14" w:rsidP="00F66F14">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xml:space="preserve">. En esta actualización se incorporaron orientaciones prácticas dirigidas a entidades públicas, proveedores, organismos de control y demás interesados, con el </w:t>
      </w:r>
      <w:r w:rsidRPr="00231A97">
        <w:rPr>
          <w:rFonts w:ascii="Verdana" w:eastAsia="Calibri" w:hAnsi="Verdana" w:cs="Times New Roman"/>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27264CB4" w14:textId="77777777" w:rsidR="00F66F14" w:rsidRPr="00380CA4" w:rsidRDefault="00F66F14" w:rsidP="00F66F14">
      <w:pPr>
        <w:shd w:val="clear" w:color="auto" w:fill="FFFFFF"/>
        <w:spacing w:after="0" w:line="276" w:lineRule="auto"/>
        <w:jc w:val="both"/>
        <w:rPr>
          <w:rFonts w:ascii="Verdana" w:hAnsi="Verdana"/>
          <w:color w:val="000000"/>
          <w:u w:val="single"/>
        </w:rPr>
      </w:pPr>
    </w:p>
    <w:p w14:paraId="03596F89" w14:textId="77777777" w:rsidR="00F66F14" w:rsidRPr="00380CA4" w:rsidRDefault="00F66F14" w:rsidP="00F66F14">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9187B97" w14:textId="77777777" w:rsidR="00F66F14" w:rsidRPr="00380CA4" w:rsidRDefault="00F66F14" w:rsidP="00F66F14">
      <w:pPr>
        <w:spacing w:after="0"/>
        <w:jc w:val="both"/>
        <w:rPr>
          <w:rFonts w:ascii="Verdana" w:hAnsi="Verdana"/>
        </w:rPr>
      </w:pPr>
    </w:p>
    <w:p w14:paraId="5B4A18C2" w14:textId="77777777" w:rsidR="00F66F14" w:rsidRPr="00380CA4" w:rsidRDefault="00F66F14" w:rsidP="00F66F14">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44A4C090" w14:textId="77777777" w:rsidR="00F66F14" w:rsidRPr="00380CA4" w:rsidRDefault="00F66F14" w:rsidP="00F66F14">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r w:rsidRPr="00380CA4">
        <w:rPr>
          <w:rStyle w:val="Hipervnculo"/>
          <w:rFonts w:ascii="Verdana" w:hAnsi="Verdana"/>
          <w:lang w:val="es-CO"/>
        </w:rPr>
        <w:t>+57 601 7456788</w:t>
      </w:r>
    </w:p>
    <w:p w14:paraId="7F7C3857" w14:textId="77777777" w:rsidR="00F66F14" w:rsidRPr="00380CA4" w:rsidRDefault="00F66F14" w:rsidP="00F66F14">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17">
        <w:r w:rsidRPr="00380CA4">
          <w:rPr>
            <w:rStyle w:val="Hipervnculo"/>
            <w:rFonts w:ascii="Verdana" w:eastAsia="Verdana" w:hAnsi="Verdana" w:cs="Verdana"/>
            <w:lang w:val="es-CO"/>
          </w:rPr>
          <w:t>ventanilladeradicacion@colombiacompra.gov.co</w:t>
        </w:r>
      </w:hyperlink>
    </w:p>
    <w:p w14:paraId="5B8A4E40" w14:textId="77777777" w:rsidR="00F66F14" w:rsidRPr="00380CA4" w:rsidRDefault="00F66F14" w:rsidP="00F66F14">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18">
        <w:r w:rsidRPr="00380CA4">
          <w:rPr>
            <w:rStyle w:val="Hipervnculo"/>
            <w:rFonts w:ascii="Verdana" w:eastAsia="Verdana" w:hAnsi="Verdana" w:cs="Verdana"/>
            <w:lang w:val="es-CO"/>
          </w:rPr>
          <w:t>https://www.colombiacompra.gov.co/pqrsd/informacion-importante-antes-de-formular-una-pqrsd</w:t>
        </w:r>
      </w:hyperlink>
    </w:p>
    <w:p w14:paraId="63E8D5C6" w14:textId="77777777" w:rsidR="00F66F14" w:rsidRPr="00380CA4" w:rsidRDefault="00F66F14" w:rsidP="00F66F14">
      <w:pPr>
        <w:spacing w:after="0" w:line="240" w:lineRule="auto"/>
        <w:ind w:left="720"/>
        <w:jc w:val="both"/>
        <w:rPr>
          <w:rFonts w:ascii="Verdana" w:hAnsi="Verdana"/>
        </w:rPr>
      </w:pPr>
    </w:p>
    <w:p w14:paraId="765DF5AD" w14:textId="77777777" w:rsidR="00F66F14" w:rsidRPr="00380CA4" w:rsidRDefault="00F66F14" w:rsidP="00F66F14">
      <w:pPr>
        <w:spacing w:after="0" w:line="240" w:lineRule="auto"/>
        <w:rPr>
          <w:rFonts w:ascii="Verdana" w:hAnsi="Verdana"/>
        </w:rPr>
      </w:pPr>
      <w:r w:rsidRPr="00380CA4">
        <w:rPr>
          <w:rFonts w:ascii="Verdana" w:hAnsi="Verdana"/>
        </w:rPr>
        <w:t>Evalúa el servicio que ofrece la Agencia por el canal de atención de PQRSD en el siguiente enlace :</w:t>
      </w:r>
      <w:hyperlink r:id="rId19"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0DA6EB81" w14:textId="77777777" w:rsidR="00F66F14" w:rsidRPr="00380CA4" w:rsidRDefault="00F66F14" w:rsidP="00F66F14">
      <w:pPr>
        <w:spacing w:after="0" w:line="240" w:lineRule="auto"/>
        <w:rPr>
          <w:rFonts w:ascii="Verdana" w:hAnsi="Verdana"/>
        </w:rPr>
      </w:pPr>
    </w:p>
    <w:p w14:paraId="57A57EDE" w14:textId="77777777" w:rsidR="00F66F14" w:rsidRPr="00380CA4" w:rsidRDefault="00F66F14" w:rsidP="00F66F14">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0300DDAC" w14:textId="77777777" w:rsidR="00F66F14" w:rsidRPr="00380CA4" w:rsidRDefault="00F66F14" w:rsidP="00F66F14">
      <w:pPr>
        <w:spacing w:after="0" w:line="240" w:lineRule="auto"/>
        <w:jc w:val="both"/>
        <w:rPr>
          <w:rFonts w:ascii="Verdana" w:hAnsi="Verdana"/>
        </w:rPr>
      </w:pPr>
    </w:p>
    <w:p w14:paraId="5344CCDA" w14:textId="77777777" w:rsidR="00F66F14" w:rsidRPr="00380CA4" w:rsidRDefault="00F66F14" w:rsidP="00F66F14">
      <w:pPr>
        <w:spacing w:after="0" w:line="240" w:lineRule="auto"/>
        <w:jc w:val="both"/>
        <w:rPr>
          <w:rFonts w:ascii="Verdana" w:hAnsi="Verdana"/>
        </w:rPr>
      </w:pPr>
      <w:r w:rsidRPr="00380CA4">
        <w:rPr>
          <w:rFonts w:ascii="Verdana" w:hAnsi="Verdana"/>
        </w:rPr>
        <w:t xml:space="preserve">Twitter: </w:t>
      </w:r>
      <w:r w:rsidRPr="00380CA4">
        <w:rPr>
          <w:rStyle w:val="Hipervnculo"/>
          <w:rFonts w:ascii="Verdana" w:hAnsi="Verdana"/>
        </w:rPr>
        <w:t>@colombiacompra</w:t>
      </w:r>
      <w:r w:rsidRPr="00380CA4">
        <w:rPr>
          <w:rFonts w:ascii="Verdana" w:hAnsi="Verdana"/>
        </w:rPr>
        <w:t xml:space="preserve"> </w:t>
      </w:r>
    </w:p>
    <w:p w14:paraId="117397F9" w14:textId="77777777" w:rsidR="00F66F14" w:rsidRPr="00380CA4" w:rsidRDefault="00F66F14" w:rsidP="00F66F14">
      <w:pPr>
        <w:spacing w:after="0" w:line="240" w:lineRule="auto"/>
        <w:jc w:val="both"/>
        <w:rPr>
          <w:rFonts w:ascii="Verdana" w:hAnsi="Verdana"/>
        </w:rPr>
      </w:pPr>
      <w:r w:rsidRPr="00380CA4">
        <w:rPr>
          <w:rFonts w:ascii="Verdana" w:hAnsi="Verdana"/>
        </w:rPr>
        <w:t xml:space="preserve">Facebook: </w:t>
      </w:r>
      <w:r w:rsidRPr="00380CA4">
        <w:rPr>
          <w:rStyle w:val="Hipervnculo"/>
          <w:rFonts w:ascii="Verdana" w:hAnsi="Verdana"/>
        </w:rPr>
        <w:t>ColombiaCompraEficiente</w:t>
      </w:r>
    </w:p>
    <w:p w14:paraId="1A99EE98" w14:textId="77777777" w:rsidR="00F66F14" w:rsidRPr="00380CA4" w:rsidRDefault="00F66F14" w:rsidP="00F66F14">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1E630D78" w14:textId="77777777" w:rsidR="00F66F14" w:rsidRPr="00380CA4" w:rsidRDefault="00F66F14" w:rsidP="00F66F14">
      <w:pPr>
        <w:spacing w:after="0" w:line="240" w:lineRule="auto"/>
        <w:jc w:val="both"/>
        <w:rPr>
          <w:rFonts w:ascii="Verdana" w:hAnsi="Verdana"/>
        </w:rPr>
      </w:pPr>
    </w:p>
    <w:p w14:paraId="59087CAC" w14:textId="77777777" w:rsidR="00F66F14" w:rsidRPr="00380CA4" w:rsidRDefault="00F66F14" w:rsidP="00F66F14">
      <w:pPr>
        <w:spacing w:after="0" w:line="256" w:lineRule="auto"/>
        <w:jc w:val="both"/>
        <w:rPr>
          <w:rFonts w:ascii="Verdana" w:eastAsia="Calibri" w:hAnsi="Verdana" w:cs="Times New Roman"/>
          <w:bCs/>
        </w:rPr>
      </w:pPr>
      <w:r w:rsidRPr="00380CA4">
        <w:rPr>
          <w:rFonts w:ascii="Verdana" w:eastAsia="Calibri" w:hAnsi="Verdana" w:cs="Times New Roman"/>
        </w:rPr>
        <w:t xml:space="preserve">Este concepto tiene el alcance previsto en el artículo 28 del Código de Procedimiento Administrativo y de lo Contencioso Administrativo y las </w:t>
      </w:r>
      <w:r w:rsidRPr="00380CA4">
        <w:rPr>
          <w:rFonts w:ascii="Verdana" w:eastAsia="Calibri" w:hAnsi="Verdana" w:cs="Times New Roman"/>
        </w:rPr>
        <w:lastRenderedPageBreak/>
        <w:t>expresiones utilizadas con mayúscula inicial deben ser entendidas con el significado que les otorga el artículo 2.2.1.1.1.3.1 del Decreto 1082 de 2015.</w:t>
      </w:r>
    </w:p>
    <w:p w14:paraId="35A3C8A6" w14:textId="77777777" w:rsidR="00F66F14" w:rsidRPr="00380CA4" w:rsidRDefault="00F66F14" w:rsidP="00F66F14">
      <w:pPr>
        <w:spacing w:after="0" w:line="256" w:lineRule="auto"/>
        <w:jc w:val="both"/>
        <w:rPr>
          <w:rFonts w:ascii="Verdana" w:eastAsia="Calibri" w:hAnsi="Verdana" w:cs="Times New Roman"/>
        </w:rPr>
      </w:pPr>
    </w:p>
    <w:p w14:paraId="67554CF0" w14:textId="77777777" w:rsidR="00F66F14" w:rsidRPr="00380CA4" w:rsidRDefault="00F66F14" w:rsidP="00F66F14">
      <w:pPr>
        <w:spacing w:after="0" w:line="256" w:lineRule="auto"/>
        <w:jc w:val="both"/>
        <w:rPr>
          <w:rFonts w:ascii="Verdana" w:eastAsia="Calibri" w:hAnsi="Verdana" w:cs="Times New Roman"/>
        </w:rPr>
      </w:pPr>
      <w:r w:rsidRPr="00380CA4">
        <w:rPr>
          <w:rFonts w:ascii="Verdana" w:eastAsia="Calibri" w:hAnsi="Verdana" w:cs="Times New Roman"/>
        </w:rPr>
        <w:t>Atentamente,</w:t>
      </w:r>
    </w:p>
    <w:p w14:paraId="4E757BB6" w14:textId="77777777" w:rsidR="00F66F14" w:rsidRPr="004E652D" w:rsidRDefault="00F66F14" w:rsidP="00F66F14">
      <w:pPr>
        <w:spacing w:after="0" w:line="256" w:lineRule="auto"/>
        <w:jc w:val="center"/>
        <w:rPr>
          <w:rFonts w:ascii="Verdana" w:hAnsi="Verdana"/>
          <w:noProof/>
          <w:sz w:val="20"/>
          <w:szCs w:val="20"/>
        </w:rPr>
      </w:pPr>
    </w:p>
    <w:p w14:paraId="0C17DDDF" w14:textId="368B8A21" w:rsidR="00F66F14" w:rsidRPr="00A87E1B" w:rsidRDefault="00662EF3" w:rsidP="00F66F14">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223EF1BA" wp14:editId="63CC28F6">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tbl>
      <w:tblPr>
        <w:tblStyle w:val="Tablaconcuadrcula1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66F14" w:rsidRPr="00A87E1B" w14:paraId="0C304227" w14:textId="77777777" w:rsidTr="00B21DA7">
        <w:trPr>
          <w:trHeight w:val="315"/>
        </w:trPr>
        <w:tc>
          <w:tcPr>
            <w:tcW w:w="893" w:type="dxa"/>
            <w:vAlign w:val="center"/>
            <w:hideMark/>
          </w:tcPr>
          <w:p w14:paraId="0AA764F2" w14:textId="77777777" w:rsidR="00F66F14" w:rsidRPr="00A87E1B" w:rsidRDefault="00F66F14" w:rsidP="00B21DA7">
            <w:pPr>
              <w:contextualSpacing/>
              <w:rPr>
                <w:rFonts w:ascii="Verdana" w:hAnsi="Verdana" w:cs="Arial"/>
                <w:sz w:val="16"/>
                <w:szCs w:val="16"/>
                <w:lang w:val="es-ES" w:eastAsia="es-ES"/>
              </w:rPr>
            </w:pPr>
            <w:r w:rsidRPr="00A87E1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D83C7A" w14:textId="77777777" w:rsidR="00F66F14" w:rsidRPr="00A87E1B" w:rsidRDefault="00F66F14" w:rsidP="00B21DA7">
            <w:pPr>
              <w:contextualSpacing/>
              <w:rPr>
                <w:rFonts w:ascii="Verdana" w:hAnsi="Verdana"/>
                <w:sz w:val="16"/>
                <w:szCs w:val="16"/>
              </w:rPr>
            </w:pPr>
            <w:r w:rsidRPr="00A87E1B">
              <w:rPr>
                <w:rFonts w:ascii="Verdana" w:hAnsi="Verdana"/>
                <w:sz w:val="16"/>
                <w:szCs w:val="16"/>
              </w:rPr>
              <w:t>José Luis Sánchez Cardona</w:t>
            </w:r>
          </w:p>
          <w:p w14:paraId="4C9506BC" w14:textId="77777777" w:rsidR="00F66F14" w:rsidRPr="00A87E1B" w:rsidRDefault="00F66F14" w:rsidP="00B21DA7">
            <w:pPr>
              <w:contextualSpacing/>
              <w:rPr>
                <w:rFonts w:ascii="Verdana" w:eastAsia="Arial" w:hAnsi="Verdana" w:cs="Arial"/>
                <w:sz w:val="16"/>
                <w:szCs w:val="16"/>
              </w:rPr>
            </w:pPr>
            <w:r w:rsidRPr="00A87E1B">
              <w:rPr>
                <w:rFonts w:ascii="Verdana" w:hAnsi="Verdana"/>
                <w:sz w:val="16"/>
                <w:szCs w:val="16"/>
              </w:rPr>
              <w:t>Contratista de la Subdirección de Gestión Contractual</w:t>
            </w:r>
          </w:p>
        </w:tc>
      </w:tr>
      <w:tr w:rsidR="00F66F14" w:rsidRPr="00A87E1B" w14:paraId="2E064647" w14:textId="77777777" w:rsidTr="00B21DA7">
        <w:trPr>
          <w:trHeight w:val="330"/>
        </w:trPr>
        <w:tc>
          <w:tcPr>
            <w:tcW w:w="893" w:type="dxa"/>
            <w:vAlign w:val="center"/>
            <w:hideMark/>
          </w:tcPr>
          <w:p w14:paraId="32667C34" w14:textId="77777777" w:rsidR="00F66F14" w:rsidRPr="00A87E1B" w:rsidRDefault="00F66F14" w:rsidP="00B21DA7">
            <w:pPr>
              <w:contextualSpacing/>
              <w:rPr>
                <w:rFonts w:ascii="Verdana" w:hAnsi="Verdana" w:cs="Arial"/>
                <w:sz w:val="16"/>
                <w:szCs w:val="16"/>
                <w:lang w:val="es-ES" w:eastAsia="es-ES"/>
              </w:rPr>
            </w:pPr>
            <w:r w:rsidRPr="00A87E1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0B7ACE9" w14:textId="77777777" w:rsidR="00F66F14" w:rsidRPr="00A87E1B" w:rsidRDefault="00F66F14" w:rsidP="00B21DA7">
            <w:pPr>
              <w:spacing w:before="100" w:beforeAutospacing="1" w:afterAutospacing="1"/>
              <w:contextualSpacing/>
              <w:textAlignment w:val="baseline"/>
              <w:rPr>
                <w:rFonts w:ascii="Verdana" w:eastAsia="Times New Roman" w:hAnsi="Verdana" w:cs="Arial"/>
                <w:sz w:val="16"/>
                <w:szCs w:val="16"/>
                <w:lang w:val="es-ES_tradnl" w:eastAsia="es-CO"/>
              </w:rPr>
            </w:pPr>
            <w:r w:rsidRPr="00A87E1B">
              <w:rPr>
                <w:rFonts w:ascii="Verdana" w:eastAsia="Times New Roman" w:hAnsi="Verdana" w:cs="Arial"/>
                <w:sz w:val="16"/>
                <w:szCs w:val="16"/>
                <w:lang w:val="es-ES_tradnl" w:eastAsia="es-CO"/>
              </w:rPr>
              <w:t>Diana Lucía Saavedra Castañeda</w:t>
            </w:r>
          </w:p>
          <w:p w14:paraId="41712E34" w14:textId="77777777" w:rsidR="00F66F14" w:rsidRPr="00A87E1B" w:rsidRDefault="00F66F14" w:rsidP="00B21DA7">
            <w:pPr>
              <w:contextualSpacing/>
              <w:textAlignment w:val="baseline"/>
              <w:rPr>
                <w:rFonts w:ascii="Verdana" w:eastAsia="Times New Roman" w:hAnsi="Verdana" w:cs="Segoe UI"/>
                <w:sz w:val="16"/>
                <w:szCs w:val="16"/>
                <w:lang w:eastAsia="es-CO"/>
              </w:rPr>
            </w:pPr>
            <w:r w:rsidRPr="00A87E1B">
              <w:rPr>
                <w:rFonts w:ascii="Verdana" w:eastAsia="Times New Roman" w:hAnsi="Verdana" w:cs="Arial"/>
                <w:sz w:val="16"/>
                <w:szCs w:val="16"/>
                <w:lang w:val="es-ES_tradnl" w:eastAsia="es-CO"/>
              </w:rPr>
              <w:t>Contratista de la Subdirección de Gestión Contractual</w:t>
            </w:r>
          </w:p>
        </w:tc>
      </w:tr>
      <w:tr w:rsidR="00F66F14" w:rsidRPr="00A87E1B" w14:paraId="6D5FF2A1" w14:textId="77777777" w:rsidTr="00B21DA7">
        <w:trPr>
          <w:trHeight w:val="300"/>
        </w:trPr>
        <w:tc>
          <w:tcPr>
            <w:tcW w:w="893" w:type="dxa"/>
            <w:vAlign w:val="center"/>
          </w:tcPr>
          <w:p w14:paraId="41C2CCE9" w14:textId="77777777" w:rsidR="00F66F14" w:rsidRPr="00A87E1B" w:rsidRDefault="00F66F14" w:rsidP="00B21DA7">
            <w:pPr>
              <w:contextualSpacing/>
              <w:rPr>
                <w:rFonts w:ascii="Verdana" w:hAnsi="Verdana" w:cs="Arial"/>
                <w:sz w:val="16"/>
                <w:szCs w:val="16"/>
                <w:lang w:val="es-ES" w:eastAsia="es-ES"/>
              </w:rPr>
            </w:pPr>
            <w:r w:rsidRPr="00A87E1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3BEC8B" w14:textId="77777777" w:rsidR="00F66F14" w:rsidRPr="00A87E1B" w:rsidRDefault="00F66F14" w:rsidP="00B21DA7">
            <w:pPr>
              <w:contextualSpacing/>
              <w:rPr>
                <w:rFonts w:ascii="Verdana" w:hAnsi="Verdana" w:cs="Arial"/>
                <w:sz w:val="16"/>
                <w:szCs w:val="16"/>
                <w:lang w:val="pt-BR" w:eastAsia="es-ES"/>
              </w:rPr>
            </w:pPr>
            <w:r w:rsidRPr="00A87E1B">
              <w:rPr>
                <w:rFonts w:ascii="Verdana" w:hAnsi="Verdana" w:cs="Arial"/>
                <w:sz w:val="16"/>
                <w:szCs w:val="16"/>
                <w:lang w:val="pt-BR" w:eastAsia="es-ES"/>
              </w:rPr>
              <w:t>Carolina Quintero Gacharná</w:t>
            </w:r>
          </w:p>
          <w:p w14:paraId="3AEE91E6" w14:textId="77777777" w:rsidR="00F66F14" w:rsidRPr="00A87E1B" w:rsidRDefault="00F66F14" w:rsidP="00B21DA7">
            <w:pPr>
              <w:contextualSpacing/>
              <w:rPr>
                <w:rFonts w:ascii="Verdana" w:hAnsi="Verdana" w:cs="Arial"/>
                <w:sz w:val="16"/>
                <w:szCs w:val="16"/>
                <w:lang w:val="pt-BR" w:eastAsia="es-ES"/>
              </w:rPr>
            </w:pPr>
            <w:r w:rsidRPr="00A87E1B">
              <w:rPr>
                <w:rFonts w:ascii="Verdana" w:hAnsi="Verdana" w:cs="Arial"/>
                <w:sz w:val="16"/>
                <w:szCs w:val="16"/>
                <w:lang w:eastAsia="es-ES"/>
              </w:rPr>
              <w:t>Subdirectora</w:t>
            </w:r>
            <w:r w:rsidRPr="00A87E1B">
              <w:rPr>
                <w:rFonts w:ascii="Verdana" w:hAnsi="Verdana" w:cs="Arial"/>
                <w:sz w:val="16"/>
                <w:szCs w:val="16"/>
                <w:lang w:val="pt-BR" w:eastAsia="es-ES"/>
              </w:rPr>
              <w:t xml:space="preserve"> de Gestión Contractual ANCP – CCE</w:t>
            </w:r>
          </w:p>
        </w:tc>
      </w:tr>
    </w:tbl>
    <w:p w14:paraId="14EBEEAC" w14:textId="7233CB5A" w:rsidR="00F66F14" w:rsidRPr="000E2B93" w:rsidRDefault="00F66F14" w:rsidP="00F66F14">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41FD1E17" w14:textId="21BBA715" w:rsidR="004674CF" w:rsidRPr="00F66F14" w:rsidRDefault="004674CF" w:rsidP="00F66F14"/>
    <w:sectPr w:rsidR="004674CF" w:rsidRPr="00F66F14"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24621" w14:textId="77777777" w:rsidR="00D16B44" w:rsidRDefault="00D16B44" w:rsidP="004A1847">
      <w:pPr>
        <w:spacing w:after="0" w:line="240" w:lineRule="auto"/>
      </w:pPr>
      <w:r>
        <w:separator/>
      </w:r>
    </w:p>
  </w:endnote>
  <w:endnote w:type="continuationSeparator" w:id="0">
    <w:p w14:paraId="51DDE1EE" w14:textId="77777777" w:rsidR="00D16B44" w:rsidRDefault="00D16B44" w:rsidP="004A1847">
      <w:pPr>
        <w:spacing w:after="0" w:line="240" w:lineRule="auto"/>
      </w:pPr>
      <w:r>
        <w:continuationSeparator/>
      </w:r>
    </w:p>
  </w:endnote>
  <w:endnote w:type="continuationNotice" w:id="1">
    <w:p w14:paraId="274F19DE" w14:textId="77777777" w:rsidR="00D16B44" w:rsidRDefault="00D16B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B5154" w:rsidRDefault="00BB5154">
    <w:pPr>
      <w:pStyle w:val="Piedepgina"/>
    </w:pPr>
  </w:p>
  <w:p w14:paraId="594D6D9F" w14:textId="6D324FC7" w:rsidR="00BB5154" w:rsidRPr="00174B77" w:rsidRDefault="00BB5154"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45645" w:rsidRPr="00545645">
      <w:rPr>
        <w:rFonts w:ascii="Verdana" w:eastAsiaTheme="minorEastAsia" w:hAnsi="Verdana"/>
        <w:b/>
        <w:bCs/>
        <w:noProof/>
        <w:sz w:val="16"/>
        <w:szCs w:val="16"/>
      </w:rPr>
      <w:t>24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B5154" w:rsidRDefault="00BB5154"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B5154" w:rsidRPr="00E41027" w:rsidRDefault="00BB5154"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7073F0" w:rsidRDefault="007073F0">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EC3AE" w14:textId="77777777" w:rsidR="00D16B44" w:rsidRDefault="00D16B44" w:rsidP="004A1847">
      <w:pPr>
        <w:spacing w:after="0" w:line="240" w:lineRule="auto"/>
      </w:pPr>
      <w:r>
        <w:separator/>
      </w:r>
    </w:p>
  </w:footnote>
  <w:footnote w:type="continuationSeparator" w:id="0">
    <w:p w14:paraId="1CAEA161" w14:textId="77777777" w:rsidR="00D16B44" w:rsidRDefault="00D16B44" w:rsidP="004A1847">
      <w:pPr>
        <w:spacing w:after="0" w:line="240" w:lineRule="auto"/>
      </w:pPr>
      <w:r>
        <w:continuationSeparator/>
      </w:r>
    </w:p>
  </w:footnote>
  <w:footnote w:type="continuationNotice" w:id="1">
    <w:p w14:paraId="0F2AFBF3" w14:textId="77777777" w:rsidR="00D16B44" w:rsidRDefault="00D16B44">
      <w:pPr>
        <w:spacing w:after="0" w:line="240" w:lineRule="auto"/>
      </w:pPr>
    </w:p>
  </w:footnote>
  <w:footnote w:id="2">
    <w:p w14:paraId="0A44EF3B" w14:textId="77777777" w:rsidR="00F66F14" w:rsidRPr="00CB0272" w:rsidRDefault="00F66F14" w:rsidP="00F66F14">
      <w:pPr>
        <w:pStyle w:val="Textonotapie"/>
        <w:ind w:firstLine="708"/>
        <w:contextualSpacing/>
        <w:jc w:val="both"/>
        <w:rPr>
          <w:rFonts w:ascii="Verdana" w:hAnsi="Verdana" w:cs="Arial"/>
          <w:color w:val="000000" w:themeColor="text1"/>
          <w:sz w:val="14"/>
          <w:szCs w:val="14"/>
        </w:rPr>
      </w:pPr>
      <w:r w:rsidRPr="00CB0272">
        <w:rPr>
          <w:rStyle w:val="Refdenotaalpie"/>
          <w:rFonts w:ascii="Verdana" w:hAnsi="Verdana" w:cs="Arial"/>
          <w:color w:val="000000" w:themeColor="text1"/>
          <w:sz w:val="14"/>
          <w:szCs w:val="14"/>
        </w:rPr>
        <w:footnoteRef/>
      </w:r>
      <w:r w:rsidRPr="00CB0272">
        <w:rPr>
          <w:rStyle w:val="Refdenotaalpie"/>
          <w:rFonts w:ascii="Verdana" w:hAnsi="Verdana" w:cs="Arial"/>
          <w:color w:val="000000" w:themeColor="text1"/>
          <w:sz w:val="14"/>
          <w:szCs w:val="14"/>
        </w:rPr>
        <w:t xml:space="preserve"> </w:t>
      </w:r>
      <w:bookmarkStart w:id="3" w:name="_Hlk198934365"/>
      <w:r w:rsidRPr="00CB0272">
        <w:rPr>
          <w:rFonts w:ascii="Verdana" w:hAnsi="Verdana" w:cs="Arial"/>
          <w:color w:val="000000" w:themeColor="text1"/>
          <w:sz w:val="14"/>
          <w:szCs w:val="14"/>
        </w:rPr>
        <w:t>Decreto 4791 de 2008 artículo 2</w:t>
      </w:r>
      <w:bookmarkEnd w:id="3"/>
      <w:r w:rsidRPr="00CB0272">
        <w:rPr>
          <w:rFonts w:ascii="Verdana" w:hAnsi="Verdana" w:cs="Arial"/>
          <w:color w:val="000000" w:themeColor="text1"/>
          <w:sz w:val="14"/>
          <w:szCs w:val="14"/>
        </w:rPr>
        <w:t xml:space="preserve">. </w:t>
      </w:r>
      <w:r w:rsidRPr="00CB0272">
        <w:rPr>
          <w:rFonts w:ascii="Verdana" w:hAnsi="Verdana" w:cs="Arial"/>
          <w:color w:val="000000" w:themeColor="text1"/>
          <w:sz w:val="14"/>
          <w:szCs w:val="14"/>
          <w:lang w:val="es-CO"/>
        </w:rPr>
        <w:t xml:space="preserve">Los fondos de servicios educativos son cuentas contables creadas por la ley como un mecanismo de gestión presupuestal y de ejecución de los recursos de los establecimientos educativos estatales para la adecuada administración de sus ingresos y para atender sus gastos de funcionamiento e inversión distintos a los de personal. Parágrafo. Con sujeción a lo establecido en la normatividad vigente, la administración y ejecución de estos recursos por parte de las autoridades del establecimiento educativo, es autónoma. Los ingresos del Fondo de Servicios Educativos son recursos propios de carácter público sometidos al control de las autoridades administrativas y fiscales de los órdenes nacional y territorial. Compilado mediante el Decreto único reglamentario del sector educación No. 1075 de 2025 artículo 2.3.1.6.3.2. </w:t>
      </w:r>
    </w:p>
  </w:footnote>
  <w:footnote w:id="3">
    <w:p w14:paraId="119A6CAC" w14:textId="77777777" w:rsidR="00F66F14" w:rsidRPr="00CB0272" w:rsidRDefault="00F66F14" w:rsidP="00F66F14">
      <w:pPr>
        <w:pStyle w:val="Textonotapie"/>
        <w:ind w:firstLine="708"/>
        <w:contextualSpacing/>
        <w:jc w:val="both"/>
        <w:rPr>
          <w:rFonts w:ascii="Verdana" w:hAnsi="Verdana" w:cs="Arial"/>
          <w:color w:val="000000" w:themeColor="text1"/>
          <w:sz w:val="14"/>
          <w:szCs w:val="14"/>
        </w:rPr>
      </w:pPr>
      <w:r w:rsidRPr="00CB0272">
        <w:rPr>
          <w:rStyle w:val="Refdenotaalpie"/>
          <w:rFonts w:ascii="Verdana" w:hAnsi="Verdana" w:cs="Arial"/>
          <w:color w:val="000000" w:themeColor="text1"/>
          <w:sz w:val="14"/>
          <w:szCs w:val="14"/>
        </w:rPr>
        <w:footnoteRef/>
      </w:r>
      <w:r w:rsidRPr="00CB0272">
        <w:rPr>
          <w:rFonts w:ascii="Verdana" w:hAnsi="Verdana" w:cs="Arial"/>
          <w:color w:val="000000" w:themeColor="text1"/>
          <w:sz w:val="14"/>
          <w:szCs w:val="14"/>
        </w:rPr>
        <w:t xml:space="preserve"> “Artículo 2.3.1.6.3.4. Ordenación del gasto. Los fondos de servicios educativos carecen de personería jurídica”.</w:t>
      </w:r>
    </w:p>
  </w:footnote>
  <w:footnote w:id="4">
    <w:p w14:paraId="6C47CBD6" w14:textId="77777777" w:rsidR="00F66F14" w:rsidRPr="00CB0272" w:rsidRDefault="00F66F14" w:rsidP="00F66F14">
      <w:pPr>
        <w:pStyle w:val="NormalWeb"/>
        <w:spacing w:before="0" w:beforeAutospacing="0" w:after="0" w:afterAutospacing="0"/>
        <w:ind w:firstLine="708"/>
        <w:contextualSpacing/>
        <w:jc w:val="both"/>
        <w:rPr>
          <w:rFonts w:ascii="Verdana" w:hAnsi="Verdana" w:cs="Arial"/>
          <w:sz w:val="14"/>
          <w:szCs w:val="14"/>
        </w:rPr>
      </w:pPr>
      <w:r w:rsidRPr="00CB0272">
        <w:rPr>
          <w:rStyle w:val="Refdenotaalpie"/>
          <w:rFonts w:ascii="Verdana" w:hAnsi="Verdana" w:cs="Arial"/>
          <w:sz w:val="14"/>
          <w:szCs w:val="14"/>
        </w:rPr>
        <w:footnoteRef/>
      </w:r>
      <w:r w:rsidRPr="00CB0272">
        <w:rPr>
          <w:rStyle w:val="Refdenotaalpie"/>
          <w:rFonts w:ascii="Verdana" w:hAnsi="Verdana" w:cs="Arial"/>
          <w:sz w:val="14"/>
          <w:szCs w:val="14"/>
        </w:rPr>
        <w:t xml:space="preserve"> </w:t>
      </w:r>
      <w:r w:rsidRPr="00CB0272">
        <w:rPr>
          <w:rFonts w:ascii="Verdana" w:hAnsi="Verdana" w:cs="Arial"/>
          <w:sz w:val="14"/>
          <w:szCs w:val="14"/>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1963CA47" w14:textId="77777777" w:rsidR="00F66F14" w:rsidRPr="00CB0272" w:rsidRDefault="00F66F14" w:rsidP="00F66F14">
      <w:pPr>
        <w:spacing w:after="0" w:line="240" w:lineRule="auto"/>
        <w:ind w:firstLine="708"/>
        <w:contextualSpacing/>
        <w:jc w:val="both"/>
        <w:rPr>
          <w:rFonts w:ascii="Verdana" w:eastAsia="Times New Roman" w:hAnsi="Verdana" w:cs="Arial"/>
          <w:sz w:val="14"/>
          <w:szCs w:val="14"/>
          <w:lang w:eastAsia="es-CO"/>
        </w:rPr>
      </w:pPr>
      <w:r w:rsidRPr="00CB0272">
        <w:rPr>
          <w:rFonts w:ascii="Verdana" w:eastAsia="Times New Roman" w:hAnsi="Verdana" w:cs="Arial"/>
          <w:i/>
          <w:iCs/>
          <w:sz w:val="14"/>
          <w:szCs w:val="14"/>
          <w:lang w:eastAsia="es-CO"/>
        </w:rPr>
        <w:t>Los actos y contratos de cuantía superior a veinte (20) salarios mínimos mensuales se regirán por las reglas de la contratación estatal</w:t>
      </w:r>
      <w:r w:rsidRPr="00CB0272">
        <w:rPr>
          <w:rFonts w:ascii="Verdana" w:eastAsia="Times New Roman" w:hAnsi="Verdana" w:cs="Arial"/>
          <w:sz w:val="14"/>
          <w:szCs w:val="14"/>
          <w:lang w:eastAsia="es-CO"/>
        </w:rPr>
        <w:t xml:space="preserve">, teniendo en cuenta su valor y naturaleza, y las circunstancias en las que se celebren. El Gobierno Nacional podrá indicar los casos en los cuales la cuantía señalada en el presente inciso será menor. </w:t>
      </w:r>
    </w:p>
    <w:p w14:paraId="2453D13F" w14:textId="77777777" w:rsidR="00F66F14" w:rsidRPr="00CB0272" w:rsidRDefault="00F66F14" w:rsidP="00F66F14">
      <w:pPr>
        <w:spacing w:after="0" w:line="240" w:lineRule="auto"/>
        <w:ind w:firstLine="708"/>
        <w:contextualSpacing/>
        <w:jc w:val="both"/>
        <w:rPr>
          <w:rFonts w:ascii="Verdana" w:eastAsia="Times New Roman" w:hAnsi="Verdana" w:cs="Arial"/>
          <w:sz w:val="14"/>
          <w:szCs w:val="14"/>
          <w:lang w:eastAsia="es-CO"/>
        </w:rPr>
      </w:pPr>
      <w:r w:rsidRPr="00CB0272">
        <w:rPr>
          <w:rFonts w:ascii="Verdana" w:eastAsia="Times New Roman" w:hAnsi="Verdana" w:cs="Arial"/>
          <w:sz w:val="14"/>
          <w:szCs w:val="14"/>
          <w:lang w:eastAsia="es-CO"/>
        </w:rPr>
        <w:t>El rector o director celebrará los contratos que hayan de pagarse con cargo a los recursos vinculados a los Fondos, en las condiciones y dentro de los límites que fijen los reglamentos.</w:t>
      </w:r>
    </w:p>
    <w:p w14:paraId="3E8F345B" w14:textId="77777777" w:rsidR="00F66F14" w:rsidRPr="00CB0272" w:rsidRDefault="00F66F14" w:rsidP="00F66F14">
      <w:pPr>
        <w:spacing w:after="0" w:line="240" w:lineRule="auto"/>
        <w:ind w:firstLine="708"/>
        <w:contextualSpacing/>
        <w:jc w:val="both"/>
        <w:rPr>
          <w:rFonts w:ascii="Verdana" w:eastAsia="Times New Roman" w:hAnsi="Verdana" w:cs="Arial"/>
          <w:sz w:val="14"/>
          <w:szCs w:val="14"/>
          <w:lang w:eastAsia="es-CO"/>
        </w:rPr>
      </w:pPr>
      <w:r w:rsidRPr="00CB0272">
        <w:rPr>
          <w:rFonts w:ascii="Verdana" w:eastAsia="Times New Roman" w:hAnsi="Verdana" w:cs="Arial"/>
          <w:i/>
          <w:iCs/>
          <w:sz w:val="14"/>
          <w:szCs w:val="14"/>
          <w:lang w:eastAsia="es-CO"/>
        </w:rPr>
        <w:t>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w:t>
      </w:r>
      <w:r w:rsidRPr="00CB0272">
        <w:rPr>
          <w:rFonts w:ascii="Verdana" w:eastAsia="Times New Roman" w:hAnsi="Verdana" w:cs="Arial"/>
          <w:sz w:val="14"/>
          <w:szCs w:val="14"/>
          <w:lang w:eastAsia="es-CO"/>
        </w:rPr>
        <w:t>”.</w:t>
      </w:r>
    </w:p>
    <w:p w14:paraId="16D85211" w14:textId="77777777" w:rsidR="00F66F14" w:rsidRPr="00CB0272" w:rsidRDefault="00F66F14" w:rsidP="00F66F14">
      <w:pPr>
        <w:pStyle w:val="Textonotapie"/>
        <w:ind w:firstLine="708"/>
        <w:contextualSpacing/>
        <w:jc w:val="both"/>
        <w:rPr>
          <w:rFonts w:ascii="Verdana" w:hAnsi="Verdana" w:cs="Arial"/>
          <w:color w:val="000000" w:themeColor="text1"/>
          <w:sz w:val="14"/>
          <w:szCs w:val="14"/>
        </w:rPr>
      </w:pPr>
      <w:r w:rsidRPr="00CB0272">
        <w:rPr>
          <w:rFonts w:ascii="Verdana" w:hAnsi="Verdana" w:cs="Arial"/>
          <w:color w:val="000000" w:themeColor="text1"/>
          <w:sz w:val="14"/>
          <w:szCs w:val="14"/>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5">
    <w:p w14:paraId="03D102D6" w14:textId="77777777" w:rsidR="00F66F14" w:rsidRPr="00CB0272" w:rsidRDefault="00F66F14" w:rsidP="00F66F14">
      <w:pPr>
        <w:pStyle w:val="Textonotapie"/>
        <w:ind w:firstLine="708"/>
        <w:contextualSpacing/>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El artículo 32 de la Ley 80, en lo pertinente, dispone que “Son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p>
  </w:footnote>
  <w:footnote w:id="6">
    <w:p w14:paraId="0466891D" w14:textId="77777777" w:rsidR="00F66F14" w:rsidRPr="00CB0272" w:rsidRDefault="00F66F14" w:rsidP="00F66F14">
      <w:pPr>
        <w:pStyle w:val="Textonotapie"/>
        <w:ind w:firstLine="708"/>
        <w:contextualSpacing/>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w:t>
      </w:r>
      <w:bookmarkStart w:id="8" w:name="_Hlk198934469"/>
      <w:r w:rsidRPr="00CB0272">
        <w:rPr>
          <w:rFonts w:ascii="Verdana" w:hAnsi="Verdana" w:cs="Arial"/>
          <w:sz w:val="14"/>
          <w:szCs w:val="14"/>
        </w:rPr>
        <w:t xml:space="preserve">Cfr. BENAVIDES, José Luis. El contrato estatal: entre el derecho público y el derecho privado. Segunda edición. Bogotá: Universidad Externado de Colombia, 2009. pp. 78-79.     </w:t>
      </w:r>
      <w:bookmarkEnd w:id="8"/>
    </w:p>
  </w:footnote>
  <w:footnote w:id="7">
    <w:p w14:paraId="6CA6C7F1" w14:textId="77777777" w:rsidR="00F66F14" w:rsidRPr="00CB0272" w:rsidRDefault="00F66F14" w:rsidP="00F66F14">
      <w:pPr>
        <w:pStyle w:val="Textonotapie"/>
        <w:ind w:firstLine="708"/>
        <w:contextualSpacing/>
        <w:jc w:val="both"/>
        <w:rPr>
          <w:rFonts w:ascii="Verdana" w:hAnsi="Verdana" w:cs="Arial"/>
          <w:sz w:val="14"/>
          <w:szCs w:val="14"/>
          <w:lang w:val="es-ES"/>
        </w:rPr>
      </w:pPr>
      <w:r w:rsidRPr="00CB0272">
        <w:rPr>
          <w:rStyle w:val="Refdenotaalpie"/>
          <w:rFonts w:ascii="Verdana" w:hAnsi="Verdana" w:cs="Arial"/>
          <w:sz w:val="14"/>
          <w:szCs w:val="14"/>
        </w:rPr>
        <w:footnoteRef/>
      </w:r>
      <w:r w:rsidRPr="00CB0272">
        <w:rPr>
          <w:rFonts w:ascii="Verdana" w:hAnsi="Verdana" w:cs="Arial"/>
          <w:sz w:val="14"/>
          <w:szCs w:val="14"/>
        </w:rPr>
        <w:t xml:space="preserve"> </w:t>
      </w:r>
      <w:bookmarkStart w:id="9" w:name="_Hlk198934483"/>
      <w:r w:rsidRPr="00CB0272">
        <w:rPr>
          <w:rFonts w:ascii="Verdana" w:hAnsi="Verdana" w:cs="Arial"/>
          <w:sz w:val="14"/>
          <w:szCs w:val="14"/>
        </w:rPr>
        <w:t xml:space="preserve">BETANCUR JARAMILLO, Carlos. Derecho procesal administrativo. Cuarta edición. Medellín: Señal Editora, 1994. pp. 522-523. </w:t>
      </w:r>
      <w:bookmarkEnd w:id="9"/>
    </w:p>
  </w:footnote>
  <w:footnote w:id="8">
    <w:p w14:paraId="55516169" w14:textId="77777777" w:rsidR="00F66F14" w:rsidRPr="00CB0272" w:rsidRDefault="00F66F14" w:rsidP="00F66F14">
      <w:pPr>
        <w:pStyle w:val="Textonotapie"/>
        <w:ind w:firstLine="708"/>
        <w:contextualSpacing/>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La norma citada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footnote>
  <w:footnote w:id="9">
    <w:p w14:paraId="2E12D289" w14:textId="77777777" w:rsidR="00F66F14" w:rsidRPr="00CB0272" w:rsidRDefault="00F66F14" w:rsidP="00F66F14">
      <w:pPr>
        <w:pStyle w:val="Textonotapie"/>
        <w:ind w:firstLine="709"/>
        <w:rPr>
          <w:rFonts w:ascii="Verdana" w:hAnsi="Verdana"/>
          <w:sz w:val="14"/>
          <w:szCs w:val="14"/>
          <w:lang w:val="es-ES"/>
        </w:rPr>
      </w:pPr>
      <w:r w:rsidRPr="00CB0272">
        <w:rPr>
          <w:rStyle w:val="Refdenotaalpie"/>
          <w:rFonts w:ascii="Verdana" w:hAnsi="Verdana"/>
          <w:sz w:val="14"/>
          <w:szCs w:val="14"/>
        </w:rPr>
        <w:footnoteRef/>
      </w:r>
      <w:r w:rsidRPr="00CB0272">
        <w:rPr>
          <w:rFonts w:ascii="Verdana" w:hAnsi="Verdana"/>
          <w:sz w:val="14"/>
          <w:szCs w:val="14"/>
        </w:rPr>
        <w:t xml:space="preserve"> </w:t>
      </w:r>
      <w:r w:rsidRPr="00CB0272">
        <w:rPr>
          <w:rFonts w:ascii="Verdana" w:hAnsi="Verdana"/>
          <w:sz w:val="14"/>
          <w:szCs w:val="14"/>
          <w:lang w:val="es-ES"/>
        </w:rPr>
        <w:t>Decreto 1075 de 2015 artículo</w:t>
      </w:r>
      <w:r w:rsidRPr="00CB0272">
        <w:rPr>
          <w:rFonts w:ascii="Verdana" w:hAnsi="Verdana"/>
          <w:sz w:val="14"/>
          <w:szCs w:val="14"/>
          <w:lang w:val="es-CO"/>
        </w:rPr>
        <w:t> </w:t>
      </w:r>
      <w:bookmarkStart w:id="11" w:name="_Hlk198934532"/>
      <w:r w:rsidRPr="00CB0272">
        <w:rPr>
          <w:rFonts w:ascii="Verdana" w:hAnsi="Verdana"/>
          <w:sz w:val="14"/>
          <w:szCs w:val="14"/>
          <w:lang w:val="es-CO"/>
        </w:rPr>
        <w:t>2.3.1.6.3.3.</w:t>
      </w:r>
    </w:p>
    <w:bookmarkEnd w:id="11"/>
  </w:footnote>
  <w:footnote w:id="10">
    <w:p w14:paraId="23239FFF" w14:textId="77777777" w:rsidR="00F66F14" w:rsidRPr="00CB0272" w:rsidRDefault="00F66F14" w:rsidP="00F66F14">
      <w:pPr>
        <w:pStyle w:val="Textonotapie"/>
        <w:ind w:firstLine="709"/>
        <w:rPr>
          <w:rFonts w:ascii="Verdana" w:hAnsi="Verdana"/>
          <w:sz w:val="14"/>
          <w:szCs w:val="14"/>
          <w:lang w:val="es-ES"/>
        </w:rPr>
      </w:pPr>
      <w:r w:rsidRPr="00CB0272">
        <w:rPr>
          <w:rStyle w:val="Refdenotaalpie"/>
          <w:rFonts w:ascii="Verdana" w:hAnsi="Verdana"/>
          <w:sz w:val="14"/>
          <w:szCs w:val="14"/>
        </w:rPr>
        <w:footnoteRef/>
      </w:r>
      <w:r w:rsidRPr="00CB0272">
        <w:rPr>
          <w:rFonts w:ascii="Verdana" w:hAnsi="Verdana"/>
          <w:sz w:val="14"/>
          <w:szCs w:val="14"/>
        </w:rPr>
        <w:t xml:space="preserve"> </w:t>
      </w:r>
      <w:r w:rsidRPr="00CB0272">
        <w:rPr>
          <w:rFonts w:ascii="Verdana" w:hAnsi="Verdana"/>
          <w:sz w:val="14"/>
          <w:szCs w:val="14"/>
          <w:lang w:val="es-ES"/>
        </w:rPr>
        <w:t xml:space="preserve"> Decreto 1075 de 2015 artículo 2.3.6.3.17. </w:t>
      </w:r>
    </w:p>
  </w:footnote>
  <w:footnote w:id="11">
    <w:p w14:paraId="28BDC564" w14:textId="77777777" w:rsidR="00F66F14" w:rsidRPr="00CB0272" w:rsidRDefault="00F66F14" w:rsidP="00F66F14">
      <w:pPr>
        <w:pStyle w:val="Textonotapie"/>
        <w:ind w:firstLine="709"/>
        <w:jc w:val="both"/>
        <w:rPr>
          <w:rFonts w:ascii="Verdana" w:hAnsi="Verdana"/>
          <w:sz w:val="14"/>
          <w:szCs w:val="14"/>
          <w:lang w:val="es-CO"/>
        </w:rPr>
      </w:pPr>
      <w:r w:rsidRPr="00CB0272">
        <w:rPr>
          <w:rStyle w:val="Refdenotaalpie"/>
          <w:rFonts w:ascii="Verdana" w:hAnsi="Verdana"/>
          <w:sz w:val="14"/>
          <w:szCs w:val="14"/>
        </w:rPr>
        <w:footnoteRef/>
      </w:r>
      <w:r w:rsidRPr="00CB0272">
        <w:rPr>
          <w:rFonts w:ascii="Verdana" w:hAnsi="Verdana"/>
          <w:sz w:val="14"/>
          <w:szCs w:val="14"/>
        </w:rPr>
        <w:t xml:space="preserve"> Decreto </w:t>
      </w:r>
      <w:r w:rsidRPr="00CB0272">
        <w:rPr>
          <w:rFonts w:ascii="Verdana" w:hAnsi="Verdana"/>
          <w:sz w:val="14"/>
          <w:szCs w:val="14"/>
          <w:lang w:val="es-ES"/>
        </w:rPr>
        <w:t xml:space="preserve">1075 de 2015, artículo </w:t>
      </w:r>
      <w:bookmarkStart w:id="12" w:name="_Hlk198934605"/>
      <w:r w:rsidRPr="00CB0272">
        <w:rPr>
          <w:rFonts w:ascii="Verdana" w:hAnsi="Verdana"/>
          <w:sz w:val="14"/>
          <w:szCs w:val="14"/>
          <w:lang w:val="es-ES"/>
        </w:rPr>
        <w:t>2.3.1.3.6.5</w:t>
      </w:r>
      <w:bookmarkEnd w:id="12"/>
      <w:r w:rsidRPr="00CB0272">
        <w:rPr>
          <w:rFonts w:ascii="Verdana" w:hAnsi="Verdana"/>
          <w:sz w:val="14"/>
          <w:szCs w:val="14"/>
          <w:lang w:val="es-ES"/>
        </w:rPr>
        <w:t xml:space="preserve"> numeral 5. </w:t>
      </w:r>
      <w:r w:rsidRPr="00CB0272">
        <w:rPr>
          <w:rFonts w:ascii="Verdana" w:hAnsi="Verdana"/>
          <w:sz w:val="14"/>
          <w:szCs w:val="14"/>
          <w:lang w:val="es-CO"/>
        </w:rPr>
        <w:t>Artículo 5. FUNCIONES DEL CONSEJO DIRECTIVO. En relación con el Fondo de Servicios Educativos el consejo directivo cumple las siguientes funciones:</w:t>
      </w:r>
    </w:p>
    <w:p w14:paraId="134A594F" w14:textId="77777777" w:rsidR="00F66F14" w:rsidRPr="00CB0272" w:rsidRDefault="00F66F14" w:rsidP="00F66F14">
      <w:pPr>
        <w:pStyle w:val="Textonotapie"/>
        <w:ind w:firstLine="709"/>
        <w:jc w:val="both"/>
        <w:rPr>
          <w:rFonts w:ascii="Verdana" w:hAnsi="Verdana"/>
          <w:sz w:val="14"/>
          <w:szCs w:val="14"/>
          <w:lang w:val="es-ES"/>
        </w:rPr>
      </w:pPr>
      <w:r w:rsidRPr="00CB0272">
        <w:rPr>
          <w:rFonts w:ascii="Verdana" w:hAnsi="Verdana"/>
          <w:sz w:val="14"/>
          <w:szCs w:val="14"/>
          <w:lang w:val="es-CO"/>
        </w:rPr>
        <w:t>[…] 5. Determinar los actos o contratos que requieran su autorización expresa.</w:t>
      </w:r>
    </w:p>
  </w:footnote>
  <w:footnote w:id="12">
    <w:p w14:paraId="2650E638" w14:textId="77777777" w:rsidR="00F66F14" w:rsidRPr="00CB0272" w:rsidRDefault="00F66F14" w:rsidP="00F66F14">
      <w:pPr>
        <w:pStyle w:val="Textonotapie"/>
        <w:ind w:firstLine="709"/>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MATALLANA CAMACHO, Ernesto. Manual de contratación de la administración pública. Segunda Edición. Bogotá: Universidad Externado de Colombia, 2009. p. 705.</w:t>
      </w:r>
    </w:p>
  </w:footnote>
  <w:footnote w:id="13">
    <w:p w14:paraId="089CC6DE" w14:textId="77777777" w:rsidR="00F66F14" w:rsidRPr="00CB0272" w:rsidRDefault="00F66F14" w:rsidP="00F66F14">
      <w:pPr>
        <w:spacing w:after="0" w:line="240" w:lineRule="auto"/>
        <w:ind w:firstLine="709"/>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w:t>
      </w:r>
      <w:r w:rsidRPr="00CB0272">
        <w:rPr>
          <w:rFonts w:ascii="Verdana" w:eastAsia="Calibri" w:hAnsi="Verdana" w:cs="Arial"/>
          <w:sz w:val="14"/>
          <w:szCs w:val="14"/>
          <w:lang w:val="es-ES_tradnl"/>
        </w:rPr>
        <w:t>De conformidad con la exposición de motivos: “Si bien […] la utilización de procedimientos reglados de selección objetiva se constituye en la regla general, entre los casos de excepción se destaca el relativo a la urgencia manifiesta que el artículo 36 regula de una manera más precisa en orden a facilitar su legítima utilización. Con tal fin se elimina el requisito de la calificación del Consejo de Ministros y se incluye un detalle enunciativo de los posibles factores configurativos de dicha situación de excepción, los cuales se vinculan esencialmente con situaciones evidentes de calamidad pública o que afecten de manera inminente la prestación del servicio, circunstancias que, por su propia naturaleza, determinan la imposibilidad de acudir a procedimientos de escogencia reglada. Se pretende de esa forma, facilitar al máximo la actuación de la administración frente a eventos excepcionales que reclaman su pronta intervención” (</w:t>
      </w:r>
      <w:r w:rsidRPr="00CB0272">
        <w:rPr>
          <w:rFonts w:ascii="Verdana" w:hAnsi="Verdana" w:cs="Arial"/>
          <w:sz w:val="14"/>
          <w:szCs w:val="14"/>
        </w:rPr>
        <w:t>CONGRESO DE LA REPÚBLICA. Exposición de motivos de la Ley 80 de 1993. Gaceta del Congreso No. 75 del 23 de septiembre de 1992).</w:t>
      </w:r>
    </w:p>
  </w:footnote>
  <w:footnote w:id="14">
    <w:p w14:paraId="0185E1EF" w14:textId="77777777" w:rsidR="00F66F14" w:rsidRPr="00CB0272" w:rsidRDefault="00F66F14" w:rsidP="00F66F14">
      <w:pPr>
        <w:pStyle w:val="Textonotapie"/>
        <w:ind w:firstLine="708"/>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DROMI, José Roberto. La licitación pública. Buenos Aires: Ciudad Argentina, 1980. p. 166-168.</w:t>
      </w:r>
    </w:p>
  </w:footnote>
  <w:footnote w:id="15">
    <w:p w14:paraId="0839328B" w14:textId="77777777" w:rsidR="00F66F14" w:rsidRPr="00CB0272" w:rsidRDefault="00F66F14" w:rsidP="00F66F14">
      <w:pPr>
        <w:pStyle w:val="Textonotapie"/>
        <w:ind w:firstLine="708"/>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CONSEJO DE ESTADO. Sala de Consulta y de Servicio Civil. Concepto del 28 de enero de 1998. Rad. 1.073. C.P. Javier Henao Hidrón.</w:t>
      </w:r>
    </w:p>
  </w:footnote>
  <w:footnote w:id="16">
    <w:p w14:paraId="1554B220" w14:textId="77777777" w:rsidR="00F66F14" w:rsidRPr="00CB0272" w:rsidRDefault="00F66F14" w:rsidP="00F66F14">
      <w:pPr>
        <w:pStyle w:val="Textonotapie"/>
        <w:ind w:firstLine="708"/>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Al respecto, “[…] si los funcionarios han sido negligentes en la realización de determinadas obras, y éstas se tornan gravemente imperiosas por el transcurso del tiempo, no podrá por tal causa la Administración la posibilidad de satisfacer la necesidad pública con la verdadera urgencia que la misma requiere. Lo que corresponde es hacer responsables, administrativa y civilmente, a los funcionarios en cuestión, sin perjuicio de solucionar el problema de la urgencia que el mismo objetivamente requiera” (GORDILLO, Agustín. Tratado de derecho administrativo y obras selectas. Tomo IX. Buenos Aires: FDA, 2014. p. XVI-16).</w:t>
      </w:r>
    </w:p>
  </w:footnote>
  <w:footnote w:id="17">
    <w:p w14:paraId="6D423A5F" w14:textId="77777777" w:rsidR="00F66F14" w:rsidRPr="00CB0272" w:rsidRDefault="00F66F14" w:rsidP="00F66F14">
      <w:pPr>
        <w:spacing w:after="0" w:line="240" w:lineRule="auto"/>
        <w:ind w:firstLine="708"/>
        <w:jc w:val="both"/>
        <w:rPr>
          <w:rFonts w:ascii="Verdana" w:hAnsi="Verdana" w:cs="Arial"/>
          <w:sz w:val="14"/>
          <w:szCs w:val="14"/>
        </w:rPr>
      </w:pPr>
      <w:r w:rsidRPr="00CB0272">
        <w:rPr>
          <w:rStyle w:val="Refdenotaalpie"/>
          <w:rFonts w:ascii="Verdana" w:hAnsi="Verdana" w:cs="Arial"/>
          <w:sz w:val="14"/>
          <w:szCs w:val="14"/>
        </w:rPr>
        <w:footnoteRef/>
      </w:r>
      <w:r w:rsidRPr="00CB0272">
        <w:rPr>
          <w:rStyle w:val="Refdenotaalpie"/>
          <w:rFonts w:ascii="Verdana" w:hAnsi="Verdana" w:cs="Arial"/>
          <w:sz w:val="14"/>
          <w:szCs w:val="14"/>
        </w:rPr>
        <w:t xml:space="preserve">  </w:t>
      </w:r>
      <w:r w:rsidRPr="00CB0272">
        <w:rPr>
          <w:rFonts w:ascii="Verdana" w:hAnsi="Verdana" w:cs="Arial"/>
          <w:sz w:val="14"/>
          <w:szCs w:val="14"/>
        </w:rPr>
        <w:t>CONSEJO DE ESTADO. Sección Tercera. Subsección C. Sentencia del 7 de febrero de 2011. Rad. 34.425. C.P. Jaime Orlando Santofimio Gamboa.</w:t>
      </w:r>
    </w:p>
  </w:footnote>
  <w:footnote w:id="18">
    <w:p w14:paraId="20C62E4F" w14:textId="77777777" w:rsidR="00F66F14" w:rsidRPr="00CB0272" w:rsidRDefault="00F66F14" w:rsidP="00F66F14">
      <w:pPr>
        <w:pStyle w:val="Textonotapie"/>
        <w:ind w:firstLine="708"/>
        <w:jc w:val="both"/>
        <w:rPr>
          <w:rFonts w:ascii="Verdana" w:hAnsi="Verdana" w:cs="Arial"/>
          <w:sz w:val="14"/>
          <w:szCs w:val="14"/>
        </w:rPr>
      </w:pPr>
      <w:r w:rsidRPr="00CB0272">
        <w:rPr>
          <w:rStyle w:val="Refdenotaalpie"/>
          <w:rFonts w:ascii="Verdana" w:hAnsi="Verdana" w:cs="Arial"/>
          <w:sz w:val="14"/>
          <w:szCs w:val="14"/>
        </w:rPr>
        <w:footnoteRef/>
      </w:r>
      <w:r w:rsidRPr="00CB0272">
        <w:rPr>
          <w:rFonts w:ascii="Verdana" w:hAnsi="Verdana" w:cs="Arial"/>
          <w:sz w:val="14"/>
          <w:szCs w:val="14"/>
        </w:rPr>
        <w:t xml:space="preserve"> Cfr. ASAMBLEA NACIONAL CONSTITUYENTE. Gaceta Constitucional Nº 76 de mayo 18 de 1991. pp. 12-13.</w:t>
      </w:r>
    </w:p>
  </w:footnote>
  <w:footnote w:id="19">
    <w:p w14:paraId="6DEB5C32" w14:textId="77777777" w:rsidR="00F66F14" w:rsidRPr="00CB0272" w:rsidRDefault="00F66F14" w:rsidP="00F66F14">
      <w:pPr>
        <w:spacing w:after="0" w:line="240" w:lineRule="auto"/>
        <w:ind w:firstLine="708"/>
        <w:jc w:val="both"/>
        <w:rPr>
          <w:rFonts w:ascii="Verdana" w:eastAsia="Calibri" w:hAnsi="Verdana" w:cs="Arial"/>
          <w:sz w:val="14"/>
          <w:szCs w:val="14"/>
          <w:lang w:val="es-ES_tradnl"/>
        </w:rPr>
      </w:pPr>
      <w:r w:rsidRPr="00CB0272">
        <w:rPr>
          <w:rStyle w:val="Refdenotaalpie"/>
          <w:rFonts w:ascii="Verdana" w:hAnsi="Verdana" w:cs="Arial"/>
          <w:sz w:val="14"/>
          <w:szCs w:val="14"/>
        </w:rPr>
        <w:footnoteRef/>
      </w:r>
      <w:r w:rsidRPr="00CB0272">
        <w:rPr>
          <w:rFonts w:ascii="Verdana" w:hAnsi="Verdana" w:cs="Arial"/>
          <w:sz w:val="14"/>
          <w:szCs w:val="14"/>
        </w:rPr>
        <w:t xml:space="preserve"> </w:t>
      </w:r>
      <w:r w:rsidRPr="00CB0272">
        <w:rPr>
          <w:rFonts w:ascii="Verdana" w:eastAsia="Calibri" w:hAnsi="Verdana" w:cs="Arial"/>
          <w:sz w:val="14"/>
          <w:szCs w:val="14"/>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CB0272">
        <w:rPr>
          <w:rFonts w:ascii="Verdana" w:hAnsi="Verdana" w:cs="Arial"/>
          <w:sz w:val="14"/>
          <w:szCs w:val="14"/>
        </w:rPr>
        <w:t xml:space="preserve">CONSEJO DE ESTADO. Sección Tercera. Sentencia del 27 de abril de 2006. Rad. 5.229. C.P. Ramiro Saavedra Becerra). </w:t>
      </w:r>
    </w:p>
  </w:footnote>
  <w:footnote w:id="20">
    <w:p w14:paraId="793CDFA6" w14:textId="77777777" w:rsidR="00F66F14" w:rsidRPr="00817BE8" w:rsidRDefault="00F66F14" w:rsidP="00F66F14">
      <w:pPr>
        <w:pStyle w:val="Textonotapie"/>
        <w:ind w:firstLine="709"/>
        <w:jc w:val="both"/>
        <w:rPr>
          <w:rFonts w:ascii="Verdana" w:hAnsi="Verdana" w:cs="Arial"/>
          <w:sz w:val="16"/>
          <w:szCs w:val="16"/>
          <w:lang w:val="es-ES"/>
        </w:rPr>
      </w:pPr>
      <w:r w:rsidRPr="00CB0272">
        <w:rPr>
          <w:rStyle w:val="Refdenotaalpie"/>
          <w:rFonts w:ascii="Verdana" w:hAnsi="Verdana" w:cs="Arial"/>
          <w:sz w:val="14"/>
          <w:szCs w:val="14"/>
        </w:rPr>
        <w:footnoteRef/>
      </w:r>
      <w:r w:rsidRPr="00CB0272">
        <w:rPr>
          <w:rFonts w:ascii="Verdana" w:hAnsi="Verdana" w:cs="Arial"/>
          <w:sz w:val="14"/>
          <w:szCs w:val="14"/>
        </w:rPr>
        <w:t xml:space="preserve"> </w:t>
      </w:r>
      <w:r w:rsidRPr="00CB0272">
        <w:rPr>
          <w:rFonts w:ascii="Verdana" w:hAnsi="Verdana" w:cs="Arial"/>
          <w:sz w:val="14"/>
          <w:szCs w:val="14"/>
          <w:lang w:val="es-ES"/>
        </w:rPr>
        <w:t>CORTE CONSTITUCIONAL. Sentencia C-772 de 1998. M.P. Fabio Morón Díaz.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B5154" w:rsidRDefault="00BB5154"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B5154" w:rsidRDefault="00BB5154">
    <w:pPr>
      <w:pStyle w:val="Encabezado"/>
    </w:pPr>
  </w:p>
  <w:p w14:paraId="5E18350A" w14:textId="705F7B76" w:rsidR="00BB5154" w:rsidRPr="004A305D" w:rsidRDefault="00BB5154" w:rsidP="00B01B1A">
    <w:pPr>
      <w:spacing w:after="0" w:line="120" w:lineRule="auto"/>
      <w:rPr>
        <w:rFonts w:ascii="Century Gothic" w:eastAsia="Geo" w:hAnsi="Century Gothic" w:cs="Geo"/>
        <w:sz w:val="16"/>
        <w:szCs w:val="16"/>
        <w:lang w:eastAsia="es-CO"/>
      </w:rPr>
    </w:pPr>
  </w:p>
  <w:p w14:paraId="211B7F5D" w14:textId="77777777" w:rsidR="00BB5154" w:rsidRDefault="00BB5154" w:rsidP="00844AE9">
    <w:pPr>
      <w:spacing w:after="0" w:line="240" w:lineRule="auto"/>
      <w:rPr>
        <w:rFonts w:ascii="Verdana" w:hAnsi="Verdana"/>
        <w:sz w:val="24"/>
        <w:szCs w:val="24"/>
      </w:rPr>
    </w:pPr>
  </w:p>
  <w:p w14:paraId="5A0054B1" w14:textId="77777777" w:rsidR="00BB5154" w:rsidRPr="00C925AC" w:rsidRDefault="00BB5154" w:rsidP="00844AE9">
    <w:pPr>
      <w:spacing w:after="0" w:line="240" w:lineRule="auto"/>
      <w:rPr>
        <w:rFonts w:ascii="Verdana" w:hAnsi="Verdana"/>
        <w:sz w:val="24"/>
        <w:szCs w:val="24"/>
      </w:rPr>
    </w:pPr>
  </w:p>
  <w:p w14:paraId="1FD1C243" w14:textId="37C5500A" w:rsidR="00BB5154" w:rsidRPr="00C925AC" w:rsidRDefault="00BB5154"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2EA5AA3"/>
    <w:multiLevelType w:val="hybridMultilevel"/>
    <w:tmpl w:val="F1968C6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56176E83"/>
    <w:multiLevelType w:val="multilevel"/>
    <w:tmpl w:val="C5DE6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973858"/>
    <w:multiLevelType w:val="hybridMultilevel"/>
    <w:tmpl w:val="D2BCEB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EC30B0"/>
    <w:multiLevelType w:val="multilevel"/>
    <w:tmpl w:val="24DEA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439105831">
    <w:abstractNumId w:val="8"/>
  </w:num>
  <w:num w:numId="2" w16cid:durableId="801118446">
    <w:abstractNumId w:val="2"/>
  </w:num>
  <w:num w:numId="3" w16cid:durableId="2023626849">
    <w:abstractNumId w:val="6"/>
  </w:num>
  <w:num w:numId="4" w16cid:durableId="13676067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5189685">
    <w:abstractNumId w:val="2"/>
  </w:num>
  <w:num w:numId="6" w16cid:durableId="1065496248">
    <w:abstractNumId w:val="19"/>
  </w:num>
  <w:num w:numId="7" w16cid:durableId="1573349355">
    <w:abstractNumId w:val="7"/>
  </w:num>
  <w:num w:numId="8" w16cid:durableId="138621506">
    <w:abstractNumId w:val="18"/>
  </w:num>
  <w:num w:numId="9" w16cid:durableId="623389621">
    <w:abstractNumId w:val="9"/>
  </w:num>
  <w:num w:numId="10" w16cid:durableId="1186213544">
    <w:abstractNumId w:val="17"/>
  </w:num>
  <w:num w:numId="11" w16cid:durableId="777603781">
    <w:abstractNumId w:val="10"/>
  </w:num>
  <w:num w:numId="12" w16cid:durableId="1832942951">
    <w:abstractNumId w:val="1"/>
  </w:num>
  <w:num w:numId="13" w16cid:durableId="671227421">
    <w:abstractNumId w:val="4"/>
  </w:num>
  <w:num w:numId="14" w16cid:durableId="1259605994">
    <w:abstractNumId w:val="20"/>
  </w:num>
  <w:num w:numId="15" w16cid:durableId="1623223509">
    <w:abstractNumId w:val="16"/>
  </w:num>
  <w:num w:numId="16" w16cid:durableId="683245130">
    <w:abstractNumId w:val="0"/>
  </w:num>
  <w:num w:numId="17" w16cid:durableId="896237266">
    <w:abstractNumId w:val="11"/>
  </w:num>
  <w:num w:numId="18" w16cid:durableId="1933859719">
    <w:abstractNumId w:val="13"/>
  </w:num>
  <w:num w:numId="19" w16cid:durableId="1765028790">
    <w:abstractNumId w:val="3"/>
  </w:num>
  <w:num w:numId="20" w16cid:durableId="1982809029">
    <w:abstractNumId w:val="22"/>
  </w:num>
  <w:num w:numId="21" w16cid:durableId="1489131062">
    <w:abstractNumId w:val="5"/>
  </w:num>
  <w:num w:numId="22" w16cid:durableId="1176454013">
    <w:abstractNumId w:val="21"/>
  </w:num>
  <w:num w:numId="23" w16cid:durableId="1591425298">
    <w:abstractNumId w:val="12"/>
  </w:num>
  <w:num w:numId="24" w16cid:durableId="1836526845">
    <w:abstractNumId w:val="14"/>
  </w:num>
  <w:num w:numId="25" w16cid:durableId="1631668088">
    <w:abstractNumId w:val="23"/>
  </w:num>
  <w:num w:numId="26" w16cid:durableId="3719309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27FE4"/>
    <w:rsid w:val="000345D6"/>
    <w:rsid w:val="00046945"/>
    <w:rsid w:val="00053C4A"/>
    <w:rsid w:val="00054551"/>
    <w:rsid w:val="00061B2A"/>
    <w:rsid w:val="00062DFC"/>
    <w:rsid w:val="000637C4"/>
    <w:rsid w:val="00081367"/>
    <w:rsid w:val="00082362"/>
    <w:rsid w:val="000825A6"/>
    <w:rsid w:val="00095DAE"/>
    <w:rsid w:val="000A683E"/>
    <w:rsid w:val="000B19B9"/>
    <w:rsid w:val="000C1F6A"/>
    <w:rsid w:val="000C43C5"/>
    <w:rsid w:val="000C75D3"/>
    <w:rsid w:val="000D0334"/>
    <w:rsid w:val="000D5040"/>
    <w:rsid w:val="000D5DA7"/>
    <w:rsid w:val="000F4BC5"/>
    <w:rsid w:val="000F4EFB"/>
    <w:rsid w:val="000F5544"/>
    <w:rsid w:val="000F6486"/>
    <w:rsid w:val="00102203"/>
    <w:rsid w:val="001052D1"/>
    <w:rsid w:val="00116940"/>
    <w:rsid w:val="00125105"/>
    <w:rsid w:val="00127233"/>
    <w:rsid w:val="0012746B"/>
    <w:rsid w:val="00127474"/>
    <w:rsid w:val="00140D86"/>
    <w:rsid w:val="0015699B"/>
    <w:rsid w:val="00164FB3"/>
    <w:rsid w:val="001801C8"/>
    <w:rsid w:val="00186DE9"/>
    <w:rsid w:val="001967FD"/>
    <w:rsid w:val="001A33BF"/>
    <w:rsid w:val="001A65C5"/>
    <w:rsid w:val="001D3F22"/>
    <w:rsid w:val="001E194B"/>
    <w:rsid w:val="001E4177"/>
    <w:rsid w:val="001E5EA0"/>
    <w:rsid w:val="001F0B24"/>
    <w:rsid w:val="001F5A1F"/>
    <w:rsid w:val="001F7DC6"/>
    <w:rsid w:val="0020079E"/>
    <w:rsid w:val="00213187"/>
    <w:rsid w:val="00221BB3"/>
    <w:rsid w:val="0022400B"/>
    <w:rsid w:val="002421BB"/>
    <w:rsid w:val="002441E6"/>
    <w:rsid w:val="0024692A"/>
    <w:rsid w:val="0025796E"/>
    <w:rsid w:val="00261121"/>
    <w:rsid w:val="002707A2"/>
    <w:rsid w:val="00272A28"/>
    <w:rsid w:val="002826F0"/>
    <w:rsid w:val="002845F4"/>
    <w:rsid w:val="002857D9"/>
    <w:rsid w:val="00291756"/>
    <w:rsid w:val="00293441"/>
    <w:rsid w:val="002951A0"/>
    <w:rsid w:val="002962BC"/>
    <w:rsid w:val="002A093D"/>
    <w:rsid w:val="002A0DD0"/>
    <w:rsid w:val="002A49AC"/>
    <w:rsid w:val="002A5E3E"/>
    <w:rsid w:val="002A64FD"/>
    <w:rsid w:val="002A760C"/>
    <w:rsid w:val="002B00EC"/>
    <w:rsid w:val="002C4545"/>
    <w:rsid w:val="002C5725"/>
    <w:rsid w:val="002C6D16"/>
    <w:rsid w:val="002C6F21"/>
    <w:rsid w:val="002C7A84"/>
    <w:rsid w:val="002E2BF8"/>
    <w:rsid w:val="002E4FD9"/>
    <w:rsid w:val="002E60E4"/>
    <w:rsid w:val="002F3CDF"/>
    <w:rsid w:val="0030657A"/>
    <w:rsid w:val="003222E0"/>
    <w:rsid w:val="00322A85"/>
    <w:rsid w:val="00324168"/>
    <w:rsid w:val="00330834"/>
    <w:rsid w:val="003318AB"/>
    <w:rsid w:val="0033349E"/>
    <w:rsid w:val="00334552"/>
    <w:rsid w:val="00341304"/>
    <w:rsid w:val="003448F4"/>
    <w:rsid w:val="00351261"/>
    <w:rsid w:val="00351F1B"/>
    <w:rsid w:val="00355EA0"/>
    <w:rsid w:val="00357965"/>
    <w:rsid w:val="00357C72"/>
    <w:rsid w:val="003604F5"/>
    <w:rsid w:val="0036365C"/>
    <w:rsid w:val="00363DD2"/>
    <w:rsid w:val="003658FE"/>
    <w:rsid w:val="00365AE8"/>
    <w:rsid w:val="00374F5E"/>
    <w:rsid w:val="0037512C"/>
    <w:rsid w:val="00377E3E"/>
    <w:rsid w:val="00380CA4"/>
    <w:rsid w:val="00383185"/>
    <w:rsid w:val="00383B77"/>
    <w:rsid w:val="00397D73"/>
    <w:rsid w:val="003A152E"/>
    <w:rsid w:val="003A475A"/>
    <w:rsid w:val="003A622C"/>
    <w:rsid w:val="003A779E"/>
    <w:rsid w:val="003B2F20"/>
    <w:rsid w:val="003C5B9E"/>
    <w:rsid w:val="003C64B8"/>
    <w:rsid w:val="003D0F4D"/>
    <w:rsid w:val="003D1CF9"/>
    <w:rsid w:val="003D5B0D"/>
    <w:rsid w:val="003E0499"/>
    <w:rsid w:val="003E4F80"/>
    <w:rsid w:val="003E6439"/>
    <w:rsid w:val="003E6646"/>
    <w:rsid w:val="003F0A7D"/>
    <w:rsid w:val="003F3941"/>
    <w:rsid w:val="00401590"/>
    <w:rsid w:val="00406575"/>
    <w:rsid w:val="0041488A"/>
    <w:rsid w:val="00414C74"/>
    <w:rsid w:val="00417B5B"/>
    <w:rsid w:val="004261E9"/>
    <w:rsid w:val="0042722E"/>
    <w:rsid w:val="0043501E"/>
    <w:rsid w:val="00436054"/>
    <w:rsid w:val="00437377"/>
    <w:rsid w:val="0044158F"/>
    <w:rsid w:val="0044528D"/>
    <w:rsid w:val="00447D22"/>
    <w:rsid w:val="00460C08"/>
    <w:rsid w:val="00461D39"/>
    <w:rsid w:val="00466302"/>
    <w:rsid w:val="00466E39"/>
    <w:rsid w:val="004674CF"/>
    <w:rsid w:val="00473BEB"/>
    <w:rsid w:val="0048398A"/>
    <w:rsid w:val="00494C69"/>
    <w:rsid w:val="0049570F"/>
    <w:rsid w:val="004A1847"/>
    <w:rsid w:val="004A305D"/>
    <w:rsid w:val="004A6099"/>
    <w:rsid w:val="004B74F9"/>
    <w:rsid w:val="004B7D74"/>
    <w:rsid w:val="004C1120"/>
    <w:rsid w:val="004C446E"/>
    <w:rsid w:val="004C56E8"/>
    <w:rsid w:val="004D3BDD"/>
    <w:rsid w:val="004D420F"/>
    <w:rsid w:val="004D7FB4"/>
    <w:rsid w:val="004E652D"/>
    <w:rsid w:val="004E6F8B"/>
    <w:rsid w:val="004E7D10"/>
    <w:rsid w:val="004F1C0A"/>
    <w:rsid w:val="004F21C4"/>
    <w:rsid w:val="004F5797"/>
    <w:rsid w:val="004F685F"/>
    <w:rsid w:val="005154AE"/>
    <w:rsid w:val="005269B0"/>
    <w:rsid w:val="0053199F"/>
    <w:rsid w:val="0053767B"/>
    <w:rsid w:val="00541FC5"/>
    <w:rsid w:val="00545645"/>
    <w:rsid w:val="005461C4"/>
    <w:rsid w:val="005566E8"/>
    <w:rsid w:val="005616BF"/>
    <w:rsid w:val="0057211B"/>
    <w:rsid w:val="00574867"/>
    <w:rsid w:val="00580BC6"/>
    <w:rsid w:val="00585673"/>
    <w:rsid w:val="00591460"/>
    <w:rsid w:val="00597A19"/>
    <w:rsid w:val="005A65E0"/>
    <w:rsid w:val="005B0452"/>
    <w:rsid w:val="005B189F"/>
    <w:rsid w:val="005B4B74"/>
    <w:rsid w:val="005B7E48"/>
    <w:rsid w:val="005C3777"/>
    <w:rsid w:val="005C5CDC"/>
    <w:rsid w:val="005C6BC8"/>
    <w:rsid w:val="005D476C"/>
    <w:rsid w:val="005E667D"/>
    <w:rsid w:val="005E6B20"/>
    <w:rsid w:val="005F181C"/>
    <w:rsid w:val="005F7CFB"/>
    <w:rsid w:val="00606EED"/>
    <w:rsid w:val="00614323"/>
    <w:rsid w:val="0061745D"/>
    <w:rsid w:val="006200BF"/>
    <w:rsid w:val="006219F8"/>
    <w:rsid w:val="00621C7A"/>
    <w:rsid w:val="006229C7"/>
    <w:rsid w:val="00624340"/>
    <w:rsid w:val="00625764"/>
    <w:rsid w:val="006302F7"/>
    <w:rsid w:val="006437E1"/>
    <w:rsid w:val="00646B9F"/>
    <w:rsid w:val="006527D7"/>
    <w:rsid w:val="00652BE6"/>
    <w:rsid w:val="00656F96"/>
    <w:rsid w:val="00662D62"/>
    <w:rsid w:val="00662EF3"/>
    <w:rsid w:val="00665485"/>
    <w:rsid w:val="00665D70"/>
    <w:rsid w:val="00670238"/>
    <w:rsid w:val="006705D8"/>
    <w:rsid w:val="00672BA9"/>
    <w:rsid w:val="00686C01"/>
    <w:rsid w:val="006900D9"/>
    <w:rsid w:val="006B2401"/>
    <w:rsid w:val="006C04F1"/>
    <w:rsid w:val="006C296B"/>
    <w:rsid w:val="006D747C"/>
    <w:rsid w:val="006D76F7"/>
    <w:rsid w:val="006E2BF4"/>
    <w:rsid w:val="006E3BCA"/>
    <w:rsid w:val="00706C16"/>
    <w:rsid w:val="007073F0"/>
    <w:rsid w:val="00721364"/>
    <w:rsid w:val="0073108D"/>
    <w:rsid w:val="007317FA"/>
    <w:rsid w:val="007340C3"/>
    <w:rsid w:val="00737DF0"/>
    <w:rsid w:val="0075235A"/>
    <w:rsid w:val="00752490"/>
    <w:rsid w:val="007547BA"/>
    <w:rsid w:val="00756841"/>
    <w:rsid w:val="007649AB"/>
    <w:rsid w:val="00764E41"/>
    <w:rsid w:val="00771D0C"/>
    <w:rsid w:val="00771E47"/>
    <w:rsid w:val="007744FB"/>
    <w:rsid w:val="007829E1"/>
    <w:rsid w:val="007833AC"/>
    <w:rsid w:val="0078433B"/>
    <w:rsid w:val="0078567C"/>
    <w:rsid w:val="00791C33"/>
    <w:rsid w:val="00793F58"/>
    <w:rsid w:val="007A153F"/>
    <w:rsid w:val="007B268C"/>
    <w:rsid w:val="007B7171"/>
    <w:rsid w:val="007C0C0F"/>
    <w:rsid w:val="007C11C5"/>
    <w:rsid w:val="007C3DC2"/>
    <w:rsid w:val="007C6108"/>
    <w:rsid w:val="007D3968"/>
    <w:rsid w:val="007E0EF2"/>
    <w:rsid w:val="007E5497"/>
    <w:rsid w:val="007F019B"/>
    <w:rsid w:val="007F0FED"/>
    <w:rsid w:val="00806205"/>
    <w:rsid w:val="00806F5F"/>
    <w:rsid w:val="00815B83"/>
    <w:rsid w:val="00817856"/>
    <w:rsid w:val="00820169"/>
    <w:rsid w:val="00820278"/>
    <w:rsid w:val="00824114"/>
    <w:rsid w:val="008258C9"/>
    <w:rsid w:val="00826EE8"/>
    <w:rsid w:val="00844AE9"/>
    <w:rsid w:val="00861467"/>
    <w:rsid w:val="0086491C"/>
    <w:rsid w:val="00865A1B"/>
    <w:rsid w:val="00867F95"/>
    <w:rsid w:val="008835B4"/>
    <w:rsid w:val="008835FD"/>
    <w:rsid w:val="008843B6"/>
    <w:rsid w:val="00891006"/>
    <w:rsid w:val="00891928"/>
    <w:rsid w:val="008934CB"/>
    <w:rsid w:val="00895356"/>
    <w:rsid w:val="008A0D3F"/>
    <w:rsid w:val="008A113E"/>
    <w:rsid w:val="008A1896"/>
    <w:rsid w:val="008A446D"/>
    <w:rsid w:val="008A65F7"/>
    <w:rsid w:val="008B104D"/>
    <w:rsid w:val="008B25F1"/>
    <w:rsid w:val="008C571F"/>
    <w:rsid w:val="008C5A84"/>
    <w:rsid w:val="008D180B"/>
    <w:rsid w:val="008E72AF"/>
    <w:rsid w:val="008F0EA7"/>
    <w:rsid w:val="008F327E"/>
    <w:rsid w:val="00917D01"/>
    <w:rsid w:val="00923EEF"/>
    <w:rsid w:val="00926A30"/>
    <w:rsid w:val="009305DC"/>
    <w:rsid w:val="00936B7A"/>
    <w:rsid w:val="009419F9"/>
    <w:rsid w:val="0095685E"/>
    <w:rsid w:val="00961B09"/>
    <w:rsid w:val="00965334"/>
    <w:rsid w:val="0097093E"/>
    <w:rsid w:val="00971254"/>
    <w:rsid w:val="00973E63"/>
    <w:rsid w:val="0097655E"/>
    <w:rsid w:val="009810AE"/>
    <w:rsid w:val="00990BF1"/>
    <w:rsid w:val="009945A5"/>
    <w:rsid w:val="009A027F"/>
    <w:rsid w:val="009A0D37"/>
    <w:rsid w:val="009A0DFA"/>
    <w:rsid w:val="009A1C6F"/>
    <w:rsid w:val="009A44C2"/>
    <w:rsid w:val="009B27B7"/>
    <w:rsid w:val="009B2D26"/>
    <w:rsid w:val="009B651B"/>
    <w:rsid w:val="009B7652"/>
    <w:rsid w:val="009C3B44"/>
    <w:rsid w:val="009C71FA"/>
    <w:rsid w:val="009C72E7"/>
    <w:rsid w:val="009C7F7E"/>
    <w:rsid w:val="009D02FD"/>
    <w:rsid w:val="009D3058"/>
    <w:rsid w:val="009E6333"/>
    <w:rsid w:val="009F27AB"/>
    <w:rsid w:val="009F3A13"/>
    <w:rsid w:val="00A07EBF"/>
    <w:rsid w:val="00A1025E"/>
    <w:rsid w:val="00A122D3"/>
    <w:rsid w:val="00A14468"/>
    <w:rsid w:val="00A16581"/>
    <w:rsid w:val="00A17F13"/>
    <w:rsid w:val="00A20739"/>
    <w:rsid w:val="00A218FA"/>
    <w:rsid w:val="00A233A1"/>
    <w:rsid w:val="00A23AF9"/>
    <w:rsid w:val="00A33C78"/>
    <w:rsid w:val="00A51220"/>
    <w:rsid w:val="00A63F17"/>
    <w:rsid w:val="00A83161"/>
    <w:rsid w:val="00A86E5C"/>
    <w:rsid w:val="00A87E1B"/>
    <w:rsid w:val="00AB0ADB"/>
    <w:rsid w:val="00AD67E7"/>
    <w:rsid w:val="00AF1D17"/>
    <w:rsid w:val="00B00C0E"/>
    <w:rsid w:val="00B01B1A"/>
    <w:rsid w:val="00B0381D"/>
    <w:rsid w:val="00B12E7A"/>
    <w:rsid w:val="00B13882"/>
    <w:rsid w:val="00B14AE1"/>
    <w:rsid w:val="00B14F11"/>
    <w:rsid w:val="00B14F36"/>
    <w:rsid w:val="00B26E62"/>
    <w:rsid w:val="00B30A48"/>
    <w:rsid w:val="00B44A47"/>
    <w:rsid w:val="00B45051"/>
    <w:rsid w:val="00B46DBF"/>
    <w:rsid w:val="00B72CD3"/>
    <w:rsid w:val="00B72FFF"/>
    <w:rsid w:val="00B7443D"/>
    <w:rsid w:val="00B75440"/>
    <w:rsid w:val="00B924C3"/>
    <w:rsid w:val="00B944AA"/>
    <w:rsid w:val="00B95ED8"/>
    <w:rsid w:val="00BA15D8"/>
    <w:rsid w:val="00BA7A2E"/>
    <w:rsid w:val="00BB5154"/>
    <w:rsid w:val="00BB5AC2"/>
    <w:rsid w:val="00BB6120"/>
    <w:rsid w:val="00BB7DAA"/>
    <w:rsid w:val="00BC2AB4"/>
    <w:rsid w:val="00BC30ED"/>
    <w:rsid w:val="00BC3C31"/>
    <w:rsid w:val="00BC3D36"/>
    <w:rsid w:val="00BD54A6"/>
    <w:rsid w:val="00BD7F72"/>
    <w:rsid w:val="00BE0FC4"/>
    <w:rsid w:val="00BE5B49"/>
    <w:rsid w:val="00BF58CD"/>
    <w:rsid w:val="00BF6651"/>
    <w:rsid w:val="00BF7425"/>
    <w:rsid w:val="00BF78B9"/>
    <w:rsid w:val="00C04BE5"/>
    <w:rsid w:val="00C04FB3"/>
    <w:rsid w:val="00C11D8B"/>
    <w:rsid w:val="00C15139"/>
    <w:rsid w:val="00C330EB"/>
    <w:rsid w:val="00C35A4D"/>
    <w:rsid w:val="00C47A0A"/>
    <w:rsid w:val="00C50D69"/>
    <w:rsid w:val="00C5365C"/>
    <w:rsid w:val="00C63036"/>
    <w:rsid w:val="00C66233"/>
    <w:rsid w:val="00C67C8B"/>
    <w:rsid w:val="00C729D3"/>
    <w:rsid w:val="00C754BE"/>
    <w:rsid w:val="00C76B1C"/>
    <w:rsid w:val="00C90318"/>
    <w:rsid w:val="00C925AC"/>
    <w:rsid w:val="00C93167"/>
    <w:rsid w:val="00C9323E"/>
    <w:rsid w:val="00C946BF"/>
    <w:rsid w:val="00C958D1"/>
    <w:rsid w:val="00CA0E68"/>
    <w:rsid w:val="00CB6357"/>
    <w:rsid w:val="00CC1B26"/>
    <w:rsid w:val="00CC47FF"/>
    <w:rsid w:val="00CC4C79"/>
    <w:rsid w:val="00CD29A1"/>
    <w:rsid w:val="00CD6067"/>
    <w:rsid w:val="00CE4589"/>
    <w:rsid w:val="00CE72C3"/>
    <w:rsid w:val="00CF0E99"/>
    <w:rsid w:val="00CF4861"/>
    <w:rsid w:val="00CF6F1B"/>
    <w:rsid w:val="00D0388E"/>
    <w:rsid w:val="00D06C1F"/>
    <w:rsid w:val="00D13C5D"/>
    <w:rsid w:val="00D14E75"/>
    <w:rsid w:val="00D16B44"/>
    <w:rsid w:val="00D16C15"/>
    <w:rsid w:val="00D31EC6"/>
    <w:rsid w:val="00D350D3"/>
    <w:rsid w:val="00D361FD"/>
    <w:rsid w:val="00D417C8"/>
    <w:rsid w:val="00D423A2"/>
    <w:rsid w:val="00D43545"/>
    <w:rsid w:val="00D439FC"/>
    <w:rsid w:val="00D44E26"/>
    <w:rsid w:val="00D45468"/>
    <w:rsid w:val="00D520D8"/>
    <w:rsid w:val="00D53F94"/>
    <w:rsid w:val="00D63AC2"/>
    <w:rsid w:val="00D7383B"/>
    <w:rsid w:val="00D7788A"/>
    <w:rsid w:val="00D91BCC"/>
    <w:rsid w:val="00DA231B"/>
    <w:rsid w:val="00DA3648"/>
    <w:rsid w:val="00DC1709"/>
    <w:rsid w:val="00DC39FC"/>
    <w:rsid w:val="00DC6C70"/>
    <w:rsid w:val="00DD0992"/>
    <w:rsid w:val="00DD4F85"/>
    <w:rsid w:val="00DF3F1B"/>
    <w:rsid w:val="00DF5254"/>
    <w:rsid w:val="00E02524"/>
    <w:rsid w:val="00E1428B"/>
    <w:rsid w:val="00E16408"/>
    <w:rsid w:val="00E20894"/>
    <w:rsid w:val="00E22A1A"/>
    <w:rsid w:val="00E245AB"/>
    <w:rsid w:val="00E2764C"/>
    <w:rsid w:val="00E27F2E"/>
    <w:rsid w:val="00E3445C"/>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96642"/>
    <w:rsid w:val="00EA0E3D"/>
    <w:rsid w:val="00EA4B5D"/>
    <w:rsid w:val="00EB2918"/>
    <w:rsid w:val="00EB3B30"/>
    <w:rsid w:val="00EC38A7"/>
    <w:rsid w:val="00EE1AA8"/>
    <w:rsid w:val="00EF6139"/>
    <w:rsid w:val="00F04C61"/>
    <w:rsid w:val="00F04D58"/>
    <w:rsid w:val="00F04FFA"/>
    <w:rsid w:val="00F163B0"/>
    <w:rsid w:val="00F16BC8"/>
    <w:rsid w:val="00F23FEA"/>
    <w:rsid w:val="00F31A4A"/>
    <w:rsid w:val="00F31EDC"/>
    <w:rsid w:val="00F40CC2"/>
    <w:rsid w:val="00F462B3"/>
    <w:rsid w:val="00F477A0"/>
    <w:rsid w:val="00F52FBA"/>
    <w:rsid w:val="00F54FCB"/>
    <w:rsid w:val="00F5664F"/>
    <w:rsid w:val="00F624DD"/>
    <w:rsid w:val="00F666C4"/>
    <w:rsid w:val="00F66F14"/>
    <w:rsid w:val="00F7007B"/>
    <w:rsid w:val="00F7339B"/>
    <w:rsid w:val="00F7651E"/>
    <w:rsid w:val="00F76AFC"/>
    <w:rsid w:val="00F85588"/>
    <w:rsid w:val="00F86DC4"/>
    <w:rsid w:val="00F92C2A"/>
    <w:rsid w:val="00FA3E17"/>
    <w:rsid w:val="00FA47C0"/>
    <w:rsid w:val="00FA6824"/>
    <w:rsid w:val="00FA7E09"/>
    <w:rsid w:val="00FB2271"/>
    <w:rsid w:val="00FB5DD1"/>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9BD6CC6-F8DA-4226-8BD8-B3D7D99BA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F1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7547BA"/>
    <w:rPr>
      <w:b/>
      <w:bCs/>
    </w:rPr>
  </w:style>
  <w:style w:type="character" w:styleId="nfasis">
    <w:name w:val="Emphasis"/>
    <w:basedOn w:val="Fuentedeprrafopredeter"/>
    <w:uiPriority w:val="20"/>
    <w:qFormat/>
    <w:rsid w:val="007547BA"/>
    <w:rPr>
      <w:i/>
      <w:iCs/>
    </w:rPr>
  </w:style>
  <w:style w:type="table" w:customStyle="1" w:styleId="Tablaconcuadrcula12">
    <w:name w:val="Tabla con cuadrícula12"/>
    <w:basedOn w:val="Tablanormal"/>
    <w:next w:val="Tablaconcuadrcula"/>
    <w:uiPriority w:val="39"/>
    <w:qFormat/>
    <w:rsid w:val="00A87E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72626">
      <w:bodyDiv w:val="1"/>
      <w:marLeft w:val="0"/>
      <w:marRight w:val="0"/>
      <w:marTop w:val="0"/>
      <w:marBottom w:val="0"/>
      <w:divBdr>
        <w:top w:val="none" w:sz="0" w:space="0" w:color="auto"/>
        <w:left w:val="none" w:sz="0" w:space="0" w:color="auto"/>
        <w:bottom w:val="none" w:sz="0" w:space="0" w:color="auto"/>
        <w:right w:val="none" w:sz="0" w:space="0" w:color="auto"/>
      </w:divBdr>
    </w:div>
    <w:div w:id="129247442">
      <w:bodyDiv w:val="1"/>
      <w:marLeft w:val="0"/>
      <w:marRight w:val="0"/>
      <w:marTop w:val="0"/>
      <w:marBottom w:val="0"/>
      <w:divBdr>
        <w:top w:val="none" w:sz="0" w:space="0" w:color="auto"/>
        <w:left w:val="none" w:sz="0" w:space="0" w:color="auto"/>
        <w:bottom w:val="none" w:sz="0" w:space="0" w:color="auto"/>
        <w:right w:val="none" w:sz="0" w:space="0" w:color="auto"/>
      </w:divBdr>
      <w:divsChild>
        <w:div w:id="1461220784">
          <w:marLeft w:val="0"/>
          <w:marRight w:val="0"/>
          <w:marTop w:val="0"/>
          <w:marBottom w:val="0"/>
          <w:divBdr>
            <w:top w:val="none" w:sz="0" w:space="0" w:color="auto"/>
            <w:left w:val="none" w:sz="0" w:space="0" w:color="auto"/>
            <w:bottom w:val="none" w:sz="0" w:space="0" w:color="auto"/>
            <w:right w:val="none" w:sz="0" w:space="0" w:color="auto"/>
          </w:divBdr>
        </w:div>
      </w:divsChild>
    </w:div>
    <w:div w:id="223948667">
      <w:bodyDiv w:val="1"/>
      <w:marLeft w:val="0"/>
      <w:marRight w:val="0"/>
      <w:marTop w:val="0"/>
      <w:marBottom w:val="0"/>
      <w:divBdr>
        <w:top w:val="none" w:sz="0" w:space="0" w:color="auto"/>
        <w:left w:val="none" w:sz="0" w:space="0" w:color="auto"/>
        <w:bottom w:val="none" w:sz="0" w:space="0" w:color="auto"/>
        <w:right w:val="none" w:sz="0" w:space="0" w:color="auto"/>
      </w:divBdr>
      <w:divsChild>
        <w:div w:id="85922838">
          <w:marLeft w:val="0"/>
          <w:marRight w:val="0"/>
          <w:marTop w:val="0"/>
          <w:marBottom w:val="0"/>
          <w:divBdr>
            <w:top w:val="none" w:sz="0" w:space="0" w:color="auto"/>
            <w:left w:val="none" w:sz="0" w:space="0" w:color="auto"/>
            <w:bottom w:val="none" w:sz="0" w:space="0" w:color="auto"/>
            <w:right w:val="none" w:sz="0" w:space="0" w:color="auto"/>
          </w:divBdr>
        </w:div>
        <w:div w:id="165290519">
          <w:marLeft w:val="0"/>
          <w:marRight w:val="0"/>
          <w:marTop w:val="0"/>
          <w:marBottom w:val="0"/>
          <w:divBdr>
            <w:top w:val="none" w:sz="0" w:space="0" w:color="auto"/>
            <w:left w:val="none" w:sz="0" w:space="0" w:color="auto"/>
            <w:bottom w:val="none" w:sz="0" w:space="0" w:color="auto"/>
            <w:right w:val="none" w:sz="0" w:space="0" w:color="auto"/>
          </w:divBdr>
        </w:div>
        <w:div w:id="447168462">
          <w:marLeft w:val="0"/>
          <w:marRight w:val="0"/>
          <w:marTop w:val="300"/>
          <w:marBottom w:val="300"/>
          <w:divBdr>
            <w:top w:val="none" w:sz="0" w:space="0" w:color="auto"/>
            <w:left w:val="none" w:sz="0" w:space="0" w:color="auto"/>
            <w:bottom w:val="none" w:sz="0" w:space="0" w:color="auto"/>
            <w:right w:val="none" w:sz="0" w:space="0" w:color="auto"/>
          </w:divBdr>
        </w:div>
        <w:div w:id="477110413">
          <w:marLeft w:val="0"/>
          <w:marRight w:val="0"/>
          <w:marTop w:val="0"/>
          <w:marBottom w:val="0"/>
          <w:divBdr>
            <w:top w:val="none" w:sz="0" w:space="0" w:color="auto"/>
            <w:left w:val="none" w:sz="0" w:space="0" w:color="auto"/>
            <w:bottom w:val="none" w:sz="0" w:space="0" w:color="auto"/>
            <w:right w:val="none" w:sz="0" w:space="0" w:color="auto"/>
          </w:divBdr>
        </w:div>
        <w:div w:id="1263612531">
          <w:marLeft w:val="0"/>
          <w:marRight w:val="0"/>
          <w:marTop w:val="0"/>
          <w:marBottom w:val="0"/>
          <w:divBdr>
            <w:top w:val="none" w:sz="0" w:space="0" w:color="auto"/>
            <w:left w:val="none" w:sz="0" w:space="0" w:color="auto"/>
            <w:bottom w:val="none" w:sz="0" w:space="0" w:color="auto"/>
            <w:right w:val="none" w:sz="0" w:space="0" w:color="auto"/>
          </w:divBdr>
        </w:div>
        <w:div w:id="1614285467">
          <w:marLeft w:val="0"/>
          <w:marRight w:val="0"/>
          <w:marTop w:val="0"/>
          <w:marBottom w:val="0"/>
          <w:divBdr>
            <w:top w:val="none" w:sz="0" w:space="0" w:color="auto"/>
            <w:left w:val="none" w:sz="0" w:space="0" w:color="auto"/>
            <w:bottom w:val="none" w:sz="0" w:space="0" w:color="auto"/>
            <w:right w:val="none" w:sz="0" w:space="0" w:color="auto"/>
          </w:divBdr>
        </w:div>
        <w:div w:id="1749378546">
          <w:marLeft w:val="0"/>
          <w:marRight w:val="0"/>
          <w:marTop w:val="0"/>
          <w:marBottom w:val="0"/>
          <w:divBdr>
            <w:top w:val="none" w:sz="0" w:space="0" w:color="auto"/>
            <w:left w:val="none" w:sz="0" w:space="0" w:color="auto"/>
            <w:bottom w:val="none" w:sz="0" w:space="0" w:color="auto"/>
            <w:right w:val="none" w:sz="0" w:space="0" w:color="auto"/>
          </w:divBdr>
        </w:div>
        <w:div w:id="1946837566">
          <w:marLeft w:val="0"/>
          <w:marRight w:val="0"/>
          <w:marTop w:val="0"/>
          <w:marBottom w:val="0"/>
          <w:divBdr>
            <w:top w:val="none" w:sz="0" w:space="0" w:color="auto"/>
            <w:left w:val="none" w:sz="0" w:space="0" w:color="auto"/>
            <w:bottom w:val="none" w:sz="0" w:space="0" w:color="auto"/>
            <w:right w:val="none" w:sz="0" w:space="0" w:color="auto"/>
          </w:divBdr>
        </w:div>
      </w:divsChild>
    </w:div>
    <w:div w:id="246037187">
      <w:bodyDiv w:val="1"/>
      <w:marLeft w:val="0"/>
      <w:marRight w:val="0"/>
      <w:marTop w:val="0"/>
      <w:marBottom w:val="0"/>
      <w:divBdr>
        <w:top w:val="none" w:sz="0" w:space="0" w:color="auto"/>
        <w:left w:val="none" w:sz="0" w:space="0" w:color="auto"/>
        <w:bottom w:val="none" w:sz="0" w:space="0" w:color="auto"/>
        <w:right w:val="none" w:sz="0" w:space="0" w:color="auto"/>
      </w:divBdr>
    </w:div>
    <w:div w:id="253518713">
      <w:bodyDiv w:val="1"/>
      <w:marLeft w:val="0"/>
      <w:marRight w:val="0"/>
      <w:marTop w:val="0"/>
      <w:marBottom w:val="0"/>
      <w:divBdr>
        <w:top w:val="none" w:sz="0" w:space="0" w:color="auto"/>
        <w:left w:val="none" w:sz="0" w:space="0" w:color="auto"/>
        <w:bottom w:val="none" w:sz="0" w:space="0" w:color="auto"/>
        <w:right w:val="none" w:sz="0" w:space="0" w:color="auto"/>
      </w:divBdr>
      <w:divsChild>
        <w:div w:id="2088574064">
          <w:marLeft w:val="0"/>
          <w:marRight w:val="0"/>
          <w:marTop w:val="0"/>
          <w:marBottom w:val="0"/>
          <w:divBdr>
            <w:top w:val="none" w:sz="0" w:space="0" w:color="auto"/>
            <w:left w:val="none" w:sz="0" w:space="0" w:color="auto"/>
            <w:bottom w:val="none" w:sz="0" w:space="0" w:color="auto"/>
            <w:right w:val="none" w:sz="0" w:space="0" w:color="auto"/>
          </w:divBdr>
        </w:div>
      </w:divsChild>
    </w:div>
    <w:div w:id="387413375">
      <w:bodyDiv w:val="1"/>
      <w:marLeft w:val="0"/>
      <w:marRight w:val="0"/>
      <w:marTop w:val="0"/>
      <w:marBottom w:val="0"/>
      <w:divBdr>
        <w:top w:val="none" w:sz="0" w:space="0" w:color="auto"/>
        <w:left w:val="none" w:sz="0" w:space="0" w:color="auto"/>
        <w:bottom w:val="none" w:sz="0" w:space="0" w:color="auto"/>
        <w:right w:val="none" w:sz="0" w:space="0" w:color="auto"/>
      </w:divBdr>
    </w:div>
    <w:div w:id="437918795">
      <w:bodyDiv w:val="1"/>
      <w:marLeft w:val="0"/>
      <w:marRight w:val="0"/>
      <w:marTop w:val="0"/>
      <w:marBottom w:val="0"/>
      <w:divBdr>
        <w:top w:val="none" w:sz="0" w:space="0" w:color="auto"/>
        <w:left w:val="none" w:sz="0" w:space="0" w:color="auto"/>
        <w:bottom w:val="none" w:sz="0" w:space="0" w:color="auto"/>
        <w:right w:val="none" w:sz="0" w:space="0" w:color="auto"/>
      </w:divBdr>
      <w:divsChild>
        <w:div w:id="977760561">
          <w:marLeft w:val="0"/>
          <w:marRight w:val="0"/>
          <w:marTop w:val="0"/>
          <w:marBottom w:val="0"/>
          <w:divBdr>
            <w:top w:val="none" w:sz="0" w:space="0" w:color="auto"/>
            <w:left w:val="none" w:sz="0" w:space="0" w:color="auto"/>
            <w:bottom w:val="none" w:sz="0" w:space="0" w:color="auto"/>
            <w:right w:val="none" w:sz="0" w:space="0" w:color="auto"/>
          </w:divBdr>
        </w:div>
      </w:divsChild>
    </w:div>
    <w:div w:id="46806226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8456624">
      <w:bodyDiv w:val="1"/>
      <w:marLeft w:val="0"/>
      <w:marRight w:val="0"/>
      <w:marTop w:val="0"/>
      <w:marBottom w:val="0"/>
      <w:divBdr>
        <w:top w:val="none" w:sz="0" w:space="0" w:color="auto"/>
        <w:left w:val="none" w:sz="0" w:space="0" w:color="auto"/>
        <w:bottom w:val="none" w:sz="0" w:space="0" w:color="auto"/>
        <w:right w:val="none" w:sz="0" w:space="0" w:color="auto"/>
      </w:divBdr>
    </w:div>
    <w:div w:id="102690592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257393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49757397">
      <w:bodyDiv w:val="1"/>
      <w:marLeft w:val="0"/>
      <w:marRight w:val="0"/>
      <w:marTop w:val="0"/>
      <w:marBottom w:val="0"/>
      <w:divBdr>
        <w:top w:val="none" w:sz="0" w:space="0" w:color="auto"/>
        <w:left w:val="none" w:sz="0" w:space="0" w:color="auto"/>
        <w:bottom w:val="none" w:sz="0" w:space="0" w:color="auto"/>
        <w:right w:val="none" w:sz="0" w:space="0" w:color="auto"/>
      </w:divBdr>
    </w:div>
    <w:div w:id="1765688853">
      <w:bodyDiv w:val="1"/>
      <w:marLeft w:val="0"/>
      <w:marRight w:val="0"/>
      <w:marTop w:val="0"/>
      <w:marBottom w:val="0"/>
      <w:divBdr>
        <w:top w:val="none" w:sz="0" w:space="0" w:color="auto"/>
        <w:left w:val="none" w:sz="0" w:space="0" w:color="auto"/>
        <w:bottom w:val="none" w:sz="0" w:space="0" w:color="auto"/>
        <w:right w:val="none" w:sz="0" w:space="0" w:color="auto"/>
      </w:divBdr>
    </w:div>
    <w:div w:id="210452366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infotrabajo.lt@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51355F6-3F29-455C-A47F-0AB27174F88D}">
  <ds:schemaRefs>
    <ds:schemaRef ds:uri="http://schemas.openxmlformats.org/officeDocument/2006/bibliography"/>
  </ds:schemaRefs>
</ds:datastoreItem>
</file>

<file path=customXml/itemProps2.xml><?xml version="1.0" encoding="utf-8"?>
<ds:datastoreItem xmlns:ds="http://schemas.openxmlformats.org/officeDocument/2006/customXml" ds:itemID="{505B7E6E-8483-4F5F-AA84-65DCFE9739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24</Pages>
  <Words>7494</Words>
  <Characters>42345</Characters>
  <Application>Microsoft Office Word</Application>
  <DocSecurity>0</DocSecurity>
  <Lines>814</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2026-04-01T22:45:00Z</dcterms:created>
  <dcterms:modified xsi:type="dcterms:W3CDTF">2026-04-06T22:21:00Z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