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26519" w14:textId="77777777" w:rsidR="005750C1" w:rsidRPr="005750C1" w:rsidRDefault="005750C1" w:rsidP="00DE60E5">
      <w:pPr>
        <w:spacing w:after="0" w:line="240" w:lineRule="auto"/>
        <w:rPr>
          <w:rFonts w:ascii="Verdana" w:eastAsia="Verdana" w:hAnsi="Verdana" w:cs="Verdana"/>
          <w:b/>
          <w:lang w:val="es-ES"/>
        </w:rPr>
      </w:pPr>
      <w:bookmarkStart w:id="0" w:name="_Hlk143780582"/>
      <w:r w:rsidRPr="005750C1">
        <w:rPr>
          <w:rFonts w:ascii="Verdana" w:eastAsia="Verdana" w:hAnsi="Verdana" w:cs="Verdana"/>
          <w:b/>
          <w:lang w:val="es-ES"/>
        </w:rPr>
        <w:t xml:space="preserve">UNIVERSIDADES PÚBLICAS – Naturaleza jurídica </w:t>
      </w:r>
    </w:p>
    <w:p w14:paraId="5A599B9E" w14:textId="4E2F5936" w:rsidR="005750C1" w:rsidRPr="005750C1" w:rsidRDefault="005750C1" w:rsidP="00DE60E5">
      <w:pPr>
        <w:spacing w:after="0" w:line="240" w:lineRule="auto"/>
        <w:jc w:val="both"/>
        <w:rPr>
          <w:rFonts w:ascii="Verdana" w:eastAsia="Verdana" w:hAnsi="Verdana" w:cs="Verdana"/>
          <w:sz w:val="20"/>
          <w:lang w:val="es-ES"/>
        </w:rPr>
      </w:pPr>
    </w:p>
    <w:p w14:paraId="4ED93076" w14:textId="47B15EF0" w:rsidR="005750C1" w:rsidRDefault="005750C1" w:rsidP="00DE60E5">
      <w:pPr>
        <w:spacing w:after="0" w:line="240" w:lineRule="auto"/>
        <w:jc w:val="both"/>
        <w:rPr>
          <w:rFonts w:ascii="Verdana" w:eastAsia="Verdana" w:hAnsi="Verdana" w:cs="Verdana"/>
          <w:sz w:val="20"/>
        </w:rPr>
      </w:pPr>
      <w:r w:rsidRPr="005750C1">
        <w:rPr>
          <w:rFonts w:ascii="Verdana" w:eastAsia="Verdana" w:hAnsi="Verdana" w:cs="Verdana"/>
          <w:sz w:val="20"/>
          <w:lang w:val="es-ES"/>
        </w:rPr>
        <w:t xml:space="preserve">De manera preliminar, debe precisarse que la </w:t>
      </w:r>
      <w:r w:rsidRPr="005750C1">
        <w:rPr>
          <w:rFonts w:ascii="Verdana" w:eastAsia="Verdana" w:hAnsi="Verdana" w:cs="Verdana"/>
          <w:sz w:val="20"/>
          <w:lang w:val="es-MX"/>
        </w:rPr>
        <w:t>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w:t>
      </w:r>
      <w:r w:rsidRPr="005750C1">
        <w:rPr>
          <w:rFonts w:ascii="Verdana" w:eastAsia="Verdana" w:hAnsi="Verdana" w:cs="Verdana"/>
          <w:sz w:val="20"/>
          <w:vertAlign w:val="subscript"/>
        </w:rPr>
        <w:t>.</w:t>
      </w:r>
      <w:r w:rsidRPr="005750C1">
        <w:rPr>
          <w:rFonts w:ascii="Verdana" w:eastAsia="Verdana" w:hAnsi="Verdana" w:cs="Verdana"/>
          <w:sz w:val="20"/>
        </w:rPr>
        <w:t xml:space="preserve"> Así mismo, la Constitución Política en su artículo 113 establece que son Ramas del Poder Público: la legislativa, la ejecutiva y la judicial, sin perjuicio de que existan otros órganos autónomos e independientes para el cumplimiento de las funciones del Estado. Es decir, existen órganos que no hacen parte de las diferentes Ramas del Poder Público. </w:t>
      </w:r>
    </w:p>
    <w:p w14:paraId="7A940B54" w14:textId="77777777" w:rsidR="005750C1" w:rsidRPr="005750C1" w:rsidRDefault="005750C1" w:rsidP="00DE60E5">
      <w:pPr>
        <w:spacing w:after="0" w:line="240" w:lineRule="auto"/>
        <w:jc w:val="both"/>
        <w:rPr>
          <w:rFonts w:ascii="Verdana" w:eastAsia="Verdana" w:hAnsi="Verdana" w:cs="Verdana"/>
          <w:sz w:val="20"/>
        </w:rPr>
      </w:pPr>
    </w:p>
    <w:p w14:paraId="7D250777" w14:textId="79A5DC6C" w:rsidR="005750C1" w:rsidRPr="005750C1" w:rsidRDefault="005750C1" w:rsidP="00DE60E5">
      <w:pPr>
        <w:spacing w:after="0" w:line="240" w:lineRule="auto"/>
        <w:jc w:val="both"/>
        <w:rPr>
          <w:rFonts w:ascii="Verdana" w:eastAsia="Verdana" w:hAnsi="Verdana" w:cs="Verdana"/>
          <w:sz w:val="20"/>
        </w:rPr>
      </w:pPr>
      <w:r w:rsidRPr="005750C1">
        <w:rPr>
          <w:rFonts w:ascii="Verdana" w:eastAsia="Verdana" w:hAnsi="Verdana" w:cs="Verdana"/>
          <w:sz w:val="20"/>
        </w:rPr>
        <w:t xml:space="preserve">En desarrollo de lo anterior, se expidió la Ley 30 de 1992, mediante la cual se regularon aspectos como la naturaleza jurídica de las universidades estatales y oficiales, la forma de organizarse y el régimen de contratación aplicable. Asimismo, en el artículo 57 </w:t>
      </w:r>
      <w:proofErr w:type="spellStart"/>
      <w:r w:rsidRPr="005750C1">
        <w:rPr>
          <w:rFonts w:ascii="Verdana" w:eastAsia="Verdana" w:hAnsi="Verdana" w:cs="Verdana"/>
          <w:sz w:val="20"/>
        </w:rPr>
        <w:t>ibídem</w:t>
      </w:r>
      <w:proofErr w:type="spellEnd"/>
      <w:r w:rsidRPr="005750C1">
        <w:rPr>
          <w:rFonts w:ascii="Verdana" w:eastAsia="Verdana" w:hAnsi="Verdana" w:cs="Verdana"/>
          <w:sz w:val="20"/>
        </w:rPr>
        <w:t xml:space="preserve"> se consignó que el carácter especial del régimen de las universidades estatales u oficiales comprende, entre otros aspectos, el régimen de contratación. </w:t>
      </w:r>
    </w:p>
    <w:p w14:paraId="686A0930" w14:textId="77777777" w:rsidR="005750C1" w:rsidRDefault="005750C1" w:rsidP="00DE60E5">
      <w:pPr>
        <w:spacing w:after="0" w:line="240" w:lineRule="auto"/>
        <w:jc w:val="both"/>
        <w:rPr>
          <w:rFonts w:ascii="Verdana" w:eastAsia="Verdana" w:hAnsi="Verdana" w:cs="Verdana"/>
          <w:sz w:val="20"/>
        </w:rPr>
      </w:pPr>
    </w:p>
    <w:p w14:paraId="109C4FF4" w14:textId="02D3529B" w:rsidR="005750C1" w:rsidRPr="005750C1" w:rsidRDefault="005750C1" w:rsidP="00DE60E5">
      <w:pPr>
        <w:spacing w:after="0" w:line="240" w:lineRule="auto"/>
        <w:jc w:val="both"/>
        <w:rPr>
          <w:rFonts w:ascii="Verdana" w:eastAsia="Verdana" w:hAnsi="Verdana" w:cs="Verdana"/>
          <w:sz w:val="20"/>
          <w:lang w:val="es-ES"/>
        </w:rPr>
      </w:pPr>
      <w:r w:rsidRPr="005750C1">
        <w:rPr>
          <w:rFonts w:ascii="Verdana" w:eastAsia="Verdana" w:hAnsi="Verdana" w:cs="Verdana"/>
          <w:sz w:val="20"/>
        </w:rPr>
        <w:t xml:space="preserve">De otro lado, la Ley 489 de 1998, al desarrollar la estructura y organización de la Administración Pública, establece que los entes universitarios hacen parte integral de esta, catalogándolos como Entidades Públicas de carácter autónomo a las que aplica un régimen especial. </w:t>
      </w:r>
    </w:p>
    <w:p w14:paraId="097E4CFB" w14:textId="77777777" w:rsidR="005750C1" w:rsidRPr="005750C1" w:rsidRDefault="005750C1" w:rsidP="00E5670D">
      <w:pPr>
        <w:spacing w:after="0" w:line="240" w:lineRule="auto"/>
        <w:rPr>
          <w:rFonts w:ascii="Verdana" w:eastAsia="Verdana" w:hAnsi="Verdana" w:cs="Verdana"/>
          <w:b/>
          <w:lang w:val="es-ES"/>
        </w:rPr>
      </w:pPr>
    </w:p>
    <w:p w14:paraId="1166B06B" w14:textId="06D1B66D" w:rsidR="005750C1" w:rsidRPr="005750C1" w:rsidRDefault="005750C1" w:rsidP="00E5670D">
      <w:pPr>
        <w:spacing w:after="0" w:line="240" w:lineRule="auto"/>
        <w:rPr>
          <w:rFonts w:ascii="Verdana" w:eastAsia="Verdana" w:hAnsi="Verdana" w:cs="Verdana"/>
          <w:b/>
        </w:rPr>
      </w:pPr>
      <w:r w:rsidRPr="005750C1">
        <w:rPr>
          <w:rFonts w:ascii="Verdana" w:eastAsia="Verdana" w:hAnsi="Verdana" w:cs="Verdana"/>
          <w:b/>
          <w:lang w:val="es-ES"/>
        </w:rPr>
        <w:t xml:space="preserve">UNIVERSIDADES PÚBLICAS - Régimen de contratación aplicable </w:t>
      </w:r>
    </w:p>
    <w:p w14:paraId="13C1CFF8" w14:textId="12517E33" w:rsidR="005750C1" w:rsidRPr="00DE60E5" w:rsidRDefault="005750C1" w:rsidP="00DE60E5">
      <w:pPr>
        <w:spacing w:after="0" w:line="240" w:lineRule="auto"/>
        <w:jc w:val="both"/>
        <w:rPr>
          <w:rFonts w:ascii="Verdana" w:eastAsia="Verdana" w:hAnsi="Verdana" w:cs="Verdana"/>
          <w:sz w:val="20"/>
          <w:lang w:val="es-ES"/>
        </w:rPr>
      </w:pPr>
    </w:p>
    <w:p w14:paraId="5B632E1C" w14:textId="5BA5C07A" w:rsidR="00DE60E5" w:rsidRPr="00DE60E5" w:rsidRDefault="00DE60E5" w:rsidP="00DE60E5">
      <w:pPr>
        <w:spacing w:after="0" w:line="240" w:lineRule="auto"/>
        <w:jc w:val="both"/>
        <w:rPr>
          <w:rFonts w:ascii="Verdana" w:eastAsia="Verdana" w:hAnsi="Verdana" w:cs="Verdana"/>
          <w:sz w:val="20"/>
          <w:lang w:val="es-MX"/>
        </w:rPr>
      </w:pPr>
      <w:r w:rsidRPr="00DE60E5">
        <w:rPr>
          <w:rFonts w:ascii="Verdana" w:eastAsia="Verdana" w:hAnsi="Verdana" w:cs="Verdana"/>
          <w:sz w:val="20"/>
          <w:lang w:val="es-MX"/>
        </w:rPr>
        <w:t>De lo anterior, podría inferirse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EGCAP –Ley 80 de 1993, Ley 1150 de 2007, Decreto 1082 de 2015 y demás normas que lo modifiquen o complementen–, estarán sujetas, sin que ello afecte su economía, a las reglas y restricciones que dicho estatuto contenga para ese tipo de situaciones.</w:t>
      </w:r>
    </w:p>
    <w:p w14:paraId="00D5FB90" w14:textId="77777777" w:rsidR="00DE60E5" w:rsidRPr="005750C1" w:rsidRDefault="00DE60E5" w:rsidP="005750C1">
      <w:pPr>
        <w:spacing w:after="0" w:line="240" w:lineRule="auto"/>
        <w:jc w:val="both"/>
        <w:rPr>
          <w:rFonts w:ascii="Verdana" w:eastAsia="Verdana" w:hAnsi="Verdana" w:cs="Verdana"/>
          <w:b/>
          <w:lang w:val="es-ES"/>
        </w:rPr>
      </w:pPr>
    </w:p>
    <w:p w14:paraId="0D541D63" w14:textId="77777777" w:rsidR="005750C1" w:rsidRPr="005750C1" w:rsidRDefault="005750C1" w:rsidP="005750C1">
      <w:pPr>
        <w:spacing w:after="0" w:line="240" w:lineRule="auto"/>
        <w:jc w:val="both"/>
        <w:rPr>
          <w:rFonts w:ascii="Verdana" w:eastAsia="Verdana" w:hAnsi="Verdana" w:cs="Verdana"/>
          <w:b/>
          <w:lang w:val="es-ES_tradnl"/>
        </w:rPr>
      </w:pPr>
      <w:r w:rsidRPr="005750C1">
        <w:rPr>
          <w:rFonts w:ascii="Verdana" w:eastAsia="Verdana" w:hAnsi="Verdana" w:cs="Verdana"/>
          <w:b/>
          <w:lang w:val="es-ES_tradnl"/>
        </w:rPr>
        <w:t xml:space="preserve">LEY 1955 DE 2019 – Artículo 229 – Finalidad </w:t>
      </w:r>
    </w:p>
    <w:p w14:paraId="6EF80C98" w14:textId="77777777" w:rsidR="005750C1" w:rsidRPr="005750C1" w:rsidRDefault="005750C1" w:rsidP="005750C1">
      <w:pPr>
        <w:spacing w:after="0" w:line="240" w:lineRule="auto"/>
        <w:jc w:val="both"/>
        <w:rPr>
          <w:rFonts w:ascii="Verdana" w:eastAsia="Verdana" w:hAnsi="Verdana" w:cs="Verdana"/>
          <w:sz w:val="20"/>
          <w:lang w:val="es-ES_tradnl"/>
        </w:rPr>
      </w:pPr>
    </w:p>
    <w:p w14:paraId="3D0814CF" w14:textId="77777777" w:rsidR="005750C1" w:rsidRPr="005750C1" w:rsidRDefault="005750C1" w:rsidP="005750C1">
      <w:pPr>
        <w:spacing w:after="0" w:line="240" w:lineRule="auto"/>
        <w:jc w:val="both"/>
        <w:rPr>
          <w:rFonts w:ascii="Verdana" w:eastAsia="Verdana" w:hAnsi="Verdana" w:cs="Verdana"/>
          <w:sz w:val="20"/>
        </w:rPr>
      </w:pPr>
      <w:r w:rsidRPr="005750C1">
        <w:rPr>
          <w:rFonts w:ascii="Verdana" w:eastAsia="Verdana" w:hAnsi="Verdana" w:cs="Verdana"/>
          <w:sz w:val="20"/>
        </w:rPr>
        <w:t xml:space="preserve">Así, en el mercado de la compra pública se crean incentivos para fomentar el desarrollo de determinado tipo de proveedores, como ocurre con los incentivos a las </w:t>
      </w:r>
      <w:proofErr w:type="spellStart"/>
      <w:r w:rsidRPr="005750C1">
        <w:rPr>
          <w:rFonts w:ascii="Verdana" w:eastAsia="Verdana" w:hAnsi="Verdana" w:cs="Verdana"/>
          <w:sz w:val="20"/>
        </w:rPr>
        <w:t>Mipymes</w:t>
      </w:r>
      <w:proofErr w:type="spellEnd"/>
      <w:r w:rsidRPr="005750C1">
        <w:rPr>
          <w:rFonts w:ascii="Verdana" w:eastAsia="Verdana" w:hAnsi="Verdana" w:cs="Verdana"/>
          <w:sz w:val="20"/>
        </w:rPr>
        <w:t>, a los emprendimientos y empresas de mujeres, entre otros. En esa orientación, el artículo 229 de la Ley 1955 de 2019, “Por el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w:t>
      </w:r>
    </w:p>
    <w:p w14:paraId="7A13311F" w14:textId="77777777" w:rsidR="005750C1" w:rsidRPr="005750C1" w:rsidRDefault="005750C1" w:rsidP="005750C1">
      <w:pPr>
        <w:spacing w:after="0" w:line="240" w:lineRule="auto"/>
        <w:jc w:val="both"/>
        <w:rPr>
          <w:rFonts w:ascii="Verdana" w:eastAsia="Verdana" w:hAnsi="Verdana" w:cs="Verdana"/>
          <w:b/>
          <w:lang w:val="es-ES_tradnl"/>
        </w:rPr>
      </w:pPr>
    </w:p>
    <w:p w14:paraId="4D506FFE" w14:textId="68221B3E" w:rsidR="005750C1" w:rsidRPr="005750C1" w:rsidRDefault="005750C1" w:rsidP="005750C1">
      <w:pPr>
        <w:spacing w:after="0" w:line="240" w:lineRule="auto"/>
        <w:jc w:val="both"/>
        <w:rPr>
          <w:rFonts w:ascii="Verdana" w:eastAsia="Verdana" w:hAnsi="Verdana" w:cs="Verdana"/>
          <w:b/>
          <w:lang w:val="es-ES_tradnl"/>
        </w:rPr>
      </w:pPr>
      <w:r w:rsidRPr="005750C1">
        <w:rPr>
          <w:rFonts w:ascii="Verdana" w:eastAsia="Verdana" w:hAnsi="Verdana" w:cs="Verdana"/>
          <w:b/>
          <w:lang w:val="es-ES_tradnl"/>
        </w:rPr>
        <w:t xml:space="preserve">LEY 2046 DE 2020 – Finalidad – Ámbito de aplicación - Compra pública de alimentos – No aplicación – Universidades Públicas </w:t>
      </w:r>
    </w:p>
    <w:p w14:paraId="21E53552" w14:textId="77777777" w:rsidR="005750C1" w:rsidRPr="005750C1" w:rsidRDefault="005750C1" w:rsidP="005750C1">
      <w:pPr>
        <w:spacing w:after="0" w:line="240" w:lineRule="auto"/>
        <w:jc w:val="both"/>
        <w:rPr>
          <w:rFonts w:ascii="Verdana" w:eastAsia="Verdana" w:hAnsi="Verdana" w:cs="Verdana"/>
          <w:sz w:val="20"/>
          <w:lang w:val="es-ES_tradnl"/>
        </w:rPr>
      </w:pPr>
    </w:p>
    <w:p w14:paraId="44CFD8B4" w14:textId="35DE6B9E" w:rsidR="00DE60E5" w:rsidRDefault="00DE60E5" w:rsidP="00DE60E5">
      <w:pPr>
        <w:spacing w:after="0" w:line="240" w:lineRule="auto"/>
        <w:jc w:val="both"/>
        <w:rPr>
          <w:rFonts w:ascii="Verdana" w:eastAsia="Verdana" w:hAnsi="Verdana" w:cs="Verdana"/>
          <w:sz w:val="20"/>
        </w:rPr>
      </w:pPr>
      <w:r w:rsidRPr="00DE60E5">
        <w:rPr>
          <w:rFonts w:ascii="Verdana" w:eastAsia="Verdana" w:hAnsi="Verdana" w:cs="Verdana"/>
          <w:sz w:val="20"/>
        </w:rPr>
        <w:t xml:space="preserve">En cuanto al campo de aplicación, asunto al cual se refiere en su consulta, el artículo 3 </w:t>
      </w:r>
      <w:proofErr w:type="spellStart"/>
      <w:r w:rsidRPr="00DE60E5">
        <w:rPr>
          <w:rFonts w:ascii="Verdana" w:eastAsia="Verdana" w:hAnsi="Verdana" w:cs="Verdana"/>
          <w:sz w:val="20"/>
        </w:rPr>
        <w:t>ibídem</w:t>
      </w:r>
      <w:proofErr w:type="spellEnd"/>
      <w:r w:rsidRPr="00DE60E5">
        <w:rPr>
          <w:rFonts w:ascii="Verdana" w:eastAsia="Verdana" w:hAnsi="Verdana" w:cs="Verdana"/>
          <w:sz w:val="20"/>
        </w:rPr>
        <w:t xml:space="preserve"> prescribe lo siguiente: “Las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 </w:t>
      </w:r>
    </w:p>
    <w:p w14:paraId="30D35A2D" w14:textId="77777777" w:rsidR="00DE60E5" w:rsidRPr="00DE60E5" w:rsidRDefault="00DE60E5" w:rsidP="00DE60E5">
      <w:pPr>
        <w:spacing w:after="0" w:line="240" w:lineRule="auto"/>
        <w:jc w:val="both"/>
        <w:rPr>
          <w:rFonts w:ascii="Verdana" w:eastAsia="Verdana" w:hAnsi="Verdana" w:cs="Verdana"/>
          <w:sz w:val="20"/>
        </w:rPr>
      </w:pPr>
    </w:p>
    <w:p w14:paraId="74B94B01" w14:textId="18976244" w:rsidR="00DE60E5" w:rsidRDefault="00DE60E5" w:rsidP="00DE60E5">
      <w:pPr>
        <w:spacing w:after="0" w:line="240" w:lineRule="auto"/>
        <w:jc w:val="both"/>
        <w:rPr>
          <w:rFonts w:ascii="Verdana" w:eastAsia="Verdana" w:hAnsi="Verdana" w:cs="Verdana"/>
          <w:sz w:val="20"/>
        </w:rPr>
      </w:pPr>
      <w:r w:rsidRPr="00DE60E5">
        <w:rPr>
          <w:rFonts w:ascii="Verdana" w:eastAsia="Verdana" w:hAnsi="Verdana" w:cs="Verdana"/>
          <w:sz w:val="20"/>
        </w:rPr>
        <w:t>En efecto, este ámbito de aplicación no se limita a las entidades sujetas al EGCAP, sino que se extiende a otro tipo de Entidades Públicas de los distintos órdenes, las sociedades de economía mixta, entidades privadas que administren recursos públicos, así como los demás sujetos mencionados en la norma. Esta redacción evidencia la intención del legislador de otorgar un alcance general y comprensivo a las obligaciones allí contenidas, evitando limitar su aplicación a una categoría específica de entidades.</w:t>
      </w:r>
    </w:p>
    <w:p w14:paraId="02A18FA4" w14:textId="77777777" w:rsidR="00DE60E5" w:rsidRPr="00DE60E5" w:rsidRDefault="00DE60E5" w:rsidP="00DE60E5">
      <w:pPr>
        <w:spacing w:after="0" w:line="240" w:lineRule="auto"/>
        <w:jc w:val="both"/>
        <w:rPr>
          <w:rFonts w:ascii="Verdana" w:eastAsia="Verdana" w:hAnsi="Verdana" w:cs="Verdana"/>
          <w:sz w:val="20"/>
        </w:rPr>
      </w:pPr>
    </w:p>
    <w:p w14:paraId="037F487F" w14:textId="52547037" w:rsidR="00DE60E5" w:rsidRDefault="00DE60E5" w:rsidP="00DE60E5">
      <w:pPr>
        <w:spacing w:after="0" w:line="240" w:lineRule="auto"/>
        <w:jc w:val="both"/>
        <w:rPr>
          <w:rFonts w:ascii="Verdana" w:eastAsia="Verdana" w:hAnsi="Verdana" w:cs="Verdana"/>
          <w:sz w:val="20"/>
        </w:rPr>
      </w:pPr>
      <w:r w:rsidRPr="00DE60E5">
        <w:rPr>
          <w:rFonts w:ascii="Verdana" w:eastAsia="Verdana" w:hAnsi="Verdana" w:cs="Verdana"/>
          <w:sz w:val="20"/>
        </w:rPr>
        <w:t xml:space="preserve">En este contexto, resulta relevante precisar que la norma en cuestión </w:t>
      </w:r>
      <w:r w:rsidRPr="00DE60E5">
        <w:rPr>
          <w:rFonts w:ascii="Verdana" w:eastAsia="Verdana" w:hAnsi="Verdana" w:cs="Verdana"/>
          <w:bCs/>
          <w:sz w:val="20"/>
        </w:rPr>
        <w:t>no se refiere expresa ni implícita a las universidades públicas ni a los entes universitarios autónomos</w:t>
      </w:r>
      <w:r w:rsidRPr="00DE60E5">
        <w:rPr>
          <w:rFonts w:ascii="Verdana" w:eastAsia="Verdana" w:hAnsi="Verdana" w:cs="Verdana"/>
          <w:sz w:val="20"/>
        </w:rPr>
        <w:t xml:space="preserve">, en la medida en que estas instituciones </w:t>
      </w:r>
      <w:r w:rsidRPr="00DE60E5">
        <w:rPr>
          <w:rFonts w:ascii="Verdana" w:eastAsia="Verdana" w:hAnsi="Verdana" w:cs="Verdana"/>
          <w:bCs/>
          <w:sz w:val="20"/>
        </w:rPr>
        <w:t>no encajan dentro de las categorías subjetivas allí previstas</w:t>
      </w:r>
      <w:r w:rsidRPr="00DE60E5">
        <w:rPr>
          <w:rFonts w:ascii="Verdana" w:eastAsia="Verdana" w:hAnsi="Verdana" w:cs="Verdana"/>
          <w:sz w:val="20"/>
        </w:rPr>
        <w:t xml:space="preserve">. En efecto, las universidades públicas, conforme al artículo 69 de la Constitución Política y a su desarrollo legal, gozan de </w:t>
      </w:r>
      <w:r w:rsidRPr="00DE60E5">
        <w:rPr>
          <w:rFonts w:ascii="Verdana" w:eastAsia="Verdana" w:hAnsi="Verdana" w:cs="Verdana"/>
          <w:bCs/>
          <w:sz w:val="20"/>
        </w:rPr>
        <w:t>autonomía universitaria</w:t>
      </w:r>
      <w:r w:rsidRPr="00DE60E5">
        <w:rPr>
          <w:rFonts w:ascii="Verdana" w:eastAsia="Verdana" w:hAnsi="Verdana" w:cs="Verdana"/>
          <w:sz w:val="20"/>
        </w:rPr>
        <w:t xml:space="preserve"> y configuran una categoría jurídica especial en la estructura del Estado, distinta de las entidades descentralizadas por servicios o de las entidades descentralizadas territorialmente. Asimismo, </w:t>
      </w:r>
      <w:r w:rsidRPr="00DE60E5">
        <w:rPr>
          <w:rFonts w:ascii="Verdana" w:eastAsia="Verdana" w:hAnsi="Verdana" w:cs="Verdana"/>
          <w:bCs/>
          <w:sz w:val="20"/>
        </w:rPr>
        <w:t>no pueden asimilarse a entidades privadas que administran recursos públicos</w:t>
      </w:r>
      <w:r w:rsidRPr="00DE60E5">
        <w:rPr>
          <w:rFonts w:ascii="Verdana" w:eastAsia="Verdana" w:hAnsi="Verdana" w:cs="Verdana"/>
          <w:sz w:val="20"/>
        </w:rPr>
        <w:t xml:space="preserve">, pues las universidades forman parte del sector público como órganos autónomos e independientes y gestionan recursos estatales en ejercicio de funciones misionales propias, bajo un régimen especial de contratación. </w:t>
      </w:r>
    </w:p>
    <w:p w14:paraId="0C61C9B2" w14:textId="77777777" w:rsidR="00DE60E5" w:rsidRPr="00DE60E5" w:rsidRDefault="00DE60E5" w:rsidP="00DE60E5">
      <w:pPr>
        <w:spacing w:after="0" w:line="240" w:lineRule="auto"/>
        <w:jc w:val="both"/>
        <w:rPr>
          <w:rFonts w:ascii="Verdana" w:eastAsia="Verdana" w:hAnsi="Verdana" w:cs="Verdana"/>
          <w:sz w:val="20"/>
        </w:rPr>
      </w:pPr>
    </w:p>
    <w:p w14:paraId="450CEF9A" w14:textId="77777777" w:rsidR="00DE60E5" w:rsidRPr="00DE60E5" w:rsidRDefault="00DE60E5" w:rsidP="00DE60E5">
      <w:pPr>
        <w:spacing w:after="0" w:line="240" w:lineRule="auto"/>
        <w:jc w:val="both"/>
        <w:rPr>
          <w:rFonts w:ascii="Verdana" w:eastAsia="Verdana" w:hAnsi="Verdana" w:cs="Verdana"/>
          <w:sz w:val="20"/>
        </w:rPr>
      </w:pPr>
      <w:r w:rsidRPr="00DE60E5">
        <w:rPr>
          <w:rFonts w:ascii="Verdana" w:eastAsia="Verdana" w:hAnsi="Verdana" w:cs="Verdana"/>
          <w:sz w:val="20"/>
        </w:rPr>
        <w:t xml:space="preserve">Todo lo anterior </w:t>
      </w:r>
      <w:r w:rsidRPr="00DE60E5">
        <w:rPr>
          <w:rFonts w:ascii="Verdana" w:eastAsia="Verdana" w:hAnsi="Verdana" w:cs="Verdana"/>
          <w:bCs/>
          <w:sz w:val="20"/>
        </w:rPr>
        <w:t>sin perjuicio de la facultad que conservan las universidades públicas de incorporar voluntariamente este tipo de incentivos en sus procesos de compra pública de alimentos</w:t>
      </w:r>
      <w:r w:rsidRPr="00DE60E5">
        <w:rPr>
          <w:rFonts w:ascii="Verdana" w:eastAsia="Verdana" w:hAnsi="Verdana" w:cs="Verdana"/>
          <w:sz w:val="20"/>
        </w:rPr>
        <w:t xml:space="preserve">, en ejercicio de su autonomía universitaria y de sus competencias reglamentarias internas. En efecto, aun cuando no exista una obligación jurídica directa derivada de la norma analizada, las universidades pueden, de manera discrecional y conforme a sus propios estatutos de contratación, </w:t>
      </w:r>
      <w:r w:rsidRPr="00DE60E5">
        <w:rPr>
          <w:rFonts w:ascii="Verdana" w:eastAsia="Verdana" w:hAnsi="Verdana" w:cs="Verdana"/>
          <w:bCs/>
          <w:sz w:val="20"/>
        </w:rPr>
        <w:t>adoptar criterios de evaluación orientados a promover fines constitucionales y legales</w:t>
      </w:r>
      <w:r w:rsidRPr="00DE60E5">
        <w:rPr>
          <w:rFonts w:ascii="Verdana" w:eastAsia="Verdana" w:hAnsi="Verdana" w:cs="Verdana"/>
          <w:sz w:val="20"/>
        </w:rPr>
        <w:t xml:space="preserve">, tales como el fortalecimiento de la economía campesina, la seguridad alimentaria, la sostenibilidad y el desarrollo local. </w:t>
      </w:r>
    </w:p>
    <w:p w14:paraId="4F84AA99" w14:textId="77777777" w:rsidR="005750C1" w:rsidRPr="005750C1" w:rsidRDefault="005750C1" w:rsidP="005750C1">
      <w:pPr>
        <w:spacing w:after="0" w:line="240" w:lineRule="auto"/>
        <w:jc w:val="both"/>
        <w:rPr>
          <w:rFonts w:ascii="Verdana" w:eastAsia="Verdana" w:hAnsi="Verdana" w:cs="Verdana"/>
          <w:b/>
        </w:rPr>
      </w:pPr>
    </w:p>
    <w:p w14:paraId="2F918AD9" w14:textId="0749659C" w:rsidR="005750C1" w:rsidRPr="005750C1" w:rsidRDefault="005750C1" w:rsidP="005750C1">
      <w:pPr>
        <w:spacing w:after="0" w:line="240" w:lineRule="auto"/>
        <w:jc w:val="both"/>
        <w:rPr>
          <w:rFonts w:ascii="Verdana" w:eastAsia="Verdana" w:hAnsi="Verdana" w:cs="Verdana"/>
          <w:b/>
          <w:lang w:val="es-ES_tradnl"/>
        </w:rPr>
      </w:pPr>
      <w:r w:rsidRPr="005750C1">
        <w:rPr>
          <w:rFonts w:ascii="Verdana" w:eastAsia="Verdana" w:hAnsi="Verdana" w:cs="Verdana"/>
          <w:b/>
          <w:lang w:val="es-ES_tradnl"/>
        </w:rPr>
        <w:t xml:space="preserve">DECRETO 248 DE 2021 –Incentivos – Articulo </w:t>
      </w:r>
      <w:r w:rsidRPr="005750C1">
        <w:rPr>
          <w:rFonts w:ascii="Verdana" w:eastAsia="Verdana" w:hAnsi="Verdana" w:cs="Verdana"/>
          <w:b/>
        </w:rPr>
        <w:t>2.20.1.2.1</w:t>
      </w:r>
      <w:r w:rsidRPr="005750C1">
        <w:rPr>
          <w:rFonts w:ascii="Verdana" w:eastAsia="Verdana" w:hAnsi="Verdana" w:cs="Verdana"/>
          <w:b/>
          <w:lang w:val="es-ES_tradnl"/>
        </w:rPr>
        <w:t>. – Literal b)- Proveedor Directo</w:t>
      </w:r>
    </w:p>
    <w:p w14:paraId="7D886372" w14:textId="77777777" w:rsidR="005750C1" w:rsidRPr="005750C1" w:rsidRDefault="005750C1" w:rsidP="005750C1">
      <w:pPr>
        <w:spacing w:after="0" w:line="240" w:lineRule="auto"/>
        <w:jc w:val="both"/>
        <w:rPr>
          <w:rFonts w:ascii="Verdana" w:eastAsia="Verdana" w:hAnsi="Verdana" w:cs="Verdana"/>
          <w:sz w:val="20"/>
          <w:lang w:val="es-ES_tradnl"/>
        </w:rPr>
      </w:pPr>
    </w:p>
    <w:p w14:paraId="745C0A97" w14:textId="77777777" w:rsidR="005750C1" w:rsidRPr="005750C1" w:rsidRDefault="005750C1" w:rsidP="005750C1">
      <w:pPr>
        <w:spacing w:after="0" w:line="240" w:lineRule="auto"/>
        <w:jc w:val="both"/>
        <w:rPr>
          <w:rFonts w:ascii="Verdana" w:eastAsia="Verdana" w:hAnsi="Verdana" w:cs="Verdana"/>
          <w:sz w:val="20"/>
        </w:rPr>
      </w:pPr>
      <w:r w:rsidRPr="005750C1">
        <w:rPr>
          <w:rFonts w:ascii="Verdana" w:eastAsia="Verdana" w:hAnsi="Verdana" w:cs="Verdana"/>
          <w:sz w:val="20"/>
        </w:rPr>
        <w:t>Así, la interpretación sistemática del literal b) del artículo 2.20.1.2.1 permite concluir que el propósito del incentivo normativo es favorecer la contratación con sujetos que intervienen directamente en la producción de los alimentos, ya sea de manera individual como pequeños productores o productores de la ACFC, o de forma asociativa a través de organizaciones conformadas por estos, garantizando que el beneficio del puntaje adicional recaiga sobre quienes hacen parte efectiva de la base productiva rural.</w:t>
      </w:r>
    </w:p>
    <w:p w14:paraId="0A0F3E91" w14:textId="77777777" w:rsidR="005750C1" w:rsidRPr="005750C1" w:rsidRDefault="005750C1" w:rsidP="005750C1">
      <w:pPr>
        <w:spacing w:after="0" w:line="240" w:lineRule="auto"/>
        <w:jc w:val="both"/>
        <w:rPr>
          <w:rFonts w:ascii="Verdana" w:eastAsia="Verdana" w:hAnsi="Verdana" w:cs="Verdana"/>
          <w:sz w:val="20"/>
        </w:rPr>
      </w:pPr>
    </w:p>
    <w:p w14:paraId="05DFEFF6" w14:textId="77777777" w:rsidR="005750C1" w:rsidRPr="005750C1" w:rsidRDefault="005750C1" w:rsidP="005750C1">
      <w:pPr>
        <w:spacing w:after="0" w:line="240" w:lineRule="auto"/>
        <w:jc w:val="both"/>
        <w:rPr>
          <w:rFonts w:ascii="Verdana" w:eastAsia="Verdana" w:hAnsi="Verdana" w:cs="Verdana"/>
          <w:sz w:val="20"/>
        </w:rPr>
      </w:pPr>
      <w:r w:rsidRPr="005750C1">
        <w:rPr>
          <w:rFonts w:ascii="Verdana" w:eastAsia="Verdana" w:hAnsi="Verdana" w:cs="Verdana"/>
          <w:sz w:val="20"/>
        </w:rPr>
        <w:t>Bajo este entendimiento, no resulta procedente extender la noción de proveedor directo a oferentes que, aun participando en el proceso de contratación, no acrediten su calidad de pequeños productores o productores de la ACFC, ni la de organización de estos, por cuanto ello desnaturalizaría la finalidad del esquema de puntajes establecido por el Decreto 248 de 2021, cuyo objetivo es promover la inclusión de la Agricultura Campesina, Familiar y Comunitaria y de los pequeños productores agropecuarios en las compras públicas de alimentos.</w:t>
      </w:r>
    </w:p>
    <w:p w14:paraId="7B055514" w14:textId="77777777" w:rsidR="005750C1" w:rsidRPr="005750C1" w:rsidRDefault="005750C1" w:rsidP="005750C1">
      <w:pPr>
        <w:spacing w:after="0" w:line="240" w:lineRule="auto"/>
        <w:jc w:val="both"/>
        <w:rPr>
          <w:rFonts w:ascii="Verdana" w:eastAsia="Verdana" w:hAnsi="Verdana" w:cs="Verdana"/>
          <w:sz w:val="20"/>
        </w:rPr>
      </w:pPr>
    </w:p>
    <w:p w14:paraId="169DE09F" w14:textId="77777777" w:rsidR="005750C1" w:rsidRPr="005750C1" w:rsidRDefault="005750C1" w:rsidP="005750C1">
      <w:pPr>
        <w:spacing w:after="0" w:line="240" w:lineRule="auto"/>
        <w:jc w:val="both"/>
        <w:rPr>
          <w:rFonts w:ascii="Verdana" w:eastAsia="Verdana" w:hAnsi="Verdana" w:cs="Verdana"/>
          <w:sz w:val="20"/>
        </w:rPr>
      </w:pPr>
      <w:r w:rsidRPr="005750C1">
        <w:rPr>
          <w:rFonts w:ascii="Verdana" w:eastAsia="Verdana" w:hAnsi="Verdana" w:cs="Verdana"/>
          <w:sz w:val="20"/>
        </w:rPr>
        <w:t>En consecuencia, para efectos de la aplicación del puntaje adicional previsto en el literal b) del artículo 2.20.1.2.1 del Decreto 1071 de 2015, la calidad de proveedor directo debe entenderse acreditada únicamente cuando el oferente demuestre su condición de pequeño productor agropecuario, productor de la Agricultura Campesina, Familiar y Comunitaria, o de organización integrada por estos, en los términos previstos por la normativa vigente.</w:t>
      </w:r>
    </w:p>
    <w:p w14:paraId="3B750A02" w14:textId="77777777" w:rsidR="005750C1" w:rsidRDefault="005750C1" w:rsidP="00E5670D">
      <w:pPr>
        <w:spacing w:after="0" w:line="240" w:lineRule="auto"/>
        <w:rPr>
          <w:rFonts w:ascii="Verdana" w:eastAsia="Verdana" w:hAnsi="Verdana" w:cs="Verdana"/>
        </w:rPr>
      </w:pPr>
    </w:p>
    <w:p w14:paraId="498BB201" w14:textId="283F64E1" w:rsidR="005750C1" w:rsidRDefault="005750C1" w:rsidP="00E5670D">
      <w:pPr>
        <w:spacing w:after="0" w:line="240" w:lineRule="auto"/>
        <w:rPr>
          <w:rFonts w:ascii="Verdana" w:eastAsia="Verdana" w:hAnsi="Verdana" w:cs="Verdana"/>
        </w:rPr>
      </w:pPr>
    </w:p>
    <w:p w14:paraId="230DC3B6" w14:textId="452C1A84" w:rsidR="00DE60E5" w:rsidRDefault="00DE60E5" w:rsidP="00E5670D">
      <w:pPr>
        <w:spacing w:after="0" w:line="240" w:lineRule="auto"/>
        <w:rPr>
          <w:rFonts w:ascii="Verdana" w:eastAsia="Verdana" w:hAnsi="Verdana" w:cs="Verdana"/>
        </w:rPr>
      </w:pPr>
    </w:p>
    <w:p w14:paraId="48020F39" w14:textId="0A458A1F" w:rsidR="00DE60E5" w:rsidRDefault="00DE60E5" w:rsidP="00E5670D">
      <w:pPr>
        <w:spacing w:after="0" w:line="240" w:lineRule="auto"/>
        <w:rPr>
          <w:rFonts w:ascii="Verdana" w:eastAsia="Verdana" w:hAnsi="Verdana" w:cs="Verdana"/>
        </w:rPr>
      </w:pPr>
    </w:p>
    <w:p w14:paraId="28D06F80" w14:textId="0D5BB80B" w:rsidR="00DE60E5" w:rsidRDefault="00DE60E5" w:rsidP="00E5670D">
      <w:pPr>
        <w:spacing w:after="0" w:line="240" w:lineRule="auto"/>
        <w:rPr>
          <w:rFonts w:ascii="Verdana" w:eastAsia="Verdana" w:hAnsi="Verdana" w:cs="Verdana"/>
        </w:rPr>
      </w:pPr>
    </w:p>
    <w:p w14:paraId="12B028A2" w14:textId="70D7E388" w:rsidR="00DE60E5" w:rsidRDefault="00DE60E5" w:rsidP="00E5670D">
      <w:pPr>
        <w:spacing w:after="0" w:line="240" w:lineRule="auto"/>
        <w:rPr>
          <w:rFonts w:ascii="Verdana" w:eastAsia="Verdana" w:hAnsi="Verdana" w:cs="Verdana"/>
        </w:rPr>
      </w:pPr>
    </w:p>
    <w:p w14:paraId="2540DE4E" w14:textId="1CB652C7" w:rsidR="00DE60E5" w:rsidRDefault="00DE60E5" w:rsidP="00E5670D">
      <w:pPr>
        <w:spacing w:after="0" w:line="240" w:lineRule="auto"/>
        <w:rPr>
          <w:rFonts w:ascii="Verdana" w:eastAsia="Verdana" w:hAnsi="Verdana" w:cs="Verdana"/>
        </w:rPr>
      </w:pPr>
    </w:p>
    <w:p w14:paraId="19926FC4" w14:textId="0038937E" w:rsidR="00DE60E5" w:rsidRDefault="00DE60E5" w:rsidP="00E5670D">
      <w:pPr>
        <w:spacing w:after="0" w:line="240" w:lineRule="auto"/>
        <w:rPr>
          <w:rFonts w:ascii="Verdana" w:eastAsia="Verdana" w:hAnsi="Verdana" w:cs="Verdana"/>
        </w:rPr>
      </w:pPr>
    </w:p>
    <w:p w14:paraId="157EF73B" w14:textId="5DBB03B2" w:rsidR="00DE60E5" w:rsidRDefault="00DE60E5" w:rsidP="00E5670D">
      <w:pPr>
        <w:spacing w:after="0" w:line="240" w:lineRule="auto"/>
        <w:rPr>
          <w:rFonts w:ascii="Verdana" w:eastAsia="Verdana" w:hAnsi="Verdana" w:cs="Verdana"/>
        </w:rPr>
      </w:pPr>
    </w:p>
    <w:p w14:paraId="6A89A1B2" w14:textId="0AA50CB0" w:rsidR="00DE60E5" w:rsidRDefault="00DE60E5" w:rsidP="00E5670D">
      <w:pPr>
        <w:spacing w:after="0" w:line="240" w:lineRule="auto"/>
        <w:rPr>
          <w:rFonts w:ascii="Verdana" w:eastAsia="Verdana" w:hAnsi="Verdana" w:cs="Verdana"/>
        </w:rPr>
      </w:pPr>
    </w:p>
    <w:p w14:paraId="78E47A0D" w14:textId="7B4949A3" w:rsidR="00DE60E5" w:rsidRDefault="00DE60E5" w:rsidP="00E5670D">
      <w:pPr>
        <w:spacing w:after="0" w:line="240" w:lineRule="auto"/>
        <w:rPr>
          <w:rFonts w:ascii="Verdana" w:eastAsia="Verdana" w:hAnsi="Verdana" w:cs="Verdana"/>
        </w:rPr>
      </w:pPr>
    </w:p>
    <w:p w14:paraId="459AE022" w14:textId="0D3BC4EF" w:rsidR="00DE60E5" w:rsidRDefault="00DE60E5" w:rsidP="00E5670D">
      <w:pPr>
        <w:spacing w:after="0" w:line="240" w:lineRule="auto"/>
        <w:rPr>
          <w:rFonts w:ascii="Verdana" w:eastAsia="Verdana" w:hAnsi="Verdana" w:cs="Verdana"/>
        </w:rPr>
      </w:pPr>
    </w:p>
    <w:p w14:paraId="48FEB574" w14:textId="27DEBC63" w:rsidR="00DE60E5" w:rsidRDefault="00DE60E5" w:rsidP="00E5670D">
      <w:pPr>
        <w:spacing w:after="0" w:line="240" w:lineRule="auto"/>
        <w:rPr>
          <w:rFonts w:ascii="Verdana" w:eastAsia="Verdana" w:hAnsi="Verdana" w:cs="Verdana"/>
        </w:rPr>
      </w:pPr>
    </w:p>
    <w:p w14:paraId="26EDFAC2" w14:textId="2FF6B8BD" w:rsidR="00DE60E5" w:rsidRDefault="00DE60E5" w:rsidP="00E5670D">
      <w:pPr>
        <w:spacing w:after="0" w:line="240" w:lineRule="auto"/>
        <w:rPr>
          <w:rFonts w:ascii="Verdana" w:eastAsia="Verdana" w:hAnsi="Verdana" w:cs="Verdana"/>
        </w:rPr>
      </w:pPr>
    </w:p>
    <w:p w14:paraId="2719FE96" w14:textId="3AF65324" w:rsidR="00DE60E5" w:rsidRDefault="00DE60E5" w:rsidP="00E5670D">
      <w:pPr>
        <w:spacing w:after="0" w:line="240" w:lineRule="auto"/>
        <w:rPr>
          <w:rFonts w:ascii="Verdana" w:eastAsia="Verdana" w:hAnsi="Verdana" w:cs="Verdana"/>
        </w:rPr>
      </w:pPr>
    </w:p>
    <w:p w14:paraId="16E07222" w14:textId="181AB654" w:rsidR="00DE60E5" w:rsidRDefault="00DE60E5" w:rsidP="00E5670D">
      <w:pPr>
        <w:spacing w:after="0" w:line="240" w:lineRule="auto"/>
        <w:rPr>
          <w:rFonts w:ascii="Verdana" w:eastAsia="Verdana" w:hAnsi="Verdana" w:cs="Verdana"/>
        </w:rPr>
      </w:pPr>
    </w:p>
    <w:p w14:paraId="53D17002" w14:textId="1CF6B031" w:rsidR="00DE60E5" w:rsidRDefault="00DE60E5" w:rsidP="00E5670D">
      <w:pPr>
        <w:spacing w:after="0" w:line="240" w:lineRule="auto"/>
        <w:rPr>
          <w:rFonts w:ascii="Verdana" w:eastAsia="Verdana" w:hAnsi="Verdana" w:cs="Verdana"/>
        </w:rPr>
      </w:pPr>
    </w:p>
    <w:p w14:paraId="3ED20CA9" w14:textId="77777777" w:rsidR="00DE60E5" w:rsidRDefault="00DE60E5" w:rsidP="00E5670D">
      <w:pPr>
        <w:spacing w:after="0" w:line="240" w:lineRule="auto"/>
        <w:rPr>
          <w:rFonts w:ascii="Verdana" w:eastAsia="Verdana" w:hAnsi="Verdana" w:cs="Verdana"/>
        </w:rPr>
      </w:pPr>
    </w:p>
    <w:p w14:paraId="62204074" w14:textId="2ECAE7F4" w:rsidR="00E5670D" w:rsidRPr="003315B4" w:rsidRDefault="005750C1" w:rsidP="00E5670D">
      <w:pPr>
        <w:spacing w:after="0" w:line="240" w:lineRule="auto"/>
        <w:rPr>
          <w:rFonts w:ascii="Verdana" w:hAnsi="Verdana"/>
        </w:rPr>
      </w:pPr>
      <w:r>
        <w:rPr>
          <w:rFonts w:ascii="Verdana" w:eastAsia="Verdana" w:hAnsi="Verdana" w:cs="Verdana"/>
        </w:rPr>
        <w:lastRenderedPageBreak/>
        <w:t>Bogotá D.C., 5 de abril de 2026</w:t>
      </w:r>
      <w:r w:rsidR="00E5670D">
        <w:tab/>
      </w:r>
      <w:r w:rsidR="00E5670D">
        <w:br/>
      </w:r>
    </w:p>
    <w:p w14:paraId="0A558F8A" w14:textId="393150D6" w:rsidR="00E5670D" w:rsidRPr="003315B4" w:rsidRDefault="00F45668" w:rsidP="00E5670D">
      <w:pPr>
        <w:spacing w:after="0" w:line="240" w:lineRule="auto"/>
        <w:rPr>
          <w:rFonts w:ascii="Verdana" w:hAnsi="Verdana"/>
        </w:rPr>
      </w:pPr>
      <w:r w:rsidRPr="00DE60E5">
        <w:rPr>
          <w:rFonts w:ascii="Verdana" w:hAnsi="Verdana"/>
          <w:noProof/>
          <w:lang w:val="en-US"/>
        </w:rPr>
        <w:drawing>
          <wp:anchor distT="0" distB="0" distL="114300" distR="114300" simplePos="0" relativeHeight="251658240" behindDoc="0" locked="0" layoutInCell="1" allowOverlap="1" wp14:anchorId="0D60A808" wp14:editId="33F6E960">
            <wp:simplePos x="0" y="0"/>
            <wp:positionH relativeFrom="margin">
              <wp:align>right</wp:align>
            </wp:positionH>
            <wp:positionV relativeFrom="paragraph">
              <wp:posOffset>14163</wp:posOffset>
            </wp:positionV>
            <wp:extent cx="2596515" cy="74803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96515" cy="748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705C1B" w14:textId="77777777" w:rsidR="00E5670D" w:rsidRPr="003315B4" w:rsidRDefault="00E5670D" w:rsidP="00E5670D">
      <w:pPr>
        <w:spacing w:after="0" w:line="240" w:lineRule="auto"/>
        <w:rPr>
          <w:rFonts w:ascii="Verdana" w:eastAsia="Calibri" w:hAnsi="Verdana" w:cs="Times New Roman"/>
          <w:lang w:val="es-MX"/>
        </w:rPr>
      </w:pPr>
      <w:r w:rsidRPr="003315B4">
        <w:rPr>
          <w:rFonts w:ascii="Verdana" w:eastAsia="Calibri" w:hAnsi="Verdana" w:cs="Times New Roman"/>
          <w:lang w:val="es-MX"/>
        </w:rPr>
        <w:t>Señor</w:t>
      </w:r>
    </w:p>
    <w:p w14:paraId="648A2969" w14:textId="77777777" w:rsidR="00E5670D" w:rsidRPr="003315B4" w:rsidRDefault="00E5670D" w:rsidP="00E5670D">
      <w:pPr>
        <w:spacing w:after="0" w:line="240" w:lineRule="auto"/>
        <w:rPr>
          <w:rFonts w:ascii="Verdana" w:eastAsia="Calibri" w:hAnsi="Verdana" w:cs="Times New Roman"/>
          <w:b/>
        </w:rPr>
      </w:pPr>
      <w:r w:rsidRPr="003315B4">
        <w:rPr>
          <w:rFonts w:ascii="Verdana" w:eastAsia="Calibri" w:hAnsi="Verdana" w:cs="Times New Roman"/>
          <w:b/>
        </w:rPr>
        <w:t>Juan Pablo Librado López</w:t>
      </w:r>
    </w:p>
    <w:p w14:paraId="2363846D" w14:textId="77777777" w:rsidR="00E5670D" w:rsidRPr="003315B4" w:rsidRDefault="00E5670D" w:rsidP="00E5670D">
      <w:pPr>
        <w:spacing w:after="0" w:line="240" w:lineRule="auto"/>
        <w:rPr>
          <w:rFonts w:ascii="Verdana" w:hAnsi="Verdana"/>
        </w:rPr>
      </w:pPr>
      <w:hyperlink r:id="rId12" w:history="1">
        <w:r w:rsidRPr="003404D1">
          <w:rPr>
            <w:rStyle w:val="Hipervnculo"/>
            <w:rFonts w:ascii="Verdana" w:hAnsi="Verdana"/>
          </w:rPr>
          <w:t>jplibrado@uniquindio.edu.co</w:t>
        </w:r>
      </w:hyperlink>
      <w:r>
        <w:rPr>
          <w:rFonts w:ascii="Verdana" w:hAnsi="Verdana"/>
        </w:rPr>
        <w:t xml:space="preserve"> </w:t>
      </w:r>
    </w:p>
    <w:p w14:paraId="3BDC16ED" w14:textId="77777777" w:rsidR="00E5670D" w:rsidRPr="003315B4" w:rsidRDefault="00E5670D" w:rsidP="00E5670D">
      <w:pPr>
        <w:spacing w:after="0" w:line="240" w:lineRule="auto"/>
        <w:rPr>
          <w:rFonts w:ascii="Verdana" w:eastAsia="Calibri" w:hAnsi="Verdana" w:cs="Times New Roman"/>
          <w:bCs/>
        </w:rPr>
      </w:pPr>
      <w:r>
        <w:rPr>
          <w:rFonts w:ascii="Verdana" w:eastAsia="Calibri" w:hAnsi="Verdana" w:cs="Times New Roman"/>
          <w:bCs/>
        </w:rPr>
        <w:t xml:space="preserve">Bogotá D.C. </w:t>
      </w:r>
    </w:p>
    <w:p w14:paraId="056846F6" w14:textId="77777777" w:rsidR="00E5670D" w:rsidRPr="003315B4" w:rsidRDefault="00E5670D" w:rsidP="00E5670D">
      <w:pPr>
        <w:spacing w:after="0" w:line="240" w:lineRule="auto"/>
        <w:rPr>
          <w:rFonts w:ascii="Verdana" w:eastAsia="Calibri" w:hAnsi="Verdana" w:cs="Times New Roman"/>
        </w:rPr>
      </w:pPr>
    </w:p>
    <w:p w14:paraId="0C76FC13" w14:textId="77777777" w:rsidR="00E5670D" w:rsidRPr="008C3D38" w:rsidRDefault="00E5670D" w:rsidP="00E5670D">
      <w:pPr>
        <w:spacing w:after="0" w:line="240" w:lineRule="auto"/>
        <w:rPr>
          <w:rFonts w:ascii="Verdana" w:eastAsia="Calibri" w:hAnsi="Verdana" w:cs="Times New Roman"/>
        </w:rPr>
      </w:pPr>
    </w:p>
    <w:p w14:paraId="4BB11AED" w14:textId="77777777" w:rsidR="00E5670D" w:rsidRPr="008C3D38" w:rsidRDefault="00E5670D" w:rsidP="00E5670D">
      <w:pPr>
        <w:spacing w:after="0" w:line="240" w:lineRule="auto"/>
        <w:rPr>
          <w:rFonts w:ascii="Verdana" w:eastAsia="Calibri" w:hAnsi="Verdana" w:cs="Times New Roman"/>
          <w:b/>
          <w:bCs/>
          <w:lang w:val="es-ES"/>
        </w:rPr>
      </w:pPr>
      <w:r w:rsidRPr="008C3D38">
        <w:rPr>
          <w:rFonts w:ascii="Verdana" w:eastAsia="Calibri" w:hAnsi="Verdana" w:cs="Times New Roman"/>
          <w:b/>
          <w:bCs/>
          <w:lang w:val="es-ES"/>
        </w:rPr>
        <w:t xml:space="preserve">                  </w:t>
      </w:r>
      <w:r>
        <w:rPr>
          <w:rFonts w:ascii="Verdana" w:eastAsia="Calibri" w:hAnsi="Verdana" w:cs="Times New Roman"/>
          <w:b/>
          <w:bCs/>
          <w:lang w:val="es-ES"/>
        </w:rPr>
        <w:t xml:space="preserve">                  Concepto C–281</w:t>
      </w:r>
      <w:r w:rsidRPr="008C3D38">
        <w:rPr>
          <w:rFonts w:ascii="Verdana" w:eastAsia="Calibri" w:hAnsi="Verdana" w:cs="Times New Roman"/>
          <w:b/>
          <w:bCs/>
          <w:lang w:val="es-ES"/>
        </w:rPr>
        <w:t xml:space="preserve"> de 2026</w:t>
      </w:r>
    </w:p>
    <w:p w14:paraId="6462CE83" w14:textId="77777777" w:rsidR="00E5670D" w:rsidRPr="008C3D38" w:rsidRDefault="00E5670D" w:rsidP="00E5670D">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5670D" w:rsidRPr="008C3D38" w14:paraId="4EB9A5A0" w14:textId="77777777" w:rsidTr="006123C5">
        <w:trPr>
          <w:trHeight w:val="645"/>
        </w:trPr>
        <w:tc>
          <w:tcPr>
            <w:tcW w:w="2685" w:type="dxa"/>
            <w:hideMark/>
          </w:tcPr>
          <w:p w14:paraId="3D995E51" w14:textId="77777777" w:rsidR="00E5670D" w:rsidRPr="008C3D38" w:rsidRDefault="00E5670D" w:rsidP="006123C5">
            <w:pPr>
              <w:rPr>
                <w:rFonts w:ascii="Verdana" w:hAnsi="Verdana"/>
                <w:b/>
                <w:bCs/>
                <w:lang w:val="es-ES_tradnl"/>
              </w:rPr>
            </w:pPr>
            <w:r w:rsidRPr="008C3D38">
              <w:rPr>
                <w:rFonts w:ascii="Verdana" w:hAnsi="Verdana"/>
                <w:b/>
                <w:bCs/>
                <w:lang w:val="es-ES_tradnl"/>
              </w:rPr>
              <w:t xml:space="preserve">Temas:                  </w:t>
            </w:r>
          </w:p>
        </w:tc>
        <w:tc>
          <w:tcPr>
            <w:tcW w:w="6241" w:type="dxa"/>
            <w:hideMark/>
          </w:tcPr>
          <w:p w14:paraId="3FC42464" w14:textId="77777777" w:rsidR="00E5670D" w:rsidRPr="008C3D38" w:rsidRDefault="00E5670D" w:rsidP="006123C5">
            <w:pPr>
              <w:spacing w:line="276" w:lineRule="auto"/>
              <w:jc w:val="both"/>
              <w:rPr>
                <w:rFonts w:ascii="Verdana" w:hAnsi="Verdana" w:cs="Arial"/>
                <w:bCs/>
                <w:lang w:val="es-ES" w:eastAsia="es-ES"/>
              </w:rPr>
            </w:pPr>
            <w:r w:rsidRPr="00646D52">
              <w:rPr>
                <w:rFonts w:ascii="Verdana" w:hAnsi="Verdana" w:cs="Arial"/>
                <w:lang w:val="es-ES" w:eastAsia="es-ES"/>
              </w:rPr>
              <w:t xml:space="preserve">UNIVERSIDADES PÚBLICAS – Naturaleza jurídica </w:t>
            </w:r>
            <w:r>
              <w:rPr>
                <w:rFonts w:ascii="Verdana" w:hAnsi="Verdana" w:cs="Arial"/>
                <w:lang w:val="es-ES" w:eastAsia="es-ES"/>
              </w:rPr>
              <w:t>/ UNIVERSIDADES PÚBLICAS -</w:t>
            </w:r>
            <w:r w:rsidRPr="00646D52">
              <w:rPr>
                <w:rFonts w:ascii="Verdana" w:hAnsi="Verdana" w:cs="Arial"/>
                <w:lang w:val="es-ES" w:eastAsia="es-ES"/>
              </w:rPr>
              <w:t xml:space="preserve"> Régimen de contratación aplicable </w:t>
            </w:r>
            <w:r w:rsidRPr="008C3D38">
              <w:rPr>
                <w:rFonts w:ascii="Verdana" w:hAnsi="Verdana" w:cs="Arial"/>
                <w:lang w:val="es-ES" w:eastAsia="es-ES"/>
              </w:rPr>
              <w:t xml:space="preserve">/ </w:t>
            </w:r>
            <w:r w:rsidRPr="008C3D38">
              <w:rPr>
                <w:rFonts w:ascii="Verdana" w:hAnsi="Verdana" w:cs="Arial"/>
                <w:lang w:val="es-ES_tradnl" w:eastAsia="es-ES"/>
              </w:rPr>
              <w:t>LEY 1955 DE 2019 – Artículo 229 – Finalidad / LEY 2046 DE 2020 – Finalidad – Ámbito de aplicación - Compra pública de alimentos</w:t>
            </w:r>
            <w:r>
              <w:rPr>
                <w:rFonts w:ascii="Verdana" w:hAnsi="Verdana" w:cs="Arial"/>
                <w:lang w:val="es-ES_tradnl" w:eastAsia="es-ES"/>
              </w:rPr>
              <w:t xml:space="preserve"> – No aplicación – Universidades Públicas</w:t>
            </w:r>
            <w:r w:rsidRPr="008C3D38">
              <w:rPr>
                <w:rFonts w:ascii="Verdana" w:hAnsi="Verdana" w:cs="Arial"/>
                <w:lang w:val="es-ES_tradnl" w:eastAsia="es-ES"/>
              </w:rPr>
              <w:t xml:space="preserve"> / DECRETO 248 DE 2021 –Incentivos – Articulo </w:t>
            </w:r>
            <w:r w:rsidRPr="008C3D38">
              <w:rPr>
                <w:rFonts w:ascii="Verdana" w:hAnsi="Verdana" w:cs="Arial"/>
                <w:lang w:eastAsia="es-ES"/>
              </w:rPr>
              <w:t>2.20.1.2.1</w:t>
            </w:r>
            <w:r w:rsidRPr="008C3D38">
              <w:rPr>
                <w:rFonts w:ascii="Verdana" w:hAnsi="Verdana" w:cs="Arial"/>
                <w:lang w:val="es-ES_tradnl" w:eastAsia="es-ES"/>
              </w:rPr>
              <w:t>. – Literal b)- Proveedor Directo.</w:t>
            </w:r>
          </w:p>
        </w:tc>
        <w:tc>
          <w:tcPr>
            <w:tcW w:w="6237" w:type="dxa"/>
          </w:tcPr>
          <w:p w14:paraId="62B4D76F" w14:textId="77777777" w:rsidR="00E5670D" w:rsidRPr="008C3D38" w:rsidRDefault="00E5670D" w:rsidP="006123C5">
            <w:pPr>
              <w:rPr>
                <w:rFonts w:ascii="Verdana" w:hAnsi="Verdana"/>
                <w:lang w:val="es-ES"/>
              </w:rPr>
            </w:pPr>
          </w:p>
        </w:tc>
      </w:tr>
      <w:tr w:rsidR="00E5670D" w:rsidRPr="008C3D38" w14:paraId="7837EEDB" w14:textId="77777777" w:rsidTr="006123C5">
        <w:tc>
          <w:tcPr>
            <w:tcW w:w="2685" w:type="dxa"/>
          </w:tcPr>
          <w:p w14:paraId="4313BEF8" w14:textId="77777777" w:rsidR="00E5670D" w:rsidRPr="008C3D38" w:rsidRDefault="00E5670D" w:rsidP="006123C5">
            <w:pPr>
              <w:rPr>
                <w:rFonts w:ascii="Verdana" w:hAnsi="Verdana"/>
                <w:b/>
                <w:bCs/>
                <w:lang w:val="es-ES_tradnl"/>
              </w:rPr>
            </w:pPr>
          </w:p>
          <w:p w14:paraId="679213BF" w14:textId="77777777" w:rsidR="00E5670D" w:rsidRPr="008C3D38" w:rsidRDefault="00E5670D" w:rsidP="006123C5">
            <w:pPr>
              <w:rPr>
                <w:rFonts w:ascii="Verdana" w:hAnsi="Verdana"/>
                <w:b/>
                <w:bCs/>
                <w:lang w:val="es-ES_tradnl"/>
              </w:rPr>
            </w:pPr>
            <w:r w:rsidRPr="008C3D38">
              <w:rPr>
                <w:rFonts w:ascii="Verdana" w:hAnsi="Verdana"/>
                <w:b/>
                <w:bCs/>
                <w:lang w:val="es-ES_tradnl"/>
              </w:rPr>
              <w:t xml:space="preserve">Radicación:               </w:t>
            </w:r>
          </w:p>
        </w:tc>
        <w:tc>
          <w:tcPr>
            <w:tcW w:w="6241" w:type="dxa"/>
          </w:tcPr>
          <w:p w14:paraId="6A0C768D" w14:textId="77777777" w:rsidR="00E5670D" w:rsidRPr="008C3D38" w:rsidRDefault="00E5670D" w:rsidP="006123C5">
            <w:pPr>
              <w:spacing w:line="276" w:lineRule="auto"/>
              <w:jc w:val="both"/>
              <w:rPr>
                <w:rFonts w:ascii="Verdana" w:hAnsi="Verdana"/>
                <w:lang w:val="es-ES_tradnl"/>
              </w:rPr>
            </w:pPr>
          </w:p>
          <w:p w14:paraId="7B2CFC33" w14:textId="77777777" w:rsidR="00E5670D" w:rsidRPr="008C3D38" w:rsidRDefault="00E5670D" w:rsidP="006123C5">
            <w:pPr>
              <w:spacing w:line="276" w:lineRule="auto"/>
              <w:jc w:val="both"/>
              <w:rPr>
                <w:rFonts w:ascii="Verdana" w:hAnsi="Verdana"/>
                <w:lang w:val="es-ES_tradnl"/>
              </w:rPr>
            </w:pPr>
            <w:r w:rsidRPr="008C3D38">
              <w:rPr>
                <w:rFonts w:ascii="Verdana" w:hAnsi="Verdana"/>
                <w:lang w:val="es-ES_tradnl"/>
              </w:rPr>
              <w:t xml:space="preserve">Respuesta a consulta con radicado </w:t>
            </w:r>
            <w:r w:rsidRPr="00646D52">
              <w:rPr>
                <w:rFonts w:ascii="Verdana" w:hAnsi="Verdana"/>
              </w:rPr>
              <w:t>1_2026_02_23_002436</w:t>
            </w:r>
          </w:p>
          <w:p w14:paraId="07D42FD6" w14:textId="77777777" w:rsidR="00E5670D" w:rsidRPr="008C3D38" w:rsidRDefault="00E5670D" w:rsidP="006123C5">
            <w:pPr>
              <w:spacing w:line="276" w:lineRule="auto"/>
              <w:jc w:val="both"/>
              <w:rPr>
                <w:rFonts w:ascii="Verdana" w:hAnsi="Verdana"/>
              </w:rPr>
            </w:pPr>
          </w:p>
          <w:p w14:paraId="723BC93B" w14:textId="77777777" w:rsidR="00E5670D" w:rsidRPr="008C3D38" w:rsidRDefault="00E5670D" w:rsidP="006123C5">
            <w:pPr>
              <w:spacing w:line="276" w:lineRule="auto"/>
              <w:jc w:val="both"/>
              <w:rPr>
                <w:rFonts w:ascii="Verdana" w:hAnsi="Verdana"/>
              </w:rPr>
            </w:pPr>
          </w:p>
        </w:tc>
        <w:tc>
          <w:tcPr>
            <w:tcW w:w="6237" w:type="dxa"/>
          </w:tcPr>
          <w:p w14:paraId="7AA3C7E1" w14:textId="77777777" w:rsidR="00E5670D" w:rsidRPr="008C3D38" w:rsidRDefault="00E5670D" w:rsidP="006123C5">
            <w:pPr>
              <w:rPr>
                <w:rFonts w:ascii="Verdana" w:hAnsi="Verdana"/>
              </w:rPr>
            </w:pPr>
          </w:p>
        </w:tc>
      </w:tr>
    </w:tbl>
    <w:p w14:paraId="14D34BF6" w14:textId="77777777" w:rsidR="00E5670D" w:rsidRPr="008C3D38" w:rsidRDefault="00E5670D" w:rsidP="00E5670D">
      <w:pPr>
        <w:spacing w:after="0" w:line="256" w:lineRule="auto"/>
        <w:rPr>
          <w:rFonts w:ascii="Verdana" w:eastAsia="Calibri" w:hAnsi="Verdana" w:cs="Times New Roman"/>
          <w:lang w:val="es-ES"/>
        </w:rPr>
      </w:pPr>
      <w:r>
        <w:rPr>
          <w:rFonts w:ascii="Verdana" w:eastAsia="Calibri" w:hAnsi="Verdana" w:cs="Times New Roman"/>
          <w:lang w:val="es-ES"/>
        </w:rPr>
        <w:t>Estimado Señor Librado</w:t>
      </w:r>
      <w:r w:rsidRPr="008C3D38">
        <w:rPr>
          <w:rFonts w:ascii="Verdana" w:eastAsia="Calibri" w:hAnsi="Verdana" w:cs="Times New Roman"/>
          <w:lang w:val="es-ES"/>
        </w:rPr>
        <w:t xml:space="preserve">: </w:t>
      </w:r>
    </w:p>
    <w:p w14:paraId="0915CE59" w14:textId="77777777" w:rsidR="00E5670D" w:rsidRPr="008C3D38" w:rsidRDefault="00E5670D" w:rsidP="00E5670D">
      <w:pPr>
        <w:spacing w:after="0" w:line="276" w:lineRule="auto"/>
        <w:rPr>
          <w:rFonts w:ascii="Verdana" w:eastAsia="Calibri" w:hAnsi="Verdana" w:cs="Times New Roman"/>
          <w:lang w:val="es-ES"/>
        </w:rPr>
      </w:pPr>
    </w:p>
    <w:p w14:paraId="2499E5BB" w14:textId="77777777" w:rsidR="00E5670D" w:rsidRPr="008C3D38" w:rsidRDefault="00E5670D" w:rsidP="00E5670D">
      <w:pPr>
        <w:spacing w:after="0" w:line="276" w:lineRule="auto"/>
        <w:jc w:val="both"/>
        <w:rPr>
          <w:rFonts w:ascii="Verdana" w:eastAsia="Calibri" w:hAnsi="Verdana" w:cs="Times New Roman"/>
          <w:bCs/>
          <w:lang w:val="es-ES" w:bidi="es-ES"/>
        </w:rPr>
      </w:pPr>
      <w:r w:rsidRPr="008C3D38">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8C3D38">
        <w:rPr>
          <w:rFonts w:ascii="Verdana" w:eastAsia="Calibri" w:hAnsi="Verdana" w:cs="Times New Roman"/>
          <w:bCs/>
          <w:lang w:bidi="es-ES"/>
        </w:rPr>
        <w:t>N°</w:t>
      </w:r>
      <w:proofErr w:type="spellEnd"/>
      <w:r w:rsidRPr="008C3D38">
        <w:rPr>
          <w:rFonts w:ascii="Verdana" w:eastAsia="Calibri" w:hAnsi="Verdana" w:cs="Times New Roman"/>
          <w:bCs/>
          <w:lang w:bidi="es-ES"/>
        </w:rPr>
        <w:t xml:space="preserve"> 469 del 2025 expedida por esta Agencia, </w:t>
      </w:r>
      <w:r w:rsidRPr="008C3D38">
        <w:rPr>
          <w:rFonts w:ascii="Verdana" w:eastAsia="Calibri" w:hAnsi="Verdana" w:cs="Times New Roman"/>
          <w:bCs/>
          <w:lang w:val="es-ES" w:bidi="es-ES"/>
        </w:rPr>
        <w:t>responde</w:t>
      </w:r>
      <w:r>
        <w:rPr>
          <w:rFonts w:ascii="Verdana" w:eastAsia="Calibri" w:hAnsi="Verdana" w:cs="Times New Roman"/>
          <w:bCs/>
          <w:lang w:val="es-ES" w:bidi="es-ES"/>
        </w:rPr>
        <w:t xml:space="preserve"> la solicitud de consulta del 23</w:t>
      </w:r>
      <w:r w:rsidRPr="008C3D38">
        <w:rPr>
          <w:rFonts w:ascii="Verdana" w:eastAsia="Calibri" w:hAnsi="Verdana" w:cs="Times New Roman"/>
          <w:bCs/>
          <w:lang w:val="es-ES" w:bidi="es-ES"/>
        </w:rPr>
        <w:t xml:space="preserve"> de febrero de 2026, en la cual manifiesta: </w:t>
      </w:r>
    </w:p>
    <w:p w14:paraId="3F0EEFA8" w14:textId="77777777" w:rsidR="00E5670D" w:rsidRPr="00B909AD" w:rsidRDefault="00E5670D" w:rsidP="00E5670D">
      <w:pPr>
        <w:autoSpaceDE w:val="0"/>
        <w:autoSpaceDN w:val="0"/>
        <w:adjustRightInd w:val="0"/>
        <w:spacing w:after="0" w:line="240" w:lineRule="auto"/>
        <w:ind w:left="709" w:right="709"/>
        <w:jc w:val="both"/>
        <w:rPr>
          <w:rFonts w:ascii="Verdana" w:hAnsi="Verdana" w:cs="Arial"/>
          <w:color w:val="000000"/>
          <w:sz w:val="20"/>
          <w:szCs w:val="20"/>
        </w:rPr>
      </w:pPr>
    </w:p>
    <w:p w14:paraId="3B0CC6C4" w14:textId="77777777" w:rsidR="00E5670D" w:rsidRPr="00B909AD" w:rsidRDefault="00E5670D" w:rsidP="00E5670D">
      <w:pPr>
        <w:autoSpaceDE w:val="0"/>
        <w:autoSpaceDN w:val="0"/>
        <w:adjustRightInd w:val="0"/>
        <w:spacing w:after="0" w:line="240" w:lineRule="auto"/>
        <w:ind w:left="709" w:right="709"/>
        <w:jc w:val="both"/>
        <w:rPr>
          <w:rFonts w:ascii="Verdana" w:hAnsi="Verdana" w:cs="Arial"/>
          <w:color w:val="000000"/>
          <w:sz w:val="20"/>
          <w:szCs w:val="20"/>
        </w:rPr>
      </w:pPr>
      <w:r>
        <w:rPr>
          <w:rFonts w:ascii="Verdana" w:hAnsi="Verdana" w:cs="Arial"/>
          <w:color w:val="000000"/>
          <w:sz w:val="20"/>
          <w:szCs w:val="20"/>
        </w:rPr>
        <w:t>“</w:t>
      </w:r>
      <w:r w:rsidRPr="00B909AD">
        <w:rPr>
          <w:rFonts w:ascii="Verdana" w:hAnsi="Verdana" w:cs="Arial"/>
          <w:color w:val="000000"/>
          <w:sz w:val="20"/>
          <w:szCs w:val="20"/>
        </w:rPr>
        <w:t>¿Las Entidades Estatales de Régimen Especial, como las Universidades Públicas, que manejan recursos</w:t>
      </w:r>
      <w:r>
        <w:rPr>
          <w:rFonts w:ascii="Verdana" w:hAnsi="Verdana" w:cs="Arial"/>
          <w:color w:val="000000"/>
          <w:sz w:val="20"/>
          <w:szCs w:val="20"/>
        </w:rPr>
        <w:t xml:space="preserve"> </w:t>
      </w:r>
      <w:r w:rsidRPr="00B909AD">
        <w:rPr>
          <w:rFonts w:ascii="Verdana" w:hAnsi="Verdana" w:cs="Arial"/>
          <w:color w:val="000000"/>
          <w:sz w:val="20"/>
          <w:szCs w:val="20"/>
        </w:rPr>
        <w:t xml:space="preserve">públicos para la adquisición de alimentos, están obligadas a incluir el puntaje del 10% establecido en el Artículo 2.20.1.2.3 del Decreto 248 de 2021 en sus procesos de selección </w:t>
      </w:r>
      <w:r w:rsidRPr="00B909AD">
        <w:rPr>
          <w:rFonts w:ascii="Verdana" w:hAnsi="Verdana" w:cs="Arial"/>
          <w:color w:val="000000"/>
          <w:sz w:val="20"/>
          <w:szCs w:val="20"/>
        </w:rPr>
        <w:lastRenderedPageBreak/>
        <w:t>competitivos propios, a pesar de que la norma referencie taxativamente las modalidades de la Ley 1150 de 2007?</w:t>
      </w:r>
      <w:r>
        <w:rPr>
          <w:rFonts w:ascii="Verdana" w:hAnsi="Verdana" w:cs="Arial"/>
          <w:color w:val="000000"/>
          <w:sz w:val="20"/>
          <w:szCs w:val="20"/>
        </w:rPr>
        <w:t>”</w:t>
      </w:r>
    </w:p>
    <w:p w14:paraId="743212A9" w14:textId="77777777" w:rsidR="00E5670D" w:rsidRPr="008C3D38" w:rsidRDefault="00E5670D" w:rsidP="00E5670D">
      <w:pPr>
        <w:spacing w:after="0" w:line="276" w:lineRule="auto"/>
        <w:ind w:right="709"/>
        <w:jc w:val="both"/>
        <w:rPr>
          <w:rFonts w:ascii="Verdana" w:eastAsia="Calibri" w:hAnsi="Verdana" w:cs="Times New Roman"/>
          <w:bCs/>
          <w:lang w:val="es-ES" w:bidi="es-ES"/>
        </w:rPr>
      </w:pPr>
    </w:p>
    <w:p w14:paraId="4002C5D8" w14:textId="77777777" w:rsidR="00E5670D" w:rsidRPr="008C3D38" w:rsidRDefault="00E5670D" w:rsidP="00E5670D">
      <w:pPr>
        <w:spacing w:after="120" w:line="276" w:lineRule="auto"/>
        <w:ind w:firstLine="709"/>
        <w:jc w:val="both"/>
        <w:rPr>
          <w:rFonts w:ascii="Verdana" w:eastAsia="Calibri" w:hAnsi="Verdana" w:cs="Times New Roman"/>
          <w:lang w:val="es-ES"/>
        </w:rPr>
      </w:pPr>
      <w:r w:rsidRPr="008C3D38">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Times New Roman"/>
          <w:lang w:val="es-ES"/>
        </w:rPr>
        <w:t xml:space="preserve">la Agencia Nacional de Contratación Pública – </w:t>
      </w:r>
      <w:r w:rsidRPr="008C3D38">
        <w:rPr>
          <w:rFonts w:ascii="Verdana" w:eastAsia="Calibri" w:hAnsi="Verdana" w:cs="Times New Roman"/>
          <w:lang w:val="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56CD166" w14:textId="77777777" w:rsidR="00E5670D" w:rsidRPr="008C3D38" w:rsidRDefault="00E5670D" w:rsidP="00E5670D">
      <w:pPr>
        <w:spacing w:after="0" w:line="276" w:lineRule="auto"/>
        <w:ind w:firstLine="708"/>
        <w:jc w:val="both"/>
        <w:rPr>
          <w:rFonts w:ascii="Verdana" w:eastAsia="Calibri" w:hAnsi="Verdana" w:cs="Times New Roman"/>
          <w:lang w:val="es-ES"/>
        </w:rPr>
      </w:pPr>
      <w:r w:rsidRPr="008C3D38">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Times New Roman"/>
          <w:lang w:val="es-ES"/>
        </w:rPr>
        <w:t>señalando</w:t>
      </w:r>
      <w:r w:rsidRPr="008C3D38">
        <w:rPr>
          <w:rFonts w:ascii="Verdana" w:eastAsia="Calibri" w:hAnsi="Verdana" w:cs="Times New Roman"/>
          <w:lang w:val="es-ES"/>
        </w:rPr>
        <w:t xml:space="preserve"> </w:t>
      </w:r>
      <w:r>
        <w:rPr>
          <w:rFonts w:ascii="Verdana" w:eastAsia="Calibri" w:hAnsi="Verdana" w:cs="Times New Roman"/>
          <w:lang w:val="es-ES"/>
        </w:rPr>
        <w:t>alg</w:t>
      </w:r>
      <w:r w:rsidRPr="008C3D38">
        <w:rPr>
          <w:rFonts w:ascii="Verdana" w:eastAsia="Calibri" w:hAnsi="Verdana" w:cs="Times New Roman"/>
          <w:lang w:val="es-ES"/>
        </w:rPr>
        <w:t xml:space="preserve">unas consideraciones sobre las normas generales relacionadas con el problema jurídico de su consulta. </w:t>
      </w:r>
    </w:p>
    <w:p w14:paraId="7AAA1F67" w14:textId="77777777" w:rsidR="00E5670D" w:rsidRPr="008C3D38" w:rsidRDefault="00E5670D" w:rsidP="00E5670D">
      <w:pPr>
        <w:spacing w:after="0" w:line="276" w:lineRule="auto"/>
        <w:rPr>
          <w:rFonts w:ascii="Verdana" w:eastAsia="Calibri" w:hAnsi="Verdana" w:cs="Times New Roman"/>
          <w:lang w:val="es-ES"/>
        </w:rPr>
      </w:pPr>
    </w:p>
    <w:p w14:paraId="6B839B17" w14:textId="77777777" w:rsidR="00E5670D" w:rsidRPr="008C3D38" w:rsidRDefault="00E5670D" w:rsidP="00E5670D">
      <w:pPr>
        <w:numPr>
          <w:ilvl w:val="0"/>
          <w:numId w:val="16"/>
        </w:numPr>
        <w:spacing w:after="0" w:line="276" w:lineRule="auto"/>
        <w:rPr>
          <w:rFonts w:ascii="Verdana" w:eastAsia="Calibri" w:hAnsi="Verdana" w:cs="Times New Roman"/>
          <w:b/>
          <w:bCs/>
          <w:lang w:val="es-ES"/>
        </w:rPr>
      </w:pPr>
      <w:r w:rsidRPr="008C3D38">
        <w:rPr>
          <w:rFonts w:ascii="Verdana" w:eastAsia="Calibri" w:hAnsi="Verdana" w:cs="Times New Roman"/>
          <w:b/>
          <w:bCs/>
          <w:lang w:val="es-ES"/>
        </w:rPr>
        <w:t>Problema planteado:</w:t>
      </w:r>
    </w:p>
    <w:p w14:paraId="32E1B81E" w14:textId="77777777" w:rsidR="00E5670D" w:rsidRPr="008C3D38" w:rsidRDefault="00E5670D" w:rsidP="00E5670D">
      <w:pPr>
        <w:spacing w:after="0" w:line="276" w:lineRule="auto"/>
        <w:rPr>
          <w:rFonts w:ascii="Verdana" w:eastAsia="Calibri" w:hAnsi="Verdana" w:cs="Times New Roman"/>
        </w:rPr>
      </w:pPr>
    </w:p>
    <w:p w14:paraId="18612CFE" w14:textId="77777777" w:rsidR="00E5670D" w:rsidRPr="00B909AD" w:rsidRDefault="00E5670D" w:rsidP="00E5670D">
      <w:pPr>
        <w:spacing w:after="0" w:line="276" w:lineRule="auto"/>
        <w:jc w:val="both"/>
        <w:rPr>
          <w:rFonts w:ascii="Verdana" w:eastAsia="Calibri" w:hAnsi="Verdana" w:cs="Times New Roman"/>
        </w:rPr>
      </w:pPr>
      <w:r w:rsidRPr="008C3D38">
        <w:rPr>
          <w:rFonts w:ascii="Verdana" w:eastAsia="Calibri" w:hAnsi="Verdana" w:cs="Times New Roman"/>
        </w:rPr>
        <w:t xml:space="preserve">De acuerdo con el contenido de sus solicitudes, la Agencia procede a resolver el siguiente problema jurídico: </w:t>
      </w:r>
      <w:r>
        <w:rPr>
          <w:rFonts w:ascii="Verdana" w:eastAsia="Calibri" w:hAnsi="Verdana" w:cs="Times New Roman"/>
        </w:rPr>
        <w:t xml:space="preserve">¿Están obligadas </w:t>
      </w:r>
      <w:r w:rsidRPr="00B909AD">
        <w:rPr>
          <w:rFonts w:ascii="Verdana" w:eastAsia="Calibri" w:hAnsi="Verdana" w:cs="Times New Roman"/>
        </w:rPr>
        <w:t xml:space="preserve">las Universidades Públicas para la adquisición de alimentos, a aplicar el puntaje mínimo del </w:t>
      </w:r>
      <w:r>
        <w:rPr>
          <w:rFonts w:ascii="Verdana" w:eastAsia="Calibri" w:hAnsi="Verdana" w:cs="Times New Roman"/>
        </w:rPr>
        <w:t>diez por ciento (</w:t>
      </w:r>
      <w:r w:rsidRPr="00B909AD">
        <w:rPr>
          <w:rFonts w:ascii="Verdana" w:eastAsia="Calibri" w:hAnsi="Verdana" w:cs="Times New Roman"/>
        </w:rPr>
        <w:t>10%</w:t>
      </w:r>
      <w:r>
        <w:rPr>
          <w:rFonts w:ascii="Verdana" w:eastAsia="Calibri" w:hAnsi="Verdana" w:cs="Times New Roman"/>
        </w:rPr>
        <w:t>)</w:t>
      </w:r>
      <w:r w:rsidRPr="00B909AD">
        <w:rPr>
          <w:rFonts w:ascii="Verdana" w:eastAsia="Calibri" w:hAnsi="Verdana" w:cs="Times New Roman"/>
        </w:rPr>
        <w:t xml:space="preserve"> previsto en el artículo 2.</w:t>
      </w:r>
      <w:r>
        <w:rPr>
          <w:rFonts w:ascii="Verdana" w:eastAsia="Calibri" w:hAnsi="Verdana" w:cs="Times New Roman"/>
        </w:rPr>
        <w:t>20.1.2.3 del Decreto 1071 de 2015 –incorporado en el Decreto 248 de 2021- que reglamenta la Ley 2046 de 2020</w:t>
      </w:r>
      <w:r w:rsidRPr="00B909AD">
        <w:rPr>
          <w:rFonts w:ascii="Verdana" w:eastAsia="Calibri" w:hAnsi="Verdana" w:cs="Times New Roman"/>
        </w:rPr>
        <w:t>?</w:t>
      </w:r>
    </w:p>
    <w:p w14:paraId="6307DACC" w14:textId="77777777" w:rsidR="00E5670D" w:rsidRPr="008C3D38" w:rsidRDefault="00E5670D" w:rsidP="00E5670D">
      <w:pPr>
        <w:spacing w:after="0" w:line="276" w:lineRule="auto"/>
        <w:jc w:val="both"/>
        <w:rPr>
          <w:rFonts w:ascii="Verdana" w:eastAsia="Calibri" w:hAnsi="Verdana" w:cs="Times New Roman"/>
          <w:i/>
          <w:iCs/>
          <w:lang w:val="es-ES"/>
        </w:rPr>
      </w:pPr>
    </w:p>
    <w:p w14:paraId="3F61ABBC" w14:textId="77777777" w:rsidR="00E5670D" w:rsidRPr="008C3D38" w:rsidRDefault="00E5670D" w:rsidP="00E5670D">
      <w:pPr>
        <w:numPr>
          <w:ilvl w:val="0"/>
          <w:numId w:val="16"/>
        </w:numPr>
        <w:spacing w:after="0" w:line="276" w:lineRule="auto"/>
        <w:rPr>
          <w:rFonts w:ascii="Verdana" w:eastAsia="Calibri" w:hAnsi="Verdana" w:cs="Times New Roman"/>
          <w:b/>
          <w:bCs/>
          <w:lang w:val="es-ES"/>
        </w:rPr>
      </w:pPr>
      <w:r w:rsidRPr="008C3D38">
        <w:rPr>
          <w:rFonts w:ascii="Verdana" w:eastAsia="Calibri" w:hAnsi="Verdana" w:cs="Times New Roman"/>
          <w:b/>
          <w:bCs/>
          <w:lang w:val="es-ES"/>
        </w:rPr>
        <w:t>Respuesta:</w:t>
      </w:r>
    </w:p>
    <w:p w14:paraId="21062D28" w14:textId="77777777" w:rsidR="00E5670D" w:rsidRPr="008C3D38" w:rsidRDefault="00E5670D" w:rsidP="00E5670D">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5670D" w:rsidRPr="008C3D38" w14:paraId="04746932" w14:textId="77777777" w:rsidTr="006123C5">
        <w:trPr>
          <w:trHeight w:val="345"/>
          <w:jc w:val="center"/>
        </w:trPr>
        <w:tc>
          <w:tcPr>
            <w:tcW w:w="8784" w:type="dxa"/>
            <w:tcBorders>
              <w:bottom w:val="single" w:sz="4" w:space="0" w:color="auto"/>
            </w:tcBorders>
          </w:tcPr>
          <w:p w14:paraId="04FF138E" w14:textId="77777777" w:rsidR="00E5670D" w:rsidRPr="009F3CD7" w:rsidRDefault="00E5670D" w:rsidP="006123C5">
            <w:pPr>
              <w:spacing w:before="120" w:after="120" w:line="276" w:lineRule="auto"/>
              <w:jc w:val="both"/>
              <w:rPr>
                <w:rFonts w:ascii="Verdana" w:eastAsia="Calibri" w:hAnsi="Verdana" w:cs="Times New Roman"/>
                <w:bCs/>
                <w:iCs/>
              </w:rPr>
            </w:pPr>
            <w:r w:rsidRPr="008C3D38">
              <w:rPr>
                <w:rFonts w:ascii="Verdana" w:hAnsi="Verdana" w:cs="Segoe UI"/>
              </w:rPr>
              <w:t xml:space="preserve">De acuerdo al problema jurídico </w:t>
            </w:r>
            <w:r>
              <w:rPr>
                <w:rFonts w:ascii="Verdana" w:hAnsi="Verdana" w:cs="Segoe UI"/>
              </w:rPr>
              <w:t xml:space="preserve">objeto </w:t>
            </w:r>
            <w:r w:rsidRPr="008C3D38">
              <w:rPr>
                <w:rFonts w:ascii="Verdana" w:hAnsi="Verdana" w:cs="Segoe UI"/>
              </w:rPr>
              <w:t>de</w:t>
            </w:r>
            <w:r>
              <w:rPr>
                <w:rFonts w:ascii="Verdana" w:hAnsi="Verdana" w:cs="Segoe UI"/>
              </w:rPr>
              <w:t xml:space="preserve"> la presente</w:t>
            </w:r>
            <w:r w:rsidRPr="008C3D38">
              <w:rPr>
                <w:rFonts w:ascii="Verdana" w:hAnsi="Verdana" w:cs="Segoe UI"/>
              </w:rPr>
              <w:t xml:space="preserve"> consulta, se precisa </w:t>
            </w:r>
            <w:r w:rsidRPr="008C3D38">
              <w:rPr>
                <w:rFonts w:ascii="Verdana" w:eastAsia="Times New Roman" w:hAnsi="Verdana" w:cs="Arial"/>
                <w:lang w:eastAsia="es-CO"/>
              </w:rPr>
              <w:t>en cuanto al campo de aplicación</w:t>
            </w:r>
            <w:r>
              <w:rPr>
                <w:rFonts w:ascii="Verdana" w:eastAsia="Times New Roman" w:hAnsi="Verdana" w:cs="Arial"/>
                <w:lang w:eastAsia="es-CO"/>
              </w:rPr>
              <w:t xml:space="preserve"> </w:t>
            </w:r>
            <w:r w:rsidRPr="008C3D38">
              <w:rPr>
                <w:rFonts w:ascii="Verdana" w:hAnsi="Verdana" w:cs="Segoe UI"/>
              </w:rPr>
              <w:t>que</w:t>
            </w:r>
            <w:r w:rsidRPr="008C3D38">
              <w:rPr>
                <w:rFonts w:ascii="Verdana" w:eastAsia="Times New Roman" w:hAnsi="Verdana" w:cs="Arial"/>
                <w:lang w:eastAsia="es-CO"/>
              </w:rPr>
              <w:t>, la Ley 2046 de 2020</w:t>
            </w:r>
            <w:r w:rsidRPr="008C3D38">
              <w:rPr>
                <w:rFonts w:ascii="Arial" w:hAnsi="Arial" w:cs="Arial"/>
                <w:b/>
                <w:bCs/>
                <w:color w:val="000000"/>
                <w:sz w:val="21"/>
                <w:szCs w:val="21"/>
              </w:rPr>
              <w:t xml:space="preserve"> </w:t>
            </w:r>
            <w:r w:rsidRPr="008C3D38">
              <w:rPr>
                <w:rFonts w:ascii="Arial" w:hAnsi="Arial" w:cs="Arial"/>
                <w:bCs/>
                <w:color w:val="000000"/>
                <w:sz w:val="21"/>
                <w:szCs w:val="21"/>
              </w:rPr>
              <w:t>“</w:t>
            </w:r>
            <w:r w:rsidRPr="008C3D38">
              <w:rPr>
                <w:rFonts w:ascii="Verdana" w:eastAsia="Times New Roman" w:hAnsi="Verdana" w:cs="Arial"/>
                <w:bCs/>
                <w:lang w:eastAsia="es-CO"/>
              </w:rPr>
              <w:t xml:space="preserve">por la cual se </w:t>
            </w:r>
            <w:r w:rsidRPr="008C3D38">
              <w:rPr>
                <w:rFonts w:ascii="Verdana" w:eastAsia="Times New Roman" w:hAnsi="Verdana" w:cs="Arial"/>
                <w:bCs/>
                <w:lang w:eastAsia="es-CO"/>
              </w:rPr>
              <w:lastRenderedPageBreak/>
              <w:t>establecen mecanismos para promover la participación de pequeños productores locales agropecuarios y de la agricultura campesina, familiar y comunitaria en los mercados de compras públicas de alimento”</w:t>
            </w:r>
            <w:r w:rsidRPr="008C3D38">
              <w:rPr>
                <w:rFonts w:ascii="Verdana" w:eastAsia="Times New Roman" w:hAnsi="Verdana" w:cs="Arial"/>
                <w:b/>
                <w:bCs/>
                <w:lang w:eastAsia="es-CO"/>
              </w:rPr>
              <w:t>,</w:t>
            </w:r>
            <w:r w:rsidRPr="008C3D38">
              <w:rPr>
                <w:rFonts w:ascii="Verdana" w:eastAsia="Times New Roman" w:hAnsi="Verdana" w:cs="Arial"/>
                <w:lang w:eastAsia="es-CO"/>
              </w:rPr>
              <w:t xml:space="preserve"> establece en su </w:t>
            </w:r>
            <w:r w:rsidRPr="008C3D38">
              <w:rPr>
                <w:rFonts w:ascii="Verdana" w:eastAsia="Times New Roman" w:hAnsi="Verdana" w:cs="Arial"/>
                <w:bCs/>
                <w:lang w:eastAsia="es-CO"/>
              </w:rPr>
              <w:t>artículo 3</w:t>
            </w:r>
            <w:r w:rsidRPr="008C3D38">
              <w:rPr>
                <w:rFonts w:ascii="Verdana" w:eastAsia="Times New Roman" w:hAnsi="Verdana" w:cs="Arial"/>
                <w:lang w:eastAsia="es-CO"/>
              </w:rPr>
              <w:t xml:space="preserve">: “Las disposiciones que aquí se establecen, serán obligatorias para las entidades públicas del nivel nacional, departamental, distrital, municipal, sociedades de economía mixta, y </w:t>
            </w:r>
            <w:r w:rsidRPr="00A70144">
              <w:rPr>
                <w:rFonts w:ascii="Verdana" w:eastAsia="Times New Roman" w:hAnsi="Verdana" w:cs="Arial"/>
                <w:i/>
                <w:iCs/>
                <w:lang w:eastAsia="es-CO"/>
              </w:rPr>
              <w:t>entidades privadas que manejen recursos públicos y operen en el territorio nacional</w:t>
            </w:r>
            <w:r w:rsidRPr="008C3D38">
              <w:rPr>
                <w:rFonts w:ascii="Verdana" w:eastAsia="Times New Roman" w:hAnsi="Verdana" w:cs="Arial"/>
                <w:lang w:eastAsia="es-CO"/>
              </w:rPr>
              <w:t xml:space="preserve">, que demanden de forma directa o a través de interpuesta persona, alimentos para el abastecimiento y para suministro de productos de origen agropecuario, 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 </w:t>
            </w:r>
          </w:p>
          <w:p w14:paraId="489DCEA8" w14:textId="77777777" w:rsidR="00E5670D" w:rsidRPr="008C3D38" w:rsidRDefault="00E5670D" w:rsidP="006123C5">
            <w:pPr>
              <w:spacing w:after="120" w:line="276" w:lineRule="auto"/>
              <w:ind w:firstLine="708"/>
              <w:jc w:val="both"/>
              <w:rPr>
                <w:rFonts w:ascii="Verdana" w:hAnsi="Verdana" w:cs="Arial"/>
              </w:rPr>
            </w:pPr>
            <w:r w:rsidRPr="008C3D38">
              <w:rPr>
                <w:rFonts w:ascii="Verdana" w:eastAsia="Times New Roman" w:hAnsi="Verdana" w:cs="Arial"/>
                <w:lang w:eastAsia="es-CO"/>
              </w:rPr>
              <w:t>En efecto, este ámbito de aplicación no se limita a las entidades sujetas al Estatuto General de Contratación de la Administración Pública</w:t>
            </w:r>
            <w:r>
              <w:rPr>
                <w:rFonts w:ascii="Verdana" w:eastAsia="Times New Roman" w:hAnsi="Verdana" w:cs="Arial"/>
                <w:lang w:eastAsia="es-CO"/>
              </w:rPr>
              <w:t xml:space="preserve"> – en adelante EGCAP –</w:t>
            </w:r>
            <w:r w:rsidRPr="008C3D38">
              <w:rPr>
                <w:rFonts w:ascii="Verdana" w:eastAsia="Times New Roman" w:hAnsi="Verdana" w:cs="Arial"/>
                <w:lang w:eastAsia="es-CO"/>
              </w:rPr>
              <w:t>, sino que se extiende a otro tipo de Entidades Públicas de los distintos órdenes, las sociedades de economía mixta, entidades privadas que administren recursos públicos, así como los demás sujetos mencionados en la norma</w:t>
            </w:r>
            <w:r w:rsidRPr="008C3D38">
              <w:rPr>
                <w:rFonts w:ascii="Verdana" w:hAnsi="Verdana" w:cs="Arial"/>
              </w:rPr>
              <w:t>. Esta redacción evidencia la intención del legislador de otorgar un alcance general y comprensivo a las obligaciones allí contenidas, evitando limitar su aplicación a una categoría específica de entidades.</w:t>
            </w:r>
          </w:p>
          <w:p w14:paraId="690DD2FA" w14:textId="77777777" w:rsidR="00E5670D" w:rsidRDefault="00E5670D" w:rsidP="006123C5">
            <w:pPr>
              <w:spacing w:after="120" w:line="276" w:lineRule="auto"/>
              <w:ind w:firstLine="708"/>
              <w:jc w:val="both"/>
              <w:rPr>
                <w:rFonts w:ascii="Verdana" w:eastAsia="Times New Roman" w:hAnsi="Verdana" w:cs="Arial"/>
                <w:lang w:eastAsia="es-CO"/>
              </w:rPr>
            </w:pPr>
            <w:r w:rsidRPr="00646D52">
              <w:rPr>
                <w:rFonts w:ascii="Verdana" w:eastAsia="Times New Roman" w:hAnsi="Verdana" w:cs="Arial"/>
                <w:lang w:eastAsia="es-CO"/>
              </w:rPr>
              <w:t xml:space="preserve">En este contexto, resulta relevante precisar que la norma en cuestión </w:t>
            </w:r>
            <w:r w:rsidRPr="00646D52">
              <w:rPr>
                <w:rFonts w:ascii="Verdana" w:eastAsia="Times New Roman" w:hAnsi="Verdana" w:cs="Arial"/>
                <w:bCs/>
                <w:lang w:eastAsia="es-CO"/>
              </w:rPr>
              <w:t xml:space="preserve">no </w:t>
            </w:r>
            <w:r>
              <w:rPr>
                <w:rFonts w:ascii="Verdana" w:eastAsia="Times New Roman" w:hAnsi="Verdana" w:cs="Arial"/>
                <w:bCs/>
                <w:lang w:eastAsia="es-CO"/>
              </w:rPr>
              <w:t xml:space="preserve">se refiere </w:t>
            </w:r>
            <w:r w:rsidRPr="00646D52">
              <w:rPr>
                <w:rFonts w:ascii="Verdana" w:eastAsia="Times New Roman" w:hAnsi="Verdana" w:cs="Arial"/>
                <w:bCs/>
                <w:lang w:eastAsia="es-CO"/>
              </w:rPr>
              <w:t xml:space="preserve">expresa ni </w:t>
            </w:r>
            <w:r>
              <w:rPr>
                <w:rFonts w:ascii="Verdana" w:eastAsia="Times New Roman" w:hAnsi="Verdana" w:cs="Arial"/>
                <w:bCs/>
                <w:lang w:eastAsia="es-CO"/>
              </w:rPr>
              <w:t>implícitamente</w:t>
            </w:r>
            <w:r w:rsidRPr="00646D52">
              <w:rPr>
                <w:rFonts w:ascii="Verdana" w:eastAsia="Times New Roman" w:hAnsi="Verdana" w:cs="Arial"/>
                <w:bCs/>
                <w:lang w:eastAsia="es-CO"/>
              </w:rPr>
              <w:t xml:space="preserve"> a la</w:t>
            </w:r>
            <w:r>
              <w:rPr>
                <w:rFonts w:ascii="Verdana" w:eastAsia="Times New Roman" w:hAnsi="Verdana" w:cs="Arial"/>
                <w:bCs/>
                <w:lang w:eastAsia="es-CO"/>
              </w:rPr>
              <w:t>s universidades públicas o</w:t>
            </w:r>
            <w:r w:rsidRPr="00646D52">
              <w:rPr>
                <w:rFonts w:ascii="Verdana" w:eastAsia="Times New Roman" w:hAnsi="Verdana" w:cs="Arial"/>
                <w:bCs/>
                <w:lang w:eastAsia="es-CO"/>
              </w:rPr>
              <w:t xml:space="preserve"> entes universitarios autónomos</w:t>
            </w:r>
            <w:r w:rsidRPr="00646D52">
              <w:rPr>
                <w:rFonts w:ascii="Verdana" w:eastAsia="Times New Roman" w:hAnsi="Verdana" w:cs="Arial"/>
                <w:lang w:eastAsia="es-CO"/>
              </w:rPr>
              <w:t xml:space="preserve">, en la medida en que estas instituciones </w:t>
            </w:r>
            <w:r w:rsidRPr="00646D52">
              <w:rPr>
                <w:rFonts w:ascii="Verdana" w:eastAsia="Times New Roman" w:hAnsi="Verdana" w:cs="Arial"/>
                <w:bCs/>
                <w:lang w:eastAsia="es-CO"/>
              </w:rPr>
              <w:t>no encajan dentro de las categorías subjetivas allí previstas</w:t>
            </w:r>
            <w:r w:rsidRPr="00646D52">
              <w:rPr>
                <w:rFonts w:ascii="Verdana" w:eastAsia="Times New Roman" w:hAnsi="Verdana" w:cs="Arial"/>
                <w:lang w:eastAsia="es-CO"/>
              </w:rPr>
              <w:t xml:space="preserve">. En efecto, las universidades públicas, conforme al artículo 69 de la Constitución Política y a su desarrollo legal, gozan de </w:t>
            </w:r>
            <w:r w:rsidRPr="00646D52">
              <w:rPr>
                <w:rFonts w:ascii="Verdana" w:eastAsia="Times New Roman" w:hAnsi="Verdana" w:cs="Arial"/>
                <w:bCs/>
                <w:lang w:eastAsia="es-CO"/>
              </w:rPr>
              <w:t>autonomía universitaria</w:t>
            </w:r>
            <w:r w:rsidRPr="00646D52">
              <w:rPr>
                <w:rFonts w:ascii="Verdana" w:eastAsia="Times New Roman" w:hAnsi="Verdana" w:cs="Arial"/>
                <w:lang w:eastAsia="es-CO"/>
              </w:rPr>
              <w:t xml:space="preserve"> y configuran una categoría jurídica especial en la estructura del Estado, distinta de las entidades descentralizadas por servicios o de las entidades descentralizadas territorialmente. Asimismo, </w:t>
            </w:r>
            <w:r w:rsidRPr="00646D52">
              <w:rPr>
                <w:rFonts w:ascii="Verdana" w:eastAsia="Times New Roman" w:hAnsi="Verdana" w:cs="Arial"/>
                <w:bCs/>
                <w:lang w:eastAsia="es-CO"/>
              </w:rPr>
              <w:t>no pueden asimilarse a entidades privadas que administran recursos públicos</w:t>
            </w:r>
            <w:r w:rsidRPr="00646D52">
              <w:rPr>
                <w:rFonts w:ascii="Verdana" w:eastAsia="Times New Roman" w:hAnsi="Verdana" w:cs="Arial"/>
                <w:lang w:eastAsia="es-CO"/>
              </w:rPr>
              <w:t xml:space="preserve">, pues </w:t>
            </w:r>
            <w:r>
              <w:rPr>
                <w:rFonts w:ascii="Verdana" w:eastAsia="Times New Roman" w:hAnsi="Verdana" w:cs="Arial"/>
                <w:lang w:eastAsia="es-CO"/>
              </w:rPr>
              <w:t xml:space="preserve">las universidades </w:t>
            </w:r>
            <w:r w:rsidRPr="00646D52">
              <w:rPr>
                <w:rFonts w:ascii="Verdana" w:eastAsia="Times New Roman" w:hAnsi="Verdana" w:cs="Arial"/>
                <w:lang w:eastAsia="es-CO"/>
              </w:rPr>
              <w:t>forman parte del sector público</w:t>
            </w:r>
            <w:r>
              <w:rPr>
                <w:rFonts w:ascii="Verdana" w:eastAsia="Times New Roman" w:hAnsi="Verdana" w:cs="Arial"/>
                <w:lang w:eastAsia="es-CO"/>
              </w:rPr>
              <w:t xml:space="preserve"> como órganos </w:t>
            </w:r>
            <w:r>
              <w:rPr>
                <w:rFonts w:ascii="Verdana" w:eastAsia="Times New Roman" w:hAnsi="Verdana" w:cs="Arial"/>
                <w:lang w:eastAsia="es-CO"/>
              </w:rPr>
              <w:lastRenderedPageBreak/>
              <w:t>autónomos e independientes</w:t>
            </w:r>
            <w:r w:rsidRPr="00646D52">
              <w:rPr>
                <w:rFonts w:ascii="Verdana" w:eastAsia="Times New Roman" w:hAnsi="Verdana" w:cs="Arial"/>
                <w:lang w:eastAsia="es-CO"/>
              </w:rPr>
              <w:t xml:space="preserve"> y gestionan recursos estatales en ejercicio de funciones misionales propias, bajo un régimen especial de contratación.</w:t>
            </w:r>
            <w:r>
              <w:rPr>
                <w:rFonts w:ascii="Verdana" w:eastAsia="Times New Roman" w:hAnsi="Verdana" w:cs="Arial"/>
                <w:lang w:eastAsia="es-CO"/>
              </w:rPr>
              <w:t xml:space="preserve"> </w:t>
            </w:r>
          </w:p>
          <w:p w14:paraId="5263B9C1" w14:textId="77777777" w:rsidR="00E5670D" w:rsidRDefault="00E5670D" w:rsidP="006123C5">
            <w:pPr>
              <w:spacing w:after="120" w:line="276" w:lineRule="auto"/>
              <w:ind w:firstLine="708"/>
              <w:jc w:val="both"/>
              <w:rPr>
                <w:rFonts w:ascii="Verdana" w:eastAsia="Times New Roman" w:hAnsi="Verdana" w:cs="Arial"/>
                <w:lang w:eastAsia="es-CO"/>
              </w:rPr>
            </w:pPr>
            <w:r w:rsidRPr="001C2262">
              <w:rPr>
                <w:rFonts w:ascii="Verdana" w:eastAsia="Times New Roman" w:hAnsi="Verdana" w:cs="Arial"/>
                <w:lang w:eastAsia="es-CO"/>
              </w:rPr>
              <w:t xml:space="preserve">Todo lo anterior </w:t>
            </w:r>
            <w:r w:rsidRPr="001C2262">
              <w:rPr>
                <w:rFonts w:ascii="Verdana" w:eastAsia="Times New Roman" w:hAnsi="Verdana" w:cs="Arial"/>
                <w:bCs/>
                <w:lang w:eastAsia="es-CO"/>
              </w:rPr>
              <w:t>sin perjuicio de la facultad que conservan las universidades públicas de incorporar voluntariamente este tipo de incentivos en sus procesos de compra pública de alimentos</w:t>
            </w:r>
            <w:r w:rsidRPr="001C2262">
              <w:rPr>
                <w:rFonts w:ascii="Verdana" w:eastAsia="Times New Roman" w:hAnsi="Verdana" w:cs="Arial"/>
                <w:lang w:eastAsia="es-CO"/>
              </w:rPr>
              <w:t xml:space="preserve">, en ejercicio de su autonomía universitaria y de sus competencias reglamentarias internas. En efecto, aun cuando no exista una obligación jurídica directa derivada de la norma analizada, las universidades pueden, de manera discrecional y conforme a sus propios estatutos de contratación, </w:t>
            </w:r>
            <w:r w:rsidRPr="001C2262">
              <w:rPr>
                <w:rFonts w:ascii="Verdana" w:eastAsia="Times New Roman" w:hAnsi="Verdana" w:cs="Arial"/>
                <w:bCs/>
                <w:lang w:eastAsia="es-CO"/>
              </w:rPr>
              <w:t>adoptar criterios de evaluación orientados a promover fines constitucionales y legales</w:t>
            </w:r>
            <w:r w:rsidRPr="001C2262">
              <w:rPr>
                <w:rFonts w:ascii="Verdana" w:eastAsia="Times New Roman" w:hAnsi="Verdana" w:cs="Arial"/>
                <w:lang w:eastAsia="es-CO"/>
              </w:rPr>
              <w:t xml:space="preserve">, tales como el fortalecimiento de la economía campesina, la seguridad alimentaria, la sostenibilidad y el desarrollo local. </w:t>
            </w:r>
          </w:p>
          <w:p w14:paraId="56DA0165" w14:textId="77777777" w:rsidR="00E5670D" w:rsidRPr="005B51CC" w:rsidRDefault="00E5670D" w:rsidP="006123C5">
            <w:pPr>
              <w:spacing w:line="276" w:lineRule="auto"/>
              <w:ind w:firstLine="709"/>
              <w:jc w:val="both"/>
              <w:rPr>
                <w:rFonts w:ascii="Verdana" w:hAnsi="Verdana" w:cs="Arial"/>
                <w:lang w:val="es-ES" w:eastAsia="es-ES"/>
              </w:rPr>
            </w:pPr>
            <w:r w:rsidRPr="008C3D38">
              <w:rPr>
                <w:rFonts w:ascii="Verdana" w:hAnsi="Verdana" w:cs="Arial"/>
                <w:lang w:val="es-ES" w:eastAsia="es-ES"/>
              </w:rPr>
              <w:t xml:space="preserve">Dentro de este marco, </w:t>
            </w:r>
            <w:r>
              <w:rPr>
                <w:rFonts w:ascii="Verdana" w:hAnsi="Verdana" w:cs="Arial"/>
                <w:lang w:val="es-ES" w:eastAsia="es-ES"/>
              </w:rPr>
              <w:t>c</w:t>
            </w:r>
            <w:r w:rsidRPr="008C3D38">
              <w:rPr>
                <w:rFonts w:ascii="Verdana" w:hAnsi="Verdana" w:cs="Arial"/>
                <w:lang w:val="es-ES" w:eastAsia="es-ES"/>
              </w:rPr>
              <w:t>a</w:t>
            </w:r>
            <w:r>
              <w:rPr>
                <w:rFonts w:ascii="Verdana" w:hAnsi="Verdana" w:cs="Arial"/>
                <w:lang w:val="es-ES" w:eastAsia="es-ES"/>
              </w:rPr>
              <w:t>da</w:t>
            </w:r>
            <w:r w:rsidRPr="008C3D38">
              <w:rPr>
                <w:rFonts w:ascii="Verdana" w:hAnsi="Verdana" w:cs="Arial"/>
                <w:lang w:val="es-ES" w:eastAsia="es-ES"/>
              </w:rPr>
              <w:t xml:space="preserve"> </w:t>
            </w:r>
            <w:r>
              <w:rPr>
                <w:rFonts w:ascii="Verdana" w:hAnsi="Verdana" w:cs="Arial"/>
                <w:lang w:val="es-ES" w:eastAsia="es-ES"/>
              </w:rPr>
              <w:t>E</w:t>
            </w:r>
            <w:r w:rsidRPr="008C3D38">
              <w:rPr>
                <w:rFonts w:ascii="Verdana" w:hAnsi="Verdana" w:cs="Arial"/>
                <w:lang w:val="es-ES" w:eastAsia="es-ES"/>
              </w:rPr>
              <w:t xml:space="preserve">ntidad </w:t>
            </w:r>
            <w:r>
              <w:rPr>
                <w:rFonts w:ascii="Verdana" w:hAnsi="Verdana" w:cs="Arial"/>
                <w:lang w:val="es-ES" w:eastAsia="es-ES"/>
              </w:rPr>
              <w:t>P</w:t>
            </w:r>
            <w:r w:rsidRPr="008C3D38">
              <w:rPr>
                <w:rFonts w:ascii="Verdana" w:hAnsi="Verdana" w:cs="Arial"/>
                <w:lang w:val="es-ES" w:eastAsia="es-ES"/>
              </w:rPr>
              <w:t>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0F44D0E" w14:textId="77777777" w:rsidR="00E5670D" w:rsidRPr="008C3D38" w:rsidRDefault="00E5670D" w:rsidP="00E5670D">
      <w:pPr>
        <w:spacing w:after="0" w:line="276" w:lineRule="auto"/>
        <w:jc w:val="both"/>
        <w:rPr>
          <w:rFonts w:ascii="Verdana" w:eastAsia="Calibri" w:hAnsi="Verdana" w:cs="Arial"/>
          <w:bCs/>
          <w:color w:val="000000" w:themeColor="text1"/>
        </w:rPr>
      </w:pPr>
      <w:bookmarkStart w:id="1" w:name="_Hlk78820161"/>
      <w:bookmarkStart w:id="2" w:name="_Hlk37703813"/>
    </w:p>
    <w:p w14:paraId="373CB3CE" w14:textId="77777777" w:rsidR="00E5670D" w:rsidRPr="008C3D38" w:rsidRDefault="00E5670D" w:rsidP="00E5670D">
      <w:pPr>
        <w:numPr>
          <w:ilvl w:val="0"/>
          <w:numId w:val="16"/>
        </w:numPr>
        <w:tabs>
          <w:tab w:val="left" w:pos="2268"/>
        </w:tabs>
        <w:spacing w:after="0" w:line="276" w:lineRule="auto"/>
        <w:rPr>
          <w:rFonts w:ascii="Verdana" w:eastAsia="Calibri" w:hAnsi="Verdana" w:cs="Times New Roman"/>
          <w:b/>
          <w:bCs/>
          <w:lang w:val="es-ES"/>
        </w:rPr>
      </w:pPr>
      <w:r w:rsidRPr="008C3D38">
        <w:rPr>
          <w:rFonts w:ascii="Verdana" w:eastAsia="Calibri" w:hAnsi="Verdana" w:cs="Times New Roman"/>
          <w:b/>
          <w:bCs/>
          <w:lang w:val="es-ES"/>
        </w:rPr>
        <w:t>Razones de la respuesta:</w:t>
      </w:r>
    </w:p>
    <w:p w14:paraId="2ECAB5A3" w14:textId="77777777" w:rsidR="00E5670D" w:rsidRPr="008C3D38" w:rsidRDefault="00E5670D" w:rsidP="00E5670D">
      <w:pPr>
        <w:spacing w:after="0" w:line="276" w:lineRule="auto"/>
        <w:jc w:val="both"/>
        <w:rPr>
          <w:rFonts w:ascii="Verdana" w:eastAsia="Calibri" w:hAnsi="Verdana" w:cs="Arial"/>
          <w:lang w:val="es-ES"/>
        </w:rPr>
      </w:pPr>
    </w:p>
    <w:p w14:paraId="31A6FE50" w14:textId="77777777" w:rsidR="00E5670D" w:rsidRPr="008C3D38" w:rsidRDefault="00E5670D" w:rsidP="00E5670D">
      <w:pPr>
        <w:spacing w:after="0" w:line="276" w:lineRule="auto"/>
        <w:jc w:val="both"/>
        <w:rPr>
          <w:rFonts w:ascii="Verdana" w:eastAsia="Calibri" w:hAnsi="Verdana" w:cs="Arial"/>
          <w:lang w:val="es-ES"/>
        </w:rPr>
      </w:pPr>
      <w:r w:rsidRPr="008C3D38">
        <w:rPr>
          <w:rFonts w:ascii="Verdana" w:eastAsia="Calibri" w:hAnsi="Verdana" w:cs="Arial"/>
          <w:lang w:val="es-ES"/>
        </w:rPr>
        <w:t>Lo anterior se sustenta en las siguientes consideraciones:</w:t>
      </w:r>
    </w:p>
    <w:bookmarkEnd w:id="1"/>
    <w:bookmarkEnd w:id="2"/>
    <w:p w14:paraId="6E772391" w14:textId="77777777" w:rsidR="00E5670D" w:rsidRPr="00AD400A" w:rsidRDefault="00E5670D" w:rsidP="00E5670D">
      <w:pPr>
        <w:spacing w:after="0" w:line="276" w:lineRule="auto"/>
        <w:jc w:val="both"/>
        <w:rPr>
          <w:rFonts w:ascii="Verdana" w:eastAsia="Calibri" w:hAnsi="Verdana" w:cs="Arial"/>
          <w:lang w:eastAsia="es-MX"/>
        </w:rPr>
      </w:pPr>
    </w:p>
    <w:p w14:paraId="6B9C7014" w14:textId="77777777" w:rsidR="00E5670D" w:rsidRPr="00AD400A" w:rsidRDefault="00E5670D" w:rsidP="00E5670D">
      <w:pPr>
        <w:spacing w:after="120" w:line="276" w:lineRule="auto"/>
        <w:jc w:val="both"/>
        <w:rPr>
          <w:rFonts w:ascii="Verdana" w:eastAsia="Calibri" w:hAnsi="Verdana" w:cs="Arial"/>
        </w:rPr>
      </w:pPr>
      <w:r w:rsidRPr="00AD400A">
        <w:rPr>
          <w:rFonts w:ascii="Verdana" w:eastAsia="Calibri" w:hAnsi="Verdana" w:cs="Arial"/>
          <w:lang w:eastAsia="es-MX"/>
        </w:rPr>
        <w:t xml:space="preserve">i. </w:t>
      </w:r>
      <w:r w:rsidRPr="002E49B3">
        <w:rPr>
          <w:rFonts w:ascii="Verdana" w:eastAsia="Calibri" w:hAnsi="Verdana" w:cs="Arial"/>
          <w:lang w:val="es-ES"/>
        </w:rPr>
        <w:t xml:space="preserve">De manera preliminar, debe precisarse que la </w:t>
      </w:r>
      <w:r w:rsidRPr="002E49B3">
        <w:rPr>
          <w:rFonts w:ascii="Verdana" w:eastAsia="Calibri" w:hAnsi="Verdana" w:cs="Arial"/>
          <w:lang w:val="es-MX" w:eastAsia="x-none"/>
        </w:rPr>
        <w:t>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w:t>
      </w:r>
      <w:r w:rsidRPr="002E49B3">
        <w:rPr>
          <w:rFonts w:ascii="Verdana" w:eastAsia="Calibri" w:hAnsi="Verdana" w:cs="Arial"/>
          <w:vertAlign w:val="superscript"/>
        </w:rPr>
        <w:footnoteReference w:id="1"/>
      </w:r>
      <w:r w:rsidRPr="002E49B3">
        <w:rPr>
          <w:rFonts w:ascii="Verdana" w:eastAsia="Calibri" w:hAnsi="Verdana" w:cs="Arial"/>
          <w:vertAlign w:val="subscript"/>
        </w:rPr>
        <w:t>.</w:t>
      </w:r>
      <w:r w:rsidRPr="002E49B3">
        <w:rPr>
          <w:rFonts w:ascii="Verdana" w:eastAsia="Calibri" w:hAnsi="Verdana" w:cs="Arial"/>
        </w:rPr>
        <w:t xml:space="preserve"> </w:t>
      </w:r>
      <w:r w:rsidRPr="00AD400A">
        <w:rPr>
          <w:rFonts w:ascii="Verdana" w:eastAsia="Calibri" w:hAnsi="Verdana" w:cs="Arial"/>
        </w:rPr>
        <w:t xml:space="preserve">Así mismo, la Constitución Política en su artículo </w:t>
      </w:r>
      <w:r w:rsidRPr="00AD400A">
        <w:rPr>
          <w:rFonts w:ascii="Verdana" w:eastAsia="Calibri" w:hAnsi="Verdana" w:cs="Arial"/>
        </w:rPr>
        <w:lastRenderedPageBreak/>
        <w:t>113</w:t>
      </w:r>
      <w:r w:rsidRPr="00AD400A">
        <w:rPr>
          <w:rStyle w:val="Refdenotaalpie"/>
          <w:rFonts w:ascii="Verdana" w:eastAsia="Calibri" w:hAnsi="Verdana" w:cs="Arial"/>
        </w:rPr>
        <w:footnoteReference w:id="2"/>
      </w:r>
      <w:r w:rsidRPr="00AD400A">
        <w:rPr>
          <w:rFonts w:ascii="Verdana" w:eastAsia="Calibri" w:hAnsi="Verdana" w:cs="Arial"/>
        </w:rPr>
        <w:t xml:space="preserve"> establece que son Ramas del Poder Público: la legislativa, la ejecutiva y la judicial, sin perjuicio de que existan otros</w:t>
      </w:r>
      <w:r>
        <w:rPr>
          <w:rFonts w:ascii="Verdana" w:eastAsia="Calibri" w:hAnsi="Verdana" w:cs="Arial"/>
        </w:rPr>
        <w:t xml:space="preserve"> órganos</w:t>
      </w:r>
      <w:r w:rsidRPr="00AD400A">
        <w:rPr>
          <w:rFonts w:ascii="Verdana" w:eastAsia="Calibri" w:hAnsi="Verdana" w:cs="Arial"/>
        </w:rPr>
        <w:t xml:space="preserve"> autónomos e independientes para el cumplimiento de las funciones del Estado. Es decir, existen órganos que no hacen parte de las diferentes Ramas del Poder Público. </w:t>
      </w:r>
    </w:p>
    <w:p w14:paraId="6B849996" w14:textId="77777777" w:rsidR="00E5670D" w:rsidRPr="002E49B3" w:rsidRDefault="00E5670D" w:rsidP="00E5670D">
      <w:pPr>
        <w:pStyle w:val="NormalWeb"/>
        <w:spacing w:before="0" w:beforeAutospacing="0" w:after="120" w:afterAutospacing="0" w:line="276" w:lineRule="auto"/>
        <w:ind w:firstLine="708"/>
        <w:jc w:val="both"/>
        <w:rPr>
          <w:rFonts w:ascii="Arial" w:hAnsi="Arial" w:cs="Arial"/>
          <w:color w:val="000000"/>
          <w:sz w:val="22"/>
          <w:szCs w:val="22"/>
        </w:rPr>
      </w:pPr>
      <w:r w:rsidRPr="002E49B3">
        <w:rPr>
          <w:rFonts w:ascii="Verdana" w:eastAsia="Calibri" w:hAnsi="Verdana" w:cs="Arial"/>
          <w:sz w:val="22"/>
          <w:szCs w:val="22"/>
        </w:rPr>
        <w:t xml:space="preserve">En desarrollo de lo anterior, se expidió la Ley 30 de 1992, mediante la cual se regularon aspectos como la naturaleza jurídica de las universidades estatales y oficiales, la forma de organizarse y el régimen de contratación aplicable. Asimismo, en el artículo 57 </w:t>
      </w:r>
      <w:proofErr w:type="spellStart"/>
      <w:r w:rsidRPr="002E49B3">
        <w:rPr>
          <w:rFonts w:ascii="Verdana" w:eastAsia="Calibri" w:hAnsi="Verdana" w:cs="Arial"/>
          <w:sz w:val="22"/>
          <w:szCs w:val="22"/>
        </w:rPr>
        <w:t>ibídem</w:t>
      </w:r>
      <w:proofErr w:type="spellEnd"/>
      <w:r w:rsidRPr="002E49B3">
        <w:rPr>
          <w:rFonts w:ascii="Verdana" w:eastAsia="Calibri" w:hAnsi="Verdana" w:cs="Arial"/>
          <w:sz w:val="22"/>
          <w:szCs w:val="22"/>
        </w:rPr>
        <w:t xml:space="preserve"> se consignó que el carácter especial del régimen de las universidades estatales u oficiales comprende, entre otros aspectos, el régimen de contratación</w:t>
      </w:r>
      <w:r w:rsidRPr="002E49B3">
        <w:rPr>
          <w:rFonts w:ascii="Verdana" w:eastAsia="Calibri" w:hAnsi="Verdana" w:cs="Arial"/>
          <w:sz w:val="22"/>
          <w:szCs w:val="22"/>
          <w:vertAlign w:val="superscript"/>
        </w:rPr>
        <w:footnoteReference w:id="3"/>
      </w:r>
      <w:r w:rsidRPr="002E49B3">
        <w:rPr>
          <w:rFonts w:ascii="Verdana" w:eastAsia="Calibri" w:hAnsi="Verdana" w:cs="Arial"/>
          <w:sz w:val="22"/>
          <w:szCs w:val="22"/>
        </w:rPr>
        <w:t xml:space="preserve">. </w:t>
      </w:r>
    </w:p>
    <w:p w14:paraId="5905061A" w14:textId="77777777" w:rsidR="00E5670D" w:rsidRPr="002E49B3" w:rsidRDefault="00E5670D" w:rsidP="00E5670D">
      <w:pPr>
        <w:tabs>
          <w:tab w:val="left" w:pos="709"/>
        </w:tabs>
        <w:spacing w:before="120" w:after="0" w:line="276" w:lineRule="auto"/>
        <w:jc w:val="both"/>
        <w:rPr>
          <w:rFonts w:ascii="Verdana" w:eastAsia="Calibri" w:hAnsi="Verdana" w:cs="Arial"/>
          <w:lang w:val="es-ES"/>
        </w:rPr>
      </w:pPr>
      <w:r w:rsidRPr="002E49B3">
        <w:rPr>
          <w:rFonts w:ascii="Verdana" w:eastAsia="Calibri" w:hAnsi="Verdana" w:cs="Arial"/>
          <w:lang w:val="es-ES"/>
        </w:rPr>
        <w:tab/>
      </w:r>
      <w:r w:rsidRPr="002E49B3">
        <w:rPr>
          <w:rFonts w:ascii="Verdana" w:eastAsia="Calibri" w:hAnsi="Verdana" w:cs="Arial"/>
        </w:rPr>
        <w:t>De otro lado, la Ley 489 de 1998, al desarrollar la estructura y organización de la Administración Pública, establece que los entes universitarios hacen parte integral de esta</w:t>
      </w:r>
      <w:r w:rsidRPr="002E49B3">
        <w:rPr>
          <w:rFonts w:ascii="Verdana" w:eastAsia="Calibri" w:hAnsi="Verdana" w:cs="Arial"/>
          <w:vertAlign w:val="superscript"/>
        </w:rPr>
        <w:footnoteReference w:id="4"/>
      </w:r>
      <w:r w:rsidRPr="002E49B3">
        <w:rPr>
          <w:rFonts w:ascii="Verdana" w:eastAsia="Calibri" w:hAnsi="Verdana" w:cs="Arial"/>
        </w:rPr>
        <w:t xml:space="preserve">, catalogándolos como </w:t>
      </w:r>
      <w:r>
        <w:rPr>
          <w:rFonts w:ascii="Verdana" w:eastAsia="Calibri" w:hAnsi="Verdana" w:cs="Arial"/>
        </w:rPr>
        <w:t>E</w:t>
      </w:r>
      <w:r w:rsidRPr="002E49B3">
        <w:rPr>
          <w:rFonts w:ascii="Verdana" w:eastAsia="Calibri" w:hAnsi="Verdana" w:cs="Arial"/>
        </w:rPr>
        <w:t xml:space="preserve">ntidades </w:t>
      </w:r>
      <w:r>
        <w:rPr>
          <w:rFonts w:ascii="Verdana" w:eastAsia="Calibri" w:hAnsi="Verdana" w:cs="Arial"/>
        </w:rPr>
        <w:t>P</w:t>
      </w:r>
      <w:r w:rsidRPr="002E49B3">
        <w:rPr>
          <w:rFonts w:ascii="Verdana" w:eastAsia="Calibri" w:hAnsi="Verdana" w:cs="Arial"/>
        </w:rPr>
        <w:t>úblicas de carácter autónomo a las que aplica un régimen especial</w:t>
      </w:r>
      <w:r w:rsidRPr="002E49B3">
        <w:rPr>
          <w:rFonts w:ascii="Verdana" w:eastAsia="Calibri" w:hAnsi="Verdana" w:cs="Times New Roman"/>
          <w:vertAlign w:val="superscript"/>
        </w:rPr>
        <w:footnoteReference w:id="5"/>
      </w:r>
      <w:r w:rsidRPr="002E49B3">
        <w:rPr>
          <w:rFonts w:ascii="Verdana" w:eastAsia="Calibri" w:hAnsi="Verdana" w:cs="Times New Roman"/>
        </w:rPr>
        <w:t xml:space="preserve">. </w:t>
      </w:r>
      <w:r w:rsidRPr="002E49B3">
        <w:rPr>
          <w:rFonts w:ascii="Verdana" w:eastAsia="Calibri" w:hAnsi="Verdana" w:cs="Arial"/>
        </w:rPr>
        <w:t>Al respecto, en la Sentencia C-1019 de 2012, la Corte Constitucional señaló:</w:t>
      </w:r>
    </w:p>
    <w:p w14:paraId="30C801F7" w14:textId="77777777" w:rsidR="00E5670D" w:rsidRPr="002E49B3" w:rsidRDefault="00E5670D" w:rsidP="00E5670D">
      <w:pPr>
        <w:spacing w:after="0" w:line="276" w:lineRule="auto"/>
        <w:jc w:val="both"/>
        <w:rPr>
          <w:rFonts w:ascii="Verdana" w:eastAsia="Calibri" w:hAnsi="Verdana" w:cs="Arial"/>
          <w:lang w:val="es-MX" w:eastAsia="x-none"/>
        </w:rPr>
      </w:pPr>
    </w:p>
    <w:p w14:paraId="04003780" w14:textId="77777777" w:rsidR="00E5670D"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r w:rsidRPr="002E49B3">
        <w:rPr>
          <w:rFonts w:ascii="Verdana" w:eastAsia="Arial" w:hAnsi="Verdana" w:cs="Arial"/>
          <w:sz w:val="20"/>
          <w:szCs w:val="20"/>
          <w:lang w:val="es-ES"/>
        </w:rPr>
        <w:t xml:space="preserve">“El régimen especial de las universidades públicas y oficiales se justifica en el hecho de que estas instituciones manejan recursos públicos y a que </w:t>
      </w:r>
      <w:r w:rsidRPr="002E49B3">
        <w:rPr>
          <w:rFonts w:ascii="Verdana" w:eastAsia="Arial" w:hAnsi="Verdana" w:cs="Arial"/>
          <w:sz w:val="20"/>
          <w:szCs w:val="20"/>
          <w:lang w:val="es-ES"/>
        </w:rPr>
        <w:lastRenderedPageBreak/>
        <w:t>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2E49B3">
        <w:rPr>
          <w:rFonts w:ascii="Verdana" w:eastAsia="Arial" w:hAnsi="Verdana" w:cs="Arial"/>
          <w:spacing w:val="49"/>
          <w:sz w:val="20"/>
          <w:szCs w:val="20"/>
          <w:lang w:val="es-ES"/>
        </w:rPr>
        <w:t xml:space="preserve"> </w:t>
      </w:r>
      <w:r w:rsidRPr="002E49B3">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175DEA04" w14:textId="77777777" w:rsidR="00E5670D" w:rsidRPr="002E49B3"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p>
    <w:p w14:paraId="08E75DFE" w14:textId="77777777" w:rsidR="00E5670D" w:rsidRPr="002E49B3"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r w:rsidRPr="002E49B3">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2E49B3">
        <w:rPr>
          <w:rFonts w:ascii="Verdana" w:eastAsia="Arial" w:hAnsi="Verdana" w:cs="Arial"/>
          <w:sz w:val="20"/>
          <w:szCs w:val="20"/>
          <w:vertAlign w:val="superscript"/>
          <w:lang w:val="es-ES"/>
        </w:rPr>
        <w:footnoteReference w:id="6"/>
      </w:r>
      <w:r w:rsidRPr="002E49B3">
        <w:rPr>
          <w:rFonts w:ascii="Verdana" w:eastAsia="Arial" w:hAnsi="Verdana" w:cs="Arial"/>
          <w:sz w:val="20"/>
          <w:szCs w:val="20"/>
          <w:lang w:val="es-ES"/>
        </w:rPr>
        <w:t>. De esta manera se pretende preservar a las universidades públicas y oficiales, de las injerencias e interferencias arbitrarias e indebidas del poder</w:t>
      </w:r>
      <w:r w:rsidRPr="002E49B3">
        <w:rPr>
          <w:rFonts w:ascii="Verdana" w:eastAsia="Arial" w:hAnsi="Verdana" w:cs="Arial"/>
          <w:spacing w:val="-6"/>
          <w:sz w:val="20"/>
          <w:szCs w:val="20"/>
          <w:lang w:val="es-ES"/>
        </w:rPr>
        <w:t xml:space="preserve"> </w:t>
      </w:r>
      <w:r w:rsidRPr="002E49B3">
        <w:rPr>
          <w:rFonts w:ascii="Verdana" w:eastAsia="Arial" w:hAnsi="Verdana" w:cs="Arial"/>
          <w:sz w:val="20"/>
          <w:szCs w:val="20"/>
          <w:lang w:val="es-ES"/>
        </w:rPr>
        <w:t>político”</w:t>
      </w:r>
      <w:r w:rsidRPr="002E49B3">
        <w:rPr>
          <w:rFonts w:ascii="Verdana" w:eastAsia="Arial" w:hAnsi="Verdana" w:cs="Arial"/>
          <w:sz w:val="20"/>
          <w:szCs w:val="20"/>
          <w:vertAlign w:val="superscript"/>
          <w:lang w:val="es-ES"/>
        </w:rPr>
        <w:footnoteReference w:id="7"/>
      </w:r>
      <w:r w:rsidRPr="002E49B3">
        <w:rPr>
          <w:rFonts w:ascii="Verdana" w:eastAsia="Arial" w:hAnsi="Verdana" w:cs="Arial"/>
          <w:sz w:val="20"/>
          <w:szCs w:val="20"/>
          <w:lang w:val="es-ES"/>
        </w:rPr>
        <w:t>.</w:t>
      </w:r>
    </w:p>
    <w:p w14:paraId="2F0D9824" w14:textId="77777777" w:rsidR="00E5670D" w:rsidRPr="002E49B3" w:rsidRDefault="00E5670D" w:rsidP="00E5670D">
      <w:pPr>
        <w:spacing w:after="0" w:line="276" w:lineRule="auto"/>
        <w:jc w:val="both"/>
        <w:rPr>
          <w:rFonts w:ascii="Verdana" w:eastAsia="Calibri" w:hAnsi="Verdana" w:cs="Arial"/>
          <w:lang w:val="es-MX" w:eastAsia="x-none"/>
        </w:rPr>
      </w:pPr>
    </w:p>
    <w:p w14:paraId="37925FC4" w14:textId="77777777" w:rsidR="00E5670D" w:rsidRPr="002E49B3" w:rsidRDefault="00E5670D" w:rsidP="00E5670D">
      <w:pPr>
        <w:spacing w:after="0" w:line="276" w:lineRule="auto"/>
        <w:ind w:firstLine="708"/>
        <w:jc w:val="both"/>
        <w:rPr>
          <w:rFonts w:ascii="Verdana" w:eastAsia="Calibri" w:hAnsi="Verdana" w:cs="Times New Roman"/>
        </w:rPr>
      </w:pPr>
      <w:r w:rsidRPr="002E49B3">
        <w:rPr>
          <w:rFonts w:ascii="Verdana" w:eastAsia="Calibri" w:hAnsi="Verdana" w:cs="Arial"/>
          <w:lang w:val="es-MX" w:eastAsia="x-none"/>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2E49B3">
        <w:rPr>
          <w:rFonts w:ascii="Verdana" w:eastAsia="Calibri" w:hAnsi="Verdana" w:cs="Times New Roman"/>
          <w:vertAlign w:val="superscript"/>
        </w:rPr>
        <w:footnoteReference w:id="8"/>
      </w:r>
      <w:r w:rsidRPr="002E49B3">
        <w:rPr>
          <w:rFonts w:ascii="Verdana" w:eastAsia="Calibri" w:hAnsi="Verdana" w:cs="Times New Roman"/>
        </w:rPr>
        <w:t>:</w:t>
      </w:r>
    </w:p>
    <w:p w14:paraId="0570AF02" w14:textId="77777777" w:rsidR="00E5670D" w:rsidRPr="002E49B3" w:rsidRDefault="00E5670D" w:rsidP="00E5670D">
      <w:pPr>
        <w:spacing w:after="0" w:line="276" w:lineRule="auto"/>
        <w:jc w:val="both"/>
        <w:rPr>
          <w:rFonts w:ascii="Verdana" w:eastAsia="Calibri" w:hAnsi="Verdana" w:cs="Times New Roman"/>
        </w:rPr>
      </w:pPr>
    </w:p>
    <w:p w14:paraId="4EF69A2C" w14:textId="77777777" w:rsidR="00E5670D" w:rsidRPr="00F37C4F"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r w:rsidRPr="00A70144">
        <w:rPr>
          <w:rFonts w:ascii="Verdana" w:eastAsia="Arial" w:hAnsi="Verdana" w:cs="Arial"/>
          <w:sz w:val="20"/>
          <w:szCs w:val="20"/>
          <w:lang w:val="es-ES"/>
        </w:rPr>
        <w:t>“</w:t>
      </w:r>
      <w:r w:rsidRPr="00F37C4F">
        <w:rPr>
          <w:rFonts w:ascii="Verdana" w:eastAsia="Arial" w:hAnsi="Verdana" w:cs="Arial"/>
          <w:sz w:val="20"/>
          <w:szCs w:val="20"/>
          <w:lang w:val="es-ES"/>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65855788" w14:textId="77777777" w:rsidR="00E5670D" w:rsidRPr="00F37C4F"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p>
    <w:p w14:paraId="477BFC89" w14:textId="77777777" w:rsidR="00E5670D" w:rsidRPr="00F37C4F"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r w:rsidRPr="00F37C4F">
        <w:rPr>
          <w:rFonts w:ascii="Verdana" w:eastAsia="Arial" w:hAnsi="Verdana" w:cs="Arial"/>
          <w:sz w:val="20"/>
          <w:szCs w:val="20"/>
          <w:lang w:val="es-ES"/>
        </w:rPr>
        <w:t>[…]</w:t>
      </w:r>
    </w:p>
    <w:p w14:paraId="7A93DE78" w14:textId="77777777" w:rsidR="00E5670D" w:rsidRPr="00F37C4F"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p>
    <w:p w14:paraId="15CAA578" w14:textId="77777777" w:rsidR="00E5670D" w:rsidRPr="00F37C4F"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r w:rsidRPr="00F37C4F">
        <w:rPr>
          <w:rFonts w:ascii="Verdana" w:eastAsia="Arial" w:hAnsi="Verdana" w:cs="Arial"/>
          <w:sz w:val="20"/>
          <w:szCs w:val="20"/>
          <w:lang w:val="es-ES"/>
        </w:rPr>
        <w:t xml:space="preserve">La situación se modificó con el actual marco constitucional en donde se estableció [art. 69] la garantía a la autonomía universitaria, para que </w:t>
      </w:r>
      <w:r w:rsidRPr="00F37C4F">
        <w:rPr>
          <w:rFonts w:ascii="Verdana" w:eastAsia="Arial" w:hAnsi="Verdana" w:cs="Arial"/>
          <w:sz w:val="20"/>
          <w:szCs w:val="20"/>
          <w:lang w:val="es-ES"/>
        </w:rPr>
        <w:lastRenderedPageBreak/>
        <w:t>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1A3ABA72" w14:textId="77777777" w:rsidR="00E5670D" w:rsidRPr="00F37C4F"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r w:rsidRPr="00F37C4F">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F37C4F">
        <w:rPr>
          <w:rFonts w:ascii="Verdana" w:eastAsia="Arial" w:hAnsi="Verdana" w:cs="Arial"/>
          <w:sz w:val="20"/>
          <w:szCs w:val="20"/>
          <w:vertAlign w:val="superscript"/>
          <w:lang w:val="es-ES"/>
        </w:rPr>
        <w:footnoteReference w:id="9"/>
      </w:r>
      <w:r w:rsidRPr="00F37C4F">
        <w:rPr>
          <w:rFonts w:ascii="Verdana" w:eastAsia="Arial" w:hAnsi="Verdana" w:cs="Arial"/>
          <w:sz w:val="20"/>
          <w:szCs w:val="20"/>
          <w:lang w:val="es-ES"/>
        </w:rPr>
        <w:t>.</w:t>
      </w:r>
    </w:p>
    <w:p w14:paraId="5A0F76B0" w14:textId="77777777" w:rsidR="00E5670D" w:rsidRPr="00F37C4F" w:rsidRDefault="00E5670D" w:rsidP="00E5670D">
      <w:pPr>
        <w:spacing w:after="0" w:line="276" w:lineRule="auto"/>
        <w:jc w:val="both"/>
        <w:rPr>
          <w:rFonts w:ascii="Verdana" w:eastAsia="Calibri" w:hAnsi="Verdana" w:cs="Times New Roman"/>
        </w:rPr>
      </w:pPr>
    </w:p>
    <w:p w14:paraId="1E491E86" w14:textId="77777777" w:rsidR="00E5670D" w:rsidRPr="00F37C4F" w:rsidRDefault="00E5670D" w:rsidP="00E5670D">
      <w:pPr>
        <w:spacing w:after="0" w:line="276" w:lineRule="auto"/>
        <w:ind w:firstLine="708"/>
        <w:jc w:val="both"/>
        <w:rPr>
          <w:rFonts w:ascii="Verdana" w:eastAsia="Calibri" w:hAnsi="Verdana" w:cs="Arial"/>
          <w:lang w:val="es-MX" w:eastAsia="x-none"/>
        </w:rPr>
      </w:pPr>
      <w:r w:rsidRPr="00F37C4F">
        <w:rPr>
          <w:rFonts w:ascii="Verdana" w:eastAsia="Calibri" w:hAnsi="Verdana" w:cs="Times New Roman"/>
        </w:rPr>
        <w:t>De este modo,</w:t>
      </w:r>
      <w:r w:rsidRPr="00F37C4F">
        <w:rPr>
          <w:rFonts w:ascii="Verdana" w:eastAsia="Calibri" w:hAnsi="Verdana" w:cs="Arial"/>
          <w:lang w:val="es-MX" w:eastAsia="x-none"/>
        </w:rPr>
        <w:t xml:space="preserve">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7624B353" w14:textId="77777777" w:rsidR="00E5670D" w:rsidRPr="00F37C4F" w:rsidRDefault="00E5670D" w:rsidP="00E5670D">
      <w:pPr>
        <w:spacing w:after="0" w:line="276" w:lineRule="auto"/>
        <w:jc w:val="both"/>
        <w:rPr>
          <w:rFonts w:ascii="Verdana" w:eastAsia="Calibri" w:hAnsi="Verdana" w:cs="Arial"/>
          <w:lang w:val="es-MX" w:eastAsia="x-none"/>
        </w:rPr>
      </w:pPr>
    </w:p>
    <w:p w14:paraId="79005D47" w14:textId="77777777" w:rsidR="00E5670D" w:rsidRPr="002E49B3" w:rsidRDefault="00E5670D" w:rsidP="00E5670D">
      <w:pPr>
        <w:widowControl w:val="0"/>
        <w:autoSpaceDE w:val="0"/>
        <w:autoSpaceDN w:val="0"/>
        <w:spacing w:after="0" w:line="240" w:lineRule="auto"/>
        <w:ind w:left="709" w:right="709"/>
        <w:jc w:val="both"/>
        <w:rPr>
          <w:rFonts w:ascii="Verdana" w:eastAsia="Arial" w:hAnsi="Verdana" w:cs="Arial"/>
          <w:sz w:val="20"/>
          <w:szCs w:val="20"/>
          <w:lang w:val="es-ES"/>
        </w:rPr>
      </w:pPr>
      <w:r w:rsidRPr="002E49B3">
        <w:rPr>
          <w:rFonts w:ascii="Verdana" w:eastAsia="Arial" w:hAnsi="Verdana" w:cs="Arial"/>
          <w:sz w:val="20"/>
          <w:szCs w:val="20"/>
          <w:lang w:val="es-ES"/>
        </w:rPr>
        <w:t>“La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2E49B3">
        <w:rPr>
          <w:rFonts w:ascii="Verdana" w:eastAsia="Arial" w:hAnsi="Verdana" w:cs="Arial"/>
          <w:spacing w:val="-4"/>
          <w:sz w:val="20"/>
          <w:szCs w:val="20"/>
          <w:lang w:val="es-ES"/>
        </w:rPr>
        <w:t xml:space="preserve"> </w:t>
      </w:r>
      <w:r w:rsidRPr="002E49B3">
        <w:rPr>
          <w:rFonts w:ascii="Verdana" w:eastAsia="Arial" w:hAnsi="Verdana" w:cs="Arial"/>
          <w:sz w:val="20"/>
          <w:szCs w:val="20"/>
          <w:lang w:val="es-ES"/>
        </w:rPr>
        <w:t>1968”.</w:t>
      </w:r>
    </w:p>
    <w:p w14:paraId="1E075CD0" w14:textId="77777777" w:rsidR="00E5670D" w:rsidRPr="002E49B3" w:rsidRDefault="00E5670D" w:rsidP="00E5670D">
      <w:pPr>
        <w:spacing w:after="0" w:line="276" w:lineRule="auto"/>
        <w:jc w:val="both"/>
        <w:rPr>
          <w:rFonts w:ascii="Verdana" w:eastAsia="Calibri" w:hAnsi="Verdana" w:cs="Arial"/>
          <w:lang w:val="es-MX" w:eastAsia="x-none"/>
        </w:rPr>
      </w:pPr>
    </w:p>
    <w:p w14:paraId="1B806052" w14:textId="77777777" w:rsidR="00E5670D" w:rsidRPr="002E49B3" w:rsidRDefault="00E5670D" w:rsidP="00E5670D">
      <w:pPr>
        <w:spacing w:after="0" w:line="276" w:lineRule="auto"/>
        <w:ind w:firstLine="708"/>
        <w:jc w:val="both"/>
        <w:rPr>
          <w:rFonts w:ascii="Verdana" w:eastAsia="Calibri" w:hAnsi="Verdana" w:cs="Arial"/>
          <w:lang w:val="es-MX" w:eastAsia="x-none"/>
        </w:rPr>
      </w:pPr>
      <w:r w:rsidRPr="002E49B3">
        <w:rPr>
          <w:rFonts w:ascii="Verdana" w:eastAsia="Calibri" w:hAnsi="Verdana" w:cs="Arial"/>
          <w:lang w:val="es-MX" w:eastAsia="x-none"/>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w:t>
      </w:r>
      <w:r w:rsidRPr="002E49B3">
        <w:rPr>
          <w:rFonts w:ascii="Verdana" w:eastAsia="Calibri" w:hAnsi="Verdana" w:cs="Arial"/>
          <w:i/>
          <w:iCs/>
          <w:lang w:val="es-MX" w:eastAsia="x-none"/>
        </w:rPr>
        <w:t>condicionadamente</w:t>
      </w:r>
      <w:r w:rsidRPr="002E49B3">
        <w:rPr>
          <w:rFonts w:ascii="Verdana" w:eastAsia="Calibri" w:hAnsi="Verdana" w:cs="Arial"/>
          <w:lang w:val="es-MX" w:eastAsia="x-none"/>
        </w:rPr>
        <w:t xml:space="preserve">, que será el derecho privado, rigiéndose, por ende, por las normas civiles y comerciales, así: </w:t>
      </w:r>
    </w:p>
    <w:p w14:paraId="26FBEB94" w14:textId="77777777" w:rsidR="00E5670D" w:rsidRPr="002E49B3" w:rsidRDefault="00E5670D" w:rsidP="00E5670D">
      <w:pPr>
        <w:spacing w:after="0" w:line="276" w:lineRule="auto"/>
        <w:jc w:val="both"/>
        <w:rPr>
          <w:rFonts w:ascii="Verdana" w:eastAsia="Calibri" w:hAnsi="Verdana" w:cs="Arial"/>
          <w:lang w:val="es-MX" w:eastAsia="x-none"/>
        </w:rPr>
      </w:pPr>
    </w:p>
    <w:p w14:paraId="298952AD" w14:textId="77777777" w:rsidR="00E5670D" w:rsidRPr="002E49B3" w:rsidRDefault="00E5670D" w:rsidP="00E5670D">
      <w:pPr>
        <w:spacing w:after="0" w:line="240" w:lineRule="auto"/>
        <w:ind w:left="709" w:right="709"/>
        <w:jc w:val="both"/>
        <w:rPr>
          <w:rFonts w:ascii="Verdana" w:eastAsia="Calibri" w:hAnsi="Verdana" w:cs="Arial"/>
          <w:sz w:val="20"/>
          <w:szCs w:val="20"/>
          <w:lang w:val="es-MX" w:eastAsia="x-none"/>
        </w:rPr>
      </w:pPr>
      <w:r w:rsidRPr="002E49B3">
        <w:rPr>
          <w:rFonts w:ascii="Verdana" w:eastAsia="Calibri" w:hAnsi="Verdana" w:cs="Arial"/>
          <w:sz w:val="20"/>
          <w:szCs w:val="20"/>
          <w:lang w:val="es-MX" w:eastAsia="x-none"/>
        </w:rPr>
        <w:lastRenderedPageBreak/>
        <w:t xml:space="preserve">“Artículo 93. Salvo las excepciones consagradas en la presente ley, </w:t>
      </w:r>
      <w:r w:rsidRPr="002E49B3">
        <w:rPr>
          <w:rFonts w:ascii="Verdana" w:eastAsia="Calibri" w:hAnsi="Verdana" w:cs="Arial"/>
          <w:b/>
          <w:i/>
          <w:sz w:val="20"/>
          <w:szCs w:val="20"/>
          <w:lang w:val="es-MX" w:eastAsia="x-none"/>
        </w:rPr>
        <w:t xml:space="preserve">los contratos que para el cumplimiento de sus funciones celebren las universidades estatales u oficiales, </w:t>
      </w:r>
      <w:r w:rsidRPr="002E49B3">
        <w:rPr>
          <w:rFonts w:ascii="Verdana" w:eastAsia="Calibri" w:hAnsi="Verdana" w:cs="Arial"/>
          <w:b/>
          <w:i/>
          <w:iCs/>
          <w:sz w:val="20"/>
          <w:szCs w:val="20"/>
          <w:lang w:val="es-MX" w:eastAsia="x-none"/>
        </w:rPr>
        <w:t>se regirán por las normas del derecho privado y sus efectos estarán sujetos a las normas civiles y comerciales</w:t>
      </w:r>
      <w:r w:rsidRPr="002E49B3">
        <w:rPr>
          <w:rFonts w:ascii="Verdana" w:eastAsia="Calibri" w:hAnsi="Verdana" w:cs="Arial"/>
          <w:b/>
          <w:i/>
          <w:sz w:val="20"/>
          <w:szCs w:val="20"/>
          <w:lang w:val="es-MX" w:eastAsia="x-none"/>
        </w:rPr>
        <w:t>,</w:t>
      </w:r>
      <w:r w:rsidRPr="002E49B3">
        <w:rPr>
          <w:rFonts w:ascii="Verdana" w:eastAsia="Calibri" w:hAnsi="Verdana" w:cs="Arial"/>
          <w:sz w:val="20"/>
          <w:szCs w:val="20"/>
          <w:lang w:val="es-MX" w:eastAsia="x-none"/>
        </w:rPr>
        <w:t xml:space="preserve"> según la naturaleza de los contratos. </w:t>
      </w:r>
    </w:p>
    <w:p w14:paraId="14357C62" w14:textId="77777777" w:rsidR="00E5670D" w:rsidRPr="002E49B3" w:rsidRDefault="00E5670D" w:rsidP="00E5670D">
      <w:pPr>
        <w:spacing w:after="0" w:line="240" w:lineRule="auto"/>
        <w:ind w:left="709" w:right="709"/>
        <w:jc w:val="both"/>
        <w:rPr>
          <w:rFonts w:ascii="Verdana" w:eastAsia="Calibri" w:hAnsi="Verdana" w:cs="Arial"/>
          <w:sz w:val="20"/>
          <w:szCs w:val="20"/>
          <w:lang w:val="es-MX" w:eastAsia="x-none"/>
        </w:rPr>
      </w:pPr>
      <w:r w:rsidRPr="002E49B3">
        <w:rPr>
          <w:rFonts w:ascii="Verdana" w:eastAsia="Calibri" w:hAnsi="Verdana" w:cs="Arial"/>
          <w:sz w:val="20"/>
          <w:szCs w:val="20"/>
          <w:lang w:val="es-MX" w:eastAsia="x-none"/>
        </w:rPr>
        <w:t>Parágrafo. Se exceptúan de lo anterior los contratos de empréstito, los cuales se someterán a las reglas previstas para ellos por el Decreto 222 de 1983 y demás disposiciones que lo modifiquen, complementen o sustituyan”. [Énfasis fuera de texto]</w:t>
      </w:r>
    </w:p>
    <w:p w14:paraId="62F184A8" w14:textId="77777777" w:rsidR="00E5670D" w:rsidRPr="002E49B3" w:rsidRDefault="00E5670D" w:rsidP="00E5670D">
      <w:pPr>
        <w:spacing w:after="0" w:line="276" w:lineRule="auto"/>
        <w:ind w:right="709"/>
        <w:jc w:val="both"/>
        <w:rPr>
          <w:rFonts w:ascii="Verdana" w:eastAsia="Calibri" w:hAnsi="Verdana" w:cs="Arial"/>
          <w:sz w:val="21"/>
          <w:szCs w:val="21"/>
          <w:lang w:val="es-MX" w:eastAsia="x-none"/>
        </w:rPr>
      </w:pPr>
    </w:p>
    <w:p w14:paraId="667AFEB1" w14:textId="77777777" w:rsidR="00E5670D" w:rsidRPr="002E49B3" w:rsidRDefault="00E5670D" w:rsidP="00E5670D">
      <w:pPr>
        <w:spacing w:after="0" w:line="276" w:lineRule="auto"/>
        <w:ind w:firstLine="708"/>
        <w:jc w:val="both"/>
        <w:rPr>
          <w:rFonts w:ascii="Verdana" w:eastAsia="Calibri" w:hAnsi="Verdana" w:cs="Arial"/>
          <w:lang w:val="es-MX" w:eastAsia="x-none"/>
        </w:rPr>
      </w:pPr>
      <w:r>
        <w:rPr>
          <w:rFonts w:ascii="Verdana" w:eastAsia="Calibri" w:hAnsi="Verdana" w:cs="Arial"/>
          <w:lang w:val="es-MX" w:eastAsia="x-none"/>
        </w:rPr>
        <w:t>De lo anterior, podría inferirse</w:t>
      </w:r>
      <w:r w:rsidRPr="002E49B3">
        <w:rPr>
          <w:rFonts w:ascii="Verdana" w:eastAsia="Calibri" w:hAnsi="Verdana" w:cs="Arial"/>
          <w:lang w:val="es-MX" w:eastAsia="x-none"/>
        </w:rPr>
        <w:t xml:space="preserv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w:t>
      </w:r>
      <w:r>
        <w:rPr>
          <w:rFonts w:ascii="Verdana" w:eastAsia="Calibri" w:hAnsi="Verdana" w:cs="Arial"/>
          <w:lang w:val="es-MX" w:eastAsia="x-none"/>
        </w:rPr>
        <w:t>EGCAP</w:t>
      </w:r>
      <w:r w:rsidRPr="002E49B3">
        <w:rPr>
          <w:rFonts w:ascii="Verdana" w:eastAsia="Calibri" w:hAnsi="Verdana" w:cs="Arial"/>
          <w:lang w:val="es-MX" w:eastAsia="x-none"/>
        </w:rPr>
        <w:t xml:space="preserve"> –Ley 80 de 1993, Ley 1150 de 2007, Decreto 1082 de 2015 y demás normas que lo modifiquen o complementen–, estarán sujetas, sin que ello afecte su economía, a las reglas y restricciones que dicho estatuto contenga para ese tipo de situaciones</w:t>
      </w:r>
      <w:r w:rsidRPr="002E49B3">
        <w:rPr>
          <w:rFonts w:ascii="Verdana" w:eastAsia="Calibri" w:hAnsi="Verdana" w:cs="Arial"/>
          <w:vertAlign w:val="superscript"/>
          <w:lang w:val="es-MX" w:eastAsia="x-none"/>
        </w:rPr>
        <w:footnoteReference w:id="10"/>
      </w:r>
      <w:r w:rsidRPr="002E49B3">
        <w:rPr>
          <w:rFonts w:ascii="Verdana" w:eastAsia="Calibri" w:hAnsi="Verdana" w:cs="Arial"/>
          <w:lang w:val="es-MX" w:eastAsia="x-none"/>
        </w:rPr>
        <w:t>.</w:t>
      </w:r>
      <w:r>
        <w:rPr>
          <w:rFonts w:ascii="Verdana" w:eastAsia="Calibri" w:hAnsi="Verdana" w:cs="Arial"/>
          <w:lang w:val="es-MX" w:eastAsia="x-none"/>
        </w:rPr>
        <w:t xml:space="preserve"> Ahora bien, con el fin de dar respuesta al problema </w:t>
      </w:r>
      <w:proofErr w:type="spellStart"/>
      <w:r>
        <w:rPr>
          <w:rFonts w:ascii="Verdana" w:eastAsia="Calibri" w:hAnsi="Verdana" w:cs="Arial"/>
          <w:lang w:val="es-MX" w:eastAsia="x-none"/>
        </w:rPr>
        <w:t>juridico</w:t>
      </w:r>
      <w:proofErr w:type="spellEnd"/>
      <w:r>
        <w:rPr>
          <w:rFonts w:ascii="Verdana" w:eastAsia="Calibri" w:hAnsi="Verdana" w:cs="Arial"/>
          <w:lang w:val="es-MX" w:eastAsia="x-none"/>
        </w:rPr>
        <w:t xml:space="preserve"> planteado, será necesario revisar si los entes universitarios autónomos les aplica algunas reglas del Sistema de Compras Públicas, en especial, lo dispuesto en la Ley 2046 de 2020, </w:t>
      </w:r>
      <w:r w:rsidRPr="003315B4">
        <w:rPr>
          <w:rFonts w:ascii="Verdana" w:eastAsia="Calibri" w:hAnsi="Verdana" w:cs="Arial"/>
          <w:lang w:val="es-MX" w:eastAsia="x-none"/>
        </w:rPr>
        <w:t>“</w:t>
      </w:r>
      <w:r w:rsidRPr="003315B4">
        <w:rPr>
          <w:rFonts w:ascii="Verdana" w:eastAsia="Calibri" w:hAnsi="Verdana" w:cs="Arial"/>
          <w:bCs/>
          <w:lang w:eastAsia="x-none"/>
        </w:rPr>
        <w:t>por la cual se establecen mecanismos para promover la participación de pequeños productores locales agropecuarios y de la agricultura campesina, familiar y comunitaria en los mercados de compras públicas de alimentos”.</w:t>
      </w:r>
    </w:p>
    <w:p w14:paraId="1789A817" w14:textId="77777777" w:rsidR="00E5670D" w:rsidRPr="002E49B3" w:rsidRDefault="00E5670D" w:rsidP="00E5670D">
      <w:pPr>
        <w:spacing w:after="0" w:line="276" w:lineRule="auto"/>
        <w:jc w:val="both"/>
        <w:rPr>
          <w:rFonts w:ascii="Verdana" w:eastAsia="Calibri" w:hAnsi="Verdana" w:cs="Arial"/>
          <w:lang w:val="es-MX" w:eastAsia="es-MX"/>
        </w:rPr>
      </w:pPr>
    </w:p>
    <w:p w14:paraId="17024164" w14:textId="77777777" w:rsidR="00E5670D" w:rsidRPr="008C3D38" w:rsidRDefault="00E5670D" w:rsidP="00E5670D">
      <w:pPr>
        <w:spacing w:after="120" w:line="276" w:lineRule="auto"/>
        <w:jc w:val="both"/>
        <w:rPr>
          <w:rFonts w:ascii="Verdana" w:eastAsia="Century Gothic" w:hAnsi="Verdana" w:cs="Century Gothic"/>
        </w:rPr>
      </w:pPr>
      <w:proofErr w:type="spellStart"/>
      <w:r>
        <w:rPr>
          <w:rFonts w:ascii="Verdana" w:eastAsia="Calibri" w:hAnsi="Verdana" w:cs="Arial"/>
          <w:lang w:val="es-MX" w:eastAsia="es-MX"/>
        </w:rPr>
        <w:t>ii</w:t>
      </w:r>
      <w:proofErr w:type="spellEnd"/>
      <w:r>
        <w:rPr>
          <w:rFonts w:ascii="Verdana" w:eastAsia="Calibri" w:hAnsi="Verdana" w:cs="Arial"/>
          <w:lang w:val="es-MX" w:eastAsia="es-MX"/>
        </w:rPr>
        <w:t xml:space="preserve">. </w:t>
      </w:r>
      <w:r w:rsidRPr="008C3D38">
        <w:rPr>
          <w:rFonts w:ascii="Verdana" w:eastAsia="Times New Roman" w:hAnsi="Verdana" w:cs="Arial"/>
          <w:lang w:eastAsia="es-CO"/>
        </w:rPr>
        <w:t xml:space="preserve">La contratación pública o sistema de compra pública se concibe como un mercado compuesto por la oferta de particulares, preferentemente, y la demanda de las Entidades Públicas de bienes y servicios. Particularmente, la compra pública de alimentos, a la cual se refiere en su consulta, además de lo dispuesto en el </w:t>
      </w:r>
      <w:proofErr w:type="gramStart"/>
      <w:r>
        <w:rPr>
          <w:rFonts w:ascii="Verdana" w:eastAsia="Times New Roman" w:hAnsi="Verdana" w:cs="Arial"/>
          <w:lang w:eastAsia="es-CO"/>
        </w:rPr>
        <w:t>EGCAP ,</w:t>
      </w:r>
      <w:proofErr w:type="gramEnd"/>
      <w:r>
        <w:rPr>
          <w:rFonts w:ascii="Verdana" w:eastAsia="Times New Roman" w:hAnsi="Verdana" w:cs="Arial"/>
          <w:lang w:eastAsia="es-CO"/>
        </w:rPr>
        <w:t xml:space="preserve"> está </w:t>
      </w:r>
      <w:r w:rsidRPr="008C3D38">
        <w:rPr>
          <w:rFonts w:ascii="Verdana" w:eastAsia="Times New Roman" w:hAnsi="Verdana" w:cs="Arial"/>
          <w:lang w:eastAsia="es-CO"/>
        </w:rPr>
        <w:t xml:space="preserve">regulada en </w:t>
      </w:r>
      <w:r w:rsidRPr="008C3D38">
        <w:rPr>
          <w:rFonts w:ascii="Verdana" w:eastAsia="Century Gothic" w:hAnsi="Verdana" w:cs="Century Gothic"/>
        </w:rPr>
        <w:t xml:space="preserve">la Ley 1955 de 2019, la Ley 2046 de 2020 y el Decreto 248 de 2021, que modifica el Decreto 1071 de 2015. En ese contexto resulta importante referirse al </w:t>
      </w:r>
      <w:r w:rsidRPr="008C3D38">
        <w:rPr>
          <w:rFonts w:ascii="Verdana" w:eastAsia="Century Gothic" w:hAnsi="Verdana" w:cs="Century Gothic"/>
          <w:lang w:val="es-ES"/>
        </w:rPr>
        <w:t>c</w:t>
      </w:r>
      <w:proofErr w:type="spellStart"/>
      <w:r w:rsidRPr="008C3D38">
        <w:rPr>
          <w:rFonts w:ascii="Verdana" w:eastAsia="Century Gothic" w:hAnsi="Verdana" w:cs="Century Gothic"/>
        </w:rPr>
        <w:t>ontexto</w:t>
      </w:r>
      <w:proofErr w:type="spellEnd"/>
      <w:r w:rsidRPr="008C3D38">
        <w:rPr>
          <w:rFonts w:ascii="Verdana" w:eastAsia="Century Gothic" w:hAnsi="Verdana" w:cs="Century Gothic"/>
        </w:rPr>
        <w:t xml:space="preserve"> y finalidad de los incentivos y estímulos regulados el artículo 229 de la Ley 1955 de 2019 y en la Ley 2046 de 2020. </w:t>
      </w:r>
    </w:p>
    <w:p w14:paraId="4C93544C" w14:textId="77777777" w:rsidR="00E5670D" w:rsidRPr="008C3D38" w:rsidRDefault="00E5670D" w:rsidP="00E5670D">
      <w:pPr>
        <w:spacing w:after="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lastRenderedPageBreak/>
        <w:t xml:space="preserve">Así, en el mercado de la compra pública se crean incentivos para fomentar el desarrollo de determinado tipo de proveedores, como ocurre con los incentivos a las </w:t>
      </w:r>
      <w:proofErr w:type="spellStart"/>
      <w:r w:rsidRPr="008C3D38">
        <w:rPr>
          <w:rFonts w:ascii="Verdana" w:eastAsia="Times New Roman" w:hAnsi="Verdana" w:cs="Arial"/>
          <w:lang w:eastAsia="es-CO"/>
        </w:rPr>
        <w:t>Mipymes</w:t>
      </w:r>
      <w:proofErr w:type="spellEnd"/>
      <w:r w:rsidRPr="008C3D38">
        <w:rPr>
          <w:rFonts w:ascii="Verdana" w:eastAsia="Times New Roman" w:hAnsi="Verdana" w:cs="Arial"/>
          <w:lang w:eastAsia="es-CO"/>
        </w:rPr>
        <w:t xml:space="preserve">, a los emprendimientos y empresas de mujeres, entre otros. En esa orientación, el artículo 229 de la Ley 1955 de 2019, “Por el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 En lo pertinente, la norma dispone que: </w:t>
      </w:r>
    </w:p>
    <w:p w14:paraId="4B15BF93" w14:textId="77777777" w:rsidR="00E5670D" w:rsidRPr="008C3D38" w:rsidRDefault="00E5670D" w:rsidP="00E5670D">
      <w:pPr>
        <w:spacing w:after="0" w:line="276" w:lineRule="auto"/>
        <w:jc w:val="both"/>
        <w:rPr>
          <w:rFonts w:ascii="Verdana" w:eastAsia="Times New Roman" w:hAnsi="Verdana" w:cs="Arial"/>
          <w:lang w:eastAsia="es-CO"/>
        </w:rPr>
      </w:pPr>
    </w:p>
    <w:p w14:paraId="1C634DAF"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8C3D38">
        <w:rPr>
          <w:rFonts w:ascii="Verdana" w:eastAsia="Times New Roman" w:hAnsi="Verdana" w:cs="Arial"/>
          <w:sz w:val="20"/>
          <w:szCs w:val="20"/>
          <w:lang w:eastAsia="es-CO"/>
        </w:rPr>
        <w:t>Las entidades públicas descentralizadas del orden nacional y las entidades territoriales cada vez que requieran productos de origen agropecuario para atender la demanda de los programas institucionales de servicios de alimentación deberán establecer en sus pliegos de condiciones puntajes adicionales y estrategias de ponderación que mejoren las calificaciones de los proponentes cuando presenten contratos de proveeduría suscritos con productores nacionales. El Gobierno nacional en un plazo máximo de no más de tres (3) meses establecerá el esquema de puntajes adicionales, previo análisis de la Agencia de Contratación Colombia Compra Eficiente.</w:t>
      </w:r>
    </w:p>
    <w:p w14:paraId="28A7FFE7"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
    <w:p w14:paraId="501105C7"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Sin perjuicio de lo anterior, las entidades públicas contratantes deberán adquirir hasta el cuarenta por ciento (40%) de alimentos procesados o sin procesar, en donde los insumos y los productos hayan sido adquiridos de productores agropecuarios locales.</w:t>
      </w:r>
    </w:p>
    <w:p w14:paraId="38177A5C"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
    <w:p w14:paraId="77BDF7CE"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Adicionalmente, podrá establecerse un diez por ciento (10%) de puntaje adicional, a los proveedores que realicen el suministro que se pretenda contratar vinculando pequeños productores.</w:t>
      </w:r>
    </w:p>
    <w:p w14:paraId="4DD8989D"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w:t>
      </w:r>
      <w:r>
        <w:rPr>
          <w:rFonts w:ascii="Verdana" w:eastAsia="Times New Roman" w:hAnsi="Verdana" w:cs="Arial"/>
          <w:sz w:val="20"/>
          <w:szCs w:val="20"/>
          <w:lang w:eastAsia="es-CO"/>
        </w:rPr>
        <w:t>”</w:t>
      </w:r>
      <w:r w:rsidRPr="008C3D38">
        <w:rPr>
          <w:rFonts w:ascii="Verdana" w:eastAsia="Times New Roman" w:hAnsi="Verdana" w:cs="Arial"/>
          <w:sz w:val="20"/>
          <w:szCs w:val="20"/>
          <w:lang w:eastAsia="es-CO"/>
        </w:rPr>
        <w:t xml:space="preserve"> </w:t>
      </w:r>
    </w:p>
    <w:p w14:paraId="0963A5C4" w14:textId="77777777" w:rsidR="00E5670D" w:rsidRPr="008C3D38" w:rsidRDefault="00E5670D" w:rsidP="00E5670D">
      <w:pPr>
        <w:spacing w:after="0" w:line="276" w:lineRule="auto"/>
        <w:jc w:val="both"/>
        <w:rPr>
          <w:rFonts w:ascii="Verdana" w:eastAsia="Times New Roman" w:hAnsi="Verdana" w:cs="Arial"/>
          <w:lang w:eastAsia="es-CO"/>
        </w:rPr>
      </w:pPr>
    </w:p>
    <w:p w14:paraId="4EDB04CD"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Posteriormente, también se expidió la Ley 2046 del 6 de agosto de 2020, “Por la cual se establecen mecanismos para promover la participación de pequeños productores locales agropecuarios y de la agricultura campesina, familiar y comunitaria en los mercados de compras públicas de alimentos”. De acuerdo con el artículo 14, “La presente Ley rige a partir de la fecha de publicación y deroga todas las disposiciones que le sean contrarias”, lo que significa que es obligatoria para sus destinatarios desde esa fecha. Esto, sin </w:t>
      </w:r>
      <w:r w:rsidRPr="008C3D38">
        <w:rPr>
          <w:rFonts w:ascii="Verdana" w:eastAsia="Times New Roman" w:hAnsi="Verdana" w:cs="Arial"/>
          <w:lang w:eastAsia="es-CO"/>
        </w:rPr>
        <w:lastRenderedPageBreak/>
        <w:t>perjuicio de la posibilidad de que el Gobierno Nacional, en ejercicio de la potestad prevista en el artículo 189.11 de la Constitución Política, expida el decreto correspondiente que permita la cumplida ejecución de esta ley.</w:t>
      </w:r>
    </w:p>
    <w:p w14:paraId="435419F1"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La exposición de motivos de la citada Ley explicó, entre otras cosas, lo siguiente: “[…] los parámetros del Estatuto de Contratación, no incluyen, como regla general, la posibilidad de participación de las organizaciones campesinas, indígenas, afros y raizales productoras de alimentos, pues las exigencias técnicas, logísticas y financieras para poder responder a las condiciones contractuales y operativas definidas por las entidades públicas, solo pueden ser satisfechas por empresas intermediarias que llevan bastante tiempo n el mercado”. </w:t>
      </w:r>
    </w:p>
    <w:p w14:paraId="0C741ADB"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Por lo demás, también agrega que “[…] el Juez constitucional ha brindado algunas soluciones de carácter jurisprudencial, que pregonan la evidente necesidad de incluir en los pliegos de condiciones de los distintos procesos de selección, las medidas o acciones afirmativas, que son mandatos con carácter imperativo, tendientes a reequilibrar a aquellas personas, poblaciones o grupos discriminados, que por razones políticas, económicas, culturales o sociales no han tenido las mismas oportunidades que otros sectores de la población”. De este modo, la Ley 2046 de 2020 pretende la creación de incentivos que beneficien a la agricultura en el territorio nacional. </w:t>
      </w:r>
    </w:p>
    <w:p w14:paraId="5D36F10A"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 En este contexto, de acuerdo con el artículo 1, el objeto de la ley “[…] consiste en establecer condiciones e instrumentos de abastecimiento alimentario para que todos los programas públicos de suministro y distribución de alimentos promuevan la participación de pequeños productores locales y productores locales agropecuarios cuyos sistemas productivos pertenezcan a la Agricultura Campesina, Familiar y Comunitaria, o de sus organizaciones legalmente constituidas”.</w:t>
      </w:r>
    </w:p>
    <w:p w14:paraId="1FC9F04A"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En cuanto al campo de aplicación,</w:t>
      </w:r>
      <w:r>
        <w:rPr>
          <w:rFonts w:ascii="Verdana" w:eastAsia="Times New Roman" w:hAnsi="Verdana" w:cs="Arial"/>
          <w:lang w:eastAsia="es-CO"/>
        </w:rPr>
        <w:t xml:space="preserve"> asunto al cual se refiere en su consulta,</w:t>
      </w:r>
      <w:r w:rsidRPr="008C3D38">
        <w:rPr>
          <w:rFonts w:ascii="Verdana" w:eastAsia="Times New Roman" w:hAnsi="Verdana" w:cs="Arial"/>
          <w:lang w:eastAsia="es-CO"/>
        </w:rPr>
        <w:t xml:space="preserve"> el artículo 3 </w:t>
      </w:r>
      <w:proofErr w:type="spellStart"/>
      <w:r w:rsidRPr="008C3D38">
        <w:rPr>
          <w:rFonts w:ascii="Verdana" w:eastAsia="Times New Roman" w:hAnsi="Verdana" w:cs="Arial"/>
          <w:lang w:eastAsia="es-CO"/>
        </w:rPr>
        <w:t>ibídem</w:t>
      </w:r>
      <w:proofErr w:type="spellEnd"/>
      <w:r w:rsidRPr="008C3D38">
        <w:rPr>
          <w:rFonts w:ascii="Verdana" w:eastAsia="Times New Roman" w:hAnsi="Verdana" w:cs="Arial"/>
          <w:lang w:eastAsia="es-CO"/>
        </w:rPr>
        <w:t xml:space="preserve"> prescribe lo siguiente: “Las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w:t>
      </w:r>
      <w:r w:rsidRPr="008C3D38">
        <w:rPr>
          <w:rFonts w:ascii="Verdana" w:eastAsia="Times New Roman" w:hAnsi="Verdana" w:cs="Arial"/>
          <w:lang w:eastAsia="es-CO"/>
        </w:rPr>
        <w:lastRenderedPageBreak/>
        <w:t xml:space="preserve">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 </w:t>
      </w:r>
    </w:p>
    <w:p w14:paraId="211410B0" w14:textId="77777777" w:rsidR="00E5670D" w:rsidRPr="008C3D38" w:rsidRDefault="00E5670D" w:rsidP="00E5670D">
      <w:pPr>
        <w:spacing w:after="120" w:line="276" w:lineRule="auto"/>
        <w:ind w:firstLine="708"/>
        <w:jc w:val="both"/>
        <w:rPr>
          <w:rFonts w:ascii="Verdana" w:hAnsi="Verdana" w:cs="Arial"/>
        </w:rPr>
      </w:pPr>
      <w:r w:rsidRPr="008C3D38">
        <w:rPr>
          <w:rFonts w:ascii="Verdana" w:eastAsia="Times New Roman" w:hAnsi="Verdana" w:cs="Arial"/>
          <w:lang w:eastAsia="es-CO"/>
        </w:rPr>
        <w:t xml:space="preserve">En efecto, este ámbito de aplicación no se limita a las entidades sujetas al </w:t>
      </w:r>
      <w:r>
        <w:rPr>
          <w:rFonts w:ascii="Verdana" w:eastAsia="Times New Roman" w:hAnsi="Verdana" w:cs="Arial"/>
          <w:lang w:eastAsia="es-CO"/>
        </w:rPr>
        <w:t>EGCAP</w:t>
      </w:r>
      <w:r w:rsidRPr="008C3D38">
        <w:rPr>
          <w:rFonts w:ascii="Verdana" w:eastAsia="Times New Roman" w:hAnsi="Verdana" w:cs="Arial"/>
          <w:lang w:eastAsia="es-CO"/>
        </w:rPr>
        <w:t>, sino que se extiende a otro tipo de Entidades Públicas de los distintos órdenes, las sociedades de economía mixta, entidades privadas que administren recursos públicos, así como los demás sujetos mencionados en la norma</w:t>
      </w:r>
      <w:r w:rsidRPr="008C3D38">
        <w:rPr>
          <w:rFonts w:ascii="Verdana" w:hAnsi="Verdana" w:cs="Arial"/>
        </w:rPr>
        <w:t>. Esta redacción evidencia la intención del legislador de otorgar un alcance general y comprensivo a las obligaciones allí contenidas, evitando limitar su aplicación a una categoría específica de entidades.</w:t>
      </w:r>
    </w:p>
    <w:p w14:paraId="19D1068F" w14:textId="77777777" w:rsidR="00E5670D" w:rsidRDefault="00E5670D" w:rsidP="00E5670D">
      <w:pPr>
        <w:spacing w:after="120" w:line="276" w:lineRule="auto"/>
        <w:ind w:firstLine="708"/>
        <w:jc w:val="both"/>
        <w:rPr>
          <w:rFonts w:ascii="Verdana" w:eastAsia="Times New Roman" w:hAnsi="Verdana" w:cs="Arial"/>
          <w:lang w:eastAsia="es-CO"/>
        </w:rPr>
      </w:pPr>
      <w:r w:rsidRPr="00646D52">
        <w:rPr>
          <w:rFonts w:ascii="Verdana" w:eastAsia="Times New Roman" w:hAnsi="Verdana" w:cs="Arial"/>
          <w:lang w:eastAsia="es-CO"/>
        </w:rPr>
        <w:t xml:space="preserve">En este contexto, resulta relevante precisar que la norma en cuestión </w:t>
      </w:r>
      <w:r w:rsidRPr="00646D52">
        <w:rPr>
          <w:rFonts w:ascii="Verdana" w:eastAsia="Times New Roman" w:hAnsi="Verdana" w:cs="Arial"/>
          <w:bCs/>
          <w:lang w:eastAsia="es-CO"/>
        </w:rPr>
        <w:t xml:space="preserve">no </w:t>
      </w:r>
      <w:r>
        <w:rPr>
          <w:rFonts w:ascii="Verdana" w:eastAsia="Times New Roman" w:hAnsi="Verdana" w:cs="Arial"/>
          <w:bCs/>
          <w:lang w:eastAsia="es-CO"/>
        </w:rPr>
        <w:t xml:space="preserve">se refiere </w:t>
      </w:r>
      <w:r w:rsidRPr="00646D52">
        <w:rPr>
          <w:rFonts w:ascii="Verdana" w:eastAsia="Times New Roman" w:hAnsi="Verdana" w:cs="Arial"/>
          <w:bCs/>
          <w:lang w:eastAsia="es-CO"/>
        </w:rPr>
        <w:t>expresa ni implícita a las universidades públicas ni a los entes universitarios autónomos</w:t>
      </w:r>
      <w:r w:rsidRPr="00646D52">
        <w:rPr>
          <w:rFonts w:ascii="Verdana" w:eastAsia="Times New Roman" w:hAnsi="Verdana" w:cs="Arial"/>
          <w:lang w:eastAsia="es-CO"/>
        </w:rPr>
        <w:t xml:space="preserve">, en la medida en que estas instituciones </w:t>
      </w:r>
      <w:r w:rsidRPr="00646D52">
        <w:rPr>
          <w:rFonts w:ascii="Verdana" w:eastAsia="Times New Roman" w:hAnsi="Verdana" w:cs="Arial"/>
          <w:bCs/>
          <w:lang w:eastAsia="es-CO"/>
        </w:rPr>
        <w:t>no encajan dentro de las categorías subjetivas allí previstas</w:t>
      </w:r>
      <w:r w:rsidRPr="00646D52">
        <w:rPr>
          <w:rFonts w:ascii="Verdana" w:eastAsia="Times New Roman" w:hAnsi="Verdana" w:cs="Arial"/>
          <w:lang w:eastAsia="es-CO"/>
        </w:rPr>
        <w:t xml:space="preserve">. En efecto, las universidades públicas, conforme al artículo 69 de la Constitución Política y a su desarrollo legal, gozan de </w:t>
      </w:r>
      <w:r w:rsidRPr="00646D52">
        <w:rPr>
          <w:rFonts w:ascii="Verdana" w:eastAsia="Times New Roman" w:hAnsi="Verdana" w:cs="Arial"/>
          <w:bCs/>
          <w:lang w:eastAsia="es-CO"/>
        </w:rPr>
        <w:t>autonomía universitaria</w:t>
      </w:r>
      <w:r w:rsidRPr="00646D52">
        <w:rPr>
          <w:rFonts w:ascii="Verdana" w:eastAsia="Times New Roman" w:hAnsi="Verdana" w:cs="Arial"/>
          <w:lang w:eastAsia="es-CO"/>
        </w:rPr>
        <w:t xml:space="preserve"> y configuran una categoría jurídica especial en la estructura del Estado, distinta de las entidades descentralizadas por servicios o de las entidades descentralizadas territorialmente. Asimismo, </w:t>
      </w:r>
      <w:r w:rsidRPr="00646D52">
        <w:rPr>
          <w:rFonts w:ascii="Verdana" w:eastAsia="Times New Roman" w:hAnsi="Verdana" w:cs="Arial"/>
          <w:bCs/>
          <w:lang w:eastAsia="es-CO"/>
        </w:rPr>
        <w:t>no pueden asimilarse a entidades privadas que administran recursos públicos</w:t>
      </w:r>
      <w:r w:rsidRPr="00646D52">
        <w:rPr>
          <w:rFonts w:ascii="Verdana" w:eastAsia="Times New Roman" w:hAnsi="Verdana" w:cs="Arial"/>
          <w:lang w:eastAsia="es-CO"/>
        </w:rPr>
        <w:t xml:space="preserve">, pues </w:t>
      </w:r>
      <w:r>
        <w:rPr>
          <w:rFonts w:ascii="Verdana" w:eastAsia="Times New Roman" w:hAnsi="Verdana" w:cs="Arial"/>
          <w:lang w:eastAsia="es-CO"/>
        </w:rPr>
        <w:t xml:space="preserve">las universidades </w:t>
      </w:r>
      <w:r w:rsidRPr="00646D52">
        <w:rPr>
          <w:rFonts w:ascii="Verdana" w:eastAsia="Times New Roman" w:hAnsi="Verdana" w:cs="Arial"/>
          <w:lang w:eastAsia="es-CO"/>
        </w:rPr>
        <w:t>forman parte del sector público</w:t>
      </w:r>
      <w:r>
        <w:rPr>
          <w:rFonts w:ascii="Verdana" w:eastAsia="Times New Roman" w:hAnsi="Verdana" w:cs="Arial"/>
          <w:lang w:eastAsia="es-CO"/>
        </w:rPr>
        <w:t xml:space="preserve"> como órganos autónomos e independientes</w:t>
      </w:r>
      <w:r w:rsidRPr="00646D52">
        <w:rPr>
          <w:rFonts w:ascii="Verdana" w:eastAsia="Times New Roman" w:hAnsi="Verdana" w:cs="Arial"/>
          <w:lang w:eastAsia="es-CO"/>
        </w:rPr>
        <w:t xml:space="preserve"> y gestionan recursos estatales en ejercicio de funciones misionales propias, bajo un régimen especial de contratación.</w:t>
      </w:r>
      <w:r>
        <w:rPr>
          <w:rFonts w:ascii="Verdana" w:eastAsia="Times New Roman" w:hAnsi="Verdana" w:cs="Arial"/>
          <w:lang w:eastAsia="es-CO"/>
        </w:rPr>
        <w:t xml:space="preserve"> </w:t>
      </w:r>
    </w:p>
    <w:p w14:paraId="02F54E88"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1C2262">
        <w:rPr>
          <w:rFonts w:ascii="Verdana" w:eastAsia="Times New Roman" w:hAnsi="Verdana" w:cs="Arial"/>
          <w:lang w:eastAsia="es-CO"/>
        </w:rPr>
        <w:t xml:space="preserve">Todo lo anterior </w:t>
      </w:r>
      <w:r w:rsidRPr="001C2262">
        <w:rPr>
          <w:rFonts w:ascii="Verdana" w:eastAsia="Times New Roman" w:hAnsi="Verdana" w:cs="Arial"/>
          <w:bCs/>
          <w:lang w:eastAsia="es-CO"/>
        </w:rPr>
        <w:t>sin perjuicio de la facultad que conservan las universidades públicas de incorporar voluntariamente este tipo de incentivos en sus procesos de compra pública de alimentos</w:t>
      </w:r>
      <w:r w:rsidRPr="001C2262">
        <w:rPr>
          <w:rFonts w:ascii="Verdana" w:eastAsia="Times New Roman" w:hAnsi="Verdana" w:cs="Arial"/>
          <w:lang w:eastAsia="es-CO"/>
        </w:rPr>
        <w:t xml:space="preserve">, en ejercicio de su autonomía universitaria y de sus competencias reglamentarias internas. En efecto, aun cuando no exista una obligación jurídica directa derivada de la norma analizada, las universidades pueden, de manera discrecional y conforme a sus propios estatutos de contratación, </w:t>
      </w:r>
      <w:r w:rsidRPr="001C2262">
        <w:rPr>
          <w:rFonts w:ascii="Verdana" w:eastAsia="Times New Roman" w:hAnsi="Verdana" w:cs="Arial"/>
          <w:bCs/>
          <w:lang w:eastAsia="es-CO"/>
        </w:rPr>
        <w:t xml:space="preserve">adoptar criterios de evaluación orientados a promover </w:t>
      </w:r>
      <w:r w:rsidRPr="001C2262">
        <w:rPr>
          <w:rFonts w:ascii="Verdana" w:eastAsia="Times New Roman" w:hAnsi="Verdana" w:cs="Arial"/>
          <w:bCs/>
          <w:lang w:eastAsia="es-CO"/>
        </w:rPr>
        <w:lastRenderedPageBreak/>
        <w:t>fines constitucionales y legales</w:t>
      </w:r>
      <w:r w:rsidRPr="001C2262">
        <w:rPr>
          <w:rFonts w:ascii="Verdana" w:eastAsia="Times New Roman" w:hAnsi="Verdana" w:cs="Arial"/>
          <w:lang w:eastAsia="es-CO"/>
        </w:rPr>
        <w:t xml:space="preserve">, tales como el fortalecimiento de la economía campesina, la seguridad alimentaria, la sostenibilidad y el desarrollo local. </w:t>
      </w:r>
    </w:p>
    <w:p w14:paraId="17D25BD3"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Teniendo en cuenta lo expuesto sobre el ámbito de aplicación, es pertinente señalar que el artículo 4 de la Ley 2046 de 2020 define algunos términos y establece unas siglas para el entendimiento e interpretación de las reglas contenidas en la Ley 2046 de 2020. El artículo 5 crea la Mesa Técnica Nacional de Compras Públicas Locales de Alimentos, y el artículo 6 obliga al Gobierno Nacional a diseñar e implementar planes, programas y acciones pedagógicas y de seguimiento para capacitar alcaldías, gobernaciones y participantes de los espacios territoriales de articulación definidos por Mesa Técnica Nacional de Compras Públicas Locales de Alimentos, así como a pequeños productores y productores de la Agricultura Campesina, Familiar o Comunitaria y organizaciones en los diferentes ejes temáticos indicados en la norma. </w:t>
      </w:r>
    </w:p>
    <w:p w14:paraId="7C196BC4" w14:textId="77777777" w:rsidR="00E5670D" w:rsidRPr="008C3D38" w:rsidRDefault="00E5670D" w:rsidP="00E5670D">
      <w:pPr>
        <w:spacing w:after="0" w:line="276" w:lineRule="auto"/>
        <w:ind w:firstLine="426"/>
        <w:jc w:val="both"/>
        <w:rPr>
          <w:rFonts w:ascii="Verdana" w:eastAsia="Times New Roman" w:hAnsi="Verdana" w:cs="Arial"/>
          <w:lang w:eastAsia="es-CO"/>
        </w:rPr>
      </w:pPr>
      <w:r w:rsidRPr="008C3D38">
        <w:rPr>
          <w:rFonts w:ascii="Verdana" w:eastAsia="Times New Roman" w:hAnsi="Verdana" w:cs="Arial"/>
          <w:lang w:eastAsia="es-CO"/>
        </w:rPr>
        <w:t xml:space="preserve">Sin embargo, la mayor pretensión de esta Ley fue lo regulado en el artículo 7, el cual estable los porcentajes mínimos de compra local a pequeños productores y productores de la agricultura campesina, familiar y comunitaria. En tal sentido, establece las siguientes reglas: </w:t>
      </w:r>
    </w:p>
    <w:p w14:paraId="7648454C" w14:textId="77777777" w:rsidR="00E5670D" w:rsidRPr="008C3D38" w:rsidRDefault="00E5670D" w:rsidP="00E5670D">
      <w:pPr>
        <w:spacing w:after="0" w:line="276" w:lineRule="auto"/>
        <w:ind w:left="426" w:right="758"/>
        <w:jc w:val="both"/>
        <w:rPr>
          <w:rFonts w:ascii="Verdana" w:eastAsia="Times New Roman" w:hAnsi="Verdana" w:cs="Arial"/>
          <w:lang w:eastAsia="es-CO"/>
        </w:rPr>
      </w:pPr>
    </w:p>
    <w:p w14:paraId="4D9761A1"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“i) las entidades que están sujetas al ámbito de aplicación de esta ley tienen la obligación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w:t>
      </w:r>
    </w:p>
    <w:p w14:paraId="4389426B"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
    <w:p w14:paraId="03C5D00D"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roofErr w:type="spellStart"/>
      <w:r w:rsidRPr="008C3D38">
        <w:rPr>
          <w:rFonts w:ascii="Verdana" w:eastAsia="Times New Roman" w:hAnsi="Verdana" w:cs="Arial"/>
          <w:sz w:val="20"/>
          <w:szCs w:val="20"/>
          <w:lang w:eastAsia="es-CO"/>
        </w:rPr>
        <w:t>ii</w:t>
      </w:r>
      <w:proofErr w:type="spellEnd"/>
      <w:r w:rsidRPr="008C3D38">
        <w:rPr>
          <w:rFonts w:ascii="Verdana" w:eastAsia="Times New Roman" w:hAnsi="Verdana" w:cs="Arial"/>
          <w:sz w:val="20"/>
          <w:szCs w:val="20"/>
          <w:lang w:eastAsia="es-CO"/>
        </w:rPr>
        <w:t xml:space="preserve">)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 </w:t>
      </w:r>
    </w:p>
    <w:p w14:paraId="56CB39A5"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
    <w:p w14:paraId="4D6F4E40"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roofErr w:type="spellStart"/>
      <w:r w:rsidRPr="008C3D38">
        <w:rPr>
          <w:rFonts w:ascii="Verdana" w:eastAsia="Times New Roman" w:hAnsi="Verdana" w:cs="Arial"/>
          <w:sz w:val="20"/>
          <w:szCs w:val="20"/>
          <w:lang w:eastAsia="es-CO"/>
        </w:rPr>
        <w:lastRenderedPageBreak/>
        <w:t>iii</w:t>
      </w:r>
      <w:proofErr w:type="spellEnd"/>
      <w:r w:rsidRPr="008C3D38">
        <w:rPr>
          <w:rFonts w:ascii="Verdana" w:eastAsia="Times New Roman" w:hAnsi="Verdana" w:cs="Arial"/>
          <w:sz w:val="20"/>
          <w:szCs w:val="20"/>
          <w:lang w:eastAsia="es-CO"/>
        </w:rPr>
        <w:t>) Deben incluir en sus contratos la obligación por parte de sus contratistas que ejecuten u operen los programas institucionales en que se adquieran alimentos,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w:t>
      </w:r>
    </w:p>
    <w:p w14:paraId="4219C8E3"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
    <w:p w14:paraId="723C8BEC"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proofErr w:type="spellStart"/>
      <w:r w:rsidRPr="008C3D38">
        <w:rPr>
          <w:rFonts w:ascii="Verdana" w:eastAsia="Times New Roman" w:hAnsi="Verdana" w:cs="Arial"/>
          <w:sz w:val="20"/>
          <w:szCs w:val="20"/>
          <w:lang w:eastAsia="es-CO"/>
        </w:rPr>
        <w:t>iv</w:t>
      </w:r>
      <w:proofErr w:type="spellEnd"/>
      <w:r w:rsidRPr="008C3D38">
        <w:rPr>
          <w:rFonts w:ascii="Verdana" w:eastAsia="Times New Roman" w:hAnsi="Verdana" w:cs="Arial"/>
          <w:sz w:val="20"/>
          <w:szCs w:val="20"/>
          <w:lang w:eastAsia="es-CO"/>
        </w:rPr>
        <w:t xml:space="preserve">) Establecerá en sus estudios previos, la zona geográfica para la compra pública local de alimentos a pequeños productores agropecuarios y/o a productores de la Agricultura Campesina, Familiar o Comunitaria locales o sus organizaciones, con base en una serie de criterios definidos en la norma. </w:t>
      </w:r>
    </w:p>
    <w:p w14:paraId="17D0C650" w14:textId="77777777" w:rsidR="00E5670D" w:rsidRPr="008C3D38" w:rsidRDefault="00E5670D" w:rsidP="00E5670D">
      <w:pPr>
        <w:spacing w:after="0" w:line="276" w:lineRule="auto"/>
        <w:jc w:val="both"/>
        <w:rPr>
          <w:rFonts w:ascii="Verdana" w:eastAsia="Times New Roman" w:hAnsi="Verdana" w:cs="Arial"/>
          <w:lang w:eastAsia="es-CO"/>
        </w:rPr>
      </w:pPr>
      <w:r w:rsidRPr="008C3D38">
        <w:rPr>
          <w:rFonts w:ascii="Verdana" w:eastAsia="Times New Roman" w:hAnsi="Verdana" w:cs="Arial"/>
          <w:lang w:eastAsia="es-CO"/>
        </w:rPr>
        <w:t xml:space="preserve"> </w:t>
      </w:r>
    </w:p>
    <w:p w14:paraId="3F549BFE" w14:textId="77777777" w:rsidR="00E5670D" w:rsidRPr="008C3D38" w:rsidRDefault="00E5670D" w:rsidP="00E5670D">
      <w:pPr>
        <w:spacing w:after="120" w:line="276" w:lineRule="auto"/>
        <w:ind w:firstLine="426"/>
        <w:jc w:val="both"/>
        <w:rPr>
          <w:rFonts w:ascii="Verdana" w:eastAsia="Times New Roman" w:hAnsi="Verdana" w:cs="Arial"/>
          <w:lang w:eastAsia="es-CO"/>
        </w:rPr>
      </w:pPr>
      <w:r w:rsidRPr="008C3D38">
        <w:rPr>
          <w:rFonts w:ascii="Verdana" w:eastAsia="Times New Roman" w:hAnsi="Verdana" w:cs="Arial"/>
          <w:lang w:eastAsia="es-CO"/>
        </w:rPr>
        <w:t xml:space="preserve">Seguidamente, los demás artículos de la Ley 2046 de 2020 tratan temas varios como: i) diseño y adecuación de minutas alimentarias y menú –artículo 8–, </w:t>
      </w:r>
      <w:proofErr w:type="spellStart"/>
      <w:r w:rsidRPr="008C3D38">
        <w:rPr>
          <w:rFonts w:ascii="Verdana" w:eastAsia="Times New Roman" w:hAnsi="Verdana" w:cs="Arial"/>
          <w:lang w:eastAsia="es-CO"/>
        </w:rPr>
        <w:t>ii</w:t>
      </w:r>
      <w:proofErr w:type="spellEnd"/>
      <w:r w:rsidRPr="008C3D38">
        <w:rPr>
          <w:rFonts w:ascii="Verdana" w:eastAsia="Times New Roman" w:hAnsi="Verdana" w:cs="Arial"/>
          <w:lang w:eastAsia="es-CO"/>
        </w:rPr>
        <w:t xml:space="preserve">) especificaciones técnicas de los productos –artículo 9–, </w:t>
      </w:r>
      <w:proofErr w:type="spellStart"/>
      <w:r w:rsidRPr="008C3D38">
        <w:rPr>
          <w:rFonts w:ascii="Verdana" w:eastAsia="Times New Roman" w:hAnsi="Verdana" w:cs="Arial"/>
          <w:lang w:eastAsia="es-CO"/>
        </w:rPr>
        <w:t>iii</w:t>
      </w:r>
      <w:proofErr w:type="spellEnd"/>
      <w:r w:rsidRPr="008C3D38">
        <w:rPr>
          <w:rFonts w:ascii="Verdana" w:eastAsia="Times New Roman" w:hAnsi="Verdana" w:cs="Arial"/>
          <w:lang w:eastAsia="es-CO"/>
        </w:rPr>
        <w:t xml:space="preserve">) pago de las compras realizadas a productores de la agricultura campesina, familiar y comunitaria –artículo 10–, </w:t>
      </w:r>
      <w:proofErr w:type="spellStart"/>
      <w:r w:rsidRPr="008C3D38">
        <w:rPr>
          <w:rFonts w:ascii="Verdana" w:eastAsia="Times New Roman" w:hAnsi="Verdana" w:cs="Arial"/>
          <w:lang w:eastAsia="es-CO"/>
        </w:rPr>
        <w:t>iv</w:t>
      </w:r>
      <w:proofErr w:type="spellEnd"/>
      <w:r w:rsidRPr="008C3D38">
        <w:rPr>
          <w:rFonts w:ascii="Verdana" w:eastAsia="Times New Roman" w:hAnsi="Verdana" w:cs="Arial"/>
          <w:lang w:eastAsia="es-CO"/>
        </w:rPr>
        <w:t>) sistema público de información alimentaria de pequeños productores locales y de productores de la agricultura campesina, familiar y comunitaria y sus organizaciones –artículo 11–, v) informes de cumplimiento al Congreso de la República –artículo 12– y vi) mecanismos de monitoreo y vigilancia –artículo 13–.</w:t>
      </w:r>
    </w:p>
    <w:p w14:paraId="2BF12A34" w14:textId="77777777" w:rsidR="00E5670D" w:rsidRPr="008C3D38" w:rsidRDefault="00E5670D" w:rsidP="00E5670D">
      <w:pPr>
        <w:spacing w:after="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En el marco de la Ley 2046 de 2020, se expidió el Decreto 248 del 9 de marzo de 2021, “Por el cual se adiciona la Parte 20 al Libro 2 del Decreto 1071 de 2015, Decreto Único Reglamentario del Sector Administrativo Agropecuario, Pesquero y de Desarrollo Rural, relacionado con las compras públicas de alimentos”. En la memoria justificativa de este decreto se expresó: </w:t>
      </w:r>
    </w:p>
    <w:p w14:paraId="5DECD8F1" w14:textId="77777777" w:rsidR="00E5670D" w:rsidRPr="008C3D38" w:rsidRDefault="00E5670D" w:rsidP="00E5670D">
      <w:pPr>
        <w:spacing w:after="0" w:line="276" w:lineRule="auto"/>
        <w:jc w:val="both"/>
        <w:rPr>
          <w:rFonts w:ascii="Verdana" w:eastAsia="Times New Roman" w:hAnsi="Verdana" w:cs="Arial"/>
          <w:lang w:eastAsia="es-CO"/>
        </w:rPr>
      </w:pPr>
    </w:p>
    <w:p w14:paraId="624B7D66" w14:textId="77777777" w:rsidR="00E5670D" w:rsidRPr="008C3D38" w:rsidRDefault="00E5670D" w:rsidP="00E5670D">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 xml:space="preserve">“La importancia de las compras públicas locales para el desarrollo territorial fue también resaltada en la Reforma Rural Integral –RRI, planteada en el Acuerdo Final Para la Terminación del Conflicto y Construcción de una Paz Estable y Duradera suscrito entre el Gobierno Nacional y las Fuerzas Armadas Revolucionarias de Colombia –FARC. En la RRI, en su numeral 1.3.3.4. plantea la formulación e implementación del Plan Nacional para la Promoción de la Comercialización de la Producción de la Economía Campesina, Familiar y Comunitaria, que contiene, una seria de medidas para estimular el mercadeo de los productos campesinos, ordenando entre otras, el diseño e implementación progresiva de un mecanismo de compras públicas para atender la </w:t>
      </w:r>
      <w:r w:rsidRPr="008C3D38">
        <w:rPr>
          <w:rFonts w:ascii="Verdana" w:eastAsia="Times New Roman" w:hAnsi="Verdana" w:cs="Arial"/>
          <w:sz w:val="20"/>
          <w:szCs w:val="20"/>
          <w:lang w:eastAsia="es-CO"/>
        </w:rPr>
        <w:lastRenderedPageBreak/>
        <w:t xml:space="preserve">demanda de las entidades y programas institucionales, que de manera descentralizada, que fomente la producción local para apoyar la comercialización y absorción de la producción de la economía campesina familiar y comunitaria”. </w:t>
      </w:r>
    </w:p>
    <w:p w14:paraId="0516A8D2" w14:textId="77777777" w:rsidR="00E5670D" w:rsidRPr="008C3D38" w:rsidRDefault="00E5670D" w:rsidP="00E5670D">
      <w:pPr>
        <w:spacing w:after="0" w:line="276" w:lineRule="auto"/>
        <w:jc w:val="both"/>
        <w:rPr>
          <w:rFonts w:ascii="Verdana" w:eastAsia="Times New Roman" w:hAnsi="Verdana" w:cs="Arial"/>
          <w:lang w:eastAsia="es-CO"/>
        </w:rPr>
      </w:pPr>
    </w:p>
    <w:p w14:paraId="51572FF1" w14:textId="77777777" w:rsidR="00E5670D" w:rsidRPr="008C3D38" w:rsidRDefault="00E5670D" w:rsidP="00E5670D">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ab/>
        <w:t>Este reglamento adiciona la Parte 20 del Libro 2 del Decreto 1071 de 2015, el cual desarrolla el sistema de compra pública de alimentos. También detalla varios aspectos como las definiciones, el mínimo de compras públicas de alimentos y suministros, los puntajes adicionales obligatorios dentro de los procesos de contratación y los puntajes adicionales facultativos, entre otros.</w:t>
      </w:r>
    </w:p>
    <w:p w14:paraId="18D71E79" w14:textId="77777777" w:rsidR="00E5670D" w:rsidRPr="008C3D38" w:rsidRDefault="00E5670D" w:rsidP="00E5670D">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 xml:space="preserve"> </w:t>
      </w:r>
      <w:r w:rsidRPr="008C3D38">
        <w:rPr>
          <w:rFonts w:ascii="Verdana" w:eastAsia="Times New Roman" w:hAnsi="Verdana" w:cs="Arial"/>
          <w:lang w:eastAsia="es-CO"/>
        </w:rPr>
        <w:tab/>
        <w:t xml:space="preserve">Dentro de estas reglas, es importante señalar que el artículo 2.20.1.1.3. del Decreto 1071 de 2015 dispuso que las Entidades Públicas del nivel nacional, departamental, distrital, municipal, sociedades de economía mixta, y entidades privadas que manejen recursos públicos y operen en el territorio nacional, que contraten, bajo cualquier modalidad, con recursos públicos la adquisición, suministro y entrega de alimentos en cualquiera de sus formas de atención, están en el deber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w:t>
      </w:r>
    </w:p>
    <w:p w14:paraId="0FB8CD58"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Asimismo, dispone que en el evento que la oferta de alimentos producidos por pequeños productores y/o productores de la Agricultura Campesina, Familiar o Comunitaria local sea inferior al treinta por ciento (30%), las entidades deben informar de esta situación a la Secretaría Técnica de la Mesa Técnica Nacional de Compras Públicas Locales en el término máximo de cinco (5) días hábiles siguientes una vez advertida la situación. Recibida la comunicación de parte de la entidad contratante, la Secretaría Técnica de la Mesa tendrá cinco (5) días hábiles para realizar las gestiones necesarias para otorgar un listado de pequeños productores y/o productores de la Agricultura Campesina, Familiar o Comunitaria no locales a quienes puede acudir para suplir el porcentaje restante.</w:t>
      </w:r>
    </w:p>
    <w:p w14:paraId="3FAA6416" w14:textId="77777777" w:rsidR="00E5670D" w:rsidRPr="008C3D38" w:rsidRDefault="00E5670D" w:rsidP="00E5670D">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ab/>
        <w:t xml:space="preserve">En este punto, resulta pertinente señalar que el artículo 2.20.1.1.3. </w:t>
      </w:r>
      <w:r w:rsidRPr="008C3D38">
        <w:rPr>
          <w:rFonts w:ascii="Verdana" w:eastAsia="Times New Roman" w:hAnsi="Verdana" w:cs="Arial"/>
          <w:i/>
          <w:lang w:eastAsia="es-CO"/>
        </w:rPr>
        <w:t>ibidem</w:t>
      </w:r>
      <w:r w:rsidRPr="008C3D38">
        <w:rPr>
          <w:rFonts w:ascii="Verdana" w:eastAsia="Times New Roman" w:hAnsi="Verdana" w:cs="Arial"/>
          <w:lang w:eastAsia="es-CO"/>
        </w:rPr>
        <w:t xml:space="preserve"> debe interpretarse de forma sistemática con la Ley 2046 de 2020, la cual como se señaló en el acápite anterior, busca establecer una serie de instrumentos tendientes a que en todos los programas de adquisición, suministro </w:t>
      </w:r>
      <w:r w:rsidRPr="008C3D38">
        <w:rPr>
          <w:rFonts w:ascii="Verdana" w:eastAsia="Times New Roman" w:hAnsi="Verdana" w:cs="Arial"/>
          <w:lang w:eastAsia="es-CO"/>
        </w:rPr>
        <w:lastRenderedPageBreak/>
        <w:t xml:space="preserve">y distribución de alimentos con cargo a recursos públicos se promueva la participación de pequeños productores locales agropecuarios cuyos sistemas productivos pertenezcan a la Agricultura Campesina, Familiar y Comunitaria, o de sus organizaciones legalmente constituidas y los artículos 64 y 65 de la Constitución Política de Colombia. </w:t>
      </w:r>
    </w:p>
    <w:p w14:paraId="06CE85E6" w14:textId="77777777" w:rsidR="00E5670D" w:rsidRPr="008C3D38" w:rsidRDefault="00E5670D" w:rsidP="00E5670D">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ab/>
        <w:t xml:space="preserve">Ahora bien, respecto a los puntajes previstos en los artículos 2.20.1.2.1, 2.20.1.2.2 y 2.20.1.2.3 del Decreto 1071 de 2015, el interesado deberá acreditar la calidad exigida en cada una de estas normas para beneficiarse del incentivo, pues estas no consagran una equivalencia entre el productor agropecuario local y nacional. En efecto, los puntajes adicionales obligatorios y facultativos aplican a los productores agropecuarios nacionales, los cuales están definidos en el literal d) del artículo 2.20.1.1.1 ibidem como las personas cuyo sistema de producción se encuentra ubicado en el territorio nacional. </w:t>
      </w:r>
    </w:p>
    <w:p w14:paraId="3BF37D3B"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Conforme a los artículos 2.20.1.2.1 y 2.20.1.2.2 del reglamento, estos acreditarán su condición con el “[…] contrato de arrendamiento o un certificado de tradición y libertad del inmueble, o los recibos de pago de los impuestos, contribuciones y valorizaciones del inmueble, que permita demostrar que los productores tienen la calidad de propietarios, poseedores, o tenedores del predio, en los que se evidencie la vereda, el municipio, el departamento o la región de ubicación donde se encuentra el sistema de producción del proveedor de los productos agropecuarios dentro del territorio nacional”.</w:t>
      </w:r>
    </w:p>
    <w:p w14:paraId="07180E83"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En este contexto, el artículo 2.20.1.2.1 del Decreto 1071 de 2015 consagra los criterios de aplicación obligatoria que deben ser incorporados por las entidades estatales en los procesos de selección que tengan por objeto la adquisición de productos agropecuarios para programas institucionales de alimentación. Dentro de dichos criterios, el literal b) prevé la asignación de un puntaje adicional obligatorio cuando el oferente tenga la calidad de proveedor directo.</w:t>
      </w:r>
    </w:p>
    <w:p w14:paraId="40F17568"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Ahora bien, del tenor literal de la norma se advierte que el Decreto no concibe la categoría de proveedor directo como una condición autónoma o independiente, sino que define expresamente su alcance al señalar que dicha calidad se predica de quien sea pequeño productor agropecuario y/o productor de la Agricultura Campesina, Familiar y Comunitaria (ACFC), y/o de sus organizaciones. En consecuencia, la condición de proveedor directo se encuentra </w:t>
      </w:r>
      <w:r w:rsidRPr="008C3D38">
        <w:rPr>
          <w:rFonts w:ascii="Verdana" w:eastAsia="Times New Roman" w:hAnsi="Verdana" w:cs="Arial"/>
          <w:lang w:eastAsia="es-CO"/>
        </w:rPr>
        <w:lastRenderedPageBreak/>
        <w:t>jurídicamente vinculada a la participación directa del oferente en la actividad productiva agropecuaria, y no a la simple comercialización o intermediación de los bienes.</w:t>
      </w:r>
    </w:p>
    <w:p w14:paraId="0A31EB01"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Así, la interpretación sistemática del literal b) del artículo 2.20.1.2.1 permite concluir que el propósito del incentivo normativo es favorecer la contratación con sujetos que intervienen directamente en la producción de los alimentos, ya sea de manera individual como pequeños productores o productores de la ACFC, o de forma asociativa a través de organizaciones conformadas por estos, garantizando que el beneficio del puntaje adicional recaiga sobre quienes hacen parte efectiva de la base productiva rural.</w:t>
      </w:r>
    </w:p>
    <w:p w14:paraId="38113F22" w14:textId="77777777" w:rsidR="00E5670D" w:rsidRPr="008C3D38" w:rsidRDefault="00E5670D" w:rsidP="00E5670D">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Bajo este entendimiento, no resulta procedente extender la noción de proveedor directo a oferentes que, aun participando en el proceso de contratación, no acrediten su calidad de pequeños productores o productores de la ACFC, ni la de organización de estos, por cuanto ello desnaturalizaría la finalidad del esquema de puntajes establecido por el Decreto 248 de 2021, cuyo objetivo es promover la inclusión de la Agricultura Campesina, Familiar y Comunitaria y de los pequeños productores agropecuarios en las compras públicas de alimentos.</w:t>
      </w:r>
    </w:p>
    <w:p w14:paraId="08AFD6EB" w14:textId="77777777" w:rsidR="00E5670D" w:rsidRPr="008C3D38" w:rsidRDefault="00E5670D" w:rsidP="00E5670D">
      <w:pPr>
        <w:spacing w:after="0" w:line="276" w:lineRule="auto"/>
        <w:ind w:firstLine="709"/>
        <w:jc w:val="both"/>
        <w:rPr>
          <w:rFonts w:ascii="Verdana" w:eastAsia="Times New Roman" w:hAnsi="Verdana" w:cs="Arial"/>
          <w:lang w:eastAsia="es-CO"/>
        </w:rPr>
      </w:pPr>
      <w:r w:rsidRPr="008C3D38">
        <w:rPr>
          <w:rFonts w:ascii="Verdana" w:eastAsia="Times New Roman" w:hAnsi="Verdana" w:cs="Arial"/>
          <w:lang w:eastAsia="es-CO"/>
        </w:rPr>
        <w:t>En consecuencia, para efectos de la aplicación del puntaje adicional previsto en el literal b) del artículo 2.20.1.2.1 del Decreto 1071 de 2015, la calidad de proveedor directo debe entenderse acreditada únicamente cuando el oferente demuestre su condición de pequeño productor agropecuario, productor de la Agricultura Campesina, Familiar y Comunitaria, o de organización integrada por estos, en los términos previstos por la normativa vigente.</w:t>
      </w:r>
    </w:p>
    <w:p w14:paraId="5CD4A77F" w14:textId="77777777" w:rsidR="00E5670D" w:rsidRPr="008C3D38" w:rsidRDefault="00E5670D" w:rsidP="00E5670D">
      <w:pPr>
        <w:spacing w:after="0" w:line="276" w:lineRule="auto"/>
        <w:jc w:val="both"/>
        <w:rPr>
          <w:rFonts w:ascii="Verdana" w:eastAsia="Calibri" w:hAnsi="Verdana" w:cs="Arial"/>
          <w:lang w:eastAsia="es-MX"/>
        </w:rPr>
      </w:pPr>
    </w:p>
    <w:p w14:paraId="652AA0D4" w14:textId="77777777" w:rsidR="00E5670D" w:rsidRPr="008C3D38" w:rsidRDefault="00E5670D" w:rsidP="00E5670D">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sidRPr="008C3D38">
        <w:rPr>
          <w:rFonts w:ascii="Verdana" w:eastAsia="Calibri" w:hAnsi="Verdana" w:cs="Arial"/>
          <w:color w:val="000000" w:themeColor="text1"/>
          <w:lang w:val="es-ES"/>
        </w:rPr>
        <w:t xml:space="preserve">. Al </w:t>
      </w:r>
      <w:r w:rsidRPr="008C3D38">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F68E239" w14:textId="77777777" w:rsidR="00E5670D" w:rsidRPr="008C3D38" w:rsidRDefault="00E5670D" w:rsidP="00E5670D">
      <w:pPr>
        <w:spacing w:after="0" w:line="276" w:lineRule="auto"/>
        <w:ind w:firstLine="709"/>
        <w:jc w:val="both"/>
        <w:rPr>
          <w:rFonts w:ascii="Verdana" w:hAnsi="Verdana" w:cs="Arial"/>
          <w:lang w:val="es-ES" w:eastAsia="es-ES"/>
        </w:rPr>
      </w:pPr>
      <w:r w:rsidRPr="008C3D38">
        <w:rPr>
          <w:rFonts w:ascii="Verdana" w:hAnsi="Verdana" w:cs="Arial"/>
          <w:lang w:val="es-ES" w:eastAsia="es-ES"/>
        </w:rPr>
        <w:lastRenderedPageBreak/>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5BB6C30" w14:textId="77777777" w:rsidR="00E5670D" w:rsidRPr="008C3D38" w:rsidRDefault="00E5670D" w:rsidP="00E5670D">
      <w:pPr>
        <w:spacing w:after="0" w:line="276" w:lineRule="auto"/>
        <w:jc w:val="both"/>
        <w:rPr>
          <w:rFonts w:ascii="Verdana" w:eastAsia="Calibri" w:hAnsi="Verdana" w:cs="Arial"/>
          <w:lang w:eastAsia="es-MX"/>
        </w:rPr>
      </w:pPr>
    </w:p>
    <w:p w14:paraId="62325237" w14:textId="77777777" w:rsidR="00E5670D" w:rsidRPr="008C3D38" w:rsidRDefault="00E5670D" w:rsidP="00E5670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C3D38">
        <w:rPr>
          <w:rFonts w:ascii="Verdana" w:eastAsia="Century Gothic" w:hAnsi="Verdana" w:cs="Century Gothic"/>
          <w:b/>
          <w:bCs/>
          <w:lang w:val="es-ES"/>
        </w:rPr>
        <w:t>Referencias normativas:</w:t>
      </w:r>
    </w:p>
    <w:p w14:paraId="3F88ED95" w14:textId="77777777" w:rsidR="00E5670D" w:rsidRPr="008C3D38" w:rsidRDefault="00E5670D" w:rsidP="00E5670D">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5670D" w:rsidRPr="008C3D38" w14:paraId="6241744E" w14:textId="77777777" w:rsidTr="006123C5">
        <w:trPr>
          <w:trHeight w:val="487"/>
          <w:jc w:val="center"/>
        </w:trPr>
        <w:tc>
          <w:tcPr>
            <w:tcW w:w="8647" w:type="dxa"/>
          </w:tcPr>
          <w:p w14:paraId="030F52A9" w14:textId="77777777" w:rsidR="00E5670D" w:rsidRPr="008C3D38" w:rsidRDefault="00E5670D" w:rsidP="006123C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Consti</w:t>
            </w:r>
            <w:r>
              <w:rPr>
                <w:rFonts w:ascii="Verdana" w:eastAsia="Arial MT" w:hAnsi="Verdana" w:cs="Arial"/>
                <w:lang w:val="es-ES" w:eastAsia="es-ES" w:bidi="es-ES"/>
              </w:rPr>
              <w:t>tución Política, artículos 64, 65, 69 y 113.</w:t>
            </w:r>
          </w:p>
          <w:p w14:paraId="7DE2D596" w14:textId="77777777" w:rsidR="00E5670D" w:rsidRDefault="00E5670D" w:rsidP="006123C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30 de 1992, artículos 57 y 93. </w:t>
            </w:r>
          </w:p>
          <w:p w14:paraId="0228E48B" w14:textId="77777777" w:rsidR="00E5670D" w:rsidRDefault="00E5670D" w:rsidP="006123C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39 y 40. </w:t>
            </w:r>
          </w:p>
          <w:p w14:paraId="75D45513" w14:textId="77777777" w:rsidR="00E5670D" w:rsidRPr="008C3D38" w:rsidRDefault="00E5670D" w:rsidP="006123C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 xml:space="preserve">Ley 1955 de 2019: Artículo 229 </w:t>
            </w:r>
          </w:p>
          <w:p w14:paraId="6DD0BD07" w14:textId="77777777" w:rsidR="00E5670D" w:rsidRPr="008C3D38" w:rsidRDefault="00E5670D" w:rsidP="006123C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Ley 2046 de 2020: Artículo</w:t>
            </w:r>
            <w:r>
              <w:rPr>
                <w:rFonts w:ascii="Verdana" w:eastAsia="Arial MT" w:hAnsi="Verdana" w:cs="Arial"/>
                <w:lang w:val="es-ES" w:eastAsia="es-ES" w:bidi="es-ES"/>
              </w:rPr>
              <w:t>s 1 2,3, 4, 5,</w:t>
            </w:r>
            <w:r w:rsidRPr="008C3D38">
              <w:rPr>
                <w:rFonts w:ascii="Verdana" w:eastAsia="Arial MT" w:hAnsi="Verdana" w:cs="Arial"/>
                <w:lang w:val="es-ES" w:eastAsia="es-ES" w:bidi="es-ES"/>
              </w:rPr>
              <w:t xml:space="preserve"> 7, 8, 9, 10, 11,12 y 13 </w:t>
            </w:r>
          </w:p>
          <w:p w14:paraId="7BF0A183" w14:textId="77777777" w:rsidR="00E5670D" w:rsidRPr="008C3D38" w:rsidRDefault="00E5670D" w:rsidP="006123C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Decreto 248 de 2021. </w:t>
            </w:r>
          </w:p>
          <w:p w14:paraId="5971150D" w14:textId="77777777" w:rsidR="00E5670D" w:rsidRPr="008C3D38" w:rsidRDefault="00E5670D" w:rsidP="006123C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eastAsia="es-ES" w:bidi="es-ES"/>
              </w:rPr>
              <w:t xml:space="preserve">Decreto 1071 de 2015, artículos </w:t>
            </w:r>
            <w:r w:rsidRPr="005B51CC">
              <w:rPr>
                <w:rFonts w:ascii="Verdana" w:eastAsia="Arial MT" w:hAnsi="Verdana" w:cs="Arial"/>
                <w:lang w:eastAsia="es-ES" w:bidi="es-ES"/>
              </w:rPr>
              <w:t xml:space="preserve">2.20.1.2.1, 2.20.1.2.2 y 2.20.1.2.3 </w:t>
            </w:r>
          </w:p>
        </w:tc>
      </w:tr>
    </w:tbl>
    <w:p w14:paraId="0417B359" w14:textId="77777777" w:rsidR="00E5670D" w:rsidRPr="008C3D38" w:rsidRDefault="00E5670D" w:rsidP="00E5670D">
      <w:pPr>
        <w:widowControl w:val="0"/>
        <w:autoSpaceDE w:val="0"/>
        <w:autoSpaceDN w:val="0"/>
        <w:spacing w:after="0" w:line="276" w:lineRule="auto"/>
        <w:jc w:val="both"/>
        <w:rPr>
          <w:rFonts w:ascii="Verdana" w:hAnsi="Verdana" w:cs="Arial"/>
        </w:rPr>
      </w:pPr>
    </w:p>
    <w:p w14:paraId="1C481D19" w14:textId="77777777" w:rsidR="00E5670D" w:rsidRPr="008C3D38" w:rsidRDefault="00E5670D" w:rsidP="00E5670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C3D38">
        <w:rPr>
          <w:rFonts w:ascii="Verdana" w:eastAsia="Century Gothic" w:hAnsi="Verdana" w:cs="Century Gothic"/>
          <w:b/>
          <w:bCs/>
          <w:lang w:val="es-ES"/>
        </w:rPr>
        <w:t>Doctrina de la Agencia Nacional de Contratación Pública:</w:t>
      </w:r>
    </w:p>
    <w:p w14:paraId="159111AA" w14:textId="77777777" w:rsidR="00E5670D" w:rsidRPr="008C3D38" w:rsidRDefault="00E5670D" w:rsidP="00E5670D">
      <w:pPr>
        <w:widowControl w:val="0"/>
        <w:autoSpaceDE w:val="0"/>
        <w:autoSpaceDN w:val="0"/>
        <w:spacing w:after="0" w:line="276" w:lineRule="auto"/>
        <w:jc w:val="both"/>
        <w:rPr>
          <w:rFonts w:ascii="Verdana" w:hAnsi="Verdana" w:cs="Arial"/>
        </w:rPr>
      </w:pPr>
    </w:p>
    <w:p w14:paraId="795F6877" w14:textId="77777777" w:rsidR="00E5670D" w:rsidRPr="008C3D38" w:rsidRDefault="00E5670D" w:rsidP="00E5670D">
      <w:pPr>
        <w:spacing w:after="0" w:line="276" w:lineRule="auto"/>
        <w:jc w:val="both"/>
        <w:rPr>
          <w:rFonts w:ascii="Verdana" w:eastAsia="Calibri" w:hAnsi="Verdana" w:cs="Arial"/>
          <w:lang w:val="es-ES"/>
        </w:rPr>
      </w:pPr>
      <w:r w:rsidRPr="008C3D38">
        <w:rPr>
          <w:rFonts w:ascii="Verdana" w:hAnsi="Verdana" w:cs="Arial"/>
          <w:shd w:val="clear" w:color="auto" w:fill="FFFFFF"/>
          <w:lang w:val="es-ES"/>
        </w:rPr>
        <w:t>La Agencia Nacional de Contratación Pública – Colombia Compra Eficiente</w:t>
      </w:r>
      <w:r w:rsidRPr="008C3D38">
        <w:rPr>
          <w:rFonts w:ascii="Verdana" w:eastAsia="Aptos" w:hAnsi="Verdana" w:cs="Arial"/>
          <w:shd w:val="clear" w:color="auto" w:fill="FFFFFF"/>
          <w:lang w:val="es-ES"/>
        </w:rPr>
        <w:t xml:space="preserve"> se pronunció esta Subdirección en los conceptos</w:t>
      </w:r>
      <w:r w:rsidRPr="008C3D38">
        <w:rPr>
          <w:rFonts w:ascii="Verdana" w:hAnsi="Verdana" w:cs="Arial"/>
          <w:shd w:val="clear" w:color="auto" w:fill="FFFFFF"/>
          <w:lang w:val="es-ES"/>
        </w:rPr>
        <w:t xml:space="preserve"> la promoción de las compras públicas de alimentos y los incentivos contractuales en los conceptos C-301 de 19 de junio de 2022 y C-810 del 25 de noviembre de 2022, C-410 del 6 de octubre de 2023, C-077 del 26 de abril de 2024, C-1657 del 19 de diciembre de 2025, C-1664 del 20 de diciembre de 2026,</w:t>
      </w:r>
      <w:r>
        <w:rPr>
          <w:rFonts w:ascii="Verdana" w:hAnsi="Verdana" w:cs="Arial"/>
          <w:shd w:val="clear" w:color="auto" w:fill="FFFFFF"/>
          <w:lang w:val="es-ES"/>
        </w:rPr>
        <w:t xml:space="preserve"> C-237 del 27 de marzo de 2026,</w:t>
      </w:r>
      <w:r w:rsidRPr="008C3D38">
        <w:rPr>
          <w:rFonts w:ascii="Verdana" w:hAnsi="Verdana" w:cs="Arial"/>
          <w:shd w:val="clear" w:color="auto" w:fill="FFFFFF"/>
          <w:lang w:val="es-ES"/>
        </w:rPr>
        <w:t xml:space="preserve"> entre otros. </w:t>
      </w:r>
      <w:r w:rsidRPr="008C3D38">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w:t>
      </w:r>
      <w:r w:rsidRPr="008C3D38">
        <w:rPr>
          <w:rFonts w:ascii="Verdana" w:eastAsia="Calibri" w:hAnsi="Verdana" w:cs="Times New Roman"/>
        </w:rPr>
        <w:lastRenderedPageBreak/>
        <w:t>contratación concordada con la doctrina de la Subdirección de Gestión Contractual, accede a través del siguiente enlace:</w:t>
      </w:r>
    </w:p>
    <w:p w14:paraId="5C37A8E5" w14:textId="77777777" w:rsidR="00E5670D" w:rsidRPr="008C3D38" w:rsidRDefault="00E5670D" w:rsidP="00E5670D">
      <w:pPr>
        <w:spacing w:after="0" w:line="256" w:lineRule="auto"/>
        <w:jc w:val="both"/>
        <w:rPr>
          <w:rFonts w:ascii="Verdana" w:eastAsia="Calibri" w:hAnsi="Verdana" w:cs="Times New Roman"/>
        </w:rPr>
      </w:pPr>
      <w:hyperlink r:id="rId13" w:history="1">
        <w:r w:rsidRPr="008C3D38">
          <w:rPr>
            <w:rFonts w:ascii="Verdana" w:eastAsia="Calibri" w:hAnsi="Verdana" w:cs="Times New Roman"/>
            <w:color w:val="0000FF"/>
            <w:u w:val="single"/>
            <w:lang w:val="es-ES"/>
          </w:rPr>
          <w:t>https://relatoria.colombiacompra.gov.co/busqueda/conceptos</w:t>
        </w:r>
      </w:hyperlink>
      <w:r w:rsidRPr="008C3D38">
        <w:rPr>
          <w:rFonts w:ascii="Verdana" w:eastAsia="Calibri" w:hAnsi="Verdana" w:cs="Times New Roman"/>
        </w:rPr>
        <w:t xml:space="preserve">. </w:t>
      </w:r>
    </w:p>
    <w:p w14:paraId="5E574935" w14:textId="77777777" w:rsidR="00E5670D" w:rsidRPr="008C3D38" w:rsidRDefault="00E5670D" w:rsidP="00E5670D">
      <w:pPr>
        <w:spacing w:after="0"/>
        <w:jc w:val="both"/>
        <w:rPr>
          <w:rFonts w:ascii="Verdana" w:hAnsi="Verdana"/>
        </w:rPr>
      </w:pPr>
    </w:p>
    <w:p w14:paraId="55A0654C" w14:textId="77777777" w:rsidR="00E5670D" w:rsidRPr="008C3D38" w:rsidRDefault="00E5670D" w:rsidP="00E5670D">
      <w:pPr>
        <w:spacing w:after="0"/>
        <w:jc w:val="both"/>
      </w:pPr>
      <w:r w:rsidRPr="008C3D38">
        <w:rPr>
          <w:rFonts w:ascii="Verdana" w:hAnsi="Verdana"/>
        </w:rPr>
        <w:t xml:space="preserve">La sostenibilidad no es una opción, es una obligación. Por ello, la Agencia Nacional de Contratación Pública –Colombia Compra Eficiente– te invita a realizar el </w:t>
      </w:r>
      <w:r w:rsidRPr="008C3D38">
        <w:rPr>
          <w:rFonts w:ascii="Verdana" w:hAnsi="Verdana"/>
          <w:b/>
          <w:bCs/>
        </w:rPr>
        <w:t>Curso de Contratación Pública Sostenible y Socialmente Responsable</w:t>
      </w:r>
      <w:r w:rsidRPr="008C3D38">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C3D38">
        <w:rPr>
          <w:rFonts w:ascii="Verdana" w:hAnsi="Verdana"/>
        </w:rPr>
        <w:br/>
      </w:r>
      <w:hyperlink r:id="rId14" w:tgtFrame="_new" w:history="1">
        <w:r w:rsidRPr="008C3D38">
          <w:rPr>
            <w:rFonts w:ascii="Verdana" w:hAnsi="Verdana"/>
            <w:color w:val="0000FF"/>
            <w:u w:val="single"/>
          </w:rPr>
          <w:t>https://formacionvirtual.colombiacompra.gov.co/mod/page/view.php?id=3718</w:t>
        </w:r>
      </w:hyperlink>
    </w:p>
    <w:p w14:paraId="055AF5CC" w14:textId="77777777" w:rsidR="00E5670D" w:rsidRPr="008C3D38" w:rsidRDefault="00E5670D" w:rsidP="00E5670D">
      <w:pPr>
        <w:spacing w:after="0"/>
        <w:jc w:val="both"/>
        <w:rPr>
          <w:rFonts w:ascii="Verdana" w:hAnsi="Verdana"/>
        </w:rPr>
      </w:pPr>
    </w:p>
    <w:p w14:paraId="0D9436C7" w14:textId="77777777" w:rsidR="00E5670D" w:rsidRPr="008C3D38" w:rsidRDefault="00E5670D" w:rsidP="00E5670D">
      <w:pPr>
        <w:spacing w:after="0"/>
        <w:jc w:val="both"/>
      </w:pPr>
      <w:r w:rsidRPr="008C3D38">
        <w:rPr>
          <w:rFonts w:ascii="Verdana" w:hAnsi="Verdana"/>
        </w:rPr>
        <w:t xml:space="preserve">De otro lado, te contamos que esta Agencia ha da un paso decisivo en la estandarización y modernización del </w:t>
      </w:r>
      <w:r w:rsidRPr="008C3D38">
        <w:rPr>
          <w:rFonts w:ascii="Verdana" w:hAnsi="Verdana"/>
          <w:b/>
          <w:bCs/>
        </w:rPr>
        <w:t>sector  social</w:t>
      </w:r>
      <w:r w:rsidRPr="008C3D38">
        <w:rPr>
          <w:rFonts w:ascii="Verdana" w:hAnsi="Verdana"/>
        </w:rPr>
        <w:t xml:space="preserve"> con la expedición de las </w:t>
      </w:r>
      <w:r w:rsidRPr="008C3D38">
        <w:rPr>
          <w:rFonts w:ascii="Verdana" w:hAnsi="Verdana"/>
          <w:b/>
          <w:bCs/>
        </w:rPr>
        <w:t>Resoluciones 539, 540, 541, 952 y 953 de 2025</w:t>
      </w:r>
      <w:r w:rsidRPr="008C3D38">
        <w:rPr>
          <w:rFonts w:ascii="Verdana" w:hAnsi="Verdana"/>
        </w:rPr>
        <w:t xml:space="preserve">, </w:t>
      </w:r>
      <w:r w:rsidRPr="008C3D38">
        <w:rPr>
          <w:rFonts w:ascii="Verdana" w:hAnsi="Verdana"/>
          <w:b/>
          <w:bCs/>
        </w:rPr>
        <w:t>mediante las cuales adoptó Documentos Tipo</w:t>
      </w:r>
      <w:r w:rsidRPr="008C3D38">
        <w:rPr>
          <w:rFonts w:ascii="Verdana" w:hAnsi="Verdana"/>
        </w:rPr>
        <w:t xml:space="preserve"> para las modalidades de selección de</w:t>
      </w:r>
      <w:r w:rsidRPr="008C3D38">
        <w:rPr>
          <w:rFonts w:ascii="Verdana" w:hAnsi="Verdana"/>
          <w:b/>
          <w:bCs/>
        </w:rPr>
        <w:t xml:space="preserve"> licitación pública (versión 2), selección abreviada de menor cuantía, mínima cuantía, consultoría e interventoría</w:t>
      </w:r>
      <w:r w:rsidRPr="008C3D38">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8C3D38">
          <w:rPr>
            <w:rFonts w:ascii="Verdana" w:hAnsi="Verdana"/>
            <w:color w:val="0000FF"/>
            <w:u w:val="single"/>
          </w:rPr>
          <w:t>https://www.colombiacompra.gov.co/normativa-y-relatoria/documentos-tipo</w:t>
        </w:r>
      </w:hyperlink>
    </w:p>
    <w:p w14:paraId="0A063575" w14:textId="77777777" w:rsidR="00E5670D" w:rsidRPr="008C3D38" w:rsidRDefault="00E5670D" w:rsidP="00E5670D">
      <w:pPr>
        <w:spacing w:after="0"/>
        <w:jc w:val="both"/>
        <w:rPr>
          <w:rFonts w:ascii="Verdana" w:hAnsi="Verdana"/>
        </w:rPr>
      </w:pPr>
    </w:p>
    <w:p w14:paraId="2B3D6FB8" w14:textId="77777777" w:rsidR="00E5670D" w:rsidRPr="008C3D38" w:rsidRDefault="00E5670D" w:rsidP="00E5670D">
      <w:pPr>
        <w:spacing w:after="0"/>
        <w:jc w:val="both"/>
        <w:rPr>
          <w:rFonts w:ascii="Verdana" w:hAnsi="Verdana"/>
        </w:rPr>
      </w:pPr>
      <w:r w:rsidRPr="008C3D38">
        <w:rPr>
          <w:rFonts w:ascii="Verdana" w:hAnsi="Verdana"/>
        </w:rPr>
        <w:t xml:space="preserve">Si quieres conocer más sobre la aplicación de Documentos Tipo puedes consultar la última versión de la </w:t>
      </w:r>
      <w:r w:rsidRPr="008C3D38">
        <w:rPr>
          <w:rFonts w:ascii="Verdana" w:hAnsi="Verdana"/>
          <w:b/>
          <w:bCs/>
        </w:rPr>
        <w:t>Guía para la comprensión e implementación de los Documentos Tipo de obra pública de infraestructura de transporte</w:t>
      </w:r>
      <w:r w:rsidRPr="008C3D3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C3D38">
        <w:rPr>
          <w:rFonts w:ascii="Verdana" w:hAnsi="Verdana"/>
        </w:rPr>
        <w:br/>
      </w:r>
      <w:hyperlink r:id="rId16" w:tgtFrame="_new" w:history="1">
        <w:r w:rsidRPr="008C3D38">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6EF3B1BE" w14:textId="77777777" w:rsidR="00E5670D" w:rsidRPr="008C3D38" w:rsidRDefault="00E5670D" w:rsidP="00E5670D">
      <w:pPr>
        <w:shd w:val="clear" w:color="auto" w:fill="FFFFFF"/>
        <w:spacing w:after="0" w:line="276" w:lineRule="auto"/>
        <w:jc w:val="both"/>
        <w:rPr>
          <w:rFonts w:ascii="Verdana" w:hAnsi="Verdana"/>
          <w:color w:val="000000"/>
          <w:u w:val="single"/>
        </w:rPr>
      </w:pPr>
    </w:p>
    <w:p w14:paraId="15F6C64E" w14:textId="77777777" w:rsidR="00E5670D" w:rsidRPr="008C3D38" w:rsidRDefault="00E5670D" w:rsidP="00E5670D">
      <w:pPr>
        <w:spacing w:after="0"/>
        <w:jc w:val="both"/>
        <w:rPr>
          <w:rFonts w:ascii="Verdana" w:hAnsi="Verdana"/>
        </w:rPr>
      </w:pPr>
      <w:r w:rsidRPr="008C3D38">
        <w:rPr>
          <w:rFonts w:ascii="Verdana" w:hAnsi="Verdana"/>
        </w:rPr>
        <w:lastRenderedPageBreak/>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722509D" w14:textId="77777777" w:rsidR="00E5670D" w:rsidRPr="008C3D38" w:rsidRDefault="00E5670D" w:rsidP="00E5670D">
      <w:pPr>
        <w:spacing w:after="0"/>
        <w:jc w:val="both"/>
        <w:rPr>
          <w:rFonts w:ascii="Verdana" w:hAnsi="Verdana"/>
        </w:rPr>
      </w:pPr>
    </w:p>
    <w:p w14:paraId="3A7B6C4E" w14:textId="77777777" w:rsidR="00E5670D" w:rsidRPr="008C3D38" w:rsidRDefault="00E5670D" w:rsidP="00E5670D">
      <w:pPr>
        <w:numPr>
          <w:ilvl w:val="0"/>
          <w:numId w:val="15"/>
        </w:numPr>
        <w:spacing w:after="0" w:line="240" w:lineRule="auto"/>
        <w:contextualSpacing/>
        <w:jc w:val="both"/>
        <w:rPr>
          <w:rFonts w:ascii="Verdana" w:eastAsia="Verdana" w:hAnsi="Verdana" w:cs="Verdana"/>
          <w:color w:val="4472C4" w:themeColor="accent1"/>
          <w:u w:val="single"/>
          <w:lang w:val="es-ES"/>
        </w:rPr>
      </w:pPr>
      <w:r w:rsidRPr="008C3D38">
        <w:rPr>
          <w:rFonts w:ascii="Verdana" w:eastAsia="Verdana" w:hAnsi="Verdana" w:cs="Verdana"/>
          <w:lang w:val="es-ES"/>
        </w:rPr>
        <w:t xml:space="preserve">Línea nacional gratuita o servicio a la ciudadanía (Mesa de servicio): </w:t>
      </w:r>
      <w:r w:rsidRPr="008C3D38">
        <w:rPr>
          <w:rFonts w:ascii="Verdana" w:hAnsi="Verdana"/>
          <w:color w:val="0000FF"/>
          <w:u w:val="single"/>
          <w:lang w:val="es-ES"/>
        </w:rPr>
        <w:t>01800 0520808</w:t>
      </w:r>
    </w:p>
    <w:p w14:paraId="2BF6BAF0" w14:textId="77777777" w:rsidR="00E5670D" w:rsidRPr="008C3D38" w:rsidRDefault="00E5670D" w:rsidP="00E5670D">
      <w:pPr>
        <w:numPr>
          <w:ilvl w:val="0"/>
          <w:numId w:val="15"/>
        </w:numPr>
        <w:spacing w:after="0"/>
        <w:contextualSpacing/>
        <w:rPr>
          <w:rFonts w:ascii="Verdana" w:eastAsia="Verdana" w:hAnsi="Verdana" w:cs="Verdana"/>
          <w:color w:val="4472C4" w:themeColor="accent1"/>
          <w:u w:val="single"/>
          <w:lang w:val="es-ES"/>
        </w:rPr>
      </w:pPr>
      <w:r w:rsidRPr="008C3D38">
        <w:rPr>
          <w:rFonts w:ascii="Verdana" w:eastAsia="Verdana" w:hAnsi="Verdana" w:cs="Verdana"/>
          <w:lang w:val="es-ES"/>
        </w:rPr>
        <w:t>Línea en Bogotá (Mesa de servicio</w:t>
      </w:r>
      <w:proofErr w:type="gramStart"/>
      <w:r w:rsidRPr="008C3D38">
        <w:rPr>
          <w:rFonts w:ascii="Verdana" w:eastAsia="Verdana" w:hAnsi="Verdana" w:cs="Verdana"/>
          <w:lang w:val="es-ES"/>
        </w:rPr>
        <w:t>):</w:t>
      </w:r>
      <w:r w:rsidRPr="008C3D38">
        <w:rPr>
          <w:rFonts w:ascii="Verdana" w:hAnsi="Verdana"/>
          <w:color w:val="0000FF"/>
          <w:u w:val="single"/>
          <w:lang w:val="es-ES"/>
        </w:rPr>
        <w:t>+</w:t>
      </w:r>
      <w:proofErr w:type="gramEnd"/>
      <w:r w:rsidRPr="008C3D38">
        <w:rPr>
          <w:rFonts w:ascii="Verdana" w:hAnsi="Verdana"/>
          <w:color w:val="0000FF"/>
          <w:u w:val="single"/>
          <w:lang w:val="es-ES"/>
        </w:rPr>
        <w:t>57 601 7456788</w:t>
      </w:r>
    </w:p>
    <w:p w14:paraId="336E516B" w14:textId="77777777" w:rsidR="00E5670D" w:rsidRPr="008C3D38" w:rsidRDefault="00E5670D" w:rsidP="00E5670D">
      <w:pPr>
        <w:numPr>
          <w:ilvl w:val="0"/>
          <w:numId w:val="15"/>
        </w:numPr>
        <w:spacing w:after="0"/>
        <w:contextualSpacing/>
        <w:rPr>
          <w:rFonts w:ascii="Verdana" w:eastAsia="Verdana" w:hAnsi="Verdana" w:cs="Verdana"/>
          <w:color w:val="0000FF"/>
          <w:u w:val="single"/>
          <w:lang w:val="es-ES"/>
        </w:rPr>
      </w:pPr>
      <w:r w:rsidRPr="008C3D38">
        <w:rPr>
          <w:rFonts w:ascii="Verdana" w:eastAsia="Verdana" w:hAnsi="Verdana" w:cs="Verdana"/>
          <w:lang w:val="es-ES"/>
        </w:rPr>
        <w:t xml:space="preserve">Correo de radicación de correspondencia: </w:t>
      </w:r>
      <w:hyperlink r:id="rId17">
        <w:r w:rsidRPr="008C3D38">
          <w:rPr>
            <w:rFonts w:ascii="Verdana" w:eastAsia="Verdana" w:hAnsi="Verdana" w:cs="Verdana"/>
            <w:color w:val="0000FF"/>
            <w:u w:val="single"/>
            <w:lang w:val="es-ES"/>
          </w:rPr>
          <w:t>ventanilladeradicacion@colombiacompra.gov.co</w:t>
        </w:r>
      </w:hyperlink>
    </w:p>
    <w:p w14:paraId="2A36539C" w14:textId="77777777" w:rsidR="00E5670D" w:rsidRPr="008C3D38" w:rsidRDefault="00E5670D" w:rsidP="00E5670D">
      <w:pPr>
        <w:numPr>
          <w:ilvl w:val="0"/>
          <w:numId w:val="15"/>
        </w:numPr>
        <w:spacing w:after="0"/>
        <w:contextualSpacing/>
        <w:rPr>
          <w:rFonts w:ascii="Verdana" w:eastAsia="Verdana" w:hAnsi="Verdana" w:cs="Verdana"/>
          <w:color w:val="0000FF"/>
          <w:u w:val="single"/>
          <w:lang w:val="es-ES"/>
        </w:rPr>
      </w:pPr>
      <w:r w:rsidRPr="008C3D38">
        <w:rPr>
          <w:rFonts w:ascii="Verdana" w:eastAsia="Verdana" w:hAnsi="Verdana" w:cs="Verdana"/>
          <w:lang w:val="es-ES"/>
        </w:rPr>
        <w:t>Formulario web para</w:t>
      </w:r>
      <w:r w:rsidRPr="008C3D38">
        <w:rPr>
          <w:rFonts w:ascii="Verdana" w:eastAsia="Verdana" w:hAnsi="Verdana" w:cs="Verdana"/>
          <w:lang w:val="es"/>
        </w:rPr>
        <w:t xml:space="preserve"> PQRSD: </w:t>
      </w:r>
      <w:hyperlink r:id="rId18">
        <w:r w:rsidRPr="008C3D38">
          <w:rPr>
            <w:rFonts w:ascii="Verdana" w:eastAsia="Verdana" w:hAnsi="Verdana" w:cs="Verdana"/>
            <w:color w:val="0000FF"/>
            <w:u w:val="single"/>
            <w:lang w:val="es-ES"/>
          </w:rPr>
          <w:t>https://www.colombiacompra.gov.co/pqrsd/informacion-importante-antes-de-formular-una-pqrsd</w:t>
        </w:r>
      </w:hyperlink>
    </w:p>
    <w:p w14:paraId="01324411" w14:textId="77777777" w:rsidR="00E5670D" w:rsidRPr="008C3D38" w:rsidRDefault="00E5670D" w:rsidP="00E5670D">
      <w:pPr>
        <w:spacing w:after="0" w:line="240" w:lineRule="auto"/>
        <w:ind w:left="720"/>
        <w:jc w:val="both"/>
        <w:rPr>
          <w:rFonts w:ascii="Verdana" w:hAnsi="Verdana"/>
        </w:rPr>
      </w:pPr>
    </w:p>
    <w:p w14:paraId="006A0317" w14:textId="77777777" w:rsidR="00E5670D" w:rsidRPr="008C3D38" w:rsidRDefault="00E5670D" w:rsidP="00E5670D">
      <w:pPr>
        <w:spacing w:after="0" w:line="240" w:lineRule="auto"/>
        <w:rPr>
          <w:rFonts w:ascii="Verdana" w:hAnsi="Verdana"/>
        </w:rPr>
      </w:pPr>
      <w:r w:rsidRPr="008C3D38">
        <w:rPr>
          <w:rFonts w:ascii="Verdana" w:hAnsi="Verdana"/>
        </w:rPr>
        <w:t xml:space="preserve">Evalúa el servicio que ofrece la Agencia por el canal de atención de PQRSD en el siguiente </w:t>
      </w:r>
      <w:proofErr w:type="gramStart"/>
      <w:r w:rsidRPr="008C3D38">
        <w:rPr>
          <w:rFonts w:ascii="Verdana" w:hAnsi="Verdana"/>
        </w:rPr>
        <w:t>enlace :</w:t>
      </w:r>
      <w:proofErr w:type="gramEnd"/>
      <w:hyperlink r:id="rId19" w:tgtFrame="_blank" w:tooltip="https://forms.office.com/r/pphywvs2sz" w:history="1">
        <w:r w:rsidRPr="008C3D38">
          <w:rPr>
            <w:rFonts w:ascii="Verdana" w:hAnsi="Verdana"/>
            <w:color w:val="0000FF"/>
            <w:u w:val="single"/>
          </w:rPr>
          <w:t>https://forms.office.com/r/pPHyWVs2SZ</w:t>
        </w:r>
      </w:hyperlink>
      <w:r w:rsidRPr="008C3D38">
        <w:rPr>
          <w:rFonts w:ascii="Verdana" w:hAnsi="Verdana"/>
        </w:rPr>
        <w:t xml:space="preserve"> .¡Ayúdanos a mejorar porque el compromiso es de todos!</w:t>
      </w:r>
    </w:p>
    <w:p w14:paraId="7E0544B2" w14:textId="77777777" w:rsidR="00E5670D" w:rsidRPr="008C3D38" w:rsidRDefault="00E5670D" w:rsidP="00E5670D">
      <w:pPr>
        <w:spacing w:after="0" w:line="240" w:lineRule="auto"/>
        <w:rPr>
          <w:rFonts w:ascii="Verdana" w:hAnsi="Verdana"/>
        </w:rPr>
      </w:pPr>
    </w:p>
    <w:p w14:paraId="2B2966F9" w14:textId="77777777" w:rsidR="00E5670D" w:rsidRPr="008C3D38" w:rsidRDefault="00E5670D" w:rsidP="00E5670D">
      <w:pPr>
        <w:spacing w:after="0" w:line="240" w:lineRule="auto"/>
        <w:jc w:val="both"/>
        <w:rPr>
          <w:rFonts w:ascii="Verdana" w:hAnsi="Verdana"/>
        </w:rPr>
      </w:pPr>
      <w:r w:rsidRPr="008C3D38">
        <w:rPr>
          <w:rFonts w:ascii="Verdana" w:hAnsi="Verdana"/>
        </w:rPr>
        <w:t xml:space="preserve">Por último, lo invitamos a seguirnos en las redes sociales en las cuales se difunde información institucional: </w:t>
      </w:r>
    </w:p>
    <w:p w14:paraId="6E6027A9" w14:textId="77777777" w:rsidR="00E5670D" w:rsidRPr="008C3D38" w:rsidRDefault="00E5670D" w:rsidP="00E5670D">
      <w:pPr>
        <w:spacing w:after="0" w:line="240" w:lineRule="auto"/>
        <w:jc w:val="both"/>
        <w:rPr>
          <w:rFonts w:ascii="Verdana" w:hAnsi="Verdana"/>
        </w:rPr>
      </w:pPr>
    </w:p>
    <w:p w14:paraId="79DE69FD" w14:textId="77777777" w:rsidR="00E5670D" w:rsidRPr="008C3D38" w:rsidRDefault="00E5670D" w:rsidP="00E5670D">
      <w:pPr>
        <w:spacing w:after="0" w:line="240" w:lineRule="auto"/>
        <w:jc w:val="both"/>
        <w:rPr>
          <w:rFonts w:ascii="Verdana" w:hAnsi="Verdana"/>
        </w:rPr>
      </w:pPr>
      <w:r w:rsidRPr="008C3D38">
        <w:rPr>
          <w:rFonts w:ascii="Verdana" w:hAnsi="Verdana"/>
        </w:rPr>
        <w:t xml:space="preserve">Twitter: </w:t>
      </w:r>
      <w:r w:rsidRPr="008C3D38">
        <w:rPr>
          <w:rFonts w:ascii="Verdana" w:hAnsi="Verdana"/>
          <w:color w:val="0000FF"/>
          <w:u w:val="single"/>
        </w:rPr>
        <w:t>@colombiacompra</w:t>
      </w:r>
      <w:r w:rsidRPr="008C3D38">
        <w:rPr>
          <w:rFonts w:ascii="Verdana" w:hAnsi="Verdana"/>
        </w:rPr>
        <w:t xml:space="preserve"> </w:t>
      </w:r>
    </w:p>
    <w:p w14:paraId="649508D1" w14:textId="77777777" w:rsidR="00E5670D" w:rsidRPr="008C3D38" w:rsidRDefault="00E5670D" w:rsidP="00E5670D">
      <w:pPr>
        <w:spacing w:after="0" w:line="240" w:lineRule="auto"/>
        <w:jc w:val="both"/>
        <w:rPr>
          <w:rFonts w:ascii="Verdana" w:hAnsi="Verdana"/>
        </w:rPr>
      </w:pPr>
      <w:r w:rsidRPr="008C3D38">
        <w:rPr>
          <w:rFonts w:ascii="Verdana" w:hAnsi="Verdana"/>
        </w:rPr>
        <w:t xml:space="preserve">Facebook: </w:t>
      </w:r>
      <w:proofErr w:type="spellStart"/>
      <w:r w:rsidRPr="008C3D38">
        <w:rPr>
          <w:rFonts w:ascii="Verdana" w:hAnsi="Verdana"/>
          <w:color w:val="0000FF"/>
          <w:u w:val="single"/>
        </w:rPr>
        <w:t>ColombiaCompraEficiente</w:t>
      </w:r>
      <w:proofErr w:type="spellEnd"/>
    </w:p>
    <w:p w14:paraId="44802825" w14:textId="77777777" w:rsidR="00E5670D" w:rsidRPr="008C3D38" w:rsidRDefault="00E5670D" w:rsidP="00E5670D">
      <w:pPr>
        <w:spacing w:after="0" w:line="240" w:lineRule="auto"/>
        <w:jc w:val="both"/>
        <w:rPr>
          <w:rFonts w:ascii="Verdana" w:hAnsi="Verdana"/>
        </w:rPr>
      </w:pPr>
      <w:r w:rsidRPr="008C3D38">
        <w:rPr>
          <w:rFonts w:ascii="Verdana" w:hAnsi="Verdana"/>
        </w:rPr>
        <w:t xml:space="preserve">LinkedIn: </w:t>
      </w:r>
      <w:r w:rsidRPr="008C3D38">
        <w:rPr>
          <w:rFonts w:ascii="Verdana" w:hAnsi="Verdana"/>
          <w:color w:val="0000FF"/>
          <w:u w:val="single"/>
        </w:rPr>
        <w:t>Agencia Nacional de Contratación Pública - Colombia Compra Eficiente</w:t>
      </w:r>
      <w:r w:rsidRPr="008C3D38">
        <w:rPr>
          <w:rFonts w:ascii="Verdana" w:hAnsi="Verdana"/>
        </w:rPr>
        <w:t xml:space="preserve"> Instagram: </w:t>
      </w:r>
      <w:r w:rsidRPr="008C3D38">
        <w:rPr>
          <w:rFonts w:ascii="Verdana" w:hAnsi="Verdana"/>
          <w:color w:val="0000FF"/>
          <w:u w:val="single"/>
        </w:rPr>
        <w:t>@colombiacompraeficiente_cce</w:t>
      </w:r>
    </w:p>
    <w:p w14:paraId="0390F4B4" w14:textId="77777777" w:rsidR="00E5670D" w:rsidRPr="008C3D38" w:rsidRDefault="00E5670D" w:rsidP="00E5670D">
      <w:pPr>
        <w:shd w:val="clear" w:color="auto" w:fill="FFFFFF"/>
        <w:spacing w:after="0" w:line="276" w:lineRule="auto"/>
        <w:jc w:val="both"/>
        <w:rPr>
          <w:rFonts w:ascii="Verdana" w:hAnsi="Verdana" w:cs="Arial"/>
          <w:color w:val="FF0000"/>
          <w:shd w:val="clear" w:color="auto" w:fill="FFFFFF"/>
          <w:lang w:val="es-ES_tradnl"/>
        </w:rPr>
      </w:pPr>
      <w:r w:rsidRPr="008C3D38">
        <w:rPr>
          <w:rFonts w:ascii="Verdana" w:hAnsi="Verdana" w:cs="Arial"/>
          <w:color w:val="000000" w:themeColor="text1"/>
          <w:shd w:val="clear" w:color="auto" w:fill="FFFFFF"/>
          <w:lang w:val="es-ES_tradnl"/>
        </w:rPr>
        <w:t xml:space="preserve"> </w:t>
      </w:r>
      <w:r w:rsidRPr="008C3D38">
        <w:rPr>
          <w:rFonts w:ascii="Verdana" w:hAnsi="Verdana" w:cs="Arial"/>
          <w:color w:val="FF0000"/>
          <w:shd w:val="clear" w:color="auto" w:fill="FFFFFF"/>
          <w:lang w:val="es-ES_tradnl"/>
        </w:rPr>
        <w:t xml:space="preserve">        </w:t>
      </w:r>
    </w:p>
    <w:p w14:paraId="6B084806" w14:textId="77777777" w:rsidR="00E5670D" w:rsidRPr="008C3D38" w:rsidRDefault="00E5670D" w:rsidP="00E5670D">
      <w:pPr>
        <w:widowControl w:val="0"/>
        <w:autoSpaceDE w:val="0"/>
        <w:autoSpaceDN w:val="0"/>
        <w:spacing w:after="0" w:line="276" w:lineRule="auto"/>
        <w:jc w:val="both"/>
        <w:rPr>
          <w:rFonts w:ascii="Verdana" w:hAnsi="Verdana" w:cs="Arial"/>
          <w:lang w:val="es-ES_tradnl"/>
        </w:rPr>
      </w:pPr>
      <w:r w:rsidRPr="008C3D38">
        <w:rPr>
          <w:rFonts w:ascii="Verdana" w:hAnsi="Verdana" w:cs="Arial"/>
        </w:rPr>
        <w:t xml:space="preserve">Este concepto tiene el alcance previsto en el artículo 28 del Código de Procedimiento Administrativo y de lo Contencioso Administrativo </w:t>
      </w:r>
      <w:r w:rsidRPr="008C3D38">
        <w:rPr>
          <w:rFonts w:ascii="Verdana" w:hAnsi="Verdana" w:cs="Arial"/>
          <w:lang w:val="es-ES_tradnl"/>
        </w:rPr>
        <w:t xml:space="preserve">y las expresiones aquí utilizadas con mayúscula inicial deben ser entendidas con el significado que les otorga el artículo 2.2.1.1.1.3.1. del Decreto 1082 de 2015. </w:t>
      </w:r>
    </w:p>
    <w:p w14:paraId="37BFF595" w14:textId="77777777" w:rsidR="00E5670D" w:rsidRPr="008C3D38" w:rsidRDefault="00E5670D" w:rsidP="00E5670D">
      <w:pPr>
        <w:widowControl w:val="0"/>
        <w:autoSpaceDE w:val="0"/>
        <w:autoSpaceDN w:val="0"/>
        <w:spacing w:after="0" w:line="276" w:lineRule="auto"/>
        <w:jc w:val="both"/>
        <w:rPr>
          <w:rFonts w:ascii="Verdana" w:hAnsi="Verdana" w:cs="Arial"/>
        </w:rPr>
      </w:pPr>
    </w:p>
    <w:p w14:paraId="5A3D2214" w14:textId="77777777" w:rsidR="00E5670D" w:rsidRPr="008C3D38" w:rsidRDefault="00E5670D" w:rsidP="00E5670D">
      <w:pPr>
        <w:spacing w:after="0" w:line="240" w:lineRule="auto"/>
        <w:rPr>
          <w:rFonts w:ascii="Verdana" w:hAnsi="Verdana" w:cs="Arial"/>
          <w:lang w:eastAsia="es-CO"/>
        </w:rPr>
      </w:pPr>
      <w:r w:rsidRPr="008C3D38">
        <w:rPr>
          <w:rFonts w:ascii="Verdana" w:eastAsia="Times New Roman" w:hAnsi="Verdana" w:cs="Arial"/>
          <w:lang w:eastAsia="es-CO"/>
        </w:rPr>
        <w:t>Atentamente,</w:t>
      </w:r>
      <w:r w:rsidRPr="008C3D38">
        <w:rPr>
          <w:rFonts w:ascii="Verdana" w:hAnsi="Verdana" w:cs="Arial"/>
          <w:lang w:eastAsia="es-CO"/>
        </w:rPr>
        <w:t xml:space="preserve"> </w:t>
      </w:r>
    </w:p>
    <w:p w14:paraId="76514802" w14:textId="77777777" w:rsidR="00E5670D" w:rsidRPr="008C3D38" w:rsidRDefault="00E5670D" w:rsidP="00E5670D">
      <w:pPr>
        <w:spacing w:after="0" w:line="240" w:lineRule="auto"/>
        <w:rPr>
          <w:rFonts w:ascii="Verdana" w:hAnsi="Verdana" w:cs="Arial"/>
          <w:lang w:eastAsia="es-CO"/>
        </w:rPr>
      </w:pPr>
    </w:p>
    <w:p w14:paraId="27446066" w14:textId="7DD320AD" w:rsidR="00E5670D" w:rsidRPr="008C3D38" w:rsidRDefault="00DE60E5" w:rsidP="00E5670D">
      <w:pPr>
        <w:spacing w:line="276" w:lineRule="auto"/>
        <w:jc w:val="center"/>
        <w:rPr>
          <w:rFonts w:ascii="Verdana" w:hAnsi="Verdana" w:cs="Arial"/>
          <w:color w:val="000000"/>
          <w:lang w:val="es-ES_tradnl" w:eastAsia="es-CO"/>
        </w:rPr>
      </w:pPr>
      <w:r w:rsidRPr="002C3AD6">
        <w:rPr>
          <w:rFonts w:ascii="Century Gothic" w:hAnsi="Century Gothic"/>
          <w:noProof/>
          <w:lang w:val="en-US"/>
        </w:rPr>
        <w:lastRenderedPageBreak/>
        <w:drawing>
          <wp:inline distT="0" distB="0" distL="0" distR="0" wp14:anchorId="279985C9" wp14:editId="47AE2A17">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tbl>
      <w:tblPr>
        <w:tblStyle w:val="Tablaconcuadrcula1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670D" w:rsidRPr="008C3D38" w14:paraId="0A29541B" w14:textId="77777777" w:rsidTr="006123C5">
        <w:trPr>
          <w:trHeight w:val="315"/>
        </w:trPr>
        <w:tc>
          <w:tcPr>
            <w:tcW w:w="893" w:type="dxa"/>
            <w:vAlign w:val="center"/>
            <w:hideMark/>
          </w:tcPr>
          <w:p w14:paraId="053303A6" w14:textId="77777777" w:rsidR="00E5670D" w:rsidRPr="008C3D38" w:rsidRDefault="00E5670D" w:rsidP="006123C5">
            <w:pPr>
              <w:contextualSpacing/>
              <w:rPr>
                <w:rFonts w:ascii="Verdana" w:hAnsi="Verdana" w:cs="Arial"/>
                <w:sz w:val="16"/>
                <w:szCs w:val="16"/>
                <w:lang w:val="es-ES" w:eastAsia="es-ES"/>
              </w:rPr>
            </w:pPr>
            <w:r w:rsidRPr="008C3D3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11F9B93" w14:textId="77777777" w:rsidR="00E5670D" w:rsidRPr="008C3D38" w:rsidRDefault="00E5670D" w:rsidP="006123C5">
            <w:pPr>
              <w:contextualSpacing/>
              <w:rPr>
                <w:rFonts w:ascii="Verdana" w:hAnsi="Verdana"/>
                <w:sz w:val="16"/>
                <w:szCs w:val="16"/>
              </w:rPr>
            </w:pPr>
            <w:r w:rsidRPr="008C3D38">
              <w:rPr>
                <w:rFonts w:ascii="Verdana" w:hAnsi="Verdana"/>
                <w:sz w:val="16"/>
                <w:szCs w:val="16"/>
              </w:rPr>
              <w:t>José Luis Sánchez Cardona</w:t>
            </w:r>
          </w:p>
          <w:p w14:paraId="04A00696" w14:textId="77777777" w:rsidR="00E5670D" w:rsidRPr="008C3D38" w:rsidRDefault="00E5670D" w:rsidP="006123C5">
            <w:pPr>
              <w:contextualSpacing/>
              <w:rPr>
                <w:rFonts w:ascii="Verdana" w:eastAsia="Arial" w:hAnsi="Verdana" w:cs="Arial"/>
                <w:sz w:val="16"/>
                <w:szCs w:val="16"/>
              </w:rPr>
            </w:pPr>
            <w:r w:rsidRPr="008C3D38">
              <w:rPr>
                <w:rFonts w:ascii="Verdana" w:hAnsi="Verdana"/>
                <w:sz w:val="16"/>
                <w:szCs w:val="16"/>
              </w:rPr>
              <w:t>Contratista de la Subdirección de Gestión Contractual</w:t>
            </w:r>
          </w:p>
        </w:tc>
      </w:tr>
      <w:tr w:rsidR="00E5670D" w:rsidRPr="008C3D38" w14:paraId="1320D66D" w14:textId="77777777" w:rsidTr="006123C5">
        <w:trPr>
          <w:trHeight w:val="330"/>
        </w:trPr>
        <w:tc>
          <w:tcPr>
            <w:tcW w:w="893" w:type="dxa"/>
            <w:vAlign w:val="center"/>
            <w:hideMark/>
          </w:tcPr>
          <w:p w14:paraId="6E8C3858" w14:textId="77777777" w:rsidR="00E5670D" w:rsidRPr="008C3D38" w:rsidRDefault="00E5670D" w:rsidP="006123C5">
            <w:pPr>
              <w:contextualSpacing/>
              <w:rPr>
                <w:rFonts w:ascii="Verdana" w:hAnsi="Verdana" w:cs="Arial"/>
                <w:sz w:val="16"/>
                <w:szCs w:val="16"/>
                <w:lang w:val="es-ES" w:eastAsia="es-ES"/>
              </w:rPr>
            </w:pPr>
            <w:r w:rsidRPr="008C3D3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5A6C13" w14:textId="77777777" w:rsidR="00E5670D" w:rsidRPr="008C3D38" w:rsidRDefault="00E5670D" w:rsidP="006123C5">
            <w:pPr>
              <w:spacing w:before="100" w:beforeAutospacing="1" w:afterAutospacing="1"/>
              <w:contextualSpacing/>
              <w:textAlignment w:val="baseline"/>
              <w:rPr>
                <w:rFonts w:ascii="Verdana" w:eastAsia="Times New Roman" w:hAnsi="Verdana" w:cs="Arial"/>
                <w:sz w:val="16"/>
                <w:szCs w:val="16"/>
                <w:lang w:val="es-ES_tradnl" w:eastAsia="es-CO"/>
              </w:rPr>
            </w:pPr>
            <w:r w:rsidRPr="008C3D38">
              <w:rPr>
                <w:rFonts w:ascii="Verdana" w:eastAsia="Times New Roman" w:hAnsi="Verdana" w:cs="Arial"/>
                <w:sz w:val="16"/>
                <w:szCs w:val="16"/>
                <w:lang w:val="es-ES_tradnl" w:eastAsia="es-CO"/>
              </w:rPr>
              <w:t>Diana Lucía Saavedra Castañeda</w:t>
            </w:r>
          </w:p>
          <w:p w14:paraId="6BF0E227" w14:textId="77777777" w:rsidR="00E5670D" w:rsidRPr="008C3D38" w:rsidRDefault="00E5670D" w:rsidP="006123C5">
            <w:pPr>
              <w:contextualSpacing/>
              <w:textAlignment w:val="baseline"/>
              <w:rPr>
                <w:rFonts w:ascii="Verdana" w:eastAsia="Times New Roman" w:hAnsi="Verdana" w:cs="Segoe UI"/>
                <w:sz w:val="16"/>
                <w:szCs w:val="16"/>
                <w:lang w:eastAsia="es-CO"/>
              </w:rPr>
            </w:pPr>
            <w:r w:rsidRPr="008C3D38">
              <w:rPr>
                <w:rFonts w:ascii="Verdana" w:eastAsia="Times New Roman" w:hAnsi="Verdana" w:cs="Arial"/>
                <w:sz w:val="16"/>
                <w:szCs w:val="16"/>
                <w:lang w:val="es-ES_tradnl" w:eastAsia="es-CO"/>
              </w:rPr>
              <w:t>Contratista de la Subdirección de Gestión Contractual</w:t>
            </w:r>
          </w:p>
        </w:tc>
      </w:tr>
      <w:tr w:rsidR="00E5670D" w:rsidRPr="008C3D38" w14:paraId="4162FAC5" w14:textId="77777777" w:rsidTr="006123C5">
        <w:trPr>
          <w:trHeight w:val="300"/>
        </w:trPr>
        <w:tc>
          <w:tcPr>
            <w:tcW w:w="893" w:type="dxa"/>
            <w:vAlign w:val="center"/>
          </w:tcPr>
          <w:p w14:paraId="6DCEC892" w14:textId="77777777" w:rsidR="00E5670D" w:rsidRPr="008C3D38" w:rsidRDefault="00E5670D" w:rsidP="006123C5">
            <w:pPr>
              <w:contextualSpacing/>
              <w:rPr>
                <w:rFonts w:ascii="Verdana" w:hAnsi="Verdana" w:cs="Arial"/>
                <w:sz w:val="16"/>
                <w:szCs w:val="16"/>
                <w:lang w:val="es-ES" w:eastAsia="es-ES"/>
              </w:rPr>
            </w:pPr>
            <w:r w:rsidRPr="008C3D3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0F172FD" w14:textId="77777777" w:rsidR="00E5670D" w:rsidRPr="008C3D38" w:rsidRDefault="00E5670D" w:rsidP="006123C5">
            <w:pPr>
              <w:contextualSpacing/>
              <w:rPr>
                <w:rFonts w:ascii="Verdana" w:hAnsi="Verdana" w:cs="Arial"/>
                <w:sz w:val="16"/>
                <w:szCs w:val="16"/>
                <w:lang w:val="pt-BR" w:eastAsia="es-ES"/>
              </w:rPr>
            </w:pPr>
            <w:r w:rsidRPr="008C3D38">
              <w:rPr>
                <w:rFonts w:ascii="Verdana" w:hAnsi="Verdana" w:cs="Arial"/>
                <w:sz w:val="16"/>
                <w:szCs w:val="16"/>
                <w:lang w:val="pt-BR" w:eastAsia="es-ES"/>
              </w:rPr>
              <w:t xml:space="preserve">Carolina Quintero </w:t>
            </w:r>
            <w:proofErr w:type="spellStart"/>
            <w:r w:rsidRPr="008C3D38">
              <w:rPr>
                <w:rFonts w:ascii="Verdana" w:hAnsi="Verdana" w:cs="Arial"/>
                <w:sz w:val="16"/>
                <w:szCs w:val="16"/>
                <w:lang w:val="pt-BR" w:eastAsia="es-ES"/>
              </w:rPr>
              <w:t>Gacharná</w:t>
            </w:r>
            <w:proofErr w:type="spellEnd"/>
          </w:p>
          <w:p w14:paraId="39D527C1" w14:textId="77777777" w:rsidR="00E5670D" w:rsidRPr="008C3D38" w:rsidRDefault="00E5670D" w:rsidP="006123C5">
            <w:pPr>
              <w:contextualSpacing/>
              <w:rPr>
                <w:rFonts w:ascii="Verdana" w:hAnsi="Verdana" w:cs="Arial"/>
                <w:sz w:val="16"/>
                <w:szCs w:val="16"/>
                <w:lang w:val="pt-BR" w:eastAsia="es-ES"/>
              </w:rPr>
            </w:pPr>
            <w:r w:rsidRPr="008C3D38">
              <w:rPr>
                <w:rFonts w:ascii="Verdana" w:hAnsi="Verdana" w:cs="Arial"/>
                <w:sz w:val="16"/>
                <w:szCs w:val="16"/>
                <w:lang w:eastAsia="es-ES"/>
              </w:rPr>
              <w:t>Subdirectora</w:t>
            </w:r>
            <w:r w:rsidRPr="008C3D38">
              <w:rPr>
                <w:rFonts w:ascii="Verdana" w:hAnsi="Verdana" w:cs="Arial"/>
                <w:sz w:val="16"/>
                <w:szCs w:val="16"/>
                <w:lang w:val="pt-BR" w:eastAsia="es-ES"/>
              </w:rPr>
              <w:t xml:space="preserve"> de Gestión </w:t>
            </w:r>
            <w:proofErr w:type="spellStart"/>
            <w:r w:rsidRPr="008C3D38">
              <w:rPr>
                <w:rFonts w:ascii="Verdana" w:hAnsi="Verdana" w:cs="Arial"/>
                <w:sz w:val="16"/>
                <w:szCs w:val="16"/>
                <w:lang w:val="pt-BR" w:eastAsia="es-ES"/>
              </w:rPr>
              <w:t>Contractual</w:t>
            </w:r>
            <w:proofErr w:type="spellEnd"/>
            <w:r w:rsidRPr="008C3D38">
              <w:rPr>
                <w:rFonts w:ascii="Verdana" w:hAnsi="Verdana" w:cs="Arial"/>
                <w:sz w:val="16"/>
                <w:szCs w:val="16"/>
                <w:lang w:val="pt-BR" w:eastAsia="es-ES"/>
              </w:rPr>
              <w:t xml:space="preserve"> ANCP – CCE</w:t>
            </w:r>
          </w:p>
        </w:tc>
      </w:tr>
    </w:tbl>
    <w:p w14:paraId="0D3B2160" w14:textId="77777777" w:rsidR="00E5670D" w:rsidRPr="000E2B93" w:rsidRDefault="00E5670D" w:rsidP="00E5670D">
      <w:pPr>
        <w:spacing w:after="0" w:line="240" w:lineRule="auto"/>
        <w:textAlignment w:val="baseline"/>
        <w:rPr>
          <w:rFonts w:ascii="Verdana" w:eastAsia="Verdana" w:hAnsi="Verdana" w:cs="Verdana"/>
          <w:lang w:eastAsia="es-CO"/>
        </w:rPr>
      </w:pPr>
    </w:p>
    <w:p w14:paraId="307C1021" w14:textId="03434C7B" w:rsidR="00E5670D" w:rsidRPr="000E2B93" w:rsidRDefault="00E5670D" w:rsidP="00E5670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73C61EC8" w14:textId="285376A2" w:rsidR="00EB224C" w:rsidRPr="00E5670D" w:rsidRDefault="00EB224C" w:rsidP="00E5670D"/>
    <w:sectPr w:rsidR="00EB224C" w:rsidRPr="00E5670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A1825" w14:textId="77777777" w:rsidR="00317E89" w:rsidRDefault="00317E89" w:rsidP="004A1847">
      <w:pPr>
        <w:spacing w:after="0" w:line="240" w:lineRule="auto"/>
      </w:pPr>
      <w:r>
        <w:separator/>
      </w:r>
    </w:p>
  </w:endnote>
  <w:endnote w:type="continuationSeparator" w:id="0">
    <w:p w14:paraId="587C1FA7" w14:textId="77777777" w:rsidR="00317E89" w:rsidRDefault="00317E8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2C86C885"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E53D6" w:rsidRPr="005E53D6">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09600" w14:textId="77777777" w:rsidR="00317E89" w:rsidRDefault="00317E89" w:rsidP="004A1847">
      <w:pPr>
        <w:spacing w:after="0" w:line="240" w:lineRule="auto"/>
      </w:pPr>
      <w:r>
        <w:separator/>
      </w:r>
    </w:p>
  </w:footnote>
  <w:footnote w:type="continuationSeparator" w:id="0">
    <w:p w14:paraId="322930AD" w14:textId="77777777" w:rsidR="00317E89" w:rsidRDefault="00317E89" w:rsidP="004A1847">
      <w:pPr>
        <w:spacing w:after="0" w:line="240" w:lineRule="auto"/>
      </w:pPr>
      <w:r>
        <w:continuationSeparator/>
      </w:r>
    </w:p>
  </w:footnote>
  <w:footnote w:id="1">
    <w:p w14:paraId="366EBA59" w14:textId="77777777" w:rsidR="00E5670D" w:rsidRPr="00513CDC" w:rsidRDefault="00E5670D" w:rsidP="00E5670D">
      <w:pPr>
        <w:spacing w:after="0" w:line="240" w:lineRule="auto"/>
        <w:ind w:right="114"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69. Se garantiza la autonomía universitaria. Las universidades podrán darse sus directivas y regirse por sus</w:t>
      </w:r>
      <w:r w:rsidRPr="00513CDC">
        <w:rPr>
          <w:rFonts w:ascii="Verdana" w:hAnsi="Verdana" w:cs="Arial"/>
          <w:spacing w:val="-2"/>
          <w:sz w:val="16"/>
          <w:szCs w:val="16"/>
        </w:rPr>
        <w:t xml:space="preserve"> </w:t>
      </w:r>
      <w:r w:rsidRPr="00513CDC">
        <w:rPr>
          <w:rFonts w:ascii="Verdana" w:hAnsi="Verdana" w:cs="Arial"/>
          <w:sz w:val="16"/>
          <w:szCs w:val="16"/>
        </w:rPr>
        <w:t>propios</w:t>
      </w:r>
      <w:r w:rsidRPr="00513CDC">
        <w:rPr>
          <w:rFonts w:ascii="Verdana" w:hAnsi="Verdana" w:cs="Arial"/>
          <w:spacing w:val="-2"/>
          <w:sz w:val="16"/>
          <w:szCs w:val="16"/>
        </w:rPr>
        <w:t xml:space="preserve"> </w:t>
      </w:r>
      <w:r w:rsidRPr="00513CDC">
        <w:rPr>
          <w:rFonts w:ascii="Verdana" w:hAnsi="Verdana" w:cs="Arial"/>
          <w:sz w:val="16"/>
          <w:szCs w:val="16"/>
        </w:rPr>
        <w:t>estatutos,</w:t>
      </w:r>
      <w:r w:rsidRPr="00513CDC">
        <w:rPr>
          <w:rFonts w:ascii="Verdana" w:hAnsi="Verdana" w:cs="Arial"/>
          <w:spacing w:val="-4"/>
          <w:sz w:val="16"/>
          <w:szCs w:val="16"/>
        </w:rPr>
        <w:t xml:space="preserve"> </w:t>
      </w:r>
      <w:r w:rsidRPr="00513CDC">
        <w:rPr>
          <w:rFonts w:ascii="Verdana" w:hAnsi="Verdana" w:cs="Arial"/>
          <w:sz w:val="16"/>
          <w:szCs w:val="16"/>
        </w:rPr>
        <w:t>de</w:t>
      </w:r>
      <w:r w:rsidRPr="00513CDC">
        <w:rPr>
          <w:rFonts w:ascii="Verdana" w:hAnsi="Verdana" w:cs="Arial"/>
          <w:spacing w:val="-4"/>
          <w:sz w:val="16"/>
          <w:szCs w:val="16"/>
        </w:rPr>
        <w:t xml:space="preserve"> </w:t>
      </w:r>
      <w:r w:rsidRPr="00513CDC">
        <w:rPr>
          <w:rFonts w:ascii="Verdana" w:hAnsi="Verdana" w:cs="Arial"/>
          <w:sz w:val="16"/>
          <w:szCs w:val="16"/>
        </w:rPr>
        <w:t>acuerdo</w:t>
      </w:r>
      <w:r w:rsidRPr="00513CDC">
        <w:rPr>
          <w:rFonts w:ascii="Verdana" w:hAnsi="Verdana" w:cs="Arial"/>
          <w:spacing w:val="-4"/>
          <w:sz w:val="16"/>
          <w:szCs w:val="16"/>
        </w:rPr>
        <w:t xml:space="preserve"> </w:t>
      </w:r>
      <w:r w:rsidRPr="00513CDC">
        <w:rPr>
          <w:rFonts w:ascii="Verdana" w:hAnsi="Verdana" w:cs="Arial"/>
          <w:sz w:val="16"/>
          <w:szCs w:val="16"/>
        </w:rPr>
        <w:t>con</w:t>
      </w:r>
      <w:r w:rsidRPr="00513CDC">
        <w:rPr>
          <w:rFonts w:ascii="Verdana" w:hAnsi="Verdana" w:cs="Arial"/>
          <w:spacing w:val="-1"/>
          <w:sz w:val="16"/>
          <w:szCs w:val="16"/>
        </w:rPr>
        <w:t xml:space="preserve"> </w:t>
      </w:r>
      <w:r w:rsidRPr="00513CDC">
        <w:rPr>
          <w:rFonts w:ascii="Verdana" w:hAnsi="Verdana" w:cs="Arial"/>
          <w:sz w:val="16"/>
          <w:szCs w:val="16"/>
        </w:rPr>
        <w:t>la</w:t>
      </w:r>
      <w:r w:rsidRPr="00513CDC">
        <w:rPr>
          <w:rFonts w:ascii="Verdana" w:hAnsi="Verdana" w:cs="Arial"/>
          <w:spacing w:val="-1"/>
          <w:sz w:val="16"/>
          <w:szCs w:val="16"/>
        </w:rPr>
        <w:t xml:space="preserve"> </w:t>
      </w:r>
      <w:r w:rsidRPr="00513CDC">
        <w:rPr>
          <w:rFonts w:ascii="Verdana" w:hAnsi="Verdana" w:cs="Arial"/>
          <w:sz w:val="16"/>
          <w:szCs w:val="16"/>
        </w:rPr>
        <w:t>ley.</w:t>
      </w:r>
      <w:r w:rsidRPr="00513CDC">
        <w:rPr>
          <w:rFonts w:ascii="Verdana" w:hAnsi="Verdana" w:cs="Arial"/>
          <w:spacing w:val="-2"/>
          <w:sz w:val="16"/>
          <w:szCs w:val="16"/>
        </w:rPr>
        <w:t xml:space="preserve"> </w:t>
      </w:r>
      <w:r w:rsidRPr="00513CDC">
        <w:rPr>
          <w:rFonts w:ascii="Verdana" w:hAnsi="Verdana" w:cs="Arial"/>
          <w:sz w:val="16"/>
          <w:szCs w:val="16"/>
        </w:rPr>
        <w:t>La</w:t>
      </w:r>
      <w:r w:rsidRPr="00513CDC">
        <w:rPr>
          <w:rFonts w:ascii="Verdana" w:hAnsi="Verdana" w:cs="Arial"/>
          <w:spacing w:val="-1"/>
          <w:sz w:val="16"/>
          <w:szCs w:val="16"/>
        </w:rPr>
        <w:t xml:space="preserve"> </w:t>
      </w:r>
      <w:r w:rsidRPr="00513CDC">
        <w:rPr>
          <w:rFonts w:ascii="Verdana" w:hAnsi="Verdana" w:cs="Arial"/>
          <w:sz w:val="16"/>
          <w:szCs w:val="16"/>
        </w:rPr>
        <w:t>ley</w:t>
      </w:r>
      <w:r w:rsidRPr="00513CDC">
        <w:rPr>
          <w:rFonts w:ascii="Verdana" w:hAnsi="Verdana" w:cs="Arial"/>
          <w:spacing w:val="-5"/>
          <w:sz w:val="16"/>
          <w:szCs w:val="16"/>
        </w:rPr>
        <w:t xml:space="preserve"> </w:t>
      </w:r>
      <w:r w:rsidRPr="00513CDC">
        <w:rPr>
          <w:rFonts w:ascii="Verdana" w:hAnsi="Verdana" w:cs="Arial"/>
          <w:sz w:val="16"/>
          <w:szCs w:val="16"/>
        </w:rPr>
        <w:t>establecerá</w:t>
      </w:r>
      <w:r w:rsidRPr="00513CDC">
        <w:rPr>
          <w:rFonts w:ascii="Verdana" w:hAnsi="Verdana" w:cs="Arial"/>
          <w:spacing w:val="-1"/>
          <w:sz w:val="16"/>
          <w:szCs w:val="16"/>
        </w:rPr>
        <w:t xml:space="preserve"> </w:t>
      </w:r>
      <w:r w:rsidRPr="00513CDC">
        <w:rPr>
          <w:rFonts w:ascii="Verdana" w:hAnsi="Verdana" w:cs="Arial"/>
          <w:sz w:val="16"/>
          <w:szCs w:val="16"/>
        </w:rPr>
        <w:t>un</w:t>
      </w:r>
      <w:r w:rsidRPr="00513CDC">
        <w:rPr>
          <w:rFonts w:ascii="Verdana" w:hAnsi="Verdana" w:cs="Arial"/>
          <w:spacing w:val="-1"/>
          <w:sz w:val="16"/>
          <w:szCs w:val="16"/>
        </w:rPr>
        <w:t xml:space="preserve"> </w:t>
      </w:r>
      <w:r w:rsidRPr="00513CDC">
        <w:rPr>
          <w:rFonts w:ascii="Verdana" w:hAnsi="Verdana" w:cs="Arial"/>
          <w:sz w:val="16"/>
          <w:szCs w:val="16"/>
        </w:rPr>
        <w:t>régimen</w:t>
      </w:r>
      <w:r w:rsidRPr="00513CDC">
        <w:rPr>
          <w:rFonts w:ascii="Verdana" w:hAnsi="Verdana" w:cs="Arial"/>
          <w:spacing w:val="-4"/>
          <w:sz w:val="16"/>
          <w:szCs w:val="16"/>
        </w:rPr>
        <w:t xml:space="preserve"> </w:t>
      </w:r>
      <w:r w:rsidRPr="00513CDC">
        <w:rPr>
          <w:rFonts w:ascii="Verdana" w:hAnsi="Verdana" w:cs="Arial"/>
          <w:sz w:val="16"/>
          <w:szCs w:val="16"/>
        </w:rPr>
        <w:t>especial</w:t>
      </w:r>
      <w:r w:rsidRPr="00513CDC">
        <w:rPr>
          <w:rFonts w:ascii="Verdana" w:hAnsi="Verdana" w:cs="Arial"/>
          <w:spacing w:val="-5"/>
          <w:sz w:val="16"/>
          <w:szCs w:val="16"/>
        </w:rPr>
        <w:t xml:space="preserve"> </w:t>
      </w:r>
      <w:r w:rsidRPr="00513CDC">
        <w:rPr>
          <w:rFonts w:ascii="Verdana" w:hAnsi="Verdana" w:cs="Arial"/>
          <w:sz w:val="16"/>
          <w:szCs w:val="16"/>
        </w:rPr>
        <w:t>para</w:t>
      </w:r>
      <w:r w:rsidRPr="00513CDC">
        <w:rPr>
          <w:rFonts w:ascii="Verdana" w:hAnsi="Verdana" w:cs="Arial"/>
          <w:spacing w:val="-1"/>
          <w:sz w:val="16"/>
          <w:szCs w:val="16"/>
        </w:rPr>
        <w:t xml:space="preserve"> </w:t>
      </w:r>
      <w:r w:rsidRPr="00513CDC">
        <w:rPr>
          <w:rFonts w:ascii="Verdana" w:hAnsi="Verdana" w:cs="Arial"/>
          <w:sz w:val="16"/>
          <w:szCs w:val="16"/>
        </w:rPr>
        <w:t>las</w:t>
      </w:r>
      <w:r w:rsidRPr="00513CDC">
        <w:rPr>
          <w:rFonts w:ascii="Verdana" w:hAnsi="Verdana" w:cs="Arial"/>
          <w:spacing w:val="-5"/>
          <w:sz w:val="16"/>
          <w:szCs w:val="16"/>
        </w:rPr>
        <w:t xml:space="preserve"> </w:t>
      </w:r>
      <w:r w:rsidRPr="00513CDC">
        <w:rPr>
          <w:rFonts w:ascii="Verdana" w:hAnsi="Verdana" w:cs="Arial"/>
          <w:sz w:val="16"/>
          <w:szCs w:val="16"/>
        </w:rPr>
        <w:t>universidades</w:t>
      </w:r>
      <w:r w:rsidRPr="00513CDC">
        <w:rPr>
          <w:rFonts w:ascii="Verdana" w:hAnsi="Verdana" w:cs="Arial"/>
          <w:spacing w:val="-2"/>
          <w:sz w:val="16"/>
          <w:szCs w:val="16"/>
        </w:rPr>
        <w:t xml:space="preserve"> </w:t>
      </w:r>
      <w:r w:rsidRPr="00513CDC">
        <w:rPr>
          <w:rFonts w:ascii="Verdana" w:hAnsi="Verdana" w:cs="Arial"/>
          <w:sz w:val="16"/>
          <w:szCs w:val="16"/>
        </w:rPr>
        <w:t>del</w:t>
      </w:r>
      <w:r w:rsidRPr="00513CDC">
        <w:rPr>
          <w:rFonts w:ascii="Verdana" w:hAnsi="Verdana" w:cs="Arial"/>
          <w:spacing w:val="-3"/>
          <w:sz w:val="16"/>
          <w:szCs w:val="16"/>
        </w:rPr>
        <w:t xml:space="preserve"> </w:t>
      </w:r>
      <w:r w:rsidRPr="00513CDC">
        <w:rPr>
          <w:rFonts w:ascii="Verdana" w:hAnsi="Verdana" w:cs="Arial"/>
          <w:sz w:val="16"/>
          <w:szCs w:val="16"/>
        </w:rPr>
        <w:t>Estado”.</w:t>
      </w:r>
    </w:p>
    <w:p w14:paraId="50EFC564" w14:textId="77777777" w:rsidR="00E5670D" w:rsidRPr="00513CDC" w:rsidRDefault="00E5670D" w:rsidP="00E5670D">
      <w:pPr>
        <w:pStyle w:val="Textonotapie"/>
        <w:jc w:val="both"/>
        <w:rPr>
          <w:rFonts w:ascii="Verdana" w:hAnsi="Verdana" w:cs="Arial"/>
          <w:sz w:val="16"/>
          <w:szCs w:val="16"/>
        </w:rPr>
      </w:pPr>
      <w:r w:rsidRPr="00513CDC">
        <w:rPr>
          <w:rFonts w:ascii="Verdana" w:hAnsi="Verdana" w:cs="Arial"/>
          <w:sz w:val="16"/>
          <w:szCs w:val="16"/>
        </w:rPr>
        <w:tab/>
      </w:r>
    </w:p>
  </w:footnote>
  <w:footnote w:id="2">
    <w:p w14:paraId="19747E19" w14:textId="77777777" w:rsidR="00E5670D" w:rsidRPr="00513CDC" w:rsidRDefault="00E5670D" w:rsidP="00E5670D">
      <w:pPr>
        <w:pStyle w:val="Textonotapie"/>
        <w:ind w:firstLine="708"/>
        <w:jc w:val="both"/>
        <w:rPr>
          <w:rFonts w:ascii="Verdana" w:hAnsi="Verdana"/>
          <w:sz w:val="16"/>
          <w:szCs w:val="16"/>
          <w:lang w:val="es-CO"/>
        </w:rPr>
      </w:pPr>
      <w:r w:rsidRPr="00513CDC">
        <w:rPr>
          <w:rStyle w:val="Refdenotaalpie"/>
          <w:rFonts w:ascii="Verdana" w:hAnsi="Verdana"/>
          <w:sz w:val="16"/>
          <w:szCs w:val="16"/>
        </w:rPr>
        <w:footnoteRef/>
      </w:r>
      <w:r w:rsidRPr="00513CDC">
        <w:rPr>
          <w:rFonts w:ascii="Verdana" w:hAnsi="Verdana"/>
          <w:sz w:val="16"/>
          <w:szCs w:val="16"/>
        </w:rPr>
        <w:t xml:space="preserve"> </w:t>
      </w:r>
      <w:r w:rsidRPr="00513CDC">
        <w:rPr>
          <w:rFonts w:ascii="Verdana" w:hAnsi="Verdana"/>
          <w:bCs/>
          <w:sz w:val="16"/>
          <w:szCs w:val="16"/>
          <w:lang w:val="es-CO"/>
        </w:rPr>
        <w:t>Artículo 113.</w:t>
      </w:r>
      <w:r w:rsidRPr="00513CDC">
        <w:rPr>
          <w:rFonts w:ascii="Verdana" w:hAnsi="Verdana"/>
          <w:sz w:val="16"/>
          <w:szCs w:val="16"/>
          <w:lang w:val="es-CO"/>
        </w:rPr>
        <w:t> Son Ramas del Poder Público, la legislativa, la ejecutiva y la judicial. </w:t>
      </w:r>
    </w:p>
    <w:p w14:paraId="251646B9" w14:textId="77777777" w:rsidR="00E5670D" w:rsidRPr="00513CDC" w:rsidRDefault="00E5670D" w:rsidP="00E5670D">
      <w:pPr>
        <w:pStyle w:val="Textonotapie"/>
        <w:ind w:firstLine="708"/>
        <w:jc w:val="both"/>
        <w:rPr>
          <w:rFonts w:ascii="Verdana" w:hAnsi="Verdana"/>
          <w:sz w:val="16"/>
          <w:szCs w:val="16"/>
          <w:lang w:val="es-CO"/>
        </w:rPr>
      </w:pPr>
      <w:r w:rsidRPr="00513CDC">
        <w:rPr>
          <w:rFonts w:ascii="Verdana" w:hAnsi="Verdana"/>
          <w:sz w:val="16"/>
          <w:szCs w:val="16"/>
          <w:lang w:val="es-CO"/>
        </w:rPr>
        <w:t>Además de los órganos que las integran existen otros, autónomos e independientes, para el cumplimiento de las demás funciones del Estado. Los diferentes órganos del Estado tienen funciones separadas pero colaboran armónicamente para la realización de sus fines. </w:t>
      </w:r>
    </w:p>
    <w:p w14:paraId="62A3DF2D" w14:textId="77777777" w:rsidR="00E5670D" w:rsidRPr="00513CDC" w:rsidRDefault="00E5670D" w:rsidP="00E5670D">
      <w:pPr>
        <w:pStyle w:val="Textonotapie"/>
        <w:jc w:val="both"/>
        <w:rPr>
          <w:rFonts w:ascii="Verdana" w:hAnsi="Verdana"/>
          <w:sz w:val="16"/>
          <w:szCs w:val="16"/>
          <w:lang w:val="es-CO"/>
        </w:rPr>
      </w:pPr>
    </w:p>
  </w:footnote>
  <w:footnote w:id="3">
    <w:p w14:paraId="43B5B57D" w14:textId="77777777" w:rsidR="00E5670D" w:rsidRPr="00513CDC" w:rsidRDefault="00E5670D" w:rsidP="00E5670D">
      <w:pPr>
        <w:pStyle w:val="Textonotapie"/>
        <w:ind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2D0044B8" w14:textId="77777777" w:rsidR="00E5670D" w:rsidRPr="00513CDC" w:rsidRDefault="00E5670D" w:rsidP="00E5670D">
      <w:pPr>
        <w:pStyle w:val="Textonotapie"/>
        <w:ind w:firstLine="708"/>
        <w:jc w:val="both"/>
        <w:rPr>
          <w:rFonts w:ascii="Verdana" w:hAnsi="Verdana" w:cs="Arial"/>
          <w:sz w:val="16"/>
          <w:szCs w:val="16"/>
        </w:rPr>
      </w:pPr>
      <w:r w:rsidRPr="00513CDC">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7E59052E" w14:textId="77777777" w:rsidR="00E5670D" w:rsidRPr="00513CDC" w:rsidRDefault="00E5670D" w:rsidP="00E5670D">
      <w:pPr>
        <w:pStyle w:val="Textonotapie"/>
        <w:jc w:val="both"/>
        <w:rPr>
          <w:rFonts w:ascii="Verdana" w:hAnsi="Verdana" w:cs="Arial"/>
          <w:sz w:val="16"/>
          <w:szCs w:val="16"/>
          <w:lang w:val="es-CO"/>
        </w:rPr>
      </w:pPr>
      <w:r w:rsidRPr="00513CDC">
        <w:rPr>
          <w:rFonts w:ascii="Verdana" w:hAnsi="Verdana" w:cs="Arial"/>
          <w:sz w:val="16"/>
          <w:szCs w:val="16"/>
        </w:rPr>
        <w:tab/>
      </w:r>
      <w:r w:rsidRPr="00513CDC">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3828BAB6" w14:textId="77777777" w:rsidR="00E5670D" w:rsidRPr="00A70144" w:rsidRDefault="00E5670D" w:rsidP="00E5670D">
      <w:pPr>
        <w:pStyle w:val="Textonotapie"/>
        <w:jc w:val="both"/>
        <w:rPr>
          <w:rFonts w:ascii="Verdana" w:hAnsi="Verdana" w:cs="Arial"/>
          <w:sz w:val="16"/>
          <w:szCs w:val="16"/>
          <w:lang w:val="es-ES"/>
        </w:rPr>
      </w:pPr>
      <w:r w:rsidRPr="00A70144">
        <w:rPr>
          <w:rFonts w:ascii="Verdana" w:hAnsi="Verdana" w:cs="Arial"/>
          <w:sz w:val="16"/>
          <w:szCs w:val="16"/>
          <w:lang w:val="es-ES"/>
        </w:rPr>
        <w:tab/>
      </w:r>
    </w:p>
  </w:footnote>
  <w:footnote w:id="4">
    <w:p w14:paraId="0D8F9B7B" w14:textId="77777777" w:rsidR="00E5670D" w:rsidRPr="00513CDC" w:rsidRDefault="00E5670D" w:rsidP="00E5670D">
      <w:pPr>
        <w:spacing w:after="0" w:line="240" w:lineRule="auto"/>
        <w:ind w:right="106"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594C7C79" w14:textId="77777777" w:rsidR="00E5670D" w:rsidRPr="00513CDC" w:rsidRDefault="00E5670D" w:rsidP="00E5670D">
      <w:pPr>
        <w:spacing w:after="0" w:line="240" w:lineRule="auto"/>
        <w:ind w:right="106" w:firstLine="708"/>
        <w:jc w:val="both"/>
        <w:rPr>
          <w:rFonts w:ascii="Verdana" w:hAnsi="Verdana" w:cs="Arial"/>
          <w:sz w:val="16"/>
          <w:szCs w:val="16"/>
        </w:rPr>
      </w:pPr>
    </w:p>
  </w:footnote>
  <w:footnote w:id="5">
    <w:p w14:paraId="66501009" w14:textId="77777777" w:rsidR="00E5670D" w:rsidRPr="00513CDC" w:rsidRDefault="00E5670D" w:rsidP="00E5670D">
      <w:pPr>
        <w:spacing w:after="0" w:line="240" w:lineRule="auto"/>
        <w:ind w:right="106"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2884208F" w14:textId="77777777" w:rsidR="00E5670D" w:rsidRPr="00513CDC" w:rsidRDefault="00E5670D" w:rsidP="00E5670D">
      <w:pPr>
        <w:spacing w:after="0" w:line="240" w:lineRule="auto"/>
        <w:ind w:right="106" w:firstLine="708"/>
        <w:jc w:val="both"/>
        <w:rPr>
          <w:rFonts w:ascii="Verdana" w:hAnsi="Verdana" w:cs="Arial"/>
          <w:sz w:val="16"/>
          <w:szCs w:val="16"/>
        </w:rPr>
      </w:pPr>
    </w:p>
  </w:footnote>
  <w:footnote w:id="6">
    <w:p w14:paraId="6FE1C804" w14:textId="77777777" w:rsidR="00E5670D" w:rsidRPr="00513CDC" w:rsidRDefault="00E5670D" w:rsidP="00E5670D">
      <w:pPr>
        <w:spacing w:after="0" w:line="240" w:lineRule="auto"/>
        <w:ind w:firstLine="708"/>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Corte Constitucional. Sentencia C-121 de 2003. M.P. Clara Inés Vargas Hernández.</w:t>
      </w:r>
    </w:p>
    <w:p w14:paraId="43C338E4" w14:textId="77777777" w:rsidR="00E5670D" w:rsidRPr="00513CDC" w:rsidRDefault="00E5670D" w:rsidP="00E5670D">
      <w:pPr>
        <w:spacing w:after="0" w:line="240" w:lineRule="auto"/>
        <w:jc w:val="both"/>
        <w:rPr>
          <w:rFonts w:ascii="Verdana" w:hAnsi="Verdana" w:cs="Arial"/>
          <w:sz w:val="16"/>
          <w:szCs w:val="16"/>
        </w:rPr>
      </w:pPr>
      <w:r w:rsidRPr="00513CDC">
        <w:rPr>
          <w:rFonts w:ascii="Verdana" w:hAnsi="Verdana" w:cs="Arial"/>
          <w:sz w:val="16"/>
          <w:szCs w:val="16"/>
        </w:rPr>
        <w:tab/>
      </w:r>
    </w:p>
  </w:footnote>
  <w:footnote w:id="7">
    <w:p w14:paraId="336A4AFC" w14:textId="77777777" w:rsidR="00E5670D" w:rsidRPr="00513CDC" w:rsidRDefault="00E5670D" w:rsidP="00E5670D">
      <w:pPr>
        <w:spacing w:after="0" w:line="240" w:lineRule="auto"/>
        <w:ind w:left="-1" w:right="110" w:firstLine="709"/>
        <w:jc w:val="both"/>
        <w:rPr>
          <w:rFonts w:ascii="Verdana" w:hAnsi="Verdana" w:cs="Arial"/>
          <w:sz w:val="16"/>
          <w:szCs w:val="16"/>
        </w:rPr>
      </w:pPr>
      <w:r w:rsidRPr="00513CDC">
        <w:rPr>
          <w:rStyle w:val="Refdenotaalpie"/>
          <w:rFonts w:ascii="Verdana" w:hAnsi="Verdana" w:cs="Arial"/>
          <w:sz w:val="16"/>
          <w:szCs w:val="16"/>
        </w:rPr>
        <w:footnoteRef/>
      </w:r>
      <w:r w:rsidRPr="00513CDC">
        <w:rPr>
          <w:rFonts w:ascii="Verdana" w:hAnsi="Verdana" w:cs="Arial"/>
          <w:sz w:val="16"/>
          <w:szCs w:val="16"/>
        </w:rPr>
        <w:t xml:space="preserve"> Corte</w:t>
      </w:r>
      <w:r w:rsidRPr="00513CDC">
        <w:rPr>
          <w:rFonts w:ascii="Verdana" w:hAnsi="Verdana" w:cs="Arial"/>
          <w:spacing w:val="10"/>
          <w:sz w:val="16"/>
          <w:szCs w:val="16"/>
        </w:rPr>
        <w:t xml:space="preserve"> </w:t>
      </w:r>
      <w:r w:rsidRPr="00513CDC">
        <w:rPr>
          <w:rFonts w:ascii="Verdana" w:hAnsi="Verdana" w:cs="Arial"/>
          <w:sz w:val="16"/>
          <w:szCs w:val="16"/>
        </w:rPr>
        <w:t>Constitucional.</w:t>
      </w:r>
      <w:r w:rsidRPr="00513CDC">
        <w:rPr>
          <w:rFonts w:ascii="Verdana" w:hAnsi="Verdana" w:cs="Arial"/>
          <w:spacing w:val="11"/>
          <w:sz w:val="16"/>
          <w:szCs w:val="16"/>
        </w:rPr>
        <w:t xml:space="preserve"> </w:t>
      </w:r>
      <w:r w:rsidRPr="00513CDC">
        <w:rPr>
          <w:rFonts w:ascii="Verdana" w:hAnsi="Verdana" w:cs="Arial"/>
          <w:sz w:val="16"/>
          <w:szCs w:val="16"/>
        </w:rPr>
        <w:t>Sentencia</w:t>
      </w:r>
      <w:r w:rsidRPr="00513CDC">
        <w:rPr>
          <w:rFonts w:ascii="Verdana" w:hAnsi="Verdana" w:cs="Arial"/>
          <w:spacing w:val="10"/>
          <w:sz w:val="16"/>
          <w:szCs w:val="16"/>
        </w:rPr>
        <w:t xml:space="preserve"> </w:t>
      </w:r>
      <w:r w:rsidRPr="00513CDC">
        <w:rPr>
          <w:rFonts w:ascii="Verdana" w:hAnsi="Verdana" w:cs="Arial"/>
          <w:sz w:val="16"/>
          <w:szCs w:val="16"/>
        </w:rPr>
        <w:t>C-1019</w:t>
      </w:r>
      <w:r w:rsidRPr="00513CDC">
        <w:rPr>
          <w:rFonts w:ascii="Verdana" w:hAnsi="Verdana" w:cs="Arial"/>
          <w:spacing w:val="10"/>
          <w:sz w:val="16"/>
          <w:szCs w:val="16"/>
        </w:rPr>
        <w:t xml:space="preserve"> </w:t>
      </w:r>
      <w:r w:rsidRPr="00513CDC">
        <w:rPr>
          <w:rFonts w:ascii="Verdana" w:hAnsi="Verdana" w:cs="Arial"/>
          <w:sz w:val="16"/>
          <w:szCs w:val="16"/>
        </w:rPr>
        <w:t>del</w:t>
      </w:r>
      <w:r w:rsidRPr="00513CDC">
        <w:rPr>
          <w:rFonts w:ascii="Verdana" w:hAnsi="Verdana" w:cs="Arial"/>
          <w:spacing w:val="9"/>
          <w:sz w:val="16"/>
          <w:szCs w:val="16"/>
        </w:rPr>
        <w:t xml:space="preserve"> </w:t>
      </w:r>
      <w:r w:rsidRPr="00513CDC">
        <w:rPr>
          <w:rFonts w:ascii="Verdana" w:hAnsi="Verdana" w:cs="Arial"/>
          <w:sz w:val="16"/>
          <w:szCs w:val="16"/>
        </w:rPr>
        <w:t>28</w:t>
      </w:r>
      <w:r w:rsidRPr="00513CDC">
        <w:rPr>
          <w:rFonts w:ascii="Verdana" w:hAnsi="Verdana" w:cs="Arial"/>
          <w:spacing w:val="10"/>
          <w:sz w:val="16"/>
          <w:szCs w:val="16"/>
        </w:rPr>
        <w:t xml:space="preserve"> </w:t>
      </w:r>
      <w:r w:rsidRPr="00513CDC">
        <w:rPr>
          <w:rFonts w:ascii="Verdana" w:hAnsi="Verdana" w:cs="Arial"/>
          <w:sz w:val="16"/>
          <w:szCs w:val="16"/>
        </w:rPr>
        <w:t>de</w:t>
      </w:r>
      <w:r w:rsidRPr="00513CDC">
        <w:rPr>
          <w:rFonts w:ascii="Verdana" w:hAnsi="Verdana" w:cs="Arial"/>
          <w:spacing w:val="10"/>
          <w:sz w:val="16"/>
          <w:szCs w:val="16"/>
        </w:rPr>
        <w:t xml:space="preserve"> </w:t>
      </w:r>
      <w:r w:rsidRPr="00513CDC">
        <w:rPr>
          <w:rFonts w:ascii="Verdana" w:hAnsi="Verdana" w:cs="Arial"/>
          <w:sz w:val="16"/>
          <w:szCs w:val="16"/>
        </w:rPr>
        <w:t>noviembre</w:t>
      </w:r>
      <w:r w:rsidRPr="00513CDC">
        <w:rPr>
          <w:rFonts w:ascii="Verdana" w:hAnsi="Verdana" w:cs="Arial"/>
          <w:spacing w:val="10"/>
          <w:sz w:val="16"/>
          <w:szCs w:val="16"/>
        </w:rPr>
        <w:t xml:space="preserve"> </w:t>
      </w:r>
      <w:r w:rsidRPr="00513CDC">
        <w:rPr>
          <w:rFonts w:ascii="Verdana" w:hAnsi="Verdana" w:cs="Arial"/>
          <w:sz w:val="16"/>
          <w:szCs w:val="16"/>
        </w:rPr>
        <w:t>de</w:t>
      </w:r>
      <w:r w:rsidRPr="00513CDC">
        <w:rPr>
          <w:rFonts w:ascii="Verdana" w:hAnsi="Verdana" w:cs="Arial"/>
          <w:spacing w:val="10"/>
          <w:sz w:val="16"/>
          <w:szCs w:val="16"/>
        </w:rPr>
        <w:t xml:space="preserve"> </w:t>
      </w:r>
      <w:r w:rsidRPr="00513CDC">
        <w:rPr>
          <w:rFonts w:ascii="Verdana" w:hAnsi="Verdana" w:cs="Arial"/>
          <w:sz w:val="16"/>
          <w:szCs w:val="16"/>
        </w:rPr>
        <w:t>2012.</w:t>
      </w:r>
      <w:r w:rsidRPr="00513CDC">
        <w:rPr>
          <w:rFonts w:ascii="Verdana" w:hAnsi="Verdana" w:cs="Arial"/>
          <w:spacing w:val="10"/>
          <w:sz w:val="16"/>
          <w:szCs w:val="16"/>
        </w:rPr>
        <w:t xml:space="preserve"> </w:t>
      </w:r>
      <w:r w:rsidRPr="00513CDC">
        <w:rPr>
          <w:rFonts w:ascii="Verdana" w:hAnsi="Verdana" w:cs="Arial"/>
          <w:sz w:val="16"/>
          <w:szCs w:val="16"/>
        </w:rPr>
        <w:t>M.P.</w:t>
      </w:r>
      <w:r w:rsidRPr="00513CDC">
        <w:rPr>
          <w:rFonts w:ascii="Verdana" w:hAnsi="Verdana" w:cs="Arial"/>
          <w:spacing w:val="10"/>
          <w:sz w:val="16"/>
          <w:szCs w:val="16"/>
        </w:rPr>
        <w:t xml:space="preserve"> </w:t>
      </w:r>
      <w:r w:rsidRPr="00513CDC">
        <w:rPr>
          <w:rFonts w:ascii="Verdana" w:hAnsi="Verdana" w:cs="Arial"/>
          <w:sz w:val="16"/>
          <w:szCs w:val="16"/>
        </w:rPr>
        <w:t>Mauricio</w:t>
      </w:r>
      <w:r w:rsidRPr="00513CDC">
        <w:rPr>
          <w:rFonts w:ascii="Verdana" w:hAnsi="Verdana" w:cs="Arial"/>
          <w:spacing w:val="8"/>
          <w:sz w:val="16"/>
          <w:szCs w:val="16"/>
        </w:rPr>
        <w:t xml:space="preserve"> </w:t>
      </w:r>
      <w:r w:rsidRPr="00513CDC">
        <w:rPr>
          <w:rFonts w:ascii="Verdana" w:hAnsi="Verdana" w:cs="Arial"/>
          <w:sz w:val="16"/>
          <w:szCs w:val="16"/>
        </w:rPr>
        <w:t>González.</w:t>
      </w:r>
    </w:p>
    <w:p w14:paraId="0FCB7C51" w14:textId="77777777" w:rsidR="00E5670D" w:rsidRPr="00A70144" w:rsidRDefault="00E5670D" w:rsidP="00E5670D">
      <w:pPr>
        <w:pStyle w:val="Textonotapie"/>
        <w:jc w:val="both"/>
        <w:rPr>
          <w:rFonts w:ascii="Verdana" w:hAnsi="Verdana" w:cs="Arial"/>
          <w:sz w:val="16"/>
          <w:szCs w:val="16"/>
        </w:rPr>
      </w:pPr>
    </w:p>
  </w:footnote>
  <w:footnote w:id="8">
    <w:p w14:paraId="0C6CEFF1" w14:textId="77777777" w:rsidR="00E5670D" w:rsidRPr="00A70144" w:rsidRDefault="00E5670D" w:rsidP="00E5670D">
      <w:pPr>
        <w:pStyle w:val="Textonotapie"/>
        <w:ind w:firstLine="708"/>
        <w:jc w:val="both"/>
        <w:rPr>
          <w:rFonts w:ascii="Verdana" w:hAnsi="Verdana" w:cs="Arial"/>
          <w:sz w:val="16"/>
          <w:szCs w:val="16"/>
          <w:lang w:val="es-ES_tradnl"/>
        </w:rPr>
      </w:pPr>
      <w:r w:rsidRPr="00A70144">
        <w:rPr>
          <w:rStyle w:val="Refdenotaalpie"/>
          <w:rFonts w:ascii="Verdana" w:hAnsi="Verdana" w:cs="Arial"/>
          <w:sz w:val="16"/>
          <w:szCs w:val="16"/>
        </w:rPr>
        <w:footnoteRef/>
      </w:r>
      <w:r w:rsidRPr="00A70144">
        <w:rPr>
          <w:rFonts w:ascii="Verdana" w:hAnsi="Verdana" w:cs="Arial"/>
          <w:sz w:val="16"/>
          <w:szCs w:val="16"/>
        </w:rPr>
        <w:t xml:space="preserve"> CONSEJO DE ESTADO. Sección Cuarta. Sentencia del 16 de diciembre de 2008. Exp. 16.297. C.P. Martha Teresa Briceño de Valencia</w:t>
      </w:r>
    </w:p>
  </w:footnote>
  <w:footnote w:id="9">
    <w:p w14:paraId="4A3DB316" w14:textId="77777777" w:rsidR="00E5670D" w:rsidRPr="00A70144" w:rsidRDefault="00E5670D" w:rsidP="00E5670D">
      <w:pPr>
        <w:pStyle w:val="Textonotapie"/>
        <w:jc w:val="both"/>
        <w:rPr>
          <w:rFonts w:ascii="Verdana" w:hAnsi="Verdana" w:cs="Arial"/>
          <w:sz w:val="16"/>
          <w:szCs w:val="16"/>
        </w:rPr>
      </w:pPr>
    </w:p>
  </w:footnote>
  <w:footnote w:id="10">
    <w:p w14:paraId="3C0C3839" w14:textId="77777777" w:rsidR="00E5670D" w:rsidRPr="00A70144" w:rsidRDefault="00E5670D" w:rsidP="00E5670D">
      <w:pPr>
        <w:pStyle w:val="Textonotapie"/>
        <w:ind w:firstLine="708"/>
        <w:jc w:val="both"/>
        <w:rPr>
          <w:rFonts w:ascii="Verdana" w:hAnsi="Verdana" w:cs="Arial"/>
          <w:sz w:val="16"/>
          <w:szCs w:val="16"/>
          <w:lang w:val="es-CO"/>
        </w:rPr>
      </w:pPr>
      <w:r w:rsidRPr="00A70144">
        <w:rPr>
          <w:rStyle w:val="Refdenotaalpie"/>
          <w:rFonts w:ascii="Verdana" w:hAnsi="Verdana" w:cs="Arial"/>
          <w:sz w:val="16"/>
          <w:szCs w:val="16"/>
        </w:rPr>
        <w:footnoteRef/>
      </w:r>
      <w:r w:rsidRPr="00A70144">
        <w:rPr>
          <w:rFonts w:ascii="Verdana" w:hAnsi="Verdana" w:cs="Arial"/>
          <w:sz w:val="16"/>
          <w:szCs w:val="16"/>
        </w:rPr>
        <w:t xml:space="preserve"> Sala de consulta y Servicio Civil del </w:t>
      </w:r>
      <w:r w:rsidRPr="00A70144">
        <w:rPr>
          <w:rFonts w:ascii="Verdana" w:hAnsi="Verdana" w:cs="Arial"/>
          <w:sz w:val="16"/>
          <w:szCs w:val="16"/>
          <w:lang w:val="es-CO"/>
        </w:rPr>
        <w:t>Consejo de Estado, Sentencia del 28 de junio de 2012 con Radicado No. 11001-03-06-000-2012-00016-00(2092), M.P. William Zambrano Cetina.</w:t>
      </w:r>
    </w:p>
    <w:p w14:paraId="3BD5A565" w14:textId="77777777" w:rsidR="00E5670D" w:rsidRPr="00A70144" w:rsidRDefault="00E5670D" w:rsidP="00E5670D">
      <w:pPr>
        <w:pStyle w:val="Textonotapie"/>
        <w:ind w:firstLine="708"/>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21865858">
    <w:abstractNumId w:val="10"/>
  </w:num>
  <w:num w:numId="2" w16cid:durableId="1716927032">
    <w:abstractNumId w:val="2"/>
  </w:num>
  <w:num w:numId="3" w16cid:durableId="512038530">
    <w:abstractNumId w:val="8"/>
  </w:num>
  <w:num w:numId="4" w16cid:durableId="20598756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33717348">
    <w:abstractNumId w:val="2"/>
  </w:num>
  <w:num w:numId="6" w16cid:durableId="882474944">
    <w:abstractNumId w:val="17"/>
  </w:num>
  <w:num w:numId="7" w16cid:durableId="1320381880">
    <w:abstractNumId w:val="9"/>
  </w:num>
  <w:num w:numId="8" w16cid:durableId="361130067">
    <w:abstractNumId w:val="16"/>
  </w:num>
  <w:num w:numId="9" w16cid:durableId="403071328">
    <w:abstractNumId w:val="11"/>
  </w:num>
  <w:num w:numId="10" w16cid:durableId="1098792464">
    <w:abstractNumId w:val="15"/>
  </w:num>
  <w:num w:numId="11" w16cid:durableId="1572958610">
    <w:abstractNumId w:val="12"/>
  </w:num>
  <w:num w:numId="12" w16cid:durableId="1101299697">
    <w:abstractNumId w:val="0"/>
  </w:num>
  <w:num w:numId="13" w16cid:durableId="1512380629">
    <w:abstractNumId w:val="5"/>
  </w:num>
  <w:num w:numId="14" w16cid:durableId="48722901">
    <w:abstractNumId w:val="18"/>
  </w:num>
  <w:num w:numId="15" w16cid:durableId="31882291">
    <w:abstractNumId w:val="14"/>
  </w:num>
  <w:num w:numId="16" w16cid:durableId="1807165511">
    <w:abstractNumId w:val="6"/>
  </w:num>
  <w:num w:numId="17" w16cid:durableId="683672246">
    <w:abstractNumId w:val="13"/>
  </w:num>
  <w:num w:numId="18" w16cid:durableId="2004235074">
    <w:abstractNumId w:val="21"/>
  </w:num>
  <w:num w:numId="19" w16cid:durableId="1919711243">
    <w:abstractNumId w:val="20"/>
  </w:num>
  <w:num w:numId="20" w16cid:durableId="440884220">
    <w:abstractNumId w:val="1"/>
  </w:num>
  <w:num w:numId="21" w16cid:durableId="965428078">
    <w:abstractNumId w:val="4"/>
  </w:num>
  <w:num w:numId="22" w16cid:durableId="1408309203">
    <w:abstractNumId w:val="7"/>
  </w:num>
  <w:num w:numId="23" w16cid:durableId="134107964">
    <w:abstractNumId w:val="3"/>
  </w:num>
  <w:num w:numId="24" w16cid:durableId="40750751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5660"/>
    <w:rsid w:val="000063E0"/>
    <w:rsid w:val="000134D5"/>
    <w:rsid w:val="00016F78"/>
    <w:rsid w:val="000353BD"/>
    <w:rsid w:val="00046945"/>
    <w:rsid w:val="00061B2A"/>
    <w:rsid w:val="000711CF"/>
    <w:rsid w:val="00076D52"/>
    <w:rsid w:val="00080B1D"/>
    <w:rsid w:val="00082362"/>
    <w:rsid w:val="00085031"/>
    <w:rsid w:val="0008794D"/>
    <w:rsid w:val="0009079C"/>
    <w:rsid w:val="000A1514"/>
    <w:rsid w:val="000A1642"/>
    <w:rsid w:val="000A66E5"/>
    <w:rsid w:val="000A683E"/>
    <w:rsid w:val="000A7F5E"/>
    <w:rsid w:val="000B0FAA"/>
    <w:rsid w:val="000B19B9"/>
    <w:rsid w:val="000B27F0"/>
    <w:rsid w:val="000C5A9E"/>
    <w:rsid w:val="000D0334"/>
    <w:rsid w:val="000D1DC8"/>
    <w:rsid w:val="000D4734"/>
    <w:rsid w:val="000D4A0E"/>
    <w:rsid w:val="000D5DA7"/>
    <w:rsid w:val="000E6E2C"/>
    <w:rsid w:val="000F01E9"/>
    <w:rsid w:val="000F078F"/>
    <w:rsid w:val="000F3444"/>
    <w:rsid w:val="000F3E03"/>
    <w:rsid w:val="000F512E"/>
    <w:rsid w:val="000F6486"/>
    <w:rsid w:val="000F7FD4"/>
    <w:rsid w:val="00105C57"/>
    <w:rsid w:val="001161CA"/>
    <w:rsid w:val="001168F2"/>
    <w:rsid w:val="00116940"/>
    <w:rsid w:val="00124414"/>
    <w:rsid w:val="00125105"/>
    <w:rsid w:val="00127233"/>
    <w:rsid w:val="001328F3"/>
    <w:rsid w:val="001428DC"/>
    <w:rsid w:val="001521B3"/>
    <w:rsid w:val="0015699B"/>
    <w:rsid w:val="00171640"/>
    <w:rsid w:val="00174D6E"/>
    <w:rsid w:val="00176C48"/>
    <w:rsid w:val="00182083"/>
    <w:rsid w:val="0019756E"/>
    <w:rsid w:val="0019787F"/>
    <w:rsid w:val="001A00A3"/>
    <w:rsid w:val="001A33BF"/>
    <w:rsid w:val="001A5968"/>
    <w:rsid w:val="001C2262"/>
    <w:rsid w:val="001C5AE4"/>
    <w:rsid w:val="001C61B3"/>
    <w:rsid w:val="001D02CC"/>
    <w:rsid w:val="001D64AE"/>
    <w:rsid w:val="001E2E05"/>
    <w:rsid w:val="001E4177"/>
    <w:rsid w:val="001F0B24"/>
    <w:rsid w:val="001F5DD0"/>
    <w:rsid w:val="001F7DC6"/>
    <w:rsid w:val="00207466"/>
    <w:rsid w:val="00211E12"/>
    <w:rsid w:val="00212AD1"/>
    <w:rsid w:val="00217FCA"/>
    <w:rsid w:val="0022076F"/>
    <w:rsid w:val="002209DE"/>
    <w:rsid w:val="0022400B"/>
    <w:rsid w:val="0023515D"/>
    <w:rsid w:val="002421BB"/>
    <w:rsid w:val="00253436"/>
    <w:rsid w:val="0025796E"/>
    <w:rsid w:val="002626BD"/>
    <w:rsid w:val="0026579C"/>
    <w:rsid w:val="002707A2"/>
    <w:rsid w:val="00275482"/>
    <w:rsid w:val="0027785F"/>
    <w:rsid w:val="00277C07"/>
    <w:rsid w:val="0028778F"/>
    <w:rsid w:val="002951A0"/>
    <w:rsid w:val="002962BC"/>
    <w:rsid w:val="002975A4"/>
    <w:rsid w:val="002A093D"/>
    <w:rsid w:val="002A0DD0"/>
    <w:rsid w:val="002A49AC"/>
    <w:rsid w:val="002A64FD"/>
    <w:rsid w:val="002B730F"/>
    <w:rsid w:val="002C6751"/>
    <w:rsid w:val="002C7A84"/>
    <w:rsid w:val="002E05EF"/>
    <w:rsid w:val="002E2BF8"/>
    <w:rsid w:val="002E49B3"/>
    <w:rsid w:val="002E4FD9"/>
    <w:rsid w:val="002F0847"/>
    <w:rsid w:val="0030657A"/>
    <w:rsid w:val="003136DC"/>
    <w:rsid w:val="003156BF"/>
    <w:rsid w:val="00316053"/>
    <w:rsid w:val="00317E89"/>
    <w:rsid w:val="00322A85"/>
    <w:rsid w:val="00322C00"/>
    <w:rsid w:val="00322D77"/>
    <w:rsid w:val="00323B21"/>
    <w:rsid w:val="00324168"/>
    <w:rsid w:val="00330834"/>
    <w:rsid w:val="003315B4"/>
    <w:rsid w:val="003332A8"/>
    <w:rsid w:val="003448F4"/>
    <w:rsid w:val="00352759"/>
    <w:rsid w:val="00360892"/>
    <w:rsid w:val="00374F5E"/>
    <w:rsid w:val="003769E1"/>
    <w:rsid w:val="00377E3E"/>
    <w:rsid w:val="00381BAB"/>
    <w:rsid w:val="003909E8"/>
    <w:rsid w:val="00391C8B"/>
    <w:rsid w:val="003A779E"/>
    <w:rsid w:val="003B0DFC"/>
    <w:rsid w:val="003C0ED7"/>
    <w:rsid w:val="003C6659"/>
    <w:rsid w:val="003D0F4D"/>
    <w:rsid w:val="003D494E"/>
    <w:rsid w:val="003D5B0D"/>
    <w:rsid w:val="003E0499"/>
    <w:rsid w:val="003E4C37"/>
    <w:rsid w:val="003E4F80"/>
    <w:rsid w:val="003E6439"/>
    <w:rsid w:val="003F18C5"/>
    <w:rsid w:val="003F1FD8"/>
    <w:rsid w:val="003F3941"/>
    <w:rsid w:val="003F53D2"/>
    <w:rsid w:val="00403EFA"/>
    <w:rsid w:val="00406575"/>
    <w:rsid w:val="004140B3"/>
    <w:rsid w:val="00414C74"/>
    <w:rsid w:val="0042722E"/>
    <w:rsid w:val="0044528D"/>
    <w:rsid w:val="00451137"/>
    <w:rsid w:val="004555EA"/>
    <w:rsid w:val="0045785F"/>
    <w:rsid w:val="0046183E"/>
    <w:rsid w:val="00466E39"/>
    <w:rsid w:val="00477C96"/>
    <w:rsid w:val="00484E40"/>
    <w:rsid w:val="0048787A"/>
    <w:rsid w:val="00492C4A"/>
    <w:rsid w:val="00494F04"/>
    <w:rsid w:val="004A0841"/>
    <w:rsid w:val="004A0A0B"/>
    <w:rsid w:val="004A0E5C"/>
    <w:rsid w:val="004A1847"/>
    <w:rsid w:val="004A305D"/>
    <w:rsid w:val="004A5264"/>
    <w:rsid w:val="004B3DAC"/>
    <w:rsid w:val="004B73B9"/>
    <w:rsid w:val="004C0DBB"/>
    <w:rsid w:val="004D2168"/>
    <w:rsid w:val="004D2B6F"/>
    <w:rsid w:val="004E2B92"/>
    <w:rsid w:val="004F21C4"/>
    <w:rsid w:val="004F685F"/>
    <w:rsid w:val="005000A1"/>
    <w:rsid w:val="00513BF7"/>
    <w:rsid w:val="00517955"/>
    <w:rsid w:val="005229DB"/>
    <w:rsid w:val="00524422"/>
    <w:rsid w:val="00534886"/>
    <w:rsid w:val="005365D9"/>
    <w:rsid w:val="00536A0E"/>
    <w:rsid w:val="0055262A"/>
    <w:rsid w:val="00553040"/>
    <w:rsid w:val="005566E8"/>
    <w:rsid w:val="00560892"/>
    <w:rsid w:val="00570B00"/>
    <w:rsid w:val="00572622"/>
    <w:rsid w:val="00573280"/>
    <w:rsid w:val="00574867"/>
    <w:rsid w:val="005750C1"/>
    <w:rsid w:val="00591460"/>
    <w:rsid w:val="00592C94"/>
    <w:rsid w:val="005A2CAB"/>
    <w:rsid w:val="005A52A7"/>
    <w:rsid w:val="005A57A5"/>
    <w:rsid w:val="005A65E0"/>
    <w:rsid w:val="005B51CC"/>
    <w:rsid w:val="005C0881"/>
    <w:rsid w:val="005C3777"/>
    <w:rsid w:val="005C5CDC"/>
    <w:rsid w:val="005D2566"/>
    <w:rsid w:val="005D2FE3"/>
    <w:rsid w:val="005D476C"/>
    <w:rsid w:val="005E53D6"/>
    <w:rsid w:val="005F20A4"/>
    <w:rsid w:val="00600D92"/>
    <w:rsid w:val="00603C5B"/>
    <w:rsid w:val="00611CE6"/>
    <w:rsid w:val="006137E1"/>
    <w:rsid w:val="00615EDA"/>
    <w:rsid w:val="00617200"/>
    <w:rsid w:val="00617E91"/>
    <w:rsid w:val="006200BF"/>
    <w:rsid w:val="0062143E"/>
    <w:rsid w:val="006219F8"/>
    <w:rsid w:val="00624A89"/>
    <w:rsid w:val="00624EEC"/>
    <w:rsid w:val="006302F7"/>
    <w:rsid w:val="00646B9F"/>
    <w:rsid w:val="00646D52"/>
    <w:rsid w:val="00646F24"/>
    <w:rsid w:val="006547C3"/>
    <w:rsid w:val="00660C46"/>
    <w:rsid w:val="00662087"/>
    <w:rsid w:val="00663A04"/>
    <w:rsid w:val="00665D70"/>
    <w:rsid w:val="00672499"/>
    <w:rsid w:val="00684F67"/>
    <w:rsid w:val="0068758B"/>
    <w:rsid w:val="006900D9"/>
    <w:rsid w:val="0069216D"/>
    <w:rsid w:val="0069741A"/>
    <w:rsid w:val="006A2BE4"/>
    <w:rsid w:val="006B4707"/>
    <w:rsid w:val="006D13BA"/>
    <w:rsid w:val="006D1D21"/>
    <w:rsid w:val="006D591D"/>
    <w:rsid w:val="006D64EE"/>
    <w:rsid w:val="006F2238"/>
    <w:rsid w:val="006F4199"/>
    <w:rsid w:val="007009D7"/>
    <w:rsid w:val="007025D7"/>
    <w:rsid w:val="00706C16"/>
    <w:rsid w:val="0071557C"/>
    <w:rsid w:val="00721FE8"/>
    <w:rsid w:val="00731F30"/>
    <w:rsid w:val="007340C3"/>
    <w:rsid w:val="0073510E"/>
    <w:rsid w:val="007448A3"/>
    <w:rsid w:val="007458D3"/>
    <w:rsid w:val="00751DE8"/>
    <w:rsid w:val="0075235A"/>
    <w:rsid w:val="00752CDB"/>
    <w:rsid w:val="0075557D"/>
    <w:rsid w:val="00756841"/>
    <w:rsid w:val="007649AB"/>
    <w:rsid w:val="00771AEF"/>
    <w:rsid w:val="00771D0C"/>
    <w:rsid w:val="00782ED2"/>
    <w:rsid w:val="007833AC"/>
    <w:rsid w:val="00792EB2"/>
    <w:rsid w:val="00795086"/>
    <w:rsid w:val="007A037B"/>
    <w:rsid w:val="007A1830"/>
    <w:rsid w:val="007B268C"/>
    <w:rsid w:val="007B7171"/>
    <w:rsid w:val="007C0C0F"/>
    <w:rsid w:val="007C3DC2"/>
    <w:rsid w:val="007C4353"/>
    <w:rsid w:val="007C5559"/>
    <w:rsid w:val="007D3058"/>
    <w:rsid w:val="007D4B12"/>
    <w:rsid w:val="007E43AC"/>
    <w:rsid w:val="007E5497"/>
    <w:rsid w:val="007E553E"/>
    <w:rsid w:val="00803584"/>
    <w:rsid w:val="00806F5F"/>
    <w:rsid w:val="008103F6"/>
    <w:rsid w:val="00820278"/>
    <w:rsid w:val="00820488"/>
    <w:rsid w:val="0082071A"/>
    <w:rsid w:val="008258C9"/>
    <w:rsid w:val="00830893"/>
    <w:rsid w:val="00833286"/>
    <w:rsid w:val="00836232"/>
    <w:rsid w:val="00841E29"/>
    <w:rsid w:val="00844AE9"/>
    <w:rsid w:val="0085545E"/>
    <w:rsid w:val="00866A9E"/>
    <w:rsid w:val="00867F95"/>
    <w:rsid w:val="00871AAC"/>
    <w:rsid w:val="00875356"/>
    <w:rsid w:val="008843B6"/>
    <w:rsid w:val="00886410"/>
    <w:rsid w:val="00891928"/>
    <w:rsid w:val="00891A0E"/>
    <w:rsid w:val="008958AC"/>
    <w:rsid w:val="008A446D"/>
    <w:rsid w:val="008B0D0F"/>
    <w:rsid w:val="008B25F1"/>
    <w:rsid w:val="008C11FD"/>
    <w:rsid w:val="008C3D38"/>
    <w:rsid w:val="008C4DD5"/>
    <w:rsid w:val="008C517A"/>
    <w:rsid w:val="008C6AE5"/>
    <w:rsid w:val="008D0BE7"/>
    <w:rsid w:val="008D1660"/>
    <w:rsid w:val="008D180B"/>
    <w:rsid w:val="008F0EA7"/>
    <w:rsid w:val="008F17DC"/>
    <w:rsid w:val="008F4334"/>
    <w:rsid w:val="008F553F"/>
    <w:rsid w:val="008F6705"/>
    <w:rsid w:val="00901213"/>
    <w:rsid w:val="009037F6"/>
    <w:rsid w:val="0091143C"/>
    <w:rsid w:val="00920817"/>
    <w:rsid w:val="00923EEF"/>
    <w:rsid w:val="00926423"/>
    <w:rsid w:val="00933E3F"/>
    <w:rsid w:val="009419F9"/>
    <w:rsid w:val="00944696"/>
    <w:rsid w:val="0095685E"/>
    <w:rsid w:val="00961B09"/>
    <w:rsid w:val="00963E12"/>
    <w:rsid w:val="00964321"/>
    <w:rsid w:val="00965334"/>
    <w:rsid w:val="00967B4D"/>
    <w:rsid w:val="0097093E"/>
    <w:rsid w:val="009722DE"/>
    <w:rsid w:val="009735E8"/>
    <w:rsid w:val="00984DB3"/>
    <w:rsid w:val="00992E19"/>
    <w:rsid w:val="009A0486"/>
    <w:rsid w:val="009A0DFA"/>
    <w:rsid w:val="009B28B9"/>
    <w:rsid w:val="009B2D26"/>
    <w:rsid w:val="009B4B7C"/>
    <w:rsid w:val="009C71FA"/>
    <w:rsid w:val="009C72E7"/>
    <w:rsid w:val="009C7F7E"/>
    <w:rsid w:val="009D23F2"/>
    <w:rsid w:val="009D3058"/>
    <w:rsid w:val="009E1F28"/>
    <w:rsid w:val="009E6924"/>
    <w:rsid w:val="009E7AED"/>
    <w:rsid w:val="009F3A13"/>
    <w:rsid w:val="009F3CD7"/>
    <w:rsid w:val="009F4B67"/>
    <w:rsid w:val="009F7A6E"/>
    <w:rsid w:val="00A0334B"/>
    <w:rsid w:val="00A0526C"/>
    <w:rsid w:val="00A122D3"/>
    <w:rsid w:val="00A14468"/>
    <w:rsid w:val="00A17F13"/>
    <w:rsid w:val="00A20739"/>
    <w:rsid w:val="00A23AF9"/>
    <w:rsid w:val="00A31A76"/>
    <w:rsid w:val="00A33C78"/>
    <w:rsid w:val="00A40C8E"/>
    <w:rsid w:val="00A53338"/>
    <w:rsid w:val="00A73F45"/>
    <w:rsid w:val="00A8776C"/>
    <w:rsid w:val="00AA1E47"/>
    <w:rsid w:val="00AB0ADB"/>
    <w:rsid w:val="00AB3664"/>
    <w:rsid w:val="00AB436E"/>
    <w:rsid w:val="00AD173A"/>
    <w:rsid w:val="00AD400A"/>
    <w:rsid w:val="00AD7D5F"/>
    <w:rsid w:val="00AE1F6E"/>
    <w:rsid w:val="00AE3513"/>
    <w:rsid w:val="00AE5DD2"/>
    <w:rsid w:val="00AF5A10"/>
    <w:rsid w:val="00B00C0E"/>
    <w:rsid w:val="00B01B1A"/>
    <w:rsid w:val="00B04DA1"/>
    <w:rsid w:val="00B11075"/>
    <w:rsid w:val="00B131D7"/>
    <w:rsid w:val="00B206B6"/>
    <w:rsid w:val="00B234CF"/>
    <w:rsid w:val="00B35656"/>
    <w:rsid w:val="00B37EB5"/>
    <w:rsid w:val="00B44A47"/>
    <w:rsid w:val="00B54271"/>
    <w:rsid w:val="00B5550F"/>
    <w:rsid w:val="00B6149C"/>
    <w:rsid w:val="00B64484"/>
    <w:rsid w:val="00B71FD5"/>
    <w:rsid w:val="00B72CD3"/>
    <w:rsid w:val="00B72FFF"/>
    <w:rsid w:val="00B74092"/>
    <w:rsid w:val="00B7489A"/>
    <w:rsid w:val="00B909AD"/>
    <w:rsid w:val="00B95DAC"/>
    <w:rsid w:val="00BA2EB9"/>
    <w:rsid w:val="00BA703D"/>
    <w:rsid w:val="00BC3D36"/>
    <w:rsid w:val="00BC5D42"/>
    <w:rsid w:val="00BC70CB"/>
    <w:rsid w:val="00BD13AC"/>
    <w:rsid w:val="00BD54A6"/>
    <w:rsid w:val="00BD7F72"/>
    <w:rsid w:val="00BF056C"/>
    <w:rsid w:val="00BF3B66"/>
    <w:rsid w:val="00BF5C08"/>
    <w:rsid w:val="00BF7425"/>
    <w:rsid w:val="00C04908"/>
    <w:rsid w:val="00C04FB3"/>
    <w:rsid w:val="00C11D8B"/>
    <w:rsid w:val="00C1350D"/>
    <w:rsid w:val="00C2359C"/>
    <w:rsid w:val="00C251B0"/>
    <w:rsid w:val="00C330EB"/>
    <w:rsid w:val="00C419DF"/>
    <w:rsid w:val="00C50D69"/>
    <w:rsid w:val="00C5365C"/>
    <w:rsid w:val="00C619D4"/>
    <w:rsid w:val="00C61D93"/>
    <w:rsid w:val="00C72666"/>
    <w:rsid w:val="00C754BE"/>
    <w:rsid w:val="00C76B1C"/>
    <w:rsid w:val="00C82667"/>
    <w:rsid w:val="00C90C96"/>
    <w:rsid w:val="00C925AC"/>
    <w:rsid w:val="00C94828"/>
    <w:rsid w:val="00C963BE"/>
    <w:rsid w:val="00C96B64"/>
    <w:rsid w:val="00CA2858"/>
    <w:rsid w:val="00CB02F1"/>
    <w:rsid w:val="00CB6357"/>
    <w:rsid w:val="00CC1B26"/>
    <w:rsid w:val="00CC438F"/>
    <w:rsid w:val="00CD4C85"/>
    <w:rsid w:val="00CE3C1C"/>
    <w:rsid w:val="00CE4026"/>
    <w:rsid w:val="00CF5ABC"/>
    <w:rsid w:val="00D06146"/>
    <w:rsid w:val="00D0699E"/>
    <w:rsid w:val="00D1210B"/>
    <w:rsid w:val="00D222C0"/>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66DF5"/>
    <w:rsid w:val="00D7383B"/>
    <w:rsid w:val="00D73DBD"/>
    <w:rsid w:val="00D7541C"/>
    <w:rsid w:val="00D7788A"/>
    <w:rsid w:val="00D85F06"/>
    <w:rsid w:val="00D936A2"/>
    <w:rsid w:val="00D94D87"/>
    <w:rsid w:val="00DA231B"/>
    <w:rsid w:val="00DB13F4"/>
    <w:rsid w:val="00DB3019"/>
    <w:rsid w:val="00DB55DA"/>
    <w:rsid w:val="00DC39FC"/>
    <w:rsid w:val="00DC7CCB"/>
    <w:rsid w:val="00DE60E5"/>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670D"/>
    <w:rsid w:val="00E577E2"/>
    <w:rsid w:val="00E615C4"/>
    <w:rsid w:val="00E71E1B"/>
    <w:rsid w:val="00E75C92"/>
    <w:rsid w:val="00E771DC"/>
    <w:rsid w:val="00E774E7"/>
    <w:rsid w:val="00E8772A"/>
    <w:rsid w:val="00E90F6B"/>
    <w:rsid w:val="00E91AED"/>
    <w:rsid w:val="00E92C27"/>
    <w:rsid w:val="00E96B5C"/>
    <w:rsid w:val="00E97286"/>
    <w:rsid w:val="00EA0E3D"/>
    <w:rsid w:val="00EA2DC0"/>
    <w:rsid w:val="00EA426C"/>
    <w:rsid w:val="00EB224C"/>
    <w:rsid w:val="00EC006D"/>
    <w:rsid w:val="00EC1AA2"/>
    <w:rsid w:val="00EC297F"/>
    <w:rsid w:val="00EC38A7"/>
    <w:rsid w:val="00ED4980"/>
    <w:rsid w:val="00EE1AA8"/>
    <w:rsid w:val="00EE265D"/>
    <w:rsid w:val="00EE3D99"/>
    <w:rsid w:val="00EF1D4F"/>
    <w:rsid w:val="00EF4E7D"/>
    <w:rsid w:val="00EF5E13"/>
    <w:rsid w:val="00EF647F"/>
    <w:rsid w:val="00F03314"/>
    <w:rsid w:val="00F0580C"/>
    <w:rsid w:val="00F23FEA"/>
    <w:rsid w:val="00F27B7B"/>
    <w:rsid w:val="00F31EDC"/>
    <w:rsid w:val="00F34294"/>
    <w:rsid w:val="00F43100"/>
    <w:rsid w:val="00F45668"/>
    <w:rsid w:val="00F462B3"/>
    <w:rsid w:val="00F5664F"/>
    <w:rsid w:val="00F61959"/>
    <w:rsid w:val="00F666C4"/>
    <w:rsid w:val="00F76AFC"/>
    <w:rsid w:val="00F81BF0"/>
    <w:rsid w:val="00F82E88"/>
    <w:rsid w:val="00F86E11"/>
    <w:rsid w:val="00F86E3E"/>
    <w:rsid w:val="00F91E1F"/>
    <w:rsid w:val="00F95C74"/>
    <w:rsid w:val="00FA47C0"/>
    <w:rsid w:val="00FA5FFD"/>
    <w:rsid w:val="00FB5DD1"/>
    <w:rsid w:val="00FC2B5D"/>
    <w:rsid w:val="00FD1DDC"/>
    <w:rsid w:val="00FD3AD2"/>
    <w:rsid w:val="00FD59D3"/>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8568B41-9065-4DE9-BFEA-A2F36601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70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styleId="Fuerte">
    <w:name w:val="Strong"/>
    <w:basedOn w:val="Fuentedeprrafopredeter"/>
    <w:uiPriority w:val="22"/>
    <w:qFormat/>
    <w:rsid w:val="00B7489A"/>
    <w:rPr>
      <w:b/>
      <w:bCs/>
    </w:rPr>
  </w:style>
  <w:style w:type="table" w:customStyle="1" w:styleId="Tablaconcuadrcula12">
    <w:name w:val="Tabla con cuadrícula12"/>
    <w:basedOn w:val="Tablanormal"/>
    <w:next w:val="Tablaconcuadrcula"/>
    <w:uiPriority w:val="39"/>
    <w:qFormat/>
    <w:rsid w:val="008C3D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740">
      <w:bodyDiv w:val="1"/>
      <w:marLeft w:val="0"/>
      <w:marRight w:val="0"/>
      <w:marTop w:val="0"/>
      <w:marBottom w:val="0"/>
      <w:divBdr>
        <w:top w:val="none" w:sz="0" w:space="0" w:color="auto"/>
        <w:left w:val="none" w:sz="0" w:space="0" w:color="auto"/>
        <w:bottom w:val="none" w:sz="0" w:space="0" w:color="auto"/>
        <w:right w:val="none" w:sz="0" w:space="0" w:color="auto"/>
      </w:divBdr>
      <w:divsChild>
        <w:div w:id="258880311">
          <w:marLeft w:val="0"/>
          <w:marRight w:val="0"/>
          <w:marTop w:val="0"/>
          <w:marBottom w:val="0"/>
          <w:divBdr>
            <w:top w:val="none" w:sz="0" w:space="0" w:color="auto"/>
            <w:left w:val="none" w:sz="0" w:space="0" w:color="auto"/>
            <w:bottom w:val="none" w:sz="0" w:space="0" w:color="auto"/>
            <w:right w:val="none" w:sz="0" w:space="0" w:color="auto"/>
          </w:divBdr>
          <w:divsChild>
            <w:div w:id="1294941058">
              <w:marLeft w:val="0"/>
              <w:marRight w:val="0"/>
              <w:marTop w:val="0"/>
              <w:marBottom w:val="0"/>
              <w:divBdr>
                <w:top w:val="none" w:sz="0" w:space="0" w:color="auto"/>
                <w:left w:val="none" w:sz="0" w:space="0" w:color="auto"/>
                <w:bottom w:val="none" w:sz="0" w:space="0" w:color="auto"/>
                <w:right w:val="none" w:sz="0" w:space="0" w:color="auto"/>
              </w:divBdr>
              <w:divsChild>
                <w:div w:id="337932334">
                  <w:marLeft w:val="0"/>
                  <w:marRight w:val="0"/>
                  <w:marTop w:val="0"/>
                  <w:marBottom w:val="0"/>
                  <w:divBdr>
                    <w:top w:val="none" w:sz="0" w:space="0" w:color="auto"/>
                    <w:left w:val="none" w:sz="0" w:space="0" w:color="auto"/>
                    <w:bottom w:val="none" w:sz="0" w:space="0" w:color="auto"/>
                    <w:right w:val="none" w:sz="0" w:space="0" w:color="auto"/>
                  </w:divBdr>
                  <w:divsChild>
                    <w:div w:id="9084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9191">
          <w:marLeft w:val="0"/>
          <w:marRight w:val="0"/>
          <w:marTop w:val="0"/>
          <w:marBottom w:val="0"/>
          <w:divBdr>
            <w:top w:val="none" w:sz="0" w:space="0" w:color="auto"/>
            <w:left w:val="none" w:sz="0" w:space="0" w:color="auto"/>
            <w:bottom w:val="none" w:sz="0" w:space="0" w:color="auto"/>
            <w:right w:val="none" w:sz="0" w:space="0" w:color="auto"/>
          </w:divBdr>
        </w:div>
      </w:divsChild>
    </w:div>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58334568">
      <w:bodyDiv w:val="1"/>
      <w:marLeft w:val="0"/>
      <w:marRight w:val="0"/>
      <w:marTop w:val="0"/>
      <w:marBottom w:val="0"/>
      <w:divBdr>
        <w:top w:val="none" w:sz="0" w:space="0" w:color="auto"/>
        <w:left w:val="none" w:sz="0" w:space="0" w:color="auto"/>
        <w:bottom w:val="none" w:sz="0" w:space="0" w:color="auto"/>
        <w:right w:val="none" w:sz="0" w:space="0" w:color="auto"/>
      </w:divBdr>
      <w:divsChild>
        <w:div w:id="2145539311">
          <w:marLeft w:val="0"/>
          <w:marRight w:val="0"/>
          <w:marTop w:val="0"/>
          <w:marBottom w:val="0"/>
          <w:divBdr>
            <w:top w:val="none" w:sz="0" w:space="0" w:color="auto"/>
            <w:left w:val="none" w:sz="0" w:space="0" w:color="auto"/>
            <w:bottom w:val="none" w:sz="0" w:space="0" w:color="auto"/>
            <w:right w:val="none" w:sz="0" w:space="0" w:color="auto"/>
          </w:divBdr>
        </w:div>
      </w:divsChild>
    </w:div>
    <w:div w:id="239609180">
      <w:bodyDiv w:val="1"/>
      <w:marLeft w:val="0"/>
      <w:marRight w:val="0"/>
      <w:marTop w:val="0"/>
      <w:marBottom w:val="0"/>
      <w:divBdr>
        <w:top w:val="none" w:sz="0" w:space="0" w:color="auto"/>
        <w:left w:val="none" w:sz="0" w:space="0" w:color="auto"/>
        <w:bottom w:val="none" w:sz="0" w:space="0" w:color="auto"/>
        <w:right w:val="none" w:sz="0" w:space="0" w:color="auto"/>
      </w:divBdr>
    </w:div>
    <w:div w:id="298808619">
      <w:bodyDiv w:val="1"/>
      <w:marLeft w:val="0"/>
      <w:marRight w:val="0"/>
      <w:marTop w:val="0"/>
      <w:marBottom w:val="0"/>
      <w:divBdr>
        <w:top w:val="none" w:sz="0" w:space="0" w:color="auto"/>
        <w:left w:val="none" w:sz="0" w:space="0" w:color="auto"/>
        <w:bottom w:val="none" w:sz="0" w:space="0" w:color="auto"/>
        <w:right w:val="none" w:sz="0" w:space="0" w:color="auto"/>
      </w:divBdr>
    </w:div>
    <w:div w:id="386105330">
      <w:bodyDiv w:val="1"/>
      <w:marLeft w:val="0"/>
      <w:marRight w:val="0"/>
      <w:marTop w:val="0"/>
      <w:marBottom w:val="0"/>
      <w:divBdr>
        <w:top w:val="none" w:sz="0" w:space="0" w:color="auto"/>
        <w:left w:val="none" w:sz="0" w:space="0" w:color="auto"/>
        <w:bottom w:val="none" w:sz="0" w:space="0" w:color="auto"/>
        <w:right w:val="none" w:sz="0" w:space="0" w:color="auto"/>
      </w:divBdr>
      <w:divsChild>
        <w:div w:id="278994329">
          <w:marLeft w:val="0"/>
          <w:marRight w:val="0"/>
          <w:marTop w:val="0"/>
          <w:marBottom w:val="0"/>
          <w:divBdr>
            <w:top w:val="none" w:sz="0" w:space="0" w:color="auto"/>
            <w:left w:val="none" w:sz="0" w:space="0" w:color="auto"/>
            <w:bottom w:val="none" w:sz="0" w:space="0" w:color="auto"/>
            <w:right w:val="none" w:sz="0" w:space="0" w:color="auto"/>
          </w:divBdr>
        </w:div>
      </w:divsChild>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48320024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2011055">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9789425">
      <w:bodyDiv w:val="1"/>
      <w:marLeft w:val="0"/>
      <w:marRight w:val="0"/>
      <w:marTop w:val="0"/>
      <w:marBottom w:val="0"/>
      <w:divBdr>
        <w:top w:val="none" w:sz="0" w:space="0" w:color="auto"/>
        <w:left w:val="none" w:sz="0" w:space="0" w:color="auto"/>
        <w:bottom w:val="none" w:sz="0" w:space="0" w:color="auto"/>
        <w:right w:val="none" w:sz="0" w:space="0" w:color="auto"/>
      </w:divBdr>
      <w:divsChild>
        <w:div w:id="817572852">
          <w:marLeft w:val="0"/>
          <w:marRight w:val="0"/>
          <w:marTop w:val="0"/>
          <w:marBottom w:val="0"/>
          <w:divBdr>
            <w:top w:val="none" w:sz="0" w:space="0" w:color="auto"/>
            <w:left w:val="none" w:sz="0" w:space="0" w:color="auto"/>
            <w:bottom w:val="none" w:sz="0" w:space="0" w:color="auto"/>
            <w:right w:val="none" w:sz="0" w:space="0" w:color="auto"/>
          </w:divBdr>
        </w:div>
      </w:divsChild>
    </w:div>
    <w:div w:id="1236671009">
      <w:bodyDiv w:val="1"/>
      <w:marLeft w:val="0"/>
      <w:marRight w:val="0"/>
      <w:marTop w:val="0"/>
      <w:marBottom w:val="0"/>
      <w:divBdr>
        <w:top w:val="none" w:sz="0" w:space="0" w:color="auto"/>
        <w:left w:val="none" w:sz="0" w:space="0" w:color="auto"/>
        <w:bottom w:val="none" w:sz="0" w:space="0" w:color="auto"/>
        <w:right w:val="none" w:sz="0" w:space="0" w:color="auto"/>
      </w:divBdr>
      <w:divsChild>
        <w:div w:id="77293167">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8738708">
      <w:bodyDiv w:val="1"/>
      <w:marLeft w:val="0"/>
      <w:marRight w:val="0"/>
      <w:marTop w:val="0"/>
      <w:marBottom w:val="0"/>
      <w:divBdr>
        <w:top w:val="none" w:sz="0" w:space="0" w:color="auto"/>
        <w:left w:val="none" w:sz="0" w:space="0" w:color="auto"/>
        <w:bottom w:val="none" w:sz="0" w:space="0" w:color="auto"/>
        <w:right w:val="none" w:sz="0" w:space="0" w:color="auto"/>
      </w:divBdr>
    </w:div>
    <w:div w:id="1970088735">
      <w:bodyDiv w:val="1"/>
      <w:marLeft w:val="0"/>
      <w:marRight w:val="0"/>
      <w:marTop w:val="0"/>
      <w:marBottom w:val="0"/>
      <w:divBdr>
        <w:top w:val="none" w:sz="0" w:space="0" w:color="auto"/>
        <w:left w:val="none" w:sz="0" w:space="0" w:color="auto"/>
        <w:bottom w:val="none" w:sz="0" w:space="0" w:color="auto"/>
        <w:right w:val="none" w:sz="0" w:space="0" w:color="auto"/>
      </w:divBdr>
      <w:divsChild>
        <w:div w:id="2124030618">
          <w:marLeft w:val="0"/>
          <w:marRight w:val="0"/>
          <w:marTop w:val="0"/>
          <w:marBottom w:val="0"/>
          <w:divBdr>
            <w:top w:val="none" w:sz="0" w:space="0" w:color="auto"/>
            <w:left w:val="none" w:sz="0" w:space="0" w:color="auto"/>
            <w:bottom w:val="none" w:sz="0" w:space="0" w:color="auto"/>
            <w:right w:val="none" w:sz="0" w:space="0" w:color="auto"/>
          </w:divBdr>
        </w:div>
      </w:divsChild>
    </w:div>
    <w:div w:id="2045401966">
      <w:bodyDiv w:val="1"/>
      <w:marLeft w:val="0"/>
      <w:marRight w:val="0"/>
      <w:marTop w:val="0"/>
      <w:marBottom w:val="0"/>
      <w:divBdr>
        <w:top w:val="none" w:sz="0" w:space="0" w:color="auto"/>
        <w:left w:val="none" w:sz="0" w:space="0" w:color="auto"/>
        <w:bottom w:val="none" w:sz="0" w:space="0" w:color="auto"/>
        <w:right w:val="none" w:sz="0" w:space="0" w:color="auto"/>
      </w:divBdr>
    </w:div>
    <w:div w:id="2094351184">
      <w:bodyDiv w:val="1"/>
      <w:marLeft w:val="0"/>
      <w:marRight w:val="0"/>
      <w:marTop w:val="0"/>
      <w:marBottom w:val="0"/>
      <w:divBdr>
        <w:top w:val="none" w:sz="0" w:space="0" w:color="auto"/>
        <w:left w:val="none" w:sz="0" w:space="0" w:color="auto"/>
        <w:bottom w:val="none" w:sz="0" w:space="0" w:color="auto"/>
        <w:right w:val="none" w:sz="0" w:space="0" w:color="auto"/>
      </w:divBdr>
      <w:divsChild>
        <w:div w:id="1644460514">
          <w:marLeft w:val="0"/>
          <w:marRight w:val="0"/>
          <w:marTop w:val="0"/>
          <w:marBottom w:val="0"/>
          <w:divBdr>
            <w:top w:val="none" w:sz="0" w:space="0" w:color="auto"/>
            <w:left w:val="none" w:sz="0" w:space="0" w:color="auto"/>
            <w:bottom w:val="none" w:sz="0" w:space="0" w:color="auto"/>
            <w:right w:val="none" w:sz="0" w:space="0" w:color="auto"/>
          </w:divBdr>
        </w:div>
      </w:divsChild>
    </w:div>
    <w:div w:id="21279603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plibrado@uniquindio.edu.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EFF148-DE9B-46AD-8F4C-ADE5AB91F83D}">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2C09CBCE-A9C9-43AE-840D-A7ECDEC76D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23</Pages>
  <Words>7453</Words>
  <Characters>42636</Characters>
  <Application>Microsoft Office Word</Application>
  <DocSecurity>0</DocSecurity>
  <Lines>836</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2026-04-05T22:18:00Z</dcterms:created>
  <dcterms:modified xsi:type="dcterms:W3CDTF">2026-04-06T21:55:00Z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