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19810F" w14:textId="77777777" w:rsidR="00C83922" w:rsidRPr="00A52313" w:rsidRDefault="00C83922" w:rsidP="00C83922">
      <w:pPr>
        <w:jc w:val="both"/>
        <w:rPr>
          <w:rFonts w:ascii="Verdana" w:eastAsia="Calibri" w:hAnsi="Verdana" w:cs="Arial"/>
          <w:b/>
        </w:rPr>
      </w:pPr>
      <w:bookmarkStart w:id="0" w:name="_Hlk143780582"/>
      <w:r w:rsidRPr="007F7243">
        <w:rPr>
          <w:rFonts w:ascii="Verdana" w:eastAsia="Calibri" w:hAnsi="Verdana" w:cs="Arial"/>
          <w:b/>
        </w:rPr>
        <w:t>RESGUARDOS INDÍGENAS – Administración de recursos del SGP – Entidades Estatales</w:t>
      </w:r>
    </w:p>
    <w:p w14:paraId="2A78FFA8" w14:textId="77777777" w:rsidR="00C83922" w:rsidRPr="00A52313" w:rsidRDefault="00C83922" w:rsidP="00C83922">
      <w:pPr>
        <w:spacing w:after="0" w:line="240" w:lineRule="auto"/>
        <w:jc w:val="both"/>
        <w:rPr>
          <w:rFonts w:ascii="Verdana" w:eastAsia="Calibri" w:hAnsi="Verdana" w:cs="Arial"/>
          <w:sz w:val="20"/>
        </w:rPr>
      </w:pPr>
      <w:r w:rsidRPr="00A52313">
        <w:rPr>
          <w:rFonts w:ascii="Verdana" w:eastAsia="Calibri" w:hAnsi="Verdana" w:cs="Arial"/>
          <w:sz w:val="20"/>
        </w:rPr>
        <w:t xml:space="preserve">Al respecto, [el Decreto 1953 de 2014] dispone que los resguardos indígenas que se ubiquen en ciertos supuestos, al igual que las asociaciones que estos conformen para administrar recursos del SGP, podrán ser considerados como territorios indígenas, de manera transitoria, “[…] mientras el Congreso expide la Ley Orgánica de Ordenamiento Territorial que crea las entidades territoriales indígenas”.   </w:t>
      </w:r>
    </w:p>
    <w:p w14:paraId="7EF49663" w14:textId="77777777" w:rsidR="00C83922" w:rsidRPr="00A52313" w:rsidRDefault="00C83922" w:rsidP="00C83922">
      <w:pPr>
        <w:spacing w:after="0" w:line="240" w:lineRule="auto"/>
        <w:jc w:val="both"/>
        <w:rPr>
          <w:rFonts w:ascii="Verdana" w:eastAsia="Calibri" w:hAnsi="Verdana" w:cs="Arial"/>
          <w:b/>
        </w:rPr>
      </w:pPr>
    </w:p>
    <w:p w14:paraId="083A4350" w14:textId="77777777" w:rsidR="00C83922" w:rsidRPr="00A52313" w:rsidRDefault="00C83922" w:rsidP="00C83922">
      <w:pPr>
        <w:spacing w:after="0" w:line="240" w:lineRule="auto"/>
        <w:jc w:val="both"/>
        <w:rPr>
          <w:rFonts w:ascii="Verdana" w:eastAsia="Calibri" w:hAnsi="Verdana" w:cs="Arial"/>
          <w:sz w:val="20"/>
        </w:rPr>
      </w:pPr>
      <w:r w:rsidRPr="00A52313">
        <w:rPr>
          <w:rFonts w:ascii="Verdana" w:eastAsia="Calibri" w:hAnsi="Verdana" w:cs="Arial"/>
          <w:sz w:val="20"/>
        </w:rPr>
        <w:t xml:space="preserve">Adicionalmente, establece que para los fines y la ejecución de los recursos de que trata dicho decreto, los territorios y resguardos indígenas que hayan sido autorizados para administrar recursos del SGP serán considerados entidades estatales de acuerdo con lo indicado en el artículo 2 de la Ley 80 de 1993. La norma además establece una última posibilidad para los resguardos indígenas que no hayan sido autorizados para administrar de manera directa los recursos del SGP, consistente en la celebración de contratos de administración con las entidades territoriales respectivas y los representantes legales del resguardo designado por las autoridades propias. </w:t>
      </w:r>
    </w:p>
    <w:p w14:paraId="3E35048B" w14:textId="77777777" w:rsidR="00C83922" w:rsidRPr="00A52313" w:rsidRDefault="00C83922" w:rsidP="00C83922">
      <w:pPr>
        <w:spacing w:after="0" w:line="240" w:lineRule="auto"/>
        <w:jc w:val="both"/>
        <w:rPr>
          <w:rFonts w:ascii="Verdana" w:eastAsia="Calibri" w:hAnsi="Verdana" w:cs="Arial"/>
          <w:sz w:val="20"/>
        </w:rPr>
      </w:pPr>
    </w:p>
    <w:p w14:paraId="12FC0FFB" w14:textId="77777777" w:rsidR="00C83922" w:rsidRPr="00A52313" w:rsidRDefault="00C83922" w:rsidP="00C83922">
      <w:pPr>
        <w:snapToGrid w:val="0"/>
        <w:contextualSpacing/>
        <w:jc w:val="both"/>
        <w:rPr>
          <w:rFonts w:ascii="Verdana" w:hAnsi="Verdana" w:cs="Arial"/>
          <w:b/>
          <w:bCs/>
          <w:lang w:val="es-ES" w:eastAsia="es-ES"/>
        </w:rPr>
      </w:pPr>
      <w:r w:rsidRPr="00A52313">
        <w:rPr>
          <w:rFonts w:ascii="Verdana" w:hAnsi="Verdana" w:cs="Arial"/>
          <w:b/>
          <w:bCs/>
          <w:lang w:val="es-ES" w:eastAsia="es-ES"/>
        </w:rPr>
        <w:t>LEY DE GARANTÍAS ELECTORALES – Finalidad</w:t>
      </w:r>
    </w:p>
    <w:p w14:paraId="6AFDCE99" w14:textId="77777777" w:rsidR="00C83922" w:rsidRPr="00A52313" w:rsidRDefault="00C83922" w:rsidP="00C83922">
      <w:pPr>
        <w:snapToGrid w:val="0"/>
        <w:contextualSpacing/>
        <w:jc w:val="both"/>
        <w:rPr>
          <w:rFonts w:ascii="Verdana" w:hAnsi="Verdana" w:cs="Arial"/>
          <w:b/>
          <w:bCs/>
          <w:lang w:val="es-ES" w:eastAsia="es-ES"/>
        </w:rPr>
      </w:pPr>
    </w:p>
    <w:p w14:paraId="25EBA930" w14:textId="77777777" w:rsidR="00C83922" w:rsidRPr="00A52313" w:rsidRDefault="00C83922" w:rsidP="00C83922">
      <w:pPr>
        <w:tabs>
          <w:tab w:val="left" w:pos="426"/>
        </w:tabs>
        <w:snapToGrid w:val="0"/>
        <w:spacing w:after="0" w:line="240" w:lineRule="auto"/>
        <w:contextualSpacing/>
        <w:jc w:val="both"/>
        <w:rPr>
          <w:rFonts w:ascii="Verdana" w:hAnsi="Verdana" w:cs="Arial"/>
          <w:sz w:val="20"/>
          <w:szCs w:val="20"/>
          <w:lang w:val="es-ES"/>
        </w:rPr>
      </w:pPr>
      <w:r w:rsidRPr="00A52313">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A52313">
        <w:rPr>
          <w:rFonts w:ascii="Verdana" w:hAnsi="Verdana" w:cs="Arial"/>
          <w:sz w:val="20"/>
          <w:szCs w:val="20"/>
          <w:lang w:val="es-ES"/>
        </w:rPr>
        <w:t xml:space="preserve"> </w:t>
      </w:r>
    </w:p>
    <w:p w14:paraId="5CC6559A" w14:textId="77777777" w:rsidR="00C83922" w:rsidRPr="00A52313" w:rsidRDefault="00C83922" w:rsidP="00C83922">
      <w:pPr>
        <w:snapToGrid w:val="0"/>
        <w:contextualSpacing/>
        <w:jc w:val="both"/>
        <w:rPr>
          <w:rFonts w:ascii="Verdana" w:hAnsi="Verdana" w:cs="Arial"/>
          <w:b/>
          <w:bCs/>
          <w:lang w:val="es-ES" w:eastAsia="es-ES"/>
        </w:rPr>
      </w:pPr>
    </w:p>
    <w:p w14:paraId="3FCED381" w14:textId="77777777" w:rsidR="00C83922" w:rsidRPr="00A52313" w:rsidRDefault="00C83922" w:rsidP="00C83922">
      <w:pPr>
        <w:snapToGrid w:val="0"/>
        <w:contextualSpacing/>
        <w:jc w:val="both"/>
        <w:rPr>
          <w:rFonts w:ascii="Verdana" w:hAnsi="Verdana" w:cs="Arial"/>
          <w:b/>
          <w:bCs/>
          <w:sz w:val="20"/>
          <w:szCs w:val="20"/>
          <w:lang w:val="es-ES" w:eastAsia="es-ES"/>
        </w:rPr>
      </w:pPr>
      <w:r w:rsidRPr="00A52313">
        <w:rPr>
          <w:rFonts w:ascii="Verdana" w:hAnsi="Verdana" w:cs="Arial"/>
          <w:b/>
          <w:bCs/>
          <w:lang w:val="es-ES" w:eastAsia="es-ES"/>
        </w:rPr>
        <w:t>LEY DE GARANTÍAS ELECTORALES ‒ Restricciones ‒ Contratación ‒ Tipos de elección</w:t>
      </w:r>
    </w:p>
    <w:p w14:paraId="7C94DE8A" w14:textId="77777777" w:rsidR="00C83922" w:rsidRPr="00A52313" w:rsidRDefault="00C83922" w:rsidP="00C83922">
      <w:pPr>
        <w:snapToGrid w:val="0"/>
        <w:spacing w:after="0" w:line="240" w:lineRule="auto"/>
        <w:contextualSpacing/>
        <w:jc w:val="both"/>
        <w:rPr>
          <w:rFonts w:ascii="Verdana" w:hAnsi="Verdana" w:cs="Arial"/>
          <w:sz w:val="20"/>
          <w:szCs w:val="20"/>
          <w:lang w:val="es-ES" w:eastAsia="es-ES"/>
        </w:rPr>
      </w:pPr>
    </w:p>
    <w:p w14:paraId="762A5CCD" w14:textId="77777777" w:rsidR="00C83922" w:rsidRPr="00A52313" w:rsidRDefault="00C83922" w:rsidP="00C83922">
      <w:pPr>
        <w:snapToGrid w:val="0"/>
        <w:spacing w:after="0" w:line="240" w:lineRule="auto"/>
        <w:contextualSpacing/>
        <w:jc w:val="both"/>
        <w:rPr>
          <w:rFonts w:ascii="Verdana" w:hAnsi="Verdana" w:cs="Arial"/>
          <w:sz w:val="20"/>
          <w:szCs w:val="20"/>
          <w:lang w:val="es-ES"/>
        </w:rPr>
      </w:pPr>
      <w:r w:rsidRPr="00A52313">
        <w:rPr>
          <w:rFonts w:ascii="Verdana" w:hAnsi="Verdana" w:cs="Arial"/>
          <w:sz w:val="20"/>
          <w:szCs w:val="20"/>
          <w:lang w:val="es-ES"/>
        </w:rPr>
        <w:t xml:space="preserve">Por un lado, el </w:t>
      </w:r>
      <w:r w:rsidRPr="00A52313">
        <w:rPr>
          <w:rFonts w:ascii="Verdana" w:hAnsi="Verdana" w:cs="Arial"/>
          <w:i/>
          <w:iCs/>
          <w:sz w:val="20"/>
          <w:szCs w:val="20"/>
          <w:lang w:val="es-ES"/>
        </w:rPr>
        <w:t xml:space="preserve">artículo 33 </w:t>
      </w:r>
      <w:r w:rsidRPr="00A52313">
        <w:rPr>
          <w:rFonts w:ascii="Verdana" w:hAnsi="Verdana" w:cs="Arial"/>
          <w:sz w:val="20"/>
          <w:szCs w:val="20"/>
          <w:lang w:val="es-ES"/>
        </w:rPr>
        <w:t xml:space="preserve">de la Ley 996 de 2005 prohíbe “[…] la contratación directa por parte de </w:t>
      </w:r>
      <w:r w:rsidRPr="00A52313">
        <w:rPr>
          <w:rFonts w:ascii="Verdana" w:hAnsi="Verdana" w:cs="Arial"/>
          <w:i/>
          <w:iCs/>
          <w:sz w:val="20"/>
          <w:szCs w:val="20"/>
          <w:lang w:val="es-ES"/>
        </w:rPr>
        <w:t>todos los entes del Estado</w:t>
      </w:r>
      <w:r w:rsidRPr="00A52313">
        <w:rPr>
          <w:rFonts w:ascii="Verdana" w:hAnsi="Verdana" w:cs="Arial"/>
          <w:sz w:val="20"/>
          <w:szCs w:val="20"/>
          <w:lang w:val="es-ES"/>
        </w:rPr>
        <w:t xml:space="preserve">” durante los cuatro (4) meses anteriores a las </w:t>
      </w:r>
      <w:r w:rsidRPr="00A52313">
        <w:rPr>
          <w:rFonts w:ascii="Verdana" w:hAnsi="Verdana" w:cs="Arial"/>
          <w:i/>
          <w:iCs/>
          <w:sz w:val="20"/>
          <w:szCs w:val="20"/>
          <w:lang w:val="es-ES"/>
        </w:rPr>
        <w:t>elecciones presidenciales</w:t>
      </w:r>
      <w:r w:rsidRPr="00A52313">
        <w:rPr>
          <w:rFonts w:ascii="Verdana"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52370A4D" w14:textId="77777777" w:rsidR="00C83922" w:rsidRPr="00A52313" w:rsidRDefault="00C83922" w:rsidP="00C83922">
      <w:pPr>
        <w:snapToGrid w:val="0"/>
        <w:spacing w:after="0" w:line="240" w:lineRule="auto"/>
        <w:contextualSpacing/>
        <w:jc w:val="both"/>
        <w:rPr>
          <w:rFonts w:ascii="Verdana" w:hAnsi="Verdana" w:cs="Arial"/>
          <w:sz w:val="20"/>
          <w:szCs w:val="20"/>
          <w:lang w:val="es-ES"/>
        </w:rPr>
      </w:pPr>
    </w:p>
    <w:p w14:paraId="2493001E" w14:textId="77777777" w:rsidR="00C83922" w:rsidRPr="00A52313" w:rsidRDefault="00C83922" w:rsidP="00C83922">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r w:rsidRPr="00A52313">
        <w:rPr>
          <w:rFonts w:ascii="Verdana" w:hAnsi="Verdana" w:cs="Arial"/>
          <w:sz w:val="20"/>
          <w:szCs w:val="20"/>
          <w:lang w:val="es-ES"/>
        </w:rPr>
        <w:t xml:space="preserve">Por otro lado, </w:t>
      </w:r>
      <w:r w:rsidRPr="00A52313">
        <w:rPr>
          <w:rFonts w:ascii="Verdana" w:hAnsi="Verdana" w:cs="Arial"/>
          <w:i/>
          <w:iCs/>
          <w:sz w:val="20"/>
          <w:szCs w:val="20"/>
          <w:lang w:val="es-ES"/>
        </w:rPr>
        <w:t xml:space="preserve">el parágrafo del artículo 38 </w:t>
      </w:r>
      <w:r w:rsidRPr="00A52313">
        <w:rPr>
          <w:rFonts w:ascii="Verdana" w:hAnsi="Verdana" w:cs="Arial"/>
          <w:sz w:val="20"/>
          <w:szCs w:val="20"/>
          <w:lang w:val="es-ES"/>
        </w:rPr>
        <w:t xml:space="preserve">de la Ley 996 de 2005 prevé una restricción, aplicable respecto de </w:t>
      </w:r>
      <w:r w:rsidRPr="00A52313">
        <w:rPr>
          <w:rFonts w:ascii="Verdana" w:hAnsi="Verdana" w:cs="Arial"/>
          <w:i/>
          <w:iCs/>
          <w:sz w:val="20"/>
          <w:szCs w:val="20"/>
          <w:lang w:val="es-ES"/>
        </w:rPr>
        <w:t>cualquier tipo de contienda electoral</w:t>
      </w:r>
      <w:r w:rsidRPr="00A52313">
        <w:rPr>
          <w:rFonts w:ascii="Verdana" w:hAnsi="Verdana" w:cs="Arial"/>
          <w:sz w:val="20"/>
          <w:szCs w:val="20"/>
          <w:lang w:val="es-ES"/>
        </w:rPr>
        <w:t xml:space="preserve">, que prohíbe a los gobernadores, alcaldes municipales o distritales, secretarios, gerentes y directores de entidades descentralizadas del orden municipal, departamental o distrital “[…] celebrar </w:t>
      </w:r>
      <w:r w:rsidRPr="00A52313">
        <w:rPr>
          <w:rFonts w:ascii="Verdana" w:hAnsi="Verdana" w:cs="Arial"/>
          <w:sz w:val="20"/>
          <w:szCs w:val="20"/>
          <w:lang w:val="es-ES"/>
        </w:rPr>
        <w:lastRenderedPageBreak/>
        <w:t>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A52313">
        <w:rPr>
          <w:rFonts w:ascii="Verdana" w:eastAsia="Arial" w:hAnsi="Verdana" w:cs="Arial"/>
          <w:sz w:val="20"/>
          <w:szCs w:val="20"/>
          <w:lang w:val="es-ES" w:eastAsia="es-ES" w:bidi="es-ES"/>
        </w:rPr>
        <w:t xml:space="preserve"> </w:t>
      </w:r>
    </w:p>
    <w:p w14:paraId="36785810" w14:textId="77777777" w:rsidR="00C83922" w:rsidRPr="00A52313" w:rsidRDefault="00C83922" w:rsidP="00C83922">
      <w:pPr>
        <w:spacing w:after="0" w:line="240" w:lineRule="auto"/>
        <w:jc w:val="both"/>
        <w:rPr>
          <w:rFonts w:ascii="Verdana" w:eastAsia="Calibri" w:hAnsi="Verdana" w:cs="Arial"/>
          <w:b/>
          <w:lang w:val="es-ES"/>
        </w:rPr>
      </w:pPr>
    </w:p>
    <w:p w14:paraId="41D73D7F" w14:textId="77777777" w:rsidR="00C83922" w:rsidRPr="00A52313" w:rsidRDefault="00C83922" w:rsidP="00C83922">
      <w:pPr>
        <w:spacing w:after="0"/>
        <w:jc w:val="both"/>
        <w:rPr>
          <w:rFonts w:ascii="Verdana" w:hAnsi="Verdana"/>
          <w:b/>
        </w:rPr>
      </w:pPr>
      <w:r w:rsidRPr="00A52313">
        <w:rPr>
          <w:rFonts w:ascii="Verdana" w:hAnsi="Verdana" w:cs="Arial"/>
          <w:b/>
          <w:lang w:val="es-MX" w:eastAsia="es-ES_tradnl"/>
        </w:rPr>
        <w:t>CONTRATOS Y CONVENIOS INTERADMINISTRATIVOS – Circular Externa Única – Auto de suspensión –numeral 16.2.</w:t>
      </w:r>
    </w:p>
    <w:p w14:paraId="795F0940" w14:textId="77777777" w:rsidR="00C83922" w:rsidRPr="00A52313" w:rsidRDefault="00C83922" w:rsidP="00C83922">
      <w:pPr>
        <w:spacing w:after="0"/>
        <w:jc w:val="both"/>
        <w:rPr>
          <w:rFonts w:ascii="Verdana" w:hAnsi="Verdana"/>
          <w:b/>
        </w:rPr>
      </w:pPr>
    </w:p>
    <w:p w14:paraId="4DF2CD77" w14:textId="77777777" w:rsidR="00C83922" w:rsidRPr="00A52313" w:rsidRDefault="00C83922" w:rsidP="00C83922">
      <w:pPr>
        <w:spacing w:after="0" w:line="240" w:lineRule="auto"/>
        <w:jc w:val="both"/>
        <w:rPr>
          <w:rFonts w:ascii="Verdana" w:hAnsi="Verdana"/>
          <w:sz w:val="18"/>
          <w:szCs w:val="20"/>
        </w:rPr>
      </w:pPr>
      <w:r w:rsidRPr="00A52313">
        <w:rPr>
          <w:rFonts w:ascii="Verdana" w:eastAsia="Arial" w:hAnsi="Verdana" w:cs="Arial"/>
          <w:sz w:val="20"/>
          <w:lang w:val="es-MX" w:eastAsia="es-ES" w:bidi="es-ES"/>
        </w:rPr>
        <w:t xml:space="preserve">[…] conviene señalar que, mediante auto de 4 de octubre del 2024, el Consejo de Estado, Sección Tercera, decretó medida de suspensión provisional parcial del </w:t>
      </w:r>
      <w:r w:rsidRPr="00A52313">
        <w:rPr>
          <w:rFonts w:ascii="Verdana" w:hAnsi="Verdana"/>
          <w:sz w:val="20"/>
        </w:rPr>
        <w:t>numeral 16.2 de la Circular Externa Única de 2022 expedida por la Agencia Nacional de Contratación Pública -Colombia Compra Eficiente-, concretamente, respecto de los siguientes apartes normativos</w:t>
      </w:r>
      <w:r w:rsidRPr="00A52313">
        <w:rPr>
          <w:rFonts w:ascii="Verdana" w:hAnsi="Verdana"/>
          <w:sz w:val="18"/>
          <w:szCs w:val="20"/>
        </w:rPr>
        <w:t xml:space="preserve"> </w:t>
      </w:r>
    </w:p>
    <w:p w14:paraId="76C139C0" w14:textId="77777777" w:rsidR="00C83922" w:rsidRPr="00A52313" w:rsidRDefault="00C83922" w:rsidP="00C83922">
      <w:pPr>
        <w:spacing w:after="0" w:line="240" w:lineRule="auto"/>
        <w:ind w:left="709" w:right="709"/>
        <w:jc w:val="both"/>
        <w:rPr>
          <w:rFonts w:ascii="Verdana" w:hAnsi="Verdana"/>
          <w:sz w:val="20"/>
        </w:rPr>
      </w:pPr>
    </w:p>
    <w:p w14:paraId="6DD16DB0" w14:textId="77777777" w:rsidR="00C83922" w:rsidRPr="00A52313" w:rsidRDefault="00C83922" w:rsidP="00C83922">
      <w:pPr>
        <w:spacing w:after="0" w:line="240" w:lineRule="auto"/>
        <w:jc w:val="both"/>
        <w:rPr>
          <w:rFonts w:ascii="Verdana" w:eastAsia="Arial" w:hAnsi="Verdana" w:cs="Arial"/>
          <w:i/>
          <w:iCs/>
          <w:sz w:val="20"/>
          <w:lang w:eastAsia="es-ES" w:bidi="es-ES"/>
        </w:rPr>
      </w:pPr>
      <w:r w:rsidRPr="00A52313">
        <w:rPr>
          <w:rFonts w:ascii="Verdana" w:eastAsia="Arial" w:hAnsi="Verdana" w:cs="Arial"/>
          <w:sz w:val="20"/>
          <w:lang w:val="es-MX" w:eastAsia="es-ES" w:bidi="es-ES"/>
        </w:rPr>
        <w:t xml:space="preserve">De conformidad con los argumentos de dicha providencia, se parte de la distinción entre los conceptos </w:t>
      </w:r>
      <w:r w:rsidRPr="00A52313">
        <w:rPr>
          <w:rFonts w:ascii="Verdana" w:eastAsia="Arial" w:hAnsi="Verdana" w:cs="Arial"/>
          <w:sz w:val="20"/>
          <w:lang w:eastAsia="es-ES" w:bidi="es-ES"/>
        </w:rPr>
        <w:t xml:space="preserve">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A52313">
        <w:rPr>
          <w:rFonts w:ascii="Verdana" w:eastAsia="Arial" w:hAnsi="Verdana" w:cs="Arial"/>
          <w:i/>
          <w:iCs/>
          <w:sz w:val="20"/>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A52313">
        <w:rPr>
          <w:rFonts w:ascii="Verdana" w:eastAsia="Arial" w:hAnsi="Verdana" w:cs="Arial"/>
          <w:sz w:val="20"/>
          <w:lang w:eastAsia="es-ES" w:bidi="es-ES"/>
        </w:rPr>
        <w:t xml:space="preserve">Por tal motivo, para efectos de decretar la medida de suspensión provisional de los apartes señalados del numeral 16.2 de la Circular Externa Única, argumentó que </w:t>
      </w:r>
      <w:r w:rsidRPr="00A52313">
        <w:rPr>
          <w:rFonts w:ascii="Verdana" w:eastAsia="Arial" w:hAnsi="Verdana" w:cs="Arial"/>
          <w:i/>
          <w:iCs/>
          <w:sz w:val="20"/>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4B3C6780" w14:textId="77777777" w:rsidR="00C83922" w:rsidRPr="00A52313" w:rsidRDefault="00C83922" w:rsidP="30821638">
      <w:pPr>
        <w:spacing w:after="0"/>
        <w:rPr>
          <w:rFonts w:ascii="Verdana" w:eastAsia="Verdana" w:hAnsi="Verdana" w:cs="Verdana"/>
        </w:rPr>
      </w:pPr>
    </w:p>
    <w:p w14:paraId="3B059B09" w14:textId="77777777" w:rsidR="00C83922" w:rsidRPr="00A52313" w:rsidRDefault="00C83922" w:rsidP="30821638">
      <w:pPr>
        <w:spacing w:after="0"/>
        <w:rPr>
          <w:rFonts w:ascii="Verdana" w:eastAsia="Verdana" w:hAnsi="Verdana" w:cs="Verdana"/>
        </w:rPr>
      </w:pPr>
    </w:p>
    <w:p w14:paraId="058EAF51" w14:textId="77777777" w:rsidR="00C83922" w:rsidRPr="00A52313" w:rsidRDefault="00C83922" w:rsidP="30821638">
      <w:pPr>
        <w:spacing w:after="0"/>
        <w:rPr>
          <w:rFonts w:ascii="Verdana" w:eastAsia="Verdana" w:hAnsi="Verdana" w:cs="Verdana"/>
        </w:rPr>
      </w:pPr>
    </w:p>
    <w:p w14:paraId="69810596" w14:textId="77777777" w:rsidR="00C83922" w:rsidRPr="00A52313" w:rsidRDefault="00C83922" w:rsidP="30821638">
      <w:pPr>
        <w:spacing w:after="0"/>
        <w:rPr>
          <w:rFonts w:ascii="Verdana" w:eastAsia="Verdana" w:hAnsi="Verdana" w:cs="Verdana"/>
        </w:rPr>
      </w:pPr>
    </w:p>
    <w:p w14:paraId="0A6D1CA3" w14:textId="77777777" w:rsidR="00C83922" w:rsidRPr="00A52313" w:rsidRDefault="00C83922" w:rsidP="30821638">
      <w:pPr>
        <w:spacing w:after="0"/>
        <w:rPr>
          <w:rFonts w:ascii="Verdana" w:eastAsia="Verdana" w:hAnsi="Verdana" w:cs="Verdana"/>
        </w:rPr>
      </w:pPr>
    </w:p>
    <w:p w14:paraId="1BA3F503" w14:textId="77777777" w:rsidR="00C83922" w:rsidRPr="00A52313" w:rsidRDefault="00C83922" w:rsidP="30821638">
      <w:pPr>
        <w:spacing w:after="0"/>
        <w:rPr>
          <w:rFonts w:ascii="Verdana" w:eastAsia="Verdana" w:hAnsi="Verdana" w:cs="Verdana"/>
        </w:rPr>
      </w:pPr>
    </w:p>
    <w:p w14:paraId="6C49816F" w14:textId="77777777" w:rsidR="00C83922" w:rsidRPr="00A52313" w:rsidRDefault="00C83922" w:rsidP="30821638">
      <w:pPr>
        <w:spacing w:after="0"/>
        <w:rPr>
          <w:rFonts w:ascii="Verdana" w:eastAsia="Verdana" w:hAnsi="Verdana" w:cs="Verdana"/>
        </w:rPr>
      </w:pPr>
    </w:p>
    <w:p w14:paraId="6040D9B1" w14:textId="77777777" w:rsidR="00C83922" w:rsidRPr="00A52313" w:rsidRDefault="00C83922" w:rsidP="30821638">
      <w:pPr>
        <w:spacing w:after="0"/>
        <w:rPr>
          <w:rFonts w:ascii="Verdana" w:eastAsia="Verdana" w:hAnsi="Verdana" w:cs="Verdana"/>
        </w:rPr>
      </w:pPr>
    </w:p>
    <w:p w14:paraId="2A9A196F" w14:textId="77777777" w:rsidR="00C83922" w:rsidRPr="00A52313" w:rsidRDefault="00C83922" w:rsidP="30821638">
      <w:pPr>
        <w:spacing w:after="0"/>
        <w:rPr>
          <w:rFonts w:ascii="Verdana" w:eastAsia="Verdana" w:hAnsi="Verdana" w:cs="Verdana"/>
        </w:rPr>
      </w:pPr>
    </w:p>
    <w:p w14:paraId="301A52AB" w14:textId="77777777" w:rsidR="00C83922" w:rsidRPr="00A52313" w:rsidRDefault="00C83922" w:rsidP="30821638">
      <w:pPr>
        <w:spacing w:after="0"/>
        <w:rPr>
          <w:rFonts w:ascii="Verdana" w:eastAsia="Verdana" w:hAnsi="Verdana" w:cs="Verdana"/>
        </w:rPr>
      </w:pPr>
    </w:p>
    <w:p w14:paraId="0E59116C" w14:textId="77777777" w:rsidR="00C83922" w:rsidRPr="00A52313" w:rsidRDefault="00C83922" w:rsidP="30821638">
      <w:pPr>
        <w:spacing w:after="0"/>
        <w:rPr>
          <w:rFonts w:ascii="Verdana" w:eastAsia="Verdana" w:hAnsi="Verdana" w:cs="Verdana"/>
        </w:rPr>
      </w:pPr>
    </w:p>
    <w:p w14:paraId="753CED4D" w14:textId="77777777" w:rsidR="00C83922" w:rsidRPr="00A52313" w:rsidRDefault="00C83922" w:rsidP="30821638">
      <w:pPr>
        <w:spacing w:after="0"/>
        <w:rPr>
          <w:rFonts w:ascii="Verdana" w:eastAsia="Verdana" w:hAnsi="Verdana" w:cs="Verdana"/>
        </w:rPr>
      </w:pPr>
    </w:p>
    <w:p w14:paraId="6F632875" w14:textId="77777777" w:rsidR="00C83922" w:rsidRPr="00A52313" w:rsidRDefault="00C83922" w:rsidP="30821638">
      <w:pPr>
        <w:spacing w:after="0"/>
        <w:rPr>
          <w:rFonts w:ascii="Verdana" w:eastAsia="Verdana" w:hAnsi="Verdana" w:cs="Verdana"/>
        </w:rPr>
      </w:pPr>
    </w:p>
    <w:p w14:paraId="1468C46D" w14:textId="0BF829C5" w:rsidR="00C15139" w:rsidRDefault="00C15139" w:rsidP="007268DF">
      <w:pPr>
        <w:spacing w:after="0" w:line="240" w:lineRule="auto"/>
        <w:rPr>
          <w:rFonts w:ascii="Verdana" w:hAnsi="Verdana"/>
        </w:rPr>
      </w:pPr>
      <w:r w:rsidRPr="00A52313">
        <w:rPr>
          <w:rFonts w:ascii="Verdana" w:eastAsia="Verdana" w:hAnsi="Verdana" w:cs="Verdana"/>
        </w:rPr>
        <w:lastRenderedPageBreak/>
        <w:t xml:space="preserve">Bogotá D.C., </w:t>
      </w:r>
      <w:r w:rsidR="0069697B">
        <w:rPr>
          <w:rFonts w:ascii="Verdana" w:eastAsia="Verdana" w:hAnsi="Verdana" w:cs="Verdana"/>
        </w:rPr>
        <w:t>06 de abril del 2026</w:t>
      </w:r>
      <w:r w:rsidRPr="007F7243">
        <w:rPr>
          <w:rFonts w:ascii="Verdana" w:hAnsi="Verdana"/>
        </w:rPr>
        <w:br/>
      </w:r>
    </w:p>
    <w:p w14:paraId="7398FF67" w14:textId="69E570FF" w:rsidR="0069697B" w:rsidRPr="007F7243" w:rsidRDefault="00433886" w:rsidP="00433886">
      <w:pPr>
        <w:spacing w:after="0" w:line="240" w:lineRule="auto"/>
        <w:jc w:val="right"/>
        <w:rPr>
          <w:rFonts w:ascii="Verdana" w:eastAsia="Verdana" w:hAnsi="Verdana" w:cs="Verdana"/>
        </w:rPr>
      </w:pPr>
      <w:r w:rsidRPr="00433886">
        <w:rPr>
          <w:rFonts w:ascii="Verdana" w:eastAsia="Verdana" w:hAnsi="Verdana" w:cs="Verdana"/>
        </w:rPr>
        <w:drawing>
          <wp:inline distT="0" distB="0" distL="0" distR="0" wp14:anchorId="222CC98B" wp14:editId="666962FF">
            <wp:extent cx="3496310" cy="1091254"/>
            <wp:effectExtent l="0" t="0" r="0" b="1270"/>
            <wp:docPr id="19043358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4335800" name=""/>
                    <pic:cNvPicPr/>
                  </pic:nvPicPr>
                  <pic:blipFill>
                    <a:blip r:embed="rId10"/>
                    <a:stretch>
                      <a:fillRect/>
                    </a:stretch>
                  </pic:blipFill>
                  <pic:spPr>
                    <a:xfrm>
                      <a:off x="0" y="0"/>
                      <a:ext cx="3528961" cy="1101445"/>
                    </a:xfrm>
                    <a:prstGeom prst="rect">
                      <a:avLst/>
                    </a:prstGeom>
                  </pic:spPr>
                </pic:pic>
              </a:graphicData>
            </a:graphic>
          </wp:inline>
        </w:drawing>
      </w:r>
    </w:p>
    <w:p w14:paraId="02001FF9" w14:textId="77777777" w:rsidR="003E649C" w:rsidRPr="007F7243" w:rsidRDefault="003E649C" w:rsidP="007268DF">
      <w:pPr>
        <w:spacing w:after="0" w:line="240" w:lineRule="auto"/>
        <w:rPr>
          <w:rFonts w:ascii="Verdana" w:hAnsi="Verdana"/>
        </w:rPr>
      </w:pPr>
      <w:r w:rsidRPr="007F7243">
        <w:rPr>
          <w:rFonts w:ascii="Verdana" w:eastAsia="Calibri" w:hAnsi="Verdana" w:cs="Arial"/>
          <w:color w:val="000000" w:themeColor="text1"/>
          <w:lang w:eastAsia="es-ES"/>
        </w:rPr>
        <w:t>Señor:</w:t>
      </w:r>
    </w:p>
    <w:p w14:paraId="59D73C97" w14:textId="1FC92E92" w:rsidR="003E649C" w:rsidRPr="007F7243" w:rsidRDefault="00D30037" w:rsidP="005046F2">
      <w:pPr>
        <w:spacing w:after="0" w:line="240" w:lineRule="auto"/>
        <w:jc w:val="both"/>
        <w:rPr>
          <w:rFonts w:ascii="Verdana" w:eastAsia="Calibri" w:hAnsi="Verdana" w:cs="Arial"/>
          <w:b/>
          <w:bCs/>
          <w:color w:val="000000" w:themeColor="text1"/>
          <w:lang w:eastAsia="es-ES"/>
        </w:rPr>
      </w:pPr>
      <w:r w:rsidRPr="007F7243">
        <w:rPr>
          <w:rFonts w:ascii="Verdana" w:eastAsia="Calibri" w:hAnsi="Verdana" w:cs="Arial"/>
          <w:b/>
          <w:bCs/>
          <w:color w:val="000000" w:themeColor="text1"/>
          <w:lang w:eastAsia="es-ES"/>
        </w:rPr>
        <w:t xml:space="preserve">Juan Camilo Ducuara Vargas </w:t>
      </w:r>
    </w:p>
    <w:p w14:paraId="22055C5B" w14:textId="277E906E" w:rsidR="00D30037" w:rsidRPr="007F7243" w:rsidRDefault="00D30037" w:rsidP="005046F2">
      <w:pPr>
        <w:spacing w:after="0" w:line="240" w:lineRule="auto"/>
        <w:rPr>
          <w:rFonts w:ascii="Verdana" w:hAnsi="Verdana"/>
        </w:rPr>
      </w:pPr>
      <w:hyperlink r:id="rId11" w:history="1">
        <w:r w:rsidRPr="007F7243">
          <w:rPr>
            <w:rStyle w:val="Hyperlink"/>
            <w:rFonts w:ascii="Verdana" w:hAnsi="Verdana"/>
          </w:rPr>
          <w:t>resguardos@coyaima-tolima.gov.co</w:t>
        </w:r>
      </w:hyperlink>
    </w:p>
    <w:p w14:paraId="7495B39D" w14:textId="607F4033" w:rsidR="003E649C" w:rsidRPr="007F7243" w:rsidRDefault="00561A24" w:rsidP="007571C2">
      <w:pPr>
        <w:spacing w:after="0" w:line="240" w:lineRule="auto"/>
        <w:rPr>
          <w:rFonts w:ascii="Verdana" w:eastAsia="Calibri" w:hAnsi="Verdana" w:cs="Arial"/>
          <w:b/>
          <w:bCs/>
          <w:color w:val="000000" w:themeColor="text1"/>
          <w:lang w:val="es-ES_tradnl" w:eastAsia="es-ES"/>
        </w:rPr>
      </w:pPr>
      <w:r w:rsidRPr="007F7243">
        <w:rPr>
          <w:rFonts w:ascii="Verdana" w:eastAsia="Calibri" w:hAnsi="Verdana" w:cs="Arial"/>
          <w:color w:val="000000" w:themeColor="text1"/>
          <w:lang w:val="es-ES_tradnl" w:eastAsia="es-ES"/>
        </w:rPr>
        <w:t>Coyaima, Tolima</w:t>
      </w:r>
    </w:p>
    <w:p w14:paraId="2E189296" w14:textId="77777777" w:rsidR="003E649C" w:rsidRPr="007268DF" w:rsidRDefault="003E649C" w:rsidP="004238EE">
      <w:pPr>
        <w:spacing w:after="0" w:line="240" w:lineRule="auto"/>
        <w:rPr>
          <w:rFonts w:ascii="Verdana" w:eastAsia="Calibri" w:hAnsi="Verdana" w:cs="Arial"/>
          <w:b/>
          <w:bCs/>
          <w:color w:val="000000" w:themeColor="text1"/>
          <w:lang w:val="es-ES_tradnl" w:eastAsia="es-ES_tradnl"/>
        </w:rPr>
      </w:pPr>
    </w:p>
    <w:p w14:paraId="7FBC4467" w14:textId="77777777" w:rsidR="003E649C" w:rsidRPr="007268DF" w:rsidRDefault="003E649C" w:rsidP="007F7243">
      <w:pPr>
        <w:spacing w:after="0" w:line="240" w:lineRule="auto"/>
        <w:rPr>
          <w:rFonts w:ascii="Verdana" w:eastAsia="Calibri" w:hAnsi="Verdana" w:cs="Arial"/>
          <w:b/>
          <w:bCs/>
          <w:color w:val="000000" w:themeColor="text1"/>
          <w:lang w:val="es-ES_tradnl" w:eastAsia="es-ES_tradnl"/>
        </w:rPr>
      </w:pPr>
    </w:p>
    <w:p w14:paraId="7499214B" w14:textId="7FB32852" w:rsidR="003E649C" w:rsidRPr="007F7243" w:rsidRDefault="003E649C" w:rsidP="007F7243">
      <w:pPr>
        <w:spacing w:after="0" w:line="240" w:lineRule="auto"/>
        <w:rPr>
          <w:rFonts w:ascii="Verdana" w:eastAsia="Calibri" w:hAnsi="Verdana" w:cs="Arial"/>
          <w:b/>
          <w:bCs/>
          <w:color w:val="000000" w:themeColor="text1"/>
          <w:lang w:val="es-ES_tradnl" w:eastAsia="es-ES_tradnl"/>
        </w:rPr>
      </w:pPr>
      <w:r w:rsidRPr="007F7243">
        <w:rPr>
          <w:rFonts w:ascii="Verdana" w:eastAsia="Calibri" w:hAnsi="Verdana" w:cs="Arial"/>
          <w:b/>
          <w:bCs/>
          <w:color w:val="000000" w:themeColor="text1"/>
          <w:lang w:val="es-ES_tradnl" w:eastAsia="es-ES_tradnl"/>
        </w:rPr>
        <w:t xml:space="preserve">                                   Concepto </w:t>
      </w:r>
      <w:r w:rsidR="005356B2" w:rsidRPr="007F7243">
        <w:rPr>
          <w:rFonts w:ascii="Verdana" w:eastAsia="Calibri" w:hAnsi="Verdana" w:cs="Arial"/>
          <w:b/>
          <w:bCs/>
          <w:color w:val="000000" w:themeColor="text1"/>
          <w:lang w:val="es-ES_tradnl" w:eastAsia="es-ES_tradnl"/>
        </w:rPr>
        <w:t>C-289</w:t>
      </w:r>
      <w:r w:rsidRPr="007F7243">
        <w:rPr>
          <w:rFonts w:ascii="Verdana" w:eastAsia="Calibri" w:hAnsi="Verdana" w:cs="Arial"/>
          <w:b/>
          <w:bCs/>
          <w:color w:val="000000" w:themeColor="text1"/>
          <w:lang w:val="es-ES_tradnl" w:eastAsia="es-ES_tradnl"/>
        </w:rPr>
        <w:t xml:space="preserve"> del 2026</w:t>
      </w:r>
    </w:p>
    <w:tbl>
      <w:tblPr>
        <w:tblStyle w:val="TableGrid"/>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E649C" w:rsidRPr="007F7243" w14:paraId="2AD14F4B" w14:textId="77777777" w:rsidTr="00B07C70">
        <w:trPr>
          <w:gridAfter w:val="1"/>
          <w:wAfter w:w="6100" w:type="dxa"/>
          <w:trHeight w:val="133"/>
        </w:trPr>
        <w:tc>
          <w:tcPr>
            <w:tcW w:w="2689" w:type="dxa"/>
          </w:tcPr>
          <w:p w14:paraId="4578152E" w14:textId="77777777" w:rsidR="003E649C" w:rsidRPr="007F7243" w:rsidRDefault="003E649C">
            <w:pPr>
              <w:jc w:val="both"/>
              <w:rPr>
                <w:rFonts w:ascii="Verdana" w:eastAsia="Calibri" w:hAnsi="Verdana" w:cs="Arial"/>
                <w:b/>
                <w:bCs/>
                <w:color w:val="000000" w:themeColor="text1"/>
                <w:lang w:val="es-ES_tradnl" w:eastAsia="es-ES_tradnl"/>
              </w:rPr>
            </w:pPr>
          </w:p>
        </w:tc>
      </w:tr>
      <w:tr w:rsidR="003E649C" w:rsidRPr="007F7243" w14:paraId="247E7CBE" w14:textId="77777777" w:rsidTr="00B07C70">
        <w:trPr>
          <w:trHeight w:val="884"/>
        </w:trPr>
        <w:tc>
          <w:tcPr>
            <w:tcW w:w="2689" w:type="dxa"/>
          </w:tcPr>
          <w:p w14:paraId="3ADBB1F5" w14:textId="77777777" w:rsidR="003E649C" w:rsidRPr="007F7243" w:rsidRDefault="003E649C" w:rsidP="005046F2">
            <w:pPr>
              <w:jc w:val="both"/>
              <w:rPr>
                <w:rFonts w:ascii="Verdana" w:eastAsia="Calibri" w:hAnsi="Verdana" w:cs="Arial"/>
                <w:color w:val="000000" w:themeColor="text1"/>
                <w:lang w:val="es-ES_tradnl" w:eastAsia="es-ES_tradnl"/>
              </w:rPr>
            </w:pPr>
            <w:r w:rsidRPr="007F7243">
              <w:rPr>
                <w:rFonts w:ascii="Verdana" w:eastAsia="Calibri" w:hAnsi="Verdana" w:cs="Arial"/>
                <w:b/>
                <w:color w:val="000000" w:themeColor="text1"/>
                <w:lang w:val="es-ES_tradnl" w:eastAsia="es-ES_tradnl"/>
              </w:rPr>
              <w:t>Temas:</w:t>
            </w:r>
            <w:r w:rsidRPr="007F7243">
              <w:rPr>
                <w:rFonts w:ascii="Verdana" w:eastAsia="Calibri" w:hAnsi="Verdana" w:cs="Arial"/>
                <w:color w:val="000000" w:themeColor="text1"/>
                <w:lang w:val="es-ES_tradnl" w:eastAsia="es-ES_tradnl"/>
              </w:rPr>
              <w:t xml:space="preserve">                   </w:t>
            </w:r>
          </w:p>
        </w:tc>
        <w:tc>
          <w:tcPr>
            <w:tcW w:w="6100" w:type="dxa"/>
          </w:tcPr>
          <w:p w14:paraId="1946E94F" w14:textId="77777777" w:rsidR="003E649C" w:rsidRPr="007F7243" w:rsidRDefault="003E649C" w:rsidP="007268DF">
            <w:pPr>
              <w:jc w:val="both"/>
              <w:rPr>
                <w:rFonts w:ascii="Verdana" w:hAnsi="Verdana" w:cs="Arial"/>
                <w:lang w:val="es-MX" w:eastAsia="es-ES_tradnl"/>
              </w:rPr>
            </w:pPr>
            <w:r w:rsidRPr="007F7243">
              <w:rPr>
                <w:rFonts w:ascii="Verdana" w:eastAsia="Calibri" w:hAnsi="Verdana" w:cs="Arial"/>
                <w:lang w:val="es-ES" w:eastAsia="es-ES"/>
              </w:rPr>
              <w:t xml:space="preserve">RESGUARDOS INDÍGENAS – Administración de recursos del SGP – Entidades Estatales / </w:t>
            </w:r>
            <w:r w:rsidRPr="007F7243">
              <w:rPr>
                <w:rFonts w:ascii="Verdana" w:hAnsi="Verdana" w:cs="Arial"/>
                <w:lang w:val="es-ES" w:eastAsia="es-ES"/>
              </w:rPr>
              <w:t xml:space="preserve">LEY DE GARANTÍAS ELECTORALES – Finalidad / LEY DE GARANTÍAS ELECTORALES ‒ Restricciones ‒ Contratación ‒ Tipos de elección / </w:t>
            </w:r>
            <w:r w:rsidRPr="007F7243">
              <w:rPr>
                <w:rFonts w:ascii="Verdana" w:hAnsi="Verdana" w:cs="Arial"/>
                <w:lang w:val="es-MX" w:eastAsia="es-ES_tradnl"/>
              </w:rPr>
              <w:t>CONVENIOS INTERADMINISTRATIVOS – Criterio orgánico /</w:t>
            </w:r>
            <w:r w:rsidRPr="007F7243">
              <w:rPr>
                <w:rFonts w:ascii="Verdana" w:hAnsi="Verdana"/>
              </w:rPr>
              <w:t xml:space="preserve"> </w:t>
            </w:r>
            <w:r w:rsidRPr="007F7243">
              <w:rPr>
                <w:rFonts w:ascii="Verdana" w:hAnsi="Verdana" w:cs="Arial"/>
                <w:lang w:val="es-MX" w:eastAsia="es-ES_tradnl"/>
              </w:rPr>
              <w:t>CONTRATOS Y CONVENIOS INTERADMINISTRATIVOS – Circular Externa Única – Auto de suspensión – Numeral 16.2.</w:t>
            </w:r>
          </w:p>
          <w:p w14:paraId="5071455A" w14:textId="77777777" w:rsidR="003E649C" w:rsidRPr="007F7243" w:rsidRDefault="003E649C" w:rsidP="007268DF">
            <w:pPr>
              <w:jc w:val="both"/>
              <w:rPr>
                <w:rFonts w:ascii="Verdana" w:hAnsi="Verdana" w:cs="Arial"/>
                <w:bCs/>
                <w:color w:val="000000" w:themeColor="text1"/>
                <w:lang w:val="es-MX"/>
              </w:rPr>
            </w:pPr>
          </w:p>
        </w:tc>
      </w:tr>
      <w:tr w:rsidR="003E649C" w:rsidRPr="007F7243" w14:paraId="2B94615C" w14:textId="77777777" w:rsidTr="00B07C70">
        <w:tc>
          <w:tcPr>
            <w:tcW w:w="2689" w:type="dxa"/>
          </w:tcPr>
          <w:p w14:paraId="23843FD8" w14:textId="77777777" w:rsidR="003E649C" w:rsidRPr="007F7243" w:rsidRDefault="003E649C" w:rsidP="005046F2">
            <w:pPr>
              <w:jc w:val="both"/>
              <w:rPr>
                <w:rFonts w:ascii="Verdana" w:eastAsia="Calibri" w:hAnsi="Verdana" w:cs="Arial"/>
                <w:b/>
                <w:color w:val="000000" w:themeColor="text1"/>
                <w:lang w:val="es-ES_tradnl" w:eastAsia="es-ES_tradnl"/>
              </w:rPr>
            </w:pPr>
            <w:r w:rsidRPr="007F7243">
              <w:rPr>
                <w:rFonts w:ascii="Verdana" w:eastAsia="Calibri" w:hAnsi="Verdana" w:cs="Arial"/>
                <w:b/>
                <w:color w:val="000000" w:themeColor="text1"/>
                <w:lang w:val="es-ES_tradnl" w:eastAsia="es-ES_tradnl"/>
              </w:rPr>
              <w:t>Radicación:</w:t>
            </w:r>
            <w:r w:rsidRPr="007F7243">
              <w:rPr>
                <w:rFonts w:ascii="Verdana" w:eastAsia="Calibri" w:hAnsi="Verdana" w:cs="Arial"/>
                <w:color w:val="000000" w:themeColor="text1"/>
                <w:lang w:val="es-ES_tradnl" w:eastAsia="es-ES_tradnl"/>
              </w:rPr>
              <w:t xml:space="preserve">               </w:t>
            </w:r>
          </w:p>
        </w:tc>
        <w:tc>
          <w:tcPr>
            <w:tcW w:w="6100" w:type="dxa"/>
          </w:tcPr>
          <w:p w14:paraId="23920B80" w14:textId="160B6033" w:rsidR="003E649C" w:rsidRPr="007F7243" w:rsidRDefault="003E649C" w:rsidP="004238EE">
            <w:pPr>
              <w:jc w:val="both"/>
              <w:rPr>
                <w:rFonts w:ascii="Verdana" w:eastAsia="Calibri" w:hAnsi="Verdana" w:cs="Arial"/>
                <w:color w:val="000000" w:themeColor="text1"/>
                <w:lang w:eastAsia="es-ES_tradnl"/>
              </w:rPr>
            </w:pPr>
            <w:r w:rsidRPr="007F7243">
              <w:rPr>
                <w:rFonts w:ascii="Verdana" w:eastAsia="Calibri" w:hAnsi="Verdana" w:cs="Arial"/>
                <w:color w:val="000000" w:themeColor="text1"/>
                <w:lang w:val="es-ES_tradnl" w:eastAsia="es-ES_tradnl"/>
              </w:rPr>
              <w:t>Respuesta a consulta con radicado No.</w:t>
            </w:r>
            <w:r w:rsidRPr="007F7243">
              <w:rPr>
                <w:rFonts w:ascii="Verdana" w:hAnsi="Verdana"/>
              </w:rPr>
              <w:t xml:space="preserve"> </w:t>
            </w:r>
            <w:r w:rsidR="00A7709B" w:rsidRPr="007F7243">
              <w:rPr>
                <w:rFonts w:ascii="Verdana" w:eastAsia="Calibri" w:hAnsi="Verdana" w:cs="Arial"/>
                <w:color w:val="000000" w:themeColor="text1"/>
                <w:lang w:eastAsia="es-ES_tradnl"/>
              </w:rPr>
              <w:t>1_2026_02_24_002503</w:t>
            </w:r>
          </w:p>
          <w:p w14:paraId="34CFF2A9" w14:textId="77777777" w:rsidR="003E649C" w:rsidRPr="007F7243" w:rsidRDefault="003E649C" w:rsidP="007F7243">
            <w:pPr>
              <w:jc w:val="both"/>
              <w:rPr>
                <w:rFonts w:ascii="Verdana" w:hAnsi="Verdana" w:cs="Arial"/>
              </w:rPr>
            </w:pPr>
          </w:p>
          <w:p w14:paraId="289D09F9" w14:textId="77777777" w:rsidR="003E649C" w:rsidRPr="007F7243" w:rsidRDefault="003E649C">
            <w:pPr>
              <w:jc w:val="both"/>
              <w:rPr>
                <w:rFonts w:ascii="Verdana" w:hAnsi="Verdana"/>
                <w:color w:val="000000"/>
              </w:rPr>
            </w:pPr>
          </w:p>
        </w:tc>
      </w:tr>
    </w:tbl>
    <w:p w14:paraId="7667E055" w14:textId="393B770D" w:rsidR="003E649C" w:rsidRPr="007F7243" w:rsidRDefault="003E649C" w:rsidP="005046F2">
      <w:pPr>
        <w:spacing w:after="0" w:line="276" w:lineRule="auto"/>
        <w:jc w:val="both"/>
        <w:rPr>
          <w:rFonts w:ascii="Verdana" w:eastAsia="Calibri" w:hAnsi="Verdana" w:cs="Arial"/>
          <w:color w:val="000000" w:themeColor="text1"/>
          <w:lang w:val="es-ES" w:eastAsia="es-ES"/>
        </w:rPr>
      </w:pPr>
      <w:r w:rsidRPr="007F7243">
        <w:rPr>
          <w:rFonts w:ascii="Verdana" w:eastAsia="Calibri" w:hAnsi="Verdana" w:cs="Arial"/>
          <w:color w:val="000000" w:themeColor="text1"/>
          <w:lang w:val="es-ES" w:eastAsia="es-ES"/>
        </w:rPr>
        <w:t xml:space="preserve">Estimado Señor </w:t>
      </w:r>
      <w:r w:rsidR="00561A24" w:rsidRPr="007F7243">
        <w:rPr>
          <w:rFonts w:ascii="Verdana" w:eastAsia="Calibri" w:hAnsi="Verdana" w:cs="Arial"/>
          <w:color w:val="000000" w:themeColor="text1"/>
          <w:lang w:eastAsia="es-ES"/>
        </w:rPr>
        <w:t>Ducuara</w:t>
      </w:r>
      <w:r w:rsidRPr="007F7243">
        <w:rPr>
          <w:rFonts w:ascii="Verdana" w:eastAsia="Calibri" w:hAnsi="Verdana" w:cs="Arial"/>
          <w:color w:val="000000" w:themeColor="text1"/>
          <w:lang w:val="es-ES" w:eastAsia="es-ES"/>
        </w:rPr>
        <w:t xml:space="preserve">: </w:t>
      </w:r>
    </w:p>
    <w:p w14:paraId="0A161BE3" w14:textId="77777777" w:rsidR="003E649C" w:rsidRPr="007268DF" w:rsidRDefault="003E649C" w:rsidP="007268DF">
      <w:pPr>
        <w:spacing w:after="0" w:line="276" w:lineRule="auto"/>
        <w:rPr>
          <w:rFonts w:ascii="Verdana" w:eastAsia="Times New Roman" w:hAnsi="Verdana" w:cs="Segoe UI"/>
          <w:lang w:eastAsia="es-CO"/>
        </w:rPr>
      </w:pPr>
    </w:p>
    <w:p w14:paraId="0D388273" w14:textId="5165594E" w:rsidR="003E649C" w:rsidRPr="007F7243" w:rsidRDefault="003E649C" w:rsidP="005046F2">
      <w:pPr>
        <w:spacing w:after="0" w:line="276" w:lineRule="auto"/>
        <w:jc w:val="both"/>
        <w:rPr>
          <w:rFonts w:ascii="Verdana" w:eastAsia="Calibri" w:hAnsi="Verdana" w:cs="Arial"/>
          <w:lang w:val="es-ES" w:eastAsia="es-ES"/>
        </w:rPr>
      </w:pPr>
      <w:r w:rsidRPr="007F7243">
        <w:rPr>
          <w:rFonts w:ascii="Verdana" w:eastAsia="Calibri" w:hAnsi="Verdana" w:cs="Arial"/>
          <w:lang w:val="es-ES" w:eastAsia="es-ES"/>
        </w:rPr>
        <w:t>En ejercicio de la competencia otorgada por los artículos 3, numeral 5º, y 11, numeral 8º, del Decreto Ley 4170 de 2011,</w:t>
      </w:r>
      <w:r w:rsidRPr="007F7243">
        <w:rPr>
          <w:rFonts w:ascii="Verdana" w:eastAsia="Arial MT" w:hAnsi="Verdana" w:cs="Arial"/>
          <w:lang w:val="es-ES" w:eastAsia="es-ES"/>
        </w:rPr>
        <w:t xml:space="preserve"> </w:t>
      </w:r>
      <w:r w:rsidRPr="007F7243">
        <w:rPr>
          <w:rFonts w:ascii="Verdana" w:hAnsi="Verdana" w:cs="Arial"/>
        </w:rPr>
        <w:t xml:space="preserve">así como lo establecido en el artículo 4 de la Resolución 1707 de 2018 expedida por esta Entidad, </w:t>
      </w:r>
      <w:r w:rsidRPr="007F7243">
        <w:rPr>
          <w:rFonts w:ascii="Verdana" w:eastAsia="Calibri" w:hAnsi="Verdana" w:cs="Arial"/>
          <w:lang w:val="es-ES" w:eastAsia="es-ES"/>
        </w:rPr>
        <w:t xml:space="preserve">la Agencia Nacional de Contratación Pública – Colombia Compra Eficiente– responde su solicitud del </w:t>
      </w:r>
      <w:r w:rsidR="00561A24" w:rsidRPr="007F7243">
        <w:rPr>
          <w:rFonts w:ascii="Verdana" w:eastAsia="Calibri" w:hAnsi="Verdana" w:cs="Arial"/>
          <w:lang w:val="es-ES" w:eastAsia="es-ES"/>
        </w:rPr>
        <w:t>19 de febrero del 2026</w:t>
      </w:r>
      <w:r w:rsidRPr="007F7243">
        <w:rPr>
          <w:rFonts w:ascii="Verdana" w:eastAsia="Calibri" w:hAnsi="Verdana" w:cs="Arial"/>
          <w:lang w:val="es-ES" w:eastAsia="es-ES"/>
        </w:rPr>
        <w:t xml:space="preserve">, trasladada por el Departamento </w:t>
      </w:r>
      <w:r w:rsidR="00156DBE" w:rsidRPr="007F7243">
        <w:rPr>
          <w:rFonts w:ascii="Verdana" w:eastAsia="Calibri" w:hAnsi="Verdana" w:cs="Arial"/>
          <w:lang w:val="es-ES" w:eastAsia="es-ES"/>
        </w:rPr>
        <w:t>Administrativo de la Función Pública,</w:t>
      </w:r>
      <w:r w:rsidRPr="007F7243">
        <w:rPr>
          <w:rFonts w:ascii="Verdana" w:eastAsia="Calibri" w:hAnsi="Verdana" w:cs="Arial"/>
          <w:lang w:val="es-ES" w:eastAsia="es-ES"/>
        </w:rPr>
        <w:t xml:space="preserve"> el </w:t>
      </w:r>
      <w:r w:rsidR="00156DBE" w:rsidRPr="007F7243">
        <w:rPr>
          <w:rFonts w:ascii="Verdana" w:eastAsia="Calibri" w:hAnsi="Verdana" w:cs="Arial"/>
          <w:lang w:val="es-ES" w:eastAsia="es-ES"/>
        </w:rPr>
        <w:t>2</w:t>
      </w:r>
      <w:r w:rsidR="00303B91" w:rsidRPr="007F7243">
        <w:rPr>
          <w:rFonts w:ascii="Verdana" w:eastAsia="Calibri" w:hAnsi="Verdana" w:cs="Arial"/>
          <w:lang w:val="es-ES" w:eastAsia="es-ES"/>
        </w:rPr>
        <w:t>3</w:t>
      </w:r>
      <w:r w:rsidR="00156DBE" w:rsidRPr="007F7243">
        <w:rPr>
          <w:rFonts w:ascii="Verdana" w:eastAsia="Calibri" w:hAnsi="Verdana" w:cs="Arial"/>
          <w:lang w:val="es-ES" w:eastAsia="es-ES"/>
        </w:rPr>
        <w:t xml:space="preserve"> de febrero del 2026</w:t>
      </w:r>
      <w:r w:rsidRPr="007F7243">
        <w:rPr>
          <w:rFonts w:ascii="Verdana" w:eastAsia="Calibri" w:hAnsi="Verdana" w:cs="Arial"/>
          <w:lang w:val="es-ES" w:eastAsia="es-ES"/>
        </w:rPr>
        <w:t xml:space="preserve">, en la cual manifiesta lo siguiente: </w:t>
      </w:r>
    </w:p>
    <w:p w14:paraId="4BF124FB" w14:textId="77777777" w:rsidR="003E649C" w:rsidRPr="007268DF" w:rsidRDefault="003E649C" w:rsidP="004238EE">
      <w:pPr>
        <w:spacing w:after="0" w:line="276" w:lineRule="auto"/>
        <w:jc w:val="both"/>
        <w:rPr>
          <w:rFonts w:ascii="Verdana" w:eastAsia="Calibri" w:hAnsi="Verdana" w:cs="Arial"/>
          <w:lang w:val="es-ES" w:eastAsia="es-ES"/>
        </w:rPr>
      </w:pPr>
    </w:p>
    <w:p w14:paraId="32540804" w14:textId="3436FF7D" w:rsidR="003E649C" w:rsidRPr="007F7243" w:rsidRDefault="003E649C" w:rsidP="00FF05CD">
      <w:pPr>
        <w:spacing w:after="0" w:line="240" w:lineRule="auto"/>
        <w:ind w:left="709" w:right="709"/>
        <w:jc w:val="both"/>
        <w:rPr>
          <w:rFonts w:ascii="Verdana" w:hAnsi="Verdana" w:cs="Arial"/>
          <w:sz w:val="20"/>
          <w:szCs w:val="20"/>
        </w:rPr>
      </w:pPr>
      <w:r w:rsidRPr="007F7243">
        <w:rPr>
          <w:rFonts w:ascii="Verdana" w:eastAsia="Century Gothic" w:hAnsi="Verdana" w:cs="Arial"/>
          <w:sz w:val="20"/>
          <w:szCs w:val="20"/>
          <w:lang w:val="es-ES"/>
        </w:rPr>
        <w:lastRenderedPageBreak/>
        <w:t xml:space="preserve">“[…] </w:t>
      </w:r>
      <w:r w:rsidR="00FF05CD" w:rsidRPr="007F7243">
        <w:rPr>
          <w:rFonts w:ascii="Verdana" w:eastAsia="Century Gothic" w:hAnsi="Verdana" w:cs="Arial"/>
          <w:sz w:val="20"/>
          <w:szCs w:val="20"/>
        </w:rPr>
        <w:t>Respetados Señores de la Función Pública de Colombia, reciban un cordial saludo de la administración municipal "AVANCEMOS JUNTOS Y TODOS GANAMOS 2025- 2027", mediante la presente expongo una inquietud referente a la celebración de los Contratos entre la entidad territorial y las autoridades del resguardo indígena, el contrato se realiza para la ejecución de los recursos asignados a los resguardos indígenas provenientes del SGP - AESGPRI, en el momento nos encontramos en Ley de Garantías (Ley 996 de 2005), se requiere saber si es factible la elaboración de contratos en estas fechas para que los gobernadores de las comunidades indígenas puedan iniciar a invertir sus recursos o es necesario esperar a que pase el periodo de la Ley de Garantías.</w:t>
      </w:r>
      <w:r w:rsidR="00FF05CD" w:rsidRPr="007F7243">
        <w:rPr>
          <w:rFonts w:ascii="Verdana" w:eastAsia="Century Gothic" w:hAnsi="Verdana" w:cs="Arial"/>
          <w:sz w:val="20"/>
          <w:szCs w:val="20"/>
          <w:lang w:val="es-ES"/>
        </w:rPr>
        <w:t xml:space="preserve"> </w:t>
      </w:r>
      <w:r w:rsidRPr="007F7243">
        <w:rPr>
          <w:rFonts w:ascii="Verdana" w:eastAsia="Century Gothic" w:hAnsi="Verdana" w:cs="Arial"/>
          <w:sz w:val="20"/>
          <w:szCs w:val="20"/>
          <w:lang w:val="es-ES"/>
        </w:rPr>
        <w:t>[…]”</w:t>
      </w:r>
    </w:p>
    <w:p w14:paraId="5CC452F0" w14:textId="77777777" w:rsidR="003E649C" w:rsidRPr="007F7243" w:rsidRDefault="003E649C" w:rsidP="003E649C">
      <w:pPr>
        <w:spacing w:after="0"/>
        <w:jc w:val="both"/>
        <w:rPr>
          <w:rFonts w:ascii="Verdana" w:hAnsi="Verdana" w:cs="Arial"/>
          <w:lang w:val="es-ES"/>
        </w:rPr>
      </w:pPr>
    </w:p>
    <w:p w14:paraId="72AE9C56" w14:textId="7AB80E19" w:rsidR="003E649C" w:rsidRPr="007F7243" w:rsidRDefault="003E649C" w:rsidP="003E649C">
      <w:pPr>
        <w:spacing w:after="120" w:line="276" w:lineRule="auto"/>
        <w:ind w:firstLine="709"/>
        <w:jc w:val="both"/>
        <w:rPr>
          <w:rFonts w:ascii="Verdana" w:eastAsia="Calibri" w:hAnsi="Verdana" w:cs="Arial"/>
          <w:color w:val="000000"/>
          <w:lang w:val="es-ES_tradnl" w:eastAsia="es-ES_tradnl"/>
        </w:rPr>
      </w:pPr>
      <w:r w:rsidRPr="007F7243">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5046F2" w:rsidRPr="007F7243">
        <w:rPr>
          <w:rFonts w:ascii="Verdana" w:eastAsia="Calibri" w:hAnsi="Verdana" w:cs="Arial"/>
          <w:color w:val="000000"/>
          <w:lang w:val="es-ES" w:eastAsia="es-ES"/>
        </w:rPr>
        <w:t xml:space="preserve">la Agencia Nacional de Contratación Pública – </w:t>
      </w:r>
      <w:r w:rsidRPr="007F7243">
        <w:rPr>
          <w:rFonts w:ascii="Verdana" w:eastAsia="Calibri" w:hAnsi="Verdana" w:cs="Arial"/>
          <w:color w:val="000000"/>
          <w:lang w:val="es-ES" w:eastAsia="es-ES"/>
        </w:rPr>
        <w:t>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2FB07AFE" w14:textId="23E834EB" w:rsidR="003E649C" w:rsidRPr="007F7243" w:rsidRDefault="003E649C" w:rsidP="003E649C">
      <w:pPr>
        <w:spacing w:after="0" w:line="276" w:lineRule="auto"/>
        <w:ind w:firstLine="709"/>
        <w:jc w:val="both"/>
        <w:rPr>
          <w:rFonts w:ascii="Verdana" w:eastAsia="Calibri" w:hAnsi="Verdana" w:cs="Arial"/>
          <w:color w:val="000000"/>
          <w:lang w:val="es-ES" w:eastAsia="es-ES"/>
        </w:rPr>
      </w:pPr>
      <w:r w:rsidRPr="007F7243">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007571C2" w:rsidRPr="007F7243">
        <w:rPr>
          <w:rFonts w:ascii="Verdana" w:eastAsia="Calibri" w:hAnsi="Verdana" w:cs="Arial"/>
          <w:color w:val="000000"/>
          <w:lang w:val="es-ES" w:eastAsia="es-ES"/>
        </w:rPr>
        <w:t>señalando alg</w:t>
      </w:r>
      <w:r w:rsidRPr="007F7243">
        <w:rPr>
          <w:rFonts w:ascii="Verdana" w:eastAsia="Calibri" w:hAnsi="Verdana" w:cs="Arial"/>
          <w:color w:val="000000"/>
          <w:lang w:val="es-ES" w:eastAsia="es-ES"/>
        </w:rPr>
        <w:t xml:space="preserve">unas consideraciones sobre las normas generales relacionadas con los problemas jurídicos de su consulta.  </w:t>
      </w:r>
    </w:p>
    <w:p w14:paraId="206B1D8B" w14:textId="77777777" w:rsidR="003E649C" w:rsidRPr="007268DF" w:rsidRDefault="003E649C" w:rsidP="007268DF">
      <w:pPr>
        <w:spacing w:after="0" w:line="276" w:lineRule="auto"/>
        <w:jc w:val="both"/>
        <w:rPr>
          <w:rStyle w:val="Hyperlink"/>
          <w:rFonts w:ascii="Verdana" w:hAnsi="Verdana"/>
          <w:lang w:val="es-ES"/>
        </w:rPr>
      </w:pPr>
    </w:p>
    <w:p w14:paraId="48592AF9" w14:textId="77777777" w:rsidR="003E649C" w:rsidRPr="007F7243" w:rsidRDefault="003E649C" w:rsidP="007571C2">
      <w:pPr>
        <w:pStyle w:val="ListParagraph"/>
        <w:numPr>
          <w:ilvl w:val="0"/>
          <w:numId w:val="16"/>
        </w:numPr>
        <w:tabs>
          <w:tab w:val="left" w:pos="142"/>
          <w:tab w:val="left" w:pos="284"/>
        </w:tabs>
        <w:spacing w:after="0" w:line="276" w:lineRule="auto"/>
        <w:ind w:left="0" w:firstLine="0"/>
        <w:jc w:val="both"/>
        <w:rPr>
          <w:rFonts w:ascii="Verdana" w:eastAsia="Century Gothic" w:hAnsi="Verdana" w:cs="Arial"/>
          <w:b/>
          <w:bCs/>
        </w:rPr>
      </w:pPr>
      <w:r w:rsidRPr="007F7243">
        <w:rPr>
          <w:rFonts w:ascii="Verdana" w:eastAsia="Century Gothic" w:hAnsi="Verdana" w:cs="Arial"/>
          <w:b/>
          <w:bCs/>
        </w:rPr>
        <w:t>Problema planteado:</w:t>
      </w:r>
    </w:p>
    <w:p w14:paraId="1FD26541" w14:textId="77777777" w:rsidR="003E649C" w:rsidRPr="007268DF" w:rsidRDefault="003E649C" w:rsidP="007268DF">
      <w:pPr>
        <w:spacing w:after="0" w:line="276" w:lineRule="auto"/>
        <w:jc w:val="both"/>
        <w:rPr>
          <w:rStyle w:val="Hyperlink"/>
          <w:rFonts w:ascii="Verdana" w:hAnsi="Verdana" w:cs="Arial"/>
        </w:rPr>
      </w:pPr>
    </w:p>
    <w:p w14:paraId="65833D70" w14:textId="77777777" w:rsidR="003E649C" w:rsidRPr="007F7243" w:rsidRDefault="003E649C" w:rsidP="007571C2">
      <w:pPr>
        <w:spacing w:after="0" w:line="276" w:lineRule="auto"/>
        <w:jc w:val="both"/>
        <w:rPr>
          <w:rFonts w:ascii="Verdana" w:eastAsia="Century Gothic" w:hAnsi="Verdana" w:cs="Century Gothic"/>
          <w:color w:val="000000" w:themeColor="text1"/>
        </w:rPr>
      </w:pPr>
      <w:r w:rsidRPr="007F7243">
        <w:rPr>
          <w:rFonts w:ascii="Verdana" w:eastAsia="Century Gothic" w:hAnsi="Verdana" w:cs="Arial"/>
        </w:rPr>
        <w:t xml:space="preserve">De acuerdo con el contenido de su solicitud, esta Agencia resolverá los siguientes problemas jurídicos: i) </w:t>
      </w:r>
      <w:r w:rsidRPr="007F7243">
        <w:rPr>
          <w:rFonts w:ascii="Verdana" w:eastAsia="Century Gothic" w:hAnsi="Verdana" w:cs="Century Gothic"/>
          <w:color w:val="000000" w:themeColor="text1"/>
        </w:rPr>
        <w:t xml:space="preserve">¿Se pueden suscribir </w:t>
      </w:r>
      <w:r w:rsidRPr="007F7243">
        <w:rPr>
          <w:rFonts w:ascii="Verdana" w:eastAsia="Century Gothic" w:hAnsi="Verdana" w:cs="Century Gothic"/>
          <w:i/>
          <w:iCs/>
          <w:color w:val="000000" w:themeColor="text1"/>
        </w:rPr>
        <w:t>convenios interadministrativos</w:t>
      </w:r>
      <w:r w:rsidRPr="007F7243">
        <w:rPr>
          <w:rFonts w:ascii="Verdana" w:eastAsia="Century Gothic" w:hAnsi="Verdana" w:cs="Century Gothic"/>
          <w:color w:val="000000" w:themeColor="text1"/>
        </w:rPr>
        <w:t xml:space="preserve"> </w:t>
      </w:r>
      <w:r w:rsidRPr="007F7243">
        <w:rPr>
          <w:rFonts w:ascii="Verdana" w:eastAsia="Times New Roman" w:hAnsi="Verdana" w:cs="Arial"/>
          <w:lang w:eastAsia="es-CO"/>
        </w:rPr>
        <w:t>durante la aplicación de la Ley de Garantías Electorales -</w:t>
      </w:r>
      <w:r w:rsidRPr="007F7243">
        <w:rPr>
          <w:rFonts w:ascii="Verdana" w:hAnsi="Verdana"/>
          <w:iCs/>
        </w:rPr>
        <w:t xml:space="preserve"> Ley 996 de 2005?; y ii) </w:t>
      </w:r>
      <w:r w:rsidRPr="007F7243">
        <w:rPr>
          <w:rFonts w:ascii="Verdana" w:eastAsia="Century Gothic" w:hAnsi="Verdana" w:cs="Century Gothic"/>
        </w:rPr>
        <w:t>¿</w:t>
      </w:r>
      <w:r w:rsidRPr="007F7243">
        <w:rPr>
          <w:rFonts w:ascii="Verdana" w:eastAsia="Century Gothic" w:hAnsi="Verdana" w:cs="Century Gothic"/>
          <w:lang w:val="es-ES_tradnl"/>
        </w:rPr>
        <w:t xml:space="preserve">Resulta aplicable las restricciones establecidas en el artículo 38 de la </w:t>
      </w:r>
      <w:r w:rsidRPr="007F7243">
        <w:rPr>
          <w:rFonts w:ascii="Verdana" w:hAnsi="Verdana"/>
          <w:iCs/>
        </w:rPr>
        <w:t xml:space="preserve">Ley 996 </w:t>
      </w:r>
      <w:r w:rsidRPr="007F7243">
        <w:rPr>
          <w:rFonts w:ascii="Verdana" w:hAnsi="Verdana"/>
          <w:iCs/>
        </w:rPr>
        <w:lastRenderedPageBreak/>
        <w:t xml:space="preserve">de 2005 –Ley de Garantías Electorales- a la celebración de los </w:t>
      </w:r>
      <w:r w:rsidRPr="007F7243">
        <w:rPr>
          <w:rFonts w:ascii="Verdana" w:hAnsi="Verdana"/>
          <w:i/>
        </w:rPr>
        <w:t xml:space="preserve">contratos </w:t>
      </w:r>
      <w:r w:rsidRPr="007F7243">
        <w:rPr>
          <w:rFonts w:ascii="Verdana" w:eastAsia="Century Gothic" w:hAnsi="Verdana" w:cs="Century Gothic"/>
          <w:i/>
          <w:lang w:val="es-ES_tradnl"/>
        </w:rPr>
        <w:t>interadministrativos</w:t>
      </w:r>
      <w:r w:rsidRPr="007F7243">
        <w:rPr>
          <w:rFonts w:ascii="Verdana" w:eastAsia="Century Gothic" w:hAnsi="Verdana" w:cs="Century Gothic"/>
          <w:lang w:val="es-ES_tradnl"/>
        </w:rPr>
        <w:t>?</w:t>
      </w:r>
    </w:p>
    <w:p w14:paraId="76D8CED2" w14:textId="77777777" w:rsidR="003E649C" w:rsidRPr="007F7243" w:rsidRDefault="003E649C" w:rsidP="004238EE">
      <w:pPr>
        <w:spacing w:after="0" w:line="276" w:lineRule="auto"/>
        <w:jc w:val="both"/>
        <w:rPr>
          <w:rStyle w:val="Hyperlink"/>
          <w:rFonts w:ascii="Verdana" w:hAnsi="Verdana" w:cs="Arial"/>
          <w:lang w:val="es-ES"/>
        </w:rPr>
      </w:pPr>
    </w:p>
    <w:p w14:paraId="76834605" w14:textId="77777777" w:rsidR="003E649C" w:rsidRPr="007F7243" w:rsidRDefault="003E649C" w:rsidP="007268DF">
      <w:pPr>
        <w:pStyle w:val="ListParagraph"/>
        <w:widowControl w:val="0"/>
        <w:numPr>
          <w:ilvl w:val="0"/>
          <w:numId w:val="16"/>
        </w:numPr>
        <w:autoSpaceDE w:val="0"/>
        <w:autoSpaceDN w:val="0"/>
        <w:spacing w:after="0" w:line="276" w:lineRule="auto"/>
        <w:ind w:left="360"/>
        <w:jc w:val="both"/>
        <w:outlineLvl w:val="0"/>
        <w:rPr>
          <w:rFonts w:ascii="Verdana" w:eastAsia="Arial" w:hAnsi="Verdana" w:cs="Arial"/>
          <w:b/>
          <w:bCs/>
        </w:rPr>
      </w:pPr>
      <w:r w:rsidRPr="007268DF">
        <w:rPr>
          <w:rFonts w:ascii="Verdana" w:eastAsia="Arial" w:hAnsi="Verdana" w:cs="Arial"/>
          <w:b/>
          <w:bCs/>
        </w:rPr>
        <w:t>Respuesta:</w:t>
      </w:r>
    </w:p>
    <w:p w14:paraId="1BEB0881" w14:textId="77777777" w:rsidR="008C55DA" w:rsidRPr="007F7243" w:rsidRDefault="008C55DA" w:rsidP="007268DF">
      <w:pPr>
        <w:spacing w:after="0" w:line="276" w:lineRule="auto"/>
        <w:jc w:val="both"/>
        <w:rPr>
          <w:rFonts w:ascii="Verdana" w:eastAsia="Verdana" w:hAnsi="Verdana" w:cs="Verdana"/>
          <w:b/>
          <w:bCs/>
          <w:lang w:val="es-MX"/>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E7DD1" w:rsidRPr="007F7243" w14:paraId="7E8B39C0" w14:textId="77777777" w:rsidTr="00B07C70">
        <w:tc>
          <w:tcPr>
            <w:tcW w:w="8828" w:type="dxa"/>
          </w:tcPr>
          <w:p w14:paraId="70716D72" w14:textId="77777777" w:rsidR="009E7DD1" w:rsidRPr="007F7243" w:rsidRDefault="009E7DD1" w:rsidP="00B07C70">
            <w:pPr>
              <w:spacing w:after="120" w:line="276" w:lineRule="auto"/>
              <w:jc w:val="both"/>
              <w:rPr>
                <w:rFonts w:ascii="Verdana" w:hAnsi="Verdana" w:cs="Arial"/>
                <w:color w:val="000000" w:themeColor="text1"/>
              </w:rPr>
            </w:pPr>
            <w:bookmarkStart w:id="1" w:name="_Hlk171067516"/>
            <w:r w:rsidRPr="007F7243">
              <w:rPr>
                <w:rFonts w:ascii="Verdana" w:hAnsi="Verdana" w:cs="Arial"/>
                <w:color w:val="000000" w:themeColor="text1"/>
              </w:rPr>
              <w:t>En respuesta a los problemas antes planteados esta Subdirección manifiesta lo siguiente:</w:t>
            </w:r>
          </w:p>
          <w:p w14:paraId="4A808FBF" w14:textId="77777777" w:rsidR="009E7DD1" w:rsidRPr="007F7243" w:rsidRDefault="009E7DD1" w:rsidP="00B07C70">
            <w:pPr>
              <w:spacing w:before="120" w:after="120" w:line="276" w:lineRule="auto"/>
              <w:ind w:firstLine="709"/>
              <w:jc w:val="both"/>
              <w:rPr>
                <w:rFonts w:ascii="Verdana" w:hAnsi="Verdana" w:cs="Arial"/>
              </w:rPr>
            </w:pPr>
            <w:r w:rsidRPr="007F7243">
              <w:rPr>
                <w:rFonts w:ascii="Verdana" w:eastAsia="Calibri" w:hAnsi="Verdana" w:cs="Arial"/>
                <w:i/>
                <w:color w:val="000000" w:themeColor="text1"/>
              </w:rPr>
              <w:t>En primer lugar</w:t>
            </w:r>
            <w:r w:rsidRPr="007F7243">
              <w:rPr>
                <w:rFonts w:ascii="Verdana" w:hAnsi="Verdana" w:cs="Arial"/>
              </w:rPr>
              <w:t xml:space="preserve">, </w:t>
            </w:r>
            <w:r w:rsidRPr="007F7243">
              <w:rPr>
                <w:rFonts w:ascii="Verdana" w:hAnsi="Verdana" w:cs="Arial"/>
                <w:lang w:val="es-ES"/>
              </w:rPr>
              <w:t>debe indicarse que los recursos de la Asignación Especial del Sistema General de Participaciones para los Resguardos Indígenas -AESGPRI- corresponden a los recursos del Sistema General de Participaciones que les son transferidos a los resguardos indígenas de conformidad con lo dispuesto por el artículo 356 de la Constitución Política y por los artículos 2º y 83 de la Ley 715 de 2001, para la financiación de proyectos de inversión debidamente formulados, e incluidos en los planes de vida o de acuerdo con los usos y costumbres de los pueblos indígenas.</w:t>
            </w:r>
          </w:p>
          <w:p w14:paraId="41176A6D" w14:textId="77777777" w:rsidR="009E7DD1" w:rsidRPr="007F7243" w:rsidRDefault="009E7DD1" w:rsidP="00B07C70">
            <w:pPr>
              <w:spacing w:before="120" w:after="120" w:line="276" w:lineRule="auto"/>
              <w:ind w:firstLine="709"/>
              <w:jc w:val="both"/>
              <w:rPr>
                <w:rFonts w:ascii="Verdana" w:eastAsia="Calibri" w:hAnsi="Verdana" w:cs="Arial"/>
                <w:lang w:val="es-ES"/>
              </w:rPr>
            </w:pPr>
            <w:r w:rsidRPr="007F7243">
              <w:rPr>
                <w:rFonts w:ascii="Verdana" w:hAnsi="Verdana" w:cs="Arial"/>
                <w:lang w:val="es-ES"/>
              </w:rPr>
              <w:t xml:space="preserve">Bajo este contexto, en el parágrafo 2º del artículo 2º de la Ley 715 de 2001 se establece la Asignación Especial del Sistema General de Participaciones para los Resguardos Indígenas -AESGPRI- y en el artículo 83 se determinan los criterios para la distribución y la administración de los recursos. Con base en lo anterior, se entiende que </w:t>
            </w:r>
            <w:r w:rsidRPr="007F7243">
              <w:rPr>
                <w:rFonts w:ascii="Verdana" w:hAnsi="Verdana" w:cs="Arial"/>
                <w:i/>
                <w:iCs/>
                <w:lang w:val="es-ES"/>
              </w:rPr>
              <w:t xml:space="preserve">los recursos de la AESGPRI son públicos </w:t>
            </w:r>
            <w:r w:rsidRPr="007F7243">
              <w:rPr>
                <w:rFonts w:ascii="Verdana" w:hAnsi="Verdana" w:cs="Arial"/>
                <w:lang w:val="es-ES"/>
              </w:rPr>
              <w:t>y tienen como propósito beneficiar a la población indígena que habita en los resguardos. Por otro lado, el mencionado decreto dispone de manera expresa que l</w:t>
            </w:r>
            <w:r w:rsidRPr="007F7243">
              <w:rPr>
                <w:rFonts w:ascii="Verdana" w:eastAsia="Calibri" w:hAnsi="Verdana" w:cs="Arial"/>
                <w:lang w:val="es-ES"/>
              </w:rPr>
              <w:t>os territorios y resguardos indígenas que hayan sido autorizados para administrar recursos del SGP se consideran Entidades Estatales, de acuerdo con lo dispuesto en el artículo 2° de la Ley 80 de 1993.</w:t>
            </w:r>
          </w:p>
          <w:p w14:paraId="46CB6B09" w14:textId="77777777" w:rsidR="009E7DD1" w:rsidRPr="007F7243" w:rsidRDefault="009E7DD1" w:rsidP="00B07C70">
            <w:pPr>
              <w:spacing w:before="120" w:after="120" w:line="276" w:lineRule="auto"/>
              <w:ind w:firstLine="709"/>
              <w:jc w:val="both"/>
              <w:rPr>
                <w:rFonts w:ascii="Verdana" w:eastAsia="Times New Roman" w:hAnsi="Verdana" w:cs="Arial"/>
                <w:lang w:eastAsia="es-CO"/>
              </w:rPr>
            </w:pPr>
            <w:r w:rsidRPr="007F7243">
              <w:rPr>
                <w:rFonts w:ascii="Verdana" w:hAnsi="Verdana" w:cs="Arial"/>
                <w:lang w:val="es-ES"/>
              </w:rPr>
              <w:t xml:space="preserve">En </w:t>
            </w:r>
            <w:r w:rsidRPr="007F7243">
              <w:rPr>
                <w:rFonts w:ascii="Verdana" w:hAnsi="Verdana" w:cs="Arial"/>
                <w:i/>
                <w:iCs/>
                <w:lang w:val="es-ES"/>
              </w:rPr>
              <w:t>segundo lugar</w:t>
            </w:r>
            <w:r w:rsidRPr="007F7243">
              <w:rPr>
                <w:rFonts w:ascii="Verdana" w:hAnsi="Verdana" w:cs="Arial"/>
                <w:lang w:val="es-ES"/>
              </w:rPr>
              <w:t xml:space="preserve">, y en lo que respecta a lo dispuesto en el parágrafo </w:t>
            </w:r>
            <w:r w:rsidRPr="007F7243">
              <w:rPr>
                <w:rFonts w:ascii="Verdana" w:eastAsia="Times New Roman" w:hAnsi="Verdana" w:cs="Arial"/>
                <w:lang w:eastAsia="es-CO"/>
              </w:rPr>
              <w:t xml:space="preserve">del artículo 38 de la Ley 996 de 2005, se precisa que, este prohíbe a los Alcaldes, Gobernadores, Secretarios, Gerentes y Directores de las entidades del orden municipal, departamental o distrital celebrar </w:t>
            </w:r>
            <w:r w:rsidRPr="007F7243">
              <w:rPr>
                <w:rFonts w:ascii="Verdana" w:eastAsia="Times New Roman" w:hAnsi="Verdana" w:cs="Arial"/>
                <w:i/>
                <w:iCs/>
                <w:lang w:eastAsia="es-CO"/>
              </w:rPr>
              <w:t>convenios interadministrativos</w:t>
            </w:r>
            <w:r w:rsidRPr="007F7243">
              <w:rPr>
                <w:rFonts w:ascii="Verdana" w:eastAsia="Times New Roman" w:hAnsi="Verdana" w:cs="Arial"/>
                <w:lang w:eastAsia="es-CO"/>
              </w:rPr>
              <w:t xml:space="preserve"> </w:t>
            </w:r>
            <w:r w:rsidRPr="007F7243">
              <w:rPr>
                <w:rFonts w:ascii="Verdana" w:eastAsia="Times New Roman" w:hAnsi="Verdana" w:cs="Arial"/>
                <w:i/>
                <w:iCs/>
                <w:lang w:eastAsia="es-CO"/>
              </w:rPr>
              <w:t>para la ejecución de recursos públicos</w:t>
            </w:r>
            <w:r w:rsidRPr="007F7243">
              <w:rPr>
                <w:rFonts w:ascii="Verdana" w:eastAsia="Times New Roman" w:hAnsi="Verdana" w:cs="Arial"/>
                <w:lang w:eastAsia="es-CO"/>
              </w:rPr>
              <w:t xml:space="preserve">. En este sentido, si una o ambas partes de la relación contractual es una entidad de aquellas descritas en el parágrafo </w:t>
            </w:r>
            <w:r w:rsidRPr="007F7243">
              <w:rPr>
                <w:rFonts w:ascii="Verdana" w:eastAsia="Times New Roman" w:hAnsi="Verdana" w:cs="Arial"/>
                <w:i/>
                <w:lang w:eastAsia="es-CO"/>
              </w:rPr>
              <w:t>ibidem</w:t>
            </w:r>
            <w:r w:rsidRPr="007F7243">
              <w:rPr>
                <w:rFonts w:ascii="Verdana" w:eastAsia="Times New Roman" w:hAnsi="Verdana" w:cs="Arial"/>
                <w:lang w:eastAsia="es-CO"/>
              </w:rPr>
              <w:t xml:space="preserve">, no podrá celebrar tales </w:t>
            </w:r>
            <w:r w:rsidRPr="007F7243">
              <w:rPr>
                <w:rFonts w:ascii="Verdana" w:eastAsia="Times New Roman" w:hAnsi="Verdana" w:cs="Arial"/>
                <w:i/>
                <w:iCs/>
                <w:lang w:eastAsia="es-CO"/>
              </w:rPr>
              <w:t>convenios</w:t>
            </w:r>
            <w:r w:rsidRPr="007F7243">
              <w:rPr>
                <w:rFonts w:ascii="Verdana" w:eastAsia="Times New Roman" w:hAnsi="Verdana" w:cs="Arial"/>
                <w:lang w:eastAsia="es-CO"/>
              </w:rPr>
              <w:t xml:space="preserve"> durante la aplicación de la Ley de Garantías Electorales, toda vez que la citada disposición hace referencia a dicha tipología contractual sin que el legislador hubiere contemplado un efecto extensivo a otra tipología.</w:t>
            </w:r>
          </w:p>
          <w:p w14:paraId="04D623DF" w14:textId="77777777" w:rsidR="009E7DD1" w:rsidRPr="007F7243" w:rsidRDefault="009E7DD1" w:rsidP="00B07C70">
            <w:pPr>
              <w:spacing w:before="120" w:after="120" w:line="276" w:lineRule="auto"/>
              <w:ind w:firstLine="709"/>
              <w:jc w:val="both"/>
              <w:rPr>
                <w:rFonts w:ascii="Verdana" w:eastAsia="Arial" w:hAnsi="Verdana" w:cs="Arial"/>
                <w:lang w:val="es-ES"/>
              </w:rPr>
            </w:pPr>
            <w:r w:rsidRPr="007F7243">
              <w:rPr>
                <w:rFonts w:ascii="Verdana" w:eastAsia="Arial" w:hAnsi="Verdana" w:cs="Arial"/>
                <w:lang w:val="es-ES"/>
              </w:rPr>
              <w:lastRenderedPageBreak/>
              <w:t xml:space="preserve">En complemento con lo anterior, es necesario tener en cuenta que, los </w:t>
            </w:r>
            <w:r w:rsidRPr="007F7243">
              <w:rPr>
                <w:rFonts w:ascii="Verdana" w:eastAsia="Arial" w:hAnsi="Verdana" w:cs="Arial"/>
                <w:i/>
                <w:iCs/>
                <w:lang w:val="es-ES"/>
              </w:rPr>
              <w:t>convenios interadministrativos</w:t>
            </w:r>
            <w:r w:rsidRPr="007F7243">
              <w:rPr>
                <w:rFonts w:ascii="Verdana" w:eastAsia="Arial" w:hAnsi="Verdana" w:cs="Arial"/>
                <w:lang w:val="es-ES"/>
              </w:rPr>
              <w:t xml:space="preserve"> se definen por la naturaleza de las partes, de manera que están determinados por un criterio orgánico, en el sentido de que lo serán aquellos celebrados entre </w:t>
            </w:r>
            <w:r w:rsidRPr="007F7243">
              <w:rPr>
                <w:rFonts w:ascii="Verdana" w:eastAsia="Arial" w:hAnsi="Verdana" w:cs="Arial"/>
                <w:i/>
                <w:iCs/>
                <w:lang w:val="es-ES"/>
              </w:rPr>
              <w:t>entidades de derecho público</w:t>
            </w:r>
            <w:r w:rsidRPr="007F7243">
              <w:rPr>
                <w:rFonts w:ascii="Verdana" w:eastAsia="Arial" w:hAnsi="Verdana" w:cs="Arial"/>
                <w:lang w:val="es-ES"/>
              </w:rPr>
              <w:t xml:space="preserve">. En este contexto, cuando </w:t>
            </w:r>
            <w:r w:rsidRPr="007F7243">
              <w:rPr>
                <w:rFonts w:ascii="Verdana" w:eastAsia="Calibri" w:hAnsi="Verdana" w:cs="Arial"/>
                <w:bCs/>
                <w:color w:val="000000" w:themeColor="text1"/>
                <w:lang w:val="es-ES_tradnl"/>
              </w:rPr>
              <w:t xml:space="preserve">gobernadores, alcaldes, secretarios, gerentes y directores de Entidades Estatales del orden municipal, departamental o distrital </w:t>
            </w:r>
            <w:r w:rsidRPr="007F7243">
              <w:rPr>
                <w:rFonts w:ascii="Verdana" w:eastAsia="Arial" w:hAnsi="Verdana" w:cs="Arial"/>
                <w:lang w:val="es-ES"/>
              </w:rPr>
              <w:t xml:space="preserve">celebren convenios </w:t>
            </w:r>
            <w:r w:rsidRPr="007F7243">
              <w:rPr>
                <w:rFonts w:ascii="Verdana" w:eastAsia="Times New Roman" w:hAnsi="Verdana" w:cs="Arial"/>
                <w:lang w:eastAsia="es-ES_tradnl"/>
              </w:rPr>
              <w:t xml:space="preserve">con </w:t>
            </w:r>
            <w:r w:rsidRPr="007F7243">
              <w:rPr>
                <w:rFonts w:ascii="Verdana" w:eastAsia="Times New Roman" w:hAnsi="Verdana" w:cs="Arial"/>
                <w:bCs/>
                <w:color w:val="000000" w:themeColor="text1"/>
                <w:lang w:eastAsia="es-CO"/>
              </w:rPr>
              <w:t>cabildos indígenas, autoridades tradicionales indígenas y las asociaciones de cabildos indígenas y/o autoridades tradicionales indígenas</w:t>
            </w:r>
            <w:r w:rsidRPr="007F7243">
              <w:rPr>
                <w:rFonts w:ascii="Verdana" w:eastAsia="Times New Roman" w:hAnsi="Verdana" w:cs="Arial"/>
                <w:lang w:eastAsia="es-ES_tradnl"/>
              </w:rPr>
              <w:t xml:space="preserve">, se entenderán que son interadministrativos al catalogarlos la ley como entidades públicas. En estos casos </w:t>
            </w:r>
            <w:r w:rsidRPr="007F7243">
              <w:rPr>
                <w:rFonts w:ascii="Verdana" w:eastAsia="Arial" w:hAnsi="Verdana" w:cs="Arial"/>
                <w:lang w:val="es-ES"/>
              </w:rPr>
              <w:t>aplicará la restricción del artículo 38 de la Ley 996 de 2005.</w:t>
            </w:r>
          </w:p>
          <w:p w14:paraId="262ACF32" w14:textId="77777777" w:rsidR="009E7DD1" w:rsidRPr="007F7243" w:rsidRDefault="009E7DD1" w:rsidP="00B07C70">
            <w:pPr>
              <w:spacing w:before="120" w:after="120" w:line="276" w:lineRule="auto"/>
              <w:ind w:firstLine="709"/>
              <w:jc w:val="both"/>
              <w:rPr>
                <w:rFonts w:ascii="Verdana" w:eastAsia="Arial" w:hAnsi="Verdana" w:cs="Arial"/>
                <w:lang w:val="es-ES"/>
              </w:rPr>
            </w:pPr>
            <w:r w:rsidRPr="007F7243">
              <w:rPr>
                <w:rFonts w:ascii="Verdana" w:eastAsia="Times New Roman" w:hAnsi="Verdana" w:cs="Arial"/>
                <w:lang w:eastAsia="es-CO"/>
              </w:rPr>
              <w:t xml:space="preserve">No obstante, a la luz de lo analizado por el Consejo de Estado en la sentencia expedida por la Sección Tercera de la Sala de lo Contencioso Administrativo del 17 de octubre de 2025,  los autos del 4 de octubre de 2024 y 6 de noviembre de 2025, en los cuales se declaró la nulidad parcial, se decretó la medida </w:t>
            </w:r>
            <w:r w:rsidRPr="007F7243">
              <w:rPr>
                <w:rFonts w:ascii="Verdana" w:eastAsia="Arial" w:hAnsi="Verdana" w:cs="Arial"/>
                <w:lang w:eastAsia="es-ES" w:bidi="es-ES"/>
              </w:rPr>
              <w:t xml:space="preserve">de suspensión provisional parcial del </w:t>
            </w:r>
            <w:r w:rsidRPr="007F7243">
              <w:rPr>
                <w:rFonts w:ascii="Verdana" w:hAnsi="Verdana" w:cs="Arial"/>
              </w:rPr>
              <w:t xml:space="preserve">numeral 16.2 de la Circular Externa Única de 2022 expedida por la Agencia Nacional de Contratación Pública -Colombia Compra Eficiente-, y </w:t>
            </w:r>
            <w:r w:rsidRPr="007F7243">
              <w:rPr>
                <w:rFonts w:ascii="Verdana" w:eastAsia="Arial" w:hAnsi="Verdana" w:cs="Arial"/>
                <w:lang w:eastAsia="es-ES" w:bidi="es-ES"/>
              </w:rPr>
              <w:t>de los apartes cuestionados del inciso segundo y del inciso cuarto del numeral 16.2 de la Circular Externa Única, versión 3 del 27 de diciembre de 2023,</w:t>
            </w:r>
            <w:r w:rsidRPr="007F7243">
              <w:rPr>
                <w:rFonts w:ascii="Verdana" w:eastAsia="Times New Roman" w:hAnsi="Verdana" w:cs="Arial"/>
                <w:lang w:eastAsia="es-CO"/>
              </w:rPr>
              <w:t xml:space="preserve"> no resultaría aplicable la prohibición del parágrafo del artículo 38 de la Ley de Garantías Electorales a los </w:t>
            </w:r>
            <w:r w:rsidRPr="007F7243">
              <w:rPr>
                <w:rFonts w:ascii="Verdana" w:eastAsia="Times New Roman" w:hAnsi="Verdana" w:cs="Arial"/>
                <w:i/>
                <w:lang w:eastAsia="es-CO"/>
              </w:rPr>
              <w:t>contratos interadministrativos</w:t>
            </w:r>
            <w:r w:rsidRPr="007F7243">
              <w:rPr>
                <w:rFonts w:ascii="Verdana" w:eastAsia="Times New Roman" w:hAnsi="Verdana" w:cs="Arial"/>
                <w:lang w:eastAsia="es-CO"/>
              </w:rPr>
              <w:t>.</w:t>
            </w:r>
          </w:p>
          <w:p w14:paraId="0398F693" w14:textId="155EC492" w:rsidR="004238EE" w:rsidRPr="007F7243" w:rsidRDefault="004238EE" w:rsidP="00B07C70">
            <w:pPr>
              <w:spacing w:after="120" w:line="276" w:lineRule="auto"/>
              <w:ind w:firstLine="708"/>
              <w:jc w:val="both"/>
              <w:rPr>
                <w:rFonts w:ascii="Verdana" w:eastAsia="Arial" w:hAnsi="Verdana" w:cs="Arial"/>
                <w:bCs/>
                <w:color w:val="000000" w:themeColor="text1"/>
              </w:rPr>
            </w:pPr>
            <w:r w:rsidRPr="007F7243">
              <w:rPr>
                <w:rFonts w:ascii="Verdana" w:eastAsia="Times New Roman" w:hAnsi="Verdana" w:cs="Arial"/>
                <w:lang w:eastAsia="es-CO"/>
              </w:rPr>
              <w:t xml:space="preserve">No obstante lo anterior, es importante precisar que respecto de las elecciones a Presidente de la Republica aplica la restricción contemplada en el artículo 33 de la Ley 996, según la cual no podrán celebrarse contratos de forma directa. Así las cosas, si bien el artículo 38 </w:t>
            </w:r>
            <w:r w:rsidR="00A52313" w:rsidRPr="007F7243">
              <w:rPr>
                <w:rFonts w:ascii="Verdana" w:eastAsia="Times New Roman" w:hAnsi="Verdana" w:cs="Arial"/>
                <w:lang w:eastAsia="es-CO"/>
              </w:rPr>
              <w:t>ibídem</w:t>
            </w:r>
            <w:r w:rsidRPr="007F7243">
              <w:rPr>
                <w:rFonts w:ascii="Verdana" w:eastAsia="Times New Roman" w:hAnsi="Verdana" w:cs="Arial"/>
                <w:lang w:eastAsia="es-CO"/>
              </w:rPr>
              <w:t xml:space="preserve"> no prohíbe la celebración de contratos interadministrativos, lo cierto es que en vigencia del artículo 33</w:t>
            </w:r>
            <w:r w:rsidR="00A52313">
              <w:rPr>
                <w:rFonts w:ascii="Verdana" w:eastAsia="Times New Roman" w:hAnsi="Verdana" w:cs="Arial"/>
                <w:lang w:eastAsia="es-CO"/>
              </w:rPr>
              <w:t>, esto es cuatro (4) meses anteriores a las elecciones presidenciales,</w:t>
            </w:r>
            <w:r w:rsidRPr="00A52313">
              <w:rPr>
                <w:rFonts w:ascii="Verdana" w:eastAsia="Times New Roman" w:hAnsi="Verdana" w:cs="Arial"/>
                <w:lang w:eastAsia="es-CO"/>
              </w:rPr>
              <w:t xml:space="preserve"> no se podrán celebrar estos </w:t>
            </w:r>
            <w:r w:rsidR="00A52313">
              <w:rPr>
                <w:rFonts w:ascii="Verdana" w:eastAsia="Times New Roman" w:hAnsi="Verdana" w:cs="Arial"/>
                <w:lang w:eastAsia="es-CO"/>
              </w:rPr>
              <w:t xml:space="preserve">contratos </w:t>
            </w:r>
            <w:r w:rsidRPr="00A52313">
              <w:rPr>
                <w:rFonts w:ascii="Verdana" w:eastAsia="Times New Roman" w:hAnsi="Verdana" w:cs="Arial"/>
                <w:lang w:eastAsia="es-CO"/>
              </w:rPr>
              <w:t xml:space="preserve">de forma directa.  </w:t>
            </w:r>
          </w:p>
          <w:p w14:paraId="773BB633" w14:textId="05B17317" w:rsidR="009E7DD1" w:rsidRPr="007F7243" w:rsidRDefault="009E7DD1" w:rsidP="00B07C70">
            <w:pPr>
              <w:spacing w:after="120" w:line="276" w:lineRule="auto"/>
              <w:ind w:firstLine="708"/>
              <w:jc w:val="both"/>
              <w:rPr>
                <w:rFonts w:ascii="Verdana" w:eastAsia="Arial" w:hAnsi="Verdana" w:cs="Arial"/>
                <w:color w:val="000000" w:themeColor="text1"/>
              </w:rPr>
            </w:pPr>
            <w:r w:rsidRPr="007F7243">
              <w:rPr>
                <w:rFonts w:ascii="Verdana" w:eastAsia="Arial" w:hAnsi="Verdana" w:cs="Arial"/>
                <w:bCs/>
                <w:color w:val="000000" w:themeColor="text1"/>
              </w:rPr>
              <w:t xml:space="preserve">En todo caso, vale anotar que es responsabilidad del respectivo ente del Estado examinar </w:t>
            </w:r>
            <w:r w:rsidRPr="007F7243">
              <w:rPr>
                <w:rFonts w:ascii="Verdana" w:eastAsia="Arial" w:hAnsi="Verdana" w:cs="Arial"/>
                <w:color w:val="000000" w:themeColor="text1"/>
              </w:rPr>
              <w:t xml:space="preserve">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si </w:t>
            </w:r>
            <w:r w:rsidRPr="007F7243">
              <w:rPr>
                <w:rFonts w:ascii="Verdana" w:eastAsia="Arial" w:hAnsi="Verdana" w:cs="Arial"/>
                <w:color w:val="000000" w:themeColor="text1"/>
              </w:rPr>
              <w:lastRenderedPageBreak/>
              <w:t>se trata de convenios que contemplan la ejecución de recursos públicos, conforme se explicó.</w:t>
            </w:r>
          </w:p>
          <w:p w14:paraId="48C9BE02" w14:textId="77777777" w:rsidR="009E7DD1" w:rsidRPr="007268DF" w:rsidRDefault="009E7DD1" w:rsidP="00B07C70">
            <w:pPr>
              <w:spacing w:after="120" w:line="276" w:lineRule="auto"/>
              <w:ind w:firstLine="708"/>
              <w:jc w:val="both"/>
              <w:rPr>
                <w:rFonts w:ascii="Verdana" w:eastAsia="Calibri" w:hAnsi="Verdana" w:cs="Arial"/>
              </w:rPr>
            </w:pPr>
            <w:r w:rsidRPr="007F7243">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bookmarkEnd w:id="1"/>
    </w:tbl>
    <w:p w14:paraId="1EEDF053" w14:textId="77D2E393" w:rsidR="008C55DA" w:rsidRPr="007F7243" w:rsidRDefault="008C55DA" w:rsidP="007268DF">
      <w:pPr>
        <w:spacing w:after="0" w:line="276" w:lineRule="auto"/>
        <w:jc w:val="both"/>
        <w:rPr>
          <w:rFonts w:ascii="Verdana" w:eastAsia="Verdana" w:hAnsi="Verdana" w:cs="Verdana"/>
          <w:b/>
          <w:bCs/>
        </w:rPr>
      </w:pPr>
    </w:p>
    <w:p w14:paraId="2925100B" w14:textId="1B8C10D6" w:rsidR="00895892" w:rsidRPr="007F7243" w:rsidRDefault="001E0E6F" w:rsidP="007268DF">
      <w:pPr>
        <w:widowControl w:val="0"/>
        <w:autoSpaceDE w:val="0"/>
        <w:autoSpaceDN w:val="0"/>
        <w:spacing w:after="0" w:line="276" w:lineRule="auto"/>
        <w:ind w:left="360" w:hanging="360"/>
        <w:outlineLvl w:val="0"/>
        <w:rPr>
          <w:rFonts w:ascii="Verdana" w:eastAsia="Arial" w:hAnsi="Verdana" w:cs="Arial"/>
          <w:b/>
          <w:bCs/>
          <w:lang w:val="es-ES"/>
        </w:rPr>
      </w:pPr>
      <w:r w:rsidRPr="007F7243">
        <w:rPr>
          <w:rFonts w:ascii="Verdana" w:eastAsia="Arial" w:hAnsi="Verdana" w:cs="Arial"/>
          <w:b/>
          <w:bCs/>
          <w:lang w:val="es-ES"/>
        </w:rPr>
        <w:t>3</w:t>
      </w:r>
      <w:r w:rsidR="00895892" w:rsidRPr="007F7243">
        <w:rPr>
          <w:rFonts w:ascii="Verdana" w:eastAsia="Arial" w:hAnsi="Verdana" w:cs="Arial"/>
          <w:b/>
          <w:bCs/>
          <w:lang w:val="es-ES"/>
        </w:rPr>
        <w:t>. Razones de la respuesta:</w:t>
      </w:r>
    </w:p>
    <w:p w14:paraId="0DE52ECC" w14:textId="77777777" w:rsidR="00895892" w:rsidRPr="007F7243" w:rsidRDefault="00895892" w:rsidP="007571C2">
      <w:pPr>
        <w:spacing w:after="0" w:line="276" w:lineRule="auto"/>
        <w:jc w:val="both"/>
        <w:rPr>
          <w:rFonts w:ascii="Verdana" w:eastAsia="Calibri" w:hAnsi="Verdana" w:cs="Arial"/>
          <w:lang w:val="es-ES"/>
        </w:rPr>
      </w:pPr>
    </w:p>
    <w:p w14:paraId="2C40EF73" w14:textId="77777777" w:rsidR="00895892" w:rsidRPr="007F7243" w:rsidRDefault="00895892" w:rsidP="004E371C">
      <w:pPr>
        <w:spacing w:after="0" w:line="276" w:lineRule="auto"/>
        <w:jc w:val="both"/>
        <w:rPr>
          <w:rFonts w:ascii="Verdana" w:eastAsia="Calibri" w:hAnsi="Verdana" w:cs="Arial"/>
          <w:lang w:val="es-ES"/>
        </w:rPr>
      </w:pPr>
      <w:r w:rsidRPr="007F7243">
        <w:rPr>
          <w:rFonts w:ascii="Verdana" w:eastAsia="Calibri" w:hAnsi="Verdana" w:cs="Arial"/>
          <w:lang w:val="es-ES"/>
        </w:rPr>
        <w:t xml:space="preserve">La respuesta anterior se sustenta en las siguientes consideraciones: </w:t>
      </w:r>
    </w:p>
    <w:p w14:paraId="522ED01D" w14:textId="77777777" w:rsidR="00895892" w:rsidRPr="007F7243" w:rsidRDefault="00895892" w:rsidP="007268DF">
      <w:pPr>
        <w:spacing w:after="0" w:line="276" w:lineRule="auto"/>
        <w:rPr>
          <w:rFonts w:ascii="Verdana" w:eastAsia="Times New Roman" w:hAnsi="Verdana" w:cs="Segoe UI"/>
          <w:lang w:val="es-ES" w:eastAsia="es-CO"/>
        </w:rPr>
      </w:pPr>
    </w:p>
    <w:p w14:paraId="47C6A0B2" w14:textId="77777777" w:rsidR="00B50213" w:rsidRPr="007F7243" w:rsidRDefault="00895892" w:rsidP="00B50213">
      <w:pPr>
        <w:spacing w:after="120" w:line="276" w:lineRule="auto"/>
        <w:jc w:val="both"/>
        <w:rPr>
          <w:rFonts w:ascii="Verdana" w:eastAsia="Calibri" w:hAnsi="Verdana" w:cs="Arial"/>
          <w:lang w:val="es-ES"/>
        </w:rPr>
      </w:pPr>
      <w:r w:rsidRPr="007F7243">
        <w:rPr>
          <w:rFonts w:ascii="Verdana" w:eastAsia="Calibri" w:hAnsi="Verdana" w:cs="Arial"/>
          <w:lang w:val="es-ES"/>
        </w:rPr>
        <w:t xml:space="preserve">El artículo 329 de la Constitución Política de 1991 dispuso que la conformación de las entidades territoriales indígenas se realizaría conforme a lo dispuesto en la Ley de Ordenamiento Territorial – LOT. En ese sentido, la norma previamente mencionada dispuso que la conformación de las entidades territoriales indígenas se realizaría de acuerdo con lo indicado en la Ley de Ordenamiento Territorial. No obstante, mientras esa ley era expedida por el Congreso de la República, la Constitución contempló un mecanismo para poner en funcionamiento los territorios indígenas de manera transitoria. </w:t>
      </w:r>
    </w:p>
    <w:p w14:paraId="68F2D15C" w14:textId="5040248A" w:rsidR="00895892" w:rsidRPr="007F7243" w:rsidRDefault="00895892" w:rsidP="004238EE">
      <w:pPr>
        <w:spacing w:after="120" w:line="276" w:lineRule="auto"/>
        <w:ind w:firstLine="680"/>
        <w:jc w:val="both"/>
        <w:rPr>
          <w:rFonts w:ascii="Verdana" w:eastAsia="Calibri" w:hAnsi="Verdana" w:cs="Arial"/>
          <w:color w:val="000000" w:themeColor="text1"/>
          <w:lang w:val="es-ES"/>
        </w:rPr>
      </w:pPr>
      <w:r w:rsidRPr="007F7243">
        <w:rPr>
          <w:rFonts w:ascii="Verdana" w:eastAsia="Calibri" w:hAnsi="Verdana" w:cs="Arial"/>
          <w:lang w:val="es-ES"/>
        </w:rPr>
        <w:t>En efecto, el artículo 56 transitorio de la Constitución Política prescribe que “Mientras se expide la ley a que se refiere el artículo 329, el Gobierno podrá dictar las normas fiscales necesarias y las demás relativas al funcionamiento de los territorios indígenas y su coordinación con las demás entidades territoriales”.</w:t>
      </w:r>
    </w:p>
    <w:p w14:paraId="465694AE" w14:textId="77777777" w:rsidR="00895892" w:rsidRPr="007F7243" w:rsidRDefault="00895892" w:rsidP="007F7243">
      <w:pPr>
        <w:spacing w:after="120" w:line="276" w:lineRule="auto"/>
        <w:ind w:firstLine="680"/>
        <w:jc w:val="both"/>
        <w:rPr>
          <w:rFonts w:ascii="Verdana" w:eastAsia="Calibri" w:hAnsi="Verdana" w:cs="Arial"/>
          <w:lang w:val="es-ES"/>
        </w:rPr>
      </w:pPr>
      <w:r w:rsidRPr="007F7243">
        <w:rPr>
          <w:rFonts w:ascii="Verdana" w:eastAsia="Calibri" w:hAnsi="Verdana" w:cs="Arial"/>
          <w:lang w:val="es-ES"/>
        </w:rPr>
        <w:t xml:space="preserve">De este modo, basados en el artículo 56 de la Constitución Política, en junio de 1993 se expidió el Decreto 1088, “Por el cual se regula la creación de las asociaciones de Cabildos y/o Autoridades Tradicionales Indígenas”, que otorgó a los cabildos y/o autoridades indígenas la posibilidad de conformar </w:t>
      </w:r>
      <w:r w:rsidRPr="007F7243">
        <w:rPr>
          <w:rFonts w:ascii="Verdana" w:eastAsia="Calibri" w:hAnsi="Verdana" w:cs="Arial"/>
          <w:lang w:val="es-ES"/>
        </w:rPr>
        <w:lastRenderedPageBreak/>
        <w:t>asociaciones</w:t>
      </w:r>
      <w:r w:rsidRPr="007F7243">
        <w:rPr>
          <w:rStyle w:val="FootnoteReference"/>
          <w:rFonts w:ascii="Verdana" w:eastAsia="Calibri" w:hAnsi="Verdana" w:cs="Arial"/>
          <w:lang w:val="es-ES"/>
        </w:rPr>
        <w:footnoteReference w:id="1"/>
      </w:r>
      <w:r w:rsidRPr="007F7243">
        <w:rPr>
          <w:rFonts w:ascii="Verdana" w:eastAsia="Calibri" w:hAnsi="Verdana" w:cs="Arial"/>
          <w:lang w:val="es-ES"/>
        </w:rPr>
        <w:t>. Con base en esto, los cabildos y las asociaciones de autoridades tradicionales indígenas pueden asociarse en representación de sus territorios, y esas asociaciones tienen la naturaleza de ser entidades de derecho público de carácter especial, que gozan de personería jurídica y tienen capacidad para adquirir obligaciones.</w:t>
      </w:r>
    </w:p>
    <w:p w14:paraId="0292C463" w14:textId="77777777" w:rsidR="00895892" w:rsidRPr="007F7243" w:rsidRDefault="00895892" w:rsidP="007F7243">
      <w:pPr>
        <w:spacing w:after="120" w:line="276" w:lineRule="auto"/>
        <w:ind w:firstLine="680"/>
        <w:jc w:val="both"/>
        <w:rPr>
          <w:rFonts w:ascii="Verdana" w:eastAsia="Calibri" w:hAnsi="Verdana" w:cs="Arial"/>
          <w:lang w:val="es-ES"/>
        </w:rPr>
      </w:pPr>
      <w:r w:rsidRPr="007F7243">
        <w:rPr>
          <w:rFonts w:ascii="Verdana" w:eastAsia="Calibri" w:hAnsi="Verdana" w:cs="Arial"/>
          <w:lang w:val="es-ES"/>
        </w:rPr>
        <w:t>De otra parte, artículo 329 de la Constitución además involucra dentro del tema relativo a las entidades territoriales indígenas a los resguardos, de quienes predica su carácter de propiedad colectiva no enajenable. Esto es concordante con el artículo 63 de la Carta Política cuyo texto establece expresamente que: “Los bienes de uso público, los parques naturales, las tierras comunales de grupos étnicos, las tierras de resguardo, el patrimonio arqueológico de la Nación y los demás bienes que determine la ley, son inalienables, imprescriptibles e inembargables”</w:t>
      </w:r>
      <w:r w:rsidRPr="007F7243">
        <w:rPr>
          <w:rStyle w:val="FootnoteReference"/>
          <w:rFonts w:ascii="Verdana" w:eastAsia="Calibri" w:hAnsi="Verdana" w:cs="Arial"/>
          <w:lang w:val="es-ES"/>
        </w:rPr>
        <w:footnoteReference w:id="2"/>
      </w:r>
      <w:r w:rsidRPr="007F7243">
        <w:rPr>
          <w:rFonts w:ascii="Verdana" w:eastAsia="Calibri" w:hAnsi="Verdana" w:cs="Arial"/>
          <w:lang w:val="es-ES"/>
        </w:rPr>
        <w:t xml:space="preserve">. De estos artículos se colige como los resguardos indígenas son una forma de propiedad colectiva a la que la Constitución le endilga unos atributos que la sustraen de actos traslaticios o de comercio, al igual que con los bienes de uso público.  </w:t>
      </w:r>
    </w:p>
    <w:p w14:paraId="34795FCA" w14:textId="77777777" w:rsidR="00B50213" w:rsidRPr="007F7243" w:rsidRDefault="00895892" w:rsidP="007268DF">
      <w:pPr>
        <w:spacing w:after="120" w:line="276" w:lineRule="auto"/>
        <w:ind w:firstLine="680"/>
        <w:jc w:val="both"/>
        <w:rPr>
          <w:rFonts w:ascii="Verdana" w:eastAsia="Calibri" w:hAnsi="Verdana" w:cs="Arial"/>
          <w:lang w:val="es-ES"/>
        </w:rPr>
      </w:pPr>
      <w:r w:rsidRPr="007F7243">
        <w:rPr>
          <w:rFonts w:ascii="Verdana" w:eastAsia="Calibri" w:hAnsi="Verdana" w:cs="Arial"/>
          <w:lang w:val="es-ES"/>
        </w:rPr>
        <w:t xml:space="preserve">De acuerdo con esto, la Ley 160 de 1994 </w:t>
      </w:r>
      <w:r w:rsidRPr="007F7243">
        <w:rPr>
          <w:rFonts w:ascii="Verdana" w:hAnsi="Verdana"/>
        </w:rPr>
        <w:t>“</w:t>
      </w:r>
      <w:r w:rsidRPr="007F7243">
        <w:rPr>
          <w:rFonts w:ascii="Verdana" w:eastAsia="Calibri" w:hAnsi="Verdana" w:cs="Arial"/>
          <w:lang w:val="es-ES"/>
        </w:rPr>
        <w:t>por la cual se crea el Sistema Nacional de Reforma Agraria y Desarrollo Rural Campesino, se establece un subsidio para la adquisición de tierras, se reforma el Instituto Colombiano de la Reforma Agraria y se dictan otras disposiciones”, concibe la constitución, ampliación, saneamiento y reestructuración de resguardos como formas para satisfacer las necesidades de tierras de las comunidades indígenas, tal como se colige de los artículos 12-18</w:t>
      </w:r>
      <w:r w:rsidRPr="007F7243">
        <w:rPr>
          <w:rStyle w:val="FootnoteReference"/>
          <w:rFonts w:ascii="Verdana" w:eastAsia="Calibri" w:hAnsi="Verdana" w:cs="Arial"/>
          <w:lang w:val="es-ES"/>
        </w:rPr>
        <w:footnoteReference w:id="3"/>
      </w:r>
      <w:r w:rsidRPr="007F7243">
        <w:rPr>
          <w:rFonts w:ascii="Verdana" w:eastAsia="Calibri" w:hAnsi="Verdana" w:cs="Arial"/>
          <w:lang w:val="es-ES"/>
        </w:rPr>
        <w:t xml:space="preserve"> y 85 de dicha Ley</w:t>
      </w:r>
      <w:r w:rsidRPr="007F7243">
        <w:rPr>
          <w:rStyle w:val="FootnoteReference"/>
          <w:rFonts w:ascii="Verdana" w:eastAsia="Calibri" w:hAnsi="Verdana" w:cs="Arial"/>
          <w:lang w:val="es-ES"/>
        </w:rPr>
        <w:footnoteReference w:id="4"/>
      </w:r>
      <w:r w:rsidRPr="007F7243">
        <w:rPr>
          <w:rFonts w:ascii="Verdana" w:eastAsia="Calibri" w:hAnsi="Verdana" w:cs="Arial"/>
          <w:lang w:val="es-ES"/>
        </w:rPr>
        <w:t xml:space="preserve">. </w:t>
      </w:r>
    </w:p>
    <w:p w14:paraId="5384B007" w14:textId="710A6038" w:rsidR="00895892" w:rsidRPr="007F7243" w:rsidRDefault="00895892" w:rsidP="004E371C">
      <w:pPr>
        <w:spacing w:before="120" w:after="0" w:line="276" w:lineRule="auto"/>
        <w:ind w:firstLine="680"/>
        <w:jc w:val="both"/>
        <w:rPr>
          <w:rFonts w:ascii="Verdana" w:eastAsia="Calibri" w:hAnsi="Verdana" w:cs="Arial"/>
          <w:lang w:val="es-ES"/>
        </w:rPr>
      </w:pPr>
      <w:r w:rsidRPr="007F7243">
        <w:rPr>
          <w:rFonts w:ascii="Verdana" w:eastAsia="Calibri" w:hAnsi="Verdana" w:cs="Arial"/>
          <w:lang w:val="es-ES"/>
        </w:rPr>
        <w:lastRenderedPageBreak/>
        <w:t>De hecho, esta última norma hace parte del Capítulo XIV de la Ley 160 de 1994, específicamente referido a resguardos indígenas, el cual sería reglamentado por el Decreto 2164 de 1995, norma compilada por el Decreto 1071 de 2015, “Por medio del cual se expide el Decreto Único Reglamentario del Sector Administrativo Agropecuario, Pesquero y de Desarrollo Rural”, y contiene las definiciones de resguardo, cabildo y autoridad indígena:</w:t>
      </w:r>
    </w:p>
    <w:p w14:paraId="361A39FB" w14:textId="77777777" w:rsidR="004E371C" w:rsidRPr="007F7243" w:rsidRDefault="004E371C" w:rsidP="007268DF">
      <w:pPr>
        <w:spacing w:after="0" w:line="276" w:lineRule="auto"/>
        <w:ind w:firstLine="680"/>
        <w:jc w:val="both"/>
        <w:rPr>
          <w:rFonts w:ascii="Verdana" w:eastAsia="Calibri" w:hAnsi="Verdana" w:cs="Arial"/>
          <w:lang w:val="es-ES"/>
        </w:rPr>
      </w:pPr>
    </w:p>
    <w:p w14:paraId="2461E0E0" w14:textId="77777777" w:rsidR="00895892" w:rsidRPr="007F7243" w:rsidRDefault="00895892" w:rsidP="004E371C">
      <w:pPr>
        <w:spacing w:after="0" w:line="240" w:lineRule="auto"/>
        <w:ind w:left="709" w:right="709"/>
        <w:jc w:val="both"/>
        <w:rPr>
          <w:rFonts w:ascii="Verdana" w:eastAsia="Calibri" w:hAnsi="Verdana" w:cs="Arial"/>
          <w:sz w:val="20"/>
          <w:szCs w:val="20"/>
          <w:lang w:val="es-ES"/>
        </w:rPr>
      </w:pPr>
      <w:r w:rsidRPr="007F7243">
        <w:rPr>
          <w:rFonts w:ascii="Verdana" w:hAnsi="Verdana"/>
          <w:color w:val="242424"/>
          <w:sz w:val="20"/>
          <w:szCs w:val="20"/>
          <w:shd w:val="clear" w:color="auto" w:fill="FFFFFF"/>
        </w:rPr>
        <w:t xml:space="preserve">“[…] </w:t>
      </w:r>
      <w:r w:rsidRPr="007F7243">
        <w:rPr>
          <w:rFonts w:ascii="Verdana" w:eastAsia="Calibri" w:hAnsi="Verdana" w:cs="Arial"/>
          <w:sz w:val="20"/>
          <w:szCs w:val="20"/>
          <w:lang w:val="es-ES"/>
        </w:rPr>
        <w:t xml:space="preserve">Artículo 2.14.7.5.1. Naturaleza Jurídica. Los resguardos indígenas son propiedad colectiva de las comunidades indígenas en favor de las cuales se constituyen y conforme a los artículos 63 y 329 de la Constitución Política, tienen el carácter de inalienables, imprescriptibles e inembargables. </w:t>
      </w:r>
    </w:p>
    <w:p w14:paraId="59FCC42B" w14:textId="77777777" w:rsidR="00895892" w:rsidRPr="007F7243" w:rsidRDefault="00895892" w:rsidP="00023FDC">
      <w:pPr>
        <w:spacing w:after="0" w:line="240" w:lineRule="auto"/>
        <w:ind w:left="709" w:right="709"/>
        <w:jc w:val="both"/>
        <w:rPr>
          <w:rFonts w:ascii="Verdana" w:eastAsia="Calibri" w:hAnsi="Verdana" w:cs="Arial"/>
          <w:sz w:val="20"/>
          <w:szCs w:val="20"/>
          <w:lang w:val="es-ES"/>
        </w:rPr>
      </w:pPr>
    </w:p>
    <w:p w14:paraId="50FE9ACF" w14:textId="77777777" w:rsidR="00895892" w:rsidRPr="007F7243" w:rsidRDefault="00895892" w:rsidP="007F7243">
      <w:pPr>
        <w:spacing w:after="0" w:line="240" w:lineRule="auto"/>
        <w:ind w:left="709" w:right="709"/>
        <w:jc w:val="both"/>
        <w:rPr>
          <w:rFonts w:ascii="Verdana" w:eastAsia="Calibri" w:hAnsi="Verdana" w:cs="Arial"/>
          <w:sz w:val="20"/>
          <w:szCs w:val="20"/>
          <w:lang w:val="es-ES"/>
        </w:rPr>
      </w:pPr>
      <w:r w:rsidRPr="007F7243">
        <w:rPr>
          <w:rFonts w:ascii="Verdana" w:eastAsia="Calibri" w:hAnsi="Verdana" w:cs="Arial"/>
          <w:sz w:val="20"/>
          <w:szCs w:val="20"/>
          <w:lang w:val="es-ES"/>
        </w:rPr>
        <w:t xml:space="preserve">Los resguardos son una institución legal y sociopolítica de carácter especial, conformada por una o más comunidades indígenas, que con un título de propiedad colectiva que goza de las garantías de la propiedad privada, poseen su territorio y se rigen para el manejo de este y su vida interna por una organización autónoma amparada por el fuero indígena y su sistema normativo propio. </w:t>
      </w:r>
    </w:p>
    <w:p w14:paraId="5285D456" w14:textId="77777777" w:rsidR="00895892" w:rsidRPr="007F7243" w:rsidRDefault="00895892">
      <w:pPr>
        <w:spacing w:after="0" w:line="240" w:lineRule="auto"/>
        <w:ind w:left="709" w:right="709"/>
        <w:jc w:val="both"/>
        <w:rPr>
          <w:rFonts w:ascii="Verdana" w:eastAsia="Calibri" w:hAnsi="Verdana" w:cs="Arial"/>
          <w:sz w:val="20"/>
          <w:szCs w:val="20"/>
          <w:lang w:val="es-ES"/>
        </w:rPr>
      </w:pPr>
    </w:p>
    <w:p w14:paraId="732FB89D" w14:textId="77777777" w:rsidR="00895892" w:rsidRPr="007F7243" w:rsidRDefault="00895892">
      <w:pPr>
        <w:spacing w:after="0" w:line="240" w:lineRule="auto"/>
        <w:ind w:left="709" w:right="709"/>
        <w:jc w:val="both"/>
        <w:rPr>
          <w:rFonts w:ascii="Verdana" w:eastAsia="Calibri" w:hAnsi="Verdana" w:cs="Arial"/>
          <w:sz w:val="20"/>
          <w:szCs w:val="20"/>
          <w:lang w:val="es-ES"/>
        </w:rPr>
      </w:pPr>
      <w:r w:rsidRPr="007F7243">
        <w:rPr>
          <w:rFonts w:ascii="Verdana" w:eastAsia="Calibri" w:hAnsi="Verdana" w:cs="Arial"/>
          <w:sz w:val="20"/>
          <w:szCs w:val="20"/>
          <w:lang w:val="es-ES"/>
        </w:rPr>
        <w:t>Parágrafo. Los integrantes de la comunidad indígena del resguardo no podrán enajenar a cualquier título, arrendar por cuenta propia o hipotecar los terrenos que constituyen el resguardo. (Decreto número 2164 de 1995, artículo 21) (Cursiva fuera de texto).</w:t>
      </w:r>
    </w:p>
    <w:p w14:paraId="08CA42EB" w14:textId="77777777" w:rsidR="00895892" w:rsidRPr="007F7243" w:rsidRDefault="00895892">
      <w:pPr>
        <w:spacing w:after="0" w:line="240" w:lineRule="auto"/>
        <w:ind w:left="709" w:right="709"/>
        <w:jc w:val="both"/>
        <w:rPr>
          <w:rFonts w:ascii="Verdana" w:eastAsia="Calibri" w:hAnsi="Verdana" w:cs="Arial"/>
          <w:sz w:val="20"/>
          <w:szCs w:val="20"/>
          <w:lang w:val="es-ES"/>
        </w:rPr>
      </w:pPr>
    </w:p>
    <w:p w14:paraId="5275E9CB" w14:textId="77777777" w:rsidR="00895892" w:rsidRPr="007F7243" w:rsidRDefault="00895892" w:rsidP="007268DF">
      <w:pPr>
        <w:spacing w:after="0" w:line="240" w:lineRule="auto"/>
        <w:ind w:left="709" w:right="709"/>
        <w:jc w:val="both"/>
        <w:rPr>
          <w:rFonts w:ascii="Verdana" w:eastAsia="Calibri" w:hAnsi="Verdana" w:cs="Arial"/>
          <w:sz w:val="20"/>
          <w:szCs w:val="20"/>
          <w:lang w:val="es-ES"/>
        </w:rPr>
      </w:pPr>
      <w:r w:rsidRPr="007F7243">
        <w:rPr>
          <w:rFonts w:ascii="Verdana" w:eastAsia="Calibri" w:hAnsi="Verdana" w:cs="Arial"/>
          <w:sz w:val="20"/>
          <w:szCs w:val="20"/>
          <w:lang w:val="es-ES"/>
        </w:rPr>
        <w:t>Artículo 2.14.7.5.2. Manejo y Administración. Las áreas que se constituyan con el carácter de resguardo indígena serán manejadas y administradas por lo respectivos cabildos o autoridades tradicionales de las comunidades, de acuerdo con sus usos y costumbres, la legislación especial referida a la materia y a las normas que sobre este particular se adopten por aquellas.</w:t>
      </w:r>
      <w:r w:rsidRPr="007F7243">
        <w:rPr>
          <w:rFonts w:ascii="Verdana" w:hAnsi="Verdana"/>
          <w:color w:val="242424"/>
          <w:sz w:val="20"/>
          <w:szCs w:val="20"/>
          <w:shd w:val="clear" w:color="auto" w:fill="FFFFFF"/>
        </w:rPr>
        <w:t xml:space="preserve"> […]”</w:t>
      </w:r>
    </w:p>
    <w:p w14:paraId="1096E1F9" w14:textId="77777777" w:rsidR="00895892" w:rsidRPr="007F7243" w:rsidRDefault="00895892" w:rsidP="007268DF">
      <w:pPr>
        <w:spacing w:after="0" w:line="276" w:lineRule="auto"/>
        <w:jc w:val="both"/>
        <w:rPr>
          <w:rFonts w:ascii="Verdana" w:eastAsia="Calibri" w:hAnsi="Verdana" w:cs="Arial"/>
          <w:lang w:val="es-ES"/>
        </w:rPr>
      </w:pPr>
    </w:p>
    <w:p w14:paraId="0767BD0A" w14:textId="6FA7DCAB" w:rsidR="00895892" w:rsidRPr="007F7243" w:rsidRDefault="00895892" w:rsidP="004E371C">
      <w:pPr>
        <w:spacing w:after="0" w:line="276" w:lineRule="auto"/>
        <w:ind w:firstLine="708"/>
        <w:jc w:val="both"/>
        <w:rPr>
          <w:rFonts w:ascii="Verdana" w:eastAsia="Calibri" w:hAnsi="Verdana" w:cs="Arial"/>
          <w:lang w:val="es-ES"/>
        </w:rPr>
      </w:pPr>
      <w:r w:rsidRPr="007F7243">
        <w:rPr>
          <w:rFonts w:ascii="Verdana" w:eastAsia="Calibri" w:hAnsi="Verdana" w:cs="Arial"/>
          <w:lang w:val="es-ES"/>
        </w:rPr>
        <w:t xml:space="preserve">Ahora bien, en octubre de 1993 se expidió la Ley 80, “Por la cual se expide el Estatuto General de Contratación de la Administración Pública”. </w:t>
      </w:r>
      <w:r w:rsidR="00392857" w:rsidRPr="007F7243">
        <w:rPr>
          <w:rFonts w:ascii="Verdana" w:eastAsia="Calibri" w:hAnsi="Verdana" w:cs="Arial"/>
          <w:lang w:val="es-ES"/>
        </w:rPr>
        <w:t>Su</w:t>
      </w:r>
      <w:r w:rsidRPr="007F7243">
        <w:rPr>
          <w:rFonts w:ascii="Verdana" w:eastAsia="Calibri" w:hAnsi="Verdana" w:cs="Arial"/>
          <w:lang w:val="es-ES"/>
        </w:rPr>
        <w:t xml:space="preserve"> artículo 2 define las entidades estatales a las cuales le aplican sus disposiciones, e incluye a los territorios indígenas: </w:t>
      </w:r>
    </w:p>
    <w:p w14:paraId="7409DF57" w14:textId="77777777" w:rsidR="004E371C" w:rsidRPr="007F7243" w:rsidRDefault="004E371C" w:rsidP="007268DF">
      <w:pPr>
        <w:spacing w:after="0" w:line="276" w:lineRule="auto"/>
        <w:ind w:firstLine="708"/>
        <w:jc w:val="both"/>
        <w:rPr>
          <w:rFonts w:ascii="Verdana" w:eastAsia="Calibri" w:hAnsi="Verdana" w:cs="Arial"/>
          <w:lang w:val="es-ES"/>
        </w:rPr>
      </w:pPr>
    </w:p>
    <w:p w14:paraId="31CBE939" w14:textId="77777777" w:rsidR="00895892" w:rsidRPr="007F7243" w:rsidRDefault="00895892" w:rsidP="00895892">
      <w:pPr>
        <w:spacing w:after="0" w:line="240" w:lineRule="auto"/>
        <w:ind w:left="708" w:right="709"/>
        <w:jc w:val="both"/>
        <w:rPr>
          <w:rFonts w:ascii="Verdana" w:eastAsia="Calibri" w:hAnsi="Verdana" w:cs="Arial"/>
          <w:sz w:val="20"/>
          <w:szCs w:val="20"/>
          <w:lang w:val="es-ES"/>
        </w:rPr>
      </w:pPr>
      <w:r w:rsidRPr="007F7243">
        <w:rPr>
          <w:rFonts w:ascii="Verdana" w:hAnsi="Verdana"/>
          <w:color w:val="242424"/>
          <w:sz w:val="20"/>
          <w:szCs w:val="20"/>
          <w:shd w:val="clear" w:color="auto" w:fill="FFFFFF"/>
        </w:rPr>
        <w:t xml:space="preserve">“[…] </w:t>
      </w:r>
      <w:r w:rsidRPr="007F7243">
        <w:rPr>
          <w:rFonts w:ascii="Verdana" w:eastAsia="Calibri" w:hAnsi="Verdana" w:cs="Arial"/>
          <w:sz w:val="20"/>
          <w:szCs w:val="20"/>
          <w:lang w:val="es-ES"/>
        </w:rPr>
        <w:t xml:space="preserve">Artículo 2o. De la definición de entidades, servidores y servicios públicos. Para los solos efectos de esta ley: </w:t>
      </w:r>
    </w:p>
    <w:p w14:paraId="76BEF935" w14:textId="77777777" w:rsidR="00895892" w:rsidRPr="007F7243" w:rsidRDefault="00895892" w:rsidP="00895892">
      <w:pPr>
        <w:spacing w:after="0" w:line="240" w:lineRule="auto"/>
        <w:ind w:left="708" w:right="709"/>
        <w:jc w:val="both"/>
        <w:rPr>
          <w:rFonts w:ascii="Verdana" w:eastAsia="Calibri" w:hAnsi="Verdana" w:cs="Arial"/>
          <w:sz w:val="20"/>
          <w:szCs w:val="20"/>
          <w:lang w:val="es-ES"/>
        </w:rPr>
      </w:pPr>
    </w:p>
    <w:p w14:paraId="176B6DBA" w14:textId="77777777" w:rsidR="00895892" w:rsidRPr="007F7243" w:rsidRDefault="00895892" w:rsidP="00895892">
      <w:pPr>
        <w:spacing w:after="0" w:line="240" w:lineRule="auto"/>
        <w:ind w:left="708" w:right="709"/>
        <w:jc w:val="both"/>
        <w:rPr>
          <w:rFonts w:ascii="Verdana" w:eastAsia="Calibri" w:hAnsi="Verdana" w:cs="Arial"/>
          <w:sz w:val="20"/>
          <w:szCs w:val="20"/>
          <w:lang w:val="es-ES"/>
        </w:rPr>
      </w:pPr>
      <w:r w:rsidRPr="007F7243">
        <w:rPr>
          <w:rFonts w:ascii="Verdana" w:eastAsia="Calibri" w:hAnsi="Verdana" w:cs="Arial"/>
          <w:sz w:val="20"/>
          <w:szCs w:val="20"/>
          <w:lang w:val="es-ES"/>
        </w:rPr>
        <w:lastRenderedPageBreak/>
        <w:t xml:space="preserve">1o. Se denominan entidades estatales: </w:t>
      </w:r>
    </w:p>
    <w:p w14:paraId="0F5D3BA2" w14:textId="77777777" w:rsidR="00895892" w:rsidRPr="007F7243" w:rsidRDefault="00895892" w:rsidP="00895892">
      <w:pPr>
        <w:spacing w:after="0" w:line="240" w:lineRule="auto"/>
        <w:ind w:left="708" w:right="709"/>
        <w:jc w:val="both"/>
        <w:rPr>
          <w:rFonts w:ascii="Verdana" w:eastAsia="Calibri" w:hAnsi="Verdana" w:cs="Arial"/>
          <w:sz w:val="20"/>
          <w:szCs w:val="20"/>
          <w:lang w:val="es-ES"/>
        </w:rPr>
      </w:pPr>
    </w:p>
    <w:p w14:paraId="06C57F23" w14:textId="77777777" w:rsidR="00895892" w:rsidRPr="007F7243" w:rsidRDefault="00895892" w:rsidP="00895892">
      <w:pPr>
        <w:spacing w:after="0" w:line="240" w:lineRule="auto"/>
        <w:ind w:left="708" w:right="709"/>
        <w:jc w:val="both"/>
        <w:rPr>
          <w:rFonts w:ascii="Verdana" w:eastAsia="Calibri" w:hAnsi="Verdana" w:cs="Arial"/>
          <w:sz w:val="20"/>
          <w:szCs w:val="20"/>
          <w:lang w:val="es-ES"/>
        </w:rPr>
      </w:pPr>
      <w:r w:rsidRPr="007F7243">
        <w:rPr>
          <w:rFonts w:ascii="Verdana" w:eastAsia="Calibri" w:hAnsi="Verdana" w:cs="Arial"/>
          <w:sz w:val="20"/>
          <w:szCs w:val="20"/>
          <w:lang w:val="es-ES"/>
        </w:rPr>
        <w:t xml:space="preserve">a) La Nación, las regiones, los departamentos, las provincias, el distrito capital y los distritos especiales, las áreas metropolitanas, las asociaciones de municipios, </w:t>
      </w:r>
      <w:r w:rsidRPr="007F7243">
        <w:rPr>
          <w:rFonts w:ascii="Verdana" w:eastAsia="Calibri" w:hAnsi="Verdana" w:cs="Arial"/>
          <w:i/>
          <w:sz w:val="20"/>
          <w:szCs w:val="20"/>
          <w:lang w:val="es-ES"/>
        </w:rPr>
        <w:t>los territorios indígenas</w:t>
      </w:r>
      <w:r w:rsidRPr="007F7243">
        <w:rPr>
          <w:rFonts w:ascii="Verdana" w:eastAsia="Calibri" w:hAnsi="Verdana" w:cs="Arial"/>
          <w:sz w:val="20"/>
          <w:szCs w:val="20"/>
          <w:lang w:val="es-ES"/>
        </w:rPr>
        <w:t xml:space="preserve">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 (énfasis fuera de texto).</w:t>
      </w:r>
    </w:p>
    <w:p w14:paraId="61AB078D" w14:textId="77777777" w:rsidR="00895892" w:rsidRPr="007F7243" w:rsidRDefault="00895892" w:rsidP="007268DF">
      <w:pPr>
        <w:spacing w:after="0" w:line="276" w:lineRule="auto"/>
        <w:textAlignment w:val="baseline"/>
        <w:rPr>
          <w:rFonts w:ascii="Verdana" w:eastAsia="Times New Roman" w:hAnsi="Verdana" w:cs="Segoe UI"/>
          <w:b/>
          <w:bCs/>
          <w:color w:val="46589C"/>
          <w:lang w:val="es-ES" w:eastAsia="es-CO"/>
        </w:rPr>
      </w:pPr>
    </w:p>
    <w:p w14:paraId="794DA202" w14:textId="6E13B52D" w:rsidR="00895892" w:rsidRPr="007F7243" w:rsidRDefault="00895892" w:rsidP="00895892">
      <w:pPr>
        <w:spacing w:after="120" w:line="276" w:lineRule="auto"/>
        <w:ind w:firstLine="708"/>
        <w:jc w:val="both"/>
        <w:rPr>
          <w:rFonts w:ascii="Verdana" w:eastAsia="Calibri" w:hAnsi="Verdana" w:cs="Arial"/>
          <w:lang w:val="es-ES"/>
        </w:rPr>
      </w:pPr>
      <w:r w:rsidRPr="007F7243">
        <w:rPr>
          <w:rFonts w:ascii="Verdana" w:eastAsia="Calibri" w:hAnsi="Verdana" w:cs="Arial"/>
          <w:lang w:val="es-ES"/>
        </w:rPr>
        <w:t xml:space="preserve">De acuerdo con la Ley 80 de 1993, los territorios indígenas eran considerados </w:t>
      </w:r>
      <w:r w:rsidR="009B300D" w:rsidRPr="007F7243">
        <w:rPr>
          <w:rFonts w:ascii="Verdana" w:eastAsia="Calibri" w:hAnsi="Verdana" w:cs="Arial"/>
          <w:lang w:val="es-ES"/>
        </w:rPr>
        <w:t>e</w:t>
      </w:r>
      <w:r w:rsidRPr="007F7243">
        <w:rPr>
          <w:rFonts w:ascii="Verdana" w:eastAsia="Calibri" w:hAnsi="Verdana" w:cs="Arial"/>
          <w:lang w:val="es-ES"/>
        </w:rPr>
        <w:t xml:space="preserve">ntidades </w:t>
      </w:r>
      <w:r w:rsidR="009B300D" w:rsidRPr="007F7243">
        <w:rPr>
          <w:rFonts w:ascii="Verdana" w:eastAsia="Calibri" w:hAnsi="Verdana" w:cs="Arial"/>
          <w:lang w:val="es-ES"/>
        </w:rPr>
        <w:t>e</w:t>
      </w:r>
      <w:r w:rsidRPr="007F7243">
        <w:rPr>
          <w:rFonts w:ascii="Verdana" w:eastAsia="Calibri" w:hAnsi="Verdana" w:cs="Arial"/>
          <w:lang w:val="es-ES"/>
        </w:rPr>
        <w:t xml:space="preserve">statales. Sin embargo, la existencia de aquellos se encuentra condicionada a la expedición de la Ley de Ordenamiento Territorial, por lo que la aplicación del Estatuto General de Contratación de la Administración Pública para este tipo de entidades, a luz de las disposiciones hasta aquí referidas, presenta dificultades. Esto en la medida que no existe una norma que defina los territorios indígenas a los que hace referencia el artículo 2 de esta Ley, lo que necesariamente remite a otras normas a efectos de determinar qué se entiende por estos y cuáles tienen capacidad para adquirir obligaciones. </w:t>
      </w:r>
    </w:p>
    <w:p w14:paraId="324D153F" w14:textId="051A6C99" w:rsidR="00895892" w:rsidRPr="007F7243" w:rsidRDefault="00895892" w:rsidP="00895892">
      <w:pPr>
        <w:spacing w:before="120" w:line="276" w:lineRule="auto"/>
        <w:ind w:firstLine="680"/>
        <w:jc w:val="both"/>
        <w:rPr>
          <w:rFonts w:ascii="Verdana" w:eastAsia="Calibri" w:hAnsi="Verdana" w:cs="Arial"/>
          <w:lang w:val="es-ES"/>
        </w:rPr>
      </w:pPr>
      <w:r w:rsidRPr="007F7243">
        <w:rPr>
          <w:rFonts w:ascii="Verdana" w:eastAsia="Calibri" w:hAnsi="Verdana" w:cs="Arial"/>
          <w:lang w:val="es-ES"/>
        </w:rPr>
        <w:t xml:space="preserve">En este contexto, posteriormente, se expediría la Ley 1454 de 2011, “Por la cual se dictan normas orgánicas sobre ordenamiento territorial y se modifican otras disposiciones”, que reguló asuntos relacionados con el ordenamiento territorial. Sin embargo, esta </w:t>
      </w:r>
      <w:r w:rsidR="008E599C" w:rsidRPr="007F7243">
        <w:rPr>
          <w:rFonts w:ascii="Verdana" w:eastAsia="Calibri" w:hAnsi="Verdana" w:cs="Arial"/>
          <w:lang w:val="es-ES"/>
        </w:rPr>
        <w:t>L</w:t>
      </w:r>
      <w:r w:rsidRPr="007F7243">
        <w:rPr>
          <w:rFonts w:ascii="Verdana" w:eastAsia="Calibri" w:hAnsi="Verdana" w:cs="Arial"/>
          <w:lang w:val="es-ES"/>
        </w:rPr>
        <w:t xml:space="preserve">ey no constituyó a los territorios indígenas, como lo demuestra el parágrafo 2° del artículo 37, al disponer que el Gobierno debía presentar al Congreso un proyecto de ley que regulara la materia. </w:t>
      </w:r>
    </w:p>
    <w:p w14:paraId="77A6DFB9" w14:textId="61C4D69D" w:rsidR="00B46845" w:rsidRPr="007F7243" w:rsidRDefault="00895892" w:rsidP="00895892">
      <w:pPr>
        <w:spacing w:after="120" w:line="276" w:lineRule="auto"/>
        <w:jc w:val="both"/>
        <w:rPr>
          <w:rFonts w:ascii="Verdana" w:eastAsia="Calibri" w:hAnsi="Verdana" w:cs="Arial"/>
          <w:lang w:val="es-ES"/>
        </w:rPr>
      </w:pPr>
      <w:r w:rsidRPr="007F7243">
        <w:rPr>
          <w:rFonts w:ascii="Verdana" w:eastAsia="Calibri" w:hAnsi="Verdana" w:cs="Arial"/>
          <w:lang w:val="es-ES"/>
        </w:rPr>
        <w:tab/>
        <w:t>Otra disposición de relevancia es el artículo 356 superior, el cual habla de la distribución de los recursos del Sistema General de Participaciones</w:t>
      </w:r>
      <w:r w:rsidR="00B46845" w:rsidRPr="007F7243">
        <w:rPr>
          <w:rFonts w:ascii="Verdana" w:eastAsia="Calibri" w:hAnsi="Verdana" w:cs="Arial"/>
          <w:lang w:val="es-ES"/>
        </w:rPr>
        <w:t xml:space="preserve"> </w:t>
      </w:r>
      <w:r w:rsidRPr="007F7243">
        <w:rPr>
          <w:rFonts w:ascii="Verdana" w:eastAsia="Calibri" w:hAnsi="Verdana" w:cs="Arial"/>
          <w:lang w:val="es-ES"/>
        </w:rPr>
        <w:t>–</w:t>
      </w:r>
      <w:r w:rsidR="00B46845" w:rsidRPr="007F7243">
        <w:rPr>
          <w:rFonts w:ascii="Verdana" w:eastAsia="Calibri" w:hAnsi="Verdana" w:cs="Arial"/>
          <w:lang w:val="es-ES"/>
        </w:rPr>
        <w:t xml:space="preserve"> </w:t>
      </w:r>
      <w:r w:rsidRPr="007F7243">
        <w:rPr>
          <w:rFonts w:ascii="Verdana" w:eastAsia="Calibri" w:hAnsi="Verdana" w:cs="Arial"/>
          <w:lang w:val="es-ES"/>
        </w:rPr>
        <w:t xml:space="preserve">SGP, estableciendo que “[…] serán beneficiarias las entidades territoriales indígenas, una vez constituidas. Así mismo, la ley establecerá como beneficiarios a los resguardos indígenas, siempre y cuando estos no se hayan constituido en entidad territorial indígena”. </w:t>
      </w:r>
    </w:p>
    <w:p w14:paraId="5234E8BA" w14:textId="576A253E" w:rsidR="00895892" w:rsidRPr="007F7243" w:rsidRDefault="00895892" w:rsidP="007268DF">
      <w:pPr>
        <w:spacing w:after="120" w:line="276" w:lineRule="auto"/>
        <w:ind w:firstLine="708"/>
        <w:jc w:val="both"/>
        <w:rPr>
          <w:rFonts w:ascii="Verdana" w:eastAsia="Calibri" w:hAnsi="Verdana" w:cs="Arial"/>
          <w:lang w:val="es-ES"/>
        </w:rPr>
      </w:pPr>
      <w:r w:rsidRPr="007F7243">
        <w:rPr>
          <w:rFonts w:ascii="Verdana" w:eastAsia="Calibri" w:hAnsi="Verdana" w:cs="Arial"/>
          <w:lang w:val="es-ES"/>
        </w:rPr>
        <w:t xml:space="preserve">A efectos de materializar esta distribución, –y ante la omisión legislativa identificada por la Corte Constitucional en la sentencia C-489 del 2012–, con sustento en el mencionado artículo 56 transitorio se expidió el Decreto 1953 de 2014, “Por el cual se crea un régimen especial con el fin de poner en </w:t>
      </w:r>
      <w:r w:rsidRPr="007F7243">
        <w:rPr>
          <w:rFonts w:ascii="Verdana" w:eastAsia="Calibri" w:hAnsi="Verdana" w:cs="Arial"/>
          <w:lang w:val="es-ES"/>
        </w:rPr>
        <w:lastRenderedPageBreak/>
        <w:t xml:space="preserve">funcionamiento los territorios indígenas respecto de la administración de los sistemas propios de los pueblos indígenas hasta que el Congreso expida la ley de qué trata el artículo 329 de la Constitución Política”. </w:t>
      </w:r>
    </w:p>
    <w:p w14:paraId="26C6BEAE" w14:textId="77777777" w:rsidR="00023FDC" w:rsidRPr="007F7243" w:rsidRDefault="00895892" w:rsidP="00895892">
      <w:pPr>
        <w:spacing w:line="276" w:lineRule="auto"/>
        <w:ind w:firstLine="708"/>
        <w:jc w:val="both"/>
        <w:rPr>
          <w:rFonts w:ascii="Verdana" w:eastAsia="Calibri" w:hAnsi="Verdana" w:cs="Arial"/>
          <w:lang w:val="es-ES"/>
        </w:rPr>
      </w:pPr>
      <w:r w:rsidRPr="007F7243">
        <w:rPr>
          <w:rFonts w:ascii="Verdana" w:eastAsia="Calibri" w:hAnsi="Verdana" w:cs="Arial"/>
          <w:lang w:val="es-ES"/>
        </w:rPr>
        <w:t>Los aspectos más relevantes de esta norma son los relacionados con el funcionamiento de los territorios indígenas. Al respecto, dispone que los resguardos indígenas que se ubiquen en ciertos supuestos</w:t>
      </w:r>
      <w:r w:rsidRPr="007F7243">
        <w:rPr>
          <w:rStyle w:val="FootnoteReference"/>
          <w:rFonts w:ascii="Verdana" w:eastAsia="Calibri" w:hAnsi="Verdana" w:cs="Arial"/>
          <w:lang w:val="es-ES"/>
        </w:rPr>
        <w:footnoteReference w:id="5"/>
      </w:r>
      <w:r w:rsidRPr="007F7243">
        <w:rPr>
          <w:rFonts w:ascii="Verdana" w:eastAsia="Calibri" w:hAnsi="Verdana" w:cs="Arial"/>
          <w:lang w:val="es-ES"/>
        </w:rPr>
        <w:t>, al igual que las asociaciones que estos conformen para administrar recursos del SGP, podrán ser considerados como territorios indígenas, de manera transitoria, “[…] mientras el Congreso expide la Ley Orgánica de Ordenamiento Territorial que crea las entidades territoriales indígenas”.</w:t>
      </w:r>
      <w:r w:rsidRPr="007F7243">
        <w:rPr>
          <w:rStyle w:val="FootnoteReference"/>
          <w:rFonts w:ascii="Verdana" w:eastAsia="Calibri" w:hAnsi="Verdana" w:cs="Arial"/>
          <w:lang w:val="es-ES"/>
        </w:rPr>
        <w:footnoteReference w:id="6"/>
      </w:r>
      <w:r w:rsidRPr="007F7243">
        <w:rPr>
          <w:rFonts w:ascii="Verdana" w:eastAsia="Calibri" w:hAnsi="Verdana" w:cs="Arial"/>
          <w:lang w:val="es-ES"/>
        </w:rPr>
        <w:t xml:space="preserve">  </w:t>
      </w:r>
    </w:p>
    <w:p w14:paraId="52D1156A" w14:textId="57735374" w:rsidR="00895892" w:rsidRPr="007F7243" w:rsidRDefault="00895892" w:rsidP="00895892">
      <w:pPr>
        <w:spacing w:line="276" w:lineRule="auto"/>
        <w:ind w:firstLine="708"/>
        <w:jc w:val="both"/>
        <w:rPr>
          <w:rFonts w:ascii="Verdana" w:eastAsia="Calibri" w:hAnsi="Verdana" w:cs="Arial"/>
          <w:lang w:val="es-ES"/>
        </w:rPr>
      </w:pPr>
      <w:r w:rsidRPr="007F7243">
        <w:rPr>
          <w:rFonts w:ascii="Verdana" w:eastAsia="Calibri" w:hAnsi="Verdana" w:cs="Arial"/>
          <w:lang w:val="es-ES"/>
        </w:rPr>
        <w:t xml:space="preserve">Adicionalmente, establece que para los fines y la ejecución de los recursos de que trata dicho decreto, los territorios y resguardos indígenas que hayan sido autorizados para administrar recursos del SGP serán considerados </w:t>
      </w:r>
      <w:r w:rsidR="00023FDC" w:rsidRPr="007F7243">
        <w:rPr>
          <w:rFonts w:ascii="Verdana" w:eastAsia="Calibri" w:hAnsi="Verdana" w:cs="Arial"/>
          <w:lang w:val="es-ES"/>
        </w:rPr>
        <w:t>e</w:t>
      </w:r>
      <w:r w:rsidRPr="007F7243">
        <w:rPr>
          <w:rFonts w:ascii="Verdana" w:eastAsia="Calibri" w:hAnsi="Verdana" w:cs="Arial"/>
          <w:lang w:val="es-ES"/>
        </w:rPr>
        <w:t xml:space="preserve">ntidades </w:t>
      </w:r>
      <w:r w:rsidR="00023FDC" w:rsidRPr="007F7243">
        <w:rPr>
          <w:rFonts w:ascii="Verdana" w:eastAsia="Calibri" w:hAnsi="Verdana" w:cs="Arial"/>
          <w:lang w:val="es-ES"/>
        </w:rPr>
        <w:t>e</w:t>
      </w:r>
      <w:r w:rsidRPr="007F7243">
        <w:rPr>
          <w:rFonts w:ascii="Verdana" w:eastAsia="Calibri" w:hAnsi="Verdana" w:cs="Arial"/>
          <w:lang w:val="es-ES"/>
        </w:rPr>
        <w:t xml:space="preserve">statales de acuerdo con lo indicado en el artículo 2 de la Ley 80 de 1993. La norma además establece una última posibilidad para los resguardos indígenas que no hayan sido autorizados para administrar de manera directa los recursos del SGP, consistente en la celebración de contratos de administración con las entidades territoriales respectivas y los representantes legales del resguardo designado por las autoridades propias. </w:t>
      </w:r>
    </w:p>
    <w:p w14:paraId="3A2F6849" w14:textId="77777777" w:rsidR="00895892" w:rsidRPr="007F7243" w:rsidRDefault="00895892" w:rsidP="00895892">
      <w:pPr>
        <w:spacing w:after="120" w:line="276" w:lineRule="auto"/>
        <w:ind w:firstLine="708"/>
        <w:jc w:val="both"/>
        <w:rPr>
          <w:rFonts w:ascii="Verdana" w:eastAsia="Calibri" w:hAnsi="Verdana" w:cs="Arial"/>
          <w:lang w:val="es-ES"/>
        </w:rPr>
      </w:pPr>
      <w:r w:rsidRPr="007F7243">
        <w:rPr>
          <w:rFonts w:ascii="Verdana" w:eastAsia="Calibri" w:hAnsi="Verdana" w:cs="Arial"/>
          <w:lang w:val="es-ES"/>
        </w:rPr>
        <w:t>Por otro lado, el artículo 20 del Decreto 1953 de 2014 dispone que los actos o contratos que celebren o expidan los territorios indígenas en virtud de dicho decreto se regirán por el Estatuto Orgánico del Presupuesto y el Estatuto de Contratación Estatal, entre otras normas. También dispuso que los territorios indígenas pueden celebrar contratos con las asociaciones de cabildos y/o autoridades tradicionales de que trata el Decreto 1088 de 1993, pero estos solo podrán celebrarse entre territorios indígenas, cabildos y/o autoridades tradicionales constituidos bajo lo dispuesto en el Decreto 1088 de 1993, no con otras entidades del Estado</w:t>
      </w:r>
      <w:r w:rsidRPr="007F7243">
        <w:rPr>
          <w:rStyle w:val="FootnoteReference"/>
          <w:rFonts w:ascii="Verdana" w:eastAsia="Calibri" w:hAnsi="Verdana" w:cs="Arial"/>
          <w:lang w:val="es-ES"/>
        </w:rPr>
        <w:footnoteReference w:id="7"/>
      </w:r>
      <w:r w:rsidRPr="007F7243">
        <w:rPr>
          <w:rFonts w:ascii="Verdana" w:eastAsia="Calibri" w:hAnsi="Verdana" w:cs="Arial"/>
          <w:lang w:val="es-ES"/>
        </w:rPr>
        <w:t xml:space="preserve">. </w:t>
      </w:r>
    </w:p>
    <w:p w14:paraId="47C09E1F" w14:textId="77777777" w:rsidR="00895892" w:rsidRPr="007F7243" w:rsidRDefault="00895892" w:rsidP="00895892">
      <w:pPr>
        <w:spacing w:after="120" w:line="276" w:lineRule="auto"/>
        <w:ind w:firstLine="709"/>
        <w:jc w:val="both"/>
        <w:rPr>
          <w:rFonts w:ascii="Verdana" w:eastAsia="Calibri" w:hAnsi="Verdana" w:cs="Arial"/>
          <w:lang w:val="es-ES"/>
        </w:rPr>
      </w:pPr>
      <w:r w:rsidRPr="007F7243">
        <w:rPr>
          <w:rFonts w:ascii="Verdana" w:eastAsia="Calibri" w:hAnsi="Verdana" w:cs="Arial"/>
          <w:lang w:val="es-ES"/>
        </w:rPr>
        <w:lastRenderedPageBreak/>
        <w:t xml:space="preserve">Conforme a lo anterior, el Decreto 1953 de 2014 permite que resguardos podrán asociarse para administrar y ejecutar los recursos de la asignación especial del SGP, siempre que acrediten los requisitos establecidos en el decreto, y son personas jurídicas de derecho público especial. Los territorios y resguardos Indígenas que hayan sido autorizados para administrar recursos del SGP, conforme a lo dispuesto por ese decreto, se consideran Entidades Estatales, de acuerdo con lo dispuesto en el artículo 2° de la Ley 80 de 1993. Dicha capacidad será ejercida a través de su representante legal, de acuerdo con lo dispuesto en el decreto. En caso de que un resguardo indígena no administre la asignación especial del Sistema General de Participaciones, o no se haya asociado con otros para administrarlos, su ejecución se realizará mediante la celebración de un contrato de administración suscrito entre la entidad territorial respectiva y el representante legal del resguardo designado por las autoridades propias. </w:t>
      </w:r>
    </w:p>
    <w:p w14:paraId="437EF0CA" w14:textId="2FCB25F0" w:rsidR="00895892" w:rsidRPr="007F7243" w:rsidRDefault="00895892" w:rsidP="00895892">
      <w:pPr>
        <w:spacing w:after="120" w:line="276" w:lineRule="auto"/>
        <w:jc w:val="both"/>
        <w:rPr>
          <w:rFonts w:ascii="Verdana" w:eastAsia="Calibri" w:hAnsi="Verdana" w:cs="Arial"/>
          <w:lang w:val="es-ES"/>
        </w:rPr>
      </w:pPr>
      <w:r w:rsidRPr="007F7243">
        <w:rPr>
          <w:rFonts w:ascii="Verdana" w:eastAsia="Calibri" w:hAnsi="Verdana" w:cs="Arial"/>
          <w:lang w:val="es-ES"/>
        </w:rPr>
        <w:t>  </w:t>
      </w:r>
      <w:r w:rsidRPr="007F7243">
        <w:rPr>
          <w:rFonts w:ascii="Verdana" w:eastAsia="Calibri" w:hAnsi="Verdana" w:cs="Arial"/>
          <w:lang w:val="es-ES"/>
        </w:rPr>
        <w:tab/>
        <w:t xml:space="preserve"> Las normas hasta aquí analizadas, por un lado, conciben a los resguardos indígenas como una instituciones legales y sociopolíticas de carácter especial, que pueden estar conformadas por una o más comunidades indígenas, que ejercen la propiedad colectiva sobre un territorio común, y que, si bien gozan de las garantías de la propiedad privada, tienen naturaleza inalienable, imprescriptible e inembargable. En ese sentido, a pesar de que la noción de resguardos indígenas no se agota en el territorio físico que es objeto de propiedad colectiva, tampoco es susceptible de ser equiparado al concepto de territorios indígenas al que se refiere el artículo 2 de la Ley 80 de 1993, ya que este aplica a las entidades territoriales indígenas, que, conforme a lo aquí explicado, aún no han sido objeto de implementación. Así pues, en principio, los resguardos indígenas no tienen el carácter de </w:t>
      </w:r>
      <w:r w:rsidR="002F0D5A" w:rsidRPr="007F7243">
        <w:rPr>
          <w:rFonts w:ascii="Verdana" w:eastAsia="Calibri" w:hAnsi="Verdana" w:cs="Arial"/>
          <w:lang w:val="es-ES"/>
        </w:rPr>
        <w:t>e</w:t>
      </w:r>
      <w:r w:rsidRPr="007F7243">
        <w:rPr>
          <w:rFonts w:ascii="Verdana" w:eastAsia="Calibri" w:hAnsi="Verdana" w:cs="Arial"/>
          <w:lang w:val="es-ES"/>
        </w:rPr>
        <w:t xml:space="preserve">ntidades </w:t>
      </w:r>
      <w:r w:rsidR="002F0D5A" w:rsidRPr="007F7243">
        <w:rPr>
          <w:rFonts w:ascii="Verdana" w:eastAsia="Calibri" w:hAnsi="Verdana" w:cs="Arial"/>
          <w:lang w:val="es-ES"/>
        </w:rPr>
        <w:t>e</w:t>
      </w:r>
      <w:r w:rsidRPr="007F7243">
        <w:rPr>
          <w:rFonts w:ascii="Verdana" w:eastAsia="Calibri" w:hAnsi="Verdana" w:cs="Arial"/>
          <w:lang w:val="es-ES"/>
        </w:rPr>
        <w:t>statales en el marco del Estatuto General de Contratación de la Administración Pública, ni tampoco tienen capacidad para contratar a luz del artículo 6 de la Ley 80 de 1993.</w:t>
      </w:r>
    </w:p>
    <w:p w14:paraId="77E853F0" w14:textId="5689D940" w:rsidR="00895892" w:rsidRPr="007F7243" w:rsidRDefault="00895892" w:rsidP="00895892">
      <w:pPr>
        <w:spacing w:after="120" w:line="276" w:lineRule="auto"/>
        <w:jc w:val="both"/>
        <w:rPr>
          <w:rFonts w:ascii="Verdana" w:eastAsia="Calibri" w:hAnsi="Verdana" w:cs="Arial"/>
          <w:lang w:val="es-ES"/>
        </w:rPr>
      </w:pPr>
      <w:r w:rsidRPr="007F7243">
        <w:rPr>
          <w:rFonts w:ascii="Verdana" w:eastAsia="Calibri" w:hAnsi="Verdana" w:cs="Arial"/>
          <w:lang w:val="es-ES"/>
        </w:rPr>
        <w:tab/>
        <w:t xml:space="preserve">No obstante, el régimen para la transitoria puesta en marcha de los territorios indígenas establecido por el Decreto autónomo 1953 de 2014, a efectos de garantizar la distribución de los recursos de asignación especial del Sistema General de Participaciones que corresponden a los pueblos indígenas, </w:t>
      </w:r>
      <w:r w:rsidRPr="007F7243">
        <w:rPr>
          <w:rFonts w:ascii="Verdana" w:eastAsia="Calibri" w:hAnsi="Verdana" w:cs="Arial"/>
          <w:lang w:val="es-ES"/>
        </w:rPr>
        <w:lastRenderedPageBreak/>
        <w:t xml:space="preserve">estableció diferentes mecanismos para que se ejecutaran los mismos. Dentro de estos mecanismos se estableció la posibilidad de que los resguardos indígenas que cumplieran ciertos requisitos o se agruparan con otros resguardos fueran reconocidos de manera transitoria como territorios indígenas, evento en el que, de conformidad con el artículo 9 del Decreto 1953 de 2014, son consideradas como </w:t>
      </w:r>
      <w:r w:rsidR="00D44FED" w:rsidRPr="007F7243">
        <w:rPr>
          <w:rFonts w:ascii="Verdana" w:eastAsia="Calibri" w:hAnsi="Verdana" w:cs="Arial"/>
          <w:lang w:val="es-ES"/>
        </w:rPr>
        <w:t>e</w:t>
      </w:r>
      <w:r w:rsidRPr="007F7243">
        <w:rPr>
          <w:rFonts w:ascii="Verdana" w:eastAsia="Calibri" w:hAnsi="Verdana" w:cs="Arial"/>
          <w:lang w:val="es-ES"/>
        </w:rPr>
        <w:t xml:space="preserve">ntidades </w:t>
      </w:r>
      <w:r w:rsidR="00D44FED" w:rsidRPr="007F7243">
        <w:rPr>
          <w:rFonts w:ascii="Verdana" w:eastAsia="Calibri" w:hAnsi="Verdana" w:cs="Arial"/>
          <w:lang w:val="es-ES"/>
        </w:rPr>
        <w:t>e</w:t>
      </w:r>
      <w:r w:rsidRPr="007F7243">
        <w:rPr>
          <w:rFonts w:ascii="Verdana" w:eastAsia="Calibri" w:hAnsi="Verdana" w:cs="Arial"/>
          <w:lang w:val="es-ES"/>
        </w:rPr>
        <w:t xml:space="preserve">statales de acuerdo con el artículo 2 de la Ley 80 de 1993. No obstante, la capacidad jurídica que deriva de este artículo está limitada a lo relacionado con el ejercicio de las funciones públicas y la ejecución de recursos de los que trata el decreto.   </w:t>
      </w:r>
    </w:p>
    <w:p w14:paraId="26E9273C" w14:textId="6B852DB2" w:rsidR="00895892" w:rsidRPr="007F7243" w:rsidRDefault="00895892" w:rsidP="00895892">
      <w:pPr>
        <w:spacing w:after="120" w:line="276" w:lineRule="auto"/>
        <w:jc w:val="both"/>
        <w:rPr>
          <w:rFonts w:ascii="Verdana" w:eastAsia="Calibri" w:hAnsi="Verdana" w:cs="Arial"/>
          <w:lang w:val="es-ES"/>
        </w:rPr>
      </w:pPr>
      <w:r w:rsidRPr="007F7243">
        <w:rPr>
          <w:rFonts w:ascii="Verdana" w:eastAsia="Calibri" w:hAnsi="Verdana" w:cs="Arial"/>
          <w:lang w:val="es-ES"/>
        </w:rPr>
        <w:tab/>
        <w:t xml:space="preserve">En síntesis, a pesar de que el Decreto 1953 de 2014 establece el carácter de </w:t>
      </w:r>
      <w:r w:rsidR="003D002E" w:rsidRPr="007268DF">
        <w:rPr>
          <w:rFonts w:ascii="Verdana" w:eastAsia="Calibri" w:hAnsi="Verdana" w:cs="Arial"/>
          <w:lang w:val="es-ES"/>
        </w:rPr>
        <w:t>e</w:t>
      </w:r>
      <w:r w:rsidRPr="007F7243">
        <w:rPr>
          <w:rFonts w:ascii="Verdana" w:eastAsia="Calibri" w:hAnsi="Verdana" w:cs="Arial"/>
          <w:lang w:val="es-ES"/>
        </w:rPr>
        <w:t xml:space="preserve">ntidades </w:t>
      </w:r>
      <w:r w:rsidR="003D002E" w:rsidRPr="007268DF">
        <w:rPr>
          <w:rFonts w:ascii="Verdana" w:eastAsia="Calibri" w:hAnsi="Verdana" w:cs="Arial"/>
          <w:lang w:val="es-ES"/>
        </w:rPr>
        <w:t>e</w:t>
      </w:r>
      <w:r w:rsidRPr="007F7243">
        <w:rPr>
          <w:rFonts w:ascii="Verdana" w:eastAsia="Calibri" w:hAnsi="Verdana" w:cs="Arial"/>
          <w:lang w:val="es-ES"/>
        </w:rPr>
        <w:t xml:space="preserve">statales de los territorios indígenas regulados de manera transitoria, los resguardos indígenas y sus asociaciones, esto solo resulta aplicable a los asuntos contractuales regulados por dicha norma autónoma. Esto significa que, los territorios, resguardos indígenas y asociaciones de estos, solo son consideradas </w:t>
      </w:r>
      <w:r w:rsidR="00395F43" w:rsidRPr="007268DF">
        <w:rPr>
          <w:rFonts w:ascii="Verdana" w:eastAsia="Calibri" w:hAnsi="Verdana" w:cs="Arial"/>
          <w:lang w:val="es-ES"/>
        </w:rPr>
        <w:t>e</w:t>
      </w:r>
      <w:r w:rsidRPr="007F7243">
        <w:rPr>
          <w:rFonts w:ascii="Verdana" w:eastAsia="Calibri" w:hAnsi="Verdana" w:cs="Arial"/>
          <w:lang w:val="es-ES"/>
        </w:rPr>
        <w:t xml:space="preserve">ntidades </w:t>
      </w:r>
      <w:r w:rsidR="00395F43" w:rsidRPr="007268DF">
        <w:rPr>
          <w:rFonts w:ascii="Verdana" w:eastAsia="Calibri" w:hAnsi="Verdana" w:cs="Arial"/>
          <w:lang w:val="es-ES"/>
        </w:rPr>
        <w:t>e</w:t>
      </w:r>
      <w:r w:rsidRPr="007F7243">
        <w:rPr>
          <w:rFonts w:ascii="Verdana" w:eastAsia="Calibri" w:hAnsi="Verdana" w:cs="Arial"/>
          <w:lang w:val="es-ES"/>
        </w:rPr>
        <w:t>statales para efectos de celebrar los negocios jurídicos requeridos para el cumplimiento de las funciones que les asigna el decreto</w:t>
      </w:r>
      <w:r w:rsidRPr="007F7243">
        <w:rPr>
          <w:rStyle w:val="FootnoteReference"/>
          <w:rFonts w:ascii="Verdana" w:eastAsia="Calibri" w:hAnsi="Verdana" w:cs="Arial"/>
          <w:lang w:val="es-ES"/>
        </w:rPr>
        <w:footnoteReference w:id="8"/>
      </w:r>
      <w:r w:rsidRPr="007F7243">
        <w:rPr>
          <w:rFonts w:ascii="Verdana" w:eastAsia="Calibri" w:hAnsi="Verdana" w:cs="Arial"/>
          <w:lang w:val="es-ES"/>
        </w:rPr>
        <w:t xml:space="preserve">, prevalentemente relacionadas con la ejecución y administración de recursos del Sistema General de Participaciones, por lo que no estarían facultados para ejecutar negocios jurídicos no relacionados con tales atribuciones. </w:t>
      </w:r>
    </w:p>
    <w:p w14:paraId="5992E4D0" w14:textId="77777777" w:rsidR="00895892" w:rsidRPr="007F7243" w:rsidRDefault="00895892" w:rsidP="00895892">
      <w:pPr>
        <w:spacing w:before="120" w:after="120" w:line="276" w:lineRule="auto"/>
        <w:ind w:firstLine="709"/>
        <w:jc w:val="both"/>
        <w:rPr>
          <w:rFonts w:ascii="Verdana" w:hAnsi="Verdana" w:cs="Arial"/>
        </w:rPr>
      </w:pPr>
      <w:r w:rsidRPr="007F7243">
        <w:rPr>
          <w:rFonts w:ascii="Verdana" w:hAnsi="Verdana" w:cs="Arial"/>
          <w:lang w:val="es-ES"/>
        </w:rPr>
        <w:t xml:space="preserve">Sumado a los anterior, debe indicarse que los recursos de la Asignación Especial del Sistema General de Participaciones para los Resguardos Indígenas -AESGPRI- corresponden a los recursos del Sistema General de Participaciones que les son transferidos a los resguardos indígenas de conformidad con lo dispuesto por el artículo 356 de la Constitución Política y por los artículos 2º y </w:t>
      </w:r>
      <w:r w:rsidRPr="007F7243">
        <w:rPr>
          <w:rFonts w:ascii="Verdana" w:hAnsi="Verdana" w:cs="Arial"/>
          <w:lang w:val="es-ES"/>
        </w:rPr>
        <w:lastRenderedPageBreak/>
        <w:t>83 de la Ley 715 de 2001, para la financiación de proyectos de inversión debidamente formulados, e incluidos en los planes de vida o de acuerdo con los usos y costumbres de los pueblos indígenas.</w:t>
      </w:r>
    </w:p>
    <w:p w14:paraId="7360EC5B" w14:textId="77777777" w:rsidR="00895892" w:rsidRPr="007F7243" w:rsidRDefault="00895892" w:rsidP="00895892">
      <w:pPr>
        <w:spacing w:before="120" w:after="120" w:line="276" w:lineRule="auto"/>
        <w:ind w:firstLine="709"/>
        <w:jc w:val="both"/>
        <w:rPr>
          <w:rFonts w:ascii="Verdana" w:hAnsi="Verdana" w:cs="Arial"/>
          <w:lang w:val="es-ES"/>
        </w:rPr>
      </w:pPr>
      <w:r w:rsidRPr="007F7243">
        <w:rPr>
          <w:rFonts w:ascii="Verdana" w:hAnsi="Verdana" w:cs="Arial"/>
          <w:lang w:val="es-ES"/>
        </w:rPr>
        <w:t xml:space="preserve">Bajo este contexto, en el parágrafo 2º del artículo 2º de la Ley 715 de 2001 se establece la Asignación Especial del Sistema General de Participaciones para los Resguardos Indígenas -AESGPRI- y en el artículo 83 se determinan los criterios para la distribución y la administración de los recursos. Con base en lo anterior, se entiende que </w:t>
      </w:r>
      <w:r w:rsidRPr="007F7243">
        <w:rPr>
          <w:rFonts w:ascii="Verdana" w:hAnsi="Verdana" w:cs="Arial"/>
          <w:i/>
          <w:iCs/>
          <w:lang w:val="es-ES"/>
        </w:rPr>
        <w:t xml:space="preserve">los recursos de la AESGPRI son públicos </w:t>
      </w:r>
      <w:r w:rsidRPr="007F7243">
        <w:rPr>
          <w:rFonts w:ascii="Verdana" w:hAnsi="Verdana" w:cs="Arial"/>
          <w:lang w:val="es-ES"/>
        </w:rPr>
        <w:t>y tienen como propósito beneficiar a la población indígena que habita en los resguardos.</w:t>
      </w:r>
    </w:p>
    <w:p w14:paraId="6858555E" w14:textId="77777777" w:rsidR="00895892" w:rsidRPr="007F7243" w:rsidRDefault="00895892" w:rsidP="00895892">
      <w:pPr>
        <w:spacing w:before="120" w:after="120" w:line="276" w:lineRule="auto"/>
        <w:ind w:firstLine="709"/>
        <w:jc w:val="both"/>
        <w:rPr>
          <w:rFonts w:ascii="Verdana" w:hAnsi="Verdana"/>
        </w:rPr>
      </w:pPr>
      <w:r w:rsidRPr="007F7243">
        <w:rPr>
          <w:rFonts w:ascii="Verdana" w:hAnsi="Verdana"/>
        </w:rPr>
        <w:t xml:space="preserve">Ahora bien, tratándose de recursos -AESGPRI- debe tenerse de presente que el artículo 83 de la Ley 715 de 2001 dispone que estos serán girados a cada uno de los municipios en proporción a la población indígena que comprenda y que para su ejecución deberá celebrarse un contrato entre la entidad territorial y las autoridades del resguardo, </w:t>
      </w:r>
      <w:r w:rsidRPr="007F7243">
        <w:rPr>
          <w:rFonts w:ascii="Verdana" w:hAnsi="Verdana"/>
          <w:i/>
          <w:iCs/>
        </w:rPr>
        <w:t>antes del 31 de diciembre de cada año</w:t>
      </w:r>
      <w:r w:rsidRPr="007F7243">
        <w:rPr>
          <w:rFonts w:ascii="Verdana" w:hAnsi="Verdana"/>
        </w:rPr>
        <w:t>, en la que se determine el uso de los recursos en el año siguiente. Copia de dicho contrato se enviará antes del 20 de enero al Ministerio del Interior.</w:t>
      </w:r>
    </w:p>
    <w:p w14:paraId="1FCFF029" w14:textId="77777777" w:rsidR="00895892" w:rsidRPr="007F7243" w:rsidRDefault="00895892" w:rsidP="00895892">
      <w:pPr>
        <w:spacing w:before="120" w:after="120" w:line="276" w:lineRule="auto"/>
        <w:ind w:firstLine="709"/>
        <w:jc w:val="both"/>
        <w:rPr>
          <w:rFonts w:ascii="Verdana" w:hAnsi="Verdana"/>
        </w:rPr>
      </w:pPr>
      <w:r w:rsidRPr="007F7243">
        <w:rPr>
          <w:rFonts w:ascii="Verdana" w:hAnsi="Verdana" w:cs="Arial"/>
          <w:lang w:val="es-ES"/>
        </w:rPr>
        <w:t>Frente a las restricciones de Ley de Garantías debe tener en cuenta que el ordenamiento jurídico colombiano contempla medidas para evitar la obtención de beneficios personales en asuntos propios de la administración pública</w:t>
      </w:r>
      <w:r w:rsidRPr="007F7243">
        <w:rPr>
          <w:rFonts w:ascii="Verdana" w:hAnsi="Verdana" w:cs="Arial"/>
          <w:i/>
          <w:lang w:val="es-ES"/>
        </w:rPr>
        <w:t xml:space="preserve">. </w:t>
      </w:r>
      <w:r w:rsidRPr="007F7243">
        <w:rPr>
          <w:rFonts w:ascii="Verdana"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7F7243">
        <w:rPr>
          <w:rFonts w:ascii="Verdana" w:hAnsi="Verdana"/>
          <w:vertAlign w:val="superscript"/>
          <w:lang w:val="es-ES"/>
        </w:rPr>
        <w:footnoteReference w:id="9"/>
      </w:r>
      <w:r w:rsidRPr="007F7243">
        <w:rPr>
          <w:rFonts w:ascii="Verdana" w:hAnsi="Verdana" w:cs="Arial"/>
          <w:lang w:val="es-ES"/>
        </w:rPr>
        <w:t>.</w:t>
      </w:r>
    </w:p>
    <w:p w14:paraId="073D15C9" w14:textId="77777777" w:rsidR="00895892" w:rsidRPr="007F7243" w:rsidRDefault="00895892" w:rsidP="00895892">
      <w:pPr>
        <w:tabs>
          <w:tab w:val="left" w:pos="426"/>
        </w:tabs>
        <w:spacing w:after="120" w:line="276" w:lineRule="auto"/>
        <w:ind w:firstLine="709"/>
        <w:jc w:val="both"/>
        <w:rPr>
          <w:rFonts w:ascii="Verdana" w:hAnsi="Verdana" w:cs="Arial"/>
          <w:lang w:val="es-ES"/>
        </w:rPr>
      </w:pPr>
      <w:r w:rsidRPr="007F7243">
        <w:rPr>
          <w:rFonts w:ascii="Verdana" w:eastAsia="Times New Roman" w:hAnsi="Verdana" w:cs="Arial"/>
          <w:lang w:val="es-ES" w:eastAsia="es-CO"/>
        </w:rPr>
        <w:t xml:space="preserve">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w:t>
      </w:r>
      <w:r w:rsidRPr="007F7243">
        <w:rPr>
          <w:rFonts w:ascii="Verdana" w:eastAsia="Times New Roman" w:hAnsi="Verdana" w:cs="Arial"/>
          <w:lang w:val="es-ES" w:eastAsia="es-CO"/>
        </w:rPr>
        <w:lastRenderedPageBreak/>
        <w:t>o falta de garantías en la elección presidencial</w:t>
      </w:r>
      <w:r w:rsidRPr="007F7243">
        <w:rPr>
          <w:rFonts w:ascii="Verdana" w:eastAsia="Times New Roman" w:hAnsi="Verdana" w:cs="Arial"/>
          <w:vertAlign w:val="superscript"/>
          <w:lang w:val="es-ES" w:eastAsia="es-CO"/>
        </w:rPr>
        <w:footnoteReference w:id="10"/>
      </w:r>
      <w:r w:rsidRPr="007F7243">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7F7243">
        <w:rPr>
          <w:rFonts w:ascii="Verdana" w:hAnsi="Verdana" w:cs="Arial"/>
          <w:lang w:val="es-ES"/>
        </w:rPr>
        <w:t xml:space="preserve"> </w:t>
      </w:r>
    </w:p>
    <w:p w14:paraId="4D797F09" w14:textId="77777777" w:rsidR="00895892" w:rsidRPr="007F7243" w:rsidRDefault="00895892" w:rsidP="00895892">
      <w:pPr>
        <w:tabs>
          <w:tab w:val="left" w:pos="426"/>
        </w:tabs>
        <w:spacing w:after="0" w:line="276" w:lineRule="auto"/>
        <w:ind w:firstLine="709"/>
        <w:jc w:val="both"/>
        <w:rPr>
          <w:rFonts w:ascii="Verdana" w:hAnsi="Verdana" w:cs="Arial"/>
          <w:lang w:val="es-ES"/>
        </w:rPr>
      </w:pPr>
      <w:r w:rsidRPr="007F7243">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490B4CE4" w14:textId="77777777" w:rsidR="00895892" w:rsidRPr="007F7243" w:rsidRDefault="00895892" w:rsidP="00895892">
      <w:pPr>
        <w:spacing w:after="0" w:line="276" w:lineRule="auto"/>
        <w:ind w:right="709"/>
        <w:jc w:val="both"/>
        <w:rPr>
          <w:rFonts w:ascii="Verdana" w:eastAsia="Times New Roman" w:hAnsi="Verdana" w:cs="Arial"/>
          <w:lang w:val="es-ES" w:eastAsia="es-CO"/>
        </w:rPr>
      </w:pPr>
    </w:p>
    <w:p w14:paraId="5191B1C0" w14:textId="77777777" w:rsidR="00895892" w:rsidRPr="007F7243" w:rsidRDefault="00895892" w:rsidP="00895892">
      <w:pPr>
        <w:spacing w:after="0" w:line="240" w:lineRule="auto"/>
        <w:ind w:left="709" w:right="709"/>
        <w:contextualSpacing/>
        <w:jc w:val="both"/>
        <w:rPr>
          <w:rFonts w:ascii="Verdana" w:eastAsia="Times New Roman" w:hAnsi="Verdana" w:cs="Arial"/>
          <w:sz w:val="20"/>
          <w:szCs w:val="20"/>
          <w:lang w:val="es-ES" w:eastAsia="es-CO"/>
        </w:rPr>
      </w:pPr>
      <w:r w:rsidRPr="007F7243">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5D5CF44E" w14:textId="77777777" w:rsidR="00895892" w:rsidRPr="007F7243" w:rsidRDefault="00895892" w:rsidP="00895892">
      <w:pPr>
        <w:spacing w:after="0" w:line="240" w:lineRule="auto"/>
        <w:ind w:left="709" w:right="709"/>
        <w:contextualSpacing/>
        <w:jc w:val="both"/>
        <w:rPr>
          <w:rFonts w:ascii="Verdana" w:eastAsia="Times New Roman" w:hAnsi="Verdana" w:cs="Arial"/>
          <w:sz w:val="20"/>
          <w:szCs w:val="20"/>
          <w:lang w:val="es-ES" w:eastAsia="es-CO"/>
        </w:rPr>
      </w:pPr>
    </w:p>
    <w:p w14:paraId="52154135" w14:textId="77777777" w:rsidR="00895892" w:rsidRPr="007F7243" w:rsidRDefault="00895892" w:rsidP="00895892">
      <w:pPr>
        <w:spacing w:after="0" w:line="240" w:lineRule="auto"/>
        <w:ind w:left="709" w:right="709"/>
        <w:contextualSpacing/>
        <w:jc w:val="both"/>
        <w:rPr>
          <w:rFonts w:ascii="Verdana" w:eastAsia="Times New Roman" w:hAnsi="Verdana" w:cs="Arial"/>
          <w:sz w:val="20"/>
          <w:szCs w:val="20"/>
          <w:lang w:val="es-ES" w:eastAsia="es-CO"/>
        </w:rPr>
      </w:pPr>
      <w:r w:rsidRPr="007F7243">
        <w:rPr>
          <w:rFonts w:ascii="Verdana" w:eastAsia="Times New Roman" w:hAnsi="Verdana" w:cs="Arial"/>
          <w:sz w:val="20"/>
          <w:szCs w:val="20"/>
          <w:lang w:val="es-ES" w:eastAsia="es-CO"/>
        </w:rPr>
        <w:t xml:space="preserve">[…] </w:t>
      </w:r>
    </w:p>
    <w:p w14:paraId="1473652C" w14:textId="77777777" w:rsidR="00895892" w:rsidRPr="007F7243" w:rsidRDefault="00895892" w:rsidP="00895892">
      <w:pPr>
        <w:spacing w:after="0" w:line="240" w:lineRule="auto"/>
        <w:ind w:left="709" w:right="709"/>
        <w:contextualSpacing/>
        <w:jc w:val="both"/>
        <w:rPr>
          <w:rFonts w:ascii="Verdana" w:eastAsia="Times New Roman" w:hAnsi="Verdana" w:cs="Arial"/>
          <w:sz w:val="20"/>
          <w:szCs w:val="20"/>
          <w:lang w:val="es-ES" w:eastAsia="es-CO"/>
        </w:rPr>
      </w:pPr>
    </w:p>
    <w:p w14:paraId="29FD1770" w14:textId="77777777" w:rsidR="00895892" w:rsidRPr="00A52313" w:rsidRDefault="00895892" w:rsidP="00895892">
      <w:pPr>
        <w:spacing w:after="0" w:line="240" w:lineRule="auto"/>
        <w:ind w:left="709" w:right="709"/>
        <w:contextualSpacing/>
        <w:jc w:val="both"/>
        <w:rPr>
          <w:rFonts w:ascii="Verdana" w:eastAsia="Times New Roman" w:hAnsi="Verdana" w:cs="Arial"/>
          <w:sz w:val="20"/>
          <w:szCs w:val="20"/>
          <w:lang w:val="es-ES" w:eastAsia="es-CO"/>
        </w:rPr>
      </w:pPr>
      <w:r w:rsidRPr="007F7243">
        <w:rPr>
          <w:rFonts w:ascii="Verdana" w:eastAsia="Times New Roman" w:hAnsi="Verdana"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A52313">
        <w:rPr>
          <w:rFonts w:ascii="Verdana" w:hAnsi="Verdana" w:cs="Arial"/>
          <w:sz w:val="20"/>
          <w:szCs w:val="20"/>
          <w:vertAlign w:val="superscript"/>
          <w:lang w:val="es-ES"/>
        </w:rPr>
        <w:footnoteReference w:id="11"/>
      </w:r>
    </w:p>
    <w:p w14:paraId="6D78DDFB" w14:textId="77777777" w:rsidR="00895892" w:rsidRPr="007F7243" w:rsidRDefault="00895892" w:rsidP="00895892">
      <w:pPr>
        <w:spacing w:after="0" w:line="276" w:lineRule="auto"/>
        <w:ind w:left="709" w:right="709"/>
        <w:jc w:val="both"/>
        <w:rPr>
          <w:rFonts w:ascii="Verdana" w:eastAsia="Times New Roman" w:hAnsi="Verdana" w:cs="Arial"/>
          <w:sz w:val="20"/>
          <w:szCs w:val="20"/>
          <w:lang w:val="es-ES" w:eastAsia="es-CO"/>
        </w:rPr>
      </w:pPr>
    </w:p>
    <w:p w14:paraId="29F85194" w14:textId="77777777" w:rsidR="00B11704" w:rsidRPr="007F7243" w:rsidRDefault="00895892" w:rsidP="007268DF">
      <w:pPr>
        <w:spacing w:after="120" w:line="276" w:lineRule="auto"/>
        <w:ind w:firstLine="709"/>
        <w:jc w:val="both"/>
        <w:rPr>
          <w:rFonts w:ascii="Verdana" w:eastAsia="Times New Roman" w:hAnsi="Verdana" w:cs="Arial"/>
          <w:lang w:val="es-ES" w:eastAsia="es-CO"/>
        </w:rPr>
      </w:pPr>
      <w:r w:rsidRPr="007F7243">
        <w:rPr>
          <w:rFonts w:ascii="Verdana" w:eastAsia="Times New Roman" w:hAnsi="Verdana" w:cs="Arial"/>
          <w:lang w:val="es-ES" w:eastAsia="es-CO"/>
        </w:rPr>
        <w:t xml:space="preserve">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w:t>
      </w:r>
    </w:p>
    <w:p w14:paraId="50E8CC29" w14:textId="30BEFCE3" w:rsidR="00895892" w:rsidRPr="007F7243" w:rsidRDefault="00895892" w:rsidP="00895892">
      <w:pPr>
        <w:spacing w:after="0" w:line="276" w:lineRule="auto"/>
        <w:ind w:firstLine="709"/>
        <w:jc w:val="both"/>
        <w:rPr>
          <w:rFonts w:ascii="Verdana" w:eastAsia="Times New Roman" w:hAnsi="Verdana" w:cs="Arial"/>
          <w:lang w:val="es-ES" w:eastAsia="es-CO"/>
        </w:rPr>
      </w:pPr>
      <w:r w:rsidRPr="007F7243">
        <w:rPr>
          <w:rFonts w:ascii="Verdana" w:eastAsia="Times New Roman" w:hAnsi="Verdana" w:cs="Arial"/>
          <w:lang w:val="es-ES" w:eastAsia="es-CO"/>
        </w:rPr>
        <w:t>En efecto, la Sala de Consulta y Servicio Civil del Consejo de Estado, precisó:</w:t>
      </w:r>
    </w:p>
    <w:p w14:paraId="0DED22FB" w14:textId="77777777" w:rsidR="00895892" w:rsidRPr="007F7243" w:rsidRDefault="00895892" w:rsidP="00895892">
      <w:pPr>
        <w:spacing w:after="0" w:line="276" w:lineRule="auto"/>
        <w:ind w:firstLine="709"/>
        <w:jc w:val="both"/>
        <w:rPr>
          <w:rFonts w:ascii="Verdana" w:eastAsia="Times New Roman" w:hAnsi="Verdana" w:cs="Arial"/>
          <w:lang w:val="es-ES" w:eastAsia="es-CO"/>
        </w:rPr>
      </w:pPr>
    </w:p>
    <w:p w14:paraId="5D63A1BE" w14:textId="77777777" w:rsidR="00895892" w:rsidRPr="007F7243" w:rsidRDefault="00895892" w:rsidP="00895892">
      <w:pPr>
        <w:spacing w:after="0" w:line="240" w:lineRule="auto"/>
        <w:ind w:left="709" w:right="709"/>
        <w:jc w:val="both"/>
        <w:rPr>
          <w:rFonts w:ascii="Verdana" w:eastAsia="Times New Roman" w:hAnsi="Verdana" w:cs="Arial"/>
          <w:sz w:val="20"/>
          <w:szCs w:val="20"/>
          <w:lang w:val="es-ES" w:eastAsia="es-CO"/>
        </w:rPr>
      </w:pPr>
      <w:r w:rsidRPr="007F7243">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w:t>
      </w:r>
      <w:r w:rsidRPr="007F7243">
        <w:rPr>
          <w:rFonts w:ascii="Verdana" w:eastAsia="Times New Roman" w:hAnsi="Verdana" w:cs="Arial"/>
          <w:sz w:val="20"/>
          <w:szCs w:val="20"/>
          <w:lang w:val="es-ES" w:eastAsia="es-CO"/>
        </w:rPr>
        <w:lastRenderedPageBreak/>
        <w:t xml:space="preserve">tipificación de sus causas, vigencia, naturaleza y efectos es rígida y taxativa; y su aplicación es restrictiva, de manera que excluye la analogía </w:t>
      </w:r>
      <w:proofErr w:type="spellStart"/>
      <w:r w:rsidRPr="007F7243">
        <w:rPr>
          <w:rFonts w:ascii="Verdana" w:eastAsia="Times New Roman" w:hAnsi="Verdana" w:cs="Arial"/>
          <w:sz w:val="20"/>
          <w:szCs w:val="20"/>
          <w:lang w:val="es-ES" w:eastAsia="es-CO"/>
        </w:rPr>
        <w:t>legis</w:t>
      </w:r>
      <w:proofErr w:type="spellEnd"/>
      <w:r w:rsidRPr="007F7243">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5240D675" w14:textId="77777777" w:rsidR="00895892" w:rsidRPr="007F7243" w:rsidRDefault="00895892" w:rsidP="00895892">
      <w:pPr>
        <w:spacing w:after="0" w:line="240" w:lineRule="auto"/>
        <w:ind w:right="709"/>
        <w:jc w:val="both"/>
        <w:rPr>
          <w:rFonts w:ascii="Verdana" w:eastAsia="Times New Roman" w:hAnsi="Verdana" w:cs="Arial"/>
          <w:lang w:val="es-ES" w:eastAsia="es-CO"/>
        </w:rPr>
      </w:pPr>
    </w:p>
    <w:p w14:paraId="1C701794" w14:textId="77777777" w:rsidR="00895892" w:rsidRPr="007F7243" w:rsidRDefault="00895892" w:rsidP="00895892">
      <w:pPr>
        <w:spacing w:after="0" w:line="240" w:lineRule="auto"/>
        <w:ind w:left="709" w:right="709"/>
        <w:jc w:val="both"/>
        <w:rPr>
          <w:rFonts w:ascii="Verdana" w:eastAsia="Times New Roman" w:hAnsi="Verdana" w:cs="Arial"/>
          <w:sz w:val="20"/>
          <w:szCs w:val="20"/>
          <w:lang w:val="es-ES" w:eastAsia="es-CO"/>
        </w:rPr>
      </w:pPr>
      <w:r w:rsidRPr="007F7243">
        <w:rPr>
          <w:rFonts w:ascii="Verdana" w:eastAsia="Times New Roman" w:hAnsi="Verdana" w:cs="Arial"/>
          <w:sz w:val="20"/>
          <w:szCs w:val="20"/>
          <w:lang w:val="es-ES" w:eastAsia="es-CO"/>
        </w:rPr>
        <w:t>La jurisprudencia de la Corte Constitucional</w:t>
      </w:r>
      <w:r w:rsidRPr="00A52313">
        <w:rPr>
          <w:rFonts w:ascii="Verdana" w:eastAsia="Times New Roman" w:hAnsi="Verdana" w:cs="Arial"/>
          <w:sz w:val="20"/>
          <w:szCs w:val="20"/>
          <w:vertAlign w:val="superscript"/>
          <w:lang w:val="es-ES" w:eastAsia="es-CO"/>
        </w:rPr>
        <w:footnoteReference w:id="12"/>
      </w:r>
      <w:r w:rsidRPr="00A52313">
        <w:rPr>
          <w:rFonts w:ascii="Verdana" w:eastAsia="Times New Roman" w:hAnsi="Verdana" w:cs="Arial"/>
          <w:sz w:val="20"/>
          <w:szCs w:val="20"/>
          <w:lang w:val="es-ES" w:eastAsia="es-CO"/>
        </w:rPr>
        <w:t> y del Consejo de Estado</w:t>
      </w:r>
      <w:r w:rsidRPr="00A52313">
        <w:rPr>
          <w:rFonts w:ascii="Verdana" w:eastAsia="Times New Roman" w:hAnsi="Verdana" w:cs="Arial"/>
          <w:sz w:val="20"/>
          <w:szCs w:val="20"/>
          <w:vertAlign w:val="superscript"/>
          <w:lang w:val="es-ES" w:eastAsia="es-CO"/>
        </w:rPr>
        <w:footnoteReference w:id="13"/>
      </w:r>
      <w:r w:rsidRPr="00A52313">
        <w:rPr>
          <w:rFonts w:ascii="Verdana" w:eastAsia="Times New Roman" w:hAnsi="Verdana" w:cs="Arial"/>
          <w:sz w:val="20"/>
          <w:szCs w:val="20"/>
          <w:lang w:val="es-ES" w:eastAsia="es-CO"/>
        </w:rPr>
        <w:t xml:space="preserve">, coinciden en que las normas que establecen prohibiciones deben estar de manera explícita en la Constitución o en la ley y no podrán ser excesivas ni desproporcionadas. No pueden interpretarse extensivamente sino </w:t>
      </w:r>
      <w:r w:rsidRPr="007F7243">
        <w:rPr>
          <w:rFonts w:ascii="Verdana" w:eastAsia="Times New Roman" w:hAnsi="Verdana" w:cs="Arial"/>
          <w:sz w:val="20"/>
          <w:szCs w:val="20"/>
          <w:lang w:val="es-ES" w:eastAsia="es-CO"/>
        </w:rPr>
        <w:t>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A52313">
        <w:rPr>
          <w:rFonts w:ascii="Verdana" w:eastAsia="Times New Roman" w:hAnsi="Verdana" w:cs="Arial"/>
          <w:sz w:val="20"/>
          <w:szCs w:val="20"/>
          <w:vertAlign w:val="superscript"/>
          <w:lang w:val="es-ES" w:eastAsia="es-CO"/>
        </w:rPr>
        <w:footnoteReference w:id="14"/>
      </w:r>
      <w:r w:rsidRPr="00A52313">
        <w:rPr>
          <w:rFonts w:ascii="Verdana" w:eastAsia="Times New Roman" w:hAnsi="Verdana" w:cs="Arial"/>
          <w:sz w:val="20"/>
          <w:szCs w:val="20"/>
          <w:lang w:val="es-ES" w:eastAsia="es-CO"/>
        </w:rPr>
        <w:t>.</w:t>
      </w:r>
    </w:p>
    <w:p w14:paraId="134550C6" w14:textId="77777777" w:rsidR="00895892" w:rsidRPr="007F7243" w:rsidRDefault="00895892" w:rsidP="00895892">
      <w:pPr>
        <w:spacing w:after="0" w:line="276" w:lineRule="auto"/>
        <w:jc w:val="both"/>
        <w:rPr>
          <w:rFonts w:ascii="Verdana" w:hAnsi="Verdana" w:cs="Arial"/>
          <w:bCs/>
          <w:lang w:val="es-ES"/>
        </w:rPr>
      </w:pPr>
    </w:p>
    <w:p w14:paraId="653884C2" w14:textId="77777777" w:rsidR="00895892" w:rsidRPr="007F7243" w:rsidRDefault="00895892" w:rsidP="00895892">
      <w:pPr>
        <w:spacing w:after="120" w:line="276" w:lineRule="auto"/>
        <w:ind w:firstLine="709"/>
        <w:jc w:val="both"/>
        <w:rPr>
          <w:rFonts w:ascii="Verdana" w:eastAsia="Arial" w:hAnsi="Verdana" w:cs="Arial"/>
          <w:lang w:val="es-ES" w:eastAsia="es-ES" w:bidi="es-ES"/>
        </w:rPr>
      </w:pPr>
      <w:r w:rsidRPr="007F7243">
        <w:rPr>
          <w:rFonts w:ascii="Verdana" w:eastAsia="Times New Roman" w:hAnsi="Verdana" w:cs="Arial"/>
          <w:lang w:val="es-ES" w:eastAsia="es-CO"/>
        </w:rPr>
        <w:t>De</w:t>
      </w:r>
      <w:r w:rsidRPr="007F7243">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w:t>
      </w:r>
    </w:p>
    <w:p w14:paraId="4449F598" w14:textId="77777777" w:rsidR="00895892" w:rsidRPr="007F7243" w:rsidRDefault="00895892" w:rsidP="00895892">
      <w:pPr>
        <w:spacing w:after="120" w:line="276" w:lineRule="auto"/>
        <w:ind w:firstLine="709"/>
        <w:jc w:val="both"/>
        <w:rPr>
          <w:rFonts w:ascii="Verdana" w:eastAsia="Arial" w:hAnsi="Verdana" w:cs="Arial"/>
          <w:lang w:val="es-ES" w:eastAsia="es-ES" w:bidi="es-ES"/>
        </w:rPr>
      </w:pPr>
      <w:r w:rsidRPr="007F7243">
        <w:rPr>
          <w:rFonts w:ascii="Verdana" w:eastAsia="Arial" w:hAnsi="Verdana" w:cs="Arial"/>
          <w:lang w:val="es-ES" w:eastAsia="es-ES" w:bidi="es-ES"/>
        </w:rPr>
        <w:t>En ese orden, las restricciones consagradas en la Ley de Garantías Electorales se dirigen a dos (2) tipos de campañas electorales diferenciadas: las presidenciales y las que se adelanten para la elección de los demás cargos de elección popular, tanto a nivel nacional como territorial.</w:t>
      </w:r>
    </w:p>
    <w:p w14:paraId="645FB05E" w14:textId="77777777" w:rsidR="00895892" w:rsidRPr="007F7243" w:rsidRDefault="00895892" w:rsidP="00895892">
      <w:pPr>
        <w:spacing w:after="120" w:line="276" w:lineRule="auto"/>
        <w:ind w:firstLine="708"/>
        <w:jc w:val="both"/>
        <w:rPr>
          <w:rFonts w:ascii="Verdana" w:hAnsi="Verdana" w:cs="Arial"/>
          <w:lang w:val="es-ES"/>
        </w:rPr>
      </w:pPr>
      <w:r w:rsidRPr="007F7243">
        <w:rPr>
          <w:rFonts w:ascii="Verdana" w:hAnsi="Verdana" w:cs="Arial"/>
          <w:lang w:val="es-ES"/>
        </w:rPr>
        <w:t xml:space="preserve">Por un lado, el </w:t>
      </w:r>
      <w:r w:rsidRPr="007F7243">
        <w:rPr>
          <w:rFonts w:ascii="Verdana" w:hAnsi="Verdana" w:cs="Arial"/>
          <w:i/>
          <w:iCs/>
          <w:lang w:val="es-ES"/>
        </w:rPr>
        <w:t xml:space="preserve">artículo 33 </w:t>
      </w:r>
      <w:r w:rsidRPr="007F7243">
        <w:rPr>
          <w:rFonts w:ascii="Verdana" w:hAnsi="Verdana" w:cs="Arial"/>
          <w:lang w:val="es-ES"/>
        </w:rPr>
        <w:t xml:space="preserve">de la Ley 996 de 2005 prohíbe “[…] la contratación directa por parte de </w:t>
      </w:r>
      <w:r w:rsidRPr="007F7243">
        <w:rPr>
          <w:rFonts w:ascii="Verdana" w:hAnsi="Verdana" w:cs="Arial"/>
          <w:i/>
          <w:iCs/>
          <w:lang w:val="es-ES"/>
        </w:rPr>
        <w:t>todos los entes del Estado</w:t>
      </w:r>
      <w:r w:rsidRPr="007F7243">
        <w:rPr>
          <w:rFonts w:ascii="Verdana" w:hAnsi="Verdana" w:cs="Arial"/>
          <w:lang w:val="es-ES"/>
        </w:rPr>
        <w:t xml:space="preserve">” durante los cuatro </w:t>
      </w:r>
      <w:r w:rsidRPr="007F7243">
        <w:rPr>
          <w:rFonts w:ascii="Verdana" w:hAnsi="Verdana" w:cs="Arial"/>
          <w:lang w:val="es-ES"/>
        </w:rPr>
        <w:lastRenderedPageBreak/>
        <w:t xml:space="preserve">(4) meses anteriores a las </w:t>
      </w:r>
      <w:r w:rsidRPr="007F7243">
        <w:rPr>
          <w:rFonts w:ascii="Verdana" w:hAnsi="Verdana" w:cs="Arial"/>
          <w:i/>
          <w:iCs/>
          <w:lang w:val="es-ES"/>
        </w:rPr>
        <w:t>elecciones presidenciales</w:t>
      </w:r>
      <w:r w:rsidRPr="007F7243">
        <w:rPr>
          <w:rFonts w:ascii="Verdana"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A52313">
        <w:rPr>
          <w:rFonts w:ascii="Verdana" w:hAnsi="Verdana" w:cs="Arial"/>
          <w:vertAlign w:val="superscript"/>
          <w:lang w:val="es-ES"/>
        </w:rPr>
        <w:footnoteReference w:id="15"/>
      </w:r>
      <w:r w:rsidRPr="00A52313">
        <w:rPr>
          <w:rFonts w:ascii="Verdana" w:hAnsi="Verdana" w:cs="Arial"/>
          <w:lang w:val="es-ES"/>
        </w:rPr>
        <w:t>.</w:t>
      </w:r>
    </w:p>
    <w:p w14:paraId="45FDF26B" w14:textId="77777777" w:rsidR="00895892" w:rsidRPr="007F7243" w:rsidRDefault="00895892" w:rsidP="00895892">
      <w:pPr>
        <w:widowControl w:val="0"/>
        <w:autoSpaceDE w:val="0"/>
        <w:autoSpaceDN w:val="0"/>
        <w:spacing w:after="120" w:line="276" w:lineRule="auto"/>
        <w:ind w:right="113" w:firstLine="709"/>
        <w:jc w:val="both"/>
        <w:rPr>
          <w:rFonts w:ascii="Verdana" w:eastAsia="Arial" w:hAnsi="Verdana" w:cs="Arial"/>
          <w:lang w:val="es-ES" w:eastAsia="es-ES" w:bidi="es-ES"/>
        </w:rPr>
      </w:pPr>
      <w:r w:rsidRPr="007F7243">
        <w:rPr>
          <w:rFonts w:ascii="Verdana" w:hAnsi="Verdana" w:cs="Arial"/>
          <w:lang w:val="es-ES"/>
        </w:rPr>
        <w:t xml:space="preserve">Por otro lado, </w:t>
      </w:r>
      <w:r w:rsidRPr="007F7243">
        <w:rPr>
          <w:rFonts w:ascii="Verdana" w:hAnsi="Verdana" w:cs="Arial"/>
          <w:i/>
          <w:iCs/>
          <w:lang w:val="es-ES"/>
        </w:rPr>
        <w:t xml:space="preserve">el parágrafo del artículo 38 </w:t>
      </w:r>
      <w:r w:rsidRPr="007F7243">
        <w:rPr>
          <w:rFonts w:ascii="Verdana" w:hAnsi="Verdana" w:cs="Arial"/>
          <w:lang w:val="es-ES"/>
        </w:rPr>
        <w:t xml:space="preserve">de la Ley 996 de 2005 prevé una restricción, aplicable respecto de </w:t>
      </w:r>
      <w:r w:rsidRPr="007F7243">
        <w:rPr>
          <w:rFonts w:ascii="Verdana" w:hAnsi="Verdana" w:cs="Arial"/>
          <w:i/>
          <w:iCs/>
          <w:lang w:val="es-ES"/>
        </w:rPr>
        <w:t>cualquier tipo de contienda electoral</w:t>
      </w:r>
      <w:r w:rsidRPr="007F7243">
        <w:rPr>
          <w:rFonts w:ascii="Verdana" w:hAnsi="Verdana" w:cs="Arial"/>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A52313">
        <w:rPr>
          <w:rFonts w:ascii="Verdana" w:hAnsi="Verdana" w:cs="Arial"/>
          <w:vertAlign w:val="superscript"/>
          <w:lang w:val="es-ES"/>
        </w:rPr>
        <w:footnoteReference w:id="16"/>
      </w:r>
      <w:r w:rsidRPr="00A52313">
        <w:rPr>
          <w:rFonts w:ascii="Verdana" w:hAnsi="Verdana" w:cs="Arial"/>
          <w:lang w:val="es-ES"/>
        </w:rPr>
        <w:t>.</w:t>
      </w:r>
      <w:r w:rsidRPr="007F7243">
        <w:rPr>
          <w:rFonts w:ascii="Verdana" w:eastAsia="Arial" w:hAnsi="Verdana" w:cs="Arial"/>
          <w:lang w:val="es-ES" w:eastAsia="es-ES" w:bidi="es-ES"/>
        </w:rPr>
        <w:t xml:space="preserve"> </w:t>
      </w:r>
    </w:p>
    <w:p w14:paraId="3A49DEC5" w14:textId="77777777" w:rsidR="00895892" w:rsidRPr="007F7243" w:rsidRDefault="00895892" w:rsidP="00895892">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7F7243">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3EF3F49F" w14:textId="77777777" w:rsidR="00895892" w:rsidRPr="007F7243" w:rsidRDefault="00895892" w:rsidP="00895892">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2FFC556C" w14:textId="77777777" w:rsidR="00895892" w:rsidRPr="00A52313" w:rsidRDefault="00895892" w:rsidP="00895892">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7F7243">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w:t>
      </w:r>
      <w:r w:rsidRPr="007F7243">
        <w:rPr>
          <w:rFonts w:ascii="Verdana" w:eastAsia="Arial" w:hAnsi="Verdana" w:cs="Arial"/>
          <w:sz w:val="20"/>
          <w:szCs w:val="20"/>
          <w:lang w:val="es-ES" w:eastAsia="es-ES" w:bidi="es-ES"/>
        </w:rPr>
        <w:lastRenderedPageBreak/>
        <w:t>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A52313">
        <w:rPr>
          <w:rFonts w:ascii="Verdana" w:eastAsia="Arial" w:hAnsi="Verdana" w:cs="Arial"/>
          <w:sz w:val="20"/>
          <w:szCs w:val="20"/>
          <w:vertAlign w:val="superscript"/>
          <w:lang w:val="es-ES" w:eastAsia="es-ES" w:bidi="es-ES"/>
        </w:rPr>
        <w:footnoteReference w:id="17"/>
      </w:r>
    </w:p>
    <w:p w14:paraId="7E65EC05" w14:textId="77777777" w:rsidR="00895892" w:rsidRPr="007F7243" w:rsidRDefault="00895892" w:rsidP="00895892">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p>
    <w:p w14:paraId="271C6937" w14:textId="77777777" w:rsidR="00895892" w:rsidRPr="007F7243" w:rsidRDefault="00895892" w:rsidP="00895892">
      <w:pPr>
        <w:spacing w:after="120" w:line="276" w:lineRule="auto"/>
        <w:ind w:firstLine="709"/>
        <w:jc w:val="both"/>
        <w:rPr>
          <w:rFonts w:ascii="Verdana" w:eastAsia="Arial" w:hAnsi="Verdana" w:cs="Arial"/>
          <w:lang w:val="es-ES" w:eastAsia="es-ES" w:bidi="es-ES"/>
        </w:rPr>
      </w:pPr>
      <w:r w:rsidRPr="007F7243">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7F7243">
        <w:rPr>
          <w:rFonts w:ascii="Verdana" w:eastAsia="Arial" w:hAnsi="Verdana" w:cs="Arial"/>
          <w:i/>
          <w:lang w:val="es-ES" w:eastAsia="es-ES" w:bidi="es-ES"/>
        </w:rPr>
        <w:t>En primer lugar</w:t>
      </w:r>
      <w:r w:rsidRPr="007F7243">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7F7243">
        <w:rPr>
          <w:rFonts w:ascii="Verdana" w:eastAsia="Arial" w:hAnsi="Verdana" w:cs="Arial"/>
          <w:i/>
          <w:lang w:val="es-ES" w:eastAsia="es-ES" w:bidi="es-ES"/>
        </w:rPr>
        <w:t>En segundo lugar</w:t>
      </w:r>
      <w:r w:rsidRPr="007F7243">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07FD1DF4" w14:textId="77777777" w:rsidR="00895892" w:rsidRPr="007F7243" w:rsidRDefault="00895892" w:rsidP="00895892">
      <w:pPr>
        <w:spacing w:after="120" w:line="276" w:lineRule="auto"/>
        <w:ind w:firstLine="709"/>
        <w:jc w:val="both"/>
        <w:rPr>
          <w:rFonts w:ascii="Verdana" w:eastAsia="Arial" w:hAnsi="Verdana" w:cs="Arial"/>
          <w:lang w:val="es-ES" w:eastAsia="es-ES" w:bidi="es-ES"/>
        </w:rPr>
      </w:pPr>
      <w:r w:rsidRPr="007F7243">
        <w:rPr>
          <w:rFonts w:ascii="Verdana" w:eastAsia="Arial" w:hAnsi="Verdana" w:cs="Arial"/>
          <w:lang w:val="es-ES" w:eastAsia="es-ES" w:bidi="es-ES"/>
        </w:rPr>
        <w:t>Ambas restricciones no son excluyentes, lo que permite concluir que, en el período preelectoral para elección de Presidente de la República, aplican las restricciones del artículo 33 con sus excepciones, así como las del parágrafo del artículo 38, a todos los entes del Estado. En cambio, tratándose de elecciones en general, excluyendo las correspondientes al Presidente de la República, las autoridades allí mencionadas sólo deben aplicar las restricciones contenidas en el parágrafo del artículo 38.</w:t>
      </w:r>
    </w:p>
    <w:p w14:paraId="1472CB3F" w14:textId="77777777" w:rsidR="00895892" w:rsidRPr="007F7243" w:rsidRDefault="00895892" w:rsidP="00895892">
      <w:pPr>
        <w:spacing w:after="120" w:line="276" w:lineRule="auto"/>
        <w:ind w:firstLine="709"/>
        <w:jc w:val="both"/>
        <w:rPr>
          <w:rFonts w:ascii="Verdana" w:eastAsia="Arial" w:hAnsi="Verdana" w:cs="Arial"/>
          <w:lang w:val="es-ES" w:eastAsia="es-ES" w:bidi="es-ES"/>
        </w:rPr>
      </w:pPr>
      <w:r w:rsidRPr="007F7243">
        <w:rPr>
          <w:rFonts w:ascii="Verdana" w:eastAsia="Arial" w:hAnsi="Verdana" w:cs="Arial"/>
          <w:lang w:val="es-ES" w:eastAsia="es-ES" w:bidi="es-ES"/>
        </w:rPr>
        <w:t xml:space="preserve">La Corte Constitucional, en la Sentencia C-1153 del 11 de noviembre de 2005, señaló que, para que la garantía sea plena, era necesario que la </w:t>
      </w:r>
      <w:r w:rsidRPr="007F7243">
        <w:rPr>
          <w:rFonts w:ascii="Verdana" w:eastAsia="Arial" w:hAnsi="Verdana" w:cs="Arial"/>
          <w:lang w:val="es-ES" w:eastAsia="es-ES" w:bidi="es-ES"/>
        </w:rPr>
        <w:lastRenderedPageBreak/>
        <w:t xml:space="preserve">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12EBECCE" w14:textId="77777777" w:rsidR="00895892" w:rsidRPr="007F7243" w:rsidRDefault="00895892" w:rsidP="00895892">
      <w:pPr>
        <w:spacing w:after="120" w:line="276" w:lineRule="auto"/>
        <w:ind w:firstLine="709"/>
        <w:jc w:val="both"/>
        <w:rPr>
          <w:rFonts w:ascii="Verdana" w:hAnsi="Verdana" w:cs="Arial"/>
          <w:lang w:val="es-ES"/>
        </w:rPr>
      </w:pPr>
      <w:r w:rsidRPr="007F7243">
        <w:rPr>
          <w:rFonts w:ascii="Verdana" w:hAnsi="Verdana" w:cs="Arial"/>
          <w:lang w:val="es-ES"/>
        </w:rPr>
        <w:t xml:space="preserve">Ahora bien, para proceder a dar respuesta a la consulta elevada, debe indicarse que respecto del alcance del parágrafo </w:t>
      </w:r>
      <w:r w:rsidRPr="007F7243">
        <w:rPr>
          <w:rFonts w:ascii="Verdana" w:hAnsi="Verdana" w:cs="Arial"/>
        </w:rPr>
        <w:t xml:space="preserve">del artículo 38 de la Ley 996 de 2005, esta prohibición dispone en primera medida que: “[l]os Gobernadores, Alcaldes Municipales y/o Distritales, Secretarios, Gerentes y directores de Entidades Descentralizadas del orden Municipal, Departamental o Distrital, dentro de los cuatro (4) meses anteriores a las elecciones, no podrán celebrar </w:t>
      </w:r>
      <w:r w:rsidRPr="007F7243">
        <w:rPr>
          <w:rFonts w:ascii="Verdana" w:hAnsi="Verdana" w:cs="Arial"/>
          <w:i/>
          <w:iCs/>
        </w:rPr>
        <w:t>convenios interadministrativos</w:t>
      </w:r>
      <w:r w:rsidRPr="007F7243">
        <w:rPr>
          <w:rFonts w:ascii="Verdana" w:hAnsi="Verdana" w:cs="Arial"/>
        </w:rPr>
        <w:t xml:space="preserve"> </w:t>
      </w:r>
      <w:r w:rsidRPr="007F7243">
        <w:rPr>
          <w:rFonts w:ascii="Verdana" w:hAnsi="Verdana" w:cs="Arial"/>
          <w:i/>
          <w:iCs/>
        </w:rPr>
        <w:t>para la ejecución de recursos públicos</w:t>
      </w:r>
      <w:r w:rsidRPr="007F7243">
        <w:rPr>
          <w:rFonts w:ascii="Verdana" w:hAnsi="Verdana" w:cs="Arial"/>
        </w:rPr>
        <w:t>”.</w:t>
      </w:r>
      <w:r w:rsidRPr="007F7243">
        <w:rPr>
          <w:rFonts w:ascii="Verdana" w:eastAsia="Times New Roman" w:hAnsi="Verdana" w:cs="Arial"/>
          <w:lang w:val="es-MX" w:eastAsia="x-none"/>
        </w:rPr>
        <w:t xml:space="preserve"> [Énfasis fuera del texto original]</w:t>
      </w:r>
    </w:p>
    <w:p w14:paraId="7FE86829" w14:textId="77777777" w:rsidR="00895892" w:rsidRPr="007F7243" w:rsidRDefault="00895892" w:rsidP="00895892">
      <w:pPr>
        <w:spacing w:after="120" w:line="276" w:lineRule="auto"/>
        <w:ind w:firstLine="709"/>
        <w:jc w:val="both"/>
        <w:rPr>
          <w:rFonts w:ascii="Verdana" w:hAnsi="Verdana" w:cs="Arial"/>
          <w:lang w:eastAsia="es-ES"/>
        </w:rPr>
      </w:pPr>
      <w:r w:rsidRPr="007F7243">
        <w:rPr>
          <w:rFonts w:ascii="Verdana" w:eastAsia="Times New Roman" w:hAnsi="Verdana" w:cs="Arial"/>
          <w:lang w:val="es-ES" w:eastAsia="es-ES"/>
        </w:rPr>
        <w:t xml:space="preserve">Para tales efectos, debe precisarse que </w:t>
      </w:r>
      <w:r w:rsidRPr="007F7243">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7F7243">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A52313">
        <w:rPr>
          <w:rFonts w:ascii="Verdana" w:hAnsi="Verdana" w:cs="Arial"/>
          <w:vertAlign w:val="superscript"/>
          <w:lang w:eastAsia="es-ES"/>
        </w:rPr>
        <w:footnoteReference w:id="18"/>
      </w:r>
      <w:r w:rsidRPr="00A52313">
        <w:rPr>
          <w:rFonts w:ascii="Verdana" w:hAnsi="Verdana" w:cs="Arial"/>
          <w:lang w:eastAsia="es-ES"/>
        </w:rPr>
        <w:t>.</w:t>
      </w:r>
    </w:p>
    <w:p w14:paraId="11F0D81F" w14:textId="2A84A2DE" w:rsidR="00895892" w:rsidRPr="007F7243" w:rsidRDefault="00895892" w:rsidP="00895892">
      <w:pPr>
        <w:spacing w:after="120" w:line="276" w:lineRule="auto"/>
        <w:ind w:firstLine="709"/>
        <w:jc w:val="both"/>
        <w:rPr>
          <w:rFonts w:ascii="Verdana" w:hAnsi="Verdana" w:cs="Arial"/>
          <w:color w:val="000000" w:themeColor="text1"/>
          <w:lang w:val="es-ES_tradnl"/>
        </w:rPr>
      </w:pPr>
      <w:r w:rsidRPr="007F7243">
        <w:rPr>
          <w:rFonts w:ascii="Verdana" w:hAnsi="Verdana" w:cs="Arial"/>
          <w:color w:val="000000" w:themeColor="text1"/>
          <w:lang w:val="es-ES_tradnl"/>
        </w:rPr>
        <w:t xml:space="preserve">Si bien los contratos o convenios interadministrativos están previstos en la Ley 80 de 1993, en la Ley 1150 de 2007 y en el Decreto 1082 de 2015, no quiere decir que solo puedan celebrarse entre </w:t>
      </w:r>
      <w:r w:rsidR="00B11704" w:rsidRPr="007F7243">
        <w:rPr>
          <w:rFonts w:ascii="Verdana" w:hAnsi="Verdana" w:cs="Arial"/>
          <w:color w:val="000000" w:themeColor="text1"/>
          <w:lang w:val="es-ES_tradnl"/>
        </w:rPr>
        <w:t>e</w:t>
      </w:r>
      <w:r w:rsidRPr="007F7243">
        <w:rPr>
          <w:rFonts w:ascii="Verdana" w:hAnsi="Verdana" w:cs="Arial"/>
          <w:color w:val="000000" w:themeColor="text1"/>
          <w:lang w:val="es-ES_tradnl"/>
        </w:rPr>
        <w:t xml:space="preserve">ntidades </w:t>
      </w:r>
      <w:r w:rsidR="00B11704" w:rsidRPr="007F7243">
        <w:rPr>
          <w:rFonts w:ascii="Verdana" w:hAnsi="Verdana" w:cs="Arial"/>
          <w:color w:val="000000" w:themeColor="text1"/>
          <w:lang w:val="es-ES_tradnl"/>
        </w:rPr>
        <w:t>e</w:t>
      </w:r>
      <w:r w:rsidRPr="007F7243">
        <w:rPr>
          <w:rFonts w:ascii="Verdana" w:hAnsi="Verdana" w:cs="Arial"/>
          <w:color w:val="000000" w:themeColor="text1"/>
          <w:lang w:val="es-ES_tradnl"/>
        </w:rPr>
        <w:t xml:space="preserve">statales que apliquen el régimen de contratación allí previsto. En efecto, una Entidad Estatal de la Ley 80 de 1993 – como es el caso de un municipio – bien puede celebrar esta clase </w:t>
      </w:r>
      <w:r w:rsidRPr="007F7243">
        <w:rPr>
          <w:rFonts w:ascii="Verdana" w:hAnsi="Verdana" w:cs="Arial"/>
          <w:color w:val="000000" w:themeColor="text1"/>
          <w:lang w:val="es-ES_tradnl"/>
        </w:rPr>
        <w:lastRenderedPageBreak/>
        <w:t>de convenios con una Entidad Estatal de régimen especial y no por ello dejará de ser un contrato o convenio interadministrativo.</w:t>
      </w:r>
    </w:p>
    <w:p w14:paraId="5F9FCE0A" w14:textId="77777777" w:rsidR="00895892" w:rsidRPr="007F7243" w:rsidRDefault="00895892" w:rsidP="00895892">
      <w:pPr>
        <w:spacing w:before="120" w:after="0" w:line="276" w:lineRule="auto"/>
        <w:ind w:firstLine="708"/>
        <w:jc w:val="both"/>
        <w:rPr>
          <w:rFonts w:ascii="Verdana" w:hAnsi="Verdana" w:cs="Arial"/>
          <w:lang w:val="es-ES_tradnl"/>
        </w:rPr>
      </w:pPr>
      <w:r w:rsidRPr="007F7243">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00A52313">
        <w:rPr>
          <w:rFonts w:ascii="Verdana" w:hAnsi="Verdana" w:cs="Arial"/>
          <w:vertAlign w:val="superscript"/>
          <w:lang w:val="es-ES"/>
        </w:rPr>
        <w:footnoteReference w:id="19"/>
      </w:r>
      <w:r w:rsidRPr="00A52313">
        <w:rPr>
          <w:rFonts w:ascii="Verdana" w:hAnsi="Verdana" w:cs="Arial"/>
          <w:lang w:val="es-ES"/>
        </w:rPr>
        <w:t>. Nótese que, en este caso, lo que cambi</w:t>
      </w:r>
      <w:r w:rsidRPr="007F7243">
        <w:rPr>
          <w:rFonts w:ascii="Verdana" w:hAnsi="Verdana" w:cs="Arial"/>
          <w:lang w:val="es-ES"/>
        </w:rPr>
        <w:t>a es la modalidad de selección y no la naturaleza de contrato interadministrativo.</w:t>
      </w:r>
    </w:p>
    <w:p w14:paraId="10B038FE" w14:textId="77777777" w:rsidR="00895892" w:rsidRPr="007F7243" w:rsidRDefault="00895892" w:rsidP="00895892">
      <w:pPr>
        <w:spacing w:before="120" w:after="0" w:line="276" w:lineRule="auto"/>
        <w:ind w:firstLine="708"/>
        <w:jc w:val="both"/>
        <w:rPr>
          <w:rFonts w:ascii="Verdana" w:hAnsi="Verdana" w:cs="Arial"/>
          <w:lang w:val="es-ES_tradnl"/>
        </w:rPr>
      </w:pPr>
      <w:r w:rsidRPr="007F7243">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00A52313">
        <w:rPr>
          <w:rFonts w:ascii="Verdana" w:hAnsi="Verdana" w:cs="Arial"/>
          <w:vertAlign w:val="superscript"/>
          <w:lang w:val="es-ES"/>
        </w:rPr>
        <w:footnoteReference w:id="20"/>
      </w:r>
      <w:r w:rsidRPr="00A52313">
        <w:rPr>
          <w:rFonts w:ascii="Verdana" w:hAnsi="Verdana" w:cs="Arial"/>
          <w:lang w:val="es-ES"/>
        </w:rPr>
        <w:t xml:space="preserve">. Entonces, si ambas partes son entidades estatales, pueden celebrar convenios interadministrativos, porque las disposiciones que regulan esta tipología hacen referencia a la calidad de los sujetos que intervienen </w:t>
      </w:r>
      <w:r w:rsidRPr="007F7243">
        <w:rPr>
          <w:rFonts w:ascii="Verdana" w:hAnsi="Verdana" w:cs="Arial"/>
          <w:lang w:val="es-ES"/>
        </w:rPr>
        <w:t>en la contratación, que deben ser entidades estatales o de derecho público.</w:t>
      </w:r>
    </w:p>
    <w:p w14:paraId="53871634" w14:textId="77777777" w:rsidR="00895892" w:rsidRPr="007F7243" w:rsidRDefault="00895892" w:rsidP="00895892">
      <w:pPr>
        <w:spacing w:before="120" w:after="0" w:line="276" w:lineRule="auto"/>
        <w:ind w:firstLine="708"/>
        <w:jc w:val="both"/>
        <w:rPr>
          <w:rFonts w:ascii="Verdana" w:hAnsi="Verdana"/>
          <w:sz w:val="24"/>
          <w:szCs w:val="24"/>
          <w:lang w:eastAsia="es-CO"/>
        </w:rPr>
      </w:pPr>
      <w:r w:rsidRPr="007F7243">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00A52313">
        <w:rPr>
          <w:rFonts w:ascii="Verdana" w:hAnsi="Verdana" w:cs="Arial"/>
          <w:vertAlign w:val="superscript"/>
          <w:lang w:val="es-ES"/>
        </w:rPr>
        <w:footnoteReference w:id="21"/>
      </w:r>
      <w:r w:rsidRPr="00A52313">
        <w:rPr>
          <w:rFonts w:ascii="Verdana" w:hAnsi="Verdana" w:cs="Arial"/>
          <w:lang w:val="es-ES"/>
        </w:rPr>
        <w:t xml:space="preserve">, pues, de acuerdo con lo anotado, esta clase de acuerdos de voluntades se definen por un criterio orgánico, por lo que uno de sus elementos esenciales es </w:t>
      </w:r>
      <w:r w:rsidRPr="00A52313">
        <w:rPr>
          <w:rFonts w:ascii="Verdana" w:hAnsi="Verdana" w:cs="Arial"/>
          <w:lang w:val="es-ES"/>
        </w:rPr>
        <w:lastRenderedPageBreak/>
        <w:t>que en los extremos de la relación jurídico negocial concurran personas d</w:t>
      </w:r>
      <w:r w:rsidRPr="007F7243">
        <w:rPr>
          <w:rFonts w:ascii="Verdana" w:hAnsi="Verdana" w:cs="Arial"/>
          <w:lang w:val="es-ES"/>
        </w:rPr>
        <w:t>e derecho público</w:t>
      </w:r>
      <w:r w:rsidRPr="007F7243">
        <w:rPr>
          <w:rFonts w:ascii="Verdana" w:hAnsi="Verdana"/>
          <w:sz w:val="24"/>
          <w:szCs w:val="24"/>
          <w:lang w:eastAsia="es-CO"/>
        </w:rPr>
        <w:t>.</w:t>
      </w:r>
    </w:p>
    <w:p w14:paraId="006BAFFF" w14:textId="77777777" w:rsidR="00895892" w:rsidRPr="007F7243" w:rsidRDefault="00895892" w:rsidP="00895892">
      <w:pPr>
        <w:spacing w:before="120" w:after="0" w:line="276" w:lineRule="auto"/>
        <w:ind w:firstLine="708"/>
        <w:jc w:val="both"/>
        <w:rPr>
          <w:rFonts w:ascii="Verdana" w:eastAsia="Times New Roman" w:hAnsi="Verdana" w:cs="Arial"/>
          <w:lang w:val="es-MX" w:eastAsia="es-CO"/>
        </w:rPr>
      </w:pPr>
      <w:r w:rsidRPr="007F7243">
        <w:rPr>
          <w:rFonts w:ascii="Verdana" w:eastAsia="Arial" w:hAnsi="Verdana" w:cs="Arial"/>
          <w:lang w:val="es-MX" w:eastAsia="es-ES" w:bidi="es-ES"/>
        </w:rPr>
        <w:t>De esta manera, se</w:t>
      </w:r>
      <w:r w:rsidRPr="007F7243">
        <w:rPr>
          <w:rFonts w:ascii="Verdana" w:eastAsia="Times New Roman" w:hAnsi="Verdana" w:cs="Arial"/>
          <w:lang w:eastAsia="es-CO"/>
        </w:rPr>
        <w:t xml:space="preserve"> observa entonces que </w:t>
      </w:r>
      <w:r w:rsidRPr="007F7243">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7F7243">
        <w:rPr>
          <w:rFonts w:ascii="Verdana" w:eastAsia="Times New Roman" w:hAnsi="Verdana" w:cs="Arial"/>
          <w:i/>
          <w:iCs/>
          <w:lang w:val="es-MX" w:eastAsia="es-CO"/>
        </w:rPr>
        <w:t>convenios interadministrativos</w:t>
      </w:r>
      <w:r w:rsidRPr="007F7243">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7F7243">
        <w:rPr>
          <w:rFonts w:ascii="Verdana" w:eastAsia="Times New Roman" w:hAnsi="Verdana" w:cs="Arial"/>
          <w:i/>
          <w:lang w:val="es-MX" w:eastAsia="es-CO"/>
        </w:rPr>
        <w:t>ibidem</w:t>
      </w:r>
      <w:r w:rsidRPr="007F7243">
        <w:rPr>
          <w:rFonts w:ascii="Verdana" w:eastAsia="Times New Roman" w:hAnsi="Verdana" w:cs="Arial"/>
          <w:lang w:val="es-MX" w:eastAsia="es-CO"/>
        </w:rPr>
        <w:t xml:space="preserve">, no podrá celebrar tales </w:t>
      </w:r>
      <w:r w:rsidRPr="007F7243">
        <w:rPr>
          <w:rFonts w:ascii="Verdana" w:eastAsia="Times New Roman" w:hAnsi="Verdana" w:cs="Arial"/>
          <w:i/>
          <w:iCs/>
          <w:lang w:val="es-MX" w:eastAsia="es-CO"/>
        </w:rPr>
        <w:t>convenios</w:t>
      </w:r>
      <w:r w:rsidRPr="007F7243">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3E4B7AB7" w14:textId="77777777" w:rsidR="00895892" w:rsidRPr="007F7243" w:rsidRDefault="00895892" w:rsidP="00895892">
      <w:pPr>
        <w:spacing w:before="120" w:after="0" w:line="276" w:lineRule="auto"/>
        <w:ind w:firstLine="708"/>
        <w:jc w:val="both"/>
        <w:rPr>
          <w:rFonts w:ascii="Verdana" w:eastAsia="Times New Roman" w:hAnsi="Verdana" w:cs="Arial"/>
          <w:lang w:eastAsia="es-CO"/>
        </w:rPr>
      </w:pPr>
      <w:r w:rsidRPr="007F7243">
        <w:rPr>
          <w:rFonts w:ascii="Verdana" w:eastAsia="Times New Roman" w:hAnsi="Verdana" w:cs="Arial"/>
          <w:lang w:val="es-MX" w:eastAsia="es-CO"/>
        </w:rPr>
        <w:t>Respecto del alcance de esta prohibición la Circular Externa No. 006 de 2025 expedida por la ANCP -CCE, en los literales ii) y iv) del numeral 2</w:t>
      </w:r>
      <w:r w:rsidRPr="007F7243">
        <w:rPr>
          <w:rFonts w:ascii="Verdana" w:eastAsia="Times New Roman" w:hAnsi="Verdana" w:cs="Arial"/>
          <w:lang w:eastAsia="es-CO"/>
        </w:rPr>
        <w:t>,</w:t>
      </w:r>
      <w:r w:rsidRPr="007F7243">
        <w:rPr>
          <w:rFonts w:ascii="Verdana" w:eastAsia="Times New Roman" w:hAnsi="Verdana" w:cs="Arial"/>
          <w:lang w:val="es-MX" w:eastAsia="es-CO"/>
        </w:rPr>
        <w:t xml:space="preserve"> indica que el </w:t>
      </w:r>
      <w:r w:rsidRPr="007F7243">
        <w:rPr>
          <w:rFonts w:ascii="Verdana" w:eastAsia="Times New Roman" w:hAnsi="Verdana" w:cs="Arial"/>
          <w:lang w:eastAsia="es-CO"/>
        </w:rPr>
        <w:t xml:space="preserve">parágrafo del artículo 38 de la Ley 996 de 2005 cobija expresamente a los </w:t>
      </w:r>
      <w:r w:rsidRPr="007F7243">
        <w:rPr>
          <w:rFonts w:ascii="Verdana" w:eastAsia="Times New Roman" w:hAnsi="Verdana" w:cs="Arial"/>
          <w:i/>
          <w:iCs/>
          <w:lang w:eastAsia="es-CO"/>
        </w:rPr>
        <w:t>convenios interadministrativos</w:t>
      </w:r>
      <w:r w:rsidRPr="007F7243">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7F7243">
        <w:rPr>
          <w:rFonts w:ascii="Verdana" w:eastAsia="Times New Roman" w:hAnsi="Verdana" w:cs="Arial"/>
          <w:i/>
          <w:iCs/>
          <w:lang w:eastAsia="es-CO"/>
        </w:rPr>
        <w:t>“aunque se configure alguno de los supuestos de excepción que señaló el inciso final del artículo 33”.</w:t>
      </w:r>
      <w:r w:rsidRPr="007F7243">
        <w:rPr>
          <w:rFonts w:ascii="Verdana" w:eastAsia="Times New Roman" w:hAnsi="Verdana" w:cs="Arial"/>
          <w:lang w:eastAsia="es-CO"/>
        </w:rPr>
        <w:t xml:space="preserve"> </w:t>
      </w:r>
    </w:p>
    <w:p w14:paraId="70AF9758" w14:textId="77777777" w:rsidR="00895892" w:rsidRPr="007F7243" w:rsidRDefault="00895892" w:rsidP="00895892">
      <w:pPr>
        <w:spacing w:before="120" w:after="0" w:line="276" w:lineRule="auto"/>
        <w:ind w:firstLine="708"/>
        <w:jc w:val="both"/>
        <w:rPr>
          <w:rFonts w:ascii="Verdana" w:eastAsia="Times New Roman" w:hAnsi="Verdana" w:cs="Arial"/>
          <w:lang w:val="es-MX" w:eastAsia="es-CO"/>
        </w:rPr>
      </w:pPr>
      <w:r w:rsidRPr="007F7243">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7F7243">
        <w:rPr>
          <w:rFonts w:ascii="Verdana" w:eastAsia="Times New Roman" w:hAnsi="Verdana" w:cs="Arial"/>
          <w:i/>
          <w:iCs/>
          <w:lang w:eastAsia="es-CO"/>
        </w:rPr>
        <w:t>convenios interadministrativos</w:t>
      </w:r>
      <w:r w:rsidRPr="007F7243">
        <w:rPr>
          <w:rFonts w:ascii="Verdana" w:eastAsia="Times New Roman" w:hAnsi="Verdana" w:cs="Arial"/>
          <w:lang w:eastAsia="es-CO"/>
        </w:rPr>
        <w:t xml:space="preserve"> en los que se contemple la </w:t>
      </w:r>
      <w:r w:rsidRPr="007F7243">
        <w:rPr>
          <w:rFonts w:ascii="Verdana" w:eastAsia="Times New Roman" w:hAnsi="Verdana" w:cs="Arial"/>
          <w:i/>
          <w:iCs/>
          <w:lang w:eastAsia="es-CO"/>
        </w:rPr>
        <w:t>ejecución de recursos públicos</w:t>
      </w:r>
      <w:r w:rsidRPr="007F7243">
        <w:rPr>
          <w:rFonts w:ascii="Verdana" w:eastAsia="Times New Roman" w:hAnsi="Verdana" w:cs="Arial"/>
          <w:lang w:eastAsia="es-CO"/>
        </w:rPr>
        <w:t xml:space="preserve">. Esto significa que la prohibición no resulta aplicable a </w:t>
      </w:r>
      <w:r w:rsidRPr="007F7243">
        <w:rPr>
          <w:rFonts w:ascii="Verdana" w:eastAsia="Times New Roman" w:hAnsi="Verdana" w:cs="Arial"/>
          <w:i/>
          <w:iCs/>
          <w:lang w:eastAsia="es-CO"/>
        </w:rPr>
        <w:t>convenios interadministrativos a título gratuito,</w:t>
      </w:r>
      <w:r w:rsidRPr="007F7243">
        <w:rPr>
          <w:rFonts w:ascii="Verdana" w:eastAsia="Times New Roman" w:hAnsi="Verdana" w:cs="Arial"/>
          <w:lang w:eastAsia="es-CO"/>
        </w:rPr>
        <w:t xml:space="preserve"> los cuales pueden celebrarse válidamente durante la vigencia de la mencionada restricción. </w:t>
      </w:r>
    </w:p>
    <w:p w14:paraId="1B4E009C" w14:textId="77777777" w:rsidR="00895892" w:rsidRPr="007F7243" w:rsidRDefault="00895892" w:rsidP="00895892">
      <w:pPr>
        <w:spacing w:before="120" w:after="0" w:line="276" w:lineRule="auto"/>
        <w:ind w:firstLine="708"/>
        <w:jc w:val="both"/>
        <w:rPr>
          <w:rFonts w:ascii="Verdana" w:eastAsia="Times New Roman" w:hAnsi="Verdana" w:cs="Arial"/>
          <w:lang w:eastAsia="es-CO"/>
        </w:rPr>
      </w:pPr>
      <w:r w:rsidRPr="007F7243">
        <w:rPr>
          <w:rFonts w:ascii="Verdana" w:eastAsia="Times New Roman" w:hAnsi="Verdana" w:cs="Arial"/>
          <w:lang w:eastAsia="es-CO"/>
        </w:rPr>
        <w:t xml:space="preserve">De esta manera, conforme a lo dispuesto en la Circular referida, si se suscriben </w:t>
      </w:r>
      <w:r w:rsidRPr="007F7243">
        <w:rPr>
          <w:rFonts w:ascii="Verdana" w:eastAsia="Times New Roman" w:hAnsi="Verdana" w:cs="Arial"/>
          <w:i/>
          <w:iCs/>
          <w:lang w:eastAsia="es-CO"/>
        </w:rPr>
        <w:t>convenios interadministrativos para la ejecución de recursos públicos</w:t>
      </w:r>
      <w:r w:rsidRPr="007F7243">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7F7243">
        <w:rPr>
          <w:rFonts w:ascii="Verdana" w:eastAsia="Times New Roman" w:hAnsi="Verdana" w:cs="Arial"/>
          <w:i/>
          <w:iCs/>
          <w:lang w:eastAsia="es-CO"/>
        </w:rPr>
        <w:t>ibidem</w:t>
      </w:r>
      <w:r w:rsidRPr="007F7243">
        <w:rPr>
          <w:rFonts w:ascii="Verdana" w:eastAsia="Times New Roman" w:hAnsi="Verdana" w:cs="Arial"/>
          <w:lang w:eastAsia="es-CO"/>
        </w:rPr>
        <w:t>, independientemente de que se configure alguno de los supuestos de excepción que señaló el inciso final del artículo 33, es decir, que se trate de:</w:t>
      </w:r>
      <w:r w:rsidRPr="007F7243">
        <w:rPr>
          <w:rFonts w:ascii="Verdana" w:hAnsi="Verdana" w:cs="Arial"/>
          <w:bCs/>
          <w:lang w:val="es-MX" w:eastAsia="x-none"/>
        </w:rPr>
        <w:t xml:space="preserve"> i) la defensa y seguridad del Estado; ii) los contratos de crédito público; iii) los requeridos para cubrir las emergencias educativas, sanitarias y desastres; iv) los utilizados para la reconstrucción de vías, puentes, </w:t>
      </w:r>
      <w:r w:rsidRPr="007F7243">
        <w:rPr>
          <w:rFonts w:ascii="Verdana" w:hAnsi="Verdana" w:cs="Arial"/>
          <w:bCs/>
          <w:lang w:val="es-MX" w:eastAsia="x-none"/>
        </w:rPr>
        <w:lastRenderedPageBreak/>
        <w:t>carreteras, infraestructura energética y de comunicaciones, en caso de que hayan sido objeto de atentados, acciones terroristas, desastres naturales o casos de fuerza mayor; y, v) los que deban realizar las entidades sanitarias y hospitalarias.</w:t>
      </w:r>
      <w:r w:rsidRPr="007F7243">
        <w:rPr>
          <w:rFonts w:ascii="Verdana" w:hAnsi="Verdana" w:cs="Arial"/>
          <w:bCs/>
          <w:lang w:val="es-MX" w:eastAsia="es-CO"/>
        </w:rPr>
        <w:t xml:space="preserve"> </w:t>
      </w:r>
      <w:r w:rsidRPr="007F7243">
        <w:rPr>
          <w:rFonts w:ascii="Verdana" w:eastAsia="Times New Roman" w:hAnsi="Verdana" w:cs="Arial"/>
          <w:lang w:eastAsia="es-CO"/>
        </w:rPr>
        <w:t xml:space="preserve">  </w:t>
      </w:r>
    </w:p>
    <w:p w14:paraId="1A7A1B0B" w14:textId="77777777" w:rsidR="00895892" w:rsidRPr="007F7243" w:rsidRDefault="00895892" w:rsidP="00895892">
      <w:pPr>
        <w:spacing w:before="120" w:after="0" w:line="276" w:lineRule="auto"/>
        <w:ind w:firstLine="708"/>
        <w:jc w:val="both"/>
        <w:rPr>
          <w:rFonts w:ascii="Verdana" w:eastAsia="Times New Roman" w:hAnsi="Verdana" w:cs="Arial"/>
          <w:lang w:eastAsia="es-CO"/>
        </w:rPr>
      </w:pPr>
      <w:r w:rsidRPr="007F7243">
        <w:rPr>
          <w:rFonts w:ascii="Verdana" w:eastAsia="Times New Roman" w:hAnsi="Verdana" w:cs="Arial"/>
          <w:lang w:eastAsia="es-CO"/>
        </w:rPr>
        <w:t xml:space="preserve">En este punto, teniendo en cuenta lo señalado en el contenido de su petición, vale la pena destacar que </w:t>
      </w:r>
      <w:r w:rsidRPr="007F7243">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7F7243">
        <w:rPr>
          <w:rFonts w:ascii="Verdana" w:hAnsi="Verdana" w:cs="Arial"/>
        </w:rPr>
        <w:t>numeral 16.2 de la Circular Externa Única de 2022 expedida por la Agencia Nacional de Contratación Pública -Colombia Compra Eficiente-, concretamente, respecto de los siguientes apartes normativos</w:t>
      </w:r>
      <w:r w:rsidRPr="00A52313">
        <w:rPr>
          <w:rFonts w:ascii="Verdana" w:hAnsi="Verdana" w:cs="Arial"/>
          <w:vertAlign w:val="superscript"/>
        </w:rPr>
        <w:footnoteReference w:id="22"/>
      </w:r>
      <w:r w:rsidRPr="00A52313">
        <w:rPr>
          <w:rFonts w:ascii="Verdana" w:hAnsi="Verdana" w:cs="Arial"/>
        </w:rPr>
        <w:t xml:space="preserve">: </w:t>
      </w:r>
    </w:p>
    <w:p w14:paraId="596C3B94" w14:textId="77777777" w:rsidR="00895892" w:rsidRPr="007F7243" w:rsidRDefault="00895892" w:rsidP="00895892">
      <w:pPr>
        <w:spacing w:after="0" w:line="276" w:lineRule="auto"/>
        <w:ind w:firstLine="709"/>
        <w:jc w:val="both"/>
        <w:rPr>
          <w:rFonts w:ascii="Verdana" w:hAnsi="Verdana" w:cs="Arial"/>
        </w:rPr>
      </w:pPr>
    </w:p>
    <w:p w14:paraId="28367AA7" w14:textId="77777777" w:rsidR="00895892" w:rsidRPr="007F7243" w:rsidRDefault="00895892" w:rsidP="00895892">
      <w:pPr>
        <w:spacing w:after="0" w:line="240" w:lineRule="auto"/>
        <w:ind w:left="709" w:right="709"/>
        <w:jc w:val="both"/>
        <w:rPr>
          <w:rFonts w:ascii="Verdana" w:hAnsi="Verdana" w:cs="Arial"/>
          <w:sz w:val="20"/>
          <w:szCs w:val="20"/>
        </w:rPr>
      </w:pPr>
      <w:r w:rsidRPr="007F7243">
        <w:rPr>
          <w:rFonts w:ascii="Verdana" w:hAnsi="Verdana" w:cs="Arial"/>
          <w:sz w:val="20"/>
          <w:szCs w:val="20"/>
          <w:lang w:val="es-MX"/>
        </w:rPr>
        <w:t>“i)</w:t>
      </w:r>
      <w:r w:rsidRPr="007F7243">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4D0C22FF" w14:textId="77777777" w:rsidR="00895892" w:rsidRPr="007F7243" w:rsidRDefault="00895892" w:rsidP="00895892">
      <w:pPr>
        <w:spacing w:after="0" w:line="240" w:lineRule="auto"/>
        <w:ind w:left="709" w:right="709"/>
        <w:jc w:val="both"/>
        <w:rPr>
          <w:rFonts w:ascii="Verdana" w:hAnsi="Verdana" w:cs="Arial"/>
          <w:sz w:val="20"/>
          <w:szCs w:val="20"/>
        </w:rPr>
      </w:pPr>
    </w:p>
    <w:p w14:paraId="65A771AB" w14:textId="77777777" w:rsidR="00895892" w:rsidRPr="007F7243" w:rsidRDefault="00895892" w:rsidP="00895892">
      <w:pPr>
        <w:spacing w:after="0" w:line="240" w:lineRule="auto"/>
        <w:ind w:left="709" w:right="709"/>
        <w:jc w:val="both"/>
        <w:rPr>
          <w:rFonts w:ascii="Verdana" w:hAnsi="Verdana" w:cs="Arial"/>
          <w:sz w:val="20"/>
          <w:szCs w:val="20"/>
        </w:rPr>
      </w:pPr>
      <w:r w:rsidRPr="007F7243">
        <w:rPr>
          <w:rFonts w:ascii="Verdana" w:hAnsi="Verdana" w:cs="Arial"/>
          <w:sz w:val="20"/>
          <w:szCs w:val="20"/>
        </w:rPr>
        <w:t xml:space="preserve">ii)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63C08F93" w14:textId="77777777" w:rsidR="00895892" w:rsidRPr="007F7243" w:rsidRDefault="00895892" w:rsidP="00895892">
      <w:pPr>
        <w:spacing w:after="0" w:line="276" w:lineRule="auto"/>
        <w:ind w:left="709" w:right="709"/>
        <w:jc w:val="both"/>
        <w:rPr>
          <w:rFonts w:ascii="Verdana" w:hAnsi="Verdana" w:cs="Arial"/>
        </w:rPr>
      </w:pPr>
    </w:p>
    <w:p w14:paraId="6D50EE2A" w14:textId="77777777" w:rsidR="00895892" w:rsidRPr="007F7243" w:rsidRDefault="00895892" w:rsidP="00895892">
      <w:pPr>
        <w:spacing w:after="120" w:line="276" w:lineRule="auto"/>
        <w:ind w:firstLine="709"/>
        <w:jc w:val="both"/>
        <w:rPr>
          <w:rFonts w:ascii="Verdana" w:eastAsia="Arial" w:hAnsi="Verdana" w:cs="Arial"/>
          <w:i/>
          <w:iCs/>
          <w:lang w:eastAsia="es-ES" w:bidi="es-ES"/>
        </w:rPr>
      </w:pPr>
      <w:r w:rsidRPr="007F7243">
        <w:rPr>
          <w:rFonts w:ascii="Verdana" w:eastAsia="Arial" w:hAnsi="Verdana" w:cs="Arial"/>
          <w:lang w:val="es-MX" w:eastAsia="es-ES" w:bidi="es-ES"/>
        </w:rPr>
        <w:t xml:space="preserve">De conformidad con los argumentos de dicha providencia, se parte de la distinción entre los conceptos </w:t>
      </w:r>
      <w:r w:rsidRPr="007F7243">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7F7243">
        <w:rPr>
          <w:rFonts w:ascii="Verdana" w:hAnsi="Verdana"/>
          <w:sz w:val="24"/>
          <w:szCs w:val="24"/>
          <w:lang w:eastAsia="es-CO"/>
        </w:rPr>
        <w:t xml:space="preserve"> </w:t>
      </w:r>
      <w:r w:rsidRPr="007F7243">
        <w:rPr>
          <w:rFonts w:ascii="Verdana" w:eastAsia="Arial" w:hAnsi="Verdana" w:cs="Arial"/>
          <w:lang w:eastAsia="es-ES" w:bidi="es-ES"/>
        </w:rPr>
        <w:t xml:space="preserve">En este sentido, en relación con el parágrafo del artículo 38 de la Ley 996 de 2005 concluyó que </w:t>
      </w:r>
      <w:r w:rsidRPr="007F7243">
        <w:rPr>
          <w:rFonts w:ascii="Verdana" w:eastAsia="Arial" w:hAnsi="Verdana" w:cs="Arial"/>
          <w:i/>
          <w:iCs/>
          <w:lang w:eastAsia="es-ES" w:bidi="es-ES"/>
        </w:rPr>
        <w:t xml:space="preserve">“si el legislador no diferenció al establecer la prohibición o la restricción, mal haría el reglamento en aplicar un efecto </w:t>
      </w:r>
      <w:r w:rsidRPr="007F7243">
        <w:rPr>
          <w:rFonts w:ascii="Verdana" w:eastAsia="Arial" w:hAnsi="Verdana" w:cs="Arial"/>
          <w:i/>
          <w:iCs/>
          <w:lang w:eastAsia="es-ES" w:bidi="es-ES"/>
        </w:rPr>
        <w:lastRenderedPageBreak/>
        <w:t xml:space="preserve">expansivo o extensivo para incluir una categoría no cobijada con la limitación, (…)”. </w:t>
      </w:r>
      <w:r w:rsidRPr="007F7243">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7F7243">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54CDB373" w14:textId="77777777" w:rsidR="00895892" w:rsidRPr="007F7243" w:rsidRDefault="00895892" w:rsidP="00895892">
      <w:pPr>
        <w:spacing w:after="120" w:line="276" w:lineRule="auto"/>
        <w:ind w:firstLine="709"/>
        <w:jc w:val="both"/>
        <w:rPr>
          <w:rFonts w:ascii="Verdana" w:eastAsia="Arial" w:hAnsi="Verdana" w:cs="Arial"/>
          <w:lang w:eastAsia="es-ES" w:bidi="es-ES"/>
        </w:rPr>
      </w:pPr>
      <w:r w:rsidRPr="007F7243">
        <w:rPr>
          <w:rFonts w:ascii="Verdana" w:eastAsia="Arial" w:hAnsi="Verdana" w:cs="Arial"/>
          <w:lang w:eastAsia="es-ES" w:bidi="es-ES"/>
        </w:rPr>
        <w:t>De igual manera, mediante auto del 6 de noviembre de 2025, el Consejo de Estado, Subsección A de la Sección Tercera, decretó</w:t>
      </w:r>
      <w:r w:rsidRPr="007F7243">
        <w:rPr>
          <w:rFonts w:ascii="Verdana" w:eastAsia="Arial" w:hAnsi="Verdana" w:cs="Arial"/>
          <w:b/>
          <w:bCs/>
          <w:lang w:eastAsia="es-ES" w:bidi="es-ES"/>
        </w:rPr>
        <w:t xml:space="preserve"> </w:t>
      </w:r>
      <w:r w:rsidRPr="007F7243">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A52313">
        <w:rPr>
          <w:rFonts w:ascii="Verdana" w:eastAsia="Arial" w:hAnsi="Verdana" w:cs="Arial"/>
          <w:vertAlign w:val="superscript"/>
          <w:lang w:eastAsia="es-ES" w:bidi="es-ES"/>
        </w:rPr>
        <w:footnoteReference w:id="23"/>
      </w:r>
      <w:r w:rsidRPr="00A52313">
        <w:rPr>
          <w:rFonts w:ascii="Verdana" w:eastAsia="Arial" w:hAnsi="Verdana" w:cs="Arial"/>
          <w:lang w:eastAsia="es-ES" w:bidi="es-ES"/>
        </w:rPr>
        <w:t>. Para tales efectos, el alto tribunal resaltó la interpretación restrictiva de las normas que contienen prohibiciones, como la del parágrafo d</w:t>
      </w:r>
      <w:r w:rsidRPr="007F7243">
        <w:rPr>
          <w:rFonts w:ascii="Verdana" w:eastAsia="Arial" w:hAnsi="Verdana" w:cs="Arial"/>
          <w:lang w:eastAsia="es-ES" w:bidi="es-ES"/>
        </w:rPr>
        <w:t xml:space="preserve">el artículo 38 de la Ley 996 de 2005, por manera que se excluye la analogía </w:t>
      </w:r>
      <w:proofErr w:type="spellStart"/>
      <w:r w:rsidRPr="007F7243">
        <w:rPr>
          <w:rFonts w:ascii="Verdana" w:eastAsia="Arial" w:hAnsi="Verdana" w:cs="Arial"/>
          <w:lang w:eastAsia="es-ES" w:bidi="es-ES"/>
        </w:rPr>
        <w:t>legis</w:t>
      </w:r>
      <w:proofErr w:type="spellEnd"/>
      <w:r w:rsidRPr="007F7243">
        <w:rPr>
          <w:rFonts w:ascii="Verdana" w:eastAsia="Arial" w:hAnsi="Verdana" w:cs="Arial"/>
          <w:lang w:eastAsia="es-ES" w:bidi="es-ES"/>
        </w:rPr>
        <w:t xml:space="preserve"> o iuris y la interpretación extensiva y reiteró los argumentos sobre la diferencia entre contratos y convenios interadministrativos. </w:t>
      </w:r>
    </w:p>
    <w:p w14:paraId="726A15B8" w14:textId="77777777" w:rsidR="00895892" w:rsidRPr="007F7243" w:rsidRDefault="00895892" w:rsidP="00895892">
      <w:pPr>
        <w:spacing w:after="120" w:line="276" w:lineRule="auto"/>
        <w:ind w:firstLine="709"/>
        <w:jc w:val="both"/>
        <w:rPr>
          <w:rFonts w:ascii="Verdana" w:eastAsia="Times New Roman" w:hAnsi="Verdana" w:cs="Times New Roman"/>
          <w:lang w:eastAsia="es-ES"/>
        </w:rPr>
      </w:pPr>
      <w:r w:rsidRPr="007F7243">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7F7243">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w:t>
      </w:r>
      <w:r w:rsidRPr="007F7243">
        <w:rPr>
          <w:rFonts w:ascii="Verdana" w:eastAsia="Times New Roman" w:hAnsi="Verdana" w:cs="Times New Roman"/>
          <w:lang w:eastAsia="es-ES"/>
        </w:rPr>
        <w:lastRenderedPageBreak/>
        <w:t xml:space="preserve">“Esta restricción es aplicable tanto a los convenios como a los contratos interadministrativos…”. </w:t>
      </w:r>
    </w:p>
    <w:p w14:paraId="6AD036F7" w14:textId="77777777" w:rsidR="00895892" w:rsidRPr="007F7243" w:rsidRDefault="00895892" w:rsidP="00895892">
      <w:pPr>
        <w:spacing w:after="120" w:line="276" w:lineRule="auto"/>
        <w:ind w:firstLine="709"/>
        <w:jc w:val="both"/>
        <w:rPr>
          <w:rFonts w:ascii="Verdana" w:eastAsia="Times New Roman" w:hAnsi="Verdana" w:cs="Times New Roman"/>
          <w:lang w:eastAsia="es-ES"/>
        </w:rPr>
      </w:pPr>
      <w:r w:rsidRPr="007F7243">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00A52313">
        <w:rPr>
          <w:rStyle w:val="FootnoteReference"/>
          <w:rFonts w:ascii="Verdana" w:eastAsia="Times New Roman" w:hAnsi="Verdana" w:cs="Times New Roman"/>
          <w:lang w:eastAsia="es-ES"/>
        </w:rPr>
        <w:footnoteReference w:id="24"/>
      </w:r>
      <w:r w:rsidRPr="00A52313">
        <w:rPr>
          <w:rFonts w:ascii="Verdana" w:eastAsia="Times New Roman" w:hAnsi="Verdana" w:cs="Times New Roman"/>
          <w:lang w:eastAsia="es-ES"/>
        </w:rPr>
        <w:t>. Sobre el particular, la Sala concluyó que contra</w:t>
      </w:r>
      <w:r w:rsidRPr="007F7243">
        <w:rPr>
          <w:rFonts w:ascii="Verdana" w:eastAsia="Times New Roman" w:hAnsi="Verdana" w:cs="Times New Roman"/>
          <w:lang w:eastAsia="es-ES"/>
        </w:rPr>
        <w:t xml:space="preserve">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50D99D23" w14:textId="77777777" w:rsidR="00895892" w:rsidRPr="007F7243" w:rsidRDefault="00895892" w:rsidP="00895892">
      <w:pPr>
        <w:spacing w:after="120" w:line="276" w:lineRule="auto"/>
        <w:ind w:firstLine="709"/>
        <w:jc w:val="both"/>
        <w:rPr>
          <w:rFonts w:ascii="Verdana" w:eastAsia="Times New Roman" w:hAnsi="Verdana" w:cs="Times New Roman"/>
          <w:lang w:eastAsia="es-ES"/>
        </w:rPr>
      </w:pPr>
      <w:r w:rsidRPr="007F7243">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p>
    <w:p w14:paraId="476E27D9" w14:textId="2E5897D1" w:rsidR="00895892" w:rsidRPr="007F7243" w:rsidRDefault="00895892" w:rsidP="00895892">
      <w:pPr>
        <w:spacing w:after="120" w:line="276" w:lineRule="auto"/>
        <w:ind w:firstLine="709"/>
        <w:jc w:val="both"/>
        <w:rPr>
          <w:rFonts w:ascii="Verdana" w:eastAsia="Times New Roman" w:hAnsi="Verdana" w:cs="Arial"/>
          <w:lang w:eastAsia="es-CO"/>
        </w:rPr>
      </w:pPr>
      <w:r w:rsidRPr="007F7243">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7F7243">
        <w:rPr>
          <w:rFonts w:ascii="Verdana" w:eastAsia="Times New Roman" w:hAnsi="Verdana" w:cs="Arial"/>
          <w:i/>
          <w:iCs/>
          <w:lang w:eastAsia="es-CO"/>
        </w:rPr>
        <w:t>contratos interadministrativos</w:t>
      </w:r>
      <w:r w:rsidRPr="007F7243">
        <w:rPr>
          <w:rFonts w:ascii="Verdana" w:eastAsia="Times New Roman" w:hAnsi="Verdana" w:cs="Arial"/>
          <w:lang w:eastAsia="es-CO"/>
        </w:rPr>
        <w:t>, esta prohibición solo aplicaría a los convenios interadministrativos que impliquen la ejecución de recursos públicos</w:t>
      </w:r>
      <w:r w:rsidRPr="00A52313">
        <w:rPr>
          <w:rStyle w:val="FootnoteReference"/>
          <w:rFonts w:ascii="Verdana" w:eastAsia="Times New Roman" w:hAnsi="Verdana" w:cs="Arial"/>
          <w:lang w:eastAsia="es-CO"/>
        </w:rPr>
        <w:footnoteReference w:id="25"/>
      </w:r>
      <w:r w:rsidRPr="00A52313">
        <w:rPr>
          <w:rFonts w:ascii="Verdana" w:eastAsia="Times New Roman" w:hAnsi="Verdana" w:cs="Arial"/>
          <w:lang w:eastAsia="es-CO"/>
        </w:rPr>
        <w:t>.</w:t>
      </w:r>
      <w:r w:rsidR="0098553A" w:rsidRPr="007F7243">
        <w:rPr>
          <w:rFonts w:ascii="Verdana" w:eastAsia="Times New Roman" w:hAnsi="Verdana" w:cs="Arial"/>
          <w:lang w:eastAsia="es-CO"/>
        </w:rPr>
        <w:t xml:space="preserve"> No obstante lo anterior, es importante precisar que respecto de las elecciones a </w:t>
      </w:r>
      <w:r w:rsidR="0098553A" w:rsidRPr="007F7243">
        <w:rPr>
          <w:rFonts w:ascii="Verdana" w:eastAsia="Times New Roman" w:hAnsi="Verdana" w:cs="Arial"/>
          <w:lang w:eastAsia="es-CO"/>
        </w:rPr>
        <w:lastRenderedPageBreak/>
        <w:t xml:space="preserve">Presidente de la Republica aplica la restricción contemplada en el artículo 33 de la Ley 996, según la cual no podrán celebrarse contratos de forma directa. Así las cosas, si bien el artículo 38 ibidem no prohíbe la celebración de contratos interadministrativos, lo cierto es que en vigencia del artículo 33 no se podrán celebrar estos de forma directa.  </w:t>
      </w:r>
    </w:p>
    <w:p w14:paraId="67FB8B64" w14:textId="77777777" w:rsidR="00895892" w:rsidRPr="007F7243" w:rsidRDefault="00895892" w:rsidP="00895892">
      <w:pPr>
        <w:spacing w:after="120" w:line="276" w:lineRule="auto"/>
        <w:ind w:firstLine="708"/>
        <w:jc w:val="both"/>
        <w:rPr>
          <w:rFonts w:ascii="Verdana" w:eastAsia="Times New Roman" w:hAnsi="Verdana" w:cs="Arial"/>
          <w:lang w:eastAsia="es-CO"/>
        </w:rPr>
      </w:pPr>
      <w:r w:rsidRPr="007F7243">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81F7A2F" w14:textId="77777777" w:rsidR="00895892" w:rsidRPr="007F7243" w:rsidRDefault="00895892" w:rsidP="00895892">
      <w:pPr>
        <w:spacing w:after="0" w:line="276" w:lineRule="auto"/>
        <w:ind w:firstLine="708"/>
        <w:jc w:val="both"/>
        <w:rPr>
          <w:rFonts w:ascii="Verdana" w:hAnsi="Verdana" w:cs="Arial"/>
          <w:bCs/>
          <w:color w:val="000000" w:themeColor="text1"/>
        </w:rPr>
      </w:pPr>
      <w:r w:rsidRPr="007F7243">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2A9F2468" w14:textId="77777777" w:rsidR="00895892" w:rsidRPr="007F7243" w:rsidRDefault="00895892" w:rsidP="0098553A">
      <w:pPr>
        <w:pBdr>
          <w:top w:val="nil"/>
          <w:left w:val="nil"/>
          <w:bottom w:val="nil"/>
          <w:right w:val="nil"/>
          <w:between w:val="nil"/>
        </w:pBdr>
        <w:spacing w:after="0" w:line="276" w:lineRule="auto"/>
        <w:jc w:val="both"/>
        <w:rPr>
          <w:rFonts w:ascii="Verdana" w:eastAsia="Calibri" w:hAnsi="Verdana" w:cs="Arial"/>
          <w:bCs/>
          <w:color w:val="000000" w:themeColor="text1"/>
          <w:lang w:val="es-ES_tradnl"/>
        </w:rPr>
      </w:pPr>
    </w:p>
    <w:p w14:paraId="364480A0" w14:textId="77777777" w:rsidR="00895892" w:rsidRPr="007F7243" w:rsidRDefault="00895892" w:rsidP="007268DF">
      <w:pPr>
        <w:pStyle w:val="ListParagraph"/>
        <w:numPr>
          <w:ilvl w:val="0"/>
          <w:numId w:val="18"/>
        </w:numPr>
        <w:tabs>
          <w:tab w:val="left" w:pos="142"/>
          <w:tab w:val="left" w:pos="284"/>
        </w:tabs>
        <w:spacing w:after="0" w:line="276" w:lineRule="auto"/>
        <w:contextualSpacing w:val="0"/>
        <w:jc w:val="both"/>
        <w:rPr>
          <w:rFonts w:ascii="Verdana" w:eastAsia="Century Gothic" w:hAnsi="Verdana" w:cs="Century Gothic"/>
          <w:b/>
          <w:bCs/>
        </w:rPr>
      </w:pPr>
      <w:r w:rsidRPr="007F7243">
        <w:rPr>
          <w:rFonts w:ascii="Verdana" w:eastAsia="Century Gothic" w:hAnsi="Verdana" w:cs="Century Gothic"/>
          <w:b/>
          <w:bCs/>
        </w:rPr>
        <w:t>Referencias normativas, jurisprudenciales y otras fuentes:</w:t>
      </w:r>
    </w:p>
    <w:p w14:paraId="7D07419A" w14:textId="77777777" w:rsidR="00895892" w:rsidRPr="007F7243" w:rsidRDefault="00895892" w:rsidP="0098553A">
      <w:pPr>
        <w:widowControl w:val="0"/>
        <w:autoSpaceDE w:val="0"/>
        <w:autoSpaceDN w:val="0"/>
        <w:spacing w:after="0" w:line="276" w:lineRule="auto"/>
        <w:jc w:val="both"/>
        <w:rPr>
          <w:rFonts w:ascii="Verdana" w:hAnsi="Verdana" w:cs="Arial"/>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95892" w:rsidRPr="007F7243" w14:paraId="107FB032" w14:textId="77777777" w:rsidTr="00B07C70">
        <w:trPr>
          <w:trHeight w:val="870"/>
        </w:trPr>
        <w:tc>
          <w:tcPr>
            <w:tcW w:w="8647" w:type="dxa"/>
          </w:tcPr>
          <w:p w14:paraId="1A6CBC17" w14:textId="77777777" w:rsidR="00895892" w:rsidRPr="007F7243" w:rsidRDefault="00895892" w:rsidP="007268DF">
            <w:pPr>
              <w:widowControl w:val="0"/>
              <w:numPr>
                <w:ilvl w:val="0"/>
                <w:numId w:val="17"/>
              </w:numPr>
              <w:autoSpaceDE w:val="0"/>
              <w:autoSpaceDN w:val="0"/>
              <w:spacing w:line="276" w:lineRule="auto"/>
              <w:jc w:val="both"/>
              <w:rPr>
                <w:rFonts w:ascii="Verdana" w:eastAsia="Arial MT" w:hAnsi="Verdana" w:cs="Arial"/>
                <w:lang w:val="es-ES" w:eastAsia="es-ES" w:bidi="es-ES"/>
              </w:rPr>
            </w:pPr>
            <w:r w:rsidRPr="007F7243">
              <w:rPr>
                <w:rFonts w:ascii="Verdana" w:eastAsia="Arial MT" w:hAnsi="Verdana" w:cs="Arial"/>
                <w:lang w:val="es-ES" w:eastAsia="es-ES" w:bidi="es-ES"/>
              </w:rPr>
              <w:t>Constitución Política, artículos 127, 329, 356.</w:t>
            </w:r>
          </w:p>
          <w:p w14:paraId="58787DAB" w14:textId="77777777" w:rsidR="00895892" w:rsidRPr="007F7243" w:rsidRDefault="00895892" w:rsidP="007268DF">
            <w:pPr>
              <w:widowControl w:val="0"/>
              <w:numPr>
                <w:ilvl w:val="0"/>
                <w:numId w:val="17"/>
              </w:numPr>
              <w:autoSpaceDE w:val="0"/>
              <w:autoSpaceDN w:val="0"/>
              <w:spacing w:line="276" w:lineRule="auto"/>
              <w:jc w:val="both"/>
              <w:rPr>
                <w:rFonts w:ascii="Verdana" w:eastAsia="Arial MT" w:hAnsi="Verdana" w:cs="Arial"/>
                <w:lang w:val="es-ES" w:eastAsia="es-ES" w:bidi="es-ES"/>
              </w:rPr>
            </w:pPr>
            <w:r w:rsidRPr="007F7243">
              <w:rPr>
                <w:rFonts w:ascii="Verdana" w:eastAsia="Arial MT" w:hAnsi="Verdana" w:cs="Arial"/>
                <w:lang w:val="es-ES" w:eastAsia="es-ES" w:bidi="es-ES"/>
              </w:rPr>
              <w:t>Decreto 1088 de 1993.</w:t>
            </w:r>
          </w:p>
          <w:p w14:paraId="2179F59F" w14:textId="77777777" w:rsidR="00895892" w:rsidRPr="007F7243" w:rsidRDefault="00895892" w:rsidP="007268DF">
            <w:pPr>
              <w:widowControl w:val="0"/>
              <w:numPr>
                <w:ilvl w:val="0"/>
                <w:numId w:val="17"/>
              </w:numPr>
              <w:autoSpaceDE w:val="0"/>
              <w:autoSpaceDN w:val="0"/>
              <w:spacing w:line="276" w:lineRule="auto"/>
              <w:jc w:val="both"/>
              <w:rPr>
                <w:rFonts w:ascii="Verdana" w:eastAsia="Arial MT" w:hAnsi="Verdana" w:cs="Arial"/>
                <w:lang w:val="es-ES" w:eastAsia="es-ES" w:bidi="es-ES"/>
              </w:rPr>
            </w:pPr>
            <w:r w:rsidRPr="007F7243">
              <w:rPr>
                <w:rFonts w:ascii="Verdana" w:eastAsia="Arial MT" w:hAnsi="Verdana" w:cs="Arial"/>
                <w:lang w:val="es-ES" w:eastAsia="es-ES" w:bidi="es-ES"/>
              </w:rPr>
              <w:t>Decreto 1953 de 2014.</w:t>
            </w:r>
          </w:p>
          <w:p w14:paraId="5ED088D6" w14:textId="77777777" w:rsidR="00895892" w:rsidRPr="007F7243" w:rsidRDefault="00895892" w:rsidP="007268DF">
            <w:pPr>
              <w:widowControl w:val="0"/>
              <w:numPr>
                <w:ilvl w:val="0"/>
                <w:numId w:val="17"/>
              </w:numPr>
              <w:autoSpaceDE w:val="0"/>
              <w:autoSpaceDN w:val="0"/>
              <w:spacing w:line="276" w:lineRule="auto"/>
              <w:jc w:val="both"/>
              <w:rPr>
                <w:rFonts w:ascii="Verdana" w:eastAsia="Arial MT" w:hAnsi="Verdana" w:cs="Arial"/>
                <w:lang w:val="es-ES" w:eastAsia="es-ES" w:bidi="es-ES"/>
              </w:rPr>
            </w:pPr>
            <w:r w:rsidRPr="007F7243">
              <w:rPr>
                <w:rFonts w:ascii="Verdana" w:eastAsia="Arial MT" w:hAnsi="Verdana" w:cs="Arial"/>
                <w:lang w:val="es-ES" w:eastAsia="es-ES" w:bidi="es-ES"/>
              </w:rPr>
              <w:t>Ley 80 de 1993, artículo 2.</w:t>
            </w:r>
          </w:p>
          <w:p w14:paraId="011E5CCD" w14:textId="77777777" w:rsidR="00895892" w:rsidRPr="007F7243" w:rsidRDefault="00895892" w:rsidP="007268DF">
            <w:pPr>
              <w:widowControl w:val="0"/>
              <w:numPr>
                <w:ilvl w:val="0"/>
                <w:numId w:val="17"/>
              </w:numPr>
              <w:autoSpaceDE w:val="0"/>
              <w:autoSpaceDN w:val="0"/>
              <w:spacing w:line="276" w:lineRule="auto"/>
              <w:jc w:val="both"/>
              <w:rPr>
                <w:rFonts w:ascii="Verdana" w:eastAsia="Arial MT" w:hAnsi="Verdana" w:cs="Arial"/>
                <w:lang w:val="es-ES" w:eastAsia="es-ES" w:bidi="es-ES"/>
              </w:rPr>
            </w:pPr>
            <w:r w:rsidRPr="007F7243">
              <w:rPr>
                <w:rFonts w:ascii="Verdana" w:eastAsia="Arial MT" w:hAnsi="Verdana" w:cs="Arial"/>
                <w:lang w:val="es-ES" w:eastAsia="es-ES" w:bidi="es-ES"/>
              </w:rPr>
              <w:t>Ley 715 de 2001.</w:t>
            </w:r>
          </w:p>
          <w:p w14:paraId="04DADCE6" w14:textId="77777777" w:rsidR="00895892" w:rsidRPr="007F7243" w:rsidRDefault="00895892" w:rsidP="007268DF">
            <w:pPr>
              <w:widowControl w:val="0"/>
              <w:numPr>
                <w:ilvl w:val="0"/>
                <w:numId w:val="17"/>
              </w:numPr>
              <w:autoSpaceDE w:val="0"/>
              <w:autoSpaceDN w:val="0"/>
              <w:spacing w:line="276" w:lineRule="auto"/>
              <w:jc w:val="both"/>
              <w:rPr>
                <w:rFonts w:ascii="Verdana" w:eastAsia="Arial MT" w:hAnsi="Verdana" w:cs="Arial"/>
                <w:lang w:val="es-ES" w:eastAsia="es-ES" w:bidi="es-ES"/>
              </w:rPr>
            </w:pPr>
            <w:r w:rsidRPr="007F7243">
              <w:rPr>
                <w:rFonts w:ascii="Verdana" w:eastAsia="Arial MT" w:hAnsi="Verdana" w:cs="Arial"/>
                <w:bCs/>
                <w:lang w:val="es-ES" w:eastAsia="es-ES" w:bidi="es-ES"/>
              </w:rPr>
              <w:t>Ley 996 de 2005, artículos 33 y 38.</w:t>
            </w:r>
          </w:p>
          <w:p w14:paraId="5B590E6A" w14:textId="77777777" w:rsidR="00895892" w:rsidRPr="007F7243" w:rsidRDefault="00895892" w:rsidP="007268DF">
            <w:pPr>
              <w:widowControl w:val="0"/>
              <w:numPr>
                <w:ilvl w:val="0"/>
                <w:numId w:val="17"/>
              </w:numPr>
              <w:autoSpaceDE w:val="0"/>
              <w:autoSpaceDN w:val="0"/>
              <w:spacing w:line="276" w:lineRule="auto"/>
              <w:jc w:val="both"/>
              <w:rPr>
                <w:rFonts w:ascii="Verdana" w:eastAsia="Arial MT" w:hAnsi="Verdana" w:cs="Arial"/>
                <w:lang w:val="es-ES" w:eastAsia="es-ES" w:bidi="es-ES"/>
              </w:rPr>
            </w:pPr>
            <w:r w:rsidRPr="007F7243">
              <w:rPr>
                <w:rFonts w:ascii="Verdana" w:hAnsi="Verdana" w:cs="Arial"/>
                <w:bCs/>
                <w:color w:val="000000" w:themeColor="text1"/>
                <w:lang w:val="es-ES"/>
              </w:rPr>
              <w:t>Decreto 1068 de 2015, artículo 2.2.1.1.1.</w:t>
            </w:r>
          </w:p>
          <w:p w14:paraId="028AD9F4" w14:textId="77777777" w:rsidR="00895892" w:rsidRPr="007F7243" w:rsidRDefault="00895892" w:rsidP="007268DF">
            <w:pPr>
              <w:widowControl w:val="0"/>
              <w:numPr>
                <w:ilvl w:val="0"/>
                <w:numId w:val="17"/>
              </w:numPr>
              <w:autoSpaceDE w:val="0"/>
              <w:autoSpaceDN w:val="0"/>
              <w:spacing w:line="276" w:lineRule="auto"/>
              <w:jc w:val="both"/>
              <w:rPr>
                <w:rFonts w:ascii="Verdana" w:hAnsi="Verdana" w:cs="Arial"/>
                <w:lang w:val="es-ES"/>
              </w:rPr>
            </w:pPr>
            <w:r w:rsidRPr="007F7243">
              <w:rPr>
                <w:rFonts w:ascii="Verdana" w:hAnsi="Verdana" w:cs="Arial"/>
                <w:lang w:val="pt-BR"/>
              </w:rPr>
              <w:t xml:space="preserve">Corte Constitucional. Sentencia C-671 de 2015. M.P. Alberto Rojas </w:t>
            </w:r>
            <w:r w:rsidRPr="007F7243">
              <w:rPr>
                <w:rFonts w:ascii="Verdana" w:hAnsi="Verdana" w:cs="Arial"/>
                <w:lang w:val="pt-BR"/>
              </w:rPr>
              <w:lastRenderedPageBreak/>
              <w:t>Ríos.</w:t>
            </w:r>
          </w:p>
          <w:p w14:paraId="23D806E9" w14:textId="77777777" w:rsidR="00895892" w:rsidRPr="007F7243" w:rsidRDefault="00895892" w:rsidP="007268DF">
            <w:pPr>
              <w:widowControl w:val="0"/>
              <w:numPr>
                <w:ilvl w:val="0"/>
                <w:numId w:val="17"/>
              </w:numPr>
              <w:autoSpaceDE w:val="0"/>
              <w:autoSpaceDN w:val="0"/>
              <w:spacing w:line="276" w:lineRule="auto"/>
              <w:jc w:val="both"/>
              <w:rPr>
                <w:rFonts w:ascii="Verdana" w:hAnsi="Verdana" w:cs="Arial"/>
                <w:lang w:val="es-ES"/>
              </w:rPr>
            </w:pPr>
            <w:r w:rsidRPr="007F7243">
              <w:rPr>
                <w:rFonts w:ascii="Verdana" w:hAnsi="Verdana" w:cs="Arial"/>
                <w:lang w:val="es-ES"/>
              </w:rPr>
              <w:t xml:space="preserve">Consejo de Estado, Sección Primera. Sentencia de 3 de marzo de 2005, </w:t>
            </w:r>
            <w:proofErr w:type="spellStart"/>
            <w:r w:rsidRPr="007F7243">
              <w:rPr>
                <w:rFonts w:ascii="Verdana" w:hAnsi="Verdana" w:cs="Arial"/>
                <w:lang w:val="es-ES"/>
              </w:rPr>
              <w:t>Exp</w:t>
            </w:r>
            <w:proofErr w:type="spellEnd"/>
            <w:r w:rsidRPr="007F7243">
              <w:rPr>
                <w:rFonts w:ascii="Verdana" w:hAnsi="Verdana" w:cs="Arial"/>
                <w:lang w:val="es-ES"/>
              </w:rPr>
              <w:t xml:space="preserve">. 2004-00823-01(PI). </w:t>
            </w:r>
          </w:p>
          <w:p w14:paraId="318DE500" w14:textId="77777777" w:rsidR="00895892" w:rsidRPr="007F7243" w:rsidRDefault="00895892" w:rsidP="007268DF">
            <w:pPr>
              <w:numPr>
                <w:ilvl w:val="0"/>
                <w:numId w:val="17"/>
              </w:numPr>
              <w:spacing w:line="276" w:lineRule="auto"/>
              <w:jc w:val="both"/>
              <w:rPr>
                <w:rFonts w:ascii="Verdana" w:hAnsi="Verdana" w:cs="Arial"/>
                <w:lang w:val="es-ES"/>
              </w:rPr>
            </w:pPr>
            <w:r w:rsidRPr="007F7243">
              <w:rPr>
                <w:rFonts w:ascii="Verdana" w:hAnsi="Verdana" w:cs="Arial"/>
              </w:rPr>
              <w:t>Consejo de Estado. Sala de Consulta y Servicio Civil. Concepto del 15 de noviembre de 2007. Expediente número 1863. Consejero Ponente: Luis Fernando Álvarez Jaramillo</w:t>
            </w:r>
          </w:p>
          <w:p w14:paraId="2B96FF00" w14:textId="77777777" w:rsidR="00895892" w:rsidRPr="007F7243" w:rsidRDefault="00895892" w:rsidP="007268DF">
            <w:pPr>
              <w:widowControl w:val="0"/>
              <w:numPr>
                <w:ilvl w:val="0"/>
                <w:numId w:val="17"/>
              </w:numPr>
              <w:autoSpaceDE w:val="0"/>
              <w:autoSpaceDN w:val="0"/>
              <w:spacing w:line="276" w:lineRule="auto"/>
              <w:jc w:val="both"/>
              <w:rPr>
                <w:rFonts w:ascii="Verdana" w:hAnsi="Verdana" w:cs="Arial"/>
                <w:lang w:val="es-ES"/>
              </w:rPr>
            </w:pPr>
            <w:r w:rsidRPr="007F7243">
              <w:rPr>
                <w:rFonts w:ascii="Verdana" w:hAnsi="Verdana" w:cs="Arial"/>
                <w:lang w:val="es-ES"/>
              </w:rPr>
              <w:t xml:space="preserve">Consejo de Estado, Sala de Consulta y Servicio Civil, Concepto de fecha 24 de julio de 2013, Rad. 2166, C. P. Álvaro Namén Vargas. </w:t>
            </w:r>
          </w:p>
          <w:p w14:paraId="5AC18036" w14:textId="77777777" w:rsidR="00895892" w:rsidRPr="007F7243" w:rsidRDefault="00895892" w:rsidP="007268DF">
            <w:pPr>
              <w:numPr>
                <w:ilvl w:val="0"/>
                <w:numId w:val="17"/>
              </w:numPr>
              <w:spacing w:line="276" w:lineRule="auto"/>
              <w:jc w:val="both"/>
              <w:rPr>
                <w:rFonts w:ascii="Verdana" w:hAnsi="Verdana" w:cs="Arial"/>
                <w:lang w:val="es-ES"/>
              </w:rPr>
            </w:pPr>
            <w:r w:rsidRPr="007F7243">
              <w:rPr>
                <w:rFonts w:ascii="Verdana" w:hAnsi="Verdana" w:cs="Arial"/>
              </w:rPr>
              <w:t>Consejo de Estado. Sala de Consulta y Servicio Civil. Concepto del 2 de septiembre de 2013 Radicado No: 2168. CP: Alvaro Namén Vargas.</w:t>
            </w:r>
          </w:p>
          <w:p w14:paraId="4C606FF5" w14:textId="77777777" w:rsidR="00895892" w:rsidRPr="007F7243" w:rsidRDefault="00895892" w:rsidP="007268DF">
            <w:pPr>
              <w:numPr>
                <w:ilvl w:val="0"/>
                <w:numId w:val="17"/>
              </w:numPr>
              <w:spacing w:line="276" w:lineRule="auto"/>
              <w:jc w:val="both"/>
              <w:rPr>
                <w:rFonts w:ascii="Verdana" w:hAnsi="Verdana" w:cs="Arial"/>
                <w:lang w:val="es-ES"/>
              </w:rPr>
            </w:pPr>
            <w:r w:rsidRPr="007F7243">
              <w:rPr>
                <w:rFonts w:ascii="Verdana" w:hAnsi="Verdana" w:cs="Arial"/>
                <w:lang w:val="es-ES"/>
              </w:rPr>
              <w:t>Consejo de Estado. Sala de Consulta y Servicio Civil. Concepto del 17 de febrero de 2015. C.P. William Zambrano Cetina. Radicación No. 11001-03-06-000-2015-00164-00(2269).</w:t>
            </w:r>
          </w:p>
          <w:p w14:paraId="2AB3E9C4" w14:textId="77777777" w:rsidR="00895892" w:rsidRPr="007F7243" w:rsidRDefault="00895892" w:rsidP="007268DF">
            <w:pPr>
              <w:numPr>
                <w:ilvl w:val="0"/>
                <w:numId w:val="17"/>
              </w:numPr>
              <w:spacing w:line="276" w:lineRule="auto"/>
              <w:jc w:val="both"/>
              <w:rPr>
                <w:rFonts w:ascii="Verdana" w:hAnsi="Verdana" w:cs="Arial"/>
                <w:lang w:val="es-ES"/>
              </w:rPr>
            </w:pPr>
            <w:r w:rsidRPr="007F7243">
              <w:rPr>
                <w:rFonts w:ascii="Verdana" w:hAnsi="Verdana" w:cs="Arial"/>
                <w:lang w:val="es-ES"/>
              </w:rPr>
              <w:t>Consejo de Estado, Sala de Consulta y Servicio Civil, Concepto de fecha 8 de mayo de 2018, No. 2382. C. P. Álvaro Namén Vargas.</w:t>
            </w:r>
          </w:p>
          <w:p w14:paraId="531BBCEC" w14:textId="77777777" w:rsidR="00895892" w:rsidRPr="007F7243" w:rsidRDefault="00895892" w:rsidP="007268DF">
            <w:pPr>
              <w:widowControl w:val="0"/>
              <w:numPr>
                <w:ilvl w:val="0"/>
                <w:numId w:val="17"/>
              </w:numPr>
              <w:autoSpaceDE w:val="0"/>
              <w:autoSpaceDN w:val="0"/>
              <w:spacing w:line="276" w:lineRule="auto"/>
              <w:jc w:val="both"/>
              <w:rPr>
                <w:rFonts w:ascii="Verdana" w:hAnsi="Verdana" w:cs="Arial"/>
                <w:lang w:val="es-ES"/>
              </w:rPr>
            </w:pPr>
            <w:proofErr w:type="spellStart"/>
            <w:r w:rsidRPr="007F7243">
              <w:rPr>
                <w:rFonts w:ascii="Verdana" w:hAnsi="Verdana" w:cs="Arial"/>
                <w:lang w:val="pt-BR"/>
              </w:rPr>
              <w:t>Consejo</w:t>
            </w:r>
            <w:proofErr w:type="spellEnd"/>
            <w:r w:rsidRPr="007F7243">
              <w:rPr>
                <w:rFonts w:ascii="Verdana" w:hAnsi="Verdana" w:cs="Arial"/>
                <w:lang w:val="pt-BR"/>
              </w:rPr>
              <w:t xml:space="preserve"> de Estado, </w:t>
            </w:r>
            <w:proofErr w:type="spellStart"/>
            <w:r w:rsidRPr="007F7243">
              <w:rPr>
                <w:rFonts w:ascii="Verdana" w:hAnsi="Verdana" w:cs="Arial"/>
                <w:lang w:val="pt-BR"/>
              </w:rPr>
              <w:t>Sección</w:t>
            </w:r>
            <w:proofErr w:type="spellEnd"/>
            <w:r w:rsidRPr="007F7243">
              <w:rPr>
                <w:rFonts w:ascii="Verdana" w:hAnsi="Verdana" w:cs="Arial"/>
                <w:lang w:val="pt-BR"/>
              </w:rPr>
              <w:t xml:space="preserve"> Tercera. Auto </w:t>
            </w:r>
            <w:proofErr w:type="spellStart"/>
            <w:r w:rsidRPr="007F7243">
              <w:rPr>
                <w:rFonts w:ascii="Verdana" w:hAnsi="Verdana" w:cs="Arial"/>
                <w:lang w:val="pt-BR"/>
              </w:rPr>
              <w:t>del</w:t>
            </w:r>
            <w:proofErr w:type="spellEnd"/>
            <w:r w:rsidRPr="007F7243">
              <w:rPr>
                <w:rFonts w:ascii="Verdana" w:hAnsi="Verdana" w:cs="Arial"/>
                <w:lang w:val="pt-BR"/>
              </w:rPr>
              <w:t xml:space="preserve"> 4 de </w:t>
            </w:r>
            <w:proofErr w:type="spellStart"/>
            <w:r w:rsidRPr="007F7243">
              <w:rPr>
                <w:rFonts w:ascii="Verdana" w:hAnsi="Verdana" w:cs="Arial"/>
                <w:lang w:val="pt-BR"/>
              </w:rPr>
              <w:t>octubre</w:t>
            </w:r>
            <w:proofErr w:type="spellEnd"/>
            <w:r w:rsidRPr="007F7243">
              <w:rPr>
                <w:rFonts w:ascii="Verdana" w:hAnsi="Verdana" w:cs="Arial"/>
                <w:lang w:val="pt-BR"/>
              </w:rPr>
              <w:t xml:space="preserve"> de 2024. Exp. 70.313. C.P: Fredy Ibarra Martínez.</w:t>
            </w:r>
          </w:p>
          <w:p w14:paraId="6A2B96D4" w14:textId="77777777" w:rsidR="00895892" w:rsidRPr="007F7243" w:rsidRDefault="00895892" w:rsidP="007268DF">
            <w:pPr>
              <w:widowControl w:val="0"/>
              <w:numPr>
                <w:ilvl w:val="0"/>
                <w:numId w:val="17"/>
              </w:numPr>
              <w:autoSpaceDE w:val="0"/>
              <w:autoSpaceDN w:val="0"/>
              <w:spacing w:line="276" w:lineRule="auto"/>
              <w:jc w:val="both"/>
              <w:rPr>
                <w:rFonts w:ascii="Verdana" w:hAnsi="Verdana" w:cs="Arial"/>
                <w:lang w:val="es-ES"/>
              </w:rPr>
            </w:pPr>
            <w:r w:rsidRPr="007F7243">
              <w:rPr>
                <w:rFonts w:ascii="Verdana" w:eastAsia="Times New Roman" w:hAnsi="Verdana" w:cs="Times New Roman"/>
                <w:lang w:eastAsia="es-ES_tradnl"/>
              </w:rPr>
              <w:t xml:space="preserve">Consejo de Estado. Sala de lo Contencioso Administrativo. Sección Tercera. Subsección B. 17 de octubre de 2025. Magistrado Ponente: Fredy Ibarra Martínez.  </w:t>
            </w:r>
          </w:p>
          <w:p w14:paraId="25462ED7" w14:textId="77777777" w:rsidR="00895892" w:rsidRPr="00A52313" w:rsidRDefault="00895892" w:rsidP="007268DF">
            <w:pPr>
              <w:pStyle w:val="ListParagraph"/>
              <w:widowControl w:val="0"/>
              <w:numPr>
                <w:ilvl w:val="0"/>
                <w:numId w:val="17"/>
              </w:numPr>
              <w:tabs>
                <w:tab w:val="left" w:pos="8419"/>
              </w:tabs>
              <w:autoSpaceDE w:val="0"/>
              <w:autoSpaceDN w:val="0"/>
              <w:spacing w:line="276" w:lineRule="auto"/>
              <w:contextualSpacing w:val="0"/>
              <w:jc w:val="both"/>
              <w:rPr>
                <w:rFonts w:ascii="Verdana" w:hAnsi="Verdana" w:cs="Arial"/>
              </w:rPr>
            </w:pPr>
            <w:r w:rsidRPr="007F7243">
              <w:rPr>
                <w:rFonts w:ascii="Verdana" w:hAnsi="Verdana" w:cs="Arial"/>
              </w:rPr>
              <w:t xml:space="preserve">Circular Externa No. 006 de 2025 </w:t>
            </w:r>
            <w:hyperlink r:id="rId12" w:history="1">
              <w:r w:rsidRPr="007F7243">
                <w:rPr>
                  <w:rFonts w:ascii="Verdana" w:hAnsi="Verdana" w:cs="Arial"/>
                  <w:color w:val="0000FF"/>
                  <w:u w:val="single"/>
                </w:rPr>
                <w:t>https://www.colombiacompra.gov.co/archivos/circular/circular-externa-006-de-2025</w:t>
              </w:r>
            </w:hyperlink>
          </w:p>
        </w:tc>
      </w:tr>
    </w:tbl>
    <w:p w14:paraId="0D972996" w14:textId="77777777" w:rsidR="00895892" w:rsidRPr="00A52313" w:rsidRDefault="00895892" w:rsidP="0098553A">
      <w:pPr>
        <w:widowControl w:val="0"/>
        <w:autoSpaceDE w:val="0"/>
        <w:autoSpaceDN w:val="0"/>
        <w:spacing w:after="0" w:line="276" w:lineRule="auto"/>
        <w:jc w:val="both"/>
        <w:rPr>
          <w:rFonts w:ascii="Verdana" w:hAnsi="Verdana" w:cs="Arial"/>
        </w:rPr>
      </w:pPr>
    </w:p>
    <w:p w14:paraId="7B23148A" w14:textId="77777777" w:rsidR="00895892" w:rsidRPr="007F7243" w:rsidRDefault="00895892" w:rsidP="004238EE">
      <w:pPr>
        <w:pStyle w:val="ListParagraph"/>
        <w:numPr>
          <w:ilvl w:val="0"/>
          <w:numId w:val="18"/>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7F7243">
        <w:rPr>
          <w:rFonts w:ascii="Verdana" w:eastAsia="Century Gothic" w:hAnsi="Verdana" w:cs="Century Gothic"/>
          <w:b/>
          <w:bCs/>
        </w:rPr>
        <w:t>Doctrina de la Agencia Nacional de Contratación Pública:</w:t>
      </w:r>
    </w:p>
    <w:p w14:paraId="0BD7E30E" w14:textId="77777777" w:rsidR="00895892" w:rsidRPr="007F7243" w:rsidRDefault="00895892" w:rsidP="00A52313">
      <w:pPr>
        <w:widowControl w:val="0"/>
        <w:autoSpaceDE w:val="0"/>
        <w:autoSpaceDN w:val="0"/>
        <w:spacing w:after="0" w:line="276" w:lineRule="auto"/>
        <w:jc w:val="both"/>
        <w:rPr>
          <w:rFonts w:ascii="Verdana" w:hAnsi="Verdana" w:cs="Arial"/>
        </w:rPr>
      </w:pPr>
    </w:p>
    <w:p w14:paraId="742E395E" w14:textId="1083A235" w:rsidR="00895892" w:rsidRPr="007F7243" w:rsidRDefault="00895892" w:rsidP="0098553A">
      <w:pPr>
        <w:widowControl w:val="0"/>
        <w:autoSpaceDE w:val="0"/>
        <w:autoSpaceDN w:val="0"/>
        <w:spacing w:after="0" w:line="276" w:lineRule="auto"/>
        <w:jc w:val="both"/>
        <w:rPr>
          <w:rFonts w:ascii="Verdana" w:hAnsi="Verdana" w:cs="Arial"/>
          <w:shd w:val="clear" w:color="auto" w:fill="FFFFFF"/>
        </w:rPr>
      </w:pPr>
      <w:r w:rsidRPr="007F7243">
        <w:rPr>
          <w:rFonts w:ascii="Verdana" w:hAnsi="Verdana" w:cs="Arial"/>
          <w:shd w:val="clear" w:color="auto" w:fill="FFFFFF"/>
        </w:rPr>
        <w:t xml:space="preserve">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w:t>
      </w:r>
      <w:r w:rsidRPr="007F7243">
        <w:rPr>
          <w:rFonts w:ascii="Verdana" w:hAnsi="Verdana" w:cs="Arial"/>
          <w:shd w:val="clear" w:color="auto" w:fill="FFFFFF"/>
        </w:rPr>
        <w:lastRenderedPageBreak/>
        <w:t xml:space="preserve">septiembre de 2025, C-1350 del 1˚ de octubre de 2025, C-1430 del 12 de noviembre del 2025, C-1492 del 21 de noviembre del 2025, C-1608 del 04 de diciembre del 2025, C-026 del 23 de enero del 2026 y </w:t>
      </w:r>
      <w:r w:rsidR="00C50DF9" w:rsidRPr="007F7243">
        <w:rPr>
          <w:rFonts w:ascii="Verdana" w:hAnsi="Verdana" w:cs="Arial"/>
          <w:shd w:val="clear" w:color="auto" w:fill="FFFFFF"/>
        </w:rPr>
        <w:t>C-097 del 12 de febrero del 2026.</w:t>
      </w:r>
    </w:p>
    <w:p w14:paraId="24F28D91" w14:textId="77777777" w:rsidR="0098553A" w:rsidRPr="007F7243" w:rsidRDefault="0098553A" w:rsidP="007268DF">
      <w:pPr>
        <w:widowControl w:val="0"/>
        <w:autoSpaceDE w:val="0"/>
        <w:autoSpaceDN w:val="0"/>
        <w:spacing w:after="0" w:line="276" w:lineRule="auto"/>
        <w:jc w:val="both"/>
        <w:rPr>
          <w:rFonts w:ascii="Verdana" w:hAnsi="Verdana" w:cs="Arial"/>
          <w:shd w:val="clear" w:color="auto" w:fill="FFFFFF"/>
        </w:rPr>
      </w:pPr>
    </w:p>
    <w:p w14:paraId="2C5BCE93" w14:textId="082DC401" w:rsidR="00895892" w:rsidRPr="007F7243" w:rsidRDefault="00895892" w:rsidP="0098553A">
      <w:pPr>
        <w:widowControl w:val="0"/>
        <w:autoSpaceDE w:val="0"/>
        <w:autoSpaceDN w:val="0"/>
        <w:spacing w:after="0" w:line="276" w:lineRule="auto"/>
        <w:jc w:val="both"/>
        <w:rPr>
          <w:rFonts w:ascii="Verdana" w:hAnsi="Verdana" w:cs="Arial"/>
          <w:color w:val="FF0000"/>
          <w:shd w:val="clear" w:color="auto" w:fill="FFFFFF"/>
          <w:lang w:val="es-ES_tradnl"/>
        </w:rPr>
      </w:pPr>
      <w:r w:rsidRPr="007F7243">
        <w:rPr>
          <w:rFonts w:ascii="Verdana" w:hAnsi="Verdana" w:cs="Arial"/>
          <w:shd w:val="clear" w:color="auto" w:fill="FFFFFF"/>
        </w:rPr>
        <w:t>Igualmente ha analizado el marco normativo de contratación con Pueblos Indígenas en los conceptos Nro. C-459 del 22 de diciembre del 2023, C-011 del 01 de marzo del 2024, C-012 del 21 de marzo del 2024, C-062 del 07 de junio del 2024, C-371 del 09 de agosto del 2024, C-256 del 30 de agosto del 2024, C-596 del 16 de octubre del 2024</w:t>
      </w:r>
      <w:r w:rsidRPr="007F7243">
        <w:rPr>
          <w:rFonts w:ascii="Verdana" w:hAnsi="Verdana" w:cs="Arial"/>
          <w:shd w:val="clear" w:color="auto" w:fill="FFFFFF"/>
          <w:lang w:val="es-ES"/>
        </w:rPr>
        <w:t>, C-484 del 2025, C-891 del 20 de diciembre del 2024, C-714 del 04 de julio del 2025, C-844 del 06 de agosto del 2025, C-1130 del 17 de septiembre del 2025 y C-1585 del 03 de diciembre del 2025.</w:t>
      </w:r>
      <w:r w:rsidRPr="007F7243">
        <w:rPr>
          <w:rFonts w:ascii="Verdana" w:hAnsi="Verdana" w:cs="Arial"/>
          <w:shd w:val="clear" w:color="auto" w:fill="FFFFFF"/>
        </w:rPr>
        <w:t xml:space="preserve"> </w:t>
      </w:r>
      <w:r w:rsidRPr="007F7243">
        <w:rPr>
          <w:rFonts w:ascii="Verdana" w:hAnsi="Verdana" w:cs="Arial"/>
          <w:shd w:val="clear" w:color="auto" w:fill="FFFFFF"/>
          <w:lang w:val="es-ES_tradnl"/>
        </w:rPr>
        <w:t xml:space="preserve">Estos conceptos se encuentran disponibles para consulta en el Sistema de relatoría de la Agencia, al cual puede accederse a través del siguiente enlace: </w:t>
      </w:r>
      <w:hyperlink r:id="rId13" w:history="1">
        <w:r w:rsidRPr="007F7243">
          <w:rPr>
            <w:rFonts w:ascii="Verdana" w:hAnsi="Verdana" w:cs="Arial"/>
            <w:color w:val="0000FF"/>
            <w:u w:val="single"/>
            <w:shd w:val="clear" w:color="auto" w:fill="FFFFFF"/>
            <w:lang w:val="es-ES_tradnl"/>
          </w:rPr>
          <w:t>https://relatoria.colombiacompra.gov.co/busqueda/conceptos</w:t>
        </w:r>
      </w:hyperlink>
      <w:r w:rsidRPr="00A52313">
        <w:rPr>
          <w:rFonts w:ascii="Verdana" w:hAnsi="Verdana" w:cs="Arial"/>
          <w:shd w:val="clear" w:color="auto" w:fill="FFFFFF"/>
          <w:lang w:val="es-ES_tradnl"/>
        </w:rPr>
        <w:t xml:space="preserve">. </w:t>
      </w:r>
      <w:r w:rsidRPr="007F7243">
        <w:rPr>
          <w:rFonts w:ascii="Verdana" w:hAnsi="Verdana" w:cs="Arial"/>
          <w:color w:val="FF0000"/>
          <w:shd w:val="clear" w:color="auto" w:fill="FFFFFF"/>
          <w:lang w:val="es-ES_tradnl"/>
        </w:rPr>
        <w:t xml:space="preserve"> </w:t>
      </w:r>
    </w:p>
    <w:p w14:paraId="5EC5030C" w14:textId="77777777" w:rsidR="0098553A" w:rsidRPr="007F7243" w:rsidRDefault="0098553A" w:rsidP="007268DF">
      <w:pPr>
        <w:widowControl w:val="0"/>
        <w:autoSpaceDE w:val="0"/>
        <w:autoSpaceDN w:val="0"/>
        <w:spacing w:after="0" w:line="276" w:lineRule="auto"/>
        <w:jc w:val="both"/>
        <w:rPr>
          <w:rFonts w:ascii="Verdana" w:hAnsi="Verdana" w:cs="Arial"/>
          <w:shd w:val="clear" w:color="auto" w:fill="FFFFFF"/>
        </w:rPr>
      </w:pPr>
    </w:p>
    <w:p w14:paraId="471DEE6B" w14:textId="77777777" w:rsidR="00D30337" w:rsidRPr="00A52313" w:rsidRDefault="00D30337" w:rsidP="007268DF">
      <w:pPr>
        <w:spacing w:after="0" w:line="276" w:lineRule="auto"/>
        <w:jc w:val="both"/>
        <w:rPr>
          <w:rFonts w:ascii="Verdana" w:hAnsi="Verdana"/>
        </w:rPr>
      </w:pPr>
      <w:r w:rsidRPr="007F7243">
        <w:rPr>
          <w:rFonts w:ascii="Verdana" w:hAnsi="Verdana"/>
        </w:rPr>
        <w:t xml:space="preserve">La sostenibilidad no es una opción, es una obligación. Por ello, la Agencia Nacional de Contratación Pública –Colombia Compra Eficiente– te invita a realizar el </w:t>
      </w:r>
      <w:r w:rsidRPr="007F7243">
        <w:rPr>
          <w:rFonts w:ascii="Verdana" w:hAnsi="Verdana"/>
          <w:b/>
          <w:bCs/>
        </w:rPr>
        <w:t>Curso de Contratación Pública Sostenible y Socialmente Responsable</w:t>
      </w:r>
      <w:r w:rsidRPr="007F7243">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7F7243">
        <w:rPr>
          <w:rFonts w:ascii="Verdana" w:hAnsi="Verdana"/>
        </w:rPr>
        <w:br/>
      </w:r>
      <w:hyperlink r:id="rId14" w:tgtFrame="_new" w:history="1">
        <w:r w:rsidRPr="007F7243">
          <w:rPr>
            <w:rStyle w:val="Hyperlink"/>
            <w:rFonts w:ascii="Verdana" w:hAnsi="Verdana"/>
          </w:rPr>
          <w:t>https://formacionvirtual.colombiacompra.gov.co/mod/page/view.php?id=3718</w:t>
        </w:r>
      </w:hyperlink>
    </w:p>
    <w:p w14:paraId="3891956D" w14:textId="77777777" w:rsidR="0098553A" w:rsidRPr="007F7243" w:rsidRDefault="0098553A" w:rsidP="0098553A">
      <w:pPr>
        <w:spacing w:after="0" w:line="276" w:lineRule="auto"/>
        <w:jc w:val="both"/>
        <w:rPr>
          <w:rFonts w:ascii="Verdana" w:hAnsi="Verdana"/>
        </w:rPr>
      </w:pPr>
    </w:p>
    <w:p w14:paraId="62504F0B" w14:textId="4712D566" w:rsidR="00D30337" w:rsidRPr="00A52313" w:rsidRDefault="00D30337" w:rsidP="007268DF">
      <w:pPr>
        <w:spacing w:after="0" w:line="276" w:lineRule="auto"/>
        <w:jc w:val="both"/>
        <w:rPr>
          <w:rFonts w:ascii="Verdana" w:hAnsi="Verdana"/>
        </w:rPr>
      </w:pPr>
      <w:r w:rsidRPr="007F7243">
        <w:rPr>
          <w:rFonts w:ascii="Verdana" w:hAnsi="Verdana"/>
        </w:rPr>
        <w:t xml:space="preserve">De otro lado, te contamos que esta Agencia ha da un paso decisivo en la estandarización y modernización del </w:t>
      </w:r>
      <w:r w:rsidRPr="007F7243">
        <w:rPr>
          <w:rFonts w:ascii="Verdana" w:hAnsi="Verdana"/>
          <w:b/>
          <w:bCs/>
        </w:rPr>
        <w:t>sector  social</w:t>
      </w:r>
      <w:r w:rsidRPr="007F7243">
        <w:rPr>
          <w:rFonts w:ascii="Verdana" w:hAnsi="Verdana"/>
        </w:rPr>
        <w:t xml:space="preserve"> con la expedición de las </w:t>
      </w:r>
      <w:r w:rsidRPr="007F7243">
        <w:rPr>
          <w:rFonts w:ascii="Verdana" w:hAnsi="Verdana"/>
          <w:b/>
          <w:bCs/>
        </w:rPr>
        <w:t>Resoluciones 539, 540, 541, 952 y 953 de 2025</w:t>
      </w:r>
      <w:r w:rsidRPr="007F7243">
        <w:rPr>
          <w:rFonts w:ascii="Verdana" w:hAnsi="Verdana"/>
        </w:rPr>
        <w:t xml:space="preserve">, </w:t>
      </w:r>
      <w:r w:rsidRPr="007F7243">
        <w:rPr>
          <w:rFonts w:ascii="Verdana" w:hAnsi="Verdana"/>
          <w:b/>
          <w:bCs/>
        </w:rPr>
        <w:t>mediante las cuales adoptó Documentos Tipo</w:t>
      </w:r>
      <w:r w:rsidRPr="007F7243">
        <w:rPr>
          <w:rFonts w:ascii="Verdana" w:hAnsi="Verdana"/>
        </w:rPr>
        <w:t xml:space="preserve"> para las modalidades de selección de</w:t>
      </w:r>
      <w:r w:rsidRPr="007F7243">
        <w:rPr>
          <w:rFonts w:ascii="Verdana" w:hAnsi="Verdana"/>
          <w:b/>
          <w:bCs/>
        </w:rPr>
        <w:t xml:space="preserve"> licitación pública (versión 2), selección abreviada de menor cuantía, mínima cuantía, consultoría e interventoría</w:t>
      </w:r>
      <w:r w:rsidRPr="007F7243">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7F7243">
          <w:rPr>
            <w:rStyle w:val="Hyperlink"/>
            <w:rFonts w:ascii="Verdana" w:hAnsi="Verdana"/>
          </w:rPr>
          <w:t>https://www.colombiacompra.gov.co/normativa-y-relatoria/documentos-tipo</w:t>
        </w:r>
      </w:hyperlink>
    </w:p>
    <w:p w14:paraId="3DF54079" w14:textId="441E5B9A" w:rsidR="00D30337" w:rsidRPr="00A52313" w:rsidRDefault="00D30337" w:rsidP="0098553A">
      <w:pPr>
        <w:spacing w:after="0" w:line="276" w:lineRule="auto"/>
        <w:jc w:val="both"/>
        <w:rPr>
          <w:rStyle w:val="Hyperlink"/>
          <w:rFonts w:ascii="Verdana" w:hAnsi="Verdana"/>
        </w:rPr>
      </w:pPr>
      <w:r w:rsidRPr="007F7243">
        <w:rPr>
          <w:rFonts w:ascii="Verdana" w:hAnsi="Verdana"/>
        </w:rPr>
        <w:lastRenderedPageBreak/>
        <w:t xml:space="preserve">Si quieres conocer más sobre la aplicación de Documentos Tipo puedes consultar la última versión de la </w:t>
      </w:r>
      <w:r w:rsidRPr="007F7243">
        <w:rPr>
          <w:rFonts w:ascii="Verdana" w:hAnsi="Verdana"/>
          <w:b/>
          <w:bCs/>
        </w:rPr>
        <w:t>Guía para la comprensión e implementación de los Documentos Tipo de obra pública de infraestructura de transporte</w:t>
      </w:r>
      <w:r w:rsidRPr="007F7243">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7F7243">
        <w:rPr>
          <w:rFonts w:ascii="Verdana" w:hAnsi="Verdana"/>
        </w:rPr>
        <w:br/>
      </w:r>
      <w:hyperlink r:id="rId16" w:tgtFrame="_new" w:history="1">
        <w:r w:rsidRPr="007F7243">
          <w:rPr>
            <w:rStyle w:val="Hyperlink"/>
            <w:rFonts w:ascii="Verdana" w:hAnsi="Verdana"/>
          </w:rPr>
          <w:t>Guía para la comprensión e implementación de los Documentos Tipo de obra pública de infraestructura de transporte</w:t>
        </w:r>
      </w:hyperlink>
    </w:p>
    <w:p w14:paraId="5BACF717" w14:textId="77777777" w:rsidR="0098553A" w:rsidRPr="007F7243" w:rsidRDefault="0098553A" w:rsidP="007268DF">
      <w:pPr>
        <w:spacing w:after="0" w:line="276" w:lineRule="auto"/>
        <w:jc w:val="both"/>
        <w:rPr>
          <w:rFonts w:ascii="Verdana" w:hAnsi="Verdana"/>
        </w:rPr>
      </w:pPr>
    </w:p>
    <w:p w14:paraId="6F083193" w14:textId="77777777" w:rsidR="00895892" w:rsidRPr="007F7243" w:rsidRDefault="00895892" w:rsidP="0098553A">
      <w:pPr>
        <w:spacing w:after="0" w:line="276" w:lineRule="auto"/>
        <w:jc w:val="both"/>
        <w:rPr>
          <w:rFonts w:ascii="Verdana" w:hAnsi="Verdana"/>
        </w:rPr>
      </w:pPr>
      <w:r w:rsidRPr="007F7243">
        <w:rPr>
          <w:rFonts w:ascii="Verdana" w:hAnsi="Verdana"/>
        </w:rPr>
        <w:t xml:space="preserve">Por último, lo invitamos a seguirnos en las redes sociales en las cuales se difunde información institucional: </w:t>
      </w:r>
    </w:p>
    <w:p w14:paraId="2862D0DC" w14:textId="77777777" w:rsidR="00895892" w:rsidRPr="007F7243" w:rsidRDefault="00895892" w:rsidP="0098553A">
      <w:pPr>
        <w:spacing w:after="0" w:line="276" w:lineRule="auto"/>
        <w:jc w:val="both"/>
        <w:rPr>
          <w:rFonts w:ascii="Verdana" w:hAnsi="Verdana"/>
        </w:rPr>
      </w:pPr>
    </w:p>
    <w:p w14:paraId="71F35685" w14:textId="77777777" w:rsidR="00895892" w:rsidRPr="007F7243" w:rsidRDefault="00895892" w:rsidP="00A52313">
      <w:pPr>
        <w:spacing w:after="0" w:line="276" w:lineRule="auto"/>
        <w:jc w:val="both"/>
        <w:rPr>
          <w:rFonts w:ascii="Verdana" w:hAnsi="Verdana"/>
        </w:rPr>
      </w:pPr>
      <w:r w:rsidRPr="007F7243">
        <w:rPr>
          <w:rFonts w:ascii="Verdana" w:hAnsi="Verdana"/>
        </w:rPr>
        <w:t xml:space="preserve">Twitter: </w:t>
      </w:r>
      <w:r w:rsidRPr="007F7243">
        <w:rPr>
          <w:rStyle w:val="Hyperlink"/>
          <w:rFonts w:ascii="Verdana" w:hAnsi="Verdana"/>
          <w:color w:val="4472C4" w:themeColor="accent1"/>
        </w:rPr>
        <w:t>@colombiacompra</w:t>
      </w:r>
      <w:r w:rsidRPr="007F7243">
        <w:rPr>
          <w:rFonts w:ascii="Verdana" w:hAnsi="Verdana"/>
          <w:color w:val="4472C4" w:themeColor="accent1"/>
        </w:rPr>
        <w:t xml:space="preserve"> </w:t>
      </w:r>
    </w:p>
    <w:p w14:paraId="1F4B1AEA" w14:textId="77777777" w:rsidR="00895892" w:rsidRPr="007F7243" w:rsidRDefault="00895892">
      <w:pPr>
        <w:spacing w:after="0" w:line="276" w:lineRule="auto"/>
        <w:jc w:val="both"/>
        <w:rPr>
          <w:rFonts w:ascii="Verdana" w:hAnsi="Verdana"/>
        </w:rPr>
      </w:pPr>
      <w:r w:rsidRPr="007F7243">
        <w:rPr>
          <w:rFonts w:ascii="Verdana" w:hAnsi="Verdana"/>
        </w:rPr>
        <w:t xml:space="preserve">Facebook: </w:t>
      </w:r>
      <w:proofErr w:type="spellStart"/>
      <w:r w:rsidRPr="007F7243">
        <w:rPr>
          <w:rStyle w:val="Hyperlink"/>
          <w:rFonts w:ascii="Verdana" w:hAnsi="Verdana"/>
          <w:color w:val="4472C4" w:themeColor="accent1"/>
        </w:rPr>
        <w:t>ColombiaCompraEficiente</w:t>
      </w:r>
      <w:proofErr w:type="spellEnd"/>
    </w:p>
    <w:p w14:paraId="1F543A62" w14:textId="77777777" w:rsidR="00895892" w:rsidRPr="007F7243" w:rsidRDefault="00895892">
      <w:pPr>
        <w:spacing w:after="0" w:line="276" w:lineRule="auto"/>
        <w:jc w:val="both"/>
        <w:rPr>
          <w:rStyle w:val="Hyperlink"/>
          <w:rFonts w:ascii="Verdana" w:hAnsi="Verdana"/>
          <w:color w:val="4472C4" w:themeColor="accent1"/>
        </w:rPr>
      </w:pPr>
      <w:r w:rsidRPr="007268DF">
        <w:rPr>
          <w:rFonts w:ascii="Verdana" w:hAnsi="Verdana"/>
        </w:rPr>
        <w:t xml:space="preserve">LinkedIn: </w:t>
      </w:r>
      <w:r w:rsidRPr="007F7243">
        <w:rPr>
          <w:rStyle w:val="Hyperlink"/>
          <w:rFonts w:ascii="Verdana" w:hAnsi="Verdana"/>
          <w:color w:val="4472C4" w:themeColor="accent1"/>
        </w:rPr>
        <w:t>Agencia Nacional de Contratación Pública - Colombia Compra Eficiente</w:t>
      </w:r>
      <w:r w:rsidRPr="007F7243">
        <w:rPr>
          <w:rFonts w:ascii="Verdana" w:hAnsi="Verdana"/>
          <w:color w:val="4472C4" w:themeColor="accent1"/>
        </w:rPr>
        <w:t xml:space="preserve"> </w:t>
      </w:r>
      <w:r w:rsidRPr="007F7243">
        <w:rPr>
          <w:rFonts w:ascii="Verdana" w:hAnsi="Verdana"/>
        </w:rPr>
        <w:t xml:space="preserve">Instagram: </w:t>
      </w:r>
      <w:r w:rsidRPr="007F7243">
        <w:rPr>
          <w:rStyle w:val="Hyperlink"/>
          <w:rFonts w:ascii="Verdana" w:hAnsi="Verdana"/>
          <w:color w:val="4472C4" w:themeColor="accent1"/>
        </w:rPr>
        <w:t>@colombiacompraeficiente_cce</w:t>
      </w:r>
    </w:p>
    <w:p w14:paraId="7D507DFE" w14:textId="77777777" w:rsidR="00895892" w:rsidRPr="007F7243" w:rsidRDefault="00895892">
      <w:pPr>
        <w:spacing w:after="0" w:line="276" w:lineRule="auto"/>
        <w:jc w:val="both"/>
        <w:rPr>
          <w:rStyle w:val="Hyperlink"/>
          <w:rFonts w:ascii="Verdana" w:hAnsi="Verdana"/>
          <w:color w:val="4472C4" w:themeColor="accent1"/>
        </w:rPr>
      </w:pPr>
    </w:p>
    <w:p w14:paraId="13FE628D" w14:textId="77777777" w:rsidR="00895892" w:rsidRPr="007F7243" w:rsidRDefault="00895892">
      <w:pPr>
        <w:widowControl w:val="0"/>
        <w:autoSpaceDE w:val="0"/>
        <w:autoSpaceDN w:val="0"/>
        <w:spacing w:after="0" w:line="276" w:lineRule="auto"/>
        <w:jc w:val="both"/>
        <w:rPr>
          <w:rFonts w:ascii="Verdana" w:hAnsi="Verdana" w:cs="Arial"/>
          <w:lang w:val="es-ES_tradnl"/>
        </w:rPr>
      </w:pPr>
      <w:r w:rsidRPr="007268DF">
        <w:rPr>
          <w:rFonts w:ascii="Verdana" w:hAnsi="Verdana" w:cs="Arial"/>
        </w:rPr>
        <w:t xml:space="preserve">Este concepto tiene el alcance previsto en el artículo 28 del Código de Procedimiento Administrativo y de lo Contencioso Administrativo </w:t>
      </w:r>
      <w:r w:rsidRPr="007F7243">
        <w:rPr>
          <w:rFonts w:ascii="Verdana" w:hAnsi="Verdana" w:cs="Arial"/>
          <w:lang w:val="es-ES_tradnl"/>
        </w:rPr>
        <w:t>y las expresiones aquí utilizadas con mayúscula inicial deben ser entendidas con el significado que les otorga el artículo 2.2.1.1.1.3.1. del Decreto 1082 de 2015.</w:t>
      </w:r>
    </w:p>
    <w:p w14:paraId="211776A5" w14:textId="77777777" w:rsidR="00895892" w:rsidRPr="007F7243" w:rsidRDefault="00895892">
      <w:pPr>
        <w:widowControl w:val="0"/>
        <w:autoSpaceDE w:val="0"/>
        <w:autoSpaceDN w:val="0"/>
        <w:spacing w:after="0" w:line="276" w:lineRule="auto"/>
        <w:jc w:val="both"/>
        <w:rPr>
          <w:rFonts w:ascii="Verdana" w:hAnsi="Verdana" w:cs="Arial"/>
        </w:rPr>
      </w:pPr>
    </w:p>
    <w:p w14:paraId="1C2F4CFE" w14:textId="77777777" w:rsidR="00895892" w:rsidRPr="007F7243" w:rsidRDefault="00895892">
      <w:pPr>
        <w:spacing w:after="0" w:line="276" w:lineRule="auto"/>
        <w:rPr>
          <w:rFonts w:ascii="Verdana" w:hAnsi="Verdana" w:cs="Arial"/>
          <w:lang w:eastAsia="es-CO"/>
        </w:rPr>
      </w:pPr>
      <w:r w:rsidRPr="007F7243">
        <w:rPr>
          <w:rFonts w:ascii="Verdana" w:eastAsia="Times New Roman" w:hAnsi="Verdana" w:cs="Arial"/>
          <w:lang w:eastAsia="es-CO"/>
        </w:rPr>
        <w:t>Atentamente,</w:t>
      </w:r>
      <w:r w:rsidRPr="007F7243">
        <w:rPr>
          <w:rFonts w:ascii="Verdana" w:hAnsi="Verdana" w:cs="Arial"/>
          <w:lang w:eastAsia="es-CO"/>
        </w:rPr>
        <w:t xml:space="preserve"> </w:t>
      </w:r>
    </w:p>
    <w:p w14:paraId="5DA976D3" w14:textId="68942D76" w:rsidR="00895892" w:rsidRPr="00A52313" w:rsidRDefault="006B4A3D" w:rsidP="00895892">
      <w:pPr>
        <w:spacing w:line="276" w:lineRule="auto"/>
        <w:jc w:val="center"/>
        <w:rPr>
          <w:rFonts w:ascii="Verdana" w:hAnsi="Verdana" w:cs="Arial"/>
          <w:color w:val="000000"/>
          <w:sz w:val="16"/>
          <w:szCs w:val="16"/>
          <w:lang w:val="es-ES_tradnl" w:eastAsia="es-CO"/>
        </w:rPr>
      </w:pPr>
      <w:r w:rsidRPr="004D5C25">
        <w:rPr>
          <w:rFonts w:ascii="Century Gothic" w:hAnsi="Century Gothic"/>
          <w:noProof/>
        </w:rPr>
        <w:drawing>
          <wp:inline distT="0" distB="0" distL="0" distR="0" wp14:anchorId="17A0FC62" wp14:editId="15FF0063">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7"/>
                    <a:stretch>
                      <a:fillRect/>
                    </a:stretch>
                  </pic:blipFill>
                  <pic:spPr>
                    <a:xfrm>
                      <a:off x="0" y="0"/>
                      <a:ext cx="3705742" cy="1590897"/>
                    </a:xfrm>
                    <a:prstGeom prst="rect">
                      <a:avLst/>
                    </a:prstGeom>
                  </pic:spPr>
                </pic:pic>
              </a:graphicData>
            </a:graphic>
          </wp:inline>
        </w:drawing>
      </w: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95892" w:rsidRPr="007F7243" w14:paraId="0EA4D81A" w14:textId="77777777" w:rsidTr="00B07C70">
        <w:trPr>
          <w:trHeight w:val="315"/>
        </w:trPr>
        <w:tc>
          <w:tcPr>
            <w:tcW w:w="893" w:type="dxa"/>
            <w:vAlign w:val="center"/>
            <w:hideMark/>
          </w:tcPr>
          <w:p w14:paraId="49407297" w14:textId="77777777" w:rsidR="00895892" w:rsidRPr="007F7243" w:rsidRDefault="00895892" w:rsidP="00B07C70">
            <w:pPr>
              <w:contextualSpacing/>
              <w:rPr>
                <w:rFonts w:ascii="Verdana" w:hAnsi="Verdana" w:cs="Arial"/>
                <w:sz w:val="16"/>
                <w:szCs w:val="16"/>
                <w:lang w:val="es-ES" w:eastAsia="es-ES"/>
              </w:rPr>
            </w:pPr>
            <w:r w:rsidRPr="007F7243">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878E0F3" w14:textId="77777777" w:rsidR="00895892" w:rsidRPr="007F7243" w:rsidRDefault="00895892" w:rsidP="00B07C70">
            <w:pPr>
              <w:contextualSpacing/>
              <w:rPr>
                <w:rFonts w:ascii="Verdana" w:eastAsia="Arial" w:hAnsi="Verdana" w:cs="Arial"/>
                <w:sz w:val="16"/>
                <w:szCs w:val="16"/>
              </w:rPr>
            </w:pPr>
            <w:r w:rsidRPr="007F7243">
              <w:rPr>
                <w:rFonts w:ascii="Verdana" w:eastAsia="Arial" w:hAnsi="Verdana" w:cs="Arial"/>
                <w:sz w:val="16"/>
                <w:szCs w:val="16"/>
              </w:rPr>
              <w:t>Ana María Ortiz Ballesteros</w:t>
            </w:r>
          </w:p>
          <w:p w14:paraId="605A98CD" w14:textId="77777777" w:rsidR="00895892" w:rsidRPr="007F7243" w:rsidRDefault="00895892" w:rsidP="00B07C70">
            <w:pPr>
              <w:contextualSpacing/>
              <w:rPr>
                <w:rFonts w:ascii="Verdana" w:eastAsia="Arial" w:hAnsi="Verdana" w:cs="Arial"/>
                <w:sz w:val="16"/>
                <w:szCs w:val="16"/>
              </w:rPr>
            </w:pPr>
            <w:r w:rsidRPr="007F7243">
              <w:rPr>
                <w:rStyle w:val="normaltextrun"/>
                <w:rFonts w:ascii="Verdana" w:eastAsia="Arial" w:hAnsi="Verdana" w:cs="Arial"/>
                <w:sz w:val="16"/>
                <w:szCs w:val="16"/>
              </w:rPr>
              <w:t>C</w:t>
            </w:r>
            <w:r w:rsidRPr="007F7243">
              <w:rPr>
                <w:rStyle w:val="normaltextrun"/>
                <w:rFonts w:ascii="Verdana" w:hAnsi="Verdana"/>
                <w:sz w:val="16"/>
                <w:szCs w:val="16"/>
              </w:rPr>
              <w:t>ontratista</w:t>
            </w:r>
            <w:r w:rsidRPr="007F7243">
              <w:rPr>
                <w:rStyle w:val="normaltextrun"/>
                <w:rFonts w:ascii="Verdana" w:eastAsia="Arial" w:hAnsi="Verdana" w:cs="Arial"/>
                <w:sz w:val="16"/>
                <w:szCs w:val="16"/>
              </w:rPr>
              <w:t xml:space="preserve"> de la Subdirección de Gestión Contractual</w:t>
            </w:r>
          </w:p>
        </w:tc>
      </w:tr>
      <w:tr w:rsidR="00895892" w:rsidRPr="007F7243" w14:paraId="17DE75E9" w14:textId="77777777" w:rsidTr="00B07C70">
        <w:trPr>
          <w:trHeight w:val="330"/>
        </w:trPr>
        <w:tc>
          <w:tcPr>
            <w:tcW w:w="893" w:type="dxa"/>
            <w:vAlign w:val="center"/>
            <w:hideMark/>
          </w:tcPr>
          <w:p w14:paraId="650318F0" w14:textId="77777777" w:rsidR="00895892" w:rsidRPr="007F7243" w:rsidRDefault="00895892" w:rsidP="00B07C70">
            <w:pPr>
              <w:contextualSpacing/>
              <w:rPr>
                <w:rFonts w:ascii="Verdana" w:hAnsi="Verdana" w:cs="Arial"/>
                <w:sz w:val="16"/>
                <w:szCs w:val="16"/>
                <w:lang w:val="es-ES" w:eastAsia="es-ES"/>
              </w:rPr>
            </w:pPr>
            <w:r w:rsidRPr="007F7243">
              <w:rPr>
                <w:rFonts w:ascii="Verdana" w:hAnsi="Verdana" w:cs="Arial"/>
                <w:sz w:val="16"/>
                <w:szCs w:val="16"/>
                <w:lang w:val="es-ES" w:eastAsia="es-ES"/>
              </w:rPr>
              <w:lastRenderedPageBreak/>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0D9317D" w14:textId="001A9EA9" w:rsidR="0097392D" w:rsidRPr="007268DF" w:rsidRDefault="0097392D" w:rsidP="00B07C70">
            <w:pPr>
              <w:pStyle w:val="paragraph"/>
              <w:spacing w:before="0" w:beforeAutospacing="0" w:after="0" w:afterAutospacing="0"/>
              <w:contextualSpacing/>
              <w:textAlignment w:val="baseline"/>
              <w:rPr>
                <w:rStyle w:val="normaltextrun"/>
                <w:rFonts w:ascii="Verdana" w:eastAsia="Arial" w:hAnsi="Verdana" w:cs="Arial"/>
                <w:sz w:val="16"/>
                <w:szCs w:val="16"/>
              </w:rPr>
            </w:pPr>
            <w:r w:rsidRPr="007F7243">
              <w:rPr>
                <w:rFonts w:ascii="Verdana" w:hAnsi="Verdana" w:cs="Arial"/>
                <w:sz w:val="16"/>
                <w:szCs w:val="16"/>
              </w:rPr>
              <w:t>Diana Lucia Saavedra</w:t>
            </w:r>
            <w:r w:rsidRPr="007F7243">
              <w:rPr>
                <w:rStyle w:val="normaltextrun"/>
                <w:rFonts w:ascii="Verdana" w:eastAsia="Arial" w:hAnsi="Verdana" w:cs="Arial"/>
                <w:sz w:val="16"/>
                <w:szCs w:val="16"/>
              </w:rPr>
              <w:t xml:space="preserve"> Castañeda</w:t>
            </w:r>
          </w:p>
          <w:p w14:paraId="3C3D5479" w14:textId="65CFD2DC" w:rsidR="00895892" w:rsidRPr="007F7243" w:rsidRDefault="0097392D" w:rsidP="00B07C70">
            <w:pPr>
              <w:pStyle w:val="paragraph"/>
              <w:spacing w:before="0" w:beforeAutospacing="0" w:after="0" w:afterAutospacing="0"/>
              <w:contextualSpacing/>
              <w:textAlignment w:val="baseline"/>
              <w:rPr>
                <w:rFonts w:ascii="Verdana" w:hAnsi="Verdana" w:cs="Arial"/>
                <w:sz w:val="16"/>
                <w:szCs w:val="16"/>
              </w:rPr>
            </w:pPr>
            <w:r w:rsidRPr="007F7243">
              <w:rPr>
                <w:rStyle w:val="normaltextrun"/>
                <w:rFonts w:ascii="Verdana" w:eastAsia="Arial" w:hAnsi="Verdana" w:cs="Arial"/>
                <w:sz w:val="16"/>
                <w:szCs w:val="16"/>
              </w:rPr>
              <w:t>C</w:t>
            </w:r>
            <w:r w:rsidRPr="007F7243">
              <w:rPr>
                <w:rStyle w:val="normaltextrun"/>
                <w:rFonts w:ascii="Verdana" w:hAnsi="Verdana"/>
                <w:sz w:val="16"/>
                <w:szCs w:val="16"/>
              </w:rPr>
              <w:t>ontratista</w:t>
            </w:r>
            <w:r w:rsidRPr="007F7243">
              <w:rPr>
                <w:rStyle w:val="normaltextrun"/>
                <w:rFonts w:ascii="Verdana" w:eastAsia="Arial" w:hAnsi="Verdana" w:cs="Arial"/>
                <w:sz w:val="16"/>
                <w:szCs w:val="16"/>
              </w:rPr>
              <w:t xml:space="preserve"> de la Subdirección de Gestión Contractual</w:t>
            </w:r>
          </w:p>
        </w:tc>
      </w:tr>
      <w:tr w:rsidR="00895892" w:rsidRPr="007F7243" w14:paraId="36F6AB8A" w14:textId="77777777" w:rsidTr="00B07C70">
        <w:trPr>
          <w:trHeight w:val="300"/>
        </w:trPr>
        <w:tc>
          <w:tcPr>
            <w:tcW w:w="893" w:type="dxa"/>
            <w:vAlign w:val="center"/>
          </w:tcPr>
          <w:p w14:paraId="4C5E17DA" w14:textId="77777777" w:rsidR="00895892" w:rsidRPr="007F7243" w:rsidRDefault="00895892" w:rsidP="00B07C70">
            <w:pPr>
              <w:contextualSpacing/>
              <w:rPr>
                <w:rFonts w:ascii="Verdana" w:hAnsi="Verdana" w:cs="Arial"/>
                <w:sz w:val="16"/>
                <w:szCs w:val="16"/>
                <w:lang w:val="es-ES" w:eastAsia="es-ES"/>
              </w:rPr>
            </w:pPr>
            <w:r w:rsidRPr="007F7243">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0C5E67A" w14:textId="77777777" w:rsidR="00895892" w:rsidRPr="007F7243" w:rsidRDefault="00895892" w:rsidP="00B07C70">
            <w:pPr>
              <w:contextualSpacing/>
              <w:rPr>
                <w:rFonts w:ascii="Verdana" w:eastAsia="Calibri" w:hAnsi="Verdana" w:cs="Arial"/>
                <w:sz w:val="16"/>
                <w:szCs w:val="16"/>
                <w:lang w:val="pt-BR" w:eastAsia="es-ES"/>
              </w:rPr>
            </w:pPr>
            <w:r w:rsidRPr="007F7243">
              <w:rPr>
                <w:rFonts w:ascii="Verdana" w:eastAsia="Calibri" w:hAnsi="Verdana" w:cs="Arial"/>
                <w:sz w:val="16"/>
                <w:szCs w:val="16"/>
                <w:lang w:val="pt-BR" w:eastAsia="es-ES"/>
              </w:rPr>
              <w:t xml:space="preserve">Carolina Quintero </w:t>
            </w:r>
            <w:proofErr w:type="spellStart"/>
            <w:r w:rsidRPr="007F7243">
              <w:rPr>
                <w:rFonts w:ascii="Verdana" w:eastAsia="Calibri" w:hAnsi="Verdana" w:cs="Arial"/>
                <w:sz w:val="16"/>
                <w:szCs w:val="16"/>
                <w:lang w:val="pt-BR" w:eastAsia="es-ES"/>
              </w:rPr>
              <w:t>Gacharná</w:t>
            </w:r>
            <w:proofErr w:type="spellEnd"/>
          </w:p>
          <w:p w14:paraId="5327BFD2" w14:textId="77777777" w:rsidR="00895892" w:rsidRPr="007F7243" w:rsidRDefault="00895892" w:rsidP="00B07C70">
            <w:pPr>
              <w:contextualSpacing/>
              <w:rPr>
                <w:rFonts w:ascii="Verdana" w:eastAsia="Calibri" w:hAnsi="Verdana" w:cs="Arial"/>
                <w:sz w:val="16"/>
                <w:szCs w:val="16"/>
                <w:lang w:val="pt-BR" w:eastAsia="es-ES"/>
              </w:rPr>
            </w:pPr>
            <w:r w:rsidRPr="007F7243">
              <w:rPr>
                <w:rFonts w:ascii="Verdana" w:eastAsia="Calibri" w:hAnsi="Verdana" w:cs="Arial"/>
                <w:sz w:val="16"/>
                <w:szCs w:val="16"/>
                <w:lang w:eastAsia="es-ES"/>
              </w:rPr>
              <w:t>Subdirectora</w:t>
            </w:r>
            <w:r w:rsidRPr="007F7243">
              <w:rPr>
                <w:rFonts w:ascii="Verdana" w:eastAsia="Calibri" w:hAnsi="Verdana" w:cs="Arial"/>
                <w:sz w:val="16"/>
                <w:szCs w:val="16"/>
                <w:lang w:val="pt-BR" w:eastAsia="es-ES"/>
              </w:rPr>
              <w:t xml:space="preserve"> de Gestión Contractual ANCP – CCE</w:t>
            </w:r>
          </w:p>
        </w:tc>
      </w:tr>
    </w:tbl>
    <w:p w14:paraId="0F293BF4" w14:textId="7F0D3C33" w:rsidR="00127233" w:rsidRPr="00A71AEE" w:rsidRDefault="00C15139" w:rsidP="00895892">
      <w:pPr>
        <w:spacing w:after="0" w:line="240" w:lineRule="auto"/>
        <w:textAlignment w:val="baseline"/>
        <w:rPr>
          <w:rFonts w:ascii="Verdana" w:eastAsia="Verdana" w:hAnsi="Verdana" w:cs="Verdana"/>
          <w:lang w:eastAsia="es-CO"/>
        </w:rPr>
      </w:pPr>
      <w:r w:rsidRPr="00A71AEE">
        <w:rPr>
          <w:rFonts w:ascii="Verdana" w:eastAsia="Verdana" w:hAnsi="Verdana" w:cs="Verdana"/>
          <w:lang w:eastAsia="es-CO"/>
        </w:rPr>
        <w:t> </w:t>
      </w:r>
      <w:bookmarkEnd w:id="0"/>
    </w:p>
    <w:sectPr w:rsidR="00127233" w:rsidRPr="00A71AEE"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DB78E3" w14:textId="77777777" w:rsidR="00AB14F7" w:rsidRDefault="00AB14F7" w:rsidP="004A1847">
      <w:pPr>
        <w:spacing w:after="0" w:line="240" w:lineRule="auto"/>
      </w:pPr>
      <w:r>
        <w:separator/>
      </w:r>
    </w:p>
  </w:endnote>
  <w:endnote w:type="continuationSeparator" w:id="0">
    <w:p w14:paraId="489E8956" w14:textId="77777777" w:rsidR="00AB14F7" w:rsidRDefault="00AB14F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Footer"/>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DCD8AC" w14:textId="77777777" w:rsidR="00AB14F7" w:rsidRDefault="00AB14F7" w:rsidP="004A1847">
      <w:pPr>
        <w:spacing w:after="0" w:line="240" w:lineRule="auto"/>
      </w:pPr>
      <w:r>
        <w:separator/>
      </w:r>
    </w:p>
  </w:footnote>
  <w:footnote w:type="continuationSeparator" w:id="0">
    <w:p w14:paraId="77EEA721" w14:textId="77777777" w:rsidR="00AB14F7" w:rsidRDefault="00AB14F7" w:rsidP="004A1847">
      <w:pPr>
        <w:spacing w:after="0" w:line="240" w:lineRule="auto"/>
      </w:pPr>
      <w:r>
        <w:continuationSeparator/>
      </w:r>
    </w:p>
  </w:footnote>
  <w:footnote w:id="1">
    <w:p w14:paraId="0C6520F1" w14:textId="77777777" w:rsidR="00895892" w:rsidRPr="000F44BB" w:rsidRDefault="00895892" w:rsidP="00895892">
      <w:pPr>
        <w:pStyle w:val="FootnoteText"/>
        <w:ind w:firstLine="708"/>
        <w:jc w:val="both"/>
        <w:rPr>
          <w:rFonts w:ascii="Verdana" w:hAnsi="Verdana" w:cs="Arial"/>
          <w:sz w:val="16"/>
          <w:szCs w:val="16"/>
        </w:rPr>
      </w:pPr>
      <w:r w:rsidRPr="000F44BB">
        <w:rPr>
          <w:rStyle w:val="FootnoteReference"/>
          <w:rFonts w:ascii="Verdana" w:hAnsi="Verdana" w:cs="Arial"/>
          <w:sz w:val="16"/>
          <w:szCs w:val="16"/>
        </w:rPr>
        <w:footnoteRef/>
      </w:r>
      <w:r w:rsidRPr="000F44BB">
        <w:rPr>
          <w:rFonts w:ascii="Verdana" w:hAnsi="Verdana" w:cs="Arial"/>
          <w:sz w:val="16"/>
          <w:szCs w:val="16"/>
        </w:rPr>
        <w:t xml:space="preserve"> Decreto 1088 de 1993: “Artículo 1° Aplicabilidad. Los Cabildos y/o Autoridades Tradicionales Indígenas, en representación de sus respectivos territorios indígenas, podrán conformar asociaciones de conformidad con el presente Decreto. </w:t>
      </w:r>
    </w:p>
    <w:p w14:paraId="1EAD67BD" w14:textId="77777777" w:rsidR="00895892" w:rsidRPr="000F44BB" w:rsidRDefault="00895892" w:rsidP="00895892">
      <w:pPr>
        <w:pStyle w:val="FootnoteText"/>
        <w:ind w:firstLine="708"/>
        <w:jc w:val="both"/>
        <w:rPr>
          <w:rFonts w:ascii="Verdana" w:hAnsi="Verdana" w:cs="Arial"/>
          <w:sz w:val="16"/>
          <w:szCs w:val="16"/>
        </w:rPr>
      </w:pPr>
      <w:r w:rsidRPr="000F44BB">
        <w:rPr>
          <w:rFonts w:ascii="Verdana" w:hAnsi="Verdana" w:cs="Arial"/>
          <w:sz w:val="16"/>
          <w:szCs w:val="16"/>
        </w:rPr>
        <w:t>“Artículo 2° Naturaleza Jurídica. Las asociaciones de que trata el presente Decreto son entidades de Derecho Público de carácter especial, con personería jurídica, patrimonio propio y autonomía administrativa”.</w:t>
      </w:r>
    </w:p>
  </w:footnote>
  <w:footnote w:id="2">
    <w:p w14:paraId="7D717B3F" w14:textId="77777777" w:rsidR="00895892" w:rsidRPr="000F44BB" w:rsidRDefault="00895892" w:rsidP="00895892">
      <w:pPr>
        <w:shd w:val="clear" w:color="auto" w:fill="FFFFFF"/>
        <w:spacing w:after="0" w:line="240" w:lineRule="auto"/>
        <w:ind w:firstLine="708"/>
        <w:jc w:val="both"/>
        <w:rPr>
          <w:rFonts w:ascii="Verdana" w:hAnsi="Verdana" w:cs="Arial"/>
          <w:color w:val="2D2D2D"/>
          <w:sz w:val="16"/>
          <w:szCs w:val="16"/>
          <w:lang w:eastAsia="es-CO"/>
        </w:rPr>
      </w:pPr>
      <w:r w:rsidRPr="000F44BB">
        <w:rPr>
          <w:rStyle w:val="FootnoteReference"/>
          <w:rFonts w:ascii="Verdana" w:hAnsi="Verdana" w:cs="Arial"/>
          <w:sz w:val="16"/>
          <w:szCs w:val="16"/>
        </w:rPr>
        <w:footnoteRef/>
      </w:r>
      <w:r w:rsidRPr="000F44BB">
        <w:rPr>
          <w:rFonts w:ascii="Verdana" w:hAnsi="Verdana" w:cs="Arial"/>
          <w:sz w:val="16"/>
          <w:szCs w:val="16"/>
        </w:rPr>
        <w:t xml:space="preserve"> Sobre la noción de Resguardos indígenas la Corte Constitucional: “</w:t>
      </w:r>
      <w:r w:rsidRPr="000F44BB">
        <w:rPr>
          <w:rFonts w:ascii="Verdana" w:hAnsi="Verdana" w:cs="Arial"/>
          <w:color w:val="2D2D2D"/>
          <w:sz w:val="16"/>
          <w:szCs w:val="16"/>
          <w:lang w:eastAsia="es-CO"/>
        </w:rPr>
        <w:t>Cabe recordar, que los resguardos indígenas se remontan a la época de la colonización española, fueron creados por Cédula Real y deben su nombre al propósito de “</w:t>
      </w:r>
      <w:r w:rsidRPr="000F44BB">
        <w:rPr>
          <w:rFonts w:ascii="Verdana" w:hAnsi="Verdana" w:cs="Arial"/>
          <w:i/>
          <w:color w:val="2D2D2D"/>
          <w:sz w:val="16"/>
          <w:szCs w:val="16"/>
          <w:lang w:eastAsia="es-CO"/>
        </w:rPr>
        <w:t>resguardar</w:t>
      </w:r>
      <w:r w:rsidRPr="000F44BB">
        <w:rPr>
          <w:rFonts w:ascii="Verdana" w:hAnsi="Verdana" w:cs="Arial"/>
          <w:color w:val="2D2D2D"/>
          <w:sz w:val="16"/>
          <w:szCs w:val="16"/>
          <w:lang w:eastAsia="es-CO"/>
        </w:rPr>
        <w:t xml:space="preserve">” a las comunidades indígenas del desalojo, el despojo y el exterminio al que estaban siendo sometidas por parte de los denominados conquistadores. </w:t>
      </w:r>
    </w:p>
  </w:footnote>
  <w:footnote w:id="3">
    <w:p w14:paraId="05922BEE" w14:textId="77777777" w:rsidR="00895892" w:rsidRPr="000F44BB" w:rsidRDefault="00895892" w:rsidP="00895892">
      <w:pPr>
        <w:pStyle w:val="NormalWeb"/>
        <w:spacing w:before="0" w:beforeAutospacing="0" w:after="0" w:afterAutospacing="0"/>
        <w:ind w:firstLine="708"/>
        <w:jc w:val="both"/>
        <w:rPr>
          <w:rFonts w:ascii="Verdana" w:hAnsi="Verdana" w:cs="Arial"/>
          <w:color w:val="000000"/>
          <w:sz w:val="16"/>
          <w:szCs w:val="16"/>
        </w:rPr>
      </w:pPr>
      <w:r w:rsidRPr="000F44BB">
        <w:rPr>
          <w:rStyle w:val="FootnoteReference"/>
          <w:rFonts w:ascii="Verdana" w:hAnsi="Verdana" w:cs="Arial"/>
          <w:sz w:val="16"/>
          <w:szCs w:val="16"/>
        </w:rPr>
        <w:footnoteRef/>
      </w:r>
      <w:r w:rsidRPr="000F44BB">
        <w:rPr>
          <w:rFonts w:ascii="Verdana" w:hAnsi="Verdana" w:cs="Arial"/>
          <w:sz w:val="16"/>
          <w:szCs w:val="16"/>
        </w:rPr>
        <w:t xml:space="preserve"> Ley 160 de 1994: “</w:t>
      </w:r>
      <w:r w:rsidRPr="000F44BB">
        <w:rPr>
          <w:rFonts w:ascii="Verdana" w:hAnsi="Verdana" w:cs="Arial"/>
          <w:color w:val="000000"/>
          <w:sz w:val="16"/>
          <w:szCs w:val="16"/>
        </w:rPr>
        <w:t>Artículo 12. Son funciones del Instituto Colombiano de la Reforma Agraria:  </w:t>
      </w:r>
    </w:p>
    <w:p w14:paraId="53AC0FAB" w14:textId="77777777" w:rsidR="00895892" w:rsidRPr="000F44BB" w:rsidRDefault="00895892" w:rsidP="00895892">
      <w:pPr>
        <w:spacing w:after="0" w:line="240" w:lineRule="auto"/>
        <w:ind w:firstLine="708"/>
        <w:jc w:val="both"/>
        <w:rPr>
          <w:rFonts w:ascii="Verdana" w:hAnsi="Verdana" w:cs="Arial"/>
          <w:color w:val="000000"/>
          <w:sz w:val="16"/>
          <w:szCs w:val="16"/>
          <w:lang w:eastAsia="es-CO"/>
        </w:rPr>
      </w:pPr>
      <w:r w:rsidRPr="000F44BB">
        <w:rPr>
          <w:rFonts w:ascii="Verdana" w:hAnsi="Verdana" w:cs="Arial"/>
          <w:color w:val="000000"/>
          <w:sz w:val="16"/>
          <w:szCs w:val="16"/>
          <w:lang w:eastAsia="es-CO"/>
        </w:rPr>
        <w:t>[…]</w:t>
      </w:r>
    </w:p>
    <w:p w14:paraId="0AE1F488" w14:textId="77777777" w:rsidR="00895892" w:rsidRPr="000F44BB" w:rsidRDefault="00895892" w:rsidP="00895892">
      <w:pPr>
        <w:spacing w:after="0" w:line="240" w:lineRule="auto"/>
        <w:ind w:firstLine="708"/>
        <w:jc w:val="both"/>
        <w:rPr>
          <w:rFonts w:ascii="Verdana" w:hAnsi="Verdana" w:cs="Arial"/>
          <w:color w:val="000000"/>
          <w:sz w:val="16"/>
          <w:szCs w:val="16"/>
          <w:lang w:eastAsia="es-CO"/>
        </w:rPr>
      </w:pPr>
      <w:r w:rsidRPr="000F44BB">
        <w:rPr>
          <w:rFonts w:ascii="Verdana" w:hAnsi="Verdana" w:cs="Arial"/>
          <w:color w:val="000000"/>
          <w:sz w:val="16"/>
          <w:szCs w:val="16"/>
          <w:lang w:eastAsia="es-CO"/>
        </w:rPr>
        <w:t>“18. Estudiar las necesidades de tierras de las comunidades indígenas y constituir, ampliar, sanear y reestructurar los resguardos en beneficio de las respectivas parcialidades […]”.</w:t>
      </w:r>
    </w:p>
  </w:footnote>
  <w:footnote w:id="4">
    <w:p w14:paraId="196EBDFB" w14:textId="77777777" w:rsidR="00895892" w:rsidRPr="000F44BB" w:rsidRDefault="00895892" w:rsidP="00895892">
      <w:pPr>
        <w:pStyle w:val="FootnoteText"/>
        <w:ind w:firstLine="708"/>
        <w:jc w:val="both"/>
        <w:rPr>
          <w:rFonts w:ascii="Verdana" w:hAnsi="Verdana" w:cs="Arial"/>
          <w:sz w:val="16"/>
          <w:szCs w:val="16"/>
        </w:rPr>
      </w:pPr>
      <w:r w:rsidRPr="000F44BB">
        <w:rPr>
          <w:rStyle w:val="FootnoteReference"/>
          <w:rFonts w:ascii="Verdana" w:hAnsi="Verdana" w:cs="Arial"/>
          <w:sz w:val="16"/>
          <w:szCs w:val="16"/>
        </w:rPr>
        <w:footnoteRef/>
      </w:r>
      <w:r w:rsidRPr="000F44BB">
        <w:rPr>
          <w:rFonts w:ascii="Verdana" w:hAnsi="Verdana" w:cs="Arial"/>
          <w:sz w:val="16"/>
          <w:szCs w:val="16"/>
        </w:rPr>
        <w:t xml:space="preserve">  Ley 160 de 1994 “Articulo 85. El Instituto estudiará las necesidades de tierras, de las comunidades indígenas, para el efecto de dotarlas de las superficies indispensables que faciliten su adecuado asentamiento y desarrollo, y además llevará a cabo el estudio de los títulos que aquellas presenten con el fin de establecer la existencia legal de los resguardos. </w:t>
      </w:r>
    </w:p>
    <w:p w14:paraId="487AFEFB" w14:textId="77777777" w:rsidR="00895892" w:rsidRPr="000F44BB" w:rsidRDefault="00895892" w:rsidP="00895892">
      <w:pPr>
        <w:pStyle w:val="FootnoteText"/>
        <w:ind w:firstLine="708"/>
        <w:jc w:val="both"/>
        <w:rPr>
          <w:rFonts w:ascii="Verdana" w:hAnsi="Verdana" w:cs="Arial"/>
          <w:sz w:val="16"/>
          <w:szCs w:val="16"/>
        </w:rPr>
      </w:pPr>
      <w:r w:rsidRPr="000F44BB">
        <w:rPr>
          <w:rFonts w:ascii="Verdana" w:hAnsi="Verdana" w:cs="Arial"/>
          <w:sz w:val="16"/>
          <w:szCs w:val="16"/>
        </w:rPr>
        <w:t xml:space="preserve">“Con tal objeto constituirá o ampliará resguardos de tierras y procederá al saneamiento de aquellos que estuvieren ocupados por personas que no pertenezcan a la respectiva parcialidad. </w:t>
      </w:r>
    </w:p>
  </w:footnote>
  <w:footnote w:id="5">
    <w:p w14:paraId="3194B0E3" w14:textId="77777777" w:rsidR="00895892" w:rsidRPr="000F44BB" w:rsidRDefault="00895892" w:rsidP="00895892">
      <w:pPr>
        <w:pStyle w:val="NormalWeb"/>
        <w:spacing w:before="0" w:beforeAutospacing="0" w:after="0" w:afterAutospacing="0"/>
        <w:ind w:firstLine="708"/>
        <w:jc w:val="both"/>
        <w:rPr>
          <w:rFonts w:ascii="Verdana" w:hAnsi="Verdana" w:cs="Arial"/>
          <w:sz w:val="16"/>
          <w:szCs w:val="16"/>
        </w:rPr>
      </w:pPr>
      <w:r w:rsidRPr="000F44BB">
        <w:rPr>
          <w:rStyle w:val="FootnoteReference"/>
          <w:rFonts w:ascii="Verdana" w:hAnsi="Verdana" w:cs="Arial"/>
          <w:sz w:val="16"/>
          <w:szCs w:val="16"/>
        </w:rPr>
        <w:footnoteRef/>
      </w:r>
      <w:r w:rsidRPr="000F44BB">
        <w:rPr>
          <w:rFonts w:ascii="Verdana" w:hAnsi="Verdana" w:cs="Arial"/>
          <w:sz w:val="16"/>
          <w:szCs w:val="16"/>
        </w:rPr>
        <w:t xml:space="preserve"> Decreto 1953 de 2014: “</w:t>
      </w:r>
      <w:r w:rsidRPr="000F44BB">
        <w:rPr>
          <w:rFonts w:ascii="Verdana" w:hAnsi="Verdana" w:cs="Arial"/>
          <w:color w:val="000000"/>
          <w:sz w:val="16"/>
          <w:szCs w:val="16"/>
        </w:rPr>
        <w:t>Artículo 3°. Funcionamiento de los Territorios Indígenas</w:t>
      </w:r>
      <w:r w:rsidRPr="000F44BB">
        <w:rPr>
          <w:rFonts w:ascii="Verdana" w:hAnsi="Verdana" w:cs="Arial"/>
          <w:i/>
          <w:color w:val="000000"/>
          <w:sz w:val="16"/>
          <w:szCs w:val="16"/>
        </w:rPr>
        <w:t>. </w:t>
      </w:r>
      <w:r w:rsidRPr="000F44BB">
        <w:rPr>
          <w:rFonts w:ascii="Verdana" w:hAnsi="Verdana" w:cs="Arial"/>
          <w:color w:val="000000"/>
          <w:sz w:val="16"/>
          <w:szCs w:val="16"/>
        </w:rPr>
        <w:t xml:space="preserve">Los Territorios Indígenas podrán ponerse en funcionamiento, de manera transitoria, de conformidad con las disposiciones del presente decreto, mientras el Congreso expide la Ley Orgánica de Ordenamiento Territorial que crea las entidades territoriales indígenas. </w:t>
      </w:r>
    </w:p>
  </w:footnote>
  <w:footnote w:id="6">
    <w:p w14:paraId="3052B5CE" w14:textId="77777777" w:rsidR="00895892" w:rsidRPr="000F44BB" w:rsidRDefault="00895892" w:rsidP="00895892">
      <w:pPr>
        <w:pStyle w:val="FootnoteText"/>
        <w:ind w:firstLine="708"/>
        <w:jc w:val="both"/>
        <w:rPr>
          <w:rFonts w:ascii="Verdana" w:hAnsi="Verdana" w:cs="Arial"/>
          <w:sz w:val="16"/>
          <w:szCs w:val="16"/>
        </w:rPr>
      </w:pPr>
      <w:r w:rsidRPr="000F44BB">
        <w:rPr>
          <w:rStyle w:val="FootnoteReference"/>
          <w:rFonts w:ascii="Verdana" w:hAnsi="Verdana" w:cs="Arial"/>
          <w:sz w:val="16"/>
          <w:szCs w:val="16"/>
        </w:rPr>
        <w:footnoteRef/>
      </w:r>
      <w:r w:rsidRPr="000F44BB">
        <w:rPr>
          <w:rFonts w:ascii="Verdana" w:hAnsi="Verdana" w:cs="Arial"/>
          <w:sz w:val="16"/>
          <w:szCs w:val="16"/>
        </w:rPr>
        <w:t xml:space="preserve"> Ibidem. </w:t>
      </w:r>
    </w:p>
  </w:footnote>
  <w:footnote w:id="7">
    <w:p w14:paraId="7015624B" w14:textId="77777777" w:rsidR="00895892" w:rsidRPr="000F44BB" w:rsidRDefault="00895892" w:rsidP="00895892">
      <w:pPr>
        <w:spacing w:after="0" w:line="240" w:lineRule="auto"/>
        <w:ind w:firstLine="708"/>
        <w:jc w:val="both"/>
        <w:rPr>
          <w:rFonts w:ascii="Verdana" w:eastAsia="Calibri" w:hAnsi="Verdana" w:cs="Arial"/>
          <w:sz w:val="16"/>
          <w:szCs w:val="16"/>
          <w:lang w:val="es-ES"/>
        </w:rPr>
      </w:pPr>
      <w:r w:rsidRPr="000F44BB">
        <w:rPr>
          <w:rStyle w:val="FootnoteReference"/>
          <w:rFonts w:ascii="Verdana" w:hAnsi="Verdana" w:cs="Arial"/>
          <w:sz w:val="16"/>
          <w:szCs w:val="16"/>
        </w:rPr>
        <w:footnoteRef/>
      </w:r>
      <w:r w:rsidRPr="000F44BB">
        <w:rPr>
          <w:rFonts w:ascii="Verdana" w:hAnsi="Verdana" w:cs="Arial"/>
          <w:sz w:val="16"/>
          <w:szCs w:val="16"/>
        </w:rPr>
        <w:t xml:space="preserve"> </w:t>
      </w:r>
      <w:r w:rsidRPr="000F44BB">
        <w:rPr>
          <w:rFonts w:ascii="Verdana" w:eastAsia="Calibri" w:hAnsi="Verdana" w:cs="Arial"/>
          <w:sz w:val="16"/>
          <w:szCs w:val="16"/>
          <w:lang w:val="es-ES"/>
        </w:rPr>
        <w:t xml:space="preserve">Artículo 20. Ejecución de recursos. Los actos o contratos que expidan o celebren los Territorios Indígenas, según sea el caso, para la ejecución de los recursos a que hace referencia el presente decreto, se regirán por las normas del Estatuto Orgánico de Presupuesto, el Estatuto de Contratación Estatal, las normas contables que para este efecto defina la Contaduría General de la Nación y las demás disposiciones complementarias, y por las disposiciones vigentes para aquellos sectores en los cuales haya sido certificado. </w:t>
      </w:r>
    </w:p>
    <w:p w14:paraId="7F68DBDE" w14:textId="77777777" w:rsidR="00895892" w:rsidRPr="000F44BB" w:rsidRDefault="00895892" w:rsidP="00895892">
      <w:pPr>
        <w:spacing w:after="0" w:line="240" w:lineRule="auto"/>
        <w:ind w:firstLine="708"/>
        <w:jc w:val="both"/>
        <w:rPr>
          <w:rFonts w:ascii="Verdana" w:eastAsia="Calibri" w:hAnsi="Verdana" w:cs="Arial"/>
          <w:sz w:val="16"/>
          <w:szCs w:val="16"/>
          <w:lang w:val="es-ES"/>
        </w:rPr>
      </w:pPr>
      <w:r w:rsidRPr="000F44BB">
        <w:rPr>
          <w:rFonts w:ascii="Verdana" w:eastAsia="Calibri" w:hAnsi="Verdana" w:cs="Arial"/>
          <w:sz w:val="16"/>
          <w:szCs w:val="16"/>
          <w:lang w:val="es-ES"/>
        </w:rPr>
        <w:t>Parágrafo. Cuando los Territorios Indígenas requieran celebrar contratos con las asociaciones de cabildos y/o autoridades tradicionales indígenas constituidos bajo lo dispuesto en el Decreto 1088 de 1993, la modalidad de selección se surtirá de acuerdo con lo establecido en el literal c) del numeral 4 del artículo 2° de la Ley 1150 de 2007.</w:t>
      </w:r>
    </w:p>
  </w:footnote>
  <w:footnote w:id="8">
    <w:p w14:paraId="74C7C0F7" w14:textId="77777777" w:rsidR="00895892" w:rsidRPr="000F44BB" w:rsidRDefault="00895892" w:rsidP="00895892">
      <w:pPr>
        <w:pStyle w:val="FootnoteText"/>
        <w:ind w:firstLine="709"/>
        <w:jc w:val="both"/>
        <w:rPr>
          <w:rFonts w:ascii="Verdana" w:hAnsi="Verdana" w:cs="Arial"/>
          <w:sz w:val="16"/>
          <w:szCs w:val="16"/>
        </w:rPr>
      </w:pPr>
      <w:r w:rsidRPr="000F44BB">
        <w:rPr>
          <w:rStyle w:val="FootnoteReference"/>
          <w:rFonts w:ascii="Verdana" w:hAnsi="Verdana" w:cs="Arial"/>
          <w:sz w:val="16"/>
          <w:szCs w:val="16"/>
        </w:rPr>
        <w:footnoteRef/>
      </w:r>
      <w:r w:rsidRPr="000F44BB">
        <w:rPr>
          <w:rFonts w:ascii="Verdana" w:hAnsi="Verdana" w:cs="Arial"/>
          <w:sz w:val="16"/>
          <w:szCs w:val="16"/>
        </w:rPr>
        <w:t xml:space="preserve"> Decreto 1953 de 2014: “Artículo 13. Competencias Generales de los Territorios Indígenas. Los Territorios Indígenas ejercerán las siguientes competencias dentro del ámbito de su autonomía para la gestión de sus intereses en el marco de sus planes de vida:</w:t>
      </w:r>
    </w:p>
    <w:p w14:paraId="2E42C489" w14:textId="77777777" w:rsidR="00895892" w:rsidRPr="000F44BB" w:rsidRDefault="00895892" w:rsidP="00895892">
      <w:pPr>
        <w:pStyle w:val="FootnoteText"/>
        <w:ind w:firstLine="709"/>
        <w:jc w:val="both"/>
        <w:rPr>
          <w:rFonts w:ascii="Verdana" w:hAnsi="Verdana" w:cs="Arial"/>
          <w:sz w:val="16"/>
          <w:szCs w:val="16"/>
        </w:rPr>
      </w:pPr>
      <w:r w:rsidRPr="000F44BB">
        <w:rPr>
          <w:rFonts w:ascii="Verdana" w:hAnsi="Verdana" w:cs="Arial"/>
          <w:sz w:val="16"/>
          <w:szCs w:val="16"/>
        </w:rPr>
        <w:t>“1. Gobernarse por Autoridades Propias de acuerdo con la ley de origen, derecho mayor o derecho propio.</w:t>
      </w:r>
    </w:p>
    <w:p w14:paraId="527A7889" w14:textId="77777777" w:rsidR="00895892" w:rsidRPr="000F44BB" w:rsidRDefault="00895892" w:rsidP="00895892">
      <w:pPr>
        <w:pStyle w:val="FootnoteText"/>
        <w:ind w:firstLine="709"/>
        <w:jc w:val="both"/>
        <w:rPr>
          <w:rFonts w:ascii="Verdana" w:hAnsi="Verdana" w:cs="Arial"/>
          <w:sz w:val="16"/>
          <w:szCs w:val="16"/>
        </w:rPr>
      </w:pPr>
      <w:r w:rsidRPr="000F44BB">
        <w:rPr>
          <w:rFonts w:ascii="Verdana" w:hAnsi="Verdana" w:cs="Arial"/>
          <w:sz w:val="16"/>
          <w:szCs w:val="16"/>
        </w:rPr>
        <w:t>“2. Ejercer las competencias y derechos establecidos en este decreto, conforme con la Constitución Política, la legislación nacional e internacional que hace parte del bloque de constitucionalidad, la ley de origen, el derecho mayor o derecho propio.</w:t>
      </w:r>
    </w:p>
    <w:p w14:paraId="3F6F0586" w14:textId="77777777" w:rsidR="00895892" w:rsidRPr="000F44BB" w:rsidRDefault="00895892" w:rsidP="00895892">
      <w:pPr>
        <w:pStyle w:val="FootnoteText"/>
        <w:ind w:firstLine="709"/>
        <w:jc w:val="both"/>
        <w:rPr>
          <w:rFonts w:ascii="Verdana" w:hAnsi="Verdana" w:cs="Arial"/>
          <w:sz w:val="16"/>
          <w:szCs w:val="16"/>
        </w:rPr>
      </w:pPr>
      <w:r w:rsidRPr="000F44BB">
        <w:rPr>
          <w:rFonts w:ascii="Verdana" w:hAnsi="Verdana" w:cs="Arial"/>
          <w:sz w:val="16"/>
          <w:szCs w:val="16"/>
        </w:rPr>
        <w:t>“3. Definir, ejecutar y evaluar las políticas económicas, sociales, ambientales y culturales propias en el marco de los planes de vida, en los respectivos territorios dentro del marco de la legislación nacional, y conforme a los principios de coordinación, concurrencia y subsidiariedad.</w:t>
      </w:r>
    </w:p>
    <w:p w14:paraId="2133B2C8" w14:textId="77777777" w:rsidR="00895892" w:rsidRPr="000F44BB" w:rsidRDefault="00895892" w:rsidP="00895892">
      <w:pPr>
        <w:pStyle w:val="FootnoteText"/>
        <w:ind w:firstLine="709"/>
        <w:jc w:val="both"/>
        <w:rPr>
          <w:rFonts w:ascii="Verdana" w:hAnsi="Verdana" w:cs="Arial"/>
          <w:sz w:val="16"/>
          <w:szCs w:val="16"/>
        </w:rPr>
      </w:pPr>
      <w:r w:rsidRPr="000F44BB">
        <w:rPr>
          <w:rFonts w:ascii="Verdana" w:hAnsi="Verdana" w:cs="Arial"/>
          <w:sz w:val="16"/>
          <w:szCs w:val="16"/>
        </w:rPr>
        <w:t>“4. Darse sus estructuras de gobierno propio y de coordinación para efectos del desarrollo de sus respectivas competencias.</w:t>
      </w:r>
    </w:p>
    <w:p w14:paraId="575E78F9" w14:textId="77777777" w:rsidR="00895892" w:rsidRPr="000F44BB" w:rsidRDefault="00895892" w:rsidP="00895892">
      <w:pPr>
        <w:pStyle w:val="FootnoteText"/>
        <w:ind w:firstLine="708"/>
        <w:jc w:val="both"/>
        <w:rPr>
          <w:rFonts w:ascii="Verdana" w:hAnsi="Verdana" w:cs="Arial"/>
          <w:sz w:val="16"/>
          <w:szCs w:val="16"/>
        </w:rPr>
      </w:pPr>
      <w:r w:rsidRPr="000F44BB">
        <w:rPr>
          <w:rFonts w:ascii="Verdana" w:hAnsi="Verdana" w:cs="Arial"/>
          <w:sz w:val="16"/>
          <w:szCs w:val="16"/>
        </w:rPr>
        <w:t>“5. Percibir y administrar los recursos provenientes de fuentes de financiación públicas y/o privadas para el desarrollo de sus funciones y competencias de acuerdo con lo establecido en este decreto”.</w:t>
      </w:r>
    </w:p>
  </w:footnote>
  <w:footnote w:id="9">
    <w:p w14:paraId="5E53CBE3" w14:textId="77777777" w:rsidR="00895892" w:rsidRPr="000F44BB" w:rsidRDefault="00895892" w:rsidP="00895892">
      <w:pPr>
        <w:pStyle w:val="FootnoteText"/>
        <w:ind w:firstLine="709"/>
        <w:contextualSpacing/>
        <w:jc w:val="both"/>
        <w:rPr>
          <w:rFonts w:ascii="Verdana" w:hAnsi="Verdana" w:cs="Arial"/>
          <w:sz w:val="16"/>
          <w:szCs w:val="16"/>
        </w:rPr>
      </w:pPr>
      <w:r w:rsidRPr="000F44BB">
        <w:rPr>
          <w:rStyle w:val="FootnoteReference"/>
          <w:rFonts w:ascii="Verdana" w:hAnsi="Verdana" w:cs="Arial"/>
          <w:sz w:val="16"/>
          <w:szCs w:val="16"/>
        </w:rPr>
        <w:footnoteRef/>
      </w:r>
      <w:r w:rsidRPr="000F44BB">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4FC19EBA" w14:textId="77777777" w:rsidR="00895892" w:rsidRPr="000F44BB" w:rsidRDefault="00895892" w:rsidP="00895892">
      <w:pPr>
        <w:pStyle w:val="FootnoteText"/>
        <w:ind w:firstLine="709"/>
        <w:contextualSpacing/>
        <w:jc w:val="both"/>
        <w:rPr>
          <w:rFonts w:ascii="Verdana" w:hAnsi="Verdana" w:cs="Arial"/>
          <w:sz w:val="16"/>
          <w:szCs w:val="16"/>
        </w:rPr>
      </w:pPr>
      <w:r w:rsidRPr="000F44BB">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10">
    <w:p w14:paraId="51F3288D" w14:textId="77777777" w:rsidR="00895892" w:rsidRPr="000F44BB" w:rsidRDefault="00895892" w:rsidP="00895892">
      <w:pPr>
        <w:pStyle w:val="FootnoteText"/>
        <w:ind w:firstLine="709"/>
        <w:contextualSpacing/>
        <w:jc w:val="both"/>
        <w:rPr>
          <w:rFonts w:ascii="Verdana" w:hAnsi="Verdana" w:cs="Arial"/>
          <w:sz w:val="16"/>
          <w:szCs w:val="16"/>
        </w:rPr>
      </w:pPr>
      <w:r w:rsidRPr="000F44BB">
        <w:rPr>
          <w:rStyle w:val="FootnoteReference"/>
          <w:rFonts w:ascii="Verdana" w:hAnsi="Verdana" w:cs="Arial"/>
          <w:sz w:val="16"/>
          <w:szCs w:val="16"/>
        </w:rPr>
        <w:footnoteRef/>
      </w:r>
      <w:r w:rsidRPr="000F44BB">
        <w:rPr>
          <w:rFonts w:ascii="Verdana" w:hAnsi="Verdana" w:cs="Arial"/>
          <w:sz w:val="16"/>
          <w:szCs w:val="16"/>
        </w:rPr>
        <w:t xml:space="preserve"> Gaceta del Congreso de la República No. 71 del 2005.</w:t>
      </w:r>
    </w:p>
  </w:footnote>
  <w:footnote w:id="11">
    <w:p w14:paraId="78678109" w14:textId="77777777" w:rsidR="00895892" w:rsidRPr="000F44BB" w:rsidRDefault="00895892" w:rsidP="00895892">
      <w:pPr>
        <w:pStyle w:val="FootnoteText"/>
        <w:ind w:firstLine="709"/>
        <w:contextualSpacing/>
        <w:jc w:val="both"/>
        <w:rPr>
          <w:rFonts w:ascii="Verdana" w:hAnsi="Verdana" w:cs="Arial"/>
          <w:sz w:val="16"/>
          <w:szCs w:val="16"/>
          <w:lang w:val="pt-BR"/>
        </w:rPr>
      </w:pPr>
      <w:r w:rsidRPr="000F44BB">
        <w:rPr>
          <w:rStyle w:val="FootnoteReference"/>
          <w:rFonts w:ascii="Verdana" w:hAnsi="Verdana" w:cs="Arial"/>
          <w:sz w:val="16"/>
          <w:szCs w:val="16"/>
        </w:rPr>
        <w:footnoteRef/>
      </w:r>
      <w:r w:rsidRPr="000F44BB">
        <w:rPr>
          <w:rFonts w:ascii="Verdana" w:hAnsi="Verdana" w:cs="Arial"/>
          <w:sz w:val="16"/>
          <w:szCs w:val="16"/>
          <w:lang w:val="pt-BR"/>
        </w:rPr>
        <w:t xml:space="preserve"> Corte Constitucional, Sentencia C- 1153 de 2005, M.P. Marco Gerardo </w:t>
      </w:r>
      <w:proofErr w:type="spellStart"/>
      <w:r w:rsidRPr="000F44BB">
        <w:rPr>
          <w:rFonts w:ascii="Verdana" w:hAnsi="Verdana" w:cs="Arial"/>
          <w:sz w:val="16"/>
          <w:szCs w:val="16"/>
          <w:lang w:val="pt-BR"/>
        </w:rPr>
        <w:t>Monroy</w:t>
      </w:r>
      <w:proofErr w:type="spellEnd"/>
      <w:r w:rsidRPr="000F44BB">
        <w:rPr>
          <w:rFonts w:ascii="Verdana" w:hAnsi="Verdana" w:cs="Arial"/>
          <w:sz w:val="16"/>
          <w:szCs w:val="16"/>
          <w:lang w:val="pt-BR"/>
        </w:rPr>
        <w:t xml:space="preserve"> Cabra.</w:t>
      </w:r>
    </w:p>
  </w:footnote>
  <w:footnote w:id="12">
    <w:p w14:paraId="35CE31FA" w14:textId="77777777" w:rsidR="00895892" w:rsidRPr="000F44BB" w:rsidRDefault="00895892" w:rsidP="00895892">
      <w:pPr>
        <w:pStyle w:val="FootnoteText"/>
        <w:ind w:firstLine="709"/>
        <w:contextualSpacing/>
        <w:jc w:val="both"/>
        <w:rPr>
          <w:rFonts w:ascii="Verdana" w:hAnsi="Verdana" w:cs="Arial"/>
          <w:sz w:val="16"/>
          <w:szCs w:val="16"/>
          <w:lang w:val="pt-BR"/>
        </w:rPr>
      </w:pPr>
      <w:r w:rsidRPr="000F44BB">
        <w:rPr>
          <w:rStyle w:val="FootnoteReference"/>
          <w:rFonts w:ascii="Verdana" w:hAnsi="Verdana" w:cs="Arial"/>
          <w:sz w:val="16"/>
          <w:szCs w:val="16"/>
        </w:rPr>
        <w:footnoteRef/>
      </w:r>
      <w:r w:rsidRPr="000F44BB">
        <w:rPr>
          <w:rFonts w:ascii="Verdana" w:hAnsi="Verdana" w:cs="Arial"/>
          <w:sz w:val="16"/>
          <w:szCs w:val="16"/>
          <w:lang w:val="pt-BR"/>
        </w:rPr>
        <w:t xml:space="preserve"> Corte Constitucional. Sentencias: C-233 de 4 de abril de 2002, expediente: D-3704; C-551 de 9 de </w:t>
      </w:r>
      <w:proofErr w:type="spellStart"/>
      <w:r w:rsidRPr="000F44BB">
        <w:rPr>
          <w:rFonts w:ascii="Verdana" w:hAnsi="Verdana" w:cs="Arial"/>
          <w:sz w:val="16"/>
          <w:szCs w:val="16"/>
          <w:lang w:val="pt-BR"/>
        </w:rPr>
        <w:t>julio</w:t>
      </w:r>
      <w:proofErr w:type="spellEnd"/>
      <w:r w:rsidRPr="000F44BB">
        <w:rPr>
          <w:rFonts w:ascii="Verdana" w:hAnsi="Verdana" w:cs="Arial"/>
          <w:sz w:val="16"/>
          <w:szCs w:val="16"/>
          <w:lang w:val="pt-BR"/>
        </w:rPr>
        <w:t xml:space="preserve"> de 2003, expediente: CRF-001 de 9 de </w:t>
      </w:r>
      <w:proofErr w:type="spellStart"/>
      <w:r w:rsidRPr="000F44BB">
        <w:rPr>
          <w:rFonts w:ascii="Verdana" w:hAnsi="Verdana" w:cs="Arial"/>
          <w:sz w:val="16"/>
          <w:szCs w:val="16"/>
          <w:lang w:val="pt-BR"/>
        </w:rPr>
        <w:t>julio</w:t>
      </w:r>
      <w:proofErr w:type="spellEnd"/>
      <w:r w:rsidRPr="000F44BB">
        <w:rPr>
          <w:rFonts w:ascii="Verdana" w:hAnsi="Verdana" w:cs="Arial"/>
          <w:sz w:val="16"/>
          <w:szCs w:val="16"/>
          <w:lang w:val="pt-BR"/>
        </w:rPr>
        <w:t xml:space="preserve"> de 2003; C-652 de 5 de agosto de 2003, expediente: D-4330; C-353 de 20 de </w:t>
      </w:r>
      <w:proofErr w:type="spellStart"/>
      <w:r w:rsidRPr="000F44BB">
        <w:rPr>
          <w:rFonts w:ascii="Verdana" w:hAnsi="Verdana" w:cs="Arial"/>
          <w:sz w:val="16"/>
          <w:szCs w:val="16"/>
          <w:lang w:val="pt-BR"/>
        </w:rPr>
        <w:t>mayo</w:t>
      </w:r>
      <w:proofErr w:type="spellEnd"/>
      <w:r w:rsidRPr="000F44BB">
        <w:rPr>
          <w:rFonts w:ascii="Verdana" w:hAnsi="Verdana" w:cs="Arial"/>
          <w:sz w:val="16"/>
          <w:szCs w:val="16"/>
          <w:lang w:val="pt-BR"/>
        </w:rPr>
        <w:t xml:space="preserve"> de 2009, expediente: D-7518, C-541 de 30 de </w:t>
      </w:r>
      <w:proofErr w:type="spellStart"/>
      <w:r w:rsidRPr="000F44BB">
        <w:rPr>
          <w:rFonts w:ascii="Verdana" w:hAnsi="Verdana" w:cs="Arial"/>
          <w:sz w:val="16"/>
          <w:szCs w:val="16"/>
          <w:lang w:val="pt-BR"/>
        </w:rPr>
        <w:t>junio</w:t>
      </w:r>
      <w:proofErr w:type="spellEnd"/>
      <w:r w:rsidRPr="000F44BB">
        <w:rPr>
          <w:rFonts w:ascii="Verdana" w:hAnsi="Verdana" w:cs="Arial"/>
          <w:sz w:val="16"/>
          <w:szCs w:val="16"/>
          <w:lang w:val="pt-BR"/>
        </w:rPr>
        <w:t xml:space="preserve"> de 2010, expediente: DD7966; entre </w:t>
      </w:r>
      <w:proofErr w:type="spellStart"/>
      <w:r w:rsidRPr="000F44BB">
        <w:rPr>
          <w:rFonts w:ascii="Verdana" w:hAnsi="Verdana" w:cs="Arial"/>
          <w:sz w:val="16"/>
          <w:szCs w:val="16"/>
          <w:lang w:val="pt-BR"/>
        </w:rPr>
        <w:t>otras</w:t>
      </w:r>
      <w:proofErr w:type="spellEnd"/>
      <w:r w:rsidRPr="000F44BB">
        <w:rPr>
          <w:rFonts w:ascii="Verdana" w:hAnsi="Verdana" w:cs="Arial"/>
          <w:sz w:val="16"/>
          <w:szCs w:val="16"/>
          <w:lang w:val="pt-BR"/>
        </w:rPr>
        <w:t>.</w:t>
      </w:r>
    </w:p>
  </w:footnote>
  <w:footnote w:id="13">
    <w:p w14:paraId="42601977" w14:textId="77777777" w:rsidR="00895892" w:rsidRPr="000F44BB" w:rsidRDefault="00895892" w:rsidP="00895892">
      <w:pPr>
        <w:pStyle w:val="FootnoteText"/>
        <w:ind w:firstLine="709"/>
        <w:contextualSpacing/>
        <w:jc w:val="both"/>
        <w:rPr>
          <w:rFonts w:ascii="Verdana" w:hAnsi="Verdana" w:cs="Arial"/>
          <w:sz w:val="16"/>
          <w:szCs w:val="16"/>
          <w:lang w:val="es-CO"/>
        </w:rPr>
      </w:pPr>
      <w:r w:rsidRPr="000F44BB">
        <w:rPr>
          <w:rStyle w:val="FootnoteReference"/>
          <w:rFonts w:ascii="Verdana" w:hAnsi="Verdana" w:cs="Arial"/>
          <w:sz w:val="16"/>
          <w:szCs w:val="16"/>
        </w:rPr>
        <w:footnoteRef/>
      </w:r>
      <w:r w:rsidRPr="000F44BB">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14">
    <w:p w14:paraId="7BBDB54E" w14:textId="77777777" w:rsidR="00895892" w:rsidRPr="000F44BB" w:rsidRDefault="00895892" w:rsidP="00895892">
      <w:pPr>
        <w:pStyle w:val="FootnoteText"/>
        <w:ind w:firstLine="709"/>
        <w:contextualSpacing/>
        <w:jc w:val="both"/>
        <w:rPr>
          <w:rFonts w:ascii="Verdana" w:hAnsi="Verdana" w:cs="Arial"/>
          <w:sz w:val="16"/>
          <w:szCs w:val="16"/>
        </w:rPr>
      </w:pPr>
      <w:r w:rsidRPr="000F44BB">
        <w:rPr>
          <w:rStyle w:val="FootnoteReference"/>
          <w:rFonts w:ascii="Verdana" w:hAnsi="Verdana" w:cs="Arial"/>
          <w:sz w:val="16"/>
          <w:szCs w:val="16"/>
        </w:rPr>
        <w:footnoteRef/>
      </w:r>
      <w:r w:rsidRPr="000F44BB">
        <w:rPr>
          <w:rFonts w:ascii="Verdana" w:hAnsi="Verdana" w:cs="Arial"/>
          <w:sz w:val="16"/>
          <w:szCs w:val="16"/>
        </w:rPr>
        <w:t xml:space="preserve"> Consejo de Estado, Sala de Consulta y Servicio Civil de fecha 24 de julio de 2013, Rad. 2166, C. P. Álvaro Namén Vargas.  </w:t>
      </w:r>
    </w:p>
  </w:footnote>
  <w:footnote w:id="15">
    <w:p w14:paraId="37E171B0" w14:textId="77777777" w:rsidR="00895892" w:rsidRPr="000F44BB" w:rsidRDefault="00895892" w:rsidP="00895892">
      <w:pPr>
        <w:spacing w:after="0" w:line="240" w:lineRule="auto"/>
        <w:ind w:firstLine="709"/>
        <w:contextualSpacing/>
        <w:jc w:val="both"/>
        <w:rPr>
          <w:rFonts w:ascii="Verdana" w:eastAsia="Times New Roman" w:hAnsi="Verdana" w:cs="Arial"/>
          <w:sz w:val="16"/>
          <w:szCs w:val="16"/>
        </w:rPr>
      </w:pPr>
      <w:r w:rsidRPr="000F44BB">
        <w:rPr>
          <w:rStyle w:val="FootnoteReference"/>
          <w:rFonts w:ascii="Verdana" w:hAnsi="Verdana" w:cs="Arial"/>
          <w:sz w:val="16"/>
          <w:szCs w:val="16"/>
        </w:rPr>
        <w:footnoteRef/>
      </w:r>
      <w:r w:rsidRPr="000F44BB">
        <w:rPr>
          <w:rFonts w:ascii="Verdana" w:hAnsi="Verdana" w:cs="Arial"/>
          <w:sz w:val="16"/>
          <w:szCs w:val="16"/>
        </w:rPr>
        <w:t xml:space="preserve"> </w:t>
      </w:r>
      <w:r w:rsidRPr="000F44BB">
        <w:rPr>
          <w:rFonts w:ascii="Verdana" w:hAnsi="Verdana" w:cs="Arial"/>
          <w:color w:val="000000"/>
          <w:sz w:val="16"/>
          <w:szCs w:val="16"/>
        </w:rPr>
        <w:t>“</w:t>
      </w:r>
      <w:r w:rsidRPr="000F44BB">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5ED34C9F" w14:textId="77777777" w:rsidR="00895892" w:rsidRPr="000F44BB" w:rsidRDefault="00895892" w:rsidP="00895892">
      <w:pPr>
        <w:spacing w:after="0" w:line="240" w:lineRule="auto"/>
        <w:ind w:firstLine="709"/>
        <w:contextualSpacing/>
        <w:jc w:val="both"/>
        <w:rPr>
          <w:rFonts w:ascii="Verdana" w:eastAsia="Times New Roman" w:hAnsi="Verdana" w:cs="Arial"/>
          <w:sz w:val="16"/>
          <w:szCs w:val="16"/>
        </w:rPr>
      </w:pPr>
      <w:r w:rsidRPr="000F44BB">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0F44BB">
        <w:rPr>
          <w:rFonts w:ascii="Verdana" w:hAnsi="Verdana" w:cs="Arial"/>
          <w:color w:val="000000" w:themeColor="text1"/>
          <w:sz w:val="16"/>
          <w:szCs w:val="16"/>
        </w:rPr>
        <w:t>”</w:t>
      </w:r>
      <w:r w:rsidRPr="000F44BB">
        <w:rPr>
          <w:rFonts w:ascii="Verdana" w:eastAsia="Times New Roman" w:hAnsi="Verdana" w:cs="Arial"/>
          <w:sz w:val="16"/>
          <w:szCs w:val="16"/>
        </w:rPr>
        <w:t>.</w:t>
      </w:r>
    </w:p>
  </w:footnote>
  <w:footnote w:id="16">
    <w:p w14:paraId="6B2F47E0" w14:textId="77777777" w:rsidR="00895892" w:rsidRPr="000F44BB" w:rsidRDefault="00895892" w:rsidP="00895892">
      <w:pPr>
        <w:pStyle w:val="NormalWeb"/>
        <w:spacing w:before="0" w:beforeAutospacing="0" w:after="0" w:afterAutospacing="0"/>
        <w:ind w:firstLine="709"/>
        <w:contextualSpacing/>
        <w:jc w:val="both"/>
        <w:rPr>
          <w:rFonts w:ascii="Verdana" w:hAnsi="Verdana" w:cs="Arial"/>
          <w:sz w:val="16"/>
          <w:szCs w:val="16"/>
          <w:lang w:val="es-MX"/>
        </w:rPr>
      </w:pPr>
      <w:r w:rsidRPr="000F44BB">
        <w:rPr>
          <w:rStyle w:val="FootnoteReference"/>
          <w:rFonts w:ascii="Verdana" w:hAnsi="Verdana" w:cs="Arial"/>
          <w:sz w:val="16"/>
          <w:szCs w:val="16"/>
        </w:rPr>
        <w:footnoteRef/>
      </w:r>
      <w:r w:rsidRPr="000F44BB">
        <w:rPr>
          <w:rFonts w:ascii="Verdana" w:hAnsi="Verdana" w:cs="Arial"/>
          <w:sz w:val="16"/>
          <w:szCs w:val="16"/>
        </w:rPr>
        <w:t xml:space="preserve"> </w:t>
      </w:r>
      <w:r w:rsidRPr="000F44BB">
        <w:rPr>
          <w:rFonts w:ascii="Verdana" w:eastAsia="Calibri" w:hAnsi="Verdana" w:cs="Arial"/>
          <w:color w:val="000000"/>
          <w:sz w:val="16"/>
          <w:szCs w:val="16"/>
        </w:rPr>
        <w:t>“</w:t>
      </w:r>
      <w:r w:rsidRPr="000F44BB">
        <w:rPr>
          <w:rFonts w:ascii="Verdana" w:hAnsi="Verdana" w:cs="Arial"/>
          <w:sz w:val="16"/>
          <w:szCs w:val="16"/>
          <w:lang w:val="es-MX"/>
        </w:rPr>
        <w:t>Artículo 38. Prohibiciones para los servidores públicos. A los empleados del Estado les está prohibido: […]</w:t>
      </w:r>
    </w:p>
    <w:p w14:paraId="0FE54D98" w14:textId="77777777" w:rsidR="00895892" w:rsidRPr="000F44BB" w:rsidRDefault="00895892" w:rsidP="00895892">
      <w:pPr>
        <w:pStyle w:val="NormalWeb"/>
        <w:spacing w:before="0" w:beforeAutospacing="0" w:after="0" w:afterAutospacing="0"/>
        <w:ind w:firstLine="709"/>
        <w:contextualSpacing/>
        <w:jc w:val="both"/>
        <w:rPr>
          <w:rFonts w:ascii="Verdana" w:hAnsi="Verdana" w:cs="Arial"/>
          <w:sz w:val="16"/>
          <w:szCs w:val="16"/>
          <w:lang w:val="es-MX"/>
        </w:rPr>
      </w:pPr>
      <w:r w:rsidRPr="000F44BB">
        <w:rPr>
          <w:rStyle w:val="baj"/>
          <w:rFonts w:ascii="Verdana" w:hAnsi="Verdana" w:cs="Arial"/>
          <w:sz w:val="16"/>
          <w:szCs w:val="16"/>
          <w:lang w:val="es-MX"/>
        </w:rPr>
        <w:t>Parágrafo.</w:t>
      </w:r>
      <w:r w:rsidRPr="000F44BB">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0F44BB">
        <w:rPr>
          <w:rFonts w:ascii="Verdana" w:eastAsia="Calibri" w:hAnsi="Verdana" w:cs="Arial"/>
          <w:color w:val="000000"/>
          <w:sz w:val="16"/>
          <w:szCs w:val="16"/>
        </w:rPr>
        <w:t>”</w:t>
      </w:r>
      <w:r w:rsidRPr="000F44BB">
        <w:rPr>
          <w:rFonts w:ascii="Verdana" w:hAnsi="Verdana" w:cs="Arial"/>
          <w:sz w:val="16"/>
          <w:szCs w:val="16"/>
          <w:lang w:val="es-MX"/>
        </w:rPr>
        <w:t>.</w:t>
      </w:r>
    </w:p>
  </w:footnote>
  <w:footnote w:id="17">
    <w:p w14:paraId="6ADE8560" w14:textId="77777777" w:rsidR="00895892" w:rsidRPr="000F44BB" w:rsidRDefault="00895892" w:rsidP="00895892">
      <w:pPr>
        <w:spacing w:after="0" w:line="240" w:lineRule="auto"/>
        <w:ind w:left="100" w:right="244" w:firstLine="709"/>
        <w:contextualSpacing/>
        <w:jc w:val="both"/>
        <w:rPr>
          <w:rFonts w:ascii="Verdana" w:hAnsi="Verdana" w:cs="Arial"/>
          <w:sz w:val="16"/>
          <w:szCs w:val="16"/>
        </w:rPr>
      </w:pPr>
      <w:r w:rsidRPr="000F44BB">
        <w:rPr>
          <w:rStyle w:val="FootnoteReference"/>
          <w:rFonts w:ascii="Verdana" w:hAnsi="Verdana" w:cs="Arial"/>
          <w:sz w:val="16"/>
          <w:szCs w:val="16"/>
        </w:rPr>
        <w:footnoteRef/>
      </w:r>
      <w:r w:rsidRPr="000F44BB">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8">
    <w:p w14:paraId="75AFA6D0" w14:textId="77777777" w:rsidR="00895892" w:rsidRPr="000F44BB" w:rsidRDefault="00895892" w:rsidP="00895892">
      <w:pPr>
        <w:pStyle w:val="FootnoteText"/>
        <w:ind w:firstLine="709"/>
        <w:contextualSpacing/>
        <w:jc w:val="both"/>
        <w:rPr>
          <w:rFonts w:ascii="Verdana" w:hAnsi="Verdana" w:cs="Arial"/>
          <w:sz w:val="16"/>
          <w:szCs w:val="16"/>
        </w:rPr>
      </w:pPr>
      <w:r w:rsidRPr="000F44BB">
        <w:rPr>
          <w:rStyle w:val="FootnoteReference"/>
          <w:rFonts w:ascii="Verdana" w:hAnsi="Verdana"/>
          <w:sz w:val="16"/>
          <w:szCs w:val="16"/>
        </w:rPr>
        <w:footnoteRef/>
      </w:r>
      <w:r w:rsidRPr="000F44BB">
        <w:rPr>
          <w:rFonts w:ascii="Verdana" w:hAnsi="Verdana"/>
          <w:sz w:val="16"/>
          <w:szCs w:val="16"/>
        </w:rPr>
        <w:t xml:space="preserve"> </w:t>
      </w:r>
      <w:r w:rsidRPr="000F44BB">
        <w:rPr>
          <w:rFonts w:ascii="Verdana" w:hAnsi="Verdana" w:cs="Arial"/>
          <w:sz w:val="16"/>
          <w:szCs w:val="16"/>
        </w:rPr>
        <w:t>Consejo de Estado -Sección Tercera-. Sentencia del 21 de febrero de 2025. Radicación Número: 68.280. CP: José Roberto Sáchica Méndez.</w:t>
      </w:r>
    </w:p>
  </w:footnote>
  <w:footnote w:id="19">
    <w:p w14:paraId="6E9F6BFA" w14:textId="77777777" w:rsidR="00895892" w:rsidRPr="000F44BB" w:rsidRDefault="00895892" w:rsidP="00895892">
      <w:pPr>
        <w:pStyle w:val="FootnoteText"/>
        <w:ind w:firstLine="709"/>
        <w:contextualSpacing/>
        <w:jc w:val="both"/>
        <w:rPr>
          <w:rFonts w:ascii="Verdana" w:hAnsi="Verdana" w:cs="Arial"/>
          <w:sz w:val="16"/>
          <w:szCs w:val="16"/>
        </w:rPr>
      </w:pPr>
      <w:r w:rsidRPr="000F44BB">
        <w:rPr>
          <w:rFonts w:ascii="Verdana" w:hAnsi="Verdana"/>
          <w:sz w:val="16"/>
          <w:szCs w:val="16"/>
          <w:vertAlign w:val="superscript"/>
        </w:rPr>
        <w:footnoteRef/>
      </w:r>
      <w:r w:rsidRPr="000F44BB">
        <w:rPr>
          <w:rFonts w:ascii="Verdana" w:hAnsi="Verdana"/>
          <w:sz w:val="16"/>
          <w:szCs w:val="16"/>
          <w:vertAlign w:val="superscript"/>
        </w:rPr>
        <w:t xml:space="preserve"> </w:t>
      </w:r>
      <w:r w:rsidRPr="000F44BB">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20">
    <w:p w14:paraId="74FE3DBE" w14:textId="77777777" w:rsidR="00895892" w:rsidRPr="000F44BB" w:rsidRDefault="00895892" w:rsidP="00895892">
      <w:pPr>
        <w:pStyle w:val="FootnoteText"/>
        <w:ind w:firstLine="709"/>
        <w:contextualSpacing/>
        <w:jc w:val="both"/>
        <w:rPr>
          <w:rFonts w:ascii="Verdana" w:hAnsi="Verdana" w:cs="Arial"/>
          <w:sz w:val="16"/>
          <w:szCs w:val="16"/>
        </w:rPr>
      </w:pPr>
      <w:r w:rsidRPr="000F44BB">
        <w:rPr>
          <w:rFonts w:ascii="Verdana" w:hAnsi="Verdana"/>
          <w:sz w:val="16"/>
          <w:szCs w:val="16"/>
          <w:vertAlign w:val="superscript"/>
        </w:rPr>
        <w:footnoteRef/>
      </w:r>
      <w:r w:rsidRPr="000F44BB">
        <w:rPr>
          <w:rFonts w:ascii="Verdana" w:hAnsi="Verdana" w:cs="Arial"/>
          <w:sz w:val="16"/>
          <w:szCs w:val="16"/>
          <w:vertAlign w:val="superscript"/>
        </w:rPr>
        <w:t xml:space="preserve"> </w:t>
      </w:r>
      <w:r w:rsidRPr="000F44BB">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p>
    <w:p w14:paraId="58939FD4" w14:textId="77777777" w:rsidR="00895892" w:rsidRPr="000F44BB" w:rsidRDefault="00895892" w:rsidP="00895892">
      <w:pPr>
        <w:pStyle w:val="FootnoteText"/>
        <w:ind w:firstLine="709"/>
        <w:contextualSpacing/>
        <w:jc w:val="both"/>
        <w:rPr>
          <w:rFonts w:ascii="Verdana" w:hAnsi="Verdana" w:cs="Arial"/>
          <w:sz w:val="16"/>
          <w:szCs w:val="16"/>
        </w:rPr>
      </w:pPr>
      <w:r w:rsidRPr="000F44BB">
        <w:rPr>
          <w:rFonts w:ascii="Verdana" w:hAnsi="Verdana" w:cs="Arial"/>
          <w:sz w:val="16"/>
          <w:szCs w:val="16"/>
        </w:rPr>
        <w:t>[…]”.</w:t>
      </w:r>
    </w:p>
  </w:footnote>
  <w:footnote w:id="21">
    <w:p w14:paraId="326760F5" w14:textId="77777777" w:rsidR="00895892" w:rsidRPr="000F44BB" w:rsidRDefault="00895892" w:rsidP="00895892">
      <w:pPr>
        <w:pStyle w:val="FootnoteText"/>
        <w:ind w:firstLine="709"/>
        <w:contextualSpacing/>
        <w:jc w:val="both"/>
        <w:rPr>
          <w:rFonts w:ascii="Verdana" w:hAnsi="Verdana" w:cs="Arial"/>
          <w:sz w:val="16"/>
          <w:szCs w:val="16"/>
        </w:rPr>
      </w:pPr>
      <w:r w:rsidRPr="000F44BB">
        <w:rPr>
          <w:rFonts w:ascii="Verdana" w:hAnsi="Verdana"/>
          <w:sz w:val="16"/>
          <w:szCs w:val="16"/>
          <w:vertAlign w:val="superscript"/>
        </w:rPr>
        <w:footnoteRef/>
      </w:r>
      <w:r w:rsidRPr="000F44BB">
        <w:rPr>
          <w:rFonts w:ascii="Verdana" w:hAnsi="Verdana" w:cs="Arial"/>
          <w:sz w:val="16"/>
          <w:szCs w:val="16"/>
          <w:vertAlign w:val="superscript"/>
        </w:rPr>
        <w:t xml:space="preserve"> </w:t>
      </w:r>
      <w:r w:rsidRPr="000F44BB">
        <w:rPr>
          <w:rFonts w:ascii="Verdana" w:hAnsi="Verdana" w:cs="Arial"/>
          <w:sz w:val="16"/>
          <w:szCs w:val="16"/>
        </w:rPr>
        <w:t>Código Civil: “Artículo 27. Cuando el sentido de la ley sea claro, no se desatenderá su tenor a pretexto de consultar su espíritu”.</w:t>
      </w:r>
    </w:p>
  </w:footnote>
  <w:footnote w:id="22">
    <w:p w14:paraId="42FF61C8" w14:textId="77777777" w:rsidR="00895892" w:rsidRPr="000F44BB" w:rsidRDefault="00895892" w:rsidP="00895892">
      <w:pPr>
        <w:pStyle w:val="FootnoteText"/>
        <w:ind w:firstLine="709"/>
        <w:contextualSpacing/>
        <w:jc w:val="both"/>
        <w:rPr>
          <w:rFonts w:ascii="Verdana" w:hAnsi="Verdana"/>
          <w:sz w:val="16"/>
          <w:szCs w:val="16"/>
          <w:lang w:val="es-CO"/>
        </w:rPr>
      </w:pPr>
      <w:r w:rsidRPr="000F44BB">
        <w:rPr>
          <w:rStyle w:val="FootnoteReference"/>
          <w:rFonts w:ascii="Verdana" w:hAnsi="Verdana"/>
          <w:sz w:val="16"/>
          <w:szCs w:val="16"/>
        </w:rPr>
        <w:footnoteRef/>
      </w:r>
      <w:r w:rsidRPr="000F44BB">
        <w:rPr>
          <w:rFonts w:ascii="Verdana" w:hAnsi="Verdana"/>
          <w:sz w:val="16"/>
          <w:szCs w:val="16"/>
          <w:lang w:val="es-CO"/>
        </w:rPr>
        <w:t xml:space="preserve"> Consejo de Estado, Sección Tercera. Auto del 4 de octubre de 2024. </w:t>
      </w:r>
      <w:proofErr w:type="spellStart"/>
      <w:r w:rsidRPr="000F44BB">
        <w:rPr>
          <w:rFonts w:ascii="Verdana" w:hAnsi="Verdana"/>
          <w:sz w:val="16"/>
          <w:szCs w:val="16"/>
          <w:lang w:val="es-CO"/>
        </w:rPr>
        <w:t>Exp</w:t>
      </w:r>
      <w:proofErr w:type="spellEnd"/>
      <w:r w:rsidRPr="000F44BB">
        <w:rPr>
          <w:rFonts w:ascii="Verdana" w:hAnsi="Verdana"/>
          <w:sz w:val="16"/>
          <w:szCs w:val="16"/>
          <w:lang w:val="es-CO"/>
        </w:rPr>
        <w:t>. 70.313. C.P: Fredy Ibarra Martínez.</w:t>
      </w:r>
    </w:p>
  </w:footnote>
  <w:footnote w:id="23">
    <w:p w14:paraId="5A571A22" w14:textId="77777777" w:rsidR="00895892" w:rsidRPr="000F44BB" w:rsidRDefault="00895892" w:rsidP="00895892">
      <w:pPr>
        <w:pStyle w:val="FootnoteText"/>
        <w:ind w:firstLine="709"/>
        <w:contextualSpacing/>
        <w:jc w:val="both"/>
        <w:rPr>
          <w:rFonts w:ascii="Verdana" w:hAnsi="Verdana"/>
          <w:sz w:val="16"/>
          <w:szCs w:val="16"/>
          <w:lang w:val="es-CO"/>
        </w:rPr>
      </w:pPr>
      <w:r w:rsidRPr="000F44BB">
        <w:rPr>
          <w:rStyle w:val="FootnoteReference"/>
          <w:rFonts w:ascii="Verdana" w:hAnsi="Verdana"/>
          <w:sz w:val="16"/>
          <w:szCs w:val="16"/>
        </w:rPr>
        <w:footnoteRef/>
      </w:r>
      <w:r w:rsidRPr="000F44BB">
        <w:rPr>
          <w:rFonts w:ascii="Verdana" w:hAnsi="Verdana"/>
          <w:sz w:val="16"/>
          <w:szCs w:val="16"/>
        </w:rPr>
        <w:t xml:space="preserve"> La parte resolutiva del auto dispone lo siguiente; “</w:t>
      </w:r>
      <w:r w:rsidRPr="000F44BB">
        <w:rPr>
          <w:rFonts w:ascii="Verdana" w:hAnsi="Verdana"/>
          <w:b/>
          <w:sz w:val="16"/>
          <w:szCs w:val="16"/>
          <w:lang w:val="es-CO"/>
        </w:rPr>
        <w:t xml:space="preserve">PRIMERO: DECRETAR </w:t>
      </w:r>
      <w:r w:rsidRPr="000F44BB">
        <w:rPr>
          <w:rFonts w:ascii="Verdana" w:hAnsi="Verdana"/>
          <w:sz w:val="16"/>
          <w:szCs w:val="16"/>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0F44BB">
        <w:rPr>
          <w:rFonts w:ascii="Verdana" w:hAnsi="Verdana"/>
          <w:i/>
          <w:sz w:val="16"/>
          <w:szCs w:val="16"/>
          <w:lang w:val="es-CO"/>
        </w:rPr>
        <w:t>“[e]</w:t>
      </w:r>
      <w:proofErr w:type="spellStart"/>
      <w:r w:rsidRPr="000F44BB">
        <w:rPr>
          <w:rFonts w:ascii="Verdana" w:hAnsi="Verdana"/>
          <w:i/>
          <w:sz w:val="16"/>
          <w:szCs w:val="16"/>
          <w:lang w:val="es-CO"/>
        </w:rPr>
        <w:t>sta</w:t>
      </w:r>
      <w:proofErr w:type="spellEnd"/>
      <w:r w:rsidRPr="000F44BB">
        <w:rPr>
          <w:rFonts w:ascii="Verdana" w:hAnsi="Verdana"/>
          <w:i/>
          <w:sz w:val="16"/>
          <w:szCs w:val="16"/>
          <w:lang w:val="es-CO"/>
        </w:rPr>
        <w:t xml:space="preserve">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0F44BB">
        <w:rPr>
          <w:rFonts w:ascii="Verdana" w:hAnsi="Verdana"/>
          <w:sz w:val="16"/>
          <w:szCs w:val="16"/>
          <w:lang w:val="es-CO"/>
        </w:rPr>
        <w:t xml:space="preserve">, por las razones expuestas en precedencia. </w:t>
      </w:r>
    </w:p>
    <w:p w14:paraId="5A927A71" w14:textId="77777777" w:rsidR="00895892" w:rsidRPr="000F44BB" w:rsidRDefault="00895892" w:rsidP="00895892">
      <w:pPr>
        <w:pStyle w:val="FootnoteText"/>
        <w:ind w:firstLine="709"/>
        <w:contextualSpacing/>
        <w:jc w:val="both"/>
        <w:rPr>
          <w:rFonts w:ascii="Verdana" w:hAnsi="Verdana"/>
          <w:sz w:val="16"/>
          <w:szCs w:val="16"/>
          <w:lang w:val="es-CO"/>
        </w:rPr>
      </w:pPr>
      <w:r w:rsidRPr="000F44BB">
        <w:rPr>
          <w:rFonts w:ascii="Verdana" w:hAnsi="Verdana"/>
          <w:b/>
          <w:sz w:val="16"/>
          <w:szCs w:val="16"/>
          <w:lang w:val="es-CO"/>
        </w:rPr>
        <w:t xml:space="preserve">SEGUNDO: DECRETAR </w:t>
      </w:r>
      <w:r w:rsidRPr="000F44BB">
        <w:rPr>
          <w:rFonts w:ascii="Verdana" w:hAnsi="Verdana"/>
          <w:sz w:val="16"/>
          <w:szCs w:val="16"/>
          <w:lang w:val="es-CO"/>
        </w:rPr>
        <w:t>la suspensión provisional de la expresión “</w:t>
      </w:r>
      <w:r w:rsidRPr="000F44BB">
        <w:rPr>
          <w:rFonts w:ascii="Verdana" w:hAnsi="Verdana"/>
          <w:i/>
          <w:sz w:val="16"/>
          <w:szCs w:val="16"/>
          <w:lang w:val="es-CO"/>
        </w:rPr>
        <w:t>contratos</w:t>
      </w:r>
      <w:r w:rsidRPr="000F44BB">
        <w:rPr>
          <w:rFonts w:ascii="Verdana" w:hAnsi="Verdana"/>
          <w:sz w:val="16"/>
          <w:szCs w:val="16"/>
          <w:lang w:val="es-CO"/>
        </w:rPr>
        <w:t xml:space="preserve">” y del párrafo </w:t>
      </w:r>
      <w:r w:rsidRPr="000F44BB">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0F44BB">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w:t>
      </w:r>
      <w:proofErr w:type="spellStart"/>
      <w:r w:rsidRPr="000F44BB">
        <w:rPr>
          <w:rFonts w:ascii="Verdana" w:hAnsi="Verdana"/>
          <w:sz w:val="16"/>
          <w:szCs w:val="16"/>
          <w:lang w:val="es-CO"/>
        </w:rPr>
        <w:t>Exp</w:t>
      </w:r>
      <w:proofErr w:type="spellEnd"/>
      <w:r w:rsidRPr="000F44BB">
        <w:rPr>
          <w:rFonts w:ascii="Verdana" w:hAnsi="Verdana"/>
          <w:sz w:val="16"/>
          <w:szCs w:val="16"/>
          <w:lang w:val="es-CO"/>
        </w:rPr>
        <w:t xml:space="preserve">. 72.424. C.P: Fernando </w:t>
      </w:r>
      <w:proofErr w:type="spellStart"/>
      <w:r w:rsidRPr="000F44BB">
        <w:rPr>
          <w:rFonts w:ascii="Verdana" w:hAnsi="Verdana"/>
          <w:sz w:val="16"/>
          <w:szCs w:val="16"/>
          <w:lang w:val="es-CO"/>
        </w:rPr>
        <w:t>Alexei</w:t>
      </w:r>
      <w:proofErr w:type="spellEnd"/>
      <w:r w:rsidRPr="000F44BB">
        <w:rPr>
          <w:rFonts w:ascii="Verdana" w:hAnsi="Verdana"/>
          <w:sz w:val="16"/>
          <w:szCs w:val="16"/>
          <w:lang w:val="es-CO"/>
        </w:rPr>
        <w:t xml:space="preserve"> Pardo </w:t>
      </w:r>
      <w:proofErr w:type="spellStart"/>
      <w:r w:rsidRPr="000F44BB">
        <w:rPr>
          <w:rFonts w:ascii="Verdana" w:hAnsi="Verdana"/>
          <w:sz w:val="16"/>
          <w:szCs w:val="16"/>
          <w:lang w:val="es-CO"/>
        </w:rPr>
        <w:t>Florez</w:t>
      </w:r>
      <w:proofErr w:type="spellEnd"/>
      <w:r w:rsidRPr="000F44BB">
        <w:rPr>
          <w:rFonts w:ascii="Verdana" w:hAnsi="Verdana"/>
          <w:sz w:val="16"/>
          <w:szCs w:val="16"/>
          <w:lang w:val="es-CO"/>
        </w:rPr>
        <w:t xml:space="preserve">. </w:t>
      </w:r>
    </w:p>
  </w:footnote>
  <w:footnote w:id="24">
    <w:p w14:paraId="40703710" w14:textId="77777777" w:rsidR="00895892" w:rsidRPr="000F44BB" w:rsidRDefault="00895892" w:rsidP="00895892">
      <w:pPr>
        <w:spacing w:after="0" w:line="240" w:lineRule="auto"/>
        <w:ind w:firstLine="709"/>
        <w:contextualSpacing/>
        <w:jc w:val="both"/>
        <w:rPr>
          <w:rFonts w:ascii="Verdana" w:eastAsia="Times New Roman" w:hAnsi="Verdana" w:cs="Times New Roman"/>
          <w:sz w:val="16"/>
          <w:szCs w:val="16"/>
          <w:lang w:eastAsia="es-ES"/>
        </w:rPr>
      </w:pPr>
      <w:r w:rsidRPr="000F44BB">
        <w:rPr>
          <w:rStyle w:val="FootnoteReference"/>
          <w:rFonts w:ascii="Verdana" w:hAnsi="Verdana"/>
          <w:sz w:val="16"/>
          <w:szCs w:val="16"/>
        </w:rPr>
        <w:footnoteRef/>
      </w:r>
      <w:r w:rsidRPr="000F44BB">
        <w:rPr>
          <w:rFonts w:ascii="Verdana" w:hAnsi="Verdana"/>
          <w:sz w:val="16"/>
          <w:szCs w:val="16"/>
        </w:rPr>
        <w:t xml:space="preserve"> </w:t>
      </w:r>
      <w:r w:rsidRPr="000F44BB">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0F44BB">
        <w:rPr>
          <w:rFonts w:ascii="Verdana" w:hAnsi="Verdana"/>
          <w:sz w:val="16"/>
          <w:szCs w:val="16"/>
        </w:rPr>
        <w:t xml:space="preserve">La parte de la providencia señala: </w:t>
      </w:r>
      <w:r w:rsidRPr="000F44BB">
        <w:rPr>
          <w:rFonts w:ascii="Verdana" w:eastAsia="Times New Roman" w:hAnsi="Verdana" w:cs="Times New Roman"/>
          <w:sz w:val="16"/>
          <w:szCs w:val="16"/>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25">
    <w:p w14:paraId="2BFD3DE0" w14:textId="77777777" w:rsidR="00895892" w:rsidRPr="00454929" w:rsidRDefault="00895892" w:rsidP="00895892">
      <w:pPr>
        <w:pStyle w:val="FootnoteText"/>
        <w:ind w:firstLine="709"/>
        <w:jc w:val="both"/>
        <w:rPr>
          <w:rFonts w:ascii="Verdana" w:hAnsi="Verdana"/>
          <w:sz w:val="16"/>
          <w:szCs w:val="16"/>
          <w:lang w:val="es-CO"/>
        </w:rPr>
      </w:pPr>
      <w:r w:rsidRPr="000F44BB">
        <w:rPr>
          <w:rStyle w:val="FootnoteReference"/>
          <w:rFonts w:ascii="Verdana" w:hAnsi="Verdana"/>
          <w:sz w:val="16"/>
          <w:szCs w:val="16"/>
        </w:rPr>
        <w:footnoteRef/>
      </w:r>
      <w:r w:rsidRPr="000F44BB">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Header"/>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15pt;height:12.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3244075"/>
    <w:multiLevelType w:val="hybridMultilevel"/>
    <w:tmpl w:val="99FC0930"/>
    <w:lvl w:ilvl="0" w:tplc="6DD292B4">
      <w:start w:val="4"/>
      <w:numFmt w:val="decimal"/>
      <w:lvlText w:val="%1."/>
      <w:lvlJc w:val="left"/>
      <w:pPr>
        <w:ind w:left="502" w:hanging="360"/>
      </w:pPr>
      <w:rPr>
        <w:rFonts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18594186">
    <w:abstractNumId w:val="6"/>
  </w:num>
  <w:num w:numId="2" w16cid:durableId="1000157624">
    <w:abstractNumId w:val="2"/>
  </w:num>
  <w:num w:numId="3" w16cid:durableId="1003387690">
    <w:abstractNumId w:val="4"/>
  </w:num>
  <w:num w:numId="4" w16cid:durableId="66336207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327780863">
    <w:abstractNumId w:val="2"/>
  </w:num>
  <w:num w:numId="6" w16cid:durableId="2043481418">
    <w:abstractNumId w:val="14"/>
  </w:num>
  <w:num w:numId="7" w16cid:durableId="246425661">
    <w:abstractNumId w:val="5"/>
  </w:num>
  <w:num w:numId="8" w16cid:durableId="1395854192">
    <w:abstractNumId w:val="13"/>
  </w:num>
  <w:num w:numId="9" w16cid:durableId="1861435472">
    <w:abstractNumId w:val="7"/>
  </w:num>
  <w:num w:numId="10" w16cid:durableId="1800758036">
    <w:abstractNumId w:val="12"/>
  </w:num>
  <w:num w:numId="11" w16cid:durableId="1757825741">
    <w:abstractNumId w:val="8"/>
  </w:num>
  <w:num w:numId="12" w16cid:durableId="894002799">
    <w:abstractNumId w:val="1"/>
  </w:num>
  <w:num w:numId="13" w16cid:durableId="1218781872">
    <w:abstractNumId w:val="3"/>
  </w:num>
  <w:num w:numId="14" w16cid:durableId="1505903149">
    <w:abstractNumId w:val="15"/>
  </w:num>
  <w:num w:numId="15" w16cid:durableId="748886303">
    <w:abstractNumId w:val="11"/>
  </w:num>
  <w:num w:numId="16" w16cid:durableId="1588344618">
    <w:abstractNumId w:val="0"/>
  </w:num>
  <w:num w:numId="17" w16cid:durableId="2053266562">
    <w:abstractNumId w:val="9"/>
  </w:num>
  <w:num w:numId="18" w16cid:durableId="88356339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3FDC"/>
    <w:rsid w:val="00046945"/>
    <w:rsid w:val="00061B2A"/>
    <w:rsid w:val="00082362"/>
    <w:rsid w:val="000A683E"/>
    <w:rsid w:val="000B19B9"/>
    <w:rsid w:val="000D0334"/>
    <w:rsid w:val="000D5DA7"/>
    <w:rsid w:val="000F6486"/>
    <w:rsid w:val="00116940"/>
    <w:rsid w:val="00124B51"/>
    <w:rsid w:val="00125105"/>
    <w:rsid w:val="00127233"/>
    <w:rsid w:val="0015699B"/>
    <w:rsid w:val="00156DBE"/>
    <w:rsid w:val="0016171F"/>
    <w:rsid w:val="001A33BF"/>
    <w:rsid w:val="001E0E6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D28A2"/>
    <w:rsid w:val="002E2BF8"/>
    <w:rsid w:val="002E4FD9"/>
    <w:rsid w:val="002F0D5A"/>
    <w:rsid w:val="00303B91"/>
    <w:rsid w:val="0030657A"/>
    <w:rsid w:val="00322A85"/>
    <w:rsid w:val="00324168"/>
    <w:rsid w:val="00330834"/>
    <w:rsid w:val="00332C5E"/>
    <w:rsid w:val="003448F4"/>
    <w:rsid w:val="0035450F"/>
    <w:rsid w:val="00374F5E"/>
    <w:rsid w:val="00377E3E"/>
    <w:rsid w:val="00392857"/>
    <w:rsid w:val="00395F43"/>
    <w:rsid w:val="003A779E"/>
    <w:rsid w:val="003D002E"/>
    <w:rsid w:val="003D0F4D"/>
    <w:rsid w:val="003D5B0D"/>
    <w:rsid w:val="003E0499"/>
    <w:rsid w:val="003E4F80"/>
    <w:rsid w:val="003E6439"/>
    <w:rsid w:val="003E649C"/>
    <w:rsid w:val="003F3941"/>
    <w:rsid w:val="00406575"/>
    <w:rsid w:val="0040699E"/>
    <w:rsid w:val="00414C74"/>
    <w:rsid w:val="004238EE"/>
    <w:rsid w:val="0042722E"/>
    <w:rsid w:val="00433886"/>
    <w:rsid w:val="0044528D"/>
    <w:rsid w:val="00466E39"/>
    <w:rsid w:val="004A1847"/>
    <w:rsid w:val="004A305D"/>
    <w:rsid w:val="004E371C"/>
    <w:rsid w:val="004F21C4"/>
    <w:rsid w:val="004F685F"/>
    <w:rsid w:val="005046F2"/>
    <w:rsid w:val="005356B2"/>
    <w:rsid w:val="005566E8"/>
    <w:rsid w:val="00561A24"/>
    <w:rsid w:val="00574867"/>
    <w:rsid w:val="00591460"/>
    <w:rsid w:val="005A65E0"/>
    <w:rsid w:val="005C3777"/>
    <w:rsid w:val="005C5CDC"/>
    <w:rsid w:val="005D476C"/>
    <w:rsid w:val="006200BF"/>
    <w:rsid w:val="006219F8"/>
    <w:rsid w:val="006302F7"/>
    <w:rsid w:val="00646B9F"/>
    <w:rsid w:val="00665D70"/>
    <w:rsid w:val="006900D9"/>
    <w:rsid w:val="0069697B"/>
    <w:rsid w:val="006B4A3D"/>
    <w:rsid w:val="00706C16"/>
    <w:rsid w:val="007268DF"/>
    <w:rsid w:val="007340C3"/>
    <w:rsid w:val="0075235A"/>
    <w:rsid w:val="0075260B"/>
    <w:rsid w:val="00756841"/>
    <w:rsid w:val="007571C2"/>
    <w:rsid w:val="007649AB"/>
    <w:rsid w:val="00771D0C"/>
    <w:rsid w:val="007833AC"/>
    <w:rsid w:val="007B268C"/>
    <w:rsid w:val="007B7171"/>
    <w:rsid w:val="007C0C0F"/>
    <w:rsid w:val="007C3DC2"/>
    <w:rsid w:val="007E5497"/>
    <w:rsid w:val="007F7243"/>
    <w:rsid w:val="00806F5F"/>
    <w:rsid w:val="00820278"/>
    <w:rsid w:val="008258C9"/>
    <w:rsid w:val="00844AE9"/>
    <w:rsid w:val="00867F95"/>
    <w:rsid w:val="008843B6"/>
    <w:rsid w:val="00891928"/>
    <w:rsid w:val="00895892"/>
    <w:rsid w:val="008A16BF"/>
    <w:rsid w:val="008A446D"/>
    <w:rsid w:val="008B25F1"/>
    <w:rsid w:val="008C55DA"/>
    <w:rsid w:val="008D180B"/>
    <w:rsid w:val="008E599C"/>
    <w:rsid w:val="008F0EA7"/>
    <w:rsid w:val="00923EEF"/>
    <w:rsid w:val="009419F9"/>
    <w:rsid w:val="0095685E"/>
    <w:rsid w:val="00961B09"/>
    <w:rsid w:val="00965334"/>
    <w:rsid w:val="0097093E"/>
    <w:rsid w:val="0097392D"/>
    <w:rsid w:val="0098553A"/>
    <w:rsid w:val="009A0DFA"/>
    <w:rsid w:val="009A1C6F"/>
    <w:rsid w:val="009B2D26"/>
    <w:rsid w:val="009B300D"/>
    <w:rsid w:val="009C71FA"/>
    <w:rsid w:val="009C72E7"/>
    <w:rsid w:val="009C7F7E"/>
    <w:rsid w:val="009D3058"/>
    <w:rsid w:val="009E7DD1"/>
    <w:rsid w:val="009F3A13"/>
    <w:rsid w:val="00A122D3"/>
    <w:rsid w:val="00A14468"/>
    <w:rsid w:val="00A17F13"/>
    <w:rsid w:val="00A20739"/>
    <w:rsid w:val="00A23AF9"/>
    <w:rsid w:val="00A33C78"/>
    <w:rsid w:val="00A52313"/>
    <w:rsid w:val="00A71AEE"/>
    <w:rsid w:val="00A7709B"/>
    <w:rsid w:val="00A831A5"/>
    <w:rsid w:val="00AA15D9"/>
    <w:rsid w:val="00AB0ADB"/>
    <w:rsid w:val="00AB14F7"/>
    <w:rsid w:val="00B00C0E"/>
    <w:rsid w:val="00B01B1A"/>
    <w:rsid w:val="00B0381D"/>
    <w:rsid w:val="00B11704"/>
    <w:rsid w:val="00B44A47"/>
    <w:rsid w:val="00B46845"/>
    <w:rsid w:val="00B50213"/>
    <w:rsid w:val="00B72CD3"/>
    <w:rsid w:val="00B72FFF"/>
    <w:rsid w:val="00BC3D36"/>
    <w:rsid w:val="00BD54A6"/>
    <w:rsid w:val="00BD7F72"/>
    <w:rsid w:val="00BF7425"/>
    <w:rsid w:val="00C04FB3"/>
    <w:rsid w:val="00C11D8B"/>
    <w:rsid w:val="00C15139"/>
    <w:rsid w:val="00C330EB"/>
    <w:rsid w:val="00C50D69"/>
    <w:rsid w:val="00C50DF9"/>
    <w:rsid w:val="00C5365C"/>
    <w:rsid w:val="00C754BE"/>
    <w:rsid w:val="00C76B1C"/>
    <w:rsid w:val="00C83922"/>
    <w:rsid w:val="00C925AC"/>
    <w:rsid w:val="00CB6357"/>
    <w:rsid w:val="00CC1B26"/>
    <w:rsid w:val="00D30037"/>
    <w:rsid w:val="00D30337"/>
    <w:rsid w:val="00D361FD"/>
    <w:rsid w:val="00D423A2"/>
    <w:rsid w:val="00D44E26"/>
    <w:rsid w:val="00D44FED"/>
    <w:rsid w:val="00D520D8"/>
    <w:rsid w:val="00D63AC2"/>
    <w:rsid w:val="00D7383B"/>
    <w:rsid w:val="00D7788A"/>
    <w:rsid w:val="00DA231B"/>
    <w:rsid w:val="00DC39FC"/>
    <w:rsid w:val="00DF5254"/>
    <w:rsid w:val="00E02524"/>
    <w:rsid w:val="00E16408"/>
    <w:rsid w:val="00E20894"/>
    <w:rsid w:val="00E245AB"/>
    <w:rsid w:val="00E2764C"/>
    <w:rsid w:val="00E27F2E"/>
    <w:rsid w:val="00E45C39"/>
    <w:rsid w:val="00E50AFE"/>
    <w:rsid w:val="00E75C92"/>
    <w:rsid w:val="00E771DC"/>
    <w:rsid w:val="00E8772A"/>
    <w:rsid w:val="00E90F6B"/>
    <w:rsid w:val="00E92C27"/>
    <w:rsid w:val="00EA0E3D"/>
    <w:rsid w:val="00EA3BD4"/>
    <w:rsid w:val="00EC38A7"/>
    <w:rsid w:val="00EE1AA8"/>
    <w:rsid w:val="00F23FEA"/>
    <w:rsid w:val="00F31EDC"/>
    <w:rsid w:val="00F462B3"/>
    <w:rsid w:val="00F5664F"/>
    <w:rsid w:val="00F666C4"/>
    <w:rsid w:val="00F76AFC"/>
    <w:rsid w:val="00FA47C0"/>
    <w:rsid w:val="00FB5DD1"/>
    <w:rsid w:val="00FC2B5D"/>
    <w:rsid w:val="00FE0C4F"/>
    <w:rsid w:val="00FE7637"/>
    <w:rsid w:val="00FF05C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link w:val="NormalWebCh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3E649C"/>
    <w:rPr>
      <w:rFonts w:ascii="Geomanist Light" w:hAnsi="Geomanist Light"/>
      <w:lang w:val="es-ES"/>
    </w:rPr>
  </w:style>
  <w:style w:type="character" w:customStyle="1" w:styleId="s15">
    <w:name w:val="s15"/>
    <w:basedOn w:val="DefaultParagraphFont"/>
    <w:rsid w:val="009E7DD1"/>
  </w:style>
  <w:style w:type="paragraph" w:customStyle="1" w:styleId="Appelnotedebasde">
    <w:name w:val="Appel note de bas de..."/>
    <w:basedOn w:val="Normal"/>
    <w:link w:val="FootnoteReference"/>
    <w:uiPriority w:val="99"/>
    <w:rsid w:val="00895892"/>
    <w:pPr>
      <w:spacing w:line="240" w:lineRule="exact"/>
    </w:pPr>
    <w:rPr>
      <w:vertAlign w:val="superscript"/>
    </w:rPr>
  </w:style>
  <w:style w:type="character" w:customStyle="1" w:styleId="NormalWebChar">
    <w:name w:val="Normal (Web) Char"/>
    <w:link w:val="NormalWeb"/>
    <w:uiPriority w:val="99"/>
    <w:rsid w:val="00895892"/>
    <w:rPr>
      <w:rFonts w:ascii="Times New Roman" w:eastAsia="Times New Roman" w:hAnsi="Times New Roman" w:cs="Times New Roman"/>
      <w:sz w:val="24"/>
      <w:szCs w:val="24"/>
      <w:lang w:eastAsia="es-CO"/>
    </w:rPr>
  </w:style>
  <w:style w:type="character" w:customStyle="1" w:styleId="baj">
    <w:name w:val="b_aj"/>
    <w:basedOn w:val="DefaultParagraphFont"/>
    <w:rsid w:val="008958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archivos/circular/circular-externa-006-de-2025"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resguardos@coyaima-tolima.gov.co"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D6F9F5E1-263D-4CFD-9A11-BBE98DF5B5EF}"/>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29</Pages>
  <Words>8915</Words>
  <Characters>50996</Characters>
  <Application>Microsoft Office Word</Application>
  <DocSecurity>0</DocSecurity>
  <Lines>25498</Lines>
  <Paragraphs>354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G.I.T. Lineamientos Normativos</cp:lastModifiedBy>
  <cp:revision>13</cp:revision>
  <cp:lastPrinted>2023-01-10T21:18:00Z</cp:lastPrinted>
  <dcterms:created xsi:type="dcterms:W3CDTF">2026-04-06T14:45:00Z</dcterms:created>
  <dcterms:modified xsi:type="dcterms:W3CDTF">2026-04-07T00:50:00Z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y fmtid="{D5CDD505-2E9C-101B-9397-08002B2CF9AE}" pid="4" name="MSIP_Label_79c9bbd4-2155-4c05-a8cb-143fc41f09a9_Enabled">
    <vt:lpwstr>true</vt:lpwstr>
  </property>
  <property fmtid="{D5CDD505-2E9C-101B-9397-08002B2CF9AE}" pid="5" name="MSIP_Label_79c9bbd4-2155-4c05-a8cb-143fc41f09a9_SetDate">
    <vt:lpwstr>2026-04-07T00:47:29Z</vt:lpwstr>
  </property>
  <property fmtid="{D5CDD505-2E9C-101B-9397-08002B2CF9AE}" pid="6" name="MSIP_Label_79c9bbd4-2155-4c05-a8cb-143fc41f09a9_Method">
    <vt:lpwstr>Standard</vt:lpwstr>
  </property>
  <property fmtid="{D5CDD505-2E9C-101B-9397-08002B2CF9AE}" pid="7" name="MSIP_Label_79c9bbd4-2155-4c05-a8cb-143fc41f09a9_Name">
    <vt:lpwstr>defa4170-0d19-0005-0004-bc88714345d2</vt:lpwstr>
  </property>
  <property fmtid="{D5CDD505-2E9C-101B-9397-08002B2CF9AE}" pid="8" name="MSIP_Label_79c9bbd4-2155-4c05-a8cb-143fc41f09a9_SiteId">
    <vt:lpwstr>33fa6907-21c6-4126-aa66-bcbed95361bb</vt:lpwstr>
  </property>
  <property fmtid="{D5CDD505-2E9C-101B-9397-08002B2CF9AE}" pid="9" name="MSIP_Label_79c9bbd4-2155-4c05-a8cb-143fc41f09a9_ActionId">
    <vt:lpwstr>d60455be-2f93-4d26-b065-e5aee2667da9</vt:lpwstr>
  </property>
  <property fmtid="{D5CDD505-2E9C-101B-9397-08002B2CF9AE}" pid="10" name="MSIP_Label_79c9bbd4-2155-4c05-a8cb-143fc41f09a9_ContentBits">
    <vt:lpwstr>0</vt:lpwstr>
  </property>
  <property fmtid="{D5CDD505-2E9C-101B-9397-08002B2CF9AE}" pid="11" name="MSIP_Label_79c9bbd4-2155-4c05-a8cb-143fc41f09a9_Tag">
    <vt:lpwstr>50, 3, 0, 1</vt:lpwstr>
  </property>
</Properties>
</file>