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320116" w:rsidR="002C6D42" w:rsidP="002C6D42" w:rsidRDefault="002C6D42" w14:paraId="72E5C36E" w14:textId="77777777">
      <w:pPr>
        <w:spacing w:after="0"/>
        <w:jc w:val="both"/>
        <w:rPr>
          <w:rFonts w:ascii="Verdana" w:hAnsi="Verdana"/>
          <w:b/>
          <w:bCs/>
        </w:rPr>
      </w:pPr>
      <w:bookmarkStart w:name="_Hlk143780582" w:id="0"/>
      <w:r w:rsidRPr="00320116">
        <w:rPr>
          <w:rFonts w:ascii="Verdana" w:hAnsi="Verdana"/>
          <w:b/>
          <w:bCs/>
        </w:rPr>
        <w:t>PROMOCIÓN AL DESARROLLO – Ley 2069 de 2020</w:t>
      </w:r>
    </w:p>
    <w:p w:rsidRPr="00320116" w:rsidR="002C6D42" w:rsidP="002C6D42" w:rsidRDefault="002C6D42" w14:paraId="7387396C" w14:textId="77777777">
      <w:pPr>
        <w:spacing w:after="0"/>
        <w:jc w:val="both"/>
        <w:rPr>
          <w:rFonts w:ascii="Verdana" w:hAnsi="Verdana"/>
          <w:b/>
          <w:bCs/>
          <w:sz w:val="20"/>
          <w:szCs w:val="20"/>
        </w:rPr>
      </w:pPr>
    </w:p>
    <w:p w:rsidRPr="00320116" w:rsidR="002C6D42" w:rsidP="002C6D42" w:rsidRDefault="002C6D42" w14:paraId="25B2E064" w14:textId="77777777">
      <w:pPr>
        <w:spacing w:after="0" w:line="240" w:lineRule="auto"/>
        <w:jc w:val="both"/>
        <w:rPr>
          <w:rFonts w:ascii="Verdana" w:hAnsi="Verdana" w:eastAsia="Geomanist Light" w:cs="Arial"/>
          <w:color w:val="000000" w:themeColor="text1"/>
          <w:sz w:val="20"/>
          <w:szCs w:val="20"/>
        </w:rPr>
      </w:pPr>
      <w:r w:rsidRPr="00320116">
        <w:rPr>
          <w:rFonts w:ascii="Verdana" w:hAnsi="Verdana" w:eastAsia="Geomanist Light" w:cs="Arial"/>
          <w:color w:val="000000" w:themeColor="text1"/>
          <w:sz w:val="20"/>
          <w:szCs w:val="20"/>
        </w:rPr>
        <w:t xml:space="preserve">La Ley 2069 del 31 de diciembre de 2020, “Por medio de la cual se impulsa el emprendimiento en Colombia”, establece un marco regulatorio que propicia el emprendimiento, el crecimiento, la consolidación y la sostenibilidad de las empresas, con el fin de aumentar el bienestar social y generar equidad. El “Capítulo III – Compras públicas” de la Ley 2069 de 2020 contiene normas que modifican algunos aspectos de la contratación estatal para promover el emprendimiento.  </w:t>
      </w:r>
    </w:p>
    <w:p w:rsidRPr="00320116" w:rsidR="002C6D42" w:rsidP="002C6D42" w:rsidRDefault="002C6D42" w14:paraId="5A57356B" w14:textId="77777777">
      <w:pPr>
        <w:spacing w:after="0" w:line="240" w:lineRule="auto"/>
        <w:jc w:val="both"/>
        <w:rPr>
          <w:rFonts w:ascii="Verdana" w:hAnsi="Verdana" w:eastAsia="Geomanist Light" w:cs="Arial"/>
          <w:color w:val="000000" w:themeColor="text1"/>
          <w:sz w:val="20"/>
          <w:szCs w:val="20"/>
        </w:rPr>
      </w:pPr>
      <w:r w:rsidRPr="00320116">
        <w:rPr>
          <w:rFonts w:ascii="Verdana" w:hAnsi="Verdana" w:eastAsia="Geomanist Light" w:cs="Arial"/>
          <w:color w:val="000000" w:themeColor="text1"/>
          <w:sz w:val="20"/>
          <w:szCs w:val="20"/>
        </w:rPr>
        <w:t> </w:t>
      </w:r>
    </w:p>
    <w:p w:rsidRPr="00320116" w:rsidR="002C6D42" w:rsidP="002C6D42" w:rsidRDefault="002C6D42" w14:paraId="5EA92296" w14:textId="77777777">
      <w:pPr>
        <w:jc w:val="both"/>
        <w:rPr>
          <w:rFonts w:ascii="Verdana" w:hAnsi="Verdana"/>
          <w:b/>
          <w:bCs/>
        </w:rPr>
      </w:pPr>
      <w:r w:rsidRPr="00320116">
        <w:rPr>
          <w:rFonts w:ascii="Verdana" w:hAnsi="Verdana"/>
          <w:b/>
          <w:bCs/>
        </w:rPr>
        <w:t xml:space="preserve">DECRETO 1860 DE 2021 – Criterios diferenciales – MiPymes </w:t>
      </w:r>
    </w:p>
    <w:p w:rsidRPr="00320116" w:rsidR="002C6D42" w:rsidP="002C6D42" w:rsidRDefault="002C6D42" w14:paraId="19A0B0BB" w14:textId="77777777">
      <w:pPr>
        <w:tabs>
          <w:tab w:val="left" w:pos="5073"/>
        </w:tabs>
        <w:spacing w:after="0"/>
        <w:jc w:val="both"/>
        <w:rPr>
          <w:rFonts w:ascii="Verdana" w:hAnsi="Verdana" w:eastAsia="Geomanist Light" w:cs="Arial"/>
          <w:color w:val="000000" w:themeColor="text1"/>
          <w:sz w:val="20"/>
          <w:szCs w:val="20"/>
          <w:lang w:val="es-ES"/>
        </w:rPr>
      </w:pPr>
      <w:r w:rsidRPr="00320116">
        <w:rPr>
          <w:rFonts w:ascii="Verdana" w:hAnsi="Verdana" w:eastAsia="Geomanist Light" w:cs="Arial"/>
          <w:color w:val="000000" w:themeColor="text1"/>
          <w:sz w:val="20"/>
          <w:szCs w:val="20"/>
          <w:lang w:val="es-ES"/>
        </w:rPr>
        <w:t xml:space="preserve">De esta manera, el artículo 3 del Decreto 1860 de 2021, que adicionó el artículo 2.2.1.2.4.2.18 al Decreto 1082 de 2015 reglamentó los criterios diferenciales para MiPymes en el sistema de compras públicas. Conforme a esta norma,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MiPymes domiciliadas en Colombia. </w:t>
      </w:r>
    </w:p>
    <w:p w:rsidR="002C6D42" w:rsidP="002C6D42" w:rsidRDefault="002C6D42" w14:paraId="44A8C06A" w14:textId="77777777">
      <w:pPr>
        <w:tabs>
          <w:tab w:val="left" w:pos="5073"/>
        </w:tabs>
        <w:spacing w:after="0"/>
        <w:jc w:val="both"/>
        <w:rPr>
          <w:rFonts w:ascii="Verdana" w:hAnsi="Verdana" w:eastAsia="Geomanist Light" w:cs="Arial"/>
          <w:color w:val="000000" w:themeColor="text1"/>
          <w:sz w:val="20"/>
          <w:szCs w:val="20"/>
          <w:lang w:val="es-ES"/>
        </w:rPr>
      </w:pPr>
    </w:p>
    <w:p w:rsidRPr="00320116" w:rsidR="002C6D42" w:rsidP="002C6D42" w:rsidRDefault="002C6D42" w14:paraId="18EA6B1E" w14:textId="77777777">
      <w:pPr>
        <w:tabs>
          <w:tab w:val="left" w:pos="5073"/>
        </w:tabs>
        <w:spacing w:after="0"/>
        <w:jc w:val="both"/>
        <w:rPr>
          <w:rFonts w:ascii="Verdana" w:hAnsi="Verdana" w:eastAsia="Geomanist Light" w:cs="Arial"/>
          <w:color w:val="000000" w:themeColor="text1"/>
          <w:sz w:val="20"/>
          <w:szCs w:val="20"/>
          <w:lang w:val="es-ES"/>
        </w:rPr>
      </w:pPr>
      <w:r w:rsidRPr="00320116">
        <w:rPr>
          <w:rFonts w:ascii="Verdana" w:hAnsi="Verdana" w:eastAsia="Geomanist Light" w:cs="Arial"/>
          <w:color w:val="000000" w:themeColor="text1"/>
          <w:sz w:val="20"/>
          <w:szCs w:val="20"/>
          <w:lang w:val="es-ES"/>
        </w:rPr>
        <w:t>Estos criterios en favor de las MiPymes buscan reducir las asimetrías entre estas y las grandes empresas para vincularse como proveedoras del mercado de compras públicas y, en consecuencia, promover y facilitar la participación en los procedimientos de selección competitivos de las MiPymes domiciliadas en Colombia. Para estos efectos, el artículo 2.2.1.2.4.2.18 del Decreto 1082 de 2015 estableció que, según los resultados del análisis del sector, en función de los criterios de clasificación empresarial, los documentos del proceso deberán incorporar requisitos habilitantes diferenciales relacionados con alguno o algunos de los siguientes aspectos: i) tiempo de experiencia, ii) número de contratos para la acreditación de la experiencia, iii) índices de capacidad financiera, iv) índices de capacidad organizacional y v) valor de la garantía de seriedad de la oferta.</w:t>
      </w:r>
    </w:p>
    <w:p w:rsidRPr="00320116" w:rsidR="002C6D42" w:rsidP="002C6D42" w:rsidRDefault="002C6D42" w14:paraId="741C11BF" w14:textId="77777777">
      <w:pPr>
        <w:tabs>
          <w:tab w:val="left" w:pos="5073"/>
        </w:tabs>
        <w:spacing w:after="0"/>
        <w:jc w:val="both"/>
        <w:rPr>
          <w:rFonts w:ascii="Verdana" w:hAnsi="Verdana"/>
          <w:color w:val="0099CC"/>
          <w:sz w:val="20"/>
          <w:szCs w:val="20"/>
        </w:rPr>
      </w:pPr>
    </w:p>
    <w:p w:rsidRPr="00320116" w:rsidR="002C6D42" w:rsidP="002C6D42" w:rsidRDefault="002C6D42" w14:paraId="73E1C0E6" w14:textId="77777777">
      <w:pPr>
        <w:jc w:val="both"/>
        <w:rPr>
          <w:rFonts w:ascii="Verdana" w:hAnsi="Verdana"/>
          <w:b/>
          <w:bCs/>
        </w:rPr>
      </w:pPr>
      <w:r w:rsidRPr="00320116">
        <w:rPr>
          <w:rFonts w:ascii="Verdana" w:hAnsi="Verdana"/>
          <w:b/>
          <w:bCs/>
        </w:rPr>
        <w:t xml:space="preserve">DECRETO 1860 DE 2021 – MiPymes </w:t>
      </w:r>
      <w:r>
        <w:rPr>
          <w:rFonts w:ascii="Verdana" w:hAnsi="Verdana"/>
          <w:b/>
          <w:bCs/>
        </w:rPr>
        <w:t>- Limitación</w:t>
      </w:r>
    </w:p>
    <w:p w:rsidRPr="00320116" w:rsidR="002C6D42" w:rsidP="002C6D42" w:rsidRDefault="002C6D42" w14:paraId="36B222C7" w14:textId="77777777">
      <w:pPr>
        <w:spacing w:after="120" w:line="276" w:lineRule="auto"/>
        <w:jc w:val="both"/>
        <w:rPr>
          <w:rFonts w:ascii="Verdana" w:hAnsi="Verdana" w:eastAsia="Calibri" w:cs="Arial"/>
          <w:color w:val="000000" w:themeColor="text1"/>
          <w:sz w:val="20"/>
          <w:szCs w:val="20"/>
        </w:rPr>
      </w:pPr>
      <w:r w:rsidRPr="00320116">
        <w:rPr>
          <w:rFonts w:ascii="Verdana" w:hAnsi="Verdana" w:eastAsia="Times New Roman" w:cs="Arial"/>
          <w:sz w:val="20"/>
          <w:szCs w:val="20"/>
          <w:lang w:eastAsia="es-MX"/>
        </w:rPr>
        <w:t xml:space="preserve">Por otro lado. </w:t>
      </w:r>
      <w:r w:rsidRPr="00320116">
        <w:rPr>
          <w:rFonts w:ascii="Verdana" w:hAnsi="Verdana" w:eastAsia="Calibri" w:cs="Arial"/>
          <w:bCs/>
          <w:sz w:val="20"/>
          <w:szCs w:val="20"/>
          <w:lang w:eastAsia="es-ES_tradnl"/>
        </w:rPr>
        <w:t>se encuentra el artículo 34, en el cual se establecen unos</w:t>
      </w:r>
      <w:r w:rsidRPr="00320116">
        <w:rPr>
          <w:rFonts w:ascii="Verdana" w:hAnsi="Verdana" w:eastAsia="Calibri" w:cs="Arial"/>
          <w:sz w:val="20"/>
          <w:szCs w:val="20"/>
          <w:lang w:eastAsia="es-ES_tradnl"/>
        </w:rPr>
        <w:t xml:space="preserve"> parámetros para la limitación de convocatorias a Mipymes, con el fin de incentivar su participación en el sistema de compras y contratación pública. Dicho artículo modifica </w:t>
      </w:r>
      <w:r w:rsidRPr="00320116">
        <w:rPr>
          <w:rFonts w:ascii="Verdana" w:hAnsi="Verdana" w:eastAsia="Calibri" w:cs="Arial"/>
          <w:color w:val="000000" w:themeColor="text1"/>
          <w:sz w:val="20"/>
          <w:szCs w:val="20"/>
        </w:rPr>
        <w:t xml:space="preserve">los requisitos esenciales para que procedan las convocatorias limitadas a Mipymes, de la siguiente forma: i) estableció que estas deben desarrollarse independientemente del régimen de contratación de la Entidad Estatal –es decir, también deben efectuarlas las Entidades Estatales exceptuadas del EGCAP o que se rigen por derecho privado–; ii) señaló que los patrimonios autónomos constituidos por Entidades Estatales y los particulares que ejecuten recursos públicos también son destinatarios de esta exigencia; y,  iii) indicó </w:t>
      </w:r>
      <w:r w:rsidRPr="00320116">
        <w:rPr>
          <w:rFonts w:ascii="Verdana" w:hAnsi="Verdana" w:eastAsia="Calibri" w:cs="Arial"/>
          <w:color w:val="000000" w:themeColor="text1"/>
          <w:sz w:val="20"/>
          <w:szCs w:val="20"/>
        </w:rPr>
        <w:t>que para que pueda haber convocatorias limitadas a MiPymes, dos (2) de ellas deben manifestar su interés.</w:t>
      </w:r>
    </w:p>
    <w:p w:rsidRPr="002C6D42" w:rsidR="002C6D42" w:rsidP="002C6D42" w:rsidRDefault="002C6D42" w14:paraId="21A99CAE" w14:textId="1EAB4AF2">
      <w:pPr>
        <w:jc w:val="both"/>
        <w:rPr>
          <w:rFonts w:ascii="Verdana" w:hAnsi="Verdana"/>
          <w:b/>
          <w:bCs/>
        </w:rPr>
      </w:pPr>
      <w:r w:rsidRPr="00320116">
        <w:rPr>
          <w:rFonts w:ascii="Verdana" w:hAnsi="Verdana"/>
          <w:b/>
          <w:bCs/>
        </w:rPr>
        <w:t xml:space="preserve">DECRETO 1860 DE 2021 – MiPymes </w:t>
      </w:r>
      <w:r>
        <w:rPr>
          <w:rFonts w:ascii="Verdana" w:hAnsi="Verdana"/>
          <w:b/>
          <w:bCs/>
        </w:rPr>
        <w:t>– Limitación - Aviso</w:t>
      </w:r>
    </w:p>
    <w:p w:rsidRPr="00320116" w:rsidR="002C6D42" w:rsidP="002C6D42" w:rsidRDefault="002C6D42" w14:paraId="02EC93A9" w14:textId="77777777">
      <w:pPr>
        <w:spacing w:after="120" w:line="276" w:lineRule="auto"/>
        <w:jc w:val="both"/>
        <w:rPr>
          <w:rFonts w:ascii="Verdana" w:hAnsi="Verdana" w:eastAsia="Calibri" w:cs="Arial"/>
          <w:color w:val="000000" w:themeColor="text1"/>
          <w:sz w:val="20"/>
          <w:szCs w:val="20"/>
        </w:rPr>
      </w:pPr>
      <w:r w:rsidRPr="00320116">
        <w:rPr>
          <w:rFonts w:ascii="Verdana" w:hAnsi="Verdana" w:eastAsia="Calibri" w:cs="Arial"/>
          <w:color w:val="000000" w:themeColor="text1"/>
          <w:sz w:val="20"/>
          <w:szCs w:val="20"/>
        </w:rPr>
        <w:t>Finalme</w:t>
      </w:r>
      <w:r w:rsidRPr="00F86162">
        <w:rPr>
          <w:rFonts w:ascii="Verdana" w:hAnsi="Verdana" w:eastAsia="Calibri" w:cs="Arial"/>
          <w:color w:val="000000" w:themeColor="text1"/>
          <w:sz w:val="20"/>
          <w:szCs w:val="20"/>
        </w:rPr>
        <w:t xml:space="preserve">nte, </w:t>
      </w:r>
      <w:r w:rsidRPr="00320116">
        <w:rPr>
          <w:rFonts w:ascii="Verdana" w:hAnsi="Verdana" w:eastAsia="Calibri" w:cs="Arial"/>
          <w:color w:val="000000" w:themeColor="text1"/>
          <w:sz w:val="20"/>
          <w:szCs w:val="20"/>
        </w:rPr>
        <w:t xml:space="preserve">es importante precisar que </w:t>
      </w:r>
      <w:r w:rsidRPr="00F86162">
        <w:rPr>
          <w:rFonts w:ascii="Verdana" w:hAnsi="Verdana" w:eastAsia="Calibri" w:cs="Arial"/>
          <w:color w:val="000000" w:themeColor="text1"/>
          <w:sz w:val="20"/>
          <w:szCs w:val="20"/>
        </w:rPr>
        <w:t>mediante el artículo 2 del Decreto 1860 de 2021 se modificó la Subsección 5 de la Sección 1 del Capítulo 2 del Título 1 de la Parte 2 del Libro 2 del Decreto 1082 de 2015, incorporando el artículo 2.2.1.2.1.5.2, el cual establece el procedimiento para la contratación de mínima cuantía, incluyendo reglas sobre la publicación de la invitación, la posibilidad de solicitar la limitación a MiPymes dentro del término de observaciones, la obligación de publicar un aviso en el SECOP sobre la limitación del proceso, y la aplicación de las normas de limitación a MiPymes previstas en el Decreto 1082 de 2015.</w:t>
      </w:r>
    </w:p>
    <w:p w:rsidRPr="00320116" w:rsidR="002C6D42" w:rsidP="002C6D42" w:rsidRDefault="002C6D42" w14:paraId="48E962B5" w14:textId="77777777">
      <w:pPr>
        <w:jc w:val="both"/>
        <w:rPr>
          <w:rFonts w:ascii="Verdana" w:hAnsi="Verdana"/>
          <w:b/>
          <w:bCs/>
        </w:rPr>
      </w:pPr>
      <w:r>
        <w:rPr>
          <w:rFonts w:ascii="Verdana" w:hAnsi="Verdana"/>
          <w:b/>
          <w:bCs/>
        </w:rPr>
        <w:t xml:space="preserve">PRINCIPIO DE PUBLICIDAD – Aviso </w:t>
      </w:r>
      <w:r w:rsidRPr="00320116">
        <w:rPr>
          <w:rFonts w:ascii="Verdana" w:hAnsi="Verdana"/>
          <w:b/>
          <w:bCs/>
        </w:rPr>
        <w:t>–</w:t>
      </w:r>
      <w:r>
        <w:rPr>
          <w:rFonts w:ascii="Verdana" w:hAnsi="Verdana"/>
          <w:b/>
          <w:bCs/>
        </w:rPr>
        <w:t xml:space="preserve"> Limitación a</w:t>
      </w:r>
      <w:r w:rsidRPr="00320116">
        <w:rPr>
          <w:rFonts w:ascii="Verdana" w:hAnsi="Verdana"/>
          <w:b/>
          <w:bCs/>
        </w:rPr>
        <w:t xml:space="preserve"> MiPymes</w:t>
      </w:r>
    </w:p>
    <w:p w:rsidRPr="00320116" w:rsidR="002C6D42" w:rsidP="002C6D42" w:rsidRDefault="002C6D42" w14:paraId="3C7C88F5" w14:textId="77777777">
      <w:pPr>
        <w:spacing w:before="120" w:after="120" w:line="276" w:lineRule="auto"/>
        <w:jc w:val="both"/>
        <w:rPr>
          <w:rFonts w:ascii="Verdana" w:hAnsi="Verdana" w:eastAsia="Calibri" w:cs="Arial"/>
          <w:sz w:val="20"/>
          <w:szCs w:val="20"/>
        </w:rPr>
      </w:pPr>
      <w:r w:rsidRPr="00320116">
        <w:rPr>
          <w:rFonts w:ascii="Verdana" w:hAnsi="Verdana" w:eastAsia="Calibri" w:cs="Arial"/>
          <w:sz w:val="20"/>
          <w:szCs w:val="20"/>
        </w:rPr>
        <w:t>En relación con el aviso de convocatoria en los procesos de contratación estatal limitados a MiPymes, su interpretación debe efectuarse de manera armónica entre el EGCAP y la Ley 1712 de 2014. Así, el deber de publicidad no se agota en la publicación formal del aviso como actuación aislada, ni se limita exclusivamente a la divulgación de los documentos estrictamente vinculados al proceso contractual. Por el contrario, el régimen de transparencia amplía el alcance de dicha obligación, de modo que el aviso de convocatoria constituye un mecanismo inicial de acceso a la información pública relativa al procedimiento de selección y, una vez publicado, pasa a integrar los documentos del proceso contractual.</w:t>
      </w:r>
    </w:p>
    <w:p w:rsidR="002C6D42" w:rsidP="002C6D42" w:rsidRDefault="002C6D42" w14:paraId="109EE943" w14:textId="77777777">
      <w:pPr>
        <w:tabs>
          <w:tab w:val="left" w:pos="5073"/>
        </w:tabs>
        <w:spacing w:after="0"/>
        <w:rPr>
          <w:rFonts w:ascii="Verdana" w:hAnsi="Verdana"/>
          <w:color w:val="0099CC"/>
        </w:rPr>
      </w:pPr>
    </w:p>
    <w:p w:rsidR="002C6D42" w:rsidP="002C6D42" w:rsidRDefault="002C6D42" w14:paraId="3B67630A" w14:textId="77777777">
      <w:pPr>
        <w:tabs>
          <w:tab w:val="left" w:pos="5073"/>
        </w:tabs>
        <w:spacing w:after="0"/>
        <w:rPr>
          <w:rFonts w:ascii="Verdana" w:hAnsi="Verdana"/>
          <w:color w:val="0099CC"/>
        </w:rPr>
      </w:pPr>
    </w:p>
    <w:p w:rsidR="002C6D42" w:rsidP="002C6D42" w:rsidRDefault="002C6D42" w14:paraId="084F5D37" w14:textId="77777777">
      <w:pPr>
        <w:tabs>
          <w:tab w:val="left" w:pos="5073"/>
        </w:tabs>
        <w:spacing w:after="0"/>
        <w:rPr>
          <w:rFonts w:ascii="Verdana" w:hAnsi="Verdana"/>
          <w:color w:val="0099CC"/>
        </w:rPr>
      </w:pPr>
    </w:p>
    <w:p w:rsidR="002C6D42" w:rsidP="002C6D42" w:rsidRDefault="002C6D42" w14:paraId="67B7ADA4" w14:textId="77777777">
      <w:pPr>
        <w:tabs>
          <w:tab w:val="left" w:pos="5073"/>
        </w:tabs>
        <w:spacing w:after="0"/>
        <w:rPr>
          <w:rFonts w:ascii="Verdana" w:hAnsi="Verdana"/>
          <w:color w:val="0099CC"/>
        </w:rPr>
      </w:pPr>
    </w:p>
    <w:p w:rsidR="002C6D42" w:rsidP="002C6D42" w:rsidRDefault="002C6D42" w14:paraId="0C8D624B" w14:textId="77777777">
      <w:pPr>
        <w:tabs>
          <w:tab w:val="left" w:pos="5073"/>
        </w:tabs>
        <w:spacing w:after="0"/>
        <w:rPr>
          <w:rFonts w:ascii="Verdana" w:hAnsi="Verdana"/>
          <w:color w:val="0099CC"/>
        </w:rPr>
      </w:pPr>
    </w:p>
    <w:p w:rsidR="002C6D42" w:rsidP="002C6D42" w:rsidRDefault="002C6D42" w14:paraId="27009870" w14:textId="77777777">
      <w:pPr>
        <w:tabs>
          <w:tab w:val="left" w:pos="5073"/>
        </w:tabs>
        <w:spacing w:after="0"/>
        <w:rPr>
          <w:rFonts w:ascii="Verdana" w:hAnsi="Verdana"/>
          <w:color w:val="0099CC"/>
        </w:rPr>
      </w:pPr>
    </w:p>
    <w:p w:rsidR="002C6D42" w:rsidP="002C6D42" w:rsidRDefault="002C6D42" w14:paraId="5CE4B536" w14:textId="77777777">
      <w:pPr>
        <w:tabs>
          <w:tab w:val="left" w:pos="5073"/>
        </w:tabs>
        <w:spacing w:after="0"/>
        <w:rPr>
          <w:rFonts w:ascii="Verdana" w:hAnsi="Verdana"/>
          <w:color w:val="0099CC"/>
        </w:rPr>
      </w:pPr>
    </w:p>
    <w:p w:rsidR="002C6D42" w:rsidP="002C6D42" w:rsidRDefault="002C6D42" w14:paraId="4D08BF1E" w14:textId="77777777">
      <w:pPr>
        <w:tabs>
          <w:tab w:val="left" w:pos="5073"/>
        </w:tabs>
        <w:spacing w:after="0"/>
        <w:rPr>
          <w:rFonts w:ascii="Verdana" w:hAnsi="Verdana"/>
          <w:color w:val="0099CC"/>
        </w:rPr>
      </w:pPr>
    </w:p>
    <w:p w:rsidR="002C6D42" w:rsidP="002C6D42" w:rsidRDefault="002C6D42" w14:paraId="6398CE51" w14:textId="77777777">
      <w:pPr>
        <w:tabs>
          <w:tab w:val="left" w:pos="5073"/>
        </w:tabs>
        <w:spacing w:after="0"/>
        <w:rPr>
          <w:rFonts w:ascii="Verdana" w:hAnsi="Verdana"/>
          <w:color w:val="0099CC"/>
        </w:rPr>
      </w:pPr>
    </w:p>
    <w:p w:rsidR="002C6D42" w:rsidP="002C6D42" w:rsidRDefault="002C6D42" w14:paraId="782FF342" w14:textId="77777777">
      <w:pPr>
        <w:tabs>
          <w:tab w:val="left" w:pos="5073"/>
        </w:tabs>
        <w:spacing w:after="0"/>
        <w:rPr>
          <w:rFonts w:ascii="Verdana" w:hAnsi="Verdana"/>
          <w:color w:val="0099CC"/>
        </w:rPr>
      </w:pPr>
    </w:p>
    <w:p w:rsidR="002C6D42" w:rsidP="002C6D42" w:rsidRDefault="002C6D42" w14:paraId="62941227" w14:textId="77777777">
      <w:pPr>
        <w:tabs>
          <w:tab w:val="left" w:pos="5073"/>
        </w:tabs>
        <w:spacing w:after="0"/>
        <w:rPr>
          <w:rFonts w:ascii="Verdana" w:hAnsi="Verdana"/>
          <w:color w:val="0099CC"/>
        </w:rPr>
      </w:pPr>
    </w:p>
    <w:p w:rsidR="002C6D42" w:rsidP="002C6D42" w:rsidRDefault="002C6D42" w14:paraId="658940A7" w14:textId="77777777">
      <w:pPr>
        <w:tabs>
          <w:tab w:val="left" w:pos="5073"/>
        </w:tabs>
        <w:spacing w:after="0"/>
        <w:rPr>
          <w:rFonts w:ascii="Verdana" w:hAnsi="Verdana"/>
          <w:color w:val="0099CC"/>
        </w:rPr>
      </w:pPr>
    </w:p>
    <w:p w:rsidR="00CF1679" w:rsidP="002C6D42" w:rsidRDefault="00CF1679" w14:paraId="4372DEA0" w14:textId="77777777">
      <w:pPr>
        <w:tabs>
          <w:tab w:val="left" w:pos="5073"/>
        </w:tabs>
        <w:spacing w:after="0"/>
        <w:rPr>
          <w:rFonts w:ascii="Verdana" w:hAnsi="Verdana"/>
          <w:color w:val="0099CC"/>
        </w:rPr>
      </w:pPr>
    </w:p>
    <w:p w:rsidR="00CF1679" w:rsidP="002C6D42" w:rsidRDefault="00CF1679" w14:paraId="541D48D9" w14:textId="77777777">
      <w:pPr>
        <w:tabs>
          <w:tab w:val="left" w:pos="5073"/>
        </w:tabs>
        <w:spacing w:after="0"/>
        <w:rPr>
          <w:rFonts w:ascii="Verdana" w:hAnsi="Verdana"/>
          <w:color w:val="0099CC"/>
        </w:rPr>
      </w:pPr>
    </w:p>
    <w:p w:rsidR="00D44688" w:rsidP="002C6D42" w:rsidRDefault="00D44688" w14:paraId="557BAA1B" w14:textId="77777777">
      <w:pPr>
        <w:tabs>
          <w:tab w:val="left" w:pos="5073"/>
        </w:tabs>
        <w:spacing w:after="0"/>
        <w:rPr>
          <w:rFonts w:ascii="Verdana" w:hAnsi="Verdana"/>
          <w:color w:val="0099CC"/>
        </w:rPr>
      </w:pPr>
    </w:p>
    <w:p w:rsidRPr="006C6EA5" w:rsidR="002C6D42" w:rsidP="002C6D42" w:rsidRDefault="002C6D42" w14:paraId="5D822261" w14:textId="77777777">
      <w:pPr>
        <w:tabs>
          <w:tab w:val="left" w:pos="5073"/>
        </w:tabs>
        <w:spacing w:after="0"/>
        <w:rPr>
          <w:rFonts w:ascii="Verdana" w:hAnsi="Verdana"/>
          <w:color w:val="0099CC"/>
        </w:rPr>
      </w:pPr>
    </w:p>
    <w:p w:rsidRPr="00AA0AE8" w:rsidR="002C6D42" w:rsidP="002C6D42" w:rsidRDefault="002C6D42" w14:paraId="646DC9AA" w14:textId="3AE08FB6">
      <w:pPr>
        <w:spacing w:after="0"/>
        <w:rPr>
          <w:rFonts w:ascii="Verdana" w:hAnsi="Verdana"/>
          <w:color w:val="0099CC"/>
          <w:lang w:val="es-ES"/>
        </w:rPr>
      </w:pPr>
    </w:p>
    <w:p w:rsidRPr="00445849" w:rsidR="002C6D42" w:rsidP="002C6D42" w:rsidRDefault="002C6D42" w14:paraId="62DE6435" w14:textId="66EC2A08">
      <w:pPr>
        <w:spacing w:after="0"/>
        <w:rPr>
          <w:rFonts w:ascii="Verdana" w:hAnsi="Verdana"/>
          <w:color w:val="000000" w:themeColor="text1"/>
        </w:rPr>
      </w:pPr>
      <w:r w:rsidRPr="00445849">
        <w:rPr>
          <w:rFonts w:ascii="Verdana" w:hAnsi="Verdana"/>
          <w:color w:val="000000" w:themeColor="text1"/>
        </w:rPr>
        <w:t xml:space="preserve">Bogotá D.C, </w:t>
      </w:r>
      <w:r w:rsidR="007877C1">
        <w:rPr>
          <w:rFonts w:ascii="Verdana" w:hAnsi="Verdana"/>
          <w:color w:val="000000" w:themeColor="text1"/>
        </w:rPr>
        <w:t xml:space="preserve">11 </w:t>
      </w:r>
      <w:r w:rsidR="00AC720D">
        <w:rPr>
          <w:rFonts w:ascii="Verdana" w:hAnsi="Verdana"/>
          <w:color w:val="000000" w:themeColor="text1"/>
        </w:rPr>
        <w:t>Mayo 2026</w:t>
      </w:r>
    </w:p>
    <w:p w:rsidRPr="00302DDB" w:rsidR="002C6D42" w:rsidP="002C6D42" w:rsidRDefault="002C6D42" w14:paraId="08B74336" w14:textId="27113C1C">
      <w:pPr>
        <w:spacing w:after="0"/>
        <w:rPr>
          <w:rFonts w:ascii="Verdana" w:hAnsi="Verdana"/>
          <w:color w:val="000000" w:themeColor="text1"/>
        </w:rPr>
      </w:pPr>
    </w:p>
    <w:p w:rsidRPr="00302DDB" w:rsidR="002C6D42" w:rsidP="002C6D42" w:rsidRDefault="00AC720D" w14:paraId="799A2F0D" w14:textId="53F61C65">
      <w:pPr>
        <w:spacing w:after="0" w:line="276" w:lineRule="auto"/>
        <w:rPr>
          <w:rFonts w:ascii="Verdana" w:hAnsi="Verdana" w:eastAsia="Calibri" w:cs="Arial"/>
          <w:color w:val="000000" w:themeColor="text1"/>
          <w:lang w:val="es-ES" w:eastAsia="es-ES"/>
        </w:rPr>
      </w:pPr>
      <w:r w:rsidRPr="00AC720D">
        <w:rPr>
          <w:rFonts w:ascii="Verdana" w:hAnsi="Verdana"/>
          <w:color w:val="0099CC"/>
          <w:lang w:val="es-ES"/>
        </w:rPr>
        <w:drawing>
          <wp:anchor distT="0" distB="0" distL="114300" distR="114300" simplePos="0" relativeHeight="251658240" behindDoc="0" locked="0" layoutInCell="1" allowOverlap="1" wp14:anchorId="1921150E" wp14:editId="0AA06973">
            <wp:simplePos x="0" y="0"/>
            <wp:positionH relativeFrom="margin">
              <wp:posOffset>3200458</wp:posOffset>
            </wp:positionH>
            <wp:positionV relativeFrom="margin">
              <wp:posOffset>560705</wp:posOffset>
            </wp:positionV>
            <wp:extent cx="2806412" cy="809952"/>
            <wp:effectExtent l="0" t="0" r="0" b="9525"/>
            <wp:wrapSquare wrapText="bothSides"/>
            <wp:docPr id="19823284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328477" name=""/>
                    <pic:cNvPicPr/>
                  </pic:nvPicPr>
                  <pic:blipFill>
                    <a:blip r:embed="rId10">
                      <a:extLst>
                        <a:ext uri="{28A0092B-C50C-407E-A947-70E740481C1C}">
                          <a14:useLocalDpi xmlns:a14="http://schemas.microsoft.com/office/drawing/2010/main" val="0"/>
                        </a:ext>
                      </a:extLst>
                    </a:blip>
                    <a:stretch>
                      <a:fillRect/>
                    </a:stretch>
                  </pic:blipFill>
                  <pic:spPr>
                    <a:xfrm>
                      <a:off x="0" y="0"/>
                      <a:ext cx="2806412" cy="809952"/>
                    </a:xfrm>
                    <a:prstGeom prst="rect">
                      <a:avLst/>
                    </a:prstGeom>
                  </pic:spPr>
                </pic:pic>
              </a:graphicData>
            </a:graphic>
          </wp:anchor>
        </w:drawing>
      </w:r>
      <w:r w:rsidRPr="00302DDB" w:rsidR="002C6D42">
        <w:rPr>
          <w:rFonts w:ascii="Verdana" w:hAnsi="Verdana" w:eastAsia="Calibri" w:cs="Arial"/>
          <w:color w:val="000000" w:themeColor="text1"/>
          <w:lang w:val="es-ES" w:eastAsia="es-ES"/>
        </w:rPr>
        <w:t>Señora</w:t>
      </w:r>
    </w:p>
    <w:p w:rsidRPr="00302DDB" w:rsidR="002C6D42" w:rsidP="002C6D42" w:rsidRDefault="002C6D42" w14:paraId="2B0C0E05" w14:textId="77777777">
      <w:pPr>
        <w:spacing w:after="0" w:line="276" w:lineRule="auto"/>
        <w:rPr>
          <w:rFonts w:ascii="Verdana" w:hAnsi="Verdana" w:eastAsia="Calibri" w:cs="Arial"/>
          <w:b/>
          <w:bCs/>
          <w:color w:val="000000" w:themeColor="text1"/>
          <w:lang w:eastAsia="es-ES"/>
        </w:rPr>
      </w:pPr>
      <w:r w:rsidRPr="00302DDB">
        <w:rPr>
          <w:rFonts w:ascii="Verdana" w:hAnsi="Verdana" w:eastAsia="Calibri" w:cs="Arial"/>
          <w:b/>
          <w:bCs/>
          <w:color w:val="000000" w:themeColor="text1"/>
          <w:lang w:eastAsia="es-ES"/>
        </w:rPr>
        <w:t>Claudia Patricia Villarreal González</w:t>
      </w:r>
    </w:p>
    <w:p w:rsidRPr="00302DDB" w:rsidR="002C6D42" w:rsidP="002C6D42" w:rsidRDefault="002C6D42" w14:paraId="088298E2" w14:textId="77777777">
      <w:pPr>
        <w:spacing w:after="0" w:line="276" w:lineRule="auto"/>
        <w:rPr>
          <w:rFonts w:ascii="Verdana" w:hAnsi="Verdana" w:eastAsia="Calibri" w:cs="Arial"/>
          <w:color w:val="000000" w:themeColor="text1"/>
          <w:lang w:eastAsia="es-ES"/>
        </w:rPr>
      </w:pPr>
      <w:r w:rsidRPr="00302DDB">
        <w:rPr>
          <w:rFonts w:ascii="Verdana" w:hAnsi="Verdana" w:eastAsia="Calibri" w:cs="Arial"/>
          <w:color w:val="000000" w:themeColor="text1"/>
          <w:lang w:eastAsia="es-ES"/>
        </w:rPr>
        <w:t>Personera Municipal de Guadalupe, Santander</w:t>
      </w:r>
    </w:p>
    <w:p w:rsidR="002C6D42" w:rsidP="002C6D42" w:rsidRDefault="002C6D42" w14:paraId="152FB905" w14:textId="77777777">
      <w:pPr>
        <w:spacing w:after="0" w:line="276" w:lineRule="auto"/>
        <w:rPr>
          <w:rFonts w:ascii="Verdana" w:hAnsi="Verdana"/>
          <w:color w:val="000000" w:themeColor="text1"/>
        </w:rPr>
      </w:pPr>
      <w:hyperlink w:history="1" r:id="rId11">
        <w:r w:rsidRPr="000A688E">
          <w:rPr>
            <w:rStyle w:val="Hipervnculo"/>
            <w:rFonts w:ascii="Verdana" w:hAnsi="Verdana"/>
          </w:rPr>
          <w:t>personeria@guadalupe-santander.gov.co</w:t>
        </w:r>
      </w:hyperlink>
    </w:p>
    <w:p w:rsidRPr="00302DDB" w:rsidR="002C6D42" w:rsidP="002C6D42" w:rsidRDefault="002C6D42" w14:paraId="62D9C104" w14:textId="77777777">
      <w:pPr>
        <w:spacing w:after="0" w:line="276" w:lineRule="auto"/>
        <w:rPr>
          <w:rFonts w:ascii="Verdana" w:hAnsi="Verdana" w:eastAsia="Calibri" w:cs="Arial"/>
          <w:color w:val="000000" w:themeColor="text1"/>
          <w:lang w:eastAsia="es-ES"/>
        </w:rPr>
      </w:pPr>
      <w:r w:rsidRPr="00302DDB">
        <w:rPr>
          <w:rFonts w:ascii="Verdana" w:hAnsi="Verdana" w:eastAsia="Calibri" w:cs="Arial"/>
          <w:color w:val="000000" w:themeColor="text1"/>
          <w:lang w:eastAsia="es-ES"/>
        </w:rPr>
        <w:t>Guadalupe, Santander</w:t>
      </w:r>
    </w:p>
    <w:p w:rsidRPr="00302DDB" w:rsidR="002C6D42" w:rsidP="002C6D42" w:rsidRDefault="002C6D42" w14:paraId="56CEAC3D" w14:textId="77777777">
      <w:pPr>
        <w:spacing w:after="0" w:line="276" w:lineRule="auto"/>
        <w:rPr>
          <w:rFonts w:ascii="Verdana" w:hAnsi="Verdana" w:eastAsia="Calibri" w:cs="Arial"/>
          <w:b/>
          <w:bCs/>
          <w:color w:val="000000" w:themeColor="text1"/>
          <w:lang w:val="es-ES_tradnl" w:eastAsia="es-ES_tradnl"/>
        </w:rPr>
      </w:pPr>
    </w:p>
    <w:tbl>
      <w:tblPr>
        <w:tblStyle w:val="Tablaconcuadrcula1"/>
        <w:tblW w:w="923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3261"/>
        <w:gridCol w:w="5972"/>
      </w:tblGrid>
      <w:tr w:rsidRPr="00A90457" w:rsidR="002C6D42" w:rsidTr="634F8FE0" w14:paraId="28F280B3" w14:textId="77777777">
        <w:trPr>
          <w:trHeight w:val="999"/>
        </w:trPr>
        <w:tc>
          <w:tcPr>
            <w:tcW w:w="3261" w:type="dxa"/>
            <w:tcMar/>
          </w:tcPr>
          <w:p w:rsidRPr="00A90457" w:rsidR="002C6D42" w:rsidP="00DD5743" w:rsidRDefault="002C6D42" w14:paraId="51B28EAE" w14:textId="77777777">
            <w:pPr>
              <w:spacing w:line="276" w:lineRule="auto"/>
              <w:jc w:val="both"/>
              <w:rPr>
                <w:rFonts w:ascii="Verdana" w:hAnsi="Verdana" w:eastAsia="Calibri" w:cs="Arial"/>
                <w:b/>
                <w:bCs/>
                <w:color w:val="000000" w:themeColor="text1"/>
                <w:lang w:val="es-ES_tradnl" w:eastAsia="es-ES_tradnl"/>
              </w:rPr>
            </w:pPr>
          </w:p>
        </w:tc>
        <w:tc>
          <w:tcPr>
            <w:tcW w:w="5972" w:type="dxa"/>
            <w:tcMar/>
            <w:hideMark/>
          </w:tcPr>
          <w:p w:rsidRPr="00A90457" w:rsidR="002C6D42" w:rsidP="00DD5743" w:rsidRDefault="002C6D42" w14:paraId="4A187FFA" w14:textId="77777777">
            <w:pPr>
              <w:spacing w:line="276" w:lineRule="auto"/>
              <w:jc w:val="both"/>
              <w:rPr>
                <w:rFonts w:ascii="Verdana" w:hAnsi="Verdana" w:eastAsia="Calibri" w:cs="Arial"/>
                <w:b/>
                <w:bCs/>
                <w:color w:val="000000" w:themeColor="text1"/>
                <w:lang w:val="es-ES" w:eastAsia="es-ES"/>
              </w:rPr>
            </w:pPr>
            <w:r w:rsidRPr="00A90457">
              <w:rPr>
                <w:rFonts w:ascii="Verdana" w:hAnsi="Verdana" w:eastAsia="Calibri" w:cs="Arial"/>
                <w:b/>
                <w:bCs/>
                <w:color w:val="000000" w:themeColor="text1"/>
                <w:lang w:val="es-ES" w:eastAsia="es-ES"/>
              </w:rPr>
              <w:t>Concepto C –501 de 2026</w:t>
            </w:r>
          </w:p>
        </w:tc>
      </w:tr>
      <w:tr w:rsidRPr="00AA0AE8" w:rsidR="002C6D42" w:rsidTr="634F8FE0" w14:paraId="0B6F0943" w14:textId="77777777">
        <w:trPr>
          <w:trHeight w:val="999"/>
        </w:trPr>
        <w:tc>
          <w:tcPr>
            <w:tcW w:w="3261" w:type="dxa"/>
            <w:tcMar/>
            <w:hideMark/>
          </w:tcPr>
          <w:p w:rsidRPr="00F97C6D" w:rsidR="002C6D42" w:rsidP="00DD5743" w:rsidRDefault="002C6D42" w14:paraId="7A40158F" w14:textId="77777777">
            <w:pPr>
              <w:spacing w:line="276" w:lineRule="auto"/>
              <w:jc w:val="both"/>
              <w:rPr>
                <w:rFonts w:ascii="Verdana" w:hAnsi="Verdana" w:eastAsia="Calibri" w:cs="Arial"/>
                <w:lang w:val="es-ES_tradnl" w:eastAsia="es-ES_tradnl"/>
              </w:rPr>
            </w:pPr>
            <w:r w:rsidRPr="00F97C6D">
              <w:rPr>
                <w:rFonts w:ascii="Verdana" w:hAnsi="Verdana" w:eastAsia="Calibri" w:cs="Arial"/>
                <w:b/>
                <w:lang w:val="es-ES_tradnl" w:eastAsia="es-ES_tradnl"/>
              </w:rPr>
              <w:t>Temas:</w:t>
            </w:r>
            <w:r w:rsidRPr="00F97C6D">
              <w:rPr>
                <w:rFonts w:ascii="Verdana" w:hAnsi="Verdana" w:eastAsia="Calibri" w:cs="Arial"/>
                <w:lang w:val="es-ES_tradnl" w:eastAsia="es-ES_tradnl"/>
              </w:rPr>
              <w:t xml:space="preserve">                   </w:t>
            </w:r>
          </w:p>
        </w:tc>
        <w:tc>
          <w:tcPr>
            <w:tcW w:w="5972" w:type="dxa"/>
            <w:tcMar/>
          </w:tcPr>
          <w:p w:rsidRPr="00F97C6D" w:rsidR="002C6D42" w:rsidP="00DD5743" w:rsidRDefault="002C6D42" w14:paraId="07881A8B" w14:textId="77777777">
            <w:pPr>
              <w:jc w:val="both"/>
              <w:rPr>
                <w:rFonts w:ascii="Verdana" w:hAnsi="Verdana"/>
              </w:rPr>
            </w:pPr>
            <w:r w:rsidRPr="00F97C6D">
              <w:rPr>
                <w:rFonts w:ascii="Verdana" w:hAnsi="Verdana"/>
              </w:rPr>
              <w:t>PROMOCIÓN AL DESARROLLO – Ley 2069 de 2020 / DECRETO 1860 DE 2021 – Criterios diferenciales – MiPymes / DECRETO 1860 DE 2021 – MiPymes – Limitación / DECRETO 1860 DE 2021 – MiPymes – Limitación – Aviso / PRINCIPIO DE PUBLICIDAD – Aviso – Limitación a MiPymes</w:t>
            </w:r>
          </w:p>
        </w:tc>
      </w:tr>
      <w:tr w:rsidRPr="00AD541A" w:rsidR="002C6D42" w:rsidTr="634F8FE0" w14:paraId="784D3141" w14:textId="77777777">
        <w:trPr>
          <w:trHeight w:val="597"/>
        </w:trPr>
        <w:tc>
          <w:tcPr>
            <w:tcW w:w="3261" w:type="dxa"/>
            <w:tcMar/>
            <w:hideMark/>
          </w:tcPr>
          <w:p w:rsidRPr="00AD541A" w:rsidR="002C6D42" w:rsidP="00DD5743" w:rsidRDefault="002C6D42" w14:paraId="3DC2FCBF" w14:textId="77777777">
            <w:pPr>
              <w:spacing w:line="276" w:lineRule="auto"/>
              <w:jc w:val="both"/>
              <w:rPr>
                <w:rFonts w:ascii="Verdana" w:hAnsi="Verdana" w:eastAsia="Calibri" w:cs="Arial"/>
                <w:b/>
                <w:color w:val="000000" w:themeColor="text1"/>
                <w:lang w:val="es-ES_tradnl" w:eastAsia="es-ES_tradnl"/>
              </w:rPr>
            </w:pPr>
            <w:r w:rsidRPr="00AD541A">
              <w:rPr>
                <w:rFonts w:ascii="Verdana" w:hAnsi="Verdana" w:eastAsia="Calibri" w:cs="Arial"/>
                <w:b/>
                <w:color w:val="000000" w:themeColor="text1"/>
                <w:lang w:val="es-ES_tradnl" w:eastAsia="es-ES_tradnl"/>
              </w:rPr>
              <w:t xml:space="preserve">Radicación:               </w:t>
            </w:r>
          </w:p>
        </w:tc>
        <w:tc>
          <w:tcPr>
            <w:tcW w:w="5972" w:type="dxa"/>
            <w:tcMar/>
          </w:tcPr>
          <w:p w:rsidRPr="00AD541A" w:rsidR="002C6D42" w:rsidP="634F8FE0" w:rsidRDefault="002C6D42" w14:paraId="4EC13BDC" w14:textId="64C8189E">
            <w:pPr>
              <w:spacing w:line="276" w:lineRule="auto"/>
              <w:jc w:val="both"/>
              <w:rPr>
                <w:rFonts w:ascii="Verdana" w:hAnsi="Verdana" w:eastAsia="Calibri" w:cs="Arial"/>
                <w:color w:val="000000" w:themeColor="text1" w:themeTint="FF" w:themeShade="FF"/>
                <w:lang w:eastAsia="es-ES"/>
              </w:rPr>
            </w:pPr>
            <w:r w:rsidRPr="634F8FE0" w:rsidR="002C6D42">
              <w:rPr>
                <w:rFonts w:ascii="Verdana" w:hAnsi="Verdana" w:eastAsia="Calibri" w:cs="Arial"/>
                <w:color w:val="000000" w:themeColor="text1" w:themeTint="FF" w:themeShade="FF"/>
                <w:lang w:val="es-ES" w:eastAsia="es-ES"/>
              </w:rPr>
              <w:t xml:space="preserve">Respuesta a consulta con radicado </w:t>
            </w:r>
            <w:r w:rsidRPr="634F8FE0" w:rsidR="002C6D42">
              <w:rPr>
                <w:rFonts w:ascii="Verdana" w:hAnsi="Verdana" w:eastAsia="Calibri" w:cs="Arial"/>
                <w:color w:val="000000" w:themeColor="text1" w:themeTint="FF" w:themeShade="FF"/>
                <w:lang w:eastAsia="es-ES"/>
              </w:rPr>
              <w:t xml:space="preserve">No </w:t>
            </w:r>
            <w:r w:rsidRPr="634F8FE0" w:rsidR="3B0E8D23">
              <w:rPr>
                <w:rFonts w:ascii="Verdana" w:hAnsi="Verdana" w:eastAsia="Calibri" w:cs="Arial"/>
                <w:color w:val="000000" w:themeColor="text1" w:themeTint="FF" w:themeShade="FF"/>
                <w:lang w:eastAsia="es-ES"/>
              </w:rPr>
              <w:t>1_2026_03_26_004199</w:t>
            </w:r>
          </w:p>
          <w:p w:rsidRPr="00AD541A" w:rsidR="002C6D42" w:rsidP="634F8FE0" w:rsidRDefault="002C6D42" w14:paraId="17AD8ED5" w14:textId="5A983A8A">
            <w:pPr>
              <w:pStyle w:val="Normal"/>
              <w:spacing w:line="276" w:lineRule="auto"/>
              <w:jc w:val="both"/>
              <w:rPr>
                <w:rFonts w:ascii="Verdana" w:hAnsi="Verdana" w:eastAsia="Calibri" w:cs="Arial"/>
                <w:color w:val="000000" w:themeColor="text1"/>
                <w:lang w:eastAsia="es-ES"/>
              </w:rPr>
            </w:pPr>
          </w:p>
        </w:tc>
      </w:tr>
    </w:tbl>
    <w:p w:rsidRPr="00AD541A" w:rsidR="002C6D42" w:rsidP="002C6D42" w:rsidRDefault="002C6D42" w14:paraId="44678D70" w14:textId="77777777">
      <w:pPr>
        <w:spacing w:after="0" w:line="276" w:lineRule="auto"/>
        <w:jc w:val="both"/>
        <w:rPr>
          <w:rFonts w:ascii="Verdana" w:hAnsi="Verdana" w:eastAsia="Calibri" w:cs="Arial"/>
          <w:bCs/>
          <w:color w:val="000000" w:themeColor="text1"/>
          <w:lang w:val="es-ES" w:eastAsia="es-ES"/>
        </w:rPr>
      </w:pPr>
      <w:r w:rsidRPr="00AD541A">
        <w:rPr>
          <w:rFonts w:ascii="Verdana" w:hAnsi="Verdana" w:eastAsia="Calibri" w:cs="Arial"/>
          <w:bCs/>
          <w:color w:val="000000" w:themeColor="text1"/>
          <w:lang w:val="es-ES" w:eastAsia="es-ES"/>
        </w:rPr>
        <w:t xml:space="preserve">Estimada señora </w:t>
      </w:r>
      <w:r w:rsidRPr="00AD541A">
        <w:rPr>
          <w:rFonts w:ascii="Verdana" w:hAnsi="Verdana" w:eastAsia="Calibri" w:cs="Arial"/>
          <w:bCs/>
          <w:color w:val="000000" w:themeColor="text1"/>
          <w:lang w:eastAsia="es-ES"/>
        </w:rPr>
        <w:t>Claudia Patricia</w:t>
      </w:r>
      <w:r w:rsidRPr="00AD541A">
        <w:rPr>
          <w:rFonts w:ascii="Verdana" w:hAnsi="Verdana" w:eastAsia="Calibri" w:cs="Arial"/>
          <w:bCs/>
          <w:color w:val="000000" w:themeColor="text1"/>
          <w:lang w:val="es-ES" w:eastAsia="es-ES"/>
        </w:rPr>
        <w:t xml:space="preserve">:  </w:t>
      </w:r>
    </w:p>
    <w:p w:rsidRPr="00AA0AE8" w:rsidR="002C6D42" w:rsidP="002C6D42" w:rsidRDefault="002C6D42" w14:paraId="53A9E138" w14:textId="77777777">
      <w:pPr>
        <w:tabs>
          <w:tab w:val="left" w:pos="3768"/>
        </w:tabs>
        <w:spacing w:after="0" w:line="276" w:lineRule="auto"/>
        <w:jc w:val="both"/>
        <w:rPr>
          <w:rFonts w:ascii="Verdana" w:hAnsi="Verdana" w:eastAsia="Calibri" w:cs="Arial"/>
          <w:bCs/>
          <w:color w:val="0099CC"/>
          <w:lang w:val="es-ES" w:eastAsia="es-ES"/>
        </w:rPr>
      </w:pPr>
      <w:r w:rsidRPr="00AA0AE8">
        <w:rPr>
          <w:rFonts w:ascii="Verdana" w:hAnsi="Verdana" w:eastAsia="Calibri" w:cs="Arial"/>
          <w:bCs/>
          <w:color w:val="0099CC"/>
          <w:lang w:val="es-ES" w:eastAsia="es-ES"/>
        </w:rPr>
        <w:tab/>
      </w:r>
    </w:p>
    <w:p w:rsidRPr="00DB2B63" w:rsidR="002C6D42" w:rsidP="002C6D42" w:rsidRDefault="002C6D42" w14:paraId="373211E3" w14:textId="77777777">
      <w:pPr>
        <w:spacing w:after="0" w:line="276" w:lineRule="auto"/>
        <w:jc w:val="both"/>
        <w:rPr>
          <w:rFonts w:ascii="Verdana" w:hAnsi="Verdana" w:eastAsia="Calibri" w:cs="Arial"/>
          <w:color w:val="000000" w:themeColor="text1"/>
          <w:lang w:val="es-ES" w:eastAsia="es-ES"/>
        </w:rPr>
      </w:pPr>
      <w:r w:rsidRPr="00DB2B63">
        <w:rPr>
          <w:rFonts w:ascii="Verdana" w:hAnsi="Verdana" w:eastAsia="Calibri" w:cs="Arial"/>
          <w:color w:val="000000" w:themeColor="text1"/>
          <w:lang w:val="es-ES" w:eastAsia="es-ES"/>
        </w:rPr>
        <w:t>En ejercicio de la competencia otorgada por los artículos 3, numeral 5º, y 11, numeral 8º, del Decreto Ley 4170 de 2011,</w:t>
      </w:r>
      <w:r w:rsidRPr="00DB2B63">
        <w:rPr>
          <w:rFonts w:ascii="Verdana" w:hAnsi="Verdana" w:eastAsia="Arial MT" w:cs="Arial MT"/>
          <w:color w:val="000000" w:themeColor="text1"/>
          <w:lang w:val="es-ES" w:eastAsia="es-ES"/>
        </w:rPr>
        <w:t xml:space="preserve"> </w:t>
      </w:r>
      <w:r w:rsidRPr="00DB2B63">
        <w:rPr>
          <w:rFonts w:ascii="Verdana" w:hAnsi="Verdana" w:eastAsia="Calibri" w:cs="Arial"/>
          <w:color w:val="000000" w:themeColor="text1"/>
        </w:rPr>
        <w:t xml:space="preserve">así como lo establecido en el artículo 4 de la Resolución 1707 de 2018 expedida por esta Entidad, </w:t>
      </w:r>
      <w:r w:rsidRPr="00DB2B63">
        <w:rPr>
          <w:rFonts w:ascii="Verdana" w:hAnsi="Verdana" w:eastAsia="Calibri" w:cs="Arial"/>
          <w:color w:val="000000" w:themeColor="text1"/>
          <w:lang w:val="es-ES" w:eastAsia="es-ES"/>
        </w:rPr>
        <w:t xml:space="preserve">la Agencia Nacional de Contratación Pública –Colombia Compra Eficiente– responde su solicitud de consulta de fecha 25 de marzo de 2026, en la cual manifiesta lo siguiente: </w:t>
      </w:r>
      <w:bookmarkStart w:name="_Hlk95313578" w:id="1"/>
    </w:p>
    <w:p w:rsidRPr="00712715" w:rsidR="002C6D42" w:rsidP="002C6D42" w:rsidRDefault="002C6D42" w14:paraId="16E50490" w14:textId="77777777">
      <w:pPr>
        <w:spacing w:after="0" w:line="276" w:lineRule="auto"/>
        <w:jc w:val="both"/>
        <w:rPr>
          <w:rFonts w:ascii="Verdana" w:hAnsi="Verdana" w:eastAsia="Calibri" w:cs="Arial"/>
          <w:bCs/>
          <w:color w:val="000000" w:themeColor="text1"/>
          <w:lang w:val="es-ES" w:eastAsia="es-ES"/>
        </w:rPr>
      </w:pPr>
    </w:p>
    <w:bookmarkEnd w:id="1"/>
    <w:p w:rsidRPr="00712715" w:rsidR="002C6D42" w:rsidP="002C6D42" w:rsidRDefault="002C6D42" w14:paraId="6AECCCA5" w14:textId="77777777">
      <w:pPr>
        <w:spacing w:after="0" w:line="240" w:lineRule="auto"/>
        <w:ind w:left="709" w:right="709"/>
        <w:jc w:val="both"/>
        <w:rPr>
          <w:rFonts w:ascii="Verdana" w:hAnsi="Verdana" w:eastAsia="Calibri" w:cs="Arial"/>
          <w:i/>
          <w:iCs/>
          <w:color w:val="000000" w:themeColor="text1"/>
          <w:sz w:val="21"/>
          <w:szCs w:val="21"/>
          <w:lang w:val="es-ES" w:eastAsia="es-ES"/>
        </w:rPr>
      </w:pPr>
      <w:r w:rsidRPr="00712715">
        <w:rPr>
          <w:rFonts w:ascii="Verdana" w:hAnsi="Verdana" w:eastAsia="Calibri" w:cs="Arial"/>
          <w:i/>
          <w:iCs/>
          <w:color w:val="000000" w:themeColor="text1"/>
          <w:sz w:val="21"/>
          <w:szCs w:val="21"/>
          <w:lang w:val="es-ES" w:eastAsia="es-ES"/>
        </w:rPr>
        <w:t>“(…)</w:t>
      </w:r>
    </w:p>
    <w:p w:rsidRPr="00712715" w:rsidR="002C6D42" w:rsidP="002C6D42" w:rsidRDefault="002C6D42" w14:paraId="1973C8F6" w14:textId="77777777">
      <w:pPr>
        <w:spacing w:after="0" w:line="240" w:lineRule="auto"/>
        <w:ind w:left="709" w:right="709"/>
        <w:jc w:val="both"/>
        <w:rPr>
          <w:rFonts w:ascii="Verdana" w:hAnsi="Verdana" w:eastAsia="Calibri" w:cs="Arial"/>
          <w:i/>
          <w:iCs/>
          <w:color w:val="000000" w:themeColor="text1"/>
          <w:sz w:val="21"/>
          <w:szCs w:val="21"/>
          <w:lang w:val="es-ES" w:eastAsia="es-ES"/>
        </w:rPr>
      </w:pPr>
    </w:p>
    <w:p w:rsidRPr="00712715" w:rsidR="002C6D42" w:rsidP="002C6D42" w:rsidRDefault="002C6D42" w14:paraId="09F131F4" w14:textId="77777777">
      <w:pPr>
        <w:pStyle w:val="Prrafodelista"/>
        <w:numPr>
          <w:ilvl w:val="0"/>
          <w:numId w:val="19"/>
        </w:numPr>
        <w:spacing w:after="0" w:line="240" w:lineRule="auto"/>
        <w:ind w:right="709"/>
        <w:jc w:val="both"/>
        <w:rPr>
          <w:rFonts w:ascii="Verdana" w:hAnsi="Verdana" w:eastAsia="Calibri" w:cs="Arial"/>
          <w:i/>
          <w:iCs/>
          <w:color w:val="000000" w:themeColor="text1"/>
          <w:sz w:val="21"/>
          <w:szCs w:val="21"/>
          <w:lang w:eastAsia="es-ES"/>
        </w:rPr>
      </w:pPr>
      <w:r w:rsidRPr="00712715">
        <w:rPr>
          <w:rFonts w:ascii="Verdana" w:hAnsi="Verdana" w:eastAsia="Calibri" w:cs="Arial"/>
          <w:i/>
          <w:iCs/>
          <w:color w:val="000000" w:themeColor="text1"/>
          <w:sz w:val="21"/>
          <w:szCs w:val="21"/>
          <w:lang w:eastAsia="es-ES"/>
        </w:rPr>
        <w:t>¿Cuál es el objetivo del aviso para la limitación de un contrato estatal a MiPymes?</w:t>
      </w:r>
    </w:p>
    <w:p w:rsidRPr="00712715" w:rsidR="002C6D42" w:rsidP="002C6D42" w:rsidRDefault="002C6D42" w14:paraId="0516140B" w14:textId="77777777">
      <w:pPr>
        <w:pStyle w:val="Prrafodelista"/>
        <w:spacing w:after="0" w:line="240" w:lineRule="auto"/>
        <w:ind w:left="1069" w:right="709"/>
        <w:jc w:val="both"/>
        <w:rPr>
          <w:rFonts w:ascii="Verdana" w:hAnsi="Verdana" w:eastAsia="Calibri" w:cs="Arial"/>
          <w:i/>
          <w:iCs/>
          <w:color w:val="000000" w:themeColor="text1"/>
          <w:sz w:val="21"/>
          <w:szCs w:val="21"/>
          <w:lang w:eastAsia="es-ES"/>
        </w:rPr>
      </w:pPr>
    </w:p>
    <w:p w:rsidRPr="00712715" w:rsidR="002C6D42" w:rsidP="002C6D42" w:rsidRDefault="002C6D42" w14:paraId="3B0B9887" w14:textId="77777777">
      <w:pPr>
        <w:spacing w:after="0" w:line="240" w:lineRule="auto"/>
        <w:ind w:left="709" w:right="709"/>
        <w:jc w:val="both"/>
        <w:rPr>
          <w:rFonts w:ascii="Verdana" w:hAnsi="Verdana" w:eastAsia="Calibri" w:cs="Arial"/>
          <w:i/>
          <w:iCs/>
          <w:color w:val="000000" w:themeColor="text1"/>
          <w:sz w:val="21"/>
          <w:szCs w:val="21"/>
          <w:lang w:val="es-ES" w:eastAsia="es-ES"/>
        </w:rPr>
      </w:pPr>
      <w:r w:rsidRPr="00712715">
        <w:rPr>
          <w:rFonts w:ascii="Verdana" w:hAnsi="Verdana" w:eastAsia="Calibri" w:cs="Arial"/>
          <w:i/>
          <w:iCs/>
          <w:color w:val="000000" w:themeColor="text1"/>
          <w:sz w:val="21"/>
          <w:szCs w:val="21"/>
          <w:lang w:val="es-ES" w:eastAsia="es-ES"/>
        </w:rPr>
        <w:t xml:space="preserve">2. De acuerdo a la normativa que tiempo mínimo debe permanecer el aviso de limitación a MiPymes? </w:t>
      </w:r>
    </w:p>
    <w:p w:rsidRPr="00712715" w:rsidR="002C6D42" w:rsidP="002C6D42" w:rsidRDefault="002C6D42" w14:paraId="46E7452A" w14:textId="77777777">
      <w:pPr>
        <w:spacing w:after="0" w:line="240" w:lineRule="auto"/>
        <w:ind w:left="709" w:right="709"/>
        <w:jc w:val="both"/>
        <w:rPr>
          <w:rFonts w:ascii="Verdana" w:hAnsi="Verdana" w:eastAsia="Calibri" w:cs="Arial"/>
          <w:i/>
          <w:iCs/>
          <w:color w:val="000000" w:themeColor="text1"/>
          <w:sz w:val="21"/>
          <w:szCs w:val="21"/>
          <w:lang w:val="es-ES" w:eastAsia="es-ES"/>
        </w:rPr>
      </w:pPr>
    </w:p>
    <w:p w:rsidRPr="00712715" w:rsidR="002C6D42" w:rsidP="002C6D42" w:rsidRDefault="002C6D42" w14:paraId="31553918" w14:textId="77777777">
      <w:pPr>
        <w:spacing w:after="0" w:line="240" w:lineRule="auto"/>
        <w:ind w:left="709" w:right="709"/>
        <w:jc w:val="both"/>
        <w:rPr>
          <w:rFonts w:ascii="Verdana" w:hAnsi="Verdana" w:eastAsia="Calibri" w:cs="Arial"/>
          <w:i/>
          <w:iCs/>
          <w:color w:val="000000" w:themeColor="text1"/>
          <w:sz w:val="21"/>
          <w:szCs w:val="21"/>
          <w:lang w:val="es-ES" w:eastAsia="es-ES"/>
        </w:rPr>
      </w:pPr>
      <w:r w:rsidRPr="00712715">
        <w:rPr>
          <w:rFonts w:ascii="Verdana" w:hAnsi="Verdana" w:eastAsia="Calibri" w:cs="Arial"/>
          <w:i/>
          <w:iCs/>
          <w:color w:val="000000" w:themeColor="text1"/>
          <w:sz w:val="21"/>
          <w:szCs w:val="21"/>
          <w:lang w:val="es-ES" w:eastAsia="es-ES"/>
        </w:rPr>
        <w:t>(…)</w:t>
      </w:r>
      <w:r w:rsidRPr="00712715">
        <w:rPr>
          <w:rFonts w:ascii="Verdana" w:hAnsi="Verdana" w:eastAsia="Calibri" w:cs="Arial"/>
          <w:i/>
          <w:iCs/>
          <w:color w:val="000000" w:themeColor="text1"/>
          <w:sz w:val="21"/>
          <w:szCs w:val="21"/>
          <w:lang w:eastAsia="es-ES"/>
        </w:rPr>
        <w:t>”</w:t>
      </w:r>
    </w:p>
    <w:p w:rsidRPr="00AA0AE8" w:rsidR="002C6D42" w:rsidP="002C6D42" w:rsidRDefault="002C6D42" w14:paraId="2D7C2995" w14:textId="77777777">
      <w:pPr>
        <w:spacing w:after="0" w:line="276" w:lineRule="auto"/>
        <w:ind w:left="709" w:right="709"/>
        <w:jc w:val="both"/>
        <w:rPr>
          <w:rFonts w:ascii="Verdana" w:hAnsi="Verdana" w:eastAsia="Times New Roman" w:cs="Times New Roman"/>
          <w:color w:val="0099CC"/>
          <w:lang w:eastAsia="es-CO"/>
        </w:rPr>
      </w:pPr>
    </w:p>
    <w:p w:rsidRPr="00A9013E" w:rsidR="002C6D42" w:rsidP="002C6D42" w:rsidRDefault="002C6D42" w14:paraId="0F540722" w14:textId="77777777">
      <w:pPr>
        <w:spacing w:after="120" w:line="276" w:lineRule="auto"/>
        <w:ind w:firstLine="709"/>
        <w:jc w:val="both"/>
        <w:rPr>
          <w:rFonts w:ascii="Verdana" w:hAnsi="Verdana" w:eastAsia="Calibri" w:cs="Arial"/>
          <w:color w:val="000000" w:themeColor="text1"/>
          <w:lang w:val="es-ES_tradnl" w:eastAsia="es-ES_tradnl"/>
        </w:rPr>
      </w:pPr>
      <w:r w:rsidRPr="00A9013E">
        <w:rPr>
          <w:rFonts w:ascii="Verdana" w:hAnsi="Verdana" w:eastAsia="Calibri" w:cs="Arial"/>
          <w:color w:val="000000" w:themeColor="text1"/>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9013E">
        <w:rPr>
          <w:rFonts w:ascii="Verdana" w:hAnsi="Verdana" w:eastAsia="Calibri" w:cs="Arial"/>
          <w:color w:val="000000" w:themeColor="text1"/>
          <w:lang w:val="es-ES_tradnl" w:eastAsia="es-ES_tradnl"/>
        </w:rPr>
        <w:tab/>
      </w:r>
    </w:p>
    <w:p w:rsidRPr="00A9013E" w:rsidR="002C6D42" w:rsidP="002C6D42" w:rsidRDefault="002C6D42" w14:paraId="25A25A33" w14:textId="77777777">
      <w:pPr>
        <w:spacing w:after="0" w:line="276" w:lineRule="auto"/>
        <w:ind w:firstLine="708"/>
        <w:jc w:val="both"/>
        <w:rPr>
          <w:rFonts w:ascii="Verdana" w:hAnsi="Verdana" w:eastAsia="Calibri" w:cs="Arial"/>
          <w:color w:val="000000" w:themeColor="text1"/>
          <w:lang w:val="es-ES" w:eastAsia="es-ES"/>
        </w:rPr>
      </w:pPr>
      <w:r w:rsidRPr="00A9013E">
        <w:rPr>
          <w:rFonts w:ascii="Verdana" w:hAnsi="Verdana" w:eastAsia="Calibri"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rsidRPr="00A9013E" w:rsidR="002C6D42" w:rsidP="002C6D42" w:rsidRDefault="002C6D42" w14:paraId="606B2EDE" w14:textId="77777777">
      <w:pPr>
        <w:spacing w:after="0" w:line="276" w:lineRule="auto"/>
        <w:ind w:firstLine="709"/>
        <w:jc w:val="both"/>
        <w:rPr>
          <w:rFonts w:ascii="Verdana" w:hAnsi="Verdana" w:eastAsia="Calibri" w:cs="Arial"/>
          <w:color w:val="000000" w:themeColor="text1"/>
          <w:lang w:val="es-ES" w:eastAsia="es-ES"/>
        </w:rPr>
      </w:pPr>
    </w:p>
    <w:p w:rsidRPr="00A9013E" w:rsidR="002C6D42" w:rsidP="002C6D42" w:rsidRDefault="002C6D42" w14:paraId="0AF1DA69" w14:textId="77777777">
      <w:pPr>
        <w:numPr>
          <w:ilvl w:val="0"/>
          <w:numId w:val="16"/>
        </w:numPr>
        <w:tabs>
          <w:tab w:val="left" w:pos="142"/>
          <w:tab w:val="left" w:pos="284"/>
        </w:tabs>
        <w:spacing w:after="0" w:line="276" w:lineRule="auto"/>
        <w:contextualSpacing/>
        <w:jc w:val="both"/>
        <w:rPr>
          <w:rFonts w:ascii="Verdana" w:hAnsi="Verdana" w:eastAsia="Century Gothic" w:cs="Century Gothic"/>
          <w:b/>
          <w:bCs/>
          <w:color w:val="000000" w:themeColor="text1"/>
          <w:lang w:val="es-ES"/>
        </w:rPr>
      </w:pPr>
      <w:r w:rsidRPr="00A9013E">
        <w:rPr>
          <w:rFonts w:ascii="Verdana" w:hAnsi="Verdana" w:eastAsia="Century Gothic" w:cs="Century Gothic"/>
          <w:b/>
          <w:bCs/>
          <w:color w:val="000000" w:themeColor="text1"/>
          <w:lang w:val="es-ES"/>
        </w:rPr>
        <w:t>Problema planteado:</w:t>
      </w:r>
    </w:p>
    <w:p w:rsidRPr="00A9013E" w:rsidR="002C6D42" w:rsidP="002C6D42" w:rsidRDefault="002C6D42" w14:paraId="7B54A6DD" w14:textId="77777777">
      <w:pPr>
        <w:tabs>
          <w:tab w:val="left" w:pos="426"/>
        </w:tabs>
        <w:spacing w:after="0" w:line="276" w:lineRule="auto"/>
        <w:jc w:val="both"/>
        <w:rPr>
          <w:rFonts w:ascii="Verdana" w:hAnsi="Verdana" w:eastAsia="Century Gothic" w:cs="Century Gothic"/>
          <w:color w:val="000000" w:themeColor="text1"/>
          <w:lang w:val="es-ES"/>
        </w:rPr>
      </w:pPr>
    </w:p>
    <w:p w:rsidR="002C6D42" w:rsidP="002C6D42" w:rsidRDefault="002C6D42" w14:paraId="79925961" w14:textId="77777777">
      <w:pPr>
        <w:spacing w:line="276" w:lineRule="auto"/>
        <w:jc w:val="both"/>
        <w:rPr>
          <w:rFonts w:ascii="Verdana" w:hAnsi="Verdana" w:eastAsia="Century Gothic" w:cs="Century Gothic"/>
          <w:color w:val="000000" w:themeColor="text1"/>
        </w:rPr>
      </w:pPr>
      <w:r w:rsidRPr="00A9013E">
        <w:rPr>
          <w:rFonts w:ascii="Verdana" w:hAnsi="Verdana" w:eastAsia="Century Gothic" w:cs="Century Gothic"/>
          <w:color w:val="000000" w:themeColor="text1"/>
        </w:rPr>
        <w:t>De acuerdo con el contenido de su solicitud, esta Agencia resolverá el siguiente problema jurídico:</w:t>
      </w:r>
      <w:r>
        <w:rPr>
          <w:rFonts w:ascii="Verdana" w:hAnsi="Verdana" w:eastAsia="Century Gothic" w:cs="Century Gothic"/>
          <w:color w:val="000000" w:themeColor="text1"/>
        </w:rPr>
        <w:t xml:space="preserve"> </w:t>
      </w:r>
    </w:p>
    <w:p w:rsidRPr="00A54725" w:rsidR="002C6D42" w:rsidP="002C6D42" w:rsidRDefault="002C6D42" w14:paraId="7E7BCA0E" w14:textId="77777777">
      <w:pPr>
        <w:pStyle w:val="NormalWeb"/>
        <w:numPr>
          <w:ilvl w:val="0"/>
          <w:numId w:val="21"/>
        </w:numPr>
        <w:jc w:val="both"/>
        <w:rPr>
          <w:rFonts w:ascii="Verdana" w:hAnsi="Verdana"/>
          <w:sz w:val="22"/>
          <w:szCs w:val="22"/>
        </w:rPr>
      </w:pPr>
      <w:r w:rsidRPr="00A54725">
        <w:rPr>
          <w:rFonts w:ascii="Verdana" w:hAnsi="Verdana" w:eastAsia="Century Gothic" w:cs="Century Gothic"/>
          <w:color w:val="000000" w:themeColor="text1"/>
          <w:sz w:val="22"/>
          <w:szCs w:val="22"/>
          <w:lang w:eastAsia="en-US"/>
        </w:rPr>
        <w:t>¿Cuál es la finalidad y alcance del aviso mediante el cual se informa la limitación de un proceso de contratación estatal a MiPymes, de conformidad con la normativa vigente?</w:t>
      </w:r>
    </w:p>
    <w:p w:rsidRPr="00675D2F" w:rsidR="002C6D42" w:rsidP="002C6D42" w:rsidRDefault="002C6D42" w14:paraId="6E0389F9" w14:textId="77777777">
      <w:pPr>
        <w:pStyle w:val="NormalWeb"/>
        <w:numPr>
          <w:ilvl w:val="0"/>
          <w:numId w:val="21"/>
        </w:numPr>
        <w:jc w:val="both"/>
        <w:rPr>
          <w:rFonts w:ascii="Verdana" w:hAnsi="Verdana"/>
          <w:sz w:val="22"/>
          <w:szCs w:val="22"/>
        </w:rPr>
      </w:pPr>
      <w:r w:rsidRPr="00504CAB">
        <w:rPr>
          <w:rStyle w:val="Fuerte"/>
          <w:rFonts w:ascii="Verdana" w:hAnsi="Verdana"/>
          <w:b w:val="0"/>
          <w:bCs w:val="0"/>
          <w:sz w:val="22"/>
          <w:szCs w:val="22"/>
        </w:rPr>
        <w:t xml:space="preserve">¿Cómo </w:t>
      </w:r>
      <w:r>
        <w:rPr>
          <w:rStyle w:val="Fuerte"/>
          <w:rFonts w:ascii="Verdana" w:hAnsi="Verdana"/>
          <w:b w:val="0"/>
          <w:bCs w:val="0"/>
          <w:sz w:val="22"/>
          <w:szCs w:val="22"/>
        </w:rPr>
        <w:t>se aplica</w:t>
      </w:r>
      <w:r w:rsidRPr="00504CAB">
        <w:rPr>
          <w:rStyle w:val="Fuerte"/>
          <w:rFonts w:ascii="Verdana" w:hAnsi="Verdana"/>
          <w:b w:val="0"/>
          <w:bCs w:val="0"/>
          <w:sz w:val="22"/>
          <w:szCs w:val="22"/>
        </w:rPr>
        <w:t xml:space="preserve"> el principio de publicidad</w:t>
      </w:r>
      <w:r>
        <w:rPr>
          <w:rStyle w:val="Fuerte"/>
          <w:rFonts w:ascii="Verdana" w:hAnsi="Verdana"/>
          <w:b w:val="0"/>
          <w:bCs w:val="0"/>
          <w:sz w:val="22"/>
          <w:szCs w:val="22"/>
        </w:rPr>
        <w:t xml:space="preserve"> respecto del aviso de limitación de un proceso </w:t>
      </w:r>
      <w:r w:rsidRPr="00675D2F">
        <w:rPr>
          <w:rStyle w:val="Fuerte"/>
          <w:rFonts w:ascii="Verdana" w:hAnsi="Verdana"/>
          <w:b w:val="0"/>
          <w:bCs w:val="0"/>
          <w:sz w:val="22"/>
          <w:szCs w:val="22"/>
        </w:rPr>
        <w:t>de contratación estatal limitados a MiPymes?</w:t>
      </w:r>
    </w:p>
    <w:p w:rsidRPr="00994421" w:rsidR="002C6D42" w:rsidP="002C6D42" w:rsidRDefault="002C6D42" w14:paraId="18D0FE49" w14:textId="77777777">
      <w:pPr>
        <w:numPr>
          <w:ilvl w:val="0"/>
          <w:numId w:val="20"/>
        </w:numPr>
        <w:tabs>
          <w:tab w:val="left" w:pos="142"/>
          <w:tab w:val="left" w:pos="284"/>
        </w:tabs>
        <w:spacing w:after="0" w:line="276" w:lineRule="auto"/>
        <w:contextualSpacing/>
        <w:jc w:val="both"/>
        <w:rPr>
          <w:rFonts w:ascii="Verdana" w:hAnsi="Verdana" w:eastAsia="Century Gothic" w:cs="Century Gothic"/>
          <w:b/>
          <w:bCs/>
          <w:lang w:val="es-ES"/>
        </w:rPr>
      </w:pPr>
      <w:r w:rsidRPr="00994421">
        <w:rPr>
          <w:rFonts w:ascii="Verdana" w:hAnsi="Verdana" w:eastAsia="Century Gothic" w:cs="Century Gothic"/>
          <w:b/>
          <w:bCs/>
          <w:lang w:val="es-ES"/>
        </w:rPr>
        <w:t>Respuesta:</w:t>
      </w:r>
    </w:p>
    <w:p w:rsidRPr="00AA0AE8" w:rsidR="002C6D42" w:rsidP="002C6D42" w:rsidRDefault="002C6D42" w14:paraId="24B7EE7E" w14:textId="77777777">
      <w:pPr>
        <w:tabs>
          <w:tab w:val="left" w:pos="142"/>
          <w:tab w:val="left" w:pos="284"/>
        </w:tabs>
        <w:spacing w:line="276" w:lineRule="auto"/>
        <w:contextualSpacing/>
        <w:jc w:val="both"/>
        <w:rPr>
          <w:rFonts w:ascii="Verdana" w:hAnsi="Verdana" w:eastAsia="Century Gothic" w:cs="Century Gothic"/>
          <w:b/>
          <w:bCs/>
          <w:color w:val="0099CC"/>
          <w:lang w:val="es-ES"/>
        </w:rPr>
      </w:pPr>
    </w:p>
    <w:tbl>
      <w:tblPr>
        <w:tblStyle w:val="Tablaconcuadrcula1"/>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AA0AE8" w:rsidR="002C6D42" w:rsidTr="00DD5743" w14:paraId="3E03951E" w14:textId="77777777">
        <w:trPr>
          <w:trHeight w:val="1057"/>
        </w:trPr>
        <w:tc>
          <w:tcPr>
            <w:tcW w:w="8828" w:type="dxa"/>
            <w:tcBorders>
              <w:top w:val="dotted" w:color="auto" w:sz="4" w:space="0"/>
              <w:left w:val="dotted" w:color="auto" w:sz="4" w:space="0"/>
              <w:bottom w:val="dotted" w:color="auto" w:sz="4" w:space="0"/>
              <w:right w:val="dotted" w:color="auto" w:sz="4" w:space="0"/>
            </w:tcBorders>
          </w:tcPr>
          <w:p w:rsidRPr="00F503F7" w:rsidR="002C6D42" w:rsidP="00DD5743" w:rsidRDefault="002C6D42" w14:paraId="3F45258D" w14:textId="77777777">
            <w:pPr>
              <w:spacing w:after="120" w:line="276" w:lineRule="auto"/>
              <w:jc w:val="both"/>
              <w:rPr>
                <w:rFonts w:ascii="Verdana" w:hAnsi="Verdana" w:eastAsia="Calibri" w:cs="Arial"/>
                <w:shd w:val="clear" w:color="auto" w:fill="FFFFFF"/>
              </w:rPr>
            </w:pPr>
            <w:r w:rsidRPr="000953E2">
              <w:rPr>
                <w:rFonts w:ascii="Verdana" w:hAnsi="Verdana" w:eastAsia="Calibri" w:cs="Arial"/>
                <w:shd w:val="clear" w:color="auto" w:fill="FFFFFF"/>
              </w:rPr>
              <w:t xml:space="preserve">I). </w:t>
            </w:r>
            <w:r w:rsidRPr="00F503F7">
              <w:rPr>
                <w:rFonts w:ascii="Verdana" w:hAnsi="Verdana" w:eastAsia="Calibri" w:cs="Arial"/>
                <w:shd w:val="clear" w:color="auto" w:fill="FFFFFF"/>
              </w:rPr>
              <w:t>La Ley 2069 de 2020 incorporó medidas orientadas a promover la participación de las micro, pequeñas y medianas empresas –MiPymes– en el sistema de compras públicas. En particular, el artículo 31 estableció que las entidades estatales, de acuerdo con el análisis del sector, podrán incluir en los Documentos del Proceso requisitos diferenciales y puntajes adicionales en función del tamaño empresarial, con el propósito de facilitar el acceso de las MiPymes al mercado de compras públicas.</w:t>
            </w:r>
          </w:p>
          <w:p w:rsidRPr="00F503F7" w:rsidR="002C6D42" w:rsidP="00DD5743" w:rsidRDefault="002C6D42" w14:paraId="5ABE5A87" w14:textId="77777777">
            <w:pPr>
              <w:spacing w:after="120" w:line="276" w:lineRule="auto"/>
              <w:ind w:firstLine="709"/>
              <w:jc w:val="both"/>
              <w:rPr>
                <w:rFonts w:ascii="Verdana" w:hAnsi="Verdana" w:eastAsia="Calibri" w:cs="Arial"/>
                <w:shd w:val="clear" w:color="auto" w:fill="FFFFFF"/>
              </w:rPr>
            </w:pPr>
            <w:r w:rsidRPr="00F503F7">
              <w:rPr>
                <w:rFonts w:ascii="Verdana" w:hAnsi="Verdana" w:eastAsia="Calibri" w:cs="Arial"/>
                <w:shd w:val="clear" w:color="auto" w:fill="FFFFFF"/>
              </w:rPr>
              <w:t>En desarrollo de esta disposición, el Gobierno nacional expidió el Decreto 1860 de 2021, mediante el cual se modificó el Decreto 1082 de 2015 y se reglamentaron los criterios diferenciales para MiPymes. Así, el artículo 2.2.1.2.4.2.18 del Decreto 1082 de 2015 dispone que las entidades estatales, independientemente de su régimen de contratación, los patrimonios autónomos constituidos por entidades estatales y los particulares que ejecuten recursos públicos, podrán establecer requisitos habilitantes diferenciales relacionados con aspectos como: i) el tiempo de experiencia; ii) el número de contratos para acreditarla; iii) los índices de capacidad financiera; iv) los índices de capacidad organizacional; y v) el valor de la garantía de seriedad de la oferta.</w:t>
            </w:r>
          </w:p>
          <w:p w:rsidRPr="00F503F7" w:rsidR="002C6D42" w:rsidP="00DD5743" w:rsidRDefault="002C6D42" w14:paraId="53A3D1BF" w14:textId="77777777">
            <w:pPr>
              <w:spacing w:after="120" w:line="276" w:lineRule="auto"/>
              <w:ind w:firstLine="709"/>
              <w:jc w:val="both"/>
              <w:rPr>
                <w:rFonts w:ascii="Verdana" w:hAnsi="Verdana" w:eastAsia="Calibri" w:cs="Arial"/>
                <w:shd w:val="clear" w:color="auto" w:fill="FFFFFF"/>
              </w:rPr>
            </w:pPr>
            <w:r w:rsidRPr="00F503F7">
              <w:rPr>
                <w:rFonts w:ascii="Verdana" w:hAnsi="Verdana" w:eastAsia="Calibri" w:cs="Arial"/>
                <w:shd w:val="clear" w:color="auto" w:fill="FFFFFF"/>
              </w:rPr>
              <w:t>Asimismo, la norma permite otorgar puntajes adicionales a las MiPymes, siempre que no superen el cero punto veinticinco por ciento (0,25 %) del total de los puntos previstos en los pliegos de condiciones o documentos equivalentes.</w:t>
            </w:r>
          </w:p>
          <w:p w:rsidRPr="00F503F7" w:rsidR="002C6D42" w:rsidP="00DD5743" w:rsidRDefault="002C6D42" w14:paraId="4EB26B05" w14:textId="77777777">
            <w:pPr>
              <w:spacing w:after="120" w:line="276" w:lineRule="auto"/>
              <w:ind w:firstLine="709"/>
              <w:jc w:val="both"/>
              <w:rPr>
                <w:rFonts w:ascii="Verdana" w:hAnsi="Verdana" w:eastAsia="Calibri" w:cs="Arial"/>
                <w:shd w:val="clear" w:color="auto" w:fill="FFFFFF"/>
              </w:rPr>
            </w:pPr>
            <w:r w:rsidRPr="00F503F7">
              <w:rPr>
                <w:rFonts w:ascii="Verdana" w:hAnsi="Verdana" w:eastAsia="Calibri" w:cs="Arial"/>
                <w:shd w:val="clear" w:color="auto" w:fill="FFFFFF"/>
              </w:rPr>
              <w:t>Por otra parte, el artículo 34 de la Ley 2069 de 2020 y el artículo 2.2.1.2.4.2.2 del Decreto 1082 de 2015 regulan las convocatorias limitadas a MiPymes. Conforme a estas disposiciones, las entidades estatales deben limitar la convocatoria de los procesos de contratación con pluralidad de oferentes a MiPymes colombianas con mínimo un (1) año de existencia, siempre que concurran los siguientes requisitos: i) que el valor del proceso sea inferior a ciento veinticinco mil dólares de los Estados Unidos de América (US$125.000), liquidados conforme a la tasa definida por el Ministerio de Comercio, Industria y Turismo; y ii) que al menos dos (2) MiPymes soliciten la limitación de la convocatoria, como mínimo un (1) día hábil antes de la expedición del acto de apertura o el que haga sus veces.</w:t>
            </w:r>
          </w:p>
          <w:p w:rsidRPr="00F503F7" w:rsidR="002C6D42" w:rsidP="00DD5743" w:rsidRDefault="002C6D42" w14:paraId="2DC08877" w14:textId="77777777">
            <w:pPr>
              <w:spacing w:after="120" w:line="276" w:lineRule="auto"/>
              <w:ind w:firstLine="709"/>
              <w:jc w:val="both"/>
              <w:rPr>
                <w:rFonts w:ascii="Verdana" w:hAnsi="Verdana" w:eastAsia="Calibri" w:cs="Arial"/>
                <w:shd w:val="clear" w:color="auto" w:fill="FFFFFF"/>
              </w:rPr>
            </w:pPr>
            <w:r w:rsidRPr="00F503F7">
              <w:rPr>
                <w:rFonts w:ascii="Verdana" w:hAnsi="Verdana" w:eastAsia="Calibri" w:cs="Arial"/>
                <w:shd w:val="clear" w:color="auto" w:fill="FFFFFF"/>
              </w:rPr>
              <w:t xml:space="preserve">Tratándose de personas jurídicas, únicamente podrán presentar dicha solicitud las MiPymes cuyo objeto social les permita ejecutar el contrato </w:t>
            </w:r>
            <w:r w:rsidRPr="00F503F7">
              <w:rPr>
                <w:rFonts w:ascii="Verdana" w:hAnsi="Verdana" w:eastAsia="Calibri" w:cs="Arial"/>
                <w:shd w:val="clear" w:color="auto" w:fill="FFFFFF"/>
              </w:rPr>
              <w:t>correspondiente. Además, las cooperativas y demás entidades de economía solidaria también podrán solicitar y participar en las convocatorias limitadas, siempre que acrediten la calidad de MiPymes.</w:t>
            </w:r>
          </w:p>
          <w:p w:rsidRPr="00F503F7" w:rsidR="002C6D42" w:rsidP="00DD5743" w:rsidRDefault="002C6D42" w14:paraId="4E401B6A" w14:textId="77777777">
            <w:pPr>
              <w:spacing w:after="120" w:line="276" w:lineRule="auto"/>
              <w:ind w:firstLine="709"/>
              <w:jc w:val="both"/>
              <w:rPr>
                <w:rFonts w:ascii="Verdana" w:hAnsi="Verdana" w:eastAsia="Calibri" w:cs="Arial"/>
                <w:shd w:val="clear" w:color="auto" w:fill="FFFFFF"/>
              </w:rPr>
            </w:pPr>
            <w:r w:rsidRPr="00F503F7">
              <w:rPr>
                <w:rFonts w:ascii="Verdana" w:hAnsi="Verdana" w:eastAsia="Calibri" w:cs="Arial"/>
                <w:shd w:val="clear" w:color="auto" w:fill="FFFFFF"/>
              </w:rPr>
              <w:t>Debe tenerse en cuenta que, de conformidad con el parágrafo 3 del artículo 2.2.1.2.4.2.18 del Decreto 1082 de 2015, los criterios diferenciales y puntajes adicionales no son aplicables cuando el proceso se encuentre limitado a MiPymes, puesto que la limitación misma constituye una medida de promoción para este segmento empresarial.</w:t>
            </w:r>
          </w:p>
          <w:p w:rsidRPr="00F503F7" w:rsidR="002C6D42" w:rsidP="00DD5743" w:rsidRDefault="002C6D42" w14:paraId="0C6897B7" w14:textId="77777777">
            <w:pPr>
              <w:spacing w:after="120" w:line="276" w:lineRule="auto"/>
              <w:ind w:firstLine="709"/>
              <w:jc w:val="both"/>
              <w:rPr>
                <w:rFonts w:ascii="Verdana" w:hAnsi="Verdana" w:eastAsia="Calibri" w:cs="Arial"/>
                <w:shd w:val="clear" w:color="auto" w:fill="FFFFFF"/>
              </w:rPr>
            </w:pPr>
            <w:r w:rsidRPr="00F503F7">
              <w:rPr>
                <w:rFonts w:ascii="Verdana" w:hAnsi="Verdana" w:eastAsia="Calibri" w:cs="Arial"/>
                <w:shd w:val="clear" w:color="auto" w:fill="FFFFFF"/>
              </w:rPr>
              <w:t>Ahora bien, mediante el artículo 2 del Decreto 1860 de 2021 también se modificó la Subsección 5 de la Sección 1 del Capítulo 2 del Título 1 de la Parte 2 del Libro 2 del Decreto 1082 de 2015, incorporando reglas específicas para los procesos de mínima cuantía. En este sentido, el artículo 2.2.1.2.1.5.2 del Decreto 1082 de 2015 establece que, en los procedimientos de mínima cuantía, las solicitudes para limitar la convocatoria a MiPymes deberán presentarse dentro del término previsto para formular observaciones a la invitación, el cual no podrá ser inferior a un (1) día hábil.</w:t>
            </w:r>
          </w:p>
          <w:p w:rsidRPr="00F503F7" w:rsidR="002C6D42" w:rsidP="00DD5743" w:rsidRDefault="002C6D42" w14:paraId="2390F1AB" w14:textId="77777777">
            <w:pPr>
              <w:spacing w:after="120" w:line="276" w:lineRule="auto"/>
              <w:ind w:firstLine="709"/>
              <w:jc w:val="both"/>
              <w:rPr>
                <w:rFonts w:ascii="Verdana" w:hAnsi="Verdana" w:eastAsia="Calibri" w:cs="Arial"/>
                <w:shd w:val="clear" w:color="auto" w:fill="FFFFFF"/>
              </w:rPr>
            </w:pPr>
            <w:r w:rsidRPr="00F503F7">
              <w:rPr>
                <w:rFonts w:ascii="Verdana" w:hAnsi="Verdana" w:eastAsia="Calibri" w:cs="Arial"/>
                <w:shd w:val="clear" w:color="auto" w:fill="FFFFFF"/>
              </w:rPr>
              <w:t>Asimismo, el numeral 4 de la citada disposición señala que la entidad estatal deberá publicar en el SECOP un aviso indicando si el proceso efectivamente se limitó a MiPymes o si podrá participar cualquier otro interesado. De igual manera, el parágrafo del artículo establece que en estos procedimientos se aplicará lo dispuesto en los artículos 2.2.1.2.4.2.2 a 2.2.1.2.4.2.4 del Decreto 1082 de 2015, relativos a las convocatorias limitadas a MiPymes, y precisa que el aviso deberá indicar si aplican limitaciones territoriales o si podrá participar cualquier MiPyme nacional.</w:t>
            </w:r>
          </w:p>
          <w:p w:rsidRPr="000953E2" w:rsidR="002C6D42" w:rsidP="00DD5743" w:rsidRDefault="002C6D42" w14:paraId="0A93EAB7" w14:textId="77777777">
            <w:pPr>
              <w:spacing w:after="120" w:line="276" w:lineRule="auto"/>
              <w:ind w:firstLine="709"/>
              <w:jc w:val="both"/>
              <w:rPr>
                <w:rFonts w:ascii="Verdana" w:hAnsi="Verdana" w:eastAsia="Calibri" w:cs="Arial"/>
                <w:shd w:val="clear" w:color="auto" w:fill="FFFFFF"/>
              </w:rPr>
            </w:pPr>
            <w:r w:rsidRPr="00F503F7">
              <w:rPr>
                <w:rFonts w:ascii="Verdana" w:hAnsi="Verdana" w:eastAsia="Calibri" w:cs="Arial"/>
                <w:shd w:val="clear" w:color="auto" w:fill="FFFFFF"/>
              </w:rPr>
              <w:t xml:space="preserve">En consecuencia, la limitación de procesos de contratación estatal a MiPymes procede únicamente cuando se acrediten de manera concurrente los requisitos previstos en el artículo 2.2.1.2.4.2.2 del Decreto 1082 de 2015, relacionados con el valor del proceso, la solicitud de por lo menos dos MiPymes y la acreditación de mínimo un año de existencia. </w:t>
            </w:r>
          </w:p>
          <w:p w:rsidRPr="000953E2" w:rsidR="002C6D42" w:rsidP="00DD5743" w:rsidRDefault="002C6D42" w14:paraId="67A02DCB" w14:textId="77777777">
            <w:pPr>
              <w:spacing w:after="120" w:line="276" w:lineRule="auto"/>
              <w:jc w:val="both"/>
              <w:rPr>
                <w:rFonts w:ascii="Verdana" w:hAnsi="Verdana" w:eastAsia="Calibri" w:cs="Arial"/>
                <w:shd w:val="clear" w:color="auto" w:fill="FFFFFF"/>
              </w:rPr>
            </w:pPr>
            <w:r w:rsidRPr="000953E2">
              <w:rPr>
                <w:rFonts w:ascii="Verdana" w:hAnsi="Verdana" w:eastAsia="Calibri" w:cs="Arial"/>
                <w:shd w:val="clear" w:color="auto" w:fill="FFFFFF"/>
              </w:rPr>
              <w:t>II). El principio de publicidad en la contratación estatal impone a las entidades públicas el deber de divulgar las actuaciones y documentos expedidos durante el proceso contractual, con el fin de garantizar la transparencia, el acceso a la información y el control ciudadano.</w:t>
            </w:r>
          </w:p>
          <w:p w:rsidRPr="000953E2" w:rsidR="002C6D42" w:rsidP="00DD5743" w:rsidRDefault="002C6D42" w14:paraId="0709B13F" w14:textId="77777777">
            <w:pPr>
              <w:spacing w:after="120" w:line="276" w:lineRule="auto"/>
              <w:ind w:firstLine="709"/>
              <w:jc w:val="both"/>
              <w:rPr>
                <w:rFonts w:ascii="Verdana" w:hAnsi="Verdana" w:eastAsia="Calibri" w:cs="Arial"/>
                <w:shd w:val="clear" w:color="auto" w:fill="FFFFFF"/>
              </w:rPr>
            </w:pPr>
            <w:r w:rsidRPr="000953E2">
              <w:rPr>
                <w:rFonts w:ascii="Verdana" w:hAnsi="Verdana" w:eastAsia="Calibri" w:cs="Arial"/>
                <w:shd w:val="clear" w:color="auto" w:fill="FFFFFF"/>
              </w:rPr>
              <w:t>El artículo 3 de la Ley 1150 de 2007 establece que el Sistema Electrónico para la Contratación Pública –SECOP– es el medio oficial para la difusión de la información contractual financiada con recursos públicos. A su vez, el artículo 2.2.1.1.1.7.1 del Decreto 1082 de 2015 dispone que las entidades deben publicar en el SECOP los documentos y actos administrativos expedidos dentro del proceso de contratación.</w:t>
            </w:r>
          </w:p>
          <w:p w:rsidRPr="000953E2" w:rsidR="002C6D42" w:rsidP="00DD5743" w:rsidRDefault="002C6D42" w14:paraId="19E171F7" w14:textId="77777777">
            <w:pPr>
              <w:spacing w:after="120" w:line="276" w:lineRule="auto"/>
              <w:ind w:firstLine="709"/>
              <w:jc w:val="both"/>
              <w:rPr>
                <w:rFonts w:ascii="Verdana" w:hAnsi="Verdana" w:eastAsia="Calibri" w:cs="Arial"/>
                <w:shd w:val="clear" w:color="auto" w:fill="FFFFFF"/>
              </w:rPr>
            </w:pPr>
            <w:r w:rsidRPr="000953E2">
              <w:rPr>
                <w:rFonts w:ascii="Verdana" w:hAnsi="Verdana" w:eastAsia="Calibri" w:cs="Arial"/>
                <w:shd w:val="clear" w:color="auto" w:fill="FFFFFF"/>
              </w:rPr>
              <w:t>De acuerdo con el artículo 2.2.1.1.1.3.1 del Decreto 1082 de 2015, los “Documentos del Proceso” comprenden, entre otros, los estudios previos, el aviso de convocatoria, los pliegos de condiciones, las adendas, el informe de evaluación, el contrato y cualquier otro documento expedido durante el proceso contractual.</w:t>
            </w:r>
          </w:p>
          <w:p w:rsidRPr="000953E2" w:rsidR="002C6D42" w:rsidP="00DD5743" w:rsidRDefault="002C6D42" w14:paraId="78DDCD6B" w14:textId="77777777">
            <w:pPr>
              <w:spacing w:after="120" w:line="276" w:lineRule="auto"/>
              <w:ind w:firstLine="709"/>
              <w:jc w:val="both"/>
              <w:rPr>
                <w:rFonts w:ascii="Verdana" w:hAnsi="Verdana" w:eastAsia="Calibri" w:cs="Arial"/>
                <w:shd w:val="clear" w:color="auto" w:fill="FFFFFF"/>
              </w:rPr>
            </w:pPr>
            <w:r w:rsidRPr="000953E2">
              <w:rPr>
                <w:rFonts w:ascii="Verdana" w:hAnsi="Verdana" w:eastAsia="Calibri" w:cs="Arial"/>
                <w:shd w:val="clear" w:color="auto" w:fill="FFFFFF"/>
              </w:rPr>
              <w:t>Adicionalmente, la Ley 1712 de 2014 amplía el alcance del deber de publicidad al establecer los principios de máxima publicidad y transparencia, conforme a los cuales toda información relacionada con la gestión contractual debe ser pública, salvo las excepciones legales.</w:t>
            </w:r>
          </w:p>
          <w:p w:rsidRPr="000953E2" w:rsidR="002C6D42" w:rsidP="00DD5743" w:rsidRDefault="002C6D42" w14:paraId="701E8704" w14:textId="77777777">
            <w:pPr>
              <w:spacing w:after="120" w:line="276" w:lineRule="auto"/>
              <w:ind w:firstLine="709"/>
              <w:jc w:val="both"/>
              <w:rPr>
                <w:rFonts w:ascii="Verdana" w:hAnsi="Verdana" w:eastAsia="Calibri" w:cs="Arial"/>
                <w:shd w:val="clear" w:color="auto" w:fill="FFFFFF"/>
              </w:rPr>
            </w:pPr>
            <w:r w:rsidRPr="000953E2">
              <w:rPr>
                <w:rFonts w:ascii="Verdana" w:hAnsi="Verdana" w:eastAsia="Calibri" w:cs="Arial"/>
                <w:shd w:val="clear" w:color="auto" w:fill="FFFFFF"/>
              </w:rPr>
              <w:t>En este contexto, el aviso de convocatoria en los procesos limitados a MiPymes constituye un documento integrante del proceso contractual y, por tanto, debe publicarse en el SECOP de manera suficiente, oportuna y accesible. Lo anterior implica que el aviso no solo cumple una función informativa inicial, sino que forma parte de los Documentos del Proceso y debe permanecer incorporado al expediente electrónico junto con las demás actuaciones surtidas durante las etapas precontractual, contractual y postcontractual.</w:t>
            </w:r>
          </w:p>
          <w:p w:rsidRPr="000953E2" w:rsidR="002C6D42" w:rsidP="00DD5743" w:rsidRDefault="002C6D42" w14:paraId="5E2E9C1D" w14:textId="77777777">
            <w:pPr>
              <w:spacing w:after="120" w:line="276" w:lineRule="auto"/>
              <w:ind w:firstLine="709"/>
              <w:jc w:val="both"/>
              <w:rPr>
                <w:rFonts w:ascii="Verdana" w:hAnsi="Verdana" w:eastAsia="Calibri" w:cs="Arial"/>
                <w:shd w:val="clear" w:color="auto" w:fill="FFFFFF"/>
              </w:rPr>
            </w:pPr>
            <w:r w:rsidRPr="000953E2">
              <w:rPr>
                <w:rFonts w:ascii="Verdana" w:hAnsi="Verdana" w:eastAsia="Calibri" w:cs="Arial"/>
                <w:shd w:val="clear" w:color="auto" w:fill="FFFFFF"/>
              </w:rPr>
              <w:t>En consecuencia, en los procesos limitados a MiPymes el principio de publicidad exige garantizar la divulgación adecuada del aviso de convocatoria y de las demás actuaciones del procedimiento contractual, permitiendo el conocimiento efectivo del proceso, de su condición de convocatoria limitada y de los requisitos para participar.</w:t>
            </w:r>
          </w:p>
          <w:p w:rsidRPr="009B0FDF" w:rsidR="002C6D42" w:rsidP="00DD5743" w:rsidRDefault="002C6D42" w14:paraId="3D27E186" w14:textId="77777777">
            <w:pPr>
              <w:spacing w:after="120" w:line="276" w:lineRule="auto"/>
              <w:jc w:val="both"/>
              <w:rPr>
                <w:rFonts w:ascii="Verdana" w:hAnsi="Verdana" w:eastAsia="Calibri" w:cs="Arial"/>
                <w:shd w:val="clear" w:color="auto" w:fill="FFFFFF"/>
              </w:rPr>
            </w:pPr>
          </w:p>
        </w:tc>
      </w:tr>
    </w:tbl>
    <w:p w:rsidRPr="00AA0AE8" w:rsidR="002C6D42" w:rsidP="002C6D42" w:rsidRDefault="002C6D42" w14:paraId="2A7C65A9" w14:textId="77777777">
      <w:pPr>
        <w:tabs>
          <w:tab w:val="left" w:pos="142"/>
          <w:tab w:val="left" w:pos="284"/>
        </w:tabs>
        <w:spacing w:after="0" w:line="276" w:lineRule="auto"/>
        <w:ind w:left="142" w:hanging="142"/>
        <w:jc w:val="both"/>
        <w:rPr>
          <w:rFonts w:ascii="Verdana" w:hAnsi="Verdana" w:eastAsia="Century Gothic" w:cs="Century Gothic"/>
          <w:b/>
          <w:bCs/>
          <w:color w:val="0099CC"/>
          <w:lang w:val="es-ES"/>
        </w:rPr>
      </w:pPr>
    </w:p>
    <w:p w:rsidRPr="00BF4973" w:rsidR="002C6D42" w:rsidP="002C6D42" w:rsidRDefault="002C6D42" w14:paraId="0154BBFF" w14:textId="77777777">
      <w:pPr>
        <w:numPr>
          <w:ilvl w:val="0"/>
          <w:numId w:val="20"/>
        </w:numPr>
        <w:tabs>
          <w:tab w:val="left" w:pos="142"/>
          <w:tab w:val="left" w:pos="284"/>
        </w:tabs>
        <w:spacing w:after="0" w:line="276" w:lineRule="auto"/>
        <w:contextualSpacing/>
        <w:jc w:val="both"/>
        <w:rPr>
          <w:rFonts w:ascii="Verdana" w:hAnsi="Verdana" w:eastAsia="Calibri" w:cs="Arial"/>
          <w:color w:val="000000" w:themeColor="text1"/>
          <w:lang w:val="es-ES" w:eastAsia="es-MX"/>
        </w:rPr>
      </w:pPr>
      <w:r w:rsidRPr="00BF4973">
        <w:rPr>
          <w:rFonts w:ascii="Verdana" w:hAnsi="Verdana" w:eastAsia="Century Gothic" w:cs="Century Gothic"/>
          <w:b/>
          <w:bCs/>
          <w:color w:val="000000" w:themeColor="text1"/>
          <w:lang w:val="es-ES"/>
        </w:rPr>
        <w:t>Razones de la respuesta:</w:t>
      </w:r>
    </w:p>
    <w:p w:rsidRPr="00BF4973" w:rsidR="002C6D42" w:rsidP="002C6D42" w:rsidRDefault="002C6D42" w14:paraId="2ABCD092" w14:textId="77777777">
      <w:pPr>
        <w:tabs>
          <w:tab w:val="left" w:pos="142"/>
          <w:tab w:val="left" w:pos="284"/>
        </w:tabs>
        <w:spacing w:after="0" w:line="276" w:lineRule="auto"/>
        <w:contextualSpacing/>
        <w:jc w:val="both"/>
        <w:rPr>
          <w:rFonts w:ascii="Verdana" w:hAnsi="Verdana" w:eastAsia="Century Gothic" w:cs="Century Gothic"/>
          <w:b/>
          <w:bCs/>
          <w:color w:val="000000" w:themeColor="text1"/>
          <w:lang w:val="es-ES"/>
        </w:rPr>
      </w:pPr>
    </w:p>
    <w:p w:rsidRPr="00BF4973" w:rsidR="002C6D42" w:rsidP="002C6D42" w:rsidRDefault="002C6D42" w14:paraId="289A4DF4" w14:textId="77777777">
      <w:pPr>
        <w:tabs>
          <w:tab w:val="left" w:pos="142"/>
          <w:tab w:val="left" w:pos="284"/>
        </w:tabs>
        <w:spacing w:after="0" w:line="276" w:lineRule="auto"/>
        <w:contextualSpacing/>
        <w:jc w:val="both"/>
        <w:rPr>
          <w:rFonts w:ascii="Verdana" w:hAnsi="Verdana" w:eastAsia="Calibri" w:cs="Arial"/>
          <w:color w:val="000000" w:themeColor="text1"/>
          <w:lang w:val="es-ES" w:eastAsia="es-MX"/>
        </w:rPr>
      </w:pPr>
      <w:r w:rsidRPr="00BF4973">
        <w:rPr>
          <w:rFonts w:ascii="Verdana" w:hAnsi="Verdana" w:eastAsia="Calibri" w:cs="Arial"/>
          <w:color w:val="000000" w:themeColor="text1"/>
          <w:lang w:val="es-ES" w:eastAsia="es-MX"/>
        </w:rPr>
        <w:t xml:space="preserve">Lo anterior se sustenta en las siguientes consideraciones: </w:t>
      </w:r>
    </w:p>
    <w:p w:rsidRPr="00AA0AE8" w:rsidR="002C6D42" w:rsidP="002C6D42" w:rsidRDefault="002C6D42" w14:paraId="42AD519C" w14:textId="77777777">
      <w:pPr>
        <w:spacing w:after="0" w:line="276" w:lineRule="auto"/>
        <w:jc w:val="both"/>
        <w:rPr>
          <w:rFonts w:ascii="Verdana" w:hAnsi="Verdana" w:eastAsia="Calibri" w:cs="Arial"/>
          <w:color w:val="0099CC"/>
          <w:lang w:val="es-ES" w:eastAsia="es-MX"/>
        </w:rPr>
      </w:pPr>
    </w:p>
    <w:p w:rsidRPr="003A1DA2" w:rsidR="002C6D42" w:rsidP="002C6D42" w:rsidRDefault="002C6D42" w14:paraId="0E20A634" w14:textId="77777777">
      <w:pPr>
        <w:spacing w:after="0" w:line="276" w:lineRule="auto"/>
        <w:jc w:val="both"/>
        <w:rPr>
          <w:rFonts w:ascii="Verdana" w:hAnsi="Verdana" w:eastAsia="MS Mincho"/>
          <w:lang w:eastAsia="es-CO"/>
        </w:rPr>
      </w:pPr>
      <w:r w:rsidRPr="003A1DA2">
        <w:rPr>
          <w:rFonts w:ascii="Verdana" w:hAnsi="Verdana" w:eastAsia="Aptos" w:cs="Arial"/>
          <w:lang w:eastAsia="es-MX"/>
        </w:rPr>
        <w:t xml:space="preserve">I). </w:t>
      </w:r>
      <w:r w:rsidRPr="003A1DA2">
        <w:rPr>
          <w:rFonts w:ascii="Verdana" w:hAnsi="Verdana" w:eastAsia="Calibri" w:cs="Arial"/>
          <w:lang w:val="es-ES"/>
        </w:rPr>
        <w:t>L</w:t>
      </w:r>
      <w:r w:rsidRPr="003A1DA2">
        <w:rPr>
          <w:rFonts w:ascii="Verdana" w:hAnsi="Verdana" w:eastAsia="Arial" w:cs="Arial"/>
          <w:szCs w:val="24"/>
          <w:lang w:val="es-ES" w:eastAsia="es-CO"/>
        </w:rPr>
        <w:t>a Ley 2069 d</w:t>
      </w:r>
      <w:r w:rsidRPr="003A1DA2">
        <w:rPr>
          <w:rFonts w:ascii="Verdana" w:hAnsi="Verdana" w:eastAsia="Arial" w:cs="Arial"/>
          <w:szCs w:val="24"/>
          <w:lang w:eastAsia="es-CO"/>
        </w:rPr>
        <w:t>el 31 de diciembre de 2020,</w:t>
      </w:r>
      <w:r w:rsidRPr="003A1DA2">
        <w:rPr>
          <w:rFonts w:ascii="Verdana" w:hAnsi="Verdana" w:eastAsia="Arial" w:cs="Arial"/>
          <w:szCs w:val="24"/>
          <w:lang w:val="es-ES" w:eastAsia="es-CO"/>
        </w:rPr>
        <w:t xml:space="preserve"> “Por medio de la cual se impulsa el emprendimiento en Colombia”, establece un marco regulatorio que propicia el emprendimiento, el crecimiento, la consolidación y la sostenibilidad de las empresas, con el fin de aumentar el bienestar social y generar equidad. E</w:t>
      </w:r>
      <w:r w:rsidRPr="003A1DA2">
        <w:rPr>
          <w:rFonts w:ascii="Verdana" w:hAnsi="Verdana" w:eastAsia="Arial" w:cs="Arial"/>
          <w:bCs/>
          <w:szCs w:val="24"/>
          <w:lang w:val="es-ES" w:eastAsia="es-CO"/>
        </w:rPr>
        <w:t xml:space="preserve">l “Capítulo III – Compras públicas” de la Ley 2069 de 2020 </w:t>
      </w:r>
      <w:r w:rsidRPr="003A1DA2">
        <w:rPr>
          <w:rFonts w:ascii="Verdana" w:hAnsi="Verdana" w:eastAsia="Times New Roman" w:cs="Arial"/>
          <w:szCs w:val="24"/>
          <w:lang w:eastAsia="es-MX"/>
        </w:rPr>
        <w:t>contiene normas que modifican</w:t>
      </w:r>
      <w:r w:rsidRPr="003A1DA2">
        <w:rPr>
          <w:rFonts w:ascii="Verdana" w:hAnsi="Verdana" w:eastAsia="Times New Roman" w:cs="Arial"/>
          <w:spacing w:val="1"/>
          <w:szCs w:val="24"/>
          <w:lang w:eastAsia="es-MX"/>
        </w:rPr>
        <w:t xml:space="preserve"> </w:t>
      </w:r>
      <w:r w:rsidRPr="003A1DA2">
        <w:rPr>
          <w:rFonts w:ascii="Verdana" w:hAnsi="Verdana" w:eastAsia="Times New Roman" w:cs="Arial"/>
          <w:szCs w:val="24"/>
          <w:lang w:eastAsia="es-MX"/>
        </w:rPr>
        <w:t>algunos</w:t>
      </w:r>
      <w:r w:rsidRPr="003A1DA2">
        <w:rPr>
          <w:rFonts w:ascii="Verdana" w:hAnsi="Verdana" w:eastAsia="Times New Roman" w:cs="Arial"/>
          <w:spacing w:val="1"/>
          <w:szCs w:val="24"/>
          <w:lang w:eastAsia="es-MX"/>
        </w:rPr>
        <w:t xml:space="preserve"> </w:t>
      </w:r>
      <w:r w:rsidRPr="003A1DA2">
        <w:rPr>
          <w:rFonts w:ascii="Verdana" w:hAnsi="Verdana" w:eastAsia="Times New Roman" w:cs="Arial"/>
          <w:szCs w:val="24"/>
          <w:lang w:eastAsia="es-MX"/>
        </w:rPr>
        <w:t>aspectos</w:t>
      </w:r>
      <w:r w:rsidRPr="003A1DA2">
        <w:rPr>
          <w:rFonts w:ascii="Verdana" w:hAnsi="Verdana" w:eastAsia="Times New Roman" w:cs="Arial"/>
          <w:spacing w:val="1"/>
          <w:szCs w:val="24"/>
          <w:lang w:eastAsia="es-MX"/>
        </w:rPr>
        <w:t xml:space="preserve"> </w:t>
      </w:r>
      <w:r w:rsidRPr="003A1DA2">
        <w:rPr>
          <w:rFonts w:ascii="Verdana" w:hAnsi="Verdana" w:eastAsia="Times New Roman" w:cs="Arial"/>
          <w:szCs w:val="24"/>
          <w:lang w:eastAsia="es-MX"/>
        </w:rPr>
        <w:t>de</w:t>
      </w:r>
      <w:r w:rsidRPr="003A1DA2">
        <w:rPr>
          <w:rFonts w:ascii="Verdana" w:hAnsi="Verdana" w:eastAsia="Times New Roman" w:cs="Arial"/>
          <w:spacing w:val="1"/>
          <w:szCs w:val="24"/>
          <w:lang w:eastAsia="es-MX"/>
        </w:rPr>
        <w:t xml:space="preserve"> </w:t>
      </w:r>
      <w:r w:rsidRPr="003A1DA2">
        <w:rPr>
          <w:rFonts w:ascii="Verdana" w:hAnsi="Verdana" w:eastAsia="Times New Roman" w:cs="Arial"/>
          <w:szCs w:val="24"/>
          <w:lang w:eastAsia="es-MX"/>
        </w:rPr>
        <w:t>la</w:t>
      </w:r>
      <w:r w:rsidRPr="003A1DA2">
        <w:rPr>
          <w:rFonts w:ascii="Verdana" w:hAnsi="Verdana" w:eastAsia="Times New Roman" w:cs="Arial"/>
          <w:spacing w:val="1"/>
          <w:szCs w:val="24"/>
          <w:lang w:eastAsia="es-MX"/>
        </w:rPr>
        <w:t xml:space="preserve"> </w:t>
      </w:r>
      <w:r w:rsidRPr="003A1DA2">
        <w:rPr>
          <w:rFonts w:ascii="Verdana" w:hAnsi="Verdana" w:eastAsia="Times New Roman" w:cs="Arial"/>
          <w:szCs w:val="24"/>
          <w:lang w:eastAsia="es-MX"/>
        </w:rPr>
        <w:t>contratación</w:t>
      </w:r>
      <w:r w:rsidRPr="003A1DA2">
        <w:rPr>
          <w:rFonts w:ascii="Verdana" w:hAnsi="Verdana" w:eastAsia="Times New Roman" w:cs="Arial"/>
          <w:spacing w:val="1"/>
          <w:szCs w:val="24"/>
          <w:lang w:eastAsia="es-MX"/>
        </w:rPr>
        <w:t xml:space="preserve"> </w:t>
      </w:r>
      <w:r w:rsidRPr="003A1DA2">
        <w:rPr>
          <w:rFonts w:ascii="Verdana" w:hAnsi="Verdana" w:eastAsia="Times New Roman" w:cs="Arial"/>
          <w:szCs w:val="24"/>
          <w:lang w:eastAsia="es-MX"/>
        </w:rPr>
        <w:t>estatal</w:t>
      </w:r>
      <w:r w:rsidRPr="003A1DA2">
        <w:rPr>
          <w:rFonts w:ascii="Verdana" w:hAnsi="Verdana" w:eastAsia="Times New Roman" w:cs="Arial"/>
          <w:spacing w:val="1"/>
          <w:szCs w:val="24"/>
          <w:lang w:eastAsia="es-MX"/>
        </w:rPr>
        <w:t xml:space="preserve"> </w:t>
      </w:r>
      <w:r w:rsidRPr="003A1DA2">
        <w:rPr>
          <w:rFonts w:ascii="Verdana" w:hAnsi="Verdana" w:eastAsia="Times New Roman" w:cs="Arial"/>
          <w:szCs w:val="24"/>
          <w:lang w:eastAsia="es-MX"/>
        </w:rPr>
        <w:t>para</w:t>
      </w:r>
      <w:r w:rsidRPr="003A1DA2">
        <w:rPr>
          <w:rFonts w:ascii="Verdana" w:hAnsi="Verdana" w:eastAsia="Times New Roman" w:cs="Arial"/>
          <w:spacing w:val="1"/>
          <w:szCs w:val="24"/>
          <w:lang w:eastAsia="es-MX"/>
        </w:rPr>
        <w:t xml:space="preserve"> </w:t>
      </w:r>
      <w:r w:rsidRPr="003A1DA2">
        <w:rPr>
          <w:rFonts w:ascii="Verdana" w:hAnsi="Verdana" w:eastAsia="Times New Roman" w:cs="Arial"/>
          <w:szCs w:val="24"/>
          <w:lang w:eastAsia="es-MX"/>
        </w:rPr>
        <w:t>promover</w:t>
      </w:r>
      <w:r w:rsidRPr="003A1DA2">
        <w:rPr>
          <w:rFonts w:ascii="Verdana" w:hAnsi="Verdana" w:eastAsia="Times New Roman" w:cs="Arial"/>
          <w:spacing w:val="1"/>
          <w:szCs w:val="24"/>
          <w:lang w:eastAsia="es-MX"/>
        </w:rPr>
        <w:t xml:space="preserve"> </w:t>
      </w:r>
      <w:r w:rsidRPr="003A1DA2">
        <w:rPr>
          <w:rFonts w:ascii="Verdana" w:hAnsi="Verdana" w:eastAsia="Times New Roman" w:cs="Arial"/>
          <w:szCs w:val="24"/>
          <w:lang w:eastAsia="es-MX"/>
        </w:rPr>
        <w:t>el</w:t>
      </w:r>
      <w:r w:rsidRPr="003A1DA2">
        <w:rPr>
          <w:rFonts w:ascii="Verdana" w:hAnsi="Verdana" w:eastAsia="Times New Roman" w:cs="Arial"/>
          <w:spacing w:val="1"/>
          <w:szCs w:val="24"/>
          <w:lang w:eastAsia="es-MX"/>
        </w:rPr>
        <w:t xml:space="preserve"> </w:t>
      </w:r>
      <w:r w:rsidRPr="003A1DA2">
        <w:rPr>
          <w:rFonts w:ascii="Verdana" w:hAnsi="Verdana" w:eastAsia="Times New Roman" w:cs="Arial"/>
          <w:szCs w:val="24"/>
          <w:lang w:eastAsia="es-MX"/>
        </w:rPr>
        <w:t xml:space="preserve">emprendimiento. </w:t>
      </w:r>
      <w:r w:rsidRPr="003A1DA2">
        <w:rPr>
          <w:rFonts w:ascii="Verdana" w:hAnsi="Verdana" w:eastAsia="Arial" w:cs="Arial"/>
          <w:bCs/>
          <w:szCs w:val="24"/>
          <w:lang w:eastAsia="es-CO"/>
        </w:rPr>
        <w:t xml:space="preserve"> </w:t>
      </w:r>
    </w:p>
    <w:p w:rsidRPr="00967EED" w:rsidR="002C6D42" w:rsidP="002C6D42" w:rsidRDefault="002C6D42" w14:paraId="1594D07E" w14:textId="77777777">
      <w:pPr>
        <w:spacing w:after="120" w:line="276" w:lineRule="auto"/>
        <w:ind w:firstLine="708"/>
        <w:jc w:val="both"/>
        <w:rPr>
          <w:rFonts w:ascii="Verdana" w:hAnsi="Verdana" w:eastAsia="Arial" w:cs="Arial"/>
          <w:szCs w:val="24"/>
          <w:lang w:eastAsia="es-CO"/>
        </w:rPr>
      </w:pPr>
      <w:r w:rsidRPr="00967EED">
        <w:rPr>
          <w:rFonts w:ascii="Verdana" w:hAnsi="Verdana" w:eastAsia="Arial" w:cs="Arial"/>
          <w:szCs w:val="24"/>
          <w:lang w:val="es-ES" w:eastAsia="es-CO"/>
        </w:rPr>
        <w:t xml:space="preserve">Concretamente, el artículo 31 </w:t>
      </w:r>
      <w:r w:rsidRPr="00967EED">
        <w:rPr>
          <w:rFonts w:ascii="Verdana" w:hAnsi="Verdana" w:eastAsia="Arial" w:cs="Arial"/>
          <w:i/>
          <w:iCs/>
          <w:szCs w:val="24"/>
          <w:lang w:val="es-ES" w:eastAsia="es-CO"/>
        </w:rPr>
        <w:t>ibidem</w:t>
      </w:r>
      <w:r w:rsidRPr="00967EED">
        <w:rPr>
          <w:rFonts w:ascii="Verdana" w:hAnsi="Verdana" w:eastAsia="Arial" w:cs="Arial"/>
          <w:szCs w:val="24"/>
          <w:lang w:eastAsia="es-CO"/>
        </w:rPr>
        <w:t xml:space="preserve"> </w:t>
      </w:r>
      <w:r w:rsidRPr="00967EED">
        <w:rPr>
          <w:rFonts w:ascii="Verdana" w:hAnsi="Verdana" w:eastAsia="Arial" w:cs="Arial"/>
          <w:bCs/>
          <w:szCs w:val="24"/>
          <w:lang w:eastAsia="es-CO"/>
        </w:rPr>
        <w:t xml:space="preserve">introduce criterios diferenciales para el acceso de las </w:t>
      </w:r>
      <w:r>
        <w:rPr>
          <w:rFonts w:ascii="Verdana" w:hAnsi="Verdana" w:eastAsia="Arial" w:cs="Arial"/>
          <w:bCs/>
          <w:szCs w:val="24"/>
          <w:lang w:eastAsia="es-CO"/>
        </w:rPr>
        <w:t>MiPymes</w:t>
      </w:r>
      <w:r w:rsidRPr="00967EED">
        <w:rPr>
          <w:rFonts w:ascii="Verdana" w:hAnsi="Verdana" w:eastAsia="Arial" w:cs="Arial"/>
          <w:bCs/>
          <w:szCs w:val="24"/>
          <w:lang w:eastAsia="es-CO"/>
        </w:rPr>
        <w:t xml:space="preserve"> al sistema de compras y contratación pública. Para estos efectos, el inciso primero dispone que “Las Entidades Estatales de acuerdo con el análisis de sector </w:t>
      </w:r>
      <w:bookmarkStart w:name="_Hlk63767562" w:id="2"/>
      <w:r w:rsidRPr="00967EED">
        <w:rPr>
          <w:rFonts w:ascii="Verdana" w:hAnsi="Verdana" w:eastAsia="Arial" w:cs="Arial"/>
          <w:bCs/>
          <w:szCs w:val="24"/>
          <w:lang w:eastAsia="es-CO"/>
        </w:rPr>
        <w:t>podrán incluir, en los Documentos del Proceso, requisitos diferenciales y puntajes adicionales</w:t>
      </w:r>
      <w:bookmarkEnd w:id="2"/>
      <w:r w:rsidRPr="00967EED">
        <w:rPr>
          <w:rFonts w:ascii="Verdana" w:hAnsi="Verdana" w:eastAsia="Arial" w:cs="Arial"/>
          <w:bCs/>
          <w:szCs w:val="24"/>
          <w:lang w:eastAsia="es-CO"/>
        </w:rPr>
        <w:t xml:space="preserve">, en función del tamaño empresarial para la promoción del acceso de las </w:t>
      </w:r>
      <w:r>
        <w:rPr>
          <w:rFonts w:ascii="Verdana" w:hAnsi="Verdana" w:eastAsia="Arial" w:cs="Arial"/>
          <w:bCs/>
          <w:szCs w:val="24"/>
          <w:lang w:eastAsia="es-CO"/>
        </w:rPr>
        <w:t>MiPymes</w:t>
      </w:r>
      <w:r w:rsidRPr="00967EED">
        <w:rPr>
          <w:rFonts w:ascii="Verdana" w:hAnsi="Verdana" w:eastAsia="Arial" w:cs="Arial"/>
          <w:bCs/>
          <w:szCs w:val="24"/>
          <w:lang w:eastAsia="es-CO"/>
        </w:rPr>
        <w:t xml:space="preserve"> al mercado de Compras Públicas”. Esto significa que, la aplicación de los criterios diferenciales, los cuales incluyen tanto los requisitos diferenciales como los puntajes adicionales, depende de las conclusiones del estudio del sector. Así mismo, esta norma </w:t>
      </w:r>
      <w:r w:rsidRPr="00967EED">
        <w:rPr>
          <w:rFonts w:ascii="Verdana" w:hAnsi="Verdana" w:eastAsia="Arial" w:cs="Arial"/>
          <w:szCs w:val="24"/>
          <w:lang w:eastAsia="es-CO"/>
        </w:rPr>
        <w:t>dispuso que el Gobierno Nacional reglamentaría la definición de los criterios diferenciales</w:t>
      </w:r>
      <w:r w:rsidRPr="00967EED">
        <w:rPr>
          <w:rFonts w:ascii="Verdana" w:hAnsi="Verdana" w:eastAsia="Arial" w:cs="Arial"/>
          <w:szCs w:val="24"/>
          <w:lang w:val="es-ES" w:eastAsia="es-CO"/>
        </w:rPr>
        <w:t xml:space="preserve"> para promover y facilitar el acceso de las </w:t>
      </w:r>
      <w:r>
        <w:rPr>
          <w:rFonts w:ascii="Verdana" w:hAnsi="Verdana" w:eastAsia="Arial" w:cs="Arial"/>
          <w:szCs w:val="24"/>
          <w:lang w:val="es-ES" w:eastAsia="es-CO"/>
        </w:rPr>
        <w:t>MiPymes</w:t>
      </w:r>
      <w:r w:rsidRPr="00967EED">
        <w:rPr>
          <w:rFonts w:ascii="Verdana" w:hAnsi="Verdana" w:eastAsia="Arial" w:cs="Arial"/>
          <w:szCs w:val="24"/>
          <w:lang w:val="es-ES" w:eastAsia="es-CO"/>
        </w:rPr>
        <w:t xml:space="preserve"> al mercado de compras públicas</w:t>
      </w:r>
      <w:r w:rsidRPr="00967EED">
        <w:rPr>
          <w:rFonts w:ascii="Verdana" w:hAnsi="Verdana" w:eastAsia="Arial" w:cs="Arial"/>
          <w:szCs w:val="24"/>
          <w:lang w:eastAsia="es-CO"/>
        </w:rPr>
        <w:t xml:space="preserve">, estableciendo reglas objetivas para su implementación, las cuales priorizarían la contratación de producción nacional, sin perjuicio de los compromisos comerciales adquiridos con otros Estados. </w:t>
      </w:r>
    </w:p>
    <w:p w:rsidRPr="00967EED" w:rsidR="002C6D42" w:rsidP="002C6D42" w:rsidRDefault="002C6D42" w14:paraId="090F1CB6" w14:textId="77777777">
      <w:pPr>
        <w:spacing w:after="120" w:line="276" w:lineRule="auto"/>
        <w:jc w:val="both"/>
        <w:rPr>
          <w:rFonts w:ascii="Verdana" w:hAnsi="Verdana" w:eastAsia="Arial" w:cs="Arial"/>
          <w:szCs w:val="24"/>
          <w:lang w:eastAsia="es-CO"/>
        </w:rPr>
      </w:pPr>
      <w:r w:rsidRPr="00967EED">
        <w:rPr>
          <w:rFonts w:ascii="Verdana" w:hAnsi="Verdana" w:eastAsia="Arial" w:cs="Arial"/>
          <w:szCs w:val="24"/>
          <w:lang w:val="es-ES" w:eastAsia="es-CO"/>
        </w:rPr>
        <w:tab/>
      </w:r>
      <w:r w:rsidRPr="00967EED">
        <w:rPr>
          <w:rFonts w:ascii="Verdana" w:hAnsi="Verdana" w:eastAsia="Arial" w:cs="Arial"/>
          <w:szCs w:val="24"/>
          <w:lang w:val="es-ES" w:eastAsia="es-CO"/>
        </w:rPr>
        <w:t>Con fundamento en lo anterior, el Gobierno Nacional expidió el Decreto 1860 de 2021 que</w:t>
      </w:r>
      <w:r w:rsidRPr="00967EED">
        <w:rPr>
          <w:rFonts w:ascii="Verdana" w:hAnsi="Verdana" w:eastAsia="Arial" w:cs="Arial"/>
          <w:szCs w:val="24"/>
          <w:lang w:eastAsia="es-CO"/>
        </w:rPr>
        <w:t xml:space="preserve"> modificó el Decreto 1082 de 2015, Único Reglamentario del Sector Administrativo de Planeación Nacional, incorporando una regulación detallada de las normas anteriormente citadas para la efectiva aplicación de la Ley 2069 de 2020 en el sistema de compras y contratación pública, </w:t>
      </w:r>
      <w:r w:rsidRPr="00967EED">
        <w:rPr>
          <w:rFonts w:ascii="Verdana" w:hAnsi="Verdana" w:eastAsia="Times New Roman" w:cs="Arial"/>
          <w:szCs w:val="24"/>
          <w:lang w:eastAsia="es-MX"/>
        </w:rPr>
        <w:t>además de incluir algunas disposiciones adicionales para la reglamentación efectiva de la citada Ley.</w:t>
      </w:r>
      <w:r w:rsidRPr="00967EED">
        <w:rPr>
          <w:rFonts w:ascii="Verdana" w:hAnsi="Verdana" w:eastAsia="Arial" w:cs="Arial"/>
          <w:szCs w:val="24"/>
          <w:lang w:eastAsia="es-CO"/>
        </w:rPr>
        <w:t xml:space="preserve"> </w:t>
      </w:r>
    </w:p>
    <w:p w:rsidRPr="00967EED" w:rsidR="002C6D42" w:rsidP="002C6D42" w:rsidRDefault="002C6D42" w14:paraId="23CD28AB" w14:textId="77777777">
      <w:pPr>
        <w:spacing w:after="120" w:line="276" w:lineRule="auto"/>
        <w:ind w:firstLine="708"/>
        <w:jc w:val="both"/>
        <w:rPr>
          <w:rFonts w:ascii="Verdana" w:hAnsi="Verdana" w:eastAsia="Arial" w:cs="Arial"/>
          <w:lang w:eastAsia="es-MX"/>
        </w:rPr>
      </w:pPr>
      <w:r w:rsidRPr="00967EED">
        <w:rPr>
          <w:rFonts w:ascii="Verdana" w:hAnsi="Verdana" w:eastAsia="Arial" w:cs="Arial"/>
          <w:szCs w:val="24"/>
          <w:lang w:val="es-ES" w:eastAsia="es-CO"/>
        </w:rPr>
        <w:t>De esta manera, el artículo 3 del Decreto 1860 de 2021</w:t>
      </w:r>
      <w:bookmarkStart w:name="_Hlk110840316" w:id="3"/>
      <w:r w:rsidRPr="00967EED">
        <w:rPr>
          <w:rFonts w:ascii="Verdana" w:hAnsi="Verdana" w:eastAsia="Times New Roman" w:cs="Arial"/>
          <w:lang w:eastAsia="es-MX"/>
        </w:rPr>
        <w:t xml:space="preserve">, que adicionó </w:t>
      </w:r>
      <w:r w:rsidRPr="00967EED">
        <w:rPr>
          <w:rFonts w:ascii="Verdana" w:hAnsi="Verdana" w:eastAsia="Times New Roman" w:cs="Arial"/>
          <w:bCs/>
          <w:lang w:eastAsia="es-MX"/>
        </w:rPr>
        <w:t xml:space="preserve">el artículo 2.2.1.2.4.2.18 al </w:t>
      </w:r>
      <w:r w:rsidRPr="00967EED">
        <w:rPr>
          <w:rFonts w:ascii="Verdana" w:hAnsi="Verdana" w:eastAsia="Times New Roman" w:cs="Arial"/>
          <w:lang w:eastAsia="es-MX"/>
        </w:rPr>
        <w:t xml:space="preserve">Decreto 1082 de 2015 reglamentó los criterios diferenciales para </w:t>
      </w:r>
      <w:r>
        <w:rPr>
          <w:rFonts w:ascii="Verdana" w:hAnsi="Verdana" w:eastAsia="Times New Roman" w:cs="Arial"/>
          <w:lang w:eastAsia="es-MX"/>
        </w:rPr>
        <w:t>MiPymes</w:t>
      </w:r>
      <w:r w:rsidRPr="00967EED">
        <w:rPr>
          <w:rFonts w:ascii="Verdana" w:hAnsi="Verdana" w:eastAsia="Times New Roman" w:cs="Arial"/>
          <w:lang w:eastAsia="es-MX"/>
        </w:rPr>
        <w:t xml:space="preserve"> en el sistema de compras públicas. Conforme a esta norma</w:t>
      </w:r>
      <w:r>
        <w:rPr>
          <w:rFonts w:ascii="Verdana" w:hAnsi="Verdana" w:eastAsia="Times New Roman" w:cs="Arial"/>
          <w:lang w:eastAsia="es-MX"/>
        </w:rPr>
        <w:t>,</w:t>
      </w:r>
      <w:r w:rsidRPr="00967EED">
        <w:rPr>
          <w:rFonts w:ascii="Verdana" w:hAnsi="Verdana" w:eastAsia="Times New Roman" w:cs="Arial"/>
          <w:lang w:eastAsia="es-MX"/>
        </w:rPr>
        <w:t xml:space="preserve"> las Entidades Estatales indistintamente de su régimen de contratación, los patrimonios autónomos constituidos por Entidades Estatales y los particulares que ejecuten recursos públicos</w:t>
      </w:r>
      <w:r>
        <w:rPr>
          <w:rFonts w:ascii="Verdana" w:hAnsi="Verdana" w:eastAsia="Times New Roman" w:cs="Arial"/>
          <w:lang w:eastAsia="es-MX"/>
        </w:rPr>
        <w:t>,</w:t>
      </w:r>
      <w:r w:rsidRPr="00967EED">
        <w:rPr>
          <w:rFonts w:ascii="Verdana" w:hAnsi="Verdana" w:eastAsia="Times New Roman" w:cs="Arial"/>
          <w:lang w:eastAsia="es-MX"/>
        </w:rPr>
        <w:t xml:space="preserve"> establecerán condiciones habilitantes diferenciales que promuevan y faciliten la participación en los </w:t>
      </w:r>
      <w:r w:rsidRPr="00967EED">
        <w:rPr>
          <w:rFonts w:ascii="Verdana" w:hAnsi="Verdana" w:eastAsia="Times New Roman" w:cs="Arial"/>
          <w:lang w:eastAsia="es-MX"/>
        </w:rPr>
        <w:t xml:space="preserve">procedimientos de selección competitivos de las </w:t>
      </w:r>
      <w:r>
        <w:rPr>
          <w:rFonts w:ascii="Verdana" w:hAnsi="Verdana" w:eastAsia="Times New Roman" w:cs="Arial"/>
          <w:lang w:eastAsia="es-MX"/>
        </w:rPr>
        <w:t>MiPymes</w:t>
      </w:r>
      <w:r w:rsidRPr="00967EED">
        <w:rPr>
          <w:rFonts w:ascii="Verdana" w:hAnsi="Verdana" w:eastAsia="Times New Roman" w:cs="Arial"/>
          <w:lang w:eastAsia="es-MX"/>
        </w:rPr>
        <w:t xml:space="preserve"> domiciliadas en Colombia. </w:t>
      </w:r>
    </w:p>
    <w:p w:rsidRPr="00967EED" w:rsidR="002C6D42" w:rsidP="002C6D42" w:rsidRDefault="002C6D42" w14:paraId="109DE497" w14:textId="77777777">
      <w:pPr>
        <w:spacing w:after="120" w:line="276" w:lineRule="auto"/>
        <w:jc w:val="both"/>
        <w:rPr>
          <w:rFonts w:ascii="Verdana" w:hAnsi="Verdana" w:eastAsia="Times New Roman" w:cs="Arial"/>
          <w:lang w:eastAsia="es-MX"/>
        </w:rPr>
      </w:pPr>
      <w:r w:rsidRPr="00967EED">
        <w:rPr>
          <w:rFonts w:ascii="Verdana" w:hAnsi="Verdana" w:eastAsia="Arial" w:cs="Arial"/>
          <w:lang w:eastAsia="es-MX"/>
        </w:rPr>
        <w:tab/>
      </w:r>
      <w:r w:rsidRPr="00967EED">
        <w:rPr>
          <w:rFonts w:ascii="Verdana" w:hAnsi="Verdana" w:eastAsia="Times New Roman" w:cs="Arial"/>
          <w:lang w:eastAsia="es-MX"/>
        </w:rPr>
        <w:t xml:space="preserve">Estos criterios en favor de las </w:t>
      </w:r>
      <w:r>
        <w:rPr>
          <w:rFonts w:ascii="Verdana" w:hAnsi="Verdana" w:eastAsia="Times New Roman" w:cs="Arial"/>
          <w:lang w:eastAsia="es-MX"/>
        </w:rPr>
        <w:t>MiPymes</w:t>
      </w:r>
      <w:r w:rsidRPr="00967EED">
        <w:rPr>
          <w:rFonts w:ascii="Verdana" w:hAnsi="Verdana" w:eastAsia="Times New Roman" w:cs="Arial"/>
          <w:lang w:eastAsia="es-MX"/>
        </w:rPr>
        <w:t xml:space="preserve"> buscan reducir las asimetrías entre estas y las grandes empresas para vincularse como proveedoras del mercado de compras públicas y, en consecuencia, promover y facilitar la participación en los procedimientos de selección competitivos de las </w:t>
      </w:r>
      <w:r>
        <w:rPr>
          <w:rFonts w:ascii="Verdana" w:hAnsi="Verdana" w:eastAsia="Times New Roman" w:cs="Arial"/>
          <w:lang w:eastAsia="es-MX"/>
        </w:rPr>
        <w:t>MiPymes</w:t>
      </w:r>
      <w:r w:rsidRPr="00967EED">
        <w:rPr>
          <w:rFonts w:ascii="Verdana" w:hAnsi="Verdana" w:eastAsia="Times New Roman" w:cs="Arial"/>
          <w:lang w:eastAsia="es-MX"/>
        </w:rPr>
        <w:t xml:space="preserve"> domiciliadas en Colombia. Para estos efectos, el artículo 2.2.1.2.4.2.18 del Decreto 1082 de 2015 estableció que, según los resultados del análisis del sector, en función de los criterios de clasificación empresarial, los documentos del proceso deberán incorporar requisitos habilitantes diferenciales relacionados con alguno o algunos de los siguientes aspectos: i) tiempo de experiencia, ii) número de contratos para la acreditación de la experiencia, iii) índices de capacidad financiera, iv) índices de capacidad organizacional y v) valor de la garantía de seriedad de la oferta. </w:t>
      </w:r>
    </w:p>
    <w:p w:rsidRPr="00967EED" w:rsidR="002C6D42" w:rsidP="002C6D42" w:rsidRDefault="002C6D42" w14:paraId="14573EBD" w14:textId="77777777">
      <w:pPr>
        <w:spacing w:after="120" w:line="276" w:lineRule="auto"/>
        <w:ind w:firstLine="708"/>
        <w:jc w:val="both"/>
        <w:rPr>
          <w:rFonts w:ascii="Verdana" w:hAnsi="Verdana" w:eastAsia="Times New Roman" w:cs="Arial"/>
          <w:lang w:eastAsia="es-MX"/>
        </w:rPr>
      </w:pPr>
      <w:r w:rsidRPr="00967EED">
        <w:rPr>
          <w:rFonts w:ascii="Verdana" w:hAnsi="Verdana" w:eastAsia="Times New Roman" w:cs="Arial"/>
          <w:lang w:eastAsia="es-MX"/>
        </w:rPr>
        <w:t xml:space="preserve">Lo anterior significa que, para determinar los criterios diferenciales para </w:t>
      </w:r>
      <w:r>
        <w:rPr>
          <w:rFonts w:ascii="Verdana" w:hAnsi="Verdana" w:eastAsia="Times New Roman" w:cs="Arial"/>
          <w:lang w:eastAsia="es-MX"/>
        </w:rPr>
        <w:t>MiPymes</w:t>
      </w:r>
      <w:r w:rsidRPr="00967EED">
        <w:rPr>
          <w:rFonts w:ascii="Verdana" w:hAnsi="Verdana" w:eastAsia="Times New Roman" w:cs="Arial"/>
          <w:lang w:eastAsia="es-MX"/>
        </w:rPr>
        <w:t xml:space="preserve">, las entidades podrán escoger uno o algunos de estos elementos relacionados con requisitos habilitantes, los cuales deberán fijarse respetando las condiciones habilitantes requeridas para el cumplimiento adecuado del contrato. En tal sentido, se establecerán condiciones más exigentes respecto a alguno o algunos de los criterios de participación antes enunciados frente a los demás proponentes que concurran al procedimiento de selección que no sean </w:t>
      </w:r>
      <w:r>
        <w:rPr>
          <w:rFonts w:ascii="Verdana" w:hAnsi="Verdana" w:eastAsia="Times New Roman" w:cs="Arial"/>
          <w:lang w:eastAsia="es-MX"/>
        </w:rPr>
        <w:t>MiPymes</w:t>
      </w:r>
      <w:r w:rsidRPr="00967EED">
        <w:rPr>
          <w:rFonts w:ascii="Verdana" w:hAnsi="Verdana" w:eastAsia="Times New Roman" w:cs="Arial"/>
          <w:lang w:eastAsia="es-MX"/>
        </w:rPr>
        <w:t xml:space="preserve">. </w:t>
      </w:r>
    </w:p>
    <w:bookmarkEnd w:id="3"/>
    <w:p w:rsidRPr="00967EED" w:rsidR="002C6D42" w:rsidP="002C6D42" w:rsidRDefault="002C6D42" w14:paraId="720E8FE1" w14:textId="77777777">
      <w:pPr>
        <w:spacing w:after="120" w:line="276" w:lineRule="auto"/>
        <w:ind w:firstLine="708"/>
        <w:jc w:val="both"/>
        <w:rPr>
          <w:rFonts w:ascii="Verdana" w:hAnsi="Verdana" w:eastAsia="Times New Roman" w:cs="Arial"/>
          <w:lang w:eastAsia="es-MX"/>
        </w:rPr>
      </w:pPr>
      <w:r w:rsidRPr="00967EED">
        <w:rPr>
          <w:rFonts w:ascii="Verdana" w:hAnsi="Verdana" w:eastAsia="Times New Roman" w:cs="Arial"/>
          <w:lang w:eastAsia="es-MX"/>
        </w:rPr>
        <w:t xml:space="preserve">Igualmente, el </w:t>
      </w:r>
      <w:r>
        <w:rPr>
          <w:rFonts w:ascii="Verdana" w:hAnsi="Verdana" w:eastAsia="Times New Roman" w:cs="Arial"/>
          <w:lang w:eastAsia="es-MX"/>
        </w:rPr>
        <w:t>D</w:t>
      </w:r>
      <w:r w:rsidRPr="00967EED">
        <w:rPr>
          <w:rFonts w:ascii="Verdana" w:hAnsi="Verdana" w:eastAsia="Times New Roman" w:cs="Arial"/>
          <w:lang w:eastAsia="es-MX"/>
        </w:rPr>
        <w:t xml:space="preserve">ecreto dispone que, con excepción de los procedimientos de selección abreviada por subasta inversa y de mínima cuantía, las entidades sometidas al Estatuto General de Contratación de la Administración Pública – en adelante EGCAP –, teniendo en cuenta los criterios de clasificación empresarial, podrán establecer puntajes adicionales que en ningún caso podrán superar el cero punto veinticinco por ciento (0.25%) del valor total de los puntos establecidos en los Pliegos de Condiciones o documentos equivalentes. Como se observa, se estableció un porcentaje techo para el respectivo puntaje adicional, lo que significa que las entidades pueden otorgar el puntaje máximo de hasta el cero punto veinticinco por ciento (0.25%) del valor total de los puntos establecidos o un puntaje menor. Esto con el objeto de que la aplicación del incentivo no vaya en desmedro de la escogencia de la oferta más favorable para </w:t>
      </w:r>
      <w:r w:rsidRPr="00967EED">
        <w:rPr>
          <w:rFonts w:ascii="Verdana" w:hAnsi="Verdana" w:eastAsia="Times New Roman" w:cs="Arial"/>
          <w:lang w:eastAsia="es-MX"/>
        </w:rPr>
        <w:t xml:space="preserve">la entidad, conforme el deber de selección objetiva exige, por lo que el reglamento estimó como adecuado el porcentaje señalado. </w:t>
      </w:r>
    </w:p>
    <w:p w:rsidR="002C6D42" w:rsidP="002C6D42" w:rsidRDefault="002C6D42" w14:paraId="33B2A5EC" w14:textId="77777777">
      <w:pPr>
        <w:spacing w:after="120" w:line="276" w:lineRule="auto"/>
        <w:ind w:firstLine="708"/>
        <w:jc w:val="both"/>
        <w:rPr>
          <w:rFonts w:ascii="Verdana" w:hAnsi="Verdana" w:eastAsia="Times New Roman" w:cs="Arial"/>
          <w:lang w:eastAsia="es-MX"/>
        </w:rPr>
      </w:pPr>
      <w:r w:rsidRPr="00967EED">
        <w:rPr>
          <w:rFonts w:ascii="Verdana" w:hAnsi="Verdana" w:eastAsia="Times New Roman" w:cs="Arial"/>
          <w:lang w:eastAsia="es-MX"/>
        </w:rPr>
        <w:t xml:space="preserve">En lo relativo a la aplicación de los criterios diferenciales y puntajes adicionales para proponentes plurales, solo se aplicarán si por lo menos uno de los integrantes acredita la calidad de </w:t>
      </w:r>
      <w:r>
        <w:rPr>
          <w:rFonts w:ascii="Verdana" w:hAnsi="Verdana" w:eastAsia="Times New Roman" w:cs="Arial"/>
          <w:lang w:eastAsia="es-MX"/>
        </w:rPr>
        <w:t>MiPymes</w:t>
      </w:r>
      <w:r w:rsidRPr="00967EED">
        <w:rPr>
          <w:rFonts w:ascii="Verdana" w:hAnsi="Verdana" w:eastAsia="Times New Roman" w:cs="Arial"/>
          <w:lang w:eastAsia="es-MX"/>
        </w:rPr>
        <w:t xml:space="preserve"> y tiene una participación igual o superior al diez por ciento (10%) en el consorcio o en la unión temporal. </w:t>
      </w:r>
    </w:p>
    <w:p w:rsidRPr="00967EED" w:rsidR="002C6D42" w:rsidP="002C6D42" w:rsidRDefault="002C6D42" w14:paraId="679419E3" w14:textId="77777777">
      <w:pPr>
        <w:spacing w:after="120" w:line="276" w:lineRule="auto"/>
        <w:ind w:firstLine="708"/>
        <w:jc w:val="both"/>
        <w:rPr>
          <w:rFonts w:ascii="Verdana" w:hAnsi="Verdana" w:eastAsia="Times New Roman" w:cs="Arial"/>
          <w:lang w:eastAsia="es-MX"/>
        </w:rPr>
      </w:pPr>
      <w:r w:rsidRPr="00967EED">
        <w:rPr>
          <w:rFonts w:ascii="Verdana" w:hAnsi="Verdana" w:eastAsia="Times New Roman" w:cs="Arial"/>
          <w:lang w:eastAsia="es-MX"/>
        </w:rPr>
        <w:t xml:space="preserve">Así mismo, de conformidad con el parágrafo 3 del artículo </w:t>
      </w:r>
      <w:r w:rsidRPr="00967EED">
        <w:rPr>
          <w:rFonts w:ascii="Verdana" w:hAnsi="Verdana" w:eastAsia="Times New Roman" w:cs="Arial"/>
          <w:bCs/>
          <w:lang w:eastAsia="es-MX"/>
        </w:rPr>
        <w:t xml:space="preserve">2.2.1.2.4.2.18 del </w:t>
      </w:r>
      <w:r w:rsidRPr="00967EED">
        <w:rPr>
          <w:rFonts w:ascii="Verdana" w:hAnsi="Verdana" w:eastAsia="Times New Roman" w:cs="Arial"/>
          <w:lang w:eastAsia="es-MX"/>
        </w:rPr>
        <w:t xml:space="preserve">Decreto 1082 de 2015 los criterios diferenciales y puntajes adicionales en favor de las micro, pequeñas y medianas empresas no se aplicarán cuando se limiten las convocatorias a </w:t>
      </w:r>
      <w:r>
        <w:rPr>
          <w:rFonts w:ascii="Verdana" w:hAnsi="Verdana" w:eastAsia="Times New Roman" w:cs="Arial"/>
          <w:lang w:eastAsia="es-MX"/>
        </w:rPr>
        <w:t>MiPymes</w:t>
      </w:r>
      <w:r w:rsidRPr="00967EED">
        <w:rPr>
          <w:rFonts w:ascii="Verdana" w:hAnsi="Verdana" w:eastAsia="Times New Roman" w:cs="Arial"/>
          <w:lang w:eastAsia="es-MX"/>
        </w:rPr>
        <w:t xml:space="preserve"> en los términos de los artículos 2.2.1.2.4.2.2 y 2.2.1.2.4.2.3 de este Decreto</w:t>
      </w:r>
      <w:r>
        <w:rPr>
          <w:rFonts w:ascii="Verdana" w:hAnsi="Verdana" w:eastAsia="Times New Roman" w:cs="Arial"/>
          <w:lang w:eastAsia="es-MX"/>
        </w:rPr>
        <w:t>, normas que se proceden a explicar</w:t>
      </w:r>
      <w:r w:rsidRPr="00967EED">
        <w:rPr>
          <w:rFonts w:ascii="Verdana" w:hAnsi="Verdana" w:eastAsia="Times New Roman" w:cs="Arial"/>
          <w:lang w:eastAsia="es-MX"/>
        </w:rPr>
        <w:t xml:space="preserve">. </w:t>
      </w:r>
    </w:p>
    <w:p w:rsidR="002C6D42" w:rsidP="002C6D42" w:rsidRDefault="002C6D42" w14:paraId="37B1FA6C" w14:textId="77777777">
      <w:pPr>
        <w:spacing w:after="120" w:line="276" w:lineRule="auto"/>
        <w:ind w:firstLine="708"/>
        <w:jc w:val="both"/>
        <w:rPr>
          <w:rFonts w:ascii="Verdana" w:hAnsi="Verdana" w:eastAsia="Calibri" w:cs="Arial"/>
          <w:color w:val="000000" w:themeColor="text1"/>
        </w:rPr>
      </w:pPr>
      <w:r>
        <w:rPr>
          <w:rFonts w:ascii="Verdana" w:hAnsi="Verdana" w:eastAsia="Times New Roman" w:cs="Arial"/>
          <w:lang w:eastAsia="es-MX"/>
        </w:rPr>
        <w:t xml:space="preserve">Por otro lado. </w:t>
      </w:r>
      <w:r w:rsidRPr="007A64AD">
        <w:rPr>
          <w:rFonts w:ascii="Verdana" w:hAnsi="Verdana" w:eastAsia="Calibri" w:cs="Arial"/>
          <w:bCs/>
          <w:lang w:eastAsia="es-ES_tradnl"/>
        </w:rPr>
        <w:t>se encuentra el artículo 34, en el cual se establecen unos</w:t>
      </w:r>
      <w:r w:rsidRPr="007A64AD">
        <w:rPr>
          <w:rFonts w:ascii="Verdana" w:hAnsi="Verdana" w:eastAsia="Calibri" w:cs="Arial"/>
          <w:lang w:eastAsia="es-ES_tradnl"/>
        </w:rPr>
        <w:t xml:space="preserve"> parámetros para la limitación de convocatorias a Mipymes, con el fin de incentivar su participación en el </w:t>
      </w:r>
      <w:r>
        <w:rPr>
          <w:rFonts w:ascii="Verdana" w:hAnsi="Verdana" w:eastAsia="Calibri" w:cs="Arial"/>
          <w:lang w:eastAsia="es-ES_tradnl"/>
        </w:rPr>
        <w:t>s</w:t>
      </w:r>
      <w:r w:rsidRPr="007A64AD">
        <w:rPr>
          <w:rFonts w:ascii="Verdana" w:hAnsi="Verdana" w:eastAsia="Calibri" w:cs="Arial"/>
          <w:lang w:eastAsia="es-ES_tradnl"/>
        </w:rPr>
        <w:t xml:space="preserve">istema de </w:t>
      </w:r>
      <w:r>
        <w:rPr>
          <w:rFonts w:ascii="Verdana" w:hAnsi="Verdana" w:eastAsia="Calibri" w:cs="Arial"/>
          <w:lang w:eastAsia="es-ES_tradnl"/>
        </w:rPr>
        <w:t>c</w:t>
      </w:r>
      <w:r w:rsidRPr="007A64AD">
        <w:rPr>
          <w:rFonts w:ascii="Verdana" w:hAnsi="Verdana" w:eastAsia="Calibri" w:cs="Arial"/>
          <w:lang w:eastAsia="es-ES_tradnl"/>
        </w:rPr>
        <w:t xml:space="preserve">ompras y </w:t>
      </w:r>
      <w:r>
        <w:rPr>
          <w:rFonts w:ascii="Verdana" w:hAnsi="Verdana" w:eastAsia="Calibri" w:cs="Arial"/>
          <w:lang w:eastAsia="es-ES_tradnl"/>
        </w:rPr>
        <w:t>c</w:t>
      </w:r>
      <w:r w:rsidRPr="007A64AD">
        <w:rPr>
          <w:rFonts w:ascii="Verdana" w:hAnsi="Verdana" w:eastAsia="Calibri" w:cs="Arial"/>
          <w:lang w:eastAsia="es-ES_tradnl"/>
        </w:rPr>
        <w:t xml:space="preserve">ontratación </w:t>
      </w:r>
      <w:r>
        <w:rPr>
          <w:rFonts w:ascii="Verdana" w:hAnsi="Verdana" w:eastAsia="Calibri" w:cs="Arial"/>
          <w:lang w:eastAsia="es-ES_tradnl"/>
        </w:rPr>
        <w:t>p</w:t>
      </w:r>
      <w:r w:rsidRPr="007A64AD">
        <w:rPr>
          <w:rFonts w:ascii="Verdana" w:hAnsi="Verdana" w:eastAsia="Calibri" w:cs="Arial"/>
          <w:lang w:eastAsia="es-ES_tradnl"/>
        </w:rPr>
        <w:t xml:space="preserve">ública. </w:t>
      </w:r>
      <w:r>
        <w:rPr>
          <w:rFonts w:ascii="Verdana" w:hAnsi="Verdana" w:eastAsia="Calibri" w:cs="Arial"/>
          <w:lang w:eastAsia="es-ES_tradnl"/>
        </w:rPr>
        <w:t xml:space="preserve">Dicho artículo modifica </w:t>
      </w:r>
      <w:r w:rsidRPr="008845F4">
        <w:rPr>
          <w:rFonts w:ascii="Verdana" w:hAnsi="Verdana" w:eastAsia="Calibri" w:cs="Arial"/>
          <w:color w:val="000000" w:themeColor="text1"/>
        </w:rPr>
        <w:t>los requisitos esenciales para que procedan las convocatorias limitadas a Mipymes, de la siguiente forma: i) estableció que estas deben desarrollarse independientemente del régimen de contratación de la Entidad Estatal –es decir, también deben efectuarlas las Entidades Estatales exceptuadas del EGCAP o que se rigen por derecho privado–; ii) señaló que los patrimonios autónomos constituidos por Entidades Estatales y los particulares que ejecuten recursos públicos también son destinatarios de esta exigencia; y,  iii) indicó que para que pueda haber convocatorias limitadas a MiPymes, dos (2) de ellas deben manifestar su interés.</w:t>
      </w:r>
    </w:p>
    <w:p w:rsidR="002C6D42" w:rsidP="002C6D42" w:rsidRDefault="002C6D42" w14:paraId="41E0DCB9" w14:textId="77777777">
      <w:pPr>
        <w:spacing w:after="0" w:line="276" w:lineRule="auto"/>
        <w:ind w:firstLine="708"/>
        <w:jc w:val="both"/>
        <w:rPr>
          <w:rFonts w:ascii="Verdana" w:hAnsi="Verdana" w:eastAsia="Calibri" w:cs="Arial"/>
          <w:color w:val="000000" w:themeColor="text1"/>
        </w:rPr>
      </w:pPr>
      <w:r>
        <w:rPr>
          <w:rFonts w:ascii="Verdana" w:hAnsi="Verdana" w:eastAsia="Calibri" w:cs="Arial"/>
          <w:color w:val="000000" w:themeColor="text1"/>
        </w:rPr>
        <w:t>En concordancia con lo anterior, e</w:t>
      </w:r>
      <w:r w:rsidRPr="00A4368E">
        <w:rPr>
          <w:rFonts w:ascii="Verdana" w:hAnsi="Verdana" w:eastAsia="Calibri" w:cs="Arial"/>
          <w:color w:val="000000" w:themeColor="text1"/>
        </w:rPr>
        <w:t>l artículo 2.2.1.2.4.2.2. del Decreto 1082 de 2015 modificado por el Decreto 1860 de 2021– establece los requisitos que se deben</w:t>
      </w:r>
      <w:r w:rsidRPr="004850B7">
        <w:t xml:space="preserve"> </w:t>
      </w:r>
      <w:r w:rsidRPr="004850B7">
        <w:rPr>
          <w:rFonts w:ascii="Verdana" w:hAnsi="Verdana" w:eastAsia="Calibri" w:cs="Arial"/>
          <w:color w:val="000000" w:themeColor="text1"/>
        </w:rPr>
        <w:t xml:space="preserve">acreditar en las “convocatorias limitadas a Mipymes”. El inciso primero de la referida norma exige que las </w:t>
      </w:r>
      <w:r>
        <w:rPr>
          <w:rFonts w:ascii="Verdana" w:hAnsi="Verdana" w:eastAsia="Calibri" w:cs="Arial"/>
          <w:color w:val="000000" w:themeColor="text1"/>
        </w:rPr>
        <w:t>E</w:t>
      </w:r>
      <w:r w:rsidRPr="004850B7">
        <w:rPr>
          <w:rFonts w:ascii="Verdana" w:hAnsi="Verdana" w:eastAsia="Calibri" w:cs="Arial"/>
          <w:color w:val="000000" w:themeColor="text1"/>
        </w:rPr>
        <w:t xml:space="preserve">ntidades </w:t>
      </w:r>
      <w:r>
        <w:rPr>
          <w:rFonts w:ascii="Verdana" w:hAnsi="Verdana" w:eastAsia="Calibri" w:cs="Arial"/>
          <w:color w:val="000000" w:themeColor="text1"/>
        </w:rPr>
        <w:t>E</w:t>
      </w:r>
      <w:r w:rsidRPr="004850B7">
        <w:rPr>
          <w:rFonts w:ascii="Verdana" w:hAnsi="Verdana" w:eastAsia="Calibri" w:cs="Arial"/>
          <w:color w:val="000000" w:themeColor="text1"/>
        </w:rPr>
        <w:t xml:space="preserve">statales independientemente de su régimen de contratación, los patrimonios autónomos constituidos por entidades estatales y los particulares que ejecuten recursos públicos, </w:t>
      </w:r>
      <w:r>
        <w:rPr>
          <w:rFonts w:ascii="Verdana" w:hAnsi="Verdana" w:eastAsia="Calibri" w:cs="Arial"/>
          <w:color w:val="000000" w:themeColor="text1"/>
        </w:rPr>
        <w:t xml:space="preserve">deben </w:t>
      </w:r>
      <w:r w:rsidRPr="004850B7">
        <w:rPr>
          <w:rFonts w:ascii="Verdana" w:hAnsi="Verdana" w:eastAsia="Calibri" w:cs="Arial"/>
          <w:color w:val="000000" w:themeColor="text1"/>
        </w:rPr>
        <w:t>limit</w:t>
      </w:r>
      <w:r>
        <w:rPr>
          <w:rFonts w:ascii="Verdana" w:hAnsi="Verdana" w:eastAsia="Calibri" w:cs="Arial"/>
          <w:color w:val="000000" w:themeColor="text1"/>
        </w:rPr>
        <w:t>ar</w:t>
      </w:r>
      <w:r w:rsidRPr="004850B7">
        <w:rPr>
          <w:rFonts w:ascii="Verdana" w:hAnsi="Verdana" w:eastAsia="Calibri" w:cs="Arial"/>
          <w:color w:val="000000" w:themeColor="text1"/>
        </w:rPr>
        <w:t xml:space="preserve"> las convocatorias de los procesos de contratación a las MiPymes colombianas con mínimo un (1) año de existencia, siempre que se cumplan los requisitos señalados allí. Al respecto indica lo siguiente: </w:t>
      </w:r>
    </w:p>
    <w:p w:rsidR="002C6D42" w:rsidP="002C6D42" w:rsidRDefault="002C6D42" w14:paraId="6A8076BA" w14:textId="77777777">
      <w:pPr>
        <w:spacing w:after="0" w:line="276" w:lineRule="auto"/>
        <w:ind w:firstLine="708"/>
        <w:jc w:val="both"/>
        <w:rPr>
          <w:rFonts w:ascii="Verdana" w:hAnsi="Verdana" w:eastAsia="Calibri" w:cs="Arial"/>
          <w:color w:val="000000" w:themeColor="text1"/>
        </w:rPr>
      </w:pPr>
    </w:p>
    <w:p w:rsidR="002C6D42" w:rsidP="002C6D42" w:rsidRDefault="002C6D42" w14:paraId="5D57AF63" w14:textId="77777777">
      <w:pPr>
        <w:spacing w:after="0" w:line="276" w:lineRule="auto"/>
        <w:ind w:left="708" w:right="709"/>
        <w:jc w:val="both"/>
        <w:rPr>
          <w:rFonts w:ascii="Verdana" w:hAnsi="Verdana" w:eastAsia="Calibri" w:cs="Arial"/>
          <w:color w:val="000000" w:themeColor="text1"/>
          <w:sz w:val="20"/>
          <w:szCs w:val="20"/>
        </w:rPr>
      </w:pPr>
      <w:r w:rsidRPr="00970F36">
        <w:rPr>
          <w:rFonts w:ascii="Verdana" w:hAnsi="Verdana" w:eastAsia="Calibri" w:cs="Arial"/>
          <w:color w:val="000000" w:themeColor="text1"/>
          <w:sz w:val="20"/>
          <w:szCs w:val="20"/>
        </w:rPr>
        <w:t xml:space="preserve">“Artículo 2.2.1.2.4.2.2. Convocatorias Imitadas a MiPymes.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concurran los siguientes requisitos: </w:t>
      </w:r>
    </w:p>
    <w:p w:rsidRPr="00970F36" w:rsidR="002C6D42" w:rsidP="002C6D42" w:rsidRDefault="002C6D42" w14:paraId="07F03F70" w14:textId="77777777">
      <w:pPr>
        <w:spacing w:after="0" w:line="276" w:lineRule="auto"/>
        <w:ind w:left="708" w:right="709"/>
        <w:jc w:val="both"/>
        <w:rPr>
          <w:rFonts w:ascii="Verdana" w:hAnsi="Verdana" w:eastAsia="Calibri" w:cs="Arial"/>
          <w:color w:val="000000" w:themeColor="text1"/>
          <w:sz w:val="20"/>
          <w:szCs w:val="20"/>
        </w:rPr>
      </w:pPr>
    </w:p>
    <w:p w:rsidR="002C6D42" w:rsidP="002C6D42" w:rsidRDefault="002C6D42" w14:paraId="26BE5054" w14:textId="77777777">
      <w:pPr>
        <w:spacing w:after="0" w:line="276" w:lineRule="auto"/>
        <w:ind w:left="708" w:right="709"/>
        <w:jc w:val="both"/>
        <w:rPr>
          <w:rFonts w:ascii="Verdana" w:hAnsi="Verdana" w:eastAsia="Calibri" w:cs="Arial"/>
          <w:color w:val="000000" w:themeColor="text1"/>
          <w:sz w:val="20"/>
          <w:szCs w:val="20"/>
        </w:rPr>
      </w:pPr>
      <w:r w:rsidRPr="00970F36">
        <w:rPr>
          <w:rFonts w:ascii="Verdana" w:hAnsi="Verdana" w:eastAsia="Calibri" w:cs="Arial"/>
          <w:color w:val="000000" w:themeColor="text1"/>
          <w:sz w:val="20"/>
          <w:szCs w:val="20"/>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rsidRPr="00970F36" w:rsidR="002C6D42" w:rsidP="002C6D42" w:rsidRDefault="002C6D42" w14:paraId="6E1C7989" w14:textId="77777777">
      <w:pPr>
        <w:spacing w:after="0" w:line="276" w:lineRule="auto"/>
        <w:ind w:left="708" w:right="709"/>
        <w:jc w:val="both"/>
        <w:rPr>
          <w:rFonts w:ascii="Verdana" w:hAnsi="Verdana" w:eastAsia="Calibri" w:cs="Arial"/>
          <w:color w:val="000000" w:themeColor="text1"/>
          <w:sz w:val="20"/>
          <w:szCs w:val="20"/>
        </w:rPr>
      </w:pPr>
    </w:p>
    <w:p w:rsidR="002C6D42" w:rsidP="002C6D42" w:rsidRDefault="002C6D42" w14:paraId="556F6080" w14:textId="77777777">
      <w:pPr>
        <w:spacing w:after="0" w:line="276" w:lineRule="auto"/>
        <w:ind w:left="708" w:right="709"/>
        <w:jc w:val="both"/>
        <w:rPr>
          <w:rFonts w:ascii="Verdana" w:hAnsi="Verdana" w:eastAsia="Calibri" w:cs="Arial"/>
          <w:color w:val="000000" w:themeColor="text1"/>
          <w:sz w:val="20"/>
          <w:szCs w:val="20"/>
        </w:rPr>
      </w:pPr>
      <w:r w:rsidRPr="00970F36">
        <w:rPr>
          <w:rFonts w:ascii="Verdana" w:hAnsi="Verdana" w:eastAsia="Calibri" w:cs="Arial"/>
          <w:color w:val="000000" w:themeColor="text1"/>
          <w:sz w:val="20"/>
          <w:szCs w:val="20"/>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rsidR="002C6D42" w:rsidP="002C6D42" w:rsidRDefault="002C6D42" w14:paraId="2CD5DF59" w14:textId="77777777">
      <w:pPr>
        <w:spacing w:after="0" w:line="276" w:lineRule="auto"/>
        <w:ind w:left="708" w:right="709"/>
        <w:jc w:val="both"/>
        <w:rPr>
          <w:rFonts w:ascii="Verdana" w:hAnsi="Verdana" w:eastAsia="Calibri" w:cs="Arial"/>
          <w:color w:val="000000" w:themeColor="text1"/>
          <w:sz w:val="20"/>
          <w:szCs w:val="20"/>
        </w:rPr>
      </w:pPr>
    </w:p>
    <w:p w:rsidR="002C6D42" w:rsidP="002C6D42" w:rsidRDefault="002C6D42" w14:paraId="23E632CC" w14:textId="77777777">
      <w:pPr>
        <w:spacing w:after="0" w:line="276" w:lineRule="auto"/>
        <w:ind w:left="708" w:right="709"/>
        <w:jc w:val="both"/>
        <w:rPr>
          <w:rFonts w:ascii="Verdana" w:hAnsi="Verdana" w:eastAsia="Calibri" w:cs="Arial"/>
          <w:color w:val="000000" w:themeColor="text1"/>
          <w:sz w:val="20"/>
          <w:szCs w:val="20"/>
        </w:rPr>
      </w:pPr>
      <w:r w:rsidRPr="00970F36">
        <w:rPr>
          <w:rFonts w:ascii="Verdana" w:hAnsi="Verdana" w:eastAsia="Calibri" w:cs="Arial"/>
          <w:color w:val="000000" w:themeColor="text1"/>
          <w:sz w:val="20"/>
          <w:szCs w:val="20"/>
        </w:rPr>
        <w:t xml:space="preserve">Tratándose de personas jurídicas, las solicitudes solo las podrán realizar Mipyme, cuyo objeto social les permita ejecutar el contrato relacionado con el proceso contractual. </w:t>
      </w:r>
    </w:p>
    <w:p w:rsidR="002C6D42" w:rsidP="002C6D42" w:rsidRDefault="002C6D42" w14:paraId="5137914D" w14:textId="77777777">
      <w:pPr>
        <w:spacing w:after="0" w:line="276" w:lineRule="auto"/>
        <w:ind w:left="708" w:right="709"/>
        <w:jc w:val="both"/>
        <w:rPr>
          <w:rFonts w:ascii="Verdana" w:hAnsi="Verdana" w:eastAsia="Calibri" w:cs="Arial"/>
          <w:color w:val="000000" w:themeColor="text1"/>
          <w:sz w:val="20"/>
          <w:szCs w:val="20"/>
        </w:rPr>
      </w:pPr>
    </w:p>
    <w:p w:rsidR="002C6D42" w:rsidP="002C6D42" w:rsidRDefault="002C6D42" w14:paraId="5BCE24F7" w14:textId="77777777">
      <w:pPr>
        <w:spacing w:after="0" w:line="276" w:lineRule="auto"/>
        <w:ind w:left="708" w:right="709"/>
        <w:jc w:val="both"/>
        <w:rPr>
          <w:rFonts w:ascii="Verdana" w:hAnsi="Verdana" w:eastAsia="Calibri" w:cs="Arial"/>
          <w:color w:val="000000" w:themeColor="text1"/>
          <w:sz w:val="20"/>
          <w:szCs w:val="20"/>
        </w:rPr>
      </w:pPr>
      <w:r w:rsidRPr="00970F36">
        <w:rPr>
          <w:rFonts w:ascii="Verdana" w:hAnsi="Verdana" w:eastAsia="Calibri" w:cs="Arial"/>
          <w:color w:val="000000" w:themeColor="text1"/>
          <w:sz w:val="20"/>
          <w:szCs w:val="20"/>
        </w:rPr>
        <w:t>Parágrafo. Las cooperativas y demás entidades de economía solidaria, siempre que tengan la calidad de Mipyme, podrán solicitar y participar en las convocatorias limitadas en las mismas condiciones dispuestas en el presente artículo”. Según se evidencia, el numeral primero limita cuantitativamente los procesos contractuales en los que se puede hacer esa convocatoria limitada a Mipyme, en la medida en que el valor del proceso de contratación tendrá que ser “menor a ciento veinticinco mil dólares de los Estados Unidos de América”</w:t>
      </w:r>
    </w:p>
    <w:p w:rsidR="002C6D42" w:rsidP="002C6D42" w:rsidRDefault="002C6D42" w14:paraId="0E6D0A73" w14:textId="77777777">
      <w:pPr>
        <w:spacing w:after="0" w:line="276" w:lineRule="auto"/>
        <w:ind w:left="708" w:right="709"/>
        <w:jc w:val="both"/>
        <w:rPr>
          <w:rFonts w:ascii="Verdana" w:hAnsi="Verdana" w:eastAsia="Calibri" w:cs="Arial"/>
          <w:color w:val="000000" w:themeColor="text1"/>
          <w:sz w:val="20"/>
          <w:szCs w:val="20"/>
        </w:rPr>
      </w:pPr>
    </w:p>
    <w:p w:rsidRPr="00C118AC" w:rsidR="002C6D42" w:rsidP="002C6D42" w:rsidRDefault="002C6D42" w14:paraId="083694C7" w14:textId="77777777">
      <w:pPr>
        <w:spacing w:after="0" w:line="276" w:lineRule="auto"/>
        <w:ind w:left="708" w:right="709"/>
        <w:jc w:val="both"/>
        <w:rPr>
          <w:rFonts w:ascii="Verdana" w:hAnsi="Verdana" w:eastAsia="Calibri" w:cs="Arial"/>
          <w:color w:val="000000" w:themeColor="text1"/>
          <w:sz w:val="20"/>
          <w:szCs w:val="20"/>
        </w:rPr>
      </w:pPr>
      <w:r>
        <w:rPr>
          <w:rFonts w:ascii="Verdana" w:hAnsi="Verdana" w:eastAsia="Calibri" w:cs="Arial"/>
          <w:color w:val="000000" w:themeColor="text1"/>
          <w:sz w:val="20"/>
          <w:szCs w:val="20"/>
        </w:rPr>
        <w:t>[…]”</w:t>
      </w:r>
      <w:r w:rsidRPr="00970F36">
        <w:rPr>
          <w:rFonts w:ascii="Verdana" w:hAnsi="Verdana" w:eastAsia="Calibri" w:cs="Arial"/>
          <w:color w:val="000000" w:themeColor="text1"/>
          <w:sz w:val="20"/>
          <w:szCs w:val="20"/>
        </w:rPr>
        <w:t xml:space="preserve">. </w:t>
      </w:r>
    </w:p>
    <w:p w:rsidR="002C6D42" w:rsidP="002C6D42" w:rsidRDefault="002C6D42" w14:paraId="30F65635" w14:textId="77777777">
      <w:pPr>
        <w:spacing w:after="0" w:line="276" w:lineRule="auto"/>
        <w:ind w:firstLine="709"/>
        <w:jc w:val="both"/>
        <w:rPr>
          <w:rFonts w:ascii="Verdana" w:hAnsi="Verdana" w:eastAsia="Calibri" w:cs="Arial"/>
          <w:color w:val="000000" w:themeColor="text1"/>
        </w:rPr>
      </w:pPr>
    </w:p>
    <w:p w:rsidRPr="0076578A" w:rsidR="002C6D42" w:rsidP="002C6D42" w:rsidRDefault="002C6D42" w14:paraId="755606C4" w14:textId="77777777">
      <w:pPr>
        <w:spacing w:after="120" w:line="276" w:lineRule="auto"/>
        <w:ind w:firstLine="709"/>
        <w:jc w:val="both"/>
        <w:rPr>
          <w:rFonts w:ascii="Verdana" w:hAnsi="Verdana" w:eastAsia="Calibri" w:cs="Arial"/>
          <w:color w:val="000000" w:themeColor="text1"/>
        </w:rPr>
      </w:pPr>
      <w:r w:rsidRPr="007876E8">
        <w:rPr>
          <w:rFonts w:ascii="Verdana" w:hAnsi="Verdana" w:eastAsia="Calibri" w:cs="Arial"/>
          <w:color w:val="000000" w:themeColor="text1"/>
        </w:rPr>
        <w:t xml:space="preserve">Según se evidencia, el numeral primero limita cuantitativamente los procesos contractuales en los que se puede hacer esa convocatoria limitada a MiPymes, en la medida en que el valor del proceso de contratación tendrá que </w:t>
      </w:r>
      <w:r w:rsidRPr="007876E8">
        <w:rPr>
          <w:rFonts w:ascii="Verdana" w:hAnsi="Verdana" w:eastAsia="Calibri" w:cs="Arial"/>
          <w:color w:val="000000" w:themeColor="text1"/>
        </w:rPr>
        <w:t xml:space="preserve">ser “menor a ciento veinticinco mil dólares de los Estados Unidos de América”. Esta limitante, valga la pena aclarar, es establecida de acuerdo con la tasa que, </w:t>
      </w:r>
      <w:r w:rsidRPr="00915BD7">
        <w:rPr>
          <w:rFonts w:ascii="Verdana" w:hAnsi="Verdana" w:eastAsia="Calibri" w:cs="Arial"/>
          <w:color w:val="000000" w:themeColor="text1"/>
        </w:rPr>
        <w:t>para</w:t>
      </w:r>
      <w:r w:rsidRPr="0076578A">
        <w:rPr>
          <w:rFonts w:ascii="Verdana" w:hAnsi="Verdana" w:eastAsia="Calibri" w:cs="Arial"/>
          <w:color w:val="000000" w:themeColor="text1"/>
        </w:rPr>
        <w:t xml:space="preserve"> el efecto, determine cada dos años el Ministerio de Comercio, Industria y Turismo</w:t>
      </w:r>
      <w:r>
        <w:rPr>
          <w:rStyle w:val="Refdenotaalpie"/>
          <w:rFonts w:ascii="Verdana" w:hAnsi="Verdana" w:eastAsia="Calibri" w:cs="Arial"/>
          <w:color w:val="000000" w:themeColor="text1"/>
        </w:rPr>
        <w:footnoteReference w:id="1"/>
      </w:r>
      <w:r w:rsidRPr="0076578A">
        <w:rPr>
          <w:rFonts w:ascii="Verdana" w:hAnsi="Verdana" w:eastAsia="Calibri" w:cs="Arial"/>
          <w:color w:val="000000" w:themeColor="text1"/>
        </w:rPr>
        <w:t xml:space="preserve">. </w:t>
      </w:r>
    </w:p>
    <w:p w:rsidR="002C6D42" w:rsidP="002C6D42" w:rsidRDefault="002C6D42" w14:paraId="004E9367" w14:textId="77777777">
      <w:pPr>
        <w:spacing w:after="120" w:line="276" w:lineRule="auto"/>
        <w:ind w:firstLine="709"/>
        <w:jc w:val="both"/>
        <w:rPr>
          <w:rFonts w:ascii="Verdana" w:hAnsi="Verdana" w:eastAsia="Calibri" w:cs="Arial"/>
          <w:color w:val="000000" w:themeColor="text1"/>
        </w:rPr>
      </w:pPr>
      <w:r w:rsidRPr="0076578A">
        <w:rPr>
          <w:rFonts w:ascii="Verdana" w:hAnsi="Verdana" w:eastAsia="Calibri" w:cs="Arial"/>
          <w:color w:val="000000" w:themeColor="text1"/>
        </w:rPr>
        <w:t xml:space="preserve">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Además, la norma señala que, tratándose de personas jurídicas, las solicitudes solo las podrán realizar MiPymes, cuyo objeto social les permita ejecutar el contrato relacionado con el proceso contractual. </w:t>
      </w:r>
    </w:p>
    <w:p w:rsidRPr="0076578A" w:rsidR="002C6D42" w:rsidP="002C6D42" w:rsidRDefault="002C6D42" w14:paraId="6179962E" w14:textId="77777777">
      <w:pPr>
        <w:spacing w:after="120" w:line="276" w:lineRule="auto"/>
        <w:ind w:firstLine="709"/>
        <w:jc w:val="both"/>
        <w:rPr>
          <w:rFonts w:ascii="Verdana" w:hAnsi="Verdana" w:eastAsia="Calibri" w:cs="Arial"/>
          <w:color w:val="000000" w:themeColor="text1"/>
        </w:rPr>
      </w:pPr>
      <w:r w:rsidRPr="00220E50">
        <w:rPr>
          <w:rFonts w:ascii="Verdana" w:hAnsi="Verdana" w:eastAsia="Calibri" w:cs="Arial"/>
          <w:color w:val="000000" w:themeColor="text1"/>
        </w:rPr>
        <w:t>Por lo demás, este artículo incluye a las cooperativas y demás entidades de economía solidaria dentro de los sujetos que pueden solicitar y participar en las convocatorias limitadas a Mipyme, siempre que estas cumplan con las condiciones señaladas en el artículo.</w:t>
      </w:r>
    </w:p>
    <w:p w:rsidR="002C6D42" w:rsidP="002C6D42" w:rsidRDefault="002C6D42" w14:paraId="108352A9" w14:textId="77777777">
      <w:pPr>
        <w:spacing w:after="120" w:line="276" w:lineRule="auto"/>
        <w:ind w:firstLine="709"/>
        <w:jc w:val="both"/>
        <w:rPr>
          <w:rFonts w:ascii="Verdana" w:hAnsi="Verdana" w:eastAsia="Calibri" w:cs="Arial"/>
          <w:color w:val="000000" w:themeColor="text1"/>
        </w:rPr>
      </w:pPr>
      <w:r w:rsidRPr="0076578A">
        <w:rPr>
          <w:rFonts w:ascii="Verdana" w:hAnsi="Verdana" w:eastAsia="Calibri" w:cs="Arial"/>
          <w:color w:val="000000" w:themeColor="text1"/>
        </w:rPr>
        <w:t>Así las cosas,</w:t>
      </w:r>
      <w:r>
        <w:rPr>
          <w:rFonts w:ascii="Verdana" w:hAnsi="Verdana" w:eastAsia="Calibri" w:cs="Arial"/>
          <w:color w:val="000000" w:themeColor="text1"/>
        </w:rPr>
        <w:t xml:space="preserve"> es claro que</w:t>
      </w:r>
      <w:r w:rsidRPr="0076578A">
        <w:rPr>
          <w:rFonts w:ascii="Verdana" w:hAnsi="Verdana" w:eastAsia="Calibri" w:cs="Arial"/>
          <w:color w:val="000000" w:themeColor="text1"/>
        </w:rPr>
        <w:t xml:space="preserve"> las entidades independientemente de su régimen de contratación, los patrimonios autónomos constituidos por </w:t>
      </w:r>
      <w:r>
        <w:rPr>
          <w:rFonts w:ascii="Verdana" w:hAnsi="Verdana" w:eastAsia="Calibri" w:cs="Arial"/>
          <w:color w:val="000000" w:themeColor="text1"/>
        </w:rPr>
        <w:t>E</w:t>
      </w:r>
      <w:r w:rsidRPr="0076578A">
        <w:rPr>
          <w:rFonts w:ascii="Verdana" w:hAnsi="Verdana" w:eastAsia="Calibri" w:cs="Arial"/>
          <w:color w:val="000000" w:themeColor="text1"/>
        </w:rPr>
        <w:t xml:space="preserve">ntidades </w:t>
      </w:r>
      <w:r>
        <w:rPr>
          <w:rFonts w:ascii="Verdana" w:hAnsi="Verdana" w:eastAsia="Calibri" w:cs="Arial"/>
          <w:color w:val="000000" w:themeColor="text1"/>
        </w:rPr>
        <w:t>E</w:t>
      </w:r>
      <w:r w:rsidRPr="0076578A">
        <w:rPr>
          <w:rFonts w:ascii="Verdana" w:hAnsi="Verdana" w:eastAsia="Calibri" w:cs="Arial"/>
          <w:color w:val="000000" w:themeColor="text1"/>
        </w:rPr>
        <w:t>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w:t>
      </w:r>
      <w:r>
        <w:rPr>
          <w:rFonts w:ascii="Verdana" w:hAnsi="Verdana" w:eastAsia="Calibri" w:cs="Arial"/>
          <w:color w:val="000000" w:themeColor="text1"/>
        </w:rPr>
        <w:t>n</w:t>
      </w:r>
      <w:r w:rsidRPr="0076578A">
        <w:rPr>
          <w:rFonts w:ascii="Verdana" w:hAnsi="Verdana" w:eastAsia="Calibri" w:cs="Arial"/>
          <w:color w:val="000000" w:themeColor="text1"/>
        </w:rPr>
        <w:t>te señalado.</w:t>
      </w:r>
    </w:p>
    <w:p w:rsidR="002C6D42" w:rsidP="002C6D42" w:rsidRDefault="002C6D42" w14:paraId="1906C722" w14:textId="77777777">
      <w:pPr>
        <w:spacing w:after="120" w:line="276" w:lineRule="auto"/>
        <w:ind w:firstLine="709"/>
        <w:jc w:val="both"/>
        <w:rPr>
          <w:rFonts w:ascii="Verdana" w:hAnsi="Verdana" w:eastAsia="Calibri" w:cs="Arial"/>
          <w:color w:val="000000" w:themeColor="text1"/>
        </w:rPr>
      </w:pPr>
      <w:r w:rsidRPr="00E961B3">
        <w:rPr>
          <w:rFonts w:ascii="Verdana" w:hAnsi="Verdana" w:eastAsia="Calibri" w:cs="Arial"/>
          <w:color w:val="000000" w:themeColor="text1"/>
        </w:rPr>
        <w:t>Finalme</w:t>
      </w:r>
      <w:r w:rsidRPr="00F86162">
        <w:rPr>
          <w:rFonts w:ascii="Verdana" w:hAnsi="Verdana" w:eastAsia="Calibri" w:cs="Arial"/>
          <w:color w:val="000000" w:themeColor="text1"/>
        </w:rPr>
        <w:t xml:space="preserve">nte, </w:t>
      </w:r>
      <w:r w:rsidRPr="00E961B3">
        <w:rPr>
          <w:rFonts w:ascii="Verdana" w:hAnsi="Verdana" w:eastAsia="Calibri" w:cs="Arial"/>
          <w:color w:val="000000" w:themeColor="text1"/>
        </w:rPr>
        <w:t xml:space="preserve">es importante precisar que </w:t>
      </w:r>
      <w:r w:rsidRPr="00F86162">
        <w:rPr>
          <w:rFonts w:ascii="Verdana" w:hAnsi="Verdana" w:eastAsia="Calibri" w:cs="Arial"/>
          <w:color w:val="000000" w:themeColor="text1"/>
        </w:rPr>
        <w:t xml:space="preserve">mediante el artículo 2 del Decreto 1860 de 2021 se modificó la Subsección 5 de la Sección 1 del Capítulo 2 del Título 1 de la Parte 2 del Libro 2 del Decreto 1082 de 2015, incorporando el artículo 2.2.1.2.1.5.2, el cual establece el procedimiento para la contratación de mínima cuantía, incluyendo reglas sobre la publicación de la invitación, la posibilidad de solicitar la limitación a MiPymes dentro del término de observaciones, la obligación de publicar un aviso en el SECOP sobre la limitación </w:t>
      </w:r>
      <w:r w:rsidRPr="00F86162">
        <w:rPr>
          <w:rFonts w:ascii="Verdana" w:hAnsi="Verdana" w:eastAsia="Calibri" w:cs="Arial"/>
          <w:color w:val="000000" w:themeColor="text1"/>
        </w:rPr>
        <w:t>del proceso, y la aplicación de las normas de limitación a MiPymes previstas en el Decreto 1082 de 2015.</w:t>
      </w:r>
    </w:p>
    <w:p w:rsidRPr="00F16D2E" w:rsidR="002C6D42" w:rsidP="002C6D42" w:rsidRDefault="002C6D42" w14:paraId="34121D7F" w14:textId="77777777">
      <w:pPr>
        <w:widowControl w:val="0"/>
        <w:tabs>
          <w:tab w:val="left" w:pos="728"/>
        </w:tabs>
        <w:autoSpaceDE w:val="0"/>
        <w:autoSpaceDN w:val="0"/>
        <w:spacing w:after="120" w:line="276" w:lineRule="auto"/>
        <w:jc w:val="both"/>
        <w:rPr>
          <w:rFonts w:ascii="Verdana" w:hAnsi="Verdana" w:eastAsia="Arial" w:cs="Arial"/>
          <w:lang w:val="es-ES"/>
        </w:rPr>
      </w:pPr>
      <w:r>
        <w:rPr>
          <w:rFonts w:ascii="Verdana" w:hAnsi="Verdana" w:eastAsia="Calibri" w:cs="Arial"/>
          <w:color w:val="000000" w:themeColor="text1"/>
        </w:rPr>
        <w:t xml:space="preserve">II). Respecto del segundo problema jurídico, es pertinente mencionar que </w:t>
      </w:r>
      <w:r>
        <w:rPr>
          <w:rFonts w:ascii="Verdana" w:hAnsi="Verdana" w:eastAsia="Arial" w:cs="Arial"/>
          <w:lang w:val="es-ES"/>
        </w:rPr>
        <w:t>e</w:t>
      </w:r>
      <w:r w:rsidRPr="00F16D2E">
        <w:rPr>
          <w:rFonts w:ascii="Verdana" w:hAnsi="Verdana" w:eastAsia="Arial" w:cs="Arial"/>
          <w:lang w:val="es-ES"/>
        </w:rPr>
        <w:t xml:space="preserve">l principio de publicidad impone a las autoridades administrativas el deber de dar a conocer sus actos, contratos y decisiones, para que se divulguen y eventualmente se controlen las actuaciones. El literal c) del artículo 3 de la Ley 1150 de 2007 dispone que el Sistema Electrónico para la Contratación Pública –SECOP– “contará con la información oficial de la contratación realizada con dineros públicos, para lo cual establecerá los patrones a que haya lugar y se encargará de su difusión a través de canales electrónicos”. </w:t>
      </w:r>
    </w:p>
    <w:p w:rsidRPr="00F16D2E" w:rsidR="002C6D42" w:rsidP="002C6D42" w:rsidRDefault="002C6D42" w14:paraId="3602692E" w14:textId="77777777">
      <w:pPr>
        <w:widowControl w:val="0"/>
        <w:tabs>
          <w:tab w:val="left" w:pos="728"/>
        </w:tabs>
        <w:autoSpaceDE w:val="0"/>
        <w:autoSpaceDN w:val="0"/>
        <w:spacing w:after="120" w:line="276" w:lineRule="auto"/>
        <w:jc w:val="both"/>
        <w:rPr>
          <w:rFonts w:ascii="Verdana" w:hAnsi="Verdana" w:eastAsia="Arial" w:cs="Arial"/>
          <w:lang w:val="es-ES"/>
        </w:rPr>
      </w:pPr>
      <w:r w:rsidRPr="00F16D2E">
        <w:rPr>
          <w:rFonts w:ascii="Verdana" w:hAnsi="Verdana" w:eastAsia="Arial" w:cs="Arial"/>
          <w:lang w:val="es-ES"/>
        </w:rPr>
        <w:tab/>
      </w:r>
      <w:r w:rsidRPr="00F16D2E">
        <w:rPr>
          <w:rFonts w:ascii="Verdana" w:hAnsi="Verdana" w:eastAsia="Arial" w:cs="Arial"/>
          <w:lang w:val="es-ES"/>
        </w:rPr>
        <w:t xml:space="preserve">De otra parte, la Ley 1712 de 2014 identifica como principios que orientan el acceso a la información pública el de máxima publicidad y el de transparencia en la información. El primero establece que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rsidRPr="00F16D2E" w:rsidR="002C6D42" w:rsidP="002C6D42" w:rsidRDefault="002C6D42" w14:paraId="1589CD99" w14:textId="77777777">
      <w:pPr>
        <w:widowControl w:val="0"/>
        <w:tabs>
          <w:tab w:val="left" w:pos="728"/>
        </w:tabs>
        <w:autoSpaceDE w:val="0"/>
        <w:autoSpaceDN w:val="0"/>
        <w:spacing w:after="120" w:line="276" w:lineRule="auto"/>
        <w:jc w:val="both"/>
        <w:rPr>
          <w:rFonts w:ascii="Verdana" w:hAnsi="Verdana" w:eastAsia="Arial" w:cs="Arial"/>
          <w:lang w:val="es-ES"/>
        </w:rPr>
      </w:pPr>
      <w:r w:rsidRPr="00F16D2E">
        <w:rPr>
          <w:rFonts w:ascii="Verdana" w:hAnsi="Verdana" w:eastAsia="Arial" w:cs="Arial"/>
          <w:lang w:val="es-ES"/>
        </w:rPr>
        <w:tab/>
      </w:r>
      <w:r w:rsidRPr="00F16D2E">
        <w:rPr>
          <w:rFonts w:ascii="Verdana" w:hAnsi="Verdana" w:eastAsia="Arial" w:cs="Arial"/>
          <w:lang w:val="es-ES"/>
        </w:rPr>
        <w:t xml:space="preserve">La ley citada dispone, en el literal </w:t>
      </w:r>
      <w:r>
        <w:rPr>
          <w:rFonts w:ascii="Verdana" w:hAnsi="Verdana" w:eastAsia="Arial" w:cs="Arial"/>
          <w:lang w:val="es-ES"/>
        </w:rPr>
        <w:t>a</w:t>
      </w:r>
      <w:r w:rsidRPr="00F16D2E">
        <w:rPr>
          <w:rFonts w:ascii="Verdana" w:hAnsi="Verdana" w:eastAsia="Arial" w:cs="Arial"/>
          <w:lang w:val="es-ES"/>
        </w:rPr>
        <w:t xml:space="preserve">) del artículo </w:t>
      </w:r>
      <w:r>
        <w:rPr>
          <w:rFonts w:ascii="Verdana" w:hAnsi="Verdana" w:eastAsia="Arial" w:cs="Arial"/>
          <w:lang w:val="es-ES"/>
        </w:rPr>
        <w:t>5</w:t>
      </w:r>
      <w:r w:rsidRPr="00F16D2E">
        <w:rPr>
          <w:rFonts w:ascii="Verdana" w:hAnsi="Verdana" w:eastAsia="Arial" w:cs="Arial"/>
          <w:lang w:val="es-ES"/>
        </w:rPr>
        <w:t>, que los sujetos obligados, que son todas las entidades públicas, deben publicar la información relativa a su contratación</w:t>
      </w:r>
      <w:r w:rsidRPr="00F16D2E">
        <w:rPr>
          <w:rFonts w:ascii="Verdana" w:hAnsi="Verdana" w:eastAsia="Arial" w:cs="Arial"/>
          <w:vertAlign w:val="superscript"/>
          <w:lang w:val="es-ES"/>
        </w:rPr>
        <w:footnoteReference w:id="2"/>
      </w:r>
      <w:r w:rsidRPr="00F16D2E">
        <w:rPr>
          <w:rFonts w:ascii="Verdana" w:hAnsi="Verdana" w:eastAsia="Arial" w:cs="Arial"/>
          <w:lang w:val="es-ES"/>
        </w:rPr>
        <w:t>. Esta obligación fue en principio desarrollada por el Decreto 103 de 2015, compilado en el Decreto 1081 de 2015, el cual dispuso que la publicación de la información contractual de los sujetos obligados, que contratan con cargo a recursos públicos, debe hacerse en el Sistema Electrónico de Contratación Pública –SECOP–</w:t>
      </w:r>
      <w:r w:rsidRPr="00F16D2E">
        <w:rPr>
          <w:rFonts w:ascii="Verdana" w:hAnsi="Verdana" w:eastAsia="Arial" w:cs="Arial"/>
          <w:vertAlign w:val="superscript"/>
          <w:lang w:val="es-ES"/>
        </w:rPr>
        <w:footnoteReference w:id="3"/>
      </w:r>
      <w:r w:rsidRPr="00F16D2E">
        <w:rPr>
          <w:rFonts w:ascii="Verdana" w:hAnsi="Verdana" w:eastAsia="Arial" w:cs="Arial"/>
          <w:lang w:val="es-ES"/>
        </w:rPr>
        <w:t>.</w:t>
      </w:r>
    </w:p>
    <w:p w:rsidRPr="00F16D2E" w:rsidR="002C6D42" w:rsidP="002C6D42" w:rsidRDefault="002C6D42" w14:paraId="62A12FC9" w14:textId="77777777">
      <w:pPr>
        <w:widowControl w:val="0"/>
        <w:tabs>
          <w:tab w:val="left" w:pos="728"/>
        </w:tabs>
        <w:autoSpaceDE w:val="0"/>
        <w:autoSpaceDN w:val="0"/>
        <w:spacing w:after="120" w:line="276" w:lineRule="auto"/>
        <w:jc w:val="both"/>
        <w:rPr>
          <w:rFonts w:ascii="Verdana" w:hAnsi="Verdana" w:eastAsia="Arial" w:cs="Arial"/>
          <w:lang w:val="es-ES"/>
        </w:rPr>
      </w:pPr>
      <w:r w:rsidRPr="00F16D2E">
        <w:rPr>
          <w:rFonts w:ascii="Verdana" w:hAnsi="Verdana" w:eastAsia="Arial" w:cs="Arial"/>
          <w:lang w:val="es-ES"/>
        </w:rPr>
        <w:tab/>
      </w:r>
      <w:r w:rsidRPr="00F16D2E">
        <w:rPr>
          <w:rFonts w:ascii="Verdana" w:hAnsi="Verdana" w:eastAsia="Arial" w:cs="Arial"/>
          <w:lang w:val="es-ES"/>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rsidRPr="00F16D2E" w:rsidR="002C6D42" w:rsidP="002C6D42" w:rsidRDefault="002C6D42" w14:paraId="5CB31D9D" w14:textId="77777777">
      <w:pPr>
        <w:widowControl w:val="0"/>
        <w:tabs>
          <w:tab w:val="left" w:pos="728"/>
        </w:tabs>
        <w:autoSpaceDE w:val="0"/>
        <w:autoSpaceDN w:val="0"/>
        <w:spacing w:after="120" w:line="276" w:lineRule="auto"/>
        <w:jc w:val="both"/>
        <w:rPr>
          <w:rFonts w:ascii="Verdana" w:hAnsi="Verdana" w:cs="Arial"/>
          <w:lang w:val="es-ES"/>
        </w:rPr>
      </w:pPr>
      <w:r w:rsidRPr="00F16D2E">
        <w:rPr>
          <w:rFonts w:ascii="Verdana" w:hAnsi="Verdana" w:eastAsia="Arial" w:cs="Arial"/>
          <w:lang w:val="es-ES"/>
        </w:rPr>
        <w:tab/>
      </w:r>
      <w:r w:rsidRPr="00F16D2E">
        <w:rPr>
          <w:rFonts w:ascii="Verdana" w:hAnsi="Verdana" w:cs="Arial"/>
          <w:lang w:val="es-ES"/>
        </w:rPr>
        <w:t>El deber de publicidad que se desprende del artículo 3 de la Ley 1150 de 2007 está reglamentado por el artículo 2.2.1.1.1.7.1 del Decreto 1082 de 2015, el cual dispone los documentos que deben publicarse y al SECOP como medio de publicación</w:t>
      </w:r>
      <w:r w:rsidRPr="00F16D2E">
        <w:rPr>
          <w:rFonts w:ascii="Verdana" w:hAnsi="Verdana" w:cs="Arial"/>
          <w:vertAlign w:val="superscript"/>
          <w:lang w:val="es-ES"/>
        </w:rPr>
        <w:footnoteReference w:id="4"/>
      </w:r>
      <w:r w:rsidRPr="00F16D2E">
        <w:rPr>
          <w:rFonts w:ascii="Verdana" w:hAnsi="Verdana" w:cs="Arial"/>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rsidRPr="00F16D2E" w:rsidR="002C6D42" w:rsidP="002C6D42" w:rsidRDefault="002C6D42" w14:paraId="5E8409F1" w14:textId="77777777">
      <w:pPr>
        <w:widowControl w:val="0"/>
        <w:tabs>
          <w:tab w:val="left" w:pos="728"/>
        </w:tabs>
        <w:autoSpaceDE w:val="0"/>
        <w:autoSpaceDN w:val="0"/>
        <w:spacing w:after="120" w:line="276" w:lineRule="auto"/>
        <w:jc w:val="both"/>
        <w:rPr>
          <w:rFonts w:ascii="Verdana" w:hAnsi="Verdana" w:cs="Arial"/>
          <w:lang w:val="es-ES"/>
        </w:rPr>
      </w:pPr>
      <w:r w:rsidRPr="00F16D2E">
        <w:rPr>
          <w:rFonts w:ascii="Verdana" w:hAnsi="Verdana" w:cs="Arial"/>
          <w:lang w:val="es-ES"/>
        </w:rPr>
        <w:tab/>
      </w:r>
      <w:r w:rsidRPr="00F16D2E">
        <w:rPr>
          <w:rFonts w:ascii="Verdana" w:hAnsi="Verdana" w:cs="Arial"/>
          <w:lang w:val="es-ES"/>
        </w:rPr>
        <w:t>Ahora bien, 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rsidRPr="00F16D2E" w:rsidR="002C6D42" w:rsidP="002C6D42" w:rsidRDefault="002C6D42" w14:paraId="0A7E50B3" w14:textId="77777777">
      <w:pPr>
        <w:widowControl w:val="0"/>
        <w:autoSpaceDE w:val="0"/>
        <w:autoSpaceDN w:val="0"/>
        <w:spacing w:after="120" w:line="276" w:lineRule="auto"/>
        <w:ind w:firstLine="709"/>
        <w:jc w:val="both"/>
        <w:rPr>
          <w:rFonts w:ascii="Verdana" w:hAnsi="Verdana" w:eastAsia="Arial" w:cs="Arial"/>
          <w:lang w:val="es-ES"/>
        </w:rPr>
      </w:pPr>
      <w:r w:rsidRPr="00F16D2E">
        <w:rPr>
          <w:rFonts w:ascii="Verdana" w:hAnsi="Verdana" w:eastAsia="Arial"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r>
        <w:rPr>
          <w:rFonts w:ascii="Verdana" w:hAnsi="Verdana" w:eastAsia="Arial" w:cs="Arial"/>
          <w:i/>
          <w:iCs/>
          <w:lang w:val="es-ES"/>
        </w:rPr>
        <w:t>ibidem</w:t>
      </w:r>
      <w:r w:rsidRPr="00F16D2E">
        <w:rPr>
          <w:rFonts w:ascii="Verdana" w:hAnsi="Verdana" w:eastAsia="Arial" w:cs="Arial"/>
          <w:lang w:val="es-ES"/>
        </w:rPr>
        <w:t xml:space="preserve"> recoge en la noción de </w:t>
      </w:r>
      <w:r w:rsidRPr="00F16D2E">
        <w:rPr>
          <w:rFonts w:ascii="Verdana" w:hAnsi="Verdana" w:eastAsia="Arial" w:cs="Arial"/>
          <w:i/>
          <w:iCs/>
          <w:lang w:val="es-ES"/>
        </w:rPr>
        <w:t>Documentos del Proceso</w:t>
      </w:r>
      <w:r w:rsidRPr="00F16D2E">
        <w:rPr>
          <w:rFonts w:ascii="Verdana" w:hAnsi="Verdana" w:eastAsia="Arial" w:cs="Arial"/>
          <w:lang w:val="es-ES"/>
        </w:rPr>
        <w:t xml:space="preserve"> “cualquier </w:t>
      </w:r>
      <w:r w:rsidRPr="00F16D2E">
        <w:rPr>
          <w:rFonts w:ascii="Verdana" w:hAnsi="Verdana" w:eastAsia="Arial" w:cs="Arial"/>
          <w:lang w:val="es-ES"/>
        </w:rPr>
        <w:t xml:space="preserve">otro documento expedido por la Entidad Estatal durante el </w:t>
      </w:r>
      <w:r w:rsidRPr="00F16D2E">
        <w:rPr>
          <w:rFonts w:ascii="Verdana" w:hAnsi="Verdana" w:eastAsia="Arial" w:cs="Arial"/>
          <w:i/>
          <w:iCs/>
          <w:lang w:val="es-ES"/>
        </w:rPr>
        <w:t>Proceso de Contratación”</w:t>
      </w:r>
      <w:r w:rsidRPr="00F16D2E">
        <w:rPr>
          <w:rFonts w:ascii="Verdana" w:hAnsi="Verdana" w:eastAsia="Arial" w:cs="Arial"/>
          <w:lang w:val="es-ES"/>
        </w:rPr>
        <w:t xml:space="preserve">. Este mismo artículo define la expresión </w:t>
      </w:r>
      <w:r w:rsidRPr="00F16D2E">
        <w:rPr>
          <w:rFonts w:ascii="Verdana" w:hAnsi="Verdana" w:eastAsia="Arial" w:cs="Arial"/>
          <w:i/>
          <w:iCs/>
          <w:lang w:val="es-ES"/>
        </w:rPr>
        <w:t>Proceso de Contratación</w:t>
      </w:r>
      <w:r w:rsidRPr="00F16D2E">
        <w:rPr>
          <w:rFonts w:ascii="Verdana" w:hAnsi="Verdana" w:eastAsia="Arial" w:cs="Arial"/>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rsidRPr="00F16D2E" w:rsidR="002C6D42" w:rsidP="002C6D42" w:rsidRDefault="002C6D42" w14:paraId="2AEA96F4" w14:textId="77777777">
      <w:pPr>
        <w:widowControl w:val="0"/>
        <w:autoSpaceDE w:val="0"/>
        <w:autoSpaceDN w:val="0"/>
        <w:spacing w:after="120" w:line="276" w:lineRule="auto"/>
        <w:ind w:firstLine="708"/>
        <w:jc w:val="both"/>
        <w:rPr>
          <w:rFonts w:ascii="Verdana" w:hAnsi="Verdana" w:eastAsia="Arial" w:cs="Arial"/>
          <w:lang w:val="es-ES"/>
        </w:rPr>
      </w:pPr>
      <w:r w:rsidRPr="00F16D2E">
        <w:rPr>
          <w:rFonts w:ascii="Verdana" w:hAnsi="Verdana" w:eastAsia="Arial" w:cs="Arial"/>
          <w:lang w:val="es-ES"/>
        </w:rPr>
        <w:t xml:space="preserve">En todo caso, de conformidad con la segunda parte del inciso primero del artículo 2.2.1.1.1.7.1 </w:t>
      </w:r>
      <w:r>
        <w:rPr>
          <w:rFonts w:ascii="Verdana" w:hAnsi="Verdana" w:eastAsia="Arial" w:cs="Arial"/>
          <w:i/>
          <w:iCs/>
          <w:lang w:val="es-ES"/>
        </w:rPr>
        <w:t>i</w:t>
      </w:r>
      <w:r w:rsidRPr="00F16D2E">
        <w:rPr>
          <w:rFonts w:ascii="Verdana" w:hAnsi="Verdana" w:eastAsia="Arial" w:cs="Arial"/>
          <w:i/>
          <w:iCs/>
          <w:lang w:val="es-ES"/>
        </w:rPr>
        <w:t>bidem</w:t>
      </w:r>
      <w:r w:rsidRPr="00F16D2E">
        <w:rPr>
          <w:rFonts w:ascii="Verdana" w:hAnsi="Verdana" w:eastAsia="Arial"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F16D2E">
        <w:rPr>
          <w:rFonts w:ascii="Verdana" w:hAnsi="Verdana" w:eastAsia="Arial" w:cs="Arial"/>
          <w:i/>
          <w:iCs/>
          <w:lang w:val="es-ES"/>
        </w:rPr>
        <w:t xml:space="preserve"> </w:t>
      </w:r>
      <w:r w:rsidRPr="00F16D2E">
        <w:rPr>
          <w:rFonts w:ascii="Verdana" w:hAnsi="Verdana" w:eastAsia="Arial" w:cs="Arial"/>
          <w:lang w:val="es-ES"/>
        </w:rPr>
        <w:t>Del deber de publicidad, de conformidad con la tercera parte del inciso primero de la referida norma, también se encuentran exentos los documentos de las operaciones que se realicen en bolsa de productos.</w:t>
      </w:r>
    </w:p>
    <w:p w:rsidRPr="00F16D2E" w:rsidR="002C6D42" w:rsidP="002C6D42" w:rsidRDefault="002C6D42" w14:paraId="04ADE3C3" w14:textId="77777777">
      <w:pPr>
        <w:widowControl w:val="0"/>
        <w:autoSpaceDE w:val="0"/>
        <w:autoSpaceDN w:val="0"/>
        <w:spacing w:after="120" w:line="276" w:lineRule="auto"/>
        <w:ind w:firstLine="709"/>
        <w:jc w:val="both"/>
        <w:rPr>
          <w:rFonts w:ascii="Verdana" w:hAnsi="Verdana" w:eastAsia="Arial" w:cs="Arial"/>
          <w:lang w:val="es-ES"/>
        </w:rPr>
      </w:pPr>
      <w:r w:rsidRPr="00F16D2E">
        <w:rPr>
          <w:rFonts w:ascii="Verdana" w:hAnsi="Verdana" w:eastAsia="Arial" w:cs="Arial"/>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w:t>
      </w:r>
      <w:r w:rsidRPr="00F16D2E">
        <w:rPr>
          <w:rFonts w:ascii="Verdana" w:hAnsi="Verdana" w:eastAsia="Arial" w:cs="Arial"/>
          <w:i/>
          <w:iCs/>
          <w:lang w:val="es-ES"/>
        </w:rPr>
        <w:t>Proceso de Contratación</w:t>
      </w:r>
      <w:r w:rsidRPr="00F16D2E">
        <w:rPr>
          <w:rFonts w:ascii="Verdana" w:hAnsi="Verdana" w:eastAsia="Arial" w:cs="Arial"/>
          <w:lang w:val="es-ES"/>
        </w:rPr>
        <w:t xml:space="preserve"> expedidos durante las etapas precontractual, de ejecución y postcontractual. Este deber aplica a todas las modalidades de selección y entidades regidas por el Estatuto General de Contratación de la Administración Pública, y solo se encuentran excluidas las ofertas perdedoras y los documentos expedidos en el marco de operaciones de bolsa de productos. </w:t>
      </w:r>
    </w:p>
    <w:p w:rsidRPr="00F16D2E" w:rsidR="002C6D42" w:rsidP="002C6D42" w:rsidRDefault="002C6D42" w14:paraId="1E077081" w14:textId="77777777">
      <w:pPr>
        <w:spacing w:before="120" w:after="120" w:line="276" w:lineRule="auto"/>
        <w:ind w:firstLine="709"/>
        <w:jc w:val="both"/>
        <w:rPr>
          <w:rFonts w:ascii="Verdana" w:hAnsi="Verdana" w:eastAsia="Arial" w:cs="Arial"/>
          <w:lang w:val="es-ES"/>
        </w:rPr>
      </w:pPr>
      <w:r w:rsidRPr="00F16D2E">
        <w:rPr>
          <w:rFonts w:ascii="Verdana" w:hAnsi="Verdana" w:eastAsia="Calibri" w:cs="Arial"/>
          <w:lang w:val="es-ES"/>
        </w:rPr>
        <w:t xml:space="preserve">Adicionalmente, el deber de publicar la actividad contractual de las entidades estatales no solo está regulado en el artículo 3 de la Ley 1150 de 2007 y en el </w:t>
      </w:r>
      <w:r w:rsidRPr="00F16D2E">
        <w:rPr>
          <w:rFonts w:ascii="Verdana" w:hAnsi="Verdana" w:eastAsia="Arial"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hAnsi="Verdana" w:eastAsia="Arial" w:cs="Arial"/>
          <w:i/>
          <w:iCs/>
          <w:lang w:val="es-ES"/>
        </w:rPr>
        <w:t xml:space="preserve">Documentos del Proceso </w:t>
      </w:r>
      <w:r w:rsidRPr="00F16D2E">
        <w:rPr>
          <w:rFonts w:ascii="Verdana" w:hAnsi="Verdana" w:eastAsia="Arial" w:cs="Arial"/>
          <w:lang w:val="es-ES"/>
        </w:rPr>
        <w:t xml:space="preserve">expedidos por la “entidad estatal”. </w:t>
      </w:r>
    </w:p>
    <w:p w:rsidRPr="00F16D2E" w:rsidR="002C6D42" w:rsidP="002C6D42" w:rsidRDefault="002C6D42" w14:paraId="1E73D557" w14:textId="77777777">
      <w:pPr>
        <w:spacing w:before="120" w:after="120" w:line="276" w:lineRule="auto"/>
        <w:ind w:firstLine="709"/>
        <w:jc w:val="both"/>
        <w:rPr>
          <w:rFonts w:ascii="Verdana" w:hAnsi="Verdana" w:eastAsia="Arial" w:cs="Arial"/>
          <w:lang w:val="es-ES"/>
        </w:rPr>
      </w:pPr>
      <w:r w:rsidRPr="00F16D2E">
        <w:rPr>
          <w:rFonts w:ascii="Verdana" w:hAnsi="Verdana" w:eastAsia="Arial" w:cs="Arial"/>
          <w:lang w:val="es-ES"/>
        </w:rPr>
        <w:t xml:space="preserve">Es necesario tener en cuenta que la Ley de Transparencia define el concepto de información pública. Por un lado, el literal a) del artículo 6 de la Ley 1712 de 2014 dispone que la </w:t>
      </w:r>
      <w:r w:rsidRPr="00F16D2E">
        <w:rPr>
          <w:rFonts w:ascii="Verdana" w:hAnsi="Verdana" w:eastAsia="Arial" w:cs="Arial"/>
          <w:i/>
          <w:iCs/>
          <w:lang w:val="es-ES"/>
        </w:rPr>
        <w:t>información</w:t>
      </w:r>
      <w:r w:rsidRPr="00F16D2E">
        <w:rPr>
          <w:rFonts w:ascii="Verdana" w:hAnsi="Verdana" w:eastAsia="Arial" w:cs="Arial"/>
          <w:lang w:val="es-ES"/>
        </w:rPr>
        <w:t xml:space="preserve"> se “Se refiere a un conjunto organizado </w:t>
      </w:r>
      <w:r w:rsidRPr="00F16D2E">
        <w:rPr>
          <w:rFonts w:ascii="Verdana" w:hAnsi="Verdana" w:eastAsia="Arial" w:cs="Arial"/>
          <w:lang w:val="es-ES"/>
        </w:rPr>
        <w:t xml:space="preserve">de datos contenido en cualquier documento que los sujetos obligados generen, obtengan, adquieran, transformen o controlen”. Además, el literal b) </w:t>
      </w:r>
      <w:r w:rsidRPr="00F16D2E">
        <w:rPr>
          <w:rFonts w:ascii="Verdana" w:hAnsi="Verdana" w:eastAsia="Arial" w:cs="Arial"/>
          <w:i/>
          <w:iCs/>
          <w:lang w:val="es-ES"/>
        </w:rPr>
        <w:t>ibidem</w:t>
      </w:r>
      <w:r w:rsidRPr="00F16D2E">
        <w:rPr>
          <w:rFonts w:ascii="Verdana" w:hAnsi="Verdana" w:eastAsia="Arial" w:cs="Arial"/>
          <w:lang w:val="es-ES"/>
        </w:rPr>
        <w:t xml:space="preserve"> define la </w:t>
      </w:r>
      <w:r w:rsidRPr="00F16D2E">
        <w:rPr>
          <w:rFonts w:ascii="Verdana" w:hAnsi="Verdana" w:eastAsia="Arial" w:cs="Arial"/>
          <w:i/>
          <w:iCs/>
          <w:lang w:val="es-ES"/>
        </w:rPr>
        <w:t>información pública</w:t>
      </w:r>
      <w:r w:rsidRPr="00F16D2E">
        <w:rPr>
          <w:rFonts w:ascii="Verdana" w:hAnsi="Verdana" w:eastAsia="Arial" w:cs="Arial"/>
          <w:lang w:val="es-ES"/>
        </w:rPr>
        <w:t xml:space="preserve"> como “[…] toda información que un sujeto obligado genere, obtenga, adquiera, o controle en su calidad de tal”.</w:t>
      </w:r>
    </w:p>
    <w:p w:rsidRPr="006B3190" w:rsidR="002C6D42" w:rsidP="002C6D42" w:rsidRDefault="002C6D42" w14:paraId="5CCC213A" w14:textId="77777777">
      <w:pPr>
        <w:spacing w:before="120" w:after="120" w:line="276" w:lineRule="auto"/>
        <w:ind w:firstLine="709"/>
        <w:jc w:val="both"/>
        <w:rPr>
          <w:rFonts w:ascii="Verdana" w:hAnsi="Verdana" w:eastAsia="Calibri" w:cs="Arial"/>
        </w:rPr>
      </w:pPr>
      <w:r w:rsidRPr="006B3190">
        <w:rPr>
          <w:rFonts w:ascii="Verdana" w:hAnsi="Verdana" w:eastAsia="Calibri" w:cs="Arial"/>
        </w:rPr>
        <w:t>Las publicaciones que corresponde efectuar a las entidades estatales, en su calidad de sujetos obligados por la normativa de transparencia y acceso a la información pública, no implican una derogación ni una sustitución del deber de publicidad previsto en el Estatuto General de Contratación de la Administración Pública (EGCAP). Por el contrario, suponen una ampliación de su alcance, en tanto extienden la obligación de publicidad más allá de la simple divulgación de la información “producida por la entidad estatal” asociada a la noción de Documentos del Proceso. En efecto, la publicación exigida por la Ley 1712 de 2014 comprende todas las actuaciones que integran el procedimiento contractual, desde la etapa de planeación hasta el vencimiento de las garantías.</w:t>
      </w:r>
    </w:p>
    <w:p w:rsidRPr="006B3190" w:rsidR="002C6D42" w:rsidP="002C6D42" w:rsidRDefault="002C6D42" w14:paraId="1E2397DF" w14:textId="77777777">
      <w:pPr>
        <w:spacing w:before="120" w:after="120" w:line="276" w:lineRule="auto"/>
        <w:ind w:firstLine="709"/>
        <w:jc w:val="both"/>
        <w:rPr>
          <w:rFonts w:ascii="Verdana" w:hAnsi="Verdana" w:eastAsia="Calibri" w:cs="Arial"/>
        </w:rPr>
      </w:pPr>
      <w:r w:rsidRPr="006B3190">
        <w:rPr>
          <w:rFonts w:ascii="Verdana" w:hAnsi="Verdana" w:eastAsia="Calibri" w:cs="Arial"/>
        </w:rPr>
        <w:t>En relación con el aviso de convocatoria en los procesos de contratación estatal limitados a MiPymes, su interpretación debe efectuarse de manera armónica entre el EGCAP y la Ley 1712 de 2014. Así, el deber de publicidad no se agota en la publicación formal del aviso como actuación aislada, ni se limita exclusivamente a la divulgación de los documentos estrictamente vinculados al proceso contractual. Por el contrario, el régimen de transparencia amplía el alcance de dicha obligación, de modo que el aviso de convocatoria constituye un mecanismo inicial de acceso a la información pública relativa al procedimiento de selección y, una vez publicado, pasa a integrar los documentos del proceso contractual.</w:t>
      </w:r>
    </w:p>
    <w:p w:rsidRPr="006B3190" w:rsidR="002C6D42" w:rsidP="002C6D42" w:rsidRDefault="002C6D42" w14:paraId="56860BC5" w14:textId="77777777">
      <w:pPr>
        <w:spacing w:before="120" w:after="120" w:line="276" w:lineRule="auto"/>
        <w:ind w:firstLine="709"/>
        <w:jc w:val="both"/>
        <w:rPr>
          <w:rFonts w:ascii="Verdana" w:hAnsi="Verdana" w:eastAsia="Calibri" w:cs="Arial"/>
        </w:rPr>
      </w:pPr>
      <w:r w:rsidRPr="006B3190">
        <w:rPr>
          <w:rFonts w:ascii="Verdana" w:hAnsi="Verdana" w:eastAsia="Calibri" w:cs="Arial"/>
        </w:rPr>
        <w:t xml:space="preserve">En consecuencia, el principio de publicidad exige que el aviso de convocatoria sea divulgado de manera suficiente, oportuna y accesible, garantizando el conocimiento efectivo tanto de la existencia del proceso como de su condición de limitación a MiPymes. Asimismo, dicho aviso, en su calidad de documento integrante del proceso, debe incorporarse a un esquema de publicidad continua que comprenda </w:t>
      </w:r>
      <w:r>
        <w:rPr>
          <w:rFonts w:ascii="Verdana" w:hAnsi="Verdana" w:eastAsia="Calibri" w:cs="Arial"/>
        </w:rPr>
        <w:t xml:space="preserve">todas </w:t>
      </w:r>
      <w:r w:rsidRPr="006B3190">
        <w:rPr>
          <w:rFonts w:ascii="Verdana" w:hAnsi="Verdana" w:eastAsia="Calibri" w:cs="Arial"/>
        </w:rPr>
        <w:t>las actuaciones</w:t>
      </w:r>
      <w:r>
        <w:rPr>
          <w:rFonts w:ascii="Verdana" w:hAnsi="Verdana" w:eastAsia="Calibri" w:cs="Arial"/>
        </w:rPr>
        <w:t xml:space="preserve"> </w:t>
      </w:r>
      <w:r w:rsidRPr="006B3190">
        <w:rPr>
          <w:rFonts w:ascii="Verdana" w:hAnsi="Verdana" w:eastAsia="Calibri" w:cs="Arial"/>
        </w:rPr>
        <w:t>del procedimiento contractual, desde la planeación hasta la ejecución y liquidación del contrato, así como el vencimiento de las garantías correspondientes.</w:t>
      </w:r>
    </w:p>
    <w:p w:rsidRPr="00D56B2A" w:rsidR="002C6D42" w:rsidP="002C6D42" w:rsidRDefault="002C6D42" w14:paraId="6F7E6286" w14:textId="77777777">
      <w:pPr>
        <w:snapToGrid w:val="0"/>
        <w:spacing w:after="0" w:line="276" w:lineRule="auto"/>
        <w:ind w:right="275" w:rightChars="125"/>
        <w:jc w:val="both"/>
        <w:rPr>
          <w:rFonts w:ascii="Verdana" w:hAnsi="Verdana" w:eastAsia="Calibri" w:cs="Arial"/>
          <w:color w:val="3399FF"/>
          <w:lang w:val="es-ES" w:eastAsia="es-ES"/>
        </w:rPr>
      </w:pPr>
    </w:p>
    <w:p w:rsidRPr="004D7523" w:rsidR="002C6D42" w:rsidP="002C6D42" w:rsidRDefault="002C6D42" w14:paraId="5E96A657" w14:textId="77777777">
      <w:pPr>
        <w:numPr>
          <w:ilvl w:val="0"/>
          <w:numId w:val="18"/>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4D7523">
        <w:rPr>
          <w:rFonts w:ascii="Verdana" w:hAnsi="Verdana" w:eastAsia="Century Gothic" w:cs="Century Gothic"/>
          <w:b/>
          <w:bCs/>
          <w:lang w:val="es-ES_tradnl"/>
        </w:rPr>
        <w:t>Referencias normativas, jurisprudenciales y otras fuentes:</w:t>
      </w:r>
    </w:p>
    <w:p w:rsidRPr="004D7523" w:rsidR="002C6D42" w:rsidP="002C6D42" w:rsidRDefault="002C6D42" w14:paraId="54783497" w14:textId="77777777">
      <w:pPr>
        <w:tabs>
          <w:tab w:val="left" w:pos="970"/>
        </w:tabs>
        <w:spacing w:after="0" w:line="276" w:lineRule="auto"/>
        <w:ind w:left="-15840"/>
        <w:jc w:val="both"/>
        <w:rPr>
          <w:rFonts w:ascii="Verdana" w:hAnsi="Verdana" w:eastAsia="Calibri" w:cs="Arial"/>
          <w:b/>
          <w:bCs/>
        </w:rPr>
      </w:pPr>
      <w:r w:rsidRPr="004D7523">
        <w:rPr>
          <w:rFonts w:ascii="Verdana" w:hAnsi="Verdana" w:eastAsia="Calibri" w:cs="Arial"/>
          <w:b/>
          <w:bCs/>
        </w:rPr>
        <w:t>4. Referencias normativas, jurisprudenciales y otras fuentes:</w:t>
      </w:r>
      <w:r w:rsidRPr="004D7523">
        <w:rPr>
          <w:rFonts w:ascii="Verdana" w:hAnsi="Verdana" w:eastAsia="Calibri" w:cs="Arial"/>
          <w:b/>
          <w:bCs/>
        </w:rPr>
        <w:tab/>
      </w:r>
    </w:p>
    <w:tbl>
      <w:tblPr>
        <w:tblStyle w:val="Tablaconcuadrcula1"/>
        <w:tblW w:w="8640"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0"/>
      </w:tblGrid>
      <w:tr w:rsidRPr="00D56B2A" w:rsidR="002C6D42" w:rsidTr="00DD5743" w14:paraId="439FB54F" w14:textId="77777777">
        <w:trPr>
          <w:trHeight w:val="242"/>
        </w:trPr>
        <w:tc>
          <w:tcPr>
            <w:tcW w:w="8647" w:type="dxa"/>
            <w:tcBorders>
              <w:top w:val="dotted" w:color="auto" w:sz="4" w:space="0"/>
              <w:left w:val="dotted" w:color="auto" w:sz="4" w:space="0"/>
              <w:bottom w:val="dotted" w:color="auto" w:sz="4" w:space="0"/>
              <w:right w:val="dotted" w:color="auto" w:sz="4" w:space="0"/>
            </w:tcBorders>
          </w:tcPr>
          <w:p w:rsidRPr="00245843" w:rsidR="002C6D42" w:rsidP="002C6D42" w:rsidRDefault="002C6D42" w14:paraId="22866EA8" w14:textId="77777777">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Constitución Política de 1991, artículo 209.</w:t>
            </w:r>
          </w:p>
          <w:p w:rsidRPr="00245843" w:rsidR="002C6D42" w:rsidP="002C6D42" w:rsidRDefault="002C6D42" w14:paraId="1A4FE8CB" w14:textId="77777777">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Ley 1150 de 2007, artículos 3 y 13.</w:t>
            </w:r>
          </w:p>
          <w:p w:rsidRPr="00245843" w:rsidR="002C6D42" w:rsidP="002C6D42" w:rsidRDefault="002C6D42" w14:paraId="06A26B59" w14:textId="77777777">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Ley 1712 de 2014, artículos 2, 5, 6 y literal g) del artículo 11.</w:t>
            </w:r>
          </w:p>
          <w:p w:rsidRPr="00245843" w:rsidR="002C6D42" w:rsidP="002C6D42" w:rsidRDefault="002C6D42" w14:paraId="1FFCE045" w14:textId="77777777">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Ley 2195 de 2022, artículo 53.</w:t>
            </w:r>
          </w:p>
          <w:p w:rsidRPr="00245843" w:rsidR="002C6D42" w:rsidP="002C6D42" w:rsidRDefault="002C6D42" w14:paraId="43346D9D" w14:textId="77777777">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Ley 2069 de 2020, artículos 31 y 34.</w:t>
            </w:r>
          </w:p>
          <w:p w:rsidRPr="00245843" w:rsidR="002C6D42" w:rsidP="002C6D42" w:rsidRDefault="002C6D42" w14:paraId="4D5E02DD" w14:textId="77777777">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Decreto 1082 de 2015, artículos 2.2.1.1.1.3.1, 2.2.1.1.1.7.1, 2.2.1.2.4.2.2, 2.2.1.2.4.2.3, 2.2.1.2.4.2.4, 2.2.1.2.4.2.18 y 2.2.1.2.1.5.2.</w:t>
            </w:r>
          </w:p>
          <w:p w:rsidRPr="00B359B4" w:rsidR="002C6D42" w:rsidP="002C6D42" w:rsidRDefault="002C6D42" w14:paraId="2AA0C888" w14:textId="77777777">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Decreto 1860 de 2021, artículos 2 y 3.</w:t>
            </w:r>
          </w:p>
          <w:p w:rsidRPr="006B6F7E" w:rsidR="002C6D42" w:rsidP="002C6D42" w:rsidRDefault="002C6D42" w14:paraId="7539C0A0" w14:textId="77777777">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6B6F7E">
              <w:rPr>
                <w:rFonts w:ascii="Verdana" w:hAnsi="Verdana" w:cs="Arial"/>
              </w:rPr>
              <w:t>Decreto 1081 de 2015, artículo 2.1.1.2.1.7.</w:t>
            </w:r>
          </w:p>
        </w:tc>
      </w:tr>
    </w:tbl>
    <w:p w:rsidRPr="00155CC1" w:rsidR="002C6D42" w:rsidP="002C6D42" w:rsidRDefault="002C6D42" w14:paraId="60FB62DA" w14:textId="77777777">
      <w:pPr>
        <w:tabs>
          <w:tab w:val="left" w:pos="142"/>
          <w:tab w:val="left" w:pos="284"/>
        </w:tabs>
        <w:spacing w:after="0" w:line="276" w:lineRule="auto"/>
        <w:jc w:val="both"/>
        <w:rPr>
          <w:rFonts w:ascii="Verdana" w:hAnsi="Verdana" w:eastAsia="Calibri" w:cs="Arial"/>
          <w:color w:val="6699FF"/>
        </w:rPr>
      </w:pPr>
    </w:p>
    <w:p w:rsidRPr="0026211F" w:rsidR="002C6D42" w:rsidP="002C6D42" w:rsidRDefault="002C6D42" w14:paraId="270C2628" w14:textId="77777777">
      <w:pPr>
        <w:tabs>
          <w:tab w:val="left" w:pos="142"/>
          <w:tab w:val="left" w:pos="284"/>
        </w:tabs>
        <w:spacing w:after="0" w:line="276" w:lineRule="auto"/>
        <w:jc w:val="both"/>
        <w:rPr>
          <w:rFonts w:ascii="Verdana" w:hAnsi="Verdana" w:eastAsia="Century Gothic" w:cs="Century Gothic"/>
          <w:b/>
          <w:bCs/>
          <w:lang w:val="es-ES"/>
        </w:rPr>
      </w:pPr>
      <w:r w:rsidRPr="0026211F">
        <w:rPr>
          <w:rFonts w:ascii="Verdana" w:hAnsi="Verdana" w:eastAsia="Calibri" w:cs="Arial"/>
          <w:b/>
          <w:bCs/>
        </w:rPr>
        <w:t>5</w:t>
      </w:r>
      <w:r w:rsidRPr="0026211F">
        <w:rPr>
          <w:rFonts w:ascii="Verdana" w:hAnsi="Verdana" w:eastAsia="Calibri" w:cs="Arial"/>
        </w:rPr>
        <w:t>.</w:t>
      </w:r>
      <w:r w:rsidRPr="0026211F">
        <w:rPr>
          <w:rFonts w:ascii="Verdana" w:hAnsi="Verdana" w:eastAsia="Century Gothic" w:cs="Century Gothic"/>
          <w:b/>
          <w:bCs/>
          <w:lang w:val="es-ES"/>
        </w:rPr>
        <w:t>Doctrina de la Agencia Nacional de Contratación Pública:</w:t>
      </w:r>
    </w:p>
    <w:p w:rsidRPr="00DA2A79" w:rsidR="002C6D42" w:rsidP="002C6D42" w:rsidRDefault="002C6D42" w14:paraId="182081A8" w14:textId="77777777">
      <w:pPr>
        <w:widowControl w:val="0"/>
        <w:autoSpaceDE w:val="0"/>
        <w:autoSpaceDN w:val="0"/>
        <w:spacing w:after="0" w:line="276" w:lineRule="auto"/>
        <w:jc w:val="both"/>
        <w:rPr>
          <w:rFonts w:ascii="Verdana" w:hAnsi="Verdana" w:eastAsia="Calibri" w:cs="Arial"/>
          <w:lang w:eastAsia="es-MX"/>
        </w:rPr>
      </w:pPr>
    </w:p>
    <w:p w:rsidR="002C6D42" w:rsidP="002C6D42" w:rsidRDefault="002C6D42" w14:paraId="321ADB8E" w14:textId="77777777">
      <w:pPr>
        <w:spacing w:after="0" w:line="276" w:lineRule="auto"/>
        <w:jc w:val="both"/>
        <w:rPr>
          <w:rFonts w:ascii="Verdana" w:hAnsi="Verdana" w:eastAsia="Calibri"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sidRPr="00502997">
        <w:rPr>
          <w:rStyle w:val="normaltextrun"/>
          <w:rFonts w:ascii="Verdana" w:hAnsi="Verdana" w:cs="Arial"/>
          <w:shd w:val="clear" w:color="auto" w:fill="FFFFFF"/>
        </w:rPr>
        <w:t xml:space="preserve">sobre </w:t>
      </w:r>
      <w:r>
        <w:rPr>
          <w:rStyle w:val="normaltextrun"/>
          <w:rFonts w:ascii="Verdana" w:hAnsi="Verdana" w:cs="Arial"/>
          <w:shd w:val="clear" w:color="auto" w:fill="FFFFFF"/>
        </w:rPr>
        <w:t>la publicidad de la información contractual</w:t>
      </w:r>
      <w:r w:rsidRPr="00683260">
        <w:rPr>
          <w:rStyle w:val="normaltextrun"/>
          <w:rFonts w:ascii="Verdana" w:hAnsi="Verdana" w:cs="Arial"/>
          <w:shd w:val="clear" w:color="auto" w:fill="FFFFFF"/>
        </w:rPr>
        <w:t xml:space="preserve"> en los </w:t>
      </w:r>
      <w:r>
        <w:rPr>
          <w:rStyle w:val="normaltextrun"/>
          <w:rFonts w:ascii="Verdana" w:hAnsi="Verdana" w:cs="Arial"/>
          <w:shd w:val="clear" w:color="auto" w:fill="FFFFFF"/>
        </w:rPr>
        <w:t xml:space="preserve">Conceptos </w:t>
      </w:r>
      <w:r w:rsidRPr="001820B2">
        <w:rPr>
          <w:rStyle w:val="normaltextrun"/>
          <w:rFonts w:ascii="Verdana" w:hAnsi="Verdana" w:cs="Arial"/>
          <w:shd w:val="clear" w:color="auto" w:fill="FFFFFF"/>
        </w:rPr>
        <w:t>CU-367 del 23 de julio de 2020,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C-872 del 20 de diciembre de 2024, C-185 del 24 de marzo de 2025, C-292 del 21 de abril de 2025</w:t>
      </w:r>
      <w:r>
        <w:rPr>
          <w:rStyle w:val="normaltextrun"/>
          <w:rFonts w:ascii="Verdana" w:hAnsi="Verdana" w:cs="Arial"/>
          <w:shd w:val="clear" w:color="auto" w:fill="FFFFFF"/>
        </w:rPr>
        <w:t xml:space="preserve"> y</w:t>
      </w:r>
      <w:r w:rsidRPr="001820B2">
        <w:rPr>
          <w:rStyle w:val="normaltextrun"/>
          <w:rFonts w:ascii="Verdana" w:hAnsi="Verdana" w:cs="Arial"/>
          <w:shd w:val="clear" w:color="auto" w:fill="FFFFFF"/>
        </w:rPr>
        <w:t xml:space="preserve"> C-487 del 30 de mayo de 2025</w:t>
      </w:r>
      <w:r>
        <w:rPr>
          <w:rFonts w:ascii="Verdana" w:hAnsi="Verdana" w:eastAsia="Calibri" w:cs="Arial"/>
          <w:shd w:val="clear" w:color="auto" w:fill="FFFFFF"/>
        </w:rPr>
        <w:t>.</w:t>
      </w:r>
    </w:p>
    <w:p w:rsidR="002C6D42" w:rsidP="002C6D42" w:rsidRDefault="002C6D42" w14:paraId="4B65A20A" w14:textId="77777777">
      <w:pPr>
        <w:spacing w:after="0" w:line="276" w:lineRule="auto"/>
        <w:jc w:val="both"/>
        <w:rPr>
          <w:rFonts w:ascii="Verdana" w:hAnsi="Verdana" w:eastAsia="Calibri" w:cs="Arial"/>
          <w:lang w:val="es-ES"/>
        </w:rPr>
      </w:pPr>
    </w:p>
    <w:p w:rsidRPr="003C2A6A" w:rsidR="002C6D42" w:rsidP="002C6D42" w:rsidRDefault="002C6D42" w14:paraId="1506301A" w14:textId="77777777">
      <w:pPr>
        <w:spacing w:after="0" w:line="276" w:lineRule="auto"/>
        <w:jc w:val="both"/>
        <w:rPr>
          <w:rFonts w:ascii="Verdana" w:hAnsi="Verdana" w:eastAsia="Calibri" w:cs="Arial"/>
        </w:rPr>
      </w:pPr>
      <w:r w:rsidRPr="00240C45">
        <w:rPr>
          <w:rFonts w:ascii="Verdana" w:hAnsi="Verdana" w:eastAsia="Calibri" w:cs="Arial"/>
        </w:rPr>
        <w:t xml:space="preserve">Estos y otros conceptos se encuentran disponibles para consulta en el Sistema de relatoría de la Agencia, al cual se puede acceder a través del siguiente enlace: </w:t>
      </w:r>
      <w:hyperlink w:history="1" r:id="rId12">
        <w:r w:rsidRPr="00DE636B">
          <w:rPr>
            <w:rStyle w:val="Hipervnculo"/>
            <w:rFonts w:ascii="Verdana" w:hAnsi="Verdana" w:eastAsia="Calibri" w:cs="Arial"/>
          </w:rPr>
          <w:t>https://relatoria.colombiacompra.gov.co/busqueda/conceptos</w:t>
        </w:r>
      </w:hyperlink>
      <w:r w:rsidRPr="00240C45">
        <w:rPr>
          <w:rFonts w:ascii="Verdana" w:hAnsi="Verdana" w:eastAsia="Calibri" w:cs="Arial"/>
        </w:rPr>
        <w:t>.</w:t>
      </w:r>
    </w:p>
    <w:p w:rsidRPr="00EF54B1" w:rsidR="002C6D42" w:rsidP="002C6D42" w:rsidRDefault="002C6D42" w14:paraId="29702073" w14:textId="77777777">
      <w:pPr>
        <w:spacing w:after="0" w:line="240" w:lineRule="auto"/>
        <w:jc w:val="both"/>
        <w:rPr>
          <w:rFonts w:ascii="Verdana" w:hAnsi="Verdana" w:eastAsia="Calibri" w:cs="Arial"/>
          <w:color w:val="000000" w:themeColor="text1"/>
          <w:shd w:val="clear" w:color="auto" w:fill="FFFFFF"/>
        </w:rPr>
      </w:pPr>
    </w:p>
    <w:p w:rsidRPr="00EF54B1" w:rsidR="002C6D42" w:rsidP="002C6D42" w:rsidRDefault="002C6D42" w14:paraId="4D99AECC" w14:textId="77777777">
      <w:pPr>
        <w:widowControl w:val="0"/>
        <w:autoSpaceDE w:val="0"/>
        <w:autoSpaceDN w:val="0"/>
        <w:spacing w:after="0" w:line="276" w:lineRule="auto"/>
        <w:jc w:val="both"/>
        <w:rPr>
          <w:rFonts w:ascii="Verdana" w:hAnsi="Verdana" w:eastAsia="Calibri" w:cs="Arial"/>
          <w:color w:val="000000" w:themeColor="text1"/>
          <w:kern w:val="2"/>
          <w:shd w:val="clear" w:color="auto" w:fill="FFFFFF"/>
          <w:lang w:val="es-ES_tradnl"/>
          <w14:ligatures w14:val="standardContextual"/>
        </w:rPr>
      </w:pPr>
      <w:r w:rsidRPr="00EF54B1">
        <w:rPr>
          <w:rFonts w:ascii="Verdana" w:hAnsi="Verdana" w:eastAsia="Calibri" w:cs="Arial"/>
          <w:color w:val="000000" w:themeColor="text1"/>
          <w:kern w:val="2"/>
          <w:shd w:val="clear" w:color="auto" w:fill="FFFFFF"/>
          <w:lang w:val="es-ES_tradnl"/>
          <w14:ligatures w14:val="standardContextual"/>
        </w:rPr>
        <w:t>La</w:t>
      </w:r>
      <w:r w:rsidRPr="00EF54B1">
        <w:rPr>
          <w:rFonts w:ascii="Verdana" w:hAnsi="Verdana" w:eastAsia="Calibri"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hAnsi="Verdana" w:eastAsia="Calibri"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hAnsi="Verdana" w:eastAsia="Calibri" w:cs="Arial"/>
          <w:b/>
          <w:bCs/>
          <w:color w:val="000000" w:themeColor="text1"/>
          <w:kern w:val="2"/>
          <w:shd w:val="clear" w:color="auto" w:fill="FFFFFF"/>
          <w:lang w:val="es-ES_tradnl"/>
          <w14:ligatures w14:val="standardContextual"/>
        </w:rPr>
        <w:t>Documentos Tipo</w:t>
      </w:r>
      <w:r w:rsidRPr="00EF54B1">
        <w:rPr>
          <w:rFonts w:ascii="Verdana" w:hAnsi="Verdana" w:eastAsia="Calibri"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hAnsi="Verdana" w:eastAsia="Calibri" w:cs="Arial"/>
          <w:b/>
          <w:bCs/>
          <w:color w:val="000000" w:themeColor="text1"/>
          <w:kern w:val="2"/>
          <w:shd w:val="clear" w:color="auto" w:fill="FFFFFF"/>
          <w:lang w:val="es-ES_tradnl"/>
          <w14:ligatures w14:val="standardContextual"/>
        </w:rPr>
        <w:t>transparencia</w:t>
      </w:r>
      <w:r w:rsidRPr="00EF54B1">
        <w:rPr>
          <w:rFonts w:ascii="Verdana" w:hAnsi="Verdana" w:eastAsia="Calibri" w:cs="Arial"/>
          <w:color w:val="000000" w:themeColor="text1"/>
          <w:kern w:val="2"/>
          <w:shd w:val="clear" w:color="auto" w:fill="FFFFFF"/>
          <w:lang w:val="es-ES_tradnl"/>
          <w14:ligatures w14:val="standardContextual"/>
        </w:rPr>
        <w:t> y promover un proceso de </w:t>
      </w:r>
      <w:r w:rsidRPr="00EF54B1">
        <w:rPr>
          <w:rFonts w:ascii="Verdana" w:hAnsi="Verdana" w:eastAsia="Calibri" w:cs="Arial"/>
          <w:b/>
          <w:bCs/>
          <w:color w:val="000000" w:themeColor="text1"/>
          <w:kern w:val="2"/>
          <w:shd w:val="clear" w:color="auto" w:fill="FFFFFF"/>
          <w:lang w:val="es-ES_tradnl"/>
          <w14:ligatures w14:val="standardContextual"/>
        </w:rPr>
        <w:t>selección objetiva</w:t>
      </w:r>
      <w:r w:rsidRPr="00EF54B1">
        <w:rPr>
          <w:rFonts w:ascii="Verdana" w:hAnsi="Verdana" w:eastAsia="Calibri"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rsidRPr="00EF54B1" w:rsidR="002C6D42" w:rsidP="002C6D42" w:rsidRDefault="002C6D42" w14:paraId="1BD3ABD7" w14:textId="77777777">
      <w:pPr>
        <w:widowControl w:val="0"/>
        <w:autoSpaceDE w:val="0"/>
        <w:autoSpaceDN w:val="0"/>
        <w:spacing w:after="0" w:line="276" w:lineRule="auto"/>
        <w:jc w:val="both"/>
        <w:rPr>
          <w:rFonts w:ascii="Verdana" w:hAnsi="Verdana" w:eastAsia="Calibri" w:cs="Arial"/>
          <w:color w:val="000000" w:themeColor="text1"/>
          <w:kern w:val="2"/>
          <w:shd w:val="clear" w:color="auto" w:fill="FFFFFF"/>
          <w:lang w:val="es-ES_tradnl"/>
          <w14:ligatures w14:val="standardContextual"/>
        </w:rPr>
      </w:pPr>
    </w:p>
    <w:p w:rsidRPr="009552C8" w:rsidR="002C6D42" w:rsidP="002C6D42" w:rsidRDefault="002C6D42" w14:paraId="227427E1" w14:textId="77777777">
      <w:pPr>
        <w:spacing w:after="0" w:line="240" w:lineRule="auto"/>
        <w:jc w:val="both"/>
        <w:rPr>
          <w:rFonts w:ascii="Verdana" w:hAnsi="Verdana" w:eastAsia="Calibri" w:cs="Times New Roman"/>
          <w:kern w:val="2"/>
          <w14:ligatures w14:val="standardContextual"/>
        </w:rPr>
      </w:pPr>
      <w:r w:rsidRPr="009552C8">
        <w:rPr>
          <w:rFonts w:ascii="Verdana" w:hAnsi="Verdana" w:eastAsia="Aptos" w:cs="Times New Roman"/>
          <w:kern w:val="2"/>
          <w14:ligatures w14:val="standardContextual"/>
        </w:rPr>
        <w:t xml:space="preserve">Por último, lo invitamos a seguirnos en las redes sociales en las cuales se difunde información institucional: </w:t>
      </w:r>
    </w:p>
    <w:p w:rsidRPr="009552C8" w:rsidR="002C6D42" w:rsidP="002C6D42" w:rsidRDefault="002C6D42" w14:paraId="5D2AB53C" w14:textId="77777777">
      <w:pPr>
        <w:spacing w:after="0" w:line="240" w:lineRule="auto"/>
        <w:jc w:val="both"/>
        <w:rPr>
          <w:rFonts w:ascii="Verdana" w:hAnsi="Verdana" w:eastAsia="Aptos" w:cs="Times New Roman"/>
          <w:kern w:val="2"/>
          <w14:ligatures w14:val="standardContextual"/>
        </w:rPr>
      </w:pPr>
    </w:p>
    <w:p w:rsidRPr="009552C8" w:rsidR="002C6D42" w:rsidP="002C6D42" w:rsidRDefault="002C6D42" w14:paraId="4A77981C" w14:textId="77777777">
      <w:pPr>
        <w:spacing w:after="0" w:line="240" w:lineRule="auto"/>
        <w:jc w:val="both"/>
        <w:rPr>
          <w:rFonts w:ascii="Verdana" w:hAnsi="Verdana" w:eastAsia="Aptos" w:cs="Times New Roman"/>
          <w:kern w:val="2"/>
          <w14:ligatures w14:val="standardContextual"/>
        </w:rPr>
      </w:pPr>
      <w:r w:rsidRPr="009552C8">
        <w:rPr>
          <w:rFonts w:ascii="Verdana" w:hAnsi="Verdana" w:eastAsia="Aptos" w:cs="Times New Roman"/>
          <w:kern w:val="2"/>
          <w14:ligatures w14:val="standardContextual"/>
        </w:rPr>
        <w:t xml:space="preserve">Twitter: </w:t>
      </w:r>
      <w:r w:rsidRPr="007603CE">
        <w:rPr>
          <w:rFonts w:ascii="Verdana" w:hAnsi="Verdana" w:eastAsia="Calibri" w:cs="Times New Roman"/>
          <w:color w:val="0000FF"/>
          <w:kern w:val="2"/>
          <w:u w:val="single"/>
          <w14:ligatures w14:val="standardContextual"/>
        </w:rPr>
        <w:t>@colombiacompra</w:t>
      </w:r>
      <w:r w:rsidRPr="007603CE">
        <w:rPr>
          <w:rFonts w:ascii="Verdana" w:hAnsi="Verdana" w:eastAsia="Calibri" w:cs="Times New Roman"/>
          <w:color w:val="0000FF"/>
          <w:kern w:val="2"/>
          <w14:ligatures w14:val="standardContextual"/>
        </w:rPr>
        <w:t xml:space="preserve"> </w:t>
      </w:r>
    </w:p>
    <w:p w:rsidRPr="009552C8" w:rsidR="002C6D42" w:rsidP="002C6D42" w:rsidRDefault="002C6D42" w14:paraId="691357CA" w14:textId="77777777">
      <w:pPr>
        <w:spacing w:after="0" w:line="240" w:lineRule="auto"/>
        <w:jc w:val="both"/>
        <w:rPr>
          <w:rFonts w:ascii="Verdana" w:hAnsi="Verdana" w:eastAsia="Aptos" w:cs="Times New Roman"/>
          <w:kern w:val="2"/>
          <w14:ligatures w14:val="standardContextual"/>
        </w:rPr>
      </w:pPr>
      <w:r w:rsidRPr="009552C8">
        <w:rPr>
          <w:rFonts w:ascii="Verdana" w:hAnsi="Verdana" w:eastAsia="Aptos" w:cs="Times New Roman"/>
          <w:kern w:val="2"/>
          <w14:ligatures w14:val="standardContextual"/>
        </w:rPr>
        <w:t xml:space="preserve">Facebook: </w:t>
      </w:r>
      <w:r w:rsidRPr="007603CE">
        <w:rPr>
          <w:rFonts w:ascii="Verdana" w:hAnsi="Verdana" w:eastAsia="Calibri" w:cs="Times New Roman"/>
          <w:color w:val="0000FF"/>
          <w:kern w:val="2"/>
          <w:u w:val="single"/>
          <w14:ligatures w14:val="standardContextual"/>
        </w:rPr>
        <w:t>ColombiaCompraEficiente</w:t>
      </w:r>
    </w:p>
    <w:p w:rsidRPr="009552C8" w:rsidR="002C6D42" w:rsidP="002C6D42" w:rsidRDefault="002C6D42" w14:paraId="261BD69F" w14:textId="77777777">
      <w:pPr>
        <w:spacing w:after="0" w:line="240" w:lineRule="auto"/>
        <w:jc w:val="both"/>
        <w:rPr>
          <w:rFonts w:ascii="Verdana" w:hAnsi="Verdana" w:eastAsia="Aptos" w:cs="Times New Roman"/>
          <w:kern w:val="2"/>
          <w14:ligatures w14:val="standardContextual"/>
        </w:rPr>
      </w:pPr>
      <w:r w:rsidRPr="009552C8">
        <w:rPr>
          <w:rFonts w:ascii="Verdana" w:hAnsi="Verdana" w:eastAsia="Aptos" w:cs="Times New Roman"/>
          <w:kern w:val="2"/>
          <w14:ligatures w14:val="standardContextual"/>
        </w:rPr>
        <w:t xml:space="preserve">LinkedIn: </w:t>
      </w:r>
      <w:r w:rsidRPr="007603CE">
        <w:rPr>
          <w:rFonts w:ascii="Verdana" w:hAnsi="Verdana" w:eastAsia="Calibri" w:cs="Times New Roman"/>
          <w:color w:val="0000FF"/>
          <w:kern w:val="2"/>
          <w:u w:val="single"/>
          <w14:ligatures w14:val="standardContextual"/>
        </w:rPr>
        <w:t>Agencia Nacional de Contratación Pública - Colombia Compra Eficiente</w:t>
      </w:r>
      <w:r w:rsidRPr="007603CE">
        <w:rPr>
          <w:rFonts w:ascii="Verdana" w:hAnsi="Verdana" w:eastAsia="Calibri" w:cs="Times New Roman"/>
          <w:color w:val="0000FF"/>
          <w:kern w:val="2"/>
          <w14:ligatures w14:val="standardContextual"/>
        </w:rPr>
        <w:t xml:space="preserve"> </w:t>
      </w:r>
      <w:r w:rsidRPr="009552C8">
        <w:rPr>
          <w:rFonts w:ascii="Verdana" w:hAnsi="Verdana" w:eastAsia="Aptos" w:cs="Times New Roman"/>
          <w:kern w:val="2"/>
          <w14:ligatures w14:val="standardContextual"/>
        </w:rPr>
        <w:t xml:space="preserve">Instagram: </w:t>
      </w:r>
      <w:r w:rsidRPr="007603CE">
        <w:rPr>
          <w:rFonts w:ascii="Verdana" w:hAnsi="Verdana" w:eastAsia="Calibri" w:cs="Times New Roman"/>
          <w:color w:val="0000FF"/>
          <w:kern w:val="2"/>
          <w:u w:val="single"/>
          <w14:ligatures w14:val="standardContextual"/>
        </w:rPr>
        <w:t>@colombiacompraeficiente_cce</w:t>
      </w:r>
    </w:p>
    <w:p w:rsidRPr="005D21BF" w:rsidR="002C6D42" w:rsidP="002C6D42" w:rsidRDefault="002C6D42" w14:paraId="15055D5E" w14:textId="77777777">
      <w:pPr>
        <w:widowControl w:val="0"/>
        <w:autoSpaceDE w:val="0"/>
        <w:autoSpaceDN w:val="0"/>
        <w:spacing w:after="0" w:line="276" w:lineRule="auto"/>
        <w:jc w:val="both"/>
        <w:rPr>
          <w:rFonts w:ascii="Verdana" w:hAnsi="Verdana" w:eastAsia="Calibri" w:cs="Arial"/>
          <w:color w:val="000000" w:themeColor="text1"/>
          <w:kern w:val="2"/>
          <w14:ligatures w14:val="standardContextual"/>
        </w:rPr>
      </w:pPr>
    </w:p>
    <w:p w:rsidR="002C6D42" w:rsidP="002C6D42" w:rsidRDefault="002C6D42" w14:paraId="09DB9D31" w14:textId="77777777">
      <w:pPr>
        <w:widowControl w:val="0"/>
        <w:autoSpaceDE w:val="0"/>
        <w:autoSpaceDN w:val="0"/>
        <w:spacing w:after="0" w:line="276" w:lineRule="auto"/>
        <w:jc w:val="both"/>
        <w:rPr>
          <w:rFonts w:ascii="Verdana" w:hAnsi="Verdana" w:eastAsia="Calibri" w:cs="Arial"/>
          <w:color w:val="000000" w:themeColor="text1"/>
          <w:kern w:val="2"/>
          <w:lang w:val="es-ES_tradnl"/>
          <w14:ligatures w14:val="standardContextual"/>
        </w:rPr>
      </w:pPr>
      <w:r w:rsidRPr="00EF54B1">
        <w:rPr>
          <w:rFonts w:ascii="Verdana" w:hAnsi="Verdana" w:eastAsia="Calibri" w:cs="Arial"/>
          <w:color w:val="000000" w:themeColor="text1"/>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EF54B1" w:rsidR="002C6D42" w:rsidP="002C6D42" w:rsidRDefault="002C6D42" w14:paraId="492A2390" w14:textId="77777777">
      <w:pPr>
        <w:widowControl w:val="0"/>
        <w:autoSpaceDE w:val="0"/>
        <w:autoSpaceDN w:val="0"/>
        <w:spacing w:after="0" w:line="276" w:lineRule="auto"/>
        <w:jc w:val="both"/>
        <w:rPr>
          <w:rFonts w:ascii="Verdana" w:hAnsi="Verdana" w:eastAsia="Calibri" w:cs="Arial"/>
          <w:color w:val="000000" w:themeColor="text1"/>
        </w:rPr>
      </w:pPr>
    </w:p>
    <w:p w:rsidRPr="00EF54B1" w:rsidR="002C6D42" w:rsidP="002C6D42" w:rsidRDefault="002C6D42" w14:paraId="70A31F14" w14:textId="77777777">
      <w:pPr>
        <w:spacing w:after="0" w:line="240" w:lineRule="auto"/>
        <w:rPr>
          <w:rFonts w:ascii="Verdana" w:hAnsi="Verdana" w:eastAsia="Calibri" w:cs="Arial"/>
          <w:color w:val="000000" w:themeColor="text1"/>
          <w:lang w:eastAsia="es-CO"/>
        </w:rPr>
      </w:pPr>
      <w:r w:rsidRPr="00EF54B1">
        <w:rPr>
          <w:rFonts w:ascii="Verdana" w:hAnsi="Verdana" w:eastAsia="Times New Roman" w:cs="Arial"/>
          <w:color w:val="000000" w:themeColor="text1"/>
          <w:lang w:eastAsia="es-CO"/>
        </w:rPr>
        <w:t>Atentamente,</w:t>
      </w:r>
      <w:r w:rsidRPr="00EF54B1">
        <w:rPr>
          <w:rFonts w:ascii="Verdana" w:hAnsi="Verdana" w:eastAsia="Calibri" w:cs="Arial"/>
          <w:color w:val="000000" w:themeColor="text1"/>
          <w:lang w:eastAsia="es-CO"/>
        </w:rPr>
        <w:t xml:space="preserve"> </w:t>
      </w:r>
    </w:p>
    <w:p w:rsidR="002C6D42" w:rsidP="002C6D42" w:rsidRDefault="002C6D42" w14:paraId="3CEC4551" w14:textId="77777777">
      <w:pPr>
        <w:tabs>
          <w:tab w:val="left" w:pos="1320"/>
        </w:tabs>
        <w:rPr>
          <w:noProof/>
        </w:rPr>
      </w:pPr>
    </w:p>
    <w:p w:rsidRPr="00AC720D" w:rsidR="002C6D42" w:rsidP="00AC720D" w:rsidRDefault="00AC720D" w14:paraId="6665ECCE" w14:textId="17418F31">
      <w:pPr>
        <w:tabs>
          <w:tab w:val="left" w:pos="1320"/>
        </w:tabs>
        <w:jc w:val="center"/>
        <w:rPr>
          <w:noProof/>
        </w:rPr>
      </w:pPr>
      <w:r>
        <w:rPr>
          <w:noProof/>
        </w:rPr>
        <w:drawing>
          <wp:inline distT="0" distB="0" distL="0" distR="0" wp14:anchorId="155ACE68" wp14:editId="2A2FDAA5">
            <wp:extent cx="3493311" cy="1298561"/>
            <wp:effectExtent l="0" t="0" r="0" b="0"/>
            <wp:docPr id="15441361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136185" name="Imagen 1544136185"/>
                    <pic:cNvPicPr/>
                  </pic:nvPicPr>
                  <pic:blipFill>
                    <a:blip r:embed="rId13">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tbl>
      <w:tblPr>
        <w:tblStyle w:val="Tablaconcuadrcula"/>
        <w:tblW w:w="0" w:type="auto"/>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1185"/>
        <w:gridCol w:w="5925"/>
      </w:tblGrid>
      <w:tr w:rsidR="002C6D42" w:rsidTr="00DD5743" w14:paraId="4ABF8E7B" w14:textId="77777777">
        <w:trPr>
          <w:trHeight w:val="315"/>
        </w:trPr>
        <w:tc>
          <w:tcPr>
            <w:tcW w:w="1185" w:type="dxa"/>
            <w:tcBorders>
              <w:top w:val="nil"/>
              <w:left w:val="nil"/>
              <w:bottom w:val="nil"/>
              <w:right w:val="nil"/>
            </w:tcBorders>
            <w:tcMar>
              <w:left w:w="105" w:type="dxa"/>
              <w:right w:w="105" w:type="dxa"/>
            </w:tcMar>
            <w:vAlign w:val="center"/>
          </w:tcPr>
          <w:p w:rsidR="002C6D42" w:rsidP="00DD5743" w:rsidRDefault="002C6D42" w14:paraId="6F3A998A" w14:textId="77777777">
            <w:pPr>
              <w:rPr>
                <w:rFonts w:ascii="Verdana" w:hAnsi="Verdana" w:eastAsia="Verdana" w:cs="Verdana"/>
                <w:sz w:val="16"/>
                <w:szCs w:val="16"/>
              </w:rPr>
            </w:pPr>
            <w:r w:rsidRPr="3F869DD7">
              <w:rPr>
                <w:rFonts w:ascii="Verdana" w:hAnsi="Verdana" w:eastAsia="Verdana" w:cs="Verdana"/>
                <w:sz w:val="16"/>
                <w:szCs w:val="16"/>
              </w:rPr>
              <w:t>Elabo</w:t>
            </w:r>
            <w:r>
              <w:rPr>
                <w:rFonts w:ascii="Verdana" w:hAnsi="Verdana" w:eastAsia="Verdana" w:cs="Verdana"/>
                <w:sz w:val="16"/>
                <w:szCs w:val="16"/>
              </w:rPr>
              <w:t>ró</w:t>
            </w:r>
            <w:r w:rsidRPr="3F869DD7">
              <w:rPr>
                <w:rFonts w:ascii="Verdana" w:hAnsi="Verdana" w:eastAsia="Verdana" w:cs="Verdana"/>
                <w:sz w:val="16"/>
                <w:szCs w:val="16"/>
              </w:rPr>
              <w:t>:</w:t>
            </w:r>
          </w:p>
        </w:tc>
        <w:tc>
          <w:tcPr>
            <w:tcW w:w="5925" w:type="dxa"/>
            <w:tcBorders>
              <w:top w:val="nil"/>
              <w:left w:val="nil"/>
              <w:bottom w:val="dotted" w:color="7F7F7F" w:themeColor="text1" w:themeTint="80" w:sz="4" w:space="0"/>
              <w:right w:val="nil"/>
            </w:tcBorders>
            <w:tcMar>
              <w:left w:w="105" w:type="dxa"/>
              <w:right w:w="105" w:type="dxa"/>
            </w:tcMar>
            <w:vAlign w:val="center"/>
          </w:tcPr>
          <w:p w:rsidR="002C6D42" w:rsidP="00DD5743" w:rsidRDefault="002C6D42" w14:paraId="362122E4" w14:textId="77777777">
            <w:pPr>
              <w:rPr>
                <w:rFonts w:ascii="Verdana" w:hAnsi="Verdana" w:eastAsia="Times New Roman" w:cs="Segoe UI"/>
                <w:color w:val="000000" w:themeColor="text1"/>
                <w:sz w:val="16"/>
                <w:szCs w:val="16"/>
                <w:lang w:eastAsia="es-ES"/>
              </w:rPr>
            </w:pPr>
            <w:r w:rsidRPr="3F869DD7">
              <w:rPr>
                <w:rFonts w:ascii="Verdana" w:hAnsi="Verdana" w:eastAsia="Arial" w:cs="Arial"/>
                <w:color w:val="000000" w:themeColor="text1"/>
                <w:sz w:val="16"/>
                <w:szCs w:val="16"/>
                <w:lang w:val="es-ES"/>
              </w:rPr>
              <w:t>Denis Andrea Cárdenas Hernández</w:t>
            </w:r>
          </w:p>
          <w:p w:rsidR="002C6D42" w:rsidP="00DD5743" w:rsidRDefault="002C6D42" w14:paraId="30446410" w14:textId="77777777">
            <w:pPr>
              <w:rPr>
                <w:rFonts w:ascii="Verdana" w:hAnsi="Verdana" w:eastAsia="Arial" w:cs="Arial"/>
                <w:color w:val="000000" w:themeColor="text1"/>
                <w:sz w:val="16"/>
                <w:szCs w:val="16"/>
                <w:lang w:val="es-ES"/>
              </w:rPr>
            </w:pPr>
            <w:r w:rsidRPr="3F869DD7">
              <w:rPr>
                <w:rFonts w:ascii="Verdana" w:hAnsi="Verdana" w:eastAsia="Arial" w:cs="Arial"/>
                <w:color w:val="000000" w:themeColor="text1"/>
                <w:sz w:val="16"/>
                <w:szCs w:val="16"/>
                <w:lang w:val="es-ES"/>
              </w:rPr>
              <w:t>Analista T2-01 de la Subdirección de Gestión Contractual</w:t>
            </w:r>
          </w:p>
        </w:tc>
      </w:tr>
      <w:tr w:rsidR="002C6D42" w:rsidTr="00DD5743" w14:paraId="6229FE93" w14:textId="77777777">
        <w:trPr>
          <w:trHeight w:val="315"/>
        </w:trPr>
        <w:tc>
          <w:tcPr>
            <w:tcW w:w="1185" w:type="dxa"/>
            <w:tcBorders>
              <w:top w:val="nil"/>
              <w:left w:val="nil"/>
              <w:bottom w:val="nil"/>
              <w:right w:val="nil"/>
            </w:tcBorders>
            <w:tcMar>
              <w:left w:w="105" w:type="dxa"/>
              <w:right w:w="105" w:type="dxa"/>
            </w:tcMar>
            <w:vAlign w:val="center"/>
          </w:tcPr>
          <w:p w:rsidR="002C6D42" w:rsidP="00DD5743" w:rsidRDefault="002C6D42" w14:paraId="31C9E844" w14:textId="77777777">
            <w:pPr>
              <w:rPr>
                <w:rFonts w:ascii="Verdana" w:hAnsi="Verdana" w:eastAsia="Verdana" w:cs="Verdana"/>
                <w:sz w:val="16"/>
                <w:szCs w:val="16"/>
              </w:rPr>
            </w:pPr>
            <w:r w:rsidRPr="3F869DD7">
              <w:rPr>
                <w:rFonts w:ascii="Verdana" w:hAnsi="Verdana" w:eastAsia="Verdana" w:cs="Verdana"/>
                <w:sz w:val="16"/>
                <w:szCs w:val="16"/>
              </w:rPr>
              <w:t>Revisó:</w:t>
            </w:r>
          </w:p>
        </w:tc>
        <w:tc>
          <w:tcPr>
            <w:tcW w:w="5925" w:type="dxa"/>
            <w:tcBorders>
              <w:top w:val="dotted" w:color="7F7F7F" w:themeColor="text1" w:themeTint="80" w:sz="4" w:space="0"/>
              <w:left w:val="nil"/>
              <w:bottom w:val="dotted" w:color="7F7F7F" w:themeColor="text1" w:themeTint="80" w:sz="4" w:space="0"/>
              <w:right w:val="nil"/>
            </w:tcBorders>
            <w:tcMar>
              <w:left w:w="105" w:type="dxa"/>
              <w:right w:w="105" w:type="dxa"/>
            </w:tcMar>
            <w:vAlign w:val="center"/>
          </w:tcPr>
          <w:p w:rsidR="002C6D42" w:rsidP="00DD5743" w:rsidRDefault="002C6D42" w14:paraId="29E03B8A" w14:textId="77777777">
            <w:pPr>
              <w:rPr>
                <w:rFonts w:ascii="Verdana" w:hAnsi="Verdana" w:eastAsia="Verdana" w:cs="Verdana"/>
                <w:sz w:val="16"/>
                <w:szCs w:val="16"/>
              </w:rPr>
            </w:pPr>
            <w:r w:rsidRPr="3F869DD7">
              <w:rPr>
                <w:rFonts w:ascii="Verdana" w:hAnsi="Verdana" w:eastAsia="Verdana" w:cs="Verdana"/>
                <w:sz w:val="16"/>
                <w:szCs w:val="16"/>
              </w:rPr>
              <w:t xml:space="preserve">Juan David Cárdenas Cabeza </w:t>
            </w:r>
          </w:p>
          <w:p w:rsidR="002C6D42" w:rsidP="00DD5743" w:rsidRDefault="002C6D42" w14:paraId="1A58F7E0" w14:textId="77777777">
            <w:pPr>
              <w:rPr>
                <w:rFonts w:ascii="Verdana" w:hAnsi="Verdana" w:eastAsia="Verdana" w:cs="Verdana"/>
                <w:sz w:val="16"/>
                <w:szCs w:val="16"/>
              </w:rPr>
            </w:pPr>
            <w:r w:rsidRPr="3F869DD7">
              <w:rPr>
                <w:rFonts w:ascii="Verdana" w:hAnsi="Verdana" w:eastAsia="Verdana" w:cs="Verdana"/>
                <w:sz w:val="16"/>
                <w:szCs w:val="16"/>
              </w:rPr>
              <w:t>Contratista de la Subdirección de Gestión Contractual</w:t>
            </w:r>
          </w:p>
        </w:tc>
      </w:tr>
      <w:tr w:rsidR="002C6D42" w:rsidTr="00DD5743" w14:paraId="1220A60B" w14:textId="77777777">
        <w:trPr>
          <w:trHeight w:val="300"/>
        </w:trPr>
        <w:tc>
          <w:tcPr>
            <w:tcW w:w="1185" w:type="dxa"/>
            <w:tcBorders>
              <w:top w:val="nil"/>
              <w:left w:val="nil"/>
              <w:bottom w:val="nil"/>
              <w:right w:val="nil"/>
            </w:tcBorders>
            <w:tcMar>
              <w:left w:w="105" w:type="dxa"/>
              <w:right w:w="105" w:type="dxa"/>
            </w:tcMar>
            <w:vAlign w:val="center"/>
          </w:tcPr>
          <w:p w:rsidR="002C6D42" w:rsidP="00DD5743" w:rsidRDefault="002C6D42" w14:paraId="00184212" w14:textId="77777777">
            <w:pPr>
              <w:rPr>
                <w:rFonts w:ascii="Verdana" w:hAnsi="Verdana" w:eastAsia="Verdana" w:cs="Verdana"/>
                <w:sz w:val="16"/>
                <w:szCs w:val="16"/>
              </w:rPr>
            </w:pPr>
            <w:r w:rsidRPr="3F869DD7">
              <w:rPr>
                <w:rFonts w:ascii="Verdana" w:hAnsi="Verdana" w:eastAsia="Verdana" w:cs="Verdana"/>
                <w:sz w:val="16"/>
                <w:szCs w:val="16"/>
              </w:rPr>
              <w:t>Aprobó:</w:t>
            </w:r>
          </w:p>
        </w:tc>
        <w:tc>
          <w:tcPr>
            <w:tcW w:w="5925" w:type="dxa"/>
            <w:tcBorders>
              <w:top w:val="dotted" w:color="7F7F7F" w:themeColor="text1" w:themeTint="80" w:sz="4" w:space="0"/>
              <w:left w:val="nil"/>
              <w:bottom w:val="dotted" w:color="7F7F7F" w:themeColor="text1" w:themeTint="80" w:sz="4" w:space="0"/>
              <w:right w:val="nil"/>
            </w:tcBorders>
            <w:tcMar>
              <w:left w:w="105" w:type="dxa"/>
              <w:right w:w="105" w:type="dxa"/>
            </w:tcMar>
            <w:vAlign w:val="center"/>
          </w:tcPr>
          <w:p w:rsidR="002C6D42" w:rsidP="00DD5743" w:rsidRDefault="002C6D42" w14:paraId="3DAB58E6" w14:textId="77777777">
            <w:pPr>
              <w:rPr>
                <w:rFonts w:ascii="Verdana" w:hAnsi="Verdana" w:eastAsia="Verdana" w:cs="Verdana"/>
                <w:sz w:val="16"/>
                <w:szCs w:val="16"/>
              </w:rPr>
            </w:pPr>
            <w:r w:rsidRPr="3F869DD7">
              <w:rPr>
                <w:rFonts w:ascii="Verdana" w:hAnsi="Verdana" w:eastAsia="Verdana" w:cs="Verdana"/>
                <w:sz w:val="16"/>
                <w:szCs w:val="16"/>
              </w:rPr>
              <w:t>Carolina Quintero Gacharná</w:t>
            </w:r>
          </w:p>
          <w:p w:rsidR="002C6D42" w:rsidP="00DD5743" w:rsidRDefault="002C6D42" w14:paraId="717E3769" w14:textId="77777777">
            <w:pPr>
              <w:rPr>
                <w:rFonts w:ascii="Verdana" w:hAnsi="Verdana" w:eastAsia="Verdana" w:cs="Verdana"/>
                <w:sz w:val="16"/>
                <w:szCs w:val="16"/>
              </w:rPr>
            </w:pPr>
            <w:r w:rsidRPr="3F869DD7">
              <w:rPr>
                <w:rFonts w:ascii="Verdana" w:hAnsi="Verdana" w:eastAsia="Verdana" w:cs="Verdana"/>
                <w:sz w:val="16"/>
                <w:szCs w:val="16"/>
              </w:rPr>
              <w:t>Subdirectora de Gestión Contractual ANCP – CCE</w:t>
            </w:r>
          </w:p>
        </w:tc>
      </w:tr>
    </w:tbl>
    <w:p w:rsidRPr="000E2B93" w:rsidR="002C6D42" w:rsidP="002C6D42" w:rsidRDefault="002C6D42" w14:paraId="098EA0E2" w14:textId="77777777">
      <w:pPr>
        <w:spacing w:after="0" w:line="240" w:lineRule="auto"/>
        <w:jc w:val="both"/>
        <w:textAlignment w:val="baseline"/>
        <w:rPr>
          <w:rFonts w:ascii="Verdana" w:hAnsi="Verdana" w:eastAsia="Verdana" w:cs="Verdana"/>
          <w:lang w:eastAsia="es-CO"/>
        </w:rPr>
      </w:pPr>
    </w:p>
    <w:p w:rsidRPr="000E2B93" w:rsidR="002C6D42" w:rsidP="002C6D42" w:rsidRDefault="002C6D42" w14:paraId="3FBEAA03" w14:textId="040D0619">
      <w:pPr>
        <w:spacing w:after="0" w:line="240" w:lineRule="auto"/>
        <w:textAlignment w:val="baseline"/>
        <w:rPr>
          <w:rFonts w:ascii="Verdana" w:hAnsi="Verdana" w:eastAsia="Verdana" w:cs="Verdana"/>
          <w:lang w:eastAsia="es-CO"/>
        </w:rPr>
      </w:pPr>
      <w:r w:rsidRPr="30821638">
        <w:rPr>
          <w:rFonts w:ascii="Verdana" w:hAnsi="Verdana" w:eastAsia="Verdana" w:cs="Verdana"/>
          <w:lang w:eastAsia="es-CO"/>
        </w:rPr>
        <w:t> </w:t>
      </w:r>
    </w:p>
    <w:p w:rsidRPr="00E02524" w:rsidR="002C6D42" w:rsidP="002C6D42" w:rsidRDefault="002C6D42" w14:paraId="108CF981" w14:textId="77777777">
      <w:pPr>
        <w:spacing w:after="0"/>
        <w:jc w:val="both"/>
        <w:rPr>
          <w:rFonts w:ascii="Verdana" w:hAnsi="Verdana" w:eastAsia="Verdana" w:cs="Verdana"/>
          <w:lang w:val="es-ES"/>
        </w:rPr>
      </w:pPr>
    </w:p>
    <w:bookmarkEnd w:id="0"/>
    <w:p w:rsidRPr="002C6D42" w:rsidR="00127233" w:rsidP="002C6D42" w:rsidRDefault="00127233" w14:paraId="0F293BF4" w14:textId="45FDDCD8"/>
    <w:sectPr w:rsidRPr="002C6D42" w:rsidR="00127233" w:rsidSect="007C0C0F">
      <w:headerReference w:type="default" r:id="rId14"/>
      <w:footerReference w:type="default" r:id="rId15"/>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9306E" w:rsidP="004A1847" w:rsidRDefault="00E9306E" w14:paraId="1C552048" w14:textId="77777777">
      <w:pPr>
        <w:spacing w:after="0" w:line="240" w:lineRule="auto"/>
      </w:pPr>
      <w:r>
        <w:separator/>
      </w:r>
    </w:p>
  </w:endnote>
  <w:endnote w:type="continuationSeparator" w:id="0">
    <w:p w:rsidR="00E9306E" w:rsidP="004A1847" w:rsidRDefault="00E9306E" w14:paraId="67B1760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9306E" w:rsidP="004A1847" w:rsidRDefault="00E9306E" w14:paraId="28BEB7C7" w14:textId="77777777">
      <w:pPr>
        <w:spacing w:after="0" w:line="240" w:lineRule="auto"/>
      </w:pPr>
      <w:r>
        <w:separator/>
      </w:r>
    </w:p>
  </w:footnote>
  <w:footnote w:type="continuationSeparator" w:id="0">
    <w:p w:rsidR="00E9306E" w:rsidP="004A1847" w:rsidRDefault="00E9306E" w14:paraId="23017461" w14:textId="77777777">
      <w:pPr>
        <w:spacing w:after="0" w:line="240" w:lineRule="auto"/>
      </w:pPr>
      <w:r>
        <w:continuationSeparator/>
      </w:r>
    </w:p>
  </w:footnote>
  <w:footnote w:id="1">
    <w:p w:rsidRPr="00C73DE3" w:rsidR="002C6D42" w:rsidP="002C6D42" w:rsidRDefault="002C6D42" w14:paraId="786ED018" w14:textId="77777777">
      <w:pPr>
        <w:pStyle w:val="Default"/>
        <w:ind w:right="-2" w:firstLine="709"/>
        <w:jc w:val="both"/>
        <w:rPr>
          <w:rFonts w:ascii="Verdana" w:hAnsi="Verdana" w:cs="Verdana"/>
          <w:color w:val="0000FF"/>
          <w:sz w:val="16"/>
          <w:szCs w:val="16"/>
        </w:rPr>
      </w:pPr>
      <w:r w:rsidRPr="00C73DE3">
        <w:rPr>
          <w:rStyle w:val="Refdenotaalpie"/>
          <w:sz w:val="16"/>
          <w:szCs w:val="16"/>
        </w:rPr>
        <w:footnoteRef/>
      </w:r>
      <w:r w:rsidRPr="00C73DE3">
        <w:rPr>
          <w:sz w:val="16"/>
          <w:szCs w:val="16"/>
        </w:rPr>
        <w:t xml:space="preserve"> </w:t>
      </w:r>
      <w:r w:rsidRPr="00C73DE3">
        <w:rPr>
          <w:rFonts w:ascii="Verdana" w:hAnsi="Verdana" w:cs="Verdana"/>
          <w:sz w:val="16"/>
          <w:szCs w:val="16"/>
        </w:rPr>
        <w:t xml:space="preserve">Este monto fue publicado por la Agencia Nacional de Contratación Pública – Colombia Compra Eficiente, de acuerdo con la información remitida por el Ministerio de Comercio Industria y Turismo, disponible en el siguiente enlace: </w:t>
      </w:r>
      <w:r w:rsidRPr="00C73DE3">
        <w:rPr>
          <w:rFonts w:ascii="Verdana" w:hAnsi="Verdana" w:cs="Verdana"/>
          <w:color w:val="0000FF"/>
          <w:sz w:val="16"/>
          <w:szCs w:val="16"/>
        </w:rPr>
        <w:t>umbral_de_mipymes_2025_oali.pdf</w:t>
      </w:r>
    </w:p>
    <w:p w:rsidRPr="00C73DE3" w:rsidR="002C6D42" w:rsidP="002C6D42" w:rsidRDefault="002C6D42" w14:paraId="4E323150" w14:textId="77777777">
      <w:pPr>
        <w:pStyle w:val="Default"/>
        <w:ind w:firstLine="709"/>
        <w:rPr>
          <w:rFonts w:ascii="Verdana" w:hAnsi="Verdana" w:cs="Verdana"/>
          <w:sz w:val="16"/>
          <w:szCs w:val="16"/>
        </w:rPr>
      </w:pPr>
    </w:p>
  </w:footnote>
  <w:footnote w:id="2">
    <w:p w:rsidRPr="00F16D2E" w:rsidR="002C6D42" w:rsidP="002C6D42" w:rsidRDefault="002C6D42" w14:paraId="769AA8FE" w14:textId="77777777">
      <w:pPr>
        <w:pStyle w:val="Textonotapie"/>
        <w:ind w:right="49" w:firstLine="709"/>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rsidRPr="00F16D2E" w:rsidR="002C6D42" w:rsidP="002C6D42" w:rsidRDefault="002C6D42" w14:paraId="26521DCC" w14:textId="77777777">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3">
    <w:p w:rsidRPr="00F16D2E" w:rsidR="002C6D42" w:rsidP="002C6D42" w:rsidRDefault="002C6D42" w14:paraId="374DE8F6" w14:textId="77777777">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vertAlign w:val="superscript"/>
          <w:lang w:val="es-ES" w:eastAsia="es-ES"/>
        </w:rPr>
        <w:footnoteRef/>
      </w:r>
      <w:r w:rsidRPr="00F16D2E">
        <w:rPr>
          <w:rFonts w:ascii="Verdana" w:hAnsi="Verdana" w:cs="Arial"/>
          <w:color w:val="000000" w:themeColor="text1"/>
          <w:sz w:val="16"/>
          <w:szCs w:val="16"/>
          <w:vertAlign w:val="superscript"/>
          <w:lang w:val="es-ES" w:eastAsia="es-ES"/>
        </w:rPr>
        <w:t xml:space="preserve"> </w:t>
      </w:r>
      <w:r w:rsidRPr="00F16D2E">
        <w:rPr>
          <w:rFonts w:ascii="Verdana" w:hAnsi="Verdana" w:cs="Arial"/>
          <w:color w:val="000000" w:themeColor="text1"/>
          <w:sz w:val="16"/>
          <w:szCs w:val="16"/>
          <w:lang w:val="es-ES" w:eastAsia="es-ES"/>
        </w:rPr>
        <w:t>“</w:t>
      </w:r>
      <w:r w:rsidRPr="00F16D2E">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rsidRPr="00F16D2E" w:rsidR="002C6D42" w:rsidP="002C6D42" w:rsidRDefault="002C6D42" w14:paraId="42EEF4A4" w14:textId="77777777">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rPr>
        <w:t>[…].</w:t>
      </w:r>
    </w:p>
    <w:p w:rsidRPr="00F16D2E" w:rsidR="002C6D42" w:rsidP="002C6D42" w:rsidRDefault="002C6D42" w14:paraId="642C1829" w14:textId="77777777">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4">
    <w:p w:rsidRPr="00F16D2E" w:rsidR="002C6D42" w:rsidP="002C6D42" w:rsidRDefault="002C6D42" w14:paraId="0AA7BBE8" w14:textId="77777777">
      <w:pPr>
        <w:pStyle w:val="Textonotapie"/>
        <w:ind w:right="49" w:firstLine="708"/>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rsidRPr="00F16D2E" w:rsidR="002C6D42" w:rsidP="002C6D42" w:rsidRDefault="002C6D42" w14:paraId="5FE0730B" w14:textId="77777777">
      <w:pPr>
        <w:pStyle w:val="Textonotapie"/>
        <w:ind w:right="49" w:firstLine="708"/>
        <w:jc w:val="both"/>
        <w:rPr>
          <w:rFonts w:ascii="Verdana" w:hAnsi="Verdana" w:cs="Arial"/>
          <w:color w:val="000000" w:themeColor="text1"/>
          <w:sz w:val="16"/>
          <w:szCs w:val="16"/>
          <w:lang w:val="es-ES"/>
        </w:rPr>
      </w:pPr>
      <w:r w:rsidRPr="00F16D2E">
        <w:rPr>
          <w:rFonts w:ascii="Verdana" w:hAnsi="Verdana" w:cs="Arial"/>
          <w:color w:val="000000" w:themeColor="text1"/>
          <w:sz w:val="16"/>
          <w:szCs w:val="16"/>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2.25pt;height:12.25pt" o:bullet="t" type="#_x0000_t75">
        <v:imagedata o:title="mso1B13" r:id="rId1"/>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EE8E77B4"/>
    <w:lvl w:ilvl="0" w:tplc="C1D210D2">
      <w:start w:val="1"/>
      <w:numFmt w:val="bullet"/>
      <w:lvlText w:val=""/>
      <w:lvlJc w:val="left"/>
      <w:pPr>
        <w:ind w:left="720" w:hanging="360"/>
      </w:pPr>
      <w:rPr>
        <w:rFonts w:hint="default" w:ascii="Symbol" w:hAnsi="Symbol"/>
        <w:color w:val="auto"/>
      </w:rPr>
    </w:lvl>
    <w:lvl w:ilvl="1" w:tplc="040A0003">
      <w:start w:val="1"/>
      <w:numFmt w:val="bullet"/>
      <w:lvlText w:val="o"/>
      <w:lvlJc w:val="left"/>
      <w:pPr>
        <w:ind w:left="1440" w:hanging="360"/>
      </w:pPr>
      <w:rPr>
        <w:rFonts w:hint="default" w:ascii="Courier New" w:hAnsi="Courier New" w:cs="Courier New"/>
      </w:rPr>
    </w:lvl>
    <w:lvl w:ilvl="2" w:tplc="040A0005">
      <w:start w:val="1"/>
      <w:numFmt w:val="bullet"/>
      <w:lvlText w:val=""/>
      <w:lvlJc w:val="left"/>
      <w:pPr>
        <w:ind w:left="2160" w:hanging="360"/>
      </w:pPr>
      <w:rPr>
        <w:rFonts w:hint="default" w:ascii="Wingdings" w:hAnsi="Wingdings"/>
      </w:rPr>
    </w:lvl>
    <w:lvl w:ilvl="3" w:tplc="040A0001">
      <w:start w:val="1"/>
      <w:numFmt w:val="bullet"/>
      <w:lvlText w:val=""/>
      <w:lvlJc w:val="left"/>
      <w:pPr>
        <w:ind w:left="2880" w:hanging="360"/>
      </w:pPr>
      <w:rPr>
        <w:rFonts w:hint="default" w:ascii="Symbol" w:hAnsi="Symbol"/>
      </w:rPr>
    </w:lvl>
    <w:lvl w:ilvl="4" w:tplc="040A0003">
      <w:start w:val="1"/>
      <w:numFmt w:val="bullet"/>
      <w:lvlText w:val="o"/>
      <w:lvlJc w:val="left"/>
      <w:pPr>
        <w:ind w:left="3600" w:hanging="360"/>
      </w:pPr>
      <w:rPr>
        <w:rFonts w:hint="default" w:ascii="Courier New" w:hAnsi="Courier New" w:cs="Courier New"/>
      </w:rPr>
    </w:lvl>
    <w:lvl w:ilvl="5" w:tplc="040A0005">
      <w:start w:val="1"/>
      <w:numFmt w:val="bullet"/>
      <w:lvlText w:val=""/>
      <w:lvlJc w:val="left"/>
      <w:pPr>
        <w:ind w:left="4320" w:hanging="360"/>
      </w:pPr>
      <w:rPr>
        <w:rFonts w:hint="default" w:ascii="Wingdings" w:hAnsi="Wingdings"/>
      </w:rPr>
    </w:lvl>
    <w:lvl w:ilvl="6" w:tplc="040A0001">
      <w:start w:val="1"/>
      <w:numFmt w:val="bullet"/>
      <w:lvlText w:val=""/>
      <w:lvlJc w:val="left"/>
      <w:pPr>
        <w:ind w:left="5040" w:hanging="360"/>
      </w:pPr>
      <w:rPr>
        <w:rFonts w:hint="default" w:ascii="Symbol" w:hAnsi="Symbol"/>
      </w:rPr>
    </w:lvl>
    <w:lvl w:ilvl="7" w:tplc="040A0003">
      <w:start w:val="1"/>
      <w:numFmt w:val="bullet"/>
      <w:lvlText w:val="o"/>
      <w:lvlJc w:val="left"/>
      <w:pPr>
        <w:ind w:left="5760" w:hanging="360"/>
      </w:pPr>
      <w:rPr>
        <w:rFonts w:hint="default" w:ascii="Courier New" w:hAnsi="Courier New" w:cs="Courier New"/>
      </w:rPr>
    </w:lvl>
    <w:lvl w:ilvl="8" w:tplc="040A0005">
      <w:start w:val="1"/>
      <w:numFmt w:val="bullet"/>
      <w:lvlText w:val=""/>
      <w:lvlJc w:val="left"/>
      <w:pPr>
        <w:ind w:left="6480" w:hanging="360"/>
      </w:pPr>
      <w:rPr>
        <w:rFonts w:hint="default" w:ascii="Wingdings" w:hAnsi="Wingdings"/>
      </w:rPr>
    </w:lvl>
  </w:abstractNum>
  <w:abstractNum w:abstractNumId="10" w15:restartNumberingAfterBreak="0">
    <w:nsid w:val="49BF750D"/>
    <w:multiLevelType w:val="hybridMultilevel"/>
    <w:tmpl w:val="4B989D7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542A22D2"/>
    <w:multiLevelType w:val="hybridMultilevel"/>
    <w:tmpl w:val="52DE9136"/>
    <w:lvl w:ilvl="0" w:tplc="2AC08DE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3" w15:restartNumberingAfterBreak="0">
    <w:nsid w:val="6BF31F47"/>
    <w:multiLevelType w:val="hybridMultilevel"/>
    <w:tmpl w:val="8BF238B2"/>
    <w:lvl w:ilvl="0" w:tplc="1BD4D9B4">
      <w:start w:val="1"/>
      <w:numFmt w:val="bullet"/>
      <w:lvlText w:val="-"/>
      <w:lvlJc w:val="left"/>
      <w:pPr>
        <w:ind w:left="720" w:hanging="360"/>
      </w:pPr>
      <w:rPr>
        <w:rFonts w:hint="default" w:ascii="Verdana" w:hAnsi="Verdana" w:eastAsia="Century Gothic" w:cs="Century Gothic"/>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1"/>
  </w:num>
  <w:num w:numId="13" w16cid:durableId="1512908409">
    <w:abstractNumId w:val="3"/>
  </w:num>
  <w:num w:numId="14" w16cid:durableId="895897244">
    <w:abstractNumId w:val="17"/>
  </w:num>
  <w:num w:numId="15" w16cid:durableId="390349800">
    <w:abstractNumId w:val="12"/>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1768041705">
    <w:abstractNumId w:val="11"/>
  </w:num>
  <w:num w:numId="20" w16cid:durableId="1212688523">
    <w:abstractNumId w:val="10"/>
  </w:num>
  <w:num w:numId="21" w16cid:durableId="1592351863">
    <w:abstractNumId w:val="1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92"/>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447"/>
    <w:rsid w:val="00016F78"/>
    <w:rsid w:val="00046945"/>
    <w:rsid w:val="00061B2A"/>
    <w:rsid w:val="00082362"/>
    <w:rsid w:val="000A683E"/>
    <w:rsid w:val="000B19B9"/>
    <w:rsid w:val="000D0334"/>
    <w:rsid w:val="000D5DA7"/>
    <w:rsid w:val="000E14D5"/>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6D42"/>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068E"/>
    <w:rsid w:val="0042722E"/>
    <w:rsid w:val="0044528D"/>
    <w:rsid w:val="00466E39"/>
    <w:rsid w:val="004A1847"/>
    <w:rsid w:val="004A305D"/>
    <w:rsid w:val="004F21C4"/>
    <w:rsid w:val="004F685F"/>
    <w:rsid w:val="005566E8"/>
    <w:rsid w:val="00574867"/>
    <w:rsid w:val="00591460"/>
    <w:rsid w:val="0059178F"/>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877C1"/>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0FCA"/>
    <w:rsid w:val="00A23AF9"/>
    <w:rsid w:val="00A33C78"/>
    <w:rsid w:val="00AB0ADB"/>
    <w:rsid w:val="00AC51EF"/>
    <w:rsid w:val="00AC720D"/>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60D5C"/>
    <w:rsid w:val="00C754BE"/>
    <w:rsid w:val="00C76B1C"/>
    <w:rsid w:val="00C925AC"/>
    <w:rsid w:val="00CB6357"/>
    <w:rsid w:val="00CC1B26"/>
    <w:rsid w:val="00CF1679"/>
    <w:rsid w:val="00CF32CB"/>
    <w:rsid w:val="00D361FD"/>
    <w:rsid w:val="00D423A2"/>
    <w:rsid w:val="00D44688"/>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306E"/>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B0E8D23"/>
    <w:rsid w:val="3C591AFD"/>
    <w:rsid w:val="42183F0A"/>
    <w:rsid w:val="545B112A"/>
    <w:rsid w:val="5BEB1497"/>
    <w:rsid w:val="634F8FE0"/>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styleId="Tablaconcuadrcula1" w:customStyle="1">
    <w:name w:val="Tabla con cuadrícula1"/>
    <w:basedOn w:val="Tablanormal"/>
    <w:next w:val="Tablaconcuadrcula"/>
    <w:uiPriority w:val="39"/>
    <w:qFormat/>
    <w:rsid w:val="002C6D4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ppelnotedebasde" w:customStyle="1">
    <w:name w:val="Appel note de bas de..."/>
    <w:basedOn w:val="Normal"/>
    <w:link w:val="Refdenotaalpie"/>
    <w:uiPriority w:val="99"/>
    <w:rsid w:val="002C6D42"/>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C6D42"/>
    <w:rPr>
      <w:rFonts w:ascii="Geomanist Light" w:hAnsi="Geomanist Light"/>
      <w:lang w:val="es-ES"/>
    </w:rPr>
  </w:style>
  <w:style w:type="character" w:styleId="Fuerte">
    <w:name w:val="Strong"/>
    <w:basedOn w:val="Fuentedeprrafopredeter"/>
    <w:uiPriority w:val="22"/>
    <w:qFormat/>
    <w:rsid w:val="002C6D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3.png"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relatoria.colombiacompra.gov.co/busqueda/conceptos"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personeria@guadalupe-santander.gov.co" TargetMode="External" Id="rId11"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image" Target="media/image2.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1.xml" Id="rId14" /></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33573F5-7DB8-4FEE-8350-12966C1A468D}"/>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Denis Andrea Cárdenas Hernández</lastModifiedBy>
  <revision>5</revision>
  <lastPrinted>2023-01-10T21:18:00.0000000Z</lastPrinted>
  <dcterms:created xsi:type="dcterms:W3CDTF">2026-05-15T16:08:00.0000000Z</dcterms:created>
  <dcterms:modified xsi:type="dcterms:W3CDTF">2026-05-19T19:52:11.6164286Z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