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00F" w:rsidRPr="0005653B" w:rsidRDefault="00C3436C" w:rsidP="00323AF9">
      <w:pPr>
        <w:jc w:val="both"/>
        <w:rPr>
          <w:rFonts w:ascii="Arial" w:hAnsi="Arial" w:cs="Arial"/>
          <w:b/>
          <w:bCs/>
        </w:rPr>
      </w:pPr>
      <w:bookmarkStart w:id="0" w:name="_GoBack"/>
      <w:r w:rsidRPr="0005653B">
        <w:rPr>
          <w:rFonts w:ascii="Arial" w:hAnsi="Arial" w:cs="Arial"/>
          <w:b/>
        </w:rPr>
        <w:t xml:space="preserve">COMPETENCIA </w:t>
      </w:r>
      <w:r w:rsidR="00323AF9" w:rsidRPr="0005653B">
        <w:rPr>
          <w:rFonts w:ascii="Arial" w:hAnsi="Arial" w:cs="Arial"/>
          <w:b/>
        </w:rPr>
        <w:t xml:space="preserve">DEL CONSEJO DE ESTADO </w:t>
      </w:r>
      <w:r w:rsidRPr="0005653B">
        <w:rPr>
          <w:rFonts w:ascii="Arial" w:hAnsi="Arial" w:cs="Arial"/>
          <w:b/>
        </w:rPr>
        <w:t xml:space="preserve">– </w:t>
      </w:r>
      <w:r w:rsidRPr="0005653B">
        <w:rPr>
          <w:rFonts w:ascii="Arial" w:hAnsi="Arial" w:cs="Arial"/>
          <w:b/>
          <w:bCs/>
        </w:rPr>
        <w:t xml:space="preserve">Jurisdicción Contencioso Administrativa </w:t>
      </w:r>
    </w:p>
    <w:p w:rsidR="00C3436C" w:rsidRPr="0005653B" w:rsidRDefault="00C3436C" w:rsidP="00C3436C">
      <w:pPr>
        <w:rPr>
          <w:rFonts w:ascii="Arial" w:hAnsi="Arial" w:cs="Arial"/>
        </w:rPr>
      </w:pPr>
    </w:p>
    <w:p w:rsidR="00C3436C" w:rsidRPr="0005653B" w:rsidRDefault="00C3436C" w:rsidP="00C3436C">
      <w:pPr>
        <w:jc w:val="both"/>
        <w:rPr>
          <w:rFonts w:ascii="Arial" w:hAnsi="Arial" w:cs="Arial"/>
        </w:rPr>
      </w:pPr>
      <w:r w:rsidRPr="0005653B">
        <w:rPr>
          <w:rFonts w:ascii="Arial" w:hAnsi="Arial" w:cs="Arial"/>
        </w:rPr>
        <w:t>El artículo 129 del C.C.A., modificado por el artículo 37 de la Ley 446 de 1998, dispone: “Art. 129. Modificado Decreto 597 de 1988, artículo 2. Modificado por la Ley 446 de 1998, art. 37: El Consejo de Estado, en la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recurso de apelación o se conceda en un efecto distinto del que corresponda, o no se conceda el extraordinario de revisión. “El grado jurisdiccional de consulta se surtirá en los eventos de que trata el artículo 184 de este Código”. A su turno, el artículo 132 ibídem preceptúa: “Art. 132.- Modificado por el Decreto 597 de 1998, artículo 2.  Modificado por la Ley 446 de 1998, artículo 40: Los Tribunales Administrativos conocerán en primera instancia de los siguientes asuntos: (...) 7. De los referentes 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 En cuanto a la forma de establecer la cuantía del proceso, los numerales 1 y 2 del artículo 20 del C. de P.C., aplicables por remisión expresa del inciso primero del artículo 134E del C.C.A., señalan que se determinará por el valor de las pretensiones al tiempo de la demanda, sin tomar en cuenta los frutos, intereses, multas o perjuicios reclamados como accesorios, que se causen con posterioridad a la presentación de aquélla y, en el caso de acumulación de varias pretensiones, por el valor de la pretensión mayor.</w:t>
      </w:r>
    </w:p>
    <w:bookmarkEnd w:id="0"/>
    <w:p w:rsidR="0040000F" w:rsidRPr="0040000F" w:rsidRDefault="0040000F" w:rsidP="0040000F">
      <w:pPr>
        <w:jc w:val="center"/>
        <w:rPr>
          <w:rFonts w:ascii="Arial" w:hAnsi="Arial" w:cs="Arial"/>
          <w:b/>
          <w:sz w:val="24"/>
          <w:szCs w:val="24"/>
        </w:rPr>
      </w:pPr>
    </w:p>
    <w:p w:rsidR="008D6398" w:rsidRPr="0040000F" w:rsidRDefault="008D6398" w:rsidP="0040000F">
      <w:pPr>
        <w:jc w:val="center"/>
        <w:rPr>
          <w:rFonts w:ascii="Arial" w:hAnsi="Arial" w:cs="Arial"/>
          <w:b/>
          <w:sz w:val="24"/>
          <w:szCs w:val="24"/>
        </w:rPr>
      </w:pPr>
    </w:p>
    <w:p w:rsidR="008D6398" w:rsidRDefault="008D6398" w:rsidP="0040000F">
      <w:pPr>
        <w:jc w:val="center"/>
        <w:rPr>
          <w:rFonts w:ascii="Arial" w:hAnsi="Arial" w:cs="Arial"/>
          <w:b/>
          <w:sz w:val="24"/>
          <w:szCs w:val="24"/>
        </w:rPr>
      </w:pPr>
      <w:r w:rsidRPr="0040000F">
        <w:rPr>
          <w:rFonts w:ascii="Arial" w:hAnsi="Arial" w:cs="Arial"/>
          <w:b/>
          <w:sz w:val="24"/>
          <w:szCs w:val="24"/>
        </w:rPr>
        <w:t>CONSEJO DE ESTADO</w:t>
      </w:r>
    </w:p>
    <w:p w:rsidR="0040000F" w:rsidRPr="0040000F" w:rsidRDefault="0040000F" w:rsidP="0040000F">
      <w:pPr>
        <w:jc w:val="center"/>
        <w:rPr>
          <w:rFonts w:ascii="Arial" w:hAnsi="Arial" w:cs="Arial"/>
          <w:b/>
          <w:sz w:val="24"/>
          <w:szCs w:val="24"/>
        </w:rPr>
      </w:pPr>
    </w:p>
    <w:p w:rsidR="008D6398" w:rsidRDefault="008D6398" w:rsidP="0040000F">
      <w:pPr>
        <w:jc w:val="center"/>
        <w:rPr>
          <w:rFonts w:ascii="Arial" w:hAnsi="Arial" w:cs="Arial"/>
          <w:b/>
          <w:bCs/>
          <w:sz w:val="24"/>
          <w:szCs w:val="24"/>
        </w:rPr>
      </w:pPr>
      <w:r w:rsidRPr="0040000F">
        <w:rPr>
          <w:rFonts w:ascii="Arial" w:hAnsi="Arial" w:cs="Arial"/>
          <w:b/>
          <w:bCs/>
          <w:sz w:val="24"/>
          <w:szCs w:val="24"/>
        </w:rPr>
        <w:t>SALA DE LO CONTENCIOSO ADMINISTRATIVO</w:t>
      </w:r>
    </w:p>
    <w:p w:rsidR="0040000F" w:rsidRPr="0040000F" w:rsidRDefault="0040000F" w:rsidP="0040000F">
      <w:pPr>
        <w:jc w:val="center"/>
        <w:rPr>
          <w:rFonts w:ascii="Arial" w:hAnsi="Arial" w:cs="Arial"/>
          <w:b/>
          <w:bCs/>
          <w:sz w:val="24"/>
          <w:szCs w:val="24"/>
        </w:rPr>
      </w:pPr>
    </w:p>
    <w:p w:rsidR="0040000F" w:rsidRDefault="0040000F" w:rsidP="0040000F">
      <w:pPr>
        <w:jc w:val="center"/>
        <w:rPr>
          <w:rFonts w:ascii="Arial" w:hAnsi="Arial" w:cs="Arial"/>
          <w:b/>
          <w:bCs/>
          <w:sz w:val="24"/>
          <w:szCs w:val="24"/>
        </w:rPr>
      </w:pPr>
      <w:r>
        <w:rPr>
          <w:rFonts w:ascii="Arial" w:hAnsi="Arial" w:cs="Arial"/>
          <w:b/>
          <w:bCs/>
          <w:sz w:val="24"/>
          <w:szCs w:val="24"/>
        </w:rPr>
        <w:t>SECCIÓN TERCERA</w:t>
      </w:r>
    </w:p>
    <w:p w:rsidR="0040000F" w:rsidRDefault="0040000F" w:rsidP="0040000F">
      <w:pPr>
        <w:jc w:val="center"/>
        <w:rPr>
          <w:rFonts w:ascii="Arial" w:hAnsi="Arial" w:cs="Arial"/>
          <w:b/>
          <w:bCs/>
          <w:sz w:val="24"/>
          <w:szCs w:val="24"/>
        </w:rPr>
      </w:pPr>
    </w:p>
    <w:p w:rsidR="008D6398" w:rsidRDefault="008D6398" w:rsidP="0040000F">
      <w:pPr>
        <w:jc w:val="center"/>
        <w:rPr>
          <w:rFonts w:ascii="Arial" w:hAnsi="Arial" w:cs="Arial"/>
          <w:b/>
          <w:bCs/>
          <w:sz w:val="24"/>
          <w:szCs w:val="24"/>
        </w:rPr>
      </w:pPr>
      <w:r w:rsidRPr="0040000F">
        <w:rPr>
          <w:rFonts w:ascii="Arial" w:hAnsi="Arial" w:cs="Arial"/>
          <w:b/>
          <w:bCs/>
          <w:sz w:val="24"/>
          <w:szCs w:val="24"/>
        </w:rPr>
        <w:t>SUBSECCIÓN A</w:t>
      </w:r>
    </w:p>
    <w:p w:rsidR="0040000F" w:rsidRPr="0040000F" w:rsidRDefault="0040000F" w:rsidP="0040000F">
      <w:pPr>
        <w:jc w:val="center"/>
        <w:rPr>
          <w:rFonts w:ascii="Arial" w:hAnsi="Arial" w:cs="Arial"/>
          <w:b/>
          <w:bCs/>
          <w:sz w:val="24"/>
          <w:szCs w:val="24"/>
        </w:rPr>
      </w:pPr>
    </w:p>
    <w:p w:rsidR="008D6398" w:rsidRPr="0040000F" w:rsidRDefault="008D6398" w:rsidP="0040000F">
      <w:pPr>
        <w:jc w:val="center"/>
        <w:rPr>
          <w:rFonts w:ascii="Arial" w:hAnsi="Arial" w:cs="Arial"/>
          <w:sz w:val="24"/>
          <w:szCs w:val="24"/>
        </w:rPr>
      </w:pPr>
      <w:r w:rsidRPr="0040000F">
        <w:rPr>
          <w:rFonts w:ascii="Arial" w:hAnsi="Arial" w:cs="Arial"/>
          <w:b/>
          <w:bCs/>
          <w:sz w:val="24"/>
          <w:szCs w:val="24"/>
        </w:rPr>
        <w:t xml:space="preserve">Consejero Ponente: CARLOS ALBERTO ZAMBRANO BARRERA </w:t>
      </w:r>
    </w:p>
    <w:p w:rsidR="008D6398" w:rsidRPr="0040000F" w:rsidRDefault="008D6398" w:rsidP="0040000F">
      <w:pPr>
        <w:pStyle w:val="Encabezado"/>
        <w:overflowPunct/>
        <w:autoSpaceDE/>
        <w:adjustRightInd/>
        <w:rPr>
          <w:rFonts w:cs="Arial"/>
          <w:sz w:val="24"/>
          <w:szCs w:val="24"/>
          <w:lang w:val="es-CO"/>
        </w:rPr>
      </w:pPr>
    </w:p>
    <w:p w:rsidR="008D6398" w:rsidRPr="0040000F" w:rsidRDefault="008D6398" w:rsidP="0040000F">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textAlignment w:val="auto"/>
        <w:rPr>
          <w:rFonts w:cs="Arial"/>
          <w:bCs/>
          <w:spacing w:val="0"/>
          <w:sz w:val="24"/>
          <w:szCs w:val="24"/>
        </w:rPr>
      </w:pPr>
      <w:r w:rsidRPr="0040000F">
        <w:rPr>
          <w:rFonts w:cs="Arial"/>
          <w:bCs/>
          <w:spacing w:val="0"/>
          <w:sz w:val="24"/>
          <w:szCs w:val="24"/>
        </w:rPr>
        <w:t>Bogotá, D. C., diecisiete (17) de febrero de dos mil dieciséis (2016)</w:t>
      </w:r>
    </w:p>
    <w:p w:rsidR="008D6398" w:rsidRPr="0040000F" w:rsidRDefault="008D6398" w:rsidP="0040000F">
      <w:pPr>
        <w:pStyle w:val="Encabezado"/>
        <w:overflowPunct/>
        <w:autoSpaceDE/>
        <w:adjustRightInd/>
        <w:rPr>
          <w:rFonts w:cs="Arial"/>
          <w:b/>
          <w:sz w:val="24"/>
          <w:szCs w:val="24"/>
          <w:lang w:val="es-CO"/>
        </w:rPr>
      </w:pPr>
    </w:p>
    <w:p w:rsidR="008D6398" w:rsidRPr="0040000F" w:rsidRDefault="008D6398" w:rsidP="0040000F">
      <w:pPr>
        <w:pStyle w:val="Encabezado"/>
        <w:tabs>
          <w:tab w:val="left" w:pos="708"/>
        </w:tabs>
        <w:rPr>
          <w:rFonts w:cs="Arial"/>
          <w:b/>
          <w:bCs/>
          <w:sz w:val="24"/>
          <w:szCs w:val="24"/>
        </w:rPr>
      </w:pPr>
      <w:r w:rsidRPr="0040000F">
        <w:rPr>
          <w:rFonts w:cs="Arial"/>
          <w:b/>
          <w:bCs/>
          <w:sz w:val="24"/>
          <w:szCs w:val="24"/>
          <w:lang w:val="es-ES"/>
        </w:rPr>
        <w:t>Radicación</w:t>
      </w:r>
      <w:r w:rsidR="0040000F" w:rsidRPr="0040000F">
        <w:rPr>
          <w:rFonts w:cs="Arial"/>
          <w:b/>
          <w:bCs/>
          <w:sz w:val="24"/>
          <w:szCs w:val="24"/>
          <w:lang w:val="es-ES"/>
        </w:rPr>
        <w:t xml:space="preserve"> número</w:t>
      </w:r>
      <w:r w:rsidR="0040000F" w:rsidRPr="0040000F">
        <w:rPr>
          <w:rFonts w:cs="Arial"/>
          <w:b/>
          <w:sz w:val="24"/>
          <w:szCs w:val="24"/>
          <w:lang w:val="es-ES"/>
        </w:rPr>
        <w:t xml:space="preserve">: </w:t>
      </w:r>
      <w:r w:rsidRPr="0040000F">
        <w:rPr>
          <w:rFonts w:cs="Arial"/>
          <w:b/>
          <w:bCs/>
          <w:sz w:val="24"/>
          <w:szCs w:val="24"/>
        </w:rPr>
        <w:t>13001-23-31-000-2001-00995-02 (55223)</w:t>
      </w:r>
    </w:p>
    <w:p w:rsidR="0040000F" w:rsidRPr="0040000F" w:rsidRDefault="0040000F" w:rsidP="0040000F">
      <w:pPr>
        <w:pStyle w:val="Encabezado"/>
        <w:tabs>
          <w:tab w:val="left" w:pos="708"/>
        </w:tabs>
        <w:rPr>
          <w:rFonts w:cs="Arial"/>
          <w:b/>
          <w:sz w:val="24"/>
          <w:szCs w:val="24"/>
          <w:lang w:val="es-ES"/>
        </w:rPr>
      </w:pPr>
    </w:p>
    <w:p w:rsidR="008D6398" w:rsidRPr="0040000F" w:rsidRDefault="0040000F" w:rsidP="0040000F">
      <w:pPr>
        <w:widowControl w:val="0"/>
        <w:jc w:val="both"/>
        <w:rPr>
          <w:rFonts w:ascii="Arial" w:hAnsi="Arial" w:cs="Arial"/>
          <w:b/>
          <w:sz w:val="24"/>
          <w:szCs w:val="24"/>
        </w:rPr>
      </w:pPr>
      <w:r w:rsidRPr="0040000F">
        <w:rPr>
          <w:rFonts w:ascii="Arial" w:hAnsi="Arial" w:cs="Arial"/>
          <w:b/>
          <w:bCs/>
          <w:sz w:val="24"/>
          <w:szCs w:val="24"/>
        </w:rPr>
        <w:t>Actor</w:t>
      </w:r>
      <w:r w:rsidRPr="0040000F">
        <w:rPr>
          <w:rFonts w:ascii="Arial" w:hAnsi="Arial" w:cs="Arial"/>
          <w:b/>
          <w:sz w:val="24"/>
          <w:szCs w:val="24"/>
        </w:rPr>
        <w:t>: SOCIEDAD BOTERO AGUILAR Y CÍA. Y OTRO</w:t>
      </w:r>
    </w:p>
    <w:p w:rsidR="0040000F" w:rsidRPr="0040000F" w:rsidRDefault="0040000F" w:rsidP="0040000F">
      <w:pPr>
        <w:widowControl w:val="0"/>
        <w:jc w:val="both"/>
        <w:rPr>
          <w:rFonts w:ascii="Arial" w:hAnsi="Arial" w:cs="Arial"/>
          <w:b/>
          <w:sz w:val="24"/>
          <w:szCs w:val="24"/>
        </w:rPr>
      </w:pPr>
    </w:p>
    <w:p w:rsidR="008D6398" w:rsidRPr="0040000F" w:rsidRDefault="008D6398" w:rsidP="0040000F">
      <w:pPr>
        <w:rPr>
          <w:rFonts w:ascii="Arial" w:hAnsi="Arial" w:cs="Arial"/>
          <w:b/>
          <w:sz w:val="24"/>
          <w:szCs w:val="24"/>
        </w:rPr>
      </w:pPr>
      <w:r w:rsidRPr="0040000F">
        <w:rPr>
          <w:rFonts w:ascii="Arial" w:hAnsi="Arial" w:cs="Arial"/>
          <w:b/>
          <w:bCs/>
          <w:sz w:val="24"/>
          <w:szCs w:val="24"/>
        </w:rPr>
        <w:t>Demandado</w:t>
      </w:r>
      <w:r w:rsidR="0040000F" w:rsidRPr="0040000F">
        <w:rPr>
          <w:rFonts w:ascii="Arial" w:hAnsi="Arial" w:cs="Arial"/>
          <w:b/>
          <w:sz w:val="24"/>
          <w:szCs w:val="24"/>
        </w:rPr>
        <w:t xml:space="preserve">: INSTITUTO NACIONAL DE VÍAS – INVÍAS – </w:t>
      </w:r>
    </w:p>
    <w:p w:rsidR="0040000F" w:rsidRDefault="0040000F" w:rsidP="0040000F">
      <w:pPr>
        <w:rPr>
          <w:rFonts w:ascii="Arial" w:hAnsi="Arial" w:cs="Arial"/>
          <w:b/>
          <w:sz w:val="24"/>
          <w:szCs w:val="24"/>
        </w:rPr>
      </w:pPr>
    </w:p>
    <w:p w:rsidR="0040000F" w:rsidRPr="0040000F" w:rsidRDefault="0040000F" w:rsidP="0040000F">
      <w:pPr>
        <w:rPr>
          <w:rFonts w:ascii="Arial" w:hAnsi="Arial" w:cs="Arial"/>
          <w:b/>
          <w:sz w:val="24"/>
          <w:szCs w:val="24"/>
        </w:rPr>
      </w:pPr>
    </w:p>
    <w:p w:rsidR="008D6398" w:rsidRPr="0040000F" w:rsidRDefault="0040000F" w:rsidP="0040000F">
      <w:pPr>
        <w:rPr>
          <w:rFonts w:ascii="Arial" w:hAnsi="Arial" w:cs="Arial"/>
          <w:b/>
          <w:bCs/>
          <w:sz w:val="24"/>
          <w:szCs w:val="24"/>
        </w:rPr>
      </w:pPr>
      <w:r>
        <w:rPr>
          <w:rFonts w:ascii="Arial" w:hAnsi="Arial" w:cs="Arial"/>
          <w:b/>
          <w:bCs/>
          <w:sz w:val="24"/>
          <w:szCs w:val="24"/>
        </w:rPr>
        <w:t>Referencia</w:t>
      </w:r>
      <w:r w:rsidRPr="0040000F">
        <w:rPr>
          <w:rFonts w:ascii="Arial" w:hAnsi="Arial" w:cs="Arial"/>
          <w:b/>
          <w:bCs/>
          <w:sz w:val="24"/>
          <w:szCs w:val="24"/>
        </w:rPr>
        <w:t xml:space="preserve">: </w:t>
      </w:r>
      <w:r w:rsidRPr="0040000F">
        <w:rPr>
          <w:rFonts w:ascii="Arial" w:hAnsi="Arial" w:cs="Arial"/>
          <w:b/>
          <w:sz w:val="24"/>
          <w:szCs w:val="24"/>
        </w:rPr>
        <w:t>ACCIÓN DE CONTROVERSIAS CONTRACTUALES</w:t>
      </w:r>
    </w:p>
    <w:p w:rsidR="008D6398" w:rsidRDefault="008D6398" w:rsidP="0040000F">
      <w:pPr>
        <w:jc w:val="both"/>
        <w:rPr>
          <w:rFonts w:ascii="Arial" w:hAnsi="Arial" w:cs="Arial"/>
          <w:sz w:val="24"/>
          <w:szCs w:val="24"/>
        </w:rPr>
      </w:pPr>
    </w:p>
    <w:p w:rsidR="0040000F" w:rsidRDefault="0040000F" w:rsidP="0040000F">
      <w:pPr>
        <w:jc w:val="both"/>
        <w:rPr>
          <w:rFonts w:ascii="Arial" w:hAnsi="Arial" w:cs="Arial"/>
          <w:sz w:val="24"/>
          <w:szCs w:val="24"/>
        </w:rPr>
      </w:pPr>
    </w:p>
    <w:p w:rsidR="0040000F" w:rsidRPr="0040000F" w:rsidRDefault="0040000F" w:rsidP="0040000F">
      <w:pPr>
        <w:jc w:val="both"/>
        <w:rPr>
          <w:rFonts w:ascii="Arial" w:hAnsi="Arial" w:cs="Arial"/>
          <w:sz w:val="24"/>
          <w:szCs w:val="24"/>
        </w:rPr>
      </w:pPr>
    </w:p>
    <w:p w:rsidR="008D6398" w:rsidRPr="0040000F" w:rsidRDefault="008D6398" w:rsidP="0040000F">
      <w:pPr>
        <w:jc w:val="both"/>
        <w:rPr>
          <w:rFonts w:ascii="Arial" w:hAnsi="Arial" w:cs="Arial"/>
          <w:sz w:val="24"/>
          <w:szCs w:val="24"/>
        </w:rPr>
      </w:pPr>
      <w:r w:rsidRPr="0040000F">
        <w:rPr>
          <w:rFonts w:ascii="Arial" w:hAnsi="Arial" w:cs="Arial"/>
          <w:sz w:val="24"/>
          <w:szCs w:val="24"/>
        </w:rPr>
        <w:t>Resuelve el despacho sobre la procedencia del recurso de apelación formulado por la parte demandante contra la sentencia del 28 de mayo de 2015, proferida por el Tribunal Administrativo de San Andrés, Providencia y Santa Catalina, mediante la cual se negaron las pretensiones de la demanda.</w:t>
      </w:r>
    </w:p>
    <w:p w:rsidR="008D6398" w:rsidRPr="0040000F" w:rsidRDefault="008D6398" w:rsidP="000D3EF6">
      <w:pPr>
        <w:spacing w:line="360" w:lineRule="auto"/>
        <w:jc w:val="both"/>
        <w:rPr>
          <w:rFonts w:ascii="Arial" w:hAnsi="Arial" w:cs="Arial"/>
          <w:sz w:val="24"/>
          <w:szCs w:val="24"/>
        </w:rPr>
      </w:pPr>
    </w:p>
    <w:p w:rsidR="008D6398" w:rsidRPr="0040000F" w:rsidRDefault="008D6398" w:rsidP="000D3EF6">
      <w:pPr>
        <w:spacing w:line="360" w:lineRule="auto"/>
        <w:jc w:val="center"/>
        <w:rPr>
          <w:rFonts w:ascii="Arial" w:hAnsi="Arial" w:cs="Arial"/>
          <w:b/>
          <w:sz w:val="24"/>
          <w:szCs w:val="24"/>
        </w:rPr>
      </w:pPr>
      <w:r w:rsidRPr="0040000F">
        <w:rPr>
          <w:rFonts w:ascii="Arial" w:hAnsi="Arial" w:cs="Arial"/>
          <w:b/>
          <w:sz w:val="24"/>
          <w:szCs w:val="24"/>
        </w:rPr>
        <w:t>ANTECEDENTES</w:t>
      </w:r>
    </w:p>
    <w:p w:rsidR="008D6398" w:rsidRPr="0040000F" w:rsidRDefault="008D6398" w:rsidP="000D3EF6">
      <w:pPr>
        <w:spacing w:line="360" w:lineRule="auto"/>
        <w:jc w:val="center"/>
        <w:rPr>
          <w:rFonts w:ascii="Arial" w:hAnsi="Arial" w:cs="Arial"/>
          <w:b/>
          <w:sz w:val="24"/>
          <w:szCs w:val="24"/>
        </w:rPr>
      </w:pPr>
    </w:p>
    <w:p w:rsidR="008D6398" w:rsidRPr="0040000F" w:rsidRDefault="008D6398" w:rsidP="000D3EF6">
      <w:pPr>
        <w:tabs>
          <w:tab w:val="left" w:pos="-720"/>
        </w:tabs>
        <w:suppressAutoHyphens/>
        <w:spacing w:line="360" w:lineRule="auto"/>
        <w:jc w:val="both"/>
        <w:rPr>
          <w:rFonts w:ascii="Arial" w:hAnsi="Arial" w:cs="Arial"/>
          <w:spacing w:val="-3"/>
          <w:sz w:val="24"/>
          <w:szCs w:val="24"/>
        </w:rPr>
      </w:pPr>
      <w:r w:rsidRPr="0040000F">
        <w:rPr>
          <w:rFonts w:ascii="Arial" w:hAnsi="Arial" w:cs="Arial"/>
          <w:spacing w:val="-3"/>
          <w:sz w:val="24"/>
          <w:szCs w:val="24"/>
        </w:rPr>
        <w:lastRenderedPageBreak/>
        <w:t>1.- El 19 de julio de 2001, las Sociedades Botero Aguilar y Cía. S.A. y Consorcio Nacional de Ingenieros Contratistas – CONIC – S.A., en ejercicio de la acción de controversias contractuales, solicitaron que se declarara el enriquecimiento sin causa del Instituto Nacional de Vías – INVÍAS – y el empobrecimiento correlativo de los demandantes y que, en consecuencia, se condenara a la demandada por los perjuicios que les fueron ocasionados durante la ejecución del contrato 559 de 1976 y adicionales, cuyo objeto era la construcción y pavimentación de los sectores “Arroyo de piedra”, “Canoas de la carretera Cartagena” y “Barranquilla K. 19 + 000 al K. 31 + 000” (</w:t>
      </w:r>
      <w:proofErr w:type="spellStart"/>
      <w:r w:rsidRPr="0040000F">
        <w:rPr>
          <w:rFonts w:ascii="Arial" w:hAnsi="Arial" w:cs="Arial"/>
          <w:spacing w:val="-3"/>
          <w:sz w:val="24"/>
          <w:szCs w:val="24"/>
        </w:rPr>
        <w:t>fl</w:t>
      </w:r>
      <w:proofErr w:type="spellEnd"/>
      <w:r w:rsidRPr="0040000F">
        <w:rPr>
          <w:rFonts w:ascii="Arial" w:hAnsi="Arial" w:cs="Arial"/>
          <w:spacing w:val="-3"/>
          <w:sz w:val="24"/>
          <w:szCs w:val="24"/>
        </w:rPr>
        <w:t>. 226 C.1)</w:t>
      </w:r>
    </w:p>
    <w:p w:rsidR="008D6398" w:rsidRPr="0040000F" w:rsidRDefault="008D6398" w:rsidP="000D3EF6">
      <w:pPr>
        <w:tabs>
          <w:tab w:val="left" w:pos="-720"/>
        </w:tabs>
        <w:suppressAutoHyphens/>
        <w:spacing w:line="360" w:lineRule="auto"/>
        <w:jc w:val="both"/>
        <w:rPr>
          <w:rFonts w:ascii="Arial" w:hAnsi="Arial" w:cs="Arial"/>
          <w:spacing w:val="-3"/>
          <w:sz w:val="24"/>
          <w:szCs w:val="24"/>
        </w:rPr>
      </w:pPr>
      <w:r w:rsidRPr="0040000F">
        <w:rPr>
          <w:rFonts w:ascii="Arial" w:hAnsi="Arial" w:cs="Arial"/>
          <w:spacing w:val="-3"/>
          <w:sz w:val="24"/>
          <w:szCs w:val="24"/>
        </w:rPr>
        <w:t xml:space="preserve"> </w:t>
      </w:r>
    </w:p>
    <w:p w:rsidR="008D6398" w:rsidRPr="0040000F" w:rsidRDefault="008D6398" w:rsidP="000D3EF6">
      <w:pPr>
        <w:tabs>
          <w:tab w:val="left" w:pos="-720"/>
        </w:tabs>
        <w:suppressAutoHyphens/>
        <w:spacing w:line="360" w:lineRule="auto"/>
        <w:jc w:val="both"/>
        <w:rPr>
          <w:rFonts w:ascii="Arial" w:hAnsi="Arial" w:cs="Arial"/>
          <w:spacing w:val="-3"/>
          <w:sz w:val="24"/>
          <w:szCs w:val="24"/>
        </w:rPr>
      </w:pPr>
      <w:r w:rsidRPr="0040000F">
        <w:rPr>
          <w:rFonts w:ascii="Arial" w:hAnsi="Arial" w:cs="Arial"/>
          <w:spacing w:val="-3"/>
          <w:sz w:val="24"/>
          <w:szCs w:val="24"/>
        </w:rPr>
        <w:t xml:space="preserve">Como indemnización de perjuicios, los demandantes solicitaron lo siguiente (se trascribe como obra en el expediente): </w:t>
      </w:r>
    </w:p>
    <w:p w:rsidR="008D6398" w:rsidRPr="0040000F" w:rsidRDefault="008D6398" w:rsidP="000D3EF6">
      <w:pPr>
        <w:tabs>
          <w:tab w:val="left" w:pos="-720"/>
        </w:tabs>
        <w:suppressAutoHyphens/>
        <w:spacing w:line="360" w:lineRule="auto"/>
        <w:jc w:val="both"/>
        <w:rPr>
          <w:rFonts w:ascii="Arial" w:hAnsi="Arial" w:cs="Arial"/>
          <w:spacing w:val="-3"/>
          <w:sz w:val="24"/>
          <w:szCs w:val="24"/>
        </w:rPr>
      </w:pPr>
    </w:p>
    <w:p w:rsidR="008D6398" w:rsidRPr="0040000F" w:rsidRDefault="008D6398" w:rsidP="000D3EF6">
      <w:pPr>
        <w:tabs>
          <w:tab w:val="left" w:pos="-720"/>
        </w:tabs>
        <w:suppressAutoHyphens/>
        <w:jc w:val="both"/>
        <w:rPr>
          <w:rFonts w:ascii="Arial" w:hAnsi="Arial" w:cs="Arial"/>
          <w:b/>
          <w:spacing w:val="-3"/>
          <w:sz w:val="24"/>
          <w:szCs w:val="24"/>
        </w:rPr>
      </w:pPr>
      <w:r w:rsidRPr="0040000F">
        <w:rPr>
          <w:rFonts w:ascii="Arial" w:hAnsi="Arial" w:cs="Arial"/>
          <w:spacing w:val="-3"/>
          <w:sz w:val="24"/>
          <w:szCs w:val="24"/>
        </w:rPr>
        <w:tab/>
        <w:t>“</w:t>
      </w:r>
      <w:r w:rsidRPr="0040000F">
        <w:rPr>
          <w:rFonts w:ascii="Arial" w:hAnsi="Arial" w:cs="Arial"/>
          <w:b/>
          <w:spacing w:val="-3"/>
          <w:sz w:val="24"/>
          <w:szCs w:val="24"/>
        </w:rPr>
        <w:t>II : PRETENSIONES</w:t>
      </w:r>
    </w:p>
    <w:p w:rsidR="008D6398" w:rsidRPr="0040000F" w:rsidRDefault="008D6398" w:rsidP="000D3EF6">
      <w:pPr>
        <w:tabs>
          <w:tab w:val="left" w:pos="-720"/>
        </w:tabs>
        <w:suppressAutoHyphens/>
        <w:jc w:val="both"/>
        <w:rPr>
          <w:rFonts w:ascii="Arial" w:hAnsi="Arial" w:cs="Arial"/>
          <w:b/>
          <w:spacing w:val="-3"/>
          <w:sz w:val="24"/>
          <w:szCs w:val="24"/>
        </w:rPr>
      </w:pPr>
      <w:r w:rsidRPr="0040000F">
        <w:rPr>
          <w:rFonts w:ascii="Arial" w:hAnsi="Arial" w:cs="Arial"/>
          <w:b/>
          <w:spacing w:val="-3"/>
          <w:sz w:val="24"/>
          <w:szCs w:val="24"/>
        </w:rPr>
        <w:tab/>
      </w:r>
    </w:p>
    <w:p w:rsidR="008D6398" w:rsidRPr="0040000F" w:rsidRDefault="008D6398" w:rsidP="000D3EF6">
      <w:pPr>
        <w:tabs>
          <w:tab w:val="left" w:pos="-720"/>
        </w:tabs>
        <w:suppressAutoHyphens/>
        <w:ind w:left="708"/>
        <w:jc w:val="both"/>
        <w:rPr>
          <w:rFonts w:ascii="Arial" w:hAnsi="Arial" w:cs="Arial"/>
          <w:spacing w:val="-3"/>
          <w:sz w:val="24"/>
          <w:szCs w:val="24"/>
        </w:rPr>
      </w:pPr>
      <w:r w:rsidRPr="0040000F">
        <w:rPr>
          <w:rFonts w:ascii="Arial" w:hAnsi="Arial" w:cs="Arial"/>
          <w:b/>
          <w:spacing w:val="-3"/>
          <w:sz w:val="24"/>
          <w:szCs w:val="24"/>
        </w:rPr>
        <w:t xml:space="preserve">“PRIMERA: </w:t>
      </w:r>
      <w:r w:rsidRPr="0040000F">
        <w:rPr>
          <w:rFonts w:ascii="Arial" w:hAnsi="Arial" w:cs="Arial"/>
          <w:spacing w:val="-3"/>
          <w:sz w:val="24"/>
          <w:szCs w:val="24"/>
        </w:rPr>
        <w:t xml:space="preserve">Que se declare que el </w:t>
      </w:r>
      <w:r w:rsidRPr="0040000F">
        <w:rPr>
          <w:rFonts w:ascii="Arial" w:hAnsi="Arial" w:cs="Arial"/>
          <w:b/>
          <w:spacing w:val="-3"/>
          <w:sz w:val="24"/>
          <w:szCs w:val="24"/>
        </w:rPr>
        <w:t xml:space="preserve">INSTITUTO NACIONAL DE VÍAS, </w:t>
      </w:r>
      <w:r w:rsidRPr="0040000F">
        <w:rPr>
          <w:rFonts w:ascii="Arial" w:hAnsi="Arial" w:cs="Arial"/>
          <w:spacing w:val="-3"/>
          <w:sz w:val="24"/>
          <w:szCs w:val="24"/>
        </w:rPr>
        <w:t xml:space="preserve">anteriormente </w:t>
      </w:r>
      <w:r w:rsidRPr="0040000F">
        <w:rPr>
          <w:rFonts w:ascii="Arial" w:hAnsi="Arial" w:cs="Arial"/>
          <w:b/>
          <w:spacing w:val="-3"/>
          <w:sz w:val="24"/>
          <w:szCs w:val="24"/>
        </w:rPr>
        <w:t xml:space="preserve">FONDO VIAL NACIONAL </w:t>
      </w:r>
      <w:r w:rsidRPr="0040000F">
        <w:rPr>
          <w:rFonts w:ascii="Arial" w:hAnsi="Arial" w:cs="Arial"/>
          <w:spacing w:val="-3"/>
          <w:sz w:val="24"/>
          <w:szCs w:val="24"/>
        </w:rPr>
        <w:t xml:space="preserve">se enriqueció injustamente en empobrecimiento correlativo de los patrimonios económicos de las firmas </w:t>
      </w:r>
      <w:r w:rsidRPr="0040000F">
        <w:rPr>
          <w:rFonts w:ascii="Arial" w:hAnsi="Arial" w:cs="Arial"/>
          <w:b/>
          <w:spacing w:val="-3"/>
          <w:sz w:val="24"/>
          <w:szCs w:val="24"/>
        </w:rPr>
        <w:t xml:space="preserve">SOCIEDAD BOTERO AGUILAR Y CÍA. Y SOCIEDAD CONSORCIO NACIONAL DE INGENIEROS CONTRATISTAS CONIC S.A., </w:t>
      </w:r>
      <w:r w:rsidRPr="0040000F">
        <w:rPr>
          <w:rFonts w:ascii="Arial" w:hAnsi="Arial" w:cs="Arial"/>
          <w:spacing w:val="-3"/>
          <w:sz w:val="24"/>
          <w:szCs w:val="24"/>
        </w:rPr>
        <w:t xml:space="preserve">en la suma de </w:t>
      </w:r>
      <w:r w:rsidRPr="0040000F">
        <w:rPr>
          <w:rFonts w:ascii="Arial" w:hAnsi="Arial" w:cs="Arial"/>
          <w:b/>
          <w:spacing w:val="-3"/>
          <w:sz w:val="24"/>
          <w:szCs w:val="24"/>
        </w:rPr>
        <w:t xml:space="preserve">CIENTO TREINTA Y SEIS MILLONES DOCE MIL SEISCIENTOS CUARENTA PESOS ($136.012.640) M/CTE, </w:t>
      </w:r>
      <w:r w:rsidRPr="0040000F">
        <w:rPr>
          <w:rFonts w:ascii="Arial" w:hAnsi="Arial" w:cs="Arial"/>
          <w:spacing w:val="-3"/>
          <w:sz w:val="24"/>
          <w:szCs w:val="24"/>
        </w:rPr>
        <w:t>sufriendo así un desequilibrio económico por los perjuicios ocasionados durante la ejecución del contrato 559 de 1976 y sus contratos adicionales, valor que se determina a origen del contrato.</w:t>
      </w:r>
    </w:p>
    <w:p w:rsidR="008D6398" w:rsidRPr="0040000F" w:rsidRDefault="008D6398" w:rsidP="000D3EF6">
      <w:pPr>
        <w:tabs>
          <w:tab w:val="left" w:pos="-720"/>
        </w:tabs>
        <w:suppressAutoHyphens/>
        <w:ind w:left="708"/>
        <w:jc w:val="both"/>
        <w:rPr>
          <w:rFonts w:ascii="Arial" w:hAnsi="Arial" w:cs="Arial"/>
          <w:i/>
          <w:spacing w:val="-3"/>
          <w:sz w:val="24"/>
          <w:szCs w:val="24"/>
        </w:rPr>
      </w:pPr>
    </w:p>
    <w:p w:rsidR="008D6398" w:rsidRPr="0040000F" w:rsidRDefault="008D6398" w:rsidP="000D3EF6">
      <w:pPr>
        <w:tabs>
          <w:tab w:val="left" w:pos="-720"/>
        </w:tabs>
        <w:suppressAutoHyphens/>
        <w:ind w:left="708"/>
        <w:jc w:val="both"/>
        <w:rPr>
          <w:rFonts w:ascii="Arial" w:hAnsi="Arial" w:cs="Arial"/>
          <w:spacing w:val="-3"/>
          <w:sz w:val="24"/>
          <w:szCs w:val="24"/>
        </w:rPr>
      </w:pPr>
      <w:r w:rsidRPr="0040000F">
        <w:rPr>
          <w:rFonts w:ascii="Arial" w:hAnsi="Arial" w:cs="Arial"/>
          <w:spacing w:val="-3"/>
          <w:sz w:val="24"/>
          <w:szCs w:val="24"/>
        </w:rPr>
        <w:t>“</w:t>
      </w:r>
      <w:r w:rsidRPr="0040000F">
        <w:rPr>
          <w:rFonts w:ascii="Arial" w:hAnsi="Arial" w:cs="Arial"/>
          <w:b/>
          <w:spacing w:val="-3"/>
          <w:sz w:val="24"/>
          <w:szCs w:val="24"/>
        </w:rPr>
        <w:t xml:space="preserve">SEGUNDA: </w:t>
      </w:r>
      <w:r w:rsidRPr="0040000F">
        <w:rPr>
          <w:rFonts w:ascii="Arial" w:hAnsi="Arial" w:cs="Arial"/>
          <w:spacing w:val="-3"/>
          <w:sz w:val="24"/>
          <w:szCs w:val="24"/>
        </w:rPr>
        <w:t xml:space="preserve">Que como consecuencia de la anterior declaración y a título de indemnización, se condene al </w:t>
      </w:r>
      <w:r w:rsidRPr="0040000F">
        <w:rPr>
          <w:rFonts w:ascii="Arial" w:hAnsi="Arial" w:cs="Arial"/>
          <w:b/>
          <w:spacing w:val="-3"/>
          <w:sz w:val="24"/>
          <w:szCs w:val="24"/>
        </w:rPr>
        <w:t xml:space="preserve">INSTITUTO NACIONAL DE VÍAS </w:t>
      </w:r>
      <w:r w:rsidRPr="0040000F">
        <w:rPr>
          <w:rFonts w:ascii="Arial" w:hAnsi="Arial" w:cs="Arial"/>
          <w:spacing w:val="-3"/>
          <w:sz w:val="24"/>
          <w:szCs w:val="24"/>
        </w:rPr>
        <w:t xml:space="preserve">a reconocer y pagar a </w:t>
      </w:r>
      <w:r w:rsidRPr="0040000F">
        <w:rPr>
          <w:rFonts w:ascii="Arial" w:hAnsi="Arial" w:cs="Arial"/>
          <w:b/>
          <w:spacing w:val="-3"/>
          <w:sz w:val="24"/>
          <w:szCs w:val="24"/>
        </w:rPr>
        <w:t xml:space="preserve">BOTERO AGUILAR Y CÍA y a CONSORCIO NACIONAL DE INGENIEROS CONTRATISTAS CONIC S.A. </w:t>
      </w:r>
      <w:r w:rsidRPr="0040000F">
        <w:rPr>
          <w:rFonts w:ascii="Arial" w:hAnsi="Arial" w:cs="Arial"/>
          <w:spacing w:val="-3"/>
          <w:sz w:val="24"/>
          <w:szCs w:val="24"/>
        </w:rPr>
        <w:t xml:space="preserve">la suma de </w:t>
      </w:r>
      <w:r w:rsidRPr="0040000F">
        <w:rPr>
          <w:rFonts w:ascii="Arial" w:hAnsi="Arial" w:cs="Arial"/>
          <w:b/>
          <w:spacing w:val="-3"/>
          <w:sz w:val="24"/>
          <w:szCs w:val="24"/>
        </w:rPr>
        <w:t xml:space="preserve">CIENTO TREINTA Y SEIS MILLONES DOCE MIL SEISCIENTOS CUARENTA PESOS ($136.012.640) M/CTE, </w:t>
      </w:r>
      <w:r w:rsidRPr="0040000F">
        <w:rPr>
          <w:rFonts w:ascii="Arial" w:hAnsi="Arial" w:cs="Arial"/>
          <w:spacing w:val="-3"/>
          <w:sz w:val="24"/>
          <w:szCs w:val="24"/>
        </w:rPr>
        <w:t>más los interés por Mora en Pago de Actas de avance de obra en las cuantías que se determinen dentro del proceso, a título de daño emergente”.</w:t>
      </w:r>
    </w:p>
    <w:p w:rsidR="008D6398" w:rsidRPr="0040000F" w:rsidRDefault="008D6398" w:rsidP="000D3EF6">
      <w:pPr>
        <w:tabs>
          <w:tab w:val="left" w:pos="-720"/>
        </w:tabs>
        <w:suppressAutoHyphens/>
        <w:ind w:left="708"/>
        <w:jc w:val="both"/>
        <w:rPr>
          <w:rFonts w:ascii="Arial" w:hAnsi="Arial" w:cs="Arial"/>
          <w:spacing w:val="-3"/>
          <w:sz w:val="24"/>
          <w:szCs w:val="24"/>
        </w:rPr>
      </w:pPr>
    </w:p>
    <w:p w:rsidR="008D6398" w:rsidRPr="0040000F" w:rsidRDefault="008D6398" w:rsidP="000D3EF6">
      <w:pPr>
        <w:tabs>
          <w:tab w:val="left" w:pos="-720"/>
        </w:tabs>
        <w:suppressAutoHyphens/>
        <w:spacing w:line="360" w:lineRule="auto"/>
        <w:jc w:val="both"/>
        <w:rPr>
          <w:rFonts w:ascii="Arial" w:hAnsi="Arial" w:cs="Arial"/>
          <w:i/>
          <w:spacing w:val="-3"/>
          <w:sz w:val="24"/>
          <w:szCs w:val="24"/>
        </w:rPr>
      </w:pPr>
    </w:p>
    <w:p w:rsidR="008D6398" w:rsidRPr="0040000F" w:rsidRDefault="008D6398" w:rsidP="000D3EF6">
      <w:pPr>
        <w:tabs>
          <w:tab w:val="left" w:pos="-720"/>
        </w:tabs>
        <w:suppressAutoHyphens/>
        <w:spacing w:line="360" w:lineRule="auto"/>
        <w:jc w:val="both"/>
        <w:rPr>
          <w:rFonts w:ascii="Arial" w:hAnsi="Arial" w:cs="Arial"/>
          <w:spacing w:val="-3"/>
          <w:sz w:val="24"/>
          <w:szCs w:val="24"/>
        </w:rPr>
      </w:pPr>
      <w:r w:rsidRPr="0040000F">
        <w:rPr>
          <w:rFonts w:ascii="Arial" w:hAnsi="Arial" w:cs="Arial"/>
          <w:spacing w:val="-3"/>
          <w:sz w:val="24"/>
          <w:szCs w:val="24"/>
        </w:rPr>
        <w:t>2.- Surtido el trámite de primera instancia, el Tribunal Administrativo de San Andrés, Providencia y Santa Catalina, mediante sentencia del 28 de mayo de 2015</w:t>
      </w:r>
      <w:r w:rsidRPr="0040000F">
        <w:rPr>
          <w:rStyle w:val="Refdenotaalpie"/>
          <w:rFonts w:ascii="Arial" w:hAnsi="Arial" w:cs="Arial"/>
          <w:spacing w:val="-3"/>
          <w:sz w:val="24"/>
          <w:szCs w:val="24"/>
        </w:rPr>
        <w:footnoteReference w:id="1"/>
      </w:r>
      <w:r w:rsidRPr="0040000F">
        <w:rPr>
          <w:rFonts w:ascii="Arial" w:hAnsi="Arial" w:cs="Arial"/>
          <w:spacing w:val="-3"/>
          <w:sz w:val="24"/>
          <w:szCs w:val="24"/>
        </w:rPr>
        <w:t>, negó las pretensiones de la demanda, para lo cual señaló que el demandante omitió solicitar la declaratoria de incumplimiento del prenombrado contrato y prescindió de una carga probatoria suficiente para acreditar las condiciones contractuales iniciales.</w:t>
      </w:r>
    </w:p>
    <w:p w:rsidR="008D6398" w:rsidRPr="0040000F" w:rsidRDefault="008D6398" w:rsidP="000D3EF6">
      <w:pPr>
        <w:tabs>
          <w:tab w:val="left" w:pos="-720"/>
        </w:tabs>
        <w:suppressAutoHyphens/>
        <w:spacing w:line="360" w:lineRule="auto"/>
        <w:jc w:val="both"/>
        <w:rPr>
          <w:rFonts w:ascii="Arial" w:hAnsi="Arial" w:cs="Arial"/>
          <w:spacing w:val="-3"/>
          <w:sz w:val="24"/>
          <w:szCs w:val="24"/>
        </w:rPr>
      </w:pPr>
    </w:p>
    <w:p w:rsidR="008D6398" w:rsidRPr="0040000F" w:rsidRDefault="008D6398" w:rsidP="000D3EF6">
      <w:pPr>
        <w:tabs>
          <w:tab w:val="left" w:pos="-720"/>
        </w:tabs>
        <w:suppressAutoHyphens/>
        <w:spacing w:line="360" w:lineRule="auto"/>
        <w:jc w:val="both"/>
        <w:rPr>
          <w:rFonts w:ascii="Arial" w:hAnsi="Arial" w:cs="Arial"/>
          <w:spacing w:val="-3"/>
          <w:sz w:val="24"/>
          <w:szCs w:val="24"/>
        </w:rPr>
      </w:pPr>
      <w:r w:rsidRPr="0040000F">
        <w:rPr>
          <w:rFonts w:ascii="Arial" w:hAnsi="Arial" w:cs="Arial"/>
          <w:spacing w:val="-3"/>
          <w:sz w:val="24"/>
          <w:szCs w:val="24"/>
        </w:rPr>
        <w:lastRenderedPageBreak/>
        <w:t>3.- Contra la anterior decisión, la parte demandante formuló recurso de apelación</w:t>
      </w:r>
      <w:r w:rsidRPr="0040000F">
        <w:rPr>
          <w:rStyle w:val="Refdenotaalpie"/>
          <w:rFonts w:ascii="Arial" w:hAnsi="Arial" w:cs="Arial"/>
          <w:spacing w:val="-3"/>
          <w:sz w:val="24"/>
          <w:szCs w:val="24"/>
        </w:rPr>
        <w:footnoteReference w:id="2"/>
      </w:r>
      <w:r w:rsidRPr="0040000F">
        <w:rPr>
          <w:rFonts w:ascii="Arial" w:hAnsi="Arial" w:cs="Arial"/>
          <w:spacing w:val="-3"/>
          <w:sz w:val="24"/>
          <w:szCs w:val="24"/>
        </w:rPr>
        <w:t xml:space="preserve">, para lo cual adujo que el desequilibrio económico se encontraba probado dentro del proceso, comoquiera que en el expediente reposaban los documentos que así lo acreditaban. </w:t>
      </w:r>
    </w:p>
    <w:p w:rsidR="008D6398" w:rsidRPr="0040000F" w:rsidRDefault="008D6398" w:rsidP="000D3EF6">
      <w:pPr>
        <w:tabs>
          <w:tab w:val="left" w:pos="1080"/>
        </w:tabs>
        <w:spacing w:line="360" w:lineRule="auto"/>
        <w:jc w:val="center"/>
        <w:rPr>
          <w:rFonts w:ascii="Arial" w:hAnsi="Arial" w:cs="Arial"/>
          <w:b/>
          <w:sz w:val="24"/>
          <w:szCs w:val="24"/>
        </w:rPr>
      </w:pPr>
    </w:p>
    <w:p w:rsidR="008D6398" w:rsidRPr="0040000F" w:rsidRDefault="008D6398" w:rsidP="000D3EF6">
      <w:pPr>
        <w:tabs>
          <w:tab w:val="left" w:pos="1080"/>
        </w:tabs>
        <w:spacing w:line="360" w:lineRule="auto"/>
        <w:jc w:val="center"/>
        <w:rPr>
          <w:rFonts w:ascii="Arial" w:hAnsi="Arial" w:cs="Arial"/>
          <w:b/>
          <w:sz w:val="24"/>
          <w:szCs w:val="24"/>
        </w:rPr>
      </w:pPr>
      <w:r w:rsidRPr="0040000F">
        <w:rPr>
          <w:rFonts w:ascii="Arial" w:hAnsi="Arial" w:cs="Arial"/>
          <w:b/>
          <w:sz w:val="24"/>
          <w:szCs w:val="24"/>
        </w:rPr>
        <w:t>CONSIDERACIONES</w:t>
      </w:r>
    </w:p>
    <w:p w:rsidR="008D6398" w:rsidRPr="0040000F" w:rsidRDefault="008D6398" w:rsidP="000D3EF6">
      <w:pPr>
        <w:tabs>
          <w:tab w:val="left" w:pos="1080"/>
        </w:tabs>
        <w:spacing w:line="360" w:lineRule="auto"/>
        <w:jc w:val="center"/>
        <w:rPr>
          <w:rFonts w:ascii="Arial" w:hAnsi="Arial" w:cs="Arial"/>
          <w:b/>
          <w:sz w:val="24"/>
          <w:szCs w:val="24"/>
        </w:rPr>
      </w:pPr>
    </w:p>
    <w:p w:rsidR="008D6398" w:rsidRPr="0040000F" w:rsidRDefault="008D6398" w:rsidP="000D3EF6">
      <w:pPr>
        <w:pStyle w:val="Sangra3detindependiente1"/>
        <w:spacing w:after="220"/>
        <w:ind w:firstLine="0"/>
        <w:rPr>
          <w:rFonts w:ascii="Arial" w:hAnsi="Arial" w:cs="Arial"/>
          <w:bCs/>
          <w:sz w:val="24"/>
          <w:szCs w:val="24"/>
          <w:lang w:val="es-CO"/>
        </w:rPr>
      </w:pPr>
      <w:r w:rsidRPr="0040000F">
        <w:rPr>
          <w:rFonts w:ascii="Arial" w:hAnsi="Arial" w:cs="Arial"/>
          <w:bCs/>
          <w:sz w:val="24"/>
          <w:szCs w:val="24"/>
          <w:lang w:val="es-CO"/>
        </w:rPr>
        <w:t xml:space="preserve">Advierte el despacho que, por la cuantía del negocio, no es procedente tramitar el recurso de apelación interpuesto contra la sentencia del 28 de mayo de 2015, proferida por </w:t>
      </w:r>
      <w:r w:rsidRPr="0040000F">
        <w:rPr>
          <w:rFonts w:ascii="Arial" w:hAnsi="Arial" w:cs="Arial"/>
          <w:spacing w:val="-3"/>
          <w:sz w:val="24"/>
          <w:szCs w:val="24"/>
        </w:rPr>
        <w:t>el Tribunal Administrativo de San Andrés, Providencia y Santa Catalina</w:t>
      </w:r>
      <w:r w:rsidRPr="0040000F">
        <w:rPr>
          <w:rFonts w:ascii="Arial" w:hAnsi="Arial" w:cs="Arial"/>
          <w:bCs/>
          <w:sz w:val="24"/>
          <w:szCs w:val="24"/>
          <w:lang w:val="es-CO"/>
        </w:rPr>
        <w:t>.</w:t>
      </w:r>
    </w:p>
    <w:p w:rsidR="008D6398" w:rsidRPr="0040000F" w:rsidRDefault="008D6398" w:rsidP="000D3EF6">
      <w:pPr>
        <w:spacing w:line="360" w:lineRule="auto"/>
        <w:jc w:val="both"/>
        <w:rPr>
          <w:rFonts w:ascii="Arial" w:hAnsi="Arial" w:cs="Arial"/>
          <w:bCs/>
          <w:sz w:val="24"/>
          <w:szCs w:val="24"/>
        </w:rPr>
      </w:pPr>
      <w:r w:rsidRPr="0040000F">
        <w:rPr>
          <w:rFonts w:ascii="Arial" w:hAnsi="Arial" w:cs="Arial"/>
          <w:bCs/>
          <w:sz w:val="24"/>
          <w:szCs w:val="24"/>
        </w:rPr>
        <w:t>En efecto, para la fecha de presentación de la demanda (19 de junio de 2001) se encontraban vigentes los artículos 37 y 40 de la Ley 446 de 1998, los cuales definieron las competencias de los Tribunales Administrativos en primera instancia y del Consejo de Estado en segunda instancia.</w:t>
      </w:r>
    </w:p>
    <w:p w:rsidR="008D6398" w:rsidRPr="0040000F" w:rsidRDefault="008D6398" w:rsidP="000D3EF6">
      <w:pPr>
        <w:spacing w:line="360" w:lineRule="auto"/>
        <w:ind w:firstLine="708"/>
        <w:jc w:val="both"/>
        <w:rPr>
          <w:rFonts w:ascii="Arial" w:hAnsi="Arial" w:cs="Arial"/>
          <w:bCs/>
          <w:sz w:val="24"/>
          <w:szCs w:val="24"/>
        </w:rPr>
      </w:pPr>
    </w:p>
    <w:p w:rsidR="008D6398" w:rsidRPr="0040000F" w:rsidRDefault="008D6398" w:rsidP="000D3EF6">
      <w:pPr>
        <w:spacing w:line="360" w:lineRule="auto"/>
        <w:jc w:val="both"/>
        <w:rPr>
          <w:rFonts w:ascii="Arial" w:hAnsi="Arial" w:cs="Arial"/>
          <w:bCs/>
          <w:sz w:val="24"/>
          <w:szCs w:val="24"/>
        </w:rPr>
      </w:pPr>
      <w:r w:rsidRPr="0040000F">
        <w:rPr>
          <w:rFonts w:ascii="Arial" w:hAnsi="Arial" w:cs="Arial"/>
          <w:bCs/>
          <w:sz w:val="24"/>
          <w:szCs w:val="24"/>
        </w:rPr>
        <w:t>El artículo 129 del C.C.A., modificado por el artículo 37 de la Ley 446 de 1998, dispone:</w:t>
      </w:r>
    </w:p>
    <w:p w:rsidR="008D6398" w:rsidRPr="0040000F" w:rsidRDefault="008D6398" w:rsidP="000D3EF6">
      <w:pPr>
        <w:spacing w:line="360" w:lineRule="auto"/>
        <w:ind w:firstLine="708"/>
        <w:jc w:val="both"/>
        <w:rPr>
          <w:rFonts w:ascii="Arial" w:hAnsi="Arial" w:cs="Arial"/>
          <w:bCs/>
          <w:sz w:val="24"/>
          <w:szCs w:val="24"/>
        </w:rPr>
      </w:pPr>
    </w:p>
    <w:p w:rsidR="008D6398" w:rsidRPr="0040000F" w:rsidRDefault="008D6398" w:rsidP="000D3EF6">
      <w:pPr>
        <w:tabs>
          <w:tab w:val="left" w:pos="8222"/>
        </w:tabs>
        <w:ind w:left="720" w:right="618"/>
        <w:jc w:val="both"/>
        <w:rPr>
          <w:rFonts w:ascii="Arial" w:hAnsi="Arial" w:cs="Arial"/>
          <w:bCs/>
          <w:sz w:val="24"/>
          <w:szCs w:val="24"/>
        </w:rPr>
      </w:pPr>
      <w:r w:rsidRPr="0040000F">
        <w:rPr>
          <w:rFonts w:ascii="Arial" w:hAnsi="Arial" w:cs="Arial"/>
          <w:bCs/>
          <w:sz w:val="24"/>
          <w:szCs w:val="24"/>
        </w:rPr>
        <w:t>“</w:t>
      </w:r>
      <w:r w:rsidRPr="0040000F">
        <w:rPr>
          <w:rFonts w:ascii="Arial" w:hAnsi="Arial" w:cs="Arial"/>
          <w:sz w:val="24"/>
          <w:szCs w:val="24"/>
        </w:rPr>
        <w:t>Art. 129.</w:t>
      </w:r>
      <w:r w:rsidRPr="0040000F">
        <w:rPr>
          <w:rFonts w:ascii="Arial" w:hAnsi="Arial" w:cs="Arial"/>
          <w:b/>
          <w:sz w:val="24"/>
          <w:szCs w:val="24"/>
        </w:rPr>
        <w:t xml:space="preserve"> </w:t>
      </w:r>
      <w:r w:rsidRPr="0040000F">
        <w:rPr>
          <w:rFonts w:ascii="Arial" w:hAnsi="Arial" w:cs="Arial"/>
          <w:bCs/>
          <w:iCs/>
          <w:sz w:val="24"/>
          <w:szCs w:val="24"/>
        </w:rPr>
        <w:t xml:space="preserve">Modificado Decreto 597 de 1988, artículo 2. Modificado por la Ley 446 de 1998, art. 37: </w:t>
      </w:r>
      <w:r w:rsidRPr="0040000F">
        <w:rPr>
          <w:rFonts w:ascii="Arial" w:hAnsi="Arial" w:cs="Arial"/>
          <w:bCs/>
          <w:sz w:val="24"/>
          <w:szCs w:val="24"/>
        </w:rPr>
        <w:t>El Consejo de Estado, en la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recurso de apelación o se conceda en un efecto distinto del que corresponda, o no se conceda el extraordinario de revisión.</w:t>
      </w:r>
    </w:p>
    <w:p w:rsidR="008D6398" w:rsidRPr="0040000F" w:rsidRDefault="008D6398" w:rsidP="000D3EF6">
      <w:pPr>
        <w:tabs>
          <w:tab w:val="left" w:pos="8222"/>
        </w:tabs>
        <w:ind w:left="720" w:right="618"/>
        <w:jc w:val="both"/>
        <w:rPr>
          <w:rFonts w:ascii="Arial" w:hAnsi="Arial" w:cs="Arial"/>
          <w:bCs/>
          <w:sz w:val="24"/>
          <w:szCs w:val="24"/>
        </w:rPr>
      </w:pPr>
    </w:p>
    <w:p w:rsidR="008D6398" w:rsidRPr="0040000F" w:rsidRDefault="008D6398" w:rsidP="000D3EF6">
      <w:pPr>
        <w:tabs>
          <w:tab w:val="left" w:pos="8222"/>
        </w:tabs>
        <w:ind w:left="720" w:right="618"/>
        <w:jc w:val="both"/>
        <w:rPr>
          <w:rFonts w:ascii="Arial" w:hAnsi="Arial" w:cs="Arial"/>
          <w:bCs/>
          <w:sz w:val="24"/>
          <w:szCs w:val="24"/>
        </w:rPr>
      </w:pPr>
      <w:r w:rsidRPr="0040000F">
        <w:rPr>
          <w:rFonts w:ascii="Arial" w:hAnsi="Arial" w:cs="Arial"/>
          <w:bCs/>
          <w:sz w:val="24"/>
          <w:szCs w:val="24"/>
        </w:rPr>
        <w:t>“El grado jurisdiccional de consulta se surtirá en los eventos de que trata el artículo 184 de este Código”.</w:t>
      </w:r>
    </w:p>
    <w:p w:rsidR="008D6398" w:rsidRPr="0040000F" w:rsidRDefault="008D6398" w:rsidP="000D3EF6">
      <w:pPr>
        <w:spacing w:line="360" w:lineRule="auto"/>
        <w:ind w:firstLine="708"/>
        <w:jc w:val="both"/>
        <w:rPr>
          <w:rFonts w:ascii="Arial" w:hAnsi="Arial" w:cs="Arial"/>
          <w:bCs/>
          <w:sz w:val="24"/>
          <w:szCs w:val="24"/>
        </w:rPr>
      </w:pPr>
    </w:p>
    <w:p w:rsidR="008D6398" w:rsidRPr="0040000F" w:rsidRDefault="008D6398" w:rsidP="000D3EF6">
      <w:pPr>
        <w:spacing w:line="360" w:lineRule="auto"/>
        <w:jc w:val="both"/>
        <w:rPr>
          <w:rFonts w:ascii="Arial" w:hAnsi="Arial" w:cs="Arial"/>
          <w:bCs/>
          <w:sz w:val="24"/>
          <w:szCs w:val="24"/>
        </w:rPr>
      </w:pPr>
      <w:r w:rsidRPr="0040000F">
        <w:rPr>
          <w:rFonts w:ascii="Arial" w:hAnsi="Arial" w:cs="Arial"/>
          <w:bCs/>
          <w:sz w:val="24"/>
          <w:szCs w:val="24"/>
        </w:rPr>
        <w:t>A su turno, el artículo 132 ibídem preceptúa:</w:t>
      </w:r>
    </w:p>
    <w:p w:rsidR="008D6398" w:rsidRPr="0040000F" w:rsidRDefault="008D6398" w:rsidP="000D3EF6">
      <w:pPr>
        <w:spacing w:line="360" w:lineRule="auto"/>
        <w:ind w:firstLine="708"/>
        <w:jc w:val="both"/>
        <w:rPr>
          <w:rFonts w:ascii="Arial" w:hAnsi="Arial" w:cs="Arial"/>
          <w:bCs/>
          <w:sz w:val="24"/>
          <w:szCs w:val="24"/>
        </w:rPr>
      </w:pPr>
    </w:p>
    <w:p w:rsidR="008D6398" w:rsidRPr="0040000F" w:rsidRDefault="008D6398" w:rsidP="000D3EF6">
      <w:pPr>
        <w:ind w:left="720" w:right="618"/>
        <w:jc w:val="both"/>
        <w:rPr>
          <w:rFonts w:ascii="Arial" w:hAnsi="Arial" w:cs="Arial"/>
          <w:bCs/>
          <w:sz w:val="24"/>
          <w:szCs w:val="24"/>
        </w:rPr>
      </w:pPr>
      <w:r w:rsidRPr="0040000F">
        <w:rPr>
          <w:rFonts w:ascii="Arial" w:hAnsi="Arial" w:cs="Arial"/>
          <w:bCs/>
          <w:sz w:val="24"/>
          <w:szCs w:val="24"/>
        </w:rPr>
        <w:t>“Art. 132.- Modificado por el Decreto 597 de 1998, artículo 2.  Modificado por la Ley 446 de 1998, artículo 40: Los Tribunales Administrativos conocerán en primera instancia de los siguientes asuntos:</w:t>
      </w:r>
    </w:p>
    <w:p w:rsidR="008D6398" w:rsidRPr="0040000F" w:rsidRDefault="008D6398" w:rsidP="000D3EF6">
      <w:pPr>
        <w:ind w:left="720" w:right="618"/>
        <w:jc w:val="both"/>
        <w:rPr>
          <w:rFonts w:ascii="Arial" w:hAnsi="Arial" w:cs="Arial"/>
          <w:bCs/>
          <w:sz w:val="24"/>
          <w:szCs w:val="24"/>
        </w:rPr>
      </w:pPr>
    </w:p>
    <w:p w:rsidR="008D6398" w:rsidRPr="0040000F" w:rsidRDefault="008D6398" w:rsidP="000D3EF6">
      <w:pPr>
        <w:ind w:left="720" w:right="618"/>
        <w:jc w:val="both"/>
        <w:rPr>
          <w:rFonts w:ascii="Arial" w:hAnsi="Arial" w:cs="Arial"/>
          <w:bCs/>
          <w:sz w:val="24"/>
          <w:szCs w:val="24"/>
        </w:rPr>
      </w:pPr>
      <w:r w:rsidRPr="0040000F">
        <w:rPr>
          <w:rFonts w:ascii="Arial" w:hAnsi="Arial" w:cs="Arial"/>
          <w:bCs/>
          <w:sz w:val="24"/>
          <w:szCs w:val="24"/>
        </w:rPr>
        <w:t>(...)</w:t>
      </w:r>
    </w:p>
    <w:p w:rsidR="008D6398" w:rsidRPr="0040000F" w:rsidRDefault="008D6398" w:rsidP="000D3EF6">
      <w:pPr>
        <w:ind w:left="720" w:right="618"/>
        <w:jc w:val="both"/>
        <w:rPr>
          <w:rFonts w:ascii="Arial" w:hAnsi="Arial" w:cs="Arial"/>
          <w:bCs/>
          <w:sz w:val="24"/>
          <w:szCs w:val="24"/>
        </w:rPr>
      </w:pPr>
    </w:p>
    <w:p w:rsidR="008D6398" w:rsidRPr="0040000F" w:rsidRDefault="008D6398" w:rsidP="000D3EF6">
      <w:pPr>
        <w:ind w:left="720" w:right="618"/>
        <w:jc w:val="both"/>
        <w:rPr>
          <w:rFonts w:ascii="Arial" w:hAnsi="Arial" w:cs="Arial"/>
          <w:bCs/>
          <w:sz w:val="24"/>
          <w:szCs w:val="24"/>
        </w:rPr>
      </w:pPr>
      <w:r w:rsidRPr="0040000F">
        <w:rPr>
          <w:rFonts w:ascii="Arial" w:hAnsi="Arial" w:cs="Arial"/>
          <w:bCs/>
          <w:sz w:val="24"/>
          <w:szCs w:val="24"/>
        </w:rPr>
        <w:t xml:space="preserve">7. De los referentes 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 </w:t>
      </w:r>
    </w:p>
    <w:p w:rsidR="008D6398" w:rsidRPr="0040000F" w:rsidRDefault="008D6398" w:rsidP="000D3EF6">
      <w:pPr>
        <w:spacing w:line="360" w:lineRule="auto"/>
        <w:ind w:firstLine="708"/>
        <w:jc w:val="both"/>
        <w:rPr>
          <w:rFonts w:ascii="Arial" w:hAnsi="Arial" w:cs="Arial"/>
          <w:bCs/>
          <w:sz w:val="24"/>
          <w:szCs w:val="24"/>
        </w:rPr>
      </w:pPr>
    </w:p>
    <w:p w:rsidR="008D6398" w:rsidRPr="0040000F" w:rsidRDefault="008D6398" w:rsidP="000D3EF6">
      <w:pPr>
        <w:spacing w:line="360" w:lineRule="auto"/>
        <w:jc w:val="both"/>
        <w:rPr>
          <w:rFonts w:ascii="Arial" w:hAnsi="Arial" w:cs="Arial"/>
          <w:bCs/>
          <w:sz w:val="24"/>
          <w:szCs w:val="24"/>
        </w:rPr>
      </w:pPr>
      <w:r w:rsidRPr="0040000F">
        <w:rPr>
          <w:rFonts w:ascii="Arial" w:hAnsi="Arial" w:cs="Arial"/>
          <w:bCs/>
          <w:sz w:val="24"/>
          <w:szCs w:val="24"/>
        </w:rPr>
        <w:lastRenderedPageBreak/>
        <w:t>En cuanto a la forma de establecer la cuantía del proceso, los numerales 1 y 2 del artículo 20 del C. de P.C., aplicables por remisión expresa del inciso primero del artículo 134E del C.C.A., señalan que se determinará por el valor de las pretensiones al tiempo de la demanda, sin tomar en cuenta los frutos, intereses, multas o perjuicios reclamados como accesorios, que se causen con posterioridad a la presentación de aquélla y, en el caso de acumulación de varias pretensiones, por el valor de la pretensión mayor.</w:t>
      </w:r>
    </w:p>
    <w:p w:rsidR="008D6398" w:rsidRPr="0040000F" w:rsidRDefault="008D6398" w:rsidP="000D3EF6">
      <w:pPr>
        <w:spacing w:line="360" w:lineRule="auto"/>
        <w:ind w:firstLine="708"/>
        <w:jc w:val="both"/>
        <w:rPr>
          <w:rFonts w:ascii="Arial" w:hAnsi="Arial" w:cs="Arial"/>
          <w:bCs/>
          <w:sz w:val="24"/>
          <w:szCs w:val="24"/>
        </w:rPr>
      </w:pPr>
    </w:p>
    <w:p w:rsidR="008D6398" w:rsidRPr="0040000F" w:rsidRDefault="008D6398" w:rsidP="000D3EF6">
      <w:pPr>
        <w:spacing w:line="360" w:lineRule="auto"/>
        <w:jc w:val="both"/>
        <w:rPr>
          <w:rFonts w:ascii="Arial" w:hAnsi="Arial" w:cs="Arial"/>
          <w:bCs/>
          <w:sz w:val="24"/>
          <w:szCs w:val="24"/>
        </w:rPr>
      </w:pPr>
      <w:r w:rsidRPr="0040000F">
        <w:rPr>
          <w:rFonts w:ascii="Arial" w:hAnsi="Arial" w:cs="Arial"/>
          <w:bCs/>
          <w:sz w:val="24"/>
          <w:szCs w:val="24"/>
        </w:rPr>
        <w:t xml:space="preserve">En el </w:t>
      </w:r>
      <w:r w:rsidRPr="0040000F">
        <w:rPr>
          <w:rFonts w:ascii="Arial" w:hAnsi="Arial" w:cs="Arial"/>
          <w:bCs/>
          <w:i/>
          <w:sz w:val="24"/>
          <w:szCs w:val="24"/>
        </w:rPr>
        <w:t>sub-lite</w:t>
      </w:r>
      <w:r w:rsidRPr="0040000F">
        <w:rPr>
          <w:rFonts w:ascii="Arial" w:hAnsi="Arial" w:cs="Arial"/>
          <w:bCs/>
          <w:sz w:val="24"/>
          <w:szCs w:val="24"/>
        </w:rPr>
        <w:t xml:space="preserve">, el demandante solicitó, como consecuencia de la declaratoria de desequilibrio económico del contrato, se condenara al Instituto Nacional de Vías – INVÍAS – a pagar la suma de $136’012.640 más los intereses, así como las costas y gastos respectivos. </w:t>
      </w:r>
    </w:p>
    <w:p w:rsidR="008D6398" w:rsidRPr="0040000F" w:rsidRDefault="008D6398" w:rsidP="000D3EF6">
      <w:pPr>
        <w:tabs>
          <w:tab w:val="left" w:pos="1080"/>
        </w:tabs>
        <w:spacing w:line="360" w:lineRule="auto"/>
        <w:jc w:val="both"/>
        <w:rPr>
          <w:rFonts w:ascii="Arial" w:hAnsi="Arial" w:cs="Arial"/>
          <w:sz w:val="24"/>
          <w:szCs w:val="24"/>
        </w:rPr>
      </w:pPr>
    </w:p>
    <w:p w:rsidR="008D6398" w:rsidRPr="0040000F" w:rsidRDefault="008D6398" w:rsidP="000D3EF6">
      <w:pPr>
        <w:spacing w:line="360" w:lineRule="auto"/>
        <w:jc w:val="both"/>
        <w:rPr>
          <w:rFonts w:ascii="Arial" w:hAnsi="Arial" w:cs="Arial"/>
          <w:bCs/>
          <w:sz w:val="24"/>
          <w:szCs w:val="24"/>
        </w:rPr>
      </w:pPr>
      <w:r w:rsidRPr="0040000F">
        <w:rPr>
          <w:rFonts w:ascii="Arial" w:hAnsi="Arial" w:cs="Arial"/>
          <w:bCs/>
          <w:sz w:val="24"/>
          <w:szCs w:val="24"/>
        </w:rPr>
        <w:t>Pues bien, de acuerdo con las normas señaladas anteriormente, la cuantía para acceder a la segunda instancia para el 19 de junio de 2001, en procesos de controversias contractuales que se tramiten en esta Corporación, era de $143’000.000 suma que se obtiene de multiplicar 500 por el valor del salario mínimo legal mensual vigente para 2001 ($286.000) y que no alcanza a tener el presente proceso, en el que la pretensión se tasó en 136’012.640.</w:t>
      </w:r>
    </w:p>
    <w:p w:rsidR="008D6398" w:rsidRPr="0040000F" w:rsidRDefault="008D6398" w:rsidP="000D3EF6">
      <w:pPr>
        <w:tabs>
          <w:tab w:val="left" w:pos="1080"/>
        </w:tabs>
        <w:spacing w:line="360" w:lineRule="auto"/>
        <w:jc w:val="both"/>
        <w:rPr>
          <w:rFonts w:ascii="Arial" w:hAnsi="Arial" w:cs="Arial"/>
          <w:sz w:val="24"/>
          <w:szCs w:val="24"/>
        </w:rPr>
      </w:pPr>
    </w:p>
    <w:p w:rsidR="008D6398" w:rsidRPr="0040000F" w:rsidRDefault="008D6398" w:rsidP="000D3EF6">
      <w:pPr>
        <w:tabs>
          <w:tab w:val="left" w:pos="1080"/>
        </w:tabs>
        <w:spacing w:line="360" w:lineRule="auto"/>
        <w:jc w:val="both"/>
        <w:rPr>
          <w:rFonts w:ascii="Arial" w:hAnsi="Arial" w:cs="Arial"/>
          <w:sz w:val="24"/>
          <w:szCs w:val="24"/>
        </w:rPr>
      </w:pPr>
    </w:p>
    <w:p w:rsidR="008D6398" w:rsidRPr="0040000F" w:rsidRDefault="008D6398" w:rsidP="000D3EF6">
      <w:pPr>
        <w:tabs>
          <w:tab w:val="left" w:pos="1080"/>
        </w:tabs>
        <w:spacing w:line="360" w:lineRule="auto"/>
        <w:jc w:val="both"/>
        <w:rPr>
          <w:rFonts w:ascii="Arial" w:hAnsi="Arial" w:cs="Arial"/>
          <w:sz w:val="24"/>
          <w:szCs w:val="24"/>
        </w:rPr>
      </w:pPr>
    </w:p>
    <w:p w:rsidR="008D6398" w:rsidRPr="0040000F" w:rsidRDefault="008D6398" w:rsidP="000D3EF6">
      <w:pPr>
        <w:tabs>
          <w:tab w:val="left" w:pos="1080"/>
        </w:tabs>
        <w:spacing w:line="360" w:lineRule="auto"/>
        <w:jc w:val="both"/>
        <w:rPr>
          <w:rFonts w:ascii="Arial" w:hAnsi="Arial" w:cs="Arial"/>
          <w:sz w:val="24"/>
          <w:szCs w:val="24"/>
        </w:rPr>
      </w:pPr>
    </w:p>
    <w:p w:rsidR="008D6398" w:rsidRPr="0040000F" w:rsidRDefault="008D6398" w:rsidP="000D3EF6">
      <w:pPr>
        <w:spacing w:line="360" w:lineRule="auto"/>
        <w:jc w:val="both"/>
        <w:rPr>
          <w:rFonts w:ascii="Arial" w:hAnsi="Arial" w:cs="Arial"/>
          <w:sz w:val="24"/>
          <w:szCs w:val="24"/>
        </w:rPr>
      </w:pPr>
      <w:r w:rsidRPr="0040000F">
        <w:rPr>
          <w:rFonts w:ascii="Arial" w:hAnsi="Arial" w:cs="Arial"/>
          <w:sz w:val="24"/>
          <w:szCs w:val="24"/>
        </w:rPr>
        <w:t>Por lo anterior, el Despacho se abstendrá de darle trámite a la apelación formulada.</w:t>
      </w:r>
    </w:p>
    <w:p w:rsidR="008D6398" w:rsidRPr="0040000F" w:rsidRDefault="008D6398" w:rsidP="000D3EF6">
      <w:pPr>
        <w:pStyle w:val="Sangra2detindependiente1"/>
        <w:spacing w:after="0"/>
        <w:ind w:firstLine="0"/>
        <w:rPr>
          <w:rFonts w:ascii="Arial" w:hAnsi="Arial" w:cs="Arial"/>
          <w:sz w:val="24"/>
          <w:szCs w:val="24"/>
        </w:rPr>
      </w:pPr>
    </w:p>
    <w:p w:rsidR="008D6398" w:rsidRPr="0040000F" w:rsidRDefault="008D6398" w:rsidP="000D3EF6">
      <w:pPr>
        <w:tabs>
          <w:tab w:val="left" w:pos="-720"/>
        </w:tabs>
        <w:suppressAutoHyphens/>
        <w:spacing w:line="360" w:lineRule="auto"/>
        <w:jc w:val="both"/>
        <w:rPr>
          <w:rFonts w:ascii="Arial" w:hAnsi="Arial" w:cs="Arial"/>
          <w:sz w:val="24"/>
          <w:szCs w:val="24"/>
        </w:rPr>
      </w:pPr>
      <w:r w:rsidRPr="0040000F">
        <w:rPr>
          <w:rFonts w:ascii="Arial" w:hAnsi="Arial" w:cs="Arial"/>
          <w:sz w:val="24"/>
          <w:szCs w:val="24"/>
        </w:rPr>
        <w:t xml:space="preserve">En mérito de lo expuesto, se </w:t>
      </w:r>
    </w:p>
    <w:p w:rsidR="008D6398" w:rsidRPr="0040000F" w:rsidRDefault="008D6398" w:rsidP="000D3EF6">
      <w:pPr>
        <w:tabs>
          <w:tab w:val="left" w:pos="-720"/>
        </w:tabs>
        <w:suppressAutoHyphens/>
        <w:spacing w:line="360" w:lineRule="auto"/>
        <w:jc w:val="both"/>
        <w:rPr>
          <w:rFonts w:ascii="Arial" w:hAnsi="Arial" w:cs="Arial"/>
          <w:sz w:val="24"/>
          <w:szCs w:val="24"/>
        </w:rPr>
      </w:pPr>
    </w:p>
    <w:p w:rsidR="008D6398" w:rsidRPr="0040000F" w:rsidRDefault="008D6398" w:rsidP="000D3EF6">
      <w:pPr>
        <w:tabs>
          <w:tab w:val="left" w:pos="-720"/>
        </w:tabs>
        <w:suppressAutoHyphens/>
        <w:spacing w:line="360" w:lineRule="auto"/>
        <w:jc w:val="center"/>
        <w:rPr>
          <w:rFonts w:ascii="Arial" w:hAnsi="Arial" w:cs="Arial"/>
          <w:b/>
          <w:sz w:val="24"/>
          <w:szCs w:val="24"/>
        </w:rPr>
      </w:pPr>
      <w:r w:rsidRPr="0040000F">
        <w:rPr>
          <w:rFonts w:ascii="Arial" w:hAnsi="Arial" w:cs="Arial"/>
          <w:b/>
          <w:sz w:val="24"/>
          <w:szCs w:val="24"/>
        </w:rPr>
        <w:t>RESUELVE</w:t>
      </w:r>
    </w:p>
    <w:p w:rsidR="008D6398" w:rsidRPr="0040000F" w:rsidRDefault="008D6398" w:rsidP="000D3EF6">
      <w:pPr>
        <w:tabs>
          <w:tab w:val="left" w:pos="-720"/>
        </w:tabs>
        <w:suppressAutoHyphens/>
        <w:spacing w:line="360" w:lineRule="auto"/>
        <w:jc w:val="center"/>
        <w:rPr>
          <w:rFonts w:ascii="Arial" w:hAnsi="Arial" w:cs="Arial"/>
          <w:b/>
          <w:sz w:val="24"/>
          <w:szCs w:val="24"/>
        </w:rPr>
      </w:pPr>
    </w:p>
    <w:p w:rsidR="008D6398" w:rsidRPr="0040000F" w:rsidRDefault="008D6398" w:rsidP="000D3EF6">
      <w:pPr>
        <w:pStyle w:val="Textoindependiente21"/>
        <w:spacing w:after="0"/>
        <w:ind w:firstLine="0"/>
        <w:rPr>
          <w:rFonts w:ascii="Arial" w:hAnsi="Arial" w:cs="Arial"/>
          <w:sz w:val="24"/>
          <w:szCs w:val="24"/>
        </w:rPr>
      </w:pPr>
      <w:r w:rsidRPr="0040000F">
        <w:rPr>
          <w:rFonts w:ascii="Arial" w:hAnsi="Arial" w:cs="Arial"/>
          <w:b/>
          <w:sz w:val="24"/>
          <w:szCs w:val="24"/>
        </w:rPr>
        <w:t xml:space="preserve">PRIMERO: INADMÍTESE </w:t>
      </w:r>
      <w:r w:rsidRPr="0040000F">
        <w:rPr>
          <w:rFonts w:ascii="Arial" w:hAnsi="Arial" w:cs="Arial"/>
          <w:sz w:val="24"/>
          <w:szCs w:val="24"/>
        </w:rPr>
        <w:t xml:space="preserve">el recurso de apelación interpuesto por la parte demandante contra </w:t>
      </w:r>
      <w:r w:rsidRPr="0040000F">
        <w:rPr>
          <w:rFonts w:ascii="Arial" w:hAnsi="Arial" w:cs="Arial"/>
          <w:sz w:val="24"/>
          <w:szCs w:val="24"/>
          <w:lang w:val="es-CO"/>
        </w:rPr>
        <w:t>contra la sentencia del 28 de mayo de 2015, proferida por el Tribunal Administrativo de San Andrés, Providencia y Santa Catalina.</w:t>
      </w:r>
    </w:p>
    <w:p w:rsidR="008D6398" w:rsidRPr="0040000F" w:rsidRDefault="008D6398" w:rsidP="000D3EF6">
      <w:pPr>
        <w:pStyle w:val="Textoindependiente21"/>
        <w:spacing w:after="0"/>
        <w:ind w:firstLine="0"/>
        <w:rPr>
          <w:rFonts w:ascii="Arial" w:hAnsi="Arial" w:cs="Arial"/>
          <w:b/>
          <w:bCs/>
          <w:spacing w:val="-3"/>
          <w:sz w:val="24"/>
          <w:szCs w:val="24"/>
        </w:rPr>
      </w:pPr>
    </w:p>
    <w:p w:rsidR="008D6398" w:rsidRPr="0040000F" w:rsidRDefault="008D6398" w:rsidP="000D3EF6">
      <w:pPr>
        <w:pStyle w:val="Textoindependiente"/>
        <w:spacing w:after="0"/>
        <w:rPr>
          <w:rFonts w:ascii="Arial" w:hAnsi="Arial" w:cs="Arial"/>
          <w:sz w:val="24"/>
          <w:szCs w:val="24"/>
        </w:rPr>
      </w:pPr>
      <w:r w:rsidRPr="0040000F">
        <w:rPr>
          <w:rFonts w:ascii="Arial" w:hAnsi="Arial" w:cs="Arial"/>
          <w:b/>
          <w:sz w:val="24"/>
          <w:szCs w:val="24"/>
        </w:rPr>
        <w:t xml:space="preserve">SEGUNDO: </w:t>
      </w:r>
      <w:r w:rsidRPr="0040000F">
        <w:rPr>
          <w:rFonts w:ascii="Arial" w:hAnsi="Arial" w:cs="Arial"/>
          <w:sz w:val="24"/>
          <w:szCs w:val="24"/>
        </w:rPr>
        <w:t>Notifíquese personalmente esta providencia al señor Agente del Ministerio Público.</w:t>
      </w:r>
    </w:p>
    <w:p w:rsidR="008D6398" w:rsidRPr="0040000F" w:rsidRDefault="008D6398" w:rsidP="000D3EF6">
      <w:pPr>
        <w:pStyle w:val="Textoindependiente"/>
        <w:spacing w:after="0"/>
        <w:rPr>
          <w:rFonts w:ascii="Arial" w:hAnsi="Arial" w:cs="Arial"/>
          <w:sz w:val="24"/>
          <w:szCs w:val="24"/>
        </w:rPr>
      </w:pPr>
    </w:p>
    <w:p w:rsidR="008D6398" w:rsidRPr="0040000F" w:rsidRDefault="008D6398" w:rsidP="000D3EF6">
      <w:pPr>
        <w:pStyle w:val="Textoindependiente"/>
        <w:spacing w:after="0"/>
        <w:rPr>
          <w:rFonts w:ascii="Arial" w:hAnsi="Arial" w:cs="Arial"/>
          <w:sz w:val="24"/>
          <w:szCs w:val="24"/>
        </w:rPr>
      </w:pPr>
      <w:r w:rsidRPr="0040000F">
        <w:rPr>
          <w:rFonts w:ascii="Arial" w:hAnsi="Arial" w:cs="Arial"/>
          <w:b/>
          <w:sz w:val="24"/>
          <w:szCs w:val="24"/>
        </w:rPr>
        <w:t>TERCERO:</w:t>
      </w:r>
      <w:r w:rsidRPr="0040000F">
        <w:rPr>
          <w:rFonts w:ascii="Arial" w:hAnsi="Arial" w:cs="Arial"/>
          <w:sz w:val="24"/>
          <w:szCs w:val="24"/>
        </w:rPr>
        <w:t xml:space="preserve"> En firme esta providencia, </w:t>
      </w:r>
      <w:r w:rsidRPr="0040000F">
        <w:rPr>
          <w:rFonts w:ascii="Arial" w:hAnsi="Arial" w:cs="Arial"/>
          <w:b/>
          <w:sz w:val="24"/>
          <w:szCs w:val="24"/>
        </w:rPr>
        <w:t>DEVUÉLVASE</w:t>
      </w:r>
      <w:r w:rsidRPr="0040000F">
        <w:rPr>
          <w:rFonts w:ascii="Arial" w:hAnsi="Arial" w:cs="Arial"/>
          <w:sz w:val="24"/>
          <w:szCs w:val="24"/>
        </w:rPr>
        <w:t xml:space="preserve"> el expediente al Tribunal de origen para lo de su cargo.</w:t>
      </w:r>
    </w:p>
    <w:p w:rsidR="008D6398" w:rsidRPr="0040000F" w:rsidRDefault="008D6398" w:rsidP="000D3EF6">
      <w:pPr>
        <w:pStyle w:val="Textoindependiente"/>
        <w:spacing w:after="0"/>
        <w:rPr>
          <w:rFonts w:ascii="Arial" w:hAnsi="Arial" w:cs="Arial"/>
          <w:sz w:val="24"/>
          <w:szCs w:val="24"/>
        </w:rPr>
      </w:pPr>
    </w:p>
    <w:p w:rsidR="008D6398" w:rsidRPr="0040000F" w:rsidRDefault="008D6398" w:rsidP="000D3EF6">
      <w:pPr>
        <w:spacing w:line="360" w:lineRule="auto"/>
        <w:jc w:val="center"/>
        <w:rPr>
          <w:rFonts w:ascii="Arial" w:hAnsi="Arial" w:cs="Arial"/>
          <w:sz w:val="24"/>
          <w:szCs w:val="24"/>
        </w:rPr>
      </w:pPr>
      <w:r w:rsidRPr="0040000F">
        <w:rPr>
          <w:rFonts w:ascii="Arial" w:hAnsi="Arial" w:cs="Arial"/>
          <w:b/>
          <w:sz w:val="24"/>
          <w:szCs w:val="24"/>
        </w:rPr>
        <w:t>NOTIFÍQUESE Y CÚMPLASE</w:t>
      </w:r>
    </w:p>
    <w:p w:rsidR="008D6398" w:rsidRPr="0040000F" w:rsidRDefault="008D6398" w:rsidP="000D3EF6">
      <w:pPr>
        <w:rPr>
          <w:rFonts w:ascii="Arial" w:hAnsi="Arial" w:cs="Arial"/>
          <w:sz w:val="24"/>
          <w:szCs w:val="24"/>
        </w:rPr>
      </w:pPr>
    </w:p>
    <w:p w:rsidR="008D6398" w:rsidRPr="0040000F" w:rsidRDefault="008D6398" w:rsidP="000D3EF6">
      <w:pPr>
        <w:rPr>
          <w:rFonts w:ascii="Arial" w:hAnsi="Arial" w:cs="Arial"/>
          <w:sz w:val="24"/>
          <w:szCs w:val="24"/>
        </w:rPr>
      </w:pPr>
    </w:p>
    <w:p w:rsidR="008D6398" w:rsidRPr="0040000F" w:rsidRDefault="008D6398" w:rsidP="000D3EF6">
      <w:pPr>
        <w:rPr>
          <w:rFonts w:ascii="Arial" w:hAnsi="Arial" w:cs="Arial"/>
          <w:sz w:val="24"/>
          <w:szCs w:val="24"/>
        </w:rPr>
      </w:pPr>
    </w:p>
    <w:p w:rsidR="008D6398" w:rsidRPr="0040000F" w:rsidRDefault="008D6398" w:rsidP="000D3EF6">
      <w:pPr>
        <w:rPr>
          <w:rFonts w:ascii="Arial" w:hAnsi="Arial" w:cs="Arial"/>
          <w:sz w:val="24"/>
          <w:szCs w:val="24"/>
        </w:rPr>
      </w:pPr>
    </w:p>
    <w:p w:rsidR="008D6398" w:rsidRPr="0040000F" w:rsidRDefault="008D6398" w:rsidP="000D3EF6">
      <w:pPr>
        <w:rPr>
          <w:rFonts w:ascii="Arial" w:hAnsi="Arial" w:cs="Arial"/>
          <w:sz w:val="24"/>
          <w:szCs w:val="24"/>
        </w:rPr>
      </w:pPr>
    </w:p>
    <w:p w:rsidR="008D6398" w:rsidRPr="0040000F" w:rsidRDefault="008D6398" w:rsidP="000D3EF6">
      <w:pPr>
        <w:jc w:val="center"/>
        <w:rPr>
          <w:rFonts w:ascii="Arial" w:hAnsi="Arial" w:cs="Arial"/>
          <w:b/>
          <w:bCs/>
          <w:sz w:val="24"/>
          <w:szCs w:val="24"/>
        </w:rPr>
      </w:pPr>
      <w:r w:rsidRPr="0040000F">
        <w:rPr>
          <w:rFonts w:ascii="Arial" w:hAnsi="Arial" w:cs="Arial"/>
          <w:b/>
          <w:bCs/>
          <w:sz w:val="24"/>
          <w:szCs w:val="24"/>
        </w:rPr>
        <w:t>CARLOS ALBERTO ZAMBRANO BARRERA</w:t>
      </w:r>
    </w:p>
    <w:p w:rsidR="008D6398" w:rsidRPr="0040000F" w:rsidRDefault="008D6398" w:rsidP="000D3EF6">
      <w:pPr>
        <w:jc w:val="both"/>
        <w:rPr>
          <w:rFonts w:ascii="Arial" w:hAnsi="Arial" w:cs="Arial"/>
          <w:b/>
          <w:bCs/>
          <w:sz w:val="24"/>
          <w:szCs w:val="24"/>
        </w:rPr>
      </w:pPr>
    </w:p>
    <w:p w:rsidR="008D6398" w:rsidRPr="0040000F" w:rsidRDefault="008D6398" w:rsidP="000D3EF6">
      <w:pPr>
        <w:jc w:val="both"/>
        <w:rPr>
          <w:rFonts w:ascii="Arial" w:hAnsi="Arial" w:cs="Arial"/>
          <w:b/>
          <w:bCs/>
          <w:sz w:val="24"/>
          <w:szCs w:val="24"/>
        </w:rPr>
      </w:pPr>
    </w:p>
    <w:p w:rsidR="008D6398" w:rsidRPr="0040000F" w:rsidRDefault="008D6398" w:rsidP="000D3EF6">
      <w:pPr>
        <w:jc w:val="both"/>
        <w:rPr>
          <w:rFonts w:ascii="Arial" w:hAnsi="Arial" w:cs="Arial"/>
          <w:b/>
          <w:bCs/>
          <w:sz w:val="24"/>
          <w:szCs w:val="24"/>
        </w:rPr>
      </w:pPr>
    </w:p>
    <w:p w:rsidR="008D6398" w:rsidRPr="0040000F" w:rsidRDefault="008D6398" w:rsidP="000D3EF6">
      <w:pPr>
        <w:jc w:val="both"/>
        <w:rPr>
          <w:rFonts w:ascii="Arial" w:hAnsi="Arial" w:cs="Arial"/>
          <w:b/>
          <w:bCs/>
          <w:sz w:val="24"/>
          <w:szCs w:val="24"/>
        </w:rPr>
      </w:pPr>
    </w:p>
    <w:p w:rsidR="008D6398" w:rsidRPr="0040000F" w:rsidRDefault="008D6398" w:rsidP="000D3EF6">
      <w:pPr>
        <w:jc w:val="both"/>
        <w:rPr>
          <w:rFonts w:ascii="Arial" w:hAnsi="Arial" w:cs="Arial"/>
          <w:b/>
          <w:bCs/>
          <w:sz w:val="24"/>
          <w:szCs w:val="24"/>
        </w:rPr>
      </w:pPr>
    </w:p>
    <w:p w:rsidR="008D6398" w:rsidRPr="0040000F" w:rsidRDefault="008D6398" w:rsidP="000D3EF6">
      <w:pPr>
        <w:jc w:val="both"/>
        <w:rPr>
          <w:rFonts w:ascii="Arial" w:hAnsi="Arial" w:cs="Arial"/>
          <w:b/>
          <w:bCs/>
          <w:sz w:val="24"/>
          <w:szCs w:val="24"/>
        </w:rPr>
      </w:pPr>
    </w:p>
    <w:p w:rsidR="008D6398" w:rsidRPr="0040000F" w:rsidRDefault="008D6398" w:rsidP="000D3EF6">
      <w:pPr>
        <w:jc w:val="both"/>
        <w:rPr>
          <w:rFonts w:ascii="Arial" w:hAnsi="Arial" w:cs="Arial"/>
          <w:b/>
          <w:bCs/>
          <w:sz w:val="24"/>
          <w:szCs w:val="24"/>
        </w:rPr>
      </w:pPr>
    </w:p>
    <w:p w:rsidR="008D6398" w:rsidRPr="0040000F" w:rsidRDefault="008D6398" w:rsidP="000D3EF6">
      <w:pPr>
        <w:jc w:val="both"/>
        <w:rPr>
          <w:rFonts w:ascii="Arial" w:hAnsi="Arial" w:cs="Arial"/>
          <w:b/>
          <w:bCs/>
          <w:sz w:val="24"/>
          <w:szCs w:val="24"/>
        </w:rPr>
      </w:pPr>
    </w:p>
    <w:p w:rsidR="008D6398" w:rsidRPr="0040000F" w:rsidRDefault="008D6398" w:rsidP="000D3EF6">
      <w:pPr>
        <w:jc w:val="both"/>
        <w:rPr>
          <w:rFonts w:ascii="Arial" w:hAnsi="Arial" w:cs="Arial"/>
          <w:b/>
          <w:sz w:val="24"/>
          <w:szCs w:val="24"/>
        </w:rPr>
      </w:pPr>
      <w:r w:rsidRPr="0040000F">
        <w:rPr>
          <w:rFonts w:ascii="Arial" w:hAnsi="Arial" w:cs="Arial"/>
          <w:b/>
          <w:bCs/>
          <w:sz w:val="24"/>
          <w:szCs w:val="24"/>
        </w:rPr>
        <w:t>C9 F 606 – 610 JSVA</w:t>
      </w:r>
    </w:p>
    <w:p w:rsidR="002B061A" w:rsidRPr="0040000F" w:rsidRDefault="002B061A" w:rsidP="002B061A">
      <w:pPr>
        <w:rPr>
          <w:rFonts w:ascii="Arial" w:hAnsi="Arial" w:cs="Arial"/>
          <w:sz w:val="24"/>
          <w:szCs w:val="24"/>
        </w:rPr>
      </w:pPr>
    </w:p>
    <w:p w:rsidR="000907FE" w:rsidRPr="0040000F" w:rsidRDefault="000907FE">
      <w:pPr>
        <w:rPr>
          <w:rFonts w:ascii="Arial" w:hAnsi="Arial" w:cs="Arial"/>
          <w:sz w:val="24"/>
          <w:szCs w:val="24"/>
        </w:rPr>
      </w:pPr>
    </w:p>
    <w:sectPr w:rsidR="000907FE" w:rsidRPr="0040000F" w:rsidSect="000D3EF6">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CCA" w:rsidRDefault="00642CCA" w:rsidP="008D6398">
      <w:r>
        <w:separator/>
      </w:r>
    </w:p>
  </w:endnote>
  <w:endnote w:type="continuationSeparator" w:id="0">
    <w:p w:rsidR="00642CCA" w:rsidRDefault="00642CCA" w:rsidP="008D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CCA" w:rsidRDefault="00642CCA" w:rsidP="008D6398">
      <w:r>
        <w:separator/>
      </w:r>
    </w:p>
  </w:footnote>
  <w:footnote w:type="continuationSeparator" w:id="0">
    <w:p w:rsidR="00642CCA" w:rsidRDefault="00642CCA" w:rsidP="008D6398">
      <w:r>
        <w:continuationSeparator/>
      </w:r>
    </w:p>
  </w:footnote>
  <w:footnote w:id="1">
    <w:p w:rsidR="008D6398" w:rsidRPr="006015F1" w:rsidRDefault="008D6398">
      <w:pPr>
        <w:pStyle w:val="Textonotapie"/>
        <w:rPr>
          <w:rFonts w:ascii="Century Gothic" w:hAnsi="Century Gothic"/>
          <w:sz w:val="18"/>
          <w:lang w:val="es-CO"/>
        </w:rPr>
      </w:pPr>
      <w:r w:rsidRPr="006015F1">
        <w:rPr>
          <w:rStyle w:val="Refdenotaalpie"/>
          <w:rFonts w:ascii="Century Gothic" w:hAnsi="Century Gothic"/>
          <w:sz w:val="18"/>
        </w:rPr>
        <w:footnoteRef/>
      </w:r>
      <w:r w:rsidRPr="006015F1">
        <w:rPr>
          <w:rFonts w:ascii="Century Gothic" w:hAnsi="Century Gothic"/>
          <w:sz w:val="18"/>
        </w:rPr>
        <w:t xml:space="preserve"> </w:t>
      </w:r>
      <w:r w:rsidRPr="006015F1">
        <w:rPr>
          <w:rFonts w:ascii="Century Gothic" w:hAnsi="Century Gothic"/>
          <w:sz w:val="18"/>
          <w:lang w:val="es-CO"/>
        </w:rPr>
        <w:t xml:space="preserve">Visible a folios 568 – 582 del cuaderno principal. </w:t>
      </w:r>
    </w:p>
  </w:footnote>
  <w:footnote w:id="2">
    <w:p w:rsidR="008D6398" w:rsidRPr="006015F1" w:rsidRDefault="008D6398">
      <w:pPr>
        <w:pStyle w:val="Textonotapie"/>
        <w:rPr>
          <w:rFonts w:ascii="Century Gothic" w:hAnsi="Century Gothic"/>
          <w:sz w:val="18"/>
          <w:lang w:val="es-CO"/>
        </w:rPr>
      </w:pPr>
      <w:r w:rsidRPr="006015F1">
        <w:rPr>
          <w:rStyle w:val="Refdenotaalpie"/>
          <w:rFonts w:ascii="Century Gothic" w:hAnsi="Century Gothic"/>
          <w:sz w:val="18"/>
        </w:rPr>
        <w:footnoteRef/>
      </w:r>
      <w:r w:rsidRPr="006015F1">
        <w:rPr>
          <w:rFonts w:ascii="Century Gothic" w:hAnsi="Century Gothic"/>
          <w:sz w:val="18"/>
        </w:rPr>
        <w:t xml:space="preserve"> </w:t>
      </w:r>
      <w:r w:rsidRPr="006015F1">
        <w:rPr>
          <w:rFonts w:ascii="Century Gothic" w:hAnsi="Century Gothic"/>
          <w:sz w:val="18"/>
          <w:lang w:val="es-CO"/>
        </w:rPr>
        <w:t>Visible a folios 584 – 600 del cuaderno principal.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1A"/>
    <w:rsid w:val="0005653B"/>
    <w:rsid w:val="000907FE"/>
    <w:rsid w:val="000D3EF6"/>
    <w:rsid w:val="001025E4"/>
    <w:rsid w:val="00137F13"/>
    <w:rsid w:val="001A64B1"/>
    <w:rsid w:val="00223844"/>
    <w:rsid w:val="002263D1"/>
    <w:rsid w:val="002B061A"/>
    <w:rsid w:val="002C31EB"/>
    <w:rsid w:val="002E4A08"/>
    <w:rsid w:val="00323AF9"/>
    <w:rsid w:val="003B217F"/>
    <w:rsid w:val="003C28AA"/>
    <w:rsid w:val="0040000F"/>
    <w:rsid w:val="004572E0"/>
    <w:rsid w:val="00481AAA"/>
    <w:rsid w:val="004A1DD4"/>
    <w:rsid w:val="005B0A56"/>
    <w:rsid w:val="005D0389"/>
    <w:rsid w:val="005E6DAA"/>
    <w:rsid w:val="006177B2"/>
    <w:rsid w:val="00642CCA"/>
    <w:rsid w:val="006835FD"/>
    <w:rsid w:val="00720D71"/>
    <w:rsid w:val="007210E3"/>
    <w:rsid w:val="00765639"/>
    <w:rsid w:val="007A1250"/>
    <w:rsid w:val="007B741C"/>
    <w:rsid w:val="00853153"/>
    <w:rsid w:val="008D6398"/>
    <w:rsid w:val="009227ED"/>
    <w:rsid w:val="009903A6"/>
    <w:rsid w:val="009B7295"/>
    <w:rsid w:val="009D7B50"/>
    <w:rsid w:val="00B11766"/>
    <w:rsid w:val="00B476DD"/>
    <w:rsid w:val="00B65AB6"/>
    <w:rsid w:val="00C3436C"/>
    <w:rsid w:val="00C4759B"/>
    <w:rsid w:val="00CB2DD0"/>
    <w:rsid w:val="00D35958"/>
    <w:rsid w:val="00D36F7D"/>
    <w:rsid w:val="00DB6DEF"/>
    <w:rsid w:val="00E1313F"/>
    <w:rsid w:val="00E27A6E"/>
    <w:rsid w:val="00E31479"/>
    <w:rsid w:val="00E414A0"/>
    <w:rsid w:val="00E84C00"/>
    <w:rsid w:val="00F0462A"/>
    <w:rsid w:val="00F852C7"/>
    <w:rsid w:val="00FD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CA78D-4059-46FC-BF46-10B2C6E2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
    <w:basedOn w:val="Normal"/>
    <w:link w:val="TextonotapieCar"/>
    <w:semiHidden/>
    <w:rsid w:val="008D6398"/>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
    <w:link w:val="Textonotapie"/>
    <w:semiHidden/>
    <w:rsid w:val="008D6398"/>
    <w:rPr>
      <w:rFonts w:ascii="Times New Roman" w:eastAsia="Times New Roman" w:hAnsi="Times New Roman"/>
      <w:lang w:val="es-ES" w:eastAsia="es-ES"/>
    </w:rPr>
  </w:style>
  <w:style w:type="paragraph" w:styleId="Encabezado">
    <w:name w:val="header"/>
    <w:basedOn w:val="Normal"/>
    <w:link w:val="EncabezadoCar"/>
    <w:rsid w:val="008D6398"/>
    <w:pPr>
      <w:tabs>
        <w:tab w:val="center" w:pos="4252"/>
        <w:tab w:val="right" w:pos="8504"/>
      </w:tabs>
      <w:overflowPunct w:val="0"/>
      <w:autoSpaceDE w:val="0"/>
      <w:autoSpaceDN w:val="0"/>
      <w:adjustRightInd w:val="0"/>
    </w:pPr>
    <w:rPr>
      <w:rFonts w:ascii="Arial" w:eastAsia="Times New Roman" w:hAnsi="Arial"/>
      <w:sz w:val="20"/>
      <w:szCs w:val="20"/>
      <w:lang w:val="es-ES_tradnl" w:eastAsia="es-ES"/>
    </w:rPr>
  </w:style>
  <w:style w:type="character" w:customStyle="1" w:styleId="EncabezadoCar">
    <w:name w:val="Encabezado Car"/>
    <w:link w:val="Encabezado"/>
    <w:rsid w:val="008D6398"/>
    <w:rPr>
      <w:rFonts w:ascii="Arial" w:eastAsia="Times New Roman" w:hAnsi="Arial"/>
      <w:lang w:val="es-ES_tradnl" w:eastAsia="es-ES"/>
    </w:rPr>
  </w:style>
  <w:style w:type="paragraph" w:customStyle="1" w:styleId="Textoindependiente21">
    <w:name w:val="Texto independiente 21"/>
    <w:basedOn w:val="Normal"/>
    <w:rsid w:val="008D6398"/>
    <w:pPr>
      <w:overflowPunct w:val="0"/>
      <w:autoSpaceDE w:val="0"/>
      <w:autoSpaceDN w:val="0"/>
      <w:adjustRightInd w:val="0"/>
      <w:spacing w:after="220" w:line="360" w:lineRule="auto"/>
      <w:ind w:firstLine="708"/>
      <w:jc w:val="both"/>
    </w:pPr>
    <w:rPr>
      <w:rFonts w:ascii="Century Gothic" w:eastAsia="Times New Roman" w:hAnsi="Century Gothic"/>
      <w:szCs w:val="20"/>
      <w:lang w:val="es-ES_tradnl" w:eastAsia="es-ES"/>
    </w:rPr>
  </w:style>
  <w:style w:type="character" w:styleId="Refdenotaalpie">
    <w:name w:val="footnote reference"/>
    <w:semiHidden/>
    <w:rsid w:val="008D6398"/>
    <w:rPr>
      <w:vertAlign w:val="superscript"/>
    </w:rPr>
  </w:style>
  <w:style w:type="paragraph" w:styleId="Textoindependiente">
    <w:name w:val="Body Text"/>
    <w:basedOn w:val="Normal"/>
    <w:link w:val="TextoindependienteCar"/>
    <w:rsid w:val="008D6398"/>
    <w:pPr>
      <w:overflowPunct w:val="0"/>
      <w:autoSpaceDE w:val="0"/>
      <w:autoSpaceDN w:val="0"/>
      <w:adjustRightInd w:val="0"/>
      <w:spacing w:after="220" w:line="360" w:lineRule="auto"/>
      <w:jc w:val="both"/>
      <w:textAlignment w:val="baseline"/>
    </w:pPr>
    <w:rPr>
      <w:rFonts w:ascii="Century Gothic" w:eastAsia="Times New Roman" w:hAnsi="Century Gothic"/>
      <w:szCs w:val="20"/>
      <w:lang w:val="es-ES_tradnl" w:eastAsia="es-ES"/>
    </w:rPr>
  </w:style>
  <w:style w:type="character" w:customStyle="1" w:styleId="TextoindependienteCar">
    <w:name w:val="Texto independiente Car"/>
    <w:link w:val="Textoindependiente"/>
    <w:rsid w:val="008D6398"/>
    <w:rPr>
      <w:rFonts w:ascii="Century Gothic" w:eastAsia="Times New Roman" w:hAnsi="Century Gothic"/>
      <w:sz w:val="22"/>
      <w:lang w:val="es-ES_tradnl" w:eastAsia="es-ES"/>
    </w:rPr>
  </w:style>
  <w:style w:type="paragraph" w:customStyle="1" w:styleId="Sangra2detindependiente1">
    <w:name w:val="Sangría 2 de t. independiente1"/>
    <w:basedOn w:val="Normal"/>
    <w:rsid w:val="008D6398"/>
    <w:pPr>
      <w:overflowPunct w:val="0"/>
      <w:autoSpaceDE w:val="0"/>
      <w:autoSpaceDN w:val="0"/>
      <w:adjustRightInd w:val="0"/>
      <w:spacing w:after="240" w:line="360" w:lineRule="auto"/>
      <w:ind w:firstLine="709"/>
      <w:jc w:val="both"/>
      <w:textAlignment w:val="baseline"/>
    </w:pPr>
    <w:rPr>
      <w:rFonts w:ascii="Century Gothic" w:eastAsia="Times New Roman" w:hAnsi="Century Gothic"/>
      <w:szCs w:val="20"/>
      <w:lang w:val="es-ES_tradnl" w:eastAsia="es-ES"/>
    </w:rPr>
  </w:style>
  <w:style w:type="paragraph" w:customStyle="1" w:styleId="BodyText28">
    <w:name w:val="Body Text 28"/>
    <w:basedOn w:val="Normal"/>
    <w:rsid w:val="008D6398"/>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paragraph" w:customStyle="1" w:styleId="Sangra3detindependiente1">
    <w:name w:val="Sangría 3 de t. independiente1"/>
    <w:basedOn w:val="Normal"/>
    <w:rsid w:val="008D6398"/>
    <w:pPr>
      <w:overflowPunct w:val="0"/>
      <w:autoSpaceDE w:val="0"/>
      <w:autoSpaceDN w:val="0"/>
      <w:adjustRightInd w:val="0"/>
      <w:spacing w:line="360" w:lineRule="auto"/>
      <w:ind w:firstLine="709"/>
      <w:jc w:val="both"/>
      <w:textAlignment w:val="baseline"/>
    </w:pPr>
    <w:rPr>
      <w:rFonts w:ascii="Century Gothic" w:eastAsia="Times New Roman" w:hAnsi="Century Gothic"/>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1A423-5D19-4FA1-B7D7-D3547C83DC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7B4BBFEE-D4A5-4398-8E35-18EC3E245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99A11-B7B1-4A30-8E0F-289E9E438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1344</Words>
  <Characters>7667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Silvia Juliana Saavedra Arguello</cp:lastModifiedBy>
  <cp:revision>3</cp:revision>
  <dcterms:created xsi:type="dcterms:W3CDTF">2020-04-15T22:18:00Z</dcterms:created>
  <dcterms:modified xsi:type="dcterms:W3CDTF">2020-05-07T11:58:00Z</dcterms:modified>
</cp:coreProperties>
</file>