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CB" w:rsidRPr="00CE02CB" w:rsidRDefault="00CE02CB" w:rsidP="00CE02CB">
      <w:pPr>
        <w:jc w:val="both"/>
        <w:rPr>
          <w:rFonts w:ascii="Arial" w:hAnsi="Arial" w:cs="Arial"/>
          <w:b/>
          <w:sz w:val="24"/>
          <w:szCs w:val="24"/>
        </w:rPr>
      </w:pPr>
    </w:p>
    <w:p w:rsidR="00CE02CB" w:rsidRPr="00623D2A" w:rsidRDefault="00CE02CB" w:rsidP="00CE02CB">
      <w:pPr>
        <w:jc w:val="both"/>
        <w:rPr>
          <w:rFonts w:ascii="Arial" w:hAnsi="Arial" w:cs="Arial"/>
          <w:sz w:val="22"/>
          <w:szCs w:val="22"/>
        </w:rPr>
      </w:pPr>
      <w:r w:rsidRPr="00CE02CB">
        <w:rPr>
          <w:rFonts w:ascii="Arial" w:hAnsi="Arial" w:cs="Arial"/>
          <w:b/>
          <w:sz w:val="24"/>
          <w:szCs w:val="24"/>
        </w:rPr>
        <w:t>SINTESIS:</w:t>
      </w:r>
      <w:r>
        <w:rPr>
          <w:rFonts w:ascii="Arial" w:hAnsi="Arial" w:cs="Arial"/>
          <w:sz w:val="24"/>
          <w:szCs w:val="24"/>
        </w:rPr>
        <w:t xml:space="preserve"> </w:t>
      </w:r>
      <w:r w:rsidRPr="00623D2A">
        <w:rPr>
          <w:rFonts w:ascii="Arial" w:hAnsi="Arial" w:cs="Arial"/>
          <w:sz w:val="22"/>
          <w:szCs w:val="22"/>
        </w:rPr>
        <w:t>Señaló la accionante que presentó medio de control de nulidad y restablecimiento del derecho, contra la resolución nro. 85201-GOCOT-No.001453 de 16 de octubre de 2013 suscrita por el Subdirector de Gestión Contractual del Instituto Nacional Penitenciario y Carcelario INPEC, a través de la cual le fue negada la solicitud de reconocimiento y pago de las prestaciones sociales causadas entre el 10 de enero de 1995 al 31 de diciembre de 2009.</w:t>
      </w:r>
    </w:p>
    <w:p w:rsidR="00CE02CB" w:rsidRDefault="00CE02CB" w:rsidP="00CE02CB">
      <w:pPr>
        <w:jc w:val="both"/>
        <w:rPr>
          <w:rFonts w:ascii="Arial" w:hAnsi="Arial" w:cs="Arial"/>
          <w:sz w:val="24"/>
          <w:szCs w:val="24"/>
        </w:rPr>
      </w:pPr>
    </w:p>
    <w:p w:rsidR="00CE02CB" w:rsidRPr="00CE02CB" w:rsidRDefault="009608AC" w:rsidP="00CE02CB">
      <w:pPr>
        <w:jc w:val="both"/>
        <w:rPr>
          <w:rFonts w:ascii="Arial" w:hAnsi="Arial" w:cs="Arial"/>
          <w:b/>
          <w:sz w:val="24"/>
          <w:szCs w:val="24"/>
        </w:rPr>
      </w:pPr>
      <w:r>
        <w:rPr>
          <w:rFonts w:ascii="Arial" w:hAnsi="Arial" w:cs="Arial"/>
          <w:b/>
          <w:sz w:val="24"/>
          <w:szCs w:val="24"/>
        </w:rPr>
        <w:t>ACCIÓ</w:t>
      </w:r>
      <w:r w:rsidR="00CE02CB" w:rsidRPr="00CE02CB">
        <w:rPr>
          <w:rFonts w:ascii="Arial" w:hAnsi="Arial" w:cs="Arial"/>
          <w:b/>
          <w:sz w:val="24"/>
          <w:szCs w:val="24"/>
        </w:rPr>
        <w:t>N DE TUTELA</w:t>
      </w:r>
      <w:r>
        <w:rPr>
          <w:rFonts w:ascii="Arial" w:hAnsi="Arial" w:cs="Arial"/>
          <w:b/>
          <w:sz w:val="24"/>
          <w:szCs w:val="24"/>
        </w:rPr>
        <w:t xml:space="preserve"> </w:t>
      </w:r>
      <w:r w:rsidR="00CE02CB" w:rsidRPr="00CE02CB">
        <w:rPr>
          <w:rFonts w:ascii="Arial" w:hAnsi="Arial" w:cs="Arial"/>
          <w:b/>
          <w:sz w:val="24"/>
          <w:szCs w:val="24"/>
        </w:rPr>
        <w:t xml:space="preserve">– </w:t>
      </w:r>
      <w:r>
        <w:rPr>
          <w:rFonts w:ascii="Arial" w:hAnsi="Arial" w:cs="Arial"/>
          <w:b/>
          <w:sz w:val="24"/>
          <w:szCs w:val="24"/>
        </w:rPr>
        <w:t xml:space="preserve">Providencia judicial </w:t>
      </w:r>
      <w:r w:rsidRPr="00CE02CB">
        <w:rPr>
          <w:rFonts w:ascii="Arial" w:hAnsi="Arial" w:cs="Arial"/>
          <w:b/>
          <w:sz w:val="24"/>
          <w:szCs w:val="24"/>
        </w:rPr>
        <w:t>–</w:t>
      </w:r>
      <w:r>
        <w:rPr>
          <w:rFonts w:ascii="Arial" w:hAnsi="Arial" w:cs="Arial"/>
          <w:b/>
          <w:sz w:val="24"/>
          <w:szCs w:val="24"/>
        </w:rPr>
        <w:t xml:space="preserve"> </w:t>
      </w:r>
      <w:r w:rsidR="00CE02CB" w:rsidRPr="00CE02CB">
        <w:rPr>
          <w:rFonts w:ascii="Arial" w:hAnsi="Arial" w:cs="Arial"/>
          <w:b/>
          <w:sz w:val="24"/>
          <w:szCs w:val="24"/>
        </w:rPr>
        <w:t xml:space="preserve">Procedencia </w:t>
      </w:r>
    </w:p>
    <w:p w:rsidR="00CE02CB" w:rsidRDefault="00CE02CB" w:rsidP="00CE02CB">
      <w:pPr>
        <w:jc w:val="both"/>
        <w:rPr>
          <w:rFonts w:ascii="Arial" w:hAnsi="Arial" w:cs="Arial"/>
          <w:sz w:val="24"/>
          <w:szCs w:val="24"/>
        </w:rPr>
      </w:pPr>
    </w:p>
    <w:p w:rsidR="00CE02CB" w:rsidRPr="00623D2A" w:rsidRDefault="00CE02CB" w:rsidP="00CE02CB">
      <w:pPr>
        <w:jc w:val="both"/>
        <w:rPr>
          <w:rFonts w:ascii="Arial" w:hAnsi="Arial" w:cs="Arial"/>
          <w:sz w:val="22"/>
          <w:szCs w:val="22"/>
        </w:rPr>
      </w:pPr>
      <w:r w:rsidRPr="00623D2A">
        <w:rPr>
          <w:rFonts w:ascii="Arial" w:hAnsi="Arial" w:cs="Arial"/>
          <w:sz w:val="22"/>
          <w:szCs w:val="22"/>
        </w:rPr>
        <w:t xml:space="preserve">El Consejo de Estado, en sentencia de 31 de julio de 2012, con ponencia de la Consejera María Elizabeth García </w:t>
      </w:r>
      <w:proofErr w:type="gramStart"/>
      <w:r w:rsidRPr="00623D2A">
        <w:rPr>
          <w:rFonts w:ascii="Arial" w:hAnsi="Arial" w:cs="Arial"/>
          <w:sz w:val="22"/>
          <w:szCs w:val="22"/>
        </w:rPr>
        <w:t>González ,</w:t>
      </w:r>
      <w:proofErr w:type="gramEnd"/>
      <w:r w:rsidRPr="00623D2A">
        <w:rPr>
          <w:rFonts w:ascii="Arial" w:hAnsi="Arial" w:cs="Arial"/>
          <w:sz w:val="22"/>
          <w:szCs w:val="22"/>
        </w:rPr>
        <w:t xml:space="preserve"> finalmente aceptó que la acción de tutela es procedente contra una providencia judicial, «(…) cuando se ha advertido la vulneración de derechos constitucionales fundamentales (…)». (…) Respecto a los requisitos de forma o generales de procedencia, señaló: i) 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 ; ii) Que se hayan agotado todos los medios  -ordinarios y extraordinarios-  de defensa judicial al alcance de la persona afectada, salvo que se trate de evitar la consumación de un perjuicio </w:t>
      </w:r>
      <w:proofErr w:type="spellStart"/>
      <w:r w:rsidRPr="00623D2A">
        <w:rPr>
          <w:rFonts w:ascii="Arial" w:hAnsi="Arial" w:cs="Arial"/>
          <w:sz w:val="22"/>
          <w:szCs w:val="22"/>
        </w:rPr>
        <w:t>iusfundamental</w:t>
      </w:r>
      <w:proofErr w:type="spellEnd"/>
      <w:r w:rsidRPr="00623D2A">
        <w:rPr>
          <w:rFonts w:ascii="Arial" w:hAnsi="Arial" w:cs="Arial"/>
          <w:sz w:val="22"/>
          <w:szCs w:val="22"/>
        </w:rPr>
        <w:t xml:space="preserve"> irremediable ; iii) Que se cumpla el requisito de la inmediatez, es decir, que la tutela se hubiere interpuesto en un término razonable y proporcionado a partir del hecho que originó la vulneración; iv) Cuando se trate de una irregularidad procesal, debe quedar claro que la misma tiene un efecto decisivo o determinante en la sentencia que se impugna y que afecta los derechos fundamentales de la parte actora; v) Que la parte actora identifique de manera razonable tanto los hechos que generaron la vulneración como los derechos vulnerados y que hubiere alegado tal vulneración en el proceso judicial siempre que esto hubiere sido posible; y, vi) Que no se trate de sentencias proferidas en procesos de acción de tutela, de acción de cumplimiento o de acción popular</w:t>
      </w:r>
    </w:p>
    <w:p w:rsidR="00CE02CB" w:rsidRDefault="00CE02CB" w:rsidP="00CE02CB">
      <w:pPr>
        <w:jc w:val="both"/>
        <w:rPr>
          <w:rFonts w:ascii="Arial" w:hAnsi="Arial" w:cs="Arial"/>
          <w:sz w:val="24"/>
          <w:szCs w:val="24"/>
        </w:rPr>
      </w:pPr>
    </w:p>
    <w:p w:rsidR="00CE02CB" w:rsidRDefault="00CE02CB" w:rsidP="00CE02CB">
      <w:pPr>
        <w:jc w:val="both"/>
        <w:rPr>
          <w:rFonts w:ascii="Arial" w:hAnsi="Arial" w:cs="Arial"/>
          <w:b/>
          <w:sz w:val="24"/>
          <w:szCs w:val="24"/>
        </w:rPr>
      </w:pPr>
      <w:r w:rsidRPr="00CE02CB">
        <w:rPr>
          <w:rFonts w:ascii="Arial" w:hAnsi="Arial" w:cs="Arial"/>
          <w:b/>
          <w:sz w:val="24"/>
          <w:szCs w:val="24"/>
        </w:rPr>
        <w:t>PRESCRIP</w:t>
      </w:r>
      <w:r w:rsidR="002962F2">
        <w:rPr>
          <w:rFonts w:ascii="Arial" w:hAnsi="Arial" w:cs="Arial"/>
          <w:b/>
          <w:sz w:val="24"/>
          <w:szCs w:val="24"/>
        </w:rPr>
        <w:t>CIÓ</w:t>
      </w:r>
      <w:bookmarkStart w:id="0" w:name="_GoBack"/>
      <w:bookmarkEnd w:id="0"/>
      <w:r w:rsidR="00E13321">
        <w:rPr>
          <w:rFonts w:ascii="Arial" w:hAnsi="Arial" w:cs="Arial"/>
          <w:b/>
          <w:sz w:val="24"/>
          <w:szCs w:val="24"/>
        </w:rPr>
        <w:t xml:space="preserve">N EXTINTIVA – </w:t>
      </w:r>
      <w:r w:rsidR="00E13321">
        <w:rPr>
          <w:rFonts w:ascii="Arial" w:hAnsi="Arial" w:cs="Arial"/>
          <w:b/>
          <w:sz w:val="24"/>
          <w:szCs w:val="24"/>
        </w:rPr>
        <w:t>C</w:t>
      </w:r>
      <w:r w:rsidR="00E13321" w:rsidRPr="00CE02CB">
        <w:rPr>
          <w:rFonts w:ascii="Arial" w:hAnsi="Arial" w:cs="Arial"/>
          <w:b/>
          <w:sz w:val="24"/>
          <w:szCs w:val="24"/>
        </w:rPr>
        <w:t xml:space="preserve">ontrato </w:t>
      </w:r>
      <w:r w:rsidR="00E13321">
        <w:rPr>
          <w:rFonts w:ascii="Arial" w:hAnsi="Arial" w:cs="Arial"/>
          <w:b/>
          <w:sz w:val="24"/>
          <w:szCs w:val="24"/>
        </w:rPr>
        <w:t>realidad</w:t>
      </w:r>
      <w:r w:rsidR="00E13321">
        <w:rPr>
          <w:rFonts w:ascii="Arial" w:hAnsi="Arial" w:cs="Arial"/>
          <w:b/>
          <w:sz w:val="24"/>
          <w:szCs w:val="24"/>
        </w:rPr>
        <w:t xml:space="preserve"> </w:t>
      </w:r>
      <w:r w:rsidR="00E13321">
        <w:rPr>
          <w:rFonts w:ascii="Arial" w:hAnsi="Arial" w:cs="Arial"/>
          <w:b/>
          <w:sz w:val="24"/>
          <w:szCs w:val="24"/>
        </w:rPr>
        <w:t>–</w:t>
      </w:r>
      <w:r w:rsidR="00E13321">
        <w:rPr>
          <w:rFonts w:ascii="Arial" w:hAnsi="Arial" w:cs="Arial"/>
          <w:b/>
          <w:sz w:val="24"/>
          <w:szCs w:val="24"/>
        </w:rPr>
        <w:t xml:space="preserve"> Existencia </w:t>
      </w:r>
    </w:p>
    <w:p w:rsidR="00E13321" w:rsidRDefault="00E13321" w:rsidP="00CE02CB">
      <w:pPr>
        <w:jc w:val="both"/>
        <w:rPr>
          <w:rFonts w:ascii="Arial" w:hAnsi="Arial" w:cs="Arial"/>
          <w:sz w:val="24"/>
          <w:szCs w:val="24"/>
        </w:rPr>
      </w:pPr>
    </w:p>
    <w:p w:rsidR="00CE02CB" w:rsidRPr="00623D2A" w:rsidRDefault="00CE02CB" w:rsidP="00CE02CB">
      <w:pPr>
        <w:jc w:val="both"/>
        <w:rPr>
          <w:rFonts w:ascii="Arial" w:hAnsi="Arial" w:cs="Arial"/>
          <w:sz w:val="22"/>
          <w:szCs w:val="22"/>
        </w:rPr>
      </w:pPr>
      <w:r w:rsidRPr="00623D2A">
        <w:rPr>
          <w:rFonts w:ascii="Arial" w:hAnsi="Arial" w:cs="Arial"/>
          <w:sz w:val="22"/>
          <w:szCs w:val="22"/>
        </w:rPr>
        <w:t xml:space="preserve">La figura del contrato realidad en el derecho público surgió como una respuesta a aquellas situaciones en las que las entidades estatales comenzaron a contratar personas mediante órdenes de prestación de servicios </w:t>
      </w:r>
      <w:proofErr w:type="gramStart"/>
      <w:r w:rsidRPr="00623D2A">
        <w:rPr>
          <w:rFonts w:ascii="Arial" w:hAnsi="Arial" w:cs="Arial"/>
          <w:sz w:val="22"/>
          <w:szCs w:val="22"/>
        </w:rPr>
        <w:t>que</w:t>
      </w:r>
      <w:proofErr w:type="gramEnd"/>
      <w:r w:rsidRPr="00623D2A">
        <w:rPr>
          <w:rFonts w:ascii="Arial" w:hAnsi="Arial" w:cs="Arial"/>
          <w:sz w:val="22"/>
          <w:szCs w:val="22"/>
        </w:rPr>
        <w:t xml:space="preserve"> en la mayoría de los casos, reflejaban una verdadera relación laboral, lo cual impedía al contratado a través de esta modalidad, percibir las prestaciones que devengaba un funcionario de planta que ejerció funciones similares. (…) mediante la Sentencia de 19 de febrero de 2009 , radicado núm. 2005-3074, con ponencia de la Doctora Bertha Lucía Ramírez de Páez efectuó un pronunciamiento sobre las consecuencias de encontrar acreditado un contrato realidad y la indemnización integral a que había lugar (…) 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 (…) 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w:t>
      </w:r>
    </w:p>
    <w:p w:rsidR="00CE02CB" w:rsidRPr="00CE02CB" w:rsidRDefault="00CE02CB" w:rsidP="00CE02CB">
      <w:pPr>
        <w:jc w:val="both"/>
        <w:rPr>
          <w:rFonts w:ascii="Arial" w:hAnsi="Arial" w:cs="Arial"/>
          <w:b/>
          <w:sz w:val="24"/>
          <w:szCs w:val="24"/>
        </w:rPr>
      </w:pPr>
    </w:p>
    <w:p w:rsidR="00CE02CB" w:rsidRDefault="00CE02CB" w:rsidP="00CE02CB">
      <w:pPr>
        <w:jc w:val="both"/>
        <w:rPr>
          <w:rFonts w:ascii="Arial" w:hAnsi="Arial" w:cs="Arial"/>
          <w:b/>
          <w:sz w:val="24"/>
          <w:szCs w:val="24"/>
        </w:rPr>
      </w:pPr>
      <w:r w:rsidRPr="00CE02CB">
        <w:rPr>
          <w:rFonts w:ascii="Arial" w:hAnsi="Arial" w:cs="Arial"/>
          <w:b/>
          <w:sz w:val="24"/>
          <w:szCs w:val="24"/>
        </w:rPr>
        <w:t xml:space="preserve">PRECEDENTE </w:t>
      </w:r>
      <w:r w:rsidR="00E13321">
        <w:rPr>
          <w:rFonts w:ascii="Arial" w:hAnsi="Arial" w:cs="Arial"/>
          <w:b/>
          <w:sz w:val="24"/>
          <w:szCs w:val="24"/>
        </w:rPr>
        <w:t xml:space="preserve">JUDICIAL – Desconocimiento </w:t>
      </w:r>
      <w:r w:rsidR="00E13321" w:rsidRPr="00CE02CB">
        <w:rPr>
          <w:rFonts w:ascii="Arial" w:hAnsi="Arial" w:cs="Arial"/>
          <w:b/>
          <w:sz w:val="24"/>
          <w:szCs w:val="24"/>
        </w:rPr>
        <w:t>–</w:t>
      </w:r>
      <w:r w:rsidR="00E13321">
        <w:rPr>
          <w:rFonts w:ascii="Arial" w:hAnsi="Arial" w:cs="Arial"/>
          <w:b/>
          <w:sz w:val="24"/>
          <w:szCs w:val="24"/>
        </w:rPr>
        <w:t xml:space="preserve"> Contrato realidad </w:t>
      </w:r>
      <w:r w:rsidR="00E13321" w:rsidRPr="00CE02CB">
        <w:rPr>
          <w:rFonts w:ascii="Arial" w:hAnsi="Arial" w:cs="Arial"/>
          <w:b/>
          <w:sz w:val="24"/>
          <w:szCs w:val="24"/>
        </w:rPr>
        <w:t>–</w:t>
      </w:r>
      <w:r w:rsidR="00E13321">
        <w:rPr>
          <w:rFonts w:ascii="Arial" w:hAnsi="Arial" w:cs="Arial"/>
          <w:b/>
          <w:sz w:val="24"/>
          <w:szCs w:val="24"/>
        </w:rPr>
        <w:t xml:space="preserve"> </w:t>
      </w:r>
      <w:r w:rsidRPr="00A573DF">
        <w:rPr>
          <w:rFonts w:ascii="Arial" w:hAnsi="Arial" w:cs="Arial"/>
          <w:b/>
          <w:sz w:val="24"/>
          <w:szCs w:val="24"/>
        </w:rPr>
        <w:t>No se configura</w:t>
      </w:r>
    </w:p>
    <w:p w:rsidR="00CE02CB" w:rsidRPr="00CE02CB" w:rsidRDefault="00CE02CB" w:rsidP="00CE02CB">
      <w:pPr>
        <w:jc w:val="both"/>
        <w:rPr>
          <w:rFonts w:ascii="Arial" w:hAnsi="Arial" w:cs="Arial"/>
          <w:b/>
          <w:sz w:val="24"/>
          <w:szCs w:val="24"/>
        </w:rPr>
      </w:pPr>
    </w:p>
    <w:p w:rsidR="00CE02CB" w:rsidRPr="00623D2A" w:rsidRDefault="00CE02CB" w:rsidP="00CE02CB">
      <w:pPr>
        <w:jc w:val="both"/>
        <w:rPr>
          <w:rFonts w:ascii="Arial" w:hAnsi="Arial" w:cs="Arial"/>
          <w:sz w:val="22"/>
          <w:szCs w:val="22"/>
        </w:rPr>
      </w:pPr>
      <w:r w:rsidRPr="00623D2A">
        <w:rPr>
          <w:rFonts w:ascii="Arial" w:hAnsi="Arial" w:cs="Arial"/>
          <w:sz w:val="22"/>
          <w:szCs w:val="22"/>
        </w:rPr>
        <w:t xml:space="preserve">En este orden ideas, se podría concluir que en el sub </w:t>
      </w:r>
      <w:proofErr w:type="spellStart"/>
      <w:r w:rsidRPr="00623D2A">
        <w:rPr>
          <w:rFonts w:ascii="Arial" w:hAnsi="Arial" w:cs="Arial"/>
          <w:sz w:val="22"/>
          <w:szCs w:val="22"/>
        </w:rPr>
        <w:t>exámine</w:t>
      </w:r>
      <w:proofErr w:type="spellEnd"/>
      <w:r w:rsidRPr="00623D2A">
        <w:rPr>
          <w:rFonts w:ascii="Arial" w:hAnsi="Arial" w:cs="Arial"/>
          <w:sz w:val="22"/>
          <w:szCs w:val="22"/>
        </w:rPr>
        <w:t xml:space="preserve"> no se configuró una vía de hecho por desconocimiento del precedente, en cuanto la motivación realizada por el Tribunal Administrativo de Cundinamarca, sección segunda, subsección A en el auto de 17 marzo de 2016, que puso fin al proceso ordinario, estuvo acorde con lo sostenido en la providencia de unificación de 9 de febrero de 2009, proferida por la Sección Segunda del </w:t>
      </w:r>
      <w:r w:rsidRPr="00623D2A">
        <w:rPr>
          <w:rFonts w:ascii="Arial" w:hAnsi="Arial" w:cs="Arial"/>
          <w:sz w:val="22"/>
          <w:szCs w:val="22"/>
        </w:rPr>
        <w:lastRenderedPageBreak/>
        <w:t>Consejo de Estado, en el sentido de establecer que el fallo que declara la primacía de la realidad laboral sobre la contractual es constitutiva del derecho que le asiste al contratista de prestación de servicios a obtener el pago de una suma indemnizatoria y, por ende, no es posible predicar la prescripción de un derecho que no ha surgido a la vida jurídica. No obstante, en concordancia con lo alegado por la parte accionante en el escrito inicial, esta Sala no puede desconocer que el asunto planteado en la demanda de nulidad y restablecimiento del derecho por la [accionante] contra el Instituto Nacional Penitenciario y Carcelario INPEC es fácticamente distinto al que dio origen a la tesis de la sentencia constitutiva, asumida por la sección segunda del Consejo de Estado a partir de febrero de 2009. Lo anterior debido a que en aquél asunto, la sección segunda estudió el caso de una persona que celebró unos contratos de prestación de servicios con el Instituto de Seguros Sociales de junio de 1995 a septiembre de 2000, con base en la Ley 80 de 1993 y con el objeto de realizar actividades de Tesorera Pagadora. Una vez terminado el último contrato, la demandante en aquél asunto reclamó el pago de las acreencias laborales, sin embargo, mediante el Oficio de 18 de septiembre de 2000, la Entidad le negó el reconocimiento y pago de lo peticionado. En ese orden, se deduce que la parte actora no permitió que prescribiera el derecho a reclamar y que se declarara la existencia de una relación laboral, mientras que en el presente asunto (…) presentó la respectiva petición cuatro (4) años después del último contrato, por lo cual se evidencia la diferencia de supuestos fácticos. En consecuencia, debe reiterarse que si bien la sentencia que define asuntos en los que se debate la existencia de un contrato realidad tenga un carácter constitutivo y, en consecuencia, a partir de su declaración se comienzan a contar los términos de prescripción de los derechos y prestaciones derivados de la relación laboral, esto no faculta al interesado a reclamar ante la administración la aplicación del principio de la primacía de la realidad sobre las formas en cualquier momento.</w:t>
      </w:r>
    </w:p>
    <w:p w:rsidR="005B1129" w:rsidRPr="00623D2A" w:rsidRDefault="005B1129" w:rsidP="005B1129">
      <w:pPr>
        <w:jc w:val="both"/>
        <w:rPr>
          <w:rFonts w:ascii="Arial" w:hAnsi="Arial" w:cs="Arial"/>
          <w:sz w:val="22"/>
          <w:szCs w:val="22"/>
        </w:rPr>
      </w:pPr>
    </w:p>
    <w:p w:rsidR="005B1129" w:rsidRPr="005B1129" w:rsidRDefault="005B1129" w:rsidP="005B1129">
      <w:pPr>
        <w:jc w:val="both"/>
        <w:rPr>
          <w:rFonts w:ascii="Arial" w:hAnsi="Arial" w:cs="Arial"/>
          <w:sz w:val="24"/>
          <w:szCs w:val="24"/>
        </w:rPr>
      </w:pPr>
    </w:p>
    <w:p w:rsidR="005B1129" w:rsidRPr="005B1129" w:rsidRDefault="005B1129" w:rsidP="005B1129">
      <w:pPr>
        <w:jc w:val="both"/>
        <w:rPr>
          <w:rFonts w:ascii="Arial" w:hAnsi="Arial" w:cs="Arial"/>
          <w:sz w:val="24"/>
          <w:szCs w:val="24"/>
        </w:rPr>
      </w:pPr>
    </w:p>
    <w:p w:rsidR="00460B15" w:rsidRDefault="00460B15" w:rsidP="00F65DD7">
      <w:pPr>
        <w:jc w:val="center"/>
        <w:rPr>
          <w:rFonts w:ascii="Arial" w:hAnsi="Arial" w:cs="Arial"/>
          <w:b/>
          <w:sz w:val="24"/>
          <w:szCs w:val="24"/>
        </w:rPr>
      </w:pPr>
      <w:r w:rsidRPr="00F65DD7">
        <w:rPr>
          <w:rFonts w:ascii="Arial" w:hAnsi="Arial" w:cs="Arial"/>
          <w:b/>
          <w:sz w:val="24"/>
          <w:szCs w:val="24"/>
        </w:rPr>
        <w:t>CONSEJO DE ESTADO</w:t>
      </w:r>
    </w:p>
    <w:p w:rsidR="00F65DD7" w:rsidRPr="00F65DD7" w:rsidRDefault="00F65DD7" w:rsidP="00F65DD7">
      <w:pPr>
        <w:jc w:val="center"/>
        <w:rPr>
          <w:rFonts w:ascii="Arial" w:hAnsi="Arial" w:cs="Arial"/>
          <w:b/>
          <w:sz w:val="24"/>
          <w:szCs w:val="24"/>
        </w:rPr>
      </w:pPr>
    </w:p>
    <w:p w:rsidR="00460B15" w:rsidRDefault="00460B15" w:rsidP="00F65DD7">
      <w:pPr>
        <w:jc w:val="center"/>
        <w:rPr>
          <w:rFonts w:ascii="Arial" w:hAnsi="Arial" w:cs="Arial"/>
          <w:b/>
          <w:sz w:val="24"/>
          <w:szCs w:val="24"/>
        </w:rPr>
      </w:pPr>
      <w:r w:rsidRPr="00F65DD7">
        <w:rPr>
          <w:rFonts w:ascii="Arial" w:hAnsi="Arial" w:cs="Arial"/>
          <w:b/>
          <w:sz w:val="24"/>
          <w:szCs w:val="24"/>
        </w:rPr>
        <w:t>SALA DE LO CONTENCIOSO ADMINISTRATIVO</w:t>
      </w:r>
    </w:p>
    <w:p w:rsidR="00F65DD7" w:rsidRPr="00F65DD7" w:rsidRDefault="00F65DD7" w:rsidP="00F65DD7">
      <w:pPr>
        <w:jc w:val="center"/>
        <w:rPr>
          <w:rFonts w:ascii="Arial" w:hAnsi="Arial" w:cs="Arial"/>
          <w:b/>
          <w:sz w:val="24"/>
          <w:szCs w:val="24"/>
        </w:rPr>
      </w:pPr>
    </w:p>
    <w:p w:rsidR="00E8567A" w:rsidRDefault="00F65DD7" w:rsidP="00F65DD7">
      <w:pPr>
        <w:jc w:val="center"/>
        <w:rPr>
          <w:rFonts w:ascii="Arial" w:hAnsi="Arial" w:cs="Arial"/>
          <w:b/>
          <w:sz w:val="24"/>
          <w:szCs w:val="24"/>
        </w:rPr>
      </w:pPr>
      <w:r>
        <w:rPr>
          <w:rFonts w:ascii="Arial" w:hAnsi="Arial" w:cs="Arial"/>
          <w:b/>
          <w:sz w:val="24"/>
          <w:szCs w:val="24"/>
        </w:rPr>
        <w:t>SECCIO</w:t>
      </w:r>
      <w:r w:rsidR="00460B15" w:rsidRPr="00F65DD7">
        <w:rPr>
          <w:rFonts w:ascii="Arial" w:hAnsi="Arial" w:cs="Arial"/>
          <w:b/>
          <w:sz w:val="24"/>
          <w:szCs w:val="24"/>
        </w:rPr>
        <w:t>N SEGUNDA</w:t>
      </w:r>
    </w:p>
    <w:p w:rsidR="00F65DD7" w:rsidRPr="00F65DD7" w:rsidRDefault="00F65DD7" w:rsidP="00F65DD7">
      <w:pPr>
        <w:jc w:val="center"/>
        <w:rPr>
          <w:rFonts w:ascii="Arial" w:hAnsi="Arial" w:cs="Arial"/>
          <w:b/>
          <w:sz w:val="24"/>
          <w:szCs w:val="24"/>
        </w:rPr>
      </w:pPr>
    </w:p>
    <w:p w:rsidR="00460B15" w:rsidRPr="00F65DD7" w:rsidRDefault="00F65DD7" w:rsidP="00F65DD7">
      <w:pPr>
        <w:jc w:val="center"/>
        <w:rPr>
          <w:rFonts w:ascii="Arial" w:hAnsi="Arial" w:cs="Arial"/>
          <w:b/>
          <w:sz w:val="24"/>
          <w:szCs w:val="24"/>
        </w:rPr>
      </w:pPr>
      <w:r>
        <w:rPr>
          <w:rFonts w:ascii="Arial" w:hAnsi="Arial" w:cs="Arial"/>
          <w:b/>
          <w:sz w:val="24"/>
          <w:szCs w:val="24"/>
        </w:rPr>
        <w:t>SUBSECCIO</w:t>
      </w:r>
      <w:r w:rsidR="00460B15" w:rsidRPr="00F65DD7">
        <w:rPr>
          <w:rFonts w:ascii="Arial" w:hAnsi="Arial" w:cs="Arial"/>
          <w:b/>
          <w:sz w:val="24"/>
          <w:szCs w:val="24"/>
        </w:rPr>
        <w:t>N B</w:t>
      </w:r>
    </w:p>
    <w:p w:rsidR="00460B15" w:rsidRPr="00F65DD7" w:rsidRDefault="00460B15" w:rsidP="00F65DD7">
      <w:pPr>
        <w:jc w:val="center"/>
        <w:rPr>
          <w:rFonts w:ascii="Arial" w:hAnsi="Arial" w:cs="Arial"/>
          <w:b/>
          <w:sz w:val="24"/>
          <w:szCs w:val="24"/>
        </w:rPr>
      </w:pPr>
    </w:p>
    <w:p w:rsidR="00057F09" w:rsidRPr="00F65DD7" w:rsidRDefault="00F65DD7" w:rsidP="00F65DD7">
      <w:pPr>
        <w:jc w:val="center"/>
        <w:rPr>
          <w:rFonts w:ascii="Arial" w:hAnsi="Arial" w:cs="Arial"/>
          <w:b/>
          <w:iCs/>
          <w:sz w:val="24"/>
          <w:szCs w:val="24"/>
        </w:rPr>
      </w:pPr>
      <w:r w:rsidRPr="00F65DD7">
        <w:rPr>
          <w:rFonts w:ascii="Arial" w:hAnsi="Arial" w:cs="Arial"/>
          <w:b/>
          <w:iCs/>
          <w:sz w:val="24"/>
          <w:szCs w:val="24"/>
        </w:rPr>
        <w:t>Consejera ponente</w:t>
      </w:r>
      <w:r>
        <w:rPr>
          <w:rFonts w:ascii="Arial" w:hAnsi="Arial" w:cs="Arial"/>
          <w:b/>
          <w:iCs/>
          <w:sz w:val="24"/>
          <w:szCs w:val="24"/>
        </w:rPr>
        <w:t>: SANDRA LISSET IBARRA VE</w:t>
      </w:r>
      <w:r w:rsidR="00057F09" w:rsidRPr="00F65DD7">
        <w:rPr>
          <w:rFonts w:ascii="Arial" w:hAnsi="Arial" w:cs="Arial"/>
          <w:b/>
          <w:iCs/>
          <w:sz w:val="24"/>
          <w:szCs w:val="24"/>
        </w:rPr>
        <w:t>LEZ</w:t>
      </w:r>
    </w:p>
    <w:p w:rsidR="00057F09" w:rsidRPr="00F65DD7" w:rsidRDefault="00057F09" w:rsidP="00F65DD7">
      <w:pPr>
        <w:jc w:val="center"/>
        <w:rPr>
          <w:rFonts w:ascii="Arial" w:hAnsi="Arial" w:cs="Arial"/>
          <w:b/>
          <w:sz w:val="24"/>
          <w:szCs w:val="24"/>
        </w:rPr>
      </w:pPr>
    </w:p>
    <w:p w:rsidR="0080407C" w:rsidRPr="00F65DD7" w:rsidRDefault="00460B15" w:rsidP="00F65DD7">
      <w:pPr>
        <w:jc w:val="both"/>
        <w:rPr>
          <w:rFonts w:ascii="Arial" w:hAnsi="Arial" w:cs="Arial"/>
          <w:sz w:val="24"/>
          <w:szCs w:val="24"/>
        </w:rPr>
      </w:pPr>
      <w:r w:rsidRPr="00F65DD7">
        <w:rPr>
          <w:rFonts w:ascii="Arial" w:hAnsi="Arial" w:cs="Arial"/>
          <w:sz w:val="24"/>
          <w:szCs w:val="24"/>
        </w:rPr>
        <w:t>Bogotá</w:t>
      </w:r>
      <w:r w:rsidR="00F65DD7">
        <w:rPr>
          <w:rFonts w:ascii="Arial" w:hAnsi="Arial" w:cs="Arial"/>
          <w:sz w:val="24"/>
          <w:szCs w:val="24"/>
        </w:rPr>
        <w:t>,</w:t>
      </w:r>
      <w:r w:rsidRPr="00F65DD7">
        <w:rPr>
          <w:rFonts w:ascii="Arial" w:hAnsi="Arial" w:cs="Arial"/>
          <w:sz w:val="24"/>
          <w:szCs w:val="24"/>
        </w:rPr>
        <w:t xml:space="preserve"> D.C., </w:t>
      </w:r>
      <w:r w:rsidR="007676BC" w:rsidRPr="00F65DD7">
        <w:rPr>
          <w:rFonts w:ascii="Arial" w:hAnsi="Arial" w:cs="Arial"/>
          <w:sz w:val="24"/>
          <w:szCs w:val="24"/>
        </w:rPr>
        <w:t xml:space="preserve">catorce </w:t>
      </w:r>
      <w:r w:rsidR="002A5267" w:rsidRPr="00F65DD7">
        <w:rPr>
          <w:rFonts w:ascii="Arial" w:hAnsi="Arial" w:cs="Arial"/>
          <w:sz w:val="24"/>
          <w:szCs w:val="24"/>
        </w:rPr>
        <w:t>(</w:t>
      </w:r>
      <w:r w:rsidR="007676BC" w:rsidRPr="00F65DD7">
        <w:rPr>
          <w:rFonts w:ascii="Arial" w:hAnsi="Arial" w:cs="Arial"/>
          <w:sz w:val="24"/>
          <w:szCs w:val="24"/>
        </w:rPr>
        <w:t>14</w:t>
      </w:r>
      <w:r w:rsidR="006C0199" w:rsidRPr="00F65DD7">
        <w:rPr>
          <w:rFonts w:ascii="Arial" w:hAnsi="Arial" w:cs="Arial"/>
          <w:sz w:val="24"/>
          <w:szCs w:val="24"/>
        </w:rPr>
        <w:t xml:space="preserve">) de </w:t>
      </w:r>
      <w:r w:rsidR="000D6546" w:rsidRPr="00F65DD7">
        <w:rPr>
          <w:rFonts w:ascii="Arial" w:hAnsi="Arial" w:cs="Arial"/>
          <w:sz w:val="24"/>
          <w:szCs w:val="24"/>
        </w:rPr>
        <w:t>ju</w:t>
      </w:r>
      <w:r w:rsidR="00D1574B" w:rsidRPr="00F65DD7">
        <w:rPr>
          <w:rFonts w:ascii="Arial" w:hAnsi="Arial" w:cs="Arial"/>
          <w:sz w:val="24"/>
          <w:szCs w:val="24"/>
        </w:rPr>
        <w:t>l</w:t>
      </w:r>
      <w:r w:rsidR="000D6546" w:rsidRPr="00F65DD7">
        <w:rPr>
          <w:rFonts w:ascii="Arial" w:hAnsi="Arial" w:cs="Arial"/>
          <w:sz w:val="24"/>
          <w:szCs w:val="24"/>
        </w:rPr>
        <w:t>io</w:t>
      </w:r>
      <w:r w:rsidR="00F65DD7">
        <w:rPr>
          <w:rFonts w:ascii="Arial" w:hAnsi="Arial" w:cs="Arial"/>
          <w:sz w:val="24"/>
          <w:szCs w:val="24"/>
        </w:rPr>
        <w:t xml:space="preserve"> de dos mil dieciséis (2016)</w:t>
      </w:r>
    </w:p>
    <w:p w:rsidR="00F65DD7" w:rsidRPr="00F65DD7" w:rsidRDefault="00F65DD7" w:rsidP="00F65DD7">
      <w:pPr>
        <w:jc w:val="both"/>
        <w:rPr>
          <w:rFonts w:ascii="Arial" w:hAnsi="Arial" w:cs="Arial"/>
          <w:b/>
          <w:sz w:val="24"/>
          <w:szCs w:val="24"/>
        </w:rPr>
      </w:pPr>
    </w:p>
    <w:p w:rsidR="00F65DD7" w:rsidRDefault="00F65DD7" w:rsidP="00F65DD7">
      <w:pPr>
        <w:jc w:val="both"/>
        <w:rPr>
          <w:rFonts w:ascii="Arial" w:hAnsi="Arial" w:cs="Arial"/>
          <w:b/>
          <w:sz w:val="24"/>
          <w:szCs w:val="24"/>
        </w:rPr>
      </w:pPr>
      <w:r w:rsidRPr="00F65DD7">
        <w:rPr>
          <w:rFonts w:ascii="Arial" w:hAnsi="Arial" w:cs="Arial"/>
          <w:b/>
          <w:sz w:val="24"/>
          <w:szCs w:val="24"/>
        </w:rPr>
        <w:t>Radicación</w:t>
      </w:r>
      <w:r>
        <w:rPr>
          <w:rFonts w:ascii="Arial" w:hAnsi="Arial" w:cs="Arial"/>
          <w:b/>
          <w:sz w:val="24"/>
          <w:szCs w:val="24"/>
        </w:rPr>
        <w:t xml:space="preserve"> número: </w:t>
      </w:r>
      <w:r w:rsidRPr="00F65DD7">
        <w:rPr>
          <w:rFonts w:ascii="Arial" w:hAnsi="Arial" w:cs="Arial"/>
          <w:b/>
          <w:sz w:val="24"/>
          <w:szCs w:val="24"/>
        </w:rPr>
        <w:t>11001-03-15-000-2016-01361-00</w:t>
      </w:r>
      <w:r>
        <w:rPr>
          <w:rFonts w:ascii="Arial" w:hAnsi="Arial" w:cs="Arial"/>
          <w:b/>
          <w:sz w:val="24"/>
          <w:szCs w:val="24"/>
        </w:rPr>
        <w:t>(AC)</w:t>
      </w:r>
    </w:p>
    <w:p w:rsidR="00F65DD7" w:rsidRPr="00F65DD7" w:rsidRDefault="00F65DD7" w:rsidP="00F65DD7">
      <w:pPr>
        <w:jc w:val="both"/>
        <w:rPr>
          <w:rFonts w:ascii="Arial" w:hAnsi="Arial" w:cs="Arial"/>
          <w:b/>
          <w:sz w:val="24"/>
          <w:szCs w:val="24"/>
        </w:rPr>
      </w:pPr>
    </w:p>
    <w:p w:rsidR="00F65DD7" w:rsidRPr="00F65DD7" w:rsidRDefault="00F65DD7" w:rsidP="00F65DD7">
      <w:pPr>
        <w:jc w:val="both"/>
        <w:rPr>
          <w:rFonts w:ascii="Arial" w:hAnsi="Arial" w:cs="Arial"/>
          <w:b/>
          <w:sz w:val="24"/>
          <w:szCs w:val="24"/>
        </w:rPr>
      </w:pPr>
      <w:r w:rsidRPr="00F65DD7">
        <w:rPr>
          <w:rFonts w:ascii="Arial" w:hAnsi="Arial" w:cs="Arial"/>
          <w:b/>
          <w:sz w:val="24"/>
          <w:szCs w:val="24"/>
        </w:rPr>
        <w:t>Actor: LUZ MARINA MORALES</w:t>
      </w:r>
    </w:p>
    <w:p w:rsidR="00F65DD7" w:rsidRPr="00F65DD7" w:rsidRDefault="00F65DD7" w:rsidP="00F65DD7">
      <w:pPr>
        <w:jc w:val="both"/>
        <w:rPr>
          <w:rFonts w:ascii="Arial" w:hAnsi="Arial" w:cs="Arial"/>
          <w:b/>
          <w:sz w:val="24"/>
          <w:szCs w:val="24"/>
        </w:rPr>
      </w:pPr>
    </w:p>
    <w:p w:rsidR="00F65DD7" w:rsidRDefault="00F65DD7" w:rsidP="00F65DD7">
      <w:pPr>
        <w:jc w:val="both"/>
        <w:rPr>
          <w:rFonts w:ascii="Arial" w:hAnsi="Arial" w:cs="Arial"/>
          <w:b/>
          <w:sz w:val="24"/>
          <w:szCs w:val="24"/>
        </w:rPr>
      </w:pPr>
      <w:r>
        <w:rPr>
          <w:rFonts w:ascii="Arial" w:hAnsi="Arial" w:cs="Arial"/>
          <w:b/>
          <w:sz w:val="24"/>
          <w:szCs w:val="24"/>
        </w:rPr>
        <w:t>Demandado</w:t>
      </w:r>
      <w:r w:rsidRPr="00F65DD7">
        <w:rPr>
          <w:rFonts w:ascii="Arial" w:hAnsi="Arial" w:cs="Arial"/>
          <w:b/>
          <w:sz w:val="24"/>
          <w:szCs w:val="24"/>
        </w:rPr>
        <w:t>:</w:t>
      </w:r>
      <w:r>
        <w:rPr>
          <w:rFonts w:ascii="Arial" w:hAnsi="Arial" w:cs="Arial"/>
          <w:b/>
          <w:sz w:val="24"/>
          <w:szCs w:val="24"/>
        </w:rPr>
        <w:t xml:space="preserve"> </w:t>
      </w:r>
      <w:r w:rsidRPr="00F65DD7">
        <w:rPr>
          <w:rFonts w:ascii="Arial" w:hAnsi="Arial" w:cs="Arial"/>
          <w:b/>
          <w:sz w:val="24"/>
          <w:szCs w:val="24"/>
        </w:rPr>
        <w:t>TRIBUNAL A</w:t>
      </w:r>
      <w:r>
        <w:rPr>
          <w:rFonts w:ascii="Arial" w:hAnsi="Arial" w:cs="Arial"/>
          <w:b/>
          <w:sz w:val="24"/>
          <w:szCs w:val="24"/>
        </w:rPr>
        <w:t>DMINISTRATIVO DE CUNDINAMARCA, SECCION SEGUNDA, SUBSECCIO</w:t>
      </w:r>
      <w:r w:rsidRPr="00F65DD7">
        <w:rPr>
          <w:rFonts w:ascii="Arial" w:hAnsi="Arial" w:cs="Arial"/>
          <w:b/>
          <w:sz w:val="24"/>
          <w:szCs w:val="24"/>
        </w:rPr>
        <w:t>N A</w:t>
      </w:r>
    </w:p>
    <w:p w:rsidR="00F65DD7" w:rsidRDefault="00F65DD7" w:rsidP="00F65DD7">
      <w:pPr>
        <w:jc w:val="both"/>
        <w:rPr>
          <w:rFonts w:ascii="Arial" w:hAnsi="Arial" w:cs="Arial"/>
          <w:b/>
          <w:sz w:val="24"/>
          <w:szCs w:val="24"/>
        </w:rPr>
      </w:pPr>
    </w:p>
    <w:p w:rsidR="00F65DD7" w:rsidRDefault="00F65DD7" w:rsidP="00F65DD7">
      <w:pPr>
        <w:jc w:val="both"/>
        <w:rPr>
          <w:rFonts w:ascii="Arial" w:hAnsi="Arial" w:cs="Arial"/>
          <w:b/>
          <w:sz w:val="24"/>
          <w:szCs w:val="24"/>
        </w:rPr>
      </w:pPr>
    </w:p>
    <w:p w:rsidR="00F65DD7" w:rsidRPr="00F65DD7" w:rsidRDefault="00F65DD7" w:rsidP="00F65DD7">
      <w:pPr>
        <w:jc w:val="both"/>
        <w:rPr>
          <w:rFonts w:ascii="Arial" w:hAnsi="Arial" w:cs="Arial"/>
          <w:b/>
          <w:sz w:val="24"/>
          <w:szCs w:val="24"/>
        </w:rPr>
      </w:pPr>
    </w:p>
    <w:p w:rsidR="00233ACB" w:rsidRPr="00F65DD7" w:rsidRDefault="001F54DD" w:rsidP="00233ACB">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La Sala decide la acción de tutela</w:t>
      </w:r>
      <w:r w:rsidRPr="00F65DD7">
        <w:rPr>
          <w:rStyle w:val="Refdenotaalpie"/>
          <w:rFonts w:ascii="Arial" w:hAnsi="Arial" w:cs="Arial"/>
          <w:sz w:val="24"/>
          <w:szCs w:val="24"/>
          <w:shd w:val="clear" w:color="auto" w:fill="FFFFFF"/>
        </w:rPr>
        <w:footnoteReference w:id="1"/>
      </w:r>
      <w:r w:rsidR="00FC3C1F" w:rsidRPr="00F65DD7">
        <w:rPr>
          <w:rFonts w:ascii="Arial" w:hAnsi="Arial" w:cs="Arial"/>
          <w:sz w:val="24"/>
          <w:szCs w:val="24"/>
        </w:rPr>
        <w:t xml:space="preserve"> interpuesta por</w:t>
      </w:r>
      <w:r w:rsidR="000D6546" w:rsidRPr="00F65DD7">
        <w:rPr>
          <w:rFonts w:ascii="Arial" w:hAnsi="Arial" w:cs="Arial"/>
          <w:sz w:val="24"/>
          <w:szCs w:val="24"/>
        </w:rPr>
        <w:t xml:space="preserve"> la señora</w:t>
      </w:r>
      <w:r w:rsidR="00D1574B" w:rsidRPr="00F65DD7">
        <w:rPr>
          <w:rFonts w:ascii="Arial" w:hAnsi="Arial" w:cs="Arial"/>
          <w:sz w:val="24"/>
          <w:szCs w:val="24"/>
        </w:rPr>
        <w:t xml:space="preserve"> Luz Marina Morales</w:t>
      </w:r>
      <w:r w:rsidR="002B09A4" w:rsidRPr="00F65DD7">
        <w:rPr>
          <w:rFonts w:ascii="Arial" w:hAnsi="Arial" w:cs="Arial"/>
          <w:sz w:val="24"/>
          <w:szCs w:val="24"/>
        </w:rPr>
        <w:t xml:space="preserve">, </w:t>
      </w:r>
      <w:r w:rsidRPr="00F65DD7">
        <w:rPr>
          <w:rFonts w:ascii="Arial" w:hAnsi="Arial" w:cs="Arial"/>
          <w:sz w:val="24"/>
          <w:szCs w:val="24"/>
        </w:rPr>
        <w:t xml:space="preserve">contra </w:t>
      </w:r>
      <w:r w:rsidR="003C64C8" w:rsidRPr="00F65DD7">
        <w:rPr>
          <w:rFonts w:ascii="Arial" w:hAnsi="Arial" w:cs="Arial"/>
          <w:sz w:val="24"/>
          <w:szCs w:val="24"/>
        </w:rPr>
        <w:t>el Juzgado Veintitrés Administrativo de Oralidad de Bogotá y el Tribunal Administrativo de Cundinamarca, sección segunda, subsección A</w:t>
      </w:r>
      <w:r w:rsidR="00162092" w:rsidRPr="00F65DD7">
        <w:rPr>
          <w:rFonts w:ascii="Arial" w:hAnsi="Arial" w:cs="Arial"/>
          <w:sz w:val="24"/>
          <w:szCs w:val="24"/>
        </w:rPr>
        <w:t xml:space="preserve">, </w:t>
      </w:r>
      <w:r w:rsidRPr="00F65DD7">
        <w:rPr>
          <w:rFonts w:ascii="Arial" w:hAnsi="Arial" w:cs="Arial"/>
          <w:sz w:val="24"/>
          <w:szCs w:val="24"/>
        </w:rPr>
        <w:t>por</w:t>
      </w:r>
      <w:r w:rsidR="001B7E22" w:rsidRPr="00F65DD7">
        <w:rPr>
          <w:rFonts w:ascii="Arial" w:hAnsi="Arial" w:cs="Arial"/>
          <w:sz w:val="24"/>
          <w:szCs w:val="24"/>
        </w:rPr>
        <w:t xml:space="preserve"> la presunta vulneración</w:t>
      </w:r>
      <w:r w:rsidR="0015701B" w:rsidRPr="00F65DD7">
        <w:rPr>
          <w:rFonts w:ascii="Arial" w:hAnsi="Arial" w:cs="Arial"/>
          <w:sz w:val="24"/>
          <w:szCs w:val="24"/>
        </w:rPr>
        <w:t xml:space="preserve"> de sus derechos fundamentales </w:t>
      </w:r>
      <w:r w:rsidR="00D1574B" w:rsidRPr="00F65DD7">
        <w:rPr>
          <w:rFonts w:ascii="Arial" w:hAnsi="Arial" w:cs="Arial"/>
          <w:sz w:val="24"/>
          <w:szCs w:val="24"/>
        </w:rPr>
        <w:t xml:space="preserve">a la </w:t>
      </w:r>
      <w:r w:rsidR="007573FF" w:rsidRPr="00F65DD7">
        <w:rPr>
          <w:rFonts w:ascii="Arial" w:hAnsi="Arial" w:cs="Arial"/>
          <w:sz w:val="24"/>
          <w:szCs w:val="24"/>
        </w:rPr>
        <w:t>igualdad</w:t>
      </w:r>
      <w:r w:rsidR="00D1574B" w:rsidRPr="00F65DD7">
        <w:rPr>
          <w:rFonts w:ascii="Arial" w:hAnsi="Arial" w:cs="Arial"/>
          <w:sz w:val="24"/>
          <w:szCs w:val="24"/>
        </w:rPr>
        <w:t>,</w:t>
      </w:r>
      <w:r w:rsidR="00162092" w:rsidRPr="00F65DD7">
        <w:rPr>
          <w:rFonts w:ascii="Arial" w:hAnsi="Arial" w:cs="Arial"/>
          <w:sz w:val="24"/>
          <w:szCs w:val="24"/>
        </w:rPr>
        <w:t xml:space="preserve"> acceso a la </w:t>
      </w:r>
      <w:r w:rsidR="00162092" w:rsidRPr="00F65DD7">
        <w:rPr>
          <w:rFonts w:ascii="Arial" w:hAnsi="Arial" w:cs="Arial"/>
          <w:sz w:val="24"/>
          <w:szCs w:val="24"/>
        </w:rPr>
        <w:lastRenderedPageBreak/>
        <w:t>administración de justicia</w:t>
      </w:r>
      <w:r w:rsidR="00D1574B" w:rsidRPr="00F65DD7">
        <w:rPr>
          <w:rFonts w:ascii="Arial" w:hAnsi="Arial" w:cs="Arial"/>
          <w:sz w:val="24"/>
          <w:szCs w:val="24"/>
        </w:rPr>
        <w:t xml:space="preserve"> y favorabilidad laboral</w:t>
      </w:r>
      <w:r w:rsidR="00622095" w:rsidRPr="00F65DD7">
        <w:rPr>
          <w:rFonts w:ascii="Arial" w:hAnsi="Arial" w:cs="Arial"/>
          <w:sz w:val="24"/>
          <w:szCs w:val="24"/>
        </w:rPr>
        <w:t>,</w:t>
      </w:r>
      <w:r w:rsidR="00233ACB" w:rsidRPr="00F65DD7">
        <w:rPr>
          <w:rFonts w:ascii="Arial" w:hAnsi="Arial" w:cs="Arial"/>
          <w:sz w:val="24"/>
          <w:szCs w:val="24"/>
        </w:rPr>
        <w:t xml:space="preserve"> a</w:t>
      </w:r>
      <w:r w:rsidR="00891595" w:rsidRPr="00F65DD7">
        <w:rPr>
          <w:rFonts w:ascii="Arial" w:hAnsi="Arial" w:cs="Arial"/>
          <w:sz w:val="24"/>
          <w:szCs w:val="24"/>
        </w:rPr>
        <w:t>l</w:t>
      </w:r>
      <w:r w:rsidR="007573FF" w:rsidRPr="00F65DD7">
        <w:rPr>
          <w:rFonts w:ascii="Arial" w:hAnsi="Arial" w:cs="Arial"/>
          <w:sz w:val="24"/>
          <w:szCs w:val="24"/>
        </w:rPr>
        <w:t xml:space="preserve"> haber proferido</w:t>
      </w:r>
      <w:r w:rsidR="00891595" w:rsidRPr="00F65DD7">
        <w:rPr>
          <w:rFonts w:ascii="Arial" w:hAnsi="Arial" w:cs="Arial"/>
          <w:sz w:val="24"/>
          <w:szCs w:val="24"/>
        </w:rPr>
        <w:t xml:space="preserve"> </w:t>
      </w:r>
      <w:r w:rsidR="003C64C8" w:rsidRPr="00F65DD7">
        <w:rPr>
          <w:rFonts w:ascii="Arial" w:hAnsi="Arial" w:cs="Arial"/>
          <w:sz w:val="24"/>
          <w:szCs w:val="24"/>
        </w:rPr>
        <w:t xml:space="preserve">los autos de 14 de julio de 2015 y de 17 de marzo de 2016, en los que se </w:t>
      </w:r>
      <w:r w:rsidR="007573FF" w:rsidRPr="00F65DD7">
        <w:rPr>
          <w:rFonts w:ascii="Arial" w:hAnsi="Arial" w:cs="Arial"/>
          <w:sz w:val="24"/>
          <w:szCs w:val="24"/>
        </w:rPr>
        <w:t xml:space="preserve">declaró probada la excepción de prescripción </w:t>
      </w:r>
      <w:r w:rsidR="00D8029C" w:rsidRPr="00F65DD7">
        <w:rPr>
          <w:rFonts w:ascii="Arial" w:hAnsi="Arial" w:cs="Arial"/>
          <w:sz w:val="24"/>
          <w:szCs w:val="24"/>
        </w:rPr>
        <w:t>y</w:t>
      </w:r>
      <w:r w:rsidR="003C64C8" w:rsidRPr="00F65DD7">
        <w:rPr>
          <w:rFonts w:ascii="Arial" w:hAnsi="Arial" w:cs="Arial"/>
          <w:sz w:val="24"/>
          <w:szCs w:val="24"/>
        </w:rPr>
        <w:t xml:space="preserve"> en consecuencia, </w:t>
      </w:r>
      <w:r w:rsidR="007573FF" w:rsidRPr="00F65DD7">
        <w:rPr>
          <w:rFonts w:ascii="Arial" w:hAnsi="Arial" w:cs="Arial"/>
          <w:sz w:val="24"/>
          <w:szCs w:val="24"/>
        </w:rPr>
        <w:t>la terminación del proceso</w:t>
      </w:r>
      <w:r w:rsidR="00D8029C" w:rsidRPr="00F65DD7">
        <w:rPr>
          <w:rFonts w:ascii="Arial" w:hAnsi="Arial" w:cs="Arial"/>
          <w:sz w:val="24"/>
          <w:szCs w:val="24"/>
        </w:rPr>
        <w:t xml:space="preserve"> de nulidad y restablecimiento del derecho promovido por la aquí accionante contra </w:t>
      </w:r>
      <w:r w:rsidR="003C64C8" w:rsidRPr="00F65DD7">
        <w:rPr>
          <w:rFonts w:ascii="Arial" w:hAnsi="Arial" w:cs="Arial"/>
          <w:sz w:val="24"/>
          <w:szCs w:val="24"/>
        </w:rPr>
        <w:t>el Instituto Nacional Penitenciario y Carcelario INPEC.</w:t>
      </w:r>
    </w:p>
    <w:p w:rsidR="00162092" w:rsidRPr="00F65DD7" w:rsidRDefault="00162092" w:rsidP="00622095">
      <w:pPr>
        <w:overflowPunct/>
        <w:autoSpaceDE/>
        <w:autoSpaceDN/>
        <w:adjustRightInd/>
        <w:spacing w:line="360" w:lineRule="auto"/>
        <w:jc w:val="both"/>
        <w:textAlignment w:val="auto"/>
        <w:rPr>
          <w:rFonts w:ascii="Arial" w:hAnsi="Arial" w:cs="Arial"/>
          <w:sz w:val="24"/>
          <w:szCs w:val="24"/>
        </w:rPr>
      </w:pPr>
    </w:p>
    <w:p w:rsidR="005B72A1" w:rsidRPr="00F65DD7" w:rsidRDefault="005B72A1" w:rsidP="00BC6BB0">
      <w:pPr>
        <w:overflowPunct/>
        <w:autoSpaceDE/>
        <w:autoSpaceDN/>
        <w:adjustRightInd/>
        <w:spacing w:line="360" w:lineRule="auto"/>
        <w:textAlignment w:val="auto"/>
        <w:rPr>
          <w:rFonts w:ascii="Arial" w:hAnsi="Arial" w:cs="Arial"/>
          <w:b/>
          <w:bCs/>
          <w:sz w:val="24"/>
          <w:szCs w:val="24"/>
        </w:rPr>
      </w:pPr>
      <w:r w:rsidRPr="00F65DD7">
        <w:rPr>
          <w:rFonts w:ascii="Arial" w:hAnsi="Arial" w:cs="Arial"/>
          <w:b/>
          <w:bCs/>
          <w:sz w:val="24"/>
          <w:szCs w:val="24"/>
        </w:rPr>
        <w:t>EL ESCRITO DE TUTELA</w:t>
      </w:r>
      <w:r w:rsidR="00C733D0" w:rsidRPr="00F65DD7">
        <w:rPr>
          <w:rFonts w:ascii="Arial" w:hAnsi="Arial" w:cs="Arial"/>
          <w:b/>
          <w:bCs/>
          <w:sz w:val="24"/>
          <w:szCs w:val="24"/>
        </w:rPr>
        <w:t>.</w:t>
      </w:r>
    </w:p>
    <w:p w:rsidR="00E6488D" w:rsidRPr="00F65DD7" w:rsidRDefault="00E6488D" w:rsidP="005B72A1">
      <w:pPr>
        <w:overflowPunct/>
        <w:autoSpaceDE/>
        <w:autoSpaceDN/>
        <w:adjustRightInd/>
        <w:spacing w:line="360" w:lineRule="auto"/>
        <w:jc w:val="both"/>
        <w:textAlignment w:val="auto"/>
        <w:rPr>
          <w:rFonts w:ascii="Arial" w:hAnsi="Arial" w:cs="Arial"/>
          <w:sz w:val="24"/>
          <w:szCs w:val="24"/>
        </w:rPr>
      </w:pPr>
    </w:p>
    <w:p w:rsidR="006B1680" w:rsidRPr="00F65DD7" w:rsidRDefault="006B1680" w:rsidP="006B1680">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Para una mejor comprensión del asunto, la Sala se permite resumir de la siguiente forma los supuestos fácticos y jurídicos planteados por la parte demandante</w:t>
      </w:r>
      <w:r w:rsidR="002802A7" w:rsidRPr="00F65DD7">
        <w:rPr>
          <w:rFonts w:ascii="Arial" w:hAnsi="Arial" w:cs="Arial"/>
          <w:sz w:val="24"/>
          <w:szCs w:val="24"/>
        </w:rPr>
        <w:t>:</w:t>
      </w:r>
      <w:r w:rsidRPr="00F65DD7">
        <w:rPr>
          <w:rFonts w:ascii="Arial" w:hAnsi="Arial" w:cs="Arial"/>
          <w:sz w:val="24"/>
          <w:szCs w:val="24"/>
          <w:vertAlign w:val="superscript"/>
        </w:rPr>
        <w:footnoteReference w:id="2"/>
      </w:r>
    </w:p>
    <w:p w:rsidR="005B72A1" w:rsidRPr="00F65DD7" w:rsidRDefault="005B72A1" w:rsidP="001C60B4">
      <w:pPr>
        <w:overflowPunct/>
        <w:autoSpaceDE/>
        <w:autoSpaceDN/>
        <w:adjustRightInd/>
        <w:spacing w:line="360" w:lineRule="auto"/>
        <w:jc w:val="both"/>
        <w:textAlignment w:val="auto"/>
        <w:rPr>
          <w:rFonts w:ascii="Arial" w:hAnsi="Arial" w:cs="Arial"/>
          <w:sz w:val="24"/>
          <w:szCs w:val="24"/>
        </w:rPr>
      </w:pPr>
    </w:p>
    <w:p w:rsidR="00BB0C24" w:rsidRPr="00F65DD7" w:rsidRDefault="00A250DD" w:rsidP="00D252FD">
      <w:pPr>
        <w:overflowPunct/>
        <w:autoSpaceDE/>
        <w:autoSpaceDN/>
        <w:adjustRightInd/>
        <w:spacing w:line="360" w:lineRule="auto"/>
        <w:jc w:val="both"/>
        <w:textAlignment w:val="auto"/>
        <w:rPr>
          <w:rFonts w:ascii="Arial" w:hAnsi="Arial" w:cs="Arial"/>
          <w:sz w:val="24"/>
          <w:szCs w:val="24"/>
        </w:rPr>
      </w:pPr>
      <w:bookmarkStart w:id="1" w:name="_Hlk30429563"/>
      <w:r w:rsidRPr="00F65DD7">
        <w:rPr>
          <w:rFonts w:ascii="Arial" w:hAnsi="Arial" w:cs="Arial"/>
          <w:sz w:val="24"/>
          <w:szCs w:val="24"/>
        </w:rPr>
        <w:t xml:space="preserve">Señaló </w:t>
      </w:r>
      <w:r w:rsidR="0096727E" w:rsidRPr="00F65DD7">
        <w:rPr>
          <w:rFonts w:ascii="Arial" w:hAnsi="Arial" w:cs="Arial"/>
          <w:sz w:val="24"/>
          <w:szCs w:val="24"/>
        </w:rPr>
        <w:t xml:space="preserve">la </w:t>
      </w:r>
      <w:r w:rsidR="00DF1ACA" w:rsidRPr="00F65DD7">
        <w:rPr>
          <w:rFonts w:ascii="Arial" w:hAnsi="Arial" w:cs="Arial"/>
          <w:sz w:val="24"/>
          <w:szCs w:val="24"/>
        </w:rPr>
        <w:t>accionante</w:t>
      </w:r>
      <w:r w:rsidR="00F32C6C" w:rsidRPr="00F65DD7">
        <w:rPr>
          <w:rFonts w:ascii="Arial" w:hAnsi="Arial" w:cs="Arial"/>
          <w:sz w:val="24"/>
          <w:szCs w:val="24"/>
        </w:rPr>
        <w:t xml:space="preserve"> </w:t>
      </w:r>
      <w:r w:rsidRPr="00F65DD7">
        <w:rPr>
          <w:rFonts w:ascii="Arial" w:hAnsi="Arial" w:cs="Arial"/>
          <w:sz w:val="24"/>
          <w:szCs w:val="24"/>
        </w:rPr>
        <w:t xml:space="preserve">que </w:t>
      </w:r>
      <w:r w:rsidR="00D57BE0" w:rsidRPr="00F65DD7">
        <w:rPr>
          <w:rFonts w:ascii="Arial" w:hAnsi="Arial" w:cs="Arial"/>
          <w:sz w:val="24"/>
          <w:szCs w:val="24"/>
        </w:rPr>
        <w:t xml:space="preserve">presentó medio de control </w:t>
      </w:r>
      <w:r w:rsidR="00050C95" w:rsidRPr="00F65DD7">
        <w:rPr>
          <w:rFonts w:ascii="Arial" w:hAnsi="Arial" w:cs="Arial"/>
          <w:sz w:val="24"/>
          <w:szCs w:val="24"/>
        </w:rPr>
        <w:t xml:space="preserve">de </w:t>
      </w:r>
      <w:r w:rsidR="00BB0C24" w:rsidRPr="00F65DD7">
        <w:rPr>
          <w:rFonts w:ascii="Arial" w:hAnsi="Arial" w:cs="Arial"/>
          <w:sz w:val="24"/>
          <w:szCs w:val="24"/>
        </w:rPr>
        <w:t>nulidad</w:t>
      </w:r>
      <w:r w:rsidR="003B72DF" w:rsidRPr="00F65DD7">
        <w:rPr>
          <w:rFonts w:ascii="Arial" w:hAnsi="Arial" w:cs="Arial"/>
          <w:sz w:val="24"/>
          <w:szCs w:val="24"/>
        </w:rPr>
        <w:t xml:space="preserve"> y restablecimiento del derecho, </w:t>
      </w:r>
      <w:r w:rsidR="00050C95" w:rsidRPr="00F65DD7">
        <w:rPr>
          <w:rFonts w:ascii="Arial" w:hAnsi="Arial" w:cs="Arial"/>
          <w:sz w:val="24"/>
          <w:szCs w:val="24"/>
        </w:rPr>
        <w:t>contra</w:t>
      </w:r>
      <w:r w:rsidR="00D57BE0" w:rsidRPr="00F65DD7">
        <w:rPr>
          <w:rFonts w:ascii="Arial" w:hAnsi="Arial" w:cs="Arial"/>
          <w:sz w:val="24"/>
          <w:szCs w:val="24"/>
        </w:rPr>
        <w:t xml:space="preserve"> </w:t>
      </w:r>
      <w:r w:rsidR="00BB0C24" w:rsidRPr="00F65DD7">
        <w:rPr>
          <w:rFonts w:ascii="Arial" w:hAnsi="Arial" w:cs="Arial"/>
          <w:sz w:val="24"/>
          <w:szCs w:val="24"/>
        </w:rPr>
        <w:t xml:space="preserve">la </w:t>
      </w:r>
      <w:r w:rsidR="003B72DF" w:rsidRPr="00F65DD7">
        <w:rPr>
          <w:rFonts w:ascii="Arial" w:hAnsi="Arial" w:cs="Arial"/>
          <w:sz w:val="24"/>
          <w:szCs w:val="24"/>
        </w:rPr>
        <w:t>resolución nro. 85201-GOCOT-No.001453 de 16 de octubre de 2013 suscrita por el Subdirector de Gestión Contractual del Instituto Nacional Penitenciario y Carcelario INPEC, a través</w:t>
      </w:r>
      <w:r w:rsidR="00142331" w:rsidRPr="00F65DD7">
        <w:rPr>
          <w:rFonts w:ascii="Arial" w:hAnsi="Arial" w:cs="Arial"/>
          <w:sz w:val="24"/>
          <w:szCs w:val="24"/>
        </w:rPr>
        <w:t xml:space="preserve"> de la</w:t>
      </w:r>
      <w:r w:rsidR="003B72DF" w:rsidRPr="00F65DD7">
        <w:rPr>
          <w:rFonts w:ascii="Arial" w:hAnsi="Arial" w:cs="Arial"/>
          <w:sz w:val="24"/>
          <w:szCs w:val="24"/>
        </w:rPr>
        <w:t xml:space="preserve"> cual le fue negada la solicitud de reconocimiento y pago de las prestaciones sociales causadas entre el 10 de enero de 1995 al 31 de diciembre de 2009.</w:t>
      </w:r>
    </w:p>
    <w:bookmarkEnd w:id="1"/>
    <w:p w:rsidR="00BB0C24" w:rsidRPr="00F65DD7" w:rsidRDefault="00BB0C24" w:rsidP="00D252FD">
      <w:pPr>
        <w:overflowPunct/>
        <w:autoSpaceDE/>
        <w:autoSpaceDN/>
        <w:adjustRightInd/>
        <w:spacing w:line="360" w:lineRule="auto"/>
        <w:jc w:val="both"/>
        <w:textAlignment w:val="auto"/>
        <w:rPr>
          <w:rFonts w:ascii="Arial" w:hAnsi="Arial" w:cs="Arial"/>
          <w:sz w:val="24"/>
          <w:szCs w:val="24"/>
        </w:rPr>
      </w:pPr>
    </w:p>
    <w:p w:rsidR="006B52C6" w:rsidRPr="00F65DD7" w:rsidRDefault="006B52C6" w:rsidP="00D252FD">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Sostuvo que</w:t>
      </w:r>
      <w:r w:rsidR="00142331" w:rsidRPr="00F65DD7">
        <w:rPr>
          <w:rFonts w:ascii="Arial" w:hAnsi="Arial" w:cs="Arial"/>
          <w:sz w:val="24"/>
          <w:szCs w:val="24"/>
        </w:rPr>
        <w:t xml:space="preserve"> el proceso correspondió por reparto al Juzgado Veintitrés Administrativo de Oralidad de Bogotá quien celebró audiencia inicial el 14 de julio de 2015</w:t>
      </w:r>
      <w:r w:rsidR="000A4A0B" w:rsidRPr="00F65DD7">
        <w:rPr>
          <w:rFonts w:ascii="Arial" w:hAnsi="Arial" w:cs="Arial"/>
          <w:sz w:val="24"/>
          <w:szCs w:val="24"/>
        </w:rPr>
        <w:t>,</w:t>
      </w:r>
      <w:r w:rsidR="00142331" w:rsidRPr="00F65DD7">
        <w:rPr>
          <w:rFonts w:ascii="Arial" w:hAnsi="Arial" w:cs="Arial"/>
          <w:sz w:val="24"/>
          <w:szCs w:val="24"/>
        </w:rPr>
        <w:t xml:space="preserve"> en la cual</w:t>
      </w:r>
      <w:r w:rsidRPr="00F65DD7">
        <w:rPr>
          <w:rFonts w:ascii="Arial" w:hAnsi="Arial" w:cs="Arial"/>
          <w:sz w:val="24"/>
          <w:szCs w:val="24"/>
        </w:rPr>
        <w:t xml:space="preserve"> declaró probada</w:t>
      </w:r>
      <w:r w:rsidR="000A4A0B" w:rsidRPr="00F65DD7">
        <w:rPr>
          <w:rFonts w:ascii="Arial" w:hAnsi="Arial" w:cs="Arial"/>
          <w:sz w:val="24"/>
          <w:szCs w:val="24"/>
        </w:rPr>
        <w:t>s</w:t>
      </w:r>
      <w:r w:rsidRPr="00F65DD7">
        <w:rPr>
          <w:rFonts w:ascii="Arial" w:hAnsi="Arial" w:cs="Arial"/>
          <w:sz w:val="24"/>
          <w:szCs w:val="24"/>
        </w:rPr>
        <w:t xml:space="preserve"> la</w:t>
      </w:r>
      <w:r w:rsidR="001B1C1F" w:rsidRPr="00F65DD7">
        <w:rPr>
          <w:rFonts w:ascii="Arial" w:hAnsi="Arial" w:cs="Arial"/>
          <w:sz w:val="24"/>
          <w:szCs w:val="24"/>
        </w:rPr>
        <w:t>s</w:t>
      </w:r>
      <w:r w:rsidRPr="00F65DD7">
        <w:rPr>
          <w:rFonts w:ascii="Arial" w:hAnsi="Arial" w:cs="Arial"/>
          <w:sz w:val="24"/>
          <w:szCs w:val="24"/>
        </w:rPr>
        <w:t xml:space="preserve"> </w:t>
      </w:r>
      <w:r w:rsidR="001B1C1F" w:rsidRPr="00F65DD7">
        <w:rPr>
          <w:rFonts w:ascii="Arial" w:hAnsi="Arial" w:cs="Arial"/>
          <w:sz w:val="24"/>
          <w:szCs w:val="24"/>
        </w:rPr>
        <w:t>excepciones</w:t>
      </w:r>
      <w:r w:rsidRPr="00F65DD7">
        <w:rPr>
          <w:rFonts w:ascii="Arial" w:hAnsi="Arial" w:cs="Arial"/>
          <w:sz w:val="24"/>
          <w:szCs w:val="24"/>
        </w:rPr>
        <w:t xml:space="preserve"> de prescripción y </w:t>
      </w:r>
      <w:r w:rsidR="00142331" w:rsidRPr="00F65DD7">
        <w:rPr>
          <w:rFonts w:ascii="Arial" w:hAnsi="Arial" w:cs="Arial"/>
          <w:sz w:val="24"/>
          <w:szCs w:val="24"/>
        </w:rPr>
        <w:t>de inepta demanda</w:t>
      </w:r>
      <w:r w:rsidRPr="00F65DD7">
        <w:rPr>
          <w:rFonts w:ascii="Arial" w:hAnsi="Arial" w:cs="Arial"/>
          <w:sz w:val="24"/>
          <w:szCs w:val="24"/>
        </w:rPr>
        <w:t>, razón por la cua</w:t>
      </w:r>
      <w:r w:rsidR="000A4A0B" w:rsidRPr="00F65DD7">
        <w:rPr>
          <w:rFonts w:ascii="Arial" w:hAnsi="Arial" w:cs="Arial"/>
          <w:sz w:val="24"/>
          <w:szCs w:val="24"/>
        </w:rPr>
        <w:t>l presentó recurso de apelación, en el cual argument</w:t>
      </w:r>
      <w:r w:rsidR="001B1C1F" w:rsidRPr="00F65DD7">
        <w:rPr>
          <w:rFonts w:ascii="Arial" w:hAnsi="Arial" w:cs="Arial"/>
          <w:sz w:val="24"/>
          <w:szCs w:val="24"/>
        </w:rPr>
        <w:t>ó que en la</w:t>
      </w:r>
      <w:r w:rsidR="000A4A0B" w:rsidRPr="00F65DD7">
        <w:rPr>
          <w:rFonts w:ascii="Arial" w:hAnsi="Arial" w:cs="Arial"/>
          <w:sz w:val="24"/>
          <w:szCs w:val="24"/>
        </w:rPr>
        <w:t>s pretensiones de</w:t>
      </w:r>
      <w:r w:rsidR="001B1C1F" w:rsidRPr="00F65DD7">
        <w:rPr>
          <w:rFonts w:ascii="Arial" w:hAnsi="Arial" w:cs="Arial"/>
          <w:sz w:val="24"/>
          <w:szCs w:val="24"/>
        </w:rPr>
        <w:t xml:space="preserve"> demanda</w:t>
      </w:r>
      <w:r w:rsidR="000A4A0B" w:rsidRPr="00F65DD7">
        <w:rPr>
          <w:rFonts w:ascii="Arial" w:hAnsi="Arial" w:cs="Arial"/>
          <w:sz w:val="24"/>
          <w:szCs w:val="24"/>
        </w:rPr>
        <w:t xml:space="preserve"> había solicitado la declaratoria</w:t>
      </w:r>
      <w:r w:rsidR="001B1C1F" w:rsidRPr="00F65DD7">
        <w:rPr>
          <w:rFonts w:ascii="Arial" w:hAnsi="Arial" w:cs="Arial"/>
          <w:sz w:val="24"/>
          <w:szCs w:val="24"/>
        </w:rPr>
        <w:t xml:space="preserve"> de un contrato realidad y en consecuencia, </w:t>
      </w:r>
      <w:r w:rsidR="000A4A0B" w:rsidRPr="00F65DD7">
        <w:rPr>
          <w:rFonts w:ascii="Arial" w:hAnsi="Arial" w:cs="Arial"/>
          <w:sz w:val="24"/>
          <w:szCs w:val="24"/>
        </w:rPr>
        <w:t>el reconocimiento</w:t>
      </w:r>
      <w:r w:rsidR="001B1C1F" w:rsidRPr="00F65DD7">
        <w:rPr>
          <w:rFonts w:ascii="Arial" w:hAnsi="Arial" w:cs="Arial"/>
          <w:sz w:val="24"/>
          <w:szCs w:val="24"/>
        </w:rPr>
        <w:t xml:space="preserve"> </w:t>
      </w:r>
      <w:r w:rsidR="000A4A0B" w:rsidRPr="00F65DD7">
        <w:rPr>
          <w:rFonts w:ascii="Arial" w:hAnsi="Arial" w:cs="Arial"/>
          <w:sz w:val="24"/>
          <w:szCs w:val="24"/>
        </w:rPr>
        <w:t xml:space="preserve">de </w:t>
      </w:r>
      <w:r w:rsidR="001B1C1F" w:rsidRPr="00F65DD7">
        <w:rPr>
          <w:rFonts w:ascii="Arial" w:hAnsi="Arial" w:cs="Arial"/>
          <w:sz w:val="24"/>
          <w:szCs w:val="24"/>
        </w:rPr>
        <w:t>su derecho pensional</w:t>
      </w:r>
      <w:r w:rsidR="000A4A0B" w:rsidRPr="00F65DD7">
        <w:rPr>
          <w:rFonts w:ascii="Arial" w:hAnsi="Arial" w:cs="Arial"/>
          <w:sz w:val="24"/>
          <w:szCs w:val="24"/>
        </w:rPr>
        <w:t>,</w:t>
      </w:r>
      <w:r w:rsidR="001B1C1F" w:rsidRPr="00F65DD7">
        <w:rPr>
          <w:rFonts w:ascii="Arial" w:hAnsi="Arial" w:cs="Arial"/>
          <w:sz w:val="24"/>
          <w:szCs w:val="24"/>
        </w:rPr>
        <w:t xml:space="preserve"> </w:t>
      </w:r>
      <w:r w:rsidR="00727A35" w:rsidRPr="00F65DD7">
        <w:rPr>
          <w:rFonts w:ascii="Arial" w:hAnsi="Arial" w:cs="Arial"/>
          <w:sz w:val="24"/>
          <w:szCs w:val="24"/>
        </w:rPr>
        <w:t>garantía que</w:t>
      </w:r>
      <w:r w:rsidR="001B1C1F" w:rsidRPr="00F65DD7">
        <w:rPr>
          <w:rFonts w:ascii="Arial" w:hAnsi="Arial" w:cs="Arial"/>
          <w:sz w:val="24"/>
          <w:szCs w:val="24"/>
        </w:rPr>
        <w:t xml:space="preserve"> es imprescriptible </w:t>
      </w:r>
      <w:r w:rsidR="00727A35" w:rsidRPr="00F65DD7">
        <w:rPr>
          <w:rFonts w:ascii="Arial" w:hAnsi="Arial" w:cs="Arial"/>
          <w:sz w:val="24"/>
          <w:szCs w:val="24"/>
        </w:rPr>
        <w:t>a la luz de la jurisprudencia c</w:t>
      </w:r>
      <w:r w:rsidR="00F65DD7">
        <w:rPr>
          <w:rFonts w:ascii="Arial" w:hAnsi="Arial" w:cs="Arial"/>
          <w:sz w:val="24"/>
          <w:szCs w:val="24"/>
        </w:rPr>
        <w:t>onstitucional y administrativa.</w:t>
      </w:r>
    </w:p>
    <w:p w:rsidR="00DF483D" w:rsidRPr="00F65DD7" w:rsidRDefault="00DF483D" w:rsidP="00D252FD">
      <w:pPr>
        <w:overflowPunct/>
        <w:autoSpaceDE/>
        <w:autoSpaceDN/>
        <w:adjustRightInd/>
        <w:spacing w:line="360" w:lineRule="auto"/>
        <w:jc w:val="both"/>
        <w:textAlignment w:val="auto"/>
        <w:rPr>
          <w:rFonts w:ascii="Arial" w:hAnsi="Arial" w:cs="Arial"/>
          <w:sz w:val="24"/>
          <w:szCs w:val="24"/>
        </w:rPr>
      </w:pPr>
    </w:p>
    <w:p w:rsidR="008A779A" w:rsidRPr="00F65DD7" w:rsidRDefault="002A6DBB" w:rsidP="00D252FD">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 xml:space="preserve">Mencionó que el recurso de alzada </w:t>
      </w:r>
      <w:r w:rsidR="008A779A" w:rsidRPr="00F65DD7">
        <w:rPr>
          <w:rFonts w:ascii="Arial" w:hAnsi="Arial" w:cs="Arial"/>
          <w:sz w:val="24"/>
          <w:szCs w:val="24"/>
        </w:rPr>
        <w:t>fue desatado po</w:t>
      </w:r>
      <w:r w:rsidRPr="00F65DD7">
        <w:rPr>
          <w:rFonts w:ascii="Arial" w:hAnsi="Arial" w:cs="Arial"/>
          <w:sz w:val="24"/>
          <w:szCs w:val="24"/>
        </w:rPr>
        <w:t>r el Tribunal Administrativo de</w:t>
      </w:r>
      <w:r w:rsidR="008A779A" w:rsidRPr="00F65DD7">
        <w:rPr>
          <w:rFonts w:ascii="Arial" w:hAnsi="Arial" w:cs="Arial"/>
          <w:sz w:val="24"/>
          <w:szCs w:val="24"/>
        </w:rPr>
        <w:t xml:space="preserve"> </w:t>
      </w:r>
      <w:r w:rsidRPr="00F65DD7">
        <w:rPr>
          <w:rFonts w:ascii="Arial" w:hAnsi="Arial" w:cs="Arial"/>
          <w:sz w:val="24"/>
          <w:szCs w:val="24"/>
        </w:rPr>
        <w:t>Cundinamarca, sección segunda, subsección A</w:t>
      </w:r>
      <w:r w:rsidR="008A779A" w:rsidRPr="00F65DD7">
        <w:rPr>
          <w:rFonts w:ascii="Arial" w:hAnsi="Arial" w:cs="Arial"/>
          <w:sz w:val="24"/>
          <w:szCs w:val="24"/>
        </w:rPr>
        <w:t>, quien resolvió confirmar el anterior</w:t>
      </w:r>
      <w:r w:rsidR="00200AD9" w:rsidRPr="00F65DD7">
        <w:rPr>
          <w:rFonts w:ascii="Arial" w:hAnsi="Arial" w:cs="Arial"/>
          <w:sz w:val="24"/>
          <w:szCs w:val="24"/>
        </w:rPr>
        <w:t xml:space="preserve"> proveído a través de auto de 17</w:t>
      </w:r>
      <w:r w:rsidR="008A779A" w:rsidRPr="00F65DD7">
        <w:rPr>
          <w:rFonts w:ascii="Arial" w:hAnsi="Arial" w:cs="Arial"/>
          <w:sz w:val="24"/>
          <w:szCs w:val="24"/>
        </w:rPr>
        <w:t xml:space="preserve"> de </w:t>
      </w:r>
      <w:r w:rsidR="00200AD9" w:rsidRPr="00F65DD7">
        <w:rPr>
          <w:rFonts w:ascii="Arial" w:hAnsi="Arial" w:cs="Arial"/>
          <w:sz w:val="24"/>
          <w:szCs w:val="24"/>
        </w:rPr>
        <w:t>marzo</w:t>
      </w:r>
      <w:r w:rsidR="008A779A" w:rsidRPr="00F65DD7">
        <w:rPr>
          <w:rFonts w:ascii="Arial" w:hAnsi="Arial" w:cs="Arial"/>
          <w:sz w:val="24"/>
          <w:szCs w:val="24"/>
        </w:rPr>
        <w:t xml:space="preserve"> de 201</w:t>
      </w:r>
      <w:r w:rsidR="00200AD9" w:rsidRPr="00F65DD7">
        <w:rPr>
          <w:rFonts w:ascii="Arial" w:hAnsi="Arial" w:cs="Arial"/>
          <w:sz w:val="24"/>
          <w:szCs w:val="24"/>
        </w:rPr>
        <w:t>6</w:t>
      </w:r>
      <w:r w:rsidR="009068AD" w:rsidRPr="00F65DD7">
        <w:rPr>
          <w:rFonts w:ascii="Arial" w:hAnsi="Arial" w:cs="Arial"/>
          <w:sz w:val="24"/>
          <w:szCs w:val="24"/>
        </w:rPr>
        <w:t>, dentro del cual estimó que dentro del caso se presentaron los presupuestos que configuraron el fenómeno jurídico de la prescripción, en la medida en que no se reclamó dentro de los 3 años siguientes a la term</w:t>
      </w:r>
      <w:r w:rsidR="00200AD9" w:rsidRPr="00F65DD7">
        <w:rPr>
          <w:rFonts w:ascii="Arial" w:hAnsi="Arial" w:cs="Arial"/>
          <w:sz w:val="24"/>
          <w:szCs w:val="24"/>
        </w:rPr>
        <w:t xml:space="preserve">inación del vínculo contractual y, adicionalmente, tal como lo manifestó el </w:t>
      </w:r>
      <w:r w:rsidR="00200AD9" w:rsidRPr="00F65DD7">
        <w:rPr>
          <w:rFonts w:ascii="Arial" w:hAnsi="Arial" w:cs="Arial"/>
          <w:i/>
          <w:sz w:val="24"/>
          <w:szCs w:val="24"/>
        </w:rPr>
        <w:t>A quo</w:t>
      </w:r>
      <w:r w:rsidR="00200AD9" w:rsidRPr="00F65DD7">
        <w:rPr>
          <w:rFonts w:ascii="Arial" w:hAnsi="Arial" w:cs="Arial"/>
          <w:sz w:val="24"/>
          <w:szCs w:val="24"/>
        </w:rPr>
        <w:t xml:space="preserve">, dentro del proceso encontró probada la excepción de inepta demanda por cuanto la parte actora no demandó uno de los actos administrativos </w:t>
      </w:r>
      <w:r w:rsidR="00605A27" w:rsidRPr="00F65DD7">
        <w:rPr>
          <w:rFonts w:ascii="Arial" w:hAnsi="Arial" w:cs="Arial"/>
          <w:sz w:val="24"/>
          <w:szCs w:val="24"/>
        </w:rPr>
        <w:t xml:space="preserve">que contenía </w:t>
      </w:r>
      <w:r w:rsidR="00605A27" w:rsidRPr="00F65DD7">
        <w:rPr>
          <w:rFonts w:ascii="Arial" w:hAnsi="Arial" w:cs="Arial"/>
          <w:sz w:val="24"/>
          <w:szCs w:val="24"/>
        </w:rPr>
        <w:lastRenderedPageBreak/>
        <w:t>una respuesta parcial a la solicitud de reconocimiento y pago de prestaciones sociales sobre los contra</w:t>
      </w:r>
      <w:r w:rsidR="00F65DD7">
        <w:rPr>
          <w:rFonts w:ascii="Arial" w:hAnsi="Arial" w:cs="Arial"/>
          <w:sz w:val="24"/>
          <w:szCs w:val="24"/>
        </w:rPr>
        <w:t>tos de prestación de servicios.</w:t>
      </w:r>
    </w:p>
    <w:p w:rsidR="00E120B0" w:rsidRPr="00F65DD7" w:rsidRDefault="00E120B0" w:rsidP="00D252FD">
      <w:pPr>
        <w:overflowPunct/>
        <w:autoSpaceDE/>
        <w:autoSpaceDN/>
        <w:adjustRightInd/>
        <w:spacing w:line="360" w:lineRule="auto"/>
        <w:jc w:val="both"/>
        <w:textAlignment w:val="auto"/>
        <w:rPr>
          <w:rFonts w:ascii="Arial" w:hAnsi="Arial" w:cs="Arial"/>
          <w:sz w:val="24"/>
          <w:szCs w:val="24"/>
        </w:rPr>
      </w:pPr>
    </w:p>
    <w:p w:rsidR="00086FEE" w:rsidRPr="00F65DD7" w:rsidRDefault="00E120B0" w:rsidP="00D252FD">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Aseguró que la autoridad judicial accionada al proferir la providencia de segunda instancia</w:t>
      </w:r>
      <w:r w:rsidR="00A12BF0" w:rsidRPr="00F65DD7">
        <w:rPr>
          <w:rFonts w:ascii="Arial" w:hAnsi="Arial" w:cs="Arial"/>
          <w:sz w:val="24"/>
          <w:szCs w:val="24"/>
        </w:rPr>
        <w:t>,</w:t>
      </w:r>
      <w:r w:rsidRPr="00F65DD7">
        <w:rPr>
          <w:rFonts w:ascii="Arial" w:hAnsi="Arial" w:cs="Arial"/>
          <w:sz w:val="24"/>
          <w:szCs w:val="24"/>
        </w:rPr>
        <w:t xml:space="preserve"> tuvo en cuenta </w:t>
      </w:r>
      <w:r w:rsidR="00A12BF0" w:rsidRPr="00F65DD7">
        <w:rPr>
          <w:rFonts w:ascii="Arial" w:hAnsi="Arial" w:cs="Arial"/>
          <w:sz w:val="24"/>
          <w:szCs w:val="24"/>
        </w:rPr>
        <w:t>la jurisprudencia</w:t>
      </w:r>
      <w:r w:rsidR="00FF7DB1" w:rsidRPr="00F65DD7">
        <w:rPr>
          <w:rFonts w:ascii="Arial" w:hAnsi="Arial" w:cs="Arial"/>
          <w:sz w:val="24"/>
          <w:szCs w:val="24"/>
        </w:rPr>
        <w:t xml:space="preserve"> del Consejo de Estado</w:t>
      </w:r>
      <w:r w:rsidR="00A12BF0" w:rsidRPr="00F65DD7">
        <w:rPr>
          <w:rStyle w:val="Refdenotaalpie"/>
          <w:rFonts w:ascii="Arial" w:hAnsi="Arial" w:cs="Arial"/>
          <w:sz w:val="24"/>
          <w:szCs w:val="24"/>
        </w:rPr>
        <w:footnoteReference w:id="3"/>
      </w:r>
      <w:r w:rsidR="00A12BF0" w:rsidRPr="00F65DD7">
        <w:rPr>
          <w:rFonts w:ascii="Arial" w:hAnsi="Arial" w:cs="Arial"/>
          <w:sz w:val="24"/>
          <w:szCs w:val="24"/>
        </w:rPr>
        <w:t xml:space="preserve"> relacionada con la</w:t>
      </w:r>
      <w:r w:rsidR="00086FEE" w:rsidRPr="00F65DD7">
        <w:rPr>
          <w:rFonts w:ascii="Arial" w:hAnsi="Arial" w:cs="Arial"/>
          <w:sz w:val="24"/>
          <w:szCs w:val="24"/>
        </w:rPr>
        <w:t xml:space="preserve"> oportunidad</w:t>
      </w:r>
      <w:r w:rsidR="00A12BF0" w:rsidRPr="00F65DD7">
        <w:rPr>
          <w:rFonts w:ascii="Arial" w:hAnsi="Arial" w:cs="Arial"/>
          <w:sz w:val="24"/>
          <w:szCs w:val="24"/>
        </w:rPr>
        <w:t xml:space="preserve"> </w:t>
      </w:r>
      <w:r w:rsidR="00086FEE" w:rsidRPr="00F65DD7">
        <w:rPr>
          <w:rFonts w:ascii="Arial" w:hAnsi="Arial" w:cs="Arial"/>
          <w:sz w:val="24"/>
          <w:szCs w:val="24"/>
        </w:rPr>
        <w:t xml:space="preserve">de presentar la </w:t>
      </w:r>
      <w:r w:rsidR="00A12BF0" w:rsidRPr="00F65DD7">
        <w:rPr>
          <w:rFonts w:ascii="Arial" w:hAnsi="Arial" w:cs="Arial"/>
          <w:sz w:val="24"/>
          <w:szCs w:val="24"/>
        </w:rPr>
        <w:t>reclamación de acreencias</w:t>
      </w:r>
      <w:r w:rsidR="00086FEE" w:rsidRPr="00F65DD7">
        <w:rPr>
          <w:rFonts w:ascii="Arial" w:hAnsi="Arial" w:cs="Arial"/>
          <w:sz w:val="24"/>
          <w:szCs w:val="24"/>
        </w:rPr>
        <w:t>, la cual</w:t>
      </w:r>
      <w:r w:rsidR="00A12BF0" w:rsidRPr="00F65DD7">
        <w:rPr>
          <w:rFonts w:ascii="Arial" w:hAnsi="Arial" w:cs="Arial"/>
          <w:sz w:val="24"/>
          <w:szCs w:val="24"/>
        </w:rPr>
        <w:t xml:space="preserve"> debía realizarse dentro de los 3 años siguientes al vencimiento o terminación de los contratos de prestación </w:t>
      </w:r>
      <w:r w:rsidR="00086FEE" w:rsidRPr="00F65DD7">
        <w:rPr>
          <w:rFonts w:ascii="Arial" w:hAnsi="Arial" w:cs="Arial"/>
          <w:sz w:val="24"/>
          <w:szCs w:val="24"/>
        </w:rPr>
        <w:t>de servicios.</w:t>
      </w:r>
      <w:r w:rsidR="00200AD9" w:rsidRPr="00F65DD7">
        <w:rPr>
          <w:rFonts w:ascii="Arial" w:hAnsi="Arial" w:cs="Arial"/>
          <w:sz w:val="24"/>
          <w:szCs w:val="24"/>
        </w:rPr>
        <w:t xml:space="preserve"> </w:t>
      </w:r>
    </w:p>
    <w:p w:rsidR="00086FEE" w:rsidRPr="00F65DD7" w:rsidRDefault="00086FEE" w:rsidP="00D252FD">
      <w:pPr>
        <w:overflowPunct/>
        <w:autoSpaceDE/>
        <w:autoSpaceDN/>
        <w:adjustRightInd/>
        <w:spacing w:line="360" w:lineRule="auto"/>
        <w:jc w:val="both"/>
        <w:textAlignment w:val="auto"/>
        <w:rPr>
          <w:rFonts w:ascii="Arial" w:hAnsi="Arial" w:cs="Arial"/>
          <w:sz w:val="24"/>
          <w:szCs w:val="24"/>
        </w:rPr>
      </w:pPr>
    </w:p>
    <w:p w:rsidR="00701B74" w:rsidRPr="00F65DD7" w:rsidRDefault="00915F3E" w:rsidP="00D252FD">
      <w:pPr>
        <w:overflowPunct/>
        <w:autoSpaceDE/>
        <w:autoSpaceDN/>
        <w:adjustRightInd/>
        <w:spacing w:line="360" w:lineRule="auto"/>
        <w:jc w:val="both"/>
        <w:textAlignment w:val="auto"/>
        <w:rPr>
          <w:rFonts w:ascii="Arial" w:hAnsi="Arial" w:cs="Arial"/>
          <w:i/>
          <w:sz w:val="24"/>
          <w:szCs w:val="24"/>
          <w:u w:val="single"/>
        </w:rPr>
      </w:pPr>
      <w:r w:rsidRPr="00F65DD7">
        <w:rPr>
          <w:rFonts w:ascii="Arial" w:hAnsi="Arial" w:cs="Arial"/>
          <w:i/>
          <w:sz w:val="24"/>
          <w:szCs w:val="24"/>
          <w:u w:val="single"/>
        </w:rPr>
        <w:t>Pretensión.</w:t>
      </w:r>
    </w:p>
    <w:p w:rsidR="00915F3E" w:rsidRPr="00F65DD7" w:rsidRDefault="00915F3E" w:rsidP="00137294">
      <w:pPr>
        <w:overflowPunct/>
        <w:autoSpaceDE/>
        <w:autoSpaceDN/>
        <w:adjustRightInd/>
        <w:spacing w:line="360" w:lineRule="auto"/>
        <w:jc w:val="both"/>
        <w:textAlignment w:val="auto"/>
        <w:rPr>
          <w:rFonts w:ascii="Arial" w:hAnsi="Arial" w:cs="Arial"/>
          <w:sz w:val="24"/>
          <w:szCs w:val="24"/>
        </w:rPr>
      </w:pPr>
    </w:p>
    <w:p w:rsidR="00186497" w:rsidRPr="00F65DD7" w:rsidRDefault="001B7E22" w:rsidP="00F5304F">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Como consecu</w:t>
      </w:r>
      <w:r w:rsidR="00F5304F" w:rsidRPr="00F65DD7">
        <w:rPr>
          <w:rFonts w:ascii="Arial" w:hAnsi="Arial" w:cs="Arial"/>
          <w:sz w:val="24"/>
          <w:szCs w:val="24"/>
        </w:rPr>
        <w:t xml:space="preserve">encia de lo anterior, solicitó se revoquen </w:t>
      </w:r>
      <w:r w:rsidR="003C1AE5" w:rsidRPr="00F65DD7">
        <w:rPr>
          <w:rFonts w:ascii="Arial" w:hAnsi="Arial" w:cs="Arial"/>
          <w:sz w:val="24"/>
          <w:szCs w:val="24"/>
        </w:rPr>
        <w:t xml:space="preserve">los autos de 14 de julio de 2015 y de 17 de marzo de 2016, proferidos por el Juzgado Veintitrés Administrativo de Oralidad de Bogotá y el </w:t>
      </w:r>
      <w:r w:rsidR="00FE3568" w:rsidRPr="00F65DD7">
        <w:rPr>
          <w:rFonts w:ascii="Arial" w:hAnsi="Arial" w:cs="Arial"/>
          <w:sz w:val="24"/>
          <w:szCs w:val="24"/>
        </w:rPr>
        <w:t>Tr</w:t>
      </w:r>
      <w:r w:rsidR="00186497" w:rsidRPr="00F65DD7">
        <w:rPr>
          <w:rFonts w:ascii="Arial" w:hAnsi="Arial" w:cs="Arial"/>
          <w:sz w:val="24"/>
          <w:szCs w:val="24"/>
        </w:rPr>
        <w:t>ibunal A</w:t>
      </w:r>
      <w:r w:rsidR="006C6C61" w:rsidRPr="00F65DD7">
        <w:rPr>
          <w:rFonts w:ascii="Arial" w:hAnsi="Arial" w:cs="Arial"/>
          <w:sz w:val="24"/>
          <w:szCs w:val="24"/>
        </w:rPr>
        <w:t>dministrativo de</w:t>
      </w:r>
      <w:r w:rsidR="00186497" w:rsidRPr="00F65DD7">
        <w:rPr>
          <w:rFonts w:ascii="Arial" w:hAnsi="Arial" w:cs="Arial"/>
          <w:sz w:val="24"/>
          <w:szCs w:val="24"/>
        </w:rPr>
        <w:t xml:space="preserve"> C</w:t>
      </w:r>
      <w:r w:rsidR="006C6C61" w:rsidRPr="00F65DD7">
        <w:rPr>
          <w:rFonts w:ascii="Arial" w:hAnsi="Arial" w:cs="Arial"/>
          <w:sz w:val="24"/>
          <w:szCs w:val="24"/>
        </w:rPr>
        <w:t>undinamarca, sección segunda, subsección A</w:t>
      </w:r>
      <w:r w:rsidR="003C1AE5" w:rsidRPr="00F65DD7">
        <w:rPr>
          <w:rFonts w:ascii="Arial" w:hAnsi="Arial" w:cs="Arial"/>
          <w:sz w:val="24"/>
          <w:szCs w:val="24"/>
        </w:rPr>
        <w:t xml:space="preserve"> </w:t>
      </w:r>
      <w:r w:rsidR="006C6C61" w:rsidRPr="00F65DD7">
        <w:rPr>
          <w:rFonts w:ascii="Arial" w:hAnsi="Arial" w:cs="Arial"/>
          <w:sz w:val="24"/>
          <w:szCs w:val="24"/>
        </w:rPr>
        <w:t>y, en consecuencia</w:t>
      </w:r>
      <w:r w:rsidR="001F180D" w:rsidRPr="00F65DD7">
        <w:rPr>
          <w:rFonts w:ascii="Arial" w:hAnsi="Arial" w:cs="Arial"/>
          <w:sz w:val="24"/>
          <w:szCs w:val="24"/>
        </w:rPr>
        <w:t xml:space="preserve">, </w:t>
      </w:r>
      <w:r w:rsidR="003C1AE5" w:rsidRPr="00F65DD7">
        <w:rPr>
          <w:rFonts w:ascii="Arial" w:hAnsi="Arial" w:cs="Arial"/>
          <w:sz w:val="24"/>
          <w:szCs w:val="24"/>
        </w:rPr>
        <w:t xml:space="preserve">ordenar al </w:t>
      </w:r>
      <w:r w:rsidR="003C1AE5" w:rsidRPr="00F65DD7">
        <w:rPr>
          <w:rFonts w:ascii="Arial" w:hAnsi="Arial" w:cs="Arial"/>
          <w:i/>
          <w:sz w:val="24"/>
          <w:szCs w:val="24"/>
        </w:rPr>
        <w:t>A quo</w:t>
      </w:r>
      <w:r w:rsidR="003C1AE5" w:rsidRPr="00F65DD7">
        <w:rPr>
          <w:rFonts w:ascii="Arial" w:hAnsi="Arial" w:cs="Arial"/>
          <w:sz w:val="24"/>
          <w:szCs w:val="24"/>
        </w:rPr>
        <w:t xml:space="preserve"> </w:t>
      </w:r>
      <w:r w:rsidR="001F180D" w:rsidRPr="00F65DD7">
        <w:rPr>
          <w:rFonts w:ascii="Arial" w:hAnsi="Arial" w:cs="Arial"/>
          <w:sz w:val="24"/>
          <w:szCs w:val="24"/>
        </w:rPr>
        <w:t>proceda</w:t>
      </w:r>
      <w:r w:rsidR="006C6C61" w:rsidRPr="00F65DD7">
        <w:rPr>
          <w:rFonts w:ascii="Arial" w:hAnsi="Arial" w:cs="Arial"/>
          <w:sz w:val="24"/>
          <w:szCs w:val="24"/>
        </w:rPr>
        <w:t xml:space="preserve"> </w:t>
      </w:r>
      <w:r w:rsidR="003C1AE5" w:rsidRPr="00F65DD7">
        <w:rPr>
          <w:rFonts w:ascii="Arial" w:hAnsi="Arial" w:cs="Arial"/>
          <w:sz w:val="24"/>
          <w:szCs w:val="24"/>
        </w:rPr>
        <w:t>a continuar con las demás etapas procesales correspondientes al proceso de nulidad y restablecimiento del derecho</w:t>
      </w:r>
      <w:r w:rsidR="00CC479D" w:rsidRPr="00F65DD7">
        <w:rPr>
          <w:rFonts w:ascii="Arial" w:hAnsi="Arial" w:cs="Arial"/>
          <w:sz w:val="24"/>
          <w:szCs w:val="24"/>
        </w:rPr>
        <w:t>,</w:t>
      </w:r>
      <w:r w:rsidR="006C6C61" w:rsidRPr="00F65DD7">
        <w:rPr>
          <w:rFonts w:ascii="Arial" w:hAnsi="Arial" w:cs="Arial"/>
          <w:sz w:val="24"/>
          <w:szCs w:val="24"/>
        </w:rPr>
        <w:t xml:space="preserve"> </w:t>
      </w:r>
      <w:r w:rsidR="00CC479D" w:rsidRPr="00F65DD7">
        <w:rPr>
          <w:rFonts w:ascii="Arial" w:hAnsi="Arial" w:cs="Arial"/>
          <w:sz w:val="24"/>
          <w:szCs w:val="24"/>
        </w:rPr>
        <w:t>de acuerdo con el precedente jurisprudencial descrito</w:t>
      </w:r>
      <w:r w:rsidR="006C6C61" w:rsidRPr="00F65DD7">
        <w:rPr>
          <w:rFonts w:ascii="Arial" w:hAnsi="Arial" w:cs="Arial"/>
          <w:sz w:val="24"/>
          <w:szCs w:val="24"/>
        </w:rPr>
        <w:t>.</w:t>
      </w:r>
    </w:p>
    <w:p w:rsidR="006C6C61" w:rsidRPr="00F65DD7" w:rsidRDefault="006C6C61" w:rsidP="006C6C61">
      <w:pPr>
        <w:overflowPunct/>
        <w:autoSpaceDE/>
        <w:autoSpaceDN/>
        <w:adjustRightInd/>
        <w:spacing w:line="360" w:lineRule="auto"/>
        <w:ind w:left="720"/>
        <w:jc w:val="both"/>
        <w:textAlignment w:val="auto"/>
        <w:rPr>
          <w:rFonts w:ascii="Arial" w:hAnsi="Arial" w:cs="Arial"/>
          <w:sz w:val="24"/>
          <w:szCs w:val="24"/>
        </w:rPr>
      </w:pPr>
    </w:p>
    <w:p w:rsidR="00A12B0B" w:rsidRPr="00F65DD7" w:rsidRDefault="00A12B0B" w:rsidP="00A12B0B">
      <w:pPr>
        <w:overflowPunct/>
        <w:autoSpaceDE/>
        <w:autoSpaceDN/>
        <w:adjustRightInd/>
        <w:spacing w:line="360" w:lineRule="auto"/>
        <w:jc w:val="both"/>
        <w:textAlignment w:val="auto"/>
        <w:rPr>
          <w:rFonts w:ascii="Arial" w:hAnsi="Arial" w:cs="Arial"/>
          <w:b/>
          <w:sz w:val="24"/>
          <w:szCs w:val="24"/>
        </w:rPr>
      </w:pPr>
      <w:r w:rsidRPr="00F65DD7">
        <w:rPr>
          <w:rFonts w:ascii="Arial" w:hAnsi="Arial" w:cs="Arial"/>
          <w:b/>
          <w:sz w:val="24"/>
          <w:szCs w:val="24"/>
        </w:rPr>
        <w:t>ACTUACIÓN PROCESAL DE INSTANCIA.</w:t>
      </w:r>
    </w:p>
    <w:p w:rsidR="00A12B0B" w:rsidRPr="00F65DD7" w:rsidRDefault="00A12B0B" w:rsidP="00A12B0B">
      <w:pPr>
        <w:overflowPunct/>
        <w:autoSpaceDE/>
        <w:autoSpaceDN/>
        <w:adjustRightInd/>
        <w:spacing w:line="360" w:lineRule="auto"/>
        <w:jc w:val="both"/>
        <w:textAlignment w:val="auto"/>
        <w:rPr>
          <w:rFonts w:ascii="Arial" w:hAnsi="Arial" w:cs="Arial"/>
          <w:sz w:val="24"/>
          <w:szCs w:val="24"/>
        </w:rPr>
      </w:pPr>
    </w:p>
    <w:p w:rsidR="00200C8E" w:rsidRPr="00F65DD7" w:rsidRDefault="00A12B0B" w:rsidP="00CC479D">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Mediante A</w:t>
      </w:r>
      <w:r w:rsidR="0084451A" w:rsidRPr="00F65DD7">
        <w:rPr>
          <w:rFonts w:ascii="Arial" w:hAnsi="Arial" w:cs="Arial"/>
          <w:sz w:val="24"/>
          <w:szCs w:val="24"/>
        </w:rPr>
        <w:t xml:space="preserve">uto de </w:t>
      </w:r>
      <w:r w:rsidR="00CC479D" w:rsidRPr="00F65DD7">
        <w:rPr>
          <w:rFonts w:ascii="Arial" w:hAnsi="Arial" w:cs="Arial"/>
          <w:sz w:val="24"/>
          <w:szCs w:val="24"/>
        </w:rPr>
        <w:t>10</w:t>
      </w:r>
      <w:r w:rsidR="0084451A" w:rsidRPr="00F65DD7">
        <w:rPr>
          <w:rFonts w:ascii="Arial" w:hAnsi="Arial" w:cs="Arial"/>
          <w:sz w:val="24"/>
          <w:szCs w:val="24"/>
        </w:rPr>
        <w:t xml:space="preserve"> de </w:t>
      </w:r>
      <w:r w:rsidR="00CC479D" w:rsidRPr="00F65DD7">
        <w:rPr>
          <w:rFonts w:ascii="Arial" w:hAnsi="Arial" w:cs="Arial"/>
          <w:sz w:val="24"/>
          <w:szCs w:val="24"/>
        </w:rPr>
        <w:t>mayo</w:t>
      </w:r>
      <w:r w:rsidR="00667D83" w:rsidRPr="00F65DD7">
        <w:rPr>
          <w:rFonts w:ascii="Arial" w:hAnsi="Arial" w:cs="Arial"/>
          <w:sz w:val="24"/>
          <w:szCs w:val="24"/>
        </w:rPr>
        <w:t xml:space="preserve"> de 2016</w:t>
      </w:r>
      <w:r w:rsidR="0084451A" w:rsidRPr="00F65DD7">
        <w:rPr>
          <w:rStyle w:val="Refdenotaalpie"/>
          <w:rFonts w:ascii="Arial" w:hAnsi="Arial" w:cs="Arial"/>
          <w:sz w:val="24"/>
          <w:szCs w:val="24"/>
        </w:rPr>
        <w:footnoteReference w:id="4"/>
      </w:r>
      <w:r w:rsidRPr="00F65DD7">
        <w:rPr>
          <w:rFonts w:ascii="Arial" w:hAnsi="Arial" w:cs="Arial"/>
          <w:sz w:val="24"/>
          <w:szCs w:val="24"/>
        </w:rPr>
        <w:t>, la Magistrada Ponente del asunto admitió la acción de tut</w:t>
      </w:r>
      <w:r w:rsidR="00743FBB" w:rsidRPr="00F65DD7">
        <w:rPr>
          <w:rFonts w:ascii="Arial" w:hAnsi="Arial" w:cs="Arial"/>
          <w:sz w:val="24"/>
          <w:szCs w:val="24"/>
        </w:rPr>
        <w:t xml:space="preserve">ela instaurada por </w:t>
      </w:r>
      <w:r w:rsidR="00E511B1" w:rsidRPr="00F65DD7">
        <w:rPr>
          <w:rFonts w:ascii="Arial" w:hAnsi="Arial" w:cs="Arial"/>
          <w:sz w:val="24"/>
          <w:szCs w:val="24"/>
        </w:rPr>
        <w:t>l</w:t>
      </w:r>
      <w:r w:rsidR="00FF10AF" w:rsidRPr="00F65DD7">
        <w:rPr>
          <w:rFonts w:ascii="Arial" w:hAnsi="Arial" w:cs="Arial"/>
          <w:sz w:val="24"/>
          <w:szCs w:val="24"/>
        </w:rPr>
        <w:t>a señora</w:t>
      </w:r>
      <w:r w:rsidR="00CC479D" w:rsidRPr="00F65DD7">
        <w:rPr>
          <w:rFonts w:ascii="Arial" w:hAnsi="Arial" w:cs="Arial"/>
          <w:sz w:val="24"/>
          <w:szCs w:val="24"/>
        </w:rPr>
        <w:t xml:space="preserve"> Luz Marina Morales </w:t>
      </w:r>
      <w:r w:rsidR="00BE1C99" w:rsidRPr="00F65DD7">
        <w:rPr>
          <w:rFonts w:ascii="Arial" w:hAnsi="Arial" w:cs="Arial"/>
          <w:sz w:val="24"/>
          <w:szCs w:val="24"/>
        </w:rPr>
        <w:t xml:space="preserve">contra </w:t>
      </w:r>
      <w:r w:rsidR="00CC479D" w:rsidRPr="00F65DD7">
        <w:rPr>
          <w:rFonts w:ascii="Arial" w:hAnsi="Arial" w:cs="Arial"/>
          <w:sz w:val="24"/>
          <w:szCs w:val="24"/>
        </w:rPr>
        <w:t xml:space="preserve">el Juzgado Veintitrés Administrativo de Oralidad de Bogotá y </w:t>
      </w:r>
      <w:r w:rsidR="00BE1C99" w:rsidRPr="00F65DD7">
        <w:rPr>
          <w:rFonts w:ascii="Arial" w:hAnsi="Arial" w:cs="Arial"/>
          <w:sz w:val="24"/>
          <w:szCs w:val="24"/>
        </w:rPr>
        <w:t xml:space="preserve">el </w:t>
      </w:r>
      <w:r w:rsidR="00AE4660" w:rsidRPr="00F65DD7">
        <w:rPr>
          <w:rFonts w:ascii="Arial" w:hAnsi="Arial" w:cs="Arial"/>
          <w:sz w:val="24"/>
          <w:szCs w:val="24"/>
        </w:rPr>
        <w:t xml:space="preserve">Tribunal Administrativo de Cundinamarca, sección segunda, subsección A </w:t>
      </w:r>
      <w:r w:rsidR="00E82F37" w:rsidRPr="00F65DD7">
        <w:rPr>
          <w:rFonts w:ascii="Arial" w:hAnsi="Arial" w:cs="Arial"/>
          <w:sz w:val="24"/>
          <w:szCs w:val="24"/>
        </w:rPr>
        <w:t xml:space="preserve">y </w:t>
      </w:r>
      <w:r w:rsidR="0084451A" w:rsidRPr="00F65DD7">
        <w:rPr>
          <w:rFonts w:ascii="Arial" w:hAnsi="Arial" w:cs="Arial"/>
          <w:sz w:val="24"/>
          <w:szCs w:val="24"/>
        </w:rPr>
        <w:t xml:space="preserve">ordenó </w:t>
      </w:r>
      <w:r w:rsidRPr="00F65DD7">
        <w:rPr>
          <w:rFonts w:ascii="Arial" w:hAnsi="Arial" w:cs="Arial"/>
          <w:sz w:val="24"/>
          <w:szCs w:val="24"/>
        </w:rPr>
        <w:t>su notifi</w:t>
      </w:r>
      <w:r w:rsidR="001B7E22" w:rsidRPr="00F65DD7">
        <w:rPr>
          <w:rFonts w:ascii="Arial" w:hAnsi="Arial" w:cs="Arial"/>
          <w:sz w:val="24"/>
          <w:szCs w:val="24"/>
        </w:rPr>
        <w:t xml:space="preserve">cación en calidad de </w:t>
      </w:r>
      <w:r w:rsidR="00DE5245" w:rsidRPr="00F65DD7">
        <w:rPr>
          <w:rFonts w:ascii="Arial" w:hAnsi="Arial" w:cs="Arial"/>
          <w:sz w:val="24"/>
          <w:szCs w:val="24"/>
        </w:rPr>
        <w:t>demandado</w:t>
      </w:r>
      <w:r w:rsidR="00CC479D" w:rsidRPr="00F65DD7">
        <w:rPr>
          <w:rFonts w:ascii="Arial" w:hAnsi="Arial" w:cs="Arial"/>
          <w:sz w:val="24"/>
          <w:szCs w:val="24"/>
        </w:rPr>
        <w:t>s</w:t>
      </w:r>
      <w:r w:rsidR="00E82F37" w:rsidRPr="00F65DD7">
        <w:rPr>
          <w:rFonts w:ascii="Arial" w:hAnsi="Arial" w:cs="Arial"/>
          <w:sz w:val="24"/>
          <w:szCs w:val="24"/>
        </w:rPr>
        <w:t>.</w:t>
      </w:r>
      <w:r w:rsidR="00DE5245" w:rsidRPr="00F65DD7">
        <w:rPr>
          <w:rFonts w:ascii="Arial" w:hAnsi="Arial" w:cs="Arial"/>
          <w:sz w:val="24"/>
          <w:szCs w:val="24"/>
        </w:rPr>
        <w:t xml:space="preserve"> </w:t>
      </w:r>
      <w:r w:rsidR="00E82F37" w:rsidRPr="00F65DD7">
        <w:rPr>
          <w:rFonts w:ascii="Arial" w:hAnsi="Arial" w:cs="Arial"/>
          <w:sz w:val="24"/>
          <w:szCs w:val="24"/>
        </w:rPr>
        <w:t>D</w:t>
      </w:r>
      <w:r w:rsidRPr="00F65DD7">
        <w:rPr>
          <w:rFonts w:ascii="Arial" w:hAnsi="Arial" w:cs="Arial"/>
          <w:sz w:val="24"/>
          <w:szCs w:val="24"/>
        </w:rPr>
        <w:t>e</w:t>
      </w:r>
      <w:r w:rsidR="00E82F37" w:rsidRPr="00F65DD7">
        <w:rPr>
          <w:rFonts w:ascii="Arial" w:hAnsi="Arial" w:cs="Arial"/>
          <w:sz w:val="24"/>
          <w:szCs w:val="24"/>
        </w:rPr>
        <w:t xml:space="preserve"> </w:t>
      </w:r>
      <w:r w:rsidRPr="00F65DD7">
        <w:rPr>
          <w:rFonts w:ascii="Arial" w:hAnsi="Arial" w:cs="Arial"/>
          <w:sz w:val="24"/>
          <w:szCs w:val="24"/>
        </w:rPr>
        <w:t xml:space="preserve">conformidad con </w:t>
      </w:r>
      <w:r w:rsidR="00E82F37" w:rsidRPr="00F65DD7">
        <w:rPr>
          <w:rFonts w:ascii="Arial" w:hAnsi="Arial" w:cs="Arial"/>
          <w:sz w:val="24"/>
          <w:szCs w:val="24"/>
        </w:rPr>
        <w:t>lo establecido en el artículo 13</w:t>
      </w:r>
      <w:r w:rsidRPr="00F65DD7">
        <w:rPr>
          <w:rFonts w:ascii="Arial" w:hAnsi="Arial" w:cs="Arial"/>
          <w:sz w:val="24"/>
          <w:szCs w:val="24"/>
        </w:rPr>
        <w:t xml:space="preserve"> y concordantes del Decreto 2591 d</w:t>
      </w:r>
      <w:r w:rsidR="00E82F37" w:rsidRPr="00F65DD7">
        <w:rPr>
          <w:rFonts w:ascii="Arial" w:hAnsi="Arial" w:cs="Arial"/>
          <w:sz w:val="24"/>
          <w:szCs w:val="24"/>
        </w:rPr>
        <w:t>e 1991, ordenó notificar en calidad de tercero</w:t>
      </w:r>
      <w:r w:rsidR="00743FBB" w:rsidRPr="00F65DD7">
        <w:rPr>
          <w:rFonts w:ascii="Arial" w:hAnsi="Arial" w:cs="Arial"/>
          <w:sz w:val="24"/>
          <w:szCs w:val="24"/>
        </w:rPr>
        <w:t>s</w:t>
      </w:r>
      <w:r w:rsidR="00E82F37" w:rsidRPr="00F65DD7">
        <w:rPr>
          <w:rFonts w:ascii="Arial" w:hAnsi="Arial" w:cs="Arial"/>
          <w:sz w:val="24"/>
          <w:szCs w:val="24"/>
        </w:rPr>
        <w:t xml:space="preserve"> interesado</w:t>
      </w:r>
      <w:r w:rsidR="00743FBB" w:rsidRPr="00F65DD7">
        <w:rPr>
          <w:rFonts w:ascii="Arial" w:hAnsi="Arial" w:cs="Arial"/>
          <w:sz w:val="24"/>
          <w:szCs w:val="24"/>
        </w:rPr>
        <w:t>s</w:t>
      </w:r>
      <w:r w:rsidR="00AE4660" w:rsidRPr="00F65DD7">
        <w:rPr>
          <w:rFonts w:ascii="Arial" w:hAnsi="Arial" w:cs="Arial"/>
          <w:sz w:val="24"/>
          <w:szCs w:val="24"/>
        </w:rPr>
        <w:t xml:space="preserve"> al </w:t>
      </w:r>
      <w:r w:rsidR="00CC479D" w:rsidRPr="00F65DD7">
        <w:rPr>
          <w:rFonts w:ascii="Arial" w:hAnsi="Arial" w:cs="Arial"/>
          <w:sz w:val="24"/>
          <w:szCs w:val="24"/>
        </w:rPr>
        <w:t>Instituto Nacional Penitenciario y Carcelario INPEC,</w:t>
      </w:r>
      <w:r w:rsidR="00E82F37" w:rsidRPr="00F65DD7">
        <w:rPr>
          <w:rFonts w:ascii="Arial" w:hAnsi="Arial" w:cs="Arial"/>
          <w:sz w:val="24"/>
          <w:szCs w:val="24"/>
        </w:rPr>
        <w:t xml:space="preserve"> por tener interés directo en las resultas del proceso.</w:t>
      </w:r>
    </w:p>
    <w:p w:rsidR="00C56EFA" w:rsidRPr="00F65DD7" w:rsidRDefault="00C56EFA" w:rsidP="00A12B0B">
      <w:pPr>
        <w:overflowPunct/>
        <w:autoSpaceDE/>
        <w:autoSpaceDN/>
        <w:adjustRightInd/>
        <w:spacing w:line="360" w:lineRule="auto"/>
        <w:jc w:val="both"/>
        <w:textAlignment w:val="auto"/>
        <w:rPr>
          <w:rFonts w:ascii="Arial" w:hAnsi="Arial" w:cs="Arial"/>
          <w:sz w:val="24"/>
          <w:szCs w:val="24"/>
        </w:rPr>
      </w:pPr>
    </w:p>
    <w:p w:rsidR="005B72A1" w:rsidRPr="00F65DD7" w:rsidRDefault="0013156D" w:rsidP="002552E2">
      <w:pPr>
        <w:overflowPunct/>
        <w:autoSpaceDE/>
        <w:autoSpaceDN/>
        <w:adjustRightInd/>
        <w:spacing w:line="360" w:lineRule="auto"/>
        <w:textAlignment w:val="auto"/>
        <w:rPr>
          <w:rFonts w:ascii="Arial" w:hAnsi="Arial" w:cs="Arial"/>
          <w:b/>
          <w:bCs/>
          <w:sz w:val="24"/>
          <w:szCs w:val="24"/>
        </w:rPr>
      </w:pPr>
      <w:r w:rsidRPr="00F65DD7">
        <w:rPr>
          <w:rFonts w:ascii="Arial" w:hAnsi="Arial" w:cs="Arial"/>
          <w:b/>
          <w:bCs/>
          <w:sz w:val="24"/>
          <w:szCs w:val="24"/>
        </w:rPr>
        <w:t>INFORME</w:t>
      </w:r>
      <w:r w:rsidR="00A34909" w:rsidRPr="00F65DD7">
        <w:rPr>
          <w:rFonts w:ascii="Arial" w:hAnsi="Arial" w:cs="Arial"/>
          <w:b/>
          <w:bCs/>
          <w:sz w:val="24"/>
          <w:szCs w:val="24"/>
        </w:rPr>
        <w:t>S</w:t>
      </w:r>
      <w:r w:rsidR="005B72A1" w:rsidRPr="00F65DD7">
        <w:rPr>
          <w:rFonts w:ascii="Arial" w:hAnsi="Arial" w:cs="Arial"/>
          <w:b/>
          <w:bCs/>
          <w:sz w:val="24"/>
          <w:szCs w:val="24"/>
        </w:rPr>
        <w:t xml:space="preserve"> RENDIDO</w:t>
      </w:r>
      <w:r w:rsidR="00A34909" w:rsidRPr="00F65DD7">
        <w:rPr>
          <w:rFonts w:ascii="Arial" w:hAnsi="Arial" w:cs="Arial"/>
          <w:b/>
          <w:bCs/>
          <w:sz w:val="24"/>
          <w:szCs w:val="24"/>
        </w:rPr>
        <w:t>S</w:t>
      </w:r>
      <w:r w:rsidR="005B72A1" w:rsidRPr="00F65DD7">
        <w:rPr>
          <w:rFonts w:ascii="Arial" w:hAnsi="Arial" w:cs="Arial"/>
          <w:b/>
          <w:bCs/>
          <w:sz w:val="24"/>
          <w:szCs w:val="24"/>
        </w:rPr>
        <w:t xml:space="preserve"> EN EL PROCESO</w:t>
      </w:r>
      <w:r w:rsidR="002E7C63" w:rsidRPr="00F65DD7">
        <w:rPr>
          <w:rFonts w:ascii="Arial" w:hAnsi="Arial" w:cs="Arial"/>
          <w:b/>
          <w:bCs/>
          <w:sz w:val="24"/>
          <w:szCs w:val="24"/>
        </w:rPr>
        <w:t>.</w:t>
      </w:r>
    </w:p>
    <w:p w:rsidR="00A12B0B" w:rsidRPr="00F65DD7" w:rsidRDefault="00A12B0B" w:rsidP="00FF1336">
      <w:pPr>
        <w:overflowPunct/>
        <w:autoSpaceDE/>
        <w:autoSpaceDN/>
        <w:adjustRightInd/>
        <w:spacing w:line="360" w:lineRule="auto"/>
        <w:jc w:val="both"/>
        <w:textAlignment w:val="auto"/>
        <w:rPr>
          <w:rFonts w:ascii="Arial" w:hAnsi="Arial" w:cs="Arial"/>
          <w:sz w:val="24"/>
          <w:szCs w:val="24"/>
        </w:rPr>
      </w:pPr>
    </w:p>
    <w:p w:rsidR="00A54AA8" w:rsidRPr="00F65DD7" w:rsidRDefault="00AD5C26" w:rsidP="00D07699">
      <w:pPr>
        <w:pStyle w:val="Textoindependiente"/>
        <w:tabs>
          <w:tab w:val="left" w:pos="720"/>
        </w:tabs>
        <w:rPr>
          <w:rFonts w:cs="Arial"/>
          <w:b/>
          <w:szCs w:val="24"/>
          <w:lang w:val="es-CO"/>
        </w:rPr>
      </w:pPr>
      <w:r w:rsidRPr="00F65DD7">
        <w:rPr>
          <w:rFonts w:cs="Arial"/>
          <w:b/>
          <w:szCs w:val="24"/>
          <w:lang w:val="es-CO"/>
        </w:rPr>
        <w:t>Tribunal Administrativo de Cundinamarca, sección segunda, subsección A</w:t>
      </w:r>
      <w:r w:rsidR="00A54AA8" w:rsidRPr="00F65DD7">
        <w:rPr>
          <w:rFonts w:cs="Arial"/>
          <w:b/>
          <w:szCs w:val="24"/>
          <w:lang w:val="es-CO"/>
        </w:rPr>
        <w:t>.</w:t>
      </w:r>
    </w:p>
    <w:p w:rsidR="00B76DD4" w:rsidRPr="00F65DD7" w:rsidRDefault="00B76DD4" w:rsidP="00B76DD4">
      <w:pPr>
        <w:overflowPunct/>
        <w:autoSpaceDE/>
        <w:autoSpaceDN/>
        <w:adjustRightInd/>
        <w:spacing w:line="360" w:lineRule="auto"/>
        <w:jc w:val="both"/>
        <w:textAlignment w:val="auto"/>
        <w:rPr>
          <w:rFonts w:ascii="Arial" w:hAnsi="Arial" w:cs="Arial"/>
          <w:sz w:val="24"/>
          <w:szCs w:val="24"/>
        </w:rPr>
      </w:pPr>
    </w:p>
    <w:p w:rsidR="00B76DD4" w:rsidRPr="00F65DD7" w:rsidRDefault="00B76DD4" w:rsidP="00B76DD4">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lastRenderedPageBreak/>
        <w:t xml:space="preserve">Mediante oficio obrante a folios </w:t>
      </w:r>
      <w:r w:rsidR="00CC479D" w:rsidRPr="00F65DD7">
        <w:rPr>
          <w:rFonts w:ascii="Arial" w:hAnsi="Arial" w:cs="Arial"/>
          <w:sz w:val="24"/>
          <w:szCs w:val="24"/>
        </w:rPr>
        <w:t>4</w:t>
      </w:r>
      <w:r w:rsidR="00AD5C26" w:rsidRPr="00F65DD7">
        <w:rPr>
          <w:rFonts w:ascii="Arial" w:hAnsi="Arial" w:cs="Arial"/>
          <w:sz w:val="24"/>
          <w:szCs w:val="24"/>
        </w:rPr>
        <w:t>5</w:t>
      </w:r>
      <w:r w:rsidRPr="00F65DD7">
        <w:rPr>
          <w:rFonts w:ascii="Arial" w:hAnsi="Arial" w:cs="Arial"/>
          <w:sz w:val="24"/>
          <w:szCs w:val="24"/>
        </w:rPr>
        <w:t xml:space="preserve"> </w:t>
      </w:r>
      <w:r w:rsidR="00CC479D" w:rsidRPr="00F65DD7">
        <w:rPr>
          <w:rFonts w:ascii="Arial" w:hAnsi="Arial" w:cs="Arial"/>
          <w:sz w:val="24"/>
          <w:szCs w:val="24"/>
        </w:rPr>
        <w:t>y 46</w:t>
      </w:r>
      <w:r w:rsidRPr="00F65DD7">
        <w:rPr>
          <w:rFonts w:ascii="Arial" w:hAnsi="Arial" w:cs="Arial"/>
          <w:sz w:val="24"/>
          <w:szCs w:val="24"/>
        </w:rPr>
        <w:t xml:space="preserve"> del expediente, el Colegiado a través del Magistrado ponente de la decisión censurada, rindió informe en el que solicitó negar las pretensiones de la acción de tutela, señalando que: </w:t>
      </w:r>
    </w:p>
    <w:p w:rsidR="00A54AA8" w:rsidRPr="00F65DD7" w:rsidRDefault="00A54AA8" w:rsidP="00D07699">
      <w:pPr>
        <w:pStyle w:val="Textoindependiente"/>
        <w:tabs>
          <w:tab w:val="left" w:pos="720"/>
        </w:tabs>
        <w:rPr>
          <w:rFonts w:cs="Arial"/>
          <w:szCs w:val="24"/>
          <w:lang w:val="es-CO"/>
        </w:rPr>
      </w:pPr>
    </w:p>
    <w:p w:rsidR="00CC479D" w:rsidRPr="00F65DD7" w:rsidRDefault="00CC479D" w:rsidP="00D07699">
      <w:pPr>
        <w:pStyle w:val="Textoindependiente"/>
        <w:tabs>
          <w:tab w:val="left" w:pos="720"/>
        </w:tabs>
        <w:rPr>
          <w:rFonts w:cs="Arial"/>
          <w:szCs w:val="24"/>
          <w:lang w:val="es-CO"/>
        </w:rPr>
      </w:pPr>
      <w:r w:rsidRPr="00F65DD7">
        <w:rPr>
          <w:rFonts w:cs="Arial"/>
          <w:szCs w:val="24"/>
          <w:lang w:val="es-CO"/>
        </w:rPr>
        <w:t xml:space="preserve">El recurso de apelación presentado por la actora contra la providencia censurada, fue resuelto atendiendo a los hechos expuestos en la demanda y el acápite de pretensiones, por cuanto su solicitud iba encaminada a que se declarara la existencia de un contrato realidad y en consecuencia se ordenara a título de restablecimiento del derecho </w:t>
      </w:r>
      <w:r w:rsidR="00926D84" w:rsidRPr="00F65DD7">
        <w:rPr>
          <w:rFonts w:cs="Arial"/>
          <w:szCs w:val="24"/>
          <w:lang w:val="es-CO"/>
        </w:rPr>
        <w:t xml:space="preserve">el pago de las prestaciones sociales devengadas por los funcionarios del </w:t>
      </w:r>
      <w:r w:rsidR="00926D84" w:rsidRPr="00F65DD7">
        <w:rPr>
          <w:rFonts w:cs="Arial"/>
          <w:szCs w:val="24"/>
        </w:rPr>
        <w:t>Instituto Nacional Penitenciario y Carcelario INPEC,</w:t>
      </w:r>
      <w:r w:rsidR="00926D84" w:rsidRPr="00F65DD7">
        <w:rPr>
          <w:rFonts w:cs="Arial"/>
          <w:szCs w:val="24"/>
          <w:lang w:val="es-CO"/>
        </w:rPr>
        <w:t xml:space="preserve"> en el mismo cargo o similar al desempeñado por la demandante.</w:t>
      </w:r>
    </w:p>
    <w:p w:rsidR="00926D84" w:rsidRPr="00F65DD7" w:rsidRDefault="00926D84" w:rsidP="00D07699">
      <w:pPr>
        <w:pStyle w:val="Textoindependiente"/>
        <w:tabs>
          <w:tab w:val="left" w:pos="720"/>
        </w:tabs>
        <w:rPr>
          <w:rFonts w:cs="Arial"/>
          <w:szCs w:val="24"/>
          <w:lang w:val="es-CO"/>
        </w:rPr>
      </w:pPr>
    </w:p>
    <w:p w:rsidR="00926D84" w:rsidRPr="00F65DD7" w:rsidRDefault="00926D84" w:rsidP="00D07699">
      <w:pPr>
        <w:pStyle w:val="Textoindependiente"/>
        <w:tabs>
          <w:tab w:val="left" w:pos="720"/>
        </w:tabs>
        <w:rPr>
          <w:rFonts w:cs="Arial"/>
          <w:szCs w:val="24"/>
        </w:rPr>
      </w:pPr>
      <w:r w:rsidRPr="00F65DD7">
        <w:rPr>
          <w:rFonts w:cs="Arial"/>
          <w:szCs w:val="24"/>
          <w:lang w:val="es-CO"/>
        </w:rPr>
        <w:t xml:space="preserve">En ese orden, se le advirtió a la actora que no le asistía razón por cuanto, si bien manifestó que el derecho pensional es imprescriptible, en asunto en estudio no se estaba encaminado a obtener el reconocimiento y pago de la pensión o su reajuste, sino el pago de unos factores salariales a los que tendría derecho con la presunta existencia de un contrato realidad entre ella y el </w:t>
      </w:r>
      <w:r w:rsidRPr="00F65DD7">
        <w:rPr>
          <w:rFonts w:cs="Arial"/>
          <w:szCs w:val="24"/>
        </w:rPr>
        <w:t xml:space="preserve">Instituto Nacional Penitenciario y Carcelario INPEC. Razón por la cual, fue confirmada la decisión de primera instancia.  </w:t>
      </w:r>
    </w:p>
    <w:p w:rsidR="005B72A1" w:rsidRPr="00F65DD7" w:rsidRDefault="005B72A1" w:rsidP="00A36108">
      <w:pPr>
        <w:keepNext/>
        <w:overflowPunct/>
        <w:autoSpaceDE/>
        <w:autoSpaceDN/>
        <w:adjustRightInd/>
        <w:spacing w:line="360" w:lineRule="auto"/>
        <w:jc w:val="center"/>
        <w:textAlignment w:val="auto"/>
        <w:outlineLvl w:val="0"/>
        <w:rPr>
          <w:rFonts w:ascii="Arial" w:hAnsi="Arial" w:cs="Arial"/>
          <w:b/>
          <w:bCs/>
          <w:kern w:val="32"/>
          <w:sz w:val="24"/>
          <w:szCs w:val="24"/>
        </w:rPr>
      </w:pPr>
      <w:r w:rsidRPr="00F65DD7">
        <w:rPr>
          <w:rFonts w:ascii="Arial" w:hAnsi="Arial" w:cs="Arial"/>
          <w:b/>
          <w:bCs/>
          <w:kern w:val="32"/>
          <w:sz w:val="24"/>
          <w:szCs w:val="24"/>
        </w:rPr>
        <w:t>CONSIDERACIONES</w:t>
      </w:r>
    </w:p>
    <w:p w:rsidR="005B72A1" w:rsidRPr="00F65DD7" w:rsidRDefault="005B72A1" w:rsidP="00A36108">
      <w:pPr>
        <w:overflowPunct/>
        <w:autoSpaceDE/>
        <w:autoSpaceDN/>
        <w:adjustRightInd/>
        <w:spacing w:line="360" w:lineRule="auto"/>
        <w:textAlignment w:val="auto"/>
        <w:rPr>
          <w:rFonts w:ascii="Arial" w:hAnsi="Arial" w:cs="Arial"/>
          <w:bCs/>
          <w:spacing w:val="-4"/>
          <w:sz w:val="24"/>
          <w:szCs w:val="24"/>
        </w:rPr>
      </w:pPr>
    </w:p>
    <w:p w:rsidR="006672BA" w:rsidRPr="00F65DD7" w:rsidRDefault="00A12B0B" w:rsidP="006672BA">
      <w:pPr>
        <w:widowControl w:val="0"/>
        <w:spacing w:line="360" w:lineRule="auto"/>
        <w:ind w:right="96"/>
        <w:jc w:val="both"/>
        <w:rPr>
          <w:rFonts w:ascii="Arial" w:hAnsi="Arial" w:cs="Arial"/>
          <w:sz w:val="24"/>
          <w:szCs w:val="24"/>
        </w:rPr>
      </w:pPr>
      <w:r w:rsidRPr="00F65DD7">
        <w:rPr>
          <w:rFonts w:ascii="Arial" w:hAnsi="Arial" w:cs="Arial"/>
          <w:sz w:val="24"/>
          <w:szCs w:val="24"/>
        </w:rPr>
        <w:t xml:space="preserve">Atendiendo a los argumentos expuestos en el escrito de tutela y a las pruebas que obran en el expediente se decidirá el asunto sometido a consideración en el siguiente </w:t>
      </w:r>
      <w:r w:rsidR="00970A30" w:rsidRPr="00F65DD7">
        <w:rPr>
          <w:rFonts w:ascii="Arial" w:hAnsi="Arial" w:cs="Arial"/>
          <w:sz w:val="24"/>
          <w:szCs w:val="24"/>
        </w:rPr>
        <w:t>orden:</w:t>
      </w:r>
      <w:r w:rsidRPr="00F65DD7">
        <w:rPr>
          <w:rFonts w:ascii="Arial" w:hAnsi="Arial" w:cs="Arial"/>
          <w:sz w:val="24"/>
          <w:szCs w:val="24"/>
        </w:rPr>
        <w:t xml:space="preserve"> la competencia para decidir el recurso de amparo; determinación del problema jurídico; </w:t>
      </w:r>
      <w:r w:rsidR="0095666D" w:rsidRPr="00F65DD7">
        <w:rPr>
          <w:rFonts w:ascii="Arial" w:hAnsi="Arial" w:cs="Arial"/>
          <w:sz w:val="24"/>
          <w:szCs w:val="24"/>
        </w:rPr>
        <w:t>procedencia de la acción de tutela contra providencias judiciales; el contenido y alcance del desconocimiento del precedente jurisprudencial, evolución normativa y jurisprudencial del contrato realidad y, solución al problema jurídico planteado.</w:t>
      </w:r>
    </w:p>
    <w:p w:rsidR="0095666D" w:rsidRPr="00F65DD7" w:rsidRDefault="0095666D" w:rsidP="006672BA">
      <w:pPr>
        <w:widowControl w:val="0"/>
        <w:spacing w:line="360" w:lineRule="auto"/>
        <w:ind w:right="96"/>
        <w:jc w:val="both"/>
        <w:rPr>
          <w:rFonts w:ascii="Arial" w:hAnsi="Arial" w:cs="Arial"/>
          <w:sz w:val="24"/>
          <w:szCs w:val="24"/>
        </w:rPr>
      </w:pPr>
    </w:p>
    <w:p w:rsidR="00A12B0B" w:rsidRPr="00F65DD7" w:rsidRDefault="00A12B0B" w:rsidP="006672BA">
      <w:pPr>
        <w:widowControl w:val="0"/>
        <w:spacing w:line="360" w:lineRule="auto"/>
        <w:ind w:right="96"/>
        <w:jc w:val="both"/>
        <w:rPr>
          <w:rFonts w:ascii="Arial" w:hAnsi="Arial" w:cs="Arial"/>
          <w:b/>
          <w:sz w:val="24"/>
          <w:szCs w:val="24"/>
        </w:rPr>
      </w:pPr>
      <w:r w:rsidRPr="00F65DD7">
        <w:rPr>
          <w:rFonts w:ascii="Arial" w:hAnsi="Arial" w:cs="Arial"/>
          <w:b/>
          <w:sz w:val="24"/>
          <w:szCs w:val="24"/>
        </w:rPr>
        <w:t>Competencia.</w:t>
      </w:r>
    </w:p>
    <w:p w:rsidR="00A12B0B" w:rsidRPr="00F65DD7" w:rsidRDefault="00A12B0B" w:rsidP="006672BA">
      <w:pPr>
        <w:widowControl w:val="0"/>
        <w:spacing w:line="360" w:lineRule="auto"/>
        <w:ind w:right="96"/>
        <w:jc w:val="both"/>
        <w:rPr>
          <w:rFonts w:ascii="Arial" w:hAnsi="Arial" w:cs="Arial"/>
          <w:sz w:val="24"/>
          <w:szCs w:val="24"/>
        </w:rPr>
      </w:pPr>
    </w:p>
    <w:p w:rsidR="00EC1119" w:rsidRPr="00F65DD7" w:rsidRDefault="00EC1119" w:rsidP="006672BA">
      <w:pPr>
        <w:widowControl w:val="0"/>
        <w:spacing w:line="360" w:lineRule="auto"/>
        <w:ind w:right="96"/>
        <w:jc w:val="both"/>
        <w:rPr>
          <w:rFonts w:ascii="Arial" w:hAnsi="Arial" w:cs="Arial"/>
          <w:sz w:val="24"/>
          <w:szCs w:val="24"/>
        </w:rPr>
      </w:pPr>
      <w:r w:rsidRPr="00F65DD7">
        <w:rPr>
          <w:rFonts w:ascii="Arial" w:hAnsi="Arial" w:cs="Arial"/>
          <w:bCs/>
          <w:sz w:val="24"/>
          <w:szCs w:val="24"/>
        </w:rPr>
        <w:t xml:space="preserve">De conformidad con lo dispuesto en el artículo 86 de la Constitución Política y el numeral 2° </w:t>
      </w:r>
      <w:r w:rsidRPr="00F65DD7">
        <w:rPr>
          <w:rFonts w:ascii="Arial" w:hAnsi="Arial" w:cs="Arial"/>
          <w:sz w:val="24"/>
          <w:szCs w:val="24"/>
        </w:rPr>
        <w:t>del artículo 1° del Decreto 1382 de 2000</w:t>
      </w:r>
      <w:r w:rsidRPr="00F65DD7">
        <w:rPr>
          <w:rFonts w:ascii="Arial" w:hAnsi="Arial" w:cs="Arial"/>
          <w:sz w:val="24"/>
          <w:szCs w:val="24"/>
          <w:vertAlign w:val="superscript"/>
        </w:rPr>
        <w:footnoteReference w:id="5"/>
      </w:r>
      <w:r w:rsidRPr="00F65DD7">
        <w:rPr>
          <w:rFonts w:ascii="Arial" w:hAnsi="Arial" w:cs="Arial"/>
          <w:sz w:val="24"/>
          <w:szCs w:val="24"/>
        </w:rPr>
        <w:t xml:space="preserve">, en cuanto estipuló que: </w:t>
      </w:r>
      <w:r w:rsidR="00564970" w:rsidRPr="00F65DD7">
        <w:rPr>
          <w:rFonts w:ascii="Arial" w:hAnsi="Arial" w:cs="Arial"/>
          <w:sz w:val="24"/>
          <w:szCs w:val="24"/>
        </w:rPr>
        <w:t>«</w:t>
      </w:r>
      <w:r w:rsidRPr="00F65DD7">
        <w:rPr>
          <w:rFonts w:ascii="Arial" w:hAnsi="Arial" w:cs="Arial"/>
          <w:sz w:val="24"/>
          <w:szCs w:val="24"/>
        </w:rPr>
        <w:t xml:space="preserve">(…) </w:t>
      </w:r>
      <w:r w:rsidRPr="00F65DD7">
        <w:rPr>
          <w:rFonts w:ascii="Arial" w:hAnsi="Arial" w:cs="Arial"/>
          <w:iCs/>
          <w:sz w:val="24"/>
          <w:szCs w:val="24"/>
        </w:rPr>
        <w:t xml:space="preserve">Cuando la acción de tutela se promueva contra un funcionario o corporación judicial, le será repartida al respectivo superior funcional del accionado </w:t>
      </w:r>
      <w:r w:rsidRPr="00F65DD7">
        <w:rPr>
          <w:rFonts w:ascii="Arial" w:hAnsi="Arial" w:cs="Arial"/>
          <w:sz w:val="24"/>
          <w:szCs w:val="24"/>
        </w:rPr>
        <w:t>(…)</w:t>
      </w:r>
      <w:r w:rsidR="00564970" w:rsidRPr="00F65DD7">
        <w:rPr>
          <w:rFonts w:ascii="Arial" w:hAnsi="Arial" w:cs="Arial"/>
          <w:sz w:val="24"/>
          <w:szCs w:val="24"/>
        </w:rPr>
        <w:t>»</w:t>
      </w:r>
      <w:r w:rsidRPr="00F65DD7">
        <w:rPr>
          <w:rFonts w:ascii="Arial" w:hAnsi="Arial" w:cs="Arial"/>
          <w:sz w:val="24"/>
          <w:szCs w:val="24"/>
        </w:rPr>
        <w:t xml:space="preserve">, esta Sala es competente para conocer de la presente acción constitucional contra el </w:t>
      </w:r>
      <w:r w:rsidR="00533033" w:rsidRPr="00F65DD7">
        <w:rPr>
          <w:rFonts w:ascii="Arial" w:hAnsi="Arial" w:cs="Arial"/>
          <w:sz w:val="24"/>
          <w:szCs w:val="24"/>
        </w:rPr>
        <w:lastRenderedPageBreak/>
        <w:t>T</w:t>
      </w:r>
      <w:r w:rsidR="00291140" w:rsidRPr="00F65DD7">
        <w:rPr>
          <w:rFonts w:ascii="Arial" w:hAnsi="Arial" w:cs="Arial"/>
          <w:sz w:val="24"/>
          <w:szCs w:val="24"/>
        </w:rPr>
        <w:t>ribunal Administrativo de Cundinamarca, sección segunda, subsección A</w:t>
      </w:r>
      <w:r w:rsidR="00915F3E" w:rsidRPr="00F65DD7">
        <w:rPr>
          <w:rFonts w:ascii="Arial" w:hAnsi="Arial" w:cs="Arial"/>
          <w:sz w:val="24"/>
          <w:szCs w:val="24"/>
        </w:rPr>
        <w:t xml:space="preserve">, </w:t>
      </w:r>
      <w:r w:rsidR="00915F3E" w:rsidRPr="00F65DD7">
        <w:rPr>
          <w:rFonts w:ascii="Arial" w:hAnsi="Arial" w:cs="Arial"/>
          <w:sz w:val="24"/>
          <w:szCs w:val="24"/>
          <w:lang w:val="es-ES"/>
        </w:rPr>
        <w:t>de conformidad con los artículos 237 de la Constitución Política y 34 de la Ley Estatutaria de Administración de Justicia.</w:t>
      </w:r>
    </w:p>
    <w:p w:rsidR="00915F3E" w:rsidRPr="00F65DD7" w:rsidRDefault="00915F3E" w:rsidP="00A12B0B">
      <w:pPr>
        <w:widowControl w:val="0"/>
        <w:spacing w:line="360" w:lineRule="auto"/>
        <w:ind w:right="96"/>
        <w:jc w:val="both"/>
        <w:rPr>
          <w:rFonts w:ascii="Arial" w:hAnsi="Arial" w:cs="Arial"/>
          <w:b/>
          <w:sz w:val="24"/>
          <w:szCs w:val="24"/>
        </w:rPr>
      </w:pPr>
    </w:p>
    <w:p w:rsidR="00A12B0B" w:rsidRPr="00F65DD7" w:rsidRDefault="00A12B0B" w:rsidP="00A12B0B">
      <w:pPr>
        <w:widowControl w:val="0"/>
        <w:spacing w:line="360" w:lineRule="auto"/>
        <w:ind w:right="96"/>
        <w:jc w:val="both"/>
        <w:rPr>
          <w:rFonts w:ascii="Arial" w:hAnsi="Arial" w:cs="Arial"/>
          <w:b/>
          <w:sz w:val="24"/>
          <w:szCs w:val="24"/>
        </w:rPr>
      </w:pPr>
      <w:r w:rsidRPr="00F65DD7">
        <w:rPr>
          <w:rFonts w:ascii="Arial" w:hAnsi="Arial" w:cs="Arial"/>
          <w:b/>
          <w:sz w:val="24"/>
          <w:szCs w:val="24"/>
        </w:rPr>
        <w:t>Problema Jurídico.</w:t>
      </w:r>
    </w:p>
    <w:p w:rsidR="00CC2D32" w:rsidRPr="00F65DD7" w:rsidRDefault="00CC2D32" w:rsidP="00751CD1">
      <w:pPr>
        <w:overflowPunct/>
        <w:autoSpaceDE/>
        <w:autoSpaceDN/>
        <w:adjustRightInd/>
        <w:spacing w:line="360" w:lineRule="auto"/>
        <w:jc w:val="both"/>
        <w:textAlignment w:val="auto"/>
        <w:rPr>
          <w:rFonts w:ascii="Arial" w:hAnsi="Arial" w:cs="Arial"/>
          <w:sz w:val="24"/>
          <w:szCs w:val="24"/>
        </w:rPr>
      </w:pPr>
    </w:p>
    <w:p w:rsidR="003C64C8" w:rsidRPr="00F65DD7" w:rsidRDefault="00751CD1" w:rsidP="003C64C8">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 xml:space="preserve">Consiste en establecer </w:t>
      </w:r>
      <w:r w:rsidR="00C84DEA" w:rsidRPr="00F65DD7">
        <w:rPr>
          <w:rFonts w:ascii="Arial" w:hAnsi="Arial" w:cs="Arial"/>
          <w:sz w:val="24"/>
          <w:szCs w:val="24"/>
        </w:rPr>
        <w:t>si la acción de tutel</w:t>
      </w:r>
      <w:r w:rsidR="002E5ED9" w:rsidRPr="00F65DD7">
        <w:rPr>
          <w:rFonts w:ascii="Arial" w:hAnsi="Arial" w:cs="Arial"/>
          <w:sz w:val="24"/>
          <w:szCs w:val="24"/>
        </w:rPr>
        <w:t>a es procedente para cuestionar</w:t>
      </w:r>
      <w:r w:rsidR="003C64C8" w:rsidRPr="00F65DD7">
        <w:rPr>
          <w:rFonts w:ascii="Arial" w:hAnsi="Arial" w:cs="Arial"/>
          <w:sz w:val="24"/>
          <w:szCs w:val="24"/>
        </w:rPr>
        <w:t xml:space="preserve"> los autos de 14 de julio de 2015 y de 17 de marzo de 2016</w:t>
      </w:r>
      <w:r w:rsidR="00291140" w:rsidRPr="00F65DD7">
        <w:rPr>
          <w:rFonts w:ascii="Arial" w:hAnsi="Arial" w:cs="Arial"/>
          <w:sz w:val="24"/>
          <w:szCs w:val="24"/>
        </w:rPr>
        <w:t xml:space="preserve">, </w:t>
      </w:r>
      <w:r w:rsidR="002E5ED9" w:rsidRPr="00F65DD7">
        <w:rPr>
          <w:rFonts w:ascii="Arial" w:hAnsi="Arial" w:cs="Arial"/>
          <w:sz w:val="24"/>
          <w:szCs w:val="24"/>
        </w:rPr>
        <w:t>proferid</w:t>
      </w:r>
      <w:r w:rsidR="00291140" w:rsidRPr="00F65DD7">
        <w:rPr>
          <w:rFonts w:ascii="Arial" w:hAnsi="Arial" w:cs="Arial"/>
          <w:sz w:val="24"/>
          <w:szCs w:val="24"/>
        </w:rPr>
        <w:t>a</w:t>
      </w:r>
      <w:r w:rsidR="002E5ED9" w:rsidRPr="00F65DD7">
        <w:rPr>
          <w:rFonts w:ascii="Arial" w:hAnsi="Arial" w:cs="Arial"/>
          <w:sz w:val="24"/>
          <w:szCs w:val="24"/>
        </w:rPr>
        <w:t xml:space="preserve"> por</w:t>
      </w:r>
      <w:r w:rsidR="003C64C8" w:rsidRPr="00F65DD7">
        <w:rPr>
          <w:rFonts w:ascii="Arial" w:hAnsi="Arial" w:cs="Arial"/>
          <w:sz w:val="24"/>
          <w:szCs w:val="24"/>
        </w:rPr>
        <w:t xml:space="preserve"> el Juzgado Veintitrés Administrativo de Oralidad de Bogotá y el Tribunal Administrativo de Cundinamarca, sección segunda, subsección A</w:t>
      </w:r>
      <w:r w:rsidR="002E5ED9" w:rsidRPr="00F65DD7">
        <w:rPr>
          <w:rFonts w:ascii="Arial" w:hAnsi="Arial" w:cs="Arial"/>
          <w:sz w:val="24"/>
          <w:szCs w:val="24"/>
        </w:rPr>
        <w:t xml:space="preserve">, </w:t>
      </w:r>
      <w:r w:rsidR="00291140" w:rsidRPr="00F65DD7">
        <w:rPr>
          <w:rFonts w:ascii="Arial" w:hAnsi="Arial" w:cs="Arial"/>
          <w:sz w:val="24"/>
          <w:szCs w:val="24"/>
        </w:rPr>
        <w:t>dentro del medio de control de nulidad y restablecimiento del derecho interpuesto por la señora</w:t>
      </w:r>
      <w:r w:rsidR="003C64C8" w:rsidRPr="00F65DD7">
        <w:rPr>
          <w:rFonts w:ascii="Arial" w:hAnsi="Arial" w:cs="Arial"/>
          <w:sz w:val="24"/>
          <w:szCs w:val="24"/>
        </w:rPr>
        <w:t xml:space="preserve"> Luz Marina Morales</w:t>
      </w:r>
      <w:r w:rsidR="00291140" w:rsidRPr="00F65DD7">
        <w:rPr>
          <w:rFonts w:ascii="Arial" w:hAnsi="Arial" w:cs="Arial"/>
          <w:sz w:val="24"/>
          <w:szCs w:val="24"/>
        </w:rPr>
        <w:t xml:space="preserve">, contra </w:t>
      </w:r>
      <w:r w:rsidR="003C64C8" w:rsidRPr="00F65DD7">
        <w:rPr>
          <w:rFonts w:ascii="Arial" w:hAnsi="Arial" w:cs="Arial"/>
          <w:sz w:val="24"/>
          <w:szCs w:val="24"/>
        </w:rPr>
        <w:t>el Instituto Nacional Penitenciario y Carcelario INPEC.</w:t>
      </w:r>
    </w:p>
    <w:p w:rsidR="00291140" w:rsidRPr="00F65DD7" w:rsidRDefault="00291140" w:rsidP="00751CD1">
      <w:pPr>
        <w:overflowPunct/>
        <w:autoSpaceDE/>
        <w:autoSpaceDN/>
        <w:adjustRightInd/>
        <w:spacing w:line="360" w:lineRule="auto"/>
        <w:jc w:val="both"/>
        <w:textAlignment w:val="auto"/>
        <w:rPr>
          <w:rFonts w:ascii="Arial" w:hAnsi="Arial" w:cs="Arial"/>
          <w:sz w:val="24"/>
          <w:szCs w:val="24"/>
        </w:rPr>
      </w:pPr>
    </w:p>
    <w:p w:rsidR="00276026" w:rsidRPr="00F65DD7" w:rsidRDefault="00C84DEA" w:rsidP="00A25E5B">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Superado el anterior derrotero, se entrará a determinar si la</w:t>
      </w:r>
      <w:r w:rsidR="003C64C8" w:rsidRPr="00F65DD7">
        <w:rPr>
          <w:rFonts w:ascii="Arial" w:hAnsi="Arial" w:cs="Arial"/>
          <w:sz w:val="24"/>
          <w:szCs w:val="24"/>
        </w:rPr>
        <w:t>s</w:t>
      </w:r>
      <w:r w:rsidRPr="00F65DD7">
        <w:rPr>
          <w:rFonts w:ascii="Arial" w:hAnsi="Arial" w:cs="Arial"/>
          <w:sz w:val="24"/>
          <w:szCs w:val="24"/>
        </w:rPr>
        <w:t xml:space="preserve"> autoridad</w:t>
      </w:r>
      <w:r w:rsidR="003C64C8" w:rsidRPr="00F65DD7">
        <w:rPr>
          <w:rFonts w:ascii="Arial" w:hAnsi="Arial" w:cs="Arial"/>
          <w:sz w:val="24"/>
          <w:szCs w:val="24"/>
        </w:rPr>
        <w:t>es</w:t>
      </w:r>
      <w:r w:rsidRPr="00F65DD7">
        <w:rPr>
          <w:rFonts w:ascii="Arial" w:hAnsi="Arial" w:cs="Arial"/>
          <w:sz w:val="24"/>
          <w:szCs w:val="24"/>
        </w:rPr>
        <w:t xml:space="preserve"> judicial</w:t>
      </w:r>
      <w:r w:rsidR="003C64C8" w:rsidRPr="00F65DD7">
        <w:rPr>
          <w:rFonts w:ascii="Arial" w:hAnsi="Arial" w:cs="Arial"/>
          <w:sz w:val="24"/>
          <w:szCs w:val="24"/>
        </w:rPr>
        <w:t>es</w:t>
      </w:r>
      <w:r w:rsidRPr="00F65DD7">
        <w:rPr>
          <w:rFonts w:ascii="Arial" w:hAnsi="Arial" w:cs="Arial"/>
          <w:sz w:val="24"/>
          <w:szCs w:val="24"/>
        </w:rPr>
        <w:t xml:space="preserve"> accionada</w:t>
      </w:r>
      <w:r w:rsidR="003C64C8" w:rsidRPr="00F65DD7">
        <w:rPr>
          <w:rFonts w:ascii="Arial" w:hAnsi="Arial" w:cs="Arial"/>
          <w:sz w:val="24"/>
          <w:szCs w:val="24"/>
        </w:rPr>
        <w:t>s</w:t>
      </w:r>
      <w:r w:rsidRPr="00F65DD7">
        <w:rPr>
          <w:rFonts w:ascii="Arial" w:hAnsi="Arial" w:cs="Arial"/>
          <w:sz w:val="24"/>
          <w:szCs w:val="24"/>
        </w:rPr>
        <w:t xml:space="preserve"> </w:t>
      </w:r>
      <w:r w:rsidR="003C64C8" w:rsidRPr="00F65DD7">
        <w:rPr>
          <w:rFonts w:ascii="Arial" w:hAnsi="Arial" w:cs="Arial"/>
          <w:sz w:val="24"/>
          <w:szCs w:val="24"/>
        </w:rPr>
        <w:t>vulneraron</w:t>
      </w:r>
      <w:r w:rsidRPr="00F65DD7">
        <w:rPr>
          <w:rFonts w:ascii="Arial" w:hAnsi="Arial" w:cs="Arial"/>
          <w:sz w:val="24"/>
          <w:szCs w:val="24"/>
        </w:rPr>
        <w:t xml:space="preserve"> los derechos fundamentales</w:t>
      </w:r>
      <w:r w:rsidR="003C64C8" w:rsidRPr="00F65DD7">
        <w:rPr>
          <w:rFonts w:ascii="Arial" w:hAnsi="Arial" w:cs="Arial"/>
          <w:sz w:val="24"/>
          <w:szCs w:val="24"/>
        </w:rPr>
        <w:t xml:space="preserve"> a la igualdad, acceso a la administración de justicia y favorabilidad laboral</w:t>
      </w:r>
      <w:r w:rsidR="00276026" w:rsidRPr="00F65DD7">
        <w:rPr>
          <w:rFonts w:ascii="Arial" w:hAnsi="Arial" w:cs="Arial"/>
          <w:sz w:val="24"/>
          <w:szCs w:val="24"/>
        </w:rPr>
        <w:t xml:space="preserve">, </w:t>
      </w:r>
      <w:r w:rsidRPr="00F65DD7">
        <w:rPr>
          <w:rFonts w:ascii="Arial" w:hAnsi="Arial" w:cs="Arial"/>
          <w:sz w:val="24"/>
          <w:szCs w:val="24"/>
        </w:rPr>
        <w:t>de</w:t>
      </w:r>
      <w:r w:rsidR="00040192" w:rsidRPr="00F65DD7">
        <w:rPr>
          <w:rFonts w:ascii="Arial" w:hAnsi="Arial" w:cs="Arial"/>
          <w:sz w:val="24"/>
          <w:szCs w:val="24"/>
        </w:rPr>
        <w:t xml:space="preserve"> </w:t>
      </w:r>
      <w:r w:rsidRPr="00F65DD7">
        <w:rPr>
          <w:rFonts w:ascii="Arial" w:hAnsi="Arial" w:cs="Arial"/>
          <w:sz w:val="24"/>
          <w:szCs w:val="24"/>
        </w:rPr>
        <w:t>l</w:t>
      </w:r>
      <w:r w:rsidR="00040192" w:rsidRPr="00F65DD7">
        <w:rPr>
          <w:rFonts w:ascii="Arial" w:hAnsi="Arial" w:cs="Arial"/>
          <w:sz w:val="24"/>
          <w:szCs w:val="24"/>
        </w:rPr>
        <w:t xml:space="preserve">a </w:t>
      </w:r>
      <w:r w:rsidR="006672BA" w:rsidRPr="00F65DD7">
        <w:rPr>
          <w:rFonts w:ascii="Arial" w:hAnsi="Arial" w:cs="Arial"/>
          <w:sz w:val="24"/>
          <w:szCs w:val="24"/>
        </w:rPr>
        <w:t xml:space="preserve">parte </w:t>
      </w:r>
      <w:r w:rsidRPr="00F65DD7">
        <w:rPr>
          <w:rFonts w:ascii="Arial" w:hAnsi="Arial" w:cs="Arial"/>
          <w:sz w:val="24"/>
          <w:szCs w:val="24"/>
        </w:rPr>
        <w:t>accionante,</w:t>
      </w:r>
      <w:r w:rsidR="00F7313D" w:rsidRPr="00F65DD7">
        <w:rPr>
          <w:rFonts w:ascii="Arial" w:hAnsi="Arial" w:cs="Arial"/>
          <w:sz w:val="24"/>
          <w:szCs w:val="24"/>
        </w:rPr>
        <w:t xml:space="preserve"> </w:t>
      </w:r>
      <w:r w:rsidR="003C64C8" w:rsidRPr="00F65DD7">
        <w:rPr>
          <w:rFonts w:ascii="Arial" w:hAnsi="Arial" w:cs="Arial"/>
          <w:sz w:val="24"/>
          <w:szCs w:val="24"/>
        </w:rPr>
        <w:t>al haber declarado</w:t>
      </w:r>
      <w:r w:rsidR="00276026" w:rsidRPr="00F65DD7">
        <w:rPr>
          <w:rFonts w:ascii="Arial" w:hAnsi="Arial" w:cs="Arial"/>
          <w:sz w:val="24"/>
          <w:szCs w:val="24"/>
        </w:rPr>
        <w:t xml:space="preserve"> probada la excepción de prescripción extintiva respecto de los derechos reclamados por la parte accionante, incurriendo, presuntamente, en una vía de hecho por desconocimiento del precedente fijado por la Sección Segunda del Consejo de Estado.</w:t>
      </w:r>
    </w:p>
    <w:p w:rsidR="006201D9" w:rsidRPr="00F65DD7" w:rsidRDefault="006201D9" w:rsidP="00C84DEA">
      <w:pPr>
        <w:overflowPunct/>
        <w:autoSpaceDE/>
        <w:autoSpaceDN/>
        <w:adjustRightInd/>
        <w:spacing w:line="360" w:lineRule="auto"/>
        <w:jc w:val="both"/>
        <w:textAlignment w:val="auto"/>
        <w:rPr>
          <w:rFonts w:ascii="Arial" w:hAnsi="Arial" w:cs="Arial"/>
          <w:sz w:val="24"/>
          <w:szCs w:val="24"/>
        </w:rPr>
      </w:pPr>
    </w:p>
    <w:p w:rsidR="00C77297" w:rsidRPr="00F65DD7" w:rsidRDefault="00C77297" w:rsidP="00C77297">
      <w:pPr>
        <w:spacing w:line="360" w:lineRule="auto"/>
        <w:jc w:val="both"/>
        <w:rPr>
          <w:rFonts w:ascii="Arial" w:hAnsi="Arial" w:cs="Arial"/>
          <w:b/>
          <w:bCs/>
          <w:sz w:val="24"/>
          <w:szCs w:val="24"/>
        </w:rPr>
      </w:pPr>
      <w:r w:rsidRPr="00F65DD7">
        <w:rPr>
          <w:rFonts w:ascii="Arial" w:hAnsi="Arial" w:cs="Arial"/>
          <w:b/>
          <w:bCs/>
          <w:sz w:val="24"/>
          <w:szCs w:val="24"/>
        </w:rPr>
        <w:t>Procedencia de la acción de tutela contra decisiones judiciales.</w:t>
      </w:r>
    </w:p>
    <w:p w:rsidR="00C77297" w:rsidRPr="00F65DD7" w:rsidRDefault="00C77297" w:rsidP="00C77297">
      <w:pPr>
        <w:spacing w:line="360" w:lineRule="auto"/>
        <w:jc w:val="both"/>
        <w:rPr>
          <w:rFonts w:ascii="Arial" w:eastAsia="Calibri" w:hAnsi="Arial" w:cs="Arial"/>
          <w:sz w:val="24"/>
          <w:szCs w:val="24"/>
        </w:rPr>
      </w:pPr>
    </w:p>
    <w:p w:rsidR="00C77297" w:rsidRPr="00F65DD7" w:rsidRDefault="00C77297" w:rsidP="0064091F">
      <w:pPr>
        <w:spacing w:line="360" w:lineRule="auto"/>
        <w:jc w:val="both"/>
        <w:rPr>
          <w:rFonts w:ascii="Arial" w:hAnsi="Arial" w:cs="Arial"/>
          <w:sz w:val="24"/>
          <w:szCs w:val="24"/>
        </w:rPr>
      </w:pPr>
      <w:r w:rsidRPr="00F65DD7">
        <w:rPr>
          <w:rFonts w:ascii="Arial" w:hAnsi="Arial" w:cs="Arial"/>
          <w:sz w:val="24"/>
          <w:szCs w:val="24"/>
        </w:rPr>
        <w:t>Sobre el particular, tanto la Corte Constitucional</w:t>
      </w:r>
      <w:r w:rsidRPr="00F65DD7">
        <w:rPr>
          <w:rStyle w:val="Refdenotaalpie"/>
          <w:rFonts w:ascii="Arial" w:hAnsi="Arial" w:cs="Arial"/>
          <w:sz w:val="24"/>
          <w:szCs w:val="24"/>
        </w:rPr>
        <w:footnoteReference w:id="6"/>
      </w:r>
      <w:r w:rsidRPr="00F65DD7">
        <w:rPr>
          <w:rFonts w:ascii="Arial" w:hAnsi="Arial" w:cs="Arial"/>
          <w:sz w:val="24"/>
          <w:szCs w:val="24"/>
        </w:rPr>
        <w:t xml:space="preserve"> como esta Corporación</w:t>
      </w:r>
      <w:r w:rsidRPr="00F65DD7">
        <w:rPr>
          <w:rStyle w:val="Refdenotaalpie"/>
          <w:rFonts w:ascii="Arial" w:hAnsi="Arial" w:cs="Arial"/>
          <w:sz w:val="24"/>
          <w:szCs w:val="24"/>
        </w:rPr>
        <w:footnoteReference w:id="7"/>
      </w:r>
      <w:r w:rsidRPr="00F65DD7">
        <w:rPr>
          <w:rFonts w:ascii="Arial" w:hAnsi="Arial" w:cs="Arial"/>
          <w:sz w:val="24"/>
          <w:szCs w:val="24"/>
        </w:rPr>
        <w:t>, inicialmente consideraron que la acción de tutela no procedía contra providencias judiciales. Posición que fue variada por la Corte al aceptar la procedencia excepcional y restringida del referido mecanismo constitucional de comprobarse la existencia de una vía de hecho y de un perjuicio irremediable</w:t>
      </w:r>
      <w:r w:rsidRPr="00F65DD7">
        <w:rPr>
          <w:rStyle w:val="Refdenotaalpie"/>
          <w:rFonts w:ascii="Arial" w:hAnsi="Arial" w:cs="Arial"/>
          <w:sz w:val="24"/>
          <w:szCs w:val="24"/>
        </w:rPr>
        <w:footnoteReference w:id="8"/>
      </w:r>
      <w:r w:rsidRPr="00F65DD7">
        <w:rPr>
          <w:rFonts w:ascii="Arial" w:hAnsi="Arial" w:cs="Arial"/>
          <w:sz w:val="24"/>
          <w:szCs w:val="24"/>
        </w:rPr>
        <w:t xml:space="preserve">, y por parte de </w:t>
      </w:r>
      <w:r w:rsidRPr="00F65DD7">
        <w:rPr>
          <w:rFonts w:ascii="Arial" w:hAnsi="Arial" w:cs="Arial"/>
          <w:sz w:val="24"/>
          <w:szCs w:val="24"/>
        </w:rPr>
        <w:lastRenderedPageBreak/>
        <w:t>algunas Secciones del Consejo de Estado, cuando se evidenciara la vulneración de los derechos fundamentales al debido proceso y al acceso a la administración de justicia</w:t>
      </w:r>
      <w:r w:rsidRPr="00F65DD7">
        <w:rPr>
          <w:rStyle w:val="Refdenotaalpie"/>
          <w:rFonts w:ascii="Arial" w:hAnsi="Arial" w:cs="Arial"/>
          <w:sz w:val="24"/>
          <w:szCs w:val="24"/>
        </w:rPr>
        <w:footnoteReference w:id="9"/>
      </w:r>
      <w:r w:rsidRPr="00F65DD7">
        <w:rPr>
          <w:rFonts w:ascii="Arial" w:hAnsi="Arial" w:cs="Arial"/>
          <w:sz w:val="24"/>
          <w:szCs w:val="24"/>
        </w:rPr>
        <w:t>. Posteriormente, en la Sentencia C-590 de 2005</w:t>
      </w:r>
      <w:r w:rsidRPr="00F65DD7">
        <w:rPr>
          <w:rStyle w:val="Refdenotaalpie"/>
          <w:rFonts w:ascii="Arial" w:hAnsi="Arial" w:cs="Arial"/>
          <w:sz w:val="24"/>
          <w:szCs w:val="24"/>
        </w:rPr>
        <w:footnoteReference w:id="10"/>
      </w:r>
      <w:r w:rsidRPr="00F65DD7">
        <w:rPr>
          <w:rFonts w:ascii="Arial" w:hAnsi="Arial" w:cs="Arial"/>
          <w:sz w:val="24"/>
          <w:szCs w:val="24"/>
        </w:rPr>
        <w:t xml:space="preserve"> la Corte Constitucional</w:t>
      </w:r>
      <w:r w:rsidRPr="00F65DD7">
        <w:rPr>
          <w:rStyle w:val="Refdenotaalpie"/>
          <w:rFonts w:ascii="Arial" w:hAnsi="Arial" w:cs="Arial"/>
          <w:sz w:val="24"/>
          <w:szCs w:val="24"/>
        </w:rPr>
        <w:footnoteReference w:id="11"/>
      </w:r>
      <w:r w:rsidRPr="00F65DD7">
        <w:rPr>
          <w:rFonts w:ascii="Arial" w:hAnsi="Arial" w:cs="Arial"/>
          <w:sz w:val="24"/>
          <w:szCs w:val="24"/>
        </w:rPr>
        <w:t xml:space="preserve"> reiteró la procedencia de la acción de tutela contra decisiones judiciales, pero supeditada ya no a la existencia de una vía de hecho, sino a la verificación de unos </w:t>
      </w:r>
      <w:r w:rsidRPr="00F65DD7">
        <w:rPr>
          <w:rFonts w:ascii="Arial" w:hAnsi="Arial" w:cs="Arial"/>
          <w:b/>
          <w:sz w:val="24"/>
          <w:szCs w:val="24"/>
        </w:rPr>
        <w:t>requisitos de forma</w:t>
      </w:r>
      <w:r w:rsidRPr="00F65DD7">
        <w:rPr>
          <w:rStyle w:val="Refdenotaalpie"/>
          <w:rFonts w:ascii="Arial" w:hAnsi="Arial" w:cs="Arial"/>
          <w:sz w:val="24"/>
          <w:szCs w:val="24"/>
        </w:rPr>
        <w:footnoteReference w:id="12"/>
      </w:r>
      <w:r w:rsidRPr="00F65DD7">
        <w:rPr>
          <w:rFonts w:ascii="Arial" w:hAnsi="Arial" w:cs="Arial"/>
          <w:sz w:val="24"/>
          <w:szCs w:val="24"/>
        </w:rPr>
        <w:t xml:space="preserve"> y de </w:t>
      </w:r>
      <w:r w:rsidRPr="00F65DD7">
        <w:rPr>
          <w:rFonts w:ascii="Arial" w:hAnsi="Arial" w:cs="Arial"/>
          <w:b/>
          <w:sz w:val="24"/>
          <w:szCs w:val="24"/>
        </w:rPr>
        <w:t>procedencia material</w:t>
      </w:r>
      <w:r w:rsidRPr="00F65DD7">
        <w:rPr>
          <w:rStyle w:val="Refdenotaalpie"/>
          <w:rFonts w:ascii="Arial" w:hAnsi="Arial" w:cs="Arial"/>
          <w:sz w:val="24"/>
          <w:szCs w:val="24"/>
        </w:rPr>
        <w:footnoteReference w:id="13"/>
      </w:r>
      <w:r w:rsidRPr="00F65DD7">
        <w:rPr>
          <w:rFonts w:ascii="Arial" w:hAnsi="Arial" w:cs="Arial"/>
          <w:b/>
          <w:sz w:val="24"/>
          <w:szCs w:val="24"/>
        </w:rPr>
        <w:t xml:space="preserve"> </w:t>
      </w:r>
      <w:r w:rsidRPr="00F65DD7">
        <w:rPr>
          <w:rFonts w:ascii="Arial" w:hAnsi="Arial" w:cs="Arial"/>
          <w:sz w:val="24"/>
          <w:szCs w:val="24"/>
        </w:rPr>
        <w:t>fijados</w:t>
      </w:r>
      <w:r w:rsidRPr="00F65DD7">
        <w:rPr>
          <w:rStyle w:val="Refdenotaalpie"/>
          <w:rFonts w:ascii="Arial" w:hAnsi="Arial" w:cs="Arial"/>
          <w:sz w:val="24"/>
          <w:szCs w:val="24"/>
        </w:rPr>
        <w:footnoteReference w:id="14"/>
      </w:r>
      <w:r w:rsidRPr="00F65DD7">
        <w:rPr>
          <w:rFonts w:ascii="Arial" w:hAnsi="Arial" w:cs="Arial"/>
          <w:sz w:val="24"/>
          <w:szCs w:val="24"/>
        </w:rPr>
        <w:t xml:space="preserve"> por la misma Corte</w:t>
      </w:r>
      <w:r w:rsidRPr="00F65DD7">
        <w:rPr>
          <w:rStyle w:val="Refdenotaalpie"/>
          <w:rFonts w:ascii="Arial" w:hAnsi="Arial" w:cs="Arial"/>
          <w:sz w:val="24"/>
          <w:szCs w:val="24"/>
        </w:rPr>
        <w:footnoteReference w:id="15"/>
      </w:r>
      <w:r w:rsidRPr="00F65DD7">
        <w:rPr>
          <w:rFonts w:ascii="Arial" w:hAnsi="Arial" w:cs="Arial"/>
          <w:sz w:val="24"/>
          <w:szCs w:val="24"/>
        </w:rPr>
        <w:t xml:space="preserve">. Por su parte, </w:t>
      </w:r>
      <w:bookmarkStart w:id="2" w:name="_Hlk30430225"/>
      <w:r w:rsidRPr="00F65DD7">
        <w:rPr>
          <w:rFonts w:ascii="Arial" w:hAnsi="Arial" w:cs="Arial"/>
          <w:sz w:val="24"/>
          <w:szCs w:val="24"/>
        </w:rPr>
        <w:t>el Consejo de Estado, en sentencia de 31 de julio de 2012, con ponencia de la Consejera María Elizabeth García González</w:t>
      </w:r>
      <w:r w:rsidRPr="00F65DD7">
        <w:rPr>
          <w:rStyle w:val="Refdenotaalpie"/>
          <w:rFonts w:ascii="Arial" w:hAnsi="Arial" w:cs="Arial"/>
          <w:sz w:val="24"/>
          <w:szCs w:val="24"/>
        </w:rPr>
        <w:footnoteReference w:id="16"/>
      </w:r>
      <w:r w:rsidRPr="00F65DD7">
        <w:rPr>
          <w:rFonts w:ascii="Arial" w:hAnsi="Arial" w:cs="Arial"/>
          <w:sz w:val="24"/>
          <w:szCs w:val="24"/>
        </w:rPr>
        <w:t xml:space="preserve">, finalmente aceptó que la acción de tutela es procedente contra una providencia judicial, </w:t>
      </w:r>
      <w:r w:rsidR="00E83331" w:rsidRPr="00F65DD7">
        <w:rPr>
          <w:rFonts w:ascii="Arial" w:hAnsi="Arial" w:cs="Arial"/>
          <w:sz w:val="24"/>
          <w:szCs w:val="24"/>
        </w:rPr>
        <w:t>«</w:t>
      </w:r>
      <w:r w:rsidR="005508B3" w:rsidRPr="00F65DD7">
        <w:rPr>
          <w:rFonts w:ascii="Arial" w:hAnsi="Arial" w:cs="Arial"/>
          <w:sz w:val="24"/>
          <w:szCs w:val="24"/>
        </w:rPr>
        <w:t xml:space="preserve">(…) </w:t>
      </w:r>
      <w:r w:rsidRPr="00F65DD7">
        <w:rPr>
          <w:rFonts w:ascii="Arial" w:hAnsi="Arial" w:cs="Arial"/>
          <w:sz w:val="24"/>
          <w:szCs w:val="24"/>
        </w:rPr>
        <w:t>cuando se ha advertido la vulneración de derechos constitucionales fundamentales</w:t>
      </w:r>
      <w:r w:rsidR="005508B3" w:rsidRPr="00F65DD7">
        <w:rPr>
          <w:rFonts w:ascii="Arial" w:hAnsi="Arial" w:cs="Arial"/>
          <w:sz w:val="24"/>
          <w:szCs w:val="24"/>
        </w:rPr>
        <w:t xml:space="preserve"> (…)</w:t>
      </w:r>
      <w:r w:rsidR="00E83331" w:rsidRPr="00F65DD7">
        <w:rPr>
          <w:rFonts w:ascii="Arial" w:hAnsi="Arial" w:cs="Arial"/>
          <w:sz w:val="24"/>
          <w:szCs w:val="24"/>
        </w:rPr>
        <w:t>»</w:t>
      </w:r>
      <w:r w:rsidRPr="00F65DD7">
        <w:rPr>
          <w:rFonts w:ascii="Arial" w:hAnsi="Arial" w:cs="Arial"/>
          <w:sz w:val="24"/>
          <w:szCs w:val="24"/>
        </w:rPr>
        <w:t>.</w:t>
      </w:r>
      <w:bookmarkEnd w:id="2"/>
    </w:p>
    <w:p w:rsidR="00667AA1" w:rsidRPr="00F65DD7" w:rsidRDefault="00667AA1" w:rsidP="006201D9">
      <w:pPr>
        <w:pStyle w:val="Sangra2detindependiente"/>
        <w:spacing w:after="0" w:line="360" w:lineRule="auto"/>
        <w:ind w:left="0"/>
        <w:jc w:val="both"/>
        <w:rPr>
          <w:rFonts w:ascii="Arial" w:hAnsi="Arial" w:cs="Arial"/>
          <w:sz w:val="24"/>
          <w:szCs w:val="24"/>
        </w:rPr>
      </w:pPr>
    </w:p>
    <w:p w:rsidR="00276026" w:rsidRPr="00F65DD7" w:rsidRDefault="00276026" w:rsidP="00276026">
      <w:pPr>
        <w:spacing w:line="360" w:lineRule="auto"/>
        <w:jc w:val="both"/>
        <w:rPr>
          <w:rFonts w:ascii="Arial" w:hAnsi="Arial" w:cs="Arial"/>
          <w:b/>
          <w:sz w:val="24"/>
          <w:szCs w:val="24"/>
        </w:rPr>
      </w:pPr>
      <w:r w:rsidRPr="00F65DD7">
        <w:rPr>
          <w:rFonts w:ascii="Arial" w:hAnsi="Arial" w:cs="Arial"/>
          <w:b/>
          <w:sz w:val="24"/>
          <w:szCs w:val="24"/>
        </w:rPr>
        <w:t>Requisitos generales de procedencia.</w:t>
      </w:r>
    </w:p>
    <w:p w:rsidR="00276026" w:rsidRPr="00F65DD7" w:rsidRDefault="00276026" w:rsidP="006201D9">
      <w:pPr>
        <w:pStyle w:val="Sangra2detindependiente"/>
        <w:spacing w:after="0" w:line="360" w:lineRule="auto"/>
        <w:ind w:left="0"/>
        <w:jc w:val="both"/>
        <w:rPr>
          <w:rFonts w:ascii="Arial" w:hAnsi="Arial" w:cs="Arial"/>
          <w:sz w:val="24"/>
          <w:szCs w:val="24"/>
        </w:rPr>
      </w:pPr>
    </w:p>
    <w:p w:rsidR="00276026" w:rsidRPr="00F65DD7" w:rsidRDefault="00E83331" w:rsidP="00276026">
      <w:pPr>
        <w:spacing w:line="360" w:lineRule="auto"/>
        <w:jc w:val="both"/>
        <w:rPr>
          <w:rFonts w:ascii="Arial" w:hAnsi="Arial" w:cs="Arial"/>
          <w:sz w:val="24"/>
          <w:szCs w:val="24"/>
          <w:lang w:val="es-ES"/>
        </w:rPr>
      </w:pPr>
      <w:bookmarkStart w:id="3" w:name="_Hlk30430243"/>
      <w:r w:rsidRPr="00F65DD7">
        <w:rPr>
          <w:rFonts w:ascii="Arial" w:hAnsi="Arial" w:cs="Arial"/>
          <w:sz w:val="24"/>
          <w:szCs w:val="24"/>
        </w:rPr>
        <w:t>Respecto a los requisitos de forma o generales de procedencia, señaló: i) Qu</w:t>
      </w:r>
      <w:r w:rsidRPr="00F65DD7">
        <w:rPr>
          <w:rFonts w:ascii="Arial" w:hAnsi="Arial" w:cs="Arial"/>
          <w:iCs/>
          <w:sz w:val="24"/>
          <w:szCs w:val="24"/>
          <w:bdr w:val="none" w:sz="0" w:space="0" w:color="auto" w:frame="1"/>
          <w:lang w:eastAsia="es-CO"/>
        </w:rPr>
        <w:t>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w:t>
      </w:r>
      <w:r w:rsidRPr="00F65DD7">
        <w:rPr>
          <w:rFonts w:ascii="Arial" w:hAnsi="Arial" w:cs="Arial"/>
          <w:iCs/>
          <w:sz w:val="24"/>
          <w:szCs w:val="24"/>
          <w:bdr w:val="none" w:sz="0" w:space="0" w:color="auto" w:frame="1"/>
          <w:vertAlign w:val="superscript"/>
          <w:lang w:eastAsia="es-CO"/>
        </w:rPr>
        <w:footnoteReference w:id="17"/>
      </w:r>
      <w:r w:rsidRPr="00F65DD7">
        <w:rPr>
          <w:rFonts w:ascii="Arial" w:hAnsi="Arial" w:cs="Arial"/>
          <w:iCs/>
          <w:sz w:val="24"/>
          <w:szCs w:val="24"/>
          <w:bdr w:val="none" w:sz="0" w:space="0" w:color="auto" w:frame="1"/>
          <w:lang w:eastAsia="es-CO"/>
        </w:rPr>
        <w:t xml:space="preserve">; ii) Que se hayan agotado todos los medios  -ordinarios y extraordinarios-  de defensa judicial al alcance de la persona afectada, salvo que se trate de evitar la consumación de un perjuicio </w:t>
      </w:r>
      <w:proofErr w:type="spellStart"/>
      <w:r w:rsidRPr="00F65DD7">
        <w:rPr>
          <w:rFonts w:ascii="Arial" w:hAnsi="Arial" w:cs="Arial"/>
          <w:i/>
          <w:iCs/>
          <w:sz w:val="24"/>
          <w:szCs w:val="24"/>
          <w:bdr w:val="none" w:sz="0" w:space="0" w:color="auto" w:frame="1"/>
          <w:lang w:eastAsia="es-CO"/>
        </w:rPr>
        <w:t>iusfundamental</w:t>
      </w:r>
      <w:proofErr w:type="spellEnd"/>
      <w:r w:rsidRPr="00F65DD7">
        <w:rPr>
          <w:rFonts w:ascii="Arial" w:hAnsi="Arial" w:cs="Arial"/>
          <w:i/>
          <w:iCs/>
          <w:sz w:val="24"/>
          <w:szCs w:val="24"/>
          <w:bdr w:val="none" w:sz="0" w:space="0" w:color="auto" w:frame="1"/>
          <w:lang w:eastAsia="es-CO"/>
        </w:rPr>
        <w:t xml:space="preserve"> </w:t>
      </w:r>
      <w:r w:rsidRPr="00F65DD7">
        <w:rPr>
          <w:rFonts w:ascii="Arial" w:hAnsi="Arial" w:cs="Arial"/>
          <w:iCs/>
          <w:sz w:val="24"/>
          <w:szCs w:val="24"/>
          <w:bdr w:val="none" w:sz="0" w:space="0" w:color="auto" w:frame="1"/>
          <w:lang w:eastAsia="es-CO"/>
        </w:rPr>
        <w:t>irremediable</w:t>
      </w:r>
      <w:bookmarkStart w:id="4" w:name="_ftnref7"/>
      <w:r w:rsidRPr="00F65DD7">
        <w:rPr>
          <w:rFonts w:ascii="Arial" w:hAnsi="Arial" w:cs="Arial"/>
          <w:iCs/>
          <w:sz w:val="24"/>
          <w:szCs w:val="24"/>
          <w:bdr w:val="none" w:sz="0" w:space="0" w:color="auto" w:frame="1"/>
          <w:vertAlign w:val="superscript"/>
          <w:lang w:eastAsia="es-CO"/>
        </w:rPr>
        <w:footnoteReference w:id="18"/>
      </w:r>
      <w:bookmarkEnd w:id="4"/>
      <w:r w:rsidRPr="00F65DD7">
        <w:rPr>
          <w:rFonts w:ascii="Arial" w:hAnsi="Arial" w:cs="Arial"/>
          <w:iCs/>
          <w:sz w:val="24"/>
          <w:szCs w:val="24"/>
          <w:bdr w:val="none" w:sz="0" w:space="0" w:color="auto" w:frame="1"/>
          <w:lang w:eastAsia="es-CO"/>
        </w:rPr>
        <w:t xml:space="preserve">; iii) Que se cumpla el requisito de la inmediatez, es decir, que la tutela se hubiere interpuesto en un término razonable y proporcionado a partir del hecho que originó la vulneración; iv) Cuando se trate de una irregularidad procesal, debe </w:t>
      </w:r>
      <w:r w:rsidRPr="00F65DD7">
        <w:rPr>
          <w:rFonts w:ascii="Arial" w:hAnsi="Arial" w:cs="Arial"/>
          <w:iCs/>
          <w:sz w:val="24"/>
          <w:szCs w:val="24"/>
          <w:bdr w:val="none" w:sz="0" w:space="0" w:color="auto" w:frame="1"/>
          <w:lang w:eastAsia="es-CO"/>
        </w:rPr>
        <w:lastRenderedPageBreak/>
        <w:t>quedar claro que la misma tiene un efecto decisivo o determinante en la sentencia que se impugna y que afecta los derechos fundamentales de la parte actora</w:t>
      </w:r>
      <w:bookmarkStart w:id="5" w:name="_ftnref9"/>
      <w:r w:rsidRPr="00F65DD7">
        <w:rPr>
          <w:rFonts w:ascii="Arial" w:hAnsi="Arial" w:cs="Arial"/>
          <w:iCs/>
          <w:sz w:val="24"/>
          <w:szCs w:val="24"/>
          <w:bdr w:val="none" w:sz="0" w:space="0" w:color="auto" w:frame="1"/>
          <w:lang w:eastAsia="es-CO"/>
        </w:rPr>
        <w:t>; v)</w:t>
      </w:r>
      <w:bookmarkEnd w:id="5"/>
      <w:r w:rsidRPr="00F65DD7">
        <w:rPr>
          <w:rFonts w:ascii="Arial" w:hAnsi="Arial" w:cs="Arial"/>
          <w:iCs/>
          <w:sz w:val="24"/>
          <w:szCs w:val="24"/>
          <w:bdr w:val="none" w:sz="0" w:space="0" w:color="auto" w:frame="1"/>
          <w:lang w:eastAsia="es-CO"/>
        </w:rPr>
        <w:t xml:space="preserve"> Que la parte actora identifique de manera razonable tanto los hechos que generaron la vulneración como los derechos vulnerados y que hubiere alegado tal vulneración en el proceso judicial siempre que esto hubiere sido posible; y, vi) </w:t>
      </w:r>
      <w:bookmarkStart w:id="6" w:name="_ftnref11"/>
      <w:r w:rsidR="00276026" w:rsidRPr="00F65DD7">
        <w:rPr>
          <w:rFonts w:ascii="Arial" w:hAnsi="Arial" w:cs="Arial"/>
          <w:sz w:val="24"/>
          <w:szCs w:val="24"/>
          <w:lang w:val="es-ES"/>
        </w:rPr>
        <w:t>Que no se trate de sentencias proferidas en procesos de acción de tutela, de acción de cumplimiento o de acción popular.</w:t>
      </w:r>
    </w:p>
    <w:bookmarkEnd w:id="3"/>
    <w:p w:rsidR="00E83331" w:rsidRPr="00F65DD7" w:rsidRDefault="00E83331" w:rsidP="00E83331">
      <w:pPr>
        <w:spacing w:line="360" w:lineRule="auto"/>
        <w:jc w:val="both"/>
        <w:rPr>
          <w:rFonts w:ascii="Arial" w:hAnsi="Arial" w:cs="Arial"/>
          <w:iCs/>
          <w:sz w:val="24"/>
          <w:szCs w:val="24"/>
          <w:bdr w:val="none" w:sz="0" w:space="0" w:color="auto" w:frame="1"/>
          <w:lang w:eastAsia="es-CO"/>
        </w:rPr>
      </w:pPr>
    </w:p>
    <w:bookmarkEnd w:id="6"/>
    <w:p w:rsidR="00276026" w:rsidRPr="00F65DD7" w:rsidRDefault="00276026" w:rsidP="00276026">
      <w:pPr>
        <w:spacing w:line="360" w:lineRule="auto"/>
        <w:jc w:val="both"/>
        <w:rPr>
          <w:rFonts w:ascii="Arial" w:hAnsi="Arial" w:cs="Arial"/>
          <w:sz w:val="24"/>
          <w:szCs w:val="24"/>
          <w:lang w:val="es-ES"/>
        </w:rPr>
      </w:pPr>
      <w:r w:rsidRPr="00F65DD7">
        <w:rPr>
          <w:rFonts w:ascii="Arial" w:hAnsi="Arial" w:cs="Arial"/>
          <w:b/>
          <w:sz w:val="24"/>
          <w:szCs w:val="24"/>
        </w:rPr>
        <w:t>Vicios de fondo.</w:t>
      </w:r>
    </w:p>
    <w:p w:rsidR="00276026" w:rsidRPr="00F65DD7" w:rsidRDefault="00276026" w:rsidP="00276026">
      <w:pPr>
        <w:spacing w:line="360" w:lineRule="auto"/>
        <w:jc w:val="both"/>
        <w:rPr>
          <w:rFonts w:ascii="Arial" w:hAnsi="Arial" w:cs="Arial"/>
          <w:sz w:val="24"/>
          <w:szCs w:val="24"/>
          <w:lang w:val="es-ES"/>
        </w:rPr>
      </w:pPr>
    </w:p>
    <w:p w:rsidR="00276026" w:rsidRPr="00F65DD7" w:rsidRDefault="00276026" w:rsidP="00276026">
      <w:pPr>
        <w:spacing w:line="360" w:lineRule="auto"/>
        <w:jc w:val="both"/>
        <w:rPr>
          <w:rFonts w:ascii="Arial" w:hAnsi="Arial" w:cs="Arial"/>
          <w:sz w:val="24"/>
          <w:szCs w:val="24"/>
          <w:lang w:val="es-ES"/>
        </w:rPr>
      </w:pPr>
      <w:r w:rsidRPr="00F65DD7">
        <w:rPr>
          <w:rFonts w:ascii="Arial" w:hAnsi="Arial" w:cs="Arial"/>
          <w:sz w:val="24"/>
          <w:szCs w:val="24"/>
          <w:lang w:val="es-ES"/>
        </w:rPr>
        <w:t xml:space="preserve">Adicionalmente si la tutela contra la providencia judicial puesta en conocimiento del Juez Constitucional, supera las causales anteriores, éste, para poder revocarla, deberá establecer la presencia de alguno de los siguientes </w:t>
      </w:r>
      <w:r w:rsidRPr="00F65DD7">
        <w:rPr>
          <w:rFonts w:ascii="Arial" w:hAnsi="Arial" w:cs="Arial"/>
          <w:b/>
          <w:sz w:val="24"/>
          <w:szCs w:val="24"/>
          <w:lang w:val="es-ES"/>
        </w:rPr>
        <w:t>defectos o vicios de fondo</w:t>
      </w:r>
      <w:r w:rsidRPr="00F65DD7">
        <w:rPr>
          <w:rFonts w:ascii="Arial" w:hAnsi="Arial" w:cs="Arial"/>
          <w:sz w:val="24"/>
          <w:szCs w:val="24"/>
          <w:lang w:val="es-ES"/>
        </w:rPr>
        <w:t xml:space="preserve">: </w:t>
      </w:r>
    </w:p>
    <w:p w:rsidR="00276026" w:rsidRPr="00F65DD7" w:rsidRDefault="00276026" w:rsidP="00276026">
      <w:pPr>
        <w:spacing w:line="360" w:lineRule="auto"/>
        <w:jc w:val="both"/>
        <w:rPr>
          <w:rFonts w:ascii="Arial" w:hAnsi="Arial" w:cs="Arial"/>
          <w:sz w:val="24"/>
          <w:szCs w:val="24"/>
          <w:lang w:val="es-ES"/>
        </w:rPr>
      </w:pPr>
    </w:p>
    <w:p w:rsidR="00276026" w:rsidRPr="00F65DD7" w:rsidRDefault="00276026" w:rsidP="00276026">
      <w:pPr>
        <w:spacing w:line="360" w:lineRule="auto"/>
        <w:jc w:val="both"/>
        <w:rPr>
          <w:rFonts w:ascii="Arial" w:hAnsi="Arial" w:cs="Arial"/>
          <w:sz w:val="24"/>
          <w:szCs w:val="24"/>
          <w:lang w:val="es-ES"/>
        </w:rPr>
      </w:pPr>
      <w:r w:rsidRPr="00F65DD7">
        <w:rPr>
          <w:rFonts w:ascii="Arial" w:hAnsi="Arial" w:cs="Arial"/>
          <w:b/>
          <w:sz w:val="24"/>
          <w:szCs w:val="24"/>
          <w:lang w:val="es-ES"/>
        </w:rPr>
        <w:t xml:space="preserve">a) </w:t>
      </w:r>
      <w:r w:rsidRPr="00F65DD7">
        <w:rPr>
          <w:rFonts w:ascii="Arial" w:hAnsi="Arial" w:cs="Arial"/>
          <w:b/>
          <w:iCs/>
          <w:sz w:val="24"/>
          <w:szCs w:val="24"/>
          <w:lang w:val="es-ES"/>
        </w:rPr>
        <w:t>Defecto orgánico</w:t>
      </w:r>
      <w:r w:rsidRPr="00F65DD7">
        <w:rPr>
          <w:rFonts w:ascii="Arial" w:hAnsi="Arial" w:cs="Arial"/>
          <w:iCs/>
          <w:sz w:val="24"/>
          <w:szCs w:val="24"/>
          <w:lang w:val="es-ES"/>
        </w:rPr>
        <w:t>:</w:t>
      </w:r>
      <w:r w:rsidRPr="00F65DD7">
        <w:rPr>
          <w:rFonts w:ascii="Arial" w:hAnsi="Arial" w:cs="Arial"/>
          <w:sz w:val="24"/>
          <w:szCs w:val="24"/>
          <w:lang w:val="es-ES"/>
        </w:rPr>
        <w:t xml:space="preserve"> Que se presenta cuando el funcionario judicial que profirió la providencia impugnada, carece absolutamente de competencia. </w:t>
      </w:r>
      <w:r w:rsidRPr="00F65DD7">
        <w:rPr>
          <w:rFonts w:ascii="Arial" w:hAnsi="Arial" w:cs="Arial"/>
          <w:b/>
          <w:sz w:val="24"/>
          <w:szCs w:val="24"/>
          <w:lang w:val="es-ES"/>
        </w:rPr>
        <w:t xml:space="preserve">b) </w:t>
      </w:r>
      <w:r w:rsidRPr="00F65DD7">
        <w:rPr>
          <w:rFonts w:ascii="Arial" w:hAnsi="Arial" w:cs="Arial"/>
          <w:b/>
          <w:iCs/>
          <w:sz w:val="24"/>
          <w:szCs w:val="24"/>
          <w:lang w:val="es-ES"/>
        </w:rPr>
        <w:t>Defecto procedimental absoluto</w:t>
      </w:r>
      <w:r w:rsidRPr="00F65DD7">
        <w:rPr>
          <w:rFonts w:ascii="Arial" w:hAnsi="Arial" w:cs="Arial"/>
          <w:sz w:val="24"/>
          <w:szCs w:val="24"/>
          <w:lang w:val="es-ES"/>
        </w:rPr>
        <w:t xml:space="preserve">: Que se origina cuando el juez actuó completamente al margen del procedimiento establecido. </w:t>
      </w:r>
      <w:r w:rsidRPr="00F65DD7">
        <w:rPr>
          <w:rFonts w:ascii="Arial" w:hAnsi="Arial" w:cs="Arial"/>
          <w:b/>
          <w:sz w:val="24"/>
          <w:szCs w:val="24"/>
          <w:lang w:val="es-ES"/>
        </w:rPr>
        <w:t xml:space="preserve">c) </w:t>
      </w:r>
      <w:r w:rsidRPr="00F65DD7">
        <w:rPr>
          <w:rFonts w:ascii="Arial" w:hAnsi="Arial" w:cs="Arial"/>
          <w:b/>
          <w:iCs/>
          <w:sz w:val="24"/>
          <w:szCs w:val="24"/>
          <w:lang w:val="es-ES"/>
        </w:rPr>
        <w:t>Defecto fáctico</w:t>
      </w:r>
      <w:r w:rsidRPr="00F65DD7">
        <w:rPr>
          <w:rFonts w:ascii="Arial" w:hAnsi="Arial" w:cs="Arial"/>
          <w:b/>
          <w:sz w:val="24"/>
          <w:szCs w:val="24"/>
          <w:lang w:val="es-ES"/>
        </w:rPr>
        <w:t>:</w:t>
      </w:r>
      <w:r w:rsidRPr="00F65DD7">
        <w:rPr>
          <w:rFonts w:ascii="Arial" w:hAnsi="Arial" w:cs="Arial"/>
          <w:sz w:val="24"/>
          <w:szCs w:val="24"/>
          <w:lang w:val="es-ES"/>
        </w:rPr>
        <w:t xml:space="preserve"> Que surge cuando el Juez carece del apoyo probatorio que permita la aplicación del supuesto legal en el que se sustenta la decisión. </w:t>
      </w:r>
      <w:r w:rsidRPr="00F65DD7">
        <w:rPr>
          <w:rFonts w:ascii="Arial" w:hAnsi="Arial" w:cs="Arial"/>
          <w:b/>
          <w:sz w:val="24"/>
          <w:szCs w:val="24"/>
          <w:lang w:val="es-ES"/>
        </w:rPr>
        <w:t xml:space="preserve">d) </w:t>
      </w:r>
      <w:r w:rsidRPr="00F65DD7">
        <w:rPr>
          <w:rFonts w:ascii="Arial" w:hAnsi="Arial" w:cs="Arial"/>
          <w:b/>
          <w:iCs/>
          <w:sz w:val="24"/>
          <w:szCs w:val="24"/>
          <w:lang w:val="es-ES"/>
        </w:rPr>
        <w:t>Defecto material o sustantivo</w:t>
      </w:r>
      <w:r w:rsidRPr="00F65DD7">
        <w:rPr>
          <w:rFonts w:ascii="Arial" w:hAnsi="Arial" w:cs="Arial"/>
          <w:b/>
          <w:sz w:val="24"/>
          <w:szCs w:val="24"/>
          <w:lang w:val="es-ES"/>
        </w:rPr>
        <w:t>:</w:t>
      </w:r>
      <w:r w:rsidRPr="00F65DD7">
        <w:rPr>
          <w:rFonts w:ascii="Arial" w:hAnsi="Arial" w:cs="Arial"/>
          <w:sz w:val="24"/>
          <w:szCs w:val="24"/>
          <w:lang w:val="es-ES"/>
        </w:rPr>
        <w:t xml:space="preserve"> Cuando se decide con base en normas inexistentes o inconstitucionales o que presentan una evidente y grosera contradicción entre los fundamentos y la decisión. </w:t>
      </w:r>
      <w:r w:rsidRPr="00F65DD7">
        <w:rPr>
          <w:rFonts w:ascii="Arial" w:hAnsi="Arial" w:cs="Arial"/>
          <w:b/>
          <w:sz w:val="24"/>
          <w:szCs w:val="24"/>
          <w:lang w:val="es-ES"/>
        </w:rPr>
        <w:t xml:space="preserve">e) </w:t>
      </w:r>
      <w:r w:rsidRPr="00F65DD7">
        <w:rPr>
          <w:rFonts w:ascii="Arial" w:hAnsi="Arial" w:cs="Arial"/>
          <w:b/>
          <w:iCs/>
          <w:sz w:val="24"/>
          <w:szCs w:val="24"/>
          <w:lang w:val="es-ES"/>
        </w:rPr>
        <w:t>Error inducido</w:t>
      </w:r>
      <w:r w:rsidRPr="00F65DD7">
        <w:rPr>
          <w:rFonts w:ascii="Arial" w:hAnsi="Arial" w:cs="Arial"/>
          <w:b/>
          <w:sz w:val="24"/>
          <w:szCs w:val="24"/>
          <w:lang w:val="es-ES"/>
        </w:rPr>
        <w:t>:</w:t>
      </w:r>
      <w:r w:rsidRPr="00F65DD7">
        <w:rPr>
          <w:rFonts w:ascii="Arial" w:hAnsi="Arial" w:cs="Arial"/>
          <w:sz w:val="24"/>
          <w:szCs w:val="24"/>
          <w:lang w:val="es-ES"/>
        </w:rPr>
        <w:t xml:space="preserve"> Se presenta cuando el Juez fue víctima de un engaño por parte de terceros y ese engaño lo condujo a la toma de una decisión que afecta derechos fundamentales. </w:t>
      </w:r>
      <w:r w:rsidRPr="00F65DD7">
        <w:rPr>
          <w:rFonts w:ascii="Arial" w:hAnsi="Arial" w:cs="Arial"/>
          <w:b/>
          <w:sz w:val="24"/>
          <w:szCs w:val="24"/>
          <w:lang w:val="es-ES"/>
        </w:rPr>
        <w:t xml:space="preserve">f) </w:t>
      </w:r>
      <w:r w:rsidRPr="00F65DD7">
        <w:rPr>
          <w:rFonts w:ascii="Arial" w:hAnsi="Arial" w:cs="Arial"/>
          <w:b/>
          <w:iCs/>
          <w:sz w:val="24"/>
          <w:szCs w:val="24"/>
          <w:lang w:val="es-ES"/>
        </w:rPr>
        <w:t>Decisión sin motivación:</w:t>
      </w:r>
      <w:r w:rsidRPr="00F65DD7">
        <w:rPr>
          <w:rFonts w:ascii="Arial" w:hAnsi="Arial" w:cs="Arial"/>
          <w:b/>
          <w:i/>
          <w:iCs/>
          <w:sz w:val="24"/>
          <w:szCs w:val="24"/>
          <w:lang w:val="es-ES"/>
        </w:rPr>
        <w:t xml:space="preserve"> </w:t>
      </w:r>
      <w:r w:rsidRPr="00F65DD7">
        <w:rPr>
          <w:rFonts w:ascii="Arial" w:hAnsi="Arial" w:cs="Arial"/>
          <w:sz w:val="24"/>
          <w:szCs w:val="24"/>
          <w:lang w:val="es-ES"/>
        </w:rPr>
        <w:t xml:space="preserve">Que implica el incumplimiento de los servidores judiciales de dar cuenta de los fundamentos fácticos y jurídicos de sus decisiones. </w:t>
      </w:r>
      <w:r w:rsidRPr="00F65DD7">
        <w:rPr>
          <w:rFonts w:ascii="Arial" w:hAnsi="Arial" w:cs="Arial"/>
          <w:b/>
          <w:sz w:val="24"/>
          <w:szCs w:val="24"/>
          <w:lang w:val="es-ES"/>
        </w:rPr>
        <w:t xml:space="preserve">g) </w:t>
      </w:r>
      <w:r w:rsidRPr="00F65DD7">
        <w:rPr>
          <w:rFonts w:ascii="Arial" w:hAnsi="Arial" w:cs="Arial"/>
          <w:b/>
          <w:iCs/>
          <w:sz w:val="24"/>
          <w:szCs w:val="24"/>
          <w:lang w:val="es-ES"/>
        </w:rPr>
        <w:t>Desconocimiento del precedente:</w:t>
      </w:r>
      <w:r w:rsidRPr="00F65DD7">
        <w:rPr>
          <w:rFonts w:ascii="Arial" w:hAnsi="Arial" w:cs="Arial"/>
          <w:sz w:val="24"/>
          <w:szCs w:val="24"/>
          <w:lang w:val="es-ES"/>
        </w:rPr>
        <w:t xml:space="preserve"> Según la Corte Constitucional, en estos casos la tutela procede como mecanismo para garantizar la eficacia jurídica del contenido constitucionalmente vinculante del derecho fundamental vulnerado.</w:t>
      </w:r>
      <w:r w:rsidRPr="00F65DD7">
        <w:rPr>
          <w:rFonts w:ascii="Arial" w:hAnsi="Arial" w:cs="Arial"/>
          <w:b/>
          <w:sz w:val="24"/>
          <w:szCs w:val="24"/>
          <w:lang w:val="es-ES"/>
        </w:rPr>
        <w:t xml:space="preserve"> h) </w:t>
      </w:r>
      <w:r w:rsidRPr="00F65DD7">
        <w:rPr>
          <w:rFonts w:ascii="Arial" w:hAnsi="Arial" w:cs="Arial"/>
          <w:b/>
          <w:iCs/>
          <w:sz w:val="24"/>
          <w:szCs w:val="24"/>
          <w:lang w:val="es-ES"/>
        </w:rPr>
        <w:t>Violación directa de la Constitución:</w:t>
      </w:r>
      <w:r w:rsidRPr="00F65DD7">
        <w:rPr>
          <w:rFonts w:ascii="Arial" w:hAnsi="Arial" w:cs="Arial"/>
          <w:iCs/>
          <w:sz w:val="24"/>
          <w:szCs w:val="24"/>
          <w:lang w:val="es-ES"/>
        </w:rPr>
        <w:t xml:space="preserve"> C</w:t>
      </w:r>
      <w:r w:rsidRPr="00F65DD7">
        <w:rPr>
          <w:rFonts w:ascii="Arial" w:hAnsi="Arial" w:cs="Arial"/>
          <w:sz w:val="24"/>
          <w:szCs w:val="24"/>
          <w:lang w:val="es-ES"/>
        </w:rPr>
        <w:t xml:space="preserve">uando la decisión judicial supera el concepto de vía de hecho, es decir, en eventos en los </w:t>
      </w:r>
      <w:proofErr w:type="gramStart"/>
      <w:r w:rsidRPr="00F65DD7">
        <w:rPr>
          <w:rFonts w:ascii="Arial" w:hAnsi="Arial" w:cs="Arial"/>
          <w:sz w:val="24"/>
          <w:szCs w:val="24"/>
          <w:lang w:val="es-ES"/>
        </w:rPr>
        <w:t>que</w:t>
      </w:r>
      <w:proofErr w:type="gramEnd"/>
      <w:r w:rsidRPr="00F65DD7">
        <w:rPr>
          <w:rFonts w:ascii="Arial" w:hAnsi="Arial" w:cs="Arial"/>
          <w:sz w:val="24"/>
          <w:szCs w:val="24"/>
          <w:lang w:val="es-ES"/>
        </w:rPr>
        <w:t xml:space="preserve"> si bien no se está ante una burda trasgresión de la Carta, si se trata de decisiones ilegítimas que afectan derechos fundamentales.</w:t>
      </w:r>
    </w:p>
    <w:p w:rsidR="00E83331" w:rsidRPr="00F65DD7" w:rsidRDefault="00E83331" w:rsidP="00E83331">
      <w:pPr>
        <w:pStyle w:val="Textonotapie"/>
        <w:spacing w:line="360" w:lineRule="auto"/>
        <w:jc w:val="both"/>
        <w:rPr>
          <w:rFonts w:ascii="Arial" w:hAnsi="Arial" w:cs="Arial"/>
          <w:sz w:val="24"/>
          <w:szCs w:val="24"/>
          <w:lang w:val="es-CO"/>
        </w:rPr>
      </w:pPr>
    </w:p>
    <w:p w:rsidR="00276026" w:rsidRPr="00F65DD7" w:rsidRDefault="00276026" w:rsidP="00276026">
      <w:pPr>
        <w:spacing w:line="360" w:lineRule="auto"/>
        <w:jc w:val="both"/>
        <w:rPr>
          <w:rFonts w:ascii="Arial" w:hAnsi="Arial" w:cs="Arial"/>
          <w:b/>
          <w:bCs/>
          <w:sz w:val="24"/>
          <w:szCs w:val="24"/>
        </w:rPr>
      </w:pPr>
      <w:r w:rsidRPr="00F65DD7">
        <w:rPr>
          <w:rFonts w:ascii="Arial" w:eastAsia="Calibri" w:hAnsi="Arial" w:cs="Arial"/>
          <w:b/>
          <w:sz w:val="24"/>
          <w:szCs w:val="24"/>
        </w:rPr>
        <w:t xml:space="preserve">Contenido y alcance del </w:t>
      </w:r>
      <w:r w:rsidRPr="00F65DD7">
        <w:rPr>
          <w:rFonts w:ascii="Arial" w:hAnsi="Arial" w:cs="Arial"/>
          <w:b/>
          <w:bCs/>
          <w:sz w:val="24"/>
          <w:szCs w:val="24"/>
        </w:rPr>
        <w:t>desconocimiento del precedente.</w:t>
      </w:r>
    </w:p>
    <w:p w:rsidR="00276026" w:rsidRPr="00F65DD7" w:rsidRDefault="00276026" w:rsidP="00276026">
      <w:pPr>
        <w:spacing w:line="360" w:lineRule="auto"/>
        <w:jc w:val="both"/>
        <w:rPr>
          <w:rFonts w:ascii="Arial" w:hAnsi="Arial" w:cs="Arial"/>
          <w:b/>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bCs/>
          <w:sz w:val="24"/>
          <w:szCs w:val="24"/>
        </w:rPr>
        <w:lastRenderedPageBreak/>
        <w:t>El desconocimiento del precedente judicial, ha sido considerado por la doctrina constitucional como una de las causales constitutivas de vías de hecho,</w:t>
      </w:r>
      <w:r w:rsidRPr="00F65DD7">
        <w:rPr>
          <w:rFonts w:ascii="Arial" w:hAnsi="Arial" w:cs="Arial"/>
          <w:sz w:val="24"/>
          <w:szCs w:val="24"/>
        </w:rPr>
        <w:t xml:space="preserve"> que se configura cuando no se aplica ante un mismo supuesto fáctico o caso similar, una misma razón de derecho que se haya adoptado en otro caso de igual naturaleza, a menos que el juez de la causa lo justifique de manera razonada.</w:t>
      </w:r>
      <w:r w:rsidRPr="00F65DD7">
        <w:rPr>
          <w:rFonts w:ascii="Arial" w:hAnsi="Arial" w:cs="Arial"/>
          <w:sz w:val="24"/>
          <w:szCs w:val="24"/>
          <w:vertAlign w:val="superscript"/>
        </w:rPr>
        <w:footnoteReference w:id="19"/>
      </w:r>
    </w:p>
    <w:p w:rsidR="00276026" w:rsidRPr="00F65DD7" w:rsidRDefault="00276026" w:rsidP="00276026">
      <w:pPr>
        <w:spacing w:line="360" w:lineRule="auto"/>
        <w:jc w:val="both"/>
        <w:rPr>
          <w:rFonts w:ascii="Arial" w:hAnsi="Arial" w:cs="Arial"/>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bCs/>
          <w:sz w:val="24"/>
          <w:szCs w:val="24"/>
        </w:rPr>
        <w:t xml:space="preserve">Es de anotar, que la misma jurisprudencia constitucional ha clasificado el precedente jurisprudencial en razón de la jerarquía que presentan las autoridades judiciales. Por tanto, los fallos no sólo se comparan en relación con juzgadores del mismo nivel, sino que también se hace tomando de referente las decisiones de sus superiores. El primero de ellos considerados como precedente horizontal y el segundo en sentido vertical. </w:t>
      </w:r>
    </w:p>
    <w:p w:rsidR="00276026" w:rsidRPr="00F65DD7" w:rsidRDefault="00276026" w:rsidP="00276026">
      <w:pPr>
        <w:spacing w:line="360" w:lineRule="auto"/>
        <w:jc w:val="both"/>
        <w:rPr>
          <w:rFonts w:ascii="Arial" w:hAnsi="Arial" w:cs="Arial"/>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bCs/>
          <w:sz w:val="24"/>
          <w:szCs w:val="24"/>
        </w:rPr>
        <w:t xml:space="preserve">Para lo que al asunto interesa, en cuanto al precedente vertical, ha establecido la Corte Constitucional, </w:t>
      </w:r>
      <w:proofErr w:type="gramStart"/>
      <w:r w:rsidRPr="00F65DD7">
        <w:rPr>
          <w:rFonts w:ascii="Arial" w:hAnsi="Arial" w:cs="Arial"/>
          <w:bCs/>
          <w:sz w:val="24"/>
          <w:szCs w:val="24"/>
        </w:rPr>
        <w:t>que</w:t>
      </w:r>
      <w:proofErr w:type="gramEnd"/>
      <w:r w:rsidRPr="00F65DD7">
        <w:rPr>
          <w:rFonts w:ascii="Arial" w:hAnsi="Arial" w:cs="Arial"/>
          <w:bCs/>
          <w:sz w:val="24"/>
          <w:szCs w:val="24"/>
        </w:rPr>
        <w:t xml:space="preserve"> en virtud de los recursos de apelación y consulta, el Superior puede controlar la interpretación del inferior frente a normas concretas o aspectos jurídicos específicos, por lo que el </w:t>
      </w:r>
      <w:r w:rsidRPr="00F65DD7">
        <w:rPr>
          <w:rFonts w:ascii="Arial" w:hAnsi="Arial" w:cs="Arial"/>
          <w:bCs/>
          <w:i/>
          <w:sz w:val="24"/>
          <w:szCs w:val="24"/>
        </w:rPr>
        <w:t>a quo</w:t>
      </w:r>
      <w:r w:rsidRPr="00F65DD7">
        <w:rPr>
          <w:rFonts w:ascii="Arial" w:hAnsi="Arial" w:cs="Arial"/>
          <w:bCs/>
          <w:sz w:val="24"/>
          <w:szCs w:val="24"/>
        </w:rPr>
        <w:t xml:space="preserve"> deberá en principio, tener en cuenta las apreciaciones del </w:t>
      </w:r>
      <w:r w:rsidR="002512CC" w:rsidRPr="00F65DD7">
        <w:rPr>
          <w:rFonts w:ascii="Arial" w:hAnsi="Arial" w:cs="Arial"/>
          <w:bCs/>
          <w:i/>
          <w:sz w:val="24"/>
          <w:szCs w:val="24"/>
        </w:rPr>
        <w:t>A</w:t>
      </w:r>
      <w:r w:rsidRPr="00F65DD7">
        <w:rPr>
          <w:rFonts w:ascii="Arial" w:hAnsi="Arial" w:cs="Arial"/>
          <w:bCs/>
          <w:i/>
          <w:sz w:val="24"/>
          <w:szCs w:val="24"/>
        </w:rPr>
        <w:t xml:space="preserve">d </w:t>
      </w:r>
      <w:proofErr w:type="spellStart"/>
      <w:r w:rsidRPr="00F65DD7">
        <w:rPr>
          <w:rFonts w:ascii="Arial" w:hAnsi="Arial" w:cs="Arial"/>
          <w:bCs/>
          <w:i/>
          <w:sz w:val="24"/>
          <w:szCs w:val="24"/>
        </w:rPr>
        <w:t>quem</w:t>
      </w:r>
      <w:proofErr w:type="spellEnd"/>
      <w:r w:rsidRPr="00F65DD7">
        <w:rPr>
          <w:rFonts w:ascii="Arial" w:hAnsi="Arial" w:cs="Arial"/>
          <w:bCs/>
          <w:sz w:val="24"/>
          <w:szCs w:val="24"/>
        </w:rPr>
        <w:t xml:space="preserve"> al respecto, y no decidir libremente estas consideraciones. </w:t>
      </w:r>
    </w:p>
    <w:p w:rsidR="00276026" w:rsidRPr="00F65DD7" w:rsidRDefault="00276026" w:rsidP="00276026">
      <w:pPr>
        <w:spacing w:line="360" w:lineRule="auto"/>
        <w:jc w:val="both"/>
        <w:rPr>
          <w:rFonts w:ascii="Arial" w:hAnsi="Arial" w:cs="Arial"/>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sz w:val="24"/>
          <w:szCs w:val="24"/>
        </w:rPr>
        <w:t xml:space="preserve">Ahora bien, </w:t>
      </w:r>
      <w:r w:rsidRPr="00F65DD7">
        <w:rPr>
          <w:rFonts w:ascii="Arial" w:hAnsi="Arial" w:cs="Arial"/>
          <w:bCs/>
          <w:sz w:val="24"/>
          <w:szCs w:val="24"/>
        </w:rPr>
        <w:t xml:space="preserve">las reglas de derecho </w:t>
      </w:r>
      <w:proofErr w:type="gramStart"/>
      <w:r w:rsidRPr="00F65DD7">
        <w:rPr>
          <w:rFonts w:ascii="Arial" w:hAnsi="Arial" w:cs="Arial"/>
          <w:bCs/>
          <w:sz w:val="24"/>
          <w:szCs w:val="24"/>
        </w:rPr>
        <w:t>que</w:t>
      </w:r>
      <w:proofErr w:type="gramEnd"/>
      <w:r w:rsidRPr="00F65DD7">
        <w:rPr>
          <w:rFonts w:ascii="Arial" w:hAnsi="Arial" w:cs="Arial"/>
          <w:bCs/>
          <w:sz w:val="24"/>
          <w:szCs w:val="24"/>
        </w:rPr>
        <w:t xml:space="preserve"> por su carácter amplio y general, inspiran el sentido de una decisión, configuran criterios que el juez de tutela puede </w:t>
      </w:r>
      <w:r w:rsidRPr="00F65DD7">
        <w:rPr>
          <w:rFonts w:ascii="Arial" w:hAnsi="Arial" w:cs="Arial"/>
          <w:bCs/>
          <w:iCs/>
          <w:sz w:val="24"/>
          <w:szCs w:val="24"/>
        </w:rPr>
        <w:t xml:space="preserve">adoptar y/o adaptar </w:t>
      </w:r>
      <w:r w:rsidRPr="00F65DD7">
        <w:rPr>
          <w:rFonts w:ascii="Arial" w:hAnsi="Arial" w:cs="Arial"/>
          <w:bCs/>
          <w:sz w:val="24"/>
          <w:szCs w:val="24"/>
        </w:rPr>
        <w:t>para encontrar una solución al caso pendiente de fallo, pero no resultan en ningún modo obligatorios.</w:t>
      </w:r>
    </w:p>
    <w:p w:rsidR="00276026" w:rsidRPr="00F65DD7" w:rsidRDefault="00276026" w:rsidP="00276026">
      <w:pPr>
        <w:spacing w:line="360" w:lineRule="auto"/>
        <w:jc w:val="both"/>
        <w:rPr>
          <w:rFonts w:ascii="Arial" w:hAnsi="Arial" w:cs="Arial"/>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bCs/>
          <w:sz w:val="24"/>
          <w:szCs w:val="24"/>
        </w:rPr>
        <w:t>Como se ve la obligatoriedad de aplicar la misma regla que solucionó un caso del pasado, al posterior, depende de si los supuestos de hecho de los dos asuntos son similares. Pero, las pautas que se presentan más generales son solamente una guía para el juez constitucional, que le puede indicar una de varias formas de fallar. Ha dicho la Corte que:</w:t>
      </w:r>
    </w:p>
    <w:p w:rsidR="00276026" w:rsidRPr="00F65DD7" w:rsidRDefault="00276026" w:rsidP="00276026">
      <w:pPr>
        <w:ind w:left="567"/>
        <w:jc w:val="both"/>
        <w:rPr>
          <w:rFonts w:ascii="Arial" w:hAnsi="Arial" w:cs="Arial"/>
          <w:bCs/>
          <w:sz w:val="24"/>
          <w:szCs w:val="24"/>
        </w:rPr>
      </w:pPr>
    </w:p>
    <w:p w:rsidR="00276026" w:rsidRPr="00F65DD7" w:rsidRDefault="002512CC" w:rsidP="002512CC">
      <w:pPr>
        <w:ind w:left="567" w:right="527"/>
        <w:jc w:val="both"/>
        <w:rPr>
          <w:rFonts w:ascii="Arial" w:hAnsi="Arial" w:cs="Arial"/>
          <w:bCs/>
          <w:iCs/>
          <w:sz w:val="24"/>
          <w:szCs w:val="24"/>
        </w:rPr>
      </w:pPr>
      <w:r w:rsidRPr="00F65DD7">
        <w:rPr>
          <w:rFonts w:ascii="Arial" w:hAnsi="Arial" w:cs="Arial"/>
          <w:bCs/>
          <w:iCs/>
          <w:sz w:val="24"/>
          <w:szCs w:val="24"/>
        </w:rPr>
        <w:t>«(</w:t>
      </w:r>
      <w:r w:rsidR="00276026" w:rsidRPr="00F65DD7">
        <w:rPr>
          <w:rFonts w:ascii="Arial" w:hAnsi="Arial" w:cs="Arial"/>
          <w:bCs/>
          <w:iCs/>
          <w:sz w:val="24"/>
          <w:szCs w:val="24"/>
        </w:rPr>
        <w:t>…</w:t>
      </w:r>
      <w:r w:rsidRPr="00F65DD7">
        <w:rPr>
          <w:rFonts w:ascii="Arial" w:hAnsi="Arial" w:cs="Arial"/>
          <w:bCs/>
          <w:iCs/>
          <w:sz w:val="24"/>
          <w:szCs w:val="24"/>
        </w:rPr>
        <w:t xml:space="preserve">) </w:t>
      </w:r>
      <w:r w:rsidR="00276026" w:rsidRPr="00F65DD7">
        <w:rPr>
          <w:rFonts w:ascii="Arial" w:hAnsi="Arial" w:cs="Arial"/>
          <w:bCs/>
          <w:iCs/>
          <w:sz w:val="24"/>
          <w:szCs w:val="24"/>
        </w:rPr>
        <w:t xml:space="preserve">el precedente judicial se construye a partir de los hechos de la demanda. El principio general en el cual se apoya el juez para dictar su sentencia, contenida en la ratio </w:t>
      </w:r>
      <w:proofErr w:type="spellStart"/>
      <w:r w:rsidR="00276026" w:rsidRPr="00F65DD7">
        <w:rPr>
          <w:rFonts w:ascii="Arial" w:hAnsi="Arial" w:cs="Arial"/>
          <w:bCs/>
          <w:iCs/>
          <w:sz w:val="24"/>
          <w:szCs w:val="24"/>
        </w:rPr>
        <w:t>decidendi</w:t>
      </w:r>
      <w:proofErr w:type="spellEnd"/>
      <w:r w:rsidR="00276026" w:rsidRPr="00F65DD7">
        <w:rPr>
          <w:rFonts w:ascii="Arial" w:hAnsi="Arial" w:cs="Arial"/>
          <w:bCs/>
          <w:iCs/>
          <w:sz w:val="24"/>
          <w:szCs w:val="24"/>
        </w:rPr>
        <w:t>, está compuesta, al igual que las reglas jurídicas ordinaria</w:t>
      </w:r>
      <w:bookmarkStart w:id="7" w:name="_ftnref40"/>
      <w:r w:rsidR="00276026" w:rsidRPr="00F65DD7">
        <w:rPr>
          <w:rFonts w:ascii="Arial" w:hAnsi="Arial" w:cs="Arial"/>
          <w:bCs/>
          <w:iCs/>
          <w:sz w:val="24"/>
          <w:szCs w:val="24"/>
        </w:rPr>
        <w:t>s</w:t>
      </w:r>
      <w:bookmarkEnd w:id="7"/>
      <w:r w:rsidR="00276026" w:rsidRPr="00F65DD7">
        <w:rPr>
          <w:rFonts w:ascii="Arial" w:hAnsi="Arial" w:cs="Arial"/>
          <w:bCs/>
          <w:iCs/>
          <w:sz w:val="24"/>
          <w:szCs w:val="24"/>
        </w:rPr>
        <w:t xml:space="preserve">, por un supuesto de hecho y una consecuencia jurídica. El supuesto de hecho define el ámbito normativo al cual es aplicable la </w:t>
      </w:r>
      <w:proofErr w:type="spellStart"/>
      <w:r w:rsidR="00276026" w:rsidRPr="00F65DD7">
        <w:rPr>
          <w:rFonts w:ascii="Arial" w:hAnsi="Arial" w:cs="Arial"/>
          <w:bCs/>
          <w:iCs/>
          <w:sz w:val="24"/>
          <w:szCs w:val="24"/>
        </w:rPr>
        <w:t>subregla</w:t>
      </w:r>
      <w:proofErr w:type="spellEnd"/>
      <w:r w:rsidR="00276026" w:rsidRPr="00F65DD7">
        <w:rPr>
          <w:rFonts w:ascii="Arial" w:hAnsi="Arial" w:cs="Arial"/>
          <w:bCs/>
          <w:iCs/>
          <w:sz w:val="24"/>
          <w:szCs w:val="24"/>
        </w:rPr>
        <w:t xml:space="preserve"> identificada por el juez. De ahí que, cuando en una situación similar, se observe que los hechos determinantes no </w:t>
      </w:r>
      <w:r w:rsidR="00276026" w:rsidRPr="00F65DD7">
        <w:rPr>
          <w:rFonts w:ascii="Arial" w:hAnsi="Arial" w:cs="Arial"/>
          <w:bCs/>
          <w:iCs/>
          <w:sz w:val="24"/>
          <w:szCs w:val="24"/>
        </w:rPr>
        <w:lastRenderedPageBreak/>
        <w:t>concuerdan con el supuesto de hecho, el juez esté legitimado para no considerar vinculante el precedente. Lo anterior se apoya en el principio de igualdad, que obliga aplicar la misma regla a quienes estén en la misma situación de hecho</w:t>
      </w:r>
      <w:r w:rsidRPr="00F65DD7">
        <w:rPr>
          <w:rFonts w:ascii="Arial" w:hAnsi="Arial" w:cs="Arial"/>
          <w:bCs/>
          <w:iCs/>
          <w:sz w:val="24"/>
          <w:szCs w:val="24"/>
        </w:rPr>
        <w:t>»</w:t>
      </w:r>
      <w:r w:rsidR="00276026" w:rsidRPr="00F65DD7">
        <w:rPr>
          <w:rFonts w:ascii="Arial" w:hAnsi="Arial" w:cs="Arial"/>
          <w:bCs/>
          <w:iCs/>
          <w:sz w:val="24"/>
          <w:szCs w:val="24"/>
        </w:rPr>
        <w:t>.</w:t>
      </w:r>
      <w:r w:rsidR="00276026" w:rsidRPr="00F65DD7">
        <w:rPr>
          <w:rFonts w:ascii="Arial" w:hAnsi="Arial" w:cs="Arial"/>
          <w:bCs/>
          <w:iCs/>
          <w:sz w:val="24"/>
          <w:szCs w:val="24"/>
          <w:vertAlign w:val="superscript"/>
        </w:rPr>
        <w:footnoteReference w:id="20"/>
      </w:r>
    </w:p>
    <w:p w:rsidR="002512CC" w:rsidRPr="00F65DD7" w:rsidRDefault="002512CC" w:rsidP="00276026">
      <w:pPr>
        <w:spacing w:line="360" w:lineRule="auto"/>
        <w:jc w:val="both"/>
        <w:rPr>
          <w:rFonts w:ascii="Arial" w:hAnsi="Arial" w:cs="Arial"/>
          <w:sz w:val="24"/>
          <w:szCs w:val="24"/>
        </w:rPr>
      </w:pPr>
    </w:p>
    <w:p w:rsidR="00276026" w:rsidRPr="00F65DD7" w:rsidRDefault="00276026" w:rsidP="00276026">
      <w:pPr>
        <w:spacing w:line="360" w:lineRule="auto"/>
        <w:jc w:val="both"/>
        <w:rPr>
          <w:rFonts w:ascii="Arial" w:hAnsi="Arial" w:cs="Arial"/>
          <w:sz w:val="24"/>
          <w:szCs w:val="24"/>
        </w:rPr>
      </w:pPr>
      <w:r w:rsidRPr="00F65DD7">
        <w:rPr>
          <w:rFonts w:ascii="Arial" w:hAnsi="Arial" w:cs="Arial"/>
          <w:sz w:val="24"/>
          <w:szCs w:val="24"/>
        </w:rPr>
        <w:t>Igualmente, se debe tener en cuenta que de manera general el precedente judicial no lo conforma un sólo caso, sino como se dijo, una serie de pronunciamientos que la mayoría de las veces evolucionan hacia reglas más claras, que definen con mayor especificidad su alcance.</w:t>
      </w:r>
    </w:p>
    <w:p w:rsidR="00276026" w:rsidRPr="00F65DD7" w:rsidRDefault="00276026" w:rsidP="00276026">
      <w:pPr>
        <w:jc w:val="both"/>
        <w:rPr>
          <w:rFonts w:ascii="Arial" w:hAnsi="Arial" w:cs="Arial"/>
          <w:bCs/>
          <w:sz w:val="24"/>
          <w:szCs w:val="24"/>
        </w:rPr>
      </w:pPr>
    </w:p>
    <w:p w:rsidR="00276026" w:rsidRPr="00F65DD7" w:rsidRDefault="00276026" w:rsidP="00276026">
      <w:pPr>
        <w:spacing w:line="360" w:lineRule="auto"/>
        <w:jc w:val="both"/>
        <w:rPr>
          <w:rFonts w:ascii="Arial" w:hAnsi="Arial" w:cs="Arial"/>
          <w:bCs/>
          <w:sz w:val="24"/>
          <w:szCs w:val="24"/>
        </w:rPr>
      </w:pPr>
      <w:r w:rsidRPr="00F65DD7">
        <w:rPr>
          <w:rFonts w:ascii="Arial" w:hAnsi="Arial" w:cs="Arial"/>
          <w:bCs/>
          <w:sz w:val="24"/>
          <w:szCs w:val="24"/>
        </w:rPr>
        <w:t>Por último, en virtud de la autonomía interpretativa con que cuentan los jueces, puede aceptarse tanto en el precedente horizontal, como en el vertical que las distintas salas de decisión se aparten de los precedentes judiciales, sólo si exponen unas razones debidamente fundadas, que justifiquen tal criterio.</w:t>
      </w:r>
    </w:p>
    <w:p w:rsidR="00276026" w:rsidRPr="00F65DD7" w:rsidRDefault="00276026" w:rsidP="00E83331">
      <w:pPr>
        <w:pStyle w:val="Textonotapie"/>
        <w:spacing w:line="360" w:lineRule="auto"/>
        <w:jc w:val="both"/>
        <w:rPr>
          <w:rFonts w:ascii="Arial" w:hAnsi="Arial" w:cs="Arial"/>
          <w:sz w:val="24"/>
          <w:szCs w:val="24"/>
          <w:lang w:val="es-CO"/>
        </w:rPr>
      </w:pPr>
    </w:p>
    <w:p w:rsidR="001A15B4" w:rsidRPr="00F65DD7" w:rsidRDefault="001A15B4" w:rsidP="001A15B4">
      <w:pPr>
        <w:spacing w:line="360" w:lineRule="auto"/>
        <w:jc w:val="both"/>
        <w:rPr>
          <w:rFonts w:ascii="Arial" w:eastAsia="Calibri" w:hAnsi="Arial" w:cs="Arial"/>
          <w:b/>
          <w:sz w:val="24"/>
          <w:szCs w:val="24"/>
        </w:rPr>
      </w:pPr>
      <w:r w:rsidRPr="00F65DD7">
        <w:rPr>
          <w:rFonts w:ascii="Arial" w:eastAsia="Calibri" w:hAnsi="Arial" w:cs="Arial"/>
          <w:b/>
          <w:sz w:val="24"/>
          <w:szCs w:val="24"/>
        </w:rPr>
        <w:t>Desarrollo jurisprudencial sobre la prescripción para reclamar la existencia del contrato realidad.</w:t>
      </w:r>
    </w:p>
    <w:p w:rsidR="001A15B4" w:rsidRPr="00F65DD7" w:rsidRDefault="001A15B4" w:rsidP="001A15B4">
      <w:pPr>
        <w:spacing w:line="360" w:lineRule="auto"/>
        <w:jc w:val="both"/>
        <w:rPr>
          <w:rFonts w:ascii="Arial" w:eastAsia="Calibri" w:hAnsi="Arial" w:cs="Arial"/>
          <w:b/>
          <w:sz w:val="24"/>
          <w:szCs w:val="24"/>
          <w:u w:val="single"/>
        </w:rPr>
      </w:pPr>
    </w:p>
    <w:p w:rsidR="001A15B4" w:rsidRPr="00F65DD7" w:rsidRDefault="001A15B4" w:rsidP="001A15B4">
      <w:pPr>
        <w:spacing w:line="360" w:lineRule="auto"/>
        <w:jc w:val="both"/>
        <w:rPr>
          <w:rFonts w:ascii="Arial" w:hAnsi="Arial" w:cs="Arial"/>
          <w:sz w:val="24"/>
          <w:szCs w:val="24"/>
        </w:rPr>
      </w:pPr>
      <w:r w:rsidRPr="00F65DD7">
        <w:rPr>
          <w:rFonts w:ascii="Arial" w:hAnsi="Arial" w:cs="Arial"/>
          <w:sz w:val="24"/>
          <w:szCs w:val="24"/>
        </w:rPr>
        <w:t xml:space="preserve">Sea lo primero advertir, que </w:t>
      </w:r>
      <w:bookmarkStart w:id="8" w:name="_Hlk30430311"/>
      <w:r w:rsidRPr="00F65DD7">
        <w:rPr>
          <w:rFonts w:ascii="Arial" w:hAnsi="Arial" w:cs="Arial"/>
          <w:sz w:val="24"/>
          <w:szCs w:val="24"/>
        </w:rPr>
        <w:t xml:space="preserve">la figura del contrato realidad en el derecho público surgió como una respuesta a aquellas situaciones en las que las entidades estatales comenzaron a contratar personas mediante órdenes de prestación de servicios </w:t>
      </w:r>
      <w:proofErr w:type="gramStart"/>
      <w:r w:rsidRPr="00F65DD7">
        <w:rPr>
          <w:rFonts w:ascii="Arial" w:hAnsi="Arial" w:cs="Arial"/>
          <w:sz w:val="24"/>
          <w:szCs w:val="24"/>
        </w:rPr>
        <w:t>que</w:t>
      </w:r>
      <w:proofErr w:type="gramEnd"/>
      <w:r w:rsidRPr="00F65DD7">
        <w:rPr>
          <w:rFonts w:ascii="Arial" w:hAnsi="Arial" w:cs="Arial"/>
          <w:sz w:val="24"/>
          <w:szCs w:val="24"/>
        </w:rPr>
        <w:t xml:space="preserve"> en la mayoría de los casos, reflejaban una verdadera relación laboral, lo cual impedía al contratado a través de esta modalidad, percibir las prestaciones que devengaba un funcionario de planta que ejerció funciones similares.</w:t>
      </w:r>
    </w:p>
    <w:bookmarkEnd w:id="8"/>
    <w:p w:rsidR="001A15B4" w:rsidRPr="00F65DD7" w:rsidRDefault="001A15B4" w:rsidP="001A15B4">
      <w:pPr>
        <w:spacing w:line="360" w:lineRule="auto"/>
        <w:jc w:val="both"/>
        <w:rPr>
          <w:rFonts w:ascii="Arial" w:eastAsia="Calibri" w:hAnsi="Arial" w:cs="Arial"/>
          <w:b/>
          <w:sz w:val="24"/>
          <w:szCs w:val="24"/>
          <w:u w:val="single"/>
        </w:rPr>
      </w:pPr>
    </w:p>
    <w:p w:rsidR="001A15B4" w:rsidRPr="00F65DD7" w:rsidRDefault="001A15B4" w:rsidP="001A15B4">
      <w:pPr>
        <w:widowControl w:val="0"/>
        <w:spacing w:line="360" w:lineRule="auto"/>
        <w:jc w:val="both"/>
        <w:rPr>
          <w:rFonts w:ascii="Arial" w:hAnsi="Arial" w:cs="Arial"/>
          <w:kern w:val="2"/>
          <w:sz w:val="24"/>
          <w:szCs w:val="24"/>
        </w:rPr>
      </w:pPr>
      <w:r w:rsidRPr="00F65DD7">
        <w:rPr>
          <w:rFonts w:ascii="Arial" w:hAnsi="Arial" w:cs="Arial"/>
          <w:kern w:val="2"/>
          <w:sz w:val="24"/>
          <w:szCs w:val="24"/>
        </w:rPr>
        <w:t>Una vez se definió el criterio jurisprudencial de esta Corporación respecto al contrato realidad se fueron presentando problemas jurídicos asociados para ser desarrollados, como el correspondiente a la figura de la prescripción de los derechos en virtud del reconocimiento de esta situación.</w:t>
      </w:r>
    </w:p>
    <w:p w:rsidR="001A15B4" w:rsidRPr="00F65DD7" w:rsidRDefault="001A15B4" w:rsidP="001A15B4">
      <w:pPr>
        <w:widowControl w:val="0"/>
        <w:spacing w:line="360" w:lineRule="auto"/>
        <w:jc w:val="both"/>
        <w:rPr>
          <w:rFonts w:ascii="Arial" w:hAnsi="Arial" w:cs="Arial"/>
          <w:kern w:val="2"/>
          <w:sz w:val="24"/>
          <w:szCs w:val="24"/>
        </w:rPr>
      </w:pPr>
    </w:p>
    <w:p w:rsidR="001A15B4" w:rsidRPr="00F65DD7" w:rsidRDefault="001A15B4" w:rsidP="001A15B4">
      <w:pPr>
        <w:widowControl w:val="0"/>
        <w:spacing w:line="360" w:lineRule="auto"/>
        <w:jc w:val="both"/>
        <w:rPr>
          <w:rFonts w:ascii="Arial" w:hAnsi="Arial" w:cs="Arial"/>
          <w:sz w:val="24"/>
          <w:szCs w:val="24"/>
        </w:rPr>
      </w:pPr>
      <w:r w:rsidRPr="00F65DD7">
        <w:rPr>
          <w:rFonts w:ascii="Arial" w:hAnsi="Arial" w:cs="Arial"/>
          <w:kern w:val="2"/>
          <w:sz w:val="24"/>
          <w:szCs w:val="24"/>
        </w:rPr>
        <w:t xml:space="preserve">En vista de lo anterior, para zanjar esta discusión </w:t>
      </w:r>
      <w:r w:rsidRPr="00F65DD7">
        <w:rPr>
          <w:rFonts w:ascii="Arial" w:hAnsi="Arial" w:cs="Arial"/>
          <w:sz w:val="24"/>
          <w:szCs w:val="24"/>
        </w:rPr>
        <w:t xml:space="preserve">la Sección Segunda del Consejo de Estado, </w:t>
      </w:r>
      <w:bookmarkStart w:id="9" w:name="_Hlk30430741"/>
      <w:r w:rsidRPr="00F65DD7">
        <w:rPr>
          <w:rFonts w:ascii="Arial" w:hAnsi="Arial" w:cs="Arial"/>
          <w:sz w:val="24"/>
          <w:szCs w:val="24"/>
        </w:rPr>
        <w:t>mediante la Sentencia de 19 de febrero de 2009</w:t>
      </w:r>
      <w:r w:rsidRPr="00F65DD7">
        <w:rPr>
          <w:rStyle w:val="Refdenotaalpie"/>
          <w:rFonts w:ascii="Arial" w:hAnsi="Arial" w:cs="Arial"/>
          <w:sz w:val="24"/>
          <w:szCs w:val="24"/>
        </w:rPr>
        <w:footnoteReference w:id="21"/>
      </w:r>
      <w:r w:rsidRPr="00F65DD7">
        <w:rPr>
          <w:rFonts w:ascii="Arial" w:hAnsi="Arial" w:cs="Arial"/>
          <w:sz w:val="24"/>
          <w:szCs w:val="24"/>
        </w:rPr>
        <w:t>, radicado núm. 2005-3074, con ponencia de la Doctora Bertha Lucía Ramírez de Páez efectuó un pronunciamiento sobre las consecuencias de encontrar acreditado un contrato realidad y la indemnización integral a que había luga</w:t>
      </w:r>
      <w:bookmarkEnd w:id="9"/>
      <w:r w:rsidRPr="00F65DD7">
        <w:rPr>
          <w:rFonts w:ascii="Arial" w:hAnsi="Arial" w:cs="Arial"/>
          <w:sz w:val="24"/>
          <w:szCs w:val="24"/>
        </w:rPr>
        <w:t xml:space="preserve">r y, a su vez, unificó la tesis </w:t>
      </w:r>
      <w:r w:rsidRPr="00F65DD7">
        <w:rPr>
          <w:rFonts w:ascii="Arial" w:hAnsi="Arial" w:cs="Arial"/>
          <w:sz w:val="24"/>
          <w:szCs w:val="24"/>
        </w:rPr>
        <w:lastRenderedPageBreak/>
        <w:t xml:space="preserve">sobre la procedencia de la prescripción en estos eventos, advirtiendo que la Sentencia que resuelve sobre la aplicación de la prevalencia de la realidad sobre las formas es </w:t>
      </w:r>
      <w:r w:rsidRPr="00F65DD7">
        <w:rPr>
          <w:rFonts w:ascii="Arial" w:hAnsi="Arial" w:cs="Arial"/>
          <w:b/>
          <w:sz w:val="24"/>
          <w:szCs w:val="24"/>
        </w:rPr>
        <w:t>constitutiva</w:t>
      </w:r>
      <w:r w:rsidRPr="00F65DD7">
        <w:rPr>
          <w:rFonts w:ascii="Arial" w:hAnsi="Arial" w:cs="Arial"/>
          <w:sz w:val="24"/>
          <w:szCs w:val="24"/>
        </w:rPr>
        <w:t xml:space="preserve"> del derecho [por excepción] y, por ende, a partir de su ejecutoria, inicia el término para reclamar los derechos de allí derivados. En este sentido, se puntualizó que:</w:t>
      </w:r>
    </w:p>
    <w:p w:rsidR="001A15B4" w:rsidRPr="00F65DD7" w:rsidRDefault="001A15B4" w:rsidP="001A15B4">
      <w:pPr>
        <w:widowControl w:val="0"/>
        <w:spacing w:line="360" w:lineRule="auto"/>
        <w:ind w:right="527"/>
        <w:jc w:val="both"/>
        <w:rPr>
          <w:rFonts w:ascii="Arial" w:hAnsi="Arial" w:cs="Arial"/>
          <w:sz w:val="24"/>
          <w:szCs w:val="24"/>
        </w:rPr>
      </w:pPr>
    </w:p>
    <w:p w:rsidR="001A15B4" w:rsidRPr="00F65DD7" w:rsidRDefault="001A15B4" w:rsidP="00391EA5">
      <w:pPr>
        <w:pStyle w:val="Textoindependiente210"/>
        <w:spacing w:line="240" w:lineRule="auto"/>
        <w:ind w:left="567" w:right="51"/>
        <w:rPr>
          <w:rFonts w:cs="Arial"/>
          <w:szCs w:val="24"/>
          <w:lang w:val="es-MX"/>
        </w:rPr>
      </w:pPr>
      <w:r w:rsidRPr="00F65DD7">
        <w:rPr>
          <w:rFonts w:cs="Arial"/>
          <w:szCs w:val="24"/>
        </w:rPr>
        <w:t xml:space="preserve">«[…] </w:t>
      </w:r>
      <w:r w:rsidRPr="00F65DD7">
        <w:rPr>
          <w:rFonts w:cs="Arial"/>
          <w:szCs w:val="24"/>
          <w:lang w:val="es-MX"/>
        </w:rPr>
        <w:t>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1A15B4" w:rsidRPr="00F65DD7" w:rsidRDefault="001A15B4" w:rsidP="00391EA5">
      <w:pPr>
        <w:pStyle w:val="Textoindependiente210"/>
        <w:spacing w:line="240" w:lineRule="auto"/>
        <w:ind w:left="567" w:right="51"/>
        <w:rPr>
          <w:rFonts w:cs="Arial"/>
          <w:szCs w:val="24"/>
          <w:lang w:val="es-MX"/>
        </w:rPr>
      </w:pPr>
    </w:p>
    <w:p w:rsidR="001A15B4" w:rsidRPr="00F65DD7" w:rsidRDefault="001A15B4" w:rsidP="00391EA5">
      <w:pPr>
        <w:ind w:left="567" w:right="51"/>
        <w:jc w:val="both"/>
        <w:rPr>
          <w:rFonts w:ascii="Arial" w:hAnsi="Arial" w:cs="Arial"/>
          <w:iCs/>
          <w:sz w:val="24"/>
          <w:szCs w:val="24"/>
          <w:lang w:val="es-MX"/>
        </w:rPr>
      </w:pPr>
      <w:bookmarkStart w:id="10" w:name="_Hlk30430722"/>
      <w:r w:rsidRPr="00F65DD7">
        <w:rPr>
          <w:rFonts w:ascii="Arial" w:hAnsi="Arial" w:cs="Arial"/>
          <w:iCs/>
          <w:sz w:val="24"/>
          <w:szCs w:val="24"/>
          <w:lang w:val="es-MX"/>
        </w:rPr>
        <w:t>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w:t>
      </w:r>
    </w:p>
    <w:bookmarkEnd w:id="10"/>
    <w:p w:rsidR="001A15B4" w:rsidRPr="00F65DD7" w:rsidRDefault="001A15B4" w:rsidP="00391EA5">
      <w:pPr>
        <w:ind w:left="567" w:right="51"/>
        <w:jc w:val="both"/>
        <w:rPr>
          <w:rFonts w:ascii="Arial" w:hAnsi="Arial" w:cs="Arial"/>
          <w:iCs/>
          <w:sz w:val="24"/>
          <w:szCs w:val="24"/>
          <w:lang w:val="es-MX"/>
        </w:rPr>
      </w:pPr>
    </w:p>
    <w:p w:rsidR="001A15B4" w:rsidRPr="00F65DD7" w:rsidRDefault="001A15B4" w:rsidP="00391EA5">
      <w:pPr>
        <w:ind w:left="567" w:right="51"/>
        <w:jc w:val="both"/>
        <w:rPr>
          <w:rFonts w:ascii="Arial" w:hAnsi="Arial" w:cs="Arial"/>
          <w:sz w:val="24"/>
          <w:szCs w:val="24"/>
        </w:rPr>
      </w:pPr>
      <w:r w:rsidRPr="00F65DD7">
        <w:rPr>
          <w:rFonts w:ascii="Arial" w:hAnsi="Arial" w:cs="Arial"/>
          <w:sz w:val="24"/>
          <w:szCs w:val="24"/>
        </w:rPr>
        <w:t>Se insiste, 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p>
    <w:p w:rsidR="001A15B4" w:rsidRPr="00F65DD7" w:rsidRDefault="001A15B4" w:rsidP="00391EA5">
      <w:pPr>
        <w:ind w:left="567" w:right="51"/>
        <w:jc w:val="both"/>
        <w:rPr>
          <w:rFonts w:ascii="Arial" w:hAnsi="Arial" w:cs="Arial"/>
          <w:iCs/>
          <w:sz w:val="24"/>
          <w:szCs w:val="24"/>
        </w:rPr>
      </w:pPr>
    </w:p>
    <w:p w:rsidR="001A15B4" w:rsidRPr="00F65DD7" w:rsidRDefault="001A15B4" w:rsidP="00391EA5">
      <w:pPr>
        <w:ind w:left="567" w:right="51"/>
        <w:jc w:val="both"/>
        <w:rPr>
          <w:rFonts w:ascii="Arial" w:hAnsi="Arial" w:cs="Arial"/>
          <w:iCs/>
          <w:sz w:val="24"/>
          <w:szCs w:val="24"/>
        </w:rPr>
      </w:pPr>
      <w:r w:rsidRPr="00F65DD7">
        <w:rPr>
          <w:rFonts w:ascii="Arial" w:hAnsi="Arial" w:cs="Arial"/>
          <w:iCs/>
          <w:sz w:val="24"/>
          <w:szCs w:val="24"/>
        </w:rPr>
        <w:t xml:space="preserve">Por lo tanto, </w:t>
      </w:r>
      <w:bookmarkStart w:id="11" w:name="_Hlk30430771"/>
      <w:r w:rsidRPr="00F65DD7">
        <w:rPr>
          <w:rFonts w:ascii="Arial" w:hAnsi="Arial" w:cs="Arial"/>
          <w:iCs/>
          <w:sz w:val="24"/>
          <w:szCs w:val="24"/>
        </w:rPr>
        <w:t>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w:t>
      </w:r>
      <w:bookmarkEnd w:id="11"/>
      <w:r w:rsidRPr="00F65DD7">
        <w:rPr>
          <w:rFonts w:ascii="Arial" w:hAnsi="Arial" w:cs="Arial"/>
          <w:iCs/>
          <w:sz w:val="24"/>
          <w:szCs w:val="24"/>
        </w:rPr>
        <w:t>, empero como el sub-lite se contrae al reconocimiento de una situación anterior no existe prescripción pues la obligación, como se dijo, surge con la presente sentencia, tesis que la Sala en esta oportunidad acoge en su integridad. […]».</w:t>
      </w:r>
    </w:p>
    <w:p w:rsidR="000F35D5" w:rsidRPr="00F65DD7" w:rsidRDefault="000F35D5" w:rsidP="001A15B4">
      <w:pPr>
        <w:pStyle w:val="Textoindependiente210"/>
        <w:rPr>
          <w:rFonts w:cs="Arial"/>
          <w:szCs w:val="24"/>
        </w:rPr>
      </w:pPr>
    </w:p>
    <w:p w:rsidR="001A15B4" w:rsidRPr="00F65DD7" w:rsidRDefault="001A15B4" w:rsidP="001A15B4">
      <w:pPr>
        <w:pStyle w:val="Textoindependiente210"/>
        <w:rPr>
          <w:rFonts w:cs="Arial"/>
          <w:szCs w:val="24"/>
        </w:rPr>
      </w:pPr>
      <w:r w:rsidRPr="00F65DD7">
        <w:rPr>
          <w:rFonts w:cs="Arial"/>
          <w:szCs w:val="24"/>
        </w:rPr>
        <w:t>Con posterioridad a esa Providencia, la Sección Segunda, en sus dos Subsecciones, ha reiterado la tesis de la Corporación</w:t>
      </w:r>
      <w:r w:rsidRPr="00F65DD7">
        <w:rPr>
          <w:rFonts w:cs="Arial"/>
          <w:szCs w:val="24"/>
          <w:vertAlign w:val="superscript"/>
          <w:lang w:val="es-MX"/>
        </w:rPr>
        <w:footnoteReference w:id="22"/>
      </w:r>
      <w:r w:rsidRPr="00F65DD7">
        <w:rPr>
          <w:rFonts w:cs="Arial"/>
          <w:szCs w:val="24"/>
        </w:rPr>
        <w:t>, por lo que no hay duda, entonces, sobre el alcance que, actuando como Tribunal Supremo de lo Contencioso Administrativo, se le ha dado a la figura en comento.</w:t>
      </w:r>
    </w:p>
    <w:p w:rsidR="001A15B4" w:rsidRPr="00F65DD7" w:rsidRDefault="001A15B4" w:rsidP="001A15B4">
      <w:pPr>
        <w:pStyle w:val="Textoindependiente210"/>
        <w:rPr>
          <w:rFonts w:cs="Arial"/>
          <w:szCs w:val="24"/>
        </w:rPr>
      </w:pPr>
    </w:p>
    <w:p w:rsidR="001A15B4" w:rsidRPr="00F65DD7" w:rsidRDefault="001A15B4" w:rsidP="001A15B4">
      <w:pPr>
        <w:pStyle w:val="Textoindependiente210"/>
        <w:rPr>
          <w:rFonts w:cs="Arial"/>
          <w:szCs w:val="24"/>
        </w:rPr>
      </w:pPr>
      <w:r w:rsidRPr="00F65DD7">
        <w:rPr>
          <w:rFonts w:cs="Arial"/>
          <w:szCs w:val="24"/>
        </w:rPr>
        <w:t xml:space="preserve">Ahora bien, para la Sala resulta necesario precisar que la doctrina ha establecido varios tipos de providencias judiciales entre los que se encuentran las de carácter </w:t>
      </w:r>
      <w:r w:rsidRPr="00F65DD7">
        <w:rPr>
          <w:rFonts w:cs="Arial"/>
          <w:szCs w:val="24"/>
        </w:rPr>
        <w:lastRenderedPageBreak/>
        <w:t>constitutivo, denominadas de esta manera debido a que crean una nueva situación jurídica, ya sea sustituyendo la anterior o modificándola, de manera que aquella tiene efectos a futuro.</w:t>
      </w:r>
    </w:p>
    <w:p w:rsidR="001A15B4" w:rsidRPr="00F65DD7" w:rsidRDefault="001A15B4" w:rsidP="001A15B4">
      <w:pPr>
        <w:pStyle w:val="Textoindependiente210"/>
        <w:rPr>
          <w:rFonts w:cs="Arial"/>
          <w:szCs w:val="24"/>
        </w:rPr>
      </w:pPr>
    </w:p>
    <w:p w:rsidR="001A15B4" w:rsidRPr="00F65DD7" w:rsidRDefault="001A15B4" w:rsidP="001A15B4">
      <w:pPr>
        <w:pStyle w:val="Textoindependiente210"/>
        <w:rPr>
          <w:rFonts w:cs="Arial"/>
          <w:iCs/>
          <w:szCs w:val="24"/>
        </w:rPr>
      </w:pPr>
      <w:r w:rsidRPr="00F65DD7">
        <w:rPr>
          <w:rFonts w:cs="Arial"/>
          <w:szCs w:val="24"/>
        </w:rPr>
        <w:t>Así, en el caso de la referida sentencia de unificación de 19 de febrero de 2009 se aplicó la tesis de la sentencia constitutiva con el fin de establecer que</w:t>
      </w:r>
      <w:r w:rsidRPr="00F65DD7">
        <w:rPr>
          <w:rFonts w:cs="Arial"/>
          <w:iCs/>
          <w:szCs w:val="24"/>
        </w:rPr>
        <w:t xml:space="preserve"> la existencia de la obligación emanada del vínculo de trabajo y los derechos que, en el mismo fallo que estudia esta situación, son determinados y definidos no eran exigibles al momento de la presentación del simple reclamo ante la Entidad por no existir para ese momento, sino que nacen a partir de la sentencia que los constituyó y, en consecuencia, su exigibilidad solo es posible desde su ejecutoria.</w:t>
      </w:r>
    </w:p>
    <w:p w:rsidR="001A15B4" w:rsidRPr="00F65DD7" w:rsidRDefault="001A15B4" w:rsidP="001A15B4">
      <w:pPr>
        <w:spacing w:line="360" w:lineRule="auto"/>
        <w:jc w:val="both"/>
        <w:rPr>
          <w:rFonts w:ascii="Arial" w:eastAsia="Calibri" w:hAnsi="Arial" w:cs="Arial"/>
          <w:b/>
          <w:sz w:val="24"/>
          <w:szCs w:val="24"/>
          <w:u w:val="single"/>
        </w:rPr>
      </w:pPr>
    </w:p>
    <w:p w:rsidR="001A15B4" w:rsidRPr="00F65DD7" w:rsidRDefault="001A15B4" w:rsidP="001A15B4">
      <w:pPr>
        <w:pStyle w:val="Textoindependiente210"/>
        <w:rPr>
          <w:rFonts w:cs="Arial"/>
          <w:szCs w:val="24"/>
        </w:rPr>
      </w:pPr>
      <w:r w:rsidRPr="00F65DD7">
        <w:rPr>
          <w:rFonts w:cs="Arial"/>
          <w:szCs w:val="24"/>
        </w:rPr>
        <w:t>No obstante, considera la Sala necesario aclarar que en aquella oportunidad, es decir en el asunto en el que la Sala Plena de la Sección Segunda del Consejo de Estado fijó la tesis de la sentencia constitutiva de derechos en los asuntos en los que se debate la existencia de un contrato realidad, no se trató el punto en concreto de la obligación que tienen los interesados de hacer el reclamo ante la administración dentro de un plazo razonable, ósea el determinado por la Ley,  como en reiteradas ocasiones lo ha considerado esta Corporación.</w:t>
      </w:r>
    </w:p>
    <w:p w:rsidR="001A15B4" w:rsidRPr="00F65DD7" w:rsidRDefault="001A15B4" w:rsidP="001A15B4">
      <w:pPr>
        <w:jc w:val="both"/>
        <w:rPr>
          <w:rFonts w:ascii="Arial" w:eastAsia="Calibri" w:hAnsi="Arial" w:cs="Arial"/>
          <w:b/>
          <w:sz w:val="24"/>
          <w:szCs w:val="24"/>
          <w:u w:val="single"/>
        </w:rPr>
      </w:pPr>
    </w:p>
    <w:p w:rsidR="001A15B4" w:rsidRPr="00F65DD7" w:rsidRDefault="001A15B4" w:rsidP="001A15B4">
      <w:pPr>
        <w:spacing w:line="360" w:lineRule="auto"/>
        <w:jc w:val="both"/>
        <w:rPr>
          <w:rFonts w:ascii="Arial" w:hAnsi="Arial" w:cs="Arial"/>
          <w:sz w:val="24"/>
          <w:szCs w:val="24"/>
          <w:shd w:val="clear" w:color="auto" w:fill="FFFFFF"/>
        </w:rPr>
      </w:pPr>
      <w:r w:rsidRPr="00F65DD7">
        <w:rPr>
          <w:rFonts w:ascii="Arial" w:hAnsi="Arial" w:cs="Arial"/>
          <w:sz w:val="24"/>
          <w:szCs w:val="24"/>
          <w:shd w:val="clear" w:color="auto" w:fill="FFFFFF"/>
        </w:rPr>
        <w:t>Al respecto, en un asunto con contornos fácticos y jurídicos similares al presente, la subsección A - sección segunda de esta Corporación, con ponencia del Dr. Alfonso Vargas Rincón, acción de tutela No. 2013-1662-00</w:t>
      </w:r>
      <w:r w:rsidRPr="00F65DD7">
        <w:rPr>
          <w:rStyle w:val="Refdenotaalpie"/>
          <w:rFonts w:ascii="Arial" w:hAnsi="Arial" w:cs="Arial"/>
          <w:sz w:val="24"/>
          <w:szCs w:val="24"/>
          <w:shd w:val="clear" w:color="auto" w:fill="FFFFFF"/>
        </w:rPr>
        <w:footnoteReference w:id="23"/>
      </w:r>
      <w:r w:rsidRPr="00F65DD7">
        <w:rPr>
          <w:rFonts w:ascii="Arial" w:hAnsi="Arial" w:cs="Arial"/>
          <w:sz w:val="24"/>
          <w:szCs w:val="24"/>
          <w:shd w:val="clear" w:color="auto" w:fill="FFFFFF"/>
        </w:rPr>
        <w:t>, manifestó que:</w:t>
      </w:r>
    </w:p>
    <w:p w:rsidR="001A15B4" w:rsidRPr="00F65DD7" w:rsidRDefault="001A15B4" w:rsidP="000F35D5">
      <w:pPr>
        <w:tabs>
          <w:tab w:val="left" w:pos="7230"/>
        </w:tabs>
        <w:spacing w:line="360" w:lineRule="auto"/>
        <w:ind w:left="567"/>
        <w:jc w:val="both"/>
        <w:rPr>
          <w:rFonts w:ascii="Arial" w:hAnsi="Arial" w:cs="Arial"/>
          <w:sz w:val="24"/>
          <w:szCs w:val="24"/>
          <w:shd w:val="clear" w:color="auto" w:fill="FFFFFF"/>
        </w:rPr>
      </w:pPr>
    </w:p>
    <w:p w:rsidR="001A15B4" w:rsidRPr="00F65DD7" w:rsidRDefault="001A15B4" w:rsidP="000F35D5">
      <w:pPr>
        <w:tabs>
          <w:tab w:val="left" w:pos="7230"/>
        </w:tabs>
        <w:ind w:left="567"/>
        <w:jc w:val="both"/>
        <w:rPr>
          <w:rFonts w:ascii="Arial" w:eastAsia="Arial Unicode MS" w:hAnsi="Arial" w:cs="Arial"/>
          <w:sz w:val="24"/>
          <w:szCs w:val="24"/>
        </w:rPr>
      </w:pPr>
      <w:r w:rsidRPr="00F65DD7">
        <w:rPr>
          <w:rFonts w:ascii="Arial" w:hAnsi="Arial" w:cs="Arial"/>
          <w:sz w:val="24"/>
          <w:szCs w:val="24"/>
          <w:shd w:val="clear" w:color="auto" w:fill="FFFFFF"/>
        </w:rPr>
        <w:t xml:space="preserve">«[…] </w:t>
      </w:r>
      <w:r w:rsidRPr="00F65DD7">
        <w:rPr>
          <w:rFonts w:ascii="Arial" w:eastAsia="Arial Unicode MS" w:hAnsi="Arial" w:cs="Arial"/>
          <w:sz w:val="24"/>
          <w:szCs w:val="24"/>
        </w:rPr>
        <w:t>El Tribunal Administrativo del Chocó, declaró de oficio la prescripción de las prestaciones sociales reclamadas por la actora derivada del contrato de prestación de servicios, con fundamento en lo establecido en el artículo 102 del Decreto 1848 de 1969, y consideró que no era procedente aplicar la Jurisprudencia del Consejo de Estado ya referida, bajo el argumento que la misma no era aplicable al caso de la demandante, por cuanto la reclamación que hizo al ente Universitario se efectúo 14 años después de fenecido el vínculo contractual, es decir, en forma extemporánea de tal forma que no tuvo la virtualidad de suspender el término de prescripción.</w:t>
      </w:r>
    </w:p>
    <w:p w:rsidR="001A15B4" w:rsidRPr="00F65DD7" w:rsidRDefault="001A15B4" w:rsidP="000F35D5">
      <w:pPr>
        <w:pStyle w:val="Textoindependiente"/>
        <w:spacing w:line="240" w:lineRule="auto"/>
        <w:ind w:left="567"/>
        <w:rPr>
          <w:rFonts w:cs="Arial"/>
          <w:bCs/>
          <w:szCs w:val="24"/>
        </w:rPr>
      </w:pPr>
    </w:p>
    <w:p w:rsidR="001A15B4" w:rsidRPr="00F65DD7" w:rsidRDefault="001A15B4" w:rsidP="000F35D5">
      <w:pPr>
        <w:pStyle w:val="Textoindependiente"/>
        <w:spacing w:line="240" w:lineRule="auto"/>
        <w:ind w:left="567"/>
        <w:rPr>
          <w:rFonts w:cs="Arial"/>
          <w:szCs w:val="24"/>
          <w:lang w:val="es-ES_tradnl"/>
        </w:rPr>
      </w:pPr>
      <w:r w:rsidRPr="00F65DD7">
        <w:rPr>
          <w:rFonts w:cs="Arial"/>
          <w:bCs/>
          <w:szCs w:val="24"/>
        </w:rPr>
        <w:t xml:space="preserve">La Sala negará el amparo impetrado, pues si bien ha sido reiterada la jurisprudencia en el sentido señalado por la parte actora, lo cierto es que la misma se ha aplicado a situaciones en que los interesados han reclamado ante </w:t>
      </w:r>
      <w:r w:rsidRPr="00F65DD7">
        <w:rPr>
          <w:rFonts w:cs="Arial"/>
          <w:bCs/>
          <w:szCs w:val="24"/>
        </w:rPr>
        <w:lastRenderedPageBreak/>
        <w:t>la administración dentro de los 3 años siguientes a la terminación del contrato de prestación de servicios suscrito.</w:t>
      </w:r>
    </w:p>
    <w:p w:rsidR="001A15B4" w:rsidRPr="00F65DD7" w:rsidRDefault="001A15B4" w:rsidP="000F35D5">
      <w:pPr>
        <w:pStyle w:val="Textoindependiente"/>
        <w:spacing w:line="240" w:lineRule="auto"/>
        <w:ind w:left="567"/>
        <w:rPr>
          <w:rFonts w:cs="Arial"/>
          <w:szCs w:val="24"/>
          <w:lang w:val="es-ES_tradnl"/>
        </w:rPr>
      </w:pPr>
    </w:p>
    <w:p w:rsidR="001A15B4" w:rsidRPr="00F65DD7" w:rsidRDefault="001A15B4" w:rsidP="000F35D5">
      <w:pPr>
        <w:pStyle w:val="Textoindependiente"/>
        <w:spacing w:line="240" w:lineRule="auto"/>
        <w:ind w:left="567"/>
        <w:rPr>
          <w:rFonts w:cs="Arial"/>
          <w:szCs w:val="24"/>
          <w:lang w:val="es-ES_tradnl"/>
        </w:rPr>
      </w:pPr>
      <w:r w:rsidRPr="00F65DD7">
        <w:rPr>
          <w:rFonts w:cs="Arial"/>
          <w:szCs w:val="24"/>
          <w:lang w:val="es-ES_tradnl"/>
        </w:rPr>
        <w:t>En esta oportunidad, la interesada sólo acudió a reclamar ante el ente demandado, como lo dijo el Tribunal en su sentencia y no es objeto de discusión en la presente acción, con anterioridad al 3 de junio de 2011, lo que equivale a más de 15 años, si se tiene en cuenta que su vínculo, según lo afirma en la demanda terminó el 31 de diciembre de 1994.</w:t>
      </w:r>
    </w:p>
    <w:p w:rsidR="001A15B4" w:rsidRPr="00F65DD7" w:rsidRDefault="001A15B4" w:rsidP="000F35D5">
      <w:pPr>
        <w:pStyle w:val="Textoindependiente"/>
        <w:spacing w:line="240" w:lineRule="auto"/>
        <w:ind w:left="567"/>
        <w:rPr>
          <w:rFonts w:cs="Arial"/>
          <w:szCs w:val="24"/>
          <w:shd w:val="clear" w:color="auto" w:fill="FFFFFF"/>
          <w:lang w:val="es-CO"/>
        </w:rPr>
      </w:pPr>
      <w:r w:rsidRPr="00F65DD7">
        <w:rPr>
          <w:rFonts w:cs="Arial"/>
          <w:szCs w:val="24"/>
          <w:shd w:val="clear" w:color="auto" w:fill="FFFFFF"/>
        </w:rPr>
        <w:t xml:space="preserve">[…] </w:t>
      </w:r>
    </w:p>
    <w:p w:rsidR="001A15B4" w:rsidRPr="00F65DD7" w:rsidRDefault="001A15B4" w:rsidP="000F35D5">
      <w:pPr>
        <w:pStyle w:val="Textoindependiente"/>
        <w:spacing w:line="240" w:lineRule="auto"/>
        <w:ind w:left="567"/>
        <w:rPr>
          <w:rFonts w:cs="Arial"/>
          <w:szCs w:val="24"/>
          <w:shd w:val="clear" w:color="auto" w:fill="FFFFFF"/>
          <w:lang w:val="es-CO"/>
        </w:rPr>
      </w:pPr>
    </w:p>
    <w:p w:rsidR="001A15B4" w:rsidRPr="00F65DD7" w:rsidRDefault="001A15B4" w:rsidP="000F35D5">
      <w:pPr>
        <w:pStyle w:val="Textoindependiente"/>
        <w:spacing w:line="240" w:lineRule="auto"/>
        <w:ind w:left="567"/>
        <w:rPr>
          <w:rFonts w:cs="Arial"/>
          <w:szCs w:val="24"/>
          <w:u w:val="single"/>
          <w:lang w:val="es-MX"/>
        </w:rPr>
      </w:pPr>
      <w:r w:rsidRPr="00F65DD7">
        <w:rPr>
          <w:rFonts w:cs="Arial"/>
          <w:szCs w:val="24"/>
          <w:lang w:val="es-MX"/>
        </w:rPr>
        <w:t xml:space="preserve">Esta Corporación ha accedido al restablecimiento del derecho en los casos citados, bajo el presupuesto de que la parte actora ha cumplido con lo establecido en el artículo 102 del decreto 1848 de 1969, es decir, ha reclamado </w:t>
      </w:r>
      <w:r w:rsidRPr="00F65DD7">
        <w:rPr>
          <w:rFonts w:cs="Arial"/>
          <w:szCs w:val="24"/>
          <w:u w:val="single"/>
          <w:lang w:val="es-MX"/>
        </w:rPr>
        <w:t>ante la entidad, máximo dentro de los 3 años siguientes a su retiro y luego ha acudido en término ante esta jurisdicción.</w:t>
      </w:r>
    </w:p>
    <w:p w:rsidR="001A15B4" w:rsidRPr="00F65DD7" w:rsidRDefault="001A15B4" w:rsidP="001A15B4">
      <w:pPr>
        <w:pStyle w:val="Textoindependiente"/>
        <w:spacing w:line="240" w:lineRule="auto"/>
        <w:ind w:left="567" w:right="527"/>
        <w:rPr>
          <w:rFonts w:cs="Arial"/>
          <w:szCs w:val="24"/>
          <w:lang w:val="es-MX"/>
        </w:rPr>
      </w:pPr>
    </w:p>
    <w:p w:rsidR="001A15B4" w:rsidRPr="00F65DD7" w:rsidRDefault="001A15B4" w:rsidP="000F35D5">
      <w:pPr>
        <w:pStyle w:val="Textoindependiente"/>
        <w:spacing w:line="240" w:lineRule="auto"/>
        <w:ind w:left="567" w:right="51"/>
        <w:rPr>
          <w:rFonts w:cs="Arial"/>
          <w:szCs w:val="24"/>
          <w:lang w:val="es-MX"/>
        </w:rPr>
      </w:pPr>
      <w:r w:rsidRPr="00F65DD7">
        <w:rPr>
          <w:rFonts w:cs="Arial"/>
          <w:szCs w:val="24"/>
          <w:lang w:val="es-MX"/>
        </w:rPr>
        <w:t>El anterior fue el criterio que aplicó el Tribunal, el cual estima la Sala no solo es razonable sino legal y se encuentra dentro del margen de su autonomía […].»</w:t>
      </w:r>
    </w:p>
    <w:p w:rsidR="001A15B4" w:rsidRPr="00F65DD7" w:rsidRDefault="001A15B4" w:rsidP="001A15B4">
      <w:pPr>
        <w:spacing w:line="360" w:lineRule="auto"/>
        <w:jc w:val="both"/>
        <w:rPr>
          <w:rFonts w:ascii="Arial" w:eastAsia="Calibri" w:hAnsi="Arial" w:cs="Arial"/>
          <w:b/>
          <w:sz w:val="24"/>
          <w:szCs w:val="24"/>
          <w:u w:val="single"/>
        </w:rPr>
      </w:pPr>
    </w:p>
    <w:p w:rsidR="001A15B4" w:rsidRPr="00F65DD7" w:rsidRDefault="001A15B4" w:rsidP="001A15B4">
      <w:pPr>
        <w:spacing w:line="360" w:lineRule="auto"/>
        <w:jc w:val="both"/>
        <w:rPr>
          <w:rFonts w:ascii="Arial" w:hAnsi="Arial" w:cs="Arial"/>
          <w:sz w:val="24"/>
          <w:szCs w:val="24"/>
          <w:shd w:val="clear" w:color="auto" w:fill="FFFFFF"/>
        </w:rPr>
      </w:pPr>
      <w:r w:rsidRPr="00F65DD7">
        <w:rPr>
          <w:rFonts w:ascii="Arial" w:hAnsi="Arial" w:cs="Arial"/>
          <w:color w:val="000000"/>
          <w:sz w:val="24"/>
          <w:szCs w:val="24"/>
        </w:rPr>
        <w:t xml:space="preserve">También, en un caso con idénticos supuestos, ésta subsección corrigió su posición para aclarar que, si bien en un asunto anterior accedió al amparo para que la autoridad judicial accionada revisara su decisión respecto a la tesis de la naturaleza constitutiva de la decisión judicial que declara la existencia de un contrato realidad, sostenida por la sección segunda del Consejo de Estado, </w:t>
      </w:r>
      <w:r w:rsidRPr="00F65DD7">
        <w:rPr>
          <w:rFonts w:ascii="Arial" w:hAnsi="Arial" w:cs="Arial"/>
          <w:b/>
          <w:color w:val="000000"/>
          <w:sz w:val="24"/>
          <w:szCs w:val="24"/>
        </w:rPr>
        <w:t xml:space="preserve">no se podía desconocer la carga </w:t>
      </w:r>
      <w:r w:rsidRPr="00F65DD7">
        <w:rPr>
          <w:rFonts w:ascii="Arial" w:hAnsi="Arial" w:cs="Arial"/>
          <w:b/>
          <w:sz w:val="24"/>
          <w:szCs w:val="24"/>
          <w:shd w:val="clear" w:color="auto" w:fill="FFFFFF"/>
        </w:rPr>
        <w:t>que tienen los interesados de reclamar la aplicación del principio de la primacía de la realidad sobre las formas</w:t>
      </w:r>
      <w:r w:rsidRPr="00F65DD7">
        <w:rPr>
          <w:rFonts w:ascii="Arial" w:hAnsi="Arial" w:cs="Arial"/>
          <w:sz w:val="24"/>
          <w:szCs w:val="24"/>
          <w:shd w:val="clear" w:color="auto" w:fill="FFFFFF"/>
        </w:rPr>
        <w:t xml:space="preserve"> con diligencia y observando los términos de caducidad y prescripción</w:t>
      </w:r>
      <w:r w:rsidRPr="00F65DD7">
        <w:rPr>
          <w:rStyle w:val="Refdenotaalpie"/>
          <w:rFonts w:ascii="Arial" w:hAnsi="Arial" w:cs="Arial"/>
          <w:sz w:val="24"/>
          <w:szCs w:val="24"/>
          <w:shd w:val="clear" w:color="auto" w:fill="FFFFFF"/>
        </w:rPr>
        <w:footnoteReference w:id="24"/>
      </w:r>
      <w:r w:rsidRPr="00F65DD7">
        <w:rPr>
          <w:rFonts w:ascii="Arial" w:hAnsi="Arial" w:cs="Arial"/>
          <w:sz w:val="24"/>
          <w:szCs w:val="24"/>
          <w:shd w:val="clear" w:color="auto" w:fill="FFFFFF"/>
        </w:rPr>
        <w:t>. Así, en la sentencia de 22 de octubre de 2013 con ponencia de la Magistrada. Bertha Lucía Ramírez de Páez (E)</w:t>
      </w:r>
      <w:r w:rsidRPr="00F65DD7">
        <w:rPr>
          <w:rStyle w:val="Refdenotaalpie"/>
          <w:rFonts w:ascii="Arial" w:hAnsi="Arial" w:cs="Arial"/>
          <w:sz w:val="24"/>
          <w:szCs w:val="24"/>
          <w:shd w:val="clear" w:color="auto" w:fill="FFFFFF"/>
        </w:rPr>
        <w:footnoteReference w:id="25"/>
      </w:r>
      <w:r w:rsidRPr="00F65DD7">
        <w:rPr>
          <w:rFonts w:ascii="Arial" w:hAnsi="Arial" w:cs="Arial"/>
          <w:sz w:val="24"/>
          <w:szCs w:val="24"/>
          <w:shd w:val="clear" w:color="auto" w:fill="FFFFFF"/>
        </w:rPr>
        <w:t>, se dijo:</w:t>
      </w:r>
    </w:p>
    <w:p w:rsidR="001A15B4" w:rsidRPr="00F65DD7" w:rsidRDefault="001A15B4" w:rsidP="001A15B4">
      <w:pPr>
        <w:spacing w:line="360" w:lineRule="auto"/>
        <w:ind w:left="567"/>
        <w:jc w:val="both"/>
        <w:rPr>
          <w:rFonts w:ascii="Arial" w:hAnsi="Arial" w:cs="Arial"/>
          <w:iCs/>
          <w:sz w:val="24"/>
          <w:szCs w:val="24"/>
        </w:rPr>
      </w:pPr>
    </w:p>
    <w:p w:rsidR="001A15B4" w:rsidRPr="00F65DD7" w:rsidRDefault="001A15B4" w:rsidP="000F35D5">
      <w:pPr>
        <w:ind w:left="567" w:right="51"/>
        <w:jc w:val="both"/>
        <w:rPr>
          <w:rFonts w:ascii="Arial" w:hAnsi="Arial" w:cs="Arial"/>
          <w:iCs/>
          <w:sz w:val="24"/>
          <w:szCs w:val="24"/>
        </w:rPr>
      </w:pPr>
      <w:r w:rsidRPr="00F65DD7">
        <w:rPr>
          <w:rFonts w:ascii="Arial" w:hAnsi="Arial" w:cs="Arial"/>
          <w:iCs/>
          <w:sz w:val="24"/>
          <w:szCs w:val="24"/>
        </w:rPr>
        <w:t>«(…) Finalmente, aunque en una acción de tutela en la que se discutía la aplicación del precedente jurisprudencial analizado en esta providencia se accedió a las súplicas de la demanda</w:t>
      </w:r>
      <w:r w:rsidRPr="00F65DD7">
        <w:rPr>
          <w:rStyle w:val="Refdenotaalpie"/>
          <w:rFonts w:ascii="Arial" w:hAnsi="Arial" w:cs="Arial"/>
          <w:iCs/>
          <w:sz w:val="24"/>
          <w:szCs w:val="24"/>
        </w:rPr>
        <w:footnoteReference w:id="26"/>
      </w:r>
      <w:r w:rsidRPr="00F65DD7">
        <w:rPr>
          <w:rFonts w:ascii="Arial" w:hAnsi="Arial" w:cs="Arial"/>
          <w:iCs/>
          <w:sz w:val="24"/>
          <w:szCs w:val="24"/>
        </w:rPr>
        <w:t xml:space="preserve">, con el objeto de que el Tribunal Administrativo de Norte de Santander revisara su decisión al amparo de la tesis sostenida por el Consejo de Estado - Sección Segunda sobre la naturaleza constitutiva de la Sentencia que declara la existencia de un contrato realidad, debe advertirse que efectuada una revisión en el marco del caso en concreto, no hay lugar a seguir esa tesis, sino, por el contrario, a negar las súplicas de la acción, porque los accionantes no cumplieron con lo establecido en el artículo 102 del Decreto 1848 de 1969, es decir haber reclamado a la Entidad máximo dentro de los 3 años siguientes a su retiro y luego acudir en término a la Jurisdicción de lo Contencioso Administrativo. (…).» </w:t>
      </w:r>
    </w:p>
    <w:p w:rsidR="001A15B4" w:rsidRPr="00F65DD7" w:rsidRDefault="001A15B4" w:rsidP="001A15B4">
      <w:pPr>
        <w:spacing w:line="360" w:lineRule="auto"/>
        <w:jc w:val="both"/>
        <w:rPr>
          <w:rFonts w:ascii="Arial" w:hAnsi="Arial" w:cs="Arial"/>
          <w:sz w:val="24"/>
          <w:szCs w:val="24"/>
          <w:shd w:val="clear" w:color="auto" w:fill="FFFFFF"/>
        </w:rPr>
      </w:pPr>
    </w:p>
    <w:p w:rsidR="001A15B4" w:rsidRPr="00F65DD7" w:rsidRDefault="001A15B4" w:rsidP="001A15B4">
      <w:pPr>
        <w:spacing w:line="360" w:lineRule="auto"/>
        <w:jc w:val="both"/>
        <w:rPr>
          <w:rFonts w:ascii="Arial" w:hAnsi="Arial" w:cs="Arial"/>
          <w:sz w:val="24"/>
          <w:szCs w:val="24"/>
          <w:shd w:val="clear" w:color="auto" w:fill="FFFFFF"/>
        </w:rPr>
      </w:pPr>
      <w:r w:rsidRPr="00F65DD7">
        <w:rPr>
          <w:rFonts w:ascii="Arial" w:hAnsi="Arial" w:cs="Arial"/>
          <w:sz w:val="24"/>
          <w:szCs w:val="24"/>
          <w:shd w:val="clear" w:color="auto" w:fill="FFFFFF"/>
        </w:rPr>
        <w:t>Posición que a la fecha ha mantenido esta Corporación, en los siguientes términos:</w:t>
      </w:r>
    </w:p>
    <w:p w:rsidR="001A15B4" w:rsidRPr="00F65DD7" w:rsidRDefault="001A15B4" w:rsidP="001A15B4">
      <w:pPr>
        <w:spacing w:line="360" w:lineRule="auto"/>
        <w:jc w:val="both"/>
        <w:rPr>
          <w:rFonts w:ascii="Arial" w:hAnsi="Arial" w:cs="Arial"/>
          <w:sz w:val="24"/>
          <w:szCs w:val="24"/>
          <w:shd w:val="clear" w:color="auto" w:fill="FFFFFF"/>
        </w:rPr>
      </w:pPr>
    </w:p>
    <w:p w:rsidR="001A15B4" w:rsidRPr="00F65DD7" w:rsidRDefault="001A15B4" w:rsidP="000F35D5">
      <w:pPr>
        <w:ind w:left="567" w:right="51"/>
        <w:jc w:val="both"/>
        <w:rPr>
          <w:rFonts w:ascii="Arial" w:hAnsi="Arial" w:cs="Arial"/>
          <w:sz w:val="24"/>
          <w:szCs w:val="24"/>
          <w:shd w:val="clear" w:color="auto" w:fill="FFFFFF"/>
        </w:rPr>
      </w:pPr>
      <w:r w:rsidRPr="00F65DD7">
        <w:rPr>
          <w:rFonts w:ascii="Arial" w:hAnsi="Arial" w:cs="Arial"/>
          <w:sz w:val="24"/>
          <w:szCs w:val="24"/>
          <w:shd w:val="clear" w:color="auto" w:fill="FFFFFF"/>
        </w:rPr>
        <w:t>«(…) En consecuencia, debe reiterarse que si bien la sentencia que define asuntos en los que se debate la existencia de un contrato realidad tenga un carácter constitutivo y, en consecuencia, a partir de su declaración se comienzan a contar los términos de prescripción de los derechos y prestaciones derivados de la relación laboral, esto no faculta al interesado reclamar ante la administración la aplicación del principio de la primacía de la realidad sobre las formas en cualquier momento (…)».</w:t>
      </w:r>
      <w:r w:rsidRPr="00F65DD7">
        <w:rPr>
          <w:rStyle w:val="Refdenotaalpie"/>
          <w:rFonts w:ascii="Arial" w:hAnsi="Arial" w:cs="Arial"/>
          <w:sz w:val="24"/>
          <w:szCs w:val="24"/>
          <w:shd w:val="clear" w:color="auto" w:fill="FFFFFF"/>
        </w:rPr>
        <w:footnoteReference w:id="27"/>
      </w:r>
    </w:p>
    <w:p w:rsidR="001A15B4" w:rsidRPr="00F65DD7" w:rsidRDefault="001A15B4" w:rsidP="001A15B4">
      <w:pPr>
        <w:spacing w:line="360" w:lineRule="auto"/>
        <w:jc w:val="both"/>
        <w:rPr>
          <w:rFonts w:ascii="Arial" w:eastAsia="Calibri" w:hAnsi="Arial" w:cs="Arial"/>
          <w:b/>
          <w:sz w:val="24"/>
          <w:szCs w:val="24"/>
          <w:u w:val="single"/>
        </w:rPr>
      </w:pPr>
    </w:p>
    <w:p w:rsidR="001A15B4" w:rsidRPr="00F65DD7" w:rsidRDefault="001A15B4" w:rsidP="001A15B4">
      <w:pPr>
        <w:spacing w:line="360" w:lineRule="auto"/>
        <w:jc w:val="both"/>
        <w:rPr>
          <w:rFonts w:ascii="Arial" w:eastAsia="Calibri" w:hAnsi="Arial" w:cs="Arial"/>
          <w:sz w:val="24"/>
          <w:szCs w:val="24"/>
        </w:rPr>
      </w:pPr>
      <w:r w:rsidRPr="00F65DD7">
        <w:rPr>
          <w:rFonts w:ascii="Arial" w:eastAsia="Calibri" w:hAnsi="Arial" w:cs="Arial"/>
          <w:sz w:val="24"/>
          <w:szCs w:val="24"/>
        </w:rPr>
        <w:t>En casos análogos, la Sala ha hecho claridad frente a la interpretación de la sentencia proferida por la Sección Segunda de la Corporación de 19 de febrero de 2009, en los siguientes términos:</w:t>
      </w:r>
    </w:p>
    <w:p w:rsidR="001A15B4" w:rsidRPr="00F65DD7" w:rsidRDefault="001A15B4" w:rsidP="001A15B4">
      <w:pPr>
        <w:spacing w:line="360" w:lineRule="auto"/>
        <w:ind w:left="567"/>
        <w:jc w:val="both"/>
        <w:rPr>
          <w:rFonts w:ascii="Arial" w:eastAsia="Calibri" w:hAnsi="Arial" w:cs="Arial"/>
          <w:sz w:val="24"/>
          <w:szCs w:val="24"/>
        </w:rPr>
      </w:pPr>
    </w:p>
    <w:p w:rsidR="001A15B4" w:rsidRPr="00F65DD7" w:rsidRDefault="00396F7C" w:rsidP="000F35D5">
      <w:pPr>
        <w:ind w:left="567" w:right="51"/>
        <w:jc w:val="both"/>
        <w:rPr>
          <w:rFonts w:ascii="Arial" w:hAnsi="Arial" w:cs="Arial"/>
          <w:sz w:val="24"/>
          <w:szCs w:val="24"/>
          <w:lang w:val="es-ES_tradnl"/>
        </w:rPr>
      </w:pPr>
      <w:r w:rsidRPr="00F65DD7">
        <w:rPr>
          <w:rFonts w:ascii="Arial" w:hAnsi="Arial" w:cs="Arial"/>
          <w:sz w:val="24"/>
          <w:szCs w:val="24"/>
          <w:lang w:val="es-ES_tradnl"/>
        </w:rPr>
        <w:t>«</w:t>
      </w:r>
      <w:r w:rsidR="001A15B4" w:rsidRPr="00F65DD7">
        <w:rPr>
          <w:rFonts w:ascii="Arial" w:hAnsi="Arial" w:cs="Arial"/>
          <w:sz w:val="24"/>
          <w:szCs w:val="24"/>
          <w:lang w:val="es-ES_tradnl"/>
        </w:rPr>
        <w:t>(…) En esos términos, la propia Sección Segunda precisó el alcance del precedente fijado en la sentencia del 19 de febrero de 2009, en el sentido de acceder al restablecimiento del derecho solo en los casos en que la parte demandante reclamó ante la administración “máximo dentro de los 3 años siguientes a su retiro y luego haya acudido en término ante esta jurisdicción”, interpretación que resulta razonable  en la medida que es injustificable la inactividad de los demandantes desinteresados que reclaman el pago de acreencias laborales muchos años después de</w:t>
      </w:r>
      <w:r w:rsidRPr="00F65DD7">
        <w:rPr>
          <w:rFonts w:ascii="Arial" w:hAnsi="Arial" w:cs="Arial"/>
          <w:sz w:val="24"/>
          <w:szCs w:val="24"/>
          <w:lang w:val="es-ES_tradnl"/>
        </w:rPr>
        <w:t xml:space="preserve"> que se han hecho exigibles (…).»</w:t>
      </w:r>
      <w:r w:rsidR="001A15B4" w:rsidRPr="00F65DD7">
        <w:rPr>
          <w:rStyle w:val="Refdenotaalpie"/>
          <w:rFonts w:ascii="Arial" w:hAnsi="Arial" w:cs="Arial"/>
          <w:sz w:val="24"/>
          <w:szCs w:val="24"/>
        </w:rPr>
        <w:footnoteReference w:id="28"/>
      </w:r>
    </w:p>
    <w:p w:rsidR="001A15B4" w:rsidRPr="00F65DD7" w:rsidRDefault="001A15B4" w:rsidP="001A15B4">
      <w:pPr>
        <w:spacing w:line="360" w:lineRule="auto"/>
        <w:jc w:val="both"/>
        <w:rPr>
          <w:rFonts w:ascii="Arial" w:eastAsia="Calibri" w:hAnsi="Arial" w:cs="Arial"/>
          <w:sz w:val="24"/>
          <w:szCs w:val="24"/>
          <w:lang w:val="es-ES_tradnl"/>
        </w:rPr>
      </w:pPr>
    </w:p>
    <w:p w:rsidR="001A15B4" w:rsidRPr="00F65DD7" w:rsidRDefault="001A15B4" w:rsidP="001A15B4">
      <w:pPr>
        <w:spacing w:line="360" w:lineRule="auto"/>
        <w:jc w:val="both"/>
        <w:rPr>
          <w:rFonts w:ascii="Arial" w:hAnsi="Arial" w:cs="Arial"/>
          <w:sz w:val="24"/>
          <w:szCs w:val="24"/>
          <w:shd w:val="clear" w:color="auto" w:fill="FFFFFF"/>
        </w:rPr>
      </w:pPr>
      <w:r w:rsidRPr="00F65DD7">
        <w:rPr>
          <w:rFonts w:ascii="Arial" w:hAnsi="Arial" w:cs="Arial"/>
          <w:sz w:val="24"/>
          <w:szCs w:val="24"/>
          <w:shd w:val="clear" w:color="auto" w:fill="FFFFFF"/>
        </w:rPr>
        <w:t>Así, en los casos discutidos por esta Corporación como Tribunal Supremo de lo Contencioso Administrativo en los cuales se ha aplicado la tesis de la</w:t>
      </w:r>
      <w:r w:rsidR="00396F7C" w:rsidRPr="00F65DD7">
        <w:rPr>
          <w:rFonts w:ascii="Arial" w:hAnsi="Arial" w:cs="Arial"/>
          <w:sz w:val="24"/>
          <w:szCs w:val="24"/>
          <w:shd w:val="clear" w:color="auto" w:fill="FFFFFF"/>
        </w:rPr>
        <w:t xml:space="preserve"> naturaleza constitutiva de la s</w:t>
      </w:r>
      <w:r w:rsidRPr="00F65DD7">
        <w:rPr>
          <w:rFonts w:ascii="Arial" w:hAnsi="Arial" w:cs="Arial"/>
          <w:sz w:val="24"/>
          <w:szCs w:val="24"/>
          <w:shd w:val="clear" w:color="auto" w:fill="FFFFFF"/>
        </w:rPr>
        <w:t xml:space="preserve">entencia, los interesados interpusieron la demanda dentro de los términos legales de caducidad de la acción y </w:t>
      </w:r>
      <w:r w:rsidRPr="00F65DD7">
        <w:rPr>
          <w:rFonts w:ascii="Arial" w:hAnsi="Arial" w:cs="Arial"/>
          <w:b/>
          <w:sz w:val="24"/>
          <w:szCs w:val="24"/>
          <w:shd w:val="clear" w:color="auto" w:fill="FFFFFF"/>
        </w:rPr>
        <w:t>prescripción del derecho al reconocimiento del contrato realidad</w:t>
      </w:r>
      <w:r w:rsidRPr="00F65DD7">
        <w:rPr>
          <w:rFonts w:ascii="Arial" w:hAnsi="Arial" w:cs="Arial"/>
          <w:sz w:val="24"/>
          <w:szCs w:val="24"/>
          <w:shd w:val="clear" w:color="auto" w:fill="FFFFFF"/>
        </w:rPr>
        <w:t>, presupuesto básico para que proceda, de darse los restantes elementos para ello, el pago de prestaciones y demás emolumentos.</w:t>
      </w:r>
    </w:p>
    <w:p w:rsidR="001A15B4" w:rsidRPr="00F65DD7" w:rsidRDefault="001A15B4" w:rsidP="001A15B4">
      <w:pPr>
        <w:spacing w:line="360" w:lineRule="auto"/>
        <w:jc w:val="both"/>
        <w:rPr>
          <w:rFonts w:ascii="Arial" w:hAnsi="Arial" w:cs="Arial"/>
          <w:sz w:val="24"/>
          <w:szCs w:val="24"/>
          <w:shd w:val="clear" w:color="auto" w:fill="FFFFFF"/>
        </w:rPr>
      </w:pPr>
    </w:p>
    <w:p w:rsidR="001A15B4" w:rsidRPr="00F65DD7" w:rsidRDefault="001A15B4" w:rsidP="001A15B4">
      <w:pPr>
        <w:spacing w:line="360" w:lineRule="auto"/>
        <w:jc w:val="both"/>
        <w:rPr>
          <w:rFonts w:ascii="Arial" w:hAnsi="Arial" w:cs="Arial"/>
          <w:sz w:val="24"/>
          <w:szCs w:val="24"/>
          <w:shd w:val="clear" w:color="auto" w:fill="FFFFFF"/>
        </w:rPr>
      </w:pPr>
      <w:r w:rsidRPr="00F65DD7">
        <w:rPr>
          <w:rFonts w:ascii="Arial" w:hAnsi="Arial" w:cs="Arial"/>
          <w:sz w:val="24"/>
          <w:szCs w:val="24"/>
          <w:shd w:val="clear" w:color="auto" w:fill="FFFFFF"/>
        </w:rPr>
        <w:t xml:space="preserve">En el mismo sentido, debe resaltarse que es diferente que con la declaración del contrato realidad sea dable reconocer los derechos y prestaciones derivados teniendo en cuenta que su prescripción se cuenta a partir de la emisión de la decisión, a que se exima al interesado de la obligación de reclamar la aplicación del principio de la primacía de la realidad sobre las formas con la diligencia que le exigen </w:t>
      </w:r>
      <w:r w:rsidRPr="00F65DD7">
        <w:rPr>
          <w:rFonts w:ascii="Arial" w:hAnsi="Arial" w:cs="Arial"/>
          <w:sz w:val="24"/>
          <w:szCs w:val="24"/>
          <w:shd w:val="clear" w:color="auto" w:fill="FFFFFF"/>
        </w:rPr>
        <w:lastRenderedPageBreak/>
        <w:t>las normas procedimentales, esto es, con sujeción a los términos de caducidad y prescripción una vez finalizado el vínculo contractual.</w:t>
      </w:r>
    </w:p>
    <w:p w:rsidR="00F65DD7" w:rsidRPr="00F65DD7" w:rsidRDefault="00F65DD7" w:rsidP="00E83331">
      <w:pPr>
        <w:pStyle w:val="Textonotapie"/>
        <w:spacing w:line="360" w:lineRule="auto"/>
        <w:jc w:val="both"/>
        <w:rPr>
          <w:rFonts w:ascii="Arial" w:hAnsi="Arial" w:cs="Arial"/>
          <w:sz w:val="24"/>
          <w:szCs w:val="24"/>
          <w:lang w:val="es-CO"/>
        </w:rPr>
      </w:pPr>
    </w:p>
    <w:p w:rsidR="002512CC" w:rsidRPr="00F65DD7" w:rsidRDefault="002512CC" w:rsidP="002512CC">
      <w:pPr>
        <w:spacing w:line="360" w:lineRule="auto"/>
        <w:jc w:val="both"/>
        <w:rPr>
          <w:rFonts w:ascii="Arial" w:hAnsi="Arial" w:cs="Arial"/>
          <w:b/>
          <w:iCs/>
          <w:sz w:val="24"/>
          <w:szCs w:val="24"/>
          <w:lang w:val="es-ES"/>
        </w:rPr>
      </w:pPr>
      <w:r w:rsidRPr="00F65DD7">
        <w:rPr>
          <w:rFonts w:ascii="Arial" w:hAnsi="Arial" w:cs="Arial"/>
          <w:b/>
          <w:iCs/>
          <w:sz w:val="24"/>
          <w:szCs w:val="24"/>
          <w:lang w:val="es-ES"/>
        </w:rPr>
        <w:t>De los supuestos acreditados y la decisión acusada.</w:t>
      </w:r>
    </w:p>
    <w:p w:rsidR="001A15B4" w:rsidRPr="00F65DD7" w:rsidRDefault="001A15B4" w:rsidP="001A15B4">
      <w:pPr>
        <w:spacing w:line="360" w:lineRule="auto"/>
        <w:jc w:val="both"/>
        <w:rPr>
          <w:rFonts w:ascii="Arial" w:eastAsia="Calibri" w:hAnsi="Arial" w:cs="Arial"/>
          <w:sz w:val="24"/>
          <w:szCs w:val="24"/>
        </w:rPr>
      </w:pPr>
    </w:p>
    <w:p w:rsidR="003C64C8" w:rsidRPr="00F65DD7" w:rsidRDefault="001A15B4" w:rsidP="003C64C8">
      <w:pPr>
        <w:overflowPunct/>
        <w:autoSpaceDE/>
        <w:autoSpaceDN/>
        <w:adjustRightInd/>
        <w:spacing w:line="360" w:lineRule="auto"/>
        <w:jc w:val="both"/>
        <w:textAlignment w:val="auto"/>
        <w:rPr>
          <w:rFonts w:ascii="Arial" w:hAnsi="Arial" w:cs="Arial"/>
          <w:sz w:val="24"/>
          <w:szCs w:val="24"/>
        </w:rPr>
      </w:pPr>
      <w:r w:rsidRPr="00F65DD7">
        <w:rPr>
          <w:rFonts w:ascii="Arial" w:eastAsia="Calibri" w:hAnsi="Arial" w:cs="Arial"/>
          <w:sz w:val="24"/>
          <w:szCs w:val="24"/>
        </w:rPr>
        <w:t xml:space="preserve">Acorde con el escrito de tutela y las pruebas allegadas al proceso, se tiene que la señora </w:t>
      </w:r>
      <w:r w:rsidR="003C64C8" w:rsidRPr="00F65DD7">
        <w:rPr>
          <w:rFonts w:ascii="Arial" w:hAnsi="Arial" w:cs="Arial"/>
          <w:sz w:val="24"/>
          <w:szCs w:val="24"/>
        </w:rPr>
        <w:t>Luz Marina Morales</w:t>
      </w:r>
      <w:r w:rsidR="00396F7C" w:rsidRPr="00F65DD7">
        <w:rPr>
          <w:rFonts w:ascii="Arial" w:eastAsia="Calibri" w:hAnsi="Arial" w:cs="Arial"/>
          <w:sz w:val="24"/>
          <w:szCs w:val="24"/>
        </w:rPr>
        <w:t xml:space="preserve"> </w:t>
      </w:r>
      <w:r w:rsidRPr="00F65DD7">
        <w:rPr>
          <w:rFonts w:ascii="Arial" w:eastAsia="Calibri" w:hAnsi="Arial" w:cs="Arial"/>
          <w:sz w:val="24"/>
          <w:szCs w:val="24"/>
        </w:rPr>
        <w:t>acudió a la interposición de la presente acción de tutela con el fin de que se de</w:t>
      </w:r>
      <w:r w:rsidR="00396F7C" w:rsidRPr="00F65DD7">
        <w:rPr>
          <w:rFonts w:ascii="Arial" w:eastAsia="Calibri" w:hAnsi="Arial" w:cs="Arial"/>
          <w:sz w:val="24"/>
          <w:szCs w:val="24"/>
        </w:rPr>
        <w:t>je sin efecto el auto</w:t>
      </w:r>
      <w:r w:rsidRPr="00F65DD7">
        <w:rPr>
          <w:rFonts w:ascii="Arial" w:eastAsia="Calibri" w:hAnsi="Arial" w:cs="Arial"/>
          <w:sz w:val="24"/>
          <w:szCs w:val="24"/>
        </w:rPr>
        <w:t xml:space="preserve"> </w:t>
      </w:r>
      <w:r w:rsidR="003C64C8" w:rsidRPr="00F65DD7">
        <w:rPr>
          <w:rFonts w:ascii="Arial" w:eastAsia="Calibri" w:hAnsi="Arial" w:cs="Arial"/>
          <w:sz w:val="24"/>
          <w:szCs w:val="24"/>
        </w:rPr>
        <w:t xml:space="preserve">de </w:t>
      </w:r>
      <w:r w:rsidR="003C64C8" w:rsidRPr="00F65DD7">
        <w:rPr>
          <w:rFonts w:ascii="Arial" w:hAnsi="Arial" w:cs="Arial"/>
          <w:sz w:val="24"/>
          <w:szCs w:val="24"/>
        </w:rPr>
        <w:t>17 de marzo de 2016</w:t>
      </w:r>
      <w:r w:rsidRPr="00F65DD7">
        <w:rPr>
          <w:rFonts w:ascii="Arial" w:eastAsia="Calibri" w:hAnsi="Arial" w:cs="Arial"/>
          <w:sz w:val="24"/>
          <w:szCs w:val="24"/>
        </w:rPr>
        <w:t>, a trav</w:t>
      </w:r>
      <w:r w:rsidR="003C64C8" w:rsidRPr="00F65DD7">
        <w:rPr>
          <w:rFonts w:ascii="Arial" w:eastAsia="Calibri" w:hAnsi="Arial" w:cs="Arial"/>
          <w:sz w:val="24"/>
          <w:szCs w:val="24"/>
        </w:rPr>
        <w:t>és de</w:t>
      </w:r>
      <w:r w:rsidRPr="00F65DD7">
        <w:rPr>
          <w:rFonts w:ascii="Arial" w:eastAsia="Calibri" w:hAnsi="Arial" w:cs="Arial"/>
          <w:sz w:val="24"/>
          <w:szCs w:val="24"/>
        </w:rPr>
        <w:t xml:space="preserve">l cual se confirmó </w:t>
      </w:r>
      <w:r w:rsidR="00396F7C" w:rsidRPr="00F65DD7">
        <w:rPr>
          <w:rFonts w:ascii="Arial" w:eastAsia="Calibri" w:hAnsi="Arial" w:cs="Arial"/>
          <w:sz w:val="24"/>
          <w:szCs w:val="24"/>
        </w:rPr>
        <w:t>el proveído</w:t>
      </w:r>
      <w:r w:rsidRPr="00F65DD7">
        <w:rPr>
          <w:rFonts w:ascii="Arial" w:eastAsia="Calibri" w:hAnsi="Arial" w:cs="Arial"/>
          <w:sz w:val="24"/>
          <w:szCs w:val="24"/>
        </w:rPr>
        <w:t xml:space="preserve"> de </w:t>
      </w:r>
      <w:r w:rsidR="003C64C8" w:rsidRPr="00F65DD7">
        <w:rPr>
          <w:rFonts w:ascii="Arial" w:hAnsi="Arial" w:cs="Arial"/>
          <w:sz w:val="24"/>
          <w:szCs w:val="24"/>
        </w:rPr>
        <w:t xml:space="preserve">14 de julio de 2015 </w:t>
      </w:r>
      <w:r w:rsidR="00396F7C" w:rsidRPr="00F65DD7">
        <w:rPr>
          <w:rFonts w:ascii="Arial" w:eastAsia="Calibri" w:hAnsi="Arial" w:cs="Arial"/>
          <w:sz w:val="24"/>
          <w:szCs w:val="24"/>
        </w:rPr>
        <w:t xml:space="preserve">proferido en audiencia inicial por </w:t>
      </w:r>
      <w:r w:rsidRPr="00F65DD7">
        <w:rPr>
          <w:rFonts w:ascii="Arial" w:eastAsia="Calibri" w:hAnsi="Arial" w:cs="Arial"/>
          <w:sz w:val="24"/>
          <w:szCs w:val="24"/>
        </w:rPr>
        <w:t>el</w:t>
      </w:r>
      <w:r w:rsidR="003C64C8" w:rsidRPr="00F65DD7">
        <w:rPr>
          <w:rFonts w:ascii="Arial" w:hAnsi="Arial" w:cs="Arial"/>
          <w:sz w:val="24"/>
          <w:szCs w:val="24"/>
        </w:rPr>
        <w:t xml:space="preserve"> Juzgado Veintitrés Administrativo de Oralidad de Bogotá</w:t>
      </w:r>
      <w:r w:rsidRPr="00F65DD7">
        <w:rPr>
          <w:rFonts w:ascii="Arial" w:eastAsia="Calibri" w:hAnsi="Arial" w:cs="Arial"/>
          <w:sz w:val="24"/>
          <w:szCs w:val="24"/>
        </w:rPr>
        <w:t xml:space="preserve">, que declaró </w:t>
      </w:r>
      <w:r w:rsidR="003C64C8" w:rsidRPr="00F65DD7">
        <w:rPr>
          <w:rFonts w:ascii="Arial" w:eastAsia="Calibri" w:hAnsi="Arial" w:cs="Arial"/>
          <w:sz w:val="24"/>
          <w:szCs w:val="24"/>
        </w:rPr>
        <w:t>probada</w:t>
      </w:r>
      <w:r w:rsidRPr="00F65DD7">
        <w:rPr>
          <w:rFonts w:ascii="Arial" w:eastAsia="Calibri" w:hAnsi="Arial" w:cs="Arial"/>
          <w:sz w:val="24"/>
          <w:szCs w:val="24"/>
        </w:rPr>
        <w:t xml:space="preserve"> la excepción de prescripción</w:t>
      </w:r>
      <w:r w:rsidR="00396F7C" w:rsidRPr="00F65DD7">
        <w:rPr>
          <w:rFonts w:ascii="Arial" w:eastAsia="Calibri" w:hAnsi="Arial" w:cs="Arial"/>
          <w:sz w:val="24"/>
          <w:szCs w:val="24"/>
        </w:rPr>
        <w:t xml:space="preserve"> extintiva</w:t>
      </w:r>
      <w:r w:rsidRPr="00F65DD7">
        <w:rPr>
          <w:rFonts w:ascii="Arial" w:eastAsia="Calibri" w:hAnsi="Arial" w:cs="Arial"/>
          <w:i/>
          <w:sz w:val="24"/>
          <w:szCs w:val="24"/>
        </w:rPr>
        <w:t xml:space="preserve"> </w:t>
      </w:r>
      <w:r w:rsidRPr="00F65DD7">
        <w:rPr>
          <w:rFonts w:ascii="Arial" w:eastAsia="Calibri" w:hAnsi="Arial" w:cs="Arial"/>
          <w:sz w:val="24"/>
          <w:szCs w:val="24"/>
        </w:rPr>
        <w:t>y</w:t>
      </w:r>
      <w:r w:rsidR="00396F7C" w:rsidRPr="00F65DD7">
        <w:rPr>
          <w:rFonts w:ascii="Arial" w:eastAsia="Calibri" w:hAnsi="Arial" w:cs="Arial"/>
          <w:sz w:val="24"/>
          <w:szCs w:val="24"/>
        </w:rPr>
        <w:t>,</w:t>
      </w:r>
      <w:r w:rsidRPr="00F65DD7">
        <w:rPr>
          <w:rFonts w:ascii="Arial" w:eastAsia="Calibri" w:hAnsi="Arial" w:cs="Arial"/>
          <w:sz w:val="24"/>
          <w:szCs w:val="24"/>
        </w:rPr>
        <w:t xml:space="preserve"> </w:t>
      </w:r>
      <w:r w:rsidR="00396F7C" w:rsidRPr="00F65DD7">
        <w:rPr>
          <w:rFonts w:ascii="Arial" w:eastAsia="Calibri" w:hAnsi="Arial" w:cs="Arial"/>
          <w:sz w:val="24"/>
          <w:szCs w:val="24"/>
        </w:rPr>
        <w:t xml:space="preserve">en consecuencia, dio por terminado el proceso del medio de control </w:t>
      </w:r>
      <w:r w:rsidRPr="00F65DD7">
        <w:rPr>
          <w:rFonts w:ascii="Arial" w:eastAsia="Calibri" w:hAnsi="Arial" w:cs="Arial"/>
          <w:sz w:val="24"/>
          <w:szCs w:val="24"/>
        </w:rPr>
        <w:t>de nulidad y restablecimiento del derecho</w:t>
      </w:r>
      <w:r w:rsidR="00396F7C" w:rsidRPr="00F65DD7">
        <w:rPr>
          <w:rFonts w:ascii="Arial" w:eastAsia="Calibri" w:hAnsi="Arial" w:cs="Arial"/>
          <w:sz w:val="24"/>
          <w:szCs w:val="24"/>
        </w:rPr>
        <w:t xml:space="preserve"> interpuesto por la parte accionante</w:t>
      </w:r>
      <w:r w:rsidRPr="00F65DD7">
        <w:rPr>
          <w:rFonts w:ascii="Arial" w:eastAsia="Calibri" w:hAnsi="Arial" w:cs="Arial"/>
          <w:sz w:val="24"/>
          <w:szCs w:val="24"/>
        </w:rPr>
        <w:t xml:space="preserve"> </w:t>
      </w:r>
      <w:r w:rsidR="003C64C8" w:rsidRPr="00F65DD7">
        <w:rPr>
          <w:rFonts w:ascii="Arial" w:hAnsi="Arial" w:cs="Arial"/>
          <w:sz w:val="24"/>
          <w:szCs w:val="24"/>
        </w:rPr>
        <w:t>el Instituto Nacional Penitenciario y Carcelario INPEC.</w:t>
      </w:r>
    </w:p>
    <w:p w:rsidR="001A15B4" w:rsidRPr="00F65DD7" w:rsidRDefault="001A15B4" w:rsidP="001A15B4">
      <w:pPr>
        <w:spacing w:line="360" w:lineRule="auto"/>
        <w:jc w:val="both"/>
        <w:rPr>
          <w:rFonts w:ascii="Arial" w:eastAsia="Calibri" w:hAnsi="Arial" w:cs="Arial"/>
          <w:sz w:val="24"/>
          <w:szCs w:val="24"/>
        </w:rPr>
      </w:pPr>
    </w:p>
    <w:p w:rsidR="001A15B4" w:rsidRPr="00F65DD7" w:rsidRDefault="001A15B4" w:rsidP="001A15B4">
      <w:pPr>
        <w:spacing w:line="360" w:lineRule="auto"/>
        <w:jc w:val="both"/>
        <w:rPr>
          <w:rFonts w:ascii="Arial" w:eastAsia="Calibri" w:hAnsi="Arial" w:cs="Arial"/>
          <w:sz w:val="24"/>
          <w:szCs w:val="24"/>
        </w:rPr>
      </w:pPr>
      <w:r w:rsidRPr="00F65DD7">
        <w:rPr>
          <w:rFonts w:ascii="Arial" w:eastAsia="Calibri" w:hAnsi="Arial" w:cs="Arial"/>
          <w:sz w:val="24"/>
          <w:szCs w:val="24"/>
        </w:rPr>
        <w:t>A juicio de la parte actora, la autoridad accionada al proferir la decisión de segunda instancia incurrió en una vía de hecho por desconocimiento del precedente del Consejo de Estado, según el cual, la sentencia es constitutiva de derechos y por lo tanto es a partir del momento en que el Juez declara la existencia del contrato realidad que se empieza a contar el término de tres (3) años para acudir a la administración de justicia.</w:t>
      </w:r>
    </w:p>
    <w:p w:rsidR="001A15B4" w:rsidRPr="00F65DD7" w:rsidRDefault="001A15B4" w:rsidP="001A15B4">
      <w:pPr>
        <w:spacing w:line="360" w:lineRule="auto"/>
        <w:jc w:val="both"/>
        <w:rPr>
          <w:rFonts w:ascii="Arial" w:eastAsia="Calibri" w:hAnsi="Arial" w:cs="Arial"/>
          <w:sz w:val="24"/>
          <w:szCs w:val="24"/>
        </w:rPr>
      </w:pPr>
    </w:p>
    <w:p w:rsidR="00E83331" w:rsidRPr="00F65DD7" w:rsidRDefault="00A422CC" w:rsidP="00E83331">
      <w:pPr>
        <w:spacing w:line="360" w:lineRule="auto"/>
        <w:jc w:val="both"/>
        <w:rPr>
          <w:rFonts w:ascii="Arial" w:eastAsia="Calibri" w:hAnsi="Arial" w:cs="Arial"/>
          <w:sz w:val="24"/>
          <w:szCs w:val="24"/>
        </w:rPr>
      </w:pPr>
      <w:r w:rsidRPr="00F65DD7">
        <w:rPr>
          <w:rFonts w:ascii="Arial" w:eastAsia="Calibri" w:hAnsi="Arial" w:cs="Arial"/>
          <w:sz w:val="24"/>
          <w:szCs w:val="24"/>
        </w:rPr>
        <w:t xml:space="preserve">El </w:t>
      </w:r>
      <w:r w:rsidRPr="00F65DD7">
        <w:rPr>
          <w:rFonts w:ascii="Arial" w:hAnsi="Arial" w:cs="Arial"/>
          <w:b/>
          <w:sz w:val="24"/>
          <w:szCs w:val="24"/>
        </w:rPr>
        <w:t>Tribunal Administrativo de Cundinamarca, sección segunda, subsección A,</w:t>
      </w:r>
      <w:r w:rsidRPr="00F65DD7">
        <w:rPr>
          <w:rFonts w:ascii="Arial" w:eastAsia="Calibri" w:hAnsi="Arial" w:cs="Arial"/>
          <w:sz w:val="24"/>
          <w:szCs w:val="24"/>
        </w:rPr>
        <w:t xml:space="preserve"> m</w:t>
      </w:r>
      <w:r w:rsidR="00396F7C" w:rsidRPr="00F65DD7">
        <w:rPr>
          <w:rFonts w:ascii="Arial" w:eastAsia="Calibri" w:hAnsi="Arial" w:cs="Arial"/>
          <w:sz w:val="24"/>
          <w:szCs w:val="24"/>
        </w:rPr>
        <w:t xml:space="preserve">ediante auto de </w:t>
      </w:r>
      <w:r w:rsidR="003C64C8" w:rsidRPr="00F65DD7">
        <w:rPr>
          <w:rFonts w:ascii="Arial" w:hAnsi="Arial" w:cs="Arial"/>
          <w:sz w:val="24"/>
          <w:szCs w:val="24"/>
        </w:rPr>
        <w:t>17 de marzo de 2016</w:t>
      </w:r>
      <w:r w:rsidR="00396F7C" w:rsidRPr="00F65DD7">
        <w:rPr>
          <w:rFonts w:ascii="Arial" w:eastAsia="Calibri" w:hAnsi="Arial" w:cs="Arial"/>
          <w:sz w:val="24"/>
          <w:szCs w:val="24"/>
        </w:rPr>
        <w:t xml:space="preserve">, confirmó la decisión adoptada en la audiencia inicial celebrada </w:t>
      </w:r>
      <w:r w:rsidR="0016008E" w:rsidRPr="00F65DD7">
        <w:rPr>
          <w:rFonts w:ascii="Arial" w:eastAsia="Calibri" w:hAnsi="Arial" w:cs="Arial"/>
          <w:sz w:val="24"/>
          <w:szCs w:val="24"/>
        </w:rPr>
        <w:t xml:space="preserve">por el </w:t>
      </w:r>
      <w:r w:rsidR="0016008E" w:rsidRPr="00F65DD7">
        <w:rPr>
          <w:rFonts w:ascii="Arial" w:eastAsia="Calibri" w:hAnsi="Arial" w:cs="Arial"/>
          <w:i/>
          <w:sz w:val="24"/>
          <w:szCs w:val="24"/>
        </w:rPr>
        <w:t>A quo</w:t>
      </w:r>
      <w:r w:rsidR="00396F7C" w:rsidRPr="00F65DD7">
        <w:rPr>
          <w:rFonts w:ascii="Arial" w:eastAsia="Calibri" w:hAnsi="Arial" w:cs="Arial"/>
          <w:sz w:val="24"/>
          <w:szCs w:val="24"/>
        </w:rPr>
        <w:t>, que declaró probada la excepción de prescripción, con los siguientes argumentos</w:t>
      </w:r>
      <w:r w:rsidR="00396F7C" w:rsidRPr="00F65DD7">
        <w:rPr>
          <w:rStyle w:val="Refdenotaalpie"/>
          <w:rFonts w:ascii="Arial" w:eastAsia="Calibri" w:hAnsi="Arial" w:cs="Arial"/>
          <w:sz w:val="24"/>
          <w:szCs w:val="24"/>
        </w:rPr>
        <w:footnoteReference w:id="29"/>
      </w:r>
      <w:r w:rsidR="00396F7C" w:rsidRPr="00F65DD7">
        <w:rPr>
          <w:rFonts w:ascii="Arial" w:eastAsia="Calibri" w:hAnsi="Arial" w:cs="Arial"/>
          <w:sz w:val="24"/>
          <w:szCs w:val="24"/>
        </w:rPr>
        <w:t>:</w:t>
      </w:r>
    </w:p>
    <w:p w:rsidR="00A422CC" w:rsidRPr="00F65DD7" w:rsidRDefault="00A422CC" w:rsidP="00E83331">
      <w:pPr>
        <w:spacing w:line="360" w:lineRule="auto"/>
        <w:jc w:val="both"/>
        <w:rPr>
          <w:rFonts w:ascii="Arial" w:eastAsia="Calibri" w:hAnsi="Arial" w:cs="Arial"/>
          <w:sz w:val="24"/>
          <w:szCs w:val="24"/>
        </w:rPr>
      </w:pPr>
    </w:p>
    <w:p w:rsidR="0030451A" w:rsidRPr="00F65DD7" w:rsidRDefault="00166480" w:rsidP="00E83331">
      <w:pPr>
        <w:spacing w:line="360" w:lineRule="auto"/>
        <w:jc w:val="both"/>
        <w:rPr>
          <w:rFonts w:ascii="Arial" w:eastAsia="Calibri" w:hAnsi="Arial" w:cs="Arial"/>
          <w:sz w:val="24"/>
          <w:szCs w:val="24"/>
        </w:rPr>
      </w:pPr>
      <w:r w:rsidRPr="00F65DD7">
        <w:rPr>
          <w:rFonts w:ascii="Arial" w:eastAsia="Calibri" w:hAnsi="Arial" w:cs="Arial"/>
          <w:sz w:val="24"/>
          <w:szCs w:val="24"/>
        </w:rPr>
        <w:t>En el asunto en estudio, advirtió que</w:t>
      </w:r>
      <w:r w:rsidR="00D822B3" w:rsidRPr="00F65DD7">
        <w:rPr>
          <w:rFonts w:ascii="Arial" w:eastAsia="Calibri" w:hAnsi="Arial" w:cs="Arial"/>
          <w:sz w:val="24"/>
          <w:szCs w:val="24"/>
        </w:rPr>
        <w:t xml:space="preserve"> la demandante </w:t>
      </w:r>
      <w:r w:rsidR="0030451A" w:rsidRPr="00F65DD7">
        <w:rPr>
          <w:rFonts w:ascii="Arial" w:eastAsia="Calibri" w:hAnsi="Arial" w:cs="Arial"/>
          <w:sz w:val="24"/>
          <w:szCs w:val="24"/>
        </w:rPr>
        <w:t>tenía un término de 3 máximo años para presentar la reclamación ante la entidad desde que terminó su vínculo laboral, el cual aconteció el 31 de diciembre de 2009 (</w:t>
      </w:r>
      <w:r w:rsidR="001763FE" w:rsidRPr="00F65DD7">
        <w:rPr>
          <w:rFonts w:ascii="Arial" w:eastAsia="Calibri" w:hAnsi="Arial" w:cs="Arial"/>
          <w:sz w:val="24"/>
          <w:szCs w:val="24"/>
        </w:rPr>
        <w:t>fol. 25</w:t>
      </w:r>
      <w:r w:rsidR="0030451A" w:rsidRPr="00F65DD7">
        <w:rPr>
          <w:rFonts w:ascii="Arial" w:eastAsia="Calibri" w:hAnsi="Arial" w:cs="Arial"/>
          <w:sz w:val="24"/>
          <w:szCs w:val="24"/>
        </w:rPr>
        <w:t xml:space="preserve"> anexo) y la solicitud de reconocimiento de acreencias laborales fue presentada el 31 de julio de 2013 (fol. 1 anexo), es decir, cuando ya había vencido el tiempo.</w:t>
      </w:r>
    </w:p>
    <w:p w:rsidR="0030451A" w:rsidRPr="00F65DD7" w:rsidRDefault="0030451A" w:rsidP="004D795C">
      <w:pPr>
        <w:pStyle w:val="Textoindependiente"/>
        <w:tabs>
          <w:tab w:val="left" w:pos="720"/>
        </w:tabs>
        <w:rPr>
          <w:rFonts w:cs="Arial"/>
          <w:szCs w:val="24"/>
          <w:lang w:val="es-CO"/>
        </w:rPr>
      </w:pPr>
    </w:p>
    <w:p w:rsidR="0030451A" w:rsidRPr="00F65DD7" w:rsidRDefault="0016008E" w:rsidP="004D795C">
      <w:pPr>
        <w:pStyle w:val="Textoindependiente"/>
        <w:tabs>
          <w:tab w:val="left" w:pos="720"/>
        </w:tabs>
        <w:rPr>
          <w:rFonts w:cs="Arial"/>
          <w:szCs w:val="24"/>
          <w:lang w:val="es-CO"/>
        </w:rPr>
      </w:pPr>
      <w:r w:rsidRPr="00F65DD7">
        <w:rPr>
          <w:rFonts w:cs="Arial"/>
          <w:szCs w:val="24"/>
          <w:lang w:val="es-CO"/>
        </w:rPr>
        <w:t>Mencion</w:t>
      </w:r>
      <w:r w:rsidR="004D795C" w:rsidRPr="00F65DD7">
        <w:rPr>
          <w:rFonts w:cs="Arial"/>
          <w:szCs w:val="24"/>
          <w:lang w:val="es-CO"/>
        </w:rPr>
        <w:t>ó que</w:t>
      </w:r>
      <w:r w:rsidR="0030451A" w:rsidRPr="00F65DD7">
        <w:rPr>
          <w:rFonts w:cs="Arial"/>
          <w:szCs w:val="24"/>
          <w:lang w:val="es-CO"/>
        </w:rPr>
        <w:t xml:space="preserve"> el </w:t>
      </w:r>
      <w:r w:rsidR="0030451A" w:rsidRPr="00F65DD7">
        <w:rPr>
          <w:rFonts w:cs="Arial"/>
          <w:i/>
          <w:szCs w:val="24"/>
          <w:lang w:val="es-CO"/>
        </w:rPr>
        <w:t>A quo</w:t>
      </w:r>
      <w:r w:rsidR="0030451A" w:rsidRPr="00F65DD7">
        <w:rPr>
          <w:rFonts w:cs="Arial"/>
          <w:szCs w:val="24"/>
          <w:lang w:val="es-CO"/>
        </w:rPr>
        <w:t xml:space="preserve"> declaro probada de oficio la excepción de inepta demanda por cuanto la actora no demandó uno de los actos administrativos que contenía una respuesta parcial a la solicitud de reconocimiento y pago de prestaciones sociales </w:t>
      </w:r>
      <w:r w:rsidR="0030451A" w:rsidRPr="00F65DD7">
        <w:rPr>
          <w:rFonts w:cs="Arial"/>
          <w:szCs w:val="24"/>
          <w:lang w:val="es-CO"/>
        </w:rPr>
        <w:lastRenderedPageBreak/>
        <w:t>sobre los contrat</w:t>
      </w:r>
      <w:r w:rsidR="00496B37" w:rsidRPr="00F65DD7">
        <w:rPr>
          <w:rFonts w:cs="Arial"/>
          <w:szCs w:val="24"/>
          <w:lang w:val="es-CO"/>
        </w:rPr>
        <w:t>os de prestación de servicios, esto es, el oficio 85201-GOCOTN°0001201, el cual no fue allegado al proceso.</w:t>
      </w:r>
    </w:p>
    <w:p w:rsidR="00496B37" w:rsidRPr="00F65DD7" w:rsidRDefault="00496B37" w:rsidP="004D795C">
      <w:pPr>
        <w:pStyle w:val="Textoindependiente"/>
        <w:tabs>
          <w:tab w:val="left" w:pos="720"/>
        </w:tabs>
        <w:rPr>
          <w:rFonts w:cs="Arial"/>
          <w:szCs w:val="24"/>
          <w:lang w:val="es-CO"/>
        </w:rPr>
      </w:pPr>
    </w:p>
    <w:p w:rsidR="00496B37" w:rsidRPr="00F65DD7" w:rsidRDefault="00496B37" w:rsidP="004D795C">
      <w:pPr>
        <w:pStyle w:val="Textoindependiente"/>
        <w:tabs>
          <w:tab w:val="left" w:pos="720"/>
        </w:tabs>
        <w:rPr>
          <w:rFonts w:cs="Arial"/>
          <w:szCs w:val="24"/>
          <w:lang w:val="es-CO"/>
        </w:rPr>
      </w:pPr>
      <w:r w:rsidRPr="00F65DD7">
        <w:rPr>
          <w:rFonts w:cs="Arial"/>
          <w:szCs w:val="24"/>
          <w:lang w:val="es-CO"/>
        </w:rPr>
        <w:t xml:space="preserve">No obstante, consideró que no se configuraba la ineptitud sustantiva de la demanda por cuanto no había soporte probatorio suficiente para haber considerado la existencia de un acto administrativo complejo, sin embargo, advirtió que confirmaba la providencia del </w:t>
      </w:r>
      <w:r w:rsidRPr="00F65DD7">
        <w:rPr>
          <w:rFonts w:cs="Arial"/>
          <w:szCs w:val="24"/>
        </w:rPr>
        <w:t>Juzgado Veintitrés Administrativo de Oralidad de Bogotá por prescripción extintiva.</w:t>
      </w:r>
    </w:p>
    <w:p w:rsidR="0000251B" w:rsidRPr="00F65DD7" w:rsidRDefault="0000251B" w:rsidP="00774ED7">
      <w:pPr>
        <w:spacing w:line="360" w:lineRule="auto"/>
        <w:jc w:val="both"/>
        <w:rPr>
          <w:rFonts w:ascii="Arial" w:hAnsi="Arial" w:cs="Arial"/>
          <w:sz w:val="24"/>
          <w:szCs w:val="24"/>
        </w:rPr>
      </w:pPr>
    </w:p>
    <w:p w:rsidR="002512CC" w:rsidRPr="00F65DD7" w:rsidRDefault="002512CC" w:rsidP="002512CC">
      <w:pPr>
        <w:overflowPunct/>
        <w:autoSpaceDE/>
        <w:autoSpaceDN/>
        <w:adjustRightInd/>
        <w:spacing w:line="360" w:lineRule="auto"/>
        <w:jc w:val="both"/>
        <w:textAlignment w:val="auto"/>
        <w:rPr>
          <w:rFonts w:ascii="Arial" w:hAnsi="Arial" w:cs="Arial"/>
          <w:b/>
          <w:sz w:val="24"/>
          <w:szCs w:val="24"/>
          <w:lang w:val="es-ES"/>
        </w:rPr>
      </w:pPr>
      <w:r w:rsidRPr="00F65DD7">
        <w:rPr>
          <w:rFonts w:ascii="Arial" w:hAnsi="Arial" w:cs="Arial"/>
          <w:b/>
          <w:sz w:val="24"/>
          <w:szCs w:val="24"/>
          <w:lang w:val="es-ES"/>
        </w:rPr>
        <w:t>Solución al problema jurídico planteado.</w:t>
      </w:r>
    </w:p>
    <w:p w:rsidR="00237E01" w:rsidRPr="00F65DD7" w:rsidRDefault="00237E01" w:rsidP="005E61DD">
      <w:pPr>
        <w:spacing w:line="360" w:lineRule="auto"/>
        <w:jc w:val="both"/>
        <w:rPr>
          <w:rFonts w:ascii="Arial" w:hAnsi="Arial" w:cs="Arial"/>
          <w:sz w:val="24"/>
          <w:szCs w:val="24"/>
        </w:rPr>
      </w:pPr>
    </w:p>
    <w:p w:rsidR="007F47E7" w:rsidRPr="00F65DD7" w:rsidRDefault="007F47E7" w:rsidP="007F47E7">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 xml:space="preserve">Acorde con lo anteriormente descrito, encuentra la Sala que las pretensiones de la parte actora al interponer el presente recurso de amparo es que se dejen sin efectos la providencia de </w:t>
      </w:r>
      <w:r w:rsidR="00496B37" w:rsidRPr="00F65DD7">
        <w:rPr>
          <w:rFonts w:ascii="Arial" w:hAnsi="Arial" w:cs="Arial"/>
          <w:sz w:val="24"/>
          <w:szCs w:val="24"/>
        </w:rPr>
        <w:t>17</w:t>
      </w:r>
      <w:r w:rsidRPr="00F65DD7">
        <w:rPr>
          <w:rFonts w:ascii="Arial" w:hAnsi="Arial" w:cs="Arial"/>
          <w:sz w:val="24"/>
          <w:szCs w:val="24"/>
        </w:rPr>
        <w:t xml:space="preserve"> de </w:t>
      </w:r>
      <w:r w:rsidR="00496B37" w:rsidRPr="00F65DD7">
        <w:rPr>
          <w:rFonts w:ascii="Arial" w:hAnsi="Arial" w:cs="Arial"/>
          <w:sz w:val="24"/>
          <w:szCs w:val="24"/>
        </w:rPr>
        <w:t>marzo de 2016</w:t>
      </w:r>
      <w:r w:rsidRPr="00F65DD7">
        <w:rPr>
          <w:rFonts w:ascii="Arial" w:hAnsi="Arial" w:cs="Arial"/>
          <w:sz w:val="24"/>
          <w:szCs w:val="24"/>
        </w:rPr>
        <w:t>, proferida por el Tribunal Administrativo de Cundinamarca, sección segunda, subsección A, mediante la cual declaró probada la excepción de prescripción extintiva de derechos.</w:t>
      </w:r>
    </w:p>
    <w:p w:rsidR="007F47E7" w:rsidRPr="00F65DD7" w:rsidRDefault="007F47E7" w:rsidP="007F47E7">
      <w:pPr>
        <w:overflowPunct/>
        <w:autoSpaceDE/>
        <w:autoSpaceDN/>
        <w:adjustRightInd/>
        <w:spacing w:line="360" w:lineRule="auto"/>
        <w:jc w:val="both"/>
        <w:textAlignment w:val="auto"/>
        <w:rPr>
          <w:rFonts w:ascii="Arial" w:hAnsi="Arial" w:cs="Arial"/>
          <w:sz w:val="24"/>
          <w:szCs w:val="24"/>
        </w:rPr>
      </w:pPr>
    </w:p>
    <w:p w:rsidR="007F47E7" w:rsidRPr="00F65DD7" w:rsidRDefault="007F47E7" w:rsidP="007F47E7">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Al respecto, debe precisar la Sala que tanto el Juzgado como el Tribunal señalaron que dicha declaratoria estaba enmarcada dentro del artículo 180 de la Ley 1437 de 2011, el cual dispone lo siguiente:</w:t>
      </w:r>
    </w:p>
    <w:p w:rsidR="007F47E7" w:rsidRPr="00F65DD7" w:rsidRDefault="007F47E7" w:rsidP="007F47E7">
      <w:pPr>
        <w:overflowPunct/>
        <w:autoSpaceDE/>
        <w:autoSpaceDN/>
        <w:adjustRightInd/>
        <w:spacing w:line="360" w:lineRule="auto"/>
        <w:jc w:val="both"/>
        <w:textAlignment w:val="auto"/>
        <w:rPr>
          <w:rFonts w:ascii="Arial" w:hAnsi="Arial" w:cs="Arial"/>
          <w:sz w:val="24"/>
          <w:szCs w:val="24"/>
        </w:rPr>
      </w:pP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«Artículo 180. Audiencia inicial. Vencido el término de traslado de la demanda o de la de reconvención según el caso, el Juez o Magistrado Ponente, convocará a una audiencia que se sujetará a las siguientes reglas:</w:t>
      </w: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w:t>
      </w: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6. Decisión de excepciones previas. El Juez o Magistrado Ponente, de oficio o a petición de parte, resolverá sobre las excepciones previas y las de cosa juzgada, caducidad, transacción, conciliación, falta de legitimación en la causa y prescripción extintiva.</w:t>
      </w: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Si excepcionalmente se requiere la práctica de pruebas, se suspenderá la audiencia, hasta por el término de diez (10) días, con el fin de recaudarlas. Al reanudar la audiencia se decidirá sobre tales excepciones.</w:t>
      </w: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 xml:space="preserve">Si alguna de ellas prospera, el Juez o Magistrado Ponente dará por terminado el proceso, cuando a ello haya lugar. Igualmente, lo dará por terminado cuando en la misma audiencia advierta el incumplimiento de requisitos de </w:t>
      </w:r>
      <w:proofErr w:type="spellStart"/>
      <w:r w:rsidRPr="00F65DD7">
        <w:rPr>
          <w:rFonts w:ascii="Arial" w:hAnsi="Arial" w:cs="Arial"/>
          <w:sz w:val="24"/>
          <w:szCs w:val="24"/>
        </w:rPr>
        <w:t>procedibilidad</w:t>
      </w:r>
      <w:proofErr w:type="spellEnd"/>
      <w:r w:rsidRPr="00F65DD7">
        <w:rPr>
          <w:rFonts w:ascii="Arial" w:hAnsi="Arial" w:cs="Arial"/>
          <w:sz w:val="24"/>
          <w:szCs w:val="24"/>
        </w:rPr>
        <w:t>.</w:t>
      </w:r>
    </w:p>
    <w:p w:rsidR="007F47E7" w:rsidRPr="00F65DD7" w:rsidRDefault="007F47E7" w:rsidP="000F35D5">
      <w:pPr>
        <w:overflowPunct/>
        <w:autoSpaceDE/>
        <w:autoSpaceDN/>
        <w:adjustRightInd/>
        <w:ind w:left="708" w:right="51"/>
        <w:jc w:val="both"/>
        <w:textAlignment w:val="auto"/>
        <w:rPr>
          <w:rFonts w:ascii="Arial" w:hAnsi="Arial" w:cs="Arial"/>
          <w:sz w:val="24"/>
          <w:szCs w:val="24"/>
        </w:rPr>
      </w:pPr>
      <w:r w:rsidRPr="00F65DD7">
        <w:rPr>
          <w:rFonts w:ascii="Arial" w:hAnsi="Arial" w:cs="Arial"/>
          <w:sz w:val="24"/>
          <w:szCs w:val="24"/>
        </w:rPr>
        <w:t>El auto que decida sobre las excepciones será susceptible del recurso de apelación o del de súplica, según el caso (…).»</w:t>
      </w:r>
    </w:p>
    <w:p w:rsidR="007F47E7" w:rsidRPr="00F65DD7" w:rsidRDefault="007F47E7" w:rsidP="007F47E7">
      <w:pPr>
        <w:overflowPunct/>
        <w:autoSpaceDE/>
        <w:autoSpaceDN/>
        <w:adjustRightInd/>
        <w:spacing w:line="360" w:lineRule="auto"/>
        <w:jc w:val="both"/>
        <w:textAlignment w:val="auto"/>
        <w:rPr>
          <w:rFonts w:ascii="Arial" w:hAnsi="Arial" w:cs="Arial"/>
          <w:sz w:val="24"/>
          <w:szCs w:val="24"/>
        </w:rPr>
      </w:pPr>
    </w:p>
    <w:p w:rsidR="009F037F" w:rsidRPr="00F65DD7" w:rsidRDefault="007F47E7" w:rsidP="007F47E7">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 xml:space="preserve">Del anterior texto normativo se entiende que, en el desarrollo de la audiencia inicial, el juez administrativo está facultado para resolver la excepción prescripción extintiva y que en el eventual caso de llegar a prosperar dará por terminado el proceso. </w:t>
      </w:r>
      <w:r w:rsidRPr="00F65DD7">
        <w:rPr>
          <w:rFonts w:ascii="Arial" w:hAnsi="Arial" w:cs="Arial"/>
          <w:sz w:val="24"/>
          <w:szCs w:val="24"/>
        </w:rPr>
        <w:lastRenderedPageBreak/>
        <w:t xml:space="preserve">Adicionalmente, el legislador dispuso que dicha decisión era susceptible del recurso de apelación, del cual, en efecto, hizo uso la parte actora. </w:t>
      </w:r>
    </w:p>
    <w:p w:rsidR="00851F72" w:rsidRPr="00F65DD7" w:rsidRDefault="00851F72" w:rsidP="005E61DD">
      <w:pPr>
        <w:overflowPunct/>
        <w:autoSpaceDE/>
        <w:autoSpaceDN/>
        <w:adjustRightInd/>
        <w:spacing w:line="360" w:lineRule="auto"/>
        <w:jc w:val="both"/>
        <w:textAlignment w:val="auto"/>
        <w:rPr>
          <w:rFonts w:ascii="Arial" w:hAnsi="Arial" w:cs="Arial"/>
          <w:sz w:val="24"/>
          <w:szCs w:val="24"/>
        </w:rPr>
      </w:pPr>
    </w:p>
    <w:p w:rsidR="003300C6" w:rsidRPr="00F65DD7" w:rsidRDefault="007F47E7" w:rsidP="003300C6">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Ahora bien, e</w:t>
      </w:r>
      <w:r w:rsidR="00851F72" w:rsidRPr="00F65DD7">
        <w:rPr>
          <w:rFonts w:ascii="Arial" w:hAnsi="Arial" w:cs="Arial"/>
          <w:sz w:val="24"/>
          <w:szCs w:val="24"/>
        </w:rPr>
        <w:t>l Tribunal accionado</w:t>
      </w:r>
      <w:r w:rsidR="009F037F" w:rsidRPr="00F65DD7">
        <w:rPr>
          <w:rFonts w:ascii="Arial" w:hAnsi="Arial" w:cs="Arial"/>
          <w:sz w:val="24"/>
          <w:szCs w:val="24"/>
        </w:rPr>
        <w:t xml:space="preserve"> </w:t>
      </w:r>
      <w:r w:rsidR="009F037F" w:rsidRPr="00F65DD7">
        <w:rPr>
          <w:rFonts w:ascii="Arial" w:eastAsia="Calibri" w:hAnsi="Arial" w:cs="Arial"/>
          <w:sz w:val="24"/>
          <w:szCs w:val="24"/>
        </w:rPr>
        <w:t xml:space="preserve">confirmó la decisión adoptada en la audiencia inicial celebrada el </w:t>
      </w:r>
      <w:r w:rsidR="00496B37" w:rsidRPr="00F65DD7">
        <w:rPr>
          <w:rFonts w:ascii="Arial" w:eastAsia="Calibri" w:hAnsi="Arial" w:cs="Arial"/>
          <w:sz w:val="24"/>
          <w:szCs w:val="24"/>
        </w:rPr>
        <w:t>14</w:t>
      </w:r>
      <w:r w:rsidR="009F037F" w:rsidRPr="00F65DD7">
        <w:rPr>
          <w:rFonts w:ascii="Arial" w:eastAsia="Calibri" w:hAnsi="Arial" w:cs="Arial"/>
          <w:sz w:val="24"/>
          <w:szCs w:val="24"/>
        </w:rPr>
        <w:t xml:space="preserve"> de </w:t>
      </w:r>
      <w:r w:rsidR="00496B37" w:rsidRPr="00F65DD7">
        <w:rPr>
          <w:rFonts w:ascii="Arial" w:eastAsia="Calibri" w:hAnsi="Arial" w:cs="Arial"/>
          <w:sz w:val="24"/>
          <w:szCs w:val="24"/>
        </w:rPr>
        <w:t>jul</w:t>
      </w:r>
      <w:r w:rsidR="009F037F" w:rsidRPr="00F65DD7">
        <w:rPr>
          <w:rFonts w:ascii="Arial" w:eastAsia="Calibri" w:hAnsi="Arial" w:cs="Arial"/>
          <w:sz w:val="24"/>
          <w:szCs w:val="24"/>
        </w:rPr>
        <w:t xml:space="preserve">io de 2015 por el </w:t>
      </w:r>
      <w:r w:rsidR="00496B37" w:rsidRPr="00F65DD7">
        <w:rPr>
          <w:rFonts w:ascii="Arial" w:hAnsi="Arial" w:cs="Arial"/>
          <w:sz w:val="24"/>
          <w:szCs w:val="24"/>
        </w:rPr>
        <w:t>Juzgado Veintitrés Administrativo de Oralidad de Bogotá</w:t>
      </w:r>
      <w:r w:rsidR="009F037F" w:rsidRPr="00F65DD7">
        <w:rPr>
          <w:rFonts w:ascii="Arial" w:eastAsia="Calibri" w:hAnsi="Arial" w:cs="Arial"/>
          <w:sz w:val="24"/>
          <w:szCs w:val="24"/>
        </w:rPr>
        <w:t xml:space="preserve">, </w:t>
      </w:r>
      <w:r w:rsidR="00851F72" w:rsidRPr="00F65DD7">
        <w:rPr>
          <w:rFonts w:ascii="Arial" w:hAnsi="Arial" w:cs="Arial"/>
          <w:sz w:val="24"/>
          <w:szCs w:val="24"/>
        </w:rPr>
        <w:t xml:space="preserve">fundado en el hecho de que la señora </w:t>
      </w:r>
      <w:r w:rsidR="00496B37" w:rsidRPr="00F65DD7">
        <w:rPr>
          <w:rFonts w:ascii="Arial" w:hAnsi="Arial" w:cs="Arial"/>
          <w:sz w:val="24"/>
          <w:szCs w:val="24"/>
        </w:rPr>
        <w:t xml:space="preserve">Luz Marina Morales </w:t>
      </w:r>
      <w:r w:rsidR="00851F72" w:rsidRPr="00F65DD7">
        <w:rPr>
          <w:rFonts w:ascii="Arial" w:hAnsi="Arial" w:cs="Arial"/>
          <w:sz w:val="24"/>
          <w:szCs w:val="24"/>
        </w:rPr>
        <w:t xml:space="preserve">acudió a la administración a reclamar sus derechos </w:t>
      </w:r>
      <w:r w:rsidR="003300C6" w:rsidRPr="00F65DD7">
        <w:rPr>
          <w:rFonts w:ascii="Arial" w:hAnsi="Arial" w:cs="Arial"/>
          <w:sz w:val="24"/>
          <w:szCs w:val="24"/>
        </w:rPr>
        <w:t>cuatro</w:t>
      </w:r>
      <w:r w:rsidR="00851F72" w:rsidRPr="00F65DD7">
        <w:rPr>
          <w:rFonts w:ascii="Arial" w:hAnsi="Arial" w:cs="Arial"/>
          <w:sz w:val="24"/>
          <w:szCs w:val="24"/>
        </w:rPr>
        <w:t xml:space="preserve"> (</w:t>
      </w:r>
      <w:r w:rsidR="003300C6" w:rsidRPr="00F65DD7">
        <w:rPr>
          <w:rFonts w:ascii="Arial" w:hAnsi="Arial" w:cs="Arial"/>
          <w:sz w:val="24"/>
          <w:szCs w:val="24"/>
        </w:rPr>
        <w:t>4</w:t>
      </w:r>
      <w:r w:rsidR="00851F72" w:rsidRPr="00F65DD7">
        <w:rPr>
          <w:rFonts w:ascii="Arial" w:hAnsi="Arial" w:cs="Arial"/>
          <w:sz w:val="24"/>
          <w:szCs w:val="24"/>
        </w:rPr>
        <w:t>) años después de terminarse la relación</w:t>
      </w:r>
      <w:r w:rsidR="00D91C9C" w:rsidRPr="00F65DD7">
        <w:rPr>
          <w:rFonts w:ascii="Arial" w:hAnsi="Arial" w:cs="Arial"/>
          <w:sz w:val="24"/>
          <w:szCs w:val="24"/>
        </w:rPr>
        <w:t xml:space="preserve"> laboral con </w:t>
      </w:r>
      <w:r w:rsidR="003300C6" w:rsidRPr="00F65DD7">
        <w:rPr>
          <w:rFonts w:ascii="Arial" w:eastAsia="Calibri" w:hAnsi="Arial" w:cs="Arial"/>
          <w:sz w:val="24"/>
          <w:szCs w:val="24"/>
        </w:rPr>
        <w:t xml:space="preserve">el </w:t>
      </w:r>
      <w:r w:rsidR="003300C6" w:rsidRPr="00F65DD7">
        <w:rPr>
          <w:rFonts w:ascii="Arial" w:hAnsi="Arial" w:cs="Arial"/>
          <w:sz w:val="24"/>
          <w:szCs w:val="24"/>
        </w:rPr>
        <w:t>Instituto Nacional Penitenciario y Carcelario INPEC.</w:t>
      </w:r>
    </w:p>
    <w:p w:rsidR="000E00F9" w:rsidRPr="00F65DD7" w:rsidRDefault="000E00F9" w:rsidP="00851F72">
      <w:pPr>
        <w:spacing w:line="360" w:lineRule="auto"/>
        <w:jc w:val="both"/>
        <w:rPr>
          <w:rFonts w:ascii="Arial" w:hAnsi="Arial" w:cs="Arial"/>
          <w:sz w:val="24"/>
          <w:szCs w:val="24"/>
        </w:rPr>
      </w:pPr>
    </w:p>
    <w:p w:rsidR="000E00F9" w:rsidRPr="00F65DD7" w:rsidRDefault="000E00F9" w:rsidP="000E00F9">
      <w:pPr>
        <w:spacing w:line="360" w:lineRule="auto"/>
        <w:jc w:val="both"/>
        <w:rPr>
          <w:rFonts w:ascii="Arial" w:hAnsi="Arial" w:cs="Arial"/>
          <w:sz w:val="24"/>
          <w:szCs w:val="24"/>
        </w:rPr>
      </w:pPr>
      <w:r w:rsidRPr="00F65DD7">
        <w:rPr>
          <w:rFonts w:ascii="Arial" w:hAnsi="Arial" w:cs="Arial"/>
          <w:sz w:val="24"/>
          <w:szCs w:val="24"/>
        </w:rPr>
        <w:t xml:space="preserve">En este orden ideas, se podría concluir que en el </w:t>
      </w:r>
      <w:r w:rsidRPr="00F65DD7">
        <w:rPr>
          <w:rFonts w:ascii="Arial" w:hAnsi="Arial" w:cs="Arial"/>
          <w:i/>
          <w:sz w:val="24"/>
          <w:szCs w:val="24"/>
        </w:rPr>
        <w:t xml:space="preserve">sub </w:t>
      </w:r>
      <w:proofErr w:type="spellStart"/>
      <w:r w:rsidRPr="00F65DD7">
        <w:rPr>
          <w:rFonts w:ascii="Arial" w:hAnsi="Arial" w:cs="Arial"/>
          <w:i/>
          <w:sz w:val="24"/>
          <w:szCs w:val="24"/>
        </w:rPr>
        <w:t>exámine</w:t>
      </w:r>
      <w:proofErr w:type="spellEnd"/>
      <w:r w:rsidRPr="00F65DD7">
        <w:rPr>
          <w:rFonts w:ascii="Arial" w:hAnsi="Arial" w:cs="Arial"/>
          <w:sz w:val="24"/>
          <w:szCs w:val="24"/>
        </w:rPr>
        <w:t xml:space="preserve"> no se configuró una vía de hecho por desconocimiento del precedente, en cuanto la motivación realizada por el Tribunal Administrativo de Cundinamarca, sección segunda, subsección A en el auto de </w:t>
      </w:r>
      <w:r w:rsidR="001D6921" w:rsidRPr="00F65DD7">
        <w:rPr>
          <w:rFonts w:ascii="Arial" w:hAnsi="Arial" w:cs="Arial"/>
          <w:sz w:val="24"/>
          <w:szCs w:val="24"/>
        </w:rPr>
        <w:t>17 marzo de 2016</w:t>
      </w:r>
      <w:r w:rsidRPr="00F65DD7">
        <w:rPr>
          <w:rFonts w:ascii="Arial" w:hAnsi="Arial" w:cs="Arial"/>
          <w:sz w:val="24"/>
          <w:szCs w:val="24"/>
        </w:rPr>
        <w:t>, que puso fin al proceso ordinario, estuvo acorde con lo sostenido en la providencia de unificación de 9 de febrero de 2009</w:t>
      </w:r>
      <w:r w:rsidRPr="00F65DD7">
        <w:rPr>
          <w:rFonts w:ascii="Arial" w:hAnsi="Arial" w:cs="Arial"/>
          <w:sz w:val="24"/>
          <w:szCs w:val="24"/>
          <w:vertAlign w:val="superscript"/>
        </w:rPr>
        <w:footnoteReference w:id="30"/>
      </w:r>
      <w:r w:rsidRPr="00F65DD7">
        <w:rPr>
          <w:rFonts w:ascii="Arial" w:hAnsi="Arial" w:cs="Arial"/>
          <w:sz w:val="24"/>
          <w:szCs w:val="24"/>
        </w:rPr>
        <w:t xml:space="preserve">, proferida por la Sección Segunda del Consejo de Estado, en el sentido de establecer que el fallo que declara la primacía de la realidad laboral sobre la contractual es constitutiva del derecho que le asiste al contratista de prestación de servicios a obtener el pago de una suma indemnizatoria y, por ende, no es posible predicar la prescripción de un derecho que no ha surgido a la vida jurídica. </w:t>
      </w:r>
    </w:p>
    <w:p w:rsidR="000E00F9" w:rsidRPr="00F65DD7" w:rsidRDefault="000E00F9" w:rsidP="000E00F9">
      <w:pPr>
        <w:spacing w:line="360" w:lineRule="auto"/>
        <w:jc w:val="both"/>
        <w:rPr>
          <w:rFonts w:ascii="Arial" w:hAnsi="Arial" w:cs="Arial"/>
          <w:sz w:val="24"/>
          <w:szCs w:val="24"/>
        </w:rPr>
      </w:pPr>
    </w:p>
    <w:p w:rsidR="000E00F9" w:rsidRPr="00F65DD7" w:rsidRDefault="000E00F9" w:rsidP="000E00F9">
      <w:pPr>
        <w:spacing w:line="360" w:lineRule="auto"/>
        <w:jc w:val="both"/>
        <w:rPr>
          <w:rFonts w:ascii="Arial" w:hAnsi="Arial" w:cs="Arial"/>
          <w:sz w:val="24"/>
          <w:szCs w:val="24"/>
        </w:rPr>
      </w:pPr>
      <w:r w:rsidRPr="00F65DD7">
        <w:rPr>
          <w:rFonts w:ascii="Arial" w:hAnsi="Arial" w:cs="Arial"/>
          <w:sz w:val="24"/>
          <w:szCs w:val="24"/>
        </w:rPr>
        <w:t xml:space="preserve">No obstante, en concordancia con lo alegado por la parte accionante en el escrito inicial, esta Sala no puede desconocer que el asunto planteado en la demanda de nulidad y restablecimiento del derecho por la señora </w:t>
      </w:r>
      <w:r w:rsidR="001D6921" w:rsidRPr="00F65DD7">
        <w:rPr>
          <w:rFonts w:ascii="Arial" w:hAnsi="Arial" w:cs="Arial"/>
          <w:sz w:val="24"/>
          <w:szCs w:val="24"/>
        </w:rPr>
        <w:t>Luz Marina Morales</w:t>
      </w:r>
      <w:r w:rsidR="00FF52E3" w:rsidRPr="00F65DD7">
        <w:rPr>
          <w:rFonts w:ascii="Arial" w:hAnsi="Arial" w:cs="Arial"/>
          <w:sz w:val="24"/>
          <w:szCs w:val="24"/>
        </w:rPr>
        <w:t xml:space="preserve"> </w:t>
      </w:r>
      <w:r w:rsidRPr="00F65DD7">
        <w:rPr>
          <w:rFonts w:ascii="Arial" w:hAnsi="Arial" w:cs="Arial"/>
          <w:sz w:val="24"/>
          <w:szCs w:val="24"/>
        </w:rPr>
        <w:t xml:space="preserve">contra </w:t>
      </w:r>
      <w:r w:rsidR="001D6921" w:rsidRPr="00F65DD7">
        <w:rPr>
          <w:rFonts w:ascii="Arial" w:eastAsia="Calibri" w:hAnsi="Arial" w:cs="Arial"/>
          <w:sz w:val="24"/>
          <w:szCs w:val="24"/>
        </w:rPr>
        <w:t xml:space="preserve">el </w:t>
      </w:r>
      <w:r w:rsidR="001D6921" w:rsidRPr="00F65DD7">
        <w:rPr>
          <w:rFonts w:ascii="Arial" w:hAnsi="Arial" w:cs="Arial"/>
          <w:sz w:val="24"/>
          <w:szCs w:val="24"/>
        </w:rPr>
        <w:t xml:space="preserve">Instituto Nacional Penitenciario y Carcelario INPEC </w:t>
      </w:r>
      <w:r w:rsidRPr="00F65DD7">
        <w:rPr>
          <w:rFonts w:ascii="Arial" w:hAnsi="Arial" w:cs="Arial"/>
          <w:sz w:val="24"/>
          <w:szCs w:val="24"/>
        </w:rPr>
        <w:t>es fácticamente distinto al que dio origen a la tesis de la sentenci</w:t>
      </w:r>
      <w:r w:rsidR="00FF52E3" w:rsidRPr="00F65DD7">
        <w:rPr>
          <w:rFonts w:ascii="Arial" w:hAnsi="Arial" w:cs="Arial"/>
          <w:sz w:val="24"/>
          <w:szCs w:val="24"/>
        </w:rPr>
        <w:t>a constitutiva, asumida por la s</w:t>
      </w:r>
      <w:r w:rsidRPr="00F65DD7">
        <w:rPr>
          <w:rFonts w:ascii="Arial" w:hAnsi="Arial" w:cs="Arial"/>
          <w:sz w:val="24"/>
          <w:szCs w:val="24"/>
        </w:rPr>
        <w:t xml:space="preserve">ección </w:t>
      </w:r>
      <w:r w:rsidR="00FF52E3" w:rsidRPr="00F65DD7">
        <w:rPr>
          <w:rFonts w:ascii="Arial" w:hAnsi="Arial" w:cs="Arial"/>
          <w:sz w:val="24"/>
          <w:szCs w:val="24"/>
        </w:rPr>
        <w:t>s</w:t>
      </w:r>
      <w:r w:rsidRPr="00F65DD7">
        <w:rPr>
          <w:rFonts w:ascii="Arial" w:hAnsi="Arial" w:cs="Arial"/>
          <w:sz w:val="24"/>
          <w:szCs w:val="24"/>
        </w:rPr>
        <w:t>egunda del Consejo de Estado a partir de febrero de 2009.</w:t>
      </w:r>
    </w:p>
    <w:p w:rsidR="000E00F9" w:rsidRPr="00F65DD7" w:rsidRDefault="000E00F9" w:rsidP="00851F72">
      <w:pPr>
        <w:spacing w:line="360" w:lineRule="auto"/>
        <w:jc w:val="both"/>
        <w:rPr>
          <w:rFonts w:ascii="Arial" w:hAnsi="Arial" w:cs="Arial"/>
          <w:sz w:val="24"/>
          <w:szCs w:val="24"/>
        </w:rPr>
      </w:pPr>
    </w:p>
    <w:p w:rsidR="00FF52E3" w:rsidRPr="00F65DD7" w:rsidRDefault="00FF52E3" w:rsidP="00FF52E3">
      <w:pPr>
        <w:spacing w:line="360" w:lineRule="auto"/>
        <w:jc w:val="both"/>
        <w:rPr>
          <w:rFonts w:ascii="Arial" w:hAnsi="Arial" w:cs="Arial"/>
          <w:sz w:val="24"/>
          <w:szCs w:val="24"/>
        </w:rPr>
      </w:pPr>
      <w:r w:rsidRPr="00F65DD7">
        <w:rPr>
          <w:rFonts w:ascii="Arial" w:hAnsi="Arial" w:cs="Arial"/>
          <w:sz w:val="24"/>
          <w:szCs w:val="24"/>
        </w:rPr>
        <w:t xml:space="preserve">Lo anterior debido a que en aquél asunto, la sección segunda estudió el caso de una persona que celebró unos contratos de prestación de servicios con el Instituto de Seguros Sociales de junio de 1995 a septiembre de 2000, con base en la Ley 80 de 1993 y con el objeto de realizar actividades de Tesorera Pagadora. Una vez terminado el último contrato, la demandante en aquél asunto reclamó el pago de las acreencias laborales, sin embargo, mediante el Oficio de 18 de septiembre de 2000, </w:t>
      </w:r>
      <w:r w:rsidRPr="00F65DD7">
        <w:rPr>
          <w:rFonts w:ascii="Arial" w:hAnsi="Arial" w:cs="Arial"/>
          <w:sz w:val="24"/>
          <w:szCs w:val="24"/>
        </w:rPr>
        <w:lastRenderedPageBreak/>
        <w:t>la Entidad le negó el reconoci</w:t>
      </w:r>
      <w:r w:rsidR="00810480" w:rsidRPr="00F65DD7">
        <w:rPr>
          <w:rFonts w:ascii="Arial" w:hAnsi="Arial" w:cs="Arial"/>
          <w:sz w:val="24"/>
          <w:szCs w:val="24"/>
        </w:rPr>
        <w:t>miento y pago de lo peticionado. En ese orden, se deduce que la parte actora</w:t>
      </w:r>
      <w:r w:rsidRPr="00F65DD7">
        <w:rPr>
          <w:rFonts w:ascii="Arial" w:hAnsi="Arial" w:cs="Arial"/>
          <w:sz w:val="24"/>
          <w:szCs w:val="24"/>
        </w:rPr>
        <w:t xml:space="preserve"> </w:t>
      </w:r>
      <w:r w:rsidR="00810480" w:rsidRPr="00F65DD7">
        <w:rPr>
          <w:rFonts w:ascii="Arial" w:hAnsi="Arial" w:cs="Arial"/>
          <w:sz w:val="24"/>
          <w:szCs w:val="24"/>
        </w:rPr>
        <w:t>n</w:t>
      </w:r>
      <w:r w:rsidRPr="00F65DD7">
        <w:rPr>
          <w:rFonts w:ascii="Arial" w:hAnsi="Arial" w:cs="Arial"/>
          <w:sz w:val="24"/>
          <w:szCs w:val="24"/>
        </w:rPr>
        <w:t xml:space="preserve">o permitió que prescribiera el derecho a reclamar </w:t>
      </w:r>
      <w:r w:rsidR="00810480" w:rsidRPr="00F65DD7">
        <w:rPr>
          <w:rFonts w:ascii="Arial" w:hAnsi="Arial" w:cs="Arial"/>
          <w:sz w:val="24"/>
          <w:szCs w:val="24"/>
        </w:rPr>
        <w:t xml:space="preserve">y </w:t>
      </w:r>
      <w:r w:rsidRPr="00F65DD7">
        <w:rPr>
          <w:rFonts w:ascii="Arial" w:hAnsi="Arial" w:cs="Arial"/>
          <w:sz w:val="24"/>
          <w:szCs w:val="24"/>
        </w:rPr>
        <w:t xml:space="preserve">que se declarara la existencia de una relación laboral, mientras que en el presente asunto </w:t>
      </w:r>
      <w:r w:rsidR="001D6921" w:rsidRPr="00F65DD7">
        <w:rPr>
          <w:rFonts w:ascii="Arial" w:hAnsi="Arial" w:cs="Arial"/>
          <w:sz w:val="24"/>
          <w:szCs w:val="24"/>
        </w:rPr>
        <w:t xml:space="preserve">señora Luz Marina Morales </w:t>
      </w:r>
      <w:r w:rsidRPr="00F65DD7">
        <w:rPr>
          <w:rFonts w:ascii="Arial" w:hAnsi="Arial" w:cs="Arial"/>
          <w:sz w:val="24"/>
          <w:szCs w:val="24"/>
        </w:rPr>
        <w:t>pr</w:t>
      </w:r>
      <w:r w:rsidR="00810480" w:rsidRPr="00F65DD7">
        <w:rPr>
          <w:rFonts w:ascii="Arial" w:hAnsi="Arial" w:cs="Arial"/>
          <w:sz w:val="24"/>
          <w:szCs w:val="24"/>
        </w:rPr>
        <w:t xml:space="preserve">esentó la respectiva petición </w:t>
      </w:r>
      <w:r w:rsidR="001D6921" w:rsidRPr="00F65DD7">
        <w:rPr>
          <w:rFonts w:ascii="Arial" w:hAnsi="Arial" w:cs="Arial"/>
          <w:sz w:val="24"/>
          <w:szCs w:val="24"/>
        </w:rPr>
        <w:t>cuatro</w:t>
      </w:r>
      <w:r w:rsidR="00810480" w:rsidRPr="00F65DD7">
        <w:rPr>
          <w:rFonts w:ascii="Arial" w:hAnsi="Arial" w:cs="Arial"/>
          <w:sz w:val="24"/>
          <w:szCs w:val="24"/>
        </w:rPr>
        <w:t xml:space="preserve"> (</w:t>
      </w:r>
      <w:r w:rsidR="001D6921" w:rsidRPr="00F65DD7">
        <w:rPr>
          <w:rFonts w:ascii="Arial" w:hAnsi="Arial" w:cs="Arial"/>
          <w:sz w:val="24"/>
          <w:szCs w:val="24"/>
        </w:rPr>
        <w:t>4</w:t>
      </w:r>
      <w:r w:rsidR="00810480" w:rsidRPr="00F65DD7">
        <w:rPr>
          <w:rFonts w:ascii="Arial" w:hAnsi="Arial" w:cs="Arial"/>
          <w:sz w:val="24"/>
          <w:szCs w:val="24"/>
        </w:rPr>
        <w:t>)</w:t>
      </w:r>
      <w:r w:rsidRPr="00F65DD7">
        <w:rPr>
          <w:rFonts w:ascii="Arial" w:hAnsi="Arial" w:cs="Arial"/>
          <w:sz w:val="24"/>
          <w:szCs w:val="24"/>
        </w:rPr>
        <w:t xml:space="preserve"> años después del último contrato, por lo cual se evidencia la diferencia de supuestos fácticos.</w:t>
      </w:r>
    </w:p>
    <w:p w:rsidR="00FF52E3" w:rsidRPr="00F65DD7" w:rsidRDefault="00FF52E3" w:rsidP="00FF52E3">
      <w:pPr>
        <w:spacing w:line="360" w:lineRule="auto"/>
        <w:jc w:val="both"/>
        <w:rPr>
          <w:rFonts w:ascii="Arial" w:hAnsi="Arial" w:cs="Arial"/>
          <w:sz w:val="24"/>
          <w:szCs w:val="24"/>
        </w:rPr>
      </w:pPr>
    </w:p>
    <w:p w:rsidR="00FF52E3" w:rsidRPr="00F65DD7" w:rsidRDefault="00FF52E3" w:rsidP="00FF52E3">
      <w:pPr>
        <w:spacing w:line="360" w:lineRule="auto"/>
        <w:jc w:val="both"/>
        <w:rPr>
          <w:rFonts w:ascii="Arial" w:hAnsi="Arial" w:cs="Arial"/>
          <w:sz w:val="24"/>
          <w:szCs w:val="24"/>
        </w:rPr>
      </w:pPr>
      <w:r w:rsidRPr="00F65DD7">
        <w:rPr>
          <w:rFonts w:ascii="Arial" w:hAnsi="Arial" w:cs="Arial"/>
          <w:sz w:val="24"/>
          <w:szCs w:val="24"/>
        </w:rPr>
        <w:t>En consecuencia, debe reiterarse que si bien la sentencia que define asuntos en los que se debate la existencia de un contrato realidad tenga un carácter constitutivo y, en consecuencia, a partir de su declaración se comienzan a contar los términos de prescripción de los derechos y prestaciones derivados de la relación laboral, esto no faculta al interesado</w:t>
      </w:r>
      <w:r w:rsidR="00810480" w:rsidRPr="00F65DD7">
        <w:rPr>
          <w:rFonts w:ascii="Arial" w:hAnsi="Arial" w:cs="Arial"/>
          <w:sz w:val="24"/>
          <w:szCs w:val="24"/>
        </w:rPr>
        <w:t xml:space="preserve"> a</w:t>
      </w:r>
      <w:r w:rsidRPr="00F65DD7">
        <w:rPr>
          <w:rFonts w:ascii="Arial" w:hAnsi="Arial" w:cs="Arial"/>
          <w:sz w:val="24"/>
          <w:szCs w:val="24"/>
        </w:rPr>
        <w:t xml:space="preserve"> reclamar ante la administración la aplicación del principio de la primacía de la realidad sobre las formas en cualquier momento.</w:t>
      </w:r>
    </w:p>
    <w:p w:rsidR="00FF52E3" w:rsidRPr="00F65DD7" w:rsidRDefault="00FF52E3" w:rsidP="00FF52E3">
      <w:pPr>
        <w:spacing w:line="360" w:lineRule="auto"/>
        <w:jc w:val="both"/>
        <w:rPr>
          <w:rFonts w:ascii="Arial" w:hAnsi="Arial" w:cs="Arial"/>
          <w:sz w:val="24"/>
          <w:szCs w:val="24"/>
        </w:rPr>
      </w:pPr>
    </w:p>
    <w:p w:rsidR="00FF52E3" w:rsidRPr="00F65DD7" w:rsidRDefault="00FF52E3" w:rsidP="001763FE">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 xml:space="preserve">Así pues, se concluye que la </w:t>
      </w:r>
      <w:r w:rsidR="001D6921" w:rsidRPr="00F65DD7">
        <w:rPr>
          <w:rFonts w:ascii="Arial" w:hAnsi="Arial" w:cs="Arial"/>
          <w:sz w:val="24"/>
          <w:szCs w:val="24"/>
        </w:rPr>
        <w:t xml:space="preserve">señora Luz Marina Morales </w:t>
      </w:r>
      <w:r w:rsidRPr="00F65DD7">
        <w:rPr>
          <w:rFonts w:ascii="Arial" w:hAnsi="Arial" w:cs="Arial"/>
          <w:sz w:val="24"/>
          <w:szCs w:val="24"/>
        </w:rPr>
        <w:t>prest</w:t>
      </w:r>
      <w:r w:rsidR="00E34D8C" w:rsidRPr="00F65DD7">
        <w:rPr>
          <w:rFonts w:ascii="Arial" w:hAnsi="Arial" w:cs="Arial"/>
          <w:sz w:val="24"/>
          <w:szCs w:val="24"/>
        </w:rPr>
        <w:t>ó sus servicios como</w:t>
      </w:r>
      <w:r w:rsidR="001763FE" w:rsidRPr="00F65DD7">
        <w:rPr>
          <w:rFonts w:ascii="Arial" w:hAnsi="Arial" w:cs="Arial"/>
          <w:sz w:val="24"/>
          <w:szCs w:val="24"/>
        </w:rPr>
        <w:t xml:space="preserve"> apoyo en la división financiera d</w:t>
      </w:r>
      <w:r w:rsidR="001763FE" w:rsidRPr="00F65DD7">
        <w:rPr>
          <w:rFonts w:ascii="Arial" w:eastAsia="Calibri" w:hAnsi="Arial" w:cs="Arial"/>
          <w:sz w:val="24"/>
          <w:szCs w:val="24"/>
        </w:rPr>
        <w:t xml:space="preserve">el </w:t>
      </w:r>
      <w:r w:rsidR="001763FE" w:rsidRPr="00F65DD7">
        <w:rPr>
          <w:rFonts w:ascii="Arial" w:hAnsi="Arial" w:cs="Arial"/>
          <w:sz w:val="24"/>
          <w:szCs w:val="24"/>
        </w:rPr>
        <w:t xml:space="preserve">Instituto Nacional Penitenciario y Carcelario INPEC, </w:t>
      </w:r>
      <w:r w:rsidR="00E34D8C" w:rsidRPr="00F65DD7">
        <w:rPr>
          <w:rFonts w:ascii="Arial" w:hAnsi="Arial" w:cs="Arial"/>
          <w:sz w:val="24"/>
          <w:szCs w:val="24"/>
        </w:rPr>
        <w:t>contrato</w:t>
      </w:r>
      <w:r w:rsidR="00A44795" w:rsidRPr="00F65DD7">
        <w:rPr>
          <w:rFonts w:ascii="Arial" w:hAnsi="Arial" w:cs="Arial"/>
          <w:sz w:val="24"/>
          <w:szCs w:val="24"/>
        </w:rPr>
        <w:t>s</w:t>
      </w:r>
      <w:r w:rsidR="00982F07" w:rsidRPr="00F65DD7">
        <w:rPr>
          <w:rFonts w:ascii="Arial" w:hAnsi="Arial" w:cs="Arial"/>
          <w:sz w:val="24"/>
          <w:szCs w:val="24"/>
        </w:rPr>
        <w:t xml:space="preserve"> de prestación de servicios</w:t>
      </w:r>
      <w:r w:rsidR="00A44795" w:rsidRPr="00F65DD7">
        <w:rPr>
          <w:rFonts w:ascii="Arial" w:hAnsi="Arial" w:cs="Arial"/>
          <w:sz w:val="24"/>
          <w:szCs w:val="24"/>
        </w:rPr>
        <w:t>,</w:t>
      </w:r>
      <w:r w:rsidRPr="00F65DD7">
        <w:rPr>
          <w:rFonts w:ascii="Arial" w:hAnsi="Arial" w:cs="Arial"/>
          <w:sz w:val="24"/>
          <w:szCs w:val="24"/>
        </w:rPr>
        <w:t xml:space="preserve"> de</w:t>
      </w:r>
      <w:r w:rsidR="00982F07" w:rsidRPr="00F65DD7">
        <w:rPr>
          <w:rFonts w:ascii="Arial" w:hAnsi="Arial" w:cs="Arial"/>
          <w:sz w:val="24"/>
          <w:szCs w:val="24"/>
        </w:rPr>
        <w:t xml:space="preserve"> las cuales se pudo establecer que </w:t>
      </w:r>
      <w:r w:rsidR="00A44795" w:rsidRPr="00F65DD7">
        <w:rPr>
          <w:rFonts w:ascii="Arial" w:hAnsi="Arial" w:cs="Arial"/>
          <w:sz w:val="24"/>
          <w:szCs w:val="24"/>
        </w:rPr>
        <w:t>laboró para la entidad hasta</w:t>
      </w:r>
      <w:r w:rsidR="00982F07" w:rsidRPr="00F65DD7">
        <w:rPr>
          <w:rFonts w:ascii="Arial" w:hAnsi="Arial" w:cs="Arial"/>
          <w:sz w:val="24"/>
          <w:szCs w:val="24"/>
        </w:rPr>
        <w:t xml:space="preserve"> el 3</w:t>
      </w:r>
      <w:r w:rsidR="001763FE" w:rsidRPr="00F65DD7">
        <w:rPr>
          <w:rFonts w:ascii="Arial" w:hAnsi="Arial" w:cs="Arial"/>
          <w:sz w:val="24"/>
          <w:szCs w:val="24"/>
        </w:rPr>
        <w:t>1</w:t>
      </w:r>
      <w:r w:rsidR="00982F07" w:rsidRPr="00F65DD7">
        <w:rPr>
          <w:rFonts w:ascii="Arial" w:hAnsi="Arial" w:cs="Arial"/>
          <w:sz w:val="24"/>
          <w:szCs w:val="24"/>
        </w:rPr>
        <w:t xml:space="preserve"> de </w:t>
      </w:r>
      <w:r w:rsidR="001763FE" w:rsidRPr="00F65DD7">
        <w:rPr>
          <w:rFonts w:ascii="Arial" w:hAnsi="Arial" w:cs="Arial"/>
          <w:sz w:val="24"/>
          <w:szCs w:val="24"/>
        </w:rPr>
        <w:t>diciembre</w:t>
      </w:r>
      <w:r w:rsidR="00982F07" w:rsidRPr="00F65DD7">
        <w:rPr>
          <w:rFonts w:ascii="Arial" w:hAnsi="Arial" w:cs="Arial"/>
          <w:sz w:val="24"/>
          <w:szCs w:val="24"/>
        </w:rPr>
        <w:t xml:space="preserve"> de 200</w:t>
      </w:r>
      <w:r w:rsidR="001763FE" w:rsidRPr="00F65DD7">
        <w:rPr>
          <w:rFonts w:ascii="Arial" w:hAnsi="Arial" w:cs="Arial"/>
          <w:sz w:val="24"/>
          <w:szCs w:val="24"/>
        </w:rPr>
        <w:t>9</w:t>
      </w:r>
      <w:r w:rsidR="000D16AF" w:rsidRPr="00F65DD7">
        <w:rPr>
          <w:rFonts w:ascii="Arial" w:hAnsi="Arial" w:cs="Arial"/>
          <w:sz w:val="24"/>
          <w:szCs w:val="24"/>
        </w:rPr>
        <w:t>. En ese orden,</w:t>
      </w:r>
      <w:r w:rsidRPr="00F65DD7">
        <w:rPr>
          <w:rFonts w:ascii="Arial" w:hAnsi="Arial" w:cs="Arial"/>
          <w:sz w:val="24"/>
          <w:szCs w:val="24"/>
        </w:rPr>
        <w:t xml:space="preserve"> </w:t>
      </w:r>
      <w:r w:rsidR="00982F07" w:rsidRPr="00F65DD7">
        <w:rPr>
          <w:rFonts w:ascii="Arial" w:hAnsi="Arial" w:cs="Arial"/>
          <w:sz w:val="24"/>
          <w:szCs w:val="24"/>
        </w:rPr>
        <w:t xml:space="preserve">no puede pretender después </w:t>
      </w:r>
      <w:r w:rsidR="001763FE" w:rsidRPr="00F65DD7">
        <w:rPr>
          <w:rFonts w:ascii="Arial" w:hAnsi="Arial" w:cs="Arial"/>
          <w:sz w:val="24"/>
          <w:szCs w:val="24"/>
        </w:rPr>
        <w:t>de 4</w:t>
      </w:r>
      <w:r w:rsidRPr="00F65DD7">
        <w:rPr>
          <w:rFonts w:ascii="Arial" w:hAnsi="Arial" w:cs="Arial"/>
          <w:sz w:val="24"/>
          <w:szCs w:val="24"/>
        </w:rPr>
        <w:t xml:space="preserve"> años beneficiarse de la tesis de la sentencia constitutiva, pues, como ya se mencionó en líneas anteriores, en aquella oportunidad pretendía resolverse una brecha o controversia que giraba en torno al momento en el que prescribían los efectos de los derechos reconocidos con la declaratoria de existencia del contrato realidad.</w:t>
      </w:r>
    </w:p>
    <w:p w:rsidR="00FF52E3" w:rsidRPr="00F65DD7" w:rsidRDefault="00FF52E3" w:rsidP="00FF52E3">
      <w:pPr>
        <w:spacing w:line="360" w:lineRule="auto"/>
        <w:jc w:val="both"/>
        <w:rPr>
          <w:rFonts w:ascii="Arial" w:hAnsi="Arial" w:cs="Arial"/>
          <w:sz w:val="24"/>
          <w:szCs w:val="24"/>
        </w:rPr>
      </w:pPr>
    </w:p>
    <w:p w:rsidR="000D16AF" w:rsidRPr="00F65DD7" w:rsidRDefault="00FF52E3" w:rsidP="000D16AF">
      <w:pPr>
        <w:spacing w:line="360" w:lineRule="auto"/>
        <w:jc w:val="both"/>
        <w:rPr>
          <w:rFonts w:ascii="Arial" w:hAnsi="Arial" w:cs="Arial"/>
          <w:i/>
          <w:sz w:val="24"/>
          <w:szCs w:val="24"/>
        </w:rPr>
      </w:pPr>
      <w:r w:rsidRPr="00F65DD7">
        <w:rPr>
          <w:rFonts w:ascii="Arial" w:hAnsi="Arial" w:cs="Arial"/>
          <w:sz w:val="24"/>
          <w:szCs w:val="24"/>
        </w:rPr>
        <w:t xml:space="preserve">Ello es así, por cuanto recordemos que las órdenes de prestación de servicios tenían plazos establecidos y finalizados los mismos se procedía a hacer contratos, entonces se dieron en el tiempo cadenas de órdenes de prestación de servicios sucesivas que es precisamente lo que configura el contrato realidad, luego quien ha tenido esa situación sucesiva es aquel que cuando reclama una vez finalizado el último contrato no se le pueden desconocer los anteriores; caso distinto es reclamar después de haber transcurrido los 3 años que establece el Decreto 1848 de 4 de noviembre de 1969, reglamentario del Decreto 3135 de 26 de diciembre 1968 </w:t>
      </w:r>
      <w:r w:rsidR="000D16AF" w:rsidRPr="00F65DD7">
        <w:rPr>
          <w:rFonts w:ascii="Arial" w:hAnsi="Arial" w:cs="Arial"/>
          <w:sz w:val="24"/>
          <w:szCs w:val="24"/>
        </w:rPr>
        <w:t>«</w:t>
      </w:r>
      <w:r w:rsidRPr="00F65DD7">
        <w:rPr>
          <w:rFonts w:ascii="Arial" w:hAnsi="Arial" w:cs="Arial"/>
          <w:sz w:val="24"/>
          <w:szCs w:val="24"/>
        </w:rPr>
        <w:t xml:space="preserve">(…) </w:t>
      </w:r>
      <w:r w:rsidRPr="00F65DD7">
        <w:rPr>
          <w:rFonts w:ascii="Arial" w:hAnsi="Arial" w:cs="Arial"/>
          <w:bCs/>
          <w:sz w:val="24"/>
          <w:szCs w:val="24"/>
        </w:rPr>
        <w:t>por el cual se prevé la integración de la seguridad social entre el sector público y el privado y se regula el régimen prestacional de los empleados público</w:t>
      </w:r>
      <w:r w:rsidR="000D16AF" w:rsidRPr="00F65DD7">
        <w:rPr>
          <w:rFonts w:ascii="Arial" w:hAnsi="Arial" w:cs="Arial"/>
          <w:bCs/>
          <w:sz w:val="24"/>
          <w:szCs w:val="24"/>
        </w:rPr>
        <w:t>s y trabajadores oficiales. (…)</w:t>
      </w:r>
      <w:r w:rsidR="000D16AF" w:rsidRPr="00F65DD7">
        <w:rPr>
          <w:rFonts w:ascii="Arial" w:hAnsi="Arial" w:cs="Arial"/>
          <w:color w:val="000000"/>
          <w:sz w:val="24"/>
          <w:szCs w:val="24"/>
        </w:rPr>
        <w:t>. Bajo esa perspectiva, la providencia acusada no adolece de los defectos que se le censuran, por el contrario, las razones que fundan la decisión son plausibles en un todo.</w:t>
      </w:r>
    </w:p>
    <w:p w:rsidR="006E4758" w:rsidRPr="00F65DD7" w:rsidRDefault="006E4758" w:rsidP="007E65CE">
      <w:pPr>
        <w:spacing w:line="360" w:lineRule="auto"/>
        <w:jc w:val="both"/>
        <w:rPr>
          <w:rFonts w:ascii="Arial" w:hAnsi="Arial" w:cs="Arial"/>
          <w:sz w:val="24"/>
          <w:szCs w:val="24"/>
        </w:rPr>
      </w:pPr>
    </w:p>
    <w:p w:rsidR="0016018A" w:rsidRPr="00F65DD7" w:rsidRDefault="0016018A" w:rsidP="007E65CE">
      <w:pPr>
        <w:spacing w:line="360" w:lineRule="auto"/>
        <w:jc w:val="both"/>
        <w:rPr>
          <w:rFonts w:ascii="Arial" w:hAnsi="Arial" w:cs="Arial"/>
          <w:sz w:val="24"/>
          <w:szCs w:val="24"/>
        </w:rPr>
      </w:pPr>
      <w:r w:rsidRPr="00F65DD7">
        <w:rPr>
          <w:rFonts w:ascii="Arial" w:hAnsi="Arial" w:cs="Arial"/>
          <w:sz w:val="24"/>
          <w:szCs w:val="24"/>
        </w:rPr>
        <w:t xml:space="preserve">Al respecto, la Sala recuerda que en oportunidad anterior con ponencia del Doctor Caramelo </w:t>
      </w:r>
      <w:r w:rsidR="004064ED" w:rsidRPr="00F65DD7">
        <w:rPr>
          <w:rFonts w:ascii="Arial" w:hAnsi="Arial" w:cs="Arial"/>
          <w:sz w:val="24"/>
          <w:szCs w:val="24"/>
        </w:rPr>
        <w:t xml:space="preserve">Perdomo </w:t>
      </w:r>
      <w:proofErr w:type="spellStart"/>
      <w:r w:rsidRPr="00F65DD7">
        <w:rPr>
          <w:rFonts w:ascii="Arial" w:hAnsi="Arial" w:cs="Arial"/>
          <w:sz w:val="24"/>
          <w:szCs w:val="24"/>
        </w:rPr>
        <w:t>Cuéter</w:t>
      </w:r>
      <w:proofErr w:type="spellEnd"/>
      <w:r w:rsidR="000E0A29" w:rsidRPr="00F65DD7">
        <w:rPr>
          <w:rStyle w:val="Refdenotaalpie"/>
          <w:rFonts w:ascii="Arial" w:hAnsi="Arial" w:cs="Arial"/>
          <w:sz w:val="24"/>
          <w:szCs w:val="24"/>
        </w:rPr>
        <w:footnoteReference w:id="31"/>
      </w:r>
      <w:r w:rsidRPr="00F65DD7">
        <w:rPr>
          <w:rFonts w:ascii="Arial" w:hAnsi="Arial" w:cs="Arial"/>
          <w:sz w:val="24"/>
          <w:szCs w:val="24"/>
        </w:rPr>
        <w:t>, al estudiar una situación de similares contornos se desestimó la posible vulneración derechos fundamentales, en tanto el tema de la prescripción en materia de contrato real</w:t>
      </w:r>
      <w:r w:rsidR="000E0A29" w:rsidRPr="00F65DD7">
        <w:rPr>
          <w:rFonts w:ascii="Arial" w:hAnsi="Arial" w:cs="Arial"/>
          <w:sz w:val="24"/>
          <w:szCs w:val="24"/>
        </w:rPr>
        <w:t xml:space="preserve">idad </w:t>
      </w:r>
      <w:r w:rsidRPr="00F65DD7">
        <w:rPr>
          <w:rFonts w:ascii="Arial" w:hAnsi="Arial" w:cs="Arial"/>
          <w:sz w:val="24"/>
          <w:szCs w:val="24"/>
        </w:rPr>
        <w:t xml:space="preserve"> no ha sido pacifica al interior de la Corporación, por ello, independientemente </w:t>
      </w:r>
      <w:r w:rsidR="000E0A29" w:rsidRPr="00F65DD7">
        <w:rPr>
          <w:rFonts w:ascii="Arial" w:hAnsi="Arial" w:cs="Arial"/>
          <w:sz w:val="24"/>
          <w:szCs w:val="24"/>
        </w:rPr>
        <w:t xml:space="preserve">de </w:t>
      </w:r>
      <w:r w:rsidRPr="00F65DD7">
        <w:rPr>
          <w:rFonts w:ascii="Arial" w:hAnsi="Arial" w:cs="Arial"/>
          <w:sz w:val="24"/>
          <w:szCs w:val="24"/>
        </w:rPr>
        <w:t>la postura que adopten los jueces, lo imprescindible es que la</w:t>
      </w:r>
      <w:r w:rsidR="000E0A29" w:rsidRPr="00F65DD7">
        <w:rPr>
          <w:rFonts w:ascii="Arial" w:hAnsi="Arial" w:cs="Arial"/>
          <w:sz w:val="24"/>
          <w:szCs w:val="24"/>
        </w:rPr>
        <w:t xml:space="preserve"> misma</w:t>
      </w:r>
      <w:r w:rsidRPr="00F65DD7">
        <w:rPr>
          <w:rFonts w:ascii="Arial" w:hAnsi="Arial" w:cs="Arial"/>
          <w:sz w:val="24"/>
          <w:szCs w:val="24"/>
        </w:rPr>
        <w:t xml:space="preserve"> </w:t>
      </w:r>
      <w:r w:rsidR="000E0A29" w:rsidRPr="00F65DD7">
        <w:rPr>
          <w:rFonts w:ascii="Arial" w:hAnsi="Arial" w:cs="Arial"/>
          <w:sz w:val="24"/>
          <w:szCs w:val="24"/>
        </w:rPr>
        <w:t>esté</w:t>
      </w:r>
      <w:r w:rsidRPr="00F65DD7">
        <w:rPr>
          <w:rFonts w:ascii="Arial" w:hAnsi="Arial" w:cs="Arial"/>
          <w:sz w:val="24"/>
          <w:szCs w:val="24"/>
        </w:rPr>
        <w:t xml:space="preserve"> </w:t>
      </w:r>
      <w:r w:rsidR="000E0A29" w:rsidRPr="00F65DD7">
        <w:rPr>
          <w:rFonts w:ascii="Arial" w:hAnsi="Arial" w:cs="Arial"/>
          <w:sz w:val="24"/>
          <w:szCs w:val="24"/>
        </w:rPr>
        <w:t>debidamente motivada</w:t>
      </w:r>
      <w:r w:rsidRPr="00F65DD7">
        <w:rPr>
          <w:rFonts w:ascii="Arial" w:hAnsi="Arial" w:cs="Arial"/>
          <w:sz w:val="24"/>
          <w:szCs w:val="24"/>
        </w:rPr>
        <w:t>, más exactamente se consideró:</w:t>
      </w:r>
    </w:p>
    <w:p w:rsidR="000E0A29" w:rsidRPr="00F65DD7" w:rsidRDefault="000E0A29" w:rsidP="000E0A29">
      <w:pPr>
        <w:ind w:left="567"/>
        <w:jc w:val="both"/>
        <w:rPr>
          <w:rFonts w:ascii="Arial" w:hAnsi="Arial" w:cs="Arial"/>
          <w:sz w:val="24"/>
          <w:szCs w:val="24"/>
        </w:rPr>
      </w:pPr>
    </w:p>
    <w:p w:rsidR="0016018A" w:rsidRPr="00F65DD7" w:rsidRDefault="0016018A" w:rsidP="000E0A29">
      <w:pPr>
        <w:ind w:left="567"/>
        <w:jc w:val="both"/>
        <w:rPr>
          <w:rFonts w:ascii="Arial" w:hAnsi="Arial" w:cs="Arial"/>
          <w:sz w:val="24"/>
          <w:szCs w:val="24"/>
        </w:rPr>
      </w:pPr>
      <w:r w:rsidRPr="00F65DD7">
        <w:rPr>
          <w:rFonts w:ascii="Arial" w:hAnsi="Arial" w:cs="Arial"/>
          <w:sz w:val="24"/>
          <w:szCs w:val="24"/>
        </w:rPr>
        <w:t xml:space="preserve">“ </w:t>
      </w:r>
      <w:r w:rsidR="000E0A29" w:rsidRPr="00F65DD7">
        <w:rPr>
          <w:rFonts w:ascii="Arial" w:hAnsi="Arial" w:cs="Arial"/>
          <w:sz w:val="24"/>
          <w:szCs w:val="24"/>
        </w:rPr>
        <w:t>Como se aprecia, e tema que nos ocupa se examina desde la óptica de dos hermenéuticas, ambas plausibles, por estar debidamente fundamentadas en el ordenamiento jurídico, escenario que, de contera, por sustracción de materia, pone de presente que no existe un criterio único y, por ende, pacifico, que ilumine exclusiva y excluyentemente los asuntos puestos a consideración con los elementos descritos en procedencia, en punto a definir, de manera enfática y concluyente, para las prestaciones deprecadas, cuál es el hito de partida y, por ende, el extremo fina de la línea temporal del fenómeno prescriptivo.</w:t>
      </w:r>
    </w:p>
    <w:p w:rsidR="000E0A29" w:rsidRPr="00F65DD7" w:rsidRDefault="000E0A29" w:rsidP="000E0A29">
      <w:pPr>
        <w:ind w:left="567"/>
        <w:jc w:val="both"/>
        <w:rPr>
          <w:rFonts w:ascii="Arial" w:hAnsi="Arial" w:cs="Arial"/>
          <w:sz w:val="24"/>
          <w:szCs w:val="24"/>
        </w:rPr>
      </w:pPr>
    </w:p>
    <w:p w:rsidR="000E0A29" w:rsidRPr="00F65DD7" w:rsidRDefault="000E0A29" w:rsidP="000E0A29">
      <w:pPr>
        <w:ind w:left="567"/>
        <w:jc w:val="both"/>
        <w:rPr>
          <w:rFonts w:ascii="Arial" w:hAnsi="Arial" w:cs="Arial"/>
          <w:sz w:val="24"/>
          <w:szCs w:val="24"/>
        </w:rPr>
      </w:pPr>
      <w:r w:rsidRPr="00F65DD7">
        <w:rPr>
          <w:rFonts w:ascii="Arial" w:hAnsi="Arial" w:cs="Arial"/>
          <w:sz w:val="24"/>
          <w:szCs w:val="24"/>
        </w:rPr>
        <w:t>En esa medida, mal puede sostenerse que se desconoció el precedente judicial, pues, se reitera, en el evento en cuestión, no es único, de manera que al ser admisible aplicar, para cada caso en concreto, según sus particularidades, alguna de las tesis consignadas, no se configura e defecto o vicio erigido por la Corte Constitucional con tal denominación”:</w:t>
      </w:r>
    </w:p>
    <w:p w:rsidR="0016018A" w:rsidRPr="00F65DD7" w:rsidRDefault="0016018A" w:rsidP="007E65CE">
      <w:pPr>
        <w:spacing w:line="360" w:lineRule="auto"/>
        <w:jc w:val="both"/>
        <w:rPr>
          <w:rFonts w:ascii="Arial" w:hAnsi="Arial" w:cs="Arial"/>
          <w:sz w:val="24"/>
          <w:szCs w:val="24"/>
        </w:rPr>
      </w:pPr>
    </w:p>
    <w:p w:rsidR="00667AA1" w:rsidRDefault="00667AA1" w:rsidP="00667AA1">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En mérito de lo expuesto el Consejo de Estado, Sala de lo Contencioso Administrativo, Sección Segunda, Subsección B, administrando justicia en nombre de la República y por autoridad de la Ley,</w:t>
      </w:r>
    </w:p>
    <w:p w:rsidR="00F65DD7" w:rsidRPr="00F65DD7" w:rsidRDefault="00F65DD7" w:rsidP="00667AA1">
      <w:pPr>
        <w:overflowPunct/>
        <w:autoSpaceDE/>
        <w:autoSpaceDN/>
        <w:adjustRightInd/>
        <w:spacing w:line="360" w:lineRule="auto"/>
        <w:jc w:val="both"/>
        <w:textAlignment w:val="auto"/>
        <w:rPr>
          <w:rFonts w:ascii="Arial" w:hAnsi="Arial" w:cs="Arial"/>
          <w:sz w:val="24"/>
          <w:szCs w:val="24"/>
        </w:rPr>
      </w:pPr>
    </w:p>
    <w:p w:rsidR="005B72A1" w:rsidRPr="00F65DD7" w:rsidRDefault="005B72A1" w:rsidP="00222BEF">
      <w:pPr>
        <w:overflowPunct/>
        <w:autoSpaceDE/>
        <w:autoSpaceDN/>
        <w:adjustRightInd/>
        <w:spacing w:line="360" w:lineRule="auto"/>
        <w:jc w:val="center"/>
        <w:textAlignment w:val="auto"/>
        <w:outlineLvl w:val="4"/>
        <w:rPr>
          <w:rFonts w:ascii="Arial" w:hAnsi="Arial" w:cs="Arial"/>
          <w:b/>
          <w:bCs/>
          <w:iCs/>
          <w:spacing w:val="-6"/>
          <w:sz w:val="24"/>
          <w:szCs w:val="24"/>
        </w:rPr>
      </w:pPr>
      <w:r w:rsidRPr="00F65DD7">
        <w:rPr>
          <w:rFonts w:ascii="Arial" w:hAnsi="Arial" w:cs="Arial"/>
          <w:b/>
          <w:bCs/>
          <w:iCs/>
          <w:sz w:val="24"/>
          <w:szCs w:val="24"/>
        </w:rPr>
        <w:t>FALLA</w:t>
      </w:r>
    </w:p>
    <w:p w:rsidR="005B72A1" w:rsidRPr="00F65DD7" w:rsidRDefault="005B72A1" w:rsidP="00611677">
      <w:pPr>
        <w:overflowPunct/>
        <w:autoSpaceDE/>
        <w:autoSpaceDN/>
        <w:adjustRightInd/>
        <w:spacing w:line="360" w:lineRule="auto"/>
        <w:jc w:val="both"/>
        <w:textAlignment w:val="auto"/>
        <w:rPr>
          <w:rFonts w:ascii="Arial" w:hAnsi="Arial" w:cs="Arial"/>
          <w:bCs/>
          <w:sz w:val="24"/>
          <w:szCs w:val="24"/>
        </w:rPr>
      </w:pPr>
    </w:p>
    <w:p w:rsidR="00795170" w:rsidRPr="00F65DD7" w:rsidRDefault="00825EE8" w:rsidP="00795170">
      <w:pPr>
        <w:pStyle w:val="Estilo"/>
        <w:spacing w:line="360" w:lineRule="auto"/>
        <w:jc w:val="both"/>
        <w:rPr>
          <w:color w:val="141115"/>
          <w:lang w:val="es-ES_tradnl"/>
        </w:rPr>
      </w:pPr>
      <w:r w:rsidRPr="00F65DD7">
        <w:rPr>
          <w:b/>
        </w:rPr>
        <w:t>PRIMERO</w:t>
      </w:r>
      <w:r w:rsidR="00795170" w:rsidRPr="00F65DD7">
        <w:rPr>
          <w:b/>
        </w:rPr>
        <w:t>.</w:t>
      </w:r>
      <w:r w:rsidR="00795170" w:rsidRPr="00F65DD7">
        <w:rPr>
          <w:b/>
          <w:bCs/>
          <w:color w:val="141115"/>
          <w:lang w:val="es-ES_tradnl"/>
        </w:rPr>
        <w:t xml:space="preserve"> </w:t>
      </w:r>
      <w:r w:rsidR="009F037F" w:rsidRPr="00F65DD7">
        <w:rPr>
          <w:b/>
          <w:bCs/>
        </w:rPr>
        <w:t>NEGAR</w:t>
      </w:r>
      <w:r w:rsidR="009F037F" w:rsidRPr="00F65DD7">
        <w:t xml:space="preserve"> la acción de tutela instaurada por la señora </w:t>
      </w:r>
      <w:r w:rsidR="001763FE" w:rsidRPr="00F65DD7">
        <w:t>Luz Marina Morales</w:t>
      </w:r>
      <w:r w:rsidR="009F037F" w:rsidRPr="00F65DD7">
        <w:t xml:space="preserve"> contra el Tribunal Administrativo de Cundinamarca, sección segunda, subsección A, de conformidad con las razones expuestas en la parte motiva de esta providencia.</w:t>
      </w:r>
    </w:p>
    <w:p w:rsidR="006A30E9" w:rsidRPr="00F65DD7" w:rsidRDefault="006A30E9" w:rsidP="00611677">
      <w:pPr>
        <w:spacing w:line="360" w:lineRule="auto"/>
        <w:jc w:val="both"/>
        <w:rPr>
          <w:rFonts w:ascii="Arial" w:hAnsi="Arial" w:cs="Arial"/>
          <w:sz w:val="24"/>
          <w:szCs w:val="24"/>
        </w:rPr>
      </w:pPr>
    </w:p>
    <w:p w:rsidR="00795170" w:rsidRPr="00F65DD7" w:rsidRDefault="00FA66E1" w:rsidP="00611677">
      <w:pPr>
        <w:spacing w:line="360" w:lineRule="auto"/>
        <w:jc w:val="both"/>
        <w:rPr>
          <w:rFonts w:ascii="Arial" w:hAnsi="Arial" w:cs="Arial"/>
          <w:sz w:val="24"/>
          <w:szCs w:val="24"/>
        </w:rPr>
      </w:pPr>
      <w:r w:rsidRPr="00F65DD7">
        <w:rPr>
          <w:rFonts w:ascii="Arial" w:hAnsi="Arial" w:cs="Arial"/>
          <w:b/>
          <w:sz w:val="24"/>
          <w:szCs w:val="24"/>
        </w:rPr>
        <w:t xml:space="preserve">SEGUNDO. </w:t>
      </w:r>
      <w:r w:rsidR="009F037F" w:rsidRPr="00F65DD7">
        <w:rPr>
          <w:rFonts w:ascii="Arial" w:hAnsi="Arial" w:cs="Arial"/>
          <w:b/>
          <w:sz w:val="24"/>
          <w:szCs w:val="24"/>
        </w:rPr>
        <w:t>NOTIFICAR</w:t>
      </w:r>
      <w:r w:rsidR="009F037F" w:rsidRPr="00F65DD7">
        <w:rPr>
          <w:rFonts w:ascii="Arial" w:hAnsi="Arial" w:cs="Arial"/>
          <w:sz w:val="24"/>
          <w:szCs w:val="24"/>
        </w:rPr>
        <w:t xml:space="preserve"> esta providencia por telegrama o por el medio más expedito de conformidad con lo dispuesto por el artículo 30 del Decreto 2591 de 1991, para los fines ahí contemplados.</w:t>
      </w:r>
    </w:p>
    <w:p w:rsidR="00795170" w:rsidRPr="00F65DD7" w:rsidRDefault="00795170" w:rsidP="00611677">
      <w:pPr>
        <w:spacing w:line="360" w:lineRule="auto"/>
        <w:jc w:val="both"/>
        <w:rPr>
          <w:rFonts w:ascii="Arial" w:hAnsi="Arial" w:cs="Arial"/>
          <w:sz w:val="24"/>
          <w:szCs w:val="24"/>
        </w:rPr>
      </w:pPr>
    </w:p>
    <w:p w:rsidR="00FA66E1" w:rsidRPr="00F65DD7" w:rsidRDefault="00F56F29" w:rsidP="00611677">
      <w:pPr>
        <w:spacing w:line="360" w:lineRule="auto"/>
        <w:jc w:val="both"/>
        <w:rPr>
          <w:rFonts w:ascii="Arial" w:hAnsi="Arial" w:cs="Arial"/>
          <w:sz w:val="24"/>
          <w:szCs w:val="24"/>
        </w:rPr>
      </w:pPr>
      <w:r w:rsidRPr="00F65DD7">
        <w:rPr>
          <w:rFonts w:ascii="Arial" w:hAnsi="Arial" w:cs="Arial"/>
          <w:b/>
          <w:bCs/>
          <w:sz w:val="24"/>
          <w:szCs w:val="24"/>
        </w:rPr>
        <w:t>TERCERO.</w:t>
      </w:r>
      <w:r w:rsidRPr="00F65DD7">
        <w:rPr>
          <w:rFonts w:ascii="Arial" w:hAnsi="Arial" w:cs="Arial"/>
          <w:sz w:val="24"/>
          <w:szCs w:val="24"/>
        </w:rPr>
        <w:t xml:space="preserve"> </w:t>
      </w:r>
      <w:r w:rsidR="009F037F" w:rsidRPr="00F65DD7">
        <w:rPr>
          <w:rFonts w:ascii="Arial" w:hAnsi="Arial" w:cs="Arial"/>
          <w:sz w:val="24"/>
          <w:szCs w:val="24"/>
          <w:shd w:val="clear" w:color="auto" w:fill="FFFFFF"/>
        </w:rPr>
        <w:t>En acatamiento de las disposiciones del artículo 31</w:t>
      </w:r>
      <w:r w:rsidR="009F037F" w:rsidRPr="00F65DD7">
        <w:rPr>
          <w:rFonts w:ascii="Arial" w:hAnsi="Arial" w:cs="Arial"/>
          <w:sz w:val="24"/>
          <w:szCs w:val="24"/>
        </w:rPr>
        <w:t> </w:t>
      </w:r>
      <w:r w:rsidR="009F037F" w:rsidRPr="00F65DD7">
        <w:rPr>
          <w:rFonts w:ascii="Arial" w:hAnsi="Arial" w:cs="Arial"/>
          <w:i/>
          <w:iCs/>
          <w:sz w:val="24"/>
          <w:szCs w:val="24"/>
          <w:shd w:val="clear" w:color="auto" w:fill="FFFFFF"/>
        </w:rPr>
        <w:t xml:space="preserve">ibídem, </w:t>
      </w:r>
      <w:r w:rsidR="009F037F" w:rsidRPr="00F65DD7">
        <w:rPr>
          <w:rFonts w:ascii="Arial" w:hAnsi="Arial" w:cs="Arial"/>
          <w:b/>
          <w:sz w:val="24"/>
          <w:szCs w:val="24"/>
        </w:rPr>
        <w:t xml:space="preserve">DE NO SER IMPUGNADA </w:t>
      </w:r>
      <w:r w:rsidR="009F037F" w:rsidRPr="00F65DD7">
        <w:rPr>
          <w:rFonts w:ascii="Arial" w:hAnsi="Arial" w:cs="Arial"/>
          <w:sz w:val="24"/>
          <w:szCs w:val="24"/>
        </w:rPr>
        <w:t xml:space="preserve">dentro de los tres (3) días siguientes a la notificación de la </w:t>
      </w:r>
      <w:r w:rsidR="009F037F" w:rsidRPr="00F65DD7">
        <w:rPr>
          <w:rFonts w:ascii="Arial" w:hAnsi="Arial" w:cs="Arial"/>
          <w:sz w:val="24"/>
          <w:szCs w:val="24"/>
        </w:rPr>
        <w:lastRenderedPageBreak/>
        <w:t xml:space="preserve">providencia, </w:t>
      </w:r>
      <w:r w:rsidR="009F037F" w:rsidRPr="00F65DD7">
        <w:rPr>
          <w:rFonts w:ascii="Arial" w:hAnsi="Arial" w:cs="Arial"/>
          <w:b/>
          <w:sz w:val="24"/>
          <w:szCs w:val="24"/>
        </w:rPr>
        <w:t>REMITIR</w:t>
      </w:r>
      <w:r w:rsidR="009F037F" w:rsidRPr="00F65DD7">
        <w:rPr>
          <w:rFonts w:ascii="Arial" w:hAnsi="Arial" w:cs="Arial"/>
          <w:sz w:val="24"/>
          <w:szCs w:val="24"/>
        </w:rPr>
        <w:t xml:space="preserve"> el expediente a la Corte Constitucional para su eventual revisión</w:t>
      </w:r>
      <w:r w:rsidR="009F037F" w:rsidRPr="00F65DD7">
        <w:rPr>
          <w:rFonts w:ascii="Arial" w:hAnsi="Arial" w:cs="Arial"/>
          <w:iCs/>
          <w:sz w:val="24"/>
          <w:szCs w:val="24"/>
        </w:rPr>
        <w:t>.</w:t>
      </w:r>
    </w:p>
    <w:p w:rsidR="00C333B8" w:rsidRPr="00F65DD7" w:rsidRDefault="00C333B8" w:rsidP="00C333B8">
      <w:pPr>
        <w:spacing w:line="360" w:lineRule="auto"/>
        <w:jc w:val="both"/>
        <w:rPr>
          <w:rFonts w:ascii="Arial" w:hAnsi="Arial" w:cs="Arial"/>
          <w:sz w:val="24"/>
          <w:szCs w:val="24"/>
        </w:rPr>
      </w:pPr>
    </w:p>
    <w:p w:rsidR="005B72A1" w:rsidRPr="00F65DD7" w:rsidRDefault="005B72A1" w:rsidP="005B72A1">
      <w:pPr>
        <w:overflowPunct/>
        <w:autoSpaceDE/>
        <w:autoSpaceDN/>
        <w:adjustRightInd/>
        <w:spacing w:line="360" w:lineRule="auto"/>
        <w:jc w:val="both"/>
        <w:textAlignment w:val="auto"/>
        <w:rPr>
          <w:rFonts w:ascii="Arial" w:hAnsi="Arial" w:cs="Arial"/>
          <w:sz w:val="24"/>
          <w:szCs w:val="24"/>
        </w:rPr>
      </w:pPr>
      <w:r w:rsidRPr="00F65DD7">
        <w:rPr>
          <w:rFonts w:ascii="Arial" w:hAnsi="Arial" w:cs="Arial"/>
          <w:sz w:val="24"/>
          <w:szCs w:val="24"/>
        </w:rPr>
        <w:t>La anterior providencia fue estudiada y aprobada por la Sala en Sesión de la fecha.</w:t>
      </w:r>
    </w:p>
    <w:p w:rsidR="00B730E5" w:rsidRPr="00F65DD7" w:rsidRDefault="00B730E5" w:rsidP="005B72A1">
      <w:pPr>
        <w:overflowPunct/>
        <w:autoSpaceDE/>
        <w:autoSpaceDN/>
        <w:adjustRightInd/>
        <w:spacing w:line="360" w:lineRule="auto"/>
        <w:jc w:val="center"/>
        <w:textAlignment w:val="auto"/>
        <w:rPr>
          <w:rFonts w:ascii="Arial" w:hAnsi="Arial" w:cs="Arial"/>
          <w:b/>
          <w:bCs/>
          <w:sz w:val="24"/>
          <w:szCs w:val="24"/>
        </w:rPr>
      </w:pPr>
    </w:p>
    <w:p w:rsidR="002E48C6" w:rsidRPr="00F65DD7" w:rsidRDefault="002E48C6" w:rsidP="002E48C6">
      <w:pPr>
        <w:spacing w:line="360" w:lineRule="auto"/>
        <w:jc w:val="center"/>
        <w:rPr>
          <w:rFonts w:ascii="Arial" w:hAnsi="Arial" w:cs="Arial"/>
          <w:b/>
          <w:bCs/>
          <w:sz w:val="24"/>
          <w:szCs w:val="24"/>
        </w:rPr>
      </w:pPr>
      <w:r w:rsidRPr="00F65DD7">
        <w:rPr>
          <w:rFonts w:ascii="Arial" w:hAnsi="Arial" w:cs="Arial"/>
          <w:b/>
          <w:bCs/>
          <w:sz w:val="24"/>
          <w:szCs w:val="24"/>
        </w:rPr>
        <w:t>CÓPIESE, NOTIFÍQUESE Y CÚMPLASE.</w:t>
      </w:r>
    </w:p>
    <w:p w:rsidR="002E48C6" w:rsidRPr="00F65DD7" w:rsidRDefault="002E48C6" w:rsidP="00F65DD7">
      <w:pPr>
        <w:jc w:val="center"/>
        <w:rPr>
          <w:rFonts w:ascii="Arial" w:hAnsi="Arial" w:cs="Arial"/>
          <w:b/>
          <w:sz w:val="24"/>
          <w:szCs w:val="24"/>
        </w:rPr>
      </w:pPr>
    </w:p>
    <w:p w:rsidR="00084912" w:rsidRPr="00F65DD7" w:rsidRDefault="00084912" w:rsidP="00F65DD7">
      <w:pPr>
        <w:jc w:val="center"/>
        <w:rPr>
          <w:rFonts w:ascii="Arial" w:hAnsi="Arial" w:cs="Arial"/>
          <w:b/>
          <w:sz w:val="24"/>
          <w:szCs w:val="24"/>
        </w:rPr>
      </w:pPr>
    </w:p>
    <w:p w:rsidR="00084912" w:rsidRPr="00F65DD7" w:rsidRDefault="00084912" w:rsidP="00F65DD7">
      <w:pPr>
        <w:jc w:val="center"/>
        <w:rPr>
          <w:rFonts w:ascii="Arial" w:hAnsi="Arial" w:cs="Arial"/>
          <w:b/>
          <w:sz w:val="24"/>
          <w:szCs w:val="24"/>
        </w:rPr>
      </w:pPr>
    </w:p>
    <w:p w:rsidR="00084912" w:rsidRPr="00F65DD7" w:rsidRDefault="00084912" w:rsidP="00F65DD7">
      <w:pPr>
        <w:widowControl w:val="0"/>
        <w:overflowPunct/>
        <w:autoSpaceDE/>
        <w:autoSpaceDN/>
        <w:adjustRightInd/>
        <w:jc w:val="center"/>
        <w:textAlignment w:val="auto"/>
        <w:rPr>
          <w:rFonts w:ascii="Arial" w:hAnsi="Arial" w:cs="Arial"/>
          <w:b/>
          <w:bCs/>
          <w:sz w:val="24"/>
          <w:szCs w:val="24"/>
        </w:rPr>
      </w:pPr>
      <w:r w:rsidRPr="00F65DD7">
        <w:rPr>
          <w:rFonts w:ascii="Arial" w:hAnsi="Arial" w:cs="Arial"/>
          <w:b/>
          <w:bCs/>
          <w:sz w:val="24"/>
          <w:szCs w:val="24"/>
        </w:rPr>
        <w:t>SANDRA LISSET IBARRA VÉLEZ</w:t>
      </w:r>
    </w:p>
    <w:p w:rsidR="002E48C6" w:rsidRPr="00F65DD7" w:rsidRDefault="002E48C6" w:rsidP="00F65DD7">
      <w:pPr>
        <w:suppressAutoHyphens/>
        <w:ind w:right="-1"/>
        <w:jc w:val="center"/>
        <w:textAlignment w:val="auto"/>
        <w:rPr>
          <w:rFonts w:ascii="Arial" w:hAnsi="Arial" w:cs="Arial"/>
          <w:b/>
          <w:bCs/>
          <w:spacing w:val="-3"/>
          <w:sz w:val="24"/>
          <w:szCs w:val="24"/>
        </w:rPr>
      </w:pPr>
    </w:p>
    <w:p w:rsidR="00084912" w:rsidRPr="00F65DD7" w:rsidRDefault="00084912" w:rsidP="00F65DD7">
      <w:pPr>
        <w:suppressAutoHyphens/>
        <w:ind w:right="-1"/>
        <w:jc w:val="center"/>
        <w:textAlignment w:val="auto"/>
        <w:rPr>
          <w:rFonts w:ascii="Arial" w:hAnsi="Arial" w:cs="Arial"/>
          <w:b/>
          <w:bCs/>
          <w:spacing w:val="-3"/>
          <w:sz w:val="24"/>
          <w:szCs w:val="24"/>
        </w:rPr>
      </w:pPr>
    </w:p>
    <w:p w:rsidR="00084912" w:rsidRPr="00F65DD7" w:rsidRDefault="00084912" w:rsidP="00F65DD7">
      <w:pPr>
        <w:suppressAutoHyphens/>
        <w:ind w:right="-1"/>
        <w:jc w:val="center"/>
        <w:textAlignment w:val="auto"/>
        <w:rPr>
          <w:rFonts w:ascii="Arial" w:hAnsi="Arial" w:cs="Arial"/>
          <w:b/>
          <w:bCs/>
          <w:spacing w:val="-3"/>
          <w:sz w:val="24"/>
          <w:szCs w:val="24"/>
        </w:rPr>
      </w:pPr>
    </w:p>
    <w:p w:rsidR="00F65DD7" w:rsidRDefault="002E48C6" w:rsidP="00F65DD7">
      <w:pPr>
        <w:widowControl w:val="0"/>
        <w:overflowPunct/>
        <w:autoSpaceDE/>
        <w:autoSpaceDN/>
        <w:adjustRightInd/>
        <w:ind w:right="-516" w:hanging="567"/>
        <w:jc w:val="center"/>
        <w:textAlignment w:val="auto"/>
        <w:rPr>
          <w:rFonts w:ascii="Arial" w:hAnsi="Arial" w:cs="Arial"/>
          <w:b/>
          <w:bCs/>
          <w:sz w:val="24"/>
          <w:szCs w:val="24"/>
        </w:rPr>
      </w:pPr>
      <w:r w:rsidRPr="00F65DD7">
        <w:rPr>
          <w:rFonts w:ascii="Arial" w:hAnsi="Arial" w:cs="Arial"/>
          <w:b/>
          <w:bCs/>
          <w:sz w:val="24"/>
          <w:szCs w:val="24"/>
        </w:rPr>
        <w:t>WILLIAM HERNÁNDEZ GÓMEZ (E)</w:t>
      </w:r>
    </w:p>
    <w:p w:rsidR="00F65DD7" w:rsidRDefault="00F65DD7" w:rsidP="00F65DD7">
      <w:pPr>
        <w:widowControl w:val="0"/>
        <w:overflowPunct/>
        <w:autoSpaceDE/>
        <w:autoSpaceDN/>
        <w:adjustRightInd/>
        <w:ind w:right="-516" w:hanging="567"/>
        <w:jc w:val="center"/>
        <w:textAlignment w:val="auto"/>
        <w:rPr>
          <w:rFonts w:ascii="Arial" w:hAnsi="Arial" w:cs="Arial"/>
          <w:b/>
          <w:bCs/>
          <w:sz w:val="24"/>
          <w:szCs w:val="24"/>
        </w:rPr>
      </w:pPr>
    </w:p>
    <w:p w:rsidR="00F65DD7" w:rsidRDefault="00F65DD7" w:rsidP="00F65DD7">
      <w:pPr>
        <w:widowControl w:val="0"/>
        <w:overflowPunct/>
        <w:autoSpaceDE/>
        <w:autoSpaceDN/>
        <w:adjustRightInd/>
        <w:ind w:right="-516" w:hanging="567"/>
        <w:jc w:val="center"/>
        <w:textAlignment w:val="auto"/>
        <w:rPr>
          <w:rFonts w:ascii="Arial" w:hAnsi="Arial" w:cs="Arial"/>
          <w:b/>
          <w:bCs/>
          <w:sz w:val="24"/>
          <w:szCs w:val="24"/>
        </w:rPr>
      </w:pPr>
    </w:p>
    <w:p w:rsidR="00F65DD7" w:rsidRPr="00F65DD7" w:rsidRDefault="00F65DD7" w:rsidP="00F65DD7">
      <w:pPr>
        <w:widowControl w:val="0"/>
        <w:overflowPunct/>
        <w:autoSpaceDE/>
        <w:autoSpaceDN/>
        <w:adjustRightInd/>
        <w:ind w:right="-516" w:hanging="567"/>
        <w:jc w:val="center"/>
        <w:textAlignment w:val="auto"/>
        <w:rPr>
          <w:rFonts w:ascii="Arial" w:hAnsi="Arial" w:cs="Arial"/>
          <w:b/>
          <w:bCs/>
          <w:sz w:val="24"/>
          <w:szCs w:val="24"/>
        </w:rPr>
      </w:pPr>
    </w:p>
    <w:p w:rsidR="00084912" w:rsidRPr="00F65DD7" w:rsidRDefault="002E48C6" w:rsidP="00F65DD7">
      <w:pPr>
        <w:widowControl w:val="0"/>
        <w:overflowPunct/>
        <w:autoSpaceDE/>
        <w:autoSpaceDN/>
        <w:adjustRightInd/>
        <w:ind w:right="-516" w:hanging="567"/>
        <w:jc w:val="center"/>
        <w:textAlignment w:val="auto"/>
        <w:rPr>
          <w:rFonts w:ascii="Arial" w:hAnsi="Arial" w:cs="Arial"/>
          <w:b/>
          <w:bCs/>
          <w:sz w:val="24"/>
          <w:szCs w:val="24"/>
        </w:rPr>
      </w:pPr>
      <w:r w:rsidRPr="00F65DD7">
        <w:rPr>
          <w:rFonts w:ascii="Arial" w:hAnsi="Arial" w:cs="Arial"/>
          <w:b/>
          <w:bCs/>
          <w:sz w:val="24"/>
          <w:szCs w:val="24"/>
        </w:rPr>
        <w:t>CARMELO PERDOMO CUÉTER</w:t>
      </w:r>
    </w:p>
    <w:sectPr w:rsidR="00084912" w:rsidRPr="00F65DD7" w:rsidSect="00F65DD7">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5E" w:rsidRDefault="00BD5F5E" w:rsidP="005D4922">
      <w:r>
        <w:separator/>
      </w:r>
    </w:p>
  </w:endnote>
  <w:endnote w:type="continuationSeparator" w:id="0">
    <w:p w:rsidR="00BD5F5E" w:rsidRDefault="00BD5F5E" w:rsidP="005D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5E" w:rsidRDefault="00BD5F5E" w:rsidP="005D4922">
      <w:r>
        <w:separator/>
      </w:r>
    </w:p>
  </w:footnote>
  <w:footnote w:type="continuationSeparator" w:id="0">
    <w:p w:rsidR="00BD5F5E" w:rsidRDefault="00BD5F5E" w:rsidP="005D4922">
      <w:r>
        <w:continuationSeparator/>
      </w:r>
    </w:p>
  </w:footnote>
  <w:footnote w:id="1">
    <w:p w:rsidR="00693B4C" w:rsidRPr="00F65DD7" w:rsidRDefault="00693B4C" w:rsidP="001F54DD">
      <w:pPr>
        <w:pStyle w:val="Textonotapie"/>
        <w:jc w:val="both"/>
        <w:rPr>
          <w:rFonts w:ascii="Arial" w:hAnsi="Arial" w:cs="Arial"/>
          <w:szCs w:val="18"/>
          <w:lang w:val="es-CO"/>
        </w:rPr>
      </w:pPr>
      <w:r w:rsidRPr="00F65DD7">
        <w:rPr>
          <w:rStyle w:val="Refdenotaalpie"/>
          <w:rFonts w:ascii="Arial" w:hAnsi="Arial" w:cs="Arial"/>
          <w:szCs w:val="18"/>
        </w:rPr>
        <w:footnoteRef/>
      </w:r>
      <w:r w:rsidRPr="00F65DD7">
        <w:rPr>
          <w:rFonts w:ascii="Arial" w:hAnsi="Arial" w:cs="Arial"/>
          <w:szCs w:val="18"/>
          <w:lang w:val="es-CO"/>
        </w:rPr>
        <w:t xml:space="preserve"> El proceso de la referencia subió al Despacho con el informe de la Secretaría General de la Corporación el </w:t>
      </w:r>
      <w:r w:rsidR="00737DEB" w:rsidRPr="00F65DD7">
        <w:rPr>
          <w:rFonts w:ascii="Arial" w:hAnsi="Arial" w:cs="Arial"/>
          <w:szCs w:val="18"/>
          <w:lang w:val="es-CO"/>
        </w:rPr>
        <w:t>28</w:t>
      </w:r>
      <w:r w:rsidRPr="00F65DD7">
        <w:rPr>
          <w:rFonts w:ascii="Arial" w:hAnsi="Arial" w:cs="Arial"/>
          <w:szCs w:val="18"/>
          <w:lang w:val="es-CO"/>
        </w:rPr>
        <w:t xml:space="preserve"> de </w:t>
      </w:r>
      <w:r w:rsidR="00737DEB" w:rsidRPr="00F65DD7">
        <w:rPr>
          <w:rFonts w:ascii="Arial" w:hAnsi="Arial" w:cs="Arial"/>
          <w:szCs w:val="18"/>
          <w:lang w:val="es-CO"/>
        </w:rPr>
        <w:t>junio</w:t>
      </w:r>
      <w:r w:rsidRPr="00F65DD7">
        <w:rPr>
          <w:rFonts w:ascii="Arial" w:hAnsi="Arial" w:cs="Arial"/>
          <w:szCs w:val="18"/>
          <w:lang w:val="es-CO"/>
        </w:rPr>
        <w:t xml:space="preserve"> de 201</w:t>
      </w:r>
      <w:r w:rsidR="00D57BE0" w:rsidRPr="00F65DD7">
        <w:rPr>
          <w:rFonts w:ascii="Arial" w:hAnsi="Arial" w:cs="Arial"/>
          <w:szCs w:val="18"/>
          <w:lang w:val="es-CO"/>
        </w:rPr>
        <w:t xml:space="preserve">6, visible a folio </w:t>
      </w:r>
      <w:r w:rsidR="00737DEB" w:rsidRPr="00F65DD7">
        <w:rPr>
          <w:rFonts w:ascii="Arial" w:hAnsi="Arial" w:cs="Arial"/>
          <w:szCs w:val="18"/>
          <w:lang w:val="es-CO"/>
        </w:rPr>
        <w:t>59</w:t>
      </w:r>
      <w:r w:rsidRPr="00F65DD7">
        <w:rPr>
          <w:rFonts w:ascii="Arial" w:hAnsi="Arial" w:cs="Arial"/>
          <w:szCs w:val="18"/>
          <w:lang w:val="es-CO"/>
        </w:rPr>
        <w:t xml:space="preserve"> del expediente.</w:t>
      </w:r>
    </w:p>
  </w:footnote>
  <w:footnote w:id="2">
    <w:p w:rsidR="00693B4C" w:rsidRPr="00F65DD7" w:rsidRDefault="00693B4C" w:rsidP="006B1680">
      <w:pPr>
        <w:pStyle w:val="Textonotapie"/>
        <w:jc w:val="both"/>
        <w:rPr>
          <w:rFonts w:ascii="Arial" w:hAnsi="Arial" w:cs="Arial"/>
          <w:szCs w:val="18"/>
          <w:lang w:val="es-CO"/>
        </w:rPr>
      </w:pPr>
      <w:r w:rsidRPr="00F65DD7">
        <w:rPr>
          <w:rStyle w:val="Refdenotaalpie"/>
          <w:rFonts w:ascii="Arial" w:hAnsi="Arial" w:cs="Arial"/>
          <w:szCs w:val="18"/>
        </w:rPr>
        <w:footnoteRef/>
      </w:r>
      <w:r w:rsidRPr="00F65DD7">
        <w:rPr>
          <w:rFonts w:ascii="Arial" w:hAnsi="Arial" w:cs="Arial"/>
          <w:szCs w:val="18"/>
          <w:lang w:val="es-CO"/>
        </w:rPr>
        <w:t xml:space="preserve"> Folios </w:t>
      </w:r>
      <w:r w:rsidR="00737DEB" w:rsidRPr="00F65DD7">
        <w:rPr>
          <w:rFonts w:ascii="Arial" w:hAnsi="Arial" w:cs="Arial"/>
          <w:szCs w:val="18"/>
          <w:lang w:val="es-CO"/>
        </w:rPr>
        <w:t>2</w:t>
      </w:r>
      <w:r w:rsidRPr="00F65DD7">
        <w:rPr>
          <w:rFonts w:ascii="Arial" w:hAnsi="Arial" w:cs="Arial"/>
          <w:szCs w:val="18"/>
          <w:lang w:val="es-CO"/>
        </w:rPr>
        <w:t xml:space="preserve"> a </w:t>
      </w:r>
      <w:r w:rsidR="00D8029C" w:rsidRPr="00F65DD7">
        <w:rPr>
          <w:rFonts w:ascii="Arial" w:hAnsi="Arial" w:cs="Arial"/>
          <w:szCs w:val="18"/>
          <w:lang w:val="es-CO"/>
        </w:rPr>
        <w:t>1</w:t>
      </w:r>
      <w:r w:rsidR="00737DEB" w:rsidRPr="00F65DD7">
        <w:rPr>
          <w:rFonts w:ascii="Arial" w:hAnsi="Arial" w:cs="Arial"/>
          <w:szCs w:val="18"/>
          <w:lang w:val="es-CO"/>
        </w:rPr>
        <w:t>1</w:t>
      </w:r>
      <w:r w:rsidRPr="00F65DD7">
        <w:rPr>
          <w:rFonts w:ascii="Arial" w:hAnsi="Arial" w:cs="Arial"/>
          <w:szCs w:val="18"/>
          <w:lang w:val="es-CO"/>
        </w:rPr>
        <w:t xml:space="preserve"> del expediente.</w:t>
      </w:r>
    </w:p>
  </w:footnote>
  <w:footnote w:id="3">
    <w:p w:rsidR="00A12BF0" w:rsidRPr="00F65DD7" w:rsidRDefault="00A12BF0" w:rsidP="00F65DD7">
      <w:pPr>
        <w:pStyle w:val="Textonotapie"/>
        <w:jc w:val="both"/>
        <w:rPr>
          <w:rFonts w:ascii="Arial" w:hAnsi="Arial" w:cs="Arial"/>
          <w:sz w:val="22"/>
          <w:lang w:val="es-CO"/>
        </w:rPr>
      </w:pPr>
      <w:r w:rsidRPr="00F65DD7">
        <w:rPr>
          <w:rStyle w:val="Refdenotaalpie"/>
          <w:rFonts w:ascii="Arial" w:hAnsi="Arial" w:cs="Arial"/>
          <w:lang w:val="es-CO"/>
        </w:rPr>
        <w:footnoteRef/>
      </w:r>
      <w:r w:rsidRPr="00F65DD7">
        <w:rPr>
          <w:rFonts w:ascii="Arial" w:hAnsi="Arial" w:cs="Arial"/>
          <w:lang w:val="es-CO"/>
        </w:rPr>
        <w:t xml:space="preserve"> </w:t>
      </w:r>
      <w:r w:rsidR="007D55B5" w:rsidRPr="00F65DD7">
        <w:rPr>
          <w:rFonts w:ascii="Arial" w:hAnsi="Arial" w:cs="Arial"/>
          <w:lang w:val="es-CO"/>
        </w:rPr>
        <w:t xml:space="preserve">Sentencias proferidas: el </w:t>
      </w:r>
      <w:r w:rsidR="00605A27" w:rsidRPr="00F65DD7">
        <w:rPr>
          <w:rFonts w:ascii="Arial" w:hAnsi="Arial" w:cs="Arial"/>
          <w:lang w:val="es-CO"/>
        </w:rPr>
        <w:t>1</w:t>
      </w:r>
      <w:r w:rsidR="007D55B5" w:rsidRPr="00F65DD7">
        <w:rPr>
          <w:rFonts w:ascii="Arial" w:hAnsi="Arial" w:cs="Arial"/>
          <w:lang w:val="es-CO"/>
        </w:rPr>
        <w:t xml:space="preserve">9 de </w:t>
      </w:r>
      <w:r w:rsidR="00605A27" w:rsidRPr="00F65DD7">
        <w:rPr>
          <w:rFonts w:ascii="Arial" w:hAnsi="Arial" w:cs="Arial"/>
          <w:lang w:val="es-CO"/>
        </w:rPr>
        <w:t>enero de 2015</w:t>
      </w:r>
      <w:r w:rsidR="007D55B5" w:rsidRPr="00F65DD7">
        <w:rPr>
          <w:rFonts w:ascii="Arial" w:hAnsi="Arial" w:cs="Arial"/>
          <w:lang w:val="es-CO"/>
        </w:rPr>
        <w:t>, por el Consejo de Estado, sección segunda, Subsección A, C</w:t>
      </w:r>
      <w:r w:rsidR="00605A27" w:rsidRPr="00F65DD7">
        <w:rPr>
          <w:rFonts w:ascii="Arial" w:hAnsi="Arial" w:cs="Arial"/>
          <w:lang w:val="es-CO"/>
        </w:rPr>
        <w:t>.P. Gustavo Eduardo Gómez Aranguren, radicado nro. 3160</w:t>
      </w:r>
      <w:r w:rsidR="003C1AE5" w:rsidRPr="00F65DD7">
        <w:rPr>
          <w:rFonts w:ascii="Arial" w:hAnsi="Arial" w:cs="Arial"/>
          <w:lang w:val="es-CO"/>
        </w:rPr>
        <w:t>-13.</w:t>
      </w:r>
    </w:p>
  </w:footnote>
  <w:footnote w:id="4">
    <w:p w:rsidR="00693B4C" w:rsidRPr="00F65DD7" w:rsidRDefault="00693B4C" w:rsidP="00F65DD7">
      <w:pPr>
        <w:pStyle w:val="Textonotapie"/>
        <w:jc w:val="both"/>
        <w:rPr>
          <w:rFonts w:ascii="Arial" w:hAnsi="Arial" w:cs="Arial"/>
          <w:szCs w:val="18"/>
          <w:lang w:val="es-CO"/>
        </w:rPr>
      </w:pPr>
      <w:r w:rsidRPr="00F65DD7">
        <w:rPr>
          <w:rStyle w:val="Refdenotaalpie"/>
          <w:rFonts w:ascii="Arial" w:hAnsi="Arial" w:cs="Arial"/>
          <w:szCs w:val="18"/>
          <w:lang w:val="es-CO"/>
        </w:rPr>
        <w:footnoteRef/>
      </w:r>
      <w:r w:rsidRPr="00F65DD7">
        <w:rPr>
          <w:rFonts w:ascii="Arial" w:hAnsi="Arial" w:cs="Arial"/>
          <w:szCs w:val="18"/>
          <w:lang w:val="es-CO"/>
        </w:rPr>
        <w:t xml:space="preserve"> Visible</w:t>
      </w:r>
      <w:r w:rsidR="006C6C61" w:rsidRPr="00F65DD7">
        <w:rPr>
          <w:rFonts w:ascii="Arial" w:hAnsi="Arial" w:cs="Arial"/>
          <w:szCs w:val="18"/>
          <w:lang w:val="es-CO"/>
        </w:rPr>
        <w:t xml:space="preserve"> a folios 71</w:t>
      </w:r>
      <w:r w:rsidRPr="00F65DD7">
        <w:rPr>
          <w:rFonts w:ascii="Arial" w:hAnsi="Arial" w:cs="Arial"/>
          <w:szCs w:val="18"/>
          <w:lang w:val="es-CO"/>
        </w:rPr>
        <w:t xml:space="preserve"> </w:t>
      </w:r>
      <w:r w:rsidR="006C6C61" w:rsidRPr="00F65DD7">
        <w:rPr>
          <w:rFonts w:ascii="Arial" w:hAnsi="Arial" w:cs="Arial"/>
          <w:szCs w:val="18"/>
          <w:lang w:val="es-CO"/>
        </w:rPr>
        <w:t>y 72</w:t>
      </w:r>
      <w:r w:rsidRPr="00F65DD7">
        <w:rPr>
          <w:rFonts w:ascii="Arial" w:hAnsi="Arial" w:cs="Arial"/>
          <w:szCs w:val="18"/>
          <w:lang w:val="es-CO"/>
        </w:rPr>
        <w:t xml:space="preserve"> del expediente.</w:t>
      </w:r>
    </w:p>
  </w:footnote>
  <w:footnote w:id="5">
    <w:p w:rsidR="00693B4C" w:rsidRPr="00F65DD7" w:rsidRDefault="00693B4C" w:rsidP="00F65DD7">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Por medio del cual se establecen competencias para el reparto de la acción de tutela. </w:t>
      </w:r>
    </w:p>
  </w:footnote>
  <w:footnote w:id="6">
    <w:p w:rsidR="00693B4C" w:rsidRPr="00F65DD7" w:rsidRDefault="00693B4C" w:rsidP="00C77297">
      <w:pPr>
        <w:pStyle w:val="Sinespaciado"/>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En sentencia C-543 de 1992, proferida con ocasión del análisis de constitucionalidad de los artículos 11, 12, 25 y 40 del Decreto Ley 2591 de 1991, la Corte sostuvo, </w:t>
      </w:r>
      <w:proofErr w:type="gramStart"/>
      <w:r w:rsidRPr="00F65DD7">
        <w:rPr>
          <w:rFonts w:ascii="Arial" w:hAnsi="Arial" w:cs="Arial"/>
        </w:rPr>
        <w:t>que</w:t>
      </w:r>
      <w:proofErr w:type="gramEnd"/>
      <w:r w:rsidRPr="00F65DD7">
        <w:rPr>
          <w:rFonts w:ascii="Arial" w:hAnsi="Arial" w:cs="Arial"/>
        </w:rPr>
        <w:t xml:space="preserve"> atendiendo al querer del Constituyente, a la naturaleza subsidiaria de la acción de tutela y a la preservación de valores supremos como la seguridad jurídica, cosa juzgada y autonomía judicial, la tutela no era procedente cuando tuviera por objeto cuestionar providencias judiciales.</w:t>
      </w:r>
    </w:p>
  </w:footnote>
  <w:footnote w:id="7">
    <w:p w:rsidR="00693B4C" w:rsidRPr="00F65DD7" w:rsidRDefault="00693B4C" w:rsidP="00C77297">
      <w:pPr>
        <w:pStyle w:val="Sinespaciado"/>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La Sala Plena de lo Contencioso Administrativo del Consejo de Estado, mediante decisión de 29 de enero de 1992 (AC-009) con ponencia de la Consejera Dolly Pedraza de Arenas, consideró que la acción de tutela era improcedente contra providencias judiciales, </w:t>
      </w:r>
      <w:proofErr w:type="spellStart"/>
      <w:r w:rsidRPr="00F65DD7">
        <w:rPr>
          <w:rFonts w:ascii="Arial" w:hAnsi="Arial" w:cs="Arial"/>
        </w:rPr>
        <w:t>inaplicando</w:t>
      </w:r>
      <w:proofErr w:type="spellEnd"/>
      <w:r w:rsidRPr="00F65DD7">
        <w:rPr>
          <w:rFonts w:ascii="Arial" w:hAnsi="Arial" w:cs="Arial"/>
        </w:rPr>
        <w:t xml:space="preserve"> para el efecto lo establecido en los artículos 11 y 40 del Decreto 2591 de 1991. Esta tesis fue reiterada por la misma Sala Plena mediante sentencias de 3 de febrero de 1992 con ponencia del Consejero Luis Eduardo Jaramillo Mejía (AC-015), 14 de octubre de 1993 con ponencia del Consejero Libardo Rodríguez (AC-1247) y 29 de junio de 2004 con ponencia del Dr. Nicolás Pájaro Peñaranda (AC-10203).</w:t>
      </w:r>
    </w:p>
  </w:footnote>
  <w:footnote w:id="8">
    <w:p w:rsidR="00693B4C" w:rsidRPr="00F65DD7" w:rsidRDefault="00693B4C" w:rsidP="00C77297">
      <w:pPr>
        <w:pStyle w:val="Textonotapie"/>
        <w:tabs>
          <w:tab w:val="left" w:pos="3686"/>
        </w:tabs>
        <w:jc w:val="both"/>
        <w:rPr>
          <w:rFonts w:ascii="Arial" w:hAnsi="Arial" w:cs="Arial"/>
          <w:lang w:val="es-CO"/>
        </w:rPr>
      </w:pPr>
      <w:r w:rsidRPr="00F65DD7">
        <w:rPr>
          <w:rStyle w:val="Refdenotaalpie"/>
          <w:rFonts w:ascii="Arial" w:hAnsi="Arial" w:cs="Arial"/>
        </w:rPr>
        <w:footnoteRef/>
      </w:r>
      <w:r w:rsidRPr="00F65DD7">
        <w:rPr>
          <w:rFonts w:ascii="Arial" w:hAnsi="Arial" w:cs="Arial"/>
          <w:lang w:val="es-CO"/>
        </w:rPr>
        <w:t xml:space="preserve"> Ver sobre el particular las sentencias T-483 de 1997, T-204 de 1998, T-766 de 1998 y SU-563 de 1999.   </w:t>
      </w:r>
    </w:p>
  </w:footnote>
  <w:footnote w:id="9">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Al respecto ver, entre otras, las siguientes Sentencias: Sección Primera, de 9 de julio de 2004, </w:t>
      </w:r>
      <w:proofErr w:type="spellStart"/>
      <w:r w:rsidRPr="00F65DD7">
        <w:rPr>
          <w:rFonts w:ascii="Arial" w:hAnsi="Arial" w:cs="Arial"/>
        </w:rPr>
        <w:t>Exp</w:t>
      </w:r>
      <w:proofErr w:type="spellEnd"/>
      <w:r w:rsidRPr="00F65DD7">
        <w:rPr>
          <w:rFonts w:ascii="Arial" w:hAnsi="Arial" w:cs="Arial"/>
        </w:rPr>
        <w:t xml:space="preserve">. No. 2004-00308; y, Sección Segunda – Subsección A, de 27 de mayo de 2010, </w:t>
      </w:r>
      <w:proofErr w:type="spellStart"/>
      <w:r w:rsidRPr="00F65DD7">
        <w:rPr>
          <w:rFonts w:ascii="Arial" w:hAnsi="Arial" w:cs="Arial"/>
        </w:rPr>
        <w:t>Exp</w:t>
      </w:r>
      <w:proofErr w:type="spellEnd"/>
      <w:r w:rsidRPr="00F65DD7">
        <w:rPr>
          <w:rFonts w:ascii="Arial" w:hAnsi="Arial" w:cs="Arial"/>
        </w:rPr>
        <w:t>. No. 2010-00559.</w:t>
      </w:r>
    </w:p>
  </w:footnote>
  <w:footnote w:id="10">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Sentencia en la que se analizó la legalidad del artículo 185 de la Ley 906 de 2004.</w:t>
      </w:r>
    </w:p>
  </w:footnote>
  <w:footnote w:id="11">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Al respecto ver, entre otras, las Sentencias T-1009 de 1999, SU-1031 de 2001, SU-1184 de 2001, SU-159 de 2002, T-774 de 2004.</w:t>
      </w:r>
    </w:p>
  </w:footnote>
  <w:footnote w:id="12">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También denominados requisitos generales de procedencia, y que son: i. Que el asunto tenga relevancia constitucional; ii. Que se hayan agotado los medios ordinarios y extraordinarios de defensa; iii. Que se cumpla con el requisito de inmediatez; iv. Que si se trata de una irregularidad procesal tenga efecto decisivo o determinante en la sentencia y afecte los derechos fundamentales; v. Que el interesado exponga los hechos que generan la vulneración o amenaza de sus derechos y que, además y de haber sido posible, hubiera alegado esta situación en el proceso; y, vi. Que no se trate de sentencias de tutela.</w:t>
      </w:r>
    </w:p>
  </w:footnote>
  <w:footnote w:id="13">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También llamados requisitos generales de </w:t>
      </w:r>
      <w:proofErr w:type="spellStart"/>
      <w:r w:rsidRPr="00F65DD7">
        <w:rPr>
          <w:rFonts w:ascii="Arial" w:hAnsi="Arial" w:cs="Arial"/>
        </w:rPr>
        <w:t>procedibilidad</w:t>
      </w:r>
      <w:proofErr w:type="spellEnd"/>
      <w:r w:rsidRPr="00F65DD7">
        <w:rPr>
          <w:rFonts w:ascii="Arial" w:hAnsi="Arial" w:cs="Arial"/>
        </w:rPr>
        <w:t xml:space="preserve"> y que hacen referencia a la configuración de uno o varios de los siguientes defectos: i. Sustantivo o material; ii. Fáctico; iii. Orgánico; iv. Procedimental; vi. Desconocimiento del precedente; vii. Error inducido; viii. Ausencia de motivación; o, ix. Violación directa de la Constitución.</w:t>
      </w:r>
    </w:p>
  </w:footnote>
  <w:footnote w:id="14">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Sobre la descripción de requisitos de forma y materiales ver la Sentencia T-007 de 2013.</w:t>
      </w:r>
    </w:p>
  </w:footnote>
  <w:footnote w:id="15">
    <w:p w:rsidR="00693B4C" w:rsidRPr="00F65DD7" w:rsidRDefault="00693B4C" w:rsidP="00C77297">
      <w:pPr>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Al respecto ver lo sostenido en las Sentencias C-590 de 2005, T-102 de 2006, T-377 de 2009 y T-178 de 2012. También es importante resaltar que ya en la Sentencia SU-014 de 2001 la Corte consideró la necesidad de superar dicho concepto y dar paso a lo que, posteriormente, se denominó </w:t>
      </w:r>
      <w:r w:rsidRPr="00F65DD7">
        <w:rPr>
          <w:rFonts w:ascii="Arial" w:hAnsi="Arial" w:cs="Arial"/>
          <w:i/>
        </w:rPr>
        <w:t>error inducido</w:t>
      </w:r>
      <w:r w:rsidRPr="00F65DD7">
        <w:rPr>
          <w:rFonts w:ascii="Arial" w:hAnsi="Arial" w:cs="Arial"/>
        </w:rPr>
        <w:t xml:space="preserve"> [Sentencia T-462 de 2003].</w:t>
      </w:r>
    </w:p>
  </w:footnote>
  <w:footnote w:id="16">
    <w:p w:rsidR="00693B4C" w:rsidRPr="00F65DD7" w:rsidRDefault="00693B4C" w:rsidP="00C77297">
      <w:pPr>
        <w:pStyle w:val="Sinespaciado"/>
        <w:tabs>
          <w:tab w:val="left" w:pos="3686"/>
        </w:tabs>
        <w:jc w:val="both"/>
        <w:rPr>
          <w:rFonts w:ascii="Arial" w:hAnsi="Arial" w:cs="Arial"/>
        </w:rPr>
      </w:pPr>
      <w:r w:rsidRPr="00F65DD7">
        <w:rPr>
          <w:rStyle w:val="Refdenotaalpie"/>
          <w:rFonts w:ascii="Arial" w:hAnsi="Arial" w:cs="Arial"/>
        </w:rPr>
        <w:footnoteRef/>
      </w:r>
      <w:r w:rsidRPr="00F65DD7">
        <w:rPr>
          <w:rFonts w:ascii="Arial" w:hAnsi="Arial" w:cs="Arial"/>
        </w:rPr>
        <w:t xml:space="preserve"> Emitida en el expediente 110010315000200901328 01.</w:t>
      </w:r>
    </w:p>
  </w:footnote>
  <w:footnote w:id="17">
    <w:p w:rsidR="00E83331" w:rsidRPr="00F65DD7" w:rsidRDefault="00E83331" w:rsidP="00E83331">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T-173 de 1993</w:t>
      </w:r>
    </w:p>
  </w:footnote>
  <w:footnote w:id="18">
    <w:p w:rsidR="00E83331" w:rsidRPr="00F65DD7" w:rsidRDefault="00E83331" w:rsidP="00E83331">
      <w:pPr>
        <w:pStyle w:val="Textonotapie"/>
        <w:jc w:val="both"/>
        <w:rPr>
          <w:lang w:val="es-CO"/>
        </w:rPr>
      </w:pPr>
      <w:r w:rsidRPr="00F65DD7">
        <w:rPr>
          <w:rStyle w:val="Refdenotaalpie"/>
          <w:rFonts w:ascii="Arial" w:hAnsi="Arial" w:cs="Arial"/>
          <w:lang w:val="es-CO"/>
        </w:rPr>
        <w:footnoteRef/>
      </w:r>
      <w:r w:rsidRPr="00F65DD7">
        <w:rPr>
          <w:rFonts w:ascii="Arial" w:hAnsi="Arial" w:cs="Arial"/>
          <w:lang w:val="es-CO"/>
        </w:rPr>
        <w:t xml:space="preserve"> T-504 de 2000.</w:t>
      </w:r>
    </w:p>
  </w:footnote>
  <w:footnote w:id="19">
    <w:p w:rsidR="00276026" w:rsidRPr="00F65DD7" w:rsidRDefault="00276026" w:rsidP="00276026">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Sentencia C-104 de </w:t>
      </w:r>
      <w:smartTag w:uri="urn:schemas-microsoft-com:office:smarttags" w:element="metricconverter">
        <w:smartTagPr>
          <w:attr w:name="ProductID" w:val="1993. M"/>
        </w:smartTagPr>
        <w:r w:rsidRPr="00F65DD7">
          <w:rPr>
            <w:rFonts w:ascii="Arial" w:hAnsi="Arial" w:cs="Arial"/>
            <w:lang w:val="es-CO"/>
          </w:rPr>
          <w:t>1993. M</w:t>
        </w:r>
      </w:smartTag>
      <w:r w:rsidRPr="00F65DD7">
        <w:rPr>
          <w:rFonts w:ascii="Arial" w:hAnsi="Arial" w:cs="Arial"/>
          <w:lang w:val="es-CO"/>
        </w:rPr>
        <w:t xml:space="preserve">.P. Alejandro Martínez Caballero. </w:t>
      </w:r>
    </w:p>
  </w:footnote>
  <w:footnote w:id="20">
    <w:p w:rsidR="00276026" w:rsidRPr="00F65DD7" w:rsidRDefault="00276026" w:rsidP="00276026">
      <w:pPr>
        <w:shd w:val="clear" w:color="auto" w:fill="FFFFFF"/>
        <w:jc w:val="both"/>
        <w:rPr>
          <w:sz w:val="22"/>
        </w:rPr>
      </w:pPr>
      <w:r w:rsidRPr="00F65DD7">
        <w:rPr>
          <w:rStyle w:val="Refdenotaalpie"/>
          <w:rFonts w:ascii="Arial" w:hAnsi="Arial" w:cs="Arial"/>
        </w:rPr>
        <w:footnoteRef/>
      </w:r>
      <w:r w:rsidRPr="00F65DD7">
        <w:rPr>
          <w:rFonts w:ascii="Arial" w:hAnsi="Arial" w:cs="Arial"/>
        </w:rPr>
        <w:t xml:space="preserve"> Sentencia </w:t>
      </w:r>
      <w:r w:rsidRPr="00F65DD7">
        <w:rPr>
          <w:rFonts w:ascii="Arial" w:hAnsi="Arial" w:cs="Arial"/>
          <w:color w:val="000000"/>
        </w:rPr>
        <w:t>T-1092 de 2007 M.P. Humberto Antonio Sierra Porto.</w:t>
      </w:r>
    </w:p>
  </w:footnote>
  <w:footnote w:id="21">
    <w:p w:rsidR="001A15B4" w:rsidRPr="00F65DD7" w:rsidRDefault="001A15B4" w:rsidP="001A15B4">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Sentencia de 19 de febrero de 2009 proferida por la Sección Segunda del Consejo de Estado, C.P. Dra. Bertha Lucía Ramírez de Páez, radicado No. 2000-03449-01 (3074-2005), actor: Ana </w:t>
      </w:r>
      <w:proofErr w:type="spellStart"/>
      <w:r w:rsidRPr="00F65DD7">
        <w:rPr>
          <w:rFonts w:ascii="Arial" w:hAnsi="Arial" w:cs="Arial"/>
          <w:lang w:val="es-CO"/>
        </w:rPr>
        <w:t>Reinalda</w:t>
      </w:r>
      <w:proofErr w:type="spellEnd"/>
      <w:r w:rsidRPr="00F65DD7">
        <w:rPr>
          <w:rFonts w:ascii="Arial" w:hAnsi="Arial" w:cs="Arial"/>
          <w:lang w:val="es-CO"/>
        </w:rPr>
        <w:t xml:space="preserve"> Triana </w:t>
      </w:r>
      <w:proofErr w:type="spellStart"/>
      <w:r w:rsidRPr="00F65DD7">
        <w:rPr>
          <w:rFonts w:ascii="Arial" w:hAnsi="Arial" w:cs="Arial"/>
          <w:lang w:val="es-CO"/>
        </w:rPr>
        <w:t>Viuchi</w:t>
      </w:r>
      <w:proofErr w:type="spellEnd"/>
      <w:r w:rsidRPr="00F65DD7">
        <w:rPr>
          <w:rFonts w:ascii="Arial" w:hAnsi="Arial" w:cs="Arial"/>
          <w:lang w:val="es-CO"/>
        </w:rPr>
        <w:t>.</w:t>
      </w:r>
    </w:p>
  </w:footnote>
  <w:footnote w:id="22">
    <w:p w:rsidR="001A15B4" w:rsidRPr="00F65DD7" w:rsidRDefault="001A15B4" w:rsidP="001A15B4">
      <w:pPr>
        <w:pStyle w:val="Textonotapie"/>
        <w:jc w:val="both"/>
        <w:rPr>
          <w:rFonts w:ascii="Arial" w:hAnsi="Arial" w:cs="Arial"/>
          <w:lang w:val="es-CO"/>
        </w:rPr>
      </w:pPr>
      <w:r w:rsidRPr="00F65DD7">
        <w:rPr>
          <w:rFonts w:ascii="Arial" w:hAnsi="Arial" w:cs="Arial"/>
          <w:vertAlign w:val="superscript"/>
          <w:lang w:val="es-CO"/>
        </w:rPr>
        <w:footnoteRef/>
      </w:r>
      <w:r w:rsidRPr="00F65DD7">
        <w:rPr>
          <w:rFonts w:ascii="Arial" w:hAnsi="Arial" w:cs="Arial"/>
          <w:lang w:val="es-CO"/>
        </w:rPr>
        <w:t xml:space="preserve"> Sentencias de: 1) Sección Segunda – Subsección A de 18 de mayo de 2011, expediente No. 0056-</w:t>
      </w:r>
      <w:smartTag w:uri="urn:schemas-microsoft-com:office:smarttags" w:element="metricconverter">
        <w:smartTagPr>
          <w:attr w:name="ProductID" w:val="10, C"/>
        </w:smartTagPr>
        <w:r w:rsidRPr="00F65DD7">
          <w:rPr>
            <w:rFonts w:ascii="Arial" w:hAnsi="Arial" w:cs="Arial"/>
            <w:lang w:val="es-CO"/>
          </w:rPr>
          <w:t>10, C</w:t>
        </w:r>
      </w:smartTag>
      <w:r w:rsidRPr="00F65DD7">
        <w:rPr>
          <w:rFonts w:ascii="Arial" w:hAnsi="Arial" w:cs="Arial"/>
          <w:lang w:val="es-CO"/>
        </w:rPr>
        <w:t>.P. Dr. Gustavo Eduardo Gómez Aranguren; 2</w:t>
      </w:r>
      <w:proofErr w:type="gramStart"/>
      <w:r w:rsidRPr="00F65DD7">
        <w:rPr>
          <w:rFonts w:ascii="Arial" w:hAnsi="Arial" w:cs="Arial"/>
          <w:lang w:val="es-CO"/>
        </w:rPr>
        <w:t>)  Sección</w:t>
      </w:r>
      <w:proofErr w:type="gramEnd"/>
      <w:r w:rsidRPr="00F65DD7">
        <w:rPr>
          <w:rFonts w:ascii="Arial" w:hAnsi="Arial" w:cs="Arial"/>
          <w:lang w:val="es-CO"/>
        </w:rPr>
        <w:t xml:space="preserve"> Segunda – Subsección B de 22 de marzo de 2012, expediente No. 1909-</w:t>
      </w:r>
      <w:smartTag w:uri="urn:schemas-microsoft-com:office:smarttags" w:element="metricconverter">
        <w:smartTagPr>
          <w:attr w:name="ProductID" w:val="2011, C"/>
        </w:smartTagPr>
        <w:r w:rsidRPr="00F65DD7">
          <w:rPr>
            <w:rFonts w:ascii="Arial" w:hAnsi="Arial" w:cs="Arial"/>
            <w:lang w:val="es-CO"/>
          </w:rPr>
          <w:t>2011, C</w:t>
        </w:r>
      </w:smartTag>
      <w:r w:rsidRPr="00F65DD7">
        <w:rPr>
          <w:rFonts w:ascii="Arial" w:hAnsi="Arial" w:cs="Arial"/>
          <w:lang w:val="es-CO"/>
        </w:rPr>
        <w:t>.P. Dr. Víctor Hernando Alvarado Ardila; y, 3) Sección Segunda – Subsección B de 19 de abril de 2012, expediente No. 0179-</w:t>
      </w:r>
      <w:smartTag w:uri="urn:schemas-microsoft-com:office:smarttags" w:element="metricconverter">
        <w:smartTagPr>
          <w:attr w:name="ProductID" w:val="10, C"/>
        </w:smartTagPr>
        <w:r w:rsidRPr="00F65DD7">
          <w:rPr>
            <w:rFonts w:ascii="Arial" w:hAnsi="Arial" w:cs="Arial"/>
            <w:lang w:val="es-CO"/>
          </w:rPr>
          <w:t>10, C</w:t>
        </w:r>
      </w:smartTag>
      <w:r w:rsidRPr="00F65DD7">
        <w:rPr>
          <w:rFonts w:ascii="Arial" w:hAnsi="Arial" w:cs="Arial"/>
          <w:lang w:val="es-CO"/>
        </w:rPr>
        <w:t>.P. Dra. Bertha Lucía Ramírez de Páez.</w:t>
      </w:r>
    </w:p>
  </w:footnote>
  <w:footnote w:id="23">
    <w:p w:rsidR="001A15B4" w:rsidRPr="00F65DD7" w:rsidRDefault="001A15B4" w:rsidP="001A15B4">
      <w:pPr>
        <w:pStyle w:val="Estilo"/>
        <w:jc w:val="both"/>
        <w:rPr>
          <w:sz w:val="20"/>
          <w:szCs w:val="20"/>
        </w:rPr>
      </w:pPr>
      <w:r w:rsidRPr="00F65DD7">
        <w:rPr>
          <w:rStyle w:val="Refdenotaalpie"/>
          <w:sz w:val="20"/>
          <w:szCs w:val="20"/>
        </w:rPr>
        <w:footnoteRef/>
      </w:r>
      <w:r w:rsidRPr="00F65DD7">
        <w:rPr>
          <w:sz w:val="20"/>
          <w:szCs w:val="20"/>
        </w:rPr>
        <w:t xml:space="preserve"> Consejo de Estado, Sala de lo Contencioso Administrativo, Sección Segunda, Subsección A, Sentencia de 6 de septiembre de 2013, C.P. Dr. Alfonso Vargas Rincón, radicado No. 2013-01662-00, actor: Rosa </w:t>
      </w:r>
      <w:proofErr w:type="spellStart"/>
      <w:r w:rsidRPr="00F65DD7">
        <w:rPr>
          <w:sz w:val="20"/>
          <w:szCs w:val="20"/>
        </w:rPr>
        <w:t>Itsmenia</w:t>
      </w:r>
      <w:proofErr w:type="spellEnd"/>
      <w:r w:rsidRPr="00F65DD7">
        <w:rPr>
          <w:sz w:val="20"/>
          <w:szCs w:val="20"/>
        </w:rPr>
        <w:t xml:space="preserve"> Moreno de Palacios. Al respecto consultar: Consejo de Estado, Sala de lo Contencioso Administrativo, Sección Segunda, Subsección B, sentencia de 27 de febrero de 2014, C.P. Dra. Bertha Lucía Ramírez de Páez (E), radicado No. 2013-2824-00, actor: Nancy Yaneth Rivera; Consejo de Estado, Sala de lo Contencioso Administrativo, Sección Segunda, Subsección B.</w:t>
      </w:r>
    </w:p>
  </w:footnote>
  <w:footnote w:id="24">
    <w:p w:rsidR="001A15B4" w:rsidRPr="00F65DD7" w:rsidRDefault="001A15B4" w:rsidP="001A15B4">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Esta Corporación se ha pronunciado en el mismo sentido en sentencia de 29 de enero de 2014 proferida por la Subsección A, Sección Segunda del Consejo de Estado, C.P. Dr. Gustavo Eduardo Gómez Aranguren, radicado No. 2013-2638-00, actor: </w:t>
      </w:r>
      <w:proofErr w:type="spellStart"/>
      <w:r w:rsidRPr="00F65DD7">
        <w:rPr>
          <w:rFonts w:ascii="Arial" w:hAnsi="Arial" w:cs="Arial"/>
          <w:lang w:val="es-CO"/>
        </w:rPr>
        <w:t>Amira</w:t>
      </w:r>
      <w:proofErr w:type="spellEnd"/>
      <w:r w:rsidRPr="00F65DD7">
        <w:rPr>
          <w:rFonts w:ascii="Arial" w:hAnsi="Arial" w:cs="Arial"/>
          <w:lang w:val="es-CO"/>
        </w:rPr>
        <w:t xml:space="preserve"> Ortiz Maldonado.</w:t>
      </w:r>
    </w:p>
  </w:footnote>
  <w:footnote w:id="25">
    <w:p w:rsidR="001A15B4" w:rsidRPr="00F65DD7" w:rsidRDefault="001A15B4" w:rsidP="001A15B4">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Sentencia de 22 de octubre de 2013 proferida por la Subsección B, Sección Segunda del Consejo de Estado, C.P. Dra. Bertha Lucía Ramírez de Páez, radicado acumulado No. 2013-01730-00, actor: </w:t>
      </w:r>
      <w:proofErr w:type="spellStart"/>
      <w:r w:rsidRPr="00F65DD7">
        <w:rPr>
          <w:rFonts w:ascii="Arial" w:hAnsi="Arial" w:cs="Arial"/>
          <w:lang w:val="es-CO"/>
        </w:rPr>
        <w:t>Hilder</w:t>
      </w:r>
      <w:proofErr w:type="spellEnd"/>
      <w:r w:rsidRPr="00F65DD7">
        <w:rPr>
          <w:rFonts w:ascii="Arial" w:hAnsi="Arial" w:cs="Arial"/>
          <w:lang w:val="es-CO"/>
        </w:rPr>
        <w:t xml:space="preserve"> Elí Pineda </w:t>
      </w:r>
      <w:proofErr w:type="spellStart"/>
      <w:r w:rsidRPr="00F65DD7">
        <w:rPr>
          <w:rFonts w:ascii="Arial" w:hAnsi="Arial" w:cs="Arial"/>
          <w:lang w:val="es-CO"/>
        </w:rPr>
        <w:t>Pineda</w:t>
      </w:r>
      <w:proofErr w:type="spellEnd"/>
      <w:r w:rsidRPr="00F65DD7">
        <w:rPr>
          <w:rFonts w:ascii="Arial" w:hAnsi="Arial" w:cs="Arial"/>
          <w:lang w:val="es-CO"/>
        </w:rPr>
        <w:t xml:space="preserve"> y otros</w:t>
      </w:r>
    </w:p>
  </w:footnote>
  <w:footnote w:id="26">
    <w:p w:rsidR="001A15B4" w:rsidRPr="00F65DD7" w:rsidRDefault="001A15B4" w:rsidP="001A15B4">
      <w:pPr>
        <w:pStyle w:val="Textonotapie"/>
        <w:jc w:val="both"/>
        <w:rPr>
          <w:rFonts w:ascii="Arial" w:hAnsi="Arial" w:cs="Arial"/>
          <w:szCs w:val="18"/>
          <w:lang w:val="es-CO"/>
        </w:rPr>
      </w:pPr>
      <w:r w:rsidRPr="00F65DD7">
        <w:rPr>
          <w:rStyle w:val="Refdenotaalpie"/>
          <w:rFonts w:ascii="Arial" w:hAnsi="Arial" w:cs="Arial"/>
          <w:szCs w:val="18"/>
          <w:lang w:val="es-CO"/>
        </w:rPr>
        <w:footnoteRef/>
      </w:r>
      <w:r w:rsidRPr="00F65DD7">
        <w:rPr>
          <w:rFonts w:ascii="Arial" w:hAnsi="Arial" w:cs="Arial"/>
          <w:szCs w:val="18"/>
          <w:lang w:val="es-CO"/>
        </w:rPr>
        <w:t xml:space="preserve"> Sentencia de 4 de julio de 2013, radicado No. 2013-01015-00, con ponencia de quien ahora lo hace en este asunto. </w:t>
      </w:r>
    </w:p>
  </w:footnote>
  <w:footnote w:id="27">
    <w:p w:rsidR="001A15B4" w:rsidRPr="00F65DD7" w:rsidRDefault="001A15B4" w:rsidP="001A15B4">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Consejo de Estado – Sección Segunda – Subsección B, Sentencias de 12 de febrero de 2015 y 8 de septiembre de 2015, radicados Nº </w:t>
      </w:r>
      <w:r w:rsidRPr="00F65DD7">
        <w:rPr>
          <w:rFonts w:ascii="Arial" w:hAnsi="Arial" w:cs="Arial"/>
          <w:bCs/>
          <w:lang w:val="es-CO"/>
        </w:rPr>
        <w:t xml:space="preserve">11001-03-15-000-2014-03465-00 y 11001-03-15-000-2015-01834-00, C.P. Dra. Sandra </w:t>
      </w:r>
      <w:proofErr w:type="spellStart"/>
      <w:r w:rsidRPr="00F65DD7">
        <w:rPr>
          <w:rFonts w:ascii="Arial" w:hAnsi="Arial" w:cs="Arial"/>
          <w:bCs/>
          <w:lang w:val="es-CO"/>
        </w:rPr>
        <w:t>Lisset</w:t>
      </w:r>
      <w:proofErr w:type="spellEnd"/>
      <w:r w:rsidRPr="00F65DD7">
        <w:rPr>
          <w:rFonts w:ascii="Arial" w:hAnsi="Arial" w:cs="Arial"/>
          <w:bCs/>
          <w:lang w:val="es-CO"/>
        </w:rPr>
        <w:t xml:space="preserve"> Ibarra Vélez.</w:t>
      </w:r>
    </w:p>
  </w:footnote>
  <w:footnote w:id="28">
    <w:p w:rsidR="001A15B4" w:rsidRPr="00F65DD7" w:rsidRDefault="001A15B4" w:rsidP="001A15B4">
      <w:pPr>
        <w:pStyle w:val="Textonotapie"/>
        <w:jc w:val="both"/>
        <w:rPr>
          <w:lang w:val="es-CO"/>
        </w:rPr>
      </w:pPr>
      <w:r w:rsidRPr="00F65DD7">
        <w:rPr>
          <w:rStyle w:val="Refdenotaalpie"/>
          <w:rFonts w:ascii="Arial" w:hAnsi="Arial" w:cs="Arial"/>
          <w:lang w:val="es-CO"/>
        </w:rPr>
        <w:footnoteRef/>
      </w:r>
      <w:r w:rsidRPr="00F65DD7">
        <w:rPr>
          <w:rFonts w:ascii="Arial" w:hAnsi="Arial" w:cs="Arial"/>
          <w:lang w:val="es-CO"/>
        </w:rPr>
        <w:t xml:space="preserve"> Consejo de Estado – Sección Segunda – Subsección B, Sentencia de 27 de agosto de 2015, C.P. Dra. Sandra </w:t>
      </w:r>
      <w:proofErr w:type="spellStart"/>
      <w:r w:rsidRPr="00F65DD7">
        <w:rPr>
          <w:rFonts w:ascii="Arial" w:hAnsi="Arial" w:cs="Arial"/>
          <w:lang w:val="es-CO"/>
        </w:rPr>
        <w:t>Lisset</w:t>
      </w:r>
      <w:proofErr w:type="spellEnd"/>
      <w:r w:rsidRPr="00F65DD7">
        <w:rPr>
          <w:rFonts w:ascii="Arial" w:hAnsi="Arial" w:cs="Arial"/>
          <w:lang w:val="es-CO"/>
        </w:rPr>
        <w:t xml:space="preserve"> Ibarra Vélez, radicado N° 81001-2333-003-2013-00057-01(3361-14).</w:t>
      </w:r>
    </w:p>
  </w:footnote>
  <w:footnote w:id="29">
    <w:p w:rsidR="00396F7C" w:rsidRPr="00F65DD7" w:rsidRDefault="00396F7C" w:rsidP="00396F7C">
      <w:pPr>
        <w:pStyle w:val="Textonotapie"/>
        <w:jc w:val="both"/>
        <w:rPr>
          <w:rFonts w:ascii="Arial" w:hAnsi="Arial" w:cs="Arial"/>
          <w:lang w:val="es-CO"/>
        </w:rPr>
      </w:pPr>
      <w:r w:rsidRPr="00F65DD7">
        <w:rPr>
          <w:rStyle w:val="Refdenotaalpie"/>
          <w:rFonts w:ascii="Arial" w:hAnsi="Arial" w:cs="Arial"/>
          <w:lang w:val="es-CO"/>
        </w:rPr>
        <w:footnoteRef/>
      </w:r>
      <w:r w:rsidRPr="00F65DD7">
        <w:rPr>
          <w:rFonts w:ascii="Arial" w:hAnsi="Arial" w:cs="Arial"/>
          <w:lang w:val="es-CO"/>
        </w:rPr>
        <w:t xml:space="preserve"> </w:t>
      </w:r>
      <w:r w:rsidR="0030451A" w:rsidRPr="00F65DD7">
        <w:rPr>
          <w:rFonts w:ascii="Arial" w:hAnsi="Arial" w:cs="Arial"/>
          <w:lang w:val="es-CO"/>
        </w:rPr>
        <w:t>Visible de</w:t>
      </w:r>
      <w:r w:rsidR="00A422CC" w:rsidRPr="00F65DD7">
        <w:rPr>
          <w:rFonts w:ascii="Arial" w:hAnsi="Arial" w:cs="Arial"/>
          <w:lang w:val="es-CO"/>
        </w:rPr>
        <w:t xml:space="preserve"> folios </w:t>
      </w:r>
      <w:r w:rsidR="0030451A" w:rsidRPr="00F65DD7">
        <w:rPr>
          <w:rFonts w:ascii="Arial" w:hAnsi="Arial" w:cs="Arial"/>
          <w:lang w:val="es-CO"/>
        </w:rPr>
        <w:t>17</w:t>
      </w:r>
      <w:r w:rsidR="00A422CC" w:rsidRPr="00F65DD7">
        <w:rPr>
          <w:rFonts w:ascii="Arial" w:hAnsi="Arial" w:cs="Arial"/>
          <w:lang w:val="es-CO"/>
        </w:rPr>
        <w:t xml:space="preserve"> a </w:t>
      </w:r>
      <w:r w:rsidR="0030451A" w:rsidRPr="00F65DD7">
        <w:rPr>
          <w:rFonts w:ascii="Arial" w:hAnsi="Arial" w:cs="Arial"/>
          <w:lang w:val="es-CO"/>
        </w:rPr>
        <w:t>24</w:t>
      </w:r>
      <w:r w:rsidR="00A422CC" w:rsidRPr="00F65DD7">
        <w:rPr>
          <w:rFonts w:ascii="Arial" w:hAnsi="Arial" w:cs="Arial"/>
          <w:lang w:val="es-CO"/>
        </w:rPr>
        <w:t xml:space="preserve"> del expediente.</w:t>
      </w:r>
    </w:p>
  </w:footnote>
  <w:footnote w:id="30">
    <w:p w:rsidR="000E00F9" w:rsidRPr="00F65DD7" w:rsidRDefault="000E00F9" w:rsidP="00F65DD7">
      <w:pPr>
        <w:pStyle w:val="Textonotapie"/>
        <w:jc w:val="both"/>
        <w:rPr>
          <w:rFonts w:ascii="Arial" w:hAnsi="Arial" w:cs="Arial"/>
          <w:sz w:val="22"/>
          <w:lang w:val="es-CO"/>
        </w:rPr>
      </w:pPr>
      <w:r w:rsidRPr="00F65DD7">
        <w:rPr>
          <w:rStyle w:val="Refdenotaalpie"/>
          <w:rFonts w:ascii="Arial" w:hAnsi="Arial" w:cs="Arial"/>
          <w:lang w:val="es-CO"/>
        </w:rPr>
        <w:footnoteRef/>
      </w:r>
      <w:r w:rsidRPr="00F65DD7">
        <w:rPr>
          <w:rFonts w:ascii="Arial" w:hAnsi="Arial" w:cs="Arial"/>
          <w:lang w:val="es-CO"/>
        </w:rPr>
        <w:t xml:space="preserve"> Sentencia de 19 de febrero de 2009 proferida por la Sección Segunda del Consejo de Estado, C.P. Dra. Bertha Lucía Ramírez de Páez, radicado No. 2000-03449-01 (3074-2005), actor: Ana </w:t>
      </w:r>
      <w:proofErr w:type="spellStart"/>
      <w:r w:rsidRPr="00F65DD7">
        <w:rPr>
          <w:rFonts w:ascii="Arial" w:hAnsi="Arial" w:cs="Arial"/>
          <w:lang w:val="es-CO"/>
        </w:rPr>
        <w:t>Reinalda</w:t>
      </w:r>
      <w:proofErr w:type="spellEnd"/>
      <w:r w:rsidRPr="00F65DD7">
        <w:rPr>
          <w:rFonts w:ascii="Arial" w:hAnsi="Arial" w:cs="Arial"/>
          <w:lang w:val="es-CO"/>
        </w:rPr>
        <w:t xml:space="preserve"> Triana </w:t>
      </w:r>
      <w:proofErr w:type="spellStart"/>
      <w:r w:rsidRPr="00F65DD7">
        <w:rPr>
          <w:rFonts w:ascii="Arial" w:hAnsi="Arial" w:cs="Arial"/>
          <w:lang w:val="es-CO"/>
        </w:rPr>
        <w:t>Viuchi</w:t>
      </w:r>
      <w:proofErr w:type="spellEnd"/>
      <w:r w:rsidRPr="00F65DD7">
        <w:rPr>
          <w:rFonts w:ascii="Arial" w:hAnsi="Arial" w:cs="Arial"/>
          <w:lang w:val="es-CO"/>
        </w:rPr>
        <w:t>.</w:t>
      </w:r>
    </w:p>
  </w:footnote>
  <w:footnote w:id="31">
    <w:p w:rsidR="000E0A29" w:rsidRPr="00F65DD7" w:rsidRDefault="000E0A29" w:rsidP="00F65DD7">
      <w:pPr>
        <w:pStyle w:val="Textonotapie"/>
        <w:jc w:val="both"/>
        <w:rPr>
          <w:rFonts w:ascii="Arial" w:hAnsi="Arial" w:cs="Arial"/>
          <w:lang w:val="es-CO"/>
        </w:rPr>
      </w:pPr>
      <w:r w:rsidRPr="00F65DD7">
        <w:rPr>
          <w:rStyle w:val="Refdenotaalpie"/>
          <w:rFonts w:ascii="Arial" w:hAnsi="Arial" w:cs="Arial"/>
        </w:rPr>
        <w:footnoteRef/>
      </w:r>
      <w:r w:rsidRPr="00F65DD7">
        <w:rPr>
          <w:rFonts w:ascii="Arial" w:hAnsi="Arial" w:cs="Arial"/>
          <w:lang w:val="es-CO"/>
        </w:rPr>
        <w:t xml:space="preserve"> Expediente 11001031500020160104200, Actor: Mónica Alexandra Rocha Acosta.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062"/>
    <w:multiLevelType w:val="hybridMultilevel"/>
    <w:tmpl w:val="C3648EA2"/>
    <w:lvl w:ilvl="0" w:tplc="4B0ECD7C">
      <w:start w:val="1"/>
      <w:numFmt w:val="lowerRoman"/>
      <w:lvlText w:val="(%1)"/>
      <w:lvlJc w:val="left"/>
      <w:pPr>
        <w:ind w:left="1080" w:hanging="720"/>
      </w:pPr>
      <w:rPr>
        <w:rFonts w:hint="default"/>
        <w:b/>
        <w:i/>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AE0985"/>
    <w:multiLevelType w:val="hybridMultilevel"/>
    <w:tmpl w:val="7D165D42"/>
    <w:lvl w:ilvl="0" w:tplc="FEF8051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6C1316"/>
    <w:multiLevelType w:val="hybridMultilevel"/>
    <w:tmpl w:val="D2E062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C32838"/>
    <w:multiLevelType w:val="hybridMultilevel"/>
    <w:tmpl w:val="A7726954"/>
    <w:lvl w:ilvl="0" w:tplc="1D9A211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304B12"/>
    <w:multiLevelType w:val="hybridMultilevel"/>
    <w:tmpl w:val="FBA81D52"/>
    <w:lvl w:ilvl="0" w:tplc="9ABA464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1B2720C"/>
    <w:multiLevelType w:val="singleLevel"/>
    <w:tmpl w:val="1D8E49C4"/>
    <w:lvl w:ilvl="0">
      <w:start w:val="1"/>
      <w:numFmt w:val="decimal"/>
      <w:lvlText w:val="%1."/>
      <w:lvlJc w:val="left"/>
      <w:pPr>
        <w:tabs>
          <w:tab w:val="num" w:pos="705"/>
        </w:tabs>
        <w:ind w:left="705" w:hanging="645"/>
      </w:pPr>
      <w:rPr>
        <w:rFonts w:hint="default"/>
      </w:rPr>
    </w:lvl>
  </w:abstractNum>
  <w:abstractNum w:abstractNumId="6" w15:restartNumberingAfterBreak="0">
    <w:nsid w:val="5541700E"/>
    <w:multiLevelType w:val="hybridMultilevel"/>
    <w:tmpl w:val="A20E5AEA"/>
    <w:lvl w:ilvl="0" w:tplc="F24AB6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2852C8"/>
    <w:multiLevelType w:val="hybridMultilevel"/>
    <w:tmpl w:val="0D5CDA12"/>
    <w:lvl w:ilvl="0" w:tplc="6B306C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DF40AA"/>
    <w:multiLevelType w:val="hybridMultilevel"/>
    <w:tmpl w:val="38E8AED2"/>
    <w:lvl w:ilvl="0" w:tplc="1486A74A">
      <w:numFmt w:val="bullet"/>
      <w:lvlText w:val="-"/>
      <w:lvlJc w:val="left"/>
      <w:pPr>
        <w:ind w:left="720" w:hanging="360"/>
      </w:pPr>
      <w:rPr>
        <w:rFonts w:ascii="Arial" w:eastAsia="Times New Roman" w:hAnsi="Arial" w:cs="Arial" w:hint="default"/>
        <w:b/>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701F6E"/>
    <w:multiLevelType w:val="hybridMultilevel"/>
    <w:tmpl w:val="B66CD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DA410D"/>
    <w:multiLevelType w:val="hybridMultilevel"/>
    <w:tmpl w:val="3A10D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
  </w:num>
  <w:num w:numId="5">
    <w:abstractNumId w:val="3"/>
  </w:num>
  <w:num w:numId="6">
    <w:abstractNumId w:val="8"/>
  </w:num>
  <w:num w:numId="7">
    <w:abstractNumId w:val="7"/>
  </w:num>
  <w:num w:numId="8">
    <w:abstractNumId w:val="2"/>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22"/>
    <w:rsid w:val="000024AE"/>
    <w:rsid w:val="0000251B"/>
    <w:rsid w:val="00002A32"/>
    <w:rsid w:val="00004DCC"/>
    <w:rsid w:val="000059AC"/>
    <w:rsid w:val="00006586"/>
    <w:rsid w:val="000069D1"/>
    <w:rsid w:val="00007140"/>
    <w:rsid w:val="00007680"/>
    <w:rsid w:val="0001007C"/>
    <w:rsid w:val="000118C0"/>
    <w:rsid w:val="00012FA2"/>
    <w:rsid w:val="000134C1"/>
    <w:rsid w:val="00013C69"/>
    <w:rsid w:val="00013F7D"/>
    <w:rsid w:val="0001462C"/>
    <w:rsid w:val="00015393"/>
    <w:rsid w:val="000204C5"/>
    <w:rsid w:val="00021B42"/>
    <w:rsid w:val="0002332C"/>
    <w:rsid w:val="00023A04"/>
    <w:rsid w:val="000267F2"/>
    <w:rsid w:val="000279E7"/>
    <w:rsid w:val="00031AE8"/>
    <w:rsid w:val="00032879"/>
    <w:rsid w:val="0003316F"/>
    <w:rsid w:val="00034F7B"/>
    <w:rsid w:val="0003601A"/>
    <w:rsid w:val="00036A10"/>
    <w:rsid w:val="00036D15"/>
    <w:rsid w:val="000377DC"/>
    <w:rsid w:val="00040192"/>
    <w:rsid w:val="00040419"/>
    <w:rsid w:val="00040C5B"/>
    <w:rsid w:val="000429A0"/>
    <w:rsid w:val="00050C95"/>
    <w:rsid w:val="00051A40"/>
    <w:rsid w:val="0005381E"/>
    <w:rsid w:val="000539A7"/>
    <w:rsid w:val="00053C00"/>
    <w:rsid w:val="00054370"/>
    <w:rsid w:val="00056B4A"/>
    <w:rsid w:val="00057024"/>
    <w:rsid w:val="00057F09"/>
    <w:rsid w:val="00060FA8"/>
    <w:rsid w:val="0006217B"/>
    <w:rsid w:val="00063BD8"/>
    <w:rsid w:val="00065782"/>
    <w:rsid w:val="00066CB0"/>
    <w:rsid w:val="00067609"/>
    <w:rsid w:val="0007081C"/>
    <w:rsid w:val="000726D6"/>
    <w:rsid w:val="000747C5"/>
    <w:rsid w:val="00075F98"/>
    <w:rsid w:val="00076D2E"/>
    <w:rsid w:val="00077C4C"/>
    <w:rsid w:val="00083FDC"/>
    <w:rsid w:val="00084912"/>
    <w:rsid w:val="00086FEE"/>
    <w:rsid w:val="00087DF5"/>
    <w:rsid w:val="00087DFC"/>
    <w:rsid w:val="00090284"/>
    <w:rsid w:val="00091F41"/>
    <w:rsid w:val="000923C6"/>
    <w:rsid w:val="00092513"/>
    <w:rsid w:val="00093661"/>
    <w:rsid w:val="00095E8B"/>
    <w:rsid w:val="000A0A6A"/>
    <w:rsid w:val="000A1D80"/>
    <w:rsid w:val="000A3124"/>
    <w:rsid w:val="000A45B3"/>
    <w:rsid w:val="000A4A0B"/>
    <w:rsid w:val="000A53B8"/>
    <w:rsid w:val="000A7F1A"/>
    <w:rsid w:val="000B1885"/>
    <w:rsid w:val="000B1CA2"/>
    <w:rsid w:val="000B428F"/>
    <w:rsid w:val="000B5CB0"/>
    <w:rsid w:val="000C16E2"/>
    <w:rsid w:val="000C21F1"/>
    <w:rsid w:val="000C24D8"/>
    <w:rsid w:val="000C4415"/>
    <w:rsid w:val="000C4BDA"/>
    <w:rsid w:val="000C57FF"/>
    <w:rsid w:val="000C6EB0"/>
    <w:rsid w:val="000C7B28"/>
    <w:rsid w:val="000D03DE"/>
    <w:rsid w:val="000D0AA1"/>
    <w:rsid w:val="000D16AF"/>
    <w:rsid w:val="000D1DFA"/>
    <w:rsid w:val="000D28A1"/>
    <w:rsid w:val="000D313F"/>
    <w:rsid w:val="000D374E"/>
    <w:rsid w:val="000D3CCA"/>
    <w:rsid w:val="000D5692"/>
    <w:rsid w:val="000D5723"/>
    <w:rsid w:val="000D5C1B"/>
    <w:rsid w:val="000D6546"/>
    <w:rsid w:val="000D66AB"/>
    <w:rsid w:val="000E00F9"/>
    <w:rsid w:val="000E0A29"/>
    <w:rsid w:val="000E149B"/>
    <w:rsid w:val="000E200B"/>
    <w:rsid w:val="000E28C7"/>
    <w:rsid w:val="000E433F"/>
    <w:rsid w:val="000E469D"/>
    <w:rsid w:val="000E516C"/>
    <w:rsid w:val="000E6523"/>
    <w:rsid w:val="000E6D70"/>
    <w:rsid w:val="000E7A0A"/>
    <w:rsid w:val="000F0383"/>
    <w:rsid w:val="000F35D5"/>
    <w:rsid w:val="000F36DA"/>
    <w:rsid w:val="001000FB"/>
    <w:rsid w:val="00103368"/>
    <w:rsid w:val="00103BB7"/>
    <w:rsid w:val="0010514A"/>
    <w:rsid w:val="0011035B"/>
    <w:rsid w:val="001108A7"/>
    <w:rsid w:val="00111E8D"/>
    <w:rsid w:val="00112093"/>
    <w:rsid w:val="00113C67"/>
    <w:rsid w:val="00115965"/>
    <w:rsid w:val="00116246"/>
    <w:rsid w:val="00117127"/>
    <w:rsid w:val="0012262D"/>
    <w:rsid w:val="00122AAE"/>
    <w:rsid w:val="001239A7"/>
    <w:rsid w:val="00124490"/>
    <w:rsid w:val="00124FF3"/>
    <w:rsid w:val="00126F99"/>
    <w:rsid w:val="00130DE3"/>
    <w:rsid w:val="0013156D"/>
    <w:rsid w:val="001318DB"/>
    <w:rsid w:val="00133CC3"/>
    <w:rsid w:val="00135A3D"/>
    <w:rsid w:val="00137294"/>
    <w:rsid w:val="0014028E"/>
    <w:rsid w:val="00141B29"/>
    <w:rsid w:val="0014221B"/>
    <w:rsid w:val="00142331"/>
    <w:rsid w:val="00144269"/>
    <w:rsid w:val="0014436B"/>
    <w:rsid w:val="00145159"/>
    <w:rsid w:val="00145509"/>
    <w:rsid w:val="00145A68"/>
    <w:rsid w:val="001500AE"/>
    <w:rsid w:val="001504B5"/>
    <w:rsid w:val="00151BAB"/>
    <w:rsid w:val="00151F77"/>
    <w:rsid w:val="00153941"/>
    <w:rsid w:val="00153F6C"/>
    <w:rsid w:val="001540B8"/>
    <w:rsid w:val="00154A3E"/>
    <w:rsid w:val="001562A2"/>
    <w:rsid w:val="00156A9A"/>
    <w:rsid w:val="00156ED2"/>
    <w:rsid w:val="0015701B"/>
    <w:rsid w:val="001578A2"/>
    <w:rsid w:val="0016008E"/>
    <w:rsid w:val="0016018A"/>
    <w:rsid w:val="00162092"/>
    <w:rsid w:val="00162576"/>
    <w:rsid w:val="00162C7D"/>
    <w:rsid w:val="00163D46"/>
    <w:rsid w:val="00164273"/>
    <w:rsid w:val="00164B73"/>
    <w:rsid w:val="00165C90"/>
    <w:rsid w:val="00166480"/>
    <w:rsid w:val="00166ABB"/>
    <w:rsid w:val="00166E3C"/>
    <w:rsid w:val="001710E2"/>
    <w:rsid w:val="00171F10"/>
    <w:rsid w:val="001722D2"/>
    <w:rsid w:val="0017477C"/>
    <w:rsid w:val="00174F99"/>
    <w:rsid w:val="001759E2"/>
    <w:rsid w:val="001763FE"/>
    <w:rsid w:val="00177266"/>
    <w:rsid w:val="0018012E"/>
    <w:rsid w:val="00180717"/>
    <w:rsid w:val="0018071B"/>
    <w:rsid w:val="0018274D"/>
    <w:rsid w:val="00182BBC"/>
    <w:rsid w:val="00182D87"/>
    <w:rsid w:val="00184076"/>
    <w:rsid w:val="00186497"/>
    <w:rsid w:val="00190547"/>
    <w:rsid w:val="0019193C"/>
    <w:rsid w:val="001919DE"/>
    <w:rsid w:val="00191CD3"/>
    <w:rsid w:val="001921D4"/>
    <w:rsid w:val="0019512A"/>
    <w:rsid w:val="00195548"/>
    <w:rsid w:val="001959F6"/>
    <w:rsid w:val="00195C2B"/>
    <w:rsid w:val="0019680D"/>
    <w:rsid w:val="001973E3"/>
    <w:rsid w:val="001A005D"/>
    <w:rsid w:val="001A15B4"/>
    <w:rsid w:val="001A3800"/>
    <w:rsid w:val="001A7AE5"/>
    <w:rsid w:val="001B0705"/>
    <w:rsid w:val="001B1C1F"/>
    <w:rsid w:val="001B1C77"/>
    <w:rsid w:val="001B26FA"/>
    <w:rsid w:val="001B332E"/>
    <w:rsid w:val="001B3995"/>
    <w:rsid w:val="001B5B65"/>
    <w:rsid w:val="001B6835"/>
    <w:rsid w:val="001B6FC5"/>
    <w:rsid w:val="001B792F"/>
    <w:rsid w:val="001B7E22"/>
    <w:rsid w:val="001C23F6"/>
    <w:rsid w:val="001C4DE4"/>
    <w:rsid w:val="001C60B4"/>
    <w:rsid w:val="001C61E6"/>
    <w:rsid w:val="001C6EBF"/>
    <w:rsid w:val="001C7360"/>
    <w:rsid w:val="001C739C"/>
    <w:rsid w:val="001C7594"/>
    <w:rsid w:val="001D0289"/>
    <w:rsid w:val="001D130F"/>
    <w:rsid w:val="001D13F7"/>
    <w:rsid w:val="001D17F1"/>
    <w:rsid w:val="001D229B"/>
    <w:rsid w:val="001D4CDC"/>
    <w:rsid w:val="001D679A"/>
    <w:rsid w:val="001D6921"/>
    <w:rsid w:val="001E2954"/>
    <w:rsid w:val="001E2B69"/>
    <w:rsid w:val="001E2F63"/>
    <w:rsid w:val="001E3AE5"/>
    <w:rsid w:val="001E4B8A"/>
    <w:rsid w:val="001E6F1F"/>
    <w:rsid w:val="001E73FC"/>
    <w:rsid w:val="001E743F"/>
    <w:rsid w:val="001E7CA4"/>
    <w:rsid w:val="001F05B8"/>
    <w:rsid w:val="001F180D"/>
    <w:rsid w:val="001F54DD"/>
    <w:rsid w:val="001F76FF"/>
    <w:rsid w:val="00200AD9"/>
    <w:rsid w:val="00200C8E"/>
    <w:rsid w:val="002069BF"/>
    <w:rsid w:val="00206E72"/>
    <w:rsid w:val="00210418"/>
    <w:rsid w:val="00211C10"/>
    <w:rsid w:val="00213F68"/>
    <w:rsid w:val="00213FF6"/>
    <w:rsid w:val="002160D9"/>
    <w:rsid w:val="002168C5"/>
    <w:rsid w:val="00217EFC"/>
    <w:rsid w:val="00220BE6"/>
    <w:rsid w:val="00221A0F"/>
    <w:rsid w:val="002220D7"/>
    <w:rsid w:val="0022277A"/>
    <w:rsid w:val="00222A79"/>
    <w:rsid w:val="00222BEF"/>
    <w:rsid w:val="00223439"/>
    <w:rsid w:val="00227180"/>
    <w:rsid w:val="00230635"/>
    <w:rsid w:val="002307FE"/>
    <w:rsid w:val="00230815"/>
    <w:rsid w:val="00232783"/>
    <w:rsid w:val="00233ACB"/>
    <w:rsid w:val="00234D5A"/>
    <w:rsid w:val="00234E45"/>
    <w:rsid w:val="00235420"/>
    <w:rsid w:val="00235522"/>
    <w:rsid w:val="00237482"/>
    <w:rsid w:val="00237E01"/>
    <w:rsid w:val="00240158"/>
    <w:rsid w:val="00240354"/>
    <w:rsid w:val="00243826"/>
    <w:rsid w:val="00245119"/>
    <w:rsid w:val="002453E2"/>
    <w:rsid w:val="002469CC"/>
    <w:rsid w:val="0025003B"/>
    <w:rsid w:val="002504DE"/>
    <w:rsid w:val="002512CC"/>
    <w:rsid w:val="00252670"/>
    <w:rsid w:val="002552E2"/>
    <w:rsid w:val="00257748"/>
    <w:rsid w:val="00260146"/>
    <w:rsid w:val="0026125A"/>
    <w:rsid w:val="00261FAC"/>
    <w:rsid w:val="002621F8"/>
    <w:rsid w:val="00262207"/>
    <w:rsid w:val="0026276F"/>
    <w:rsid w:val="002628A1"/>
    <w:rsid w:val="00262ADB"/>
    <w:rsid w:val="00263368"/>
    <w:rsid w:val="00266155"/>
    <w:rsid w:val="0026664A"/>
    <w:rsid w:val="0026687F"/>
    <w:rsid w:val="00266D16"/>
    <w:rsid w:val="002705DB"/>
    <w:rsid w:val="00270A5C"/>
    <w:rsid w:val="00273938"/>
    <w:rsid w:val="00276026"/>
    <w:rsid w:val="002774FD"/>
    <w:rsid w:val="00277B35"/>
    <w:rsid w:val="002802A7"/>
    <w:rsid w:val="0028097F"/>
    <w:rsid w:val="00280BAB"/>
    <w:rsid w:val="00287A59"/>
    <w:rsid w:val="00290452"/>
    <w:rsid w:val="00291140"/>
    <w:rsid w:val="002936AF"/>
    <w:rsid w:val="00293A2C"/>
    <w:rsid w:val="0029418C"/>
    <w:rsid w:val="002962F2"/>
    <w:rsid w:val="002A20AC"/>
    <w:rsid w:val="002A2755"/>
    <w:rsid w:val="002A47C4"/>
    <w:rsid w:val="002A5267"/>
    <w:rsid w:val="002A5748"/>
    <w:rsid w:val="002A590E"/>
    <w:rsid w:val="002A6BA3"/>
    <w:rsid w:val="002A6DBB"/>
    <w:rsid w:val="002A707A"/>
    <w:rsid w:val="002A7CC9"/>
    <w:rsid w:val="002B00BC"/>
    <w:rsid w:val="002B05AB"/>
    <w:rsid w:val="002B09A4"/>
    <w:rsid w:val="002B0A9C"/>
    <w:rsid w:val="002B2270"/>
    <w:rsid w:val="002B57D6"/>
    <w:rsid w:val="002B6D42"/>
    <w:rsid w:val="002B7EBE"/>
    <w:rsid w:val="002C0023"/>
    <w:rsid w:val="002C0F47"/>
    <w:rsid w:val="002C1918"/>
    <w:rsid w:val="002C2684"/>
    <w:rsid w:val="002C2A37"/>
    <w:rsid w:val="002C314A"/>
    <w:rsid w:val="002C5236"/>
    <w:rsid w:val="002D01CA"/>
    <w:rsid w:val="002D05F1"/>
    <w:rsid w:val="002D0767"/>
    <w:rsid w:val="002D0D5A"/>
    <w:rsid w:val="002D1FD8"/>
    <w:rsid w:val="002D5874"/>
    <w:rsid w:val="002D6566"/>
    <w:rsid w:val="002D7797"/>
    <w:rsid w:val="002E48C6"/>
    <w:rsid w:val="002E5AA0"/>
    <w:rsid w:val="002E5ED9"/>
    <w:rsid w:val="002E6BEF"/>
    <w:rsid w:val="002E7C63"/>
    <w:rsid w:val="002F0C07"/>
    <w:rsid w:val="002F20A3"/>
    <w:rsid w:val="002F3B69"/>
    <w:rsid w:val="002F4236"/>
    <w:rsid w:val="002F7E2B"/>
    <w:rsid w:val="00300175"/>
    <w:rsid w:val="00301AC9"/>
    <w:rsid w:val="00302A83"/>
    <w:rsid w:val="0030451A"/>
    <w:rsid w:val="0030563A"/>
    <w:rsid w:val="0030679E"/>
    <w:rsid w:val="00306C80"/>
    <w:rsid w:val="00307403"/>
    <w:rsid w:val="00307FCC"/>
    <w:rsid w:val="0031349C"/>
    <w:rsid w:val="00316408"/>
    <w:rsid w:val="003209D7"/>
    <w:rsid w:val="00321FD4"/>
    <w:rsid w:val="00322C96"/>
    <w:rsid w:val="00323866"/>
    <w:rsid w:val="00324ADF"/>
    <w:rsid w:val="00324F18"/>
    <w:rsid w:val="00325D19"/>
    <w:rsid w:val="0032618F"/>
    <w:rsid w:val="00327731"/>
    <w:rsid w:val="00327EC1"/>
    <w:rsid w:val="003300C6"/>
    <w:rsid w:val="0033206D"/>
    <w:rsid w:val="00332736"/>
    <w:rsid w:val="003340E0"/>
    <w:rsid w:val="00334752"/>
    <w:rsid w:val="00334D4A"/>
    <w:rsid w:val="00334DB3"/>
    <w:rsid w:val="0033515A"/>
    <w:rsid w:val="003353A1"/>
    <w:rsid w:val="003369BB"/>
    <w:rsid w:val="00337093"/>
    <w:rsid w:val="0034013B"/>
    <w:rsid w:val="00340F3B"/>
    <w:rsid w:val="0034185D"/>
    <w:rsid w:val="0034468A"/>
    <w:rsid w:val="003447A2"/>
    <w:rsid w:val="0034524F"/>
    <w:rsid w:val="00345AA7"/>
    <w:rsid w:val="003473E1"/>
    <w:rsid w:val="00350232"/>
    <w:rsid w:val="00351669"/>
    <w:rsid w:val="003533B4"/>
    <w:rsid w:val="00356611"/>
    <w:rsid w:val="00360DD2"/>
    <w:rsid w:val="00362E3F"/>
    <w:rsid w:val="003646A2"/>
    <w:rsid w:val="0036475E"/>
    <w:rsid w:val="00364A27"/>
    <w:rsid w:val="00364D92"/>
    <w:rsid w:val="0036610C"/>
    <w:rsid w:val="00366C2B"/>
    <w:rsid w:val="003714D7"/>
    <w:rsid w:val="003719E4"/>
    <w:rsid w:val="00372A8A"/>
    <w:rsid w:val="00372F74"/>
    <w:rsid w:val="0037384F"/>
    <w:rsid w:val="00380A5F"/>
    <w:rsid w:val="003825E7"/>
    <w:rsid w:val="00383758"/>
    <w:rsid w:val="00383C23"/>
    <w:rsid w:val="00385C8B"/>
    <w:rsid w:val="00390759"/>
    <w:rsid w:val="00391EA5"/>
    <w:rsid w:val="003924D4"/>
    <w:rsid w:val="00392D95"/>
    <w:rsid w:val="0039578D"/>
    <w:rsid w:val="0039619A"/>
    <w:rsid w:val="00396471"/>
    <w:rsid w:val="00396583"/>
    <w:rsid w:val="00396F7C"/>
    <w:rsid w:val="003A01B8"/>
    <w:rsid w:val="003A3F7F"/>
    <w:rsid w:val="003A4B58"/>
    <w:rsid w:val="003A4FAB"/>
    <w:rsid w:val="003A5372"/>
    <w:rsid w:val="003A6B54"/>
    <w:rsid w:val="003B0A68"/>
    <w:rsid w:val="003B0AC1"/>
    <w:rsid w:val="003B2B00"/>
    <w:rsid w:val="003B3A8C"/>
    <w:rsid w:val="003B4A06"/>
    <w:rsid w:val="003B5E81"/>
    <w:rsid w:val="003B5F97"/>
    <w:rsid w:val="003B71F5"/>
    <w:rsid w:val="003B72DF"/>
    <w:rsid w:val="003C0C3D"/>
    <w:rsid w:val="003C1AE5"/>
    <w:rsid w:val="003C237A"/>
    <w:rsid w:val="003C25A6"/>
    <w:rsid w:val="003C2A17"/>
    <w:rsid w:val="003C4EDC"/>
    <w:rsid w:val="003C60F4"/>
    <w:rsid w:val="003C6293"/>
    <w:rsid w:val="003C64C8"/>
    <w:rsid w:val="003C68B9"/>
    <w:rsid w:val="003D01FF"/>
    <w:rsid w:val="003D02C6"/>
    <w:rsid w:val="003D1A58"/>
    <w:rsid w:val="003D5338"/>
    <w:rsid w:val="003D55FD"/>
    <w:rsid w:val="003D66CF"/>
    <w:rsid w:val="003D7970"/>
    <w:rsid w:val="003E067D"/>
    <w:rsid w:val="003E0C7F"/>
    <w:rsid w:val="003E1E38"/>
    <w:rsid w:val="003E3674"/>
    <w:rsid w:val="003E6219"/>
    <w:rsid w:val="003E6411"/>
    <w:rsid w:val="003F0E9A"/>
    <w:rsid w:val="003F163A"/>
    <w:rsid w:val="003F23C0"/>
    <w:rsid w:val="003F2A56"/>
    <w:rsid w:val="003F46BB"/>
    <w:rsid w:val="003F7E0B"/>
    <w:rsid w:val="003F7F8E"/>
    <w:rsid w:val="00401945"/>
    <w:rsid w:val="004023E9"/>
    <w:rsid w:val="0040302C"/>
    <w:rsid w:val="00404D10"/>
    <w:rsid w:val="004064ED"/>
    <w:rsid w:val="00407AB6"/>
    <w:rsid w:val="0041113E"/>
    <w:rsid w:val="0041133B"/>
    <w:rsid w:val="004139B3"/>
    <w:rsid w:val="00414BF5"/>
    <w:rsid w:val="00416178"/>
    <w:rsid w:val="00416381"/>
    <w:rsid w:val="004178E1"/>
    <w:rsid w:val="00420BA3"/>
    <w:rsid w:val="004220E6"/>
    <w:rsid w:val="004236CE"/>
    <w:rsid w:val="004253D4"/>
    <w:rsid w:val="00427B91"/>
    <w:rsid w:val="004309B3"/>
    <w:rsid w:val="00431C5D"/>
    <w:rsid w:val="004322E1"/>
    <w:rsid w:val="0043417F"/>
    <w:rsid w:val="00434AD2"/>
    <w:rsid w:val="00436334"/>
    <w:rsid w:val="0044135D"/>
    <w:rsid w:val="004415F2"/>
    <w:rsid w:val="004440C7"/>
    <w:rsid w:val="00444386"/>
    <w:rsid w:val="00444AE8"/>
    <w:rsid w:val="00446604"/>
    <w:rsid w:val="0045044D"/>
    <w:rsid w:val="00450BBA"/>
    <w:rsid w:val="00451B0C"/>
    <w:rsid w:val="00452210"/>
    <w:rsid w:val="004525B3"/>
    <w:rsid w:val="00453CEE"/>
    <w:rsid w:val="00453D9C"/>
    <w:rsid w:val="00454B34"/>
    <w:rsid w:val="00460187"/>
    <w:rsid w:val="00460B15"/>
    <w:rsid w:val="00462AD7"/>
    <w:rsid w:val="0046342C"/>
    <w:rsid w:val="00464F94"/>
    <w:rsid w:val="00466989"/>
    <w:rsid w:val="00467BD1"/>
    <w:rsid w:val="00470789"/>
    <w:rsid w:val="00473971"/>
    <w:rsid w:val="004759AA"/>
    <w:rsid w:val="00475ACE"/>
    <w:rsid w:val="0047799B"/>
    <w:rsid w:val="00480DD5"/>
    <w:rsid w:val="00484599"/>
    <w:rsid w:val="0048472B"/>
    <w:rsid w:val="0048594A"/>
    <w:rsid w:val="00486E2D"/>
    <w:rsid w:val="00487301"/>
    <w:rsid w:val="00490333"/>
    <w:rsid w:val="00491AE8"/>
    <w:rsid w:val="004933A4"/>
    <w:rsid w:val="00495A1E"/>
    <w:rsid w:val="00495C2F"/>
    <w:rsid w:val="00496B37"/>
    <w:rsid w:val="00496DA6"/>
    <w:rsid w:val="004A1EA7"/>
    <w:rsid w:val="004A1FB3"/>
    <w:rsid w:val="004A208A"/>
    <w:rsid w:val="004A21EF"/>
    <w:rsid w:val="004A2272"/>
    <w:rsid w:val="004A306F"/>
    <w:rsid w:val="004A6251"/>
    <w:rsid w:val="004A6E7E"/>
    <w:rsid w:val="004A7A88"/>
    <w:rsid w:val="004B413A"/>
    <w:rsid w:val="004B5F3A"/>
    <w:rsid w:val="004B6A9C"/>
    <w:rsid w:val="004B74E5"/>
    <w:rsid w:val="004C04B7"/>
    <w:rsid w:val="004C39B5"/>
    <w:rsid w:val="004C4804"/>
    <w:rsid w:val="004D1AE9"/>
    <w:rsid w:val="004D3FDF"/>
    <w:rsid w:val="004D4F54"/>
    <w:rsid w:val="004D6432"/>
    <w:rsid w:val="004D64BF"/>
    <w:rsid w:val="004D6574"/>
    <w:rsid w:val="004D795C"/>
    <w:rsid w:val="004D7A70"/>
    <w:rsid w:val="004E0127"/>
    <w:rsid w:val="004E0771"/>
    <w:rsid w:val="004E0B2A"/>
    <w:rsid w:val="004E255E"/>
    <w:rsid w:val="004E43DC"/>
    <w:rsid w:val="004E47F5"/>
    <w:rsid w:val="004E5BB2"/>
    <w:rsid w:val="004E5C08"/>
    <w:rsid w:val="004E6A39"/>
    <w:rsid w:val="004F28CB"/>
    <w:rsid w:val="004F3B94"/>
    <w:rsid w:val="004F4D71"/>
    <w:rsid w:val="00500F1E"/>
    <w:rsid w:val="005011E2"/>
    <w:rsid w:val="00502F59"/>
    <w:rsid w:val="00503CB8"/>
    <w:rsid w:val="005078F6"/>
    <w:rsid w:val="00513551"/>
    <w:rsid w:val="00514038"/>
    <w:rsid w:val="00516CF9"/>
    <w:rsid w:val="005171B4"/>
    <w:rsid w:val="005209DA"/>
    <w:rsid w:val="0052187C"/>
    <w:rsid w:val="00521F61"/>
    <w:rsid w:val="005230F1"/>
    <w:rsid w:val="00525812"/>
    <w:rsid w:val="00526452"/>
    <w:rsid w:val="0053165B"/>
    <w:rsid w:val="00533033"/>
    <w:rsid w:val="005358AE"/>
    <w:rsid w:val="00536E80"/>
    <w:rsid w:val="00537752"/>
    <w:rsid w:val="00537E48"/>
    <w:rsid w:val="005403CA"/>
    <w:rsid w:val="0054114E"/>
    <w:rsid w:val="00543D57"/>
    <w:rsid w:val="00544359"/>
    <w:rsid w:val="00547A65"/>
    <w:rsid w:val="0055048B"/>
    <w:rsid w:val="005506D8"/>
    <w:rsid w:val="005508B3"/>
    <w:rsid w:val="00550A1E"/>
    <w:rsid w:val="00551ACA"/>
    <w:rsid w:val="00554190"/>
    <w:rsid w:val="0055533A"/>
    <w:rsid w:val="00561AE1"/>
    <w:rsid w:val="00563839"/>
    <w:rsid w:val="00563BEA"/>
    <w:rsid w:val="0056421F"/>
    <w:rsid w:val="00564970"/>
    <w:rsid w:val="00565E79"/>
    <w:rsid w:val="00570152"/>
    <w:rsid w:val="005707AE"/>
    <w:rsid w:val="00571255"/>
    <w:rsid w:val="005712F0"/>
    <w:rsid w:val="0057194A"/>
    <w:rsid w:val="0057727E"/>
    <w:rsid w:val="00580739"/>
    <w:rsid w:val="00581780"/>
    <w:rsid w:val="0058274A"/>
    <w:rsid w:val="00585DB5"/>
    <w:rsid w:val="00586C1C"/>
    <w:rsid w:val="00590574"/>
    <w:rsid w:val="005907F9"/>
    <w:rsid w:val="00591345"/>
    <w:rsid w:val="00591B8A"/>
    <w:rsid w:val="00593C2E"/>
    <w:rsid w:val="0059423C"/>
    <w:rsid w:val="00594EA4"/>
    <w:rsid w:val="00595B2F"/>
    <w:rsid w:val="00595BA4"/>
    <w:rsid w:val="00596704"/>
    <w:rsid w:val="00597804"/>
    <w:rsid w:val="005A0699"/>
    <w:rsid w:val="005A3E83"/>
    <w:rsid w:val="005A450F"/>
    <w:rsid w:val="005A4C49"/>
    <w:rsid w:val="005B1129"/>
    <w:rsid w:val="005B11AB"/>
    <w:rsid w:val="005B14CD"/>
    <w:rsid w:val="005B15D8"/>
    <w:rsid w:val="005B3DF9"/>
    <w:rsid w:val="005B48A4"/>
    <w:rsid w:val="005B687D"/>
    <w:rsid w:val="005B72A1"/>
    <w:rsid w:val="005B787B"/>
    <w:rsid w:val="005C0676"/>
    <w:rsid w:val="005C2AF8"/>
    <w:rsid w:val="005C32EC"/>
    <w:rsid w:val="005C418F"/>
    <w:rsid w:val="005C459C"/>
    <w:rsid w:val="005C4819"/>
    <w:rsid w:val="005C4E27"/>
    <w:rsid w:val="005C6C20"/>
    <w:rsid w:val="005C7D64"/>
    <w:rsid w:val="005D0E21"/>
    <w:rsid w:val="005D18BA"/>
    <w:rsid w:val="005D1950"/>
    <w:rsid w:val="005D396A"/>
    <w:rsid w:val="005D4922"/>
    <w:rsid w:val="005D61B8"/>
    <w:rsid w:val="005D6F7D"/>
    <w:rsid w:val="005E08C8"/>
    <w:rsid w:val="005E09EB"/>
    <w:rsid w:val="005E1D70"/>
    <w:rsid w:val="005E3F7F"/>
    <w:rsid w:val="005E61DD"/>
    <w:rsid w:val="005E71F3"/>
    <w:rsid w:val="005E7204"/>
    <w:rsid w:val="005E7545"/>
    <w:rsid w:val="005F039A"/>
    <w:rsid w:val="005F0847"/>
    <w:rsid w:val="005F1653"/>
    <w:rsid w:val="005F4AF5"/>
    <w:rsid w:val="00600360"/>
    <w:rsid w:val="0060258E"/>
    <w:rsid w:val="00602EA9"/>
    <w:rsid w:val="0060476E"/>
    <w:rsid w:val="00605A27"/>
    <w:rsid w:val="006061F6"/>
    <w:rsid w:val="00606589"/>
    <w:rsid w:val="00611677"/>
    <w:rsid w:val="00612FB5"/>
    <w:rsid w:val="00614425"/>
    <w:rsid w:val="00614A95"/>
    <w:rsid w:val="00616EE7"/>
    <w:rsid w:val="00617B6D"/>
    <w:rsid w:val="00617DB3"/>
    <w:rsid w:val="00617DCD"/>
    <w:rsid w:val="006201D9"/>
    <w:rsid w:val="0062030C"/>
    <w:rsid w:val="00621A4F"/>
    <w:rsid w:val="00622095"/>
    <w:rsid w:val="006228FA"/>
    <w:rsid w:val="00623D2A"/>
    <w:rsid w:val="00624478"/>
    <w:rsid w:val="006246C2"/>
    <w:rsid w:val="0062606B"/>
    <w:rsid w:val="00626D3E"/>
    <w:rsid w:val="006313C0"/>
    <w:rsid w:val="00631448"/>
    <w:rsid w:val="006319E4"/>
    <w:rsid w:val="00632287"/>
    <w:rsid w:val="006322F3"/>
    <w:rsid w:val="00632609"/>
    <w:rsid w:val="00633EE2"/>
    <w:rsid w:val="006346CA"/>
    <w:rsid w:val="00634E5F"/>
    <w:rsid w:val="0063586D"/>
    <w:rsid w:val="00635982"/>
    <w:rsid w:val="006359EE"/>
    <w:rsid w:val="00635FD2"/>
    <w:rsid w:val="0064091F"/>
    <w:rsid w:val="00645908"/>
    <w:rsid w:val="006467AC"/>
    <w:rsid w:val="0064790E"/>
    <w:rsid w:val="0064799D"/>
    <w:rsid w:val="00647D2B"/>
    <w:rsid w:val="006502FE"/>
    <w:rsid w:val="00651A90"/>
    <w:rsid w:val="00651A9A"/>
    <w:rsid w:val="00652138"/>
    <w:rsid w:val="0065298C"/>
    <w:rsid w:val="00653DA3"/>
    <w:rsid w:val="00655AF7"/>
    <w:rsid w:val="00655C47"/>
    <w:rsid w:val="0065661F"/>
    <w:rsid w:val="0066343A"/>
    <w:rsid w:val="006640B8"/>
    <w:rsid w:val="00665899"/>
    <w:rsid w:val="0066703D"/>
    <w:rsid w:val="006672BA"/>
    <w:rsid w:val="00667499"/>
    <w:rsid w:val="00667AA1"/>
    <w:rsid w:val="00667D83"/>
    <w:rsid w:val="0067012A"/>
    <w:rsid w:val="006721F3"/>
    <w:rsid w:val="00673589"/>
    <w:rsid w:val="00673B7A"/>
    <w:rsid w:val="00673B94"/>
    <w:rsid w:val="00674868"/>
    <w:rsid w:val="00674A63"/>
    <w:rsid w:val="00675099"/>
    <w:rsid w:val="006759E7"/>
    <w:rsid w:val="006778DC"/>
    <w:rsid w:val="0068035A"/>
    <w:rsid w:val="00681577"/>
    <w:rsid w:val="006823FE"/>
    <w:rsid w:val="006825F1"/>
    <w:rsid w:val="00682C57"/>
    <w:rsid w:val="00683620"/>
    <w:rsid w:val="00685081"/>
    <w:rsid w:val="006857F6"/>
    <w:rsid w:val="00686E3D"/>
    <w:rsid w:val="00687697"/>
    <w:rsid w:val="00690B1A"/>
    <w:rsid w:val="0069188C"/>
    <w:rsid w:val="00693116"/>
    <w:rsid w:val="00693B4C"/>
    <w:rsid w:val="00693EEB"/>
    <w:rsid w:val="00695022"/>
    <w:rsid w:val="00695CBC"/>
    <w:rsid w:val="00696221"/>
    <w:rsid w:val="006A0E7E"/>
    <w:rsid w:val="006A150E"/>
    <w:rsid w:val="006A30E9"/>
    <w:rsid w:val="006A56B5"/>
    <w:rsid w:val="006A6330"/>
    <w:rsid w:val="006A653A"/>
    <w:rsid w:val="006A747B"/>
    <w:rsid w:val="006A76D9"/>
    <w:rsid w:val="006B1574"/>
    <w:rsid w:val="006B1680"/>
    <w:rsid w:val="006B1949"/>
    <w:rsid w:val="006B43FB"/>
    <w:rsid w:val="006B491C"/>
    <w:rsid w:val="006B4C8D"/>
    <w:rsid w:val="006B52C6"/>
    <w:rsid w:val="006B62E8"/>
    <w:rsid w:val="006C0199"/>
    <w:rsid w:val="006C18E6"/>
    <w:rsid w:val="006C329E"/>
    <w:rsid w:val="006C6364"/>
    <w:rsid w:val="006C6C61"/>
    <w:rsid w:val="006C7866"/>
    <w:rsid w:val="006D0FFD"/>
    <w:rsid w:val="006D1D15"/>
    <w:rsid w:val="006D31E9"/>
    <w:rsid w:val="006D3E4C"/>
    <w:rsid w:val="006D65D1"/>
    <w:rsid w:val="006D74B8"/>
    <w:rsid w:val="006E0786"/>
    <w:rsid w:val="006E2E66"/>
    <w:rsid w:val="006E4758"/>
    <w:rsid w:val="006E4ABA"/>
    <w:rsid w:val="006E5EB0"/>
    <w:rsid w:val="006E6F69"/>
    <w:rsid w:val="006F168B"/>
    <w:rsid w:val="006F1E9B"/>
    <w:rsid w:val="006F3595"/>
    <w:rsid w:val="006F3F58"/>
    <w:rsid w:val="006F5CC6"/>
    <w:rsid w:val="006F5CEF"/>
    <w:rsid w:val="006F649D"/>
    <w:rsid w:val="006F71AD"/>
    <w:rsid w:val="00701B74"/>
    <w:rsid w:val="00703357"/>
    <w:rsid w:val="007044A8"/>
    <w:rsid w:val="0070494A"/>
    <w:rsid w:val="0070511A"/>
    <w:rsid w:val="007055C5"/>
    <w:rsid w:val="0070572A"/>
    <w:rsid w:val="00706494"/>
    <w:rsid w:val="00706A7C"/>
    <w:rsid w:val="00711C6C"/>
    <w:rsid w:val="0072064D"/>
    <w:rsid w:val="007227FD"/>
    <w:rsid w:val="007252D6"/>
    <w:rsid w:val="00725FDE"/>
    <w:rsid w:val="0072728D"/>
    <w:rsid w:val="00727A35"/>
    <w:rsid w:val="007307DF"/>
    <w:rsid w:val="00731606"/>
    <w:rsid w:val="00734D3C"/>
    <w:rsid w:val="007353A8"/>
    <w:rsid w:val="00737DEB"/>
    <w:rsid w:val="007404E6"/>
    <w:rsid w:val="00743265"/>
    <w:rsid w:val="00743FBB"/>
    <w:rsid w:val="00744D8E"/>
    <w:rsid w:val="00745702"/>
    <w:rsid w:val="0074575E"/>
    <w:rsid w:val="0074782D"/>
    <w:rsid w:val="00750DE3"/>
    <w:rsid w:val="00751CD1"/>
    <w:rsid w:val="007531FB"/>
    <w:rsid w:val="007539B3"/>
    <w:rsid w:val="007552B8"/>
    <w:rsid w:val="00755A38"/>
    <w:rsid w:val="007573FF"/>
    <w:rsid w:val="00757746"/>
    <w:rsid w:val="00757A71"/>
    <w:rsid w:val="0076106D"/>
    <w:rsid w:val="00761694"/>
    <w:rsid w:val="00762979"/>
    <w:rsid w:val="00764977"/>
    <w:rsid w:val="007676BC"/>
    <w:rsid w:val="00770669"/>
    <w:rsid w:val="00774ED7"/>
    <w:rsid w:val="00775012"/>
    <w:rsid w:val="00775B30"/>
    <w:rsid w:val="00782079"/>
    <w:rsid w:val="0078207E"/>
    <w:rsid w:val="00784FA3"/>
    <w:rsid w:val="00785EAA"/>
    <w:rsid w:val="00786C02"/>
    <w:rsid w:val="007871E8"/>
    <w:rsid w:val="00790015"/>
    <w:rsid w:val="007910A5"/>
    <w:rsid w:val="00793931"/>
    <w:rsid w:val="00795170"/>
    <w:rsid w:val="00795A13"/>
    <w:rsid w:val="00795D36"/>
    <w:rsid w:val="00795E4F"/>
    <w:rsid w:val="0079781B"/>
    <w:rsid w:val="007A06D2"/>
    <w:rsid w:val="007A0E6B"/>
    <w:rsid w:val="007A1E3A"/>
    <w:rsid w:val="007A29CA"/>
    <w:rsid w:val="007A3E2B"/>
    <w:rsid w:val="007A5A9E"/>
    <w:rsid w:val="007A60A1"/>
    <w:rsid w:val="007B1205"/>
    <w:rsid w:val="007B1473"/>
    <w:rsid w:val="007B2EBE"/>
    <w:rsid w:val="007B4534"/>
    <w:rsid w:val="007B5A64"/>
    <w:rsid w:val="007B60A1"/>
    <w:rsid w:val="007B7566"/>
    <w:rsid w:val="007B7F2C"/>
    <w:rsid w:val="007B7FB1"/>
    <w:rsid w:val="007C012D"/>
    <w:rsid w:val="007C144B"/>
    <w:rsid w:val="007C21C2"/>
    <w:rsid w:val="007C2EE7"/>
    <w:rsid w:val="007C404C"/>
    <w:rsid w:val="007C6AA8"/>
    <w:rsid w:val="007C7631"/>
    <w:rsid w:val="007D21D6"/>
    <w:rsid w:val="007D23DF"/>
    <w:rsid w:val="007D55B5"/>
    <w:rsid w:val="007D5647"/>
    <w:rsid w:val="007D5CA0"/>
    <w:rsid w:val="007D7833"/>
    <w:rsid w:val="007E4B24"/>
    <w:rsid w:val="007E541A"/>
    <w:rsid w:val="007E5A9B"/>
    <w:rsid w:val="007E65CE"/>
    <w:rsid w:val="007F0924"/>
    <w:rsid w:val="007F170B"/>
    <w:rsid w:val="007F1BF5"/>
    <w:rsid w:val="007F2AC9"/>
    <w:rsid w:val="007F2B64"/>
    <w:rsid w:val="007F2DC1"/>
    <w:rsid w:val="007F2E0F"/>
    <w:rsid w:val="007F4701"/>
    <w:rsid w:val="007F47E7"/>
    <w:rsid w:val="007F4C72"/>
    <w:rsid w:val="007F4DC4"/>
    <w:rsid w:val="007F4E6E"/>
    <w:rsid w:val="007F6059"/>
    <w:rsid w:val="007F7882"/>
    <w:rsid w:val="007F7A30"/>
    <w:rsid w:val="008003E3"/>
    <w:rsid w:val="00801F9E"/>
    <w:rsid w:val="00803BCF"/>
    <w:rsid w:val="0080407C"/>
    <w:rsid w:val="00804482"/>
    <w:rsid w:val="00804DD6"/>
    <w:rsid w:val="00805DD2"/>
    <w:rsid w:val="00807054"/>
    <w:rsid w:val="00810480"/>
    <w:rsid w:val="00813035"/>
    <w:rsid w:val="008134EA"/>
    <w:rsid w:val="0081413A"/>
    <w:rsid w:val="0081440C"/>
    <w:rsid w:val="00814E4F"/>
    <w:rsid w:val="00814F10"/>
    <w:rsid w:val="00815F6B"/>
    <w:rsid w:val="008176AC"/>
    <w:rsid w:val="00820D4D"/>
    <w:rsid w:val="00820DDF"/>
    <w:rsid w:val="00825EE8"/>
    <w:rsid w:val="008262A1"/>
    <w:rsid w:val="0083011C"/>
    <w:rsid w:val="008313E5"/>
    <w:rsid w:val="008334DC"/>
    <w:rsid w:val="008335FA"/>
    <w:rsid w:val="0083421E"/>
    <w:rsid w:val="00835341"/>
    <w:rsid w:val="008409BB"/>
    <w:rsid w:val="0084101E"/>
    <w:rsid w:val="00844074"/>
    <w:rsid w:val="0084451A"/>
    <w:rsid w:val="0084519E"/>
    <w:rsid w:val="008456F9"/>
    <w:rsid w:val="008468C5"/>
    <w:rsid w:val="0084775F"/>
    <w:rsid w:val="00851F72"/>
    <w:rsid w:val="00852433"/>
    <w:rsid w:val="00853DB0"/>
    <w:rsid w:val="00853DBC"/>
    <w:rsid w:val="00856324"/>
    <w:rsid w:val="008578D9"/>
    <w:rsid w:val="00860CF4"/>
    <w:rsid w:val="00861DA1"/>
    <w:rsid w:val="00863631"/>
    <w:rsid w:val="00863A88"/>
    <w:rsid w:val="00863FF6"/>
    <w:rsid w:val="00865E9D"/>
    <w:rsid w:val="00866A8E"/>
    <w:rsid w:val="008673F8"/>
    <w:rsid w:val="00870764"/>
    <w:rsid w:val="00870E71"/>
    <w:rsid w:val="008728AD"/>
    <w:rsid w:val="008734A1"/>
    <w:rsid w:val="00873F0A"/>
    <w:rsid w:val="00876991"/>
    <w:rsid w:val="00876D30"/>
    <w:rsid w:val="00881995"/>
    <w:rsid w:val="0088356D"/>
    <w:rsid w:val="00884875"/>
    <w:rsid w:val="00884AAD"/>
    <w:rsid w:val="0088649C"/>
    <w:rsid w:val="008867A5"/>
    <w:rsid w:val="00891595"/>
    <w:rsid w:val="00891953"/>
    <w:rsid w:val="008924DC"/>
    <w:rsid w:val="00892B81"/>
    <w:rsid w:val="00893CCA"/>
    <w:rsid w:val="00894AD0"/>
    <w:rsid w:val="00896BDA"/>
    <w:rsid w:val="008A26EB"/>
    <w:rsid w:val="008A2BBD"/>
    <w:rsid w:val="008A36BE"/>
    <w:rsid w:val="008A4715"/>
    <w:rsid w:val="008A779A"/>
    <w:rsid w:val="008B1E6D"/>
    <w:rsid w:val="008B28C6"/>
    <w:rsid w:val="008B67B3"/>
    <w:rsid w:val="008B708E"/>
    <w:rsid w:val="008B7904"/>
    <w:rsid w:val="008C08F6"/>
    <w:rsid w:val="008C3F98"/>
    <w:rsid w:val="008C481D"/>
    <w:rsid w:val="008C6957"/>
    <w:rsid w:val="008C6EB6"/>
    <w:rsid w:val="008C7D58"/>
    <w:rsid w:val="008D0EAB"/>
    <w:rsid w:val="008D4313"/>
    <w:rsid w:val="008D4938"/>
    <w:rsid w:val="008D5685"/>
    <w:rsid w:val="008E47AF"/>
    <w:rsid w:val="008E4B54"/>
    <w:rsid w:val="008E7FF6"/>
    <w:rsid w:val="008F0FE3"/>
    <w:rsid w:val="008F37DA"/>
    <w:rsid w:val="008F5201"/>
    <w:rsid w:val="008F7A7F"/>
    <w:rsid w:val="009004F0"/>
    <w:rsid w:val="00900D9F"/>
    <w:rsid w:val="00900E4C"/>
    <w:rsid w:val="009020C9"/>
    <w:rsid w:val="00903466"/>
    <w:rsid w:val="00904A2C"/>
    <w:rsid w:val="009068AD"/>
    <w:rsid w:val="00906922"/>
    <w:rsid w:val="0090708D"/>
    <w:rsid w:val="00907C4C"/>
    <w:rsid w:val="009100CA"/>
    <w:rsid w:val="00912B23"/>
    <w:rsid w:val="009143EB"/>
    <w:rsid w:val="00914E73"/>
    <w:rsid w:val="00915715"/>
    <w:rsid w:val="00915F3E"/>
    <w:rsid w:val="00916304"/>
    <w:rsid w:val="00920352"/>
    <w:rsid w:val="0092253E"/>
    <w:rsid w:val="00922752"/>
    <w:rsid w:val="0092286F"/>
    <w:rsid w:val="00922BA6"/>
    <w:rsid w:val="00923FFD"/>
    <w:rsid w:val="0092426F"/>
    <w:rsid w:val="0092681A"/>
    <w:rsid w:val="00926D84"/>
    <w:rsid w:val="0092709D"/>
    <w:rsid w:val="00927530"/>
    <w:rsid w:val="00927F48"/>
    <w:rsid w:val="00932B8B"/>
    <w:rsid w:val="009333D8"/>
    <w:rsid w:val="00934B18"/>
    <w:rsid w:val="009352E9"/>
    <w:rsid w:val="00937839"/>
    <w:rsid w:val="0094072A"/>
    <w:rsid w:val="00941097"/>
    <w:rsid w:val="009439E5"/>
    <w:rsid w:val="00944D72"/>
    <w:rsid w:val="00946F2A"/>
    <w:rsid w:val="0095061E"/>
    <w:rsid w:val="00950B34"/>
    <w:rsid w:val="009522EB"/>
    <w:rsid w:val="009526D1"/>
    <w:rsid w:val="009534D5"/>
    <w:rsid w:val="00955734"/>
    <w:rsid w:val="0095666D"/>
    <w:rsid w:val="00956A34"/>
    <w:rsid w:val="00957D4E"/>
    <w:rsid w:val="009608AC"/>
    <w:rsid w:val="0096229C"/>
    <w:rsid w:val="00962E7E"/>
    <w:rsid w:val="00964730"/>
    <w:rsid w:val="009654DB"/>
    <w:rsid w:val="00965EBA"/>
    <w:rsid w:val="0096727E"/>
    <w:rsid w:val="009678BD"/>
    <w:rsid w:val="00970A30"/>
    <w:rsid w:val="0097120A"/>
    <w:rsid w:val="00971A9C"/>
    <w:rsid w:val="00971AE2"/>
    <w:rsid w:val="00971F39"/>
    <w:rsid w:val="00972AEF"/>
    <w:rsid w:val="00972CF6"/>
    <w:rsid w:val="009750B6"/>
    <w:rsid w:val="00976EEF"/>
    <w:rsid w:val="0098179E"/>
    <w:rsid w:val="00981D7F"/>
    <w:rsid w:val="00982F07"/>
    <w:rsid w:val="00986B86"/>
    <w:rsid w:val="00990735"/>
    <w:rsid w:val="00991CFA"/>
    <w:rsid w:val="009935BB"/>
    <w:rsid w:val="00993AB9"/>
    <w:rsid w:val="0099454E"/>
    <w:rsid w:val="0099523B"/>
    <w:rsid w:val="00997474"/>
    <w:rsid w:val="009A1DAF"/>
    <w:rsid w:val="009A2528"/>
    <w:rsid w:val="009A34AA"/>
    <w:rsid w:val="009A44F7"/>
    <w:rsid w:val="009B0A91"/>
    <w:rsid w:val="009B4C66"/>
    <w:rsid w:val="009B53CA"/>
    <w:rsid w:val="009C09E7"/>
    <w:rsid w:val="009C0ABB"/>
    <w:rsid w:val="009C227C"/>
    <w:rsid w:val="009C3679"/>
    <w:rsid w:val="009C3D2F"/>
    <w:rsid w:val="009C4807"/>
    <w:rsid w:val="009C528B"/>
    <w:rsid w:val="009C5B69"/>
    <w:rsid w:val="009C77BB"/>
    <w:rsid w:val="009C7FF2"/>
    <w:rsid w:val="009D0395"/>
    <w:rsid w:val="009D05AB"/>
    <w:rsid w:val="009D0FD4"/>
    <w:rsid w:val="009D12FB"/>
    <w:rsid w:val="009D1BB0"/>
    <w:rsid w:val="009D40F0"/>
    <w:rsid w:val="009D4A3F"/>
    <w:rsid w:val="009D4A88"/>
    <w:rsid w:val="009D5186"/>
    <w:rsid w:val="009D5C02"/>
    <w:rsid w:val="009D70AF"/>
    <w:rsid w:val="009E650D"/>
    <w:rsid w:val="009E77AE"/>
    <w:rsid w:val="009F037F"/>
    <w:rsid w:val="009F1F3B"/>
    <w:rsid w:val="009F29E2"/>
    <w:rsid w:val="009F3CF7"/>
    <w:rsid w:val="009F5C5B"/>
    <w:rsid w:val="009F64AE"/>
    <w:rsid w:val="00A01A91"/>
    <w:rsid w:val="00A01B54"/>
    <w:rsid w:val="00A0337A"/>
    <w:rsid w:val="00A04D22"/>
    <w:rsid w:val="00A05470"/>
    <w:rsid w:val="00A06A01"/>
    <w:rsid w:val="00A06A1A"/>
    <w:rsid w:val="00A070F8"/>
    <w:rsid w:val="00A120C5"/>
    <w:rsid w:val="00A1252A"/>
    <w:rsid w:val="00A12B0B"/>
    <w:rsid w:val="00A12BF0"/>
    <w:rsid w:val="00A1315E"/>
    <w:rsid w:val="00A13304"/>
    <w:rsid w:val="00A135EB"/>
    <w:rsid w:val="00A142B5"/>
    <w:rsid w:val="00A14DF0"/>
    <w:rsid w:val="00A1562A"/>
    <w:rsid w:val="00A20314"/>
    <w:rsid w:val="00A209CF"/>
    <w:rsid w:val="00A21F3D"/>
    <w:rsid w:val="00A22E42"/>
    <w:rsid w:val="00A23A79"/>
    <w:rsid w:val="00A250DD"/>
    <w:rsid w:val="00A253AB"/>
    <w:rsid w:val="00A253BE"/>
    <w:rsid w:val="00A25626"/>
    <w:rsid w:val="00A25E5B"/>
    <w:rsid w:val="00A30E95"/>
    <w:rsid w:val="00A32831"/>
    <w:rsid w:val="00A32E0F"/>
    <w:rsid w:val="00A33709"/>
    <w:rsid w:val="00A34909"/>
    <w:rsid w:val="00A34CA0"/>
    <w:rsid w:val="00A36108"/>
    <w:rsid w:val="00A3709B"/>
    <w:rsid w:val="00A422CC"/>
    <w:rsid w:val="00A4254E"/>
    <w:rsid w:val="00A43018"/>
    <w:rsid w:val="00A43852"/>
    <w:rsid w:val="00A44795"/>
    <w:rsid w:val="00A44B48"/>
    <w:rsid w:val="00A454AA"/>
    <w:rsid w:val="00A45A35"/>
    <w:rsid w:val="00A46285"/>
    <w:rsid w:val="00A50EB6"/>
    <w:rsid w:val="00A533FC"/>
    <w:rsid w:val="00A53840"/>
    <w:rsid w:val="00A54AA8"/>
    <w:rsid w:val="00A5706C"/>
    <w:rsid w:val="00A573DF"/>
    <w:rsid w:val="00A575D2"/>
    <w:rsid w:val="00A60CC9"/>
    <w:rsid w:val="00A63C4A"/>
    <w:rsid w:val="00A650AE"/>
    <w:rsid w:val="00A65349"/>
    <w:rsid w:val="00A66EEF"/>
    <w:rsid w:val="00A72CD4"/>
    <w:rsid w:val="00A7356A"/>
    <w:rsid w:val="00A75130"/>
    <w:rsid w:val="00A75940"/>
    <w:rsid w:val="00A772D8"/>
    <w:rsid w:val="00A80569"/>
    <w:rsid w:val="00A80721"/>
    <w:rsid w:val="00A83CE7"/>
    <w:rsid w:val="00A85296"/>
    <w:rsid w:val="00A90462"/>
    <w:rsid w:val="00A911B8"/>
    <w:rsid w:val="00A922B3"/>
    <w:rsid w:val="00A92305"/>
    <w:rsid w:val="00A94275"/>
    <w:rsid w:val="00A95353"/>
    <w:rsid w:val="00A9755D"/>
    <w:rsid w:val="00AA0454"/>
    <w:rsid w:val="00AA0AF1"/>
    <w:rsid w:val="00AA0F16"/>
    <w:rsid w:val="00AA1355"/>
    <w:rsid w:val="00AA15F2"/>
    <w:rsid w:val="00AA3492"/>
    <w:rsid w:val="00AA466D"/>
    <w:rsid w:val="00AB00D6"/>
    <w:rsid w:val="00AB0EEC"/>
    <w:rsid w:val="00AB2072"/>
    <w:rsid w:val="00AB21D9"/>
    <w:rsid w:val="00AB2359"/>
    <w:rsid w:val="00AB36B9"/>
    <w:rsid w:val="00AB5580"/>
    <w:rsid w:val="00AC0BD3"/>
    <w:rsid w:val="00AC2BD0"/>
    <w:rsid w:val="00AC36DF"/>
    <w:rsid w:val="00AC3B62"/>
    <w:rsid w:val="00AC422C"/>
    <w:rsid w:val="00AC5AC8"/>
    <w:rsid w:val="00AC5BB8"/>
    <w:rsid w:val="00AC72FA"/>
    <w:rsid w:val="00AC7BD5"/>
    <w:rsid w:val="00AC7EEE"/>
    <w:rsid w:val="00AD3BF3"/>
    <w:rsid w:val="00AD5C26"/>
    <w:rsid w:val="00AD62EF"/>
    <w:rsid w:val="00AD73EE"/>
    <w:rsid w:val="00AE0195"/>
    <w:rsid w:val="00AE1A06"/>
    <w:rsid w:val="00AE29A7"/>
    <w:rsid w:val="00AE2B7B"/>
    <w:rsid w:val="00AE4558"/>
    <w:rsid w:val="00AE4660"/>
    <w:rsid w:val="00AE46F6"/>
    <w:rsid w:val="00AF09EC"/>
    <w:rsid w:val="00AF277D"/>
    <w:rsid w:val="00AF41C6"/>
    <w:rsid w:val="00AF4EC8"/>
    <w:rsid w:val="00AF630C"/>
    <w:rsid w:val="00AF6A05"/>
    <w:rsid w:val="00AF6DEF"/>
    <w:rsid w:val="00AF6F2A"/>
    <w:rsid w:val="00B006C7"/>
    <w:rsid w:val="00B00A8F"/>
    <w:rsid w:val="00B01BF5"/>
    <w:rsid w:val="00B02F53"/>
    <w:rsid w:val="00B03DE7"/>
    <w:rsid w:val="00B06047"/>
    <w:rsid w:val="00B06800"/>
    <w:rsid w:val="00B06C63"/>
    <w:rsid w:val="00B06F65"/>
    <w:rsid w:val="00B072C2"/>
    <w:rsid w:val="00B0739C"/>
    <w:rsid w:val="00B10B1B"/>
    <w:rsid w:val="00B12230"/>
    <w:rsid w:val="00B13457"/>
    <w:rsid w:val="00B13A9D"/>
    <w:rsid w:val="00B14F7E"/>
    <w:rsid w:val="00B1501F"/>
    <w:rsid w:val="00B1531B"/>
    <w:rsid w:val="00B159EB"/>
    <w:rsid w:val="00B16127"/>
    <w:rsid w:val="00B2024F"/>
    <w:rsid w:val="00B22024"/>
    <w:rsid w:val="00B23011"/>
    <w:rsid w:val="00B24E7D"/>
    <w:rsid w:val="00B27E7B"/>
    <w:rsid w:val="00B30331"/>
    <w:rsid w:val="00B30D61"/>
    <w:rsid w:val="00B31B04"/>
    <w:rsid w:val="00B32406"/>
    <w:rsid w:val="00B32AD4"/>
    <w:rsid w:val="00B34A64"/>
    <w:rsid w:val="00B356AF"/>
    <w:rsid w:val="00B35EA9"/>
    <w:rsid w:val="00B378A6"/>
    <w:rsid w:val="00B40188"/>
    <w:rsid w:val="00B41262"/>
    <w:rsid w:val="00B431EE"/>
    <w:rsid w:val="00B446D0"/>
    <w:rsid w:val="00B44D47"/>
    <w:rsid w:val="00B45880"/>
    <w:rsid w:val="00B4690A"/>
    <w:rsid w:val="00B46F5A"/>
    <w:rsid w:val="00B5052E"/>
    <w:rsid w:val="00B51E8E"/>
    <w:rsid w:val="00B53B57"/>
    <w:rsid w:val="00B53BE7"/>
    <w:rsid w:val="00B54FA3"/>
    <w:rsid w:val="00B551AD"/>
    <w:rsid w:val="00B558DC"/>
    <w:rsid w:val="00B56EFE"/>
    <w:rsid w:val="00B6021B"/>
    <w:rsid w:val="00B6097B"/>
    <w:rsid w:val="00B61E5D"/>
    <w:rsid w:val="00B6233D"/>
    <w:rsid w:val="00B630E6"/>
    <w:rsid w:val="00B63C43"/>
    <w:rsid w:val="00B6403A"/>
    <w:rsid w:val="00B64810"/>
    <w:rsid w:val="00B6485F"/>
    <w:rsid w:val="00B66331"/>
    <w:rsid w:val="00B70F83"/>
    <w:rsid w:val="00B72955"/>
    <w:rsid w:val="00B730E5"/>
    <w:rsid w:val="00B731CF"/>
    <w:rsid w:val="00B7468C"/>
    <w:rsid w:val="00B74CD4"/>
    <w:rsid w:val="00B768B0"/>
    <w:rsid w:val="00B76DD4"/>
    <w:rsid w:val="00B82974"/>
    <w:rsid w:val="00B82DAD"/>
    <w:rsid w:val="00B8468E"/>
    <w:rsid w:val="00B84CD2"/>
    <w:rsid w:val="00B856BC"/>
    <w:rsid w:val="00B857D0"/>
    <w:rsid w:val="00B859EA"/>
    <w:rsid w:val="00B868EC"/>
    <w:rsid w:val="00B8708A"/>
    <w:rsid w:val="00B907AC"/>
    <w:rsid w:val="00B90AFE"/>
    <w:rsid w:val="00B92653"/>
    <w:rsid w:val="00B93F1A"/>
    <w:rsid w:val="00B96808"/>
    <w:rsid w:val="00B9688B"/>
    <w:rsid w:val="00BA0E3F"/>
    <w:rsid w:val="00BA1E01"/>
    <w:rsid w:val="00BA2693"/>
    <w:rsid w:val="00BA2D8E"/>
    <w:rsid w:val="00BA4C38"/>
    <w:rsid w:val="00BA7D94"/>
    <w:rsid w:val="00BB001B"/>
    <w:rsid w:val="00BB0313"/>
    <w:rsid w:val="00BB0C24"/>
    <w:rsid w:val="00BB4805"/>
    <w:rsid w:val="00BB53DD"/>
    <w:rsid w:val="00BC073B"/>
    <w:rsid w:val="00BC0D60"/>
    <w:rsid w:val="00BC2BFD"/>
    <w:rsid w:val="00BC30F5"/>
    <w:rsid w:val="00BC6830"/>
    <w:rsid w:val="00BC6BB0"/>
    <w:rsid w:val="00BC7BD3"/>
    <w:rsid w:val="00BD23C9"/>
    <w:rsid w:val="00BD2558"/>
    <w:rsid w:val="00BD5F5E"/>
    <w:rsid w:val="00BD66CC"/>
    <w:rsid w:val="00BE0072"/>
    <w:rsid w:val="00BE029D"/>
    <w:rsid w:val="00BE08AF"/>
    <w:rsid w:val="00BE1C41"/>
    <w:rsid w:val="00BE1C99"/>
    <w:rsid w:val="00BE31D5"/>
    <w:rsid w:val="00BE406C"/>
    <w:rsid w:val="00BE4EE5"/>
    <w:rsid w:val="00BE4F0C"/>
    <w:rsid w:val="00BE50BB"/>
    <w:rsid w:val="00BE586D"/>
    <w:rsid w:val="00BE5890"/>
    <w:rsid w:val="00BE5987"/>
    <w:rsid w:val="00BF149E"/>
    <w:rsid w:val="00BF387A"/>
    <w:rsid w:val="00BF50C9"/>
    <w:rsid w:val="00BF6D99"/>
    <w:rsid w:val="00C0245E"/>
    <w:rsid w:val="00C025A6"/>
    <w:rsid w:val="00C02A97"/>
    <w:rsid w:val="00C033CD"/>
    <w:rsid w:val="00C10A42"/>
    <w:rsid w:val="00C11BEE"/>
    <w:rsid w:val="00C1219F"/>
    <w:rsid w:val="00C123EE"/>
    <w:rsid w:val="00C1283F"/>
    <w:rsid w:val="00C16216"/>
    <w:rsid w:val="00C17B3E"/>
    <w:rsid w:val="00C17C47"/>
    <w:rsid w:val="00C20BC1"/>
    <w:rsid w:val="00C23190"/>
    <w:rsid w:val="00C24A7F"/>
    <w:rsid w:val="00C27C7E"/>
    <w:rsid w:val="00C30D60"/>
    <w:rsid w:val="00C31174"/>
    <w:rsid w:val="00C33052"/>
    <w:rsid w:val="00C333B8"/>
    <w:rsid w:val="00C34B22"/>
    <w:rsid w:val="00C404FD"/>
    <w:rsid w:val="00C4105C"/>
    <w:rsid w:val="00C4421D"/>
    <w:rsid w:val="00C45020"/>
    <w:rsid w:val="00C45542"/>
    <w:rsid w:val="00C464D7"/>
    <w:rsid w:val="00C5167D"/>
    <w:rsid w:val="00C518C8"/>
    <w:rsid w:val="00C5202B"/>
    <w:rsid w:val="00C56A43"/>
    <w:rsid w:val="00C56EFA"/>
    <w:rsid w:val="00C60A7B"/>
    <w:rsid w:val="00C62D0E"/>
    <w:rsid w:val="00C63380"/>
    <w:rsid w:val="00C6387A"/>
    <w:rsid w:val="00C65B9C"/>
    <w:rsid w:val="00C66229"/>
    <w:rsid w:val="00C70411"/>
    <w:rsid w:val="00C70B3C"/>
    <w:rsid w:val="00C7164E"/>
    <w:rsid w:val="00C733D0"/>
    <w:rsid w:val="00C73560"/>
    <w:rsid w:val="00C76418"/>
    <w:rsid w:val="00C77297"/>
    <w:rsid w:val="00C77613"/>
    <w:rsid w:val="00C82E76"/>
    <w:rsid w:val="00C830E1"/>
    <w:rsid w:val="00C84DEA"/>
    <w:rsid w:val="00C855A6"/>
    <w:rsid w:val="00C85CF1"/>
    <w:rsid w:val="00C86C9F"/>
    <w:rsid w:val="00C93606"/>
    <w:rsid w:val="00C95710"/>
    <w:rsid w:val="00C95801"/>
    <w:rsid w:val="00C9775E"/>
    <w:rsid w:val="00CA0274"/>
    <w:rsid w:val="00CA0E15"/>
    <w:rsid w:val="00CA3A56"/>
    <w:rsid w:val="00CA4255"/>
    <w:rsid w:val="00CA4755"/>
    <w:rsid w:val="00CA735D"/>
    <w:rsid w:val="00CA7DA0"/>
    <w:rsid w:val="00CB02C4"/>
    <w:rsid w:val="00CB04CF"/>
    <w:rsid w:val="00CB0F33"/>
    <w:rsid w:val="00CB2E52"/>
    <w:rsid w:val="00CB791C"/>
    <w:rsid w:val="00CC2D32"/>
    <w:rsid w:val="00CC3B4B"/>
    <w:rsid w:val="00CC404D"/>
    <w:rsid w:val="00CC479D"/>
    <w:rsid w:val="00CC5168"/>
    <w:rsid w:val="00CD054D"/>
    <w:rsid w:val="00CD0B15"/>
    <w:rsid w:val="00CD1167"/>
    <w:rsid w:val="00CD15FD"/>
    <w:rsid w:val="00CD24DF"/>
    <w:rsid w:val="00CD3639"/>
    <w:rsid w:val="00CD51DA"/>
    <w:rsid w:val="00CD6CAE"/>
    <w:rsid w:val="00CE02CB"/>
    <w:rsid w:val="00CE2586"/>
    <w:rsid w:val="00CE3BFE"/>
    <w:rsid w:val="00CE63F8"/>
    <w:rsid w:val="00CE7C15"/>
    <w:rsid w:val="00CF0628"/>
    <w:rsid w:val="00CF0B0B"/>
    <w:rsid w:val="00CF14F3"/>
    <w:rsid w:val="00CF23B6"/>
    <w:rsid w:val="00CF2495"/>
    <w:rsid w:val="00CF2FA4"/>
    <w:rsid w:val="00CF3A49"/>
    <w:rsid w:val="00CF443F"/>
    <w:rsid w:val="00CF576A"/>
    <w:rsid w:val="00CF707F"/>
    <w:rsid w:val="00CF716D"/>
    <w:rsid w:val="00CF7801"/>
    <w:rsid w:val="00D03814"/>
    <w:rsid w:val="00D03A2B"/>
    <w:rsid w:val="00D05B30"/>
    <w:rsid w:val="00D06533"/>
    <w:rsid w:val="00D07699"/>
    <w:rsid w:val="00D11AA6"/>
    <w:rsid w:val="00D11B0E"/>
    <w:rsid w:val="00D11DB5"/>
    <w:rsid w:val="00D13308"/>
    <w:rsid w:val="00D14673"/>
    <w:rsid w:val="00D1574B"/>
    <w:rsid w:val="00D17762"/>
    <w:rsid w:val="00D17C8A"/>
    <w:rsid w:val="00D22549"/>
    <w:rsid w:val="00D23568"/>
    <w:rsid w:val="00D252FD"/>
    <w:rsid w:val="00D300AF"/>
    <w:rsid w:val="00D30D13"/>
    <w:rsid w:val="00D33658"/>
    <w:rsid w:val="00D34837"/>
    <w:rsid w:val="00D36D66"/>
    <w:rsid w:val="00D376D0"/>
    <w:rsid w:val="00D37FF0"/>
    <w:rsid w:val="00D41349"/>
    <w:rsid w:val="00D44E3B"/>
    <w:rsid w:val="00D5281F"/>
    <w:rsid w:val="00D55286"/>
    <w:rsid w:val="00D56015"/>
    <w:rsid w:val="00D56FD0"/>
    <w:rsid w:val="00D57830"/>
    <w:rsid w:val="00D57BE0"/>
    <w:rsid w:val="00D60918"/>
    <w:rsid w:val="00D612F9"/>
    <w:rsid w:val="00D63977"/>
    <w:rsid w:val="00D65A30"/>
    <w:rsid w:val="00D66AC9"/>
    <w:rsid w:val="00D7171D"/>
    <w:rsid w:val="00D71AE0"/>
    <w:rsid w:val="00D72D1D"/>
    <w:rsid w:val="00D73DFA"/>
    <w:rsid w:val="00D761ED"/>
    <w:rsid w:val="00D8029C"/>
    <w:rsid w:val="00D822B3"/>
    <w:rsid w:val="00D83805"/>
    <w:rsid w:val="00D8422E"/>
    <w:rsid w:val="00D850E5"/>
    <w:rsid w:val="00D85809"/>
    <w:rsid w:val="00D8647A"/>
    <w:rsid w:val="00D8725E"/>
    <w:rsid w:val="00D90EA3"/>
    <w:rsid w:val="00D91C9C"/>
    <w:rsid w:val="00D933F2"/>
    <w:rsid w:val="00D935C3"/>
    <w:rsid w:val="00D93635"/>
    <w:rsid w:val="00D9399A"/>
    <w:rsid w:val="00D93F2B"/>
    <w:rsid w:val="00D9420A"/>
    <w:rsid w:val="00D95DCD"/>
    <w:rsid w:val="00DA1849"/>
    <w:rsid w:val="00DA356D"/>
    <w:rsid w:val="00DA3DAB"/>
    <w:rsid w:val="00DA4C57"/>
    <w:rsid w:val="00DA5559"/>
    <w:rsid w:val="00DA67A4"/>
    <w:rsid w:val="00DA6F62"/>
    <w:rsid w:val="00DB0C72"/>
    <w:rsid w:val="00DB14B3"/>
    <w:rsid w:val="00DB3224"/>
    <w:rsid w:val="00DB3369"/>
    <w:rsid w:val="00DC115A"/>
    <w:rsid w:val="00DC1C83"/>
    <w:rsid w:val="00DC4501"/>
    <w:rsid w:val="00DC5849"/>
    <w:rsid w:val="00DC5A04"/>
    <w:rsid w:val="00DC6D15"/>
    <w:rsid w:val="00DD0400"/>
    <w:rsid w:val="00DD0923"/>
    <w:rsid w:val="00DD0D05"/>
    <w:rsid w:val="00DD0E42"/>
    <w:rsid w:val="00DD1AE6"/>
    <w:rsid w:val="00DD2AB2"/>
    <w:rsid w:val="00DD2D49"/>
    <w:rsid w:val="00DD42F1"/>
    <w:rsid w:val="00DD473C"/>
    <w:rsid w:val="00DD4E44"/>
    <w:rsid w:val="00DD59F0"/>
    <w:rsid w:val="00DD5B7C"/>
    <w:rsid w:val="00DD6423"/>
    <w:rsid w:val="00DE25AF"/>
    <w:rsid w:val="00DE25D7"/>
    <w:rsid w:val="00DE3C40"/>
    <w:rsid w:val="00DE5245"/>
    <w:rsid w:val="00DE5634"/>
    <w:rsid w:val="00DE5C40"/>
    <w:rsid w:val="00DE6ADD"/>
    <w:rsid w:val="00DE7214"/>
    <w:rsid w:val="00DF00AE"/>
    <w:rsid w:val="00DF1ACA"/>
    <w:rsid w:val="00DF21EE"/>
    <w:rsid w:val="00DF3473"/>
    <w:rsid w:val="00DF3D7B"/>
    <w:rsid w:val="00DF436E"/>
    <w:rsid w:val="00DF483D"/>
    <w:rsid w:val="00DF48E4"/>
    <w:rsid w:val="00DF4B9D"/>
    <w:rsid w:val="00DF4EE1"/>
    <w:rsid w:val="00DF4F07"/>
    <w:rsid w:val="00DF5921"/>
    <w:rsid w:val="00DF5CCF"/>
    <w:rsid w:val="00DF71EA"/>
    <w:rsid w:val="00DF759C"/>
    <w:rsid w:val="00DF75FC"/>
    <w:rsid w:val="00E02D4B"/>
    <w:rsid w:val="00E041B6"/>
    <w:rsid w:val="00E059ED"/>
    <w:rsid w:val="00E05E18"/>
    <w:rsid w:val="00E0661B"/>
    <w:rsid w:val="00E068FF"/>
    <w:rsid w:val="00E0691A"/>
    <w:rsid w:val="00E120B0"/>
    <w:rsid w:val="00E1247F"/>
    <w:rsid w:val="00E13321"/>
    <w:rsid w:val="00E14134"/>
    <w:rsid w:val="00E155BB"/>
    <w:rsid w:val="00E1659B"/>
    <w:rsid w:val="00E167B4"/>
    <w:rsid w:val="00E16E66"/>
    <w:rsid w:val="00E20647"/>
    <w:rsid w:val="00E229B7"/>
    <w:rsid w:val="00E259DE"/>
    <w:rsid w:val="00E27A51"/>
    <w:rsid w:val="00E27B9A"/>
    <w:rsid w:val="00E302F4"/>
    <w:rsid w:val="00E31F53"/>
    <w:rsid w:val="00E32D93"/>
    <w:rsid w:val="00E33FCC"/>
    <w:rsid w:val="00E341AF"/>
    <w:rsid w:val="00E34B22"/>
    <w:rsid w:val="00E34B87"/>
    <w:rsid w:val="00E34D8C"/>
    <w:rsid w:val="00E35B86"/>
    <w:rsid w:val="00E37964"/>
    <w:rsid w:val="00E4506F"/>
    <w:rsid w:val="00E46CF9"/>
    <w:rsid w:val="00E5071A"/>
    <w:rsid w:val="00E511B1"/>
    <w:rsid w:val="00E51621"/>
    <w:rsid w:val="00E5354E"/>
    <w:rsid w:val="00E535A5"/>
    <w:rsid w:val="00E53882"/>
    <w:rsid w:val="00E54797"/>
    <w:rsid w:val="00E554ED"/>
    <w:rsid w:val="00E607EB"/>
    <w:rsid w:val="00E618D9"/>
    <w:rsid w:val="00E61DFA"/>
    <w:rsid w:val="00E641F1"/>
    <w:rsid w:val="00E64585"/>
    <w:rsid w:val="00E646B1"/>
    <w:rsid w:val="00E6488D"/>
    <w:rsid w:val="00E66599"/>
    <w:rsid w:val="00E66FB5"/>
    <w:rsid w:val="00E671F0"/>
    <w:rsid w:val="00E70285"/>
    <w:rsid w:val="00E71AAC"/>
    <w:rsid w:val="00E7268C"/>
    <w:rsid w:val="00E74508"/>
    <w:rsid w:val="00E74C7D"/>
    <w:rsid w:val="00E74EB5"/>
    <w:rsid w:val="00E75871"/>
    <w:rsid w:val="00E760C4"/>
    <w:rsid w:val="00E777F6"/>
    <w:rsid w:val="00E813AA"/>
    <w:rsid w:val="00E82F37"/>
    <w:rsid w:val="00E83331"/>
    <w:rsid w:val="00E837E6"/>
    <w:rsid w:val="00E8567A"/>
    <w:rsid w:val="00E86B8C"/>
    <w:rsid w:val="00E87561"/>
    <w:rsid w:val="00E8778C"/>
    <w:rsid w:val="00E93A44"/>
    <w:rsid w:val="00E94EA9"/>
    <w:rsid w:val="00E97315"/>
    <w:rsid w:val="00EA12F0"/>
    <w:rsid w:val="00EA454D"/>
    <w:rsid w:val="00EA4BC6"/>
    <w:rsid w:val="00EA7653"/>
    <w:rsid w:val="00EB12C9"/>
    <w:rsid w:val="00EB219B"/>
    <w:rsid w:val="00EB38ED"/>
    <w:rsid w:val="00EB4C32"/>
    <w:rsid w:val="00EB4E3E"/>
    <w:rsid w:val="00EC1119"/>
    <w:rsid w:val="00EC2F71"/>
    <w:rsid w:val="00EC41E6"/>
    <w:rsid w:val="00EC60EC"/>
    <w:rsid w:val="00EC68AA"/>
    <w:rsid w:val="00ED13DA"/>
    <w:rsid w:val="00ED1928"/>
    <w:rsid w:val="00ED29F6"/>
    <w:rsid w:val="00ED50CB"/>
    <w:rsid w:val="00ED5144"/>
    <w:rsid w:val="00ED722E"/>
    <w:rsid w:val="00EE05DA"/>
    <w:rsid w:val="00EE5891"/>
    <w:rsid w:val="00EE7177"/>
    <w:rsid w:val="00EF257F"/>
    <w:rsid w:val="00EF3FB4"/>
    <w:rsid w:val="00EF4A2A"/>
    <w:rsid w:val="00EF7FBF"/>
    <w:rsid w:val="00F01759"/>
    <w:rsid w:val="00F02833"/>
    <w:rsid w:val="00F06B3B"/>
    <w:rsid w:val="00F11849"/>
    <w:rsid w:val="00F12854"/>
    <w:rsid w:val="00F12C54"/>
    <w:rsid w:val="00F12FF0"/>
    <w:rsid w:val="00F13B31"/>
    <w:rsid w:val="00F14AA8"/>
    <w:rsid w:val="00F14FA2"/>
    <w:rsid w:val="00F1544A"/>
    <w:rsid w:val="00F15C20"/>
    <w:rsid w:val="00F16283"/>
    <w:rsid w:val="00F22E96"/>
    <w:rsid w:val="00F236CE"/>
    <w:rsid w:val="00F24914"/>
    <w:rsid w:val="00F25A93"/>
    <w:rsid w:val="00F26F71"/>
    <w:rsid w:val="00F3252C"/>
    <w:rsid w:val="00F32C6C"/>
    <w:rsid w:val="00F348B6"/>
    <w:rsid w:val="00F3595D"/>
    <w:rsid w:val="00F35A85"/>
    <w:rsid w:val="00F369EE"/>
    <w:rsid w:val="00F37805"/>
    <w:rsid w:val="00F407E1"/>
    <w:rsid w:val="00F40CF9"/>
    <w:rsid w:val="00F41931"/>
    <w:rsid w:val="00F4209D"/>
    <w:rsid w:val="00F434D3"/>
    <w:rsid w:val="00F43CA9"/>
    <w:rsid w:val="00F43FC9"/>
    <w:rsid w:val="00F44D5F"/>
    <w:rsid w:val="00F44EF0"/>
    <w:rsid w:val="00F45290"/>
    <w:rsid w:val="00F469D0"/>
    <w:rsid w:val="00F47063"/>
    <w:rsid w:val="00F472D2"/>
    <w:rsid w:val="00F4769D"/>
    <w:rsid w:val="00F51E83"/>
    <w:rsid w:val="00F52833"/>
    <w:rsid w:val="00F5304F"/>
    <w:rsid w:val="00F5348C"/>
    <w:rsid w:val="00F53B2F"/>
    <w:rsid w:val="00F54EDE"/>
    <w:rsid w:val="00F56F29"/>
    <w:rsid w:val="00F65DD7"/>
    <w:rsid w:val="00F66AD2"/>
    <w:rsid w:val="00F67339"/>
    <w:rsid w:val="00F707F7"/>
    <w:rsid w:val="00F711BF"/>
    <w:rsid w:val="00F71A08"/>
    <w:rsid w:val="00F7313D"/>
    <w:rsid w:val="00F73E79"/>
    <w:rsid w:val="00F76263"/>
    <w:rsid w:val="00F76C59"/>
    <w:rsid w:val="00F81ABC"/>
    <w:rsid w:val="00F82B64"/>
    <w:rsid w:val="00F830EF"/>
    <w:rsid w:val="00F85122"/>
    <w:rsid w:val="00F8555E"/>
    <w:rsid w:val="00F860BE"/>
    <w:rsid w:val="00F86BC8"/>
    <w:rsid w:val="00F90298"/>
    <w:rsid w:val="00F90E78"/>
    <w:rsid w:val="00F91BF3"/>
    <w:rsid w:val="00F9244D"/>
    <w:rsid w:val="00F94C42"/>
    <w:rsid w:val="00F95B7B"/>
    <w:rsid w:val="00F962AE"/>
    <w:rsid w:val="00F96691"/>
    <w:rsid w:val="00F96E5D"/>
    <w:rsid w:val="00F97A40"/>
    <w:rsid w:val="00FA045A"/>
    <w:rsid w:val="00FA0ADB"/>
    <w:rsid w:val="00FA1040"/>
    <w:rsid w:val="00FA1B94"/>
    <w:rsid w:val="00FA20E9"/>
    <w:rsid w:val="00FA66E1"/>
    <w:rsid w:val="00FB02F7"/>
    <w:rsid w:val="00FB0779"/>
    <w:rsid w:val="00FB2841"/>
    <w:rsid w:val="00FB2E5D"/>
    <w:rsid w:val="00FB6921"/>
    <w:rsid w:val="00FC0340"/>
    <w:rsid w:val="00FC18F5"/>
    <w:rsid w:val="00FC3C1F"/>
    <w:rsid w:val="00FC4353"/>
    <w:rsid w:val="00FC46BB"/>
    <w:rsid w:val="00FC4807"/>
    <w:rsid w:val="00FC4935"/>
    <w:rsid w:val="00FC5F2C"/>
    <w:rsid w:val="00FD0BFD"/>
    <w:rsid w:val="00FD2486"/>
    <w:rsid w:val="00FD248F"/>
    <w:rsid w:val="00FD47AA"/>
    <w:rsid w:val="00FD6142"/>
    <w:rsid w:val="00FD6362"/>
    <w:rsid w:val="00FD7513"/>
    <w:rsid w:val="00FE0D23"/>
    <w:rsid w:val="00FE269D"/>
    <w:rsid w:val="00FE3568"/>
    <w:rsid w:val="00FE4D7E"/>
    <w:rsid w:val="00FE4E2B"/>
    <w:rsid w:val="00FE5CCD"/>
    <w:rsid w:val="00FF055B"/>
    <w:rsid w:val="00FF10A9"/>
    <w:rsid w:val="00FF10AF"/>
    <w:rsid w:val="00FF1336"/>
    <w:rsid w:val="00FF2596"/>
    <w:rsid w:val="00FF2D8B"/>
    <w:rsid w:val="00FF43BA"/>
    <w:rsid w:val="00FF4AC3"/>
    <w:rsid w:val="00FF52E3"/>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851E27"/>
  <w15:docId w15:val="{8FB03380-6071-401C-96B5-87389F17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CO" w:eastAsia="es-ES"/>
    </w:rPr>
  </w:style>
  <w:style w:type="paragraph" w:styleId="Ttulo2">
    <w:name w:val="heading 2"/>
    <w:basedOn w:val="Normal"/>
    <w:next w:val="Normal"/>
    <w:link w:val="Ttulo2Car"/>
    <w:uiPriority w:val="99"/>
    <w:qFormat/>
    <w:rsid w:val="00825EE8"/>
    <w:pPr>
      <w:keepNext/>
      <w:overflowPunct/>
      <w:autoSpaceDE/>
      <w:autoSpaceDN/>
      <w:adjustRightInd/>
      <w:spacing w:before="240" w:after="60"/>
      <w:textAlignment w:val="auto"/>
      <w:outlineLvl w:val="1"/>
    </w:pPr>
    <w:rPr>
      <w:rFonts w:ascii="Cambria" w:hAnsi="Cambria"/>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4922"/>
    <w:pPr>
      <w:tabs>
        <w:tab w:val="left" w:pos="-1440"/>
        <w:tab w:val="left" w:pos="-720"/>
        <w:tab w:val="left" w:pos="1728"/>
        <w:tab w:val="left" w:pos="3456"/>
        <w:tab w:val="left" w:pos="4176"/>
      </w:tabs>
      <w:suppressAutoHyphens/>
      <w:spacing w:line="360" w:lineRule="auto"/>
      <w:jc w:val="both"/>
      <w:textAlignment w:val="auto"/>
    </w:pPr>
    <w:rPr>
      <w:rFonts w:ascii="Arial" w:hAnsi="Arial"/>
      <w:spacing w:val="-3"/>
      <w:sz w:val="24"/>
      <w:lang w:val="es-ES"/>
    </w:rPr>
  </w:style>
  <w:style w:type="character" w:customStyle="1" w:styleId="TextoindependienteCar">
    <w:name w:val="Texto independiente Car"/>
    <w:link w:val="Textoindependiente"/>
    <w:rsid w:val="005D4922"/>
    <w:rPr>
      <w:rFonts w:ascii="Arial" w:hAnsi="Arial"/>
      <w:spacing w:val="-3"/>
      <w:sz w:val="24"/>
    </w:rPr>
  </w:style>
  <w:style w:type="paragraph" w:customStyle="1" w:styleId="Textoindependiente21">
    <w:name w:val="Texto independiente 21"/>
    <w:basedOn w:val="Normal"/>
    <w:link w:val="BodyText2Car"/>
    <w:rsid w:val="005D4922"/>
    <w:pPr>
      <w:ind w:left="1416" w:firstLine="24"/>
      <w:jc w:val="both"/>
      <w:textAlignment w:val="auto"/>
    </w:pPr>
    <w:rPr>
      <w:rFonts w:ascii="Arial" w:hAnsi="Arial"/>
      <w:sz w:val="24"/>
      <w:lang w:val="es-ES"/>
    </w:rPr>
  </w:style>
  <w:style w:type="paragraph" w:styleId="Textonotapie">
    <w:name w:val="footnote text"/>
    <w:aliases w:val="Ref. de nota al pie1,Footnote Text Char Char Char Char Char,Footnote Text Char Char Char Char,FA Fu,Footnote Text Char Char Char,texto de nota al pie,Footnote Text Char Char Char Char Char Char Char Char,Footnote Text Char,ft,Footnote Tex"/>
    <w:basedOn w:val="Normal"/>
    <w:link w:val="TextonotapieCar"/>
    <w:uiPriority w:val="99"/>
    <w:qFormat/>
    <w:rsid w:val="005D4922"/>
    <w:pPr>
      <w:overflowPunct/>
      <w:autoSpaceDE/>
      <w:autoSpaceDN/>
      <w:adjustRightInd/>
      <w:textAlignment w:val="auto"/>
    </w:pPr>
    <w:rPr>
      <w:lang w:val="en-US"/>
    </w:rPr>
  </w:style>
  <w:style w:type="character" w:customStyle="1" w:styleId="TextonotapieCar">
    <w:name w:val="Texto nota pie Car"/>
    <w:aliases w:val="Ref. de nota al pie1 Car1,Footnote Text Char Char Char Char Char Car,Footnote Text Char Char Char Char Car,FA Fu Car,Footnote Text Char Char Char Car,texto de nota al pie Car,Footnote Text Char Char Char Char Char Char Char Char Car"/>
    <w:link w:val="Textonotapie"/>
    <w:uiPriority w:val="99"/>
    <w:rsid w:val="005D4922"/>
    <w:rPr>
      <w:lang w:val="en-US"/>
    </w:rPr>
  </w:style>
  <w:style w:type="character" w:styleId="Refdenotaalpie">
    <w:name w:val="footnote reference"/>
    <w:aliases w:val="Texto de nota al pie,Ref. de nota al pie 2,referencia nota al pie,Footnotes refss,Appel note de bas de page,f,Footnote number,BVI fnr,4_G,16 Point,Superscript 6 Point,Texto nota al pie,Pie de Página,FC,Texto de nota al p,Pie de Pàgin"/>
    <w:uiPriority w:val="99"/>
    <w:qFormat/>
    <w:rsid w:val="005D4922"/>
    <w:rPr>
      <w:vertAlign w:val="superscript"/>
    </w:rPr>
  </w:style>
  <w:style w:type="paragraph" w:styleId="Encabezado">
    <w:name w:val="header"/>
    <w:basedOn w:val="Normal"/>
    <w:link w:val="EncabezadoCar"/>
    <w:unhideWhenUsed/>
    <w:rsid w:val="009E77AE"/>
    <w:pPr>
      <w:tabs>
        <w:tab w:val="center" w:pos="4252"/>
        <w:tab w:val="right" w:pos="8504"/>
      </w:tabs>
    </w:pPr>
  </w:style>
  <w:style w:type="character" w:customStyle="1" w:styleId="EncabezadoCar">
    <w:name w:val="Encabezado Car"/>
    <w:link w:val="Encabezado"/>
    <w:rsid w:val="009E77AE"/>
    <w:rPr>
      <w:lang w:val="es-ES_tradnl"/>
    </w:rPr>
  </w:style>
  <w:style w:type="paragraph" w:styleId="Piedepgina">
    <w:name w:val="footer"/>
    <w:basedOn w:val="Normal"/>
    <w:link w:val="PiedepginaCar"/>
    <w:uiPriority w:val="99"/>
    <w:unhideWhenUsed/>
    <w:rsid w:val="009E77AE"/>
    <w:pPr>
      <w:tabs>
        <w:tab w:val="center" w:pos="4252"/>
        <w:tab w:val="right" w:pos="8504"/>
      </w:tabs>
    </w:pPr>
  </w:style>
  <w:style w:type="character" w:customStyle="1" w:styleId="PiedepginaCar">
    <w:name w:val="Pie de página Car"/>
    <w:link w:val="Piedepgina"/>
    <w:uiPriority w:val="99"/>
    <w:rsid w:val="009E77AE"/>
    <w:rPr>
      <w:lang w:val="es-ES_tradnl"/>
    </w:rPr>
  </w:style>
  <w:style w:type="paragraph" w:styleId="Textodeglobo">
    <w:name w:val="Balloon Text"/>
    <w:basedOn w:val="Normal"/>
    <w:link w:val="TextodegloboCar"/>
    <w:uiPriority w:val="99"/>
    <w:semiHidden/>
    <w:unhideWhenUsed/>
    <w:rsid w:val="0014436B"/>
    <w:rPr>
      <w:rFonts w:ascii="Segoe UI" w:hAnsi="Segoe UI" w:cs="Segoe UI"/>
      <w:sz w:val="18"/>
      <w:szCs w:val="18"/>
    </w:rPr>
  </w:style>
  <w:style w:type="character" w:customStyle="1" w:styleId="TextodegloboCar">
    <w:name w:val="Texto de globo Car"/>
    <w:link w:val="Textodeglobo"/>
    <w:uiPriority w:val="99"/>
    <w:semiHidden/>
    <w:rsid w:val="0014436B"/>
    <w:rPr>
      <w:rFonts w:ascii="Segoe UI" w:hAnsi="Segoe UI" w:cs="Segoe UI"/>
      <w:sz w:val="18"/>
      <w:szCs w:val="18"/>
      <w:lang w:val="es-ES_tradnl" w:eastAsia="es-ES"/>
    </w:rPr>
  </w:style>
  <w:style w:type="paragraph" w:customStyle="1" w:styleId="1">
    <w:name w:val="1"/>
    <w:basedOn w:val="Normal"/>
    <w:next w:val="Puesto1"/>
    <w:link w:val="TtuloCar"/>
    <w:qFormat/>
    <w:rsid w:val="00460B15"/>
    <w:pPr>
      <w:spacing w:line="360" w:lineRule="auto"/>
      <w:jc w:val="center"/>
    </w:pPr>
    <w:rPr>
      <w:rFonts w:ascii="Arial" w:hAnsi="Arial"/>
      <w:b/>
      <w:sz w:val="24"/>
    </w:rPr>
  </w:style>
  <w:style w:type="character" w:customStyle="1" w:styleId="TtuloCar">
    <w:name w:val="Título Car"/>
    <w:link w:val="1"/>
    <w:rsid w:val="00460B15"/>
    <w:rPr>
      <w:rFonts w:ascii="Arial" w:hAnsi="Arial"/>
      <w:b/>
      <w:sz w:val="24"/>
      <w:lang w:val="es-ES_tradnl" w:eastAsia="es-ES"/>
    </w:rPr>
  </w:style>
  <w:style w:type="paragraph" w:customStyle="1" w:styleId="Textoindependiente210">
    <w:name w:val="Texto independiente 21"/>
    <w:basedOn w:val="Normal"/>
    <w:rsid w:val="00460B15"/>
    <w:pPr>
      <w:spacing w:line="360" w:lineRule="auto"/>
      <w:jc w:val="both"/>
    </w:pPr>
    <w:rPr>
      <w:rFonts w:ascii="Arial" w:hAnsi="Arial"/>
      <w:sz w:val="24"/>
    </w:rPr>
  </w:style>
  <w:style w:type="paragraph" w:customStyle="1" w:styleId="Puesto1">
    <w:name w:val="Puesto1"/>
    <w:basedOn w:val="Normal"/>
    <w:next w:val="Normal"/>
    <w:link w:val="PuestoCar"/>
    <w:uiPriority w:val="10"/>
    <w:qFormat/>
    <w:rsid w:val="00460B15"/>
    <w:pPr>
      <w:spacing w:before="240" w:after="60"/>
      <w:jc w:val="center"/>
      <w:outlineLvl w:val="0"/>
    </w:pPr>
    <w:rPr>
      <w:rFonts w:ascii="Calibri Light" w:hAnsi="Calibri Light"/>
      <w:b/>
      <w:bCs/>
      <w:kern w:val="28"/>
      <w:sz w:val="32"/>
      <w:szCs w:val="32"/>
    </w:rPr>
  </w:style>
  <w:style w:type="character" w:customStyle="1" w:styleId="PuestoCar">
    <w:name w:val="Puesto Car"/>
    <w:link w:val="Puesto1"/>
    <w:uiPriority w:val="10"/>
    <w:rsid w:val="00460B15"/>
    <w:rPr>
      <w:rFonts w:ascii="Calibri Light" w:eastAsia="Times New Roman" w:hAnsi="Calibri Light" w:cs="Times New Roman"/>
      <w:b/>
      <w:bCs/>
      <w:kern w:val="28"/>
      <w:sz w:val="32"/>
      <w:szCs w:val="32"/>
      <w:lang w:val="es-ES_tradnl" w:eastAsia="es-ES"/>
    </w:rPr>
  </w:style>
  <w:style w:type="character" w:styleId="Nmerodepgina">
    <w:name w:val="page number"/>
    <w:rsid w:val="004F28CB"/>
  </w:style>
  <w:style w:type="paragraph" w:customStyle="1" w:styleId="Normal1">
    <w:name w:val="Normal1"/>
    <w:basedOn w:val="Normal"/>
    <w:rsid w:val="00E8567A"/>
    <w:pPr>
      <w:overflowPunct/>
      <w:adjustRightInd/>
      <w:jc w:val="both"/>
      <w:textAlignment w:val="auto"/>
    </w:pPr>
    <w:rPr>
      <w:rFonts w:ascii="Arial" w:hAnsi="Arial" w:cs="Arial"/>
      <w:sz w:val="24"/>
      <w:szCs w:val="24"/>
      <w:lang w:val="es-ES"/>
    </w:rPr>
  </w:style>
  <w:style w:type="character" w:customStyle="1" w:styleId="EstiloArial">
    <w:name w:val="Estilo Arial"/>
    <w:rsid w:val="00E8567A"/>
    <w:rPr>
      <w:rFonts w:ascii="Arial" w:hAnsi="Arial" w:cs="Arial" w:hint="default"/>
      <w:sz w:val="24"/>
    </w:rPr>
  </w:style>
  <w:style w:type="paragraph" w:styleId="Textoindependiente2">
    <w:name w:val="Body Text 2"/>
    <w:basedOn w:val="Normal"/>
    <w:link w:val="Textoindependiente2Car"/>
    <w:uiPriority w:val="99"/>
    <w:semiHidden/>
    <w:unhideWhenUsed/>
    <w:rsid w:val="005B72A1"/>
    <w:pPr>
      <w:spacing w:after="120" w:line="480" w:lineRule="auto"/>
    </w:pPr>
  </w:style>
  <w:style w:type="character" w:customStyle="1" w:styleId="Textoindependiente2Car">
    <w:name w:val="Texto independiente 2 Car"/>
    <w:link w:val="Textoindependiente2"/>
    <w:uiPriority w:val="99"/>
    <w:semiHidden/>
    <w:rsid w:val="005B72A1"/>
    <w:rPr>
      <w:lang w:eastAsia="es-ES"/>
    </w:rPr>
  </w:style>
  <w:style w:type="paragraph" w:styleId="Sangradetextonormal">
    <w:name w:val="Body Text Indent"/>
    <w:basedOn w:val="Normal"/>
    <w:link w:val="SangradetextonormalCar"/>
    <w:uiPriority w:val="99"/>
    <w:semiHidden/>
    <w:unhideWhenUsed/>
    <w:rsid w:val="005B72A1"/>
    <w:pPr>
      <w:spacing w:after="120"/>
      <w:ind w:left="283"/>
    </w:pPr>
  </w:style>
  <w:style w:type="character" w:customStyle="1" w:styleId="SangradetextonormalCar">
    <w:name w:val="Sangría de texto normal Car"/>
    <w:link w:val="Sangradetextonormal"/>
    <w:uiPriority w:val="99"/>
    <w:semiHidden/>
    <w:rsid w:val="005B72A1"/>
    <w:rPr>
      <w:lang w:eastAsia="es-ES"/>
    </w:rPr>
  </w:style>
  <w:style w:type="paragraph" w:styleId="Sinespaciado">
    <w:name w:val="No Spacing"/>
    <w:uiPriority w:val="99"/>
    <w:qFormat/>
    <w:rsid w:val="005B72A1"/>
    <w:pPr>
      <w:overflowPunct w:val="0"/>
      <w:autoSpaceDE w:val="0"/>
      <w:autoSpaceDN w:val="0"/>
      <w:adjustRightInd w:val="0"/>
      <w:textAlignment w:val="baseline"/>
    </w:pPr>
    <w:rPr>
      <w:lang w:val="es-CO" w:eastAsia="es-ES"/>
    </w:rPr>
  </w:style>
  <w:style w:type="character" w:customStyle="1" w:styleId="TextonotapieCar1">
    <w:name w:val="Texto nota pie Car1"/>
    <w:aliases w:val="Ref. de nota al pie1 Car,Footnote Text Char Char Char Char Char Car1,Footnote Text Char Char Char Char Car1,FA Fu Car1,Footnote Text Char Char Char Car1,texto de nota al pie Car1,Footnote Text Char Car,ft Car,Texto de nota al pie Car"/>
    <w:uiPriority w:val="99"/>
    <w:locked/>
    <w:rsid w:val="00111E8D"/>
    <w:rPr>
      <w:rFonts w:eastAsia="Times New Roman"/>
      <w:lang w:val="es-ES" w:eastAsia="es-ES"/>
    </w:rPr>
  </w:style>
  <w:style w:type="paragraph" w:styleId="Sangra3detindependiente">
    <w:name w:val="Body Text Indent 3"/>
    <w:basedOn w:val="Normal"/>
    <w:link w:val="Sangra3detindependienteCar"/>
    <w:uiPriority w:val="99"/>
    <w:semiHidden/>
    <w:unhideWhenUsed/>
    <w:rsid w:val="006B491C"/>
    <w:pPr>
      <w:spacing w:after="120"/>
      <w:ind w:left="283"/>
    </w:pPr>
    <w:rPr>
      <w:sz w:val="16"/>
      <w:szCs w:val="16"/>
    </w:rPr>
  </w:style>
  <w:style w:type="character" w:customStyle="1" w:styleId="Sangra3detindependienteCar">
    <w:name w:val="Sangría 3 de t. independiente Car"/>
    <w:link w:val="Sangra3detindependiente"/>
    <w:uiPriority w:val="99"/>
    <w:semiHidden/>
    <w:rsid w:val="006B491C"/>
    <w:rPr>
      <w:sz w:val="16"/>
      <w:szCs w:val="16"/>
      <w:lang w:val="es-CO"/>
    </w:rPr>
  </w:style>
  <w:style w:type="paragraph" w:styleId="Sangra2detindependiente">
    <w:name w:val="Body Text Indent 2"/>
    <w:basedOn w:val="Normal"/>
    <w:link w:val="Sangra2detindependienteCar"/>
    <w:uiPriority w:val="99"/>
    <w:unhideWhenUsed/>
    <w:rsid w:val="003C0C3D"/>
    <w:pPr>
      <w:spacing w:after="120" w:line="480" w:lineRule="auto"/>
      <w:ind w:left="283"/>
    </w:pPr>
  </w:style>
  <w:style w:type="character" w:customStyle="1" w:styleId="Sangra2detindependienteCar">
    <w:name w:val="Sangría 2 de t. independiente Car"/>
    <w:link w:val="Sangra2detindependiente"/>
    <w:uiPriority w:val="99"/>
    <w:rsid w:val="003C0C3D"/>
    <w:rPr>
      <w:lang w:val="es-CO"/>
    </w:rPr>
  </w:style>
  <w:style w:type="paragraph" w:styleId="NormalWeb">
    <w:name w:val="Normal (Web)"/>
    <w:basedOn w:val="Normal"/>
    <w:unhideWhenUsed/>
    <w:rsid w:val="000E6D70"/>
    <w:rPr>
      <w:sz w:val="24"/>
      <w:szCs w:val="24"/>
    </w:rPr>
  </w:style>
  <w:style w:type="paragraph" w:customStyle="1" w:styleId="bodytext21">
    <w:name w:val="bodytext21"/>
    <w:basedOn w:val="Normal"/>
    <w:rsid w:val="00762979"/>
    <w:pPr>
      <w:overflowPunct/>
      <w:autoSpaceDE/>
      <w:autoSpaceDN/>
      <w:adjustRightInd/>
      <w:spacing w:before="100" w:beforeAutospacing="1" w:after="100" w:afterAutospacing="1"/>
      <w:textAlignment w:val="auto"/>
    </w:pPr>
    <w:rPr>
      <w:sz w:val="24"/>
      <w:szCs w:val="24"/>
      <w:lang w:val="es-ES"/>
    </w:rPr>
  </w:style>
  <w:style w:type="paragraph" w:customStyle="1" w:styleId="Sinlista1">
    <w:name w:val="Sin lista1"/>
    <w:semiHidden/>
    <w:rsid w:val="00E34B22"/>
    <w:pPr>
      <w:pBdr>
        <w:top w:val="none" w:sz="0" w:space="0" w:color="000000"/>
        <w:left w:val="none" w:sz="0" w:space="0" w:color="000000"/>
        <w:bottom w:val="none" w:sz="0" w:space="0" w:color="000000"/>
        <w:right w:val="none" w:sz="0" w:space="0" w:color="000000"/>
      </w:pBdr>
    </w:pPr>
    <w:rPr>
      <w:noProof/>
      <w:lang w:val="es-CO" w:eastAsia="es-CO"/>
    </w:rPr>
  </w:style>
  <w:style w:type="paragraph" w:styleId="Textosinformato">
    <w:name w:val="Plain Text"/>
    <w:basedOn w:val="Normal"/>
    <w:link w:val="TextosinformatoCar"/>
    <w:uiPriority w:val="99"/>
    <w:rsid w:val="003C25A6"/>
    <w:pPr>
      <w:overflowPunct/>
      <w:autoSpaceDE/>
      <w:autoSpaceDN/>
      <w:adjustRightInd/>
      <w:textAlignment w:val="auto"/>
    </w:pPr>
    <w:rPr>
      <w:rFonts w:ascii="Courier New" w:hAnsi="Courier New"/>
      <w:lang w:val="es-ES" w:eastAsia="x-none"/>
    </w:rPr>
  </w:style>
  <w:style w:type="character" w:customStyle="1" w:styleId="TextosinformatoCar">
    <w:name w:val="Texto sin formato Car"/>
    <w:link w:val="Textosinformato"/>
    <w:uiPriority w:val="99"/>
    <w:rsid w:val="003C25A6"/>
    <w:rPr>
      <w:rFonts w:ascii="Courier New" w:hAnsi="Courier New"/>
      <w:lang w:val="es-ES" w:eastAsia="x-none"/>
    </w:rPr>
  </w:style>
  <w:style w:type="character" w:customStyle="1" w:styleId="Ttulo2Car">
    <w:name w:val="Título 2 Car"/>
    <w:link w:val="Ttulo2"/>
    <w:uiPriority w:val="99"/>
    <w:rsid w:val="00825EE8"/>
    <w:rPr>
      <w:rFonts w:ascii="Cambria" w:hAnsi="Cambria"/>
      <w:b/>
      <w:bCs/>
      <w:i/>
      <w:iCs/>
      <w:sz w:val="28"/>
      <w:szCs w:val="28"/>
      <w:lang w:val="es-ES" w:eastAsia="es-ES"/>
    </w:rPr>
  </w:style>
  <w:style w:type="character" w:customStyle="1" w:styleId="apple-converted-space">
    <w:name w:val="apple-converted-space"/>
    <w:rsid w:val="00825EE8"/>
  </w:style>
  <w:style w:type="character" w:customStyle="1" w:styleId="BodyText2Car">
    <w:name w:val="Body Text 2 Car"/>
    <w:link w:val="Textoindependiente21"/>
    <w:rsid w:val="00825EE8"/>
    <w:rPr>
      <w:rFonts w:ascii="Arial" w:hAnsi="Arial"/>
      <w:sz w:val="24"/>
      <w:lang w:val="es-ES" w:eastAsia="es-ES"/>
    </w:rPr>
  </w:style>
  <w:style w:type="paragraph" w:customStyle="1" w:styleId="ecxmsonormal">
    <w:name w:val="ecxmsonormal"/>
    <w:basedOn w:val="Normal"/>
    <w:rsid w:val="00965EBA"/>
    <w:pPr>
      <w:overflowPunct/>
      <w:autoSpaceDE/>
      <w:autoSpaceDN/>
      <w:adjustRightInd/>
      <w:spacing w:after="324"/>
      <w:textAlignment w:val="auto"/>
    </w:pPr>
    <w:rPr>
      <w:sz w:val="24"/>
      <w:szCs w:val="24"/>
      <w:lang w:val="es-ES"/>
    </w:rPr>
  </w:style>
  <w:style w:type="paragraph" w:customStyle="1" w:styleId="Lucia">
    <w:name w:val="Lucia"/>
    <w:basedOn w:val="Normal"/>
    <w:rsid w:val="001921D4"/>
    <w:pPr>
      <w:overflowPunct/>
      <w:autoSpaceDE/>
      <w:autoSpaceDN/>
      <w:adjustRightInd/>
      <w:spacing w:line="360" w:lineRule="auto"/>
      <w:jc w:val="both"/>
      <w:textAlignment w:val="auto"/>
    </w:pPr>
    <w:rPr>
      <w:rFonts w:ascii="Arial" w:hAnsi="Arial" w:cs="Arial"/>
      <w:sz w:val="28"/>
      <w:szCs w:val="28"/>
      <w:lang w:val="es-ES"/>
    </w:rPr>
  </w:style>
  <w:style w:type="paragraph" w:customStyle="1" w:styleId="Estilo">
    <w:name w:val="Estilo"/>
    <w:qFormat/>
    <w:rsid w:val="00795170"/>
    <w:pPr>
      <w:widowControl w:val="0"/>
      <w:autoSpaceDE w:val="0"/>
      <w:autoSpaceDN w:val="0"/>
      <w:adjustRightInd w:val="0"/>
    </w:pPr>
    <w:rPr>
      <w:rFonts w:ascii="Arial"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7483">
      <w:bodyDiv w:val="1"/>
      <w:marLeft w:val="0"/>
      <w:marRight w:val="0"/>
      <w:marTop w:val="0"/>
      <w:marBottom w:val="0"/>
      <w:divBdr>
        <w:top w:val="none" w:sz="0" w:space="0" w:color="auto"/>
        <w:left w:val="none" w:sz="0" w:space="0" w:color="auto"/>
        <w:bottom w:val="none" w:sz="0" w:space="0" w:color="auto"/>
        <w:right w:val="none" w:sz="0" w:space="0" w:color="auto"/>
      </w:divBdr>
    </w:div>
    <w:div w:id="122116490">
      <w:bodyDiv w:val="1"/>
      <w:marLeft w:val="0"/>
      <w:marRight w:val="0"/>
      <w:marTop w:val="0"/>
      <w:marBottom w:val="0"/>
      <w:divBdr>
        <w:top w:val="none" w:sz="0" w:space="0" w:color="auto"/>
        <w:left w:val="none" w:sz="0" w:space="0" w:color="auto"/>
        <w:bottom w:val="none" w:sz="0" w:space="0" w:color="auto"/>
        <w:right w:val="none" w:sz="0" w:space="0" w:color="auto"/>
      </w:divBdr>
    </w:div>
    <w:div w:id="152648430">
      <w:bodyDiv w:val="1"/>
      <w:marLeft w:val="0"/>
      <w:marRight w:val="0"/>
      <w:marTop w:val="0"/>
      <w:marBottom w:val="0"/>
      <w:divBdr>
        <w:top w:val="none" w:sz="0" w:space="0" w:color="auto"/>
        <w:left w:val="none" w:sz="0" w:space="0" w:color="auto"/>
        <w:bottom w:val="none" w:sz="0" w:space="0" w:color="auto"/>
        <w:right w:val="none" w:sz="0" w:space="0" w:color="auto"/>
      </w:divBdr>
    </w:div>
    <w:div w:id="266275544">
      <w:bodyDiv w:val="1"/>
      <w:marLeft w:val="0"/>
      <w:marRight w:val="0"/>
      <w:marTop w:val="0"/>
      <w:marBottom w:val="0"/>
      <w:divBdr>
        <w:top w:val="none" w:sz="0" w:space="0" w:color="auto"/>
        <w:left w:val="none" w:sz="0" w:space="0" w:color="auto"/>
        <w:bottom w:val="none" w:sz="0" w:space="0" w:color="auto"/>
        <w:right w:val="none" w:sz="0" w:space="0" w:color="auto"/>
      </w:divBdr>
    </w:div>
    <w:div w:id="284046418">
      <w:bodyDiv w:val="1"/>
      <w:marLeft w:val="0"/>
      <w:marRight w:val="0"/>
      <w:marTop w:val="0"/>
      <w:marBottom w:val="0"/>
      <w:divBdr>
        <w:top w:val="none" w:sz="0" w:space="0" w:color="auto"/>
        <w:left w:val="none" w:sz="0" w:space="0" w:color="auto"/>
        <w:bottom w:val="none" w:sz="0" w:space="0" w:color="auto"/>
        <w:right w:val="none" w:sz="0" w:space="0" w:color="auto"/>
      </w:divBdr>
    </w:div>
    <w:div w:id="369688783">
      <w:bodyDiv w:val="1"/>
      <w:marLeft w:val="0"/>
      <w:marRight w:val="0"/>
      <w:marTop w:val="0"/>
      <w:marBottom w:val="0"/>
      <w:divBdr>
        <w:top w:val="none" w:sz="0" w:space="0" w:color="auto"/>
        <w:left w:val="none" w:sz="0" w:space="0" w:color="auto"/>
        <w:bottom w:val="none" w:sz="0" w:space="0" w:color="auto"/>
        <w:right w:val="none" w:sz="0" w:space="0" w:color="auto"/>
      </w:divBdr>
    </w:div>
    <w:div w:id="403140668">
      <w:bodyDiv w:val="1"/>
      <w:marLeft w:val="0"/>
      <w:marRight w:val="0"/>
      <w:marTop w:val="0"/>
      <w:marBottom w:val="0"/>
      <w:divBdr>
        <w:top w:val="none" w:sz="0" w:space="0" w:color="auto"/>
        <w:left w:val="none" w:sz="0" w:space="0" w:color="auto"/>
        <w:bottom w:val="none" w:sz="0" w:space="0" w:color="auto"/>
        <w:right w:val="none" w:sz="0" w:space="0" w:color="auto"/>
      </w:divBdr>
      <w:divsChild>
        <w:div w:id="1584029239">
          <w:marLeft w:val="0"/>
          <w:marRight w:val="0"/>
          <w:marTop w:val="0"/>
          <w:marBottom w:val="0"/>
          <w:divBdr>
            <w:top w:val="none" w:sz="0" w:space="0" w:color="auto"/>
            <w:left w:val="none" w:sz="0" w:space="0" w:color="auto"/>
            <w:bottom w:val="none" w:sz="0" w:space="0" w:color="auto"/>
            <w:right w:val="none" w:sz="0" w:space="0" w:color="auto"/>
          </w:divBdr>
        </w:div>
        <w:div w:id="2068143106">
          <w:marLeft w:val="0"/>
          <w:marRight w:val="0"/>
          <w:marTop w:val="0"/>
          <w:marBottom w:val="0"/>
          <w:divBdr>
            <w:top w:val="single" w:sz="6" w:space="3" w:color="808080"/>
            <w:left w:val="single" w:sz="6" w:space="15" w:color="808080"/>
            <w:bottom w:val="single" w:sz="6" w:space="8" w:color="808080"/>
            <w:right w:val="single" w:sz="6" w:space="15" w:color="808080"/>
          </w:divBdr>
          <w:divsChild>
            <w:div w:id="20168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1130">
      <w:bodyDiv w:val="1"/>
      <w:marLeft w:val="0"/>
      <w:marRight w:val="0"/>
      <w:marTop w:val="0"/>
      <w:marBottom w:val="0"/>
      <w:divBdr>
        <w:top w:val="none" w:sz="0" w:space="0" w:color="auto"/>
        <w:left w:val="none" w:sz="0" w:space="0" w:color="auto"/>
        <w:bottom w:val="none" w:sz="0" w:space="0" w:color="auto"/>
        <w:right w:val="none" w:sz="0" w:space="0" w:color="auto"/>
      </w:divBdr>
    </w:div>
    <w:div w:id="606472907">
      <w:bodyDiv w:val="1"/>
      <w:marLeft w:val="0"/>
      <w:marRight w:val="0"/>
      <w:marTop w:val="0"/>
      <w:marBottom w:val="0"/>
      <w:divBdr>
        <w:top w:val="none" w:sz="0" w:space="0" w:color="auto"/>
        <w:left w:val="none" w:sz="0" w:space="0" w:color="auto"/>
        <w:bottom w:val="none" w:sz="0" w:space="0" w:color="auto"/>
        <w:right w:val="none" w:sz="0" w:space="0" w:color="auto"/>
      </w:divBdr>
    </w:div>
    <w:div w:id="661665781">
      <w:bodyDiv w:val="1"/>
      <w:marLeft w:val="0"/>
      <w:marRight w:val="0"/>
      <w:marTop w:val="0"/>
      <w:marBottom w:val="0"/>
      <w:divBdr>
        <w:top w:val="none" w:sz="0" w:space="0" w:color="auto"/>
        <w:left w:val="none" w:sz="0" w:space="0" w:color="auto"/>
        <w:bottom w:val="none" w:sz="0" w:space="0" w:color="auto"/>
        <w:right w:val="none" w:sz="0" w:space="0" w:color="auto"/>
      </w:divBdr>
    </w:div>
    <w:div w:id="699164665">
      <w:bodyDiv w:val="1"/>
      <w:marLeft w:val="0"/>
      <w:marRight w:val="0"/>
      <w:marTop w:val="0"/>
      <w:marBottom w:val="0"/>
      <w:divBdr>
        <w:top w:val="none" w:sz="0" w:space="0" w:color="auto"/>
        <w:left w:val="none" w:sz="0" w:space="0" w:color="auto"/>
        <w:bottom w:val="none" w:sz="0" w:space="0" w:color="auto"/>
        <w:right w:val="none" w:sz="0" w:space="0" w:color="auto"/>
      </w:divBdr>
    </w:div>
    <w:div w:id="733427506">
      <w:bodyDiv w:val="1"/>
      <w:marLeft w:val="0"/>
      <w:marRight w:val="0"/>
      <w:marTop w:val="0"/>
      <w:marBottom w:val="0"/>
      <w:divBdr>
        <w:top w:val="none" w:sz="0" w:space="0" w:color="auto"/>
        <w:left w:val="none" w:sz="0" w:space="0" w:color="auto"/>
        <w:bottom w:val="none" w:sz="0" w:space="0" w:color="auto"/>
        <w:right w:val="none" w:sz="0" w:space="0" w:color="auto"/>
      </w:divBdr>
    </w:div>
    <w:div w:id="810753572">
      <w:bodyDiv w:val="1"/>
      <w:marLeft w:val="0"/>
      <w:marRight w:val="0"/>
      <w:marTop w:val="0"/>
      <w:marBottom w:val="0"/>
      <w:divBdr>
        <w:top w:val="none" w:sz="0" w:space="0" w:color="auto"/>
        <w:left w:val="none" w:sz="0" w:space="0" w:color="auto"/>
        <w:bottom w:val="none" w:sz="0" w:space="0" w:color="auto"/>
        <w:right w:val="none" w:sz="0" w:space="0" w:color="auto"/>
      </w:divBdr>
    </w:div>
    <w:div w:id="826895702">
      <w:bodyDiv w:val="1"/>
      <w:marLeft w:val="0"/>
      <w:marRight w:val="0"/>
      <w:marTop w:val="0"/>
      <w:marBottom w:val="0"/>
      <w:divBdr>
        <w:top w:val="none" w:sz="0" w:space="0" w:color="auto"/>
        <w:left w:val="none" w:sz="0" w:space="0" w:color="auto"/>
        <w:bottom w:val="none" w:sz="0" w:space="0" w:color="auto"/>
        <w:right w:val="none" w:sz="0" w:space="0" w:color="auto"/>
      </w:divBdr>
    </w:div>
    <w:div w:id="913006725">
      <w:bodyDiv w:val="1"/>
      <w:marLeft w:val="0"/>
      <w:marRight w:val="0"/>
      <w:marTop w:val="0"/>
      <w:marBottom w:val="0"/>
      <w:divBdr>
        <w:top w:val="none" w:sz="0" w:space="0" w:color="auto"/>
        <w:left w:val="none" w:sz="0" w:space="0" w:color="auto"/>
        <w:bottom w:val="none" w:sz="0" w:space="0" w:color="auto"/>
        <w:right w:val="none" w:sz="0" w:space="0" w:color="auto"/>
      </w:divBdr>
    </w:div>
    <w:div w:id="920522829">
      <w:bodyDiv w:val="1"/>
      <w:marLeft w:val="0"/>
      <w:marRight w:val="0"/>
      <w:marTop w:val="0"/>
      <w:marBottom w:val="0"/>
      <w:divBdr>
        <w:top w:val="none" w:sz="0" w:space="0" w:color="auto"/>
        <w:left w:val="none" w:sz="0" w:space="0" w:color="auto"/>
        <w:bottom w:val="none" w:sz="0" w:space="0" w:color="auto"/>
        <w:right w:val="none" w:sz="0" w:space="0" w:color="auto"/>
      </w:divBdr>
    </w:div>
    <w:div w:id="946809618">
      <w:bodyDiv w:val="1"/>
      <w:marLeft w:val="0"/>
      <w:marRight w:val="0"/>
      <w:marTop w:val="0"/>
      <w:marBottom w:val="0"/>
      <w:divBdr>
        <w:top w:val="none" w:sz="0" w:space="0" w:color="auto"/>
        <w:left w:val="none" w:sz="0" w:space="0" w:color="auto"/>
        <w:bottom w:val="none" w:sz="0" w:space="0" w:color="auto"/>
        <w:right w:val="none" w:sz="0" w:space="0" w:color="auto"/>
      </w:divBdr>
    </w:div>
    <w:div w:id="979656582">
      <w:bodyDiv w:val="1"/>
      <w:marLeft w:val="0"/>
      <w:marRight w:val="0"/>
      <w:marTop w:val="0"/>
      <w:marBottom w:val="0"/>
      <w:divBdr>
        <w:top w:val="none" w:sz="0" w:space="0" w:color="auto"/>
        <w:left w:val="none" w:sz="0" w:space="0" w:color="auto"/>
        <w:bottom w:val="none" w:sz="0" w:space="0" w:color="auto"/>
        <w:right w:val="none" w:sz="0" w:space="0" w:color="auto"/>
      </w:divBdr>
    </w:div>
    <w:div w:id="996375273">
      <w:bodyDiv w:val="1"/>
      <w:marLeft w:val="0"/>
      <w:marRight w:val="0"/>
      <w:marTop w:val="0"/>
      <w:marBottom w:val="0"/>
      <w:divBdr>
        <w:top w:val="none" w:sz="0" w:space="0" w:color="auto"/>
        <w:left w:val="none" w:sz="0" w:space="0" w:color="auto"/>
        <w:bottom w:val="none" w:sz="0" w:space="0" w:color="auto"/>
        <w:right w:val="none" w:sz="0" w:space="0" w:color="auto"/>
      </w:divBdr>
    </w:div>
    <w:div w:id="1039665756">
      <w:bodyDiv w:val="1"/>
      <w:marLeft w:val="0"/>
      <w:marRight w:val="0"/>
      <w:marTop w:val="0"/>
      <w:marBottom w:val="0"/>
      <w:divBdr>
        <w:top w:val="none" w:sz="0" w:space="0" w:color="auto"/>
        <w:left w:val="none" w:sz="0" w:space="0" w:color="auto"/>
        <w:bottom w:val="none" w:sz="0" w:space="0" w:color="auto"/>
        <w:right w:val="none" w:sz="0" w:space="0" w:color="auto"/>
      </w:divBdr>
    </w:div>
    <w:div w:id="1053692838">
      <w:bodyDiv w:val="1"/>
      <w:marLeft w:val="0"/>
      <w:marRight w:val="0"/>
      <w:marTop w:val="0"/>
      <w:marBottom w:val="0"/>
      <w:divBdr>
        <w:top w:val="none" w:sz="0" w:space="0" w:color="auto"/>
        <w:left w:val="none" w:sz="0" w:space="0" w:color="auto"/>
        <w:bottom w:val="none" w:sz="0" w:space="0" w:color="auto"/>
        <w:right w:val="none" w:sz="0" w:space="0" w:color="auto"/>
      </w:divBdr>
    </w:div>
    <w:div w:id="1075934118">
      <w:bodyDiv w:val="1"/>
      <w:marLeft w:val="0"/>
      <w:marRight w:val="0"/>
      <w:marTop w:val="0"/>
      <w:marBottom w:val="0"/>
      <w:divBdr>
        <w:top w:val="none" w:sz="0" w:space="0" w:color="auto"/>
        <w:left w:val="none" w:sz="0" w:space="0" w:color="auto"/>
        <w:bottom w:val="none" w:sz="0" w:space="0" w:color="auto"/>
        <w:right w:val="none" w:sz="0" w:space="0" w:color="auto"/>
      </w:divBdr>
    </w:div>
    <w:div w:id="1158306260">
      <w:bodyDiv w:val="1"/>
      <w:marLeft w:val="0"/>
      <w:marRight w:val="0"/>
      <w:marTop w:val="0"/>
      <w:marBottom w:val="0"/>
      <w:divBdr>
        <w:top w:val="none" w:sz="0" w:space="0" w:color="auto"/>
        <w:left w:val="none" w:sz="0" w:space="0" w:color="auto"/>
        <w:bottom w:val="none" w:sz="0" w:space="0" w:color="auto"/>
        <w:right w:val="none" w:sz="0" w:space="0" w:color="auto"/>
      </w:divBdr>
    </w:div>
    <w:div w:id="1207569103">
      <w:bodyDiv w:val="1"/>
      <w:marLeft w:val="0"/>
      <w:marRight w:val="0"/>
      <w:marTop w:val="0"/>
      <w:marBottom w:val="0"/>
      <w:divBdr>
        <w:top w:val="none" w:sz="0" w:space="0" w:color="auto"/>
        <w:left w:val="none" w:sz="0" w:space="0" w:color="auto"/>
        <w:bottom w:val="none" w:sz="0" w:space="0" w:color="auto"/>
        <w:right w:val="none" w:sz="0" w:space="0" w:color="auto"/>
      </w:divBdr>
    </w:div>
    <w:div w:id="1314918816">
      <w:bodyDiv w:val="1"/>
      <w:marLeft w:val="0"/>
      <w:marRight w:val="0"/>
      <w:marTop w:val="0"/>
      <w:marBottom w:val="0"/>
      <w:divBdr>
        <w:top w:val="none" w:sz="0" w:space="0" w:color="auto"/>
        <w:left w:val="none" w:sz="0" w:space="0" w:color="auto"/>
        <w:bottom w:val="none" w:sz="0" w:space="0" w:color="auto"/>
        <w:right w:val="none" w:sz="0" w:space="0" w:color="auto"/>
      </w:divBdr>
      <w:divsChild>
        <w:div w:id="47726726">
          <w:marLeft w:val="0"/>
          <w:marRight w:val="0"/>
          <w:marTop w:val="0"/>
          <w:marBottom w:val="0"/>
          <w:divBdr>
            <w:top w:val="none" w:sz="0" w:space="0" w:color="auto"/>
            <w:left w:val="none" w:sz="0" w:space="0" w:color="auto"/>
            <w:bottom w:val="none" w:sz="0" w:space="0" w:color="auto"/>
            <w:right w:val="none" w:sz="0" w:space="0" w:color="auto"/>
          </w:divBdr>
        </w:div>
        <w:div w:id="787235251">
          <w:marLeft w:val="0"/>
          <w:marRight w:val="0"/>
          <w:marTop w:val="0"/>
          <w:marBottom w:val="0"/>
          <w:divBdr>
            <w:top w:val="single" w:sz="6" w:space="3" w:color="808080"/>
            <w:left w:val="single" w:sz="6" w:space="15" w:color="808080"/>
            <w:bottom w:val="single" w:sz="6" w:space="8" w:color="808080"/>
            <w:right w:val="single" w:sz="6" w:space="15" w:color="808080"/>
          </w:divBdr>
          <w:divsChild>
            <w:div w:id="8588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3765">
      <w:bodyDiv w:val="1"/>
      <w:marLeft w:val="0"/>
      <w:marRight w:val="0"/>
      <w:marTop w:val="0"/>
      <w:marBottom w:val="0"/>
      <w:divBdr>
        <w:top w:val="none" w:sz="0" w:space="0" w:color="auto"/>
        <w:left w:val="none" w:sz="0" w:space="0" w:color="auto"/>
        <w:bottom w:val="none" w:sz="0" w:space="0" w:color="auto"/>
        <w:right w:val="none" w:sz="0" w:space="0" w:color="auto"/>
      </w:divBdr>
    </w:div>
    <w:div w:id="1480459684">
      <w:bodyDiv w:val="1"/>
      <w:marLeft w:val="0"/>
      <w:marRight w:val="0"/>
      <w:marTop w:val="0"/>
      <w:marBottom w:val="0"/>
      <w:divBdr>
        <w:top w:val="none" w:sz="0" w:space="0" w:color="auto"/>
        <w:left w:val="none" w:sz="0" w:space="0" w:color="auto"/>
        <w:bottom w:val="none" w:sz="0" w:space="0" w:color="auto"/>
        <w:right w:val="none" w:sz="0" w:space="0" w:color="auto"/>
      </w:divBdr>
    </w:div>
    <w:div w:id="1480733234">
      <w:bodyDiv w:val="1"/>
      <w:marLeft w:val="0"/>
      <w:marRight w:val="0"/>
      <w:marTop w:val="0"/>
      <w:marBottom w:val="0"/>
      <w:divBdr>
        <w:top w:val="none" w:sz="0" w:space="0" w:color="auto"/>
        <w:left w:val="none" w:sz="0" w:space="0" w:color="auto"/>
        <w:bottom w:val="none" w:sz="0" w:space="0" w:color="auto"/>
        <w:right w:val="none" w:sz="0" w:space="0" w:color="auto"/>
      </w:divBdr>
    </w:div>
    <w:div w:id="1590190609">
      <w:bodyDiv w:val="1"/>
      <w:marLeft w:val="0"/>
      <w:marRight w:val="0"/>
      <w:marTop w:val="0"/>
      <w:marBottom w:val="0"/>
      <w:divBdr>
        <w:top w:val="none" w:sz="0" w:space="0" w:color="auto"/>
        <w:left w:val="none" w:sz="0" w:space="0" w:color="auto"/>
        <w:bottom w:val="none" w:sz="0" w:space="0" w:color="auto"/>
        <w:right w:val="none" w:sz="0" w:space="0" w:color="auto"/>
      </w:divBdr>
    </w:div>
    <w:div w:id="1591087597">
      <w:bodyDiv w:val="1"/>
      <w:marLeft w:val="0"/>
      <w:marRight w:val="0"/>
      <w:marTop w:val="0"/>
      <w:marBottom w:val="0"/>
      <w:divBdr>
        <w:top w:val="none" w:sz="0" w:space="0" w:color="auto"/>
        <w:left w:val="none" w:sz="0" w:space="0" w:color="auto"/>
        <w:bottom w:val="none" w:sz="0" w:space="0" w:color="auto"/>
        <w:right w:val="none" w:sz="0" w:space="0" w:color="auto"/>
      </w:divBdr>
    </w:div>
    <w:div w:id="1596672293">
      <w:bodyDiv w:val="1"/>
      <w:marLeft w:val="0"/>
      <w:marRight w:val="0"/>
      <w:marTop w:val="0"/>
      <w:marBottom w:val="0"/>
      <w:divBdr>
        <w:top w:val="none" w:sz="0" w:space="0" w:color="auto"/>
        <w:left w:val="none" w:sz="0" w:space="0" w:color="auto"/>
        <w:bottom w:val="none" w:sz="0" w:space="0" w:color="auto"/>
        <w:right w:val="none" w:sz="0" w:space="0" w:color="auto"/>
      </w:divBdr>
    </w:div>
    <w:div w:id="1622612534">
      <w:bodyDiv w:val="1"/>
      <w:marLeft w:val="0"/>
      <w:marRight w:val="0"/>
      <w:marTop w:val="0"/>
      <w:marBottom w:val="0"/>
      <w:divBdr>
        <w:top w:val="none" w:sz="0" w:space="0" w:color="auto"/>
        <w:left w:val="none" w:sz="0" w:space="0" w:color="auto"/>
        <w:bottom w:val="none" w:sz="0" w:space="0" w:color="auto"/>
        <w:right w:val="none" w:sz="0" w:space="0" w:color="auto"/>
      </w:divBdr>
    </w:div>
    <w:div w:id="1772578833">
      <w:bodyDiv w:val="1"/>
      <w:marLeft w:val="0"/>
      <w:marRight w:val="0"/>
      <w:marTop w:val="0"/>
      <w:marBottom w:val="0"/>
      <w:divBdr>
        <w:top w:val="none" w:sz="0" w:space="0" w:color="auto"/>
        <w:left w:val="none" w:sz="0" w:space="0" w:color="auto"/>
        <w:bottom w:val="none" w:sz="0" w:space="0" w:color="auto"/>
        <w:right w:val="none" w:sz="0" w:space="0" w:color="auto"/>
      </w:divBdr>
    </w:div>
    <w:div w:id="20476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2F2C-6437-4A2C-8A6A-6A3901D73F7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D318B4A-2751-4490-BB03-73935A7F8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12B8C-2BCE-4235-8810-BBD36EB6BBFE}">
  <ds:schemaRefs>
    <ds:schemaRef ds:uri="http://schemas.microsoft.com/sharepoint/v3/contenttype/forms"/>
  </ds:schemaRefs>
</ds:datastoreItem>
</file>

<file path=customXml/itemProps4.xml><?xml version="1.0" encoding="utf-8"?>
<ds:datastoreItem xmlns:ds="http://schemas.openxmlformats.org/officeDocument/2006/customXml" ds:itemID="{370E6932-5AEB-4874-8562-E12B6DE1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1</Pages>
  <Words>6777</Words>
  <Characters>38630</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Nina María Padrón</cp:lastModifiedBy>
  <cp:revision>4</cp:revision>
  <cp:lastPrinted>2016-07-21T14:06:00Z</cp:lastPrinted>
  <dcterms:created xsi:type="dcterms:W3CDTF">2020-06-05T16:45:00Z</dcterms:created>
  <dcterms:modified xsi:type="dcterms:W3CDTF">2020-06-05T16:46:00Z</dcterms:modified>
</cp:coreProperties>
</file>