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EAB" w:rsidRPr="0072172B" w:rsidRDefault="00CA3EAB" w:rsidP="009F1882">
      <w:pPr>
        <w:spacing w:line="240" w:lineRule="auto"/>
        <w:rPr>
          <w:rFonts w:cs="Arial"/>
          <w:b/>
          <w:sz w:val="22"/>
          <w:szCs w:val="22"/>
        </w:rPr>
      </w:pPr>
      <w:r w:rsidRPr="0072172B">
        <w:rPr>
          <w:rFonts w:cs="Arial"/>
          <w:b/>
          <w:sz w:val="22"/>
          <w:szCs w:val="22"/>
        </w:rPr>
        <w:t xml:space="preserve">COMPETENCIA – Consejo de Estado </w:t>
      </w:r>
    </w:p>
    <w:p w:rsidR="00CA3EAB" w:rsidRPr="0072172B" w:rsidRDefault="00CA3EAB" w:rsidP="009F1882">
      <w:pPr>
        <w:spacing w:line="240" w:lineRule="auto"/>
        <w:rPr>
          <w:rFonts w:cs="Arial"/>
          <w:b/>
          <w:sz w:val="22"/>
          <w:szCs w:val="22"/>
        </w:rPr>
      </w:pPr>
    </w:p>
    <w:p w:rsidR="00CA3EAB" w:rsidRPr="0072172B" w:rsidRDefault="00CA3EAB" w:rsidP="009F1882">
      <w:pPr>
        <w:spacing w:line="240" w:lineRule="auto"/>
        <w:rPr>
          <w:rFonts w:cs="Arial"/>
          <w:sz w:val="22"/>
          <w:szCs w:val="22"/>
        </w:rPr>
      </w:pPr>
      <w:r w:rsidRPr="0072172B">
        <w:rPr>
          <w:rFonts w:cs="Arial"/>
          <w:sz w:val="22"/>
          <w:szCs w:val="22"/>
          <w:lang w:val="es-CO"/>
        </w:rPr>
        <w:t xml:space="preserve">El </w:t>
      </w:r>
      <w:r w:rsidRPr="0072172B">
        <w:rPr>
          <w:rFonts w:cs="Arial"/>
          <w:sz w:val="22"/>
          <w:szCs w:val="22"/>
        </w:rPr>
        <w:t>artículo 104 de la Ley 1437 expedida en 2011 (C.P.A.C.A.), vigente a partir de 2 de julio de 2012, prescribe que la Jurisdicción de lo Contencioso Administrativo se encuentra instituida para juzgar las controversias y litigios originados en los contratos “sujetos al derecho administrativo, en los que estén involucradas las entidades públicas” e igualmente le corresponde conocer de los contratos “cualquiera que sea su régimen, en los que sea parte una entidad pública o un particular en ejercicio de funciones propias del Estado”.</w:t>
      </w:r>
    </w:p>
    <w:p w:rsidR="00AB437B" w:rsidRPr="0072172B" w:rsidRDefault="00AB437B" w:rsidP="009F1882">
      <w:pPr>
        <w:spacing w:line="240" w:lineRule="auto"/>
        <w:rPr>
          <w:rFonts w:cs="Arial"/>
          <w:sz w:val="22"/>
          <w:szCs w:val="22"/>
        </w:rPr>
      </w:pPr>
    </w:p>
    <w:p w:rsidR="00AB437B" w:rsidRPr="0072172B" w:rsidRDefault="00AB437B" w:rsidP="009F1882">
      <w:pPr>
        <w:spacing w:line="240" w:lineRule="auto"/>
        <w:rPr>
          <w:rFonts w:cs="Arial"/>
          <w:b/>
          <w:sz w:val="22"/>
          <w:szCs w:val="22"/>
        </w:rPr>
      </w:pPr>
      <w:r w:rsidRPr="0072172B">
        <w:rPr>
          <w:rFonts w:cs="Arial"/>
          <w:b/>
          <w:sz w:val="22"/>
          <w:szCs w:val="22"/>
        </w:rPr>
        <w:t>CADUCIDAD</w:t>
      </w:r>
      <w:r w:rsidR="00CC086A">
        <w:rPr>
          <w:rFonts w:cs="Arial"/>
          <w:b/>
          <w:sz w:val="22"/>
          <w:szCs w:val="22"/>
        </w:rPr>
        <w:t xml:space="preserve"> DE LA ACCIÓN</w:t>
      </w:r>
      <w:r w:rsidRPr="0072172B">
        <w:rPr>
          <w:rFonts w:cs="Arial"/>
          <w:b/>
          <w:sz w:val="22"/>
          <w:szCs w:val="22"/>
        </w:rPr>
        <w:t xml:space="preserve"> – Acción de controversias contractuales – Código de lo Contencioso Administrativo – Momento a partir del cual comienza a contar el término</w:t>
      </w:r>
    </w:p>
    <w:p w:rsidR="00AB437B" w:rsidRPr="0072172B" w:rsidRDefault="00AB437B" w:rsidP="009F1882">
      <w:pPr>
        <w:spacing w:line="240" w:lineRule="auto"/>
        <w:rPr>
          <w:rFonts w:cs="Arial"/>
          <w:sz w:val="22"/>
          <w:szCs w:val="22"/>
        </w:rPr>
      </w:pPr>
    </w:p>
    <w:p w:rsidR="00AB437B" w:rsidRPr="0072172B" w:rsidRDefault="00AB437B" w:rsidP="009F1882">
      <w:pPr>
        <w:pStyle w:val="Textoindependiente"/>
        <w:spacing w:line="240" w:lineRule="auto"/>
        <w:rPr>
          <w:rFonts w:cs="Arial"/>
          <w:sz w:val="22"/>
          <w:szCs w:val="22"/>
        </w:rPr>
      </w:pPr>
      <w:r w:rsidRPr="0072172B">
        <w:rPr>
          <w:rFonts w:cs="Arial"/>
          <w:sz w:val="22"/>
          <w:szCs w:val="22"/>
        </w:rPr>
        <w:t>Teniendo en cuenta que en el presente caso el término fijado para la caducidad de la acción, según se observa, comenzó a correr en vigencia del Código Contencioso Administrativo, mayo de 2011, lo que de suyo conduce a sostener que ese presupuesto se ha de regir por las disposiciones que estaban vigentes a esa fecha en materia de caducidad de la acción, esto es, el artículo 136 del referido estatuto. Lo dicho aplica aunque la demanda se hubiera presentado cuando ya se encontraba en vigor la Ley 1437 de 2001, contentiva del Código de Procedimiento Administrativo y de lo Contencioso Administrativo (C.P.A.C.A.) y el proceso se rija por las normas de este último código.</w:t>
      </w:r>
    </w:p>
    <w:p w:rsidR="00AB437B" w:rsidRPr="0072172B" w:rsidRDefault="00AB437B" w:rsidP="009F1882">
      <w:pPr>
        <w:pStyle w:val="Textoindependiente"/>
        <w:spacing w:line="240" w:lineRule="auto"/>
        <w:rPr>
          <w:rFonts w:cs="Arial"/>
          <w:sz w:val="22"/>
          <w:szCs w:val="22"/>
        </w:rPr>
      </w:pPr>
    </w:p>
    <w:p w:rsidR="00AB437B" w:rsidRPr="0072172B" w:rsidRDefault="00AB437B" w:rsidP="009F1882">
      <w:pPr>
        <w:pStyle w:val="Textoindependiente"/>
        <w:spacing w:line="240" w:lineRule="auto"/>
        <w:rPr>
          <w:rFonts w:cs="Arial"/>
          <w:sz w:val="22"/>
          <w:szCs w:val="22"/>
        </w:rPr>
      </w:pPr>
      <w:r w:rsidRPr="0072172B">
        <w:rPr>
          <w:rFonts w:cs="Arial"/>
          <w:b/>
          <w:sz w:val="22"/>
          <w:szCs w:val="22"/>
        </w:rPr>
        <w:t>LIQUIDACIÓN U</w:t>
      </w:r>
      <w:r w:rsidR="0093614A">
        <w:rPr>
          <w:rFonts w:cs="Arial"/>
          <w:b/>
          <w:sz w:val="22"/>
          <w:szCs w:val="22"/>
        </w:rPr>
        <w:t>N</w:t>
      </w:r>
      <w:r w:rsidRPr="0072172B">
        <w:rPr>
          <w:rFonts w:cs="Arial"/>
          <w:b/>
          <w:sz w:val="22"/>
          <w:szCs w:val="22"/>
        </w:rPr>
        <w:t>ILATERAL DEL CONTRATO –</w:t>
      </w:r>
      <w:r w:rsidRPr="0072172B">
        <w:rPr>
          <w:rFonts w:cs="Arial"/>
          <w:sz w:val="22"/>
          <w:szCs w:val="22"/>
        </w:rPr>
        <w:t xml:space="preserve"> </w:t>
      </w:r>
      <w:r w:rsidRPr="0072172B">
        <w:rPr>
          <w:rFonts w:cs="Arial"/>
          <w:b/>
          <w:sz w:val="22"/>
          <w:szCs w:val="22"/>
        </w:rPr>
        <w:t xml:space="preserve">Plazo </w:t>
      </w:r>
    </w:p>
    <w:p w:rsidR="00AB437B" w:rsidRPr="0072172B" w:rsidRDefault="00AB437B" w:rsidP="009F1882">
      <w:pPr>
        <w:pStyle w:val="Textoindependiente"/>
        <w:spacing w:line="240" w:lineRule="auto"/>
        <w:rPr>
          <w:rFonts w:cs="Arial"/>
          <w:sz w:val="22"/>
          <w:szCs w:val="22"/>
        </w:rPr>
      </w:pPr>
    </w:p>
    <w:p w:rsidR="00AB437B" w:rsidRPr="0072172B" w:rsidRDefault="00AB437B" w:rsidP="009F1882">
      <w:pPr>
        <w:pStyle w:val="Textoindependiente"/>
        <w:spacing w:line="240" w:lineRule="auto"/>
        <w:rPr>
          <w:rFonts w:cs="Arial"/>
          <w:sz w:val="22"/>
          <w:szCs w:val="22"/>
        </w:rPr>
      </w:pPr>
      <w:r w:rsidRPr="0072172B">
        <w:rPr>
          <w:rFonts w:cs="Arial"/>
          <w:sz w:val="22"/>
          <w:szCs w:val="22"/>
        </w:rPr>
        <w:t xml:space="preserve">El plazo para la liquidación unilateral del contrato comienza a correr </w:t>
      </w:r>
      <w:r w:rsidRPr="0072172B">
        <w:rPr>
          <w:rFonts w:cs="Arial"/>
          <w:i/>
          <w:sz w:val="22"/>
          <w:szCs w:val="22"/>
        </w:rPr>
        <w:t xml:space="preserve">al día siguiente </w:t>
      </w:r>
      <w:r w:rsidRPr="0072172B">
        <w:rPr>
          <w:rFonts w:cs="Arial"/>
          <w:sz w:val="22"/>
          <w:szCs w:val="22"/>
        </w:rPr>
        <w:t>del vencimiento del plazo para realizar la liquidación bilateral, redacción con la cual se afianzó que el cómputo del plazo de liquidación unilateral se desplaza en un día respecto de la fecha en que, para algunos, comenzaba a correr bajo la redacción del antiguo cuerpo normativo (C.C.A.).</w:t>
      </w:r>
    </w:p>
    <w:p w:rsidR="00AB437B" w:rsidRPr="0072172B" w:rsidRDefault="00AB437B" w:rsidP="009F1882">
      <w:pPr>
        <w:pStyle w:val="Textoindependiente"/>
        <w:spacing w:line="240" w:lineRule="auto"/>
        <w:rPr>
          <w:rFonts w:cs="Arial"/>
          <w:sz w:val="22"/>
          <w:szCs w:val="22"/>
        </w:rPr>
      </w:pPr>
    </w:p>
    <w:p w:rsidR="00AB437B" w:rsidRPr="0072172B" w:rsidRDefault="00AB437B" w:rsidP="009F1882">
      <w:pPr>
        <w:pStyle w:val="Textoindependiente"/>
        <w:spacing w:line="240" w:lineRule="auto"/>
        <w:rPr>
          <w:rFonts w:cs="Arial"/>
          <w:sz w:val="22"/>
          <w:szCs w:val="22"/>
        </w:rPr>
      </w:pPr>
      <w:r w:rsidRPr="0072172B">
        <w:rPr>
          <w:rFonts w:cs="Arial"/>
          <w:b/>
          <w:sz w:val="22"/>
          <w:szCs w:val="22"/>
        </w:rPr>
        <w:t>ACTA DE LIQUIDACIÓN – Contenido – Mutuo acuerdo</w:t>
      </w:r>
      <w:r w:rsidRPr="0072172B">
        <w:rPr>
          <w:rFonts w:cs="Arial"/>
          <w:sz w:val="22"/>
          <w:szCs w:val="22"/>
        </w:rPr>
        <w:t xml:space="preserve"> </w:t>
      </w:r>
    </w:p>
    <w:p w:rsidR="00AB437B" w:rsidRPr="0072172B" w:rsidRDefault="00AB437B" w:rsidP="009F1882">
      <w:pPr>
        <w:pStyle w:val="Textoindependiente"/>
        <w:spacing w:line="240" w:lineRule="auto"/>
        <w:rPr>
          <w:rFonts w:cs="Arial"/>
          <w:sz w:val="22"/>
          <w:szCs w:val="22"/>
        </w:rPr>
      </w:pPr>
    </w:p>
    <w:p w:rsidR="00AB437B" w:rsidRPr="0072172B" w:rsidRDefault="00AB437B" w:rsidP="009F1882">
      <w:pPr>
        <w:autoSpaceDN w:val="0"/>
        <w:spacing w:line="240" w:lineRule="auto"/>
        <w:rPr>
          <w:rFonts w:cs="Arial"/>
          <w:sz w:val="22"/>
          <w:szCs w:val="22"/>
        </w:rPr>
      </w:pPr>
      <w:r w:rsidRPr="0072172B">
        <w:rPr>
          <w:rFonts w:cs="Arial"/>
          <w:sz w:val="22"/>
          <w:szCs w:val="22"/>
        </w:rPr>
        <w:t xml:space="preserve">Aquellos casos en los cuales el contrato se liquida por mutuo acuerdo entre las partes, el documento en que se plasma dicho acto contiene un consenso acerca de los datos y valores allí establecidos y podrá ser controvertido posteriormente: </w:t>
      </w:r>
      <w:r w:rsidRPr="0072172B">
        <w:rPr>
          <w:rFonts w:cs="Arial"/>
          <w:b/>
          <w:sz w:val="22"/>
          <w:szCs w:val="22"/>
        </w:rPr>
        <w:t>i)</w:t>
      </w:r>
      <w:r w:rsidRPr="0072172B">
        <w:rPr>
          <w:rFonts w:cs="Arial"/>
          <w:sz w:val="22"/>
          <w:szCs w:val="22"/>
        </w:rPr>
        <w:t xml:space="preserve"> en los aspectos que hayan sido materia de salvedad expresa o </w:t>
      </w:r>
      <w:r w:rsidRPr="0072172B">
        <w:rPr>
          <w:rFonts w:cs="Arial"/>
          <w:b/>
          <w:sz w:val="22"/>
          <w:szCs w:val="22"/>
        </w:rPr>
        <w:t>ii)</w:t>
      </w:r>
      <w:r w:rsidRPr="0072172B">
        <w:rPr>
          <w:rFonts w:cs="Arial"/>
          <w:sz w:val="22"/>
          <w:szCs w:val="22"/>
        </w:rPr>
        <w:t xml:space="preserve"> en aquellas partidas en relación con las cuales pueda probarse un vicio del consentimiento (error, fuerza o dolo). </w:t>
      </w:r>
    </w:p>
    <w:p w:rsidR="00AB437B" w:rsidRPr="0072172B" w:rsidRDefault="00AB437B" w:rsidP="009F1882">
      <w:pPr>
        <w:autoSpaceDN w:val="0"/>
        <w:spacing w:line="240" w:lineRule="auto"/>
        <w:rPr>
          <w:rFonts w:cs="Arial"/>
          <w:sz w:val="22"/>
          <w:szCs w:val="22"/>
        </w:rPr>
      </w:pPr>
    </w:p>
    <w:p w:rsidR="00AB437B" w:rsidRPr="0072172B" w:rsidRDefault="00AB437B" w:rsidP="009F1882">
      <w:pPr>
        <w:autoSpaceDN w:val="0"/>
        <w:spacing w:line="240" w:lineRule="auto"/>
        <w:rPr>
          <w:rFonts w:cs="Arial"/>
          <w:sz w:val="22"/>
          <w:szCs w:val="22"/>
        </w:rPr>
      </w:pPr>
      <w:r w:rsidRPr="0072172B">
        <w:rPr>
          <w:rFonts w:cs="Arial"/>
          <w:b/>
          <w:sz w:val="22"/>
          <w:szCs w:val="22"/>
        </w:rPr>
        <w:t xml:space="preserve">ACTA DE LIQUIDACIÓN - </w:t>
      </w:r>
      <w:r w:rsidR="001B497C" w:rsidRPr="0072172B">
        <w:rPr>
          <w:rFonts w:cs="Arial"/>
          <w:b/>
          <w:sz w:val="22"/>
          <w:szCs w:val="22"/>
        </w:rPr>
        <w:t>Obligatoriedad para las partes – No puede ser desestimado en estrados judiciales</w:t>
      </w:r>
      <w:r w:rsidR="001B497C" w:rsidRPr="0072172B">
        <w:rPr>
          <w:rFonts w:cs="Arial"/>
          <w:sz w:val="22"/>
          <w:szCs w:val="22"/>
        </w:rPr>
        <w:t xml:space="preserve"> </w:t>
      </w:r>
    </w:p>
    <w:p w:rsidR="001B497C" w:rsidRPr="0072172B" w:rsidRDefault="001B497C" w:rsidP="009F1882">
      <w:pPr>
        <w:autoSpaceDN w:val="0"/>
        <w:spacing w:line="240" w:lineRule="auto"/>
        <w:rPr>
          <w:rFonts w:cs="Arial"/>
          <w:sz w:val="22"/>
          <w:szCs w:val="22"/>
        </w:rPr>
      </w:pPr>
    </w:p>
    <w:p w:rsidR="001B497C" w:rsidRPr="0072172B" w:rsidRDefault="001B497C" w:rsidP="0072172B">
      <w:pPr>
        <w:autoSpaceDN w:val="0"/>
        <w:spacing w:line="240" w:lineRule="auto"/>
        <w:rPr>
          <w:rFonts w:cs="Arial"/>
          <w:sz w:val="22"/>
          <w:szCs w:val="22"/>
        </w:rPr>
      </w:pPr>
      <w:r w:rsidRPr="0072172B">
        <w:rPr>
          <w:rFonts w:cs="Arial"/>
          <w:sz w:val="22"/>
          <w:szCs w:val="22"/>
        </w:rPr>
        <w:t xml:space="preserve">El contenido del acta de liquidación bilateral del contrato reviste obligatoriedad para las partes y no puede ser desestimado en los estrados judiciales, toda vez que con ella se desarrolla la obligación legal de establecer el finiquito de la cuenta contractual, de conformidad con el contenido del artículo 60 de la Ley 80 de 1993, el cual se impone como regla general en los contratos de tracto sucesivo cuando se rigen por el referido Estatuto.  </w:t>
      </w:r>
      <w:r w:rsidR="0072172B" w:rsidRPr="0072172B">
        <w:rPr>
          <w:rFonts w:cs="Arial"/>
          <w:sz w:val="22"/>
          <w:szCs w:val="22"/>
        </w:rPr>
        <w:t xml:space="preserve">(…) </w:t>
      </w:r>
      <w:r w:rsidRPr="0072172B">
        <w:rPr>
          <w:rFonts w:cs="Arial"/>
          <w:sz w:val="22"/>
          <w:szCs w:val="22"/>
        </w:rPr>
        <w:t xml:space="preserve">En consonancia con lo dicho, debe destacarse que en el inciso primero del artículo 60 de la Ley 80 de 1993 existió norma expresa que sometió el acta de liquidación bilateral a acuerdo entre </w:t>
      </w:r>
      <w:r w:rsidRPr="0072172B">
        <w:rPr>
          <w:rFonts w:cs="Arial"/>
          <w:i/>
          <w:sz w:val="22"/>
          <w:szCs w:val="22"/>
        </w:rPr>
        <w:t>“las partes”,</w:t>
      </w:r>
      <w:r w:rsidRPr="0072172B">
        <w:rPr>
          <w:rFonts w:cs="Arial"/>
          <w:sz w:val="22"/>
          <w:szCs w:val="22"/>
        </w:rPr>
        <w:t xml:space="preserve"> circunstancia considerada por la jurisprudencia como indicativa del requisito de la firma del representante legal de ambos extremos negociales, para determinar la obligatoriedad del acta y extraer de allí el efecto de la firma sin salvedades. Dar cabida a una interpretación contraria a lo expuesto equivaldría a formular una posición que desconoce: </w:t>
      </w:r>
      <w:r w:rsidRPr="0072172B">
        <w:rPr>
          <w:rFonts w:cs="Arial"/>
          <w:b/>
          <w:sz w:val="22"/>
          <w:szCs w:val="22"/>
        </w:rPr>
        <w:t>i)</w:t>
      </w:r>
      <w:r w:rsidRPr="0072172B">
        <w:rPr>
          <w:rFonts w:cs="Arial"/>
          <w:sz w:val="22"/>
          <w:szCs w:val="22"/>
        </w:rPr>
        <w:t xml:space="preserve"> la regla derivada del derecho romano, “n</w:t>
      </w:r>
      <w:r w:rsidRPr="0072172B">
        <w:rPr>
          <w:rFonts w:cs="Arial"/>
          <w:i/>
          <w:sz w:val="22"/>
          <w:szCs w:val="22"/>
        </w:rPr>
        <w:t>emo auditur propiam turpidetudinem allegans”</w:t>
      </w:r>
      <w:r w:rsidRPr="0072172B">
        <w:rPr>
          <w:rFonts w:cs="Arial"/>
          <w:sz w:val="22"/>
          <w:szCs w:val="22"/>
        </w:rPr>
        <w:t xml:space="preserve">, según la cual nadie puede alegar su propia culpa para fundar una pretensión; </w:t>
      </w:r>
      <w:r w:rsidRPr="0072172B">
        <w:rPr>
          <w:rFonts w:cs="Arial"/>
          <w:b/>
          <w:sz w:val="22"/>
          <w:szCs w:val="22"/>
        </w:rPr>
        <w:t>ii)</w:t>
      </w:r>
      <w:r w:rsidRPr="0072172B">
        <w:rPr>
          <w:rFonts w:cs="Arial"/>
          <w:sz w:val="22"/>
          <w:szCs w:val="22"/>
        </w:rPr>
        <w:t xml:space="preserve"> la  obligatoriedad de soportar los efectos de los actos propios, de conformidad con la cual </w:t>
      </w:r>
      <w:r w:rsidRPr="0072172B">
        <w:rPr>
          <w:rFonts w:cs="Arial"/>
          <w:bCs/>
          <w:i/>
          <w:sz w:val="22"/>
          <w:szCs w:val="22"/>
        </w:rPr>
        <w:t>“</w:t>
      </w:r>
      <w:r w:rsidRPr="0072172B">
        <w:rPr>
          <w:rFonts w:cs="Arial"/>
          <w:i/>
          <w:iCs/>
          <w:sz w:val="22"/>
          <w:szCs w:val="22"/>
        </w:rPr>
        <w:t>venire contra factum proprium non valet”,</w:t>
      </w:r>
      <w:r w:rsidRPr="0072172B">
        <w:rPr>
          <w:rFonts w:cs="Arial"/>
          <w:iCs/>
          <w:sz w:val="22"/>
          <w:szCs w:val="22"/>
        </w:rPr>
        <w:t xml:space="preserve"> es decir, que </w:t>
      </w:r>
      <w:r w:rsidRPr="0072172B">
        <w:rPr>
          <w:rFonts w:cs="Arial"/>
          <w:sz w:val="22"/>
          <w:szCs w:val="22"/>
        </w:rPr>
        <w:t>a nadie le es lícito venir contra sus propios actos</w:t>
      </w:r>
      <w:r w:rsidRPr="0072172B">
        <w:rPr>
          <w:rFonts w:cs="Arial"/>
          <w:i/>
          <w:sz w:val="22"/>
          <w:szCs w:val="22"/>
        </w:rPr>
        <w:t xml:space="preserve"> y iii) </w:t>
      </w:r>
      <w:r w:rsidRPr="0072172B">
        <w:rPr>
          <w:rFonts w:cs="Arial"/>
          <w:sz w:val="22"/>
          <w:szCs w:val="22"/>
        </w:rPr>
        <w:t>el principio de la buena fe o “</w:t>
      </w:r>
      <w:r w:rsidRPr="0072172B">
        <w:rPr>
          <w:rFonts w:cs="Arial"/>
          <w:i/>
          <w:sz w:val="22"/>
          <w:szCs w:val="22"/>
        </w:rPr>
        <w:t>bona fides</w:t>
      </w:r>
      <w:r w:rsidRPr="0072172B">
        <w:rPr>
          <w:rFonts w:cs="Arial"/>
          <w:sz w:val="22"/>
          <w:szCs w:val="22"/>
        </w:rPr>
        <w:t xml:space="preserve">” que debe imperar en las relaciones jurídicas y en el proceso judicial. </w:t>
      </w:r>
    </w:p>
    <w:p w:rsidR="00AB437B" w:rsidRPr="0072172B" w:rsidRDefault="00AB437B" w:rsidP="009F1882">
      <w:pPr>
        <w:pStyle w:val="Textoindependiente"/>
        <w:spacing w:line="240" w:lineRule="auto"/>
        <w:rPr>
          <w:rFonts w:cs="Arial"/>
          <w:sz w:val="22"/>
          <w:szCs w:val="22"/>
        </w:rPr>
      </w:pPr>
    </w:p>
    <w:p w:rsidR="001B497C" w:rsidRPr="0072172B" w:rsidRDefault="001B497C" w:rsidP="009F1882">
      <w:pPr>
        <w:spacing w:line="240" w:lineRule="auto"/>
        <w:rPr>
          <w:rFonts w:cs="Arial"/>
          <w:sz w:val="22"/>
          <w:szCs w:val="22"/>
        </w:rPr>
      </w:pPr>
      <w:r w:rsidRPr="0072172B">
        <w:rPr>
          <w:rFonts w:cs="Arial"/>
          <w:b/>
          <w:sz w:val="22"/>
          <w:szCs w:val="22"/>
        </w:rPr>
        <w:t>ACTA DE LIQUIDACIÓN – Medio probatorio</w:t>
      </w:r>
      <w:r w:rsidRPr="0072172B">
        <w:rPr>
          <w:rFonts w:cs="Arial"/>
          <w:sz w:val="22"/>
          <w:szCs w:val="22"/>
        </w:rPr>
        <w:t xml:space="preserve"> </w:t>
      </w:r>
    </w:p>
    <w:p w:rsidR="001B497C" w:rsidRPr="0072172B" w:rsidRDefault="001B497C" w:rsidP="009F1882">
      <w:pPr>
        <w:autoSpaceDN w:val="0"/>
        <w:spacing w:line="240" w:lineRule="auto"/>
        <w:rPr>
          <w:rFonts w:cs="Arial"/>
          <w:sz w:val="22"/>
          <w:szCs w:val="22"/>
        </w:rPr>
      </w:pPr>
    </w:p>
    <w:p w:rsidR="001B497C" w:rsidRPr="0072172B" w:rsidRDefault="001B497C" w:rsidP="009F1882">
      <w:pPr>
        <w:autoSpaceDN w:val="0"/>
        <w:spacing w:line="240" w:lineRule="auto"/>
        <w:rPr>
          <w:rFonts w:cs="Arial"/>
          <w:sz w:val="22"/>
          <w:szCs w:val="22"/>
        </w:rPr>
      </w:pPr>
      <w:r w:rsidRPr="0072172B">
        <w:rPr>
          <w:rFonts w:cs="Arial"/>
          <w:sz w:val="22"/>
          <w:szCs w:val="22"/>
        </w:rPr>
        <w:lastRenderedPageBreak/>
        <w:t xml:space="preserve">El acta liquidación del contrato solo se tiene como prueba de los hechos, en tanto acredita que se adelantó el trámite contractual de elaborar y aprobar dicha acta, pero no se deriva de ella la fuerza de un acuerdo de voluntades acerca de lo que cada parte adeuda a la otra con ocasión de la ejecución de la obra. </w:t>
      </w:r>
    </w:p>
    <w:p w:rsidR="001B497C" w:rsidRPr="0072172B" w:rsidRDefault="001B497C" w:rsidP="009F1882">
      <w:pPr>
        <w:autoSpaceDN w:val="0"/>
        <w:spacing w:line="240" w:lineRule="auto"/>
        <w:rPr>
          <w:rFonts w:cs="Arial"/>
          <w:sz w:val="22"/>
          <w:szCs w:val="22"/>
        </w:rPr>
      </w:pPr>
    </w:p>
    <w:p w:rsidR="001B497C" w:rsidRPr="0072172B" w:rsidRDefault="00CC086A" w:rsidP="009F1882">
      <w:pPr>
        <w:autoSpaceDN w:val="0"/>
        <w:spacing w:line="240" w:lineRule="auto"/>
        <w:rPr>
          <w:rFonts w:cs="Arial"/>
          <w:b/>
          <w:sz w:val="22"/>
          <w:szCs w:val="22"/>
        </w:rPr>
      </w:pPr>
      <w:r>
        <w:rPr>
          <w:rFonts w:cs="Arial"/>
          <w:b/>
          <w:sz w:val="22"/>
          <w:szCs w:val="22"/>
        </w:rPr>
        <w:t>EQUILIBRIO</w:t>
      </w:r>
      <w:r w:rsidR="001B497C" w:rsidRPr="0072172B">
        <w:rPr>
          <w:rFonts w:cs="Arial"/>
          <w:b/>
          <w:sz w:val="22"/>
          <w:szCs w:val="22"/>
        </w:rPr>
        <w:t xml:space="preserve"> ECONÓMICO DEL CONTRATO –</w:t>
      </w:r>
      <w:r w:rsidR="001B497C" w:rsidRPr="0072172B">
        <w:rPr>
          <w:rFonts w:cs="Arial"/>
          <w:sz w:val="22"/>
          <w:szCs w:val="22"/>
        </w:rPr>
        <w:t xml:space="preserve"> </w:t>
      </w:r>
      <w:r w:rsidR="001B497C" w:rsidRPr="0072172B">
        <w:rPr>
          <w:rFonts w:cs="Arial"/>
          <w:b/>
          <w:sz w:val="22"/>
          <w:szCs w:val="22"/>
        </w:rPr>
        <w:t>Ejecución de</w:t>
      </w:r>
      <w:r w:rsidR="0072172B" w:rsidRPr="0072172B">
        <w:rPr>
          <w:rFonts w:cs="Arial"/>
          <w:b/>
          <w:sz w:val="22"/>
          <w:szCs w:val="22"/>
        </w:rPr>
        <w:t xml:space="preserve">l contrato - </w:t>
      </w:r>
      <w:r w:rsidR="001B497C" w:rsidRPr="0072172B">
        <w:rPr>
          <w:rFonts w:cs="Arial"/>
          <w:b/>
          <w:sz w:val="22"/>
          <w:szCs w:val="22"/>
        </w:rPr>
        <w:t xml:space="preserve">Circunstancias previsibles – Imprevisibilidad </w:t>
      </w:r>
    </w:p>
    <w:p w:rsidR="001B497C" w:rsidRPr="0072172B" w:rsidRDefault="001B497C" w:rsidP="009F1882">
      <w:pPr>
        <w:autoSpaceDN w:val="0"/>
        <w:spacing w:line="240" w:lineRule="auto"/>
        <w:rPr>
          <w:rFonts w:cs="Arial"/>
          <w:sz w:val="22"/>
          <w:szCs w:val="22"/>
        </w:rPr>
      </w:pPr>
    </w:p>
    <w:p w:rsidR="00AB437B" w:rsidRPr="0072172B" w:rsidRDefault="001B497C" w:rsidP="0072172B">
      <w:pPr>
        <w:autoSpaceDN w:val="0"/>
        <w:spacing w:line="240" w:lineRule="auto"/>
        <w:rPr>
          <w:rFonts w:eastAsia="Calibri" w:cs="Arial"/>
          <w:sz w:val="22"/>
          <w:szCs w:val="22"/>
          <w:lang w:val="es-CO" w:eastAsia="en-US"/>
        </w:rPr>
      </w:pPr>
      <w:r w:rsidRPr="0072172B">
        <w:rPr>
          <w:rFonts w:eastAsia="Calibri" w:cs="Arial"/>
          <w:sz w:val="22"/>
          <w:szCs w:val="22"/>
          <w:lang w:val="es-CO" w:eastAsia="en-US"/>
        </w:rPr>
        <w:t>Durante la ejecución de todo negocio pueden sobrevenir circunstancias con vocación de impactarlo desde varios ángulos, al punto de entorpecer su cumplimiento en la forma y términos convenidos en la época de su celebración y hacerlo más oneroso.</w:t>
      </w:r>
      <w:r w:rsidR="0072172B" w:rsidRPr="0072172B">
        <w:rPr>
          <w:rFonts w:eastAsia="Calibri" w:cs="Arial"/>
          <w:sz w:val="22"/>
          <w:szCs w:val="22"/>
          <w:lang w:val="es-CO" w:eastAsia="en-US"/>
        </w:rPr>
        <w:t xml:space="preserve"> (…)  </w:t>
      </w:r>
      <w:r w:rsidRPr="0072172B">
        <w:rPr>
          <w:rFonts w:eastAsia="Calibri" w:cs="Arial"/>
          <w:sz w:val="22"/>
          <w:szCs w:val="22"/>
          <w:lang w:val="es-CO" w:eastAsia="en-US"/>
        </w:rPr>
        <w:t>La ocurrencia de dichas contingencias responde, en algunos casos, a situaciones atinentes al álea normal e inherente de su ejecución, aspecto que de suyo las convierte en previsibles- sobre todo desde la perspectiva del contratista por considerarse el experto y conocedor de la materia- y, en otros tantos, llegan a exceder la órbita de la normalidad y trascienden al terreno de lo extraordinario y de lo imprevisible.</w:t>
      </w:r>
    </w:p>
    <w:p w:rsidR="001B497C" w:rsidRPr="0072172B" w:rsidRDefault="001B497C" w:rsidP="009F1882">
      <w:pPr>
        <w:spacing w:line="240" w:lineRule="auto"/>
        <w:rPr>
          <w:rFonts w:eastAsia="Calibri" w:cs="Arial"/>
          <w:sz w:val="22"/>
          <w:szCs w:val="22"/>
          <w:lang w:val="es-CO" w:eastAsia="en-US"/>
        </w:rPr>
      </w:pPr>
    </w:p>
    <w:p w:rsidR="001B497C" w:rsidRPr="0072172B" w:rsidRDefault="001B497C" w:rsidP="009F1882">
      <w:pPr>
        <w:spacing w:line="240" w:lineRule="auto"/>
        <w:rPr>
          <w:rFonts w:cs="Arial"/>
          <w:sz w:val="22"/>
          <w:szCs w:val="22"/>
        </w:rPr>
      </w:pPr>
      <w:r w:rsidRPr="0072172B">
        <w:rPr>
          <w:rFonts w:cs="Arial"/>
          <w:b/>
          <w:sz w:val="22"/>
          <w:szCs w:val="22"/>
        </w:rPr>
        <w:t xml:space="preserve">AUDIENCIA DE DISTRIBUCIÓN DE RIESGOS – Obligatoriedad </w:t>
      </w:r>
    </w:p>
    <w:p w:rsidR="001B497C" w:rsidRPr="0072172B" w:rsidRDefault="001B497C" w:rsidP="009F1882">
      <w:pPr>
        <w:spacing w:line="240" w:lineRule="auto"/>
        <w:rPr>
          <w:rFonts w:cs="Arial"/>
          <w:sz w:val="22"/>
          <w:szCs w:val="22"/>
        </w:rPr>
      </w:pPr>
    </w:p>
    <w:p w:rsidR="001B497C" w:rsidRPr="0072172B" w:rsidRDefault="001B497C" w:rsidP="009F1882">
      <w:pPr>
        <w:spacing w:line="240" w:lineRule="auto"/>
        <w:rPr>
          <w:rFonts w:cs="Arial"/>
          <w:sz w:val="22"/>
          <w:szCs w:val="22"/>
        </w:rPr>
      </w:pPr>
      <w:r w:rsidRPr="0072172B">
        <w:rPr>
          <w:rFonts w:eastAsia="Calibri" w:cs="Arial"/>
          <w:sz w:val="22"/>
          <w:szCs w:val="22"/>
          <w:lang w:val="es-CO" w:eastAsia="en-US"/>
        </w:rPr>
        <w:t>La regulación normativa en materia de contratación estatal determinó la necesidad de implementar, como etapa obligatoria, la audiencia de distribución de riesgos, en desarrollo de la cual</w:t>
      </w:r>
      <w:r w:rsidRPr="0072172B">
        <w:rPr>
          <w:rFonts w:cs="Arial"/>
          <w:sz w:val="22"/>
          <w:szCs w:val="22"/>
        </w:rPr>
        <w:t xml:space="preserve"> las entidades estatales tienen el deber legal de elaborar con precisión la identificación, tipificación y asignación de riesgos, asunto sobre el cual no sobra subrayar que dicha actividad debe sujetarse a un criterio de justicia y equidad, al tiempo que corresponde ejercerse con apego a los principios y reglas constitucionales y legales que orientan la actividad contractual del Estado. Incluso, desde antes de la expedición de la referida preceptiva, a la luz de los dictados de la Ley 80 de 1993, por vía de la interpretación a los alcances de lo dispuesto por el numeral 5 del artículo 24, se avizoraba que cualquier esquema de distribución de riesgos en el campo contractual del Estado debía contener previsiones y reglas justas, claras y objetivas que permitieran ofrecimientos de la misma índole. De igual forma, se habrían de definir con exactitud las condiciones de costo y calidad de los bienes necesarios para la ejecución del contrato, no se incluirían condiciones y exigencias de imposible cumplimiento y no se establecerían reglas que permitieran ofrecimientos de extensión ilimitada.</w:t>
      </w:r>
    </w:p>
    <w:p w:rsidR="001B497C" w:rsidRPr="0072172B" w:rsidRDefault="001B497C" w:rsidP="009F1882">
      <w:pPr>
        <w:spacing w:line="240" w:lineRule="auto"/>
        <w:rPr>
          <w:rFonts w:cs="Arial"/>
          <w:sz w:val="22"/>
          <w:szCs w:val="22"/>
        </w:rPr>
      </w:pPr>
    </w:p>
    <w:p w:rsidR="001B497C" w:rsidRPr="0072172B" w:rsidRDefault="001B497C" w:rsidP="009F1882">
      <w:pPr>
        <w:spacing w:line="240" w:lineRule="auto"/>
        <w:rPr>
          <w:rFonts w:cs="Arial"/>
          <w:b/>
          <w:sz w:val="22"/>
          <w:szCs w:val="22"/>
        </w:rPr>
      </w:pPr>
      <w:r w:rsidRPr="0072172B">
        <w:rPr>
          <w:rFonts w:cs="Arial"/>
          <w:b/>
          <w:sz w:val="22"/>
          <w:szCs w:val="22"/>
        </w:rPr>
        <w:t xml:space="preserve">SISTEMA DE DISTRIBUCIÓN DE RIESGOS – No se deriva directamente de la voluntad exclusiva de la entidad contratante </w:t>
      </w:r>
    </w:p>
    <w:p w:rsidR="001B497C" w:rsidRPr="0072172B" w:rsidRDefault="001B497C" w:rsidP="009F1882">
      <w:pPr>
        <w:spacing w:line="240" w:lineRule="auto"/>
        <w:rPr>
          <w:rFonts w:cs="Arial"/>
          <w:sz w:val="22"/>
          <w:szCs w:val="22"/>
        </w:rPr>
      </w:pPr>
    </w:p>
    <w:p w:rsidR="001B497C" w:rsidRPr="0072172B" w:rsidRDefault="001B497C" w:rsidP="009F1882">
      <w:pPr>
        <w:pStyle w:val="NormalWeb"/>
        <w:spacing w:before="0" w:beforeAutospacing="0" w:after="0" w:afterAutospacing="0" w:line="240" w:lineRule="auto"/>
        <w:rPr>
          <w:rFonts w:cs="Arial"/>
          <w:sz w:val="22"/>
          <w:szCs w:val="22"/>
        </w:rPr>
      </w:pPr>
      <w:r w:rsidRPr="0072172B">
        <w:rPr>
          <w:rFonts w:cs="Arial"/>
          <w:sz w:val="22"/>
          <w:szCs w:val="22"/>
        </w:rPr>
        <w:t xml:space="preserve">Tampoco resultaría ajustado a derecho atender a un sistema de distribución de riesgos cuya materialización se derivara directamente de la voluntad exclusiva de la entidad contratante y que tuviera la virtualidad de afectar la normal ejecución del contrato. Tal sería el caso de los supuestos de incumplimiento contractual o de la ocurrencia de circunstancias constitutivas de ruptura del equilibrio económico del contrato originadas en la actuación de la Administración contratante como se presentaría en los eventos del ejercicio del </w:t>
      </w:r>
      <w:r w:rsidRPr="0072172B">
        <w:rPr>
          <w:rFonts w:cs="Arial"/>
          <w:i/>
          <w:sz w:val="22"/>
          <w:szCs w:val="22"/>
        </w:rPr>
        <w:t xml:space="preserve">ius variandi </w:t>
      </w:r>
      <w:r w:rsidRPr="0072172B">
        <w:rPr>
          <w:rFonts w:cs="Arial"/>
          <w:sz w:val="22"/>
          <w:szCs w:val="22"/>
        </w:rPr>
        <w:t xml:space="preserve">o del hecho del príncipe. </w:t>
      </w:r>
    </w:p>
    <w:p w:rsidR="001B497C" w:rsidRPr="0072172B" w:rsidRDefault="001B497C" w:rsidP="009F1882">
      <w:pPr>
        <w:spacing w:line="240" w:lineRule="auto"/>
        <w:rPr>
          <w:rFonts w:cs="Arial"/>
          <w:sz w:val="22"/>
          <w:szCs w:val="22"/>
        </w:rPr>
      </w:pPr>
    </w:p>
    <w:p w:rsidR="001B497C" w:rsidRPr="0072172B" w:rsidRDefault="001B497C" w:rsidP="009F1882">
      <w:pPr>
        <w:spacing w:line="240" w:lineRule="auto"/>
        <w:rPr>
          <w:rFonts w:cs="Arial"/>
          <w:b/>
          <w:sz w:val="22"/>
          <w:szCs w:val="22"/>
        </w:rPr>
      </w:pPr>
      <w:r w:rsidRPr="0072172B">
        <w:rPr>
          <w:rFonts w:cs="Arial"/>
          <w:b/>
          <w:sz w:val="22"/>
          <w:szCs w:val="22"/>
        </w:rPr>
        <w:t xml:space="preserve">ELABORACIÓN DE LA MATRIZ DE RIESGOS - Relación con la estructuración del precio del acuerdo </w:t>
      </w:r>
    </w:p>
    <w:p w:rsidR="001B497C" w:rsidRPr="0072172B" w:rsidRDefault="001B497C" w:rsidP="009F1882">
      <w:pPr>
        <w:spacing w:line="240" w:lineRule="auto"/>
        <w:rPr>
          <w:rFonts w:cs="Arial"/>
          <w:sz w:val="22"/>
          <w:szCs w:val="22"/>
        </w:rPr>
      </w:pPr>
    </w:p>
    <w:p w:rsidR="001B497C" w:rsidRPr="0072172B" w:rsidRDefault="001B497C" w:rsidP="009F1882">
      <w:pPr>
        <w:spacing w:line="240" w:lineRule="auto"/>
        <w:rPr>
          <w:rFonts w:eastAsia="Calibri" w:cs="Arial"/>
          <w:sz w:val="22"/>
          <w:szCs w:val="22"/>
          <w:lang w:val="es-CO" w:eastAsia="en-US"/>
        </w:rPr>
      </w:pPr>
      <w:r w:rsidRPr="0072172B">
        <w:rPr>
          <w:rFonts w:eastAsia="Calibri" w:cs="Arial"/>
          <w:sz w:val="22"/>
          <w:szCs w:val="22"/>
          <w:lang w:val="es-CO" w:eastAsia="en-US"/>
        </w:rPr>
        <w:t xml:space="preserve">Ahora bien, definidos como están los lineamientos y parámetros que debe consultar el diseño de la correspondiente matriz de riesgos llamados a regir la vía del contrato, se impone agregar que su elaboración necesariamente se halla vinculada de manera estrecha y casi que interdependiente a la estructuración del precio del acuerdo. No puede pasarse por alto que el componente económico del contrato debe consultar la asunción previa del riesgo y naturalmente debe atender a su estimación, en tanto la finalidad de su asignación estriba en que quien lo asuma incorpore en el precio ofrecido los rubros dirigidos a contener los efectos nocivos de su ocurrencia. De lo contrario, la distribución de riesgos constituiría un despropósito a la hora de afrontar una contingencia. </w:t>
      </w:r>
    </w:p>
    <w:p w:rsidR="001B497C" w:rsidRPr="0072172B" w:rsidRDefault="001B497C" w:rsidP="009F1882">
      <w:pPr>
        <w:spacing w:line="240" w:lineRule="auto"/>
        <w:rPr>
          <w:rFonts w:eastAsia="Calibri" w:cs="Arial"/>
          <w:sz w:val="22"/>
          <w:szCs w:val="22"/>
          <w:lang w:val="es-CO" w:eastAsia="en-US"/>
        </w:rPr>
      </w:pPr>
    </w:p>
    <w:p w:rsidR="001B497C" w:rsidRPr="0072172B" w:rsidRDefault="00CC086A" w:rsidP="009F1882">
      <w:pPr>
        <w:spacing w:line="240" w:lineRule="auto"/>
        <w:rPr>
          <w:rFonts w:eastAsia="Calibri" w:cs="Arial"/>
          <w:sz w:val="22"/>
          <w:szCs w:val="22"/>
          <w:lang w:val="es-CO" w:eastAsia="en-US"/>
        </w:rPr>
      </w:pPr>
      <w:r>
        <w:rPr>
          <w:rFonts w:eastAsia="Calibri" w:cs="Arial"/>
          <w:b/>
          <w:sz w:val="22"/>
          <w:szCs w:val="22"/>
          <w:lang w:val="es-CO" w:eastAsia="en-US"/>
        </w:rPr>
        <w:lastRenderedPageBreak/>
        <w:t>EQUILIBRIO</w:t>
      </w:r>
      <w:r w:rsidR="001B497C" w:rsidRPr="0072172B">
        <w:rPr>
          <w:rFonts w:eastAsia="Calibri" w:cs="Arial"/>
          <w:b/>
          <w:sz w:val="22"/>
          <w:szCs w:val="22"/>
          <w:lang w:val="es-CO" w:eastAsia="en-US"/>
        </w:rPr>
        <w:t xml:space="preserve"> ECONÓMICO DEL CONTRATO </w:t>
      </w:r>
      <w:r w:rsidR="00127E98" w:rsidRPr="0072172B">
        <w:rPr>
          <w:rFonts w:eastAsia="Calibri" w:cs="Arial"/>
          <w:b/>
          <w:sz w:val="22"/>
          <w:szCs w:val="22"/>
          <w:lang w:val="es-CO" w:eastAsia="en-US"/>
        </w:rPr>
        <w:t>–</w:t>
      </w:r>
      <w:r w:rsidR="00127E98" w:rsidRPr="0072172B">
        <w:rPr>
          <w:rFonts w:eastAsia="Calibri" w:cs="Arial"/>
          <w:sz w:val="22"/>
          <w:szCs w:val="22"/>
          <w:lang w:val="es-CO" w:eastAsia="en-US"/>
        </w:rPr>
        <w:t xml:space="preserve"> </w:t>
      </w:r>
      <w:r w:rsidR="00127E98" w:rsidRPr="0072172B">
        <w:rPr>
          <w:rFonts w:eastAsia="Calibri" w:cs="Arial"/>
          <w:b/>
          <w:sz w:val="22"/>
          <w:szCs w:val="22"/>
          <w:lang w:val="es-CO" w:eastAsia="en-US"/>
        </w:rPr>
        <w:t>Desbalance de la carga prestacional de las condiciones del negocio jurídico – Riesgo</w:t>
      </w:r>
      <w:r w:rsidR="00127E98" w:rsidRPr="0072172B">
        <w:rPr>
          <w:rFonts w:eastAsia="Calibri" w:cs="Arial"/>
          <w:sz w:val="22"/>
          <w:szCs w:val="22"/>
          <w:lang w:val="es-CO" w:eastAsia="en-US"/>
        </w:rPr>
        <w:t xml:space="preserve"> </w:t>
      </w:r>
    </w:p>
    <w:p w:rsidR="00127E98" w:rsidRPr="0072172B" w:rsidRDefault="00127E98" w:rsidP="009F1882">
      <w:pPr>
        <w:spacing w:line="240" w:lineRule="auto"/>
        <w:rPr>
          <w:rFonts w:eastAsia="Calibri" w:cs="Arial"/>
          <w:sz w:val="22"/>
          <w:szCs w:val="22"/>
          <w:lang w:val="es-CO" w:eastAsia="en-US"/>
        </w:rPr>
      </w:pPr>
    </w:p>
    <w:p w:rsidR="00127E98" w:rsidRPr="0072172B" w:rsidRDefault="00127E98" w:rsidP="009F1882">
      <w:pPr>
        <w:spacing w:line="240" w:lineRule="auto"/>
        <w:rPr>
          <w:rFonts w:eastAsia="Calibri" w:cs="Arial"/>
          <w:sz w:val="22"/>
          <w:szCs w:val="22"/>
          <w:lang w:val="es-CO" w:eastAsia="en-US"/>
        </w:rPr>
      </w:pPr>
      <w:r w:rsidRPr="0072172B">
        <w:rPr>
          <w:rFonts w:eastAsia="Calibri" w:cs="Arial"/>
          <w:sz w:val="22"/>
          <w:szCs w:val="22"/>
          <w:lang w:val="es-CO" w:eastAsia="en-US"/>
        </w:rPr>
        <w:t>Resulta que el desequilibrio económico del contrato comporta el desbalance de la carga prestacional en las condiciones pactadas al suscribir el negocio jurídico, de suerte tal que al concebir el riesgo asumid</w:t>
      </w:r>
      <w:bookmarkStart w:id="0" w:name="_GoBack"/>
      <w:bookmarkEnd w:id="0"/>
      <w:r w:rsidRPr="0072172B">
        <w:rPr>
          <w:rFonts w:eastAsia="Calibri" w:cs="Arial"/>
          <w:sz w:val="22"/>
          <w:szCs w:val="22"/>
          <w:lang w:val="es-CO" w:eastAsia="en-US"/>
        </w:rPr>
        <w:t xml:space="preserve">o como parte integral de esas condiciones convenidas de inicio por las partes, su concreción dentro del margen acordado y aceptado no habría de tener vocación para impactarlas negativamente. Por contera, si el riesgo que acontece se enmarca dentro de los linderos de la respectiva tipificación, valoración y asignación, no habrá lugar a alegar la ruptura del equilibrio económico del contrato por cuenta de su ocurrencia, bajo la comprensión de que el mismo ya fue cubierto por la respectiva matriz y corresponderá asumirlo a quien allí se haya dispuesto en la estimación acordada. </w:t>
      </w:r>
    </w:p>
    <w:p w:rsidR="00127E98" w:rsidRPr="0072172B" w:rsidRDefault="00127E98" w:rsidP="009F1882">
      <w:pPr>
        <w:spacing w:line="240" w:lineRule="auto"/>
        <w:rPr>
          <w:rFonts w:eastAsia="Calibri" w:cs="Arial"/>
          <w:sz w:val="22"/>
          <w:szCs w:val="22"/>
          <w:lang w:val="es-CO" w:eastAsia="en-US"/>
        </w:rPr>
      </w:pPr>
    </w:p>
    <w:p w:rsidR="00127E98" w:rsidRPr="0072172B" w:rsidRDefault="009F1882" w:rsidP="009F1882">
      <w:pPr>
        <w:spacing w:line="240" w:lineRule="auto"/>
        <w:rPr>
          <w:rFonts w:eastAsia="Calibri" w:cs="Arial"/>
          <w:b/>
          <w:sz w:val="22"/>
          <w:szCs w:val="22"/>
          <w:lang w:val="es-CO" w:eastAsia="en-US"/>
        </w:rPr>
      </w:pPr>
      <w:r w:rsidRPr="0072172B">
        <w:rPr>
          <w:rFonts w:eastAsia="Calibri" w:cs="Arial"/>
          <w:b/>
          <w:sz w:val="22"/>
          <w:szCs w:val="22"/>
          <w:lang w:val="es-CO" w:eastAsia="en-US"/>
        </w:rPr>
        <w:t>MAYORES CANTIDADES DE OBRA - Concepto</w:t>
      </w:r>
    </w:p>
    <w:p w:rsidR="009F1882" w:rsidRPr="0072172B" w:rsidRDefault="009F1882" w:rsidP="009F1882">
      <w:pPr>
        <w:spacing w:line="240" w:lineRule="auto"/>
        <w:rPr>
          <w:rFonts w:eastAsia="Calibri" w:cs="Arial"/>
          <w:sz w:val="22"/>
          <w:szCs w:val="22"/>
          <w:lang w:val="es-CO" w:eastAsia="en-US"/>
        </w:rPr>
      </w:pPr>
    </w:p>
    <w:p w:rsidR="009F1882" w:rsidRPr="0072172B" w:rsidRDefault="009F1882" w:rsidP="009F1882">
      <w:pPr>
        <w:spacing w:line="240" w:lineRule="auto"/>
        <w:ind w:right="-1"/>
        <w:rPr>
          <w:rFonts w:cs="Arial"/>
          <w:sz w:val="22"/>
          <w:szCs w:val="22"/>
        </w:rPr>
      </w:pPr>
      <w:r w:rsidRPr="0072172B">
        <w:rPr>
          <w:rFonts w:cs="Arial"/>
          <w:sz w:val="22"/>
          <w:szCs w:val="22"/>
        </w:rPr>
        <w:t xml:space="preserve">La Sala recuerda que el concepto de mayores cantidades de obra responde a la ejecución de unos ítems que sí han sido contemplados inicialmente en el contrato, solo que en cantidades inferiores. </w:t>
      </w:r>
    </w:p>
    <w:p w:rsidR="009F1882" w:rsidRPr="0072172B" w:rsidRDefault="009F1882" w:rsidP="009F1882">
      <w:pPr>
        <w:spacing w:line="240" w:lineRule="auto"/>
        <w:rPr>
          <w:rFonts w:eastAsia="Calibri" w:cs="Arial"/>
          <w:sz w:val="22"/>
          <w:szCs w:val="22"/>
          <w:lang w:val="es-CO" w:eastAsia="en-US"/>
        </w:rPr>
      </w:pPr>
    </w:p>
    <w:p w:rsidR="009F1882" w:rsidRPr="0072172B" w:rsidRDefault="009F1882" w:rsidP="009F1882">
      <w:pPr>
        <w:spacing w:line="240" w:lineRule="auto"/>
        <w:rPr>
          <w:rFonts w:eastAsia="Calibri" w:cs="Arial"/>
          <w:sz w:val="22"/>
          <w:szCs w:val="22"/>
          <w:lang w:val="es-CO" w:eastAsia="en-US"/>
        </w:rPr>
      </w:pPr>
      <w:r w:rsidRPr="0072172B">
        <w:rPr>
          <w:rFonts w:eastAsia="Calibri" w:cs="Arial"/>
          <w:b/>
          <w:sz w:val="22"/>
          <w:szCs w:val="22"/>
          <w:lang w:val="es-CO" w:eastAsia="en-US"/>
        </w:rPr>
        <w:t>COSTAS – Condena</w:t>
      </w:r>
      <w:r w:rsidRPr="0072172B">
        <w:rPr>
          <w:rFonts w:eastAsia="Calibri" w:cs="Arial"/>
          <w:sz w:val="22"/>
          <w:szCs w:val="22"/>
          <w:lang w:val="es-CO" w:eastAsia="en-US"/>
        </w:rPr>
        <w:t xml:space="preserve"> </w:t>
      </w:r>
    </w:p>
    <w:p w:rsidR="00127E98" w:rsidRPr="0072172B" w:rsidRDefault="00127E98" w:rsidP="009F1882">
      <w:pPr>
        <w:spacing w:line="240" w:lineRule="auto"/>
        <w:rPr>
          <w:rFonts w:eastAsia="Calibri" w:cs="Arial"/>
          <w:sz w:val="22"/>
          <w:szCs w:val="22"/>
          <w:lang w:val="es-CO" w:eastAsia="en-US"/>
        </w:rPr>
      </w:pPr>
    </w:p>
    <w:p w:rsidR="00AB437B" w:rsidRPr="0072172B" w:rsidRDefault="009F1882" w:rsidP="009F1882">
      <w:pPr>
        <w:spacing w:line="240" w:lineRule="auto"/>
        <w:rPr>
          <w:rFonts w:cs="Arial"/>
          <w:sz w:val="22"/>
          <w:szCs w:val="22"/>
        </w:rPr>
      </w:pPr>
      <w:r w:rsidRPr="0072172B">
        <w:rPr>
          <w:rFonts w:cs="Arial"/>
          <w:sz w:val="22"/>
          <w:szCs w:val="22"/>
        </w:rPr>
        <w:t>El aspecto de las costas se encuentra regulado por el artículo 267 del C.P.A.C.A., en cuyo contenido se establece que “</w:t>
      </w:r>
      <w:r w:rsidRPr="0072172B">
        <w:rPr>
          <w:rFonts w:cs="Arial"/>
          <w:color w:val="000000"/>
          <w:sz w:val="22"/>
          <w:szCs w:val="22"/>
          <w:shd w:val="clear" w:color="auto" w:fill="FFFFFF"/>
        </w:rPr>
        <w:t xml:space="preserve">Si prospera el recurso, total o parcialmente, la sala anulará, en lo pertinente, la providencia recurrida y dictará la que deba reemplazarla o adoptará las decisiones que correspondan. Si el recurso es desestimado, se condenará en costas al recurrente”. Adicionalmente, el artículo 188 de ese mismo Estatuto consagra que “la sentencia dispondrá sobre la condena en costas, cuya liquidación y ejecución se regirán por las normas del Código de Procedimiento Civil”. </w:t>
      </w:r>
      <w:r w:rsidRPr="0072172B">
        <w:rPr>
          <w:rFonts w:cs="Arial"/>
          <w:sz w:val="22"/>
          <w:szCs w:val="22"/>
        </w:rPr>
        <w:t>De esta manera, con independencia de la buena fe con que las partes hubieran obrado en el presente recurso, el extremo recurrente habrá de ser condenado en costas en favor del demandado. En primer lugar, por cuanto apoyó la alzada en argumentos que han sido desestimados y, en segundo, debido a que no obstante que la defensa no desplegó en esta instancia actuación alguna, en todo caso por cuenta de la interposición de la alzada el proceso se prolongó por un término superior, lo que condujo a que, al menos, la vigilancia procesal ejercida sobre el mismo se extendiera en el tiempo.</w:t>
      </w:r>
    </w:p>
    <w:p w:rsidR="00CA3EAB" w:rsidRPr="00CA3EAB" w:rsidRDefault="00CA3EAB" w:rsidP="00CC27CF">
      <w:pPr>
        <w:spacing w:line="240" w:lineRule="auto"/>
        <w:rPr>
          <w:rFonts w:cs="Arial"/>
        </w:rPr>
      </w:pPr>
    </w:p>
    <w:p w:rsidR="002C4E8A" w:rsidRPr="00941576" w:rsidRDefault="002C4E8A" w:rsidP="00CC27CF">
      <w:pPr>
        <w:spacing w:line="240" w:lineRule="auto"/>
        <w:rPr>
          <w:rFonts w:cs="Arial"/>
          <w:b/>
        </w:rPr>
      </w:pPr>
    </w:p>
    <w:p w:rsidR="00C85395" w:rsidRPr="00941576" w:rsidRDefault="00C85395" w:rsidP="00BA037E">
      <w:pPr>
        <w:spacing w:line="240" w:lineRule="auto"/>
        <w:jc w:val="center"/>
        <w:rPr>
          <w:rFonts w:cs="Arial"/>
          <w:b/>
        </w:rPr>
      </w:pPr>
      <w:r w:rsidRPr="00941576">
        <w:rPr>
          <w:rFonts w:cs="Arial"/>
          <w:b/>
        </w:rPr>
        <w:t>CONSEJO DE ESTADO</w:t>
      </w:r>
    </w:p>
    <w:p w:rsidR="00BA037E" w:rsidRPr="00941576" w:rsidRDefault="00BA037E" w:rsidP="00BA037E">
      <w:pPr>
        <w:spacing w:line="240" w:lineRule="auto"/>
        <w:jc w:val="center"/>
        <w:rPr>
          <w:rFonts w:cs="Arial"/>
          <w:b/>
        </w:rPr>
      </w:pPr>
    </w:p>
    <w:p w:rsidR="00C85395" w:rsidRPr="00941576" w:rsidRDefault="00C85395" w:rsidP="00BA037E">
      <w:pPr>
        <w:spacing w:line="240" w:lineRule="auto"/>
        <w:jc w:val="center"/>
        <w:rPr>
          <w:rFonts w:cs="Arial"/>
          <w:b/>
        </w:rPr>
      </w:pPr>
      <w:r w:rsidRPr="00941576">
        <w:rPr>
          <w:rFonts w:cs="Arial"/>
          <w:b/>
        </w:rPr>
        <w:t>SALA DE LO CONTENCIOSO ADMINISTRATIVO</w:t>
      </w:r>
    </w:p>
    <w:p w:rsidR="00BA037E" w:rsidRPr="00941576" w:rsidRDefault="00BA037E" w:rsidP="00BA037E">
      <w:pPr>
        <w:spacing w:line="240" w:lineRule="auto"/>
        <w:jc w:val="center"/>
        <w:rPr>
          <w:rFonts w:cs="Arial"/>
          <w:b/>
        </w:rPr>
      </w:pPr>
    </w:p>
    <w:p w:rsidR="00BA037E" w:rsidRPr="00941576" w:rsidRDefault="000E6697" w:rsidP="00BA037E">
      <w:pPr>
        <w:spacing w:line="240" w:lineRule="auto"/>
        <w:jc w:val="center"/>
        <w:rPr>
          <w:rFonts w:cs="Arial"/>
          <w:b/>
        </w:rPr>
      </w:pPr>
      <w:r w:rsidRPr="00941576">
        <w:rPr>
          <w:rFonts w:cs="Arial"/>
          <w:b/>
        </w:rPr>
        <w:t>SECCIÓ</w:t>
      </w:r>
      <w:r w:rsidR="00C85395" w:rsidRPr="00941576">
        <w:rPr>
          <w:rFonts w:cs="Arial"/>
          <w:b/>
        </w:rPr>
        <w:t>N TERCERA</w:t>
      </w:r>
    </w:p>
    <w:p w:rsidR="00BA037E" w:rsidRPr="00941576" w:rsidRDefault="00BA037E" w:rsidP="00BA037E">
      <w:pPr>
        <w:spacing w:line="240" w:lineRule="auto"/>
        <w:jc w:val="center"/>
        <w:rPr>
          <w:rFonts w:cs="Arial"/>
          <w:b/>
        </w:rPr>
      </w:pPr>
    </w:p>
    <w:p w:rsidR="00C85395" w:rsidRPr="00941576" w:rsidRDefault="000E6697" w:rsidP="00BA037E">
      <w:pPr>
        <w:spacing w:line="240" w:lineRule="auto"/>
        <w:jc w:val="center"/>
        <w:rPr>
          <w:rFonts w:cs="Arial"/>
          <w:b/>
        </w:rPr>
      </w:pPr>
      <w:r w:rsidRPr="00941576">
        <w:rPr>
          <w:rFonts w:cs="Arial"/>
          <w:b/>
        </w:rPr>
        <w:t>SUBSECCIÓ</w:t>
      </w:r>
      <w:r w:rsidR="009479F7" w:rsidRPr="00941576">
        <w:rPr>
          <w:rFonts w:cs="Arial"/>
          <w:b/>
        </w:rPr>
        <w:t>N A</w:t>
      </w:r>
    </w:p>
    <w:p w:rsidR="0009687C" w:rsidRPr="00941576" w:rsidRDefault="0009687C" w:rsidP="00BA037E">
      <w:pPr>
        <w:pStyle w:val="Encabezado"/>
        <w:spacing w:line="240" w:lineRule="auto"/>
        <w:jc w:val="center"/>
        <w:rPr>
          <w:rFonts w:cs="Arial"/>
          <w:b/>
          <w:szCs w:val="24"/>
          <w:lang w:val="es-CO"/>
        </w:rPr>
      </w:pPr>
    </w:p>
    <w:p w:rsidR="00C85395" w:rsidRPr="00941576" w:rsidRDefault="00C85395" w:rsidP="00BA037E">
      <w:pPr>
        <w:pStyle w:val="Encabezado"/>
        <w:spacing w:line="240" w:lineRule="auto"/>
        <w:jc w:val="center"/>
        <w:rPr>
          <w:rFonts w:cs="Arial"/>
          <w:spacing w:val="-3"/>
          <w:szCs w:val="24"/>
          <w:lang w:val="es-CO"/>
        </w:rPr>
      </w:pPr>
      <w:r w:rsidRPr="00941576">
        <w:rPr>
          <w:rFonts w:cs="Arial"/>
          <w:b/>
          <w:szCs w:val="24"/>
          <w:lang w:val="es-CO"/>
        </w:rPr>
        <w:t>Consej</w:t>
      </w:r>
      <w:r w:rsidR="00F556DB" w:rsidRPr="00941576">
        <w:rPr>
          <w:rFonts w:cs="Arial"/>
          <w:b/>
          <w:szCs w:val="24"/>
          <w:lang w:val="es-CO"/>
        </w:rPr>
        <w:t>er</w:t>
      </w:r>
      <w:r w:rsidR="007A5146" w:rsidRPr="00941576">
        <w:rPr>
          <w:rFonts w:cs="Arial"/>
          <w:b/>
          <w:szCs w:val="24"/>
          <w:lang w:val="es-CO"/>
        </w:rPr>
        <w:t>a</w:t>
      </w:r>
      <w:r w:rsidR="00F556DB" w:rsidRPr="00941576">
        <w:rPr>
          <w:rFonts w:cs="Arial"/>
          <w:b/>
          <w:szCs w:val="24"/>
          <w:lang w:val="es-CO"/>
        </w:rPr>
        <w:t xml:space="preserve"> ponente: </w:t>
      </w:r>
      <w:r w:rsidR="00CC29BA" w:rsidRPr="00941576">
        <w:rPr>
          <w:rFonts w:cs="Arial"/>
          <w:b/>
          <w:szCs w:val="24"/>
          <w:lang w:val="es-CO"/>
        </w:rPr>
        <w:t>MARTA NUBIA VELÁSQUEZ RICO</w:t>
      </w:r>
    </w:p>
    <w:p w:rsidR="0009687C" w:rsidRPr="00941576" w:rsidRDefault="0009687C" w:rsidP="00BA037E">
      <w:pPr>
        <w:spacing w:line="240" w:lineRule="auto"/>
        <w:rPr>
          <w:rFonts w:cs="Arial"/>
        </w:rPr>
      </w:pPr>
    </w:p>
    <w:p w:rsidR="00F21484" w:rsidRPr="00941576" w:rsidRDefault="00F21484" w:rsidP="00BA037E">
      <w:pPr>
        <w:spacing w:line="240" w:lineRule="auto"/>
        <w:jc w:val="left"/>
        <w:rPr>
          <w:rFonts w:cs="Arial"/>
        </w:rPr>
      </w:pPr>
      <w:r w:rsidRPr="00941576">
        <w:rPr>
          <w:rFonts w:cs="Arial"/>
        </w:rPr>
        <w:t>B</w:t>
      </w:r>
      <w:r w:rsidR="00025C7D" w:rsidRPr="00941576">
        <w:rPr>
          <w:rFonts w:cs="Arial"/>
        </w:rPr>
        <w:t>ogotá</w:t>
      </w:r>
      <w:r w:rsidR="00BA037E" w:rsidRPr="00941576">
        <w:rPr>
          <w:rFonts w:cs="Arial"/>
        </w:rPr>
        <w:t>,</w:t>
      </w:r>
      <w:r w:rsidR="00025C7D" w:rsidRPr="00941576">
        <w:rPr>
          <w:rFonts w:cs="Arial"/>
        </w:rPr>
        <w:t xml:space="preserve"> D.C.,</w:t>
      </w:r>
      <w:r w:rsidR="009702FA" w:rsidRPr="00941576">
        <w:rPr>
          <w:rFonts w:cs="Arial"/>
        </w:rPr>
        <w:t xml:space="preserve"> </w:t>
      </w:r>
      <w:r w:rsidR="00844250" w:rsidRPr="00941576">
        <w:rPr>
          <w:rFonts w:cs="Arial"/>
        </w:rPr>
        <w:t>veintitrés (23) de marzo de dos mil diecisiete</w:t>
      </w:r>
      <w:r w:rsidR="005E20E6" w:rsidRPr="00941576">
        <w:rPr>
          <w:rFonts w:cs="Arial"/>
        </w:rPr>
        <w:t xml:space="preserve"> </w:t>
      </w:r>
      <w:r w:rsidR="006A6B29" w:rsidRPr="00941576">
        <w:rPr>
          <w:rFonts w:cs="Arial"/>
        </w:rPr>
        <w:t>(201</w:t>
      </w:r>
      <w:r w:rsidR="005E20E6" w:rsidRPr="00941576">
        <w:rPr>
          <w:rFonts w:cs="Arial"/>
        </w:rPr>
        <w:t>7</w:t>
      </w:r>
      <w:r w:rsidR="006A6B29" w:rsidRPr="00941576">
        <w:rPr>
          <w:rFonts w:cs="Arial"/>
        </w:rPr>
        <w:t>)</w:t>
      </w:r>
    </w:p>
    <w:p w:rsidR="00B0281D" w:rsidRPr="00941576" w:rsidRDefault="00B0281D" w:rsidP="00BA037E">
      <w:pPr>
        <w:spacing w:line="240" w:lineRule="auto"/>
        <w:rPr>
          <w:rFonts w:cs="Arial"/>
          <w:b/>
        </w:rPr>
      </w:pPr>
    </w:p>
    <w:p w:rsidR="00C95AFA" w:rsidRPr="00941576" w:rsidRDefault="005E20E6" w:rsidP="00BA037E">
      <w:pPr>
        <w:spacing w:line="240" w:lineRule="auto"/>
        <w:rPr>
          <w:rFonts w:cs="Arial"/>
          <w:b/>
        </w:rPr>
      </w:pPr>
      <w:r w:rsidRPr="00941576">
        <w:rPr>
          <w:rFonts w:cs="Arial"/>
          <w:b/>
        </w:rPr>
        <w:t>Radic</w:t>
      </w:r>
      <w:r w:rsidR="00BA037E" w:rsidRPr="00941576">
        <w:rPr>
          <w:rFonts w:cs="Arial"/>
          <w:b/>
        </w:rPr>
        <w:t xml:space="preserve">ación número: </w:t>
      </w:r>
      <w:r w:rsidR="00054435" w:rsidRPr="00941576">
        <w:rPr>
          <w:rFonts w:cs="Arial"/>
          <w:b/>
        </w:rPr>
        <w:t>08001</w:t>
      </w:r>
      <w:r w:rsidR="00BA037E" w:rsidRPr="00941576">
        <w:rPr>
          <w:rFonts w:cs="Arial"/>
          <w:b/>
        </w:rPr>
        <w:t>-</w:t>
      </w:r>
      <w:r w:rsidR="00054435" w:rsidRPr="00941576">
        <w:rPr>
          <w:rFonts w:cs="Arial"/>
          <w:b/>
        </w:rPr>
        <w:t>2</w:t>
      </w:r>
      <w:r w:rsidR="00775423" w:rsidRPr="00941576">
        <w:rPr>
          <w:rFonts w:cs="Arial"/>
          <w:b/>
        </w:rPr>
        <w:t>3</w:t>
      </w:r>
      <w:r w:rsidR="00BA037E" w:rsidRPr="00941576">
        <w:rPr>
          <w:rFonts w:cs="Arial"/>
          <w:b/>
        </w:rPr>
        <w:t>-</w:t>
      </w:r>
      <w:r w:rsidR="00775423" w:rsidRPr="00941576">
        <w:rPr>
          <w:rFonts w:cs="Arial"/>
          <w:b/>
        </w:rPr>
        <w:t>33</w:t>
      </w:r>
      <w:r w:rsidR="00BA037E" w:rsidRPr="00941576">
        <w:rPr>
          <w:rFonts w:cs="Arial"/>
          <w:b/>
        </w:rPr>
        <w:t>-</w:t>
      </w:r>
      <w:r w:rsidR="00775423" w:rsidRPr="00941576">
        <w:rPr>
          <w:rFonts w:cs="Arial"/>
          <w:b/>
        </w:rPr>
        <w:t>000</w:t>
      </w:r>
      <w:r w:rsidR="00BA037E" w:rsidRPr="00941576">
        <w:rPr>
          <w:rFonts w:cs="Arial"/>
          <w:b/>
        </w:rPr>
        <w:t>-</w:t>
      </w:r>
      <w:r w:rsidR="00775423" w:rsidRPr="00941576">
        <w:rPr>
          <w:rFonts w:cs="Arial"/>
          <w:b/>
        </w:rPr>
        <w:t>2013</w:t>
      </w:r>
      <w:r w:rsidR="00BA037E" w:rsidRPr="00941576">
        <w:rPr>
          <w:rFonts w:cs="Arial"/>
          <w:b/>
        </w:rPr>
        <w:t>-</w:t>
      </w:r>
      <w:r w:rsidR="00775423" w:rsidRPr="00941576">
        <w:rPr>
          <w:rFonts w:cs="Arial"/>
          <w:b/>
        </w:rPr>
        <w:t>00105</w:t>
      </w:r>
      <w:r w:rsidR="00BA037E" w:rsidRPr="00941576">
        <w:rPr>
          <w:rFonts w:cs="Arial"/>
          <w:b/>
        </w:rPr>
        <w:t>-</w:t>
      </w:r>
      <w:r w:rsidR="00775423" w:rsidRPr="00941576">
        <w:rPr>
          <w:rFonts w:cs="Arial"/>
          <w:b/>
        </w:rPr>
        <w:t>01(51526</w:t>
      </w:r>
      <w:r w:rsidR="00024662" w:rsidRPr="00941576">
        <w:rPr>
          <w:rFonts w:cs="Arial"/>
          <w:b/>
        </w:rPr>
        <w:t>)</w:t>
      </w:r>
    </w:p>
    <w:p w:rsidR="00BA037E" w:rsidRPr="00941576" w:rsidRDefault="00BA037E" w:rsidP="00BA037E">
      <w:pPr>
        <w:spacing w:line="240" w:lineRule="auto"/>
        <w:rPr>
          <w:rFonts w:cs="Arial"/>
          <w:b/>
        </w:rPr>
      </w:pPr>
    </w:p>
    <w:p w:rsidR="00024662" w:rsidRPr="00941576" w:rsidRDefault="00024662" w:rsidP="00BA037E">
      <w:pPr>
        <w:spacing w:line="240" w:lineRule="auto"/>
        <w:rPr>
          <w:rFonts w:cs="Arial"/>
          <w:b/>
        </w:rPr>
      </w:pPr>
      <w:r w:rsidRPr="00941576">
        <w:rPr>
          <w:rFonts w:cs="Arial"/>
          <w:b/>
        </w:rPr>
        <w:t xml:space="preserve">Actor: </w:t>
      </w:r>
      <w:r w:rsidR="00775423" w:rsidRPr="00941576">
        <w:rPr>
          <w:rFonts w:cs="Arial"/>
          <w:b/>
        </w:rPr>
        <w:t>CONSORCIO GAPA 2010</w:t>
      </w:r>
    </w:p>
    <w:p w:rsidR="00BA037E" w:rsidRPr="00941576" w:rsidRDefault="00BA037E" w:rsidP="00BA037E">
      <w:pPr>
        <w:spacing w:line="240" w:lineRule="auto"/>
        <w:rPr>
          <w:rFonts w:cs="Arial"/>
          <w:b/>
        </w:rPr>
      </w:pPr>
    </w:p>
    <w:p w:rsidR="00024662" w:rsidRPr="00941576" w:rsidRDefault="00BA037E" w:rsidP="00BA037E">
      <w:pPr>
        <w:spacing w:line="240" w:lineRule="auto"/>
        <w:rPr>
          <w:rFonts w:cs="Arial"/>
          <w:b/>
        </w:rPr>
      </w:pPr>
      <w:r w:rsidRPr="00941576">
        <w:rPr>
          <w:rFonts w:cs="Arial"/>
          <w:b/>
        </w:rPr>
        <w:t xml:space="preserve">Demandado: </w:t>
      </w:r>
      <w:r w:rsidR="00775423" w:rsidRPr="00941576">
        <w:rPr>
          <w:rFonts w:cs="Arial"/>
          <w:b/>
        </w:rPr>
        <w:t xml:space="preserve">MUNICIPIO DE GALAPA </w:t>
      </w:r>
    </w:p>
    <w:p w:rsidR="00BA037E" w:rsidRPr="00941576" w:rsidRDefault="00BA037E" w:rsidP="00BA037E">
      <w:pPr>
        <w:spacing w:line="240" w:lineRule="auto"/>
        <w:rPr>
          <w:rFonts w:cs="Arial"/>
          <w:b/>
        </w:rPr>
      </w:pPr>
    </w:p>
    <w:p w:rsidR="00BA037E" w:rsidRPr="00941576" w:rsidRDefault="00BA037E" w:rsidP="00BA037E">
      <w:pPr>
        <w:spacing w:line="240" w:lineRule="auto"/>
        <w:rPr>
          <w:rFonts w:cs="Arial"/>
          <w:b/>
        </w:rPr>
      </w:pPr>
    </w:p>
    <w:p w:rsidR="00BA037E" w:rsidRPr="00941576" w:rsidRDefault="00BA037E" w:rsidP="00BA037E">
      <w:pPr>
        <w:spacing w:line="240" w:lineRule="auto"/>
        <w:rPr>
          <w:rFonts w:cs="Arial"/>
          <w:b/>
        </w:rPr>
      </w:pPr>
    </w:p>
    <w:p w:rsidR="00556C0C" w:rsidRPr="00941576" w:rsidRDefault="00E81E18" w:rsidP="00BA037E">
      <w:pPr>
        <w:spacing w:line="240" w:lineRule="auto"/>
        <w:rPr>
          <w:rFonts w:cs="Arial"/>
          <w:b/>
        </w:rPr>
      </w:pPr>
      <w:r w:rsidRPr="00941576">
        <w:rPr>
          <w:rFonts w:cs="Arial"/>
          <w:b/>
        </w:rPr>
        <w:lastRenderedPageBreak/>
        <w:t xml:space="preserve">Referencia: </w:t>
      </w:r>
      <w:r w:rsidR="00BA037E" w:rsidRPr="00941576">
        <w:rPr>
          <w:rFonts w:cs="Arial"/>
          <w:b/>
        </w:rPr>
        <w:t xml:space="preserve">APELACIÓN SENTENCIA - </w:t>
      </w:r>
      <w:r w:rsidRPr="00941576">
        <w:rPr>
          <w:rFonts w:cs="Arial"/>
          <w:b/>
        </w:rPr>
        <w:t xml:space="preserve">MEDIO DE CONTROL DE CONTROVERSIAS </w:t>
      </w:r>
      <w:r w:rsidR="00D56A25" w:rsidRPr="00941576">
        <w:rPr>
          <w:rFonts w:cs="Arial"/>
          <w:b/>
        </w:rPr>
        <w:t>CONTRACTUAL</w:t>
      </w:r>
      <w:r w:rsidRPr="00941576">
        <w:rPr>
          <w:rFonts w:cs="Arial"/>
          <w:b/>
        </w:rPr>
        <w:t>ES</w:t>
      </w:r>
      <w:r w:rsidR="00022841" w:rsidRPr="00941576">
        <w:rPr>
          <w:rFonts w:cs="Arial"/>
          <w:b/>
        </w:rPr>
        <w:t xml:space="preserve"> (Ley 1437 de 2011)</w:t>
      </w:r>
    </w:p>
    <w:p w:rsidR="00556C0C" w:rsidRPr="00941576" w:rsidRDefault="00556C0C" w:rsidP="00BA037E">
      <w:pPr>
        <w:spacing w:line="240" w:lineRule="auto"/>
        <w:rPr>
          <w:rFonts w:cs="Arial"/>
          <w:b/>
        </w:rPr>
      </w:pPr>
    </w:p>
    <w:p w:rsidR="00556C0C" w:rsidRPr="00941576" w:rsidRDefault="00556C0C" w:rsidP="00BA037E">
      <w:pPr>
        <w:spacing w:line="240" w:lineRule="auto"/>
        <w:rPr>
          <w:rFonts w:cs="Arial"/>
          <w:b/>
        </w:rPr>
      </w:pPr>
    </w:p>
    <w:p w:rsidR="00F21484" w:rsidRPr="00941576" w:rsidRDefault="00F21484" w:rsidP="00BA037E">
      <w:pPr>
        <w:widowControl w:val="0"/>
        <w:autoSpaceDE w:val="0"/>
        <w:autoSpaceDN w:val="0"/>
        <w:adjustRightInd w:val="0"/>
        <w:spacing w:line="240" w:lineRule="auto"/>
        <w:rPr>
          <w:rFonts w:cs="Arial"/>
        </w:rPr>
      </w:pPr>
    </w:p>
    <w:p w:rsidR="00556C0C" w:rsidRPr="00941576" w:rsidRDefault="00C87C3A" w:rsidP="004117B7">
      <w:pPr>
        <w:widowControl w:val="0"/>
        <w:autoSpaceDE w:val="0"/>
        <w:autoSpaceDN w:val="0"/>
        <w:adjustRightInd w:val="0"/>
        <w:spacing w:line="240" w:lineRule="auto"/>
        <w:ind w:right="-1"/>
        <w:rPr>
          <w:rFonts w:cs="Arial"/>
        </w:rPr>
      </w:pPr>
      <w:r w:rsidRPr="00941576">
        <w:rPr>
          <w:rFonts w:cs="Arial"/>
        </w:rPr>
        <w:t xml:space="preserve">Temas: </w:t>
      </w:r>
      <w:r w:rsidR="004117B7" w:rsidRPr="00941576">
        <w:rPr>
          <w:rFonts w:cs="Arial"/>
        </w:rPr>
        <w:t>FUERZA V</w:t>
      </w:r>
      <w:r w:rsidR="002D79C6" w:rsidRPr="00941576">
        <w:rPr>
          <w:rFonts w:cs="Arial"/>
        </w:rPr>
        <w:t>INCULANTE DEL ACTA DE LIQUIDACIÓ</w:t>
      </w:r>
      <w:r w:rsidR="004117B7" w:rsidRPr="00941576">
        <w:rPr>
          <w:rFonts w:cs="Arial"/>
        </w:rPr>
        <w:t xml:space="preserve">N BILATERAL – debe suscribirse por la contratante </w:t>
      </w:r>
      <w:r w:rsidR="000712C0" w:rsidRPr="00941576">
        <w:rPr>
          <w:rFonts w:cs="Arial"/>
        </w:rPr>
        <w:t xml:space="preserve">/ </w:t>
      </w:r>
      <w:r w:rsidR="004117B7" w:rsidRPr="00941576">
        <w:rPr>
          <w:rFonts w:cs="Arial"/>
        </w:rPr>
        <w:t>EQUILIBRIO ECONÓMICO DEL CONTRATO EN EL ESC</w:t>
      </w:r>
      <w:r w:rsidR="00965A0A" w:rsidRPr="00941576">
        <w:rPr>
          <w:rFonts w:cs="Arial"/>
        </w:rPr>
        <w:t>ENARIO DE DISTRIBUCIÓ</w:t>
      </w:r>
      <w:r w:rsidR="004117B7" w:rsidRPr="00941576">
        <w:rPr>
          <w:rFonts w:cs="Arial"/>
        </w:rPr>
        <w:t xml:space="preserve">N DE RIESGOS </w:t>
      </w:r>
      <w:r w:rsidRPr="00941576">
        <w:rPr>
          <w:rFonts w:cs="Arial"/>
        </w:rPr>
        <w:t>–</w:t>
      </w:r>
      <w:r w:rsidR="004117B7" w:rsidRPr="00941576">
        <w:rPr>
          <w:rFonts w:cs="Arial"/>
        </w:rPr>
        <w:t xml:space="preserve"> Mayor permanencia en obra y mayores cantidades de obra.</w:t>
      </w:r>
    </w:p>
    <w:p w:rsidR="00556C0C" w:rsidRPr="00941576" w:rsidRDefault="00556C0C" w:rsidP="00535699">
      <w:pPr>
        <w:widowControl w:val="0"/>
        <w:autoSpaceDE w:val="0"/>
        <w:autoSpaceDN w:val="0"/>
        <w:adjustRightInd w:val="0"/>
        <w:spacing w:line="240" w:lineRule="auto"/>
        <w:ind w:left="2124" w:right="-1" w:hanging="2124"/>
        <w:rPr>
          <w:rFonts w:cs="Arial"/>
        </w:rPr>
      </w:pPr>
    </w:p>
    <w:p w:rsidR="005E20E6" w:rsidRPr="00941576" w:rsidRDefault="00662D01" w:rsidP="00B80517">
      <w:pPr>
        <w:widowControl w:val="0"/>
        <w:autoSpaceDE w:val="0"/>
        <w:autoSpaceDN w:val="0"/>
        <w:adjustRightInd w:val="0"/>
        <w:ind w:right="-1"/>
        <w:rPr>
          <w:rFonts w:cs="Arial"/>
        </w:rPr>
      </w:pPr>
      <w:r w:rsidRPr="00941576">
        <w:rPr>
          <w:rFonts w:cs="Arial"/>
        </w:rPr>
        <w:t>P</w:t>
      </w:r>
      <w:r w:rsidR="00367782" w:rsidRPr="00941576">
        <w:rPr>
          <w:rFonts w:cs="Arial"/>
        </w:rPr>
        <w:t>rocede la Sala a resolver el recurso de apelación interpuesto por la parte actora</w:t>
      </w:r>
      <w:r w:rsidR="008D63C8" w:rsidRPr="00941576">
        <w:rPr>
          <w:rFonts w:cs="Arial"/>
          <w:lang w:val="es-CO"/>
        </w:rPr>
        <w:t xml:space="preserve">, contra la sentencia proferida por el Tribunal Administrativo </w:t>
      </w:r>
      <w:r w:rsidR="00775423" w:rsidRPr="00941576">
        <w:rPr>
          <w:rFonts w:cs="Arial"/>
          <w:lang w:val="es-CO"/>
        </w:rPr>
        <w:t xml:space="preserve">Atlántico </w:t>
      </w:r>
      <w:r w:rsidR="008D63C8" w:rsidRPr="00941576">
        <w:rPr>
          <w:rFonts w:cs="Arial"/>
          <w:lang w:val="es-CO"/>
        </w:rPr>
        <w:t xml:space="preserve">el </w:t>
      </w:r>
      <w:r w:rsidR="00775423" w:rsidRPr="00941576">
        <w:rPr>
          <w:rFonts w:cs="Arial"/>
          <w:lang w:val="es-CO"/>
        </w:rPr>
        <w:t xml:space="preserve">quince </w:t>
      </w:r>
      <w:r w:rsidR="008D63C8" w:rsidRPr="00941576">
        <w:rPr>
          <w:rFonts w:cs="Arial"/>
          <w:lang w:val="es-CO"/>
        </w:rPr>
        <w:t>(</w:t>
      </w:r>
      <w:r w:rsidR="00775423" w:rsidRPr="00941576">
        <w:rPr>
          <w:rFonts w:cs="Arial"/>
          <w:lang w:val="es-CO"/>
        </w:rPr>
        <w:t>15</w:t>
      </w:r>
      <w:r w:rsidR="007E187D" w:rsidRPr="00941576">
        <w:rPr>
          <w:rFonts w:cs="Arial"/>
          <w:lang w:val="es-CO"/>
        </w:rPr>
        <w:t>)</w:t>
      </w:r>
      <w:r w:rsidR="008D63C8" w:rsidRPr="00941576">
        <w:rPr>
          <w:rFonts w:cs="Arial"/>
          <w:lang w:val="es-CO"/>
        </w:rPr>
        <w:t xml:space="preserve"> de </w:t>
      </w:r>
      <w:r w:rsidR="00775423" w:rsidRPr="00941576">
        <w:rPr>
          <w:rFonts w:cs="Arial"/>
          <w:lang w:val="es-CO"/>
        </w:rPr>
        <w:t xml:space="preserve">mayo </w:t>
      </w:r>
      <w:r w:rsidR="007E187D" w:rsidRPr="00941576">
        <w:rPr>
          <w:rFonts w:cs="Arial"/>
          <w:lang w:val="es-CO"/>
        </w:rPr>
        <w:t xml:space="preserve">de </w:t>
      </w:r>
      <w:r w:rsidR="008D63C8" w:rsidRPr="00941576">
        <w:rPr>
          <w:rFonts w:cs="Arial"/>
          <w:lang w:val="es-CO"/>
        </w:rPr>
        <w:t xml:space="preserve">dos mil </w:t>
      </w:r>
      <w:r w:rsidR="005E20E6" w:rsidRPr="00941576">
        <w:rPr>
          <w:rFonts w:cs="Arial"/>
          <w:lang w:val="es-CO"/>
        </w:rPr>
        <w:t>catorce</w:t>
      </w:r>
      <w:r w:rsidR="008D63C8" w:rsidRPr="00941576">
        <w:rPr>
          <w:rFonts w:cs="Arial"/>
          <w:lang w:val="es-CO"/>
        </w:rPr>
        <w:t xml:space="preserve"> (20</w:t>
      </w:r>
      <w:r w:rsidR="005E20E6" w:rsidRPr="00941576">
        <w:rPr>
          <w:rFonts w:cs="Arial"/>
          <w:lang w:val="es-CO"/>
        </w:rPr>
        <w:t>14</w:t>
      </w:r>
      <w:r w:rsidR="008D63C8" w:rsidRPr="00941576">
        <w:rPr>
          <w:rFonts w:cs="Arial"/>
          <w:lang w:val="es-CO"/>
        </w:rPr>
        <w:t>)</w:t>
      </w:r>
      <w:r w:rsidR="008D63C8" w:rsidRPr="00941576">
        <w:rPr>
          <w:rFonts w:cs="Arial"/>
        </w:rPr>
        <w:t xml:space="preserve">, mediante la cual se </w:t>
      </w:r>
      <w:r w:rsidR="00131111" w:rsidRPr="00941576">
        <w:rPr>
          <w:rFonts w:cs="Arial"/>
        </w:rPr>
        <w:t>dispuso</w:t>
      </w:r>
      <w:r w:rsidR="005E20E6" w:rsidRPr="00941576">
        <w:rPr>
          <w:rFonts w:cs="Arial"/>
        </w:rPr>
        <w:t xml:space="preserve">: </w:t>
      </w:r>
    </w:p>
    <w:p w:rsidR="005E20E6" w:rsidRPr="00941576" w:rsidRDefault="005E20E6" w:rsidP="00B80517">
      <w:pPr>
        <w:widowControl w:val="0"/>
        <w:autoSpaceDE w:val="0"/>
        <w:autoSpaceDN w:val="0"/>
        <w:adjustRightInd w:val="0"/>
        <w:ind w:right="-1"/>
        <w:rPr>
          <w:rFonts w:cs="Arial"/>
        </w:rPr>
      </w:pPr>
    </w:p>
    <w:p w:rsidR="00775423" w:rsidRPr="00941576" w:rsidRDefault="005E20E6" w:rsidP="00775423">
      <w:pPr>
        <w:widowControl w:val="0"/>
        <w:autoSpaceDE w:val="0"/>
        <w:autoSpaceDN w:val="0"/>
        <w:adjustRightInd w:val="0"/>
        <w:spacing w:line="276" w:lineRule="auto"/>
        <w:ind w:left="567" w:right="567"/>
        <w:rPr>
          <w:rFonts w:cs="Arial"/>
          <w:i/>
        </w:rPr>
      </w:pPr>
      <w:r w:rsidRPr="00941576">
        <w:rPr>
          <w:rFonts w:cs="Arial"/>
          <w:i/>
        </w:rPr>
        <w:t>“PRIMERO:</w:t>
      </w:r>
      <w:r w:rsidR="00775423" w:rsidRPr="00941576">
        <w:rPr>
          <w:rFonts w:cs="Arial"/>
          <w:i/>
        </w:rPr>
        <w:t xml:space="preserve"> DENIÉGANSE las pretensiones de la demanda.</w:t>
      </w:r>
    </w:p>
    <w:p w:rsidR="00775423" w:rsidRPr="00941576" w:rsidRDefault="00775423" w:rsidP="00775423">
      <w:pPr>
        <w:widowControl w:val="0"/>
        <w:autoSpaceDE w:val="0"/>
        <w:autoSpaceDN w:val="0"/>
        <w:adjustRightInd w:val="0"/>
        <w:spacing w:line="276" w:lineRule="auto"/>
        <w:ind w:left="567" w:right="567"/>
        <w:rPr>
          <w:rFonts w:cs="Arial"/>
          <w:i/>
        </w:rPr>
      </w:pPr>
    </w:p>
    <w:p w:rsidR="00775423" w:rsidRPr="00941576" w:rsidRDefault="00775423" w:rsidP="00775423">
      <w:pPr>
        <w:widowControl w:val="0"/>
        <w:autoSpaceDE w:val="0"/>
        <w:autoSpaceDN w:val="0"/>
        <w:adjustRightInd w:val="0"/>
        <w:spacing w:line="276" w:lineRule="auto"/>
        <w:ind w:left="567" w:right="567"/>
        <w:rPr>
          <w:rFonts w:cs="Arial"/>
          <w:i/>
        </w:rPr>
      </w:pPr>
      <w:r w:rsidRPr="00941576">
        <w:rPr>
          <w:rFonts w:cs="Arial"/>
          <w:i/>
        </w:rPr>
        <w:t>“SEGUNDO: Sin condena en costas (Art. 188 Ley 1437 de 2011).</w:t>
      </w:r>
    </w:p>
    <w:p w:rsidR="00775423" w:rsidRPr="00941576" w:rsidRDefault="00775423" w:rsidP="00775423">
      <w:pPr>
        <w:widowControl w:val="0"/>
        <w:autoSpaceDE w:val="0"/>
        <w:autoSpaceDN w:val="0"/>
        <w:adjustRightInd w:val="0"/>
        <w:spacing w:line="276" w:lineRule="auto"/>
        <w:ind w:left="567" w:right="567"/>
        <w:rPr>
          <w:rFonts w:cs="Arial"/>
          <w:i/>
        </w:rPr>
      </w:pPr>
    </w:p>
    <w:p w:rsidR="00775423" w:rsidRPr="00941576" w:rsidRDefault="00C24759" w:rsidP="00775423">
      <w:pPr>
        <w:widowControl w:val="0"/>
        <w:autoSpaceDE w:val="0"/>
        <w:autoSpaceDN w:val="0"/>
        <w:adjustRightInd w:val="0"/>
        <w:spacing w:line="276" w:lineRule="auto"/>
        <w:ind w:left="567" w:right="567"/>
        <w:rPr>
          <w:rFonts w:cs="Arial"/>
          <w:i/>
        </w:rPr>
      </w:pPr>
      <w:r w:rsidRPr="00941576">
        <w:rPr>
          <w:rFonts w:cs="Arial"/>
          <w:i/>
        </w:rPr>
        <w:t>“TERCERO: Reconó</w:t>
      </w:r>
      <w:r w:rsidR="00775423" w:rsidRPr="00941576">
        <w:rPr>
          <w:rFonts w:cs="Arial"/>
          <w:i/>
        </w:rPr>
        <w:t xml:space="preserve">cese personería al doctor Carlos Alberto Martínez </w:t>
      </w:r>
      <w:r w:rsidR="00E64032" w:rsidRPr="00941576">
        <w:rPr>
          <w:rFonts w:cs="Arial"/>
          <w:i/>
        </w:rPr>
        <w:t>Fernández</w:t>
      </w:r>
      <w:r w:rsidR="00775423" w:rsidRPr="00941576">
        <w:rPr>
          <w:rFonts w:cs="Arial"/>
          <w:i/>
        </w:rPr>
        <w:t>, como apoderado judicial del municipio de Galapa, en los t</w:t>
      </w:r>
      <w:r w:rsidR="00E64032" w:rsidRPr="00941576">
        <w:rPr>
          <w:rFonts w:cs="Arial"/>
          <w:i/>
        </w:rPr>
        <w:t>érminos y con las facultades del poder conferido”.</w:t>
      </w:r>
    </w:p>
    <w:p w:rsidR="00775423" w:rsidRPr="00941576" w:rsidRDefault="00775423" w:rsidP="00775423">
      <w:pPr>
        <w:widowControl w:val="0"/>
        <w:autoSpaceDE w:val="0"/>
        <w:autoSpaceDN w:val="0"/>
        <w:adjustRightInd w:val="0"/>
        <w:spacing w:line="276" w:lineRule="auto"/>
        <w:ind w:left="567" w:right="567"/>
        <w:rPr>
          <w:rFonts w:cs="Arial"/>
          <w:i/>
        </w:rPr>
      </w:pPr>
    </w:p>
    <w:p w:rsidR="00947BF9" w:rsidRPr="00941576" w:rsidRDefault="00947BF9" w:rsidP="00947BF9">
      <w:pPr>
        <w:widowControl w:val="0"/>
        <w:autoSpaceDE w:val="0"/>
        <w:autoSpaceDN w:val="0"/>
        <w:adjustRightInd w:val="0"/>
        <w:spacing w:line="276" w:lineRule="auto"/>
        <w:ind w:right="567"/>
        <w:rPr>
          <w:rFonts w:cs="Arial"/>
          <w:i/>
        </w:rPr>
      </w:pPr>
    </w:p>
    <w:p w:rsidR="00F21484" w:rsidRPr="00941576" w:rsidRDefault="00F21484" w:rsidP="00535699">
      <w:pPr>
        <w:widowControl w:val="0"/>
        <w:autoSpaceDE w:val="0"/>
        <w:autoSpaceDN w:val="0"/>
        <w:adjustRightInd w:val="0"/>
        <w:ind w:right="-1"/>
        <w:jc w:val="center"/>
        <w:rPr>
          <w:rFonts w:cs="Arial"/>
          <w:b/>
        </w:rPr>
      </w:pPr>
      <w:r w:rsidRPr="00941576">
        <w:rPr>
          <w:rFonts w:cs="Arial"/>
          <w:b/>
        </w:rPr>
        <w:t>I. A N T E C E D E N T E S</w:t>
      </w:r>
    </w:p>
    <w:p w:rsidR="00F00A7F" w:rsidRPr="00941576" w:rsidRDefault="00F00A7F" w:rsidP="00535699">
      <w:pPr>
        <w:ind w:right="-1"/>
        <w:rPr>
          <w:rFonts w:cs="Arial"/>
          <w:b/>
        </w:rPr>
      </w:pPr>
    </w:p>
    <w:p w:rsidR="00F21484" w:rsidRPr="00941576" w:rsidRDefault="00F21484" w:rsidP="00535699">
      <w:pPr>
        <w:ind w:right="-1"/>
        <w:rPr>
          <w:rFonts w:cs="Arial"/>
          <w:b/>
        </w:rPr>
      </w:pPr>
      <w:r w:rsidRPr="00941576">
        <w:rPr>
          <w:rFonts w:cs="Arial"/>
          <w:b/>
        </w:rPr>
        <w:t>1. La demanda</w:t>
      </w:r>
    </w:p>
    <w:p w:rsidR="00F21484" w:rsidRPr="00941576" w:rsidRDefault="00F21484" w:rsidP="00535699">
      <w:pPr>
        <w:widowControl w:val="0"/>
        <w:autoSpaceDE w:val="0"/>
        <w:autoSpaceDN w:val="0"/>
        <w:adjustRightInd w:val="0"/>
        <w:ind w:right="-1"/>
        <w:rPr>
          <w:rFonts w:cs="Arial"/>
        </w:rPr>
      </w:pPr>
    </w:p>
    <w:p w:rsidR="00B67145" w:rsidRPr="00941576" w:rsidRDefault="00022841" w:rsidP="007E2F97">
      <w:pPr>
        <w:ind w:right="-1"/>
        <w:contextualSpacing/>
        <w:rPr>
          <w:rFonts w:cs="Arial"/>
        </w:rPr>
      </w:pPr>
      <w:r w:rsidRPr="00941576">
        <w:rPr>
          <w:rFonts w:cs="Arial"/>
        </w:rPr>
        <w:t>La</w:t>
      </w:r>
      <w:r w:rsidR="00EA0EB1" w:rsidRPr="00941576">
        <w:rPr>
          <w:rFonts w:cs="Arial"/>
        </w:rPr>
        <w:t xml:space="preserve"> demanda </w:t>
      </w:r>
      <w:r w:rsidRPr="00941576">
        <w:rPr>
          <w:rFonts w:cs="Arial"/>
        </w:rPr>
        <w:t xml:space="preserve">con la que se inició este litigio fue </w:t>
      </w:r>
      <w:r w:rsidR="00EA0EB1" w:rsidRPr="00941576">
        <w:rPr>
          <w:rFonts w:cs="Arial"/>
        </w:rPr>
        <w:t>presentada</w:t>
      </w:r>
      <w:r w:rsidR="00AA67A0" w:rsidRPr="00941576">
        <w:rPr>
          <w:rFonts w:cs="Arial"/>
        </w:rPr>
        <w:t xml:space="preserve"> </w:t>
      </w:r>
      <w:r w:rsidR="00FD5088" w:rsidRPr="00941576">
        <w:rPr>
          <w:rFonts w:cs="Arial"/>
        </w:rPr>
        <w:t xml:space="preserve">el </w:t>
      </w:r>
      <w:r w:rsidR="00B67145" w:rsidRPr="00941576">
        <w:rPr>
          <w:rFonts w:cs="Arial"/>
        </w:rPr>
        <w:t>dieciocho (1</w:t>
      </w:r>
      <w:r w:rsidR="002D208D" w:rsidRPr="00941576">
        <w:rPr>
          <w:rFonts w:cs="Arial"/>
        </w:rPr>
        <w:t>8</w:t>
      </w:r>
      <w:r w:rsidR="009745C9" w:rsidRPr="00941576">
        <w:rPr>
          <w:rFonts w:cs="Arial"/>
        </w:rPr>
        <w:t xml:space="preserve">) </w:t>
      </w:r>
      <w:r w:rsidR="00FD5088" w:rsidRPr="00941576">
        <w:rPr>
          <w:rFonts w:cs="Arial"/>
        </w:rPr>
        <w:t xml:space="preserve">de </w:t>
      </w:r>
      <w:r w:rsidR="00B67145" w:rsidRPr="00941576">
        <w:rPr>
          <w:rFonts w:cs="Arial"/>
        </w:rPr>
        <w:t xml:space="preserve">enero </w:t>
      </w:r>
      <w:r w:rsidR="00FD5088" w:rsidRPr="00941576">
        <w:rPr>
          <w:rFonts w:cs="Arial"/>
        </w:rPr>
        <w:t xml:space="preserve">de </w:t>
      </w:r>
      <w:r w:rsidR="009745C9" w:rsidRPr="00941576">
        <w:rPr>
          <w:rFonts w:cs="Arial"/>
        </w:rPr>
        <w:t>dos mil tre</w:t>
      </w:r>
      <w:r w:rsidR="000472B4" w:rsidRPr="00941576">
        <w:rPr>
          <w:rFonts w:cs="Arial"/>
        </w:rPr>
        <w:t>ce</w:t>
      </w:r>
      <w:r w:rsidR="009745C9" w:rsidRPr="00941576">
        <w:rPr>
          <w:rFonts w:cs="Arial"/>
        </w:rPr>
        <w:t xml:space="preserve"> (20</w:t>
      </w:r>
      <w:r w:rsidR="000472B4" w:rsidRPr="00941576">
        <w:rPr>
          <w:rFonts w:cs="Arial"/>
        </w:rPr>
        <w:t>1</w:t>
      </w:r>
      <w:r w:rsidR="009745C9" w:rsidRPr="00941576">
        <w:rPr>
          <w:rFonts w:cs="Arial"/>
        </w:rPr>
        <w:t>3)</w:t>
      </w:r>
      <w:r w:rsidR="004D2045" w:rsidRPr="00941576">
        <w:rPr>
          <w:rFonts w:cs="Arial"/>
        </w:rPr>
        <w:t xml:space="preserve">, </w:t>
      </w:r>
      <w:r w:rsidR="00427E61" w:rsidRPr="00941576">
        <w:rPr>
          <w:rFonts w:cs="Arial"/>
        </w:rPr>
        <w:t xml:space="preserve">por </w:t>
      </w:r>
      <w:r w:rsidR="00E65343" w:rsidRPr="00941576">
        <w:rPr>
          <w:rFonts w:cs="Arial"/>
        </w:rPr>
        <w:t>el consorcio</w:t>
      </w:r>
      <w:r w:rsidR="00B67145" w:rsidRPr="00941576">
        <w:rPr>
          <w:rFonts w:cs="Arial"/>
        </w:rPr>
        <w:t xml:space="preserve"> Gapa 2010</w:t>
      </w:r>
      <w:r w:rsidR="003076F9" w:rsidRPr="00941576">
        <w:rPr>
          <w:rFonts w:cs="Arial"/>
        </w:rPr>
        <w:t>,</w:t>
      </w:r>
      <w:r w:rsidR="00F21484" w:rsidRPr="00941576">
        <w:rPr>
          <w:rFonts w:cs="Arial"/>
        </w:rPr>
        <w:t xml:space="preserve"> </w:t>
      </w:r>
      <w:r w:rsidR="00F5352D" w:rsidRPr="00941576">
        <w:rPr>
          <w:rFonts w:cs="Arial"/>
        </w:rPr>
        <w:t xml:space="preserve">en ejercicio </w:t>
      </w:r>
      <w:r w:rsidR="00FD5088" w:rsidRPr="00941576">
        <w:rPr>
          <w:rFonts w:cs="Arial"/>
        </w:rPr>
        <w:t>de</w:t>
      </w:r>
      <w:r w:rsidR="007C42FB" w:rsidRPr="00941576">
        <w:rPr>
          <w:rFonts w:cs="Arial"/>
        </w:rPr>
        <w:t xml:space="preserve">l medio de control </w:t>
      </w:r>
      <w:r w:rsidR="00F5352D" w:rsidRPr="00941576">
        <w:rPr>
          <w:rFonts w:cs="Arial"/>
        </w:rPr>
        <w:t>consagrad</w:t>
      </w:r>
      <w:r w:rsidR="007C42FB" w:rsidRPr="00941576">
        <w:rPr>
          <w:rFonts w:cs="Arial"/>
        </w:rPr>
        <w:t>o</w:t>
      </w:r>
      <w:r w:rsidR="00F5352D" w:rsidRPr="00941576">
        <w:rPr>
          <w:rFonts w:cs="Arial"/>
        </w:rPr>
        <w:t xml:space="preserve"> en el artículo </w:t>
      </w:r>
      <w:r w:rsidR="007C42FB" w:rsidRPr="00941576">
        <w:rPr>
          <w:rFonts w:cs="Arial"/>
        </w:rPr>
        <w:t>141</w:t>
      </w:r>
      <w:r w:rsidR="00F5352D" w:rsidRPr="00941576">
        <w:rPr>
          <w:rFonts w:cs="Arial"/>
        </w:rPr>
        <w:t xml:space="preserve"> del Código </w:t>
      </w:r>
      <w:r w:rsidR="007D558B" w:rsidRPr="00941576">
        <w:rPr>
          <w:rFonts w:cs="Arial"/>
        </w:rPr>
        <w:t xml:space="preserve">de Procedimiento Administrativo y de lo </w:t>
      </w:r>
      <w:r w:rsidR="00F5352D" w:rsidRPr="00941576">
        <w:rPr>
          <w:rFonts w:cs="Arial"/>
        </w:rPr>
        <w:t>Contencioso Administrativo</w:t>
      </w:r>
      <w:r w:rsidR="007D558B" w:rsidRPr="00941576">
        <w:rPr>
          <w:rFonts w:cs="Arial"/>
        </w:rPr>
        <w:t xml:space="preserve"> </w:t>
      </w:r>
      <w:r w:rsidR="00B10F0A" w:rsidRPr="00941576">
        <w:rPr>
          <w:rFonts w:cs="Arial"/>
        </w:rPr>
        <w:t>(</w:t>
      </w:r>
      <w:r w:rsidR="00427E61" w:rsidRPr="00941576">
        <w:rPr>
          <w:rFonts w:cs="Arial"/>
        </w:rPr>
        <w:t>Ley 1437 de 2011)</w:t>
      </w:r>
      <w:r w:rsidR="00566442" w:rsidRPr="00941576">
        <w:rPr>
          <w:rFonts w:cs="Arial"/>
        </w:rPr>
        <w:t>,</w:t>
      </w:r>
      <w:r w:rsidR="00427E61" w:rsidRPr="00941576">
        <w:rPr>
          <w:rFonts w:cs="Arial"/>
        </w:rPr>
        <w:t xml:space="preserve"> </w:t>
      </w:r>
      <w:r w:rsidR="00B67145" w:rsidRPr="00941576">
        <w:rPr>
          <w:rFonts w:cs="Arial"/>
        </w:rPr>
        <w:t xml:space="preserve">contra el municipio de Galapa </w:t>
      </w:r>
      <w:r w:rsidR="003A17B8" w:rsidRPr="00941576">
        <w:rPr>
          <w:rFonts w:cs="Arial"/>
        </w:rPr>
        <w:t xml:space="preserve">con el fin de </w:t>
      </w:r>
      <w:r w:rsidR="00B67145" w:rsidRPr="00941576">
        <w:rPr>
          <w:rFonts w:cs="Arial"/>
        </w:rPr>
        <w:t xml:space="preserve">que: i) se declarara </w:t>
      </w:r>
      <w:r w:rsidR="00B3158C" w:rsidRPr="00941576">
        <w:rPr>
          <w:rFonts w:cs="Arial"/>
        </w:rPr>
        <w:t xml:space="preserve">que </w:t>
      </w:r>
      <w:r w:rsidR="00B67145" w:rsidRPr="00941576">
        <w:rPr>
          <w:rFonts w:cs="Arial"/>
        </w:rPr>
        <w:t>el ente territorial demandado adeudaba a la demandante la suma de $74’014.835 por mayores cantidades de obra ejecutada y ii) y la suma de $560’286.379 correspondiente a costos administrativos derivados d</w:t>
      </w:r>
      <w:r w:rsidR="00B3158C" w:rsidRPr="00941576">
        <w:rPr>
          <w:rFonts w:cs="Arial"/>
        </w:rPr>
        <w:t>e la mayor permanencia en obra.</w:t>
      </w:r>
    </w:p>
    <w:p w:rsidR="00B67145" w:rsidRPr="00941576" w:rsidRDefault="00B67145" w:rsidP="007E2F97">
      <w:pPr>
        <w:ind w:right="-1"/>
        <w:contextualSpacing/>
        <w:rPr>
          <w:rFonts w:cs="Arial"/>
        </w:rPr>
      </w:pPr>
    </w:p>
    <w:p w:rsidR="007E2F97" w:rsidRPr="00941576" w:rsidRDefault="00B67145" w:rsidP="007E2F97">
      <w:pPr>
        <w:ind w:right="-1"/>
        <w:contextualSpacing/>
        <w:rPr>
          <w:rFonts w:cs="Arial"/>
        </w:rPr>
      </w:pPr>
      <w:r w:rsidRPr="00941576">
        <w:rPr>
          <w:rFonts w:cs="Arial"/>
        </w:rPr>
        <w:t>Así mismo</w:t>
      </w:r>
      <w:r w:rsidR="00A9285E" w:rsidRPr="00941576">
        <w:rPr>
          <w:rFonts w:cs="Arial"/>
        </w:rPr>
        <w:t>,</w:t>
      </w:r>
      <w:r w:rsidRPr="00941576">
        <w:rPr>
          <w:rFonts w:cs="Arial"/>
        </w:rPr>
        <w:t xml:space="preserve"> solicitó que </w:t>
      </w:r>
      <w:r w:rsidR="00E83A6F" w:rsidRPr="00941576">
        <w:rPr>
          <w:rFonts w:cs="Arial"/>
        </w:rPr>
        <w:t xml:space="preserve">se condenara a la entidad al pago de los intereses moratorios como </w:t>
      </w:r>
      <w:r w:rsidR="00955477" w:rsidRPr="00941576">
        <w:rPr>
          <w:rFonts w:cs="Arial"/>
        </w:rPr>
        <w:t>con</w:t>
      </w:r>
      <w:r w:rsidR="00A9285E" w:rsidRPr="00941576">
        <w:rPr>
          <w:rFonts w:cs="Arial"/>
        </w:rPr>
        <w:t>secuencia de la falta de pago</w:t>
      </w:r>
      <w:r w:rsidR="00955477" w:rsidRPr="00941576">
        <w:rPr>
          <w:rFonts w:cs="Arial"/>
        </w:rPr>
        <w:t xml:space="preserve"> oportuno</w:t>
      </w:r>
      <w:r w:rsidR="00E83A6F" w:rsidRPr="00941576">
        <w:rPr>
          <w:rFonts w:cs="Arial"/>
        </w:rPr>
        <w:t xml:space="preserve"> de los </w:t>
      </w:r>
      <w:r w:rsidR="00955477" w:rsidRPr="00941576">
        <w:rPr>
          <w:rFonts w:cs="Arial"/>
        </w:rPr>
        <w:t>citados</w:t>
      </w:r>
      <w:r w:rsidR="00E83A6F" w:rsidRPr="00941576">
        <w:rPr>
          <w:rFonts w:cs="Arial"/>
        </w:rPr>
        <w:t xml:space="preserve"> conceptos. </w:t>
      </w:r>
    </w:p>
    <w:p w:rsidR="00E83A6F" w:rsidRPr="00941576" w:rsidRDefault="00E83A6F" w:rsidP="007E2F97">
      <w:pPr>
        <w:ind w:right="-1"/>
        <w:contextualSpacing/>
        <w:rPr>
          <w:rFonts w:cs="Arial"/>
        </w:rPr>
      </w:pPr>
    </w:p>
    <w:p w:rsidR="0098581B" w:rsidRPr="00941576" w:rsidRDefault="0098581B" w:rsidP="00131111">
      <w:pPr>
        <w:ind w:right="-1"/>
        <w:contextualSpacing/>
        <w:rPr>
          <w:rFonts w:cs="Arial"/>
          <w:b/>
          <w:bCs/>
          <w:iCs/>
        </w:rPr>
      </w:pPr>
      <w:r w:rsidRPr="00941576">
        <w:rPr>
          <w:rFonts w:cs="Arial"/>
          <w:b/>
          <w:bCs/>
          <w:iCs/>
        </w:rPr>
        <w:t>2. Los hechos</w:t>
      </w:r>
    </w:p>
    <w:p w:rsidR="00F34AA3" w:rsidRPr="00941576" w:rsidRDefault="00F34AA3" w:rsidP="00F34AA3">
      <w:pPr>
        <w:widowControl w:val="0"/>
        <w:autoSpaceDE w:val="0"/>
        <w:autoSpaceDN w:val="0"/>
        <w:adjustRightInd w:val="0"/>
        <w:rPr>
          <w:rFonts w:cs="Arial"/>
          <w:lang w:val="es-CO"/>
        </w:rPr>
      </w:pPr>
    </w:p>
    <w:p w:rsidR="00F34AA3" w:rsidRPr="00941576" w:rsidRDefault="00F34AA3" w:rsidP="00F34AA3">
      <w:pPr>
        <w:widowControl w:val="0"/>
        <w:autoSpaceDE w:val="0"/>
        <w:autoSpaceDN w:val="0"/>
        <w:adjustRightInd w:val="0"/>
        <w:rPr>
          <w:rFonts w:cs="Arial"/>
        </w:rPr>
      </w:pPr>
      <w:r w:rsidRPr="00941576">
        <w:rPr>
          <w:rFonts w:cs="Arial"/>
          <w:lang w:val="es-CO"/>
        </w:rPr>
        <w:lastRenderedPageBreak/>
        <w:t>E</w:t>
      </w:r>
      <w:r w:rsidRPr="00941576">
        <w:rPr>
          <w:rFonts w:cs="Arial"/>
        </w:rPr>
        <w:t>n el escrito de demanda, en síntesis, la parte actora narró los siguientes hechos:</w:t>
      </w:r>
    </w:p>
    <w:p w:rsidR="00F34AA3" w:rsidRPr="00941576" w:rsidRDefault="00F34AA3" w:rsidP="00F34AA3">
      <w:pPr>
        <w:widowControl w:val="0"/>
        <w:autoSpaceDE w:val="0"/>
        <w:autoSpaceDN w:val="0"/>
        <w:adjustRightInd w:val="0"/>
        <w:rPr>
          <w:rFonts w:cs="Arial"/>
        </w:rPr>
      </w:pPr>
    </w:p>
    <w:p w:rsidR="001A38FC" w:rsidRPr="00941576" w:rsidRDefault="00F34AA3" w:rsidP="00F34AA3">
      <w:pPr>
        <w:widowControl w:val="0"/>
        <w:autoSpaceDE w:val="0"/>
        <w:autoSpaceDN w:val="0"/>
        <w:adjustRightInd w:val="0"/>
        <w:rPr>
          <w:rFonts w:cs="Arial"/>
        </w:rPr>
      </w:pPr>
      <w:r w:rsidRPr="00941576">
        <w:rPr>
          <w:rFonts w:cs="Arial"/>
          <w:b/>
          <w:lang w:val="es-MX"/>
        </w:rPr>
        <w:t xml:space="preserve">2.1. </w:t>
      </w:r>
      <w:r w:rsidR="00644550" w:rsidRPr="00941576">
        <w:rPr>
          <w:rFonts w:cs="Arial"/>
          <w:lang w:val="es-MX"/>
        </w:rPr>
        <w:t>Luego de agotar las</w:t>
      </w:r>
      <w:r w:rsidR="00F52E41" w:rsidRPr="00941576">
        <w:rPr>
          <w:rFonts w:cs="Arial"/>
          <w:lang w:val="es-MX"/>
        </w:rPr>
        <w:t xml:space="preserve"> etapas</w:t>
      </w:r>
      <w:r w:rsidR="00644550" w:rsidRPr="00941576">
        <w:rPr>
          <w:rFonts w:cs="Arial"/>
          <w:lang w:val="es-MX"/>
        </w:rPr>
        <w:t xml:space="preserve"> previstas en </w:t>
      </w:r>
      <w:r w:rsidR="00917FCB" w:rsidRPr="00941576">
        <w:rPr>
          <w:rFonts w:cs="Arial"/>
          <w:lang w:val="es-MX"/>
        </w:rPr>
        <w:t>la Invitación Pública No. LP 01-2010</w:t>
      </w:r>
      <w:r w:rsidR="00644550" w:rsidRPr="00941576">
        <w:rPr>
          <w:rFonts w:cs="Arial"/>
          <w:lang w:val="es-MX"/>
        </w:rPr>
        <w:t>,</w:t>
      </w:r>
      <w:r w:rsidR="00644550" w:rsidRPr="00941576">
        <w:rPr>
          <w:rFonts w:cs="Arial"/>
          <w:b/>
          <w:lang w:val="es-MX"/>
        </w:rPr>
        <w:t xml:space="preserve"> </w:t>
      </w:r>
      <w:r w:rsidR="00644550" w:rsidRPr="00941576">
        <w:rPr>
          <w:rFonts w:cs="Arial"/>
          <w:lang w:val="es-MX"/>
        </w:rPr>
        <w:t>e</w:t>
      </w:r>
      <w:r w:rsidRPr="00941576">
        <w:rPr>
          <w:rFonts w:cs="Arial"/>
          <w:lang w:val="es-MX"/>
        </w:rPr>
        <w:t xml:space="preserve">l </w:t>
      </w:r>
      <w:r w:rsidR="00917FCB" w:rsidRPr="00941576">
        <w:rPr>
          <w:rFonts w:cs="Arial"/>
          <w:lang w:val="es-MX"/>
        </w:rPr>
        <w:t>15 de marzo de 2010</w:t>
      </w:r>
      <w:r w:rsidR="00A9285E" w:rsidRPr="00941576">
        <w:rPr>
          <w:rFonts w:cs="Arial"/>
          <w:lang w:val="es-MX"/>
        </w:rPr>
        <w:t>,</w:t>
      </w:r>
      <w:r w:rsidR="00CE1F23" w:rsidRPr="00941576">
        <w:rPr>
          <w:rFonts w:cs="Arial"/>
          <w:lang w:val="es-MX"/>
        </w:rPr>
        <w:t xml:space="preserve"> el municipio de Galapa y el consorcio Gapa 2010</w:t>
      </w:r>
      <w:r w:rsidR="004868AF" w:rsidRPr="00941576">
        <w:rPr>
          <w:rFonts w:cs="Arial"/>
          <w:lang w:val="es-MX"/>
        </w:rPr>
        <w:t xml:space="preserve"> celebraron el Contrato de Obra No. 01</w:t>
      </w:r>
      <w:r w:rsidR="00074EAA" w:rsidRPr="00941576">
        <w:rPr>
          <w:rFonts w:cs="Arial"/>
          <w:lang w:val="es-MX"/>
        </w:rPr>
        <w:t>,</w:t>
      </w:r>
      <w:r w:rsidR="001A38FC" w:rsidRPr="00941576">
        <w:rPr>
          <w:rFonts w:cs="Arial"/>
          <w:lang w:val="es-MX"/>
        </w:rPr>
        <w:t xml:space="preserve"> con el objeto de realizar</w:t>
      </w:r>
      <w:r w:rsidRPr="00941576">
        <w:rPr>
          <w:rFonts w:cs="Arial"/>
        </w:rPr>
        <w:t>, por el sistema de precios unitarios, la</w:t>
      </w:r>
      <w:r w:rsidR="0027559A" w:rsidRPr="00941576">
        <w:rPr>
          <w:rFonts w:cs="Arial"/>
        </w:rPr>
        <w:t xml:space="preserve"> construcción en concreto rígido de </w:t>
      </w:r>
      <w:r w:rsidR="00B3158C" w:rsidRPr="00941576">
        <w:rPr>
          <w:rFonts w:cs="Arial"/>
        </w:rPr>
        <w:t>la vía de acceso al barrio Los C</w:t>
      </w:r>
      <w:r w:rsidR="0027559A" w:rsidRPr="00941576">
        <w:rPr>
          <w:rFonts w:cs="Arial"/>
        </w:rPr>
        <w:t>arruajes del municipio de Galapa</w:t>
      </w:r>
      <w:r w:rsidR="00644550" w:rsidRPr="00941576">
        <w:rPr>
          <w:rFonts w:cs="Arial"/>
        </w:rPr>
        <w:t>, de conformidad con las especificaciones técnicas previstas en los pliegos de condiciones que sirvieron de base al procedimiento de selección</w:t>
      </w:r>
      <w:r w:rsidR="0027559A" w:rsidRPr="00941576">
        <w:rPr>
          <w:rFonts w:cs="Arial"/>
        </w:rPr>
        <w:t xml:space="preserve">. El valor del contrato se pactó en la suma de </w:t>
      </w:r>
      <w:r w:rsidR="00EB49C6" w:rsidRPr="00941576">
        <w:rPr>
          <w:rFonts w:cs="Arial"/>
        </w:rPr>
        <w:t>$</w:t>
      </w:r>
      <w:r w:rsidR="0027559A" w:rsidRPr="00941576">
        <w:rPr>
          <w:rFonts w:cs="Arial"/>
        </w:rPr>
        <w:t xml:space="preserve">2.442’848.616 y el plazo </w:t>
      </w:r>
      <w:r w:rsidR="007A126D" w:rsidRPr="00941576">
        <w:rPr>
          <w:rFonts w:cs="Arial"/>
        </w:rPr>
        <w:t xml:space="preserve">de ejecución </w:t>
      </w:r>
      <w:r w:rsidR="0027559A" w:rsidRPr="00941576">
        <w:rPr>
          <w:rFonts w:cs="Arial"/>
        </w:rPr>
        <w:t>se acordó en 4</w:t>
      </w:r>
      <w:r w:rsidR="007A126D" w:rsidRPr="00941576">
        <w:rPr>
          <w:rFonts w:cs="Arial"/>
        </w:rPr>
        <w:t xml:space="preserve"> meses</w:t>
      </w:r>
      <w:r w:rsidR="00644550" w:rsidRPr="00941576">
        <w:rPr>
          <w:rFonts w:cs="Arial"/>
        </w:rPr>
        <w:t xml:space="preserve">. </w:t>
      </w:r>
    </w:p>
    <w:p w:rsidR="001A38FC" w:rsidRPr="00941576" w:rsidRDefault="001A38FC" w:rsidP="00F34AA3">
      <w:pPr>
        <w:widowControl w:val="0"/>
        <w:autoSpaceDE w:val="0"/>
        <w:autoSpaceDN w:val="0"/>
        <w:adjustRightInd w:val="0"/>
        <w:rPr>
          <w:rFonts w:cs="Arial"/>
        </w:rPr>
      </w:pPr>
    </w:p>
    <w:p w:rsidR="004641F3" w:rsidRPr="00941576" w:rsidRDefault="004641F3" w:rsidP="00F34AA3">
      <w:pPr>
        <w:widowControl w:val="0"/>
        <w:autoSpaceDE w:val="0"/>
        <w:autoSpaceDN w:val="0"/>
        <w:adjustRightInd w:val="0"/>
        <w:rPr>
          <w:rFonts w:cs="Arial"/>
        </w:rPr>
      </w:pPr>
      <w:r w:rsidRPr="00941576">
        <w:rPr>
          <w:rFonts w:cs="Arial"/>
          <w:b/>
        </w:rPr>
        <w:t>2.2</w:t>
      </w:r>
      <w:r w:rsidR="00F34AA3" w:rsidRPr="00941576">
        <w:rPr>
          <w:rFonts w:cs="Arial"/>
          <w:b/>
        </w:rPr>
        <w:t>.</w:t>
      </w:r>
      <w:r w:rsidR="00EB49C6" w:rsidRPr="00941576">
        <w:rPr>
          <w:rFonts w:cs="Arial"/>
          <w:b/>
        </w:rPr>
        <w:t xml:space="preserve"> </w:t>
      </w:r>
      <w:r w:rsidR="00EB49C6" w:rsidRPr="00941576">
        <w:rPr>
          <w:rFonts w:cs="Arial"/>
        </w:rPr>
        <w:t>El 26 de abril de 2010 las partes suscribieron el acta de inicio de obra.</w:t>
      </w:r>
      <w:r w:rsidR="00EB49C6" w:rsidRPr="00941576">
        <w:rPr>
          <w:rFonts w:cs="Arial"/>
          <w:b/>
        </w:rPr>
        <w:t xml:space="preserve"> </w:t>
      </w:r>
    </w:p>
    <w:p w:rsidR="00EB49C6" w:rsidRPr="00941576" w:rsidRDefault="00EB49C6" w:rsidP="00F34AA3">
      <w:pPr>
        <w:widowControl w:val="0"/>
        <w:autoSpaceDE w:val="0"/>
        <w:autoSpaceDN w:val="0"/>
        <w:adjustRightInd w:val="0"/>
        <w:rPr>
          <w:rFonts w:cs="Arial"/>
          <w:b/>
        </w:rPr>
      </w:pPr>
    </w:p>
    <w:p w:rsidR="00F52E41" w:rsidRPr="00941576" w:rsidRDefault="00EB49C6" w:rsidP="00EB49C6">
      <w:pPr>
        <w:widowControl w:val="0"/>
        <w:autoSpaceDE w:val="0"/>
        <w:autoSpaceDN w:val="0"/>
        <w:adjustRightInd w:val="0"/>
        <w:rPr>
          <w:rFonts w:cs="Arial"/>
        </w:rPr>
      </w:pPr>
      <w:r w:rsidRPr="00941576">
        <w:rPr>
          <w:rFonts w:cs="Arial"/>
          <w:b/>
        </w:rPr>
        <w:t xml:space="preserve">2.3. </w:t>
      </w:r>
      <w:r w:rsidRPr="00941576">
        <w:rPr>
          <w:rFonts w:cs="Arial"/>
        </w:rPr>
        <w:t>En la demanda se sostuvo que debido al tipo de suelo, como a la falla geológica en constante evolución</w:t>
      </w:r>
      <w:r w:rsidR="002F0873" w:rsidRPr="00941576">
        <w:rPr>
          <w:rFonts w:cs="Arial"/>
        </w:rPr>
        <w:t>,</w:t>
      </w:r>
      <w:r w:rsidRPr="00941576">
        <w:rPr>
          <w:rFonts w:cs="Arial"/>
        </w:rPr>
        <w:t xml:space="preserve"> las obras no pudieron ejecutarse en el trazado previsto, sino en el costado lateral izquierdo de la vía existente</w:t>
      </w:r>
      <w:r w:rsidR="00A9285E" w:rsidRPr="00941576">
        <w:rPr>
          <w:rFonts w:cs="Arial"/>
        </w:rPr>
        <w:t>,</w:t>
      </w:r>
      <w:r w:rsidRPr="00941576">
        <w:rPr>
          <w:rFonts w:cs="Arial"/>
        </w:rPr>
        <w:t xml:space="preserve"> para evitar el col</w:t>
      </w:r>
      <w:r w:rsidR="002F0873" w:rsidRPr="00941576">
        <w:rPr>
          <w:rFonts w:cs="Arial"/>
        </w:rPr>
        <w:t>apso, circuns</w:t>
      </w:r>
      <w:r w:rsidR="004341EB" w:rsidRPr="00941576">
        <w:rPr>
          <w:rFonts w:cs="Arial"/>
        </w:rPr>
        <w:t>tancia que condujo al cambio de los diseños iniciales.</w:t>
      </w:r>
    </w:p>
    <w:p w:rsidR="004341EB" w:rsidRPr="00941576" w:rsidRDefault="004341EB" w:rsidP="00EB49C6">
      <w:pPr>
        <w:widowControl w:val="0"/>
        <w:autoSpaceDE w:val="0"/>
        <w:autoSpaceDN w:val="0"/>
        <w:adjustRightInd w:val="0"/>
        <w:rPr>
          <w:rFonts w:cs="Arial"/>
        </w:rPr>
      </w:pPr>
    </w:p>
    <w:p w:rsidR="004341EB" w:rsidRPr="00941576" w:rsidRDefault="004341EB" w:rsidP="00EB49C6">
      <w:pPr>
        <w:widowControl w:val="0"/>
        <w:autoSpaceDE w:val="0"/>
        <w:autoSpaceDN w:val="0"/>
        <w:adjustRightInd w:val="0"/>
        <w:rPr>
          <w:rFonts w:cs="Arial"/>
        </w:rPr>
      </w:pPr>
      <w:r w:rsidRPr="00941576">
        <w:rPr>
          <w:rFonts w:cs="Arial"/>
          <w:b/>
        </w:rPr>
        <w:t>2.4.</w:t>
      </w:r>
      <w:r w:rsidRPr="00941576">
        <w:rPr>
          <w:rFonts w:cs="Arial"/>
        </w:rPr>
        <w:t xml:space="preserve"> Según manifestó el actor, durante la ejecución contractual se presentó una ola invernal </w:t>
      </w:r>
      <w:r w:rsidR="00515394" w:rsidRPr="00941576">
        <w:rPr>
          <w:rFonts w:cs="Arial"/>
        </w:rPr>
        <w:t>imprevista</w:t>
      </w:r>
      <w:r w:rsidR="008E3EC8" w:rsidRPr="00941576">
        <w:rPr>
          <w:rFonts w:cs="Arial"/>
        </w:rPr>
        <w:t xml:space="preserve"> </w:t>
      </w:r>
      <w:r w:rsidRPr="00941576">
        <w:rPr>
          <w:rFonts w:cs="Arial"/>
        </w:rPr>
        <w:t xml:space="preserve">que </w:t>
      </w:r>
      <w:r w:rsidR="00640E18" w:rsidRPr="00941576">
        <w:rPr>
          <w:rFonts w:cs="Arial"/>
        </w:rPr>
        <w:t>afectó la eje</w:t>
      </w:r>
      <w:r w:rsidR="00A75C66" w:rsidRPr="00941576">
        <w:rPr>
          <w:rFonts w:cs="Arial"/>
        </w:rPr>
        <w:t>c</w:t>
      </w:r>
      <w:r w:rsidR="00640E18" w:rsidRPr="00941576">
        <w:rPr>
          <w:rFonts w:cs="Arial"/>
        </w:rPr>
        <w:t>ución de actividad</w:t>
      </w:r>
      <w:r w:rsidR="008E3EC8" w:rsidRPr="00941576">
        <w:rPr>
          <w:rFonts w:cs="Arial"/>
        </w:rPr>
        <w:t>es</w:t>
      </w:r>
      <w:r w:rsidR="00640E18" w:rsidRPr="00941576">
        <w:rPr>
          <w:rFonts w:cs="Arial"/>
        </w:rPr>
        <w:t xml:space="preserve"> dentro del término</w:t>
      </w:r>
      <w:r w:rsidR="00515394" w:rsidRPr="00941576">
        <w:rPr>
          <w:rFonts w:cs="Arial"/>
        </w:rPr>
        <w:t xml:space="preserve"> contemplado</w:t>
      </w:r>
      <w:r w:rsidR="008E3EC8" w:rsidRPr="00941576">
        <w:rPr>
          <w:rFonts w:cs="Arial"/>
        </w:rPr>
        <w:t>. Esta situación</w:t>
      </w:r>
      <w:r w:rsidR="0058584A" w:rsidRPr="00941576">
        <w:rPr>
          <w:rFonts w:cs="Arial"/>
        </w:rPr>
        <w:t>, aunada con la anterior,</w:t>
      </w:r>
      <w:r w:rsidR="008E3EC8" w:rsidRPr="00941576">
        <w:rPr>
          <w:rFonts w:cs="Arial"/>
        </w:rPr>
        <w:t xml:space="preserve"> originó</w:t>
      </w:r>
      <w:r w:rsidR="00640E18" w:rsidRPr="00941576">
        <w:rPr>
          <w:rFonts w:cs="Arial"/>
        </w:rPr>
        <w:t xml:space="preserve"> una mayor permanencia</w:t>
      </w:r>
      <w:r w:rsidR="008E3EC8" w:rsidRPr="00941576">
        <w:rPr>
          <w:rFonts w:cs="Arial"/>
        </w:rPr>
        <w:t xml:space="preserve"> y aumentó los costos de construcción por causas ajenas a la voluntad del contratista</w:t>
      </w:r>
      <w:r w:rsidR="00515394" w:rsidRPr="00941576">
        <w:rPr>
          <w:rFonts w:cs="Arial"/>
        </w:rPr>
        <w:t xml:space="preserve">. </w:t>
      </w:r>
    </w:p>
    <w:p w:rsidR="0058584A" w:rsidRPr="00941576" w:rsidRDefault="0058584A" w:rsidP="00EB49C6">
      <w:pPr>
        <w:widowControl w:val="0"/>
        <w:autoSpaceDE w:val="0"/>
        <w:autoSpaceDN w:val="0"/>
        <w:adjustRightInd w:val="0"/>
        <w:rPr>
          <w:rFonts w:cs="Arial"/>
        </w:rPr>
      </w:pPr>
    </w:p>
    <w:p w:rsidR="00947BF9" w:rsidRPr="00941576" w:rsidRDefault="00947BF9" w:rsidP="00EB49C6">
      <w:pPr>
        <w:widowControl w:val="0"/>
        <w:autoSpaceDE w:val="0"/>
        <w:autoSpaceDN w:val="0"/>
        <w:adjustRightInd w:val="0"/>
        <w:rPr>
          <w:rFonts w:cs="Arial"/>
        </w:rPr>
      </w:pPr>
      <w:r w:rsidRPr="00941576">
        <w:rPr>
          <w:rFonts w:cs="Arial"/>
          <w:b/>
        </w:rPr>
        <w:t>2.5.</w:t>
      </w:r>
      <w:r w:rsidRPr="00941576">
        <w:rPr>
          <w:rFonts w:cs="Arial"/>
        </w:rPr>
        <w:t xml:space="preserve"> El 4 de mayo de 2011, las partes elevaron el acta de liquidación del Contrato No. 01 de 2010, en la que se dejó constancia de los siguientes valores a pagar en favor del contratista. </w:t>
      </w:r>
    </w:p>
    <w:p w:rsidR="00947BF9" w:rsidRPr="00941576" w:rsidRDefault="00947BF9" w:rsidP="00EB49C6">
      <w:pPr>
        <w:widowControl w:val="0"/>
        <w:autoSpaceDE w:val="0"/>
        <w:autoSpaceDN w:val="0"/>
        <w:adjustRightInd w:val="0"/>
        <w:rPr>
          <w:rFonts w:cs="Arial"/>
        </w:rPr>
      </w:pPr>
    </w:p>
    <w:p w:rsidR="00947BF9" w:rsidRPr="00941576" w:rsidRDefault="00947BF9" w:rsidP="00947BF9">
      <w:pPr>
        <w:pStyle w:val="Prrafodelista"/>
        <w:widowControl w:val="0"/>
        <w:numPr>
          <w:ilvl w:val="0"/>
          <w:numId w:val="31"/>
        </w:numPr>
        <w:autoSpaceDE w:val="0"/>
        <w:autoSpaceDN w:val="0"/>
        <w:adjustRightInd w:val="0"/>
        <w:rPr>
          <w:rFonts w:cs="Arial"/>
        </w:rPr>
      </w:pPr>
      <w:r w:rsidRPr="00941576">
        <w:rPr>
          <w:rFonts w:cs="Arial"/>
        </w:rPr>
        <w:t>$74’014</w:t>
      </w:r>
      <w:r w:rsidR="00B3158C" w:rsidRPr="00941576">
        <w:rPr>
          <w:rFonts w:cs="Arial"/>
        </w:rPr>
        <w:t>.</w:t>
      </w:r>
      <w:r w:rsidRPr="00941576">
        <w:rPr>
          <w:rFonts w:cs="Arial"/>
        </w:rPr>
        <w:t>835 por mayores cantidades de obra.</w:t>
      </w:r>
    </w:p>
    <w:p w:rsidR="00947BF9" w:rsidRPr="00941576" w:rsidRDefault="00947BF9" w:rsidP="00947BF9">
      <w:pPr>
        <w:pStyle w:val="Prrafodelista"/>
        <w:widowControl w:val="0"/>
        <w:numPr>
          <w:ilvl w:val="0"/>
          <w:numId w:val="31"/>
        </w:numPr>
        <w:autoSpaceDE w:val="0"/>
        <w:autoSpaceDN w:val="0"/>
        <w:adjustRightInd w:val="0"/>
        <w:rPr>
          <w:rFonts w:cs="Arial"/>
        </w:rPr>
      </w:pPr>
      <w:r w:rsidRPr="00941576">
        <w:rPr>
          <w:rFonts w:cs="Arial"/>
        </w:rPr>
        <w:t>$560’286.379 por mayor permanencia en obra.</w:t>
      </w:r>
    </w:p>
    <w:p w:rsidR="008C3776" w:rsidRPr="00941576" w:rsidRDefault="008C3776" w:rsidP="00131111">
      <w:pPr>
        <w:ind w:right="-1"/>
        <w:contextualSpacing/>
        <w:rPr>
          <w:rFonts w:cs="Arial"/>
          <w:b/>
          <w:bCs/>
          <w:iCs/>
        </w:rPr>
      </w:pPr>
    </w:p>
    <w:p w:rsidR="00A9192A" w:rsidRPr="00941576" w:rsidRDefault="008C3776" w:rsidP="00131111">
      <w:pPr>
        <w:ind w:right="-1"/>
        <w:contextualSpacing/>
        <w:rPr>
          <w:rFonts w:cs="Arial"/>
          <w:bCs/>
          <w:iCs/>
        </w:rPr>
      </w:pPr>
      <w:r w:rsidRPr="00941576">
        <w:rPr>
          <w:rFonts w:cs="Arial"/>
          <w:b/>
          <w:bCs/>
          <w:iCs/>
        </w:rPr>
        <w:t xml:space="preserve">2.6. </w:t>
      </w:r>
      <w:r w:rsidR="00B42D80" w:rsidRPr="00941576">
        <w:rPr>
          <w:rFonts w:cs="Arial"/>
          <w:bCs/>
          <w:iCs/>
        </w:rPr>
        <w:t>El m</w:t>
      </w:r>
      <w:r w:rsidR="00674D00" w:rsidRPr="00941576">
        <w:rPr>
          <w:rFonts w:cs="Arial"/>
          <w:bCs/>
          <w:iCs/>
        </w:rPr>
        <w:t xml:space="preserve">unicipio de Galapa no </w:t>
      </w:r>
      <w:r w:rsidR="00B3158C" w:rsidRPr="00941576">
        <w:rPr>
          <w:rFonts w:cs="Arial"/>
          <w:bCs/>
          <w:iCs/>
        </w:rPr>
        <w:t xml:space="preserve">se </w:t>
      </w:r>
      <w:r w:rsidR="00674D00" w:rsidRPr="00941576">
        <w:rPr>
          <w:rFonts w:cs="Arial"/>
          <w:bCs/>
          <w:iCs/>
        </w:rPr>
        <w:t xml:space="preserve">ha </w:t>
      </w:r>
      <w:r w:rsidR="00B3158C" w:rsidRPr="00941576">
        <w:rPr>
          <w:rFonts w:cs="Arial"/>
          <w:bCs/>
          <w:iCs/>
        </w:rPr>
        <w:t xml:space="preserve">allanado al cumplimiento de </w:t>
      </w:r>
      <w:r w:rsidR="00674D00" w:rsidRPr="00941576">
        <w:rPr>
          <w:rFonts w:cs="Arial"/>
          <w:bCs/>
          <w:iCs/>
        </w:rPr>
        <w:t>los compromisos económicos derivados del acta de liquidación</w:t>
      </w:r>
      <w:r w:rsidR="00B3158C" w:rsidRPr="00941576">
        <w:rPr>
          <w:rFonts w:cs="Arial"/>
          <w:bCs/>
          <w:iCs/>
        </w:rPr>
        <w:t xml:space="preserve"> bilateral.</w:t>
      </w:r>
      <w:r w:rsidR="00674D00" w:rsidRPr="00941576">
        <w:rPr>
          <w:rFonts w:cs="Arial"/>
          <w:bCs/>
          <w:iCs/>
        </w:rPr>
        <w:t xml:space="preserve"> </w:t>
      </w:r>
    </w:p>
    <w:p w:rsidR="008C3776" w:rsidRPr="00941576" w:rsidRDefault="008C3776" w:rsidP="00131111">
      <w:pPr>
        <w:ind w:right="-1"/>
        <w:contextualSpacing/>
        <w:rPr>
          <w:rFonts w:cs="Arial"/>
          <w:b/>
          <w:bCs/>
          <w:iCs/>
        </w:rPr>
      </w:pPr>
    </w:p>
    <w:p w:rsidR="00131111" w:rsidRPr="00941576" w:rsidRDefault="00885C9B" w:rsidP="00131111">
      <w:pPr>
        <w:ind w:right="-1"/>
        <w:contextualSpacing/>
        <w:rPr>
          <w:rFonts w:cs="Arial"/>
          <w:b/>
          <w:bCs/>
          <w:iCs/>
        </w:rPr>
      </w:pPr>
      <w:r w:rsidRPr="00941576">
        <w:rPr>
          <w:rFonts w:cs="Arial"/>
          <w:b/>
          <w:bCs/>
          <w:iCs/>
        </w:rPr>
        <w:t>3</w:t>
      </w:r>
      <w:r w:rsidR="00131111" w:rsidRPr="00941576">
        <w:rPr>
          <w:rFonts w:cs="Arial"/>
          <w:b/>
          <w:bCs/>
          <w:iCs/>
        </w:rPr>
        <w:t>. Actuación procesal</w:t>
      </w:r>
    </w:p>
    <w:p w:rsidR="00131111" w:rsidRPr="00941576" w:rsidRDefault="00131111" w:rsidP="00131111">
      <w:pPr>
        <w:ind w:right="-1"/>
        <w:rPr>
          <w:rFonts w:cs="Arial"/>
          <w:bCs/>
          <w:iCs/>
        </w:rPr>
      </w:pPr>
    </w:p>
    <w:p w:rsidR="00131111" w:rsidRPr="00941576" w:rsidRDefault="00885C9B" w:rsidP="00131111">
      <w:pPr>
        <w:ind w:right="-1"/>
        <w:rPr>
          <w:rFonts w:cs="Arial"/>
          <w:bCs/>
          <w:iCs/>
        </w:rPr>
      </w:pPr>
      <w:r w:rsidRPr="00941576">
        <w:rPr>
          <w:rFonts w:cs="Arial"/>
          <w:b/>
          <w:bCs/>
          <w:iCs/>
        </w:rPr>
        <w:lastRenderedPageBreak/>
        <w:t>3</w:t>
      </w:r>
      <w:r w:rsidR="00131111" w:rsidRPr="00941576">
        <w:rPr>
          <w:rFonts w:cs="Arial"/>
          <w:b/>
          <w:bCs/>
          <w:iCs/>
        </w:rPr>
        <w:t>.1.</w:t>
      </w:r>
      <w:r w:rsidR="008B32FC" w:rsidRPr="00941576">
        <w:rPr>
          <w:rFonts w:cs="Arial"/>
          <w:b/>
          <w:bCs/>
          <w:iCs/>
        </w:rPr>
        <w:t xml:space="preserve"> </w:t>
      </w:r>
      <w:r w:rsidR="008E623E" w:rsidRPr="00941576">
        <w:rPr>
          <w:rFonts w:cs="Arial"/>
          <w:bCs/>
          <w:iCs/>
        </w:rPr>
        <w:t>Por auto de 17 de julio de 2013</w:t>
      </w:r>
      <w:r w:rsidR="000A15AD" w:rsidRPr="00941576">
        <w:rPr>
          <w:rFonts w:cs="Arial"/>
          <w:bCs/>
          <w:iCs/>
        </w:rPr>
        <w:t>, e</w:t>
      </w:r>
      <w:r w:rsidR="00131111" w:rsidRPr="00941576">
        <w:rPr>
          <w:rFonts w:cs="Arial"/>
          <w:bCs/>
          <w:iCs/>
        </w:rPr>
        <w:t xml:space="preserve">l Tribunal Administrativo de </w:t>
      </w:r>
      <w:r w:rsidR="008E623E" w:rsidRPr="00941576">
        <w:rPr>
          <w:rFonts w:cs="Arial"/>
          <w:bCs/>
          <w:iCs/>
        </w:rPr>
        <w:t xml:space="preserve">Atlántico </w:t>
      </w:r>
      <w:r w:rsidR="00131111" w:rsidRPr="00941576">
        <w:rPr>
          <w:rFonts w:cs="Arial"/>
          <w:bCs/>
          <w:iCs/>
        </w:rPr>
        <w:t>admitió la demanda</w:t>
      </w:r>
      <w:r w:rsidR="00275C4D" w:rsidRPr="00941576">
        <w:rPr>
          <w:rFonts w:cs="Arial"/>
          <w:bCs/>
          <w:iCs/>
        </w:rPr>
        <w:t xml:space="preserve"> y ordenó la notificación </w:t>
      </w:r>
      <w:r w:rsidR="008E623E" w:rsidRPr="00941576">
        <w:rPr>
          <w:rFonts w:cs="Arial"/>
          <w:bCs/>
          <w:iCs/>
        </w:rPr>
        <w:t>de la</w:t>
      </w:r>
      <w:r w:rsidR="00826111" w:rsidRPr="00941576">
        <w:rPr>
          <w:rFonts w:cs="Arial"/>
          <w:bCs/>
          <w:iCs/>
        </w:rPr>
        <w:t xml:space="preserve"> misma </w:t>
      </w:r>
      <w:r w:rsidR="008E623E" w:rsidRPr="00941576">
        <w:rPr>
          <w:rFonts w:cs="Arial"/>
          <w:bCs/>
          <w:iCs/>
        </w:rPr>
        <w:t>al municipio de Galapa</w:t>
      </w:r>
      <w:r w:rsidR="00131111" w:rsidRPr="00941576">
        <w:rPr>
          <w:rStyle w:val="Refdenotaalpie"/>
          <w:rFonts w:cs="Arial"/>
          <w:bCs/>
          <w:iCs/>
        </w:rPr>
        <w:footnoteReference w:id="1"/>
      </w:r>
      <w:r w:rsidR="00F23305" w:rsidRPr="00941576">
        <w:rPr>
          <w:rFonts w:cs="Arial"/>
          <w:bCs/>
          <w:iCs/>
        </w:rPr>
        <w:t>.</w:t>
      </w:r>
    </w:p>
    <w:p w:rsidR="00131111" w:rsidRPr="00941576" w:rsidRDefault="00131111" w:rsidP="00131111">
      <w:pPr>
        <w:ind w:right="-1"/>
        <w:rPr>
          <w:rFonts w:cs="Arial"/>
          <w:bCs/>
          <w:iCs/>
        </w:rPr>
      </w:pPr>
    </w:p>
    <w:p w:rsidR="00131111" w:rsidRPr="00941576" w:rsidRDefault="00885C9B" w:rsidP="00131111">
      <w:pPr>
        <w:ind w:right="-1"/>
        <w:rPr>
          <w:rFonts w:cs="Arial"/>
          <w:b/>
          <w:bCs/>
          <w:iCs/>
        </w:rPr>
      </w:pPr>
      <w:r w:rsidRPr="00941576">
        <w:rPr>
          <w:rFonts w:cs="Arial"/>
          <w:b/>
          <w:bCs/>
          <w:iCs/>
        </w:rPr>
        <w:t>3</w:t>
      </w:r>
      <w:r w:rsidR="00131111" w:rsidRPr="00941576">
        <w:rPr>
          <w:rFonts w:cs="Arial"/>
          <w:b/>
          <w:bCs/>
          <w:iCs/>
        </w:rPr>
        <w:t>.2.</w:t>
      </w:r>
      <w:r w:rsidR="008B32FC" w:rsidRPr="00941576">
        <w:rPr>
          <w:rFonts w:cs="Arial"/>
          <w:b/>
          <w:bCs/>
          <w:iCs/>
        </w:rPr>
        <w:t xml:space="preserve"> </w:t>
      </w:r>
      <w:r w:rsidR="00131111" w:rsidRPr="00941576">
        <w:rPr>
          <w:rFonts w:cs="Arial"/>
          <w:b/>
          <w:bCs/>
          <w:iCs/>
        </w:rPr>
        <w:t>Contestación de la demanda</w:t>
      </w:r>
    </w:p>
    <w:p w:rsidR="00131111" w:rsidRPr="00941576" w:rsidRDefault="00131111" w:rsidP="00131111">
      <w:pPr>
        <w:ind w:right="-1"/>
        <w:rPr>
          <w:rFonts w:cs="Arial"/>
          <w:b/>
          <w:bCs/>
          <w:iCs/>
        </w:rPr>
      </w:pPr>
    </w:p>
    <w:p w:rsidR="00131111" w:rsidRPr="00941576" w:rsidRDefault="00723BAB" w:rsidP="00131111">
      <w:pPr>
        <w:ind w:right="-1"/>
        <w:rPr>
          <w:rFonts w:cs="Arial"/>
        </w:rPr>
      </w:pPr>
      <w:r w:rsidRPr="00941576">
        <w:rPr>
          <w:rFonts w:cs="Arial"/>
        </w:rPr>
        <w:t xml:space="preserve">A pesar de que la </w:t>
      </w:r>
      <w:r w:rsidR="000E7842" w:rsidRPr="00941576">
        <w:rPr>
          <w:rFonts w:cs="Arial"/>
        </w:rPr>
        <w:t>entidad demandada</w:t>
      </w:r>
      <w:r w:rsidRPr="00941576">
        <w:rPr>
          <w:rFonts w:cs="Arial"/>
        </w:rPr>
        <w:t xml:space="preserve"> fue debid</w:t>
      </w:r>
      <w:r w:rsidR="00B3158C" w:rsidRPr="00941576">
        <w:rPr>
          <w:rFonts w:cs="Arial"/>
        </w:rPr>
        <w:t xml:space="preserve">amente notificada del libelo introductor, </w:t>
      </w:r>
      <w:r w:rsidR="00F13A99" w:rsidRPr="00941576">
        <w:rPr>
          <w:rFonts w:cs="Arial"/>
        </w:rPr>
        <w:t>el</w:t>
      </w:r>
      <w:r w:rsidR="000E7842" w:rsidRPr="00941576">
        <w:rPr>
          <w:rFonts w:cs="Arial"/>
        </w:rPr>
        <w:t xml:space="preserve"> municipio de Galapa no ejerció su derecho de contradicción</w:t>
      </w:r>
      <w:r w:rsidR="00B3158C" w:rsidRPr="00941576">
        <w:rPr>
          <w:rFonts w:cs="Arial"/>
        </w:rPr>
        <w:t>.</w:t>
      </w:r>
      <w:r w:rsidR="000E7842" w:rsidRPr="00941576">
        <w:rPr>
          <w:rFonts w:cs="Arial"/>
        </w:rPr>
        <w:t xml:space="preserve"> </w:t>
      </w:r>
    </w:p>
    <w:p w:rsidR="000E7842" w:rsidRPr="00941576" w:rsidRDefault="000E7842" w:rsidP="00131111">
      <w:pPr>
        <w:ind w:right="-1"/>
        <w:rPr>
          <w:rFonts w:cs="Arial"/>
          <w:b/>
          <w:bCs/>
        </w:rPr>
      </w:pPr>
    </w:p>
    <w:p w:rsidR="00131111" w:rsidRPr="00941576" w:rsidRDefault="00885C9B" w:rsidP="00131111">
      <w:pPr>
        <w:ind w:right="-1"/>
        <w:rPr>
          <w:rFonts w:cs="Arial"/>
          <w:b/>
          <w:bCs/>
        </w:rPr>
      </w:pPr>
      <w:r w:rsidRPr="00941576">
        <w:rPr>
          <w:rFonts w:cs="Arial"/>
          <w:b/>
          <w:bCs/>
        </w:rPr>
        <w:t>3</w:t>
      </w:r>
      <w:r w:rsidR="00131111" w:rsidRPr="00941576">
        <w:rPr>
          <w:rFonts w:cs="Arial"/>
          <w:b/>
          <w:bCs/>
        </w:rPr>
        <w:t xml:space="preserve">.3. Audiencia </w:t>
      </w:r>
      <w:r w:rsidR="00826111" w:rsidRPr="00941576">
        <w:rPr>
          <w:rFonts w:cs="Arial"/>
          <w:b/>
          <w:bCs/>
        </w:rPr>
        <w:t>i</w:t>
      </w:r>
      <w:r w:rsidR="00131111" w:rsidRPr="00941576">
        <w:rPr>
          <w:rFonts w:cs="Arial"/>
          <w:b/>
          <w:bCs/>
        </w:rPr>
        <w:t>nicial</w:t>
      </w:r>
      <w:r w:rsidR="007A0E0C" w:rsidRPr="00941576">
        <w:rPr>
          <w:rFonts w:cs="Arial"/>
          <w:b/>
          <w:bCs/>
        </w:rPr>
        <w:t xml:space="preserve"> </w:t>
      </w:r>
    </w:p>
    <w:p w:rsidR="00770DAD" w:rsidRPr="00941576" w:rsidRDefault="00770DAD" w:rsidP="00131111">
      <w:pPr>
        <w:ind w:right="-1"/>
        <w:rPr>
          <w:rFonts w:cs="Arial"/>
          <w:bCs/>
        </w:rPr>
      </w:pPr>
    </w:p>
    <w:p w:rsidR="00F13A99" w:rsidRPr="00941576" w:rsidRDefault="00F13A99" w:rsidP="00131111">
      <w:pPr>
        <w:ind w:right="-1"/>
        <w:rPr>
          <w:rFonts w:cs="Arial"/>
          <w:bCs/>
        </w:rPr>
      </w:pPr>
      <w:r w:rsidRPr="00941576">
        <w:rPr>
          <w:rFonts w:cs="Arial"/>
          <w:bCs/>
        </w:rPr>
        <w:t xml:space="preserve">El 26 de marzo </w:t>
      </w:r>
      <w:r w:rsidR="004C0F2F" w:rsidRPr="00941576">
        <w:rPr>
          <w:rFonts w:cs="Arial"/>
          <w:bCs/>
        </w:rPr>
        <w:t>de 2014</w:t>
      </w:r>
      <w:r w:rsidR="00826111" w:rsidRPr="00941576">
        <w:rPr>
          <w:rFonts w:cs="Arial"/>
          <w:bCs/>
        </w:rPr>
        <w:t xml:space="preserve"> se llevó a cabo la audiencia i</w:t>
      </w:r>
      <w:r w:rsidR="00131111" w:rsidRPr="00941576">
        <w:rPr>
          <w:rFonts w:cs="Arial"/>
          <w:bCs/>
        </w:rPr>
        <w:t xml:space="preserve">nicial de que trata el artículo 180 del </w:t>
      </w:r>
      <w:r w:rsidR="004933C2" w:rsidRPr="00941576">
        <w:rPr>
          <w:rFonts w:cs="Arial"/>
          <w:bCs/>
        </w:rPr>
        <w:t>Código de Procedimiento Administrativo y Contencioso Administrativo</w:t>
      </w:r>
      <w:r w:rsidR="00B3158C" w:rsidRPr="00941576">
        <w:rPr>
          <w:rFonts w:cs="Arial"/>
          <w:bCs/>
        </w:rPr>
        <w:t xml:space="preserve">. En desarrollo de </w:t>
      </w:r>
      <w:r w:rsidR="007A0E0C" w:rsidRPr="00941576">
        <w:rPr>
          <w:rFonts w:cs="Arial"/>
          <w:bCs/>
        </w:rPr>
        <w:t xml:space="preserve">la etapa de saneamiento </w:t>
      </w:r>
      <w:r w:rsidR="00826111" w:rsidRPr="00941576">
        <w:rPr>
          <w:rFonts w:cs="Arial"/>
          <w:bCs/>
        </w:rPr>
        <w:t xml:space="preserve">se </w:t>
      </w:r>
      <w:r w:rsidRPr="00941576">
        <w:rPr>
          <w:rFonts w:cs="Arial"/>
          <w:bCs/>
        </w:rPr>
        <w:t>advirtió que no existía causal de nulidad algun</w:t>
      </w:r>
      <w:r w:rsidR="0047288D" w:rsidRPr="00941576">
        <w:rPr>
          <w:rFonts w:cs="Arial"/>
          <w:bCs/>
        </w:rPr>
        <w:t>a que invalidara lo actuado. Concedido</w:t>
      </w:r>
      <w:r w:rsidR="00903036" w:rsidRPr="00941576">
        <w:rPr>
          <w:rFonts w:cs="Arial"/>
          <w:bCs/>
        </w:rPr>
        <w:t xml:space="preserve"> el uso de la</w:t>
      </w:r>
      <w:r w:rsidR="00B3158C" w:rsidRPr="00941576">
        <w:rPr>
          <w:rFonts w:cs="Arial"/>
          <w:bCs/>
        </w:rPr>
        <w:t xml:space="preserve"> palabra, las partes</w:t>
      </w:r>
      <w:r w:rsidR="0047288D" w:rsidRPr="00941576">
        <w:rPr>
          <w:rFonts w:cs="Arial"/>
          <w:bCs/>
        </w:rPr>
        <w:t xml:space="preserve"> ratificaron la inexistencia de irregularidades en el trámite</w:t>
      </w:r>
      <w:r w:rsidR="00903036" w:rsidRPr="00941576">
        <w:rPr>
          <w:rFonts w:cs="Arial"/>
          <w:bCs/>
        </w:rPr>
        <w:t xml:space="preserve"> procesal</w:t>
      </w:r>
      <w:r w:rsidR="0047288D" w:rsidRPr="00941576">
        <w:rPr>
          <w:rFonts w:cs="Arial"/>
          <w:bCs/>
        </w:rPr>
        <w:t xml:space="preserve">. </w:t>
      </w:r>
    </w:p>
    <w:p w:rsidR="00A21CAD" w:rsidRPr="00941576" w:rsidRDefault="00A21CAD" w:rsidP="00131111">
      <w:pPr>
        <w:ind w:right="-1"/>
        <w:rPr>
          <w:rFonts w:cs="Arial"/>
          <w:bCs/>
        </w:rPr>
      </w:pPr>
    </w:p>
    <w:p w:rsidR="00903036" w:rsidRPr="00941576" w:rsidRDefault="00A21CAD" w:rsidP="00131111">
      <w:pPr>
        <w:ind w:right="-1"/>
        <w:rPr>
          <w:rFonts w:cs="Arial"/>
          <w:bCs/>
        </w:rPr>
      </w:pPr>
      <w:r w:rsidRPr="00941576">
        <w:rPr>
          <w:rFonts w:cs="Arial"/>
          <w:bCs/>
        </w:rPr>
        <w:t xml:space="preserve">Seguidamente, </w:t>
      </w:r>
      <w:r w:rsidR="00903036" w:rsidRPr="00941576">
        <w:rPr>
          <w:rFonts w:cs="Arial"/>
          <w:bCs/>
        </w:rPr>
        <w:t xml:space="preserve">ante la asuencia de excepciones por resolver, </w:t>
      </w:r>
      <w:r w:rsidRPr="00941576">
        <w:rPr>
          <w:rFonts w:cs="Arial"/>
          <w:bCs/>
        </w:rPr>
        <w:t>la primera instancia proc</w:t>
      </w:r>
      <w:r w:rsidR="00903036" w:rsidRPr="00941576">
        <w:rPr>
          <w:rFonts w:cs="Arial"/>
          <w:bCs/>
        </w:rPr>
        <w:t xml:space="preserve">edió a la fijación del litigio. </w:t>
      </w:r>
    </w:p>
    <w:p w:rsidR="00903036" w:rsidRPr="00941576" w:rsidRDefault="00903036" w:rsidP="00131111">
      <w:pPr>
        <w:ind w:right="-1"/>
        <w:rPr>
          <w:rFonts w:cs="Arial"/>
          <w:bCs/>
        </w:rPr>
      </w:pPr>
    </w:p>
    <w:p w:rsidR="00903036" w:rsidRPr="00941576" w:rsidRDefault="00B3158C" w:rsidP="00131111">
      <w:pPr>
        <w:ind w:right="-1"/>
        <w:rPr>
          <w:rFonts w:cs="Arial"/>
          <w:bCs/>
        </w:rPr>
      </w:pPr>
      <w:r w:rsidRPr="00941576">
        <w:rPr>
          <w:rFonts w:cs="Arial"/>
          <w:bCs/>
        </w:rPr>
        <w:t xml:space="preserve">Para ese propósito refirió </w:t>
      </w:r>
      <w:r w:rsidR="00903036" w:rsidRPr="00941576">
        <w:rPr>
          <w:rFonts w:cs="Arial"/>
          <w:bCs/>
        </w:rPr>
        <w:t>que la comprensión que debía brindarse</w:t>
      </w:r>
      <w:r w:rsidR="00322E53" w:rsidRPr="00941576">
        <w:rPr>
          <w:rFonts w:cs="Arial"/>
          <w:bCs/>
        </w:rPr>
        <w:t xml:space="preserve"> a la pretensión</w:t>
      </w:r>
      <w:r w:rsidR="00903036" w:rsidRPr="00941576">
        <w:rPr>
          <w:rFonts w:cs="Arial"/>
          <w:bCs/>
        </w:rPr>
        <w:t xml:space="preserve"> </w:t>
      </w:r>
      <w:r w:rsidR="00322E53" w:rsidRPr="00941576">
        <w:rPr>
          <w:rFonts w:cs="Arial"/>
          <w:bCs/>
        </w:rPr>
        <w:t>formulada</w:t>
      </w:r>
      <w:r w:rsidRPr="00941576">
        <w:rPr>
          <w:rFonts w:cs="Arial"/>
          <w:bCs/>
        </w:rPr>
        <w:t xml:space="preserve"> en la demanda, consistente</w:t>
      </w:r>
      <w:r w:rsidR="00903036" w:rsidRPr="00941576">
        <w:rPr>
          <w:rFonts w:cs="Arial"/>
          <w:bCs/>
        </w:rPr>
        <w:t xml:space="preserve"> en declarar que el municipio adeudaba al contratista valores por mayores cantidades </w:t>
      </w:r>
      <w:r w:rsidR="00336749" w:rsidRPr="00941576">
        <w:rPr>
          <w:rFonts w:cs="Arial"/>
          <w:bCs/>
        </w:rPr>
        <w:t>de obra</w:t>
      </w:r>
      <w:r w:rsidR="00903036" w:rsidRPr="00941576">
        <w:rPr>
          <w:rFonts w:cs="Arial"/>
          <w:bCs/>
        </w:rPr>
        <w:t xml:space="preserve"> y por costos de mayor permanencia, se equiparaba a una </w:t>
      </w:r>
      <w:r w:rsidR="00336749" w:rsidRPr="00941576">
        <w:rPr>
          <w:rFonts w:cs="Arial"/>
          <w:bCs/>
        </w:rPr>
        <w:t xml:space="preserve">verdadera </w:t>
      </w:r>
      <w:r w:rsidR="00903036" w:rsidRPr="00941576">
        <w:rPr>
          <w:rFonts w:cs="Arial"/>
          <w:bCs/>
        </w:rPr>
        <w:t xml:space="preserve">declaratoria de incumplimiento contractual. En </w:t>
      </w:r>
      <w:r w:rsidR="00B42D80" w:rsidRPr="00941576">
        <w:rPr>
          <w:rFonts w:cs="Arial"/>
          <w:bCs/>
        </w:rPr>
        <w:t xml:space="preserve">ese </w:t>
      </w:r>
      <w:r w:rsidR="00903036" w:rsidRPr="00941576">
        <w:rPr>
          <w:rFonts w:cs="Arial"/>
          <w:bCs/>
        </w:rPr>
        <w:t>sentido, estim</w:t>
      </w:r>
      <w:r w:rsidR="00336749" w:rsidRPr="00941576">
        <w:rPr>
          <w:rFonts w:cs="Arial"/>
          <w:bCs/>
        </w:rPr>
        <w:t>ó que el conflicto</w:t>
      </w:r>
      <w:r w:rsidR="00903036" w:rsidRPr="00941576">
        <w:rPr>
          <w:rFonts w:cs="Arial"/>
          <w:bCs/>
        </w:rPr>
        <w:t xml:space="preserve"> </w:t>
      </w:r>
      <w:r w:rsidR="003C102A" w:rsidRPr="00941576">
        <w:rPr>
          <w:rFonts w:cs="Arial"/>
          <w:bCs/>
        </w:rPr>
        <w:t xml:space="preserve">se circunscribía a </w:t>
      </w:r>
      <w:r w:rsidR="00903036" w:rsidRPr="00941576">
        <w:rPr>
          <w:rFonts w:cs="Arial"/>
          <w:bCs/>
        </w:rPr>
        <w:t>resolver el incumplimiento del municipio de Galapa</w:t>
      </w:r>
      <w:r w:rsidR="00B42D80" w:rsidRPr="00941576">
        <w:rPr>
          <w:rFonts w:cs="Arial"/>
          <w:bCs/>
        </w:rPr>
        <w:t>,</w:t>
      </w:r>
      <w:r w:rsidR="00903036" w:rsidRPr="00941576">
        <w:rPr>
          <w:rFonts w:cs="Arial"/>
          <w:bCs/>
        </w:rPr>
        <w:t xml:space="preserve"> </w:t>
      </w:r>
      <w:r w:rsidR="00322E53" w:rsidRPr="00941576">
        <w:rPr>
          <w:rFonts w:cs="Arial"/>
          <w:bCs/>
        </w:rPr>
        <w:t>en cuanto se refería</w:t>
      </w:r>
      <w:r w:rsidR="00BF3628" w:rsidRPr="00941576">
        <w:rPr>
          <w:rFonts w:cs="Arial"/>
          <w:bCs/>
        </w:rPr>
        <w:t xml:space="preserve"> </w:t>
      </w:r>
      <w:r w:rsidR="002D79C6" w:rsidRPr="00941576">
        <w:rPr>
          <w:rFonts w:cs="Arial"/>
          <w:bCs/>
        </w:rPr>
        <w:t>al reconocimiento de</w:t>
      </w:r>
      <w:r w:rsidR="00BF3628" w:rsidRPr="00941576">
        <w:rPr>
          <w:rFonts w:cs="Arial"/>
          <w:bCs/>
        </w:rPr>
        <w:t xml:space="preserve"> los valores consignados en el acta de liquidación</w:t>
      </w:r>
      <w:r w:rsidRPr="00941576">
        <w:rPr>
          <w:rFonts w:cs="Arial"/>
          <w:bCs/>
        </w:rPr>
        <w:t xml:space="preserve"> bilateral</w:t>
      </w:r>
      <w:r w:rsidR="00BF3628" w:rsidRPr="00941576">
        <w:rPr>
          <w:rFonts w:cs="Arial"/>
          <w:bCs/>
        </w:rPr>
        <w:t xml:space="preserve">. </w:t>
      </w:r>
    </w:p>
    <w:p w:rsidR="00A21CAD" w:rsidRPr="00941576" w:rsidRDefault="00A21CAD" w:rsidP="00131111">
      <w:pPr>
        <w:ind w:right="-1"/>
        <w:rPr>
          <w:rFonts w:cs="Arial"/>
          <w:bCs/>
        </w:rPr>
      </w:pPr>
    </w:p>
    <w:p w:rsidR="009A1B38" w:rsidRPr="00941576" w:rsidRDefault="00550F48" w:rsidP="00131111">
      <w:pPr>
        <w:ind w:right="-1"/>
        <w:rPr>
          <w:rFonts w:cs="Arial"/>
          <w:bCs/>
        </w:rPr>
      </w:pPr>
      <w:r w:rsidRPr="00941576">
        <w:rPr>
          <w:rFonts w:cs="Arial"/>
          <w:bCs/>
        </w:rPr>
        <w:t>A continuación, se tuvieron como pruebas todos los doc</w:t>
      </w:r>
      <w:r w:rsidR="009A1B38" w:rsidRPr="00941576">
        <w:rPr>
          <w:rFonts w:cs="Arial"/>
          <w:bCs/>
        </w:rPr>
        <w:t xml:space="preserve">umentos aportados por la parte demandante y </w:t>
      </w:r>
      <w:r w:rsidR="002D79C6" w:rsidRPr="00941576">
        <w:rPr>
          <w:rFonts w:cs="Arial"/>
          <w:bCs/>
        </w:rPr>
        <w:t xml:space="preserve">se </w:t>
      </w:r>
      <w:r w:rsidR="009A1B38" w:rsidRPr="00941576">
        <w:rPr>
          <w:rFonts w:cs="Arial"/>
          <w:bCs/>
        </w:rPr>
        <w:t>requirió a la demanda</w:t>
      </w:r>
      <w:r w:rsidR="00B3158C" w:rsidRPr="00941576">
        <w:rPr>
          <w:rFonts w:cs="Arial"/>
          <w:bCs/>
        </w:rPr>
        <w:t>da</w:t>
      </w:r>
      <w:r w:rsidR="009A1B38" w:rsidRPr="00941576">
        <w:rPr>
          <w:rFonts w:cs="Arial"/>
          <w:bCs/>
        </w:rPr>
        <w:t xml:space="preserve"> para que allegara al proceso el expediente contentivo de los antecedentes administrativos del Contrato No. 01 de 2010.</w:t>
      </w:r>
    </w:p>
    <w:p w:rsidR="009A1B38" w:rsidRPr="00941576" w:rsidRDefault="009A1B38" w:rsidP="00131111">
      <w:pPr>
        <w:ind w:right="-1"/>
        <w:rPr>
          <w:rFonts w:cs="Arial"/>
          <w:bCs/>
        </w:rPr>
      </w:pPr>
    </w:p>
    <w:p w:rsidR="000712C0" w:rsidRPr="00941576" w:rsidRDefault="00A45AAE" w:rsidP="00A45AAE">
      <w:pPr>
        <w:ind w:right="-1"/>
        <w:rPr>
          <w:rFonts w:cs="Arial"/>
          <w:b/>
          <w:bCs/>
          <w:lang w:val="es-MX"/>
        </w:rPr>
      </w:pPr>
      <w:r w:rsidRPr="00941576">
        <w:rPr>
          <w:rFonts w:cs="Arial"/>
          <w:bCs/>
        </w:rPr>
        <w:t xml:space="preserve">Al finalizar la audiencia, el </w:t>
      </w:r>
      <w:r w:rsidRPr="00941576">
        <w:rPr>
          <w:rFonts w:cs="Arial"/>
          <w:bCs/>
          <w:i/>
        </w:rPr>
        <w:t>a quo</w:t>
      </w:r>
      <w:r w:rsidRPr="00941576">
        <w:rPr>
          <w:rFonts w:cs="Arial"/>
          <w:bCs/>
        </w:rPr>
        <w:t xml:space="preserve"> corrió traslado a las partes por el término común de diez (10) días para que presentaran sus alegaciones y al Ministerio Público para que rindiera concepto. </w:t>
      </w:r>
    </w:p>
    <w:p w:rsidR="00183FF3" w:rsidRPr="00941576" w:rsidRDefault="00183FF3" w:rsidP="00EA7974">
      <w:pPr>
        <w:numPr>
          <w:ilvl w:val="12"/>
          <w:numId w:val="0"/>
        </w:numPr>
        <w:rPr>
          <w:rFonts w:cs="Arial"/>
          <w:b/>
          <w:bCs/>
        </w:rPr>
      </w:pPr>
    </w:p>
    <w:p w:rsidR="00EA7974" w:rsidRPr="00941576" w:rsidRDefault="00EA7974" w:rsidP="00EA7974">
      <w:pPr>
        <w:numPr>
          <w:ilvl w:val="12"/>
          <w:numId w:val="0"/>
        </w:numPr>
        <w:rPr>
          <w:rFonts w:cs="Arial"/>
          <w:bCs/>
        </w:rPr>
      </w:pPr>
      <w:r w:rsidRPr="00941576">
        <w:rPr>
          <w:rFonts w:cs="Arial"/>
          <w:b/>
          <w:bCs/>
        </w:rPr>
        <w:t>4. La sentencia impugnada</w:t>
      </w:r>
    </w:p>
    <w:p w:rsidR="00EA7974" w:rsidRPr="00941576" w:rsidRDefault="00EA7974" w:rsidP="00EA7974">
      <w:pPr>
        <w:numPr>
          <w:ilvl w:val="12"/>
          <w:numId w:val="0"/>
        </w:numPr>
        <w:rPr>
          <w:rFonts w:cs="Arial"/>
          <w:bCs/>
        </w:rPr>
      </w:pPr>
    </w:p>
    <w:p w:rsidR="00EA7974" w:rsidRPr="00941576" w:rsidRDefault="00EA7974" w:rsidP="00EA7974">
      <w:pPr>
        <w:numPr>
          <w:ilvl w:val="12"/>
          <w:numId w:val="0"/>
        </w:numPr>
        <w:rPr>
          <w:rFonts w:cs="Arial"/>
          <w:bCs/>
        </w:rPr>
      </w:pPr>
      <w:r w:rsidRPr="00941576">
        <w:rPr>
          <w:rFonts w:cs="Arial"/>
          <w:bCs/>
        </w:rPr>
        <w:t>El Tribuna</w:t>
      </w:r>
      <w:r w:rsidR="00183FF3" w:rsidRPr="00941576">
        <w:rPr>
          <w:rFonts w:cs="Arial"/>
          <w:bCs/>
        </w:rPr>
        <w:t xml:space="preserve">l Administrativo del Atlántico negó </w:t>
      </w:r>
      <w:r w:rsidRPr="00941576">
        <w:rPr>
          <w:rFonts w:cs="Arial"/>
          <w:bCs/>
        </w:rPr>
        <w:t>las pretensiones de la demanda, con fundamento, esencialmente, en las siguientes razones:</w:t>
      </w:r>
    </w:p>
    <w:p w:rsidR="00EA7974" w:rsidRPr="00941576" w:rsidRDefault="00EA7974" w:rsidP="00EA7974">
      <w:pPr>
        <w:widowControl w:val="0"/>
        <w:autoSpaceDE w:val="0"/>
        <w:autoSpaceDN w:val="0"/>
        <w:adjustRightInd w:val="0"/>
        <w:rPr>
          <w:rFonts w:cs="Arial"/>
          <w:bCs/>
        </w:rPr>
      </w:pPr>
    </w:p>
    <w:p w:rsidR="006C0B25" w:rsidRPr="00941576" w:rsidRDefault="00EA7974" w:rsidP="00EA7974">
      <w:pPr>
        <w:widowControl w:val="0"/>
        <w:autoSpaceDE w:val="0"/>
        <w:autoSpaceDN w:val="0"/>
        <w:adjustRightInd w:val="0"/>
        <w:rPr>
          <w:rFonts w:cs="Arial"/>
          <w:bCs/>
        </w:rPr>
      </w:pPr>
      <w:r w:rsidRPr="00941576">
        <w:rPr>
          <w:rFonts w:cs="Arial"/>
          <w:bCs/>
        </w:rPr>
        <w:t xml:space="preserve">En primer lugar, </w:t>
      </w:r>
      <w:r w:rsidR="00183FF3" w:rsidRPr="00941576">
        <w:rPr>
          <w:rFonts w:cs="Arial"/>
          <w:bCs/>
        </w:rPr>
        <w:t xml:space="preserve">el </w:t>
      </w:r>
      <w:r w:rsidR="00183FF3" w:rsidRPr="00941576">
        <w:rPr>
          <w:rFonts w:cs="Arial"/>
          <w:bCs/>
          <w:i/>
        </w:rPr>
        <w:t>a quo</w:t>
      </w:r>
      <w:r w:rsidR="00183FF3" w:rsidRPr="00941576">
        <w:rPr>
          <w:rFonts w:cs="Arial"/>
          <w:bCs/>
        </w:rPr>
        <w:t xml:space="preserve"> verificó la capacidad procesal del consorcio demandante a la luz de la sentencia de unificación que sobre la materia dictó esta Corporación</w:t>
      </w:r>
      <w:r w:rsidR="00276859" w:rsidRPr="00941576">
        <w:rPr>
          <w:rFonts w:cs="Arial"/>
          <w:bCs/>
        </w:rPr>
        <w:t>.</w:t>
      </w:r>
    </w:p>
    <w:p w:rsidR="006C0B25" w:rsidRPr="00941576" w:rsidRDefault="006C0B25" w:rsidP="00EA7974">
      <w:pPr>
        <w:widowControl w:val="0"/>
        <w:autoSpaceDE w:val="0"/>
        <w:autoSpaceDN w:val="0"/>
        <w:adjustRightInd w:val="0"/>
        <w:rPr>
          <w:rFonts w:cs="Arial"/>
          <w:bCs/>
        </w:rPr>
      </w:pPr>
    </w:p>
    <w:p w:rsidR="00183FF3" w:rsidRPr="00941576" w:rsidRDefault="006C0B25" w:rsidP="00EA7974">
      <w:pPr>
        <w:widowControl w:val="0"/>
        <w:autoSpaceDE w:val="0"/>
        <w:autoSpaceDN w:val="0"/>
        <w:adjustRightInd w:val="0"/>
        <w:rPr>
          <w:rFonts w:cs="Arial"/>
          <w:bCs/>
        </w:rPr>
      </w:pPr>
      <w:r w:rsidRPr="00941576">
        <w:rPr>
          <w:rFonts w:cs="Arial"/>
          <w:bCs/>
        </w:rPr>
        <w:t xml:space="preserve">Luego de enunciar las pruebas obrantes en el plenario, </w:t>
      </w:r>
      <w:r w:rsidR="00B3158C" w:rsidRPr="00941576">
        <w:rPr>
          <w:rFonts w:cs="Arial"/>
          <w:bCs/>
        </w:rPr>
        <w:t xml:space="preserve">la primera instancia se pronunció en torno </w:t>
      </w:r>
      <w:r w:rsidRPr="00941576">
        <w:rPr>
          <w:rFonts w:cs="Arial"/>
          <w:bCs/>
        </w:rPr>
        <w:t>al instituto del equilibrio económico del contrato y a la naturaleza del acta de liquidación bilateral de los contratos.</w:t>
      </w:r>
    </w:p>
    <w:p w:rsidR="0058584A" w:rsidRPr="00941576" w:rsidRDefault="0058584A" w:rsidP="00D04747">
      <w:pPr>
        <w:widowControl w:val="0"/>
        <w:autoSpaceDE w:val="0"/>
        <w:autoSpaceDN w:val="0"/>
        <w:adjustRightInd w:val="0"/>
        <w:rPr>
          <w:rFonts w:cs="Arial"/>
          <w:bCs/>
        </w:rPr>
      </w:pPr>
    </w:p>
    <w:p w:rsidR="00EA7974" w:rsidRPr="00941576" w:rsidRDefault="006C0B25" w:rsidP="00D04747">
      <w:pPr>
        <w:widowControl w:val="0"/>
        <w:autoSpaceDE w:val="0"/>
        <w:autoSpaceDN w:val="0"/>
        <w:adjustRightInd w:val="0"/>
        <w:rPr>
          <w:rFonts w:cs="Arial"/>
          <w:bCs/>
        </w:rPr>
      </w:pPr>
      <w:r w:rsidRPr="00941576">
        <w:rPr>
          <w:rFonts w:cs="Arial"/>
          <w:bCs/>
        </w:rPr>
        <w:t xml:space="preserve">Descendiendo al caso concreto, advirtió que </w:t>
      </w:r>
      <w:r w:rsidR="00A0453B" w:rsidRPr="00941576">
        <w:rPr>
          <w:rFonts w:cs="Arial"/>
          <w:bCs/>
        </w:rPr>
        <w:t>en el acta</w:t>
      </w:r>
      <w:r w:rsidR="00D04747" w:rsidRPr="00941576">
        <w:rPr>
          <w:rFonts w:cs="Arial"/>
          <w:bCs/>
        </w:rPr>
        <w:t xml:space="preserve"> de liquidación bilat</w:t>
      </w:r>
      <w:r w:rsidR="00B42D80" w:rsidRPr="00941576">
        <w:rPr>
          <w:rFonts w:cs="Arial"/>
          <w:bCs/>
        </w:rPr>
        <w:t>eral del contrato se dejó sentada</w:t>
      </w:r>
      <w:r w:rsidR="00D04747" w:rsidRPr="00941576">
        <w:rPr>
          <w:rFonts w:cs="Arial"/>
          <w:bCs/>
        </w:rPr>
        <w:t xml:space="preserve"> la existencia de obligaciones a cargo del municipio demandado </w:t>
      </w:r>
      <w:r w:rsidR="0040487D" w:rsidRPr="00941576">
        <w:rPr>
          <w:rFonts w:cs="Arial"/>
          <w:bCs/>
        </w:rPr>
        <w:t>y en favor del contratista;</w:t>
      </w:r>
      <w:r w:rsidR="00D04747" w:rsidRPr="00941576">
        <w:rPr>
          <w:rFonts w:cs="Arial"/>
          <w:bCs/>
        </w:rPr>
        <w:t xml:space="preserve"> concretamente</w:t>
      </w:r>
      <w:r w:rsidR="0040487D" w:rsidRPr="00941576">
        <w:rPr>
          <w:rFonts w:cs="Arial"/>
          <w:bCs/>
        </w:rPr>
        <w:t>,</w:t>
      </w:r>
      <w:r w:rsidR="00D04747" w:rsidRPr="00941576">
        <w:rPr>
          <w:rFonts w:cs="Arial"/>
          <w:bCs/>
        </w:rPr>
        <w:t xml:space="preserve"> se consignó que la Alcaldía habría de reconocerle los costos administrativos por concepto de mayor permanencia en obra</w:t>
      </w:r>
      <w:r w:rsidR="0040487D" w:rsidRPr="00941576">
        <w:rPr>
          <w:rFonts w:cs="Arial"/>
          <w:bCs/>
        </w:rPr>
        <w:t>, por desequilibrio económico</w:t>
      </w:r>
      <w:r w:rsidR="00D04747" w:rsidRPr="00941576">
        <w:rPr>
          <w:rFonts w:cs="Arial"/>
          <w:bCs/>
        </w:rPr>
        <w:t xml:space="preserve"> </w:t>
      </w:r>
      <w:r w:rsidR="0040487D" w:rsidRPr="00941576">
        <w:rPr>
          <w:rFonts w:cs="Arial"/>
          <w:bCs/>
        </w:rPr>
        <w:t>en cuantía de $560’286.379,80 correspondiente a seis meses.</w:t>
      </w:r>
    </w:p>
    <w:p w:rsidR="0040487D" w:rsidRPr="00941576" w:rsidRDefault="0040487D" w:rsidP="00D04747">
      <w:pPr>
        <w:widowControl w:val="0"/>
        <w:autoSpaceDE w:val="0"/>
        <w:autoSpaceDN w:val="0"/>
        <w:adjustRightInd w:val="0"/>
        <w:rPr>
          <w:rFonts w:cs="Arial"/>
          <w:bCs/>
        </w:rPr>
      </w:pPr>
    </w:p>
    <w:p w:rsidR="0040487D" w:rsidRPr="00941576" w:rsidRDefault="0040487D" w:rsidP="00D04747">
      <w:pPr>
        <w:widowControl w:val="0"/>
        <w:autoSpaceDE w:val="0"/>
        <w:autoSpaceDN w:val="0"/>
        <w:adjustRightInd w:val="0"/>
        <w:rPr>
          <w:rFonts w:cs="Arial"/>
          <w:bCs/>
        </w:rPr>
      </w:pPr>
      <w:r w:rsidRPr="00941576">
        <w:rPr>
          <w:rFonts w:cs="Arial"/>
          <w:bCs/>
        </w:rPr>
        <w:t xml:space="preserve">Con todo, halló que el ente municipal no elevó </w:t>
      </w:r>
      <w:r w:rsidR="008947D6" w:rsidRPr="00941576">
        <w:rPr>
          <w:rFonts w:cs="Arial"/>
          <w:bCs/>
        </w:rPr>
        <w:t>manifestación alguna</w:t>
      </w:r>
      <w:r w:rsidRPr="00941576">
        <w:rPr>
          <w:rFonts w:cs="Arial"/>
          <w:bCs/>
        </w:rPr>
        <w:t xml:space="preserve"> respecto de los $74’014.835 adeudados al contratista, según la demanda, por mayores cantidades de obra. </w:t>
      </w:r>
    </w:p>
    <w:p w:rsidR="00EC5825" w:rsidRPr="00941576" w:rsidRDefault="00EC5825" w:rsidP="00D04747">
      <w:pPr>
        <w:widowControl w:val="0"/>
        <w:autoSpaceDE w:val="0"/>
        <w:autoSpaceDN w:val="0"/>
        <w:adjustRightInd w:val="0"/>
        <w:rPr>
          <w:rFonts w:cs="Arial"/>
          <w:bCs/>
        </w:rPr>
      </w:pPr>
    </w:p>
    <w:p w:rsidR="009D213E" w:rsidRPr="00941576" w:rsidRDefault="00EC5825" w:rsidP="00D04747">
      <w:pPr>
        <w:widowControl w:val="0"/>
        <w:autoSpaceDE w:val="0"/>
        <w:autoSpaceDN w:val="0"/>
        <w:adjustRightInd w:val="0"/>
        <w:rPr>
          <w:rFonts w:cs="Arial"/>
          <w:bCs/>
        </w:rPr>
      </w:pPr>
      <w:r w:rsidRPr="00941576">
        <w:rPr>
          <w:rFonts w:cs="Arial"/>
          <w:bCs/>
        </w:rPr>
        <w:t xml:space="preserve">Puesto de presente el panorama, el operador de primer grado consideró que no resultaba viable, a través del medio de control de controversias contractuales, reclamar el valor efectivamente reconocido por el municipio en el acta de liquidación, en atención a que su pago podría ser exigido por el contratista </w:t>
      </w:r>
      <w:r w:rsidR="009D213E" w:rsidRPr="00941576">
        <w:rPr>
          <w:rFonts w:cs="Arial"/>
          <w:bCs/>
        </w:rPr>
        <w:t xml:space="preserve">mediante la formulación de un medio de control distinto. </w:t>
      </w:r>
    </w:p>
    <w:p w:rsidR="00EC5825" w:rsidRPr="00941576" w:rsidRDefault="00EC5825" w:rsidP="00D04747">
      <w:pPr>
        <w:widowControl w:val="0"/>
        <w:autoSpaceDE w:val="0"/>
        <w:autoSpaceDN w:val="0"/>
        <w:adjustRightInd w:val="0"/>
        <w:rPr>
          <w:rFonts w:cs="Arial"/>
          <w:bCs/>
        </w:rPr>
      </w:pPr>
      <w:r w:rsidRPr="00941576">
        <w:rPr>
          <w:rFonts w:cs="Arial"/>
          <w:bCs/>
        </w:rPr>
        <w:t xml:space="preserve"> </w:t>
      </w:r>
    </w:p>
    <w:p w:rsidR="00D27868" w:rsidRPr="00941576" w:rsidRDefault="00D27868" w:rsidP="00D04747">
      <w:pPr>
        <w:widowControl w:val="0"/>
        <w:autoSpaceDE w:val="0"/>
        <w:autoSpaceDN w:val="0"/>
        <w:adjustRightInd w:val="0"/>
        <w:rPr>
          <w:rFonts w:cs="Arial"/>
          <w:bCs/>
        </w:rPr>
      </w:pPr>
      <w:r w:rsidRPr="00941576">
        <w:rPr>
          <w:rFonts w:cs="Arial"/>
          <w:bCs/>
        </w:rPr>
        <w:t xml:space="preserve">En lo concerniente al concepto de </w:t>
      </w:r>
      <w:r w:rsidR="00ED18CA" w:rsidRPr="00941576">
        <w:rPr>
          <w:rFonts w:cs="Arial"/>
          <w:bCs/>
        </w:rPr>
        <w:t>mayores cantidades de obra</w:t>
      </w:r>
      <w:r w:rsidR="008947D6" w:rsidRPr="00941576">
        <w:rPr>
          <w:rFonts w:cs="Arial"/>
          <w:bCs/>
        </w:rPr>
        <w:t>,</w:t>
      </w:r>
      <w:r w:rsidR="00ED18CA" w:rsidRPr="00941576">
        <w:rPr>
          <w:rFonts w:cs="Arial"/>
          <w:bCs/>
        </w:rPr>
        <w:t xml:space="preserve"> cuyo reconocimiento se pretendió en cuantía </w:t>
      </w:r>
      <w:r w:rsidR="00BD3BB3" w:rsidRPr="00941576">
        <w:rPr>
          <w:rFonts w:cs="Arial"/>
          <w:bCs/>
        </w:rPr>
        <w:t xml:space="preserve">de $74’014.835, el Tribunal señaló que no se encontraba acreditado que se hubieran ejecutado las mayores cantidades de obra a pesar de haberse descrito </w:t>
      </w:r>
      <w:r w:rsidR="008947D6" w:rsidRPr="00941576">
        <w:rPr>
          <w:rFonts w:cs="Arial"/>
          <w:bCs/>
        </w:rPr>
        <w:t xml:space="preserve">esa suma </w:t>
      </w:r>
      <w:r w:rsidR="00BD3BB3" w:rsidRPr="00941576">
        <w:rPr>
          <w:rFonts w:cs="Arial"/>
          <w:bCs/>
        </w:rPr>
        <w:t>en el acta de liquidación final del contrato.</w:t>
      </w:r>
    </w:p>
    <w:p w:rsidR="00BD3BB3" w:rsidRPr="00941576" w:rsidRDefault="00BD3BB3" w:rsidP="00D04747">
      <w:pPr>
        <w:widowControl w:val="0"/>
        <w:autoSpaceDE w:val="0"/>
        <w:autoSpaceDN w:val="0"/>
        <w:adjustRightInd w:val="0"/>
        <w:rPr>
          <w:rFonts w:cs="Arial"/>
          <w:bCs/>
        </w:rPr>
      </w:pPr>
    </w:p>
    <w:p w:rsidR="00BD3BB3" w:rsidRPr="00941576" w:rsidRDefault="00BD3BB3" w:rsidP="00D04747">
      <w:pPr>
        <w:widowControl w:val="0"/>
        <w:autoSpaceDE w:val="0"/>
        <w:autoSpaceDN w:val="0"/>
        <w:adjustRightInd w:val="0"/>
        <w:rPr>
          <w:rFonts w:cs="Arial"/>
          <w:bCs/>
        </w:rPr>
      </w:pPr>
      <w:r w:rsidRPr="00941576">
        <w:rPr>
          <w:rFonts w:cs="Arial"/>
          <w:bCs/>
        </w:rPr>
        <w:t xml:space="preserve">Por lo anterior, concluyó que el actor desatendió la carga probatoria que le asistía. </w:t>
      </w:r>
    </w:p>
    <w:p w:rsidR="000712C0" w:rsidRPr="00941576" w:rsidRDefault="000712C0" w:rsidP="00131111">
      <w:pPr>
        <w:ind w:right="-1"/>
        <w:rPr>
          <w:rFonts w:cs="Arial"/>
          <w:b/>
          <w:bCs/>
          <w:lang w:val="es-MX"/>
        </w:rPr>
      </w:pPr>
    </w:p>
    <w:p w:rsidR="00131111" w:rsidRPr="00941576" w:rsidRDefault="00885C9B" w:rsidP="00131111">
      <w:pPr>
        <w:ind w:right="-1"/>
        <w:rPr>
          <w:rFonts w:cs="Arial"/>
          <w:b/>
          <w:bCs/>
          <w:lang w:val="es-MX"/>
        </w:rPr>
      </w:pPr>
      <w:r w:rsidRPr="00941576">
        <w:rPr>
          <w:rFonts w:cs="Arial"/>
          <w:b/>
          <w:bCs/>
          <w:lang w:val="es-MX"/>
        </w:rPr>
        <w:t>5</w:t>
      </w:r>
      <w:r w:rsidR="00131111" w:rsidRPr="00941576">
        <w:rPr>
          <w:rFonts w:cs="Arial"/>
          <w:b/>
          <w:bCs/>
          <w:lang w:val="es-MX"/>
        </w:rPr>
        <w:t>.</w:t>
      </w:r>
      <w:r w:rsidR="00DC21AA" w:rsidRPr="00941576">
        <w:rPr>
          <w:rFonts w:cs="Arial"/>
          <w:b/>
          <w:bCs/>
          <w:lang w:val="es-MX"/>
        </w:rPr>
        <w:t xml:space="preserve"> </w:t>
      </w:r>
      <w:r w:rsidR="00131111" w:rsidRPr="00941576">
        <w:rPr>
          <w:rFonts w:cs="Arial"/>
          <w:b/>
          <w:bCs/>
          <w:lang w:val="es-MX"/>
        </w:rPr>
        <w:t xml:space="preserve">El recurso de apelación </w:t>
      </w:r>
    </w:p>
    <w:p w:rsidR="000712C0" w:rsidRPr="00941576" w:rsidRDefault="000712C0" w:rsidP="00131111">
      <w:pPr>
        <w:ind w:right="-1"/>
        <w:rPr>
          <w:rFonts w:cs="Arial"/>
          <w:b/>
          <w:bCs/>
          <w:lang w:val="es-MX"/>
        </w:rPr>
      </w:pPr>
    </w:p>
    <w:p w:rsidR="00F441A1" w:rsidRPr="00941576" w:rsidRDefault="007B2F40" w:rsidP="00131111">
      <w:pPr>
        <w:ind w:right="-1"/>
        <w:rPr>
          <w:rFonts w:cs="Arial"/>
          <w:bCs/>
          <w:lang w:val="es-MX"/>
        </w:rPr>
      </w:pPr>
      <w:r w:rsidRPr="00941576">
        <w:rPr>
          <w:rFonts w:cs="Arial"/>
          <w:bCs/>
          <w:lang w:val="es-MX"/>
        </w:rPr>
        <w:t>El consorcio demandante</w:t>
      </w:r>
      <w:r w:rsidR="00131111" w:rsidRPr="00941576">
        <w:rPr>
          <w:rFonts w:cs="Arial"/>
          <w:bCs/>
          <w:lang w:val="es-MX"/>
        </w:rPr>
        <w:t xml:space="preserve"> interpuso y sustentó el recurso de apelación contra la sentencia de primera instancia</w:t>
      </w:r>
      <w:r w:rsidR="00F441A1" w:rsidRPr="00941576">
        <w:rPr>
          <w:rFonts w:cs="Arial"/>
          <w:bCs/>
          <w:lang w:val="es-MX"/>
        </w:rPr>
        <w:t>.</w:t>
      </w:r>
    </w:p>
    <w:p w:rsidR="00F441A1" w:rsidRPr="00941576" w:rsidRDefault="00F441A1" w:rsidP="00131111">
      <w:pPr>
        <w:ind w:right="-1"/>
        <w:rPr>
          <w:rFonts w:cs="Arial"/>
          <w:bCs/>
          <w:lang w:val="es-MX"/>
        </w:rPr>
      </w:pPr>
    </w:p>
    <w:p w:rsidR="0059488C" w:rsidRPr="00941576" w:rsidRDefault="008947D6" w:rsidP="00CE159F">
      <w:pPr>
        <w:ind w:right="-1"/>
        <w:rPr>
          <w:rFonts w:cs="Arial"/>
          <w:bCs/>
          <w:lang w:val="es-MX"/>
        </w:rPr>
      </w:pPr>
      <w:r w:rsidRPr="00941576">
        <w:rPr>
          <w:rFonts w:cs="Arial"/>
          <w:bCs/>
          <w:lang w:val="es-MX"/>
        </w:rPr>
        <w:t>Como argumento</w:t>
      </w:r>
      <w:r w:rsidR="00CE159F" w:rsidRPr="00941576">
        <w:rPr>
          <w:rFonts w:cs="Arial"/>
          <w:bCs/>
          <w:lang w:val="es-MX"/>
        </w:rPr>
        <w:t xml:space="preserve"> de la alzada</w:t>
      </w:r>
      <w:r w:rsidR="00A96AF5" w:rsidRPr="00941576">
        <w:rPr>
          <w:rFonts w:cs="Arial"/>
          <w:bCs/>
          <w:lang w:val="es-MX"/>
        </w:rPr>
        <w:t>,</w:t>
      </w:r>
      <w:r w:rsidR="00CE159F" w:rsidRPr="00941576">
        <w:rPr>
          <w:rFonts w:cs="Arial"/>
          <w:bCs/>
          <w:lang w:val="es-MX"/>
        </w:rPr>
        <w:t xml:space="preserve"> expuso que </w:t>
      </w:r>
      <w:r w:rsidR="00B3122B" w:rsidRPr="00941576">
        <w:rPr>
          <w:rFonts w:cs="Arial"/>
          <w:bCs/>
          <w:lang w:val="es-MX"/>
        </w:rPr>
        <w:t>la providencia</w:t>
      </w:r>
      <w:r w:rsidRPr="00941576">
        <w:rPr>
          <w:rFonts w:cs="Arial"/>
          <w:bCs/>
          <w:lang w:val="es-MX"/>
        </w:rPr>
        <w:t xml:space="preserve"> partió</w:t>
      </w:r>
      <w:r w:rsidR="0059488C" w:rsidRPr="00941576">
        <w:rPr>
          <w:rFonts w:cs="Arial"/>
          <w:bCs/>
          <w:lang w:val="es-MX"/>
        </w:rPr>
        <w:t xml:space="preserve"> de una errada apreciación de las normas y</w:t>
      </w:r>
      <w:r w:rsidR="00B42D80" w:rsidRPr="00941576">
        <w:rPr>
          <w:rFonts w:cs="Arial"/>
          <w:bCs/>
          <w:lang w:val="es-MX"/>
        </w:rPr>
        <w:t xml:space="preserve"> de</w:t>
      </w:r>
      <w:r w:rsidR="0059488C" w:rsidRPr="00941576">
        <w:rPr>
          <w:rFonts w:cs="Arial"/>
          <w:bCs/>
          <w:lang w:val="es-MX"/>
        </w:rPr>
        <w:t xml:space="preserve"> la j</w:t>
      </w:r>
      <w:r w:rsidRPr="00941576">
        <w:rPr>
          <w:rFonts w:cs="Arial"/>
          <w:bCs/>
          <w:lang w:val="es-MX"/>
        </w:rPr>
        <w:t>urisprudencia que le sirvió de</w:t>
      </w:r>
      <w:r w:rsidR="0059488C" w:rsidRPr="00941576">
        <w:rPr>
          <w:rFonts w:cs="Arial"/>
          <w:bCs/>
          <w:lang w:val="es-MX"/>
        </w:rPr>
        <w:t xml:space="preserve"> </w:t>
      </w:r>
      <w:r w:rsidRPr="00941576">
        <w:rPr>
          <w:rFonts w:cs="Arial"/>
          <w:bCs/>
          <w:lang w:val="es-MX"/>
        </w:rPr>
        <w:t>apoyo a</w:t>
      </w:r>
      <w:r w:rsidR="0059488C" w:rsidRPr="00941576">
        <w:rPr>
          <w:rFonts w:cs="Arial"/>
          <w:bCs/>
          <w:lang w:val="es-MX"/>
        </w:rPr>
        <w:t xml:space="preserve"> su decisión. </w:t>
      </w:r>
    </w:p>
    <w:p w:rsidR="0059488C" w:rsidRPr="00941576" w:rsidRDefault="0059488C" w:rsidP="00CE159F">
      <w:pPr>
        <w:ind w:right="-1"/>
        <w:rPr>
          <w:rFonts w:cs="Arial"/>
          <w:bCs/>
          <w:lang w:val="es-MX"/>
        </w:rPr>
      </w:pPr>
      <w:r w:rsidRPr="00941576">
        <w:rPr>
          <w:rFonts w:cs="Arial"/>
          <w:bCs/>
          <w:lang w:val="es-MX"/>
        </w:rPr>
        <w:t xml:space="preserve">Señaló que en el </w:t>
      </w:r>
      <w:r w:rsidR="00954FB8" w:rsidRPr="00941576">
        <w:rPr>
          <w:rFonts w:cs="Arial"/>
          <w:bCs/>
          <w:lang w:val="es-MX"/>
        </w:rPr>
        <w:t>acta de liquidación bilateral las partes identificaron</w:t>
      </w:r>
      <w:r w:rsidRPr="00941576">
        <w:rPr>
          <w:rFonts w:cs="Arial"/>
          <w:bCs/>
          <w:lang w:val="es-MX"/>
        </w:rPr>
        <w:t xml:space="preserve"> con claridad </w:t>
      </w:r>
      <w:r w:rsidR="00FF050B" w:rsidRPr="00941576">
        <w:rPr>
          <w:rFonts w:cs="Arial"/>
          <w:bCs/>
          <w:lang w:val="es-MX"/>
        </w:rPr>
        <w:t xml:space="preserve">el contrato, </w:t>
      </w:r>
      <w:r w:rsidR="00954FB8" w:rsidRPr="00941576">
        <w:rPr>
          <w:rFonts w:cs="Arial"/>
          <w:bCs/>
          <w:lang w:val="es-MX"/>
        </w:rPr>
        <w:t>los contratantes</w:t>
      </w:r>
      <w:r w:rsidR="00FF050B" w:rsidRPr="00941576">
        <w:rPr>
          <w:rFonts w:cs="Arial"/>
          <w:bCs/>
          <w:lang w:val="es-MX"/>
        </w:rPr>
        <w:t>, el precio, las actas pendientes de</w:t>
      </w:r>
      <w:r w:rsidR="00954FB8" w:rsidRPr="00941576">
        <w:rPr>
          <w:rFonts w:cs="Arial"/>
          <w:bCs/>
          <w:lang w:val="es-MX"/>
        </w:rPr>
        <w:t xml:space="preserve"> pago y el plazo para el efect</w:t>
      </w:r>
      <w:r w:rsidR="008947D6" w:rsidRPr="00941576">
        <w:rPr>
          <w:rFonts w:cs="Arial"/>
          <w:bCs/>
          <w:lang w:val="es-MX"/>
        </w:rPr>
        <w:t>o, a tal punto que lo reclamado</w:t>
      </w:r>
      <w:r w:rsidR="00954FB8" w:rsidRPr="00941576">
        <w:rPr>
          <w:rFonts w:cs="Arial"/>
          <w:bCs/>
          <w:lang w:val="es-MX"/>
        </w:rPr>
        <w:t xml:space="preserve"> por esta vía era que se cumplieran los compromisos allí adquiridos por el municipio. </w:t>
      </w:r>
    </w:p>
    <w:p w:rsidR="00B42D80" w:rsidRPr="00941576" w:rsidRDefault="00B42D80" w:rsidP="00CE159F">
      <w:pPr>
        <w:ind w:right="-1"/>
        <w:rPr>
          <w:rFonts w:cs="Arial"/>
          <w:bCs/>
          <w:lang w:val="es-MX"/>
        </w:rPr>
      </w:pPr>
    </w:p>
    <w:p w:rsidR="00954FB8" w:rsidRPr="00941576" w:rsidRDefault="00954FB8" w:rsidP="00CE159F">
      <w:pPr>
        <w:ind w:right="-1"/>
        <w:rPr>
          <w:rFonts w:cs="Arial"/>
          <w:bCs/>
          <w:lang w:val="es-MX"/>
        </w:rPr>
      </w:pPr>
      <w:r w:rsidRPr="00941576">
        <w:rPr>
          <w:rFonts w:cs="Arial"/>
          <w:bCs/>
          <w:lang w:val="es-MX"/>
        </w:rPr>
        <w:t>Añadió que</w:t>
      </w:r>
      <w:r w:rsidR="008947D6" w:rsidRPr="00941576">
        <w:rPr>
          <w:rFonts w:cs="Arial"/>
          <w:bCs/>
          <w:lang w:val="es-MX"/>
        </w:rPr>
        <w:t>,</w:t>
      </w:r>
      <w:r w:rsidRPr="00941576">
        <w:rPr>
          <w:rFonts w:cs="Arial"/>
          <w:bCs/>
          <w:lang w:val="es-MX"/>
        </w:rPr>
        <w:t xml:space="preserve"> al tenor de lo regulado por Ley 1437 de 2011, el medio de control de controversias contractuales se erigía como el mecanismo idóneo para </w:t>
      </w:r>
      <w:r w:rsidR="00C32210" w:rsidRPr="00941576">
        <w:rPr>
          <w:rFonts w:cs="Arial"/>
          <w:bCs/>
          <w:lang w:val="es-MX"/>
        </w:rPr>
        <w:t xml:space="preserve">perseguir la declaratoria de incumplimiento del acuerdo depositado por las partes en el acta final, a lo que agregó que el mencionado medio de control se implementó además para que se hicieran otras declaraciones y condenas originadas en el contrato estatal. </w:t>
      </w:r>
    </w:p>
    <w:p w:rsidR="00CD307E" w:rsidRPr="00941576" w:rsidRDefault="00CD307E" w:rsidP="00CE159F">
      <w:pPr>
        <w:ind w:right="-1"/>
        <w:rPr>
          <w:rFonts w:cs="Arial"/>
          <w:bCs/>
          <w:lang w:val="es-MX"/>
        </w:rPr>
      </w:pPr>
    </w:p>
    <w:p w:rsidR="002D2033" w:rsidRPr="00941576" w:rsidRDefault="00747137" w:rsidP="00CE159F">
      <w:pPr>
        <w:ind w:right="-1"/>
        <w:rPr>
          <w:rFonts w:cs="Arial"/>
          <w:bCs/>
          <w:lang w:val="es-MX"/>
        </w:rPr>
      </w:pPr>
      <w:r w:rsidRPr="00941576">
        <w:rPr>
          <w:rFonts w:cs="Arial"/>
          <w:bCs/>
          <w:lang w:val="es-MX"/>
        </w:rPr>
        <w:t>E</w:t>
      </w:r>
      <w:r w:rsidR="00CD307E" w:rsidRPr="00941576">
        <w:rPr>
          <w:rFonts w:cs="Arial"/>
          <w:bCs/>
          <w:lang w:val="es-MX"/>
        </w:rPr>
        <w:t xml:space="preserve">n cuanto a las mayores cantidades de obra que, según el </w:t>
      </w:r>
      <w:r w:rsidR="00CD307E" w:rsidRPr="00941576">
        <w:rPr>
          <w:rFonts w:cs="Arial"/>
          <w:bCs/>
          <w:i/>
          <w:lang w:val="es-MX"/>
        </w:rPr>
        <w:t>a quo</w:t>
      </w:r>
      <w:r w:rsidR="00E7277E" w:rsidRPr="00941576">
        <w:rPr>
          <w:rFonts w:cs="Arial"/>
          <w:bCs/>
          <w:i/>
          <w:lang w:val="es-MX"/>
        </w:rPr>
        <w:t>,</w:t>
      </w:r>
      <w:r w:rsidR="00CD307E" w:rsidRPr="00941576">
        <w:rPr>
          <w:rFonts w:cs="Arial"/>
          <w:bCs/>
          <w:lang w:val="es-MX"/>
        </w:rPr>
        <w:t xml:space="preserve"> no debían reconocerse</w:t>
      </w:r>
      <w:r w:rsidR="00B42D80" w:rsidRPr="00941576">
        <w:rPr>
          <w:rFonts w:cs="Arial"/>
          <w:bCs/>
          <w:lang w:val="es-MX"/>
        </w:rPr>
        <w:t>,</w:t>
      </w:r>
      <w:r w:rsidR="00CD307E" w:rsidRPr="00941576">
        <w:rPr>
          <w:rFonts w:cs="Arial"/>
          <w:bCs/>
          <w:lang w:val="es-MX"/>
        </w:rPr>
        <w:t xml:space="preserve"> </w:t>
      </w:r>
      <w:r w:rsidRPr="00941576">
        <w:rPr>
          <w:rFonts w:cs="Arial"/>
          <w:bCs/>
          <w:lang w:val="es-MX"/>
        </w:rPr>
        <w:t xml:space="preserve">debido a que </w:t>
      </w:r>
      <w:r w:rsidR="00CD307E" w:rsidRPr="00941576">
        <w:rPr>
          <w:rFonts w:cs="Arial"/>
          <w:bCs/>
          <w:lang w:val="es-MX"/>
        </w:rPr>
        <w:t xml:space="preserve">su ejecución </w:t>
      </w:r>
      <w:r w:rsidRPr="00941576">
        <w:rPr>
          <w:rFonts w:cs="Arial"/>
          <w:bCs/>
          <w:lang w:val="es-MX"/>
        </w:rPr>
        <w:t>tuvo génesis en la voluntad del consorcio mas no en una circunstancia ajena</w:t>
      </w:r>
      <w:r w:rsidR="00B42D80" w:rsidRPr="00941576">
        <w:rPr>
          <w:rFonts w:cs="Arial"/>
          <w:bCs/>
          <w:lang w:val="es-MX"/>
        </w:rPr>
        <w:t>,</w:t>
      </w:r>
      <w:r w:rsidRPr="00941576">
        <w:rPr>
          <w:rFonts w:cs="Arial"/>
          <w:bCs/>
          <w:lang w:val="es-MX"/>
        </w:rPr>
        <w:t xml:space="preserve"> y</w:t>
      </w:r>
      <w:r w:rsidR="00E7277E" w:rsidRPr="00941576">
        <w:rPr>
          <w:rFonts w:cs="Arial"/>
          <w:bCs/>
          <w:lang w:val="es-MX"/>
        </w:rPr>
        <w:t>,</w:t>
      </w:r>
      <w:r w:rsidRPr="00941576">
        <w:rPr>
          <w:rFonts w:cs="Arial"/>
          <w:bCs/>
          <w:lang w:val="es-MX"/>
        </w:rPr>
        <w:t xml:space="preserve"> por contera</w:t>
      </w:r>
      <w:r w:rsidR="00E7277E" w:rsidRPr="00941576">
        <w:rPr>
          <w:rFonts w:cs="Arial"/>
          <w:bCs/>
          <w:lang w:val="es-MX"/>
        </w:rPr>
        <w:t>,</w:t>
      </w:r>
      <w:r w:rsidRPr="00941576">
        <w:rPr>
          <w:rFonts w:cs="Arial"/>
          <w:bCs/>
          <w:lang w:val="es-MX"/>
        </w:rPr>
        <w:t xml:space="preserve"> se desvirtuaba el desequilibrio económico alegado, el apelante manifestó que aceptar tal hipótesis comportaría un abierto desconocimiento al acuerdo vertido en el acta de liquidación, documento público en cuyo mérito se demostraba la existencia de la obligación reclamada. </w:t>
      </w:r>
    </w:p>
    <w:p w:rsidR="00E7277E" w:rsidRPr="00941576" w:rsidRDefault="00E7277E" w:rsidP="00CE159F">
      <w:pPr>
        <w:ind w:right="-1"/>
        <w:rPr>
          <w:rFonts w:cs="Arial"/>
          <w:bCs/>
          <w:lang w:val="es-MX"/>
        </w:rPr>
      </w:pPr>
    </w:p>
    <w:p w:rsidR="00E7277E" w:rsidRPr="00941576" w:rsidRDefault="00E7277E" w:rsidP="00CE159F">
      <w:pPr>
        <w:ind w:right="-1"/>
        <w:rPr>
          <w:rFonts w:cs="Arial"/>
          <w:bCs/>
          <w:lang w:val="es-MX"/>
        </w:rPr>
      </w:pPr>
      <w:r w:rsidRPr="00941576">
        <w:rPr>
          <w:rFonts w:cs="Arial"/>
          <w:bCs/>
          <w:lang w:val="es-MX"/>
        </w:rPr>
        <w:t>Para el censor, el documento en referencia debía presumirse auténtico, como cierto el contenido allí inmerso. De ahí que</w:t>
      </w:r>
      <w:r w:rsidR="008947D6" w:rsidRPr="00941576">
        <w:rPr>
          <w:rFonts w:cs="Arial"/>
          <w:bCs/>
          <w:lang w:val="es-MX"/>
        </w:rPr>
        <w:t>,</w:t>
      </w:r>
      <w:r w:rsidRPr="00941576">
        <w:rPr>
          <w:rFonts w:cs="Arial"/>
          <w:bCs/>
          <w:lang w:val="es-MX"/>
        </w:rPr>
        <w:t xml:space="preserve"> en su criterio</w:t>
      </w:r>
      <w:r w:rsidR="008947D6" w:rsidRPr="00941576">
        <w:rPr>
          <w:rFonts w:cs="Arial"/>
          <w:bCs/>
          <w:lang w:val="es-MX"/>
        </w:rPr>
        <w:t>,</w:t>
      </w:r>
      <w:r w:rsidRPr="00941576">
        <w:rPr>
          <w:rFonts w:cs="Arial"/>
          <w:bCs/>
          <w:lang w:val="es-MX"/>
        </w:rPr>
        <w:t xml:space="preserve"> no le asistía la carga de demostrar las obras ejecutadas en tanto las mismas se hallaban soport</w:t>
      </w:r>
      <w:r w:rsidR="008947D6" w:rsidRPr="00941576">
        <w:rPr>
          <w:rFonts w:cs="Arial"/>
          <w:bCs/>
          <w:lang w:val="es-MX"/>
        </w:rPr>
        <w:t>adas en el acta de liquidación.</w:t>
      </w:r>
      <w:r w:rsidRPr="00941576">
        <w:rPr>
          <w:rFonts w:cs="Arial"/>
          <w:bCs/>
          <w:lang w:val="es-MX"/>
        </w:rPr>
        <w:t xml:space="preserve"> </w:t>
      </w:r>
      <w:r w:rsidR="00BC1167" w:rsidRPr="00941576">
        <w:rPr>
          <w:rFonts w:cs="Arial"/>
          <w:bCs/>
          <w:lang w:val="es-MX"/>
        </w:rPr>
        <w:t xml:space="preserve">Con todo, afirmó que la prueba de su ejecución </w:t>
      </w:r>
      <w:r w:rsidR="00BC5E95" w:rsidRPr="00941576">
        <w:rPr>
          <w:rFonts w:cs="Arial"/>
          <w:bCs/>
          <w:lang w:val="es-MX"/>
        </w:rPr>
        <w:t xml:space="preserve">y su autorización por parte del ente territorial, </w:t>
      </w:r>
      <w:r w:rsidR="00BC1167" w:rsidRPr="00941576">
        <w:rPr>
          <w:rFonts w:cs="Arial"/>
          <w:bCs/>
          <w:lang w:val="es-MX"/>
        </w:rPr>
        <w:t>bien podía desprender</w:t>
      </w:r>
      <w:r w:rsidR="008947D6" w:rsidRPr="00941576">
        <w:rPr>
          <w:rFonts w:cs="Arial"/>
          <w:bCs/>
          <w:lang w:val="es-MX"/>
        </w:rPr>
        <w:t>se de los demás documentos militantes</w:t>
      </w:r>
      <w:r w:rsidR="00BC1167" w:rsidRPr="00941576">
        <w:rPr>
          <w:rFonts w:cs="Arial"/>
          <w:bCs/>
          <w:lang w:val="es-MX"/>
        </w:rPr>
        <w:t xml:space="preserve"> en el plenario. </w:t>
      </w:r>
    </w:p>
    <w:p w:rsidR="00FB36AA" w:rsidRPr="00941576" w:rsidRDefault="00FB36AA" w:rsidP="00CE159F">
      <w:pPr>
        <w:ind w:right="-1"/>
        <w:rPr>
          <w:rFonts w:cs="Arial"/>
          <w:bCs/>
          <w:lang w:val="es-MX"/>
        </w:rPr>
      </w:pPr>
    </w:p>
    <w:p w:rsidR="00FB36AA" w:rsidRPr="00941576" w:rsidRDefault="0058584A" w:rsidP="00CE159F">
      <w:pPr>
        <w:ind w:right="-1"/>
        <w:rPr>
          <w:rFonts w:cs="Arial"/>
          <w:bCs/>
          <w:lang w:val="es-MX"/>
        </w:rPr>
      </w:pPr>
      <w:r w:rsidRPr="00941576">
        <w:rPr>
          <w:rFonts w:cs="Arial"/>
          <w:bCs/>
          <w:lang w:val="es-MX"/>
        </w:rPr>
        <w:t>Por último, c</w:t>
      </w:r>
      <w:r w:rsidR="008947D6" w:rsidRPr="00941576">
        <w:rPr>
          <w:rFonts w:cs="Arial"/>
          <w:bCs/>
          <w:lang w:val="es-MX"/>
        </w:rPr>
        <w:t xml:space="preserve">oncluyó que con la </w:t>
      </w:r>
      <w:r w:rsidR="00FB36AA" w:rsidRPr="00941576">
        <w:rPr>
          <w:rFonts w:cs="Arial"/>
          <w:bCs/>
          <w:lang w:val="es-MX"/>
        </w:rPr>
        <w:t xml:space="preserve">ejecución </w:t>
      </w:r>
      <w:r w:rsidR="008947D6" w:rsidRPr="00941576">
        <w:rPr>
          <w:rFonts w:cs="Arial"/>
          <w:bCs/>
          <w:lang w:val="es-MX"/>
        </w:rPr>
        <w:t xml:space="preserve">de la obra </w:t>
      </w:r>
      <w:r w:rsidR="00FB36AA" w:rsidRPr="00941576">
        <w:rPr>
          <w:rFonts w:cs="Arial"/>
          <w:bCs/>
          <w:lang w:val="es-MX"/>
        </w:rPr>
        <w:t xml:space="preserve">se presentó una fractura de la ecuación económica del contrato </w:t>
      </w:r>
      <w:r w:rsidR="00646518" w:rsidRPr="00941576">
        <w:rPr>
          <w:rFonts w:cs="Arial"/>
          <w:bCs/>
          <w:lang w:val="es-MX"/>
        </w:rPr>
        <w:t>por circunstancias que encajaban dentro de la teoría de la imprevisión</w:t>
      </w:r>
      <w:r w:rsidR="00050D80" w:rsidRPr="00941576">
        <w:rPr>
          <w:rFonts w:cs="Arial"/>
          <w:bCs/>
          <w:lang w:val="es-MX"/>
        </w:rPr>
        <w:t>,</w:t>
      </w:r>
      <w:r w:rsidR="00646518" w:rsidRPr="00941576">
        <w:rPr>
          <w:rFonts w:cs="Arial"/>
          <w:bCs/>
          <w:lang w:val="es-MX"/>
        </w:rPr>
        <w:t xml:space="preserve"> </w:t>
      </w:r>
      <w:r w:rsidR="00050D80" w:rsidRPr="00941576">
        <w:rPr>
          <w:rFonts w:cs="Arial"/>
          <w:bCs/>
          <w:lang w:val="es-MX"/>
        </w:rPr>
        <w:t xml:space="preserve">en razón a </w:t>
      </w:r>
      <w:r w:rsidR="00A04698" w:rsidRPr="00941576">
        <w:rPr>
          <w:rFonts w:cs="Arial"/>
          <w:bCs/>
          <w:lang w:val="es-MX"/>
        </w:rPr>
        <w:t>que los valores adeudados se derivaron de la ola invernal</w:t>
      </w:r>
      <w:r w:rsidR="008947D6" w:rsidRPr="00941576">
        <w:rPr>
          <w:rFonts w:cs="Arial"/>
          <w:bCs/>
          <w:lang w:val="es-MX"/>
        </w:rPr>
        <w:t xml:space="preserve"> y de los problemas del terreno</w:t>
      </w:r>
      <w:r w:rsidR="00050D80" w:rsidRPr="00941576">
        <w:rPr>
          <w:rFonts w:cs="Arial"/>
          <w:bCs/>
          <w:lang w:val="es-MX"/>
        </w:rPr>
        <w:t>.</w:t>
      </w:r>
      <w:r w:rsidR="00A04698" w:rsidRPr="00941576">
        <w:rPr>
          <w:rFonts w:cs="Arial"/>
          <w:bCs/>
          <w:lang w:val="es-MX"/>
        </w:rPr>
        <w:t xml:space="preserve"> </w:t>
      </w:r>
    </w:p>
    <w:p w:rsidR="00E62EF5" w:rsidRPr="00941576" w:rsidRDefault="00E62EF5" w:rsidP="00E62EF5">
      <w:pPr>
        <w:rPr>
          <w:rFonts w:cs="Arial"/>
          <w:b/>
          <w:bCs/>
          <w:lang w:val="es-MX"/>
        </w:rPr>
      </w:pPr>
    </w:p>
    <w:p w:rsidR="0058584A" w:rsidRPr="00941576" w:rsidRDefault="0058584A" w:rsidP="00E62EF5">
      <w:pPr>
        <w:rPr>
          <w:rFonts w:cs="Arial"/>
          <w:b/>
          <w:bCs/>
          <w:lang w:val="es-MX"/>
        </w:rPr>
      </w:pPr>
    </w:p>
    <w:p w:rsidR="00E62EF5" w:rsidRPr="00941576" w:rsidRDefault="00E62EF5" w:rsidP="00E62EF5">
      <w:pPr>
        <w:rPr>
          <w:rFonts w:cs="Arial"/>
          <w:b/>
          <w:bCs/>
          <w:lang w:val="es-MX"/>
        </w:rPr>
      </w:pPr>
      <w:r w:rsidRPr="00941576">
        <w:rPr>
          <w:rFonts w:cs="Arial"/>
          <w:b/>
          <w:bCs/>
          <w:lang w:val="es-MX"/>
        </w:rPr>
        <w:t>6. Actuación en segunda instancia</w:t>
      </w:r>
    </w:p>
    <w:p w:rsidR="00E62EF5" w:rsidRPr="00941576" w:rsidRDefault="00E62EF5" w:rsidP="00E62EF5">
      <w:pPr>
        <w:rPr>
          <w:rFonts w:cs="Arial"/>
          <w:bCs/>
          <w:lang w:val="es-MX"/>
        </w:rPr>
      </w:pPr>
      <w:r w:rsidRPr="00941576">
        <w:rPr>
          <w:rFonts w:cs="Arial"/>
          <w:bCs/>
          <w:lang w:val="es-MX"/>
        </w:rPr>
        <w:t xml:space="preserve"> </w:t>
      </w:r>
    </w:p>
    <w:p w:rsidR="00E62EF5" w:rsidRPr="00941576" w:rsidRDefault="000712C0" w:rsidP="00E62EF5">
      <w:pPr>
        <w:rPr>
          <w:rFonts w:cs="Arial"/>
        </w:rPr>
      </w:pPr>
      <w:r w:rsidRPr="00941576">
        <w:rPr>
          <w:rFonts w:cs="Arial"/>
          <w:b/>
        </w:rPr>
        <w:t>6</w:t>
      </w:r>
      <w:r w:rsidR="00E62EF5" w:rsidRPr="00941576">
        <w:rPr>
          <w:rFonts w:cs="Arial"/>
          <w:b/>
        </w:rPr>
        <w:t>.1.</w:t>
      </w:r>
      <w:r w:rsidR="00CC4530" w:rsidRPr="00941576">
        <w:rPr>
          <w:rFonts w:cs="Arial"/>
        </w:rPr>
        <w:t xml:space="preserve"> Mediante providencia del 1 de agosto</w:t>
      </w:r>
      <w:r w:rsidR="00E62EF5" w:rsidRPr="00941576">
        <w:rPr>
          <w:rFonts w:cs="Arial"/>
        </w:rPr>
        <w:t xml:space="preserve"> de 2014, la Sección Tercera de esta Corporación admitió el recurso de apelación interpuesto por la parte actora. </w:t>
      </w:r>
    </w:p>
    <w:p w:rsidR="00E62EF5" w:rsidRPr="00941576" w:rsidRDefault="00E62EF5" w:rsidP="00E62EF5">
      <w:pPr>
        <w:widowControl w:val="0"/>
        <w:autoSpaceDE w:val="0"/>
        <w:autoSpaceDN w:val="0"/>
        <w:adjustRightInd w:val="0"/>
        <w:rPr>
          <w:rFonts w:cs="Arial"/>
          <w:b/>
        </w:rPr>
      </w:pPr>
    </w:p>
    <w:p w:rsidR="00E62EF5" w:rsidRPr="00941576" w:rsidRDefault="000712C0" w:rsidP="00E62EF5">
      <w:pPr>
        <w:rPr>
          <w:rFonts w:cs="Arial"/>
          <w:lang w:val="es-MX"/>
        </w:rPr>
      </w:pPr>
      <w:r w:rsidRPr="00941576">
        <w:rPr>
          <w:rFonts w:cs="Arial"/>
          <w:b/>
          <w:lang w:val="es-CO"/>
        </w:rPr>
        <w:t>6</w:t>
      </w:r>
      <w:r w:rsidR="00E62EF5" w:rsidRPr="00941576">
        <w:rPr>
          <w:rFonts w:cs="Arial"/>
          <w:b/>
          <w:lang w:val="es-CO"/>
        </w:rPr>
        <w:t>.2.</w:t>
      </w:r>
      <w:r w:rsidR="00E62EF5" w:rsidRPr="00941576">
        <w:rPr>
          <w:rFonts w:cs="Arial"/>
          <w:lang w:val="es-CO"/>
        </w:rPr>
        <w:t xml:space="preserve"> </w:t>
      </w:r>
      <w:r w:rsidR="00FC096A" w:rsidRPr="00941576">
        <w:rPr>
          <w:rFonts w:cs="Arial"/>
          <w:lang w:val="es-MX"/>
        </w:rPr>
        <w:t>Por medio de auto</w:t>
      </w:r>
      <w:r w:rsidR="00E62EF5" w:rsidRPr="00941576">
        <w:rPr>
          <w:rFonts w:cs="Arial"/>
          <w:lang w:val="es-MX"/>
        </w:rPr>
        <w:t xml:space="preserve"> </w:t>
      </w:r>
      <w:r w:rsidR="00CC4530" w:rsidRPr="00941576">
        <w:rPr>
          <w:rFonts w:cs="Arial"/>
          <w:lang w:val="es-MX"/>
        </w:rPr>
        <w:t>del 12 de septiembre</w:t>
      </w:r>
      <w:r w:rsidR="00E62EF5" w:rsidRPr="00941576">
        <w:rPr>
          <w:rFonts w:cs="Arial"/>
          <w:lang w:val="es-MX"/>
        </w:rPr>
        <w:t xml:space="preserve"> de 2014, se corrió traslado a las partes para que presentaran sus alegaciones finales y al Ministerio Público para que rindiese su concepto. En el término otorgado, la</w:t>
      </w:r>
      <w:r w:rsidR="00CC4530" w:rsidRPr="00941576">
        <w:rPr>
          <w:rFonts w:cs="Arial"/>
          <w:lang w:val="es-MX"/>
        </w:rPr>
        <w:t>s</w:t>
      </w:r>
      <w:r w:rsidR="00E62EF5" w:rsidRPr="00941576">
        <w:rPr>
          <w:rFonts w:cs="Arial"/>
          <w:lang w:val="es-MX"/>
        </w:rPr>
        <w:t xml:space="preserve"> parte</w:t>
      </w:r>
      <w:r w:rsidR="00CC4530" w:rsidRPr="00941576">
        <w:rPr>
          <w:rFonts w:cs="Arial"/>
          <w:lang w:val="es-MX"/>
        </w:rPr>
        <w:t>s y el Ministerio Público guardaron silencio.</w:t>
      </w:r>
    </w:p>
    <w:p w:rsidR="00E62EF5" w:rsidRPr="00941576" w:rsidRDefault="00CC4530" w:rsidP="00CC4530">
      <w:pPr>
        <w:rPr>
          <w:rFonts w:cs="Arial"/>
          <w:lang w:val="es-MX"/>
        </w:rPr>
      </w:pPr>
      <w:r w:rsidRPr="00941576">
        <w:rPr>
          <w:rFonts w:cs="Arial"/>
          <w:lang w:val="es-MX"/>
        </w:rPr>
        <w:t xml:space="preserve"> </w:t>
      </w:r>
    </w:p>
    <w:p w:rsidR="00702565" w:rsidRPr="00941576" w:rsidRDefault="00702565" w:rsidP="00702565">
      <w:pPr>
        <w:jc w:val="center"/>
        <w:rPr>
          <w:rFonts w:cs="Arial"/>
          <w:b/>
        </w:rPr>
      </w:pPr>
      <w:r w:rsidRPr="00941576">
        <w:rPr>
          <w:rFonts w:cs="Arial"/>
          <w:b/>
        </w:rPr>
        <w:t>II. C O N S I D E R A C I O N E S</w:t>
      </w:r>
    </w:p>
    <w:p w:rsidR="00702565" w:rsidRPr="00941576" w:rsidRDefault="00702565" w:rsidP="00702565">
      <w:pPr>
        <w:ind w:right="-1"/>
        <w:jc w:val="center"/>
        <w:rPr>
          <w:rFonts w:cs="Arial"/>
          <w:b/>
        </w:rPr>
      </w:pPr>
    </w:p>
    <w:p w:rsidR="00702565" w:rsidRPr="00941576" w:rsidRDefault="00702565" w:rsidP="002C2680">
      <w:pPr>
        <w:ind w:right="-1"/>
        <w:rPr>
          <w:rFonts w:cs="Arial"/>
          <w:u w:val="single"/>
        </w:rPr>
      </w:pPr>
      <w:r w:rsidRPr="00941576">
        <w:rPr>
          <w:rFonts w:cs="Arial"/>
        </w:rPr>
        <w:t xml:space="preserve">Para resolver la segunda instancia de la presente </w:t>
      </w:r>
      <w:r w:rsidRPr="00941576">
        <w:rPr>
          <w:rFonts w:cs="Arial"/>
          <w:i/>
        </w:rPr>
        <w:t>litis</w:t>
      </w:r>
      <w:r w:rsidRPr="00941576">
        <w:rPr>
          <w:rFonts w:cs="Arial"/>
        </w:rPr>
        <w:t xml:space="preserve">, se abordarán los siguientes temas: </w:t>
      </w:r>
      <w:r w:rsidRPr="00941576">
        <w:rPr>
          <w:rFonts w:cs="Arial"/>
          <w:b/>
        </w:rPr>
        <w:t>1)</w:t>
      </w:r>
      <w:r w:rsidRPr="00941576">
        <w:rPr>
          <w:rFonts w:cs="Arial"/>
        </w:rPr>
        <w:t xml:space="preserve"> competencia del Consejo de Estado; </w:t>
      </w:r>
      <w:r w:rsidRPr="00941576">
        <w:rPr>
          <w:rFonts w:cs="Arial"/>
          <w:b/>
        </w:rPr>
        <w:t>2)</w:t>
      </w:r>
      <w:r w:rsidRPr="00941576">
        <w:rPr>
          <w:rFonts w:cs="Arial"/>
        </w:rPr>
        <w:t xml:space="preserve"> </w:t>
      </w:r>
      <w:r w:rsidR="00B06E49" w:rsidRPr="00941576">
        <w:rPr>
          <w:rFonts w:cs="Arial"/>
        </w:rPr>
        <w:t>oportunidad para el ejercicio de la acción contractual</w:t>
      </w:r>
      <w:r w:rsidR="00C7050C" w:rsidRPr="00941576">
        <w:rPr>
          <w:rFonts w:cs="Arial"/>
        </w:rPr>
        <w:t>;</w:t>
      </w:r>
      <w:r w:rsidR="00B06E49" w:rsidRPr="00941576">
        <w:rPr>
          <w:rFonts w:cs="Arial"/>
          <w:b/>
        </w:rPr>
        <w:t xml:space="preserve"> </w:t>
      </w:r>
      <w:r w:rsidRPr="00941576">
        <w:rPr>
          <w:rFonts w:cs="Arial"/>
          <w:b/>
        </w:rPr>
        <w:t>3)</w:t>
      </w:r>
      <w:r w:rsidRPr="00941576">
        <w:rPr>
          <w:rFonts w:cs="Arial"/>
        </w:rPr>
        <w:t xml:space="preserve"> </w:t>
      </w:r>
      <w:r w:rsidR="00AC1ED0" w:rsidRPr="00941576">
        <w:rPr>
          <w:rFonts w:cs="Arial"/>
        </w:rPr>
        <w:t>legitimación en la causa;</w:t>
      </w:r>
      <w:r w:rsidR="00AC1ED0" w:rsidRPr="00941576">
        <w:rPr>
          <w:rFonts w:cs="Arial"/>
          <w:b/>
        </w:rPr>
        <w:t xml:space="preserve"> 4) </w:t>
      </w:r>
      <w:r w:rsidR="00AC1ED0" w:rsidRPr="00941576">
        <w:rPr>
          <w:rFonts w:cs="Arial"/>
        </w:rPr>
        <w:t>análisis del recurso:</w:t>
      </w:r>
      <w:r w:rsidR="00AC1ED0" w:rsidRPr="00941576">
        <w:rPr>
          <w:rFonts w:cs="Arial"/>
          <w:b/>
        </w:rPr>
        <w:t xml:space="preserve"> 4.1)</w:t>
      </w:r>
      <w:r w:rsidR="007032FE" w:rsidRPr="00941576">
        <w:rPr>
          <w:rFonts w:cs="Arial"/>
        </w:rPr>
        <w:t xml:space="preserve"> fuerza vinculante del contenido del acta de liquidación; </w:t>
      </w:r>
      <w:r w:rsidR="007032FE" w:rsidRPr="00941576">
        <w:rPr>
          <w:rFonts w:cs="Arial"/>
          <w:b/>
        </w:rPr>
        <w:t xml:space="preserve">4.2) </w:t>
      </w:r>
      <w:r w:rsidR="007032FE" w:rsidRPr="00941576">
        <w:rPr>
          <w:rFonts w:eastAsia="Calibri" w:cs="Arial"/>
          <w:lang w:val="es-CO" w:eastAsia="en-US"/>
        </w:rPr>
        <w:t xml:space="preserve">del desequilibrio económico del contrato en el marco de la distribución de riesgos; </w:t>
      </w:r>
      <w:r w:rsidR="007032FE" w:rsidRPr="00941576">
        <w:rPr>
          <w:rFonts w:eastAsia="Calibri" w:cs="Arial"/>
          <w:b/>
          <w:lang w:val="es-CO" w:eastAsia="en-US"/>
        </w:rPr>
        <w:t>4.3)</w:t>
      </w:r>
      <w:r w:rsidR="007032FE" w:rsidRPr="00941576">
        <w:rPr>
          <w:rFonts w:eastAsia="Calibri" w:cs="Arial"/>
          <w:lang w:val="es-CO" w:eastAsia="en-US"/>
        </w:rPr>
        <w:t xml:space="preserve"> </w:t>
      </w:r>
      <w:r w:rsidR="00350BBE" w:rsidRPr="00941576">
        <w:rPr>
          <w:rFonts w:cs="Arial"/>
        </w:rPr>
        <w:t>de la mayor permanencia en obra por la prolongación del término de ejecución contractual</w:t>
      </w:r>
      <w:r w:rsidR="002C2680" w:rsidRPr="00941576">
        <w:rPr>
          <w:rFonts w:cs="Arial"/>
        </w:rPr>
        <w:t xml:space="preserve">; </w:t>
      </w:r>
      <w:r w:rsidR="002C2680" w:rsidRPr="00941576">
        <w:rPr>
          <w:rFonts w:cs="Arial"/>
          <w:b/>
        </w:rPr>
        <w:t>4.4)</w:t>
      </w:r>
      <w:r w:rsidR="002C2680" w:rsidRPr="00941576">
        <w:rPr>
          <w:rFonts w:cs="Arial"/>
        </w:rPr>
        <w:t xml:space="preserve"> del reconocimiento de las mayores cantidades de obra </w:t>
      </w:r>
      <w:r w:rsidRPr="00941576">
        <w:rPr>
          <w:rFonts w:cs="Arial"/>
        </w:rPr>
        <w:t xml:space="preserve">y </w:t>
      </w:r>
      <w:r w:rsidR="004C692D" w:rsidRPr="00941576">
        <w:rPr>
          <w:rFonts w:cs="Arial"/>
          <w:b/>
        </w:rPr>
        <w:t>5</w:t>
      </w:r>
      <w:r w:rsidRPr="00941576">
        <w:rPr>
          <w:rFonts w:cs="Arial"/>
          <w:b/>
        </w:rPr>
        <w:t xml:space="preserve">) </w:t>
      </w:r>
      <w:r w:rsidRPr="00941576">
        <w:rPr>
          <w:rFonts w:cs="Arial"/>
        </w:rPr>
        <w:t>costas.</w:t>
      </w:r>
    </w:p>
    <w:p w:rsidR="00050D80" w:rsidRPr="00941576" w:rsidRDefault="00050D80" w:rsidP="0048155D">
      <w:pPr>
        <w:ind w:right="-1"/>
        <w:rPr>
          <w:rFonts w:cs="Arial"/>
          <w:b/>
        </w:rPr>
      </w:pPr>
    </w:p>
    <w:p w:rsidR="00702565" w:rsidRPr="00941576" w:rsidRDefault="0048155D" w:rsidP="0048155D">
      <w:pPr>
        <w:ind w:right="-1"/>
        <w:rPr>
          <w:rFonts w:cs="Arial"/>
          <w:b/>
        </w:rPr>
      </w:pPr>
      <w:r w:rsidRPr="00941576">
        <w:rPr>
          <w:rFonts w:cs="Arial"/>
          <w:b/>
        </w:rPr>
        <w:t>1</w:t>
      </w:r>
      <w:r w:rsidR="00B32A94" w:rsidRPr="00941576">
        <w:rPr>
          <w:rFonts w:cs="Arial"/>
          <w:b/>
        </w:rPr>
        <w:t>.-</w:t>
      </w:r>
      <w:r w:rsidRPr="00941576">
        <w:rPr>
          <w:rFonts w:cs="Arial"/>
          <w:b/>
        </w:rPr>
        <w:t xml:space="preserve"> C</w:t>
      </w:r>
      <w:r w:rsidR="00702565" w:rsidRPr="00941576">
        <w:rPr>
          <w:rFonts w:cs="Arial"/>
          <w:b/>
        </w:rPr>
        <w:t>ompetencia del Consejo de Estado</w:t>
      </w:r>
    </w:p>
    <w:p w:rsidR="00F74DD2" w:rsidRPr="00941576" w:rsidRDefault="00F74DD2" w:rsidP="00F74DD2">
      <w:pPr>
        <w:pStyle w:val="Textoindependiente"/>
        <w:autoSpaceDE/>
        <w:autoSpaceDN/>
        <w:adjustRightInd/>
        <w:ind w:right="-1"/>
        <w:rPr>
          <w:rFonts w:cs="Arial"/>
          <w:szCs w:val="24"/>
          <w:lang w:val="es-ES"/>
        </w:rPr>
      </w:pPr>
    </w:p>
    <w:p w:rsidR="00F74DD2" w:rsidRPr="00941576" w:rsidRDefault="00B06E49" w:rsidP="00B06E49">
      <w:pPr>
        <w:pStyle w:val="Textoindependiente"/>
        <w:autoSpaceDE/>
        <w:autoSpaceDN/>
        <w:adjustRightInd/>
        <w:ind w:right="-1"/>
        <w:rPr>
          <w:rFonts w:cs="Arial"/>
          <w:szCs w:val="24"/>
        </w:rPr>
      </w:pPr>
      <w:r w:rsidRPr="00941576">
        <w:rPr>
          <w:rFonts w:cs="Arial"/>
          <w:szCs w:val="24"/>
          <w:lang w:val="es-ES"/>
        </w:rPr>
        <w:t xml:space="preserve">1.1.- </w:t>
      </w:r>
      <w:r w:rsidR="00F74DD2" w:rsidRPr="00941576">
        <w:rPr>
          <w:rFonts w:cs="Arial"/>
          <w:szCs w:val="24"/>
          <w:lang w:val="es-ES"/>
        </w:rPr>
        <w:t xml:space="preserve">Se tiene presente que </w:t>
      </w:r>
      <w:r w:rsidR="00F74DD2" w:rsidRPr="00941576">
        <w:rPr>
          <w:rFonts w:cs="Arial"/>
          <w:szCs w:val="24"/>
          <w:lang w:val="es-CO"/>
        </w:rPr>
        <w:t xml:space="preserve">el </w:t>
      </w:r>
      <w:r w:rsidR="00F74DD2" w:rsidRPr="00941576">
        <w:rPr>
          <w:rFonts w:cs="Arial"/>
          <w:szCs w:val="24"/>
          <w:lang w:val="es-ES"/>
        </w:rPr>
        <w:t>artículo 104</w:t>
      </w:r>
      <w:r w:rsidR="00F74DD2" w:rsidRPr="00941576">
        <w:rPr>
          <w:rStyle w:val="Refdenotaalpie"/>
          <w:rFonts w:cs="Arial"/>
          <w:szCs w:val="24"/>
          <w:lang w:val="es-ES"/>
        </w:rPr>
        <w:footnoteReference w:id="2"/>
      </w:r>
      <w:r w:rsidR="00F74DD2" w:rsidRPr="00941576">
        <w:rPr>
          <w:rFonts w:cs="Arial"/>
          <w:szCs w:val="24"/>
          <w:lang w:val="es-ES"/>
        </w:rPr>
        <w:t xml:space="preserve"> de la Ley 1437 expedida en 2011 (C.P.A.C.A.), vigente a partir de 2 de julio de 2012, prescribe que l</w:t>
      </w:r>
      <w:r w:rsidR="00F74DD2" w:rsidRPr="00941576">
        <w:rPr>
          <w:rFonts w:cs="Arial"/>
          <w:szCs w:val="24"/>
        </w:rPr>
        <w:t>a Jurisdicción de lo Contencioso Administrativo se encuentra instituida para juzgar las controversias y litigios originados en los contratos “</w:t>
      </w:r>
      <w:r w:rsidR="00F74DD2" w:rsidRPr="00941576">
        <w:rPr>
          <w:rFonts w:cs="Arial"/>
          <w:i/>
          <w:szCs w:val="24"/>
        </w:rPr>
        <w:t xml:space="preserve">sujetos al derecho administrativo, en los que </w:t>
      </w:r>
      <w:r w:rsidR="00F74DD2" w:rsidRPr="00941576">
        <w:rPr>
          <w:rFonts w:cs="Arial"/>
          <w:i/>
          <w:szCs w:val="24"/>
        </w:rPr>
        <w:lastRenderedPageBreak/>
        <w:t>estén involucradas las entidades públicas”</w:t>
      </w:r>
      <w:r w:rsidR="00F74DD2" w:rsidRPr="00941576">
        <w:rPr>
          <w:rFonts w:cs="Arial"/>
          <w:szCs w:val="24"/>
        </w:rPr>
        <w:t xml:space="preserve"> e igualmente le corresponde conocer de los contratos “</w:t>
      </w:r>
      <w:r w:rsidR="00F74DD2" w:rsidRPr="00941576">
        <w:rPr>
          <w:rFonts w:cs="Arial"/>
          <w:i/>
          <w:szCs w:val="24"/>
        </w:rPr>
        <w:t xml:space="preserve">cualquiera que sea su régimen, en los que sea parte una entidad pública o un particular en ejercicio </w:t>
      </w:r>
      <w:r w:rsidR="00C27D80" w:rsidRPr="00941576">
        <w:rPr>
          <w:rFonts w:cs="Arial"/>
          <w:i/>
          <w:szCs w:val="24"/>
        </w:rPr>
        <w:t>de funciones propias del Estado</w:t>
      </w:r>
      <w:r w:rsidR="00F74DD2" w:rsidRPr="00941576">
        <w:rPr>
          <w:rFonts w:cs="Arial"/>
          <w:i/>
          <w:szCs w:val="24"/>
        </w:rPr>
        <w:t>”</w:t>
      </w:r>
      <w:r w:rsidR="00C27D80" w:rsidRPr="00941576">
        <w:rPr>
          <w:rFonts w:cs="Arial"/>
          <w:i/>
          <w:szCs w:val="24"/>
        </w:rPr>
        <w:t>.</w:t>
      </w:r>
      <w:r w:rsidR="00F74DD2" w:rsidRPr="00941576">
        <w:rPr>
          <w:rFonts w:cs="Arial"/>
          <w:szCs w:val="24"/>
        </w:rPr>
        <w:t xml:space="preserve"> </w:t>
      </w:r>
    </w:p>
    <w:p w:rsidR="00702565" w:rsidRPr="00941576" w:rsidRDefault="00702565" w:rsidP="00702565">
      <w:pPr>
        <w:ind w:right="-1"/>
        <w:rPr>
          <w:rFonts w:cs="Arial"/>
        </w:rPr>
      </w:pPr>
    </w:p>
    <w:p w:rsidR="00702565" w:rsidRPr="00941576" w:rsidRDefault="00702565" w:rsidP="00702565">
      <w:pPr>
        <w:ind w:right="-1"/>
        <w:rPr>
          <w:rFonts w:cs="Arial"/>
        </w:rPr>
      </w:pPr>
      <w:r w:rsidRPr="00941576">
        <w:rPr>
          <w:rFonts w:cs="Arial"/>
        </w:rPr>
        <w:t>El vínculo obliga</w:t>
      </w:r>
      <w:r w:rsidR="00050D80" w:rsidRPr="00941576">
        <w:rPr>
          <w:rFonts w:cs="Arial"/>
        </w:rPr>
        <w:t>cional en cuyo seno se generó</w:t>
      </w:r>
      <w:r w:rsidRPr="00941576">
        <w:rPr>
          <w:rFonts w:cs="Arial"/>
        </w:rPr>
        <w:t xml:space="preserve"> </w:t>
      </w:r>
      <w:r w:rsidR="00050D80" w:rsidRPr="00941576">
        <w:rPr>
          <w:rFonts w:cs="Arial"/>
        </w:rPr>
        <w:t>la controversia planteada</w:t>
      </w:r>
      <w:r w:rsidRPr="00941576">
        <w:rPr>
          <w:rFonts w:cs="Arial"/>
        </w:rPr>
        <w:t xml:space="preserve"> en el presente proceso fue el Contrato d</w:t>
      </w:r>
      <w:r w:rsidR="00050D80" w:rsidRPr="00941576">
        <w:rPr>
          <w:rFonts w:cs="Arial"/>
        </w:rPr>
        <w:t>e Obra No. 01 de 2010</w:t>
      </w:r>
      <w:r w:rsidR="007E008B" w:rsidRPr="00941576">
        <w:rPr>
          <w:rFonts w:cs="Arial"/>
        </w:rPr>
        <w:t xml:space="preserve">, celebrado entre </w:t>
      </w:r>
      <w:r w:rsidR="00050D80" w:rsidRPr="00941576">
        <w:rPr>
          <w:rFonts w:cs="Arial"/>
        </w:rPr>
        <w:t>el municipio de Galapa y el consorcio Gapa 2010</w:t>
      </w:r>
      <w:r w:rsidR="0088231F" w:rsidRPr="00941576">
        <w:rPr>
          <w:rFonts w:cs="Arial"/>
        </w:rPr>
        <w:t>.</w:t>
      </w:r>
    </w:p>
    <w:p w:rsidR="0088231F" w:rsidRPr="00941576" w:rsidRDefault="0088231F" w:rsidP="0088231F">
      <w:pPr>
        <w:rPr>
          <w:rFonts w:cs="Arial"/>
          <w:lang w:val="es-CO"/>
        </w:rPr>
      </w:pPr>
    </w:p>
    <w:p w:rsidR="0088231F" w:rsidRPr="00941576" w:rsidRDefault="0088231F" w:rsidP="0088231F">
      <w:pPr>
        <w:rPr>
          <w:rFonts w:cs="Arial"/>
          <w:lang w:val="es-CO"/>
        </w:rPr>
      </w:pPr>
      <w:r w:rsidRPr="00941576">
        <w:rPr>
          <w:rFonts w:cs="Arial"/>
          <w:lang w:val="es-CO"/>
        </w:rPr>
        <w:t>Así las cosas, se precisa que la parte demandada,</w:t>
      </w:r>
      <w:r w:rsidR="0035230C" w:rsidRPr="00941576">
        <w:rPr>
          <w:rFonts w:cs="Arial"/>
        </w:rPr>
        <w:t xml:space="preserve"> </w:t>
      </w:r>
      <w:r w:rsidR="00050D80" w:rsidRPr="00941576">
        <w:rPr>
          <w:rFonts w:cs="Arial"/>
        </w:rPr>
        <w:t>municipio de Galapa</w:t>
      </w:r>
      <w:r w:rsidR="00050D80" w:rsidRPr="00941576">
        <w:rPr>
          <w:rFonts w:cs="Arial"/>
          <w:lang w:val="es-CO"/>
        </w:rPr>
        <w:t xml:space="preserve">, es un ente territorial </w:t>
      </w:r>
      <w:r w:rsidRPr="00941576">
        <w:rPr>
          <w:rFonts w:cs="Arial"/>
          <w:lang w:val="es-CO"/>
        </w:rPr>
        <w:t xml:space="preserve">y, en ese orden, con sujeción a lo dispuesto </w:t>
      </w:r>
      <w:r w:rsidR="00050D80" w:rsidRPr="00941576">
        <w:rPr>
          <w:rFonts w:cs="Arial"/>
          <w:lang w:val="es-CO"/>
        </w:rPr>
        <w:t>en</w:t>
      </w:r>
      <w:r w:rsidR="00050D80" w:rsidRPr="00941576">
        <w:rPr>
          <w:rFonts w:cs="Arial"/>
        </w:rPr>
        <w:t xml:space="preserve"> la</w:t>
      </w:r>
      <w:r w:rsidR="00DE36FE" w:rsidRPr="00941576">
        <w:rPr>
          <w:rFonts w:cs="Arial"/>
        </w:rPr>
        <w:t xml:space="preserve"> Ley 489 de 1998</w:t>
      </w:r>
      <w:r w:rsidR="00DE36FE" w:rsidRPr="00941576">
        <w:rPr>
          <w:rStyle w:val="Refdenotaalpie"/>
          <w:rFonts w:cs="Arial"/>
        </w:rPr>
        <w:footnoteReference w:id="3"/>
      </w:r>
      <w:r w:rsidR="00DE36FE" w:rsidRPr="00941576">
        <w:rPr>
          <w:rFonts w:cs="Arial"/>
        </w:rPr>
        <w:t xml:space="preserve"> </w:t>
      </w:r>
      <w:r w:rsidRPr="00941576">
        <w:rPr>
          <w:rFonts w:cs="Arial"/>
          <w:lang w:val="es-CO"/>
        </w:rPr>
        <w:t xml:space="preserve">ostenta la naturaleza de entidad pública. </w:t>
      </w:r>
      <w:r w:rsidR="00B06E49" w:rsidRPr="00941576">
        <w:rPr>
          <w:rFonts w:cs="Arial"/>
          <w:lang w:val="es-CO"/>
        </w:rPr>
        <w:t xml:space="preserve">Por la razón advertida, esta </w:t>
      </w:r>
      <w:r w:rsidR="00C7050C" w:rsidRPr="00941576">
        <w:rPr>
          <w:rFonts w:cs="Arial"/>
          <w:lang w:val="es-CO"/>
        </w:rPr>
        <w:t>jurisdicción</w:t>
      </w:r>
      <w:r w:rsidR="00B06E49" w:rsidRPr="00941576">
        <w:rPr>
          <w:rFonts w:cs="Arial"/>
          <w:lang w:val="es-CO"/>
        </w:rPr>
        <w:t xml:space="preserve"> es competente para conocer del presente asunto.</w:t>
      </w:r>
    </w:p>
    <w:p w:rsidR="00B06E49" w:rsidRPr="00941576" w:rsidRDefault="00B06E49" w:rsidP="00B06E49">
      <w:pPr>
        <w:ind w:right="-1"/>
        <w:rPr>
          <w:rFonts w:cs="Arial"/>
          <w:color w:val="000000"/>
        </w:rPr>
      </w:pPr>
    </w:p>
    <w:p w:rsidR="00B06E49" w:rsidRPr="00941576" w:rsidRDefault="00B06E49" w:rsidP="00C7050C">
      <w:pPr>
        <w:ind w:right="-1"/>
        <w:rPr>
          <w:rFonts w:cs="Arial"/>
          <w:color w:val="000000"/>
        </w:rPr>
      </w:pPr>
      <w:r w:rsidRPr="00941576">
        <w:rPr>
          <w:rFonts w:cs="Arial"/>
          <w:color w:val="000000"/>
        </w:rPr>
        <w:t>1.2.- Con fundamento en el numeral 5 del artículo 152 de la Ley 1437 de 2011 y teniendo en cuenta que el valor de la pretensión mayor</w:t>
      </w:r>
      <w:r w:rsidRPr="00941576">
        <w:rPr>
          <w:rStyle w:val="Refdenotaalpie"/>
          <w:rFonts w:cs="Arial"/>
          <w:color w:val="000000"/>
        </w:rPr>
        <w:footnoteReference w:id="4"/>
      </w:r>
      <w:r w:rsidRPr="00941576">
        <w:rPr>
          <w:rFonts w:cs="Arial"/>
          <w:color w:val="000000"/>
        </w:rPr>
        <w:t xml:space="preserve"> resulta superior al monto equivalente a 500 salarios mínimos legales vigentes</w:t>
      </w:r>
      <w:r w:rsidRPr="00941576">
        <w:rPr>
          <w:rStyle w:val="Refdenotaalpie"/>
          <w:rFonts w:cs="Arial"/>
          <w:color w:val="000000"/>
        </w:rPr>
        <w:footnoteReference w:id="5"/>
      </w:r>
      <w:r w:rsidRPr="00941576">
        <w:rPr>
          <w:rFonts w:cs="Arial"/>
          <w:color w:val="000000"/>
        </w:rPr>
        <w:t xml:space="preserve"> a la fecha de presentación de la demanda, se concluye que el proceso tiene vocación de doble instancia.</w:t>
      </w:r>
    </w:p>
    <w:p w:rsidR="0073638A" w:rsidRPr="00941576" w:rsidRDefault="0073638A" w:rsidP="00C7050C">
      <w:pPr>
        <w:ind w:right="-1"/>
        <w:rPr>
          <w:rFonts w:cs="Arial"/>
          <w:color w:val="000000"/>
        </w:rPr>
      </w:pPr>
    </w:p>
    <w:p w:rsidR="00702565" w:rsidRPr="00941576" w:rsidRDefault="003E0EFE" w:rsidP="00702565">
      <w:pPr>
        <w:ind w:right="-1"/>
        <w:rPr>
          <w:rFonts w:cs="Arial"/>
          <w:b/>
        </w:rPr>
      </w:pPr>
      <w:r w:rsidRPr="00941576">
        <w:rPr>
          <w:rFonts w:cs="Arial"/>
          <w:b/>
        </w:rPr>
        <w:t>2</w:t>
      </w:r>
      <w:r w:rsidR="00B32A94" w:rsidRPr="00941576">
        <w:rPr>
          <w:rFonts w:cs="Arial"/>
          <w:b/>
        </w:rPr>
        <w:t>.-</w:t>
      </w:r>
      <w:r w:rsidR="00702565" w:rsidRPr="00941576">
        <w:rPr>
          <w:rFonts w:cs="Arial"/>
          <w:b/>
        </w:rPr>
        <w:t xml:space="preserve"> Oportunidad para el ejercicio de la acción contractual</w:t>
      </w:r>
    </w:p>
    <w:p w:rsidR="006C3C40" w:rsidRPr="00941576" w:rsidRDefault="006C3C40" w:rsidP="00313A10">
      <w:pPr>
        <w:rPr>
          <w:rFonts w:cs="Arial"/>
        </w:rPr>
      </w:pPr>
    </w:p>
    <w:p w:rsidR="00140AE1" w:rsidRPr="00941576" w:rsidRDefault="006C3C40" w:rsidP="00313A10">
      <w:pPr>
        <w:rPr>
          <w:rFonts w:cs="Arial"/>
        </w:rPr>
      </w:pPr>
      <w:r w:rsidRPr="00941576">
        <w:rPr>
          <w:rFonts w:cs="Arial"/>
        </w:rPr>
        <w:lastRenderedPageBreak/>
        <w:t>En orden a analizar este presupuesto</w:t>
      </w:r>
      <w:r w:rsidR="00C27D80" w:rsidRPr="00941576">
        <w:rPr>
          <w:rFonts w:cs="Arial"/>
        </w:rPr>
        <w:t>,</w:t>
      </w:r>
      <w:r w:rsidRPr="00941576">
        <w:rPr>
          <w:rFonts w:cs="Arial"/>
        </w:rPr>
        <w:t xml:space="preserve"> resulta indispensable poner de presente que el Contrato de Obra No. 01 de 2010, sobre el cual recae la atención de la Sala, fue </w:t>
      </w:r>
      <w:r w:rsidRPr="00941576">
        <w:rPr>
          <w:rFonts w:cs="Arial"/>
          <w:u w:val="single"/>
        </w:rPr>
        <w:t>liquidado bilateralmente a través de acta suscrita el 4 de mayo de 2011</w:t>
      </w:r>
      <w:r w:rsidR="00EF35BB" w:rsidRPr="00941576">
        <w:rPr>
          <w:rStyle w:val="Refdenotaalpie"/>
          <w:rFonts w:cs="Arial"/>
        </w:rPr>
        <w:footnoteReference w:id="6"/>
      </w:r>
      <w:r w:rsidR="00EB3DF8" w:rsidRPr="00941576">
        <w:rPr>
          <w:rFonts w:cs="Arial"/>
        </w:rPr>
        <w:t>.</w:t>
      </w:r>
    </w:p>
    <w:p w:rsidR="006C3C40" w:rsidRPr="00941576" w:rsidRDefault="006C3C40" w:rsidP="00313A10">
      <w:pPr>
        <w:rPr>
          <w:rFonts w:eastAsia="Calibri" w:cs="Arial"/>
          <w:lang w:val="es-CO" w:eastAsia="en-US"/>
        </w:rPr>
      </w:pPr>
    </w:p>
    <w:p w:rsidR="00D4696A" w:rsidRPr="00941576" w:rsidRDefault="00D4696A" w:rsidP="00D4696A">
      <w:pPr>
        <w:pStyle w:val="Textoindependiente"/>
        <w:rPr>
          <w:rFonts w:cs="Arial"/>
          <w:szCs w:val="24"/>
        </w:rPr>
      </w:pPr>
      <w:r w:rsidRPr="00941576">
        <w:rPr>
          <w:rFonts w:eastAsia="Calibri" w:cs="Arial"/>
          <w:szCs w:val="24"/>
          <w:lang w:val="es-CO" w:eastAsia="en-US"/>
        </w:rPr>
        <w:t xml:space="preserve">En secuencia </w:t>
      </w:r>
      <w:r w:rsidR="00140AE1" w:rsidRPr="00941576">
        <w:rPr>
          <w:rFonts w:eastAsia="Calibri" w:cs="Arial"/>
          <w:szCs w:val="24"/>
          <w:lang w:val="es-CO" w:eastAsia="en-US"/>
        </w:rPr>
        <w:t>con lo anterior</w:t>
      </w:r>
      <w:r w:rsidR="00B20C46" w:rsidRPr="00941576">
        <w:rPr>
          <w:rFonts w:eastAsia="Calibri" w:cs="Arial"/>
          <w:szCs w:val="24"/>
          <w:lang w:val="es-CO" w:eastAsia="en-US"/>
        </w:rPr>
        <w:t>,</w:t>
      </w:r>
      <w:r w:rsidR="00140AE1" w:rsidRPr="00941576">
        <w:rPr>
          <w:rFonts w:eastAsia="Calibri" w:cs="Arial"/>
          <w:szCs w:val="24"/>
          <w:lang w:val="es-CO" w:eastAsia="en-US"/>
        </w:rPr>
        <w:t xml:space="preserve"> es de capital impor</w:t>
      </w:r>
      <w:r w:rsidRPr="00941576">
        <w:rPr>
          <w:rFonts w:eastAsia="Calibri" w:cs="Arial"/>
          <w:szCs w:val="24"/>
          <w:lang w:val="es-CO" w:eastAsia="en-US"/>
        </w:rPr>
        <w:t xml:space="preserve">tancia realizar </w:t>
      </w:r>
      <w:r w:rsidRPr="00941576">
        <w:rPr>
          <w:rFonts w:cs="Arial"/>
          <w:szCs w:val="24"/>
        </w:rPr>
        <w:t>una breve precisión sobre el tránsito de legislación, teniendo en cuenta que en el presente caso el término fijado para la caducidad de la acción</w:t>
      </w:r>
      <w:r w:rsidR="00A41D58" w:rsidRPr="00941576">
        <w:rPr>
          <w:rFonts w:cs="Arial"/>
          <w:szCs w:val="24"/>
        </w:rPr>
        <w:t>, según se obs</w:t>
      </w:r>
      <w:r w:rsidR="00CB5543" w:rsidRPr="00941576">
        <w:rPr>
          <w:rFonts w:cs="Arial"/>
          <w:szCs w:val="24"/>
        </w:rPr>
        <w:t>e</w:t>
      </w:r>
      <w:r w:rsidR="00A41D58" w:rsidRPr="00941576">
        <w:rPr>
          <w:rFonts w:cs="Arial"/>
          <w:szCs w:val="24"/>
        </w:rPr>
        <w:t>rva,</w:t>
      </w:r>
      <w:r w:rsidRPr="00941576">
        <w:rPr>
          <w:rFonts w:cs="Arial"/>
          <w:szCs w:val="24"/>
        </w:rPr>
        <w:t xml:space="preserve"> comenzó a correr en vigencia del Código Contencioso A</w:t>
      </w:r>
      <w:r w:rsidR="00C73DC0" w:rsidRPr="00941576">
        <w:rPr>
          <w:rFonts w:cs="Arial"/>
          <w:szCs w:val="24"/>
        </w:rPr>
        <w:t>dministrativo,</w:t>
      </w:r>
      <w:r w:rsidR="00EB3DF8" w:rsidRPr="00941576">
        <w:rPr>
          <w:rFonts w:cs="Arial"/>
          <w:szCs w:val="24"/>
        </w:rPr>
        <w:t xml:space="preserve"> mayo de 2011</w:t>
      </w:r>
      <w:r w:rsidR="00C73DC0" w:rsidRPr="00941576">
        <w:rPr>
          <w:rFonts w:cs="Arial"/>
          <w:szCs w:val="24"/>
        </w:rPr>
        <w:t>, l</w:t>
      </w:r>
      <w:r w:rsidR="0058584A" w:rsidRPr="00941576">
        <w:rPr>
          <w:rFonts w:cs="Arial"/>
          <w:szCs w:val="24"/>
        </w:rPr>
        <w:t xml:space="preserve">o que de suyo conduce </w:t>
      </w:r>
      <w:r w:rsidR="004F1F08" w:rsidRPr="00941576">
        <w:rPr>
          <w:rFonts w:cs="Arial"/>
          <w:szCs w:val="24"/>
        </w:rPr>
        <w:t xml:space="preserve">a </w:t>
      </w:r>
      <w:r w:rsidR="0058584A" w:rsidRPr="00941576">
        <w:rPr>
          <w:rFonts w:cs="Arial"/>
          <w:szCs w:val="24"/>
        </w:rPr>
        <w:t>sostener</w:t>
      </w:r>
      <w:r w:rsidR="00C73DC0" w:rsidRPr="00941576">
        <w:rPr>
          <w:rFonts w:cs="Arial"/>
          <w:szCs w:val="24"/>
        </w:rPr>
        <w:t xml:space="preserve"> que ese presupuesto se ha de regir </w:t>
      </w:r>
      <w:r w:rsidRPr="00941576">
        <w:rPr>
          <w:rFonts w:cs="Arial"/>
          <w:szCs w:val="24"/>
        </w:rPr>
        <w:t>por las disposiciones que estaban vigentes a esa fecha en materia de caducidad de la acción, esto es</w:t>
      </w:r>
      <w:r w:rsidR="00B20C46" w:rsidRPr="00941576">
        <w:rPr>
          <w:rFonts w:cs="Arial"/>
          <w:szCs w:val="24"/>
        </w:rPr>
        <w:t>,</w:t>
      </w:r>
      <w:r w:rsidRPr="00941576">
        <w:rPr>
          <w:rFonts w:cs="Arial"/>
          <w:szCs w:val="24"/>
        </w:rPr>
        <w:t xml:space="preserve"> el </w:t>
      </w:r>
      <w:r w:rsidR="00286539" w:rsidRPr="00941576">
        <w:rPr>
          <w:rFonts w:cs="Arial"/>
          <w:szCs w:val="24"/>
        </w:rPr>
        <w:t>artículo 136 del referido estatuto</w:t>
      </w:r>
      <w:r w:rsidRPr="00941576">
        <w:rPr>
          <w:rStyle w:val="Refdenotaalpie"/>
          <w:rFonts w:cs="Arial"/>
          <w:szCs w:val="24"/>
        </w:rPr>
        <w:footnoteReference w:id="7"/>
      </w:r>
      <w:r w:rsidRPr="00941576">
        <w:rPr>
          <w:rFonts w:cs="Arial"/>
          <w:szCs w:val="24"/>
        </w:rPr>
        <w:t>.</w:t>
      </w:r>
    </w:p>
    <w:p w:rsidR="00070A55" w:rsidRPr="00941576" w:rsidRDefault="00070A55" w:rsidP="00D4696A">
      <w:pPr>
        <w:pStyle w:val="Textoindependiente"/>
        <w:rPr>
          <w:rFonts w:cs="Arial"/>
          <w:szCs w:val="24"/>
        </w:rPr>
      </w:pPr>
    </w:p>
    <w:p w:rsidR="00D4696A" w:rsidRPr="00941576" w:rsidRDefault="00A41D58" w:rsidP="00D4696A">
      <w:pPr>
        <w:pStyle w:val="Textoindependiente"/>
        <w:rPr>
          <w:rFonts w:cs="Arial"/>
          <w:szCs w:val="24"/>
        </w:rPr>
      </w:pPr>
      <w:r w:rsidRPr="00941576">
        <w:rPr>
          <w:rFonts w:cs="Arial"/>
          <w:szCs w:val="24"/>
        </w:rPr>
        <w:t>Lo dicho</w:t>
      </w:r>
      <w:r w:rsidR="00D4696A" w:rsidRPr="00941576">
        <w:rPr>
          <w:rFonts w:cs="Arial"/>
          <w:szCs w:val="24"/>
        </w:rPr>
        <w:t xml:space="preserve"> aplica aunque la demanda se </w:t>
      </w:r>
      <w:r w:rsidRPr="00941576">
        <w:rPr>
          <w:rFonts w:cs="Arial"/>
          <w:szCs w:val="24"/>
        </w:rPr>
        <w:t xml:space="preserve">hubiera presentado cuando ya se encontraba en vigor </w:t>
      </w:r>
      <w:r w:rsidR="00D4696A" w:rsidRPr="00941576">
        <w:rPr>
          <w:rFonts w:cs="Arial"/>
          <w:szCs w:val="24"/>
        </w:rPr>
        <w:t>la Ley 1437 de 2001</w:t>
      </w:r>
      <w:r w:rsidR="00B20C46" w:rsidRPr="00941576">
        <w:rPr>
          <w:rFonts w:cs="Arial"/>
          <w:szCs w:val="24"/>
        </w:rPr>
        <w:t>,</w:t>
      </w:r>
      <w:r w:rsidR="00D4696A" w:rsidRPr="00941576">
        <w:rPr>
          <w:rFonts w:cs="Arial"/>
          <w:szCs w:val="24"/>
        </w:rPr>
        <w:t xml:space="preserve"> contentiva del Código de Procedimiento Administrativo y de lo Contencioso Administrativo (C.P.A.C.A.)</w:t>
      </w:r>
      <w:r w:rsidRPr="00941576">
        <w:rPr>
          <w:rFonts w:cs="Arial"/>
          <w:szCs w:val="24"/>
        </w:rPr>
        <w:t xml:space="preserve"> y el proceso se rija </w:t>
      </w:r>
      <w:r w:rsidR="00D4696A" w:rsidRPr="00941576">
        <w:rPr>
          <w:rFonts w:cs="Arial"/>
          <w:szCs w:val="24"/>
        </w:rPr>
        <w:t>por las normas de este último código</w:t>
      </w:r>
      <w:r w:rsidR="00D4696A" w:rsidRPr="00941576">
        <w:rPr>
          <w:rStyle w:val="Refdenotaalpie"/>
          <w:rFonts w:cs="Arial"/>
          <w:szCs w:val="24"/>
        </w:rPr>
        <w:footnoteReference w:id="8"/>
      </w:r>
      <w:r w:rsidR="00D4696A" w:rsidRPr="00941576">
        <w:rPr>
          <w:rFonts w:cs="Arial"/>
          <w:szCs w:val="24"/>
        </w:rPr>
        <w:t>.</w:t>
      </w:r>
    </w:p>
    <w:p w:rsidR="007C2EDF" w:rsidRPr="00941576" w:rsidRDefault="007C2EDF" w:rsidP="00D4696A">
      <w:pPr>
        <w:pStyle w:val="Textoindependiente"/>
        <w:rPr>
          <w:rFonts w:cs="Arial"/>
          <w:szCs w:val="24"/>
        </w:rPr>
      </w:pPr>
    </w:p>
    <w:p w:rsidR="002535BF" w:rsidRPr="00941576" w:rsidRDefault="00D4696A" w:rsidP="00D4696A">
      <w:pPr>
        <w:pStyle w:val="Textoindependiente"/>
        <w:rPr>
          <w:rFonts w:cs="Arial"/>
          <w:szCs w:val="24"/>
        </w:rPr>
      </w:pPr>
      <w:r w:rsidRPr="00941576">
        <w:rPr>
          <w:rFonts w:cs="Arial"/>
          <w:szCs w:val="24"/>
        </w:rPr>
        <w:t>No obstante, se hace notar que la regla de la caducidad de la acción –hoy aplicable a las pretensiones del medio de control contractual- no cambió en forma im</w:t>
      </w:r>
      <w:r w:rsidR="0058584A" w:rsidRPr="00941576">
        <w:rPr>
          <w:rFonts w:cs="Arial"/>
          <w:szCs w:val="24"/>
        </w:rPr>
        <w:t>portante, por virtud del nuevo C</w:t>
      </w:r>
      <w:r w:rsidRPr="00941576">
        <w:rPr>
          <w:rFonts w:cs="Arial"/>
          <w:szCs w:val="24"/>
        </w:rPr>
        <w:t>ódigo.  En efecto</w:t>
      </w:r>
      <w:r w:rsidR="00A42702" w:rsidRPr="00941576">
        <w:rPr>
          <w:rFonts w:cs="Arial"/>
          <w:szCs w:val="24"/>
        </w:rPr>
        <w:t>,</w:t>
      </w:r>
      <w:r w:rsidRPr="00941576">
        <w:rPr>
          <w:rFonts w:cs="Arial"/>
          <w:szCs w:val="24"/>
        </w:rPr>
        <w:t xml:space="preserve"> el C.P.A.C.A siguió la regla de los dos años para establecer la caducidad, con la precisión de que corre a partir del término de ejecución del contrato</w:t>
      </w:r>
      <w:r w:rsidRPr="00941576">
        <w:rPr>
          <w:rStyle w:val="Refdenotaalpie"/>
          <w:rFonts w:cs="Arial"/>
          <w:szCs w:val="24"/>
        </w:rPr>
        <w:footnoteReference w:id="9"/>
      </w:r>
      <w:r w:rsidRPr="00941576">
        <w:rPr>
          <w:rFonts w:cs="Arial"/>
          <w:szCs w:val="24"/>
        </w:rPr>
        <w:t xml:space="preserve">. </w:t>
      </w:r>
    </w:p>
    <w:p w:rsidR="002535BF" w:rsidRPr="00941576" w:rsidRDefault="002535BF" w:rsidP="00D4696A">
      <w:pPr>
        <w:pStyle w:val="Textoindependiente"/>
        <w:rPr>
          <w:rFonts w:cs="Arial"/>
          <w:szCs w:val="24"/>
        </w:rPr>
      </w:pPr>
    </w:p>
    <w:p w:rsidR="00D4696A" w:rsidRPr="00941576" w:rsidRDefault="00D4696A" w:rsidP="00D4696A">
      <w:pPr>
        <w:pStyle w:val="Textoindependiente"/>
        <w:rPr>
          <w:rFonts w:cs="Arial"/>
          <w:szCs w:val="24"/>
        </w:rPr>
      </w:pPr>
      <w:r w:rsidRPr="00941576">
        <w:rPr>
          <w:rFonts w:cs="Arial"/>
          <w:szCs w:val="24"/>
        </w:rPr>
        <w:lastRenderedPageBreak/>
        <w:t>Además, se identificó que el plazo para la liqu</w:t>
      </w:r>
      <w:r w:rsidR="00B20C46" w:rsidRPr="00941576">
        <w:rPr>
          <w:rFonts w:cs="Arial"/>
          <w:szCs w:val="24"/>
        </w:rPr>
        <w:t>idación unilateral del contrato</w:t>
      </w:r>
      <w:r w:rsidRPr="00941576">
        <w:rPr>
          <w:rFonts w:cs="Arial"/>
          <w:szCs w:val="24"/>
        </w:rPr>
        <w:t xml:space="preserve"> comienza a correr </w:t>
      </w:r>
      <w:r w:rsidRPr="00941576">
        <w:rPr>
          <w:rFonts w:cs="Arial"/>
          <w:i/>
          <w:szCs w:val="24"/>
        </w:rPr>
        <w:t xml:space="preserve">al día siguiente </w:t>
      </w:r>
      <w:r w:rsidRPr="00941576">
        <w:rPr>
          <w:rFonts w:cs="Arial"/>
          <w:szCs w:val="24"/>
        </w:rPr>
        <w:t>del vencimiento del plazo para realizar la liquidación bilateral, redacción con la cual se afianzó que el cómputo del plazo de liquidación unilateral se desplaza en un día respecto de la fecha en que, para algunos, comenza</w:t>
      </w:r>
      <w:r w:rsidR="005E26D7" w:rsidRPr="00941576">
        <w:rPr>
          <w:rFonts w:cs="Arial"/>
          <w:szCs w:val="24"/>
        </w:rPr>
        <w:t>ba</w:t>
      </w:r>
      <w:r w:rsidRPr="00941576">
        <w:rPr>
          <w:rFonts w:cs="Arial"/>
          <w:szCs w:val="24"/>
        </w:rPr>
        <w:t xml:space="preserve"> a correr bajo la redacción del antiguo </w:t>
      </w:r>
      <w:r w:rsidR="00286539" w:rsidRPr="00941576">
        <w:rPr>
          <w:rFonts w:cs="Arial"/>
          <w:szCs w:val="24"/>
        </w:rPr>
        <w:t>cuerpo normativo</w:t>
      </w:r>
      <w:r w:rsidRPr="00941576">
        <w:rPr>
          <w:rFonts w:cs="Arial"/>
          <w:szCs w:val="24"/>
        </w:rPr>
        <w:t xml:space="preserve"> (C.C.A.).</w:t>
      </w:r>
    </w:p>
    <w:p w:rsidR="00B06E49" w:rsidRPr="00941576" w:rsidRDefault="00B06E49" w:rsidP="00313A10">
      <w:pPr>
        <w:rPr>
          <w:rFonts w:eastAsia="Calibri" w:cs="Arial"/>
          <w:lang w:val="es-CO" w:eastAsia="en-US"/>
        </w:rPr>
      </w:pPr>
    </w:p>
    <w:p w:rsidR="005E26D7" w:rsidRPr="00941576" w:rsidRDefault="00A41D58" w:rsidP="005E26D7">
      <w:pPr>
        <w:rPr>
          <w:rFonts w:eastAsia="Calibri" w:cs="Arial"/>
          <w:lang w:val="es-CO" w:eastAsia="en-US"/>
        </w:rPr>
      </w:pPr>
      <w:r w:rsidRPr="00941576">
        <w:rPr>
          <w:rFonts w:eastAsia="Calibri" w:cs="Arial"/>
          <w:lang w:val="es-CO" w:eastAsia="en-US"/>
        </w:rPr>
        <w:t>Aclarado lo anterior</w:t>
      </w:r>
      <w:r w:rsidR="00A25BA6" w:rsidRPr="00941576">
        <w:rPr>
          <w:rFonts w:eastAsia="Calibri" w:cs="Arial"/>
          <w:lang w:val="es-CO" w:eastAsia="en-US"/>
        </w:rPr>
        <w:t xml:space="preserve">, </w:t>
      </w:r>
      <w:r w:rsidR="004C42C6" w:rsidRPr="00941576">
        <w:rPr>
          <w:rFonts w:eastAsia="Calibri" w:cs="Arial"/>
          <w:lang w:val="es-CO" w:eastAsia="en-US"/>
        </w:rPr>
        <w:t>con sujeción</w:t>
      </w:r>
      <w:r w:rsidR="006474B2" w:rsidRPr="00941576">
        <w:rPr>
          <w:rFonts w:eastAsia="Calibri" w:cs="Arial"/>
          <w:lang w:val="es-CO" w:eastAsia="en-US"/>
        </w:rPr>
        <w:t xml:space="preserve"> a las reglas de oportunidad del C.C.A., </w:t>
      </w:r>
      <w:r w:rsidR="00A25BA6" w:rsidRPr="00941576">
        <w:rPr>
          <w:rFonts w:eastAsia="Calibri" w:cs="Arial"/>
          <w:lang w:val="es-CO" w:eastAsia="en-US"/>
        </w:rPr>
        <w:t>s</w:t>
      </w:r>
      <w:r w:rsidR="008458DD" w:rsidRPr="00941576">
        <w:rPr>
          <w:rFonts w:eastAsia="Calibri" w:cs="Arial"/>
          <w:lang w:val="es-CO" w:eastAsia="en-US"/>
        </w:rPr>
        <w:t xml:space="preserve">e </w:t>
      </w:r>
      <w:r w:rsidR="005E26D7" w:rsidRPr="00941576">
        <w:rPr>
          <w:rFonts w:eastAsia="Calibri" w:cs="Arial"/>
          <w:lang w:val="es-CO" w:eastAsia="en-US"/>
        </w:rPr>
        <w:t xml:space="preserve">precisa que la fecha inicial del cómputo de caducidad </w:t>
      </w:r>
      <w:r w:rsidR="009D7067" w:rsidRPr="00941576">
        <w:rPr>
          <w:rFonts w:eastAsia="Calibri" w:cs="Arial"/>
          <w:lang w:val="es-CO" w:eastAsia="en-US"/>
        </w:rPr>
        <w:t>corresponde al 4</w:t>
      </w:r>
      <w:r w:rsidR="00EB3DF8" w:rsidRPr="00941576">
        <w:rPr>
          <w:rFonts w:eastAsia="Calibri" w:cs="Arial"/>
          <w:lang w:val="es-CO" w:eastAsia="en-US"/>
        </w:rPr>
        <w:t xml:space="preserve"> de mayo</w:t>
      </w:r>
      <w:r w:rsidR="00704AEB" w:rsidRPr="00941576">
        <w:rPr>
          <w:rFonts w:eastAsia="Calibri" w:cs="Arial"/>
          <w:lang w:val="es-CO" w:eastAsia="en-US"/>
        </w:rPr>
        <w:t xml:space="preserve"> de 2011</w:t>
      </w:r>
      <w:r w:rsidR="00B20C46" w:rsidRPr="00941576">
        <w:rPr>
          <w:rFonts w:eastAsia="Calibri" w:cs="Arial"/>
          <w:lang w:val="es-CO" w:eastAsia="en-US"/>
        </w:rPr>
        <w:t>,</w:t>
      </w:r>
      <w:r w:rsidR="00704AEB" w:rsidRPr="00941576">
        <w:rPr>
          <w:rFonts w:eastAsia="Calibri" w:cs="Arial"/>
          <w:lang w:val="es-CO" w:eastAsia="en-US"/>
        </w:rPr>
        <w:t xml:space="preserve"> día </w:t>
      </w:r>
      <w:r w:rsidR="00C27D80" w:rsidRPr="00941576">
        <w:rPr>
          <w:rFonts w:eastAsia="Calibri" w:cs="Arial"/>
          <w:lang w:val="es-CO" w:eastAsia="en-US"/>
        </w:rPr>
        <w:t>en el cual</w:t>
      </w:r>
      <w:r w:rsidR="00704AEB" w:rsidRPr="00941576">
        <w:rPr>
          <w:rFonts w:eastAsia="Calibri" w:cs="Arial"/>
          <w:lang w:val="es-CO" w:eastAsia="en-US"/>
        </w:rPr>
        <w:t xml:space="preserve"> se firmó el acta de liquidación bilateral</w:t>
      </w:r>
      <w:r w:rsidR="004C42C6" w:rsidRPr="00941576">
        <w:rPr>
          <w:rFonts w:eastAsia="Calibri" w:cs="Arial"/>
          <w:lang w:val="es-CO" w:eastAsia="en-US"/>
        </w:rPr>
        <w:t>. De ahí que</w:t>
      </w:r>
      <w:r w:rsidR="00B20C46" w:rsidRPr="00941576">
        <w:rPr>
          <w:rFonts w:eastAsia="Calibri" w:cs="Arial"/>
          <w:lang w:val="es-CO" w:eastAsia="en-US"/>
        </w:rPr>
        <w:t>,</w:t>
      </w:r>
      <w:r w:rsidR="004C42C6" w:rsidRPr="00941576">
        <w:rPr>
          <w:rFonts w:eastAsia="Calibri" w:cs="Arial"/>
          <w:lang w:val="es-CO" w:eastAsia="en-US"/>
        </w:rPr>
        <w:t xml:space="preserve"> en principio</w:t>
      </w:r>
      <w:r w:rsidR="00B20C46" w:rsidRPr="00941576">
        <w:rPr>
          <w:rFonts w:eastAsia="Calibri" w:cs="Arial"/>
          <w:lang w:val="es-CO" w:eastAsia="en-US"/>
        </w:rPr>
        <w:t>,</w:t>
      </w:r>
      <w:r w:rsidR="004C42C6" w:rsidRPr="00941576">
        <w:rPr>
          <w:rFonts w:eastAsia="Calibri" w:cs="Arial"/>
          <w:lang w:val="es-CO" w:eastAsia="en-US"/>
        </w:rPr>
        <w:t xml:space="preserve"> los dos años de caducidad de la acción</w:t>
      </w:r>
      <w:r w:rsidR="00083053" w:rsidRPr="00941576">
        <w:rPr>
          <w:rFonts w:eastAsia="Calibri" w:cs="Arial"/>
          <w:lang w:val="es-CO" w:eastAsia="en-US"/>
        </w:rPr>
        <w:t xml:space="preserve"> </w:t>
      </w:r>
      <w:r w:rsidR="005A0408" w:rsidRPr="00941576">
        <w:rPr>
          <w:rFonts w:eastAsia="Calibri" w:cs="Arial"/>
          <w:lang w:val="es-CO" w:eastAsia="en-US"/>
        </w:rPr>
        <w:t xml:space="preserve">habrían de cumplirse el primer día hábil siguiente al </w:t>
      </w:r>
      <w:r w:rsidR="00083053" w:rsidRPr="00941576">
        <w:rPr>
          <w:rFonts w:eastAsia="Calibri" w:cs="Arial"/>
          <w:lang w:val="es-CO" w:eastAsia="en-US"/>
        </w:rPr>
        <w:t xml:space="preserve">4 de mayo de 2013 </w:t>
      </w:r>
      <w:r w:rsidR="005A0408" w:rsidRPr="00941576">
        <w:rPr>
          <w:rFonts w:eastAsia="Calibri" w:cs="Arial"/>
          <w:lang w:val="es-CO" w:eastAsia="en-US"/>
        </w:rPr>
        <w:t xml:space="preserve">-por </w:t>
      </w:r>
      <w:r w:rsidR="00083053" w:rsidRPr="00941576">
        <w:rPr>
          <w:rFonts w:eastAsia="Calibri" w:cs="Arial"/>
          <w:lang w:val="es-CO" w:eastAsia="en-US"/>
        </w:rPr>
        <w:t>cuanto ese día fue sábado-, es decir, el 6 de mayo</w:t>
      </w:r>
      <w:r w:rsidR="005A0408" w:rsidRPr="00941576">
        <w:rPr>
          <w:rFonts w:eastAsia="Calibri" w:cs="Arial"/>
          <w:lang w:val="es-CO" w:eastAsia="en-US"/>
        </w:rPr>
        <w:t xml:space="preserve"> de 2013.</w:t>
      </w:r>
    </w:p>
    <w:p w:rsidR="00783446" w:rsidRPr="00941576" w:rsidRDefault="00783446" w:rsidP="00313A10">
      <w:pPr>
        <w:rPr>
          <w:rFonts w:eastAsia="Calibri" w:cs="Arial"/>
          <w:lang w:val="es-CO" w:eastAsia="en-US"/>
        </w:rPr>
      </w:pPr>
    </w:p>
    <w:p w:rsidR="00F22FF3" w:rsidRPr="00941576" w:rsidRDefault="00CF7742" w:rsidP="0089036D">
      <w:pPr>
        <w:rPr>
          <w:rFonts w:eastAsia="Calibri" w:cs="Arial"/>
          <w:lang w:val="es-CO" w:eastAsia="en-US"/>
        </w:rPr>
      </w:pPr>
      <w:r w:rsidRPr="00941576">
        <w:rPr>
          <w:rFonts w:eastAsia="Calibri" w:cs="Arial"/>
          <w:lang w:val="es-CO" w:eastAsia="en-US"/>
        </w:rPr>
        <w:t>Corolario de lo plasmado,</w:t>
      </w:r>
      <w:r w:rsidR="00783446" w:rsidRPr="00941576">
        <w:rPr>
          <w:rFonts w:eastAsia="Calibri" w:cs="Arial"/>
          <w:lang w:val="es-CO" w:eastAsia="en-US"/>
        </w:rPr>
        <w:t xml:space="preserve"> al hab</w:t>
      </w:r>
      <w:r w:rsidR="00083053" w:rsidRPr="00941576">
        <w:rPr>
          <w:rFonts w:eastAsia="Calibri" w:cs="Arial"/>
          <w:lang w:val="es-CO" w:eastAsia="en-US"/>
        </w:rPr>
        <w:t>erse presentado la demanda el 18 de enero</w:t>
      </w:r>
      <w:r w:rsidR="00783446" w:rsidRPr="00941576">
        <w:rPr>
          <w:rFonts w:eastAsia="Calibri" w:cs="Arial"/>
          <w:lang w:val="es-CO" w:eastAsia="en-US"/>
        </w:rPr>
        <w:t xml:space="preserve"> de 2013, se concluye que su interposición fue oportuna. </w:t>
      </w:r>
    </w:p>
    <w:p w:rsidR="00C86E74" w:rsidRPr="00941576" w:rsidRDefault="00C86E74" w:rsidP="00C86E74">
      <w:pPr>
        <w:rPr>
          <w:rFonts w:cs="Arial"/>
          <w:b/>
        </w:rPr>
      </w:pPr>
    </w:p>
    <w:p w:rsidR="00C86E74" w:rsidRPr="00941576" w:rsidRDefault="00B32A94" w:rsidP="00C86E74">
      <w:pPr>
        <w:rPr>
          <w:rFonts w:cs="Arial"/>
        </w:rPr>
      </w:pPr>
      <w:r w:rsidRPr="00941576">
        <w:rPr>
          <w:rFonts w:cs="Arial"/>
          <w:b/>
        </w:rPr>
        <w:t>3.-</w:t>
      </w:r>
      <w:r w:rsidR="00C86E74" w:rsidRPr="00941576">
        <w:rPr>
          <w:rFonts w:cs="Arial"/>
          <w:b/>
        </w:rPr>
        <w:t xml:space="preserve"> Legitimación en la causa</w:t>
      </w:r>
      <w:r w:rsidR="00C86E74" w:rsidRPr="00941576">
        <w:rPr>
          <w:rFonts w:cs="Arial"/>
        </w:rPr>
        <w:t xml:space="preserve"> </w:t>
      </w:r>
    </w:p>
    <w:p w:rsidR="00C86E74" w:rsidRPr="00941576" w:rsidRDefault="00C86E74" w:rsidP="00C86E74">
      <w:pPr>
        <w:rPr>
          <w:rFonts w:cs="Arial"/>
        </w:rPr>
      </w:pPr>
    </w:p>
    <w:p w:rsidR="0099417A" w:rsidRPr="00941576" w:rsidRDefault="00C86E74" w:rsidP="00C86E74">
      <w:pPr>
        <w:rPr>
          <w:rFonts w:cs="Arial"/>
        </w:rPr>
      </w:pPr>
      <w:r w:rsidRPr="00941576">
        <w:rPr>
          <w:rFonts w:cs="Arial"/>
        </w:rPr>
        <w:t>La Sala encuentra que le asiste legitimac</w:t>
      </w:r>
      <w:r w:rsidR="00BF45AB" w:rsidRPr="00941576">
        <w:rPr>
          <w:rFonts w:cs="Arial"/>
        </w:rPr>
        <w:t xml:space="preserve">ión en la causa por activa </w:t>
      </w:r>
      <w:r w:rsidR="00A42702" w:rsidRPr="00941576">
        <w:rPr>
          <w:rFonts w:cs="Arial"/>
        </w:rPr>
        <w:t>al consorcio Gapa 2010, que actuó</w:t>
      </w:r>
      <w:r w:rsidR="00BF45AB" w:rsidRPr="00941576">
        <w:rPr>
          <w:rFonts w:cs="Arial"/>
        </w:rPr>
        <w:t xml:space="preserve"> a través de su representante Jorge Mariano Martínez Suárez</w:t>
      </w:r>
      <w:r w:rsidRPr="00941576">
        <w:rPr>
          <w:rFonts w:cs="Arial"/>
          <w:lang w:val="es-MX"/>
        </w:rPr>
        <w:t xml:space="preserve">, </w:t>
      </w:r>
      <w:r w:rsidRPr="00941576">
        <w:rPr>
          <w:rFonts w:cs="Arial"/>
        </w:rPr>
        <w:t>para integrar el extremo demandante, en su condición de</w:t>
      </w:r>
      <w:r w:rsidR="00BF45AB" w:rsidRPr="00941576">
        <w:rPr>
          <w:rFonts w:cs="Arial"/>
        </w:rPr>
        <w:t xml:space="preserve"> </w:t>
      </w:r>
      <w:r w:rsidRPr="00941576">
        <w:rPr>
          <w:rFonts w:cs="Arial"/>
        </w:rPr>
        <w:t>contratista den</w:t>
      </w:r>
      <w:r w:rsidR="00BF45AB" w:rsidRPr="00941576">
        <w:rPr>
          <w:rFonts w:cs="Arial"/>
        </w:rPr>
        <w:t>tro del negocio jurídico No. 01 de 2010</w:t>
      </w:r>
      <w:r w:rsidRPr="00941576">
        <w:rPr>
          <w:rFonts w:cs="Arial"/>
        </w:rPr>
        <w:t xml:space="preserve">, </w:t>
      </w:r>
      <w:r w:rsidR="00A42702" w:rsidRPr="00941576">
        <w:rPr>
          <w:rFonts w:cs="Arial"/>
        </w:rPr>
        <w:t xml:space="preserve">escenario en el que </w:t>
      </w:r>
      <w:r w:rsidRPr="00941576">
        <w:rPr>
          <w:rFonts w:cs="Arial"/>
        </w:rPr>
        <w:t xml:space="preserve">se produjo el supuesto incumplimiento o ruptura del equilibrio económico </w:t>
      </w:r>
      <w:r w:rsidR="0099417A" w:rsidRPr="00941576">
        <w:rPr>
          <w:rFonts w:cs="Arial"/>
        </w:rPr>
        <w:t>generado por la ausencia de reconocimiento de las mayores cantidades de obra y de los perjuicios de</w:t>
      </w:r>
      <w:r w:rsidR="00966C83" w:rsidRPr="00941576">
        <w:rPr>
          <w:rFonts w:cs="Arial"/>
        </w:rPr>
        <w:t>rivados por</w:t>
      </w:r>
      <w:r w:rsidR="0099417A" w:rsidRPr="00941576">
        <w:rPr>
          <w:rFonts w:cs="Arial"/>
        </w:rPr>
        <w:t xml:space="preserve"> la mayor permanencia en obra.</w:t>
      </w:r>
    </w:p>
    <w:p w:rsidR="0099417A" w:rsidRPr="00941576" w:rsidRDefault="0099417A" w:rsidP="00C86E74">
      <w:pPr>
        <w:rPr>
          <w:rFonts w:cs="Arial"/>
        </w:rPr>
      </w:pPr>
    </w:p>
    <w:p w:rsidR="00C86E74" w:rsidRPr="00941576" w:rsidRDefault="00C86E74" w:rsidP="00C86E74">
      <w:pPr>
        <w:rPr>
          <w:rFonts w:cs="Arial"/>
          <w:lang w:val="es-CO"/>
        </w:rPr>
      </w:pPr>
      <w:r w:rsidRPr="00941576">
        <w:rPr>
          <w:rFonts w:cs="Arial"/>
        </w:rPr>
        <w:t>En cuanto a la parte accionada, la Sala e</w:t>
      </w:r>
      <w:r w:rsidR="00A42702" w:rsidRPr="00941576">
        <w:rPr>
          <w:rFonts w:cs="Arial"/>
        </w:rPr>
        <w:t>stima legitimado en la causa por pasiva al</w:t>
      </w:r>
      <w:r w:rsidR="00BF45AB" w:rsidRPr="00941576">
        <w:rPr>
          <w:rFonts w:cs="Arial"/>
        </w:rPr>
        <w:t xml:space="preserve"> municipio de Galapa</w:t>
      </w:r>
      <w:r w:rsidRPr="00941576">
        <w:rPr>
          <w:rFonts w:cs="Arial"/>
          <w:lang w:val="es-CO"/>
        </w:rPr>
        <w:t xml:space="preserve">, dada su condición de entidad contratante del negocio jurídico </w:t>
      </w:r>
      <w:r w:rsidR="0099417A" w:rsidRPr="00941576">
        <w:rPr>
          <w:rFonts w:cs="Arial"/>
          <w:lang w:val="es-CO"/>
        </w:rPr>
        <w:t>génesis de la reclamación.</w:t>
      </w:r>
    </w:p>
    <w:p w:rsidR="00A25BA6" w:rsidRPr="00941576" w:rsidRDefault="00A25BA6" w:rsidP="00C51C3E">
      <w:pPr>
        <w:ind w:right="-1"/>
        <w:rPr>
          <w:rFonts w:cs="Arial"/>
          <w:b/>
        </w:rPr>
      </w:pPr>
    </w:p>
    <w:p w:rsidR="00C51C3E" w:rsidRPr="00941576" w:rsidRDefault="00B32A94" w:rsidP="00C51C3E">
      <w:pPr>
        <w:ind w:right="-1"/>
        <w:rPr>
          <w:rFonts w:cs="Arial"/>
          <w:b/>
        </w:rPr>
      </w:pPr>
      <w:r w:rsidRPr="00941576">
        <w:rPr>
          <w:rFonts w:cs="Arial"/>
          <w:b/>
        </w:rPr>
        <w:t>4-.</w:t>
      </w:r>
      <w:r w:rsidR="00C51C3E" w:rsidRPr="00941576">
        <w:rPr>
          <w:rFonts w:cs="Arial"/>
          <w:b/>
        </w:rPr>
        <w:t xml:space="preserve"> </w:t>
      </w:r>
      <w:r w:rsidR="00FD7D48" w:rsidRPr="00941576">
        <w:rPr>
          <w:rFonts w:cs="Arial"/>
          <w:b/>
        </w:rPr>
        <w:t>Análisis del recurso</w:t>
      </w:r>
    </w:p>
    <w:p w:rsidR="00C51C3E" w:rsidRPr="00941576" w:rsidRDefault="00C51C3E" w:rsidP="00C51C3E">
      <w:pPr>
        <w:ind w:right="-1"/>
        <w:rPr>
          <w:rFonts w:cs="Arial"/>
          <w:b/>
        </w:rPr>
      </w:pPr>
    </w:p>
    <w:p w:rsidR="003D0BD9" w:rsidRPr="00941576" w:rsidRDefault="00FD7D48" w:rsidP="00543770">
      <w:pPr>
        <w:rPr>
          <w:rFonts w:cs="Arial"/>
        </w:rPr>
      </w:pPr>
      <w:r w:rsidRPr="00941576">
        <w:rPr>
          <w:rFonts w:cs="Arial"/>
        </w:rPr>
        <w:t>Se some</w:t>
      </w:r>
      <w:r w:rsidR="003D0BD9" w:rsidRPr="00941576">
        <w:rPr>
          <w:rFonts w:cs="Arial"/>
        </w:rPr>
        <w:t>te</w:t>
      </w:r>
      <w:r w:rsidR="004F1F08" w:rsidRPr="00941576">
        <w:rPr>
          <w:rFonts w:cs="Arial"/>
        </w:rPr>
        <w:t>n</w:t>
      </w:r>
      <w:r w:rsidR="003D0BD9" w:rsidRPr="00941576">
        <w:rPr>
          <w:rFonts w:cs="Arial"/>
        </w:rPr>
        <w:t xml:space="preserve"> a consideración de l</w:t>
      </w:r>
      <w:r w:rsidR="006609E0" w:rsidRPr="00941576">
        <w:rPr>
          <w:rFonts w:cs="Arial"/>
        </w:rPr>
        <w:t>a Sala aspectos concernientes a la falta</w:t>
      </w:r>
      <w:r w:rsidR="003D0BD9" w:rsidRPr="00941576">
        <w:rPr>
          <w:rFonts w:cs="Arial"/>
        </w:rPr>
        <w:t xml:space="preserve"> de pago de los valores adeudados </w:t>
      </w:r>
      <w:r w:rsidR="006609E0" w:rsidRPr="00941576">
        <w:rPr>
          <w:rFonts w:cs="Arial"/>
        </w:rPr>
        <w:t xml:space="preserve">por el municipio </w:t>
      </w:r>
      <w:r w:rsidR="003D0BD9" w:rsidRPr="00941576">
        <w:rPr>
          <w:rFonts w:cs="Arial"/>
        </w:rPr>
        <w:t xml:space="preserve">al contratista demandante por concepto de mayores cantidades de obra y costos de la mayor permanencia </w:t>
      </w:r>
      <w:r w:rsidR="006609E0" w:rsidRPr="00941576">
        <w:rPr>
          <w:rFonts w:cs="Arial"/>
        </w:rPr>
        <w:t>en obra,</w:t>
      </w:r>
      <w:r w:rsidR="003D0BD9" w:rsidRPr="00941576">
        <w:rPr>
          <w:rFonts w:cs="Arial"/>
        </w:rPr>
        <w:t xml:space="preserve"> </w:t>
      </w:r>
      <w:r w:rsidR="006609E0" w:rsidRPr="00941576">
        <w:rPr>
          <w:rFonts w:cs="Arial"/>
        </w:rPr>
        <w:t xml:space="preserve">los </w:t>
      </w:r>
      <w:r w:rsidR="006609E0" w:rsidRPr="00941576">
        <w:rPr>
          <w:rFonts w:cs="Arial"/>
        </w:rPr>
        <w:lastRenderedPageBreak/>
        <w:t xml:space="preserve">cuales, </w:t>
      </w:r>
      <w:r w:rsidR="003D0BD9" w:rsidRPr="00941576">
        <w:rPr>
          <w:rFonts w:cs="Arial"/>
        </w:rPr>
        <w:t>seg</w:t>
      </w:r>
      <w:r w:rsidR="00750AC5" w:rsidRPr="00941576">
        <w:rPr>
          <w:rFonts w:cs="Arial"/>
        </w:rPr>
        <w:t>ún se</w:t>
      </w:r>
      <w:r w:rsidR="003D0BD9" w:rsidRPr="00941576">
        <w:rPr>
          <w:rFonts w:cs="Arial"/>
        </w:rPr>
        <w:t xml:space="preserve"> refiere</w:t>
      </w:r>
      <w:r w:rsidR="00750AC5" w:rsidRPr="00941576">
        <w:rPr>
          <w:rFonts w:cs="Arial"/>
        </w:rPr>
        <w:t>,</w:t>
      </w:r>
      <w:r w:rsidR="003D0BD9" w:rsidRPr="00941576">
        <w:rPr>
          <w:rFonts w:cs="Arial"/>
        </w:rPr>
        <w:t xml:space="preserve"> fueron expresamente reconocidos en el acta de liquidaci</w:t>
      </w:r>
      <w:r w:rsidR="00750AC5" w:rsidRPr="00941576">
        <w:rPr>
          <w:rFonts w:cs="Arial"/>
        </w:rPr>
        <w:t>ón bilateral del C</w:t>
      </w:r>
      <w:r w:rsidR="003D0BD9" w:rsidRPr="00941576">
        <w:rPr>
          <w:rFonts w:cs="Arial"/>
        </w:rPr>
        <w:t>ontrato</w:t>
      </w:r>
      <w:r w:rsidR="00750AC5" w:rsidRPr="00941576">
        <w:rPr>
          <w:rFonts w:cs="Arial"/>
        </w:rPr>
        <w:t xml:space="preserve"> No. 010</w:t>
      </w:r>
      <w:r w:rsidR="003D0BD9" w:rsidRPr="00941576">
        <w:rPr>
          <w:rFonts w:cs="Arial"/>
        </w:rPr>
        <w:t>.</w:t>
      </w:r>
    </w:p>
    <w:p w:rsidR="006609E0" w:rsidRPr="00941576" w:rsidRDefault="006609E0" w:rsidP="00543770">
      <w:pPr>
        <w:rPr>
          <w:rFonts w:cs="Arial"/>
        </w:rPr>
      </w:pPr>
    </w:p>
    <w:p w:rsidR="006609E0" w:rsidRPr="00941576" w:rsidRDefault="006609E0" w:rsidP="00543770">
      <w:pPr>
        <w:rPr>
          <w:rFonts w:cs="Arial"/>
        </w:rPr>
      </w:pPr>
      <w:r w:rsidRPr="00941576">
        <w:rPr>
          <w:rFonts w:cs="Arial"/>
        </w:rPr>
        <w:t xml:space="preserve">La primera instancia estructuró su negativa, por un lado, en el </w:t>
      </w:r>
      <w:r w:rsidR="007C254E" w:rsidRPr="00941576">
        <w:rPr>
          <w:rFonts w:cs="Arial"/>
        </w:rPr>
        <w:t>hecho</w:t>
      </w:r>
      <w:r w:rsidRPr="00941576">
        <w:rPr>
          <w:rFonts w:cs="Arial"/>
        </w:rPr>
        <w:t xml:space="preserve"> de que la reclamación de los valores consignados por mayor permanencia en obra en el acta de liquidación bilateral correspondía </w:t>
      </w:r>
      <w:r w:rsidR="004F3F1A" w:rsidRPr="00941576">
        <w:rPr>
          <w:rFonts w:cs="Arial"/>
        </w:rPr>
        <w:t xml:space="preserve">ventilarse </w:t>
      </w:r>
      <w:r w:rsidRPr="00941576">
        <w:rPr>
          <w:rFonts w:cs="Arial"/>
        </w:rPr>
        <w:t>a través de un medio</w:t>
      </w:r>
      <w:r w:rsidR="004F3F1A" w:rsidRPr="00941576">
        <w:rPr>
          <w:rFonts w:cs="Arial"/>
        </w:rPr>
        <w:t xml:space="preserve"> de control distinto y</w:t>
      </w:r>
      <w:r w:rsidRPr="00941576">
        <w:rPr>
          <w:rFonts w:cs="Arial"/>
        </w:rPr>
        <w:t xml:space="preserve">, de otra parte, </w:t>
      </w:r>
      <w:r w:rsidR="00966C83" w:rsidRPr="00941576">
        <w:rPr>
          <w:rFonts w:cs="Arial"/>
        </w:rPr>
        <w:t xml:space="preserve">en </w:t>
      </w:r>
      <w:r w:rsidRPr="00941576">
        <w:rPr>
          <w:rFonts w:cs="Arial"/>
        </w:rPr>
        <w:t xml:space="preserve">que las mayores cantidades de obra </w:t>
      </w:r>
      <w:r w:rsidR="00966C83" w:rsidRPr="00941576">
        <w:rPr>
          <w:rFonts w:cs="Arial"/>
        </w:rPr>
        <w:t>deprecadas</w:t>
      </w:r>
      <w:r w:rsidR="004F3F1A" w:rsidRPr="00941576">
        <w:rPr>
          <w:rFonts w:cs="Arial"/>
        </w:rPr>
        <w:t xml:space="preserve"> no habían sido materia de comprobación. </w:t>
      </w:r>
    </w:p>
    <w:p w:rsidR="004F3F1A" w:rsidRPr="00941576" w:rsidRDefault="004F3F1A" w:rsidP="00543770">
      <w:pPr>
        <w:rPr>
          <w:rFonts w:cs="Arial"/>
        </w:rPr>
      </w:pPr>
    </w:p>
    <w:p w:rsidR="004F3F1A" w:rsidRPr="00941576" w:rsidRDefault="00966C83" w:rsidP="00543770">
      <w:pPr>
        <w:rPr>
          <w:rFonts w:cs="Arial"/>
        </w:rPr>
      </w:pPr>
      <w:r w:rsidRPr="00941576">
        <w:rPr>
          <w:rFonts w:cs="Arial"/>
        </w:rPr>
        <w:t>La apelación se basó</w:t>
      </w:r>
      <w:r w:rsidR="00B00169" w:rsidRPr="00941576">
        <w:rPr>
          <w:rFonts w:cs="Arial"/>
        </w:rPr>
        <w:t>,</w:t>
      </w:r>
      <w:r w:rsidRPr="00941576">
        <w:rPr>
          <w:rFonts w:cs="Arial"/>
        </w:rPr>
        <w:t xml:space="preserve"> concretamente</w:t>
      </w:r>
      <w:r w:rsidR="00B00169" w:rsidRPr="00941576">
        <w:rPr>
          <w:rFonts w:cs="Arial"/>
        </w:rPr>
        <w:t>,</w:t>
      </w:r>
      <w:r w:rsidRPr="00941576">
        <w:rPr>
          <w:rFonts w:cs="Arial"/>
        </w:rPr>
        <w:t xml:space="preserve"> e</w:t>
      </w:r>
      <w:r w:rsidR="004F3F1A" w:rsidRPr="00941576">
        <w:rPr>
          <w:rFonts w:cs="Arial"/>
        </w:rPr>
        <w:t xml:space="preserve">n reiterar la fuerza vinculante de que goza el acta de liquidación frente a los reconocimientos contenidos en su texto </w:t>
      </w:r>
      <w:r w:rsidR="00365ADC" w:rsidRPr="00941576">
        <w:rPr>
          <w:rFonts w:cs="Arial"/>
        </w:rPr>
        <w:t xml:space="preserve">y en el incumplimiento en que incurrió la demandada </w:t>
      </w:r>
      <w:r w:rsidR="00854598" w:rsidRPr="00941576">
        <w:rPr>
          <w:rFonts w:cs="Arial"/>
        </w:rPr>
        <w:t>al no pagarlos. En ese sentido, reiteró la procedencia de su pago de cara al material probatorio que obra en el plenario</w:t>
      </w:r>
      <w:r w:rsidR="00B00169" w:rsidRPr="00941576">
        <w:rPr>
          <w:rFonts w:cs="Arial"/>
        </w:rPr>
        <w:t>,</w:t>
      </w:r>
      <w:r w:rsidR="00854598" w:rsidRPr="00941576">
        <w:rPr>
          <w:rFonts w:cs="Arial"/>
        </w:rPr>
        <w:t xml:space="preserve"> en virtud </w:t>
      </w:r>
      <w:r w:rsidRPr="00941576">
        <w:rPr>
          <w:rFonts w:cs="Arial"/>
        </w:rPr>
        <w:t xml:space="preserve">del cual </w:t>
      </w:r>
      <w:r w:rsidR="004F1F08" w:rsidRPr="00941576">
        <w:rPr>
          <w:rFonts w:cs="Arial"/>
        </w:rPr>
        <w:t>se desprendía</w:t>
      </w:r>
      <w:r w:rsidR="00854598" w:rsidRPr="00941576">
        <w:rPr>
          <w:rFonts w:cs="Arial"/>
        </w:rPr>
        <w:t xml:space="preserve"> su causación. </w:t>
      </w:r>
    </w:p>
    <w:p w:rsidR="004F3F1A" w:rsidRPr="00941576" w:rsidRDefault="004F3F1A" w:rsidP="00543770">
      <w:pPr>
        <w:rPr>
          <w:rFonts w:cs="Arial"/>
        </w:rPr>
      </w:pPr>
    </w:p>
    <w:p w:rsidR="00854598" w:rsidRPr="00941576" w:rsidRDefault="00854598" w:rsidP="00543770">
      <w:pPr>
        <w:rPr>
          <w:rFonts w:cs="Arial"/>
        </w:rPr>
      </w:pPr>
      <w:r w:rsidRPr="00941576">
        <w:rPr>
          <w:rFonts w:cs="Arial"/>
        </w:rPr>
        <w:t>En orden a resolver el objeto de la apelación y como quiera que lo se encuentra en debate</w:t>
      </w:r>
      <w:r w:rsidR="00966C83" w:rsidRPr="00941576">
        <w:rPr>
          <w:rFonts w:cs="Arial"/>
        </w:rPr>
        <w:t>,</w:t>
      </w:r>
      <w:r w:rsidRPr="00941576">
        <w:rPr>
          <w:rFonts w:cs="Arial"/>
        </w:rPr>
        <w:t xml:space="preserve"> esencialmente</w:t>
      </w:r>
      <w:r w:rsidR="00966C83" w:rsidRPr="00941576">
        <w:rPr>
          <w:rFonts w:cs="Arial"/>
        </w:rPr>
        <w:t>,</w:t>
      </w:r>
      <w:r w:rsidRPr="00941576">
        <w:rPr>
          <w:rFonts w:cs="Arial"/>
        </w:rPr>
        <w:t xml:space="preserve"> se centra en el contenido del acta de liquidación bilateral del Contrato No. 010 de 2010, la Sala estima necesario, </w:t>
      </w:r>
      <w:r w:rsidRPr="00941576">
        <w:rPr>
          <w:rFonts w:cs="Arial"/>
          <w:i/>
        </w:rPr>
        <w:t>prima facie</w:t>
      </w:r>
      <w:r w:rsidRPr="00941576">
        <w:rPr>
          <w:rFonts w:cs="Arial"/>
        </w:rPr>
        <w:t xml:space="preserve">, pronunciarse en relación con la fuerza vinculante de dicho documento. </w:t>
      </w:r>
    </w:p>
    <w:p w:rsidR="00AC07FC" w:rsidRPr="00941576" w:rsidRDefault="00AC07FC" w:rsidP="001135F0">
      <w:pPr>
        <w:contextualSpacing/>
        <w:rPr>
          <w:rFonts w:cs="Arial"/>
          <w:b/>
        </w:rPr>
      </w:pPr>
    </w:p>
    <w:p w:rsidR="001135F0" w:rsidRPr="00941576" w:rsidRDefault="00C52EAE" w:rsidP="001135F0">
      <w:pPr>
        <w:contextualSpacing/>
        <w:rPr>
          <w:rFonts w:cs="Arial"/>
        </w:rPr>
      </w:pPr>
      <w:r w:rsidRPr="00941576">
        <w:rPr>
          <w:rFonts w:cs="Arial"/>
        </w:rPr>
        <w:t xml:space="preserve">4.1-. </w:t>
      </w:r>
      <w:r w:rsidR="001135F0" w:rsidRPr="00941576">
        <w:rPr>
          <w:rFonts w:cs="Arial"/>
          <w:u w:val="single"/>
        </w:rPr>
        <w:t>Fuerza vinculante del contenido del acta de liquidación</w:t>
      </w:r>
    </w:p>
    <w:p w:rsidR="001135F0" w:rsidRPr="00941576" w:rsidRDefault="001135F0" w:rsidP="001135F0">
      <w:pPr>
        <w:contextualSpacing/>
        <w:rPr>
          <w:rFonts w:cs="Arial"/>
          <w:b/>
        </w:rPr>
      </w:pPr>
    </w:p>
    <w:p w:rsidR="001135F0" w:rsidRPr="00941576" w:rsidRDefault="001135F0" w:rsidP="001135F0">
      <w:pPr>
        <w:autoSpaceDN w:val="0"/>
        <w:rPr>
          <w:rFonts w:cs="Arial"/>
        </w:rPr>
      </w:pPr>
      <w:r w:rsidRPr="00941576">
        <w:rPr>
          <w:rFonts w:cs="Arial"/>
        </w:rPr>
        <w:t>En reiteradas providencias emanadas de la Sección Tercera del Consejo de Estado se ha considerado</w:t>
      </w:r>
      <w:r w:rsidRPr="00941576">
        <w:rPr>
          <w:rFonts w:cs="Arial"/>
          <w:vertAlign w:val="superscript"/>
        </w:rPr>
        <w:footnoteReference w:id="10"/>
      </w:r>
      <w:r w:rsidRPr="00941576">
        <w:rPr>
          <w:rFonts w:cs="Arial"/>
        </w:rPr>
        <w:t xml:space="preserve"> que en aquellos casos en los cuales el contrato se liquida por </w:t>
      </w:r>
      <w:r w:rsidRPr="00941576">
        <w:rPr>
          <w:rFonts w:cs="Arial"/>
        </w:rPr>
        <w:lastRenderedPageBreak/>
        <w:t>mutuo acuerdo entre las partes, el documento en que se plasma dicho acto contiene un consenso acerca de los datos y</w:t>
      </w:r>
      <w:r w:rsidR="00E0739C" w:rsidRPr="00941576">
        <w:rPr>
          <w:rFonts w:cs="Arial"/>
        </w:rPr>
        <w:t xml:space="preserve"> valores allí establecidos y podrá</w:t>
      </w:r>
      <w:r w:rsidRPr="00941576">
        <w:rPr>
          <w:rFonts w:cs="Arial"/>
        </w:rPr>
        <w:t xml:space="preserve"> ser controvertido posteriormente: </w:t>
      </w:r>
      <w:r w:rsidRPr="00941576">
        <w:rPr>
          <w:rFonts w:cs="Arial"/>
          <w:b/>
        </w:rPr>
        <w:t>i)</w:t>
      </w:r>
      <w:r w:rsidRPr="00941576">
        <w:rPr>
          <w:rFonts w:cs="Arial"/>
        </w:rPr>
        <w:t xml:space="preserve"> en los aspectos que hayan sido materia de salvedad expresa o </w:t>
      </w:r>
      <w:r w:rsidRPr="00941576">
        <w:rPr>
          <w:rFonts w:cs="Arial"/>
          <w:b/>
        </w:rPr>
        <w:t>ii)</w:t>
      </w:r>
      <w:r w:rsidRPr="00941576">
        <w:rPr>
          <w:rFonts w:cs="Arial"/>
        </w:rPr>
        <w:t xml:space="preserve"> en aquellas partidas en relación con las cuales pueda probarse un vicio del consentimiento (error, fuerza o dolo). </w:t>
      </w:r>
    </w:p>
    <w:p w:rsidR="001135F0" w:rsidRPr="00941576" w:rsidRDefault="001135F0" w:rsidP="001135F0">
      <w:pPr>
        <w:autoSpaceDN w:val="0"/>
        <w:rPr>
          <w:rFonts w:cs="Arial"/>
        </w:rPr>
      </w:pPr>
    </w:p>
    <w:p w:rsidR="001135F0" w:rsidRPr="00941576" w:rsidRDefault="001135F0" w:rsidP="001135F0">
      <w:pPr>
        <w:autoSpaceDN w:val="0"/>
        <w:rPr>
          <w:rFonts w:cs="Arial"/>
        </w:rPr>
      </w:pPr>
      <w:r w:rsidRPr="00941576">
        <w:rPr>
          <w:rFonts w:cs="Arial"/>
        </w:rPr>
        <w:t>El contenido del acta de liquidación bilateral del contrato reviste obligatoriedad para las partes y no puede ser desestimado en los estrados judiciales</w:t>
      </w:r>
      <w:r w:rsidR="00966C83" w:rsidRPr="00941576">
        <w:rPr>
          <w:rFonts w:cs="Arial"/>
        </w:rPr>
        <w:t>,</w:t>
      </w:r>
      <w:r w:rsidRPr="00941576">
        <w:rPr>
          <w:rFonts w:cs="Arial"/>
        </w:rPr>
        <w:t xml:space="preserve"> toda vez que con ella se desarrolla la obligación legal de establecer el finiquito de la cuenta contractual, de conformidad con el </w:t>
      </w:r>
      <w:r w:rsidR="00B00169" w:rsidRPr="00941576">
        <w:rPr>
          <w:rFonts w:cs="Arial"/>
        </w:rPr>
        <w:t xml:space="preserve">contenido del </w:t>
      </w:r>
      <w:r w:rsidRPr="00941576">
        <w:rPr>
          <w:rFonts w:cs="Arial"/>
        </w:rPr>
        <w:t xml:space="preserve">artículo 60 de la Ley 80 de 1993, el cual se impone como regla general en los contratos de tracto sucesivo cuando </w:t>
      </w:r>
      <w:r w:rsidR="00C2720A" w:rsidRPr="00941576">
        <w:rPr>
          <w:rFonts w:cs="Arial"/>
        </w:rPr>
        <w:t>se rigen por el referido Estatuto</w:t>
      </w:r>
      <w:r w:rsidRPr="00941576">
        <w:rPr>
          <w:rFonts w:cs="Arial"/>
        </w:rPr>
        <w:t xml:space="preserve">.  </w:t>
      </w:r>
    </w:p>
    <w:p w:rsidR="001135F0" w:rsidRPr="00941576" w:rsidRDefault="001135F0" w:rsidP="001135F0">
      <w:pPr>
        <w:autoSpaceDN w:val="0"/>
        <w:rPr>
          <w:rFonts w:cs="Arial"/>
        </w:rPr>
      </w:pPr>
    </w:p>
    <w:p w:rsidR="001135F0" w:rsidRPr="00941576" w:rsidRDefault="00966C83" w:rsidP="001135F0">
      <w:pPr>
        <w:contextualSpacing/>
        <w:rPr>
          <w:rFonts w:cs="Arial"/>
        </w:rPr>
      </w:pPr>
      <w:r w:rsidRPr="00941576">
        <w:rPr>
          <w:rFonts w:cs="Arial"/>
        </w:rPr>
        <w:t>En consonancia</w:t>
      </w:r>
      <w:r w:rsidR="00C2720A" w:rsidRPr="00941576">
        <w:rPr>
          <w:rFonts w:cs="Arial"/>
        </w:rPr>
        <w:t xml:space="preserve"> con lo dicho, debe destacarse que </w:t>
      </w:r>
      <w:r w:rsidR="001135F0" w:rsidRPr="00941576">
        <w:rPr>
          <w:rFonts w:cs="Arial"/>
        </w:rPr>
        <w:t xml:space="preserve">en el inciso primero del artículo 60 de la Ley 80 de 1993 existió norma expresa que sometió el acta de liquidación bilateral a acuerdo entre </w:t>
      </w:r>
      <w:r w:rsidR="001135F0" w:rsidRPr="00941576">
        <w:rPr>
          <w:rFonts w:cs="Arial"/>
          <w:i/>
        </w:rPr>
        <w:t>“las partes”,</w:t>
      </w:r>
      <w:r w:rsidR="00C2720A" w:rsidRPr="00941576">
        <w:rPr>
          <w:rFonts w:cs="Arial"/>
        </w:rPr>
        <w:t xml:space="preserve"> circunstancia</w:t>
      </w:r>
      <w:r w:rsidR="001135F0" w:rsidRPr="00941576">
        <w:rPr>
          <w:rFonts w:cs="Arial"/>
        </w:rPr>
        <w:t xml:space="preserve"> </w:t>
      </w:r>
      <w:r w:rsidR="00C2720A" w:rsidRPr="00941576">
        <w:rPr>
          <w:rFonts w:cs="Arial"/>
        </w:rPr>
        <w:t>considerada</w:t>
      </w:r>
      <w:r w:rsidR="001135F0" w:rsidRPr="00941576">
        <w:rPr>
          <w:rFonts w:cs="Arial"/>
        </w:rPr>
        <w:t xml:space="preserve"> por la jurisprudenci</w:t>
      </w:r>
      <w:r w:rsidR="00C2720A" w:rsidRPr="00941576">
        <w:rPr>
          <w:rFonts w:cs="Arial"/>
        </w:rPr>
        <w:t>a como indicativa</w:t>
      </w:r>
      <w:r w:rsidR="001135F0" w:rsidRPr="00941576">
        <w:rPr>
          <w:rFonts w:cs="Arial"/>
        </w:rPr>
        <w:t xml:space="preserve"> del requisito de la firma del rep</w:t>
      </w:r>
      <w:r w:rsidR="00C2720A" w:rsidRPr="00941576">
        <w:rPr>
          <w:rFonts w:cs="Arial"/>
        </w:rPr>
        <w:t>resentante leg</w:t>
      </w:r>
      <w:r w:rsidRPr="00941576">
        <w:rPr>
          <w:rFonts w:cs="Arial"/>
        </w:rPr>
        <w:t>al de ambos extremos negociales,</w:t>
      </w:r>
      <w:r w:rsidR="00C2720A" w:rsidRPr="00941576">
        <w:rPr>
          <w:rFonts w:cs="Arial"/>
        </w:rPr>
        <w:t xml:space="preserve"> para determinar </w:t>
      </w:r>
      <w:r w:rsidR="001135F0" w:rsidRPr="00941576">
        <w:rPr>
          <w:rFonts w:cs="Arial"/>
        </w:rPr>
        <w:t>la o</w:t>
      </w:r>
      <w:r w:rsidRPr="00941576">
        <w:rPr>
          <w:rFonts w:cs="Arial"/>
        </w:rPr>
        <w:t>bligatoriedad del acta y extraer</w:t>
      </w:r>
      <w:r w:rsidR="001135F0" w:rsidRPr="00941576">
        <w:rPr>
          <w:rFonts w:cs="Arial"/>
        </w:rPr>
        <w:t xml:space="preserve"> de allí el efecto de la firma sin salvedades. </w:t>
      </w:r>
    </w:p>
    <w:p w:rsidR="001135F0" w:rsidRPr="00941576" w:rsidRDefault="001135F0" w:rsidP="001135F0">
      <w:pPr>
        <w:autoSpaceDN w:val="0"/>
        <w:rPr>
          <w:rFonts w:cs="Arial"/>
        </w:rPr>
      </w:pPr>
    </w:p>
    <w:p w:rsidR="001135F0" w:rsidRPr="00941576" w:rsidRDefault="001135F0" w:rsidP="001135F0">
      <w:pPr>
        <w:autoSpaceDN w:val="0"/>
        <w:rPr>
          <w:rFonts w:cs="Arial"/>
        </w:rPr>
      </w:pPr>
      <w:r w:rsidRPr="00941576">
        <w:rPr>
          <w:rFonts w:cs="Arial"/>
        </w:rPr>
        <w:t xml:space="preserve">Dar cabida a una interpretación contraria a lo expuesto equivaldría a formular una posición que desconoce: </w:t>
      </w:r>
      <w:r w:rsidRPr="00941576">
        <w:rPr>
          <w:rFonts w:cs="Arial"/>
          <w:b/>
        </w:rPr>
        <w:t>i)</w:t>
      </w:r>
      <w:r w:rsidRPr="00941576">
        <w:rPr>
          <w:rFonts w:cs="Arial"/>
        </w:rPr>
        <w:t xml:space="preserve"> la regla derivada del derecho romano, “n</w:t>
      </w:r>
      <w:r w:rsidRPr="00941576">
        <w:rPr>
          <w:rFonts w:cs="Arial"/>
          <w:i/>
        </w:rPr>
        <w:t>emo auditur propiam turpidetudinem allegans”</w:t>
      </w:r>
      <w:r w:rsidRPr="00941576">
        <w:rPr>
          <w:rFonts w:cs="Arial"/>
        </w:rPr>
        <w:t xml:space="preserve">, según la cual nadie puede alegar su propia culpa para fundar una pretensión; </w:t>
      </w:r>
      <w:r w:rsidRPr="00941576">
        <w:rPr>
          <w:rFonts w:cs="Arial"/>
          <w:b/>
        </w:rPr>
        <w:t>ii)</w:t>
      </w:r>
      <w:r w:rsidRPr="00941576">
        <w:rPr>
          <w:rFonts w:cs="Arial"/>
        </w:rPr>
        <w:t xml:space="preserve"> la  obligatoriedad de soportar los efectos de los actos propios, de conformidad con la cual </w:t>
      </w:r>
      <w:r w:rsidRPr="00941576">
        <w:rPr>
          <w:rFonts w:cs="Arial"/>
          <w:bCs/>
          <w:i/>
        </w:rPr>
        <w:t>“</w:t>
      </w:r>
      <w:r w:rsidRPr="00941576">
        <w:rPr>
          <w:rFonts w:cs="Arial"/>
          <w:i/>
          <w:iCs/>
        </w:rPr>
        <w:t>venire contra factum proprium non valet”,</w:t>
      </w:r>
      <w:r w:rsidRPr="00941576">
        <w:rPr>
          <w:rFonts w:cs="Arial"/>
          <w:iCs/>
        </w:rPr>
        <w:t xml:space="preserve"> es decir</w:t>
      </w:r>
      <w:r w:rsidR="00A26076" w:rsidRPr="00941576">
        <w:rPr>
          <w:rFonts w:cs="Arial"/>
          <w:iCs/>
        </w:rPr>
        <w:t>,</w:t>
      </w:r>
      <w:r w:rsidRPr="00941576">
        <w:rPr>
          <w:rFonts w:cs="Arial"/>
          <w:iCs/>
        </w:rPr>
        <w:t xml:space="preserve"> que </w:t>
      </w:r>
      <w:r w:rsidRPr="00941576">
        <w:rPr>
          <w:rFonts w:cs="Arial"/>
        </w:rPr>
        <w:t>a nadie le es lícito venir contra sus propios actos</w:t>
      </w:r>
      <w:r w:rsidRPr="00941576">
        <w:rPr>
          <w:rFonts w:cs="Arial"/>
          <w:i/>
        </w:rPr>
        <w:t xml:space="preserve"> y iii) </w:t>
      </w:r>
      <w:r w:rsidRPr="00941576">
        <w:rPr>
          <w:rFonts w:cs="Arial"/>
        </w:rPr>
        <w:t>el principio de la buena fe o “</w:t>
      </w:r>
      <w:r w:rsidRPr="00941576">
        <w:rPr>
          <w:rFonts w:cs="Arial"/>
          <w:i/>
        </w:rPr>
        <w:t>bona fides</w:t>
      </w:r>
      <w:r w:rsidRPr="00941576">
        <w:rPr>
          <w:rFonts w:cs="Arial"/>
        </w:rPr>
        <w:t>” que debe imperar en las relaciones jurídicas y en el proceso judicial</w:t>
      </w:r>
      <w:r w:rsidRPr="00941576">
        <w:rPr>
          <w:rFonts w:cs="Arial"/>
          <w:vertAlign w:val="superscript"/>
        </w:rPr>
        <w:footnoteReference w:id="11"/>
      </w:r>
      <w:r w:rsidRPr="00941576">
        <w:rPr>
          <w:rFonts w:cs="Arial"/>
        </w:rPr>
        <w:t xml:space="preserve">.  </w:t>
      </w:r>
    </w:p>
    <w:p w:rsidR="001135F0" w:rsidRPr="00941576" w:rsidRDefault="001135F0" w:rsidP="001135F0">
      <w:pPr>
        <w:contextualSpacing/>
        <w:rPr>
          <w:rFonts w:cs="Arial"/>
          <w:b/>
        </w:rPr>
      </w:pPr>
    </w:p>
    <w:p w:rsidR="001135F0" w:rsidRPr="00941576" w:rsidRDefault="00966C83" w:rsidP="001135F0">
      <w:pPr>
        <w:autoSpaceDN w:val="0"/>
        <w:rPr>
          <w:rFonts w:cs="Arial"/>
        </w:rPr>
      </w:pPr>
      <w:r w:rsidRPr="00941576">
        <w:rPr>
          <w:rFonts w:cs="Arial"/>
        </w:rPr>
        <w:t xml:space="preserve">Acompasando lo dicho al </w:t>
      </w:r>
      <w:r w:rsidRPr="00941576">
        <w:rPr>
          <w:rFonts w:cs="Arial"/>
          <w:i/>
        </w:rPr>
        <w:t>subexamine</w:t>
      </w:r>
      <w:r w:rsidR="001135F0" w:rsidRPr="00941576">
        <w:rPr>
          <w:rFonts w:cs="Arial"/>
        </w:rPr>
        <w:t xml:space="preserve">, la Sala observa que en este proceso se acreditaron los documentos contentivos del acta de liquidación </w:t>
      </w:r>
      <w:r w:rsidR="007A1176" w:rsidRPr="00941576">
        <w:rPr>
          <w:rFonts w:cs="Arial"/>
        </w:rPr>
        <w:t xml:space="preserve">bilateral </w:t>
      </w:r>
      <w:r w:rsidR="001135F0" w:rsidRPr="00941576">
        <w:rPr>
          <w:rFonts w:cs="Arial"/>
        </w:rPr>
        <w:t xml:space="preserve">del contrato, </w:t>
      </w:r>
      <w:r w:rsidR="001135F0" w:rsidRPr="00941576">
        <w:rPr>
          <w:rFonts w:cs="Arial"/>
          <w:b/>
        </w:rPr>
        <w:lastRenderedPageBreak/>
        <w:t xml:space="preserve">sin </w:t>
      </w:r>
      <w:r w:rsidR="001135F0" w:rsidRPr="00941576">
        <w:rPr>
          <w:rFonts w:cs="Arial"/>
        </w:rPr>
        <w:t xml:space="preserve">la firma del </w:t>
      </w:r>
      <w:r w:rsidR="00730DDF" w:rsidRPr="00941576">
        <w:rPr>
          <w:rFonts w:cs="Arial"/>
        </w:rPr>
        <w:t xml:space="preserve">Alcalde Municipal del Galapa, </w:t>
      </w:r>
      <w:r w:rsidR="001135F0" w:rsidRPr="00941576">
        <w:rPr>
          <w:rFonts w:cs="Arial"/>
        </w:rPr>
        <w:t>representante l</w:t>
      </w:r>
      <w:r w:rsidR="00730DDF" w:rsidRPr="00941576">
        <w:rPr>
          <w:rFonts w:cs="Arial"/>
        </w:rPr>
        <w:t>egal de la entidad contratante.</w:t>
      </w:r>
    </w:p>
    <w:p w:rsidR="00730DDF" w:rsidRPr="00941576" w:rsidRDefault="00730DDF" w:rsidP="001135F0">
      <w:pPr>
        <w:autoSpaceDN w:val="0"/>
        <w:rPr>
          <w:rFonts w:cs="Arial"/>
        </w:rPr>
      </w:pPr>
    </w:p>
    <w:p w:rsidR="0085736F" w:rsidRPr="00941576" w:rsidRDefault="001135F0" w:rsidP="001135F0">
      <w:pPr>
        <w:autoSpaceDN w:val="0"/>
        <w:rPr>
          <w:rFonts w:cs="Arial"/>
        </w:rPr>
      </w:pPr>
      <w:r w:rsidRPr="00941576">
        <w:rPr>
          <w:rFonts w:cs="Arial"/>
        </w:rPr>
        <w:t xml:space="preserve">En </w:t>
      </w:r>
      <w:r w:rsidR="00C07096" w:rsidRPr="00941576">
        <w:rPr>
          <w:rFonts w:cs="Arial"/>
        </w:rPr>
        <w:t>el</w:t>
      </w:r>
      <w:r w:rsidR="0085736F" w:rsidRPr="00941576">
        <w:rPr>
          <w:rFonts w:cs="Arial"/>
        </w:rPr>
        <w:t xml:space="preserve"> antedicho documento se observa que quien suscribió el acta en representación el municipio fue el Secretario de Planeación, Aquiles de Moya, respecto de quien</w:t>
      </w:r>
      <w:r w:rsidR="00A26076" w:rsidRPr="00941576">
        <w:rPr>
          <w:rFonts w:cs="Arial"/>
        </w:rPr>
        <w:t>,</w:t>
      </w:r>
      <w:r w:rsidR="0085736F" w:rsidRPr="00941576">
        <w:rPr>
          <w:rFonts w:cs="Arial"/>
        </w:rPr>
        <w:t xml:space="preserve"> a pesar de indicarse en el contenido del acta que actuaba en representación de la alcaldía, no se hizo alusión alguna al hecho de que se encontrara expresamente delegado para tal efecto, como tampoco obra en el plenario el respectivo acto de delegación expedido por el funcionario competente</w:t>
      </w:r>
      <w:r w:rsidRPr="00941576">
        <w:rPr>
          <w:rFonts w:cs="Arial"/>
        </w:rPr>
        <w:t xml:space="preserve"> que le hubiera permitido asumir la función de representar al </w:t>
      </w:r>
      <w:r w:rsidR="0085736F" w:rsidRPr="00941576">
        <w:rPr>
          <w:rFonts w:cs="Arial"/>
        </w:rPr>
        <w:t xml:space="preserve">municipio de Galapa </w:t>
      </w:r>
      <w:r w:rsidRPr="00941576">
        <w:rPr>
          <w:rFonts w:cs="Arial"/>
        </w:rPr>
        <w:t>en el acuerdo de voluntades propio de la liquidación bilateral del contrato</w:t>
      </w:r>
      <w:r w:rsidR="0085736F" w:rsidRPr="00941576">
        <w:rPr>
          <w:rFonts w:cs="Arial"/>
        </w:rPr>
        <w:t>, en</w:t>
      </w:r>
      <w:r w:rsidR="00730DDF" w:rsidRPr="00941576">
        <w:rPr>
          <w:rFonts w:cs="Arial"/>
        </w:rPr>
        <w:t xml:space="preserve"> cuyo texto,</w:t>
      </w:r>
      <w:r w:rsidR="00142ED4" w:rsidRPr="00941576">
        <w:rPr>
          <w:rFonts w:cs="Arial"/>
        </w:rPr>
        <w:t xml:space="preserve"> </w:t>
      </w:r>
      <w:r w:rsidR="0085736F" w:rsidRPr="00941576">
        <w:rPr>
          <w:rFonts w:cs="Arial"/>
        </w:rPr>
        <w:t>por demás</w:t>
      </w:r>
      <w:r w:rsidR="00730DDF" w:rsidRPr="00941576">
        <w:rPr>
          <w:rFonts w:cs="Arial"/>
        </w:rPr>
        <w:t>,</w:t>
      </w:r>
      <w:r w:rsidR="0085736F" w:rsidRPr="00941576">
        <w:rPr>
          <w:rFonts w:cs="Arial"/>
        </w:rPr>
        <w:t xml:space="preserve"> se registraron obligaciones económicas a cargo del ente territorial. </w:t>
      </w:r>
    </w:p>
    <w:p w:rsidR="00B71CCE" w:rsidRPr="00941576" w:rsidRDefault="00B71CCE" w:rsidP="001135F0">
      <w:pPr>
        <w:autoSpaceDN w:val="0"/>
        <w:rPr>
          <w:rFonts w:cs="Arial"/>
        </w:rPr>
      </w:pPr>
    </w:p>
    <w:p w:rsidR="00B71CCE" w:rsidRPr="00941576" w:rsidRDefault="00B71CCE" w:rsidP="001135F0">
      <w:pPr>
        <w:autoSpaceDN w:val="0"/>
        <w:rPr>
          <w:rFonts w:cs="Arial"/>
        </w:rPr>
      </w:pPr>
      <w:r w:rsidRPr="00941576">
        <w:rPr>
          <w:rFonts w:cs="Arial"/>
        </w:rPr>
        <w:t xml:space="preserve">No deja de resultar extraño para la Sala que la totalidad </w:t>
      </w:r>
      <w:r w:rsidR="0000753E" w:rsidRPr="00941576">
        <w:rPr>
          <w:rFonts w:cs="Arial"/>
        </w:rPr>
        <w:t xml:space="preserve">de documentos </w:t>
      </w:r>
      <w:r w:rsidR="00FB113E" w:rsidRPr="00941576">
        <w:rPr>
          <w:rFonts w:cs="Arial"/>
        </w:rPr>
        <w:t xml:space="preserve">tanto </w:t>
      </w:r>
      <w:r w:rsidR="0000753E" w:rsidRPr="00941576">
        <w:rPr>
          <w:rFonts w:cs="Arial"/>
        </w:rPr>
        <w:t>precontractuales como</w:t>
      </w:r>
      <w:r w:rsidR="00A26076" w:rsidRPr="00941576">
        <w:rPr>
          <w:rFonts w:cs="Arial"/>
        </w:rPr>
        <w:t xml:space="preserve"> contractuales fue signado</w:t>
      </w:r>
      <w:r w:rsidRPr="00941576">
        <w:rPr>
          <w:rFonts w:cs="Arial"/>
        </w:rPr>
        <w:t xml:space="preserve"> por el Alcalde Municipal, mientras que el único que</w:t>
      </w:r>
      <w:r w:rsidR="00FB113E" w:rsidRPr="00941576">
        <w:rPr>
          <w:rFonts w:cs="Arial"/>
        </w:rPr>
        <w:t xml:space="preserve"> no contuvo su rúbrica</w:t>
      </w:r>
      <w:r w:rsidRPr="00941576">
        <w:rPr>
          <w:rFonts w:cs="Arial"/>
        </w:rPr>
        <w:t xml:space="preserve"> fue</w:t>
      </w:r>
      <w:r w:rsidR="00FB113E" w:rsidRPr="00941576">
        <w:rPr>
          <w:rFonts w:cs="Arial"/>
        </w:rPr>
        <w:t xml:space="preserve"> aquel en el que se ensambló el</w:t>
      </w:r>
      <w:r w:rsidRPr="00941576">
        <w:rPr>
          <w:rFonts w:cs="Arial"/>
        </w:rPr>
        <w:t xml:space="preserve"> cruce final de cuentas </w:t>
      </w:r>
      <w:r w:rsidR="00FB113E" w:rsidRPr="00941576">
        <w:rPr>
          <w:rFonts w:cs="Arial"/>
        </w:rPr>
        <w:t xml:space="preserve">y </w:t>
      </w:r>
      <w:r w:rsidRPr="00941576">
        <w:rPr>
          <w:rFonts w:cs="Arial"/>
        </w:rPr>
        <w:t>reconocimientos expresos a cargo del municipio y en favor del contratista.</w:t>
      </w:r>
    </w:p>
    <w:p w:rsidR="001135F0" w:rsidRPr="00941576" w:rsidRDefault="001135F0" w:rsidP="001135F0">
      <w:pPr>
        <w:autoSpaceDN w:val="0"/>
        <w:rPr>
          <w:rFonts w:cs="Arial"/>
        </w:rPr>
      </w:pPr>
      <w:r w:rsidRPr="00941576">
        <w:rPr>
          <w:rFonts w:cs="Arial"/>
        </w:rPr>
        <w:t xml:space="preserve"> </w:t>
      </w:r>
    </w:p>
    <w:p w:rsidR="0085736F" w:rsidRPr="00941576" w:rsidRDefault="00FB113E" w:rsidP="0085736F">
      <w:pPr>
        <w:autoSpaceDN w:val="0"/>
        <w:rPr>
          <w:rFonts w:cs="Arial"/>
        </w:rPr>
      </w:pPr>
      <w:r w:rsidRPr="00941576">
        <w:rPr>
          <w:rFonts w:cs="Arial"/>
        </w:rPr>
        <w:t>Ciertamente</w:t>
      </w:r>
      <w:r w:rsidR="00771BF0" w:rsidRPr="00941576">
        <w:rPr>
          <w:rFonts w:cs="Arial"/>
        </w:rPr>
        <w:t>, e</w:t>
      </w:r>
      <w:r w:rsidR="0085736F" w:rsidRPr="00941576">
        <w:rPr>
          <w:rFonts w:cs="Arial"/>
        </w:rPr>
        <w:t>l Alcalde Municipal de Galap</w:t>
      </w:r>
      <w:r w:rsidR="00C616CB" w:rsidRPr="00941576">
        <w:rPr>
          <w:rFonts w:cs="Arial"/>
        </w:rPr>
        <w:t>a, Regulo Pascual Matera García</w:t>
      </w:r>
      <w:r w:rsidR="00A26076" w:rsidRPr="00941576">
        <w:rPr>
          <w:rFonts w:cs="Arial"/>
        </w:rPr>
        <w:t>,</w:t>
      </w:r>
      <w:r w:rsidR="0085736F" w:rsidRPr="00941576">
        <w:rPr>
          <w:rFonts w:cs="Arial"/>
        </w:rPr>
        <w:t xml:space="preserve"> fue quien</w:t>
      </w:r>
      <w:r w:rsidR="00771BF0" w:rsidRPr="00941576">
        <w:rPr>
          <w:rFonts w:cs="Arial"/>
        </w:rPr>
        <w:t>,</w:t>
      </w:r>
      <w:r w:rsidR="0085736F" w:rsidRPr="00941576">
        <w:rPr>
          <w:rFonts w:cs="Arial"/>
        </w:rPr>
        <w:t xml:space="preserve"> en su condición de representante legal del ente territorial</w:t>
      </w:r>
      <w:r w:rsidR="00771BF0" w:rsidRPr="00941576">
        <w:rPr>
          <w:rFonts w:cs="Arial"/>
        </w:rPr>
        <w:t>,</w:t>
      </w:r>
      <w:r w:rsidR="0085736F" w:rsidRPr="00941576">
        <w:rPr>
          <w:rFonts w:cs="Arial"/>
        </w:rPr>
        <w:t xml:space="preserve"> suscribió la Resolución</w:t>
      </w:r>
      <w:r w:rsidR="0085736F" w:rsidRPr="00941576">
        <w:rPr>
          <w:rStyle w:val="Refdenotaalpie"/>
          <w:rFonts w:cs="Arial"/>
        </w:rPr>
        <w:footnoteReference w:id="12"/>
      </w:r>
      <w:r w:rsidR="0085736F" w:rsidRPr="00941576">
        <w:rPr>
          <w:rFonts w:cs="Arial"/>
        </w:rPr>
        <w:t xml:space="preserve"> </w:t>
      </w:r>
      <w:r w:rsidR="00771BF0" w:rsidRPr="00941576">
        <w:rPr>
          <w:rFonts w:cs="Arial"/>
        </w:rPr>
        <w:t>No. 052 del 29 de enero de 2010</w:t>
      </w:r>
      <w:r w:rsidR="00A26076" w:rsidRPr="00941576">
        <w:rPr>
          <w:rFonts w:cs="Arial"/>
        </w:rPr>
        <w:t>,</w:t>
      </w:r>
      <w:r w:rsidR="0085736F" w:rsidRPr="00941576">
        <w:rPr>
          <w:rFonts w:cs="Arial"/>
        </w:rPr>
        <w:t xml:space="preserve"> por la cual se dio apertura al procedimiento de Licitación No. 01-2010, así como las correspondientes adendas</w:t>
      </w:r>
      <w:r w:rsidR="0085736F" w:rsidRPr="00941576">
        <w:rPr>
          <w:rStyle w:val="Refdenotaalpie"/>
          <w:rFonts w:cs="Arial"/>
        </w:rPr>
        <w:footnoteReference w:id="13"/>
      </w:r>
      <w:r w:rsidR="0085736F" w:rsidRPr="00941576">
        <w:rPr>
          <w:rFonts w:cs="Arial"/>
        </w:rPr>
        <w:t xml:space="preserve"> al pliego de condiciones y expidió la Resolución No. 125 del 5 de marzo de 2010</w:t>
      </w:r>
      <w:r w:rsidR="00A26076" w:rsidRPr="00941576">
        <w:rPr>
          <w:rFonts w:cs="Arial"/>
        </w:rPr>
        <w:t>,</w:t>
      </w:r>
      <w:r w:rsidR="0085736F" w:rsidRPr="00941576">
        <w:rPr>
          <w:rFonts w:cs="Arial"/>
        </w:rPr>
        <w:t xml:space="preserve"> por medido de la cual se adjudicó la Licitación Pública No. 01 </w:t>
      </w:r>
      <w:r w:rsidR="00A26076" w:rsidRPr="00941576">
        <w:rPr>
          <w:rFonts w:cs="Arial"/>
        </w:rPr>
        <w:t>d</w:t>
      </w:r>
      <w:r w:rsidR="0085736F" w:rsidRPr="00941576">
        <w:rPr>
          <w:rFonts w:cs="Arial"/>
        </w:rPr>
        <w:t>e 2010 al Consorcio Gapa 2010</w:t>
      </w:r>
      <w:r w:rsidR="0085736F" w:rsidRPr="00941576">
        <w:rPr>
          <w:rStyle w:val="Refdenotaalpie"/>
          <w:rFonts w:cs="Arial"/>
        </w:rPr>
        <w:footnoteReference w:id="14"/>
      </w:r>
      <w:r w:rsidR="0085736F" w:rsidRPr="00941576">
        <w:rPr>
          <w:rFonts w:cs="Arial"/>
        </w:rPr>
        <w:t xml:space="preserve">. </w:t>
      </w:r>
    </w:p>
    <w:p w:rsidR="001629B2" w:rsidRPr="00941576" w:rsidRDefault="001629B2" w:rsidP="0085736F">
      <w:pPr>
        <w:autoSpaceDN w:val="0"/>
        <w:rPr>
          <w:rFonts w:cs="Arial"/>
        </w:rPr>
      </w:pPr>
    </w:p>
    <w:p w:rsidR="0085736F" w:rsidRPr="00941576" w:rsidRDefault="0085736F" w:rsidP="0085736F">
      <w:pPr>
        <w:autoSpaceDN w:val="0"/>
        <w:rPr>
          <w:rFonts w:cs="Arial"/>
        </w:rPr>
      </w:pPr>
      <w:r w:rsidRPr="00941576">
        <w:rPr>
          <w:rFonts w:cs="Arial"/>
        </w:rPr>
        <w:t>Lo mismo aconteció en la etapa contractual</w:t>
      </w:r>
      <w:r w:rsidR="00A26076" w:rsidRPr="00941576">
        <w:rPr>
          <w:rFonts w:cs="Arial"/>
        </w:rPr>
        <w:t>,</w:t>
      </w:r>
      <w:r w:rsidRPr="00941576">
        <w:rPr>
          <w:rFonts w:cs="Arial"/>
        </w:rPr>
        <w:t xml:space="preserve"> durante la cual el Alcalde Municipal suscribió el Contrato No. 01 de 2010</w:t>
      </w:r>
      <w:r w:rsidR="00771BF0" w:rsidRPr="00941576">
        <w:rPr>
          <w:rFonts w:cs="Arial"/>
        </w:rPr>
        <w:t xml:space="preserve"> y</w:t>
      </w:r>
      <w:r w:rsidRPr="00941576">
        <w:rPr>
          <w:rFonts w:cs="Arial"/>
        </w:rPr>
        <w:t xml:space="preserve"> elevó el acta de entrega de la obra a la comunidad</w:t>
      </w:r>
      <w:r w:rsidRPr="00941576">
        <w:rPr>
          <w:rStyle w:val="Refdenotaalpie"/>
          <w:rFonts w:cs="Arial"/>
        </w:rPr>
        <w:footnoteReference w:id="15"/>
      </w:r>
      <w:r w:rsidR="00771BF0" w:rsidRPr="00941576">
        <w:rPr>
          <w:rFonts w:cs="Arial"/>
        </w:rPr>
        <w:t>.</w:t>
      </w:r>
    </w:p>
    <w:p w:rsidR="0085736F" w:rsidRPr="00941576" w:rsidRDefault="0085736F" w:rsidP="001135F0">
      <w:pPr>
        <w:autoSpaceDN w:val="0"/>
        <w:rPr>
          <w:rFonts w:cs="Arial"/>
        </w:rPr>
      </w:pPr>
    </w:p>
    <w:p w:rsidR="00771BF0" w:rsidRPr="00941576" w:rsidRDefault="00C616CB" w:rsidP="001135F0">
      <w:pPr>
        <w:autoSpaceDN w:val="0"/>
        <w:rPr>
          <w:rFonts w:cs="Arial"/>
        </w:rPr>
      </w:pPr>
      <w:r w:rsidRPr="00941576">
        <w:rPr>
          <w:rFonts w:cs="Arial"/>
        </w:rPr>
        <w:t>En este sentido</w:t>
      </w:r>
      <w:r w:rsidR="00A26076" w:rsidRPr="00941576">
        <w:rPr>
          <w:rFonts w:cs="Arial"/>
        </w:rPr>
        <w:t>,</w:t>
      </w:r>
      <w:r w:rsidRPr="00941576">
        <w:rPr>
          <w:rFonts w:cs="Arial"/>
        </w:rPr>
        <w:t xml:space="preserve"> resulta clara</w:t>
      </w:r>
      <w:r w:rsidR="001135F0" w:rsidRPr="00941576">
        <w:rPr>
          <w:rFonts w:cs="Arial"/>
        </w:rPr>
        <w:t xml:space="preserve"> </w:t>
      </w:r>
      <w:r w:rsidRPr="00941576">
        <w:rPr>
          <w:rFonts w:cs="Arial"/>
        </w:rPr>
        <w:t xml:space="preserve">la imposibilidad de atribuir </w:t>
      </w:r>
      <w:r w:rsidR="001135F0" w:rsidRPr="00941576">
        <w:rPr>
          <w:rFonts w:cs="Arial"/>
        </w:rPr>
        <w:t xml:space="preserve">el efecto del acuerdo de voluntades al acta de liquidación del contrato </w:t>
      </w:r>
      <w:r w:rsidRPr="00941576">
        <w:rPr>
          <w:rFonts w:cs="Arial"/>
        </w:rPr>
        <w:t>exhibida en este proceso</w:t>
      </w:r>
      <w:r w:rsidR="001135F0" w:rsidRPr="00941576">
        <w:rPr>
          <w:rFonts w:cs="Arial"/>
        </w:rPr>
        <w:t xml:space="preserve"> sin la firma </w:t>
      </w:r>
      <w:r w:rsidR="001135F0" w:rsidRPr="00941576">
        <w:rPr>
          <w:rFonts w:cs="Arial"/>
        </w:rPr>
        <w:lastRenderedPageBreak/>
        <w:t xml:space="preserve">del representante legal de la entidad contratante, toda vez que no provino </w:t>
      </w:r>
      <w:r w:rsidR="00A26076" w:rsidRPr="00941576">
        <w:rPr>
          <w:rFonts w:cs="Arial"/>
        </w:rPr>
        <w:t xml:space="preserve">de una </w:t>
      </w:r>
      <w:r w:rsidRPr="00941576">
        <w:rPr>
          <w:rFonts w:cs="Arial"/>
        </w:rPr>
        <w:t xml:space="preserve">parte contractual </w:t>
      </w:r>
      <w:r w:rsidR="001135F0" w:rsidRPr="00941576">
        <w:rPr>
          <w:rFonts w:cs="Arial"/>
        </w:rPr>
        <w:t>en la forma y términos en que ella ha debido ser representada</w:t>
      </w:r>
      <w:r w:rsidR="00A26076" w:rsidRPr="00941576">
        <w:rPr>
          <w:rFonts w:cs="Arial"/>
        </w:rPr>
        <w:t>,</w:t>
      </w:r>
      <w:r w:rsidR="001135F0" w:rsidRPr="00941576">
        <w:rPr>
          <w:rFonts w:cs="Arial"/>
        </w:rPr>
        <w:t xml:space="preserve"> en tratándose de</w:t>
      </w:r>
      <w:r w:rsidR="00771BF0" w:rsidRPr="00941576">
        <w:rPr>
          <w:rFonts w:cs="Arial"/>
        </w:rPr>
        <w:t>l finiquito del estado financiero y económico del proyecto.</w:t>
      </w:r>
    </w:p>
    <w:p w:rsidR="001629B2" w:rsidRPr="00941576" w:rsidRDefault="001629B2" w:rsidP="001135F0">
      <w:pPr>
        <w:autoSpaceDN w:val="0"/>
        <w:rPr>
          <w:rFonts w:cs="Arial"/>
        </w:rPr>
      </w:pPr>
    </w:p>
    <w:p w:rsidR="002301C7" w:rsidRPr="00941576" w:rsidRDefault="001135F0" w:rsidP="001135F0">
      <w:pPr>
        <w:autoSpaceDN w:val="0"/>
        <w:rPr>
          <w:rFonts w:cs="Arial"/>
        </w:rPr>
      </w:pPr>
      <w:r w:rsidRPr="00941576">
        <w:rPr>
          <w:rFonts w:cs="Arial"/>
        </w:rPr>
        <w:t xml:space="preserve">Se advierte, entonces, que ante la ausencia de firma del representante legal o del delegatario con funciones de representación de la entidad estatal contratante, no </w:t>
      </w:r>
      <w:r w:rsidR="00C616CB" w:rsidRPr="00941576">
        <w:rPr>
          <w:rFonts w:cs="Arial"/>
        </w:rPr>
        <w:t xml:space="preserve">es </w:t>
      </w:r>
      <w:r w:rsidRPr="00941576">
        <w:rPr>
          <w:rFonts w:cs="Arial"/>
        </w:rPr>
        <w:t xml:space="preserve">viable para este caso aplicar la interpretación jurisprudencial consistente en la fuerza imperativa </w:t>
      </w:r>
      <w:r w:rsidR="002301C7" w:rsidRPr="00941576">
        <w:rPr>
          <w:rFonts w:cs="Arial"/>
        </w:rPr>
        <w:t>d</w:t>
      </w:r>
      <w:r w:rsidRPr="00941576">
        <w:rPr>
          <w:rFonts w:cs="Arial"/>
        </w:rPr>
        <w:t>el acta de liquidación bilateral</w:t>
      </w:r>
      <w:r w:rsidR="002301C7" w:rsidRPr="00941576">
        <w:rPr>
          <w:rFonts w:cs="Arial"/>
        </w:rPr>
        <w:t xml:space="preserve"> como claro reflejo de los actos propios</w:t>
      </w:r>
      <w:r w:rsidRPr="00941576">
        <w:rPr>
          <w:rFonts w:cs="Arial"/>
        </w:rPr>
        <w:t>,</w:t>
      </w:r>
      <w:r w:rsidR="00A26076" w:rsidRPr="00941576">
        <w:rPr>
          <w:rFonts w:cs="Arial"/>
        </w:rPr>
        <w:t xml:space="preserve"> siendo necesario, en este caso</w:t>
      </w:r>
      <w:r w:rsidRPr="00941576">
        <w:rPr>
          <w:rFonts w:cs="Arial"/>
        </w:rPr>
        <w:t>, entrar a valorar la prueba de las discrepancias o inconformidades que el demandante expuso acerca de</w:t>
      </w:r>
      <w:r w:rsidR="002301C7" w:rsidRPr="00941576">
        <w:rPr>
          <w:rFonts w:cs="Arial"/>
        </w:rPr>
        <w:t xml:space="preserve"> los reconocimiento</w:t>
      </w:r>
      <w:r w:rsidR="008E7777" w:rsidRPr="00941576">
        <w:rPr>
          <w:rFonts w:cs="Arial"/>
        </w:rPr>
        <w:t>s</w:t>
      </w:r>
      <w:r w:rsidR="002301C7" w:rsidRPr="00941576">
        <w:rPr>
          <w:rFonts w:cs="Arial"/>
        </w:rPr>
        <w:t xml:space="preserve"> económicos </w:t>
      </w:r>
      <w:r w:rsidR="00C616CB" w:rsidRPr="00941576">
        <w:rPr>
          <w:rFonts w:cs="Arial"/>
        </w:rPr>
        <w:t xml:space="preserve">que </w:t>
      </w:r>
      <w:r w:rsidR="002301C7" w:rsidRPr="00941576">
        <w:rPr>
          <w:rFonts w:cs="Arial"/>
        </w:rPr>
        <w:t xml:space="preserve">en su favor </w:t>
      </w:r>
      <w:r w:rsidR="00C616CB" w:rsidRPr="00941576">
        <w:rPr>
          <w:rFonts w:cs="Arial"/>
        </w:rPr>
        <w:t xml:space="preserve">se </w:t>
      </w:r>
      <w:r w:rsidR="002301C7" w:rsidRPr="00941576">
        <w:rPr>
          <w:rFonts w:cs="Arial"/>
        </w:rPr>
        <w:t xml:space="preserve">debían por concepto de mayor permanencia en obra y </w:t>
      </w:r>
      <w:r w:rsidR="00F06AB6" w:rsidRPr="00941576">
        <w:rPr>
          <w:rFonts w:cs="Arial"/>
        </w:rPr>
        <w:t xml:space="preserve">de </w:t>
      </w:r>
      <w:r w:rsidR="002301C7" w:rsidRPr="00941576">
        <w:rPr>
          <w:rFonts w:cs="Arial"/>
        </w:rPr>
        <w:t>mayores cantidades de obra ejecutada.</w:t>
      </w:r>
    </w:p>
    <w:p w:rsidR="002301C7" w:rsidRPr="00941576" w:rsidRDefault="002301C7" w:rsidP="001135F0">
      <w:pPr>
        <w:autoSpaceDN w:val="0"/>
        <w:rPr>
          <w:rFonts w:cs="Arial"/>
        </w:rPr>
      </w:pPr>
    </w:p>
    <w:p w:rsidR="00873E4C" w:rsidRPr="00941576" w:rsidRDefault="001135F0" w:rsidP="001135F0">
      <w:pPr>
        <w:autoSpaceDN w:val="0"/>
        <w:rPr>
          <w:rFonts w:cs="Arial"/>
        </w:rPr>
      </w:pPr>
      <w:r w:rsidRPr="00941576">
        <w:rPr>
          <w:rFonts w:cs="Arial"/>
        </w:rPr>
        <w:t>Como co</w:t>
      </w:r>
      <w:r w:rsidR="00873E4C" w:rsidRPr="00941576">
        <w:rPr>
          <w:rFonts w:cs="Arial"/>
        </w:rPr>
        <w:t xml:space="preserve">nsecuencia, se reafirma que el acta </w:t>
      </w:r>
      <w:r w:rsidRPr="00941576">
        <w:rPr>
          <w:rFonts w:cs="Arial"/>
        </w:rPr>
        <w:t>liquida</w:t>
      </w:r>
      <w:r w:rsidR="00873E4C" w:rsidRPr="00941576">
        <w:rPr>
          <w:rFonts w:cs="Arial"/>
        </w:rPr>
        <w:t>ción del contrato solo se tiene</w:t>
      </w:r>
      <w:r w:rsidRPr="00941576">
        <w:rPr>
          <w:rFonts w:cs="Arial"/>
        </w:rPr>
        <w:t xml:space="preserve"> como prueba de los hech</w:t>
      </w:r>
      <w:r w:rsidR="00873E4C" w:rsidRPr="00941576">
        <w:rPr>
          <w:rFonts w:cs="Arial"/>
        </w:rPr>
        <w:t>os, en tanto acredita</w:t>
      </w:r>
      <w:r w:rsidRPr="00941576">
        <w:rPr>
          <w:rFonts w:cs="Arial"/>
        </w:rPr>
        <w:t xml:space="preserve"> que se adelantó el trámite contract</w:t>
      </w:r>
      <w:r w:rsidR="00873E4C" w:rsidRPr="00941576">
        <w:rPr>
          <w:rFonts w:cs="Arial"/>
        </w:rPr>
        <w:t>ual de elaborar y aprobar dicha acta, pero no se deriva de ella</w:t>
      </w:r>
      <w:r w:rsidRPr="00941576">
        <w:rPr>
          <w:rFonts w:cs="Arial"/>
        </w:rPr>
        <w:t xml:space="preserve"> la fuerza de un a</w:t>
      </w:r>
      <w:r w:rsidR="00873E4C" w:rsidRPr="00941576">
        <w:rPr>
          <w:rFonts w:cs="Arial"/>
        </w:rPr>
        <w:t xml:space="preserve">cuerdo de voluntades acerca de lo que cada parte adeuda a la otra con ocasión de la ejecución de la obra. </w:t>
      </w:r>
    </w:p>
    <w:p w:rsidR="00C7050C" w:rsidRPr="00941576" w:rsidRDefault="00C7050C" w:rsidP="00543770">
      <w:pPr>
        <w:rPr>
          <w:rFonts w:eastAsia="Calibri" w:cs="Arial"/>
          <w:lang w:val="es-CO" w:eastAsia="en-US"/>
        </w:rPr>
      </w:pPr>
    </w:p>
    <w:p w:rsidR="009B142E" w:rsidRPr="00941576" w:rsidRDefault="009B142E" w:rsidP="00543770">
      <w:pPr>
        <w:rPr>
          <w:rFonts w:eastAsia="Calibri" w:cs="Arial"/>
          <w:lang w:val="es-CO" w:eastAsia="en-US"/>
        </w:rPr>
      </w:pPr>
      <w:r w:rsidRPr="00941576">
        <w:rPr>
          <w:rFonts w:eastAsia="Calibri" w:cs="Arial"/>
          <w:lang w:val="es-CO" w:eastAsia="en-US"/>
        </w:rPr>
        <w:t>Así las cosas, la Sala abordará el estudio del asunto a la luz de las pruebas que obra</w:t>
      </w:r>
      <w:r w:rsidR="00A26076" w:rsidRPr="00941576">
        <w:rPr>
          <w:rFonts w:eastAsia="Calibri" w:cs="Arial"/>
          <w:lang w:val="es-CO" w:eastAsia="en-US"/>
        </w:rPr>
        <w:t>n</w:t>
      </w:r>
      <w:r w:rsidRPr="00941576">
        <w:rPr>
          <w:rFonts w:eastAsia="Calibri" w:cs="Arial"/>
          <w:lang w:val="es-CO" w:eastAsia="en-US"/>
        </w:rPr>
        <w:t xml:space="preserve"> en el plenario</w:t>
      </w:r>
      <w:r w:rsidR="00A26076" w:rsidRPr="00941576">
        <w:rPr>
          <w:rFonts w:eastAsia="Calibri" w:cs="Arial"/>
          <w:lang w:val="es-CO" w:eastAsia="en-US"/>
        </w:rPr>
        <w:t>,</w:t>
      </w:r>
      <w:r w:rsidRPr="00941576">
        <w:rPr>
          <w:rFonts w:eastAsia="Calibri" w:cs="Arial"/>
          <w:lang w:val="es-CO" w:eastAsia="en-US"/>
        </w:rPr>
        <w:t xml:space="preserve"> con el fin de determinar la procedencia de los reconocimientos pretendidos en la demanda por concepto de mayor permanencia en obra </w:t>
      </w:r>
      <w:r w:rsidR="00CD5977" w:rsidRPr="00941576">
        <w:rPr>
          <w:rFonts w:eastAsia="Calibri" w:cs="Arial"/>
          <w:lang w:val="es-CO" w:eastAsia="en-US"/>
        </w:rPr>
        <w:t xml:space="preserve">y </w:t>
      </w:r>
      <w:r w:rsidR="00F06AB6" w:rsidRPr="00941576">
        <w:rPr>
          <w:rFonts w:eastAsia="Calibri" w:cs="Arial"/>
          <w:lang w:val="es-CO" w:eastAsia="en-US"/>
        </w:rPr>
        <w:t xml:space="preserve">de </w:t>
      </w:r>
      <w:r w:rsidR="00CD5977" w:rsidRPr="00941576">
        <w:rPr>
          <w:rFonts w:eastAsia="Calibri" w:cs="Arial"/>
          <w:lang w:val="es-CO" w:eastAsia="en-US"/>
        </w:rPr>
        <w:t>mayores c</w:t>
      </w:r>
      <w:r w:rsidR="008A326F" w:rsidRPr="00941576">
        <w:rPr>
          <w:rFonts w:eastAsia="Calibri" w:cs="Arial"/>
          <w:lang w:val="es-CO" w:eastAsia="en-US"/>
        </w:rPr>
        <w:t xml:space="preserve">antidades de obra, todo lo cual, </w:t>
      </w:r>
      <w:r w:rsidR="00CD5977" w:rsidRPr="00941576">
        <w:rPr>
          <w:rFonts w:eastAsia="Calibri" w:cs="Arial"/>
          <w:lang w:val="es-CO" w:eastAsia="en-US"/>
        </w:rPr>
        <w:t>según indica el libelista</w:t>
      </w:r>
      <w:r w:rsidR="008A326F" w:rsidRPr="00941576">
        <w:rPr>
          <w:rFonts w:eastAsia="Calibri" w:cs="Arial"/>
          <w:lang w:val="es-CO" w:eastAsia="en-US"/>
        </w:rPr>
        <w:t>,</w:t>
      </w:r>
      <w:r w:rsidR="00CD5977" w:rsidRPr="00941576">
        <w:rPr>
          <w:rFonts w:eastAsia="Calibri" w:cs="Arial"/>
          <w:lang w:val="es-CO" w:eastAsia="en-US"/>
        </w:rPr>
        <w:t xml:space="preserve"> produjo el desequilibrio económico del contrato por la ocurrencia de circunstancias imprevisible</w:t>
      </w:r>
      <w:r w:rsidR="00A26076" w:rsidRPr="00941576">
        <w:rPr>
          <w:rFonts w:eastAsia="Calibri" w:cs="Arial"/>
          <w:lang w:val="es-CO" w:eastAsia="en-US"/>
        </w:rPr>
        <w:t>s que en este</w:t>
      </w:r>
      <w:r w:rsidR="00CD5977" w:rsidRPr="00941576">
        <w:rPr>
          <w:rFonts w:eastAsia="Calibri" w:cs="Arial"/>
          <w:lang w:val="es-CO" w:eastAsia="en-US"/>
        </w:rPr>
        <w:t xml:space="preserve"> caso se concret</w:t>
      </w:r>
      <w:r w:rsidR="008A326F" w:rsidRPr="00941576">
        <w:rPr>
          <w:rFonts w:eastAsia="Calibri" w:cs="Arial"/>
          <w:lang w:val="es-CO" w:eastAsia="en-US"/>
        </w:rPr>
        <w:t>aron en la ola invernal y en las fallas geológicas del terreno.</w:t>
      </w:r>
    </w:p>
    <w:p w:rsidR="00CD5977" w:rsidRPr="00941576" w:rsidRDefault="00CD5977" w:rsidP="00543770">
      <w:pPr>
        <w:rPr>
          <w:rFonts w:eastAsia="Calibri" w:cs="Arial"/>
          <w:lang w:val="es-CO" w:eastAsia="en-US"/>
        </w:rPr>
      </w:pPr>
    </w:p>
    <w:p w:rsidR="00CD5977" w:rsidRPr="00941576" w:rsidRDefault="00C52EAE" w:rsidP="00543770">
      <w:pPr>
        <w:rPr>
          <w:rFonts w:eastAsia="Calibri" w:cs="Arial"/>
          <w:u w:val="single"/>
          <w:lang w:val="es-CO" w:eastAsia="en-US"/>
        </w:rPr>
      </w:pPr>
      <w:r w:rsidRPr="00941576">
        <w:rPr>
          <w:rFonts w:eastAsia="Calibri" w:cs="Arial"/>
          <w:lang w:val="es-CO" w:eastAsia="en-US"/>
        </w:rPr>
        <w:t xml:space="preserve">4.2.- </w:t>
      </w:r>
      <w:r w:rsidR="00CD5977" w:rsidRPr="00941576">
        <w:rPr>
          <w:rFonts w:eastAsia="Calibri" w:cs="Arial"/>
          <w:u w:val="single"/>
          <w:lang w:val="es-CO" w:eastAsia="en-US"/>
        </w:rPr>
        <w:t xml:space="preserve">Del </w:t>
      </w:r>
      <w:r w:rsidR="005805BB" w:rsidRPr="00941576">
        <w:rPr>
          <w:rFonts w:eastAsia="Calibri" w:cs="Arial"/>
          <w:u w:val="single"/>
          <w:lang w:val="es-CO" w:eastAsia="en-US"/>
        </w:rPr>
        <w:t xml:space="preserve">desequilibrio económico del contrato </w:t>
      </w:r>
      <w:r w:rsidR="00D260BC" w:rsidRPr="00941576">
        <w:rPr>
          <w:rFonts w:eastAsia="Calibri" w:cs="Arial"/>
          <w:u w:val="single"/>
          <w:lang w:val="es-CO" w:eastAsia="en-US"/>
        </w:rPr>
        <w:t>en el marco</w:t>
      </w:r>
      <w:r w:rsidR="005805BB" w:rsidRPr="00941576">
        <w:rPr>
          <w:rFonts w:eastAsia="Calibri" w:cs="Arial"/>
          <w:u w:val="single"/>
          <w:lang w:val="es-CO" w:eastAsia="en-US"/>
        </w:rPr>
        <w:t xml:space="preserve"> de la distribución de riesgos </w:t>
      </w:r>
    </w:p>
    <w:p w:rsidR="008A6F0B" w:rsidRPr="00941576" w:rsidRDefault="008A6F0B" w:rsidP="00543770">
      <w:pPr>
        <w:rPr>
          <w:rFonts w:cs="Arial"/>
          <w:lang w:val="es-ES_tradnl"/>
        </w:rPr>
      </w:pPr>
    </w:p>
    <w:p w:rsidR="00C20166" w:rsidRPr="00941576" w:rsidRDefault="00F06AB6" w:rsidP="008A6F0B">
      <w:pPr>
        <w:rPr>
          <w:rFonts w:eastAsia="Calibri" w:cs="Arial"/>
          <w:lang w:val="es-CO" w:eastAsia="en-US"/>
        </w:rPr>
      </w:pPr>
      <w:r w:rsidRPr="00941576">
        <w:rPr>
          <w:rFonts w:cs="Arial"/>
          <w:lang w:val="es-ES_tradnl"/>
        </w:rPr>
        <w:t>La Sala puntualiza</w:t>
      </w:r>
      <w:r w:rsidR="008A6F0B" w:rsidRPr="00941576">
        <w:rPr>
          <w:rFonts w:cs="Arial"/>
          <w:lang w:val="es-ES_tradnl"/>
        </w:rPr>
        <w:t xml:space="preserve"> la importancia de enfatizar que el marco normativo al cual se sujetó el Contrato No.</w:t>
      </w:r>
      <w:r w:rsidR="008A6F0B" w:rsidRPr="00941576">
        <w:rPr>
          <w:rFonts w:eastAsia="Calibri" w:cs="Arial"/>
          <w:lang w:val="es-CO" w:eastAsia="en-US"/>
        </w:rPr>
        <w:t xml:space="preserve"> 01 de 2010 correspondió al Estatuto de Contratación </w:t>
      </w:r>
      <w:r w:rsidRPr="00941576">
        <w:rPr>
          <w:rFonts w:eastAsia="Calibri" w:cs="Arial"/>
          <w:lang w:val="es-CO" w:eastAsia="en-US"/>
        </w:rPr>
        <w:t xml:space="preserve">Estatal </w:t>
      </w:r>
      <w:r w:rsidRPr="00941576">
        <w:rPr>
          <w:rFonts w:cs="Arial"/>
          <w:lang w:val="es-ES_tradnl"/>
        </w:rPr>
        <w:t>contenido</w:t>
      </w:r>
      <w:r w:rsidR="008A6F0B" w:rsidRPr="00941576">
        <w:rPr>
          <w:rFonts w:cs="Arial"/>
          <w:lang w:val="es-ES_tradnl"/>
        </w:rPr>
        <w:t xml:space="preserve"> en la Ley 80 de 1993, el cual, para la época de su celebración, ya había </w:t>
      </w:r>
      <w:r w:rsidR="008A6F0B" w:rsidRPr="00941576">
        <w:rPr>
          <w:rFonts w:cs="Arial"/>
          <w:lang w:val="es-ES_tradnl"/>
        </w:rPr>
        <w:lastRenderedPageBreak/>
        <w:t xml:space="preserve">sufrido la modificación </w:t>
      </w:r>
      <w:r w:rsidR="00577EEA" w:rsidRPr="00941576">
        <w:rPr>
          <w:rFonts w:cs="Arial"/>
          <w:lang w:val="es-ES_tradnl"/>
        </w:rPr>
        <w:t xml:space="preserve">normativa </w:t>
      </w:r>
      <w:r w:rsidR="008A6F0B" w:rsidRPr="00941576">
        <w:rPr>
          <w:rFonts w:cs="Arial"/>
          <w:lang w:val="es-ES_tradnl"/>
        </w:rPr>
        <w:t>introducida por la Ley 1150 de 2007</w:t>
      </w:r>
      <w:r w:rsidR="00C20166" w:rsidRPr="00941576">
        <w:rPr>
          <w:rStyle w:val="Refdenotaalpie"/>
          <w:rFonts w:eastAsia="Calibri" w:cs="Arial"/>
          <w:lang w:val="es-CO" w:eastAsia="en-US"/>
        </w:rPr>
        <w:footnoteReference w:id="16"/>
      </w:r>
      <w:r w:rsidR="00A26076" w:rsidRPr="00941576">
        <w:rPr>
          <w:rFonts w:cs="Arial"/>
          <w:lang w:val="es-ES_tradnl"/>
        </w:rPr>
        <w:t>,</w:t>
      </w:r>
      <w:r w:rsidR="00577EEA" w:rsidRPr="00941576">
        <w:rPr>
          <w:rFonts w:eastAsia="Calibri" w:cs="Arial"/>
          <w:lang w:val="es-CO" w:eastAsia="en-US"/>
        </w:rPr>
        <w:t xml:space="preserve"> encargada</w:t>
      </w:r>
      <w:r w:rsidR="00556D21" w:rsidRPr="00941576">
        <w:rPr>
          <w:rFonts w:eastAsia="Calibri" w:cs="Arial"/>
          <w:lang w:val="es-CO" w:eastAsia="en-US"/>
        </w:rPr>
        <w:t xml:space="preserve"> de consagrar</w:t>
      </w:r>
      <w:r w:rsidR="005805BB" w:rsidRPr="00941576">
        <w:rPr>
          <w:rFonts w:eastAsia="Calibri" w:cs="Arial"/>
          <w:lang w:val="es-CO" w:eastAsia="en-US"/>
        </w:rPr>
        <w:t xml:space="preserve"> </w:t>
      </w:r>
      <w:r w:rsidR="00C20166" w:rsidRPr="00941576">
        <w:rPr>
          <w:rFonts w:cs="Arial"/>
          <w:lang w:val="es-CO" w:eastAsia="es-CO"/>
        </w:rPr>
        <w:t>el imperativo de identificar, asignar y cuantificar los riesgos del contrato desde la etapa precontractual.</w:t>
      </w:r>
    </w:p>
    <w:p w:rsidR="00373DB2" w:rsidRPr="00941576" w:rsidRDefault="00373DB2" w:rsidP="00543770">
      <w:pPr>
        <w:rPr>
          <w:rFonts w:eastAsia="Calibri" w:cs="Arial"/>
          <w:lang w:val="es-CO" w:eastAsia="en-US"/>
        </w:rPr>
      </w:pPr>
    </w:p>
    <w:p w:rsidR="00AF4C91" w:rsidRPr="00941576" w:rsidRDefault="00C20166" w:rsidP="00543770">
      <w:pPr>
        <w:rPr>
          <w:rFonts w:eastAsia="Calibri" w:cs="Arial"/>
          <w:lang w:val="es-CO" w:eastAsia="en-US"/>
        </w:rPr>
      </w:pPr>
      <w:r w:rsidRPr="00941576">
        <w:rPr>
          <w:rFonts w:eastAsia="Calibri" w:cs="Arial"/>
          <w:lang w:val="es-CO" w:eastAsia="en-US"/>
        </w:rPr>
        <w:t>Atemperándose a</w:t>
      </w:r>
      <w:r w:rsidR="005805BB" w:rsidRPr="00941576">
        <w:rPr>
          <w:rFonts w:eastAsia="Calibri" w:cs="Arial"/>
          <w:lang w:val="es-CO" w:eastAsia="en-US"/>
        </w:rPr>
        <w:t xml:space="preserve"> dicha normativa</w:t>
      </w:r>
      <w:r w:rsidR="00C4202B" w:rsidRPr="00941576">
        <w:rPr>
          <w:rFonts w:eastAsia="Calibri" w:cs="Arial"/>
          <w:lang w:val="es-CO" w:eastAsia="en-US"/>
        </w:rPr>
        <w:t>,</w:t>
      </w:r>
      <w:r w:rsidR="005805BB" w:rsidRPr="00941576">
        <w:rPr>
          <w:rFonts w:eastAsia="Calibri" w:cs="Arial"/>
          <w:lang w:val="es-CO" w:eastAsia="en-US"/>
        </w:rPr>
        <w:t xml:space="preserve"> la entidad contratante introdujo en el pliego de condiciones </w:t>
      </w:r>
      <w:r w:rsidR="00373DB2" w:rsidRPr="00941576">
        <w:rPr>
          <w:rFonts w:eastAsia="Calibri" w:cs="Arial"/>
          <w:lang w:val="es-CO" w:eastAsia="en-US"/>
        </w:rPr>
        <w:t xml:space="preserve">base de la licitación </w:t>
      </w:r>
      <w:r w:rsidR="005805BB" w:rsidRPr="00941576">
        <w:rPr>
          <w:rFonts w:eastAsia="Calibri" w:cs="Arial"/>
          <w:lang w:val="es-CO" w:eastAsia="en-US"/>
        </w:rPr>
        <w:t>el aspecto relativo a dicha distribución, cuestión que torna imperioso en este punto realizar algunas</w:t>
      </w:r>
      <w:r w:rsidR="00930230" w:rsidRPr="00941576">
        <w:rPr>
          <w:rFonts w:eastAsia="Calibri" w:cs="Arial"/>
          <w:lang w:val="es-CO" w:eastAsia="en-US"/>
        </w:rPr>
        <w:t xml:space="preserve"> precisiones en relación con</w:t>
      </w:r>
      <w:r w:rsidR="00373DB2" w:rsidRPr="00941576">
        <w:rPr>
          <w:rFonts w:eastAsia="Calibri" w:cs="Arial"/>
          <w:lang w:val="es-CO" w:eastAsia="en-US"/>
        </w:rPr>
        <w:t xml:space="preserve"> la fractura </w:t>
      </w:r>
      <w:r w:rsidR="00930230" w:rsidRPr="00941576">
        <w:rPr>
          <w:rFonts w:eastAsia="Calibri" w:cs="Arial"/>
          <w:lang w:val="es-CO" w:eastAsia="en-US"/>
        </w:rPr>
        <w:t xml:space="preserve">de la ecuación </w:t>
      </w:r>
      <w:r w:rsidR="00373DB2" w:rsidRPr="00941576">
        <w:rPr>
          <w:rFonts w:eastAsia="Calibri" w:cs="Arial"/>
          <w:lang w:val="es-CO" w:eastAsia="en-US"/>
        </w:rPr>
        <w:t>económica</w:t>
      </w:r>
      <w:r w:rsidR="00A26076" w:rsidRPr="00941576">
        <w:rPr>
          <w:rFonts w:eastAsia="Calibri" w:cs="Arial"/>
          <w:lang w:val="es-CO" w:eastAsia="en-US"/>
        </w:rPr>
        <w:t>,</w:t>
      </w:r>
      <w:r w:rsidR="00373DB2" w:rsidRPr="00941576">
        <w:rPr>
          <w:rFonts w:eastAsia="Calibri" w:cs="Arial"/>
          <w:lang w:val="es-CO" w:eastAsia="en-US"/>
        </w:rPr>
        <w:t xml:space="preserve"> cuando quiera que la celebración del </w:t>
      </w:r>
      <w:r w:rsidR="00930230" w:rsidRPr="00941576">
        <w:rPr>
          <w:rFonts w:eastAsia="Calibri" w:cs="Arial"/>
          <w:lang w:val="es-CO" w:eastAsia="en-US"/>
        </w:rPr>
        <w:t xml:space="preserve">negocio ha sido precedida por la elaboración de la </w:t>
      </w:r>
      <w:r w:rsidR="00373DB2" w:rsidRPr="00941576">
        <w:rPr>
          <w:rFonts w:eastAsia="Calibri" w:cs="Arial"/>
          <w:lang w:val="es-CO" w:eastAsia="en-US"/>
        </w:rPr>
        <w:t xml:space="preserve">respectiva matriz de riesgos. </w:t>
      </w:r>
    </w:p>
    <w:p w:rsidR="008A6F0B" w:rsidRPr="00941576" w:rsidRDefault="008A6F0B" w:rsidP="00543770">
      <w:pPr>
        <w:rPr>
          <w:rFonts w:eastAsia="Calibri" w:cs="Arial"/>
          <w:lang w:val="es-CO" w:eastAsia="en-US"/>
        </w:rPr>
      </w:pPr>
    </w:p>
    <w:p w:rsidR="008E7777" w:rsidRPr="00941576" w:rsidRDefault="00AF4C91" w:rsidP="00543770">
      <w:pPr>
        <w:rPr>
          <w:rFonts w:eastAsia="Calibri" w:cs="Arial"/>
          <w:lang w:val="es-CO" w:eastAsia="en-US"/>
        </w:rPr>
      </w:pPr>
      <w:r w:rsidRPr="00941576">
        <w:rPr>
          <w:rFonts w:eastAsia="Calibri" w:cs="Arial"/>
          <w:lang w:val="es-CO" w:eastAsia="en-US"/>
        </w:rPr>
        <w:t xml:space="preserve">Sea </w:t>
      </w:r>
      <w:r w:rsidR="00535BC9" w:rsidRPr="00941576">
        <w:rPr>
          <w:rFonts w:eastAsia="Calibri" w:cs="Arial"/>
          <w:lang w:val="es-CO" w:eastAsia="en-US"/>
        </w:rPr>
        <w:t>lo primero advertir</w:t>
      </w:r>
      <w:r w:rsidR="00435D20" w:rsidRPr="00941576">
        <w:rPr>
          <w:rFonts w:eastAsia="Calibri" w:cs="Arial"/>
          <w:lang w:val="es-CO" w:eastAsia="en-US"/>
        </w:rPr>
        <w:t xml:space="preserve"> </w:t>
      </w:r>
      <w:r w:rsidRPr="00941576">
        <w:rPr>
          <w:rFonts w:eastAsia="Calibri" w:cs="Arial"/>
          <w:lang w:val="es-CO" w:eastAsia="en-US"/>
        </w:rPr>
        <w:t xml:space="preserve">que </w:t>
      </w:r>
      <w:r w:rsidR="000215EC" w:rsidRPr="00941576">
        <w:rPr>
          <w:rFonts w:eastAsia="Calibri" w:cs="Arial"/>
          <w:lang w:val="es-CO" w:eastAsia="en-US"/>
        </w:rPr>
        <w:t xml:space="preserve">durante la ejecución de todo </w:t>
      </w:r>
      <w:r w:rsidR="00435D20" w:rsidRPr="00941576">
        <w:rPr>
          <w:rFonts w:eastAsia="Calibri" w:cs="Arial"/>
          <w:lang w:val="es-CO" w:eastAsia="en-US"/>
        </w:rPr>
        <w:t xml:space="preserve">negocio </w:t>
      </w:r>
      <w:r w:rsidR="000215EC" w:rsidRPr="00941576">
        <w:rPr>
          <w:rFonts w:eastAsia="Calibri" w:cs="Arial"/>
          <w:lang w:val="es-CO" w:eastAsia="en-US"/>
        </w:rPr>
        <w:t>pueden sobrevenir circunstancia</w:t>
      </w:r>
      <w:r w:rsidR="00F90EE4" w:rsidRPr="00941576">
        <w:rPr>
          <w:rFonts w:eastAsia="Calibri" w:cs="Arial"/>
          <w:lang w:val="es-CO" w:eastAsia="en-US"/>
        </w:rPr>
        <w:t>s</w:t>
      </w:r>
      <w:r w:rsidR="000215EC" w:rsidRPr="00941576">
        <w:rPr>
          <w:rFonts w:eastAsia="Calibri" w:cs="Arial"/>
          <w:lang w:val="es-CO" w:eastAsia="en-US"/>
        </w:rPr>
        <w:t xml:space="preserve"> con vocación de impactarlo </w:t>
      </w:r>
      <w:r w:rsidR="003B5D94" w:rsidRPr="00941576">
        <w:rPr>
          <w:rFonts w:eastAsia="Calibri" w:cs="Arial"/>
          <w:lang w:val="es-CO" w:eastAsia="en-US"/>
        </w:rPr>
        <w:t xml:space="preserve">desde varios ángulos, </w:t>
      </w:r>
      <w:r w:rsidR="000215EC" w:rsidRPr="00941576">
        <w:rPr>
          <w:rFonts w:eastAsia="Calibri" w:cs="Arial"/>
          <w:lang w:val="es-CO" w:eastAsia="en-US"/>
        </w:rPr>
        <w:t>al punto de entorpecer su cumplimiento en la forma y t</w:t>
      </w:r>
      <w:r w:rsidR="00F90EE4" w:rsidRPr="00941576">
        <w:rPr>
          <w:rFonts w:eastAsia="Calibri" w:cs="Arial"/>
          <w:lang w:val="es-CO" w:eastAsia="en-US"/>
        </w:rPr>
        <w:t>ér</w:t>
      </w:r>
      <w:r w:rsidR="00C4202B" w:rsidRPr="00941576">
        <w:rPr>
          <w:rFonts w:eastAsia="Calibri" w:cs="Arial"/>
          <w:lang w:val="es-CO" w:eastAsia="en-US"/>
        </w:rPr>
        <w:t>minos convenidos</w:t>
      </w:r>
      <w:r w:rsidR="00F90EE4" w:rsidRPr="00941576">
        <w:rPr>
          <w:rFonts w:eastAsia="Calibri" w:cs="Arial"/>
          <w:lang w:val="es-CO" w:eastAsia="en-US"/>
        </w:rPr>
        <w:t xml:space="preserve"> en la época </w:t>
      </w:r>
      <w:r w:rsidR="000215EC" w:rsidRPr="00941576">
        <w:rPr>
          <w:rFonts w:eastAsia="Calibri" w:cs="Arial"/>
          <w:lang w:val="es-CO" w:eastAsia="en-US"/>
        </w:rPr>
        <w:t>de su celebración</w:t>
      </w:r>
      <w:r w:rsidR="00435D20" w:rsidRPr="00941576">
        <w:rPr>
          <w:rFonts w:eastAsia="Calibri" w:cs="Arial"/>
          <w:lang w:val="es-CO" w:eastAsia="en-US"/>
        </w:rPr>
        <w:t xml:space="preserve"> y hacerlo más oneroso. </w:t>
      </w:r>
    </w:p>
    <w:p w:rsidR="008E7777" w:rsidRPr="00941576" w:rsidRDefault="008E7777" w:rsidP="00543770">
      <w:pPr>
        <w:rPr>
          <w:rFonts w:eastAsia="Calibri" w:cs="Arial"/>
          <w:lang w:val="es-CO" w:eastAsia="en-US"/>
        </w:rPr>
      </w:pPr>
    </w:p>
    <w:p w:rsidR="005805BB" w:rsidRPr="00941576" w:rsidRDefault="00435D20" w:rsidP="00543770">
      <w:pPr>
        <w:rPr>
          <w:rFonts w:eastAsia="Calibri" w:cs="Arial"/>
          <w:lang w:val="es-CO" w:eastAsia="en-US"/>
        </w:rPr>
      </w:pPr>
      <w:r w:rsidRPr="00941576">
        <w:rPr>
          <w:rFonts w:eastAsia="Calibri" w:cs="Arial"/>
          <w:lang w:val="es-CO" w:eastAsia="en-US"/>
        </w:rPr>
        <w:t xml:space="preserve">La ocurrencia de dichas contingencias </w:t>
      </w:r>
      <w:r w:rsidR="0065041C" w:rsidRPr="00941576">
        <w:rPr>
          <w:rFonts w:eastAsia="Calibri" w:cs="Arial"/>
          <w:lang w:val="es-CO" w:eastAsia="en-US"/>
        </w:rPr>
        <w:t>responde</w:t>
      </w:r>
      <w:r w:rsidR="00E075DC" w:rsidRPr="00941576">
        <w:rPr>
          <w:rFonts w:eastAsia="Calibri" w:cs="Arial"/>
          <w:lang w:val="es-CO" w:eastAsia="en-US"/>
        </w:rPr>
        <w:t>,</w:t>
      </w:r>
      <w:r w:rsidR="0065041C" w:rsidRPr="00941576">
        <w:rPr>
          <w:rFonts w:eastAsia="Calibri" w:cs="Arial"/>
          <w:lang w:val="es-CO" w:eastAsia="en-US"/>
        </w:rPr>
        <w:t xml:space="preserve"> </w:t>
      </w:r>
      <w:r w:rsidRPr="00941576">
        <w:rPr>
          <w:rFonts w:eastAsia="Calibri" w:cs="Arial"/>
          <w:lang w:val="es-CO" w:eastAsia="en-US"/>
        </w:rPr>
        <w:t>en algunos casos</w:t>
      </w:r>
      <w:r w:rsidR="00E075DC" w:rsidRPr="00941576">
        <w:rPr>
          <w:rFonts w:eastAsia="Calibri" w:cs="Arial"/>
          <w:lang w:val="es-CO" w:eastAsia="en-US"/>
        </w:rPr>
        <w:t>,</w:t>
      </w:r>
      <w:r w:rsidRPr="00941576">
        <w:rPr>
          <w:rFonts w:eastAsia="Calibri" w:cs="Arial"/>
          <w:lang w:val="es-CO" w:eastAsia="en-US"/>
        </w:rPr>
        <w:t xml:space="preserve"> a situaciones atinentes al ále</w:t>
      </w:r>
      <w:r w:rsidR="003B5D94" w:rsidRPr="00941576">
        <w:rPr>
          <w:rFonts w:eastAsia="Calibri" w:cs="Arial"/>
          <w:lang w:val="es-CO" w:eastAsia="en-US"/>
        </w:rPr>
        <w:t>a normal e inherente de su</w:t>
      </w:r>
      <w:r w:rsidRPr="00941576">
        <w:rPr>
          <w:rFonts w:eastAsia="Calibri" w:cs="Arial"/>
          <w:lang w:val="es-CO" w:eastAsia="en-US"/>
        </w:rPr>
        <w:t xml:space="preserve"> ejecuci</w:t>
      </w:r>
      <w:r w:rsidR="003B5D94" w:rsidRPr="00941576">
        <w:rPr>
          <w:rFonts w:eastAsia="Calibri" w:cs="Arial"/>
          <w:lang w:val="es-CO" w:eastAsia="en-US"/>
        </w:rPr>
        <w:t xml:space="preserve">ón, aspecto </w:t>
      </w:r>
      <w:r w:rsidRPr="00941576">
        <w:rPr>
          <w:rFonts w:eastAsia="Calibri" w:cs="Arial"/>
          <w:lang w:val="es-CO" w:eastAsia="en-US"/>
        </w:rPr>
        <w:t>que de su</w:t>
      </w:r>
      <w:r w:rsidR="003B5D94" w:rsidRPr="00941576">
        <w:rPr>
          <w:rFonts w:eastAsia="Calibri" w:cs="Arial"/>
          <w:lang w:val="es-CO" w:eastAsia="en-US"/>
        </w:rPr>
        <w:t xml:space="preserve">yo las convierte en previsibles- sobre todo desde la perspectiva del contratista por considerarse el experto y conocedor de la materia- </w:t>
      </w:r>
      <w:r w:rsidRPr="00941576">
        <w:rPr>
          <w:rFonts w:eastAsia="Calibri" w:cs="Arial"/>
          <w:lang w:val="es-CO" w:eastAsia="en-US"/>
        </w:rPr>
        <w:t>y</w:t>
      </w:r>
      <w:r w:rsidR="00E075DC" w:rsidRPr="00941576">
        <w:rPr>
          <w:rFonts w:eastAsia="Calibri" w:cs="Arial"/>
          <w:lang w:val="es-CO" w:eastAsia="en-US"/>
        </w:rPr>
        <w:t>,</w:t>
      </w:r>
      <w:r w:rsidRPr="00941576">
        <w:rPr>
          <w:rFonts w:eastAsia="Calibri" w:cs="Arial"/>
          <w:lang w:val="es-CO" w:eastAsia="en-US"/>
        </w:rPr>
        <w:t xml:space="preserve"> en otros tantos</w:t>
      </w:r>
      <w:r w:rsidR="00E075DC" w:rsidRPr="00941576">
        <w:rPr>
          <w:rFonts w:eastAsia="Calibri" w:cs="Arial"/>
          <w:lang w:val="es-CO" w:eastAsia="en-US"/>
        </w:rPr>
        <w:t>,</w:t>
      </w:r>
      <w:r w:rsidRPr="00941576">
        <w:rPr>
          <w:rFonts w:eastAsia="Calibri" w:cs="Arial"/>
          <w:lang w:val="es-CO" w:eastAsia="en-US"/>
        </w:rPr>
        <w:t xml:space="preserve"> </w:t>
      </w:r>
      <w:r w:rsidR="003B5D94" w:rsidRPr="00941576">
        <w:rPr>
          <w:rFonts w:eastAsia="Calibri" w:cs="Arial"/>
          <w:lang w:val="es-CO" w:eastAsia="en-US"/>
        </w:rPr>
        <w:t>llegan</w:t>
      </w:r>
      <w:r w:rsidRPr="00941576">
        <w:rPr>
          <w:rFonts w:eastAsia="Calibri" w:cs="Arial"/>
          <w:lang w:val="es-CO" w:eastAsia="en-US"/>
        </w:rPr>
        <w:t xml:space="preserve"> a </w:t>
      </w:r>
      <w:r w:rsidR="003B5D94" w:rsidRPr="00941576">
        <w:rPr>
          <w:rFonts w:eastAsia="Calibri" w:cs="Arial"/>
          <w:lang w:val="es-CO" w:eastAsia="en-US"/>
        </w:rPr>
        <w:t xml:space="preserve">exceder </w:t>
      </w:r>
      <w:r w:rsidRPr="00941576">
        <w:rPr>
          <w:rFonts w:eastAsia="Calibri" w:cs="Arial"/>
          <w:lang w:val="es-CO" w:eastAsia="en-US"/>
        </w:rPr>
        <w:t>la órbita de la normalidad</w:t>
      </w:r>
      <w:r w:rsidR="00497CDE" w:rsidRPr="00941576">
        <w:rPr>
          <w:rFonts w:eastAsia="Calibri" w:cs="Arial"/>
          <w:lang w:val="es-CO" w:eastAsia="en-US"/>
        </w:rPr>
        <w:t xml:space="preserve"> y trascienden a</w:t>
      </w:r>
      <w:r w:rsidR="00E075DC" w:rsidRPr="00941576">
        <w:rPr>
          <w:rFonts w:eastAsia="Calibri" w:cs="Arial"/>
          <w:lang w:val="es-CO" w:eastAsia="en-US"/>
        </w:rPr>
        <w:t xml:space="preserve">l terreno de lo extraordinario y </w:t>
      </w:r>
      <w:r w:rsidR="00C4202B" w:rsidRPr="00941576">
        <w:rPr>
          <w:rFonts w:eastAsia="Calibri" w:cs="Arial"/>
          <w:lang w:val="es-CO" w:eastAsia="en-US"/>
        </w:rPr>
        <w:t xml:space="preserve">de </w:t>
      </w:r>
      <w:r w:rsidR="00E075DC" w:rsidRPr="00941576">
        <w:rPr>
          <w:rFonts w:eastAsia="Calibri" w:cs="Arial"/>
          <w:lang w:val="es-CO" w:eastAsia="en-US"/>
        </w:rPr>
        <w:t>lo</w:t>
      </w:r>
      <w:r w:rsidR="00497CDE" w:rsidRPr="00941576">
        <w:rPr>
          <w:rFonts w:eastAsia="Calibri" w:cs="Arial"/>
          <w:lang w:val="es-CO" w:eastAsia="en-US"/>
        </w:rPr>
        <w:t xml:space="preserve"> imprevisible</w:t>
      </w:r>
      <w:r w:rsidRPr="00941576">
        <w:rPr>
          <w:rFonts w:eastAsia="Calibri" w:cs="Arial"/>
          <w:lang w:val="es-CO" w:eastAsia="en-US"/>
        </w:rPr>
        <w:t xml:space="preserve">. </w:t>
      </w:r>
    </w:p>
    <w:p w:rsidR="00435D20" w:rsidRPr="00941576" w:rsidRDefault="00435D20" w:rsidP="00543770">
      <w:pPr>
        <w:rPr>
          <w:rFonts w:eastAsia="Calibri" w:cs="Arial"/>
          <w:lang w:val="es-CO" w:eastAsia="en-US"/>
        </w:rPr>
      </w:pPr>
    </w:p>
    <w:p w:rsidR="001C25F4" w:rsidRPr="00941576" w:rsidRDefault="00435D20" w:rsidP="00543770">
      <w:pPr>
        <w:rPr>
          <w:rFonts w:cs="Arial"/>
        </w:rPr>
      </w:pPr>
      <w:r w:rsidRPr="00941576">
        <w:rPr>
          <w:rFonts w:eastAsia="Calibri" w:cs="Arial"/>
          <w:lang w:val="es-CO" w:eastAsia="en-US"/>
        </w:rPr>
        <w:t>De cara a esta certeza</w:t>
      </w:r>
      <w:r w:rsidR="001C25F4" w:rsidRPr="00941576">
        <w:rPr>
          <w:rFonts w:eastAsia="Calibri" w:cs="Arial"/>
          <w:lang w:val="es-CO" w:eastAsia="en-US"/>
        </w:rPr>
        <w:t>,</w:t>
      </w:r>
      <w:r w:rsidRPr="00941576">
        <w:rPr>
          <w:rFonts w:eastAsia="Calibri" w:cs="Arial"/>
          <w:lang w:val="es-CO" w:eastAsia="en-US"/>
        </w:rPr>
        <w:t xml:space="preserve"> la regulación normativa en materia de contratación estatal </w:t>
      </w:r>
      <w:r w:rsidR="00CD1412" w:rsidRPr="00941576">
        <w:rPr>
          <w:rFonts w:eastAsia="Calibri" w:cs="Arial"/>
          <w:lang w:val="es-CO" w:eastAsia="en-US"/>
        </w:rPr>
        <w:t>determinó la necesidad de implementar,</w:t>
      </w:r>
      <w:r w:rsidR="00F11F2F" w:rsidRPr="00941576">
        <w:rPr>
          <w:rFonts w:eastAsia="Calibri" w:cs="Arial"/>
          <w:lang w:val="es-CO" w:eastAsia="en-US"/>
        </w:rPr>
        <w:t xml:space="preserve"> como etapa obligatoria</w:t>
      </w:r>
      <w:r w:rsidR="00CD1412" w:rsidRPr="00941576">
        <w:rPr>
          <w:rFonts w:eastAsia="Calibri" w:cs="Arial"/>
          <w:lang w:val="es-CO" w:eastAsia="en-US"/>
        </w:rPr>
        <w:t>,</w:t>
      </w:r>
      <w:r w:rsidR="00F11F2F" w:rsidRPr="00941576">
        <w:rPr>
          <w:rFonts w:eastAsia="Calibri" w:cs="Arial"/>
          <w:lang w:val="es-CO" w:eastAsia="en-US"/>
        </w:rPr>
        <w:t xml:space="preserve"> la audiencia de distribución de riesgos</w:t>
      </w:r>
      <w:r w:rsidR="00A26076" w:rsidRPr="00941576">
        <w:rPr>
          <w:rFonts w:eastAsia="Calibri" w:cs="Arial"/>
          <w:lang w:val="es-CO" w:eastAsia="en-US"/>
        </w:rPr>
        <w:t>,</w:t>
      </w:r>
      <w:r w:rsidR="00F11F2F" w:rsidRPr="00941576">
        <w:rPr>
          <w:rFonts w:eastAsia="Calibri" w:cs="Arial"/>
          <w:lang w:val="es-CO" w:eastAsia="en-US"/>
        </w:rPr>
        <w:t xml:space="preserve"> </w:t>
      </w:r>
      <w:r w:rsidR="003B5D94" w:rsidRPr="00941576">
        <w:rPr>
          <w:rFonts w:eastAsia="Calibri" w:cs="Arial"/>
          <w:lang w:val="es-CO" w:eastAsia="en-US"/>
        </w:rPr>
        <w:t>en desarrollo de la cual</w:t>
      </w:r>
      <w:r w:rsidR="008E7777" w:rsidRPr="00941576">
        <w:rPr>
          <w:rFonts w:cs="Arial"/>
        </w:rPr>
        <w:t xml:space="preserve"> </w:t>
      </w:r>
      <w:r w:rsidR="00460A58" w:rsidRPr="00941576">
        <w:rPr>
          <w:rFonts w:cs="Arial"/>
        </w:rPr>
        <w:t>las</w:t>
      </w:r>
      <w:r w:rsidR="001C25F4" w:rsidRPr="00941576">
        <w:rPr>
          <w:rFonts w:cs="Arial"/>
        </w:rPr>
        <w:t xml:space="preserve"> entidades </w:t>
      </w:r>
      <w:r w:rsidR="00460A58" w:rsidRPr="00941576">
        <w:rPr>
          <w:rFonts w:cs="Arial"/>
        </w:rPr>
        <w:t xml:space="preserve">estatales </w:t>
      </w:r>
      <w:r w:rsidR="001C25F4" w:rsidRPr="00941576">
        <w:rPr>
          <w:rFonts w:cs="Arial"/>
        </w:rPr>
        <w:t>tienen el deber legal de elaborar con precisión la identificación, tipificación y asignación de riesgos</w:t>
      </w:r>
      <w:r w:rsidR="00497CDE" w:rsidRPr="00941576">
        <w:rPr>
          <w:rFonts w:cs="Arial"/>
        </w:rPr>
        <w:t>, asunto so</w:t>
      </w:r>
      <w:r w:rsidR="00F06AB6" w:rsidRPr="00941576">
        <w:rPr>
          <w:rFonts w:cs="Arial"/>
        </w:rPr>
        <w:t>bre el cual no sobra subrayar</w:t>
      </w:r>
      <w:r w:rsidR="00460A58" w:rsidRPr="00941576">
        <w:rPr>
          <w:rFonts w:cs="Arial"/>
        </w:rPr>
        <w:t xml:space="preserve"> </w:t>
      </w:r>
      <w:r w:rsidR="00F06AB6" w:rsidRPr="00941576">
        <w:rPr>
          <w:rFonts w:cs="Arial"/>
        </w:rPr>
        <w:t xml:space="preserve">que dicha actividad </w:t>
      </w:r>
      <w:r w:rsidR="001C25F4" w:rsidRPr="00941576">
        <w:rPr>
          <w:rFonts w:cs="Arial"/>
        </w:rPr>
        <w:t xml:space="preserve">debe </w:t>
      </w:r>
      <w:r w:rsidR="00483808" w:rsidRPr="00941576">
        <w:rPr>
          <w:rFonts w:cs="Arial"/>
        </w:rPr>
        <w:t xml:space="preserve">sujetarse </w:t>
      </w:r>
      <w:r w:rsidR="00497CDE" w:rsidRPr="00941576">
        <w:rPr>
          <w:rFonts w:cs="Arial"/>
        </w:rPr>
        <w:t xml:space="preserve">a </w:t>
      </w:r>
      <w:r w:rsidR="00483808" w:rsidRPr="00941576">
        <w:rPr>
          <w:rFonts w:cs="Arial"/>
        </w:rPr>
        <w:t>un criterio de justicia y equidad</w:t>
      </w:r>
      <w:r w:rsidR="007D31E2" w:rsidRPr="00941576">
        <w:rPr>
          <w:rFonts w:cs="Arial"/>
        </w:rPr>
        <w:t>,</w:t>
      </w:r>
      <w:r w:rsidR="00483808" w:rsidRPr="00941576">
        <w:rPr>
          <w:rFonts w:cs="Arial"/>
        </w:rPr>
        <w:t xml:space="preserve"> al tiempo que corresponde ejercerse con apego </w:t>
      </w:r>
      <w:r w:rsidR="001C25F4" w:rsidRPr="00941576">
        <w:rPr>
          <w:rFonts w:cs="Arial"/>
        </w:rPr>
        <w:t>a los principios y reglas constitucionales y legales que orientan la actividad contractual del Estado</w:t>
      </w:r>
      <w:r w:rsidR="00460A58" w:rsidRPr="00941576">
        <w:rPr>
          <w:rFonts w:cs="Arial"/>
        </w:rPr>
        <w:t>.</w:t>
      </w:r>
    </w:p>
    <w:p w:rsidR="00A26076" w:rsidRPr="00941576" w:rsidRDefault="00A26076" w:rsidP="00543770">
      <w:pPr>
        <w:rPr>
          <w:rFonts w:eastAsia="Calibri" w:cs="Arial"/>
          <w:lang w:val="es-CO" w:eastAsia="en-US"/>
        </w:rPr>
      </w:pPr>
    </w:p>
    <w:p w:rsidR="005B43FE" w:rsidRPr="00941576" w:rsidRDefault="00483808" w:rsidP="00BA037E">
      <w:pPr>
        <w:rPr>
          <w:rFonts w:cs="Arial"/>
        </w:rPr>
      </w:pPr>
      <w:r w:rsidRPr="00941576">
        <w:rPr>
          <w:rFonts w:cs="Arial"/>
        </w:rPr>
        <w:lastRenderedPageBreak/>
        <w:t>I</w:t>
      </w:r>
      <w:r w:rsidR="00D7411B" w:rsidRPr="00941576">
        <w:rPr>
          <w:rFonts w:cs="Arial"/>
        </w:rPr>
        <w:t>ncluso</w:t>
      </w:r>
      <w:r w:rsidRPr="00941576">
        <w:rPr>
          <w:rFonts w:cs="Arial"/>
        </w:rPr>
        <w:t>,</w:t>
      </w:r>
      <w:r w:rsidR="00D7411B" w:rsidRPr="00941576">
        <w:rPr>
          <w:rFonts w:cs="Arial"/>
        </w:rPr>
        <w:t xml:space="preserve"> desde antes de la expedición de la referida preceptiva, </w:t>
      </w:r>
      <w:r w:rsidR="00497CDE" w:rsidRPr="00941576">
        <w:rPr>
          <w:rFonts w:cs="Arial"/>
        </w:rPr>
        <w:t xml:space="preserve">a la luz de </w:t>
      </w:r>
      <w:r w:rsidR="005B43FE" w:rsidRPr="00941576">
        <w:rPr>
          <w:rFonts w:cs="Arial"/>
        </w:rPr>
        <w:t xml:space="preserve">los dictados de la Ley 80 de 1993, </w:t>
      </w:r>
      <w:r w:rsidR="00D7411B" w:rsidRPr="00941576">
        <w:rPr>
          <w:rFonts w:cs="Arial"/>
        </w:rPr>
        <w:t xml:space="preserve">por vía </w:t>
      </w:r>
      <w:r w:rsidRPr="00941576">
        <w:rPr>
          <w:rFonts w:cs="Arial"/>
        </w:rPr>
        <w:t>de la interpretación a</w:t>
      </w:r>
      <w:r w:rsidR="00D7411B" w:rsidRPr="00941576">
        <w:rPr>
          <w:rFonts w:cs="Arial"/>
        </w:rPr>
        <w:t xml:space="preserve"> los alcances </w:t>
      </w:r>
      <w:r w:rsidRPr="00941576">
        <w:rPr>
          <w:rFonts w:cs="Arial"/>
        </w:rPr>
        <w:t xml:space="preserve">de lo dispuesto por </w:t>
      </w:r>
      <w:r w:rsidR="00D7411B" w:rsidRPr="00941576">
        <w:rPr>
          <w:rFonts w:cs="Arial"/>
        </w:rPr>
        <w:t xml:space="preserve">el numeral 5 del artículo 24, se avizoraba que cualquier esquema de distribución de riesgos en el campo contractual </w:t>
      </w:r>
      <w:r w:rsidR="00497CDE" w:rsidRPr="00941576">
        <w:rPr>
          <w:rFonts w:cs="Arial"/>
        </w:rPr>
        <w:t xml:space="preserve">del Estado </w:t>
      </w:r>
      <w:r w:rsidRPr="00941576">
        <w:rPr>
          <w:rFonts w:cs="Arial"/>
        </w:rPr>
        <w:t>debía</w:t>
      </w:r>
      <w:r w:rsidR="005B43FE" w:rsidRPr="00941576">
        <w:rPr>
          <w:rFonts w:cs="Arial"/>
        </w:rPr>
        <w:t xml:space="preserve"> contener previsiones y reglas justas, claras y objetivas que permit</w:t>
      </w:r>
      <w:r w:rsidRPr="00941576">
        <w:rPr>
          <w:rFonts w:cs="Arial"/>
        </w:rPr>
        <w:t>ier</w:t>
      </w:r>
      <w:r w:rsidR="005B43FE" w:rsidRPr="00941576">
        <w:rPr>
          <w:rFonts w:cs="Arial"/>
        </w:rPr>
        <w:t>an ofrecimientos de la misma índole. De igual forma</w:t>
      </w:r>
      <w:r w:rsidR="00A26076" w:rsidRPr="00941576">
        <w:rPr>
          <w:rFonts w:cs="Arial"/>
        </w:rPr>
        <w:t>,</w:t>
      </w:r>
      <w:r w:rsidR="005B43FE" w:rsidRPr="00941576">
        <w:rPr>
          <w:rFonts w:cs="Arial"/>
        </w:rPr>
        <w:t xml:space="preserve"> </w:t>
      </w:r>
      <w:r w:rsidRPr="00941576">
        <w:rPr>
          <w:rFonts w:cs="Arial"/>
        </w:rPr>
        <w:t xml:space="preserve">se habrían de definir </w:t>
      </w:r>
      <w:r w:rsidR="00527FD3" w:rsidRPr="00941576">
        <w:rPr>
          <w:rFonts w:cs="Arial"/>
        </w:rPr>
        <w:t>con exactitud</w:t>
      </w:r>
      <w:r w:rsidR="005B43FE" w:rsidRPr="00941576">
        <w:rPr>
          <w:rFonts w:cs="Arial"/>
        </w:rPr>
        <w:t xml:space="preserve"> las condiciones de costo y calidad de los bienes necesarios </w:t>
      </w:r>
      <w:r w:rsidRPr="00941576">
        <w:rPr>
          <w:rFonts w:cs="Arial"/>
        </w:rPr>
        <w:t>para la ejecución del contrato, no se incluirían</w:t>
      </w:r>
      <w:r w:rsidR="005B43FE" w:rsidRPr="00941576">
        <w:rPr>
          <w:rFonts w:cs="Arial"/>
        </w:rPr>
        <w:t xml:space="preserve"> condiciones y exigenc</w:t>
      </w:r>
      <w:r w:rsidR="00941499" w:rsidRPr="00941576">
        <w:rPr>
          <w:rFonts w:cs="Arial"/>
        </w:rPr>
        <w:t>ias de imposible cumplimiento y</w:t>
      </w:r>
      <w:r w:rsidR="005B43FE" w:rsidRPr="00941576">
        <w:rPr>
          <w:rFonts w:cs="Arial"/>
        </w:rPr>
        <w:t xml:space="preserve"> no </w:t>
      </w:r>
      <w:r w:rsidRPr="00941576">
        <w:rPr>
          <w:rFonts w:cs="Arial"/>
        </w:rPr>
        <w:t>se establecerían</w:t>
      </w:r>
      <w:r w:rsidR="005B43FE" w:rsidRPr="00941576">
        <w:rPr>
          <w:rFonts w:cs="Arial"/>
        </w:rPr>
        <w:t xml:space="preserve"> reg</w:t>
      </w:r>
      <w:r w:rsidRPr="00941576">
        <w:rPr>
          <w:rFonts w:cs="Arial"/>
        </w:rPr>
        <w:t>las que permitiera</w:t>
      </w:r>
      <w:r w:rsidR="005B43FE" w:rsidRPr="00941576">
        <w:rPr>
          <w:rFonts w:cs="Arial"/>
        </w:rPr>
        <w:t>n ofrecimientos de extensión ilimitada.</w:t>
      </w:r>
    </w:p>
    <w:p w:rsidR="00BA037E" w:rsidRPr="00941576" w:rsidRDefault="00BA037E" w:rsidP="00BA037E">
      <w:pPr>
        <w:rPr>
          <w:rFonts w:cs="Arial"/>
        </w:rPr>
      </w:pPr>
    </w:p>
    <w:p w:rsidR="00535BC9" w:rsidRPr="00941576" w:rsidRDefault="00E70F4A" w:rsidP="00BA037E">
      <w:pPr>
        <w:pStyle w:val="NormalWeb"/>
        <w:spacing w:before="0" w:beforeAutospacing="0" w:after="0" w:afterAutospacing="0"/>
        <w:rPr>
          <w:rFonts w:cs="Arial"/>
        </w:rPr>
      </w:pPr>
      <w:r w:rsidRPr="00941576">
        <w:rPr>
          <w:rFonts w:cs="Arial"/>
        </w:rPr>
        <w:t xml:space="preserve">Siguiendo </w:t>
      </w:r>
      <w:r w:rsidR="00941499" w:rsidRPr="00941576">
        <w:rPr>
          <w:rFonts w:cs="Arial"/>
        </w:rPr>
        <w:t xml:space="preserve">esa misma línea de pensamiento, </w:t>
      </w:r>
      <w:r w:rsidRPr="00941576">
        <w:rPr>
          <w:rFonts w:cs="Arial"/>
        </w:rPr>
        <w:t xml:space="preserve">tampoco resultaría ajustado a derecho </w:t>
      </w:r>
      <w:r w:rsidR="00FB4C19" w:rsidRPr="00941576">
        <w:rPr>
          <w:rFonts w:cs="Arial"/>
        </w:rPr>
        <w:t xml:space="preserve">atender </w:t>
      </w:r>
      <w:r w:rsidR="0065041C" w:rsidRPr="00941576">
        <w:rPr>
          <w:rFonts w:cs="Arial"/>
        </w:rPr>
        <w:t xml:space="preserve">a </w:t>
      </w:r>
      <w:r w:rsidR="00C4202B" w:rsidRPr="00941576">
        <w:rPr>
          <w:rFonts w:cs="Arial"/>
        </w:rPr>
        <w:t>un sistema</w:t>
      </w:r>
      <w:r w:rsidR="00FB4C19" w:rsidRPr="00941576">
        <w:rPr>
          <w:rFonts w:cs="Arial"/>
        </w:rPr>
        <w:t xml:space="preserve"> de distribución de riesgos </w:t>
      </w:r>
      <w:r w:rsidR="00497CDE" w:rsidRPr="00941576">
        <w:rPr>
          <w:rFonts w:cs="Arial"/>
        </w:rPr>
        <w:t xml:space="preserve">cuya materialización </w:t>
      </w:r>
      <w:r w:rsidR="00941499" w:rsidRPr="00941576">
        <w:rPr>
          <w:rFonts w:cs="Arial"/>
        </w:rPr>
        <w:t>se derivara</w:t>
      </w:r>
      <w:r w:rsidRPr="00941576">
        <w:rPr>
          <w:rFonts w:cs="Arial"/>
        </w:rPr>
        <w:t xml:space="preserve"> directamente de la voluntad exclusiva de la entidad contratante y que </w:t>
      </w:r>
      <w:r w:rsidR="00497CDE" w:rsidRPr="00941576">
        <w:rPr>
          <w:rFonts w:cs="Arial"/>
        </w:rPr>
        <w:t>tuviera</w:t>
      </w:r>
      <w:r w:rsidRPr="00941576">
        <w:rPr>
          <w:rFonts w:cs="Arial"/>
        </w:rPr>
        <w:t xml:space="preserve"> la virtualidad de afectar la normal ejecución del contrato. Tal sería el caso de los supuestos de incumplimiento contractual o de la ocurrencia de circunstancias constitutivas de ruptura del equilibrio económico del contrato originadas en la actuación de la Administración contratante como se presentaría en los eventos del ejercicio del </w:t>
      </w:r>
      <w:r w:rsidRPr="00941576">
        <w:rPr>
          <w:rFonts w:cs="Arial"/>
          <w:i/>
        </w:rPr>
        <w:t xml:space="preserve">ius variandi </w:t>
      </w:r>
      <w:r w:rsidRPr="00941576">
        <w:rPr>
          <w:rFonts w:cs="Arial"/>
        </w:rPr>
        <w:t xml:space="preserve">o del hecho del príncipe. </w:t>
      </w:r>
    </w:p>
    <w:p w:rsidR="00BA037E" w:rsidRPr="00941576" w:rsidRDefault="00BA037E" w:rsidP="00BA037E">
      <w:pPr>
        <w:pStyle w:val="NormalWeb"/>
        <w:spacing w:before="0" w:beforeAutospacing="0" w:after="0" w:afterAutospacing="0"/>
        <w:rPr>
          <w:rFonts w:cs="Arial"/>
        </w:rPr>
      </w:pPr>
    </w:p>
    <w:p w:rsidR="005C56C7" w:rsidRPr="00941576" w:rsidRDefault="00FB4C19" w:rsidP="00BA037E">
      <w:pPr>
        <w:rPr>
          <w:rFonts w:eastAsia="Calibri" w:cs="Arial"/>
          <w:lang w:val="es-CO" w:eastAsia="en-US"/>
        </w:rPr>
      </w:pPr>
      <w:r w:rsidRPr="00941576">
        <w:rPr>
          <w:rFonts w:eastAsia="Calibri" w:cs="Arial"/>
          <w:lang w:val="es-CO" w:eastAsia="en-US"/>
        </w:rPr>
        <w:t>Ahora bien, definido</w:t>
      </w:r>
      <w:r w:rsidR="00A90612" w:rsidRPr="00941576">
        <w:rPr>
          <w:rFonts w:eastAsia="Calibri" w:cs="Arial"/>
          <w:lang w:val="es-CO" w:eastAsia="en-US"/>
        </w:rPr>
        <w:t>s</w:t>
      </w:r>
      <w:r w:rsidRPr="00941576">
        <w:rPr>
          <w:rFonts w:eastAsia="Calibri" w:cs="Arial"/>
          <w:lang w:val="es-CO" w:eastAsia="en-US"/>
        </w:rPr>
        <w:t xml:space="preserve"> como est</w:t>
      </w:r>
      <w:r w:rsidR="008F4FCE" w:rsidRPr="00941576">
        <w:rPr>
          <w:rFonts w:eastAsia="Calibri" w:cs="Arial"/>
          <w:lang w:val="es-CO" w:eastAsia="en-US"/>
        </w:rPr>
        <w:t>án</w:t>
      </w:r>
      <w:r w:rsidRPr="00941576">
        <w:rPr>
          <w:rFonts w:eastAsia="Calibri" w:cs="Arial"/>
          <w:lang w:val="es-CO" w:eastAsia="en-US"/>
        </w:rPr>
        <w:t xml:space="preserve"> los lineamientos y parámetros que </w:t>
      </w:r>
      <w:r w:rsidR="00D53930" w:rsidRPr="00941576">
        <w:rPr>
          <w:rFonts w:eastAsia="Calibri" w:cs="Arial"/>
          <w:lang w:val="es-CO" w:eastAsia="en-US"/>
        </w:rPr>
        <w:t xml:space="preserve">debe </w:t>
      </w:r>
      <w:r w:rsidRPr="00941576">
        <w:rPr>
          <w:rFonts w:eastAsia="Calibri" w:cs="Arial"/>
          <w:lang w:val="es-CO" w:eastAsia="en-US"/>
        </w:rPr>
        <w:t>consultar el di</w:t>
      </w:r>
      <w:r w:rsidR="008E5B5A" w:rsidRPr="00941576">
        <w:rPr>
          <w:rFonts w:eastAsia="Calibri" w:cs="Arial"/>
          <w:lang w:val="es-CO" w:eastAsia="en-US"/>
        </w:rPr>
        <w:t>seño de la correspondiente matri</w:t>
      </w:r>
      <w:r w:rsidRPr="00941576">
        <w:rPr>
          <w:rFonts w:eastAsia="Calibri" w:cs="Arial"/>
          <w:lang w:val="es-CO" w:eastAsia="en-US"/>
        </w:rPr>
        <w:t xml:space="preserve">z de riesgos </w:t>
      </w:r>
      <w:r w:rsidR="00941499" w:rsidRPr="00941576">
        <w:rPr>
          <w:rFonts w:eastAsia="Calibri" w:cs="Arial"/>
          <w:lang w:val="es-CO" w:eastAsia="en-US"/>
        </w:rPr>
        <w:t xml:space="preserve">llamados a </w:t>
      </w:r>
      <w:r w:rsidRPr="00941576">
        <w:rPr>
          <w:rFonts w:eastAsia="Calibri" w:cs="Arial"/>
          <w:lang w:val="es-CO" w:eastAsia="en-US"/>
        </w:rPr>
        <w:t xml:space="preserve">regir la vía del contrato, </w:t>
      </w:r>
      <w:r w:rsidR="00DA0796" w:rsidRPr="00941576">
        <w:rPr>
          <w:rFonts w:eastAsia="Calibri" w:cs="Arial"/>
          <w:lang w:val="es-CO" w:eastAsia="en-US"/>
        </w:rPr>
        <w:t xml:space="preserve">se impone agregar que </w:t>
      </w:r>
      <w:r w:rsidR="00104168" w:rsidRPr="00941576">
        <w:rPr>
          <w:rFonts w:eastAsia="Calibri" w:cs="Arial"/>
          <w:lang w:val="es-CO" w:eastAsia="en-US"/>
        </w:rPr>
        <w:t>su elaboraci</w:t>
      </w:r>
      <w:r w:rsidR="00E8595B" w:rsidRPr="00941576">
        <w:rPr>
          <w:rFonts w:eastAsia="Calibri" w:cs="Arial"/>
          <w:lang w:val="es-CO" w:eastAsia="en-US"/>
        </w:rPr>
        <w:t xml:space="preserve">ón necesariamente se </w:t>
      </w:r>
      <w:r w:rsidR="008E5B5A" w:rsidRPr="00941576">
        <w:rPr>
          <w:rFonts w:eastAsia="Calibri" w:cs="Arial"/>
          <w:lang w:val="es-CO" w:eastAsia="en-US"/>
        </w:rPr>
        <w:t xml:space="preserve">halla </w:t>
      </w:r>
      <w:r w:rsidR="00E8595B" w:rsidRPr="00941576">
        <w:rPr>
          <w:rFonts w:eastAsia="Calibri" w:cs="Arial"/>
          <w:lang w:val="es-CO" w:eastAsia="en-US"/>
        </w:rPr>
        <w:t xml:space="preserve">vinculada </w:t>
      </w:r>
      <w:r w:rsidR="008F4FCE" w:rsidRPr="00941576">
        <w:rPr>
          <w:rFonts w:eastAsia="Calibri" w:cs="Arial"/>
          <w:lang w:val="es-CO" w:eastAsia="en-US"/>
        </w:rPr>
        <w:t xml:space="preserve">de manera </w:t>
      </w:r>
      <w:r w:rsidR="005C56C7" w:rsidRPr="00941576">
        <w:rPr>
          <w:rFonts w:eastAsia="Calibri" w:cs="Arial"/>
          <w:lang w:val="es-CO" w:eastAsia="en-US"/>
        </w:rPr>
        <w:t xml:space="preserve">estrecha </w:t>
      </w:r>
      <w:r w:rsidR="008F4FCE" w:rsidRPr="00941576">
        <w:rPr>
          <w:rFonts w:eastAsia="Calibri" w:cs="Arial"/>
          <w:lang w:val="es-CO" w:eastAsia="en-US"/>
        </w:rPr>
        <w:t xml:space="preserve">y casi que interdependiente </w:t>
      </w:r>
      <w:r w:rsidR="00E8595B" w:rsidRPr="00941576">
        <w:rPr>
          <w:rFonts w:eastAsia="Calibri" w:cs="Arial"/>
          <w:lang w:val="es-CO" w:eastAsia="en-US"/>
        </w:rPr>
        <w:t>a la estructuraci</w:t>
      </w:r>
      <w:r w:rsidR="008F4FCE" w:rsidRPr="00941576">
        <w:rPr>
          <w:rFonts w:eastAsia="Calibri" w:cs="Arial"/>
          <w:lang w:val="es-CO" w:eastAsia="en-US"/>
        </w:rPr>
        <w:t>ón del precio</w:t>
      </w:r>
      <w:r w:rsidR="009F1E50" w:rsidRPr="00941576">
        <w:rPr>
          <w:rFonts w:eastAsia="Calibri" w:cs="Arial"/>
          <w:lang w:val="es-CO" w:eastAsia="en-US"/>
        </w:rPr>
        <w:t xml:space="preserve"> del acuerdo</w:t>
      </w:r>
      <w:r w:rsidR="008F4FCE" w:rsidRPr="00941576">
        <w:rPr>
          <w:rFonts w:eastAsia="Calibri" w:cs="Arial"/>
          <w:lang w:val="es-CO" w:eastAsia="en-US"/>
        </w:rPr>
        <w:t>.</w:t>
      </w:r>
      <w:r w:rsidR="005C56C7" w:rsidRPr="00941576">
        <w:rPr>
          <w:rFonts w:eastAsia="Calibri" w:cs="Arial"/>
          <w:lang w:val="es-CO" w:eastAsia="en-US"/>
        </w:rPr>
        <w:t xml:space="preserve"> </w:t>
      </w:r>
    </w:p>
    <w:p w:rsidR="005C56C7" w:rsidRPr="00941576" w:rsidRDefault="005C56C7" w:rsidP="00543770">
      <w:pPr>
        <w:rPr>
          <w:rFonts w:eastAsia="Calibri" w:cs="Arial"/>
          <w:lang w:val="es-CO" w:eastAsia="en-US"/>
        </w:rPr>
      </w:pPr>
    </w:p>
    <w:p w:rsidR="005C56C7" w:rsidRPr="00941576" w:rsidRDefault="00D61EE9" w:rsidP="00543770">
      <w:pPr>
        <w:rPr>
          <w:rFonts w:eastAsia="Calibri" w:cs="Arial"/>
          <w:lang w:val="es-CO" w:eastAsia="en-US"/>
        </w:rPr>
      </w:pPr>
      <w:r w:rsidRPr="00941576">
        <w:rPr>
          <w:rFonts w:eastAsia="Calibri" w:cs="Arial"/>
          <w:lang w:val="es-CO" w:eastAsia="en-US"/>
        </w:rPr>
        <w:t>No puede pasarse por alto</w:t>
      </w:r>
      <w:r w:rsidR="005C56C7" w:rsidRPr="00941576">
        <w:rPr>
          <w:rFonts w:eastAsia="Calibri" w:cs="Arial"/>
          <w:lang w:val="es-CO" w:eastAsia="en-US"/>
        </w:rPr>
        <w:t xml:space="preserve"> </w:t>
      </w:r>
      <w:r w:rsidR="00B43828" w:rsidRPr="00941576">
        <w:rPr>
          <w:rFonts w:eastAsia="Calibri" w:cs="Arial"/>
          <w:lang w:val="es-CO" w:eastAsia="en-US"/>
        </w:rPr>
        <w:t xml:space="preserve">que el componente económico del contrato debe </w:t>
      </w:r>
      <w:r w:rsidR="00A26790" w:rsidRPr="00941576">
        <w:rPr>
          <w:rFonts w:eastAsia="Calibri" w:cs="Arial"/>
          <w:lang w:val="es-CO" w:eastAsia="en-US"/>
        </w:rPr>
        <w:t>consultar</w:t>
      </w:r>
      <w:r w:rsidR="00B43828" w:rsidRPr="00941576">
        <w:rPr>
          <w:rFonts w:eastAsia="Calibri" w:cs="Arial"/>
          <w:lang w:val="es-CO" w:eastAsia="en-US"/>
        </w:rPr>
        <w:t xml:space="preserve"> la asunción previa del ri</w:t>
      </w:r>
      <w:r w:rsidR="00A26790" w:rsidRPr="00941576">
        <w:rPr>
          <w:rFonts w:eastAsia="Calibri" w:cs="Arial"/>
          <w:lang w:val="es-CO" w:eastAsia="en-US"/>
        </w:rPr>
        <w:t>esgo y naturalmente debe atender</w:t>
      </w:r>
      <w:r w:rsidR="00B43828" w:rsidRPr="00941576">
        <w:rPr>
          <w:rFonts w:eastAsia="Calibri" w:cs="Arial"/>
          <w:lang w:val="es-CO" w:eastAsia="en-US"/>
        </w:rPr>
        <w:t xml:space="preserve"> a su estimación</w:t>
      </w:r>
      <w:r w:rsidR="00A26076" w:rsidRPr="00941576">
        <w:rPr>
          <w:rFonts w:eastAsia="Calibri" w:cs="Arial"/>
          <w:lang w:val="es-CO" w:eastAsia="en-US"/>
        </w:rPr>
        <w:t>,</w:t>
      </w:r>
      <w:r w:rsidR="009F1E50" w:rsidRPr="00941576">
        <w:rPr>
          <w:rFonts w:eastAsia="Calibri" w:cs="Arial"/>
          <w:lang w:val="es-CO" w:eastAsia="en-US"/>
        </w:rPr>
        <w:t xml:space="preserve"> en tanto</w:t>
      </w:r>
      <w:r w:rsidR="005C56C7" w:rsidRPr="00941576">
        <w:rPr>
          <w:rFonts w:eastAsia="Calibri" w:cs="Arial"/>
          <w:lang w:val="es-CO" w:eastAsia="en-US"/>
        </w:rPr>
        <w:t xml:space="preserve"> la finalidad de su asignaci</w:t>
      </w:r>
      <w:r w:rsidR="005A19DC" w:rsidRPr="00941576">
        <w:rPr>
          <w:rFonts w:eastAsia="Calibri" w:cs="Arial"/>
          <w:lang w:val="es-CO" w:eastAsia="en-US"/>
        </w:rPr>
        <w:t>ón estriba</w:t>
      </w:r>
      <w:r w:rsidR="00934450" w:rsidRPr="00941576">
        <w:rPr>
          <w:rFonts w:eastAsia="Calibri" w:cs="Arial"/>
          <w:lang w:val="es-CO" w:eastAsia="en-US"/>
        </w:rPr>
        <w:t xml:space="preserve"> en </w:t>
      </w:r>
      <w:r w:rsidR="005C56C7" w:rsidRPr="00941576">
        <w:rPr>
          <w:rFonts w:eastAsia="Calibri" w:cs="Arial"/>
          <w:lang w:val="es-CO" w:eastAsia="en-US"/>
        </w:rPr>
        <w:t>que quien lo asuma incorpore en el precio ofrecid</w:t>
      </w:r>
      <w:r w:rsidR="00934450" w:rsidRPr="00941576">
        <w:rPr>
          <w:rFonts w:eastAsia="Calibri" w:cs="Arial"/>
          <w:lang w:val="es-CO" w:eastAsia="en-US"/>
        </w:rPr>
        <w:t>o los rubros di</w:t>
      </w:r>
      <w:r w:rsidR="00FB2AF6" w:rsidRPr="00941576">
        <w:rPr>
          <w:rFonts w:eastAsia="Calibri" w:cs="Arial"/>
          <w:lang w:val="es-CO" w:eastAsia="en-US"/>
        </w:rPr>
        <w:t>rigidos a contener los efectos nocivos</w:t>
      </w:r>
      <w:r w:rsidR="00934450" w:rsidRPr="00941576">
        <w:rPr>
          <w:rFonts w:eastAsia="Calibri" w:cs="Arial"/>
          <w:lang w:val="es-CO" w:eastAsia="en-US"/>
        </w:rPr>
        <w:t xml:space="preserve"> de su ocurrencia</w:t>
      </w:r>
      <w:r w:rsidR="005C56C7" w:rsidRPr="00941576">
        <w:rPr>
          <w:rFonts w:eastAsia="Calibri" w:cs="Arial"/>
          <w:lang w:val="es-CO" w:eastAsia="en-US"/>
        </w:rPr>
        <w:t>. De lo contrario, la distribución de riesgos constituiría un despropósito</w:t>
      </w:r>
      <w:r w:rsidR="00EA078D" w:rsidRPr="00941576">
        <w:rPr>
          <w:rFonts w:eastAsia="Calibri" w:cs="Arial"/>
          <w:lang w:val="es-CO" w:eastAsia="en-US"/>
        </w:rPr>
        <w:t xml:space="preserve"> a la hora de afrontar una contingencia</w:t>
      </w:r>
      <w:r w:rsidR="005C56C7" w:rsidRPr="00941576">
        <w:rPr>
          <w:rFonts w:eastAsia="Calibri" w:cs="Arial"/>
          <w:lang w:val="es-CO" w:eastAsia="en-US"/>
        </w:rPr>
        <w:t xml:space="preserve">. </w:t>
      </w:r>
    </w:p>
    <w:p w:rsidR="005C56C7" w:rsidRPr="00941576" w:rsidRDefault="005C56C7" w:rsidP="00543770">
      <w:pPr>
        <w:rPr>
          <w:rFonts w:eastAsia="Calibri" w:cs="Arial"/>
          <w:lang w:val="es-CO" w:eastAsia="en-US"/>
        </w:rPr>
      </w:pPr>
    </w:p>
    <w:p w:rsidR="00C77DCA" w:rsidRPr="00941576" w:rsidRDefault="00792904" w:rsidP="00543770">
      <w:pPr>
        <w:rPr>
          <w:rFonts w:eastAsia="Calibri" w:cs="Arial"/>
          <w:lang w:val="es-CO" w:eastAsia="en-US"/>
        </w:rPr>
      </w:pPr>
      <w:r w:rsidRPr="00941576">
        <w:rPr>
          <w:rFonts w:eastAsia="Calibri" w:cs="Arial"/>
          <w:lang w:val="es-CO" w:eastAsia="en-US"/>
        </w:rPr>
        <w:t>En orden a articular lo plasmado</w:t>
      </w:r>
      <w:r w:rsidR="00DB3512" w:rsidRPr="00941576">
        <w:rPr>
          <w:rFonts w:eastAsia="Calibri" w:cs="Arial"/>
          <w:lang w:val="es-CO" w:eastAsia="en-US"/>
        </w:rPr>
        <w:t xml:space="preserve"> respecto de</w:t>
      </w:r>
      <w:r w:rsidR="005C56C7" w:rsidRPr="00941576">
        <w:rPr>
          <w:rFonts w:eastAsia="Calibri" w:cs="Arial"/>
          <w:lang w:val="es-CO" w:eastAsia="en-US"/>
        </w:rPr>
        <w:t xml:space="preserve"> la distribución de riesgos con la figura del equilibrio económico</w:t>
      </w:r>
      <w:r w:rsidR="00D865F4" w:rsidRPr="00941576">
        <w:rPr>
          <w:rStyle w:val="Refdenotaalpie"/>
          <w:rFonts w:eastAsia="Calibri" w:cs="Arial"/>
          <w:lang w:val="es-CO" w:eastAsia="en-US"/>
        </w:rPr>
        <w:footnoteReference w:id="17"/>
      </w:r>
      <w:r w:rsidR="005C56C7" w:rsidRPr="00941576">
        <w:rPr>
          <w:rFonts w:eastAsia="Calibri" w:cs="Arial"/>
          <w:lang w:val="es-CO" w:eastAsia="en-US"/>
        </w:rPr>
        <w:t xml:space="preserve"> del contrato</w:t>
      </w:r>
      <w:r w:rsidR="00497CDE" w:rsidRPr="00941576">
        <w:rPr>
          <w:rFonts w:eastAsia="Calibri" w:cs="Arial"/>
          <w:lang w:val="es-CO" w:eastAsia="en-US"/>
        </w:rPr>
        <w:t>,</w:t>
      </w:r>
      <w:r w:rsidR="005C56C7" w:rsidRPr="00941576">
        <w:rPr>
          <w:rFonts w:eastAsia="Calibri" w:cs="Arial"/>
          <w:lang w:val="es-CO" w:eastAsia="en-US"/>
        </w:rPr>
        <w:t xml:space="preserve"> </w:t>
      </w:r>
      <w:r w:rsidR="005A19DC" w:rsidRPr="00941576">
        <w:rPr>
          <w:rFonts w:eastAsia="Calibri" w:cs="Arial"/>
          <w:lang w:val="es-CO" w:eastAsia="en-US"/>
        </w:rPr>
        <w:t xml:space="preserve">imperioso resulta advertir que </w:t>
      </w:r>
      <w:r w:rsidR="003112B8" w:rsidRPr="00941576">
        <w:rPr>
          <w:rFonts w:eastAsia="Calibri" w:cs="Arial"/>
          <w:lang w:val="es-CO" w:eastAsia="en-US"/>
        </w:rPr>
        <w:t xml:space="preserve">la fractura de </w:t>
      </w:r>
      <w:r w:rsidR="003112B8" w:rsidRPr="00941576">
        <w:rPr>
          <w:rFonts w:eastAsia="Calibri" w:cs="Arial"/>
          <w:lang w:val="es-CO" w:eastAsia="en-US"/>
        </w:rPr>
        <w:lastRenderedPageBreak/>
        <w:t xml:space="preserve">la ecuación financiera </w:t>
      </w:r>
      <w:r w:rsidR="005A19DC" w:rsidRPr="00941576">
        <w:rPr>
          <w:rFonts w:eastAsia="Calibri" w:cs="Arial"/>
          <w:lang w:val="es-CO" w:eastAsia="en-US"/>
        </w:rPr>
        <w:t xml:space="preserve">puede tener cabida </w:t>
      </w:r>
      <w:r w:rsidR="006A4ADF" w:rsidRPr="00941576">
        <w:rPr>
          <w:rFonts w:eastAsia="Calibri" w:cs="Arial"/>
          <w:lang w:val="es-CO" w:eastAsia="en-US"/>
        </w:rPr>
        <w:t xml:space="preserve">en el escenario de un contrato con matriz de riesgos, </w:t>
      </w:r>
      <w:r w:rsidRPr="00941576">
        <w:rPr>
          <w:rFonts w:eastAsia="Calibri" w:cs="Arial"/>
          <w:lang w:val="es-CO" w:eastAsia="en-US"/>
        </w:rPr>
        <w:t xml:space="preserve">cuando la </w:t>
      </w:r>
      <w:r w:rsidR="003112B8" w:rsidRPr="00941576">
        <w:rPr>
          <w:rFonts w:eastAsia="Calibri" w:cs="Arial"/>
          <w:lang w:val="es-CO" w:eastAsia="en-US"/>
        </w:rPr>
        <w:t xml:space="preserve">concreción de la </w:t>
      </w:r>
      <w:r w:rsidRPr="00941576">
        <w:rPr>
          <w:rFonts w:eastAsia="Calibri" w:cs="Arial"/>
          <w:lang w:val="es-CO" w:eastAsia="en-US"/>
        </w:rPr>
        <w:t>causa generadora de</w:t>
      </w:r>
      <w:r w:rsidR="003112B8" w:rsidRPr="00941576">
        <w:rPr>
          <w:rFonts w:eastAsia="Calibri" w:cs="Arial"/>
          <w:lang w:val="es-CO" w:eastAsia="en-US"/>
        </w:rPr>
        <w:t xml:space="preserve"> </w:t>
      </w:r>
      <w:r w:rsidRPr="00941576">
        <w:rPr>
          <w:rFonts w:eastAsia="Calibri" w:cs="Arial"/>
          <w:lang w:val="es-CO" w:eastAsia="en-US"/>
        </w:rPr>
        <w:t>l</w:t>
      </w:r>
      <w:r w:rsidR="003112B8" w:rsidRPr="00941576">
        <w:rPr>
          <w:rFonts w:eastAsia="Calibri" w:cs="Arial"/>
          <w:lang w:val="es-CO" w:eastAsia="en-US"/>
        </w:rPr>
        <w:t xml:space="preserve">a </w:t>
      </w:r>
      <w:r w:rsidR="00497CDE" w:rsidRPr="00941576">
        <w:rPr>
          <w:rFonts w:eastAsia="Calibri" w:cs="Arial"/>
          <w:lang w:val="es-CO" w:eastAsia="en-US"/>
        </w:rPr>
        <w:t>misma</w:t>
      </w:r>
      <w:r w:rsidR="00C77DCA" w:rsidRPr="00941576">
        <w:rPr>
          <w:rFonts w:eastAsia="Calibri" w:cs="Arial"/>
          <w:lang w:val="es-CO" w:eastAsia="en-US"/>
        </w:rPr>
        <w:t xml:space="preserve"> desborde</w:t>
      </w:r>
      <w:r w:rsidR="003112B8" w:rsidRPr="00941576">
        <w:rPr>
          <w:rFonts w:eastAsia="Calibri" w:cs="Arial"/>
          <w:lang w:val="es-CO" w:eastAsia="en-US"/>
        </w:rPr>
        <w:t xml:space="preserve"> los límites de la asunción </w:t>
      </w:r>
      <w:r w:rsidR="001A1273" w:rsidRPr="00941576">
        <w:rPr>
          <w:rFonts w:eastAsia="Calibri" w:cs="Arial"/>
          <w:lang w:val="es-CO" w:eastAsia="en-US"/>
        </w:rPr>
        <w:t xml:space="preserve">de quien lo padece. </w:t>
      </w:r>
    </w:p>
    <w:p w:rsidR="00535BC9" w:rsidRPr="00941576" w:rsidRDefault="00535BC9" w:rsidP="00543770">
      <w:pPr>
        <w:rPr>
          <w:rFonts w:eastAsia="Calibri" w:cs="Arial"/>
          <w:lang w:val="es-CO" w:eastAsia="en-US"/>
        </w:rPr>
      </w:pPr>
    </w:p>
    <w:p w:rsidR="00FB2AF6" w:rsidRPr="00941576" w:rsidRDefault="00A26076" w:rsidP="00543770">
      <w:pPr>
        <w:rPr>
          <w:rFonts w:eastAsia="Calibri" w:cs="Arial"/>
          <w:lang w:val="es-CO" w:eastAsia="en-US"/>
        </w:rPr>
      </w:pPr>
      <w:r w:rsidRPr="00941576">
        <w:rPr>
          <w:rFonts w:eastAsia="Calibri" w:cs="Arial"/>
          <w:lang w:val="es-CO" w:eastAsia="en-US"/>
        </w:rPr>
        <w:t xml:space="preserve">Resulta </w:t>
      </w:r>
      <w:r w:rsidR="00FB2AF6" w:rsidRPr="00941576">
        <w:rPr>
          <w:rFonts w:eastAsia="Calibri" w:cs="Arial"/>
          <w:lang w:val="es-CO" w:eastAsia="en-US"/>
        </w:rPr>
        <w:t xml:space="preserve">que el desequilibrio económico del contrato comporta el desbalance de la carga prestacional en las condiciones pactadas al suscribir el negocio jurídico, de suerte tal que </w:t>
      </w:r>
      <w:r w:rsidR="00DB3512" w:rsidRPr="00941576">
        <w:rPr>
          <w:rFonts w:eastAsia="Calibri" w:cs="Arial"/>
          <w:lang w:val="es-CO" w:eastAsia="en-US"/>
        </w:rPr>
        <w:t xml:space="preserve">al concebir </w:t>
      </w:r>
      <w:r w:rsidR="00FB2AF6" w:rsidRPr="00941576">
        <w:rPr>
          <w:rFonts w:eastAsia="Calibri" w:cs="Arial"/>
          <w:lang w:val="es-CO" w:eastAsia="en-US"/>
        </w:rPr>
        <w:t xml:space="preserve">el riesgo asumido </w:t>
      </w:r>
      <w:r w:rsidR="00DB3512" w:rsidRPr="00941576">
        <w:rPr>
          <w:rFonts w:eastAsia="Calibri" w:cs="Arial"/>
          <w:lang w:val="es-CO" w:eastAsia="en-US"/>
        </w:rPr>
        <w:t xml:space="preserve">como </w:t>
      </w:r>
      <w:r w:rsidR="00FB2AF6" w:rsidRPr="00941576">
        <w:rPr>
          <w:rFonts w:eastAsia="Calibri" w:cs="Arial"/>
          <w:lang w:val="es-CO" w:eastAsia="en-US"/>
        </w:rPr>
        <w:t>parte integral de esas condiciones convenidas de inicio por las partes</w:t>
      </w:r>
      <w:r w:rsidR="00716425" w:rsidRPr="00941576">
        <w:rPr>
          <w:rFonts w:eastAsia="Calibri" w:cs="Arial"/>
          <w:lang w:val="es-CO" w:eastAsia="en-US"/>
        </w:rPr>
        <w:t>,</w:t>
      </w:r>
      <w:r w:rsidR="00DB3512" w:rsidRPr="00941576">
        <w:rPr>
          <w:rFonts w:eastAsia="Calibri" w:cs="Arial"/>
          <w:lang w:val="es-CO" w:eastAsia="en-US"/>
        </w:rPr>
        <w:t xml:space="preserve"> su concreción dentro del margen acordado</w:t>
      </w:r>
      <w:r w:rsidR="00716425" w:rsidRPr="00941576">
        <w:rPr>
          <w:rFonts w:eastAsia="Calibri" w:cs="Arial"/>
          <w:lang w:val="es-CO" w:eastAsia="en-US"/>
        </w:rPr>
        <w:t xml:space="preserve"> y aceptado </w:t>
      </w:r>
      <w:r w:rsidR="00DB3512" w:rsidRPr="00941576">
        <w:rPr>
          <w:rFonts w:eastAsia="Calibri" w:cs="Arial"/>
          <w:lang w:val="es-CO" w:eastAsia="en-US"/>
        </w:rPr>
        <w:t xml:space="preserve">no habría de tener vocación para impactarlas negativamente. </w:t>
      </w:r>
    </w:p>
    <w:p w:rsidR="00FB2AF6" w:rsidRPr="00941576" w:rsidRDefault="00FB2AF6" w:rsidP="00543770">
      <w:pPr>
        <w:rPr>
          <w:rFonts w:eastAsia="Calibri" w:cs="Arial"/>
          <w:lang w:val="es-CO" w:eastAsia="en-US"/>
        </w:rPr>
      </w:pPr>
    </w:p>
    <w:p w:rsidR="003112B8" w:rsidRPr="00941576" w:rsidRDefault="00663F15" w:rsidP="00543770">
      <w:pPr>
        <w:rPr>
          <w:rFonts w:eastAsia="Calibri" w:cs="Arial"/>
          <w:lang w:val="es-CO" w:eastAsia="en-US"/>
        </w:rPr>
      </w:pPr>
      <w:r w:rsidRPr="00941576">
        <w:rPr>
          <w:rFonts w:eastAsia="Calibri" w:cs="Arial"/>
          <w:lang w:val="es-CO" w:eastAsia="en-US"/>
        </w:rPr>
        <w:t xml:space="preserve">Por contera, </w:t>
      </w:r>
      <w:r w:rsidR="00C77DCA" w:rsidRPr="00941576">
        <w:rPr>
          <w:rFonts w:eastAsia="Calibri" w:cs="Arial"/>
          <w:lang w:val="es-CO" w:eastAsia="en-US"/>
        </w:rPr>
        <w:t xml:space="preserve">si el </w:t>
      </w:r>
      <w:r w:rsidR="00D917D4" w:rsidRPr="00941576">
        <w:rPr>
          <w:rFonts w:eastAsia="Calibri" w:cs="Arial"/>
          <w:lang w:val="es-CO" w:eastAsia="en-US"/>
        </w:rPr>
        <w:t xml:space="preserve">riesgo que acontece </w:t>
      </w:r>
      <w:r w:rsidR="00C77DCA" w:rsidRPr="00941576">
        <w:rPr>
          <w:rFonts w:eastAsia="Calibri" w:cs="Arial"/>
          <w:lang w:val="es-CO" w:eastAsia="en-US"/>
        </w:rPr>
        <w:t>s</w:t>
      </w:r>
      <w:r w:rsidR="00497CDE" w:rsidRPr="00941576">
        <w:rPr>
          <w:rFonts w:eastAsia="Calibri" w:cs="Arial"/>
          <w:lang w:val="es-CO" w:eastAsia="en-US"/>
        </w:rPr>
        <w:t>e enmarca</w:t>
      </w:r>
      <w:r w:rsidR="00C77DCA" w:rsidRPr="00941576">
        <w:rPr>
          <w:rFonts w:eastAsia="Calibri" w:cs="Arial"/>
          <w:lang w:val="es-CO" w:eastAsia="en-US"/>
        </w:rPr>
        <w:t xml:space="preserve"> dentro de los linderos de la respectiva tipificación, valoración y asignación</w:t>
      </w:r>
      <w:r w:rsidR="00D917D4" w:rsidRPr="00941576">
        <w:rPr>
          <w:rFonts w:eastAsia="Calibri" w:cs="Arial"/>
          <w:lang w:val="es-CO" w:eastAsia="en-US"/>
        </w:rPr>
        <w:t>,</w:t>
      </w:r>
      <w:r w:rsidR="00C77DCA" w:rsidRPr="00941576">
        <w:rPr>
          <w:rFonts w:eastAsia="Calibri" w:cs="Arial"/>
          <w:lang w:val="es-CO" w:eastAsia="en-US"/>
        </w:rPr>
        <w:t xml:space="preserve"> no habrá lugar a alegar la ruptura del equilibrio económico del contrato por cuenta de su ocurrencia, bajo la comprensión de que el mismo ya fue cubierto por la respectiva matriz y corresponderá asumirlo a quien allí se haya dispuesto en la estimación </w:t>
      </w:r>
      <w:r w:rsidR="001E61BF" w:rsidRPr="00941576">
        <w:rPr>
          <w:rFonts w:eastAsia="Calibri" w:cs="Arial"/>
          <w:lang w:val="es-CO" w:eastAsia="en-US"/>
        </w:rPr>
        <w:t>acordada</w:t>
      </w:r>
      <w:r w:rsidR="00C77DCA" w:rsidRPr="00941576">
        <w:rPr>
          <w:rFonts w:eastAsia="Calibri" w:cs="Arial"/>
          <w:lang w:val="es-CO" w:eastAsia="en-US"/>
        </w:rPr>
        <w:t xml:space="preserve">. </w:t>
      </w:r>
    </w:p>
    <w:p w:rsidR="00FB2AF6" w:rsidRPr="00941576" w:rsidRDefault="00FB2AF6" w:rsidP="00543770">
      <w:pPr>
        <w:rPr>
          <w:rFonts w:eastAsia="Calibri" w:cs="Arial"/>
          <w:lang w:val="es-CO" w:eastAsia="en-US"/>
        </w:rPr>
      </w:pPr>
    </w:p>
    <w:p w:rsidR="00527FD3" w:rsidRPr="00941576" w:rsidRDefault="00B807EA" w:rsidP="00052553">
      <w:pPr>
        <w:rPr>
          <w:rFonts w:cs="Arial"/>
        </w:rPr>
      </w:pPr>
      <w:r w:rsidRPr="00941576">
        <w:rPr>
          <w:rFonts w:eastAsia="Calibri" w:cs="Arial"/>
          <w:lang w:val="es-CO" w:eastAsia="en-US"/>
        </w:rPr>
        <w:t>Puesto de presente el contexto de su aplicación y descendiendo al caso concreto</w:t>
      </w:r>
      <w:r w:rsidR="00FB2AF6" w:rsidRPr="00941576">
        <w:rPr>
          <w:rFonts w:eastAsia="Calibri" w:cs="Arial"/>
          <w:lang w:val="es-CO" w:eastAsia="en-US"/>
        </w:rPr>
        <w:t>, se evidencia que</w:t>
      </w:r>
      <w:r w:rsidRPr="00941576">
        <w:rPr>
          <w:rFonts w:eastAsia="Calibri" w:cs="Arial"/>
          <w:lang w:val="es-CO" w:eastAsia="en-US"/>
        </w:rPr>
        <w:t xml:space="preserve"> </w:t>
      </w:r>
      <w:r w:rsidR="00052553" w:rsidRPr="00941576">
        <w:rPr>
          <w:rFonts w:eastAsia="Calibri" w:cs="Arial"/>
          <w:lang w:val="es-CO" w:eastAsia="en-US"/>
        </w:rPr>
        <w:t>d</w:t>
      </w:r>
      <w:r w:rsidR="00F332B9" w:rsidRPr="00941576">
        <w:rPr>
          <w:rFonts w:cs="Arial"/>
        </w:rPr>
        <w:t xml:space="preserve">entro del </w:t>
      </w:r>
      <w:r w:rsidR="005D738B" w:rsidRPr="00941576">
        <w:rPr>
          <w:rFonts w:cs="Arial"/>
        </w:rPr>
        <w:t>pliego de condiciones que gobernó la Licitación Pública No. 01-2010</w:t>
      </w:r>
      <w:r w:rsidR="00D917D4" w:rsidRPr="00941576">
        <w:rPr>
          <w:rFonts w:cs="Arial"/>
        </w:rPr>
        <w:t>,</w:t>
      </w:r>
      <w:r w:rsidR="005D738B" w:rsidRPr="00941576">
        <w:rPr>
          <w:rFonts w:cs="Arial"/>
        </w:rPr>
        <w:t xml:space="preserve"> adelantada por el municipio de Galapa para contratar la construcción en concreto rígido</w:t>
      </w:r>
      <w:r w:rsidR="00527FD3" w:rsidRPr="00941576">
        <w:rPr>
          <w:rFonts w:cs="Arial"/>
        </w:rPr>
        <w:t xml:space="preserve"> de</w:t>
      </w:r>
      <w:r w:rsidR="005D738B" w:rsidRPr="00941576">
        <w:rPr>
          <w:rFonts w:cs="Arial"/>
        </w:rPr>
        <w:t xml:space="preserve"> la vía de acceso al barrio </w:t>
      </w:r>
      <w:r w:rsidR="004A7A24" w:rsidRPr="00941576">
        <w:rPr>
          <w:rFonts w:cs="Arial"/>
        </w:rPr>
        <w:t>Los C</w:t>
      </w:r>
      <w:r w:rsidR="00E80771" w:rsidRPr="00941576">
        <w:rPr>
          <w:rFonts w:cs="Arial"/>
        </w:rPr>
        <w:t>arruajes de ese lugar, se introdujo el siguiente cuadro de estimación, tipificación y asignación de riesgos.</w:t>
      </w:r>
      <w:r w:rsidR="003F5E4B" w:rsidRPr="00941576">
        <w:rPr>
          <w:rFonts w:cs="Arial"/>
        </w:rPr>
        <w:t xml:space="preserve"> (se transcribe textual)</w:t>
      </w:r>
      <w:r w:rsidR="00527FD3" w:rsidRPr="00941576">
        <w:rPr>
          <w:rFonts w:cs="Arial"/>
        </w:rPr>
        <w:t>.</w:t>
      </w:r>
    </w:p>
    <w:p w:rsidR="00E80771" w:rsidRPr="00941576" w:rsidRDefault="00E80771" w:rsidP="00F57296">
      <w:pPr>
        <w:ind w:right="-1"/>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9"/>
        <w:gridCol w:w="4521"/>
      </w:tblGrid>
      <w:tr w:rsidR="00812799" w:rsidRPr="00941576" w:rsidTr="00BC5E77">
        <w:tc>
          <w:tcPr>
            <w:tcW w:w="0" w:type="auto"/>
            <w:shd w:val="clear" w:color="auto" w:fill="auto"/>
          </w:tcPr>
          <w:p w:rsidR="00D104A1" w:rsidRPr="00941576" w:rsidRDefault="00D104A1" w:rsidP="00BC5E77">
            <w:pPr>
              <w:ind w:right="-1"/>
              <w:rPr>
                <w:rFonts w:cs="Arial"/>
              </w:rPr>
            </w:pPr>
            <w:r w:rsidRPr="00941576">
              <w:rPr>
                <w:rFonts w:cs="Arial"/>
              </w:rPr>
              <w:t xml:space="preserve">Problemas climatológicos </w:t>
            </w:r>
          </w:p>
        </w:tc>
        <w:tc>
          <w:tcPr>
            <w:tcW w:w="0" w:type="auto"/>
            <w:shd w:val="clear" w:color="auto" w:fill="auto"/>
          </w:tcPr>
          <w:p w:rsidR="00D104A1" w:rsidRPr="00941576" w:rsidRDefault="00D104A1" w:rsidP="00BC5E77">
            <w:pPr>
              <w:ind w:right="-1"/>
              <w:rPr>
                <w:rFonts w:cs="Arial"/>
              </w:rPr>
            </w:pPr>
          </w:p>
        </w:tc>
      </w:tr>
      <w:tr w:rsidR="00812799" w:rsidRPr="00941576" w:rsidTr="00BC5E77">
        <w:tc>
          <w:tcPr>
            <w:tcW w:w="0" w:type="auto"/>
            <w:shd w:val="clear" w:color="auto" w:fill="auto"/>
          </w:tcPr>
          <w:p w:rsidR="00D104A1" w:rsidRPr="00941576" w:rsidRDefault="00792213" w:rsidP="00BC5E77">
            <w:pPr>
              <w:ind w:right="-1"/>
              <w:rPr>
                <w:rFonts w:cs="Arial"/>
              </w:rPr>
            </w:pPr>
            <w:r w:rsidRPr="00941576">
              <w:rPr>
                <w:rFonts w:cs="Arial"/>
              </w:rPr>
              <w:t xml:space="preserve">Teniendo en cuenta los datos de precipitación en Puerto Asís de acuerdo con las estadísticas manejadas por el IDEAM entre el 1971 y el año 2000 la Entidad asumirá los riesgos en este aspecto cuando las precipitaciones superen el comportamiento habitual de las lluvias así.   </w:t>
            </w:r>
          </w:p>
        </w:tc>
        <w:tc>
          <w:tcPr>
            <w:tcW w:w="0" w:type="auto"/>
            <w:shd w:val="clear" w:color="auto" w:fill="auto"/>
          </w:tcPr>
          <w:p w:rsidR="00D104A1" w:rsidRPr="00941576" w:rsidRDefault="00D104A1" w:rsidP="00BC5E77">
            <w:pPr>
              <w:ind w:right="-1"/>
              <w:rPr>
                <w:rFonts w:cs="Arial"/>
              </w:rPr>
            </w:pPr>
          </w:p>
        </w:tc>
      </w:tr>
      <w:tr w:rsidR="00812799" w:rsidRPr="00941576" w:rsidTr="00BC5E77">
        <w:tc>
          <w:tcPr>
            <w:tcW w:w="0" w:type="auto"/>
            <w:shd w:val="clear" w:color="auto" w:fill="auto"/>
          </w:tcPr>
          <w:p w:rsidR="00D104A1" w:rsidRPr="00941576" w:rsidRDefault="00792213" w:rsidP="00BC5E77">
            <w:pPr>
              <w:ind w:right="-1"/>
              <w:rPr>
                <w:rFonts w:cs="Arial"/>
              </w:rPr>
            </w:pPr>
            <w:r w:rsidRPr="00941576">
              <w:rPr>
                <w:rFonts w:cs="Arial"/>
              </w:rPr>
              <w:lastRenderedPageBreak/>
              <w:t xml:space="preserve">Riesgo asumido por la entidad </w:t>
            </w:r>
          </w:p>
        </w:tc>
        <w:tc>
          <w:tcPr>
            <w:tcW w:w="0" w:type="auto"/>
            <w:shd w:val="clear" w:color="auto" w:fill="auto"/>
          </w:tcPr>
          <w:p w:rsidR="00D104A1" w:rsidRPr="00941576" w:rsidRDefault="00792213" w:rsidP="00BC5E77">
            <w:pPr>
              <w:pStyle w:val="Prrafodelista"/>
              <w:numPr>
                <w:ilvl w:val="0"/>
                <w:numId w:val="33"/>
              </w:numPr>
              <w:ind w:right="-1"/>
              <w:rPr>
                <w:rFonts w:cs="Arial"/>
              </w:rPr>
            </w:pPr>
            <w:r w:rsidRPr="00941576">
              <w:rPr>
                <w:rFonts w:cs="Arial"/>
              </w:rPr>
              <w:t>Cuando en más del 40% de los días de ejecución del contrato se presenten precipitaciones</w:t>
            </w:r>
            <w:r w:rsidR="0017621A" w:rsidRPr="00941576">
              <w:rPr>
                <w:rFonts w:cs="Arial"/>
              </w:rPr>
              <w:t xml:space="preserve"> de más de tres horas de duración que ocasionen retrasos.</w:t>
            </w:r>
          </w:p>
        </w:tc>
      </w:tr>
      <w:tr w:rsidR="00812799" w:rsidRPr="00941576" w:rsidTr="00BC5E77">
        <w:tc>
          <w:tcPr>
            <w:tcW w:w="0" w:type="auto"/>
            <w:shd w:val="clear" w:color="auto" w:fill="auto"/>
          </w:tcPr>
          <w:p w:rsidR="00D104A1" w:rsidRPr="00941576" w:rsidRDefault="0017621A" w:rsidP="00BC5E77">
            <w:pPr>
              <w:ind w:right="-1"/>
              <w:rPr>
                <w:rFonts w:cs="Arial"/>
              </w:rPr>
            </w:pPr>
            <w:r w:rsidRPr="00941576">
              <w:rPr>
                <w:rFonts w:cs="Arial"/>
              </w:rPr>
              <w:t xml:space="preserve">Riesgo asumido por el contratista </w:t>
            </w:r>
          </w:p>
        </w:tc>
        <w:tc>
          <w:tcPr>
            <w:tcW w:w="0" w:type="auto"/>
            <w:shd w:val="clear" w:color="auto" w:fill="auto"/>
          </w:tcPr>
          <w:p w:rsidR="00D104A1" w:rsidRPr="00941576" w:rsidRDefault="0017621A" w:rsidP="00BC5E77">
            <w:pPr>
              <w:pStyle w:val="Prrafodelista"/>
              <w:numPr>
                <w:ilvl w:val="0"/>
                <w:numId w:val="33"/>
              </w:numPr>
              <w:ind w:right="-1"/>
              <w:rPr>
                <w:rFonts w:cs="Arial"/>
              </w:rPr>
            </w:pPr>
            <w:r w:rsidRPr="00941576">
              <w:rPr>
                <w:rFonts w:cs="Arial"/>
              </w:rPr>
              <w:t xml:space="preserve">El contratista asumirá las demoras y retrasos ocasionados por precipitaciones inferiores o iguales al 40% de los días de ejecución del contrato. </w:t>
            </w:r>
          </w:p>
        </w:tc>
      </w:tr>
      <w:tr w:rsidR="00812799" w:rsidRPr="00941576" w:rsidTr="00BC5E77">
        <w:tc>
          <w:tcPr>
            <w:tcW w:w="0" w:type="auto"/>
            <w:shd w:val="clear" w:color="auto" w:fill="auto"/>
          </w:tcPr>
          <w:p w:rsidR="00D104A1" w:rsidRPr="00941576" w:rsidRDefault="0032499B" w:rsidP="00BC5E77">
            <w:pPr>
              <w:ind w:right="-1"/>
              <w:rPr>
                <w:rFonts w:cs="Arial"/>
              </w:rPr>
            </w:pPr>
            <w:r w:rsidRPr="00941576">
              <w:rPr>
                <w:rFonts w:cs="Arial"/>
              </w:rPr>
              <w:t xml:space="preserve">Condiciones imprevistas en el terreno </w:t>
            </w:r>
          </w:p>
        </w:tc>
        <w:tc>
          <w:tcPr>
            <w:tcW w:w="0" w:type="auto"/>
            <w:shd w:val="clear" w:color="auto" w:fill="auto"/>
          </w:tcPr>
          <w:p w:rsidR="00D104A1" w:rsidRPr="00941576" w:rsidRDefault="00D104A1" w:rsidP="00BC5E77">
            <w:pPr>
              <w:ind w:right="-1"/>
              <w:rPr>
                <w:rFonts w:cs="Arial"/>
              </w:rPr>
            </w:pPr>
          </w:p>
        </w:tc>
      </w:tr>
      <w:tr w:rsidR="00812799" w:rsidRPr="00941576" w:rsidTr="00BC5E77">
        <w:tc>
          <w:tcPr>
            <w:tcW w:w="0" w:type="auto"/>
            <w:shd w:val="clear" w:color="auto" w:fill="auto"/>
          </w:tcPr>
          <w:p w:rsidR="00D104A1" w:rsidRPr="00941576" w:rsidRDefault="00AB1348" w:rsidP="00BC5E77">
            <w:pPr>
              <w:ind w:right="-1"/>
              <w:rPr>
                <w:rFonts w:cs="Arial"/>
              </w:rPr>
            </w:pPr>
            <w:r w:rsidRPr="00941576">
              <w:rPr>
                <w:rFonts w:cs="Arial"/>
              </w:rPr>
              <w:t xml:space="preserve">Teniendo en cuenta que la entidad realizó </w:t>
            </w:r>
            <w:r w:rsidR="005D56C7" w:rsidRPr="00941576">
              <w:rPr>
                <w:rFonts w:cs="Arial"/>
              </w:rPr>
              <w:t xml:space="preserve">los estudios previos para la ejecución del proyecto </w:t>
            </w:r>
            <w:r w:rsidR="00C878FA" w:rsidRPr="00941576">
              <w:rPr>
                <w:rFonts w:cs="Arial"/>
              </w:rPr>
              <w:t>el riesgo de hallazgo de condiciones diferentes a las inicialmente previstas por la entidad en los terrenos de las obras se asignará</w:t>
            </w:r>
            <w:r w:rsidR="005D56C7" w:rsidRPr="00941576">
              <w:rPr>
                <w:rFonts w:cs="Arial"/>
              </w:rPr>
              <w:t xml:space="preserve"> </w:t>
            </w:r>
            <w:r w:rsidR="0073220F" w:rsidRPr="00941576">
              <w:rPr>
                <w:rFonts w:cs="Arial"/>
              </w:rPr>
              <w:t xml:space="preserve">de la siguiente manera: </w:t>
            </w:r>
          </w:p>
        </w:tc>
        <w:tc>
          <w:tcPr>
            <w:tcW w:w="0" w:type="auto"/>
            <w:shd w:val="clear" w:color="auto" w:fill="auto"/>
          </w:tcPr>
          <w:p w:rsidR="00D104A1" w:rsidRPr="00941576" w:rsidRDefault="00D104A1" w:rsidP="00BC5E77">
            <w:pPr>
              <w:ind w:right="-1"/>
              <w:rPr>
                <w:rFonts w:cs="Arial"/>
              </w:rPr>
            </w:pPr>
          </w:p>
        </w:tc>
      </w:tr>
      <w:tr w:rsidR="00812799" w:rsidRPr="00941576" w:rsidTr="00BC5E77">
        <w:tc>
          <w:tcPr>
            <w:tcW w:w="0" w:type="auto"/>
            <w:shd w:val="clear" w:color="auto" w:fill="auto"/>
          </w:tcPr>
          <w:p w:rsidR="00D104A1" w:rsidRPr="00941576" w:rsidRDefault="00E83F0B" w:rsidP="00BC5E77">
            <w:pPr>
              <w:ind w:right="-1"/>
              <w:rPr>
                <w:rFonts w:cs="Arial"/>
              </w:rPr>
            </w:pPr>
            <w:r w:rsidRPr="00941576">
              <w:rPr>
                <w:rFonts w:cs="Arial"/>
              </w:rPr>
              <w:t xml:space="preserve">Riesgo asumido por la entidad </w:t>
            </w:r>
          </w:p>
        </w:tc>
        <w:tc>
          <w:tcPr>
            <w:tcW w:w="0" w:type="auto"/>
            <w:shd w:val="clear" w:color="auto" w:fill="auto"/>
          </w:tcPr>
          <w:p w:rsidR="00D104A1" w:rsidRPr="00941576" w:rsidRDefault="00E83F0B" w:rsidP="00BC5E77">
            <w:pPr>
              <w:pStyle w:val="Prrafodelista"/>
              <w:numPr>
                <w:ilvl w:val="0"/>
                <w:numId w:val="33"/>
              </w:numPr>
              <w:ind w:right="-1"/>
              <w:rPr>
                <w:rFonts w:cs="Arial"/>
              </w:rPr>
            </w:pPr>
            <w:r w:rsidRPr="00941576">
              <w:rPr>
                <w:rFonts w:cs="Arial"/>
              </w:rPr>
              <w:t>Cuando las condiciones imprevistas del terreno generen retrasos mayores 10% del plazo de construcción del contrato</w:t>
            </w:r>
            <w:r w:rsidR="00E90F52" w:rsidRPr="00941576">
              <w:rPr>
                <w:rFonts w:cs="Arial"/>
              </w:rPr>
              <w:t>.</w:t>
            </w:r>
          </w:p>
        </w:tc>
      </w:tr>
      <w:tr w:rsidR="00812799" w:rsidRPr="00941576" w:rsidTr="00BC5E77">
        <w:tc>
          <w:tcPr>
            <w:tcW w:w="0" w:type="auto"/>
            <w:shd w:val="clear" w:color="auto" w:fill="auto"/>
          </w:tcPr>
          <w:p w:rsidR="00D104A1" w:rsidRPr="00941576" w:rsidRDefault="00E90F52" w:rsidP="00BC5E77">
            <w:pPr>
              <w:ind w:right="-1"/>
              <w:rPr>
                <w:rFonts w:cs="Arial"/>
              </w:rPr>
            </w:pPr>
            <w:r w:rsidRPr="00941576">
              <w:rPr>
                <w:rFonts w:cs="Arial"/>
              </w:rPr>
              <w:t xml:space="preserve">Riesgo asumido por el contratista </w:t>
            </w:r>
          </w:p>
        </w:tc>
        <w:tc>
          <w:tcPr>
            <w:tcW w:w="0" w:type="auto"/>
            <w:shd w:val="clear" w:color="auto" w:fill="auto"/>
          </w:tcPr>
          <w:p w:rsidR="00D104A1" w:rsidRPr="00941576" w:rsidRDefault="00667E2B" w:rsidP="00BC5E77">
            <w:pPr>
              <w:pStyle w:val="Prrafodelista"/>
              <w:numPr>
                <w:ilvl w:val="0"/>
                <w:numId w:val="33"/>
              </w:numPr>
              <w:ind w:right="-1"/>
              <w:rPr>
                <w:rFonts w:cs="Arial"/>
              </w:rPr>
            </w:pPr>
            <w:r w:rsidRPr="00941576">
              <w:rPr>
                <w:rFonts w:cs="Arial"/>
              </w:rPr>
              <w:t>Cuando las condiciones imprevistas del terreno generen retrasos menores al 10% el plazo de construcci</w:t>
            </w:r>
            <w:r w:rsidR="00635363" w:rsidRPr="00941576">
              <w:rPr>
                <w:rFonts w:cs="Arial"/>
              </w:rPr>
              <w:t>ón del contrato.</w:t>
            </w:r>
          </w:p>
        </w:tc>
      </w:tr>
      <w:tr w:rsidR="00812799" w:rsidRPr="00941576" w:rsidTr="00BC5E77">
        <w:tc>
          <w:tcPr>
            <w:tcW w:w="0" w:type="auto"/>
            <w:shd w:val="clear" w:color="auto" w:fill="auto"/>
          </w:tcPr>
          <w:p w:rsidR="00D104A1" w:rsidRPr="00941576" w:rsidRDefault="00635363" w:rsidP="00BC5E77">
            <w:pPr>
              <w:ind w:right="-1"/>
              <w:rPr>
                <w:rFonts w:cs="Arial"/>
              </w:rPr>
            </w:pPr>
            <w:r w:rsidRPr="00941576">
              <w:rPr>
                <w:rFonts w:cs="Arial"/>
              </w:rPr>
              <w:t xml:space="preserve">Cambio no proyectado en precio de los insumos </w:t>
            </w:r>
          </w:p>
        </w:tc>
        <w:tc>
          <w:tcPr>
            <w:tcW w:w="0" w:type="auto"/>
            <w:shd w:val="clear" w:color="auto" w:fill="auto"/>
          </w:tcPr>
          <w:p w:rsidR="00D104A1" w:rsidRPr="00941576" w:rsidRDefault="00D104A1" w:rsidP="00BC5E77">
            <w:pPr>
              <w:ind w:right="-1"/>
              <w:rPr>
                <w:rFonts w:cs="Arial"/>
              </w:rPr>
            </w:pPr>
          </w:p>
        </w:tc>
      </w:tr>
      <w:tr w:rsidR="00812799" w:rsidRPr="00941576" w:rsidTr="00BC5E77">
        <w:tc>
          <w:tcPr>
            <w:tcW w:w="0" w:type="auto"/>
            <w:shd w:val="clear" w:color="auto" w:fill="auto"/>
          </w:tcPr>
          <w:p w:rsidR="00D104A1" w:rsidRPr="00941576" w:rsidRDefault="00FB5FE4" w:rsidP="00BC5E77">
            <w:pPr>
              <w:ind w:right="-1"/>
              <w:rPr>
                <w:rFonts w:cs="Arial"/>
              </w:rPr>
            </w:pPr>
            <w:r w:rsidRPr="00941576">
              <w:rPr>
                <w:rFonts w:cs="Arial"/>
              </w:rPr>
              <w:t xml:space="preserve">Teniendo en cuenta que la entidad realizó </w:t>
            </w:r>
            <w:r w:rsidR="00283240" w:rsidRPr="00941576">
              <w:rPr>
                <w:rFonts w:cs="Arial"/>
              </w:rPr>
              <w:t xml:space="preserve">las proyecciones correspondientes de los diferentes precios de los insumos para la realización del proyecto, en caso de que los insumos de construcción del contrato varíen en rangos mayores a </w:t>
            </w:r>
            <w:r w:rsidR="00283240" w:rsidRPr="00941576">
              <w:rPr>
                <w:rFonts w:cs="Arial"/>
              </w:rPr>
              <w:lastRenderedPageBreak/>
              <w:t xml:space="preserve">los proyectados por la entidad el riesgo se asignará de la siguiente </w:t>
            </w:r>
            <w:r w:rsidR="00B86A53" w:rsidRPr="00941576">
              <w:rPr>
                <w:rFonts w:cs="Arial"/>
              </w:rPr>
              <w:t>manera:</w:t>
            </w:r>
          </w:p>
        </w:tc>
        <w:tc>
          <w:tcPr>
            <w:tcW w:w="0" w:type="auto"/>
            <w:shd w:val="clear" w:color="auto" w:fill="auto"/>
          </w:tcPr>
          <w:p w:rsidR="00D104A1" w:rsidRPr="00941576" w:rsidRDefault="00D104A1" w:rsidP="00BC5E77">
            <w:pPr>
              <w:ind w:right="-1"/>
              <w:rPr>
                <w:rFonts w:cs="Arial"/>
              </w:rPr>
            </w:pPr>
          </w:p>
        </w:tc>
      </w:tr>
      <w:tr w:rsidR="00812799" w:rsidRPr="00941576" w:rsidTr="00BC5E77">
        <w:tc>
          <w:tcPr>
            <w:tcW w:w="0" w:type="auto"/>
            <w:shd w:val="clear" w:color="auto" w:fill="auto"/>
          </w:tcPr>
          <w:p w:rsidR="00D104A1" w:rsidRPr="00941576" w:rsidRDefault="00812799" w:rsidP="00BC5E77">
            <w:pPr>
              <w:ind w:right="-1"/>
              <w:rPr>
                <w:rFonts w:cs="Arial"/>
              </w:rPr>
            </w:pPr>
            <w:r w:rsidRPr="00941576">
              <w:rPr>
                <w:rFonts w:cs="Arial"/>
              </w:rPr>
              <w:lastRenderedPageBreak/>
              <w:t xml:space="preserve">Riesgo asumido por la entidad </w:t>
            </w:r>
          </w:p>
        </w:tc>
        <w:tc>
          <w:tcPr>
            <w:tcW w:w="0" w:type="auto"/>
            <w:shd w:val="clear" w:color="auto" w:fill="auto"/>
          </w:tcPr>
          <w:p w:rsidR="00D104A1" w:rsidRPr="00941576" w:rsidRDefault="00812799" w:rsidP="00BC5E77">
            <w:pPr>
              <w:ind w:right="-1"/>
              <w:rPr>
                <w:rFonts w:cs="Arial"/>
              </w:rPr>
            </w:pPr>
            <w:r w:rsidRPr="00941576">
              <w:rPr>
                <w:rFonts w:cs="Arial"/>
              </w:rPr>
              <w:t xml:space="preserve">La entidad asumirá la actualización de los precios de los diferentes componentes </w:t>
            </w:r>
            <w:r w:rsidR="00CF4201" w:rsidRPr="00941576">
              <w:rPr>
                <w:rFonts w:cs="Arial"/>
              </w:rPr>
              <w:t>del presupuesto</w:t>
            </w:r>
            <w:r w:rsidRPr="00941576">
              <w:rPr>
                <w:rFonts w:cs="Arial"/>
              </w:rPr>
              <w:t xml:space="preserve">, cuando el índice de precios de la construcción pesada ICCP suba en </w:t>
            </w:r>
            <w:r w:rsidR="00CF4201" w:rsidRPr="00941576">
              <w:rPr>
                <w:rFonts w:cs="Arial"/>
              </w:rPr>
              <w:t>más</w:t>
            </w:r>
            <w:r w:rsidRPr="00941576">
              <w:rPr>
                <w:rFonts w:cs="Arial"/>
              </w:rPr>
              <w:t xml:space="preserve"> del 10% con respecto a la proyección hecha por la entidad durante la realización del contrato.</w:t>
            </w:r>
          </w:p>
        </w:tc>
      </w:tr>
      <w:tr w:rsidR="00812799" w:rsidRPr="00941576" w:rsidTr="00BC5E77">
        <w:tc>
          <w:tcPr>
            <w:tcW w:w="0" w:type="auto"/>
            <w:shd w:val="clear" w:color="auto" w:fill="auto"/>
          </w:tcPr>
          <w:p w:rsidR="00D104A1" w:rsidRPr="00941576" w:rsidRDefault="00CF4201" w:rsidP="00BC5E77">
            <w:pPr>
              <w:ind w:right="-1"/>
              <w:rPr>
                <w:rFonts w:cs="Arial"/>
              </w:rPr>
            </w:pPr>
            <w:r w:rsidRPr="00941576">
              <w:rPr>
                <w:rFonts w:cs="Arial"/>
              </w:rPr>
              <w:t xml:space="preserve">Riesgo asumido por el contratista </w:t>
            </w:r>
          </w:p>
        </w:tc>
        <w:tc>
          <w:tcPr>
            <w:tcW w:w="0" w:type="auto"/>
            <w:shd w:val="clear" w:color="auto" w:fill="auto"/>
          </w:tcPr>
          <w:p w:rsidR="00D104A1" w:rsidRPr="00941576" w:rsidRDefault="00CF4201" w:rsidP="00BC5E77">
            <w:pPr>
              <w:ind w:right="-1"/>
              <w:rPr>
                <w:rFonts w:cs="Arial"/>
              </w:rPr>
            </w:pPr>
            <w:r w:rsidRPr="00941576">
              <w:rPr>
                <w:rFonts w:cs="Arial"/>
              </w:rPr>
              <w:t xml:space="preserve">Cuando el índice de precios de la construcción pesada </w:t>
            </w:r>
            <w:r w:rsidR="00527FD3" w:rsidRPr="00941576">
              <w:rPr>
                <w:rFonts w:cs="Arial"/>
              </w:rPr>
              <w:t xml:space="preserve">suba </w:t>
            </w:r>
            <w:r w:rsidR="00A26A3F" w:rsidRPr="00941576">
              <w:rPr>
                <w:rFonts w:cs="Arial"/>
              </w:rPr>
              <w:t>en menos del 10%, durante la realización del contrato. La variación de precios ser</w:t>
            </w:r>
            <w:r w:rsidR="000666CE" w:rsidRPr="00941576">
              <w:rPr>
                <w:rFonts w:cs="Arial"/>
              </w:rPr>
              <w:t xml:space="preserve">á asumida por el contratista. </w:t>
            </w:r>
          </w:p>
        </w:tc>
      </w:tr>
    </w:tbl>
    <w:p w:rsidR="00627BBE" w:rsidRPr="00941576" w:rsidRDefault="00627BBE" w:rsidP="00BA037E">
      <w:pPr>
        <w:spacing w:after="120"/>
        <w:ind w:right="-1"/>
        <w:rPr>
          <w:rFonts w:cs="Arial"/>
        </w:rPr>
      </w:pPr>
    </w:p>
    <w:p w:rsidR="00E65D2F" w:rsidRPr="00941576" w:rsidRDefault="00C52EAE" w:rsidP="00F57296">
      <w:pPr>
        <w:ind w:right="-1"/>
        <w:rPr>
          <w:rFonts w:cs="Arial"/>
          <w:u w:val="single"/>
        </w:rPr>
      </w:pPr>
      <w:r w:rsidRPr="00941576">
        <w:rPr>
          <w:rFonts w:cs="Arial"/>
        </w:rPr>
        <w:t xml:space="preserve">4.3.- </w:t>
      </w:r>
      <w:r w:rsidR="008D20AE" w:rsidRPr="00941576">
        <w:rPr>
          <w:rFonts w:cs="Arial"/>
          <w:u w:val="single"/>
        </w:rPr>
        <w:t>De la m</w:t>
      </w:r>
      <w:r w:rsidR="004F4EE8" w:rsidRPr="00941576">
        <w:rPr>
          <w:rFonts w:cs="Arial"/>
          <w:u w:val="single"/>
        </w:rPr>
        <w:t xml:space="preserve">ayor permanencia en obra por la prolongación del término de ejecución </w:t>
      </w:r>
      <w:r w:rsidR="008D20AE" w:rsidRPr="00941576">
        <w:rPr>
          <w:rFonts w:cs="Arial"/>
          <w:u w:val="single"/>
        </w:rPr>
        <w:t>contractual</w:t>
      </w:r>
    </w:p>
    <w:p w:rsidR="00627BBE" w:rsidRPr="00941576" w:rsidRDefault="00627BBE" w:rsidP="008D20AE">
      <w:pPr>
        <w:ind w:right="-1"/>
        <w:rPr>
          <w:rFonts w:cs="Arial"/>
        </w:rPr>
      </w:pPr>
    </w:p>
    <w:p w:rsidR="008D20AE" w:rsidRPr="00941576" w:rsidRDefault="00627BBE" w:rsidP="008D20AE">
      <w:pPr>
        <w:ind w:right="-1"/>
        <w:rPr>
          <w:rFonts w:cs="Arial"/>
        </w:rPr>
      </w:pPr>
      <w:r w:rsidRPr="00941576">
        <w:rPr>
          <w:rFonts w:cs="Arial"/>
        </w:rPr>
        <w:t>H</w:t>
      </w:r>
      <w:r w:rsidR="008D20AE" w:rsidRPr="00941576">
        <w:rPr>
          <w:rFonts w:cs="Arial"/>
        </w:rPr>
        <w:t>abida cuenta de que uno de los conceptos en que se funda la reclamación alude a los sobrecostos derivados de la mayor permanencia en obra generada por la ampliación de plazo contractual producto de la fuerte ola invernal que azotó el lugar de las obras y por los</w:t>
      </w:r>
      <w:r w:rsidRPr="00941576">
        <w:rPr>
          <w:rFonts w:cs="Arial"/>
        </w:rPr>
        <w:t xml:space="preserve"> </w:t>
      </w:r>
      <w:r w:rsidR="008D20AE" w:rsidRPr="00941576">
        <w:rPr>
          <w:rFonts w:cs="Arial"/>
        </w:rPr>
        <w:t xml:space="preserve">cambios en los diseños como resultado de la inestabilidad </w:t>
      </w:r>
      <w:r w:rsidR="009E5258" w:rsidRPr="00941576">
        <w:rPr>
          <w:rFonts w:cs="Arial"/>
        </w:rPr>
        <w:t>de suelos y falla geológica</w:t>
      </w:r>
      <w:r w:rsidR="008D20AE" w:rsidRPr="00941576">
        <w:rPr>
          <w:rFonts w:cs="Arial"/>
        </w:rPr>
        <w:t xml:space="preserve">, la Sala considera que su ocurrencia bien pudo encuadrarse </w:t>
      </w:r>
      <w:r w:rsidR="004656DC" w:rsidRPr="00941576">
        <w:rPr>
          <w:rFonts w:cs="Arial"/>
        </w:rPr>
        <w:t xml:space="preserve">eventualmente </w:t>
      </w:r>
      <w:r w:rsidR="008D20AE" w:rsidRPr="00941576">
        <w:rPr>
          <w:rFonts w:cs="Arial"/>
        </w:rPr>
        <w:t>dentro de</w:t>
      </w:r>
      <w:r w:rsidR="00527FD3" w:rsidRPr="00941576">
        <w:rPr>
          <w:rFonts w:cs="Arial"/>
        </w:rPr>
        <w:t xml:space="preserve"> </w:t>
      </w:r>
      <w:r w:rsidR="008D20AE" w:rsidRPr="00941576">
        <w:rPr>
          <w:rFonts w:cs="Arial"/>
        </w:rPr>
        <w:t>l</w:t>
      </w:r>
      <w:r w:rsidR="00527FD3" w:rsidRPr="00941576">
        <w:rPr>
          <w:rFonts w:cs="Arial"/>
        </w:rPr>
        <w:t>os</w:t>
      </w:r>
      <w:r w:rsidR="008D20AE" w:rsidRPr="00941576">
        <w:rPr>
          <w:rFonts w:cs="Arial"/>
        </w:rPr>
        <w:t xml:space="preserve"> riesgo</w:t>
      </w:r>
      <w:r w:rsidR="00527FD3" w:rsidRPr="00941576">
        <w:rPr>
          <w:rFonts w:cs="Arial"/>
        </w:rPr>
        <w:t>s</w:t>
      </w:r>
      <w:r w:rsidR="008D20AE" w:rsidRPr="00941576">
        <w:rPr>
          <w:rFonts w:cs="Arial"/>
        </w:rPr>
        <w:t xml:space="preserve"> tipificado</w:t>
      </w:r>
      <w:r w:rsidR="00527FD3" w:rsidRPr="00941576">
        <w:rPr>
          <w:rFonts w:cs="Arial"/>
        </w:rPr>
        <w:t>s</w:t>
      </w:r>
      <w:r w:rsidR="008D20AE" w:rsidRPr="00941576">
        <w:rPr>
          <w:rFonts w:cs="Arial"/>
        </w:rPr>
        <w:t xml:space="preserve"> co</w:t>
      </w:r>
      <w:r w:rsidR="002C2680" w:rsidRPr="00941576">
        <w:rPr>
          <w:rFonts w:cs="Arial"/>
        </w:rPr>
        <w:t>mo “problemas climatológicos” y</w:t>
      </w:r>
      <w:r w:rsidR="008D20AE" w:rsidRPr="00941576">
        <w:rPr>
          <w:rFonts w:cs="Arial"/>
        </w:rPr>
        <w:t xml:space="preserve"> “condiciones imprevistas en el terreno”, respectivamente. </w:t>
      </w:r>
    </w:p>
    <w:p w:rsidR="008D20AE" w:rsidRPr="00941576" w:rsidRDefault="008D20AE" w:rsidP="008D20AE">
      <w:pPr>
        <w:ind w:right="-1"/>
        <w:rPr>
          <w:rFonts w:cs="Arial"/>
        </w:rPr>
      </w:pPr>
    </w:p>
    <w:p w:rsidR="008D20AE" w:rsidRPr="00941576" w:rsidRDefault="008D20AE" w:rsidP="008D20AE">
      <w:pPr>
        <w:ind w:right="-1"/>
        <w:rPr>
          <w:rFonts w:cs="Arial"/>
        </w:rPr>
      </w:pPr>
      <w:r w:rsidRPr="00941576">
        <w:rPr>
          <w:rFonts w:cs="Arial"/>
        </w:rPr>
        <w:t xml:space="preserve">Atendiendo a la lógica expuesta, procede la Sala a resolver el punto de discrepancia con apoyo en las pruebas obrantes en el expediente. </w:t>
      </w:r>
    </w:p>
    <w:p w:rsidR="008D20AE" w:rsidRPr="00941576" w:rsidRDefault="008D20AE" w:rsidP="00F57296">
      <w:pPr>
        <w:ind w:right="-1"/>
        <w:rPr>
          <w:rFonts w:cs="Arial"/>
        </w:rPr>
      </w:pPr>
    </w:p>
    <w:p w:rsidR="00FE226F" w:rsidRPr="00941576" w:rsidRDefault="00627BBE" w:rsidP="00F57296">
      <w:pPr>
        <w:ind w:right="-1"/>
        <w:rPr>
          <w:rFonts w:cs="Arial"/>
        </w:rPr>
      </w:pPr>
      <w:r w:rsidRPr="00941576">
        <w:rPr>
          <w:rFonts w:cs="Arial"/>
        </w:rPr>
        <w:t>Se encuentra acreditado en el plenario que e</w:t>
      </w:r>
      <w:r w:rsidR="00083053" w:rsidRPr="00941576">
        <w:rPr>
          <w:rFonts w:cs="Arial"/>
        </w:rPr>
        <w:t>l 15 de marzo de 2010, el municipio de Galapa y el consorcio Gapa 2010 celebraron el Contrato de Obra No. 01 de 2010, con el objeto de realizar “</w:t>
      </w:r>
      <w:r w:rsidR="00083053" w:rsidRPr="00941576">
        <w:rPr>
          <w:rFonts w:cs="Arial"/>
          <w:i/>
        </w:rPr>
        <w:t>la construcción en concreto rígido de la vía de acceso al barrio los Carruajes del municipio de Galapa</w:t>
      </w:r>
      <w:r w:rsidR="00083053" w:rsidRPr="00941576">
        <w:rPr>
          <w:rFonts w:cs="Arial"/>
        </w:rPr>
        <w:t xml:space="preserve">”. </w:t>
      </w:r>
      <w:r w:rsidR="00DD43B0" w:rsidRPr="00941576">
        <w:rPr>
          <w:rFonts w:cs="Arial"/>
        </w:rPr>
        <w:t xml:space="preserve">La modalidad de pago, de conformidad con lo plasmado en el pliego de condiciones </w:t>
      </w:r>
      <w:r w:rsidR="00657EE5" w:rsidRPr="00941576">
        <w:rPr>
          <w:rFonts w:cs="Arial"/>
        </w:rPr>
        <w:t>de</w:t>
      </w:r>
      <w:r w:rsidR="00DD43B0" w:rsidRPr="00941576">
        <w:rPr>
          <w:rFonts w:cs="Arial"/>
        </w:rPr>
        <w:t xml:space="preserve"> la Licitación LP-01-</w:t>
      </w:r>
      <w:r w:rsidR="00DD43B0" w:rsidRPr="00941576">
        <w:rPr>
          <w:rFonts w:cs="Arial"/>
        </w:rPr>
        <w:lastRenderedPageBreak/>
        <w:t>2010,</w:t>
      </w:r>
      <w:r w:rsidR="00246270" w:rsidRPr="00941576">
        <w:rPr>
          <w:rFonts w:cs="Arial"/>
        </w:rPr>
        <w:t xml:space="preserve"> </w:t>
      </w:r>
      <w:r w:rsidR="00DD43B0" w:rsidRPr="00941576">
        <w:rPr>
          <w:rFonts w:cs="Arial"/>
        </w:rPr>
        <w:t>correspondió al sistema de precios unitarios</w:t>
      </w:r>
      <w:r w:rsidR="0067293F" w:rsidRPr="00941576">
        <w:rPr>
          <w:rFonts w:cs="Arial"/>
        </w:rPr>
        <w:t xml:space="preserve"> fijos</w:t>
      </w:r>
      <w:r w:rsidR="00246270" w:rsidRPr="00941576">
        <w:rPr>
          <w:rStyle w:val="Refdenotaalpie"/>
          <w:rFonts w:cs="Arial"/>
        </w:rPr>
        <w:footnoteReference w:id="18"/>
      </w:r>
      <w:r w:rsidR="00863B19" w:rsidRPr="00941576">
        <w:rPr>
          <w:rFonts w:cs="Arial"/>
        </w:rPr>
        <w:t xml:space="preserve">. El plazo se convino en cuatro meses y el precio se acordó en cuantía de </w:t>
      </w:r>
      <w:r w:rsidR="00FE226F" w:rsidRPr="00941576">
        <w:rPr>
          <w:rFonts w:cs="Arial"/>
        </w:rPr>
        <w:t xml:space="preserve">$2.442’848.616. </w:t>
      </w:r>
    </w:p>
    <w:p w:rsidR="00043E30" w:rsidRPr="00941576" w:rsidRDefault="00043E30" w:rsidP="00F57296">
      <w:pPr>
        <w:ind w:right="-1"/>
        <w:rPr>
          <w:rFonts w:cs="Arial"/>
        </w:rPr>
      </w:pPr>
    </w:p>
    <w:p w:rsidR="00627BBE" w:rsidRPr="00941576" w:rsidRDefault="00627BBE" w:rsidP="00F57296">
      <w:pPr>
        <w:ind w:right="-1"/>
        <w:rPr>
          <w:rFonts w:cs="Arial"/>
        </w:rPr>
      </w:pPr>
      <w:r w:rsidRPr="00941576">
        <w:rPr>
          <w:rFonts w:cs="Arial"/>
        </w:rPr>
        <w:t>Según se desprende del contenido</w:t>
      </w:r>
      <w:r w:rsidR="00183CA3" w:rsidRPr="00941576">
        <w:rPr>
          <w:rFonts w:cs="Arial"/>
        </w:rPr>
        <w:t xml:space="preserve"> del acta de recibo final</w:t>
      </w:r>
      <w:r w:rsidR="00183CA3" w:rsidRPr="00941576">
        <w:rPr>
          <w:rStyle w:val="Refdenotaalpie"/>
          <w:rFonts w:cs="Arial"/>
        </w:rPr>
        <w:footnoteReference w:id="19"/>
      </w:r>
      <w:r w:rsidR="00183CA3" w:rsidRPr="00941576">
        <w:rPr>
          <w:rFonts w:cs="Arial"/>
        </w:rPr>
        <w:t xml:space="preserve">, el devenir del plazo de ejecución fue el siguiente: </w:t>
      </w:r>
    </w:p>
    <w:p w:rsidR="00183CA3" w:rsidRPr="00941576" w:rsidRDefault="00183CA3" w:rsidP="00F57296">
      <w:pPr>
        <w:ind w:right="-1"/>
        <w:rPr>
          <w:rFonts w:cs="Arial"/>
        </w:rPr>
      </w:pPr>
    </w:p>
    <w:p w:rsidR="00D461C3" w:rsidRPr="00941576" w:rsidRDefault="00183CA3" w:rsidP="00F57296">
      <w:pPr>
        <w:ind w:right="-1"/>
        <w:rPr>
          <w:rFonts w:cs="Arial"/>
        </w:rPr>
      </w:pPr>
      <w:r w:rsidRPr="00941576">
        <w:rPr>
          <w:rFonts w:cs="Arial"/>
        </w:rPr>
        <w:t xml:space="preserve">El 25 de abril de 2010 se dio inicio a las actividades objeto del Contrato No. </w:t>
      </w:r>
      <w:r w:rsidR="00621CE5" w:rsidRPr="00941576">
        <w:rPr>
          <w:rFonts w:cs="Arial"/>
        </w:rPr>
        <w:t>01</w:t>
      </w:r>
      <w:r w:rsidR="00AC6FFB" w:rsidRPr="00941576">
        <w:rPr>
          <w:rFonts w:cs="Arial"/>
        </w:rPr>
        <w:t>. Posteriormente, el 9 de agosto de ese mismo año el Contrato fue suspendido hasta el 8 de noviembre de 2010, fecha en que se reinició su ejecuci</w:t>
      </w:r>
      <w:r w:rsidR="00D461C3" w:rsidRPr="00941576">
        <w:rPr>
          <w:rFonts w:cs="Arial"/>
        </w:rPr>
        <w:t>ón. Su plazo culminó el 22 de noviembre de esa anualidad.</w:t>
      </w:r>
      <w:r w:rsidR="00657EE5" w:rsidRPr="00941576">
        <w:rPr>
          <w:rFonts w:cs="Arial"/>
        </w:rPr>
        <w:t xml:space="preserve"> </w:t>
      </w:r>
      <w:r w:rsidR="00D461C3" w:rsidRPr="00941576">
        <w:rPr>
          <w:rFonts w:cs="Arial"/>
        </w:rPr>
        <w:t>Finalmente</w:t>
      </w:r>
      <w:r w:rsidR="00DE1956" w:rsidRPr="00941576">
        <w:rPr>
          <w:rFonts w:cs="Arial"/>
        </w:rPr>
        <w:t>,</w:t>
      </w:r>
      <w:r w:rsidR="00D461C3" w:rsidRPr="00941576">
        <w:rPr>
          <w:rFonts w:cs="Arial"/>
        </w:rPr>
        <w:t xml:space="preserve"> el acta de recibo final de obra se elevó el 28 de abril de 2011.</w:t>
      </w:r>
    </w:p>
    <w:p w:rsidR="00657EE5" w:rsidRPr="00941576" w:rsidRDefault="00657EE5" w:rsidP="00F57296">
      <w:pPr>
        <w:ind w:right="-1"/>
        <w:rPr>
          <w:rFonts w:cs="Arial"/>
        </w:rPr>
      </w:pPr>
    </w:p>
    <w:p w:rsidR="00674E5B" w:rsidRPr="00941576" w:rsidRDefault="00674E5B" w:rsidP="00F57296">
      <w:pPr>
        <w:ind w:right="-1"/>
        <w:rPr>
          <w:rFonts w:cs="Arial"/>
        </w:rPr>
      </w:pPr>
      <w:r w:rsidRPr="00941576">
        <w:rPr>
          <w:rFonts w:cs="Arial"/>
        </w:rPr>
        <w:t xml:space="preserve">Obran en </w:t>
      </w:r>
      <w:r w:rsidR="00121F92" w:rsidRPr="00941576">
        <w:rPr>
          <w:rFonts w:cs="Arial"/>
        </w:rPr>
        <w:t xml:space="preserve">el expediente </w:t>
      </w:r>
      <w:r w:rsidRPr="00941576">
        <w:rPr>
          <w:rFonts w:cs="Arial"/>
        </w:rPr>
        <w:t>las anotaciones en la bitácora de obra que se plasma</w:t>
      </w:r>
      <w:r w:rsidR="00657EE5" w:rsidRPr="00941576">
        <w:rPr>
          <w:rFonts w:cs="Arial"/>
        </w:rPr>
        <w:t>ron en el perí</w:t>
      </w:r>
      <w:r w:rsidRPr="00941576">
        <w:rPr>
          <w:rFonts w:cs="Arial"/>
        </w:rPr>
        <w:t xml:space="preserve">odo comprendido entre el </w:t>
      </w:r>
      <w:r w:rsidR="00A47EFF" w:rsidRPr="00941576">
        <w:rPr>
          <w:rFonts w:cs="Arial"/>
        </w:rPr>
        <w:t>26 de abri</w:t>
      </w:r>
      <w:r w:rsidR="00121F92" w:rsidRPr="00941576">
        <w:rPr>
          <w:rFonts w:cs="Arial"/>
        </w:rPr>
        <w:t>l de 2010 al 12 de julio de la misma anualidad</w:t>
      </w:r>
      <w:r w:rsidR="00A47EFF" w:rsidRPr="00941576">
        <w:rPr>
          <w:rFonts w:cs="Arial"/>
        </w:rPr>
        <w:t xml:space="preserve"> y de cuyo contenido </w:t>
      </w:r>
      <w:r w:rsidR="009A2589" w:rsidRPr="00941576">
        <w:rPr>
          <w:rFonts w:cs="Arial"/>
        </w:rPr>
        <w:t>legible se destaca lo</w:t>
      </w:r>
      <w:r w:rsidR="00A47EFF" w:rsidRPr="00941576">
        <w:rPr>
          <w:rFonts w:cs="Arial"/>
        </w:rPr>
        <w:t xml:space="preserve"> siguiente: </w:t>
      </w:r>
    </w:p>
    <w:p w:rsidR="00C1310E" w:rsidRPr="00941576" w:rsidRDefault="00C1310E" w:rsidP="00F57296">
      <w:pPr>
        <w:ind w:right="-1"/>
        <w:rPr>
          <w:rFonts w:cs="Arial"/>
        </w:rPr>
      </w:pPr>
    </w:p>
    <w:p w:rsidR="00A47EFF" w:rsidRPr="00941576" w:rsidRDefault="00A47EFF" w:rsidP="00F57296">
      <w:pPr>
        <w:ind w:right="-1"/>
        <w:rPr>
          <w:rFonts w:cs="Arial"/>
        </w:rPr>
      </w:pPr>
      <w:r w:rsidRPr="00941576">
        <w:rPr>
          <w:rFonts w:cs="Arial"/>
        </w:rPr>
        <w:t>A</w:t>
      </w:r>
      <w:r w:rsidR="00C1310E" w:rsidRPr="00941576">
        <w:rPr>
          <w:rFonts w:cs="Arial"/>
        </w:rPr>
        <w:t xml:space="preserve"> </w:t>
      </w:r>
      <w:r w:rsidR="00D917D4" w:rsidRPr="00941576">
        <w:rPr>
          <w:rFonts w:cs="Arial"/>
        </w:rPr>
        <w:t>fi</w:t>
      </w:r>
      <w:r w:rsidRPr="00941576">
        <w:rPr>
          <w:rFonts w:cs="Arial"/>
        </w:rPr>
        <w:t>nales de abril se llevaron a cabo labores de socialización</w:t>
      </w:r>
      <w:r w:rsidR="00121F92" w:rsidRPr="00941576">
        <w:rPr>
          <w:rFonts w:cs="Arial"/>
        </w:rPr>
        <w:t xml:space="preserve"> del proyecto con la comunidad y </w:t>
      </w:r>
      <w:r w:rsidRPr="00941576">
        <w:rPr>
          <w:rFonts w:cs="Arial"/>
        </w:rPr>
        <w:t xml:space="preserve">el análisis de las actas de vecindad del área de la obra. </w:t>
      </w:r>
    </w:p>
    <w:p w:rsidR="00C1310E" w:rsidRPr="00941576" w:rsidRDefault="00C1310E" w:rsidP="00F57296">
      <w:pPr>
        <w:ind w:right="-1"/>
        <w:rPr>
          <w:rFonts w:cs="Arial"/>
        </w:rPr>
      </w:pPr>
    </w:p>
    <w:p w:rsidR="009A2589" w:rsidRPr="00941576" w:rsidRDefault="00A47EFF" w:rsidP="00F57296">
      <w:pPr>
        <w:ind w:right="-1"/>
        <w:rPr>
          <w:rFonts w:cs="Arial"/>
        </w:rPr>
      </w:pPr>
      <w:r w:rsidRPr="00941576">
        <w:rPr>
          <w:rFonts w:cs="Arial"/>
        </w:rPr>
        <w:t xml:space="preserve">En la </w:t>
      </w:r>
      <w:r w:rsidR="009A2589" w:rsidRPr="00941576">
        <w:rPr>
          <w:rFonts w:cs="Arial"/>
        </w:rPr>
        <w:t>primera semana d</w:t>
      </w:r>
      <w:r w:rsidRPr="00941576">
        <w:rPr>
          <w:rFonts w:cs="Arial"/>
        </w:rPr>
        <w:t>e mayo se adecuaron las instalaciones destinadas al campamento y se solicitaron a la Alcaldía los estudios topográficos y de suelo</w:t>
      </w:r>
      <w:r w:rsidR="00D917D4" w:rsidRPr="00941576">
        <w:rPr>
          <w:rFonts w:cs="Arial"/>
        </w:rPr>
        <w:t>s</w:t>
      </w:r>
      <w:r w:rsidR="008C1BA4" w:rsidRPr="00941576">
        <w:rPr>
          <w:rFonts w:cs="Arial"/>
        </w:rPr>
        <w:t>, los cuales</w:t>
      </w:r>
      <w:r w:rsidR="00121F92" w:rsidRPr="00941576">
        <w:rPr>
          <w:rFonts w:cs="Arial"/>
        </w:rPr>
        <w:t xml:space="preserve"> fueron aportados por la contratante</w:t>
      </w:r>
      <w:r w:rsidR="008C1BA4" w:rsidRPr="00941576">
        <w:rPr>
          <w:rFonts w:cs="Arial"/>
        </w:rPr>
        <w:t>. Se inició la localización de referencias topográficas en la v</w:t>
      </w:r>
      <w:r w:rsidR="009A2589" w:rsidRPr="00941576">
        <w:rPr>
          <w:rFonts w:cs="Arial"/>
        </w:rPr>
        <w:t xml:space="preserve">ía existente, se realizó excavación manual para identificar las redes de acueducto y gas, actividad que continuó en la semana siguiente. </w:t>
      </w:r>
    </w:p>
    <w:p w:rsidR="009A2589" w:rsidRPr="00941576" w:rsidRDefault="009A2589" w:rsidP="00F57296">
      <w:pPr>
        <w:ind w:right="-1"/>
        <w:rPr>
          <w:rFonts w:cs="Arial"/>
        </w:rPr>
      </w:pPr>
    </w:p>
    <w:p w:rsidR="00A47EFF" w:rsidRPr="00941576" w:rsidRDefault="009A2589" w:rsidP="00F57296">
      <w:pPr>
        <w:ind w:right="-1"/>
        <w:rPr>
          <w:rFonts w:cs="Arial"/>
        </w:rPr>
      </w:pPr>
      <w:r w:rsidRPr="00941576">
        <w:rPr>
          <w:rFonts w:cs="Arial"/>
        </w:rPr>
        <w:t>En la segunda semana de mayo se efectuó la limpieza y desmonte manual de la zona de la v</w:t>
      </w:r>
      <w:r w:rsidR="008C4E54" w:rsidRPr="00941576">
        <w:rPr>
          <w:rFonts w:cs="Arial"/>
        </w:rPr>
        <w:t>ía y levantamiento topogr</w:t>
      </w:r>
      <w:r w:rsidR="0076480A" w:rsidRPr="00941576">
        <w:rPr>
          <w:rFonts w:cs="Arial"/>
        </w:rPr>
        <w:t xml:space="preserve">áfico </w:t>
      </w:r>
      <w:r w:rsidR="00431372" w:rsidRPr="00941576">
        <w:rPr>
          <w:rFonts w:cs="Arial"/>
        </w:rPr>
        <w:t xml:space="preserve">del entorno </w:t>
      </w:r>
      <w:r w:rsidR="0076480A" w:rsidRPr="00941576">
        <w:rPr>
          <w:rFonts w:cs="Arial"/>
        </w:rPr>
        <w:t xml:space="preserve">para realizar las actas de </w:t>
      </w:r>
      <w:r w:rsidR="00431372" w:rsidRPr="00941576">
        <w:rPr>
          <w:rFonts w:cs="Arial"/>
        </w:rPr>
        <w:t>vecindad</w:t>
      </w:r>
      <w:r w:rsidR="0076480A" w:rsidRPr="00941576">
        <w:rPr>
          <w:rFonts w:cs="Arial"/>
        </w:rPr>
        <w:t xml:space="preserve">. </w:t>
      </w:r>
    </w:p>
    <w:p w:rsidR="00D75A3B" w:rsidRPr="00941576" w:rsidRDefault="00D75A3B" w:rsidP="00F57296">
      <w:pPr>
        <w:ind w:right="-1"/>
        <w:rPr>
          <w:rFonts w:cs="Arial"/>
        </w:rPr>
      </w:pPr>
    </w:p>
    <w:p w:rsidR="00EA473A" w:rsidRPr="00941576" w:rsidRDefault="00D75A3B" w:rsidP="00F57296">
      <w:pPr>
        <w:ind w:right="-1"/>
        <w:rPr>
          <w:rFonts w:cs="Arial"/>
        </w:rPr>
      </w:pPr>
      <w:r w:rsidRPr="00941576">
        <w:rPr>
          <w:rFonts w:cs="Arial"/>
        </w:rPr>
        <w:t>El 16 de mayo, se dejó constancia de que era necesaria una in</w:t>
      </w:r>
      <w:r w:rsidR="00121F92" w:rsidRPr="00941576">
        <w:rPr>
          <w:rFonts w:cs="Arial"/>
        </w:rPr>
        <w:t xml:space="preserve">formación técnica adicional </w:t>
      </w:r>
      <w:r w:rsidRPr="00941576">
        <w:rPr>
          <w:rFonts w:cs="Arial"/>
        </w:rPr>
        <w:t xml:space="preserve">para el desarrollo del proyecto consistente </w:t>
      </w:r>
      <w:r w:rsidR="00121F92" w:rsidRPr="00941576">
        <w:rPr>
          <w:rFonts w:cs="Arial"/>
        </w:rPr>
        <w:t>“</w:t>
      </w:r>
      <w:r w:rsidRPr="00941576">
        <w:rPr>
          <w:rFonts w:cs="Arial"/>
          <w:i/>
        </w:rPr>
        <w:t>en coordenadas topográficas y las cotas de referencia</w:t>
      </w:r>
      <w:r w:rsidR="00121F92" w:rsidRPr="00941576">
        <w:rPr>
          <w:rFonts w:cs="Arial"/>
        </w:rPr>
        <w:t>”</w:t>
      </w:r>
      <w:r w:rsidRPr="00941576">
        <w:rPr>
          <w:rFonts w:cs="Arial"/>
        </w:rPr>
        <w:t>, por lo que se solicitaron dichos datos a la entidad. Al día siguiente</w:t>
      </w:r>
      <w:r w:rsidR="00121F92" w:rsidRPr="00941576">
        <w:rPr>
          <w:rFonts w:cs="Arial"/>
        </w:rPr>
        <w:t>,</w:t>
      </w:r>
      <w:r w:rsidRPr="00941576">
        <w:rPr>
          <w:rFonts w:cs="Arial"/>
        </w:rPr>
        <w:t xml:space="preserve"> las partes se desplazaron a la gobernación del Atlántico en búsqueda </w:t>
      </w:r>
      <w:r w:rsidR="00911C8F" w:rsidRPr="00941576">
        <w:rPr>
          <w:rFonts w:cs="Arial"/>
        </w:rPr>
        <w:t xml:space="preserve">de los datos técnicos </w:t>
      </w:r>
      <w:r w:rsidR="00EA473A" w:rsidRPr="00941576">
        <w:rPr>
          <w:rFonts w:cs="Arial"/>
        </w:rPr>
        <w:t xml:space="preserve">topográficos </w:t>
      </w:r>
      <w:r w:rsidR="00911C8F" w:rsidRPr="00941576">
        <w:rPr>
          <w:rFonts w:cs="Arial"/>
        </w:rPr>
        <w:t>de la zona</w:t>
      </w:r>
      <w:r w:rsidR="00E11222" w:rsidRPr="00941576">
        <w:rPr>
          <w:rFonts w:cs="Arial"/>
        </w:rPr>
        <w:t xml:space="preserve">. </w:t>
      </w:r>
    </w:p>
    <w:p w:rsidR="00EA473A" w:rsidRPr="00941576" w:rsidRDefault="00EA473A" w:rsidP="00F57296">
      <w:pPr>
        <w:ind w:right="-1"/>
        <w:rPr>
          <w:rFonts w:cs="Arial"/>
        </w:rPr>
      </w:pPr>
    </w:p>
    <w:p w:rsidR="00D75A3B" w:rsidRPr="00941576" w:rsidRDefault="00D12449" w:rsidP="00F57296">
      <w:pPr>
        <w:ind w:right="-1"/>
        <w:rPr>
          <w:rFonts w:cs="Arial"/>
        </w:rPr>
      </w:pPr>
      <w:r w:rsidRPr="00941576">
        <w:rPr>
          <w:rFonts w:cs="Arial"/>
        </w:rPr>
        <w:t>Luego, se llevó a cabo</w:t>
      </w:r>
      <w:r w:rsidR="00E11222" w:rsidRPr="00941576">
        <w:rPr>
          <w:rFonts w:cs="Arial"/>
        </w:rPr>
        <w:t xml:space="preserve"> un chequeo topográfico en el sitio del proyecto con la información de la cartera topográfica suministrada por la gobernación para ver si correspondía al levantamiento</w:t>
      </w:r>
      <w:r w:rsidRPr="00941576">
        <w:rPr>
          <w:rFonts w:cs="Arial"/>
        </w:rPr>
        <w:t xml:space="preserve"> real</w:t>
      </w:r>
      <w:r w:rsidR="00EA473A" w:rsidRPr="00941576">
        <w:rPr>
          <w:rFonts w:cs="Arial"/>
        </w:rPr>
        <w:t>izado</w:t>
      </w:r>
      <w:r w:rsidR="00E11222" w:rsidRPr="00941576">
        <w:rPr>
          <w:rFonts w:cs="Arial"/>
        </w:rPr>
        <w:t>.</w:t>
      </w:r>
    </w:p>
    <w:p w:rsidR="00E11222" w:rsidRPr="00941576" w:rsidRDefault="00E11222" w:rsidP="00F57296">
      <w:pPr>
        <w:ind w:right="-1"/>
        <w:rPr>
          <w:rFonts w:cs="Arial"/>
        </w:rPr>
      </w:pPr>
    </w:p>
    <w:p w:rsidR="00E11222" w:rsidRPr="00941576" w:rsidRDefault="00E11222" w:rsidP="00F57296">
      <w:pPr>
        <w:ind w:right="-1"/>
        <w:rPr>
          <w:rFonts w:cs="Arial"/>
        </w:rPr>
      </w:pPr>
      <w:r w:rsidRPr="00941576">
        <w:rPr>
          <w:rFonts w:cs="Arial"/>
          <w:color w:val="000000"/>
        </w:rPr>
        <w:t>El 24 de mayo de 2010, se celebró una reunión entre las partes</w:t>
      </w:r>
      <w:r w:rsidR="00D917D4" w:rsidRPr="00941576">
        <w:rPr>
          <w:rFonts w:cs="Arial"/>
          <w:color w:val="000000"/>
        </w:rPr>
        <w:t>,</w:t>
      </w:r>
      <w:r w:rsidRPr="00941576">
        <w:rPr>
          <w:rFonts w:cs="Arial"/>
          <w:color w:val="000000"/>
        </w:rPr>
        <w:t xml:space="preserve"> en la que se trató el asunto relativo a las inconsistencias halladas </w:t>
      </w:r>
      <w:r w:rsidR="00873BF2" w:rsidRPr="00941576">
        <w:rPr>
          <w:rFonts w:cs="Arial"/>
          <w:color w:val="000000"/>
        </w:rPr>
        <w:t xml:space="preserve">en el terreno del proyecto, </w:t>
      </w:r>
      <w:r w:rsidR="00226431" w:rsidRPr="00941576">
        <w:rPr>
          <w:rFonts w:cs="Arial"/>
          <w:color w:val="000000"/>
        </w:rPr>
        <w:t xml:space="preserve">concernientes </w:t>
      </w:r>
      <w:r w:rsidR="00873BF2" w:rsidRPr="00941576">
        <w:rPr>
          <w:rFonts w:cs="Arial"/>
          <w:color w:val="000000"/>
        </w:rPr>
        <w:t>a la topograf</w:t>
      </w:r>
      <w:r w:rsidR="00226431" w:rsidRPr="00941576">
        <w:rPr>
          <w:rFonts w:cs="Arial"/>
          <w:color w:val="000000"/>
        </w:rPr>
        <w:t xml:space="preserve">ía. En </w:t>
      </w:r>
      <w:r w:rsidR="00121F92" w:rsidRPr="00941576">
        <w:rPr>
          <w:rFonts w:cs="Arial"/>
          <w:color w:val="000000"/>
        </w:rPr>
        <w:t xml:space="preserve">el </w:t>
      </w:r>
      <w:r w:rsidR="00226431" w:rsidRPr="00941576">
        <w:rPr>
          <w:rFonts w:cs="Arial"/>
          <w:color w:val="000000"/>
        </w:rPr>
        <w:t>encuentro dejaron constancia de que no existían referencias topográficas en el sitio de la obra para la localización y replanteo del diseño geométrico de la vía. Los asistentes convinie</w:t>
      </w:r>
      <w:r w:rsidR="00D917D4" w:rsidRPr="00941576">
        <w:rPr>
          <w:rFonts w:cs="Arial"/>
          <w:color w:val="000000"/>
        </w:rPr>
        <w:t xml:space="preserve">ron </w:t>
      </w:r>
      <w:r w:rsidR="00226431" w:rsidRPr="00941576">
        <w:rPr>
          <w:rFonts w:cs="Arial"/>
          <w:color w:val="000000"/>
        </w:rPr>
        <w:t xml:space="preserve">realizar un nuevo levantamiento topográfico para rediseñar </w:t>
      </w:r>
      <w:r w:rsidR="00121F92" w:rsidRPr="00941576">
        <w:rPr>
          <w:rFonts w:cs="Arial"/>
          <w:color w:val="000000"/>
        </w:rPr>
        <w:t xml:space="preserve">el trazado de </w:t>
      </w:r>
      <w:r w:rsidR="00226431" w:rsidRPr="00941576">
        <w:rPr>
          <w:rFonts w:cs="Arial"/>
          <w:color w:val="000000"/>
        </w:rPr>
        <w:t>la vía.</w:t>
      </w:r>
      <w:r w:rsidR="00226431" w:rsidRPr="00941576">
        <w:rPr>
          <w:rFonts w:cs="Arial"/>
        </w:rPr>
        <w:t xml:space="preserve"> </w:t>
      </w:r>
    </w:p>
    <w:p w:rsidR="00226431" w:rsidRPr="00941576" w:rsidRDefault="00226431" w:rsidP="00F57296">
      <w:pPr>
        <w:ind w:right="-1"/>
        <w:rPr>
          <w:rFonts w:cs="Arial"/>
        </w:rPr>
      </w:pPr>
    </w:p>
    <w:p w:rsidR="00226431" w:rsidRPr="00941576" w:rsidRDefault="00226431" w:rsidP="00F57296">
      <w:pPr>
        <w:ind w:right="-1"/>
        <w:rPr>
          <w:rFonts w:cs="Arial"/>
        </w:rPr>
      </w:pPr>
      <w:r w:rsidRPr="00941576">
        <w:rPr>
          <w:rFonts w:cs="Arial"/>
        </w:rPr>
        <w:t xml:space="preserve">En la última semana de mayo, se llevó a cabo el levantamiento topográfico en la zona del proyecto </w:t>
      </w:r>
      <w:r w:rsidR="00C52639" w:rsidRPr="00941576">
        <w:rPr>
          <w:rFonts w:cs="Arial"/>
        </w:rPr>
        <w:t xml:space="preserve">y los apiques para el sondeo de </w:t>
      </w:r>
      <w:r w:rsidR="00D917D4" w:rsidRPr="00941576">
        <w:rPr>
          <w:rFonts w:cs="Arial"/>
        </w:rPr>
        <w:t xml:space="preserve">la </w:t>
      </w:r>
      <w:r w:rsidR="00C52639" w:rsidRPr="00941576">
        <w:rPr>
          <w:rFonts w:cs="Arial"/>
        </w:rPr>
        <w:t xml:space="preserve">red de tubería de gas natural. Se colocaron las señales preventivas de la obra. </w:t>
      </w:r>
    </w:p>
    <w:p w:rsidR="00C52639" w:rsidRPr="00941576" w:rsidRDefault="00C52639" w:rsidP="00F57296">
      <w:pPr>
        <w:ind w:right="-1"/>
        <w:rPr>
          <w:rFonts w:cs="Arial"/>
        </w:rPr>
      </w:pPr>
    </w:p>
    <w:p w:rsidR="00C52639" w:rsidRPr="00941576" w:rsidRDefault="00C52639" w:rsidP="00F57296">
      <w:pPr>
        <w:ind w:right="-1"/>
        <w:rPr>
          <w:rFonts w:cs="Arial"/>
        </w:rPr>
      </w:pPr>
      <w:r w:rsidRPr="00941576">
        <w:rPr>
          <w:rFonts w:cs="Arial"/>
        </w:rPr>
        <w:t>El 29 de mayo, el contratista terminó el levantamiento topográfico</w:t>
      </w:r>
      <w:r w:rsidR="00C04461" w:rsidRPr="00941576">
        <w:rPr>
          <w:rFonts w:cs="Arial"/>
        </w:rPr>
        <w:t>.</w:t>
      </w:r>
    </w:p>
    <w:p w:rsidR="00A35D55" w:rsidRPr="00941576" w:rsidRDefault="00A35D55" w:rsidP="00A35D55">
      <w:pPr>
        <w:ind w:right="-1"/>
        <w:rPr>
          <w:rFonts w:cs="Arial"/>
        </w:rPr>
      </w:pPr>
    </w:p>
    <w:p w:rsidR="00A35D55" w:rsidRPr="00941576" w:rsidRDefault="00A35D55" w:rsidP="00A35D55">
      <w:pPr>
        <w:ind w:right="-1"/>
        <w:rPr>
          <w:rFonts w:cs="Arial"/>
        </w:rPr>
      </w:pPr>
      <w:r w:rsidRPr="00941576">
        <w:rPr>
          <w:rFonts w:cs="Arial"/>
        </w:rPr>
        <w:t>El 2 de junio de 2010</w:t>
      </w:r>
      <w:r w:rsidR="005C0834" w:rsidRPr="00941576">
        <w:rPr>
          <w:rStyle w:val="Refdenotaalpie"/>
          <w:rFonts w:cs="Arial"/>
        </w:rPr>
        <w:footnoteReference w:id="20"/>
      </w:r>
      <w:r w:rsidR="00D917D4" w:rsidRPr="00941576">
        <w:rPr>
          <w:rFonts w:cs="Arial"/>
        </w:rPr>
        <w:t>,</w:t>
      </w:r>
      <w:r w:rsidRPr="00941576">
        <w:rPr>
          <w:rFonts w:cs="Arial"/>
        </w:rPr>
        <w:t xml:space="preserve"> la firma interventora informó a la entidad que</w:t>
      </w:r>
      <w:r w:rsidR="00D917D4" w:rsidRPr="00941576">
        <w:rPr>
          <w:rFonts w:cs="Arial"/>
        </w:rPr>
        <w:t>,</w:t>
      </w:r>
      <w:r w:rsidRPr="00941576">
        <w:rPr>
          <w:rFonts w:cs="Arial"/>
        </w:rPr>
        <w:t xml:space="preserve"> a pesar de haber solicitado al contratista que brindara las explicaciones pertinentes acerca del retraso de la</w:t>
      </w:r>
      <w:r w:rsidR="00086A5E" w:rsidRPr="00941576">
        <w:rPr>
          <w:rFonts w:cs="Arial"/>
        </w:rPr>
        <w:t xml:space="preserve">s obras, </w:t>
      </w:r>
      <w:r w:rsidR="00D917D4" w:rsidRPr="00941576">
        <w:rPr>
          <w:rFonts w:cs="Arial"/>
        </w:rPr>
        <w:t>no se habían atendido los requerimientos ni justificado</w:t>
      </w:r>
      <w:r w:rsidR="00086A5E" w:rsidRPr="00941576">
        <w:rPr>
          <w:rFonts w:cs="Arial"/>
        </w:rPr>
        <w:t xml:space="preserve"> las razones de su incumplimiento. </w:t>
      </w:r>
    </w:p>
    <w:p w:rsidR="00A35D55" w:rsidRPr="00941576" w:rsidRDefault="00A35D55" w:rsidP="00F57296">
      <w:pPr>
        <w:ind w:right="-1"/>
        <w:rPr>
          <w:rFonts w:cs="Arial"/>
        </w:rPr>
      </w:pPr>
    </w:p>
    <w:p w:rsidR="00C04461" w:rsidRPr="00941576" w:rsidRDefault="00C04461" w:rsidP="00F57296">
      <w:pPr>
        <w:ind w:right="-1"/>
        <w:rPr>
          <w:rFonts w:cs="Arial"/>
        </w:rPr>
      </w:pPr>
      <w:r w:rsidRPr="00941576">
        <w:rPr>
          <w:rFonts w:cs="Arial"/>
        </w:rPr>
        <w:t xml:space="preserve">En </w:t>
      </w:r>
      <w:r w:rsidR="00D612BD" w:rsidRPr="00941576">
        <w:rPr>
          <w:rFonts w:cs="Arial"/>
        </w:rPr>
        <w:t>la primera semana</w:t>
      </w:r>
      <w:r w:rsidR="009C24B9" w:rsidRPr="00941576">
        <w:rPr>
          <w:rFonts w:cs="Arial"/>
        </w:rPr>
        <w:t xml:space="preserve"> de junio se continuó con la socialización</w:t>
      </w:r>
      <w:r w:rsidR="00D612BD" w:rsidRPr="00941576">
        <w:rPr>
          <w:rFonts w:cs="Arial"/>
        </w:rPr>
        <w:t xml:space="preserve"> del proyecto</w:t>
      </w:r>
      <w:r w:rsidR="00E52F0C" w:rsidRPr="00941576">
        <w:rPr>
          <w:rFonts w:cs="Arial"/>
        </w:rPr>
        <w:t>,</w:t>
      </w:r>
      <w:r w:rsidR="00D612BD" w:rsidRPr="00941576">
        <w:rPr>
          <w:rFonts w:cs="Arial"/>
        </w:rPr>
        <w:t xml:space="preserve"> la col</w:t>
      </w:r>
      <w:r w:rsidR="00E52F0C" w:rsidRPr="00941576">
        <w:rPr>
          <w:rFonts w:cs="Arial"/>
        </w:rPr>
        <w:t xml:space="preserve">ocación de señales preventivas y </w:t>
      </w:r>
      <w:r w:rsidR="00D612BD" w:rsidRPr="00941576">
        <w:rPr>
          <w:rFonts w:cs="Arial"/>
        </w:rPr>
        <w:t>se recibi</w:t>
      </w:r>
      <w:r w:rsidR="00E52F0C" w:rsidRPr="00941576">
        <w:rPr>
          <w:rFonts w:cs="Arial"/>
        </w:rPr>
        <w:t>eron los planos de topografía; s</w:t>
      </w:r>
      <w:r w:rsidR="00D612BD" w:rsidRPr="00941576">
        <w:rPr>
          <w:rFonts w:cs="Arial"/>
        </w:rPr>
        <w:t xml:space="preserve">e </w:t>
      </w:r>
      <w:r w:rsidR="00121F92" w:rsidRPr="00941576">
        <w:rPr>
          <w:rFonts w:cs="Arial"/>
        </w:rPr>
        <w:t>concertó con la interventoría</w:t>
      </w:r>
      <w:r w:rsidR="00D612BD" w:rsidRPr="00941576">
        <w:rPr>
          <w:rFonts w:cs="Arial"/>
        </w:rPr>
        <w:t xml:space="preserve"> el inicio de actividades en el sector del colegio María Auxil</w:t>
      </w:r>
      <w:r w:rsidR="00E52F0C" w:rsidRPr="00941576">
        <w:rPr>
          <w:rFonts w:cs="Arial"/>
        </w:rPr>
        <w:t>iadora hasta el ramal de la Y; s</w:t>
      </w:r>
      <w:r w:rsidR="00D612BD" w:rsidRPr="00941576">
        <w:rPr>
          <w:rFonts w:cs="Arial"/>
        </w:rPr>
        <w:t xml:space="preserve">e inició el trazado de la vía </w:t>
      </w:r>
      <w:r w:rsidR="00141173" w:rsidRPr="00941576">
        <w:rPr>
          <w:rFonts w:cs="Arial"/>
        </w:rPr>
        <w:t xml:space="preserve">del </w:t>
      </w:r>
      <w:r w:rsidR="00D612BD" w:rsidRPr="00941576">
        <w:rPr>
          <w:rFonts w:cs="Arial"/>
        </w:rPr>
        <w:t>tramo a intervenir con la comisión topográfica.</w:t>
      </w:r>
      <w:r w:rsidR="00121F92" w:rsidRPr="00941576">
        <w:rPr>
          <w:rFonts w:cs="Arial"/>
        </w:rPr>
        <w:t xml:space="preserve"> El 11 de junio se anotó “</w:t>
      </w:r>
      <w:r w:rsidR="00121F92" w:rsidRPr="00941576">
        <w:rPr>
          <w:rFonts w:cs="Arial"/>
          <w:i/>
        </w:rPr>
        <w:t>recibido el trazado de parte de la comisión topográfica, en espera de la maquinaria por llegar</w:t>
      </w:r>
      <w:r w:rsidR="00121F92" w:rsidRPr="00941576">
        <w:rPr>
          <w:rFonts w:cs="Arial"/>
        </w:rPr>
        <w:t>”.</w:t>
      </w:r>
    </w:p>
    <w:p w:rsidR="00D612BD" w:rsidRPr="00941576" w:rsidRDefault="00D612BD" w:rsidP="00F57296">
      <w:pPr>
        <w:ind w:right="-1"/>
        <w:rPr>
          <w:rFonts w:cs="Arial"/>
        </w:rPr>
      </w:pPr>
    </w:p>
    <w:p w:rsidR="00D612BD" w:rsidRPr="00941576" w:rsidRDefault="00D612BD" w:rsidP="00F57296">
      <w:pPr>
        <w:ind w:right="-1"/>
        <w:rPr>
          <w:rFonts w:cs="Arial"/>
        </w:rPr>
      </w:pPr>
      <w:r w:rsidRPr="00941576">
        <w:rPr>
          <w:rFonts w:cs="Arial"/>
        </w:rPr>
        <w:t>Igualmente</w:t>
      </w:r>
      <w:r w:rsidR="00E52F0C" w:rsidRPr="00941576">
        <w:rPr>
          <w:rFonts w:cs="Arial"/>
        </w:rPr>
        <w:t>,</w:t>
      </w:r>
      <w:r w:rsidRPr="00941576">
        <w:rPr>
          <w:rFonts w:cs="Arial"/>
        </w:rPr>
        <w:t xml:space="preserve"> se consignó que existió tardanza en la llegada de la maquinaria por motivos de restricción de trá</w:t>
      </w:r>
      <w:r w:rsidR="000D3AE9" w:rsidRPr="00941576">
        <w:rPr>
          <w:rFonts w:cs="Arial"/>
        </w:rPr>
        <w:t>fico pesado. Finalmente</w:t>
      </w:r>
      <w:r w:rsidR="00E52F0C" w:rsidRPr="00941576">
        <w:rPr>
          <w:rFonts w:cs="Arial"/>
        </w:rPr>
        <w:t>,</w:t>
      </w:r>
      <w:r w:rsidR="000D3AE9" w:rsidRPr="00941576">
        <w:rPr>
          <w:rFonts w:cs="Arial"/>
        </w:rPr>
        <w:t xml:space="preserve"> llegó el 15 de junio. </w:t>
      </w:r>
    </w:p>
    <w:p w:rsidR="002921FE" w:rsidRPr="00941576" w:rsidRDefault="002921FE" w:rsidP="00F57296">
      <w:pPr>
        <w:ind w:right="-1"/>
        <w:rPr>
          <w:rFonts w:cs="Arial"/>
        </w:rPr>
      </w:pPr>
    </w:p>
    <w:p w:rsidR="002921FE" w:rsidRPr="00941576" w:rsidRDefault="006D2A3D" w:rsidP="00F57296">
      <w:pPr>
        <w:ind w:right="-1"/>
        <w:rPr>
          <w:rFonts w:cs="Arial"/>
        </w:rPr>
      </w:pPr>
      <w:r w:rsidRPr="00941576">
        <w:rPr>
          <w:rFonts w:cs="Arial"/>
        </w:rPr>
        <w:lastRenderedPageBreak/>
        <w:t xml:space="preserve">El resto del mes, </w:t>
      </w:r>
      <w:r w:rsidR="002921FE" w:rsidRPr="00941576">
        <w:rPr>
          <w:rFonts w:cs="Arial"/>
        </w:rPr>
        <w:t>se inició el corte y retiro de material</w:t>
      </w:r>
      <w:r w:rsidR="009A0F9B" w:rsidRPr="00941576">
        <w:rPr>
          <w:rFonts w:cs="Arial"/>
        </w:rPr>
        <w:t>,</w:t>
      </w:r>
      <w:r w:rsidR="00E52F0C" w:rsidRPr="00941576">
        <w:rPr>
          <w:rFonts w:cs="Arial"/>
        </w:rPr>
        <w:t xml:space="preserve"> se</w:t>
      </w:r>
      <w:r w:rsidR="002921FE" w:rsidRPr="00941576">
        <w:rPr>
          <w:rFonts w:cs="Arial"/>
        </w:rPr>
        <w:t xml:space="preserve"> avistaron redes de agua y gas, </w:t>
      </w:r>
      <w:r w:rsidR="00E52F0C" w:rsidRPr="00941576">
        <w:rPr>
          <w:rFonts w:cs="Arial"/>
        </w:rPr>
        <w:t>se avanzó</w:t>
      </w:r>
      <w:r w:rsidR="002921FE" w:rsidRPr="00941576">
        <w:rPr>
          <w:rFonts w:cs="Arial"/>
        </w:rPr>
        <w:t xml:space="preserve"> con la colocación de cerramiento con poli sombra de la zona intervenida</w:t>
      </w:r>
      <w:r w:rsidR="00E52F0C" w:rsidRPr="00941576">
        <w:rPr>
          <w:rFonts w:cs="Arial"/>
        </w:rPr>
        <w:t xml:space="preserve"> en </w:t>
      </w:r>
      <w:r w:rsidR="00F83225" w:rsidRPr="00941576">
        <w:rPr>
          <w:rFonts w:cs="Arial"/>
        </w:rPr>
        <w:t>varios tr</w:t>
      </w:r>
      <w:r w:rsidRPr="00941576">
        <w:rPr>
          <w:rFonts w:cs="Arial"/>
        </w:rPr>
        <w:t>amos</w:t>
      </w:r>
      <w:r w:rsidR="009A0F9B" w:rsidRPr="00941576">
        <w:rPr>
          <w:rFonts w:cs="Arial"/>
        </w:rPr>
        <w:t xml:space="preserve"> y</w:t>
      </w:r>
      <w:r w:rsidR="00E52F0C" w:rsidRPr="00941576">
        <w:rPr>
          <w:rFonts w:cs="Arial"/>
        </w:rPr>
        <w:t xml:space="preserve"> se realizó</w:t>
      </w:r>
      <w:r w:rsidRPr="00941576">
        <w:rPr>
          <w:rFonts w:cs="Arial"/>
        </w:rPr>
        <w:t xml:space="preserve"> limpieza manual.</w:t>
      </w:r>
    </w:p>
    <w:p w:rsidR="006D2A3D" w:rsidRPr="00941576" w:rsidRDefault="006D2A3D" w:rsidP="00F57296">
      <w:pPr>
        <w:ind w:right="-1"/>
        <w:rPr>
          <w:rFonts w:cs="Arial"/>
        </w:rPr>
      </w:pPr>
    </w:p>
    <w:p w:rsidR="006D2A3D" w:rsidRPr="00941576" w:rsidRDefault="006D2A3D" w:rsidP="00F57296">
      <w:pPr>
        <w:ind w:right="-1"/>
        <w:rPr>
          <w:rFonts w:cs="Arial"/>
        </w:rPr>
      </w:pPr>
      <w:r w:rsidRPr="00941576">
        <w:rPr>
          <w:rFonts w:cs="Arial"/>
        </w:rPr>
        <w:t xml:space="preserve">Al inicio de julio, </w:t>
      </w:r>
      <w:r w:rsidR="003A6E43" w:rsidRPr="00941576">
        <w:rPr>
          <w:rFonts w:cs="Arial"/>
        </w:rPr>
        <w:t>continuaron con las labores de corte y retiro de material, limpieza manual de la vía, cerramiento con poli</w:t>
      </w:r>
      <w:r w:rsidR="000A396B" w:rsidRPr="00941576">
        <w:rPr>
          <w:rFonts w:cs="Arial"/>
        </w:rPr>
        <w:t xml:space="preserve"> </w:t>
      </w:r>
      <w:r w:rsidR="003A6E43" w:rsidRPr="00941576">
        <w:rPr>
          <w:rFonts w:cs="Arial"/>
        </w:rPr>
        <w:t xml:space="preserve">sombra del </w:t>
      </w:r>
      <w:r w:rsidR="007B58A5" w:rsidRPr="00941576">
        <w:rPr>
          <w:rFonts w:cs="Arial"/>
        </w:rPr>
        <w:t>área intervenida</w:t>
      </w:r>
      <w:r w:rsidR="003C5FC8" w:rsidRPr="00941576">
        <w:rPr>
          <w:rFonts w:cs="Arial"/>
        </w:rPr>
        <w:t xml:space="preserve">, </w:t>
      </w:r>
      <w:r w:rsidR="00CD3262" w:rsidRPr="00941576">
        <w:rPr>
          <w:rFonts w:cs="Arial"/>
        </w:rPr>
        <w:t>recuperación</w:t>
      </w:r>
      <w:r w:rsidR="003C5FC8" w:rsidRPr="00941576">
        <w:rPr>
          <w:rFonts w:cs="Arial"/>
        </w:rPr>
        <w:t xml:space="preserve"> </w:t>
      </w:r>
      <w:r w:rsidR="00621F83" w:rsidRPr="00941576">
        <w:rPr>
          <w:rFonts w:cs="Arial"/>
        </w:rPr>
        <w:t xml:space="preserve">y </w:t>
      </w:r>
      <w:r w:rsidR="003C5FC8" w:rsidRPr="00941576">
        <w:rPr>
          <w:rFonts w:cs="Arial"/>
        </w:rPr>
        <w:t xml:space="preserve">mejoramiento del </w:t>
      </w:r>
      <w:r w:rsidR="00CD3262" w:rsidRPr="00941576">
        <w:rPr>
          <w:rFonts w:cs="Arial"/>
        </w:rPr>
        <w:t>acceso en la vía existente. Se solicitó a la entidad que tramitara el retiro de tres postes que interferían en el tramo a intervenir. El 8 de julio se registró lluvia de 1:00 a 2:00 p.m. y el 9 de julio se presentó lluvia de 1:30 a 3:00 p.m.</w:t>
      </w:r>
    </w:p>
    <w:p w:rsidR="00674E5B" w:rsidRPr="00941576" w:rsidRDefault="00674E5B" w:rsidP="00F57296">
      <w:pPr>
        <w:ind w:right="-1"/>
        <w:rPr>
          <w:rFonts w:cs="Arial"/>
        </w:rPr>
      </w:pPr>
    </w:p>
    <w:p w:rsidR="00627BBE" w:rsidRPr="00941576" w:rsidRDefault="00E52F0C" w:rsidP="00F57296">
      <w:pPr>
        <w:ind w:right="-1"/>
        <w:rPr>
          <w:rFonts w:cs="Arial"/>
        </w:rPr>
      </w:pPr>
      <w:r w:rsidRPr="00941576">
        <w:rPr>
          <w:rFonts w:cs="Arial"/>
        </w:rPr>
        <w:t>Ahora bien, de</w:t>
      </w:r>
      <w:r w:rsidR="00B4410C" w:rsidRPr="00941576">
        <w:rPr>
          <w:rFonts w:cs="Arial"/>
        </w:rPr>
        <w:t xml:space="preserve"> los i</w:t>
      </w:r>
      <w:r w:rsidR="00621F83" w:rsidRPr="00941576">
        <w:rPr>
          <w:rFonts w:cs="Arial"/>
        </w:rPr>
        <w:t>nformes de interventoría sobre</w:t>
      </w:r>
      <w:r w:rsidR="00B4410C" w:rsidRPr="00941576">
        <w:rPr>
          <w:rFonts w:cs="Arial"/>
        </w:rPr>
        <w:t xml:space="preserve"> el seguimiento de la ejecución de la obra s</w:t>
      </w:r>
      <w:r w:rsidR="00CC223F" w:rsidRPr="00941576">
        <w:rPr>
          <w:rFonts w:cs="Arial"/>
        </w:rPr>
        <w:t>e desprende</w:t>
      </w:r>
      <w:r w:rsidR="00B4410C" w:rsidRPr="00941576">
        <w:rPr>
          <w:rFonts w:cs="Arial"/>
        </w:rPr>
        <w:t xml:space="preserve"> lo siguiente: </w:t>
      </w:r>
    </w:p>
    <w:p w:rsidR="00B4410C" w:rsidRPr="00941576" w:rsidRDefault="00B4410C" w:rsidP="00F57296">
      <w:pPr>
        <w:ind w:right="-1"/>
        <w:rPr>
          <w:rFonts w:cs="Arial"/>
        </w:rPr>
      </w:pPr>
    </w:p>
    <w:p w:rsidR="00B4410C" w:rsidRPr="00941576" w:rsidRDefault="00B4410C" w:rsidP="00F57296">
      <w:pPr>
        <w:ind w:right="-1"/>
        <w:rPr>
          <w:rFonts w:cs="Arial"/>
        </w:rPr>
      </w:pPr>
      <w:r w:rsidRPr="00941576">
        <w:rPr>
          <w:rFonts w:cs="Arial"/>
        </w:rPr>
        <w:t>En la semana del 3 al 9 de julio de 2010 se dejó constancia de que se solicitó a la Secretaría de Planeación y a Electricaribe el retiro de cuatro postes que interferían e</w:t>
      </w:r>
      <w:r w:rsidR="00CC223F" w:rsidRPr="00941576">
        <w:rPr>
          <w:rFonts w:cs="Arial"/>
        </w:rPr>
        <w:t>n</w:t>
      </w:r>
      <w:r w:rsidRPr="00941576">
        <w:rPr>
          <w:rFonts w:cs="Arial"/>
        </w:rPr>
        <w:t xml:space="preserve"> la construcción de la obra. También se </w:t>
      </w:r>
      <w:r w:rsidR="00621F83" w:rsidRPr="00941576">
        <w:rPr>
          <w:rFonts w:cs="Arial"/>
        </w:rPr>
        <w:t>consignó</w:t>
      </w:r>
      <w:r w:rsidRPr="00941576">
        <w:rPr>
          <w:rFonts w:cs="Arial"/>
        </w:rPr>
        <w:t xml:space="preserve"> que fue </w:t>
      </w:r>
      <w:r w:rsidR="00CC223F" w:rsidRPr="00941576">
        <w:rPr>
          <w:rFonts w:cs="Arial"/>
        </w:rPr>
        <w:t xml:space="preserve">una </w:t>
      </w:r>
      <w:r w:rsidRPr="00941576">
        <w:rPr>
          <w:rFonts w:cs="Arial"/>
        </w:rPr>
        <w:t>semana lluviosa que impidió la continuidad de los trabajos. Se siguió con el cor</w:t>
      </w:r>
      <w:r w:rsidR="00CC223F" w:rsidRPr="00941576">
        <w:rPr>
          <w:rFonts w:cs="Arial"/>
        </w:rPr>
        <w:t>te de material y se sobre excavó</w:t>
      </w:r>
      <w:r w:rsidRPr="00941576">
        <w:rPr>
          <w:rFonts w:cs="Arial"/>
        </w:rPr>
        <w:t xml:space="preserve"> por motivo de lluvias</w:t>
      </w:r>
      <w:r w:rsidR="00E80999" w:rsidRPr="00941576">
        <w:rPr>
          <w:rStyle w:val="Refdenotaalpie"/>
          <w:rFonts w:cs="Arial"/>
        </w:rPr>
        <w:footnoteReference w:id="21"/>
      </w:r>
      <w:r w:rsidR="00E80999" w:rsidRPr="00941576">
        <w:rPr>
          <w:rFonts w:cs="Arial"/>
        </w:rPr>
        <w:t>.</w:t>
      </w:r>
    </w:p>
    <w:p w:rsidR="00E80999" w:rsidRPr="00941576" w:rsidRDefault="00E80999" w:rsidP="00F57296">
      <w:pPr>
        <w:ind w:right="-1"/>
        <w:rPr>
          <w:rFonts w:cs="Arial"/>
        </w:rPr>
      </w:pPr>
    </w:p>
    <w:p w:rsidR="00B4410C" w:rsidRPr="00941576" w:rsidRDefault="00E80999" w:rsidP="00F57296">
      <w:pPr>
        <w:ind w:right="-1"/>
        <w:rPr>
          <w:rFonts w:cs="Arial"/>
        </w:rPr>
      </w:pPr>
      <w:r w:rsidRPr="00941576">
        <w:rPr>
          <w:rFonts w:cs="Arial"/>
        </w:rPr>
        <w:t>En la gráfica del estado general del cl</w:t>
      </w:r>
      <w:r w:rsidR="00C10E6B" w:rsidRPr="00941576">
        <w:rPr>
          <w:rFonts w:cs="Arial"/>
        </w:rPr>
        <w:t xml:space="preserve">ima en la vía </w:t>
      </w:r>
      <w:r w:rsidR="0068162C" w:rsidRPr="00941576">
        <w:rPr>
          <w:rFonts w:cs="Arial"/>
        </w:rPr>
        <w:t xml:space="preserve">de </w:t>
      </w:r>
      <w:r w:rsidR="00C10E6B" w:rsidRPr="00941576">
        <w:rPr>
          <w:rFonts w:cs="Arial"/>
        </w:rPr>
        <w:t>acceso al barrio Lo</w:t>
      </w:r>
      <w:r w:rsidRPr="00941576">
        <w:rPr>
          <w:rFonts w:cs="Arial"/>
        </w:rPr>
        <w:t>s Carruajes</w:t>
      </w:r>
      <w:r w:rsidR="00C10E6B" w:rsidRPr="00941576">
        <w:rPr>
          <w:rFonts w:cs="Arial"/>
        </w:rPr>
        <w:t>,</w:t>
      </w:r>
      <w:r w:rsidR="00621F83" w:rsidRPr="00941576">
        <w:rPr>
          <w:rFonts w:cs="Arial"/>
        </w:rPr>
        <w:t xml:space="preserve"> correspondiente a la semana referida</w:t>
      </w:r>
      <w:r w:rsidRPr="00941576">
        <w:rPr>
          <w:rFonts w:cs="Arial"/>
        </w:rPr>
        <w:t>, la in</w:t>
      </w:r>
      <w:r w:rsidR="00C10E6B" w:rsidRPr="00941576">
        <w:rPr>
          <w:rFonts w:cs="Arial"/>
        </w:rPr>
        <w:t>terventoría registró que el 91.</w:t>
      </w:r>
      <w:r w:rsidRPr="00941576">
        <w:rPr>
          <w:rFonts w:cs="Arial"/>
        </w:rPr>
        <w:t xml:space="preserve">67% del tiempo fue seco, el 1,39% se presentó lluvia moderada y en el 6,94% la lluvia fue intensa. </w:t>
      </w:r>
    </w:p>
    <w:p w:rsidR="00515B1F" w:rsidRPr="00941576" w:rsidRDefault="00515B1F" w:rsidP="00F57296">
      <w:pPr>
        <w:ind w:right="-1"/>
        <w:rPr>
          <w:rFonts w:cs="Arial"/>
        </w:rPr>
      </w:pPr>
    </w:p>
    <w:p w:rsidR="00B626C6" w:rsidRPr="00941576" w:rsidRDefault="00B626C6" w:rsidP="00F57296">
      <w:pPr>
        <w:ind w:right="-1"/>
        <w:rPr>
          <w:rFonts w:cs="Arial"/>
        </w:rPr>
      </w:pPr>
      <w:r w:rsidRPr="00941576">
        <w:rPr>
          <w:rFonts w:cs="Arial"/>
        </w:rPr>
        <w:t xml:space="preserve">El </w:t>
      </w:r>
      <w:r w:rsidR="00B3247A" w:rsidRPr="00941576">
        <w:rPr>
          <w:rFonts w:cs="Arial"/>
        </w:rPr>
        <w:t>16 de ju</w:t>
      </w:r>
      <w:r w:rsidR="00C10E6B" w:rsidRPr="00941576">
        <w:rPr>
          <w:rFonts w:cs="Arial"/>
        </w:rPr>
        <w:t>lio de 2010, las partes suscribieron</w:t>
      </w:r>
      <w:r w:rsidR="00B3247A" w:rsidRPr="00941576">
        <w:rPr>
          <w:rFonts w:cs="Arial"/>
        </w:rPr>
        <w:t xml:space="preserve"> un acta de concertación</w:t>
      </w:r>
      <w:r w:rsidR="00B91054" w:rsidRPr="00941576">
        <w:rPr>
          <w:rStyle w:val="Refdenotaalpie"/>
          <w:rFonts w:cs="Arial"/>
        </w:rPr>
        <w:footnoteReference w:id="22"/>
      </w:r>
      <w:r w:rsidR="00C10E6B" w:rsidRPr="00941576">
        <w:rPr>
          <w:rFonts w:cs="Arial"/>
        </w:rPr>
        <w:t>,</w:t>
      </w:r>
      <w:r w:rsidR="00B3247A" w:rsidRPr="00941576">
        <w:rPr>
          <w:rFonts w:cs="Arial"/>
        </w:rPr>
        <w:t xml:space="preserve"> con el fin de dar inicio a las actividades de colocación del terraplén, a la estabilización en piedra de la subrasan</w:t>
      </w:r>
      <w:r w:rsidR="003946BC" w:rsidRPr="00941576">
        <w:rPr>
          <w:rFonts w:cs="Arial"/>
        </w:rPr>
        <w:t>te</w:t>
      </w:r>
      <w:r w:rsidR="00B3247A" w:rsidRPr="00941576">
        <w:rPr>
          <w:rFonts w:cs="Arial"/>
        </w:rPr>
        <w:t xml:space="preserve"> y de incorporar la actividad de demolición de pavimento existente en un ancho de 0.5 metro</w:t>
      </w:r>
      <w:r w:rsidR="00C10E6B" w:rsidRPr="00941576">
        <w:rPr>
          <w:rFonts w:cs="Arial"/>
        </w:rPr>
        <w:t>s,</w:t>
      </w:r>
      <w:r w:rsidR="00B3247A" w:rsidRPr="00941576">
        <w:rPr>
          <w:rFonts w:cs="Arial"/>
        </w:rPr>
        <w:t xml:space="preserve"> debido a la limitación que existía por la tubería de 3” de Gases del Caribe que fue punzada al ser descubierta</w:t>
      </w:r>
      <w:r w:rsidR="00086A5E" w:rsidRPr="00941576">
        <w:rPr>
          <w:rFonts w:cs="Arial"/>
        </w:rPr>
        <w:t>,</w:t>
      </w:r>
      <w:r w:rsidR="00B3247A" w:rsidRPr="00941576">
        <w:rPr>
          <w:rFonts w:cs="Arial"/>
        </w:rPr>
        <w:t xml:space="preserve"> </w:t>
      </w:r>
      <w:r w:rsidR="003946BC" w:rsidRPr="00941576">
        <w:rPr>
          <w:rFonts w:cs="Arial"/>
        </w:rPr>
        <w:t xml:space="preserve">ocasionando una emergencia que fue superada satisfactoriamente. </w:t>
      </w:r>
    </w:p>
    <w:p w:rsidR="0068162C" w:rsidRPr="00941576" w:rsidRDefault="0068162C" w:rsidP="00F57296">
      <w:pPr>
        <w:ind w:right="-1"/>
        <w:rPr>
          <w:rFonts w:cs="Arial"/>
        </w:rPr>
      </w:pPr>
    </w:p>
    <w:p w:rsidR="003946BC" w:rsidRPr="00941576" w:rsidRDefault="003946BC" w:rsidP="00F57296">
      <w:pPr>
        <w:ind w:right="-1"/>
        <w:rPr>
          <w:rFonts w:cs="Arial"/>
        </w:rPr>
      </w:pPr>
      <w:r w:rsidRPr="00941576">
        <w:rPr>
          <w:rFonts w:cs="Arial"/>
        </w:rPr>
        <w:t xml:space="preserve">Se presentaron las siguientes sugerencias por parte del consultor externo de la Alcaldía: </w:t>
      </w:r>
    </w:p>
    <w:p w:rsidR="003946BC" w:rsidRPr="00941576" w:rsidRDefault="003946BC" w:rsidP="00B91054">
      <w:pPr>
        <w:spacing w:line="276" w:lineRule="auto"/>
        <w:ind w:left="567" w:right="567"/>
        <w:rPr>
          <w:rFonts w:cs="Arial"/>
          <w:i/>
        </w:rPr>
      </w:pPr>
    </w:p>
    <w:p w:rsidR="003946BC" w:rsidRPr="00941576" w:rsidRDefault="003946BC" w:rsidP="00B91054">
      <w:pPr>
        <w:spacing w:line="276" w:lineRule="auto"/>
        <w:ind w:left="567" w:right="567"/>
        <w:rPr>
          <w:rFonts w:cs="Arial"/>
          <w:i/>
        </w:rPr>
      </w:pPr>
      <w:r w:rsidRPr="00941576">
        <w:rPr>
          <w:rFonts w:cs="Arial"/>
          <w:i/>
        </w:rPr>
        <w:lastRenderedPageBreak/>
        <w:t>“</w:t>
      </w:r>
      <w:r w:rsidR="009861A2" w:rsidRPr="00941576">
        <w:rPr>
          <w:rFonts w:cs="Arial"/>
          <w:i/>
        </w:rPr>
        <w:t xml:space="preserve">1.- Reconociendo el potencial expansivo del depósito de arcilla constituyendo la subrasante este Consultor sugiere acometer inmediatamente las obras de construcción </w:t>
      </w:r>
      <w:r w:rsidR="00FF6003" w:rsidRPr="00941576">
        <w:rPr>
          <w:rFonts w:cs="Arial"/>
          <w:i/>
        </w:rPr>
        <w:t>de</w:t>
      </w:r>
      <w:r w:rsidR="009861A2" w:rsidRPr="00941576">
        <w:rPr>
          <w:rFonts w:cs="Arial"/>
          <w:i/>
        </w:rPr>
        <w:t>l terraplén de material seleccionado, establecido en el proyecto, ya que de esta forma se obstaculiza la filtración de las aguas pluviales hacia la arcilla, evitando en consecuencia su deterioro por saturación</w:t>
      </w:r>
      <w:r w:rsidR="00650CB1" w:rsidRPr="00941576">
        <w:rPr>
          <w:rFonts w:cs="Arial"/>
          <w:i/>
        </w:rPr>
        <w:t>.</w:t>
      </w:r>
    </w:p>
    <w:p w:rsidR="00B91054" w:rsidRPr="00941576" w:rsidRDefault="00B91054" w:rsidP="00B91054">
      <w:pPr>
        <w:spacing w:line="276" w:lineRule="auto"/>
        <w:ind w:left="567" w:right="567"/>
        <w:rPr>
          <w:rFonts w:cs="Arial"/>
          <w:i/>
        </w:rPr>
      </w:pPr>
    </w:p>
    <w:p w:rsidR="00650CB1" w:rsidRPr="00941576" w:rsidRDefault="00650CB1" w:rsidP="00B91054">
      <w:pPr>
        <w:spacing w:line="276" w:lineRule="auto"/>
        <w:ind w:left="567" w:right="567"/>
        <w:rPr>
          <w:rFonts w:cs="Arial"/>
          <w:i/>
        </w:rPr>
      </w:pPr>
      <w:r w:rsidRPr="00941576">
        <w:rPr>
          <w:rFonts w:cs="Arial"/>
          <w:i/>
        </w:rPr>
        <w:t xml:space="preserve">“2.- Para ello se procederá a escarificar </w:t>
      </w:r>
      <w:r w:rsidR="006B5437" w:rsidRPr="00941576">
        <w:rPr>
          <w:rFonts w:cs="Arial"/>
          <w:i/>
        </w:rPr>
        <w:t>y/o retirar dependiendo de la humedad presente en la superficie de la excavación y compactar con rodillo pata de cabra el manto arcilloso, hasta obtener un grado de compactación no inferir al 90% del Proctor Modificado de dicha arcilla.</w:t>
      </w:r>
    </w:p>
    <w:p w:rsidR="00B91054" w:rsidRPr="00941576" w:rsidRDefault="00B91054" w:rsidP="00B91054">
      <w:pPr>
        <w:spacing w:line="276" w:lineRule="auto"/>
        <w:ind w:left="567" w:right="567"/>
        <w:rPr>
          <w:rFonts w:cs="Arial"/>
          <w:i/>
        </w:rPr>
      </w:pPr>
    </w:p>
    <w:p w:rsidR="006B5437" w:rsidRPr="00941576" w:rsidRDefault="006B5437" w:rsidP="00B91054">
      <w:pPr>
        <w:spacing w:line="276" w:lineRule="auto"/>
        <w:ind w:left="567" w:right="567"/>
        <w:rPr>
          <w:rFonts w:cs="Arial"/>
          <w:i/>
        </w:rPr>
      </w:pPr>
      <w:r w:rsidRPr="00941576">
        <w:rPr>
          <w:rFonts w:cs="Arial"/>
          <w:i/>
        </w:rPr>
        <w:t>“3.- Los espesores y la compactación de las capas de relleno y subbase se realizarán de acuerdo a lo previsto en las especificaciones técnicas del proyecto.</w:t>
      </w:r>
    </w:p>
    <w:p w:rsidR="00B91054" w:rsidRPr="00941576" w:rsidRDefault="00B91054" w:rsidP="00B91054">
      <w:pPr>
        <w:spacing w:line="276" w:lineRule="auto"/>
        <w:ind w:left="567" w:right="567"/>
        <w:rPr>
          <w:rFonts w:cs="Arial"/>
          <w:i/>
        </w:rPr>
      </w:pPr>
    </w:p>
    <w:p w:rsidR="006B5437" w:rsidRPr="00941576" w:rsidRDefault="006B5437" w:rsidP="00B91054">
      <w:pPr>
        <w:spacing w:line="276" w:lineRule="auto"/>
        <w:ind w:left="567" w:right="567"/>
        <w:rPr>
          <w:rFonts w:cs="Arial"/>
          <w:i/>
        </w:rPr>
      </w:pPr>
      <w:r w:rsidRPr="00941576">
        <w:rPr>
          <w:rFonts w:cs="Arial"/>
          <w:i/>
        </w:rPr>
        <w:t>“4.- Se descarta la necesidad de incluir un agente tal como caliza o cemento para reducir las propiedades plásticas de la arcilla, en razón de que las condiciones invernales dificultan su colocación y producen un efecto desfavorable en la rapidez de ejecución del proyecto.</w:t>
      </w:r>
    </w:p>
    <w:p w:rsidR="005006F4" w:rsidRPr="00941576" w:rsidRDefault="005006F4" w:rsidP="00B91054">
      <w:pPr>
        <w:spacing w:line="276" w:lineRule="auto"/>
        <w:ind w:left="567" w:right="567"/>
        <w:rPr>
          <w:rFonts w:cs="Arial"/>
          <w:i/>
        </w:rPr>
      </w:pPr>
    </w:p>
    <w:p w:rsidR="006B5437" w:rsidRPr="00941576" w:rsidRDefault="006B5437" w:rsidP="00B91054">
      <w:pPr>
        <w:spacing w:line="276" w:lineRule="auto"/>
        <w:ind w:left="567" w:right="567"/>
        <w:rPr>
          <w:rFonts w:cs="Arial"/>
          <w:i/>
        </w:rPr>
      </w:pPr>
      <w:r w:rsidRPr="00941576">
        <w:rPr>
          <w:rFonts w:cs="Arial"/>
          <w:i/>
        </w:rPr>
        <w:t xml:space="preserve">“5.- Además en relación con la estabilidad final de la obra se considera que el espesor de la estructura del pavimento es de gran </w:t>
      </w:r>
      <w:r w:rsidR="003D05FB" w:rsidRPr="00941576">
        <w:rPr>
          <w:rFonts w:cs="Arial"/>
          <w:i/>
        </w:rPr>
        <w:t>beneficio al func</w:t>
      </w:r>
      <w:r w:rsidR="00FF626F" w:rsidRPr="00941576">
        <w:rPr>
          <w:rFonts w:cs="Arial"/>
          <w:i/>
        </w:rPr>
        <w:t>ionar como una barrera estable</w:t>
      </w:r>
      <w:r w:rsidR="003D05FB" w:rsidRPr="00941576">
        <w:rPr>
          <w:rFonts w:cs="Arial"/>
          <w:i/>
        </w:rPr>
        <w:t xml:space="preserve"> capaz de obstaculizar la humectación de la subrasante arcillosa, y por lo tanto neutralizar su potencial expansivo. </w:t>
      </w:r>
    </w:p>
    <w:p w:rsidR="00E911FB" w:rsidRPr="00941576" w:rsidRDefault="00E911FB" w:rsidP="00B91054">
      <w:pPr>
        <w:spacing w:line="276" w:lineRule="auto"/>
        <w:ind w:left="567" w:right="567"/>
        <w:rPr>
          <w:rFonts w:cs="Arial"/>
          <w:i/>
        </w:rPr>
      </w:pPr>
    </w:p>
    <w:p w:rsidR="003D05FB" w:rsidRPr="00941576" w:rsidRDefault="003D05FB" w:rsidP="00B91054">
      <w:pPr>
        <w:spacing w:line="276" w:lineRule="auto"/>
        <w:ind w:left="567" w:right="567"/>
        <w:rPr>
          <w:rFonts w:cs="Arial"/>
          <w:i/>
        </w:rPr>
      </w:pPr>
      <w:r w:rsidRPr="00941576">
        <w:rPr>
          <w:rFonts w:cs="Arial"/>
          <w:i/>
        </w:rPr>
        <w:t>“6.- Igual situación se podría correlacionar con los otros sectores del proyecto, los cuales están constituidos por arena arcillosa, y su inestabilidad por la saturación de la fracción arcillosa.</w:t>
      </w:r>
    </w:p>
    <w:p w:rsidR="00E911FB" w:rsidRPr="00941576" w:rsidRDefault="00E911FB" w:rsidP="00B91054">
      <w:pPr>
        <w:spacing w:line="276" w:lineRule="auto"/>
        <w:ind w:left="567" w:right="567"/>
        <w:rPr>
          <w:rFonts w:cs="Arial"/>
          <w:i/>
        </w:rPr>
      </w:pPr>
    </w:p>
    <w:p w:rsidR="003D05FB" w:rsidRPr="00941576" w:rsidRDefault="003D05FB" w:rsidP="00B91054">
      <w:pPr>
        <w:spacing w:line="276" w:lineRule="auto"/>
        <w:ind w:left="567" w:right="567"/>
        <w:rPr>
          <w:rFonts w:cs="Arial"/>
          <w:i/>
        </w:rPr>
      </w:pPr>
      <w:r w:rsidRPr="00941576">
        <w:rPr>
          <w:rFonts w:cs="Arial"/>
          <w:i/>
        </w:rPr>
        <w:t>“7.- Es decir se deberá cuanto antes de acometer la realización de la estructura del pavimento, destacándose que en este caso el equipo de compactación será vibratorio</w:t>
      </w:r>
      <w:r w:rsidR="00B91054" w:rsidRPr="00941576">
        <w:rPr>
          <w:rFonts w:cs="Arial"/>
          <w:i/>
        </w:rPr>
        <w:t>”</w:t>
      </w:r>
      <w:r w:rsidRPr="00941576">
        <w:rPr>
          <w:rFonts w:cs="Arial"/>
          <w:i/>
        </w:rPr>
        <w:t xml:space="preserve">.  </w:t>
      </w:r>
    </w:p>
    <w:p w:rsidR="005006F4" w:rsidRPr="00941576" w:rsidRDefault="005006F4" w:rsidP="00F57296">
      <w:pPr>
        <w:ind w:right="-1"/>
        <w:rPr>
          <w:rFonts w:cs="Arial"/>
        </w:rPr>
      </w:pPr>
    </w:p>
    <w:p w:rsidR="0057046B" w:rsidRPr="00941576" w:rsidRDefault="003E4314" w:rsidP="00F57296">
      <w:pPr>
        <w:ind w:right="-1"/>
        <w:rPr>
          <w:rFonts w:cs="Arial"/>
        </w:rPr>
      </w:pPr>
      <w:r w:rsidRPr="00941576">
        <w:rPr>
          <w:rFonts w:cs="Arial"/>
        </w:rPr>
        <w:t>De conformidad con el informe</w:t>
      </w:r>
      <w:r w:rsidR="002B36DA" w:rsidRPr="00941576">
        <w:rPr>
          <w:rStyle w:val="Refdenotaalpie"/>
          <w:rFonts w:cs="Arial"/>
        </w:rPr>
        <w:footnoteReference w:id="23"/>
      </w:r>
      <w:r w:rsidRPr="00941576">
        <w:rPr>
          <w:rFonts w:cs="Arial"/>
        </w:rPr>
        <w:t xml:space="preserve"> de interventoría correspondiente al período comprendido entre el 20 de octubre y el 5 de noviembre de 2010, se indicó que el contrato se reiniciaría oficialmente el 8 de noviembre de 2010. Además</w:t>
      </w:r>
      <w:r w:rsidR="00B95270" w:rsidRPr="00941576">
        <w:rPr>
          <w:rFonts w:cs="Arial"/>
        </w:rPr>
        <w:t>,</w:t>
      </w:r>
      <w:r w:rsidR="00621F83" w:rsidRPr="00941576">
        <w:rPr>
          <w:rFonts w:cs="Arial"/>
        </w:rPr>
        <w:t xml:space="preserve"> se manifestó </w:t>
      </w:r>
      <w:r w:rsidR="0068162C" w:rsidRPr="00941576">
        <w:rPr>
          <w:rFonts w:cs="Arial"/>
        </w:rPr>
        <w:t>que durante</w:t>
      </w:r>
      <w:r w:rsidRPr="00941576">
        <w:rPr>
          <w:rFonts w:cs="Arial"/>
        </w:rPr>
        <w:t xml:space="preserve"> esa semana se realiz</w:t>
      </w:r>
      <w:r w:rsidR="00FF626F" w:rsidRPr="00941576">
        <w:rPr>
          <w:rFonts w:cs="Arial"/>
        </w:rPr>
        <w:t>ó la estabilización con pedraplé</w:t>
      </w:r>
      <w:r w:rsidRPr="00941576">
        <w:rPr>
          <w:rFonts w:cs="Arial"/>
        </w:rPr>
        <w:t>n en laterales de talud</w:t>
      </w:r>
      <w:r w:rsidR="008956EB" w:rsidRPr="00941576">
        <w:rPr>
          <w:rFonts w:cs="Arial"/>
        </w:rPr>
        <w:t xml:space="preserve"> de corte en vía #1, se ejecutaron trabajos manuales por deslizamiento de talud, se continuó con la compactación de las capas de terraplén </w:t>
      </w:r>
      <w:r w:rsidR="00F71216" w:rsidRPr="00941576">
        <w:rPr>
          <w:rFonts w:cs="Arial"/>
        </w:rPr>
        <w:t>de la</w:t>
      </w:r>
      <w:r w:rsidR="00FF626F" w:rsidRPr="00941576">
        <w:rPr>
          <w:rFonts w:cs="Arial"/>
        </w:rPr>
        <w:t>s</w:t>
      </w:r>
      <w:r w:rsidR="00F71216" w:rsidRPr="00941576">
        <w:rPr>
          <w:rFonts w:cs="Arial"/>
        </w:rPr>
        <w:t xml:space="preserve"> vía</w:t>
      </w:r>
      <w:r w:rsidR="00FF626F" w:rsidRPr="00941576">
        <w:rPr>
          <w:rFonts w:cs="Arial"/>
        </w:rPr>
        <w:t>s</w:t>
      </w:r>
      <w:r w:rsidR="00F71216" w:rsidRPr="00941576">
        <w:rPr>
          <w:rFonts w:cs="Arial"/>
        </w:rPr>
        <w:t xml:space="preserve"> 1 y 2</w:t>
      </w:r>
      <w:r w:rsidR="00FF626F" w:rsidRPr="00941576">
        <w:rPr>
          <w:rFonts w:cs="Arial"/>
        </w:rPr>
        <w:t>,</w:t>
      </w:r>
      <w:r w:rsidR="00F71216" w:rsidRPr="00941576">
        <w:rPr>
          <w:rFonts w:cs="Arial"/>
        </w:rPr>
        <w:t xml:space="preserve"> se fundieron muros de encole y descole de boxc</w:t>
      </w:r>
      <w:r w:rsidR="00FF626F" w:rsidRPr="00941576">
        <w:rPr>
          <w:rFonts w:cs="Arial"/>
        </w:rPr>
        <w:t>o</w:t>
      </w:r>
      <w:r w:rsidR="00F71216" w:rsidRPr="00941576">
        <w:rPr>
          <w:rFonts w:cs="Arial"/>
        </w:rPr>
        <w:t>ulvert, construcción de ciclópeo en canal abierto para conducción de aguas</w:t>
      </w:r>
      <w:r w:rsidR="00B95270" w:rsidRPr="00941576">
        <w:rPr>
          <w:rFonts w:cs="Arial"/>
        </w:rPr>
        <w:t xml:space="preserve">, se retiró el </w:t>
      </w:r>
      <w:r w:rsidR="00B95270" w:rsidRPr="00941576">
        <w:rPr>
          <w:rFonts w:cs="Arial"/>
        </w:rPr>
        <w:lastRenderedPageBreak/>
        <w:t>agua estancada por motivo de lluvias.</w:t>
      </w:r>
      <w:r w:rsidR="004E2DE3" w:rsidRPr="00941576">
        <w:rPr>
          <w:rFonts w:cs="Arial"/>
        </w:rPr>
        <w:t xml:space="preserve"> </w:t>
      </w:r>
      <w:r w:rsidR="00621F83" w:rsidRPr="00941576">
        <w:rPr>
          <w:rFonts w:cs="Arial"/>
        </w:rPr>
        <w:t>El estado general del clima a lo largo de</w:t>
      </w:r>
      <w:r w:rsidR="00B95270" w:rsidRPr="00941576">
        <w:rPr>
          <w:rFonts w:cs="Arial"/>
        </w:rPr>
        <w:t xml:space="preserve"> esa semana</w:t>
      </w:r>
      <w:r w:rsidR="00621F83" w:rsidRPr="00941576">
        <w:rPr>
          <w:rFonts w:cs="Arial"/>
        </w:rPr>
        <w:t>,</w:t>
      </w:r>
      <w:r w:rsidR="00B95270" w:rsidRPr="00941576">
        <w:rPr>
          <w:rFonts w:cs="Arial"/>
        </w:rPr>
        <w:t xml:space="preserve"> según el gráfico de interventoría</w:t>
      </w:r>
      <w:r w:rsidR="00621F83" w:rsidRPr="00941576">
        <w:rPr>
          <w:rFonts w:cs="Arial"/>
        </w:rPr>
        <w:t>,</w:t>
      </w:r>
      <w:r w:rsidR="00B95270" w:rsidRPr="00941576">
        <w:rPr>
          <w:rFonts w:cs="Arial"/>
        </w:rPr>
        <w:t xml:space="preserve"> fue seco el 97% del tiempo, el 2,92% con lluvia moderada</w:t>
      </w:r>
      <w:r w:rsidR="00CD18C7" w:rsidRPr="00941576">
        <w:rPr>
          <w:rFonts w:cs="Arial"/>
        </w:rPr>
        <w:t xml:space="preserve"> y lluvia intensa en un 0,00%.</w:t>
      </w:r>
    </w:p>
    <w:p w:rsidR="002C2680" w:rsidRPr="00941576" w:rsidRDefault="002C2680" w:rsidP="00F57296">
      <w:pPr>
        <w:ind w:right="-1"/>
        <w:rPr>
          <w:rFonts w:cs="Arial"/>
        </w:rPr>
      </w:pPr>
    </w:p>
    <w:p w:rsidR="0057046B" w:rsidRPr="00941576" w:rsidRDefault="0057046B" w:rsidP="00F57296">
      <w:pPr>
        <w:ind w:right="-1"/>
        <w:rPr>
          <w:rFonts w:cs="Arial"/>
        </w:rPr>
      </w:pPr>
      <w:r w:rsidRPr="00941576">
        <w:rPr>
          <w:rFonts w:cs="Arial"/>
        </w:rPr>
        <w:t>En oficio del 11 de noviembre de 2010</w:t>
      </w:r>
      <w:r w:rsidR="00FF626F" w:rsidRPr="00941576">
        <w:rPr>
          <w:rFonts w:cs="Arial"/>
        </w:rPr>
        <w:t>,</w:t>
      </w:r>
      <w:r w:rsidRPr="00941576">
        <w:rPr>
          <w:rFonts w:cs="Arial"/>
        </w:rPr>
        <w:t xml:space="preserve"> el contratista solicitó al municipio que se prorrogara el contrato con fundamento en que las obras no se habían terminado debido a la ola invernal que azotaba el país</w:t>
      </w:r>
      <w:r w:rsidR="000A396B" w:rsidRPr="00941576">
        <w:rPr>
          <w:rFonts w:cs="Arial"/>
        </w:rPr>
        <w:t xml:space="preserve"> y a la necesidad de realizar obras adicionales</w:t>
      </w:r>
      <w:r w:rsidR="002178B1" w:rsidRPr="00941576">
        <w:rPr>
          <w:rStyle w:val="Refdenotaalpie"/>
          <w:rFonts w:cs="Arial"/>
        </w:rPr>
        <w:footnoteReference w:id="24"/>
      </w:r>
      <w:r w:rsidRPr="00941576">
        <w:rPr>
          <w:rFonts w:cs="Arial"/>
        </w:rPr>
        <w:t xml:space="preserve">. </w:t>
      </w:r>
    </w:p>
    <w:p w:rsidR="00F32F2B" w:rsidRPr="00941576" w:rsidRDefault="00F32F2B" w:rsidP="00F57296">
      <w:pPr>
        <w:ind w:right="-1"/>
        <w:rPr>
          <w:rFonts w:cs="Arial"/>
        </w:rPr>
      </w:pPr>
    </w:p>
    <w:p w:rsidR="00AF07FE" w:rsidRPr="00941576" w:rsidRDefault="000C23F7" w:rsidP="00F57296">
      <w:pPr>
        <w:ind w:right="-1"/>
        <w:rPr>
          <w:rFonts w:cs="Arial"/>
        </w:rPr>
      </w:pPr>
      <w:r w:rsidRPr="00941576">
        <w:rPr>
          <w:rFonts w:cs="Arial"/>
        </w:rPr>
        <w:t>El 28 de abril del año siguiente</w:t>
      </w:r>
      <w:r w:rsidR="0095576A" w:rsidRPr="00941576">
        <w:rPr>
          <w:rFonts w:cs="Arial"/>
        </w:rPr>
        <w:t xml:space="preserve">, las partes elevaron el acta de entrega de obra en la que se </w:t>
      </w:r>
      <w:r w:rsidR="00621F83" w:rsidRPr="00941576">
        <w:rPr>
          <w:rFonts w:cs="Arial"/>
        </w:rPr>
        <w:t xml:space="preserve">anotó </w:t>
      </w:r>
      <w:r w:rsidR="0095576A" w:rsidRPr="00941576">
        <w:rPr>
          <w:rFonts w:cs="Arial"/>
        </w:rPr>
        <w:t>que el contratista la entregaba en las condiciones de calidad convenidas</w:t>
      </w:r>
      <w:r w:rsidR="0095576A" w:rsidRPr="00941576">
        <w:rPr>
          <w:rStyle w:val="Refdenotaalpie"/>
          <w:rFonts w:cs="Arial"/>
        </w:rPr>
        <w:footnoteReference w:id="25"/>
      </w:r>
      <w:r w:rsidRPr="00941576">
        <w:rPr>
          <w:rFonts w:cs="Arial"/>
        </w:rPr>
        <w:t xml:space="preserve">. </w:t>
      </w:r>
      <w:r w:rsidR="005006F4" w:rsidRPr="00941576">
        <w:rPr>
          <w:rFonts w:cs="Arial"/>
        </w:rPr>
        <w:t>Finalmente, e</w:t>
      </w:r>
      <w:r w:rsidR="0095576A" w:rsidRPr="00941576">
        <w:rPr>
          <w:rFonts w:cs="Arial"/>
        </w:rPr>
        <w:t>n esa misma fecha, las partes signaron el acta de recibo final de obra</w:t>
      </w:r>
      <w:r w:rsidR="00E02C0D" w:rsidRPr="00941576">
        <w:rPr>
          <w:rStyle w:val="Refdenotaalpie"/>
          <w:rFonts w:cs="Arial"/>
        </w:rPr>
        <w:footnoteReference w:id="26"/>
      </w:r>
      <w:r w:rsidR="006D5BBD" w:rsidRPr="00941576">
        <w:rPr>
          <w:rFonts w:cs="Arial"/>
        </w:rPr>
        <w:t>.</w:t>
      </w:r>
    </w:p>
    <w:p w:rsidR="000C23F7" w:rsidRPr="00941576" w:rsidRDefault="000C23F7" w:rsidP="00F57296">
      <w:pPr>
        <w:ind w:right="-1"/>
        <w:rPr>
          <w:rFonts w:cs="Arial"/>
        </w:rPr>
      </w:pPr>
    </w:p>
    <w:p w:rsidR="000C23F7" w:rsidRPr="00941576" w:rsidRDefault="000C23F7" w:rsidP="00F57296">
      <w:pPr>
        <w:ind w:right="-1"/>
        <w:rPr>
          <w:rFonts w:cs="Arial"/>
        </w:rPr>
      </w:pPr>
      <w:r w:rsidRPr="00941576">
        <w:rPr>
          <w:rFonts w:cs="Arial"/>
        </w:rPr>
        <w:t xml:space="preserve">El recuento fáctico que se deja sentado </w:t>
      </w:r>
      <w:r w:rsidR="006F60E5" w:rsidRPr="00941576">
        <w:rPr>
          <w:rFonts w:cs="Arial"/>
        </w:rPr>
        <w:t xml:space="preserve">revela que el contrato inicialmente contaba con un plazo de cuatro meses </w:t>
      </w:r>
      <w:r w:rsidR="00A403FC" w:rsidRPr="00941576">
        <w:rPr>
          <w:rFonts w:cs="Arial"/>
        </w:rPr>
        <w:t xml:space="preserve">contados </w:t>
      </w:r>
      <w:r w:rsidR="006F60E5" w:rsidRPr="00941576">
        <w:rPr>
          <w:rFonts w:cs="Arial"/>
        </w:rPr>
        <w:t>desde el inicio de las obras -26 de abril de 2010</w:t>
      </w:r>
      <w:r w:rsidR="00FF626F" w:rsidRPr="00941576">
        <w:rPr>
          <w:rFonts w:cs="Arial"/>
        </w:rPr>
        <w:t xml:space="preserve">-, no obstante lo cual, </w:t>
      </w:r>
      <w:r w:rsidR="006F60E5" w:rsidRPr="00941576">
        <w:rPr>
          <w:rFonts w:cs="Arial"/>
        </w:rPr>
        <w:t>el acta de terminación se suscribió el 28 de abril del año siguiente</w:t>
      </w:r>
      <w:r w:rsidR="00C81CA2" w:rsidRPr="00941576">
        <w:rPr>
          <w:rFonts w:cs="Arial"/>
        </w:rPr>
        <w:t>,</w:t>
      </w:r>
      <w:r w:rsidR="00905725" w:rsidRPr="00941576">
        <w:rPr>
          <w:rFonts w:cs="Arial"/>
        </w:rPr>
        <w:t xml:space="preserve"> </w:t>
      </w:r>
      <w:r w:rsidR="00C81CA2" w:rsidRPr="00941576">
        <w:rPr>
          <w:rFonts w:cs="Arial"/>
        </w:rPr>
        <w:t xml:space="preserve">situación que refleja </w:t>
      </w:r>
      <w:r w:rsidR="00905725" w:rsidRPr="00941576">
        <w:rPr>
          <w:rFonts w:cs="Arial"/>
        </w:rPr>
        <w:t xml:space="preserve">una </w:t>
      </w:r>
      <w:r w:rsidR="0068162C" w:rsidRPr="00941576">
        <w:rPr>
          <w:rFonts w:cs="Arial"/>
        </w:rPr>
        <w:t>prolongación</w:t>
      </w:r>
      <w:r w:rsidR="00621F83" w:rsidRPr="00941576">
        <w:rPr>
          <w:rFonts w:cs="Arial"/>
        </w:rPr>
        <w:t xml:space="preserve"> del término de ejecución de</w:t>
      </w:r>
      <w:r w:rsidR="00905725" w:rsidRPr="00941576">
        <w:rPr>
          <w:rFonts w:cs="Arial"/>
        </w:rPr>
        <w:t xml:space="preserve"> 8 meses</w:t>
      </w:r>
      <w:r w:rsidR="006F60E5" w:rsidRPr="00941576">
        <w:rPr>
          <w:rFonts w:cs="Arial"/>
        </w:rPr>
        <w:t xml:space="preserve">. </w:t>
      </w:r>
    </w:p>
    <w:p w:rsidR="0068162C" w:rsidRPr="00941576" w:rsidRDefault="0068162C" w:rsidP="00F57296">
      <w:pPr>
        <w:ind w:right="-1"/>
        <w:rPr>
          <w:rFonts w:cs="Arial"/>
        </w:rPr>
      </w:pPr>
    </w:p>
    <w:p w:rsidR="006F60E5" w:rsidRPr="00941576" w:rsidRDefault="006F60E5" w:rsidP="00F57296">
      <w:pPr>
        <w:ind w:right="-1"/>
        <w:rPr>
          <w:rFonts w:cs="Arial"/>
        </w:rPr>
      </w:pPr>
      <w:r w:rsidRPr="00941576">
        <w:rPr>
          <w:rFonts w:cs="Arial"/>
        </w:rPr>
        <w:t>Ahora bien,</w:t>
      </w:r>
      <w:r w:rsidR="00CC1A61" w:rsidRPr="00941576">
        <w:rPr>
          <w:rFonts w:cs="Arial"/>
        </w:rPr>
        <w:t xml:space="preserve"> adujo el libelista que </w:t>
      </w:r>
      <w:r w:rsidR="0068162C" w:rsidRPr="00941576">
        <w:rPr>
          <w:rFonts w:cs="Arial"/>
        </w:rPr>
        <w:t xml:space="preserve">esa situación </w:t>
      </w:r>
      <w:r w:rsidR="00CC1A61" w:rsidRPr="00941576">
        <w:rPr>
          <w:rFonts w:cs="Arial"/>
        </w:rPr>
        <w:t>obedeció a dos factores. El primero</w:t>
      </w:r>
      <w:r w:rsidR="00FF626F" w:rsidRPr="00941576">
        <w:rPr>
          <w:rFonts w:cs="Arial"/>
        </w:rPr>
        <w:t>,</w:t>
      </w:r>
      <w:r w:rsidR="00CC1A61" w:rsidRPr="00941576">
        <w:rPr>
          <w:rFonts w:cs="Arial"/>
        </w:rPr>
        <w:t xml:space="preserve"> correspondió a la ola invernal y el segundo a los cambios de diseños generados por la falla geológica del lugar </w:t>
      </w:r>
      <w:r w:rsidR="00AB2DE9" w:rsidRPr="00941576">
        <w:rPr>
          <w:rFonts w:cs="Arial"/>
        </w:rPr>
        <w:t xml:space="preserve">designado al inicio para el trazado de la vía. </w:t>
      </w:r>
    </w:p>
    <w:p w:rsidR="00AB2DE9" w:rsidRPr="00941576" w:rsidRDefault="00AB2DE9" w:rsidP="00F57296">
      <w:pPr>
        <w:ind w:right="-1"/>
        <w:rPr>
          <w:rFonts w:cs="Arial"/>
        </w:rPr>
      </w:pPr>
    </w:p>
    <w:p w:rsidR="00F33DBB" w:rsidRPr="00941576" w:rsidRDefault="00AB2DE9" w:rsidP="00F57296">
      <w:pPr>
        <w:ind w:right="-1"/>
        <w:rPr>
          <w:rFonts w:cs="Arial"/>
        </w:rPr>
      </w:pPr>
      <w:r w:rsidRPr="00941576">
        <w:rPr>
          <w:rFonts w:cs="Arial"/>
        </w:rPr>
        <w:t xml:space="preserve">En cuanto concierne al primer aspecto, la Sala encuentra que durante la etapa de ejecución contractual la interventoría reportó la presencia de lluvias únicamente en dos ocasiones. </w:t>
      </w:r>
      <w:r w:rsidR="00D6403F" w:rsidRPr="00941576">
        <w:rPr>
          <w:rFonts w:cs="Arial"/>
        </w:rPr>
        <w:t xml:space="preserve">En la semana del </w:t>
      </w:r>
      <w:r w:rsidR="00E6323D" w:rsidRPr="00941576">
        <w:rPr>
          <w:rFonts w:cs="Arial"/>
        </w:rPr>
        <w:t>3 al 9 de julio de 2010</w:t>
      </w:r>
      <w:r w:rsidR="00F33DBB" w:rsidRPr="00941576">
        <w:rPr>
          <w:rFonts w:cs="Arial"/>
        </w:rPr>
        <w:t xml:space="preserve">, lapso dentro del cual, según afirmó, el 97% del tiempo fue tiempo seco y </w:t>
      </w:r>
      <w:r w:rsidR="004719C3" w:rsidRPr="00941576">
        <w:rPr>
          <w:rFonts w:cs="Arial"/>
        </w:rPr>
        <w:t xml:space="preserve">en el </w:t>
      </w:r>
      <w:r w:rsidR="00F33DBB" w:rsidRPr="00941576">
        <w:rPr>
          <w:rFonts w:cs="Arial"/>
        </w:rPr>
        <w:t xml:space="preserve">3% </w:t>
      </w:r>
      <w:r w:rsidR="004719C3" w:rsidRPr="00941576">
        <w:rPr>
          <w:rFonts w:cs="Arial"/>
        </w:rPr>
        <w:t xml:space="preserve">restante </w:t>
      </w:r>
      <w:r w:rsidR="00F33DBB" w:rsidRPr="00941576">
        <w:rPr>
          <w:rFonts w:cs="Arial"/>
        </w:rPr>
        <w:t xml:space="preserve">se registraron precipitaciones moderadas y fuertes. </w:t>
      </w:r>
    </w:p>
    <w:p w:rsidR="004719C3" w:rsidRPr="00941576" w:rsidRDefault="004719C3" w:rsidP="00F57296">
      <w:pPr>
        <w:ind w:right="-1"/>
        <w:rPr>
          <w:rFonts w:cs="Arial"/>
        </w:rPr>
      </w:pPr>
    </w:p>
    <w:p w:rsidR="004719C3" w:rsidRPr="00941576" w:rsidRDefault="004719C3" w:rsidP="004719C3">
      <w:pPr>
        <w:ind w:right="-1"/>
        <w:rPr>
          <w:rFonts w:cs="Arial"/>
        </w:rPr>
      </w:pPr>
      <w:r w:rsidRPr="00941576">
        <w:rPr>
          <w:rFonts w:cs="Arial"/>
        </w:rPr>
        <w:t>Posteriormente, en el período comprendido entre el 20 de octubre y el 5 de noviembre de 2010, la interventoría señaló que el 97% del tiempo fue seco, el 2,92% con lluvia moderada y no se presentó lluvia</w:t>
      </w:r>
      <w:r w:rsidR="00621F83" w:rsidRPr="00941576">
        <w:rPr>
          <w:rFonts w:cs="Arial"/>
        </w:rPr>
        <w:t xml:space="preserve"> fuerte</w:t>
      </w:r>
      <w:r w:rsidRPr="00941576">
        <w:rPr>
          <w:rFonts w:cs="Arial"/>
        </w:rPr>
        <w:t>.</w:t>
      </w:r>
    </w:p>
    <w:p w:rsidR="004719C3" w:rsidRPr="00941576" w:rsidRDefault="004719C3" w:rsidP="004719C3">
      <w:pPr>
        <w:ind w:right="-1"/>
        <w:rPr>
          <w:rFonts w:cs="Arial"/>
        </w:rPr>
      </w:pPr>
    </w:p>
    <w:p w:rsidR="004719C3" w:rsidRPr="00941576" w:rsidRDefault="004719C3" w:rsidP="004719C3">
      <w:pPr>
        <w:ind w:right="-1"/>
        <w:rPr>
          <w:rFonts w:cs="Arial"/>
        </w:rPr>
      </w:pPr>
      <w:r w:rsidRPr="00941576">
        <w:rPr>
          <w:rFonts w:cs="Arial"/>
        </w:rPr>
        <w:lastRenderedPageBreak/>
        <w:t>Como se observa,</w:t>
      </w:r>
      <w:r w:rsidR="001D6AF4" w:rsidRPr="00941576">
        <w:rPr>
          <w:rFonts w:cs="Arial"/>
        </w:rPr>
        <w:t xml:space="preserve"> </w:t>
      </w:r>
      <w:r w:rsidR="00BA224F" w:rsidRPr="00941576">
        <w:rPr>
          <w:rFonts w:cs="Arial"/>
        </w:rPr>
        <w:t xml:space="preserve">las pruebas relacionadas </w:t>
      </w:r>
      <w:r w:rsidR="001D6AF4" w:rsidRPr="00941576">
        <w:rPr>
          <w:rFonts w:cs="Arial"/>
        </w:rPr>
        <w:t xml:space="preserve">documentaron la presencia de </w:t>
      </w:r>
      <w:r w:rsidR="00BA224F" w:rsidRPr="00941576">
        <w:rPr>
          <w:rFonts w:cs="Arial"/>
        </w:rPr>
        <w:t xml:space="preserve">lluvias </w:t>
      </w:r>
      <w:r w:rsidR="001D6AF4" w:rsidRPr="00941576">
        <w:rPr>
          <w:rFonts w:cs="Arial"/>
        </w:rPr>
        <w:t>en solo dos semanas del plazo contractual, período dentro del cual</w:t>
      </w:r>
      <w:r w:rsidR="0033007B" w:rsidRPr="00941576">
        <w:rPr>
          <w:rFonts w:cs="Arial"/>
        </w:rPr>
        <w:t xml:space="preserve"> se da cuenta a su vez </w:t>
      </w:r>
      <w:r w:rsidR="00FF626F" w:rsidRPr="00941576">
        <w:rPr>
          <w:rFonts w:cs="Arial"/>
        </w:rPr>
        <w:t xml:space="preserve">de </w:t>
      </w:r>
      <w:r w:rsidR="0033007B" w:rsidRPr="00941576">
        <w:rPr>
          <w:rFonts w:cs="Arial"/>
        </w:rPr>
        <w:t>que</w:t>
      </w:r>
      <w:r w:rsidR="001D6AF4" w:rsidRPr="00941576">
        <w:rPr>
          <w:rFonts w:cs="Arial"/>
        </w:rPr>
        <w:t xml:space="preserve"> más del 95% del tiempo fue seco, lo que fuerza colegir que las precipitaciones reportadas fueron mínimas y de manera alguna superaron el margen de riesgo que por ese concepto -problemas climatológicos- asumió el contratista en la </w:t>
      </w:r>
      <w:r w:rsidR="00D9472C" w:rsidRPr="00941576">
        <w:rPr>
          <w:rFonts w:cs="Arial"/>
        </w:rPr>
        <w:t xml:space="preserve">elaboración de la </w:t>
      </w:r>
      <w:r w:rsidR="001D6AF4" w:rsidRPr="00941576">
        <w:rPr>
          <w:rFonts w:cs="Arial"/>
        </w:rPr>
        <w:t xml:space="preserve">respectiva matriz. </w:t>
      </w:r>
    </w:p>
    <w:p w:rsidR="00D9472C" w:rsidRPr="00941576" w:rsidRDefault="00D9472C" w:rsidP="004719C3">
      <w:pPr>
        <w:ind w:right="-1"/>
        <w:rPr>
          <w:rFonts w:cs="Arial"/>
        </w:rPr>
      </w:pPr>
    </w:p>
    <w:p w:rsidR="00D9472C" w:rsidRPr="00941576" w:rsidRDefault="00D9472C" w:rsidP="004719C3">
      <w:pPr>
        <w:ind w:right="-1"/>
        <w:rPr>
          <w:rFonts w:cs="Arial"/>
        </w:rPr>
      </w:pPr>
      <w:r w:rsidRPr="00941576">
        <w:rPr>
          <w:rFonts w:cs="Arial"/>
        </w:rPr>
        <w:t>A lo dic</w:t>
      </w:r>
      <w:r w:rsidR="00DE1956" w:rsidRPr="00941576">
        <w:rPr>
          <w:rFonts w:cs="Arial"/>
        </w:rPr>
        <w:t>ho</w:t>
      </w:r>
      <w:r w:rsidR="00891C9D" w:rsidRPr="00941576">
        <w:rPr>
          <w:rFonts w:cs="Arial"/>
        </w:rPr>
        <w:t>,</w:t>
      </w:r>
      <w:r w:rsidR="00DE1956" w:rsidRPr="00941576">
        <w:rPr>
          <w:rFonts w:cs="Arial"/>
        </w:rPr>
        <w:t xml:space="preserve"> se impone agregar que </w:t>
      </w:r>
      <w:r w:rsidR="004711BF" w:rsidRPr="00941576">
        <w:rPr>
          <w:rFonts w:cs="Arial"/>
        </w:rPr>
        <w:t>ninguno de los elementos probatorios enunciados conduce</w:t>
      </w:r>
      <w:r w:rsidRPr="00941576">
        <w:rPr>
          <w:rFonts w:cs="Arial"/>
        </w:rPr>
        <w:t xml:space="preserve"> a concluir que la prolongación del término de ejecución hubiese tenido origen en la </w:t>
      </w:r>
      <w:r w:rsidR="00CC25D1" w:rsidRPr="00941576">
        <w:rPr>
          <w:rFonts w:cs="Arial"/>
        </w:rPr>
        <w:t>“</w:t>
      </w:r>
      <w:r w:rsidRPr="00941576">
        <w:rPr>
          <w:rFonts w:cs="Arial"/>
        </w:rPr>
        <w:t>ola invernal</w:t>
      </w:r>
      <w:r w:rsidR="00CC25D1" w:rsidRPr="00941576">
        <w:rPr>
          <w:rFonts w:cs="Arial"/>
        </w:rPr>
        <w:t>”</w:t>
      </w:r>
      <w:r w:rsidRPr="00941576">
        <w:rPr>
          <w:rFonts w:cs="Arial"/>
        </w:rPr>
        <w:t xml:space="preserve"> referida en la demanda. Es cierto que el contrato tuvo una </w:t>
      </w:r>
      <w:r w:rsidR="00DE1956" w:rsidRPr="00941576">
        <w:rPr>
          <w:rFonts w:cs="Arial"/>
        </w:rPr>
        <w:t>suspensión</w:t>
      </w:r>
      <w:r w:rsidRPr="00941576">
        <w:rPr>
          <w:rFonts w:cs="Arial"/>
        </w:rPr>
        <w:t xml:space="preserve"> entre </w:t>
      </w:r>
      <w:r w:rsidR="00DE1956" w:rsidRPr="00941576">
        <w:rPr>
          <w:rFonts w:cs="Arial"/>
        </w:rPr>
        <w:t xml:space="preserve">el 9 de agosto y el 8 de noviembre de 2010. Sin embargo, la Sala </w:t>
      </w:r>
      <w:r w:rsidR="00CC25D1" w:rsidRPr="00941576">
        <w:rPr>
          <w:rFonts w:cs="Arial"/>
        </w:rPr>
        <w:t xml:space="preserve">hasta </w:t>
      </w:r>
      <w:r w:rsidR="00A7121F" w:rsidRPr="00941576">
        <w:rPr>
          <w:rFonts w:cs="Arial"/>
        </w:rPr>
        <w:t xml:space="preserve">este </w:t>
      </w:r>
      <w:r w:rsidR="00CC25D1" w:rsidRPr="00941576">
        <w:rPr>
          <w:rFonts w:cs="Arial"/>
        </w:rPr>
        <w:t xml:space="preserve">punto ignora </w:t>
      </w:r>
      <w:r w:rsidR="00DE1956" w:rsidRPr="00941576">
        <w:rPr>
          <w:rFonts w:cs="Arial"/>
        </w:rPr>
        <w:t xml:space="preserve">la causa que dio origen a la parálisis del proyecto durante ese </w:t>
      </w:r>
      <w:r w:rsidR="00891C9D" w:rsidRPr="00941576">
        <w:rPr>
          <w:rFonts w:cs="Arial"/>
        </w:rPr>
        <w:t>interregno.</w:t>
      </w:r>
      <w:r w:rsidR="003537DB" w:rsidRPr="00941576">
        <w:rPr>
          <w:rFonts w:cs="Arial"/>
        </w:rPr>
        <w:t xml:space="preserve"> En todo caso</w:t>
      </w:r>
      <w:r w:rsidR="00AD71BE" w:rsidRPr="00941576">
        <w:rPr>
          <w:rFonts w:cs="Arial"/>
        </w:rPr>
        <w:t>,</w:t>
      </w:r>
      <w:r w:rsidR="003537DB" w:rsidRPr="00941576">
        <w:rPr>
          <w:rFonts w:cs="Arial"/>
        </w:rPr>
        <w:t xml:space="preserve"> sobre este último aspecto se profundizará enseguida.</w:t>
      </w:r>
    </w:p>
    <w:p w:rsidR="004719C3" w:rsidRPr="00941576" w:rsidRDefault="004719C3" w:rsidP="00F57296">
      <w:pPr>
        <w:ind w:right="-1"/>
        <w:rPr>
          <w:rFonts w:cs="Arial"/>
        </w:rPr>
      </w:pPr>
    </w:p>
    <w:p w:rsidR="009E67AF" w:rsidRPr="00941576" w:rsidRDefault="005D6EC7" w:rsidP="009E67AF">
      <w:pPr>
        <w:ind w:right="-1"/>
        <w:rPr>
          <w:rFonts w:cs="Arial"/>
        </w:rPr>
      </w:pPr>
      <w:r w:rsidRPr="00941576">
        <w:rPr>
          <w:rFonts w:cs="Arial"/>
        </w:rPr>
        <w:t xml:space="preserve">En lo que atañe al </w:t>
      </w:r>
      <w:r w:rsidR="007022B8" w:rsidRPr="00941576">
        <w:rPr>
          <w:rFonts w:cs="Arial"/>
        </w:rPr>
        <w:t>argumento del libelista</w:t>
      </w:r>
      <w:r w:rsidR="00FF626F" w:rsidRPr="00941576">
        <w:rPr>
          <w:rFonts w:cs="Arial"/>
        </w:rPr>
        <w:t>,</w:t>
      </w:r>
      <w:r w:rsidR="007022B8" w:rsidRPr="00941576">
        <w:rPr>
          <w:rFonts w:cs="Arial"/>
        </w:rPr>
        <w:t xml:space="preserve"> consistente en que la ampliación del plazo de ejecución se atribuyó a un </w:t>
      </w:r>
      <w:r w:rsidRPr="00941576">
        <w:rPr>
          <w:rFonts w:cs="Arial"/>
        </w:rPr>
        <w:t xml:space="preserve">cambio de diseños por </w:t>
      </w:r>
      <w:r w:rsidR="00DE52B6" w:rsidRPr="00941576">
        <w:rPr>
          <w:rFonts w:cs="Arial"/>
        </w:rPr>
        <w:t>fallas geológicas en el sitio del proyec</w:t>
      </w:r>
      <w:r w:rsidR="00AA2055" w:rsidRPr="00941576">
        <w:rPr>
          <w:rFonts w:cs="Arial"/>
        </w:rPr>
        <w:t xml:space="preserve">to, el caudal probatorio mostró </w:t>
      </w:r>
      <w:r w:rsidR="00DE52B6" w:rsidRPr="00941576">
        <w:rPr>
          <w:rFonts w:cs="Arial"/>
        </w:rPr>
        <w:t>que aun cuando al inicio de la obra</w:t>
      </w:r>
      <w:r w:rsidR="007B73E6" w:rsidRPr="00941576">
        <w:rPr>
          <w:rFonts w:cs="Arial"/>
        </w:rPr>
        <w:t>,</w:t>
      </w:r>
      <w:r w:rsidR="00D7572E" w:rsidRPr="00941576">
        <w:rPr>
          <w:rFonts w:cs="Arial"/>
        </w:rPr>
        <w:t xml:space="preserve"> al realizar el levantamiento</w:t>
      </w:r>
      <w:r w:rsidR="00AA2055" w:rsidRPr="00941576">
        <w:rPr>
          <w:rFonts w:cs="Arial"/>
        </w:rPr>
        <w:t xml:space="preserve"> topográfico</w:t>
      </w:r>
      <w:r w:rsidR="00DE52B6" w:rsidRPr="00941576">
        <w:rPr>
          <w:rFonts w:cs="Arial"/>
        </w:rPr>
        <w:t xml:space="preserve"> se presentaron hallazgos inc</w:t>
      </w:r>
      <w:r w:rsidR="004E78A4" w:rsidRPr="00941576">
        <w:rPr>
          <w:rFonts w:cs="Arial"/>
        </w:rPr>
        <w:t xml:space="preserve">onsistentes con la información </w:t>
      </w:r>
      <w:r w:rsidR="00D7572E" w:rsidRPr="00941576">
        <w:rPr>
          <w:rFonts w:cs="Arial"/>
        </w:rPr>
        <w:t xml:space="preserve">referente a la planimetría y altimetría </w:t>
      </w:r>
      <w:r w:rsidR="007B73E6" w:rsidRPr="00941576">
        <w:rPr>
          <w:rFonts w:cs="Arial"/>
        </w:rPr>
        <w:t xml:space="preserve">suministrada por la entidad, </w:t>
      </w:r>
      <w:r w:rsidR="00DE52B6" w:rsidRPr="00941576">
        <w:rPr>
          <w:rFonts w:cs="Arial"/>
        </w:rPr>
        <w:t xml:space="preserve">lo que implicó la necesidad de solicitar </w:t>
      </w:r>
      <w:r w:rsidR="004E78A4" w:rsidRPr="00941576">
        <w:rPr>
          <w:rFonts w:cs="Arial"/>
        </w:rPr>
        <w:t>la cartera de campo</w:t>
      </w:r>
      <w:r w:rsidR="007B73E6" w:rsidRPr="00941576">
        <w:rPr>
          <w:rFonts w:cs="Arial"/>
        </w:rPr>
        <w:t xml:space="preserve"> </w:t>
      </w:r>
      <w:r w:rsidR="00D7572E" w:rsidRPr="00941576">
        <w:rPr>
          <w:rFonts w:cs="Arial"/>
        </w:rPr>
        <w:t xml:space="preserve">a la Gobernación del Atlántico, </w:t>
      </w:r>
      <w:r w:rsidR="007B73E6" w:rsidRPr="00941576">
        <w:rPr>
          <w:rFonts w:cs="Arial"/>
        </w:rPr>
        <w:t>una vez obtenidos los datos requeridos se procedió a realizar un nuevo levan</w:t>
      </w:r>
      <w:r w:rsidR="004E78A4" w:rsidRPr="00941576">
        <w:rPr>
          <w:rFonts w:cs="Arial"/>
        </w:rPr>
        <w:t xml:space="preserve">tamiento topográfico </w:t>
      </w:r>
      <w:r w:rsidR="00D7572E" w:rsidRPr="00941576">
        <w:rPr>
          <w:rFonts w:cs="Arial"/>
        </w:rPr>
        <w:t xml:space="preserve">cuya elaboración </w:t>
      </w:r>
      <w:r w:rsidR="004F24CA" w:rsidRPr="00941576">
        <w:rPr>
          <w:rFonts w:cs="Arial"/>
        </w:rPr>
        <w:t>no demandó más de 8</w:t>
      </w:r>
      <w:r w:rsidR="007B73E6" w:rsidRPr="00941576">
        <w:rPr>
          <w:rFonts w:cs="Arial"/>
        </w:rPr>
        <w:t xml:space="preserve"> d</w:t>
      </w:r>
      <w:r w:rsidR="009E67AF" w:rsidRPr="00941576">
        <w:rPr>
          <w:rFonts w:cs="Arial"/>
        </w:rPr>
        <w:t>ías,</w:t>
      </w:r>
      <w:r w:rsidR="007B73E6" w:rsidRPr="00941576">
        <w:rPr>
          <w:rFonts w:cs="Arial"/>
        </w:rPr>
        <w:t xml:space="preserve"> </w:t>
      </w:r>
      <w:r w:rsidR="009E67AF" w:rsidRPr="00941576">
        <w:rPr>
          <w:rFonts w:cs="Arial"/>
        </w:rPr>
        <w:t xml:space="preserve">al cabo de los cuales </w:t>
      </w:r>
      <w:r w:rsidR="00EC7A84" w:rsidRPr="00941576">
        <w:rPr>
          <w:rFonts w:cs="Arial"/>
        </w:rPr>
        <w:t>el constructor empezó</w:t>
      </w:r>
      <w:r w:rsidR="009E67AF" w:rsidRPr="00941576">
        <w:rPr>
          <w:rFonts w:cs="Arial"/>
        </w:rPr>
        <w:t xml:space="preserve"> con el avance </w:t>
      </w:r>
      <w:r w:rsidR="00EC7A84" w:rsidRPr="00941576">
        <w:rPr>
          <w:rFonts w:cs="Arial"/>
        </w:rPr>
        <w:t xml:space="preserve">de obra </w:t>
      </w:r>
      <w:r w:rsidR="009E67AF" w:rsidRPr="00941576">
        <w:rPr>
          <w:rFonts w:cs="Arial"/>
        </w:rPr>
        <w:t xml:space="preserve">en los términos contractualmente pactados. </w:t>
      </w:r>
    </w:p>
    <w:p w:rsidR="00AA41AA" w:rsidRPr="00941576" w:rsidRDefault="00AA41AA" w:rsidP="00F57296">
      <w:pPr>
        <w:ind w:right="-1"/>
        <w:rPr>
          <w:rFonts w:cs="Arial"/>
        </w:rPr>
      </w:pPr>
    </w:p>
    <w:p w:rsidR="00321E92" w:rsidRPr="00941576" w:rsidRDefault="00AA2055" w:rsidP="00F57296">
      <w:pPr>
        <w:ind w:right="-1"/>
        <w:rPr>
          <w:rFonts w:cs="Arial"/>
        </w:rPr>
      </w:pPr>
      <w:r w:rsidRPr="00941576">
        <w:rPr>
          <w:rFonts w:cs="Arial"/>
        </w:rPr>
        <w:t>Así pues, a pesar de existir</w:t>
      </w:r>
      <w:r w:rsidR="004E78A4" w:rsidRPr="00941576">
        <w:rPr>
          <w:rFonts w:cs="Arial"/>
        </w:rPr>
        <w:t xml:space="preserve"> </w:t>
      </w:r>
      <w:r w:rsidR="00AA41AA" w:rsidRPr="00941576">
        <w:rPr>
          <w:rFonts w:cs="Arial"/>
        </w:rPr>
        <w:t>inc</w:t>
      </w:r>
      <w:r w:rsidR="00781FBD" w:rsidRPr="00941576">
        <w:rPr>
          <w:rFonts w:cs="Arial"/>
        </w:rPr>
        <w:t xml:space="preserve">onsistencias </w:t>
      </w:r>
      <w:r w:rsidR="004E78A4" w:rsidRPr="00941576">
        <w:rPr>
          <w:rFonts w:cs="Arial"/>
        </w:rPr>
        <w:t>entre la información suministrada por la entidad y el levantamiento ejecutado por el contratista respecto</w:t>
      </w:r>
      <w:r w:rsidRPr="00941576">
        <w:rPr>
          <w:rFonts w:cs="Arial"/>
        </w:rPr>
        <w:t xml:space="preserve"> de</w:t>
      </w:r>
      <w:r w:rsidR="004E78A4" w:rsidRPr="00941576">
        <w:rPr>
          <w:rFonts w:cs="Arial"/>
        </w:rPr>
        <w:t xml:space="preserve"> las coordenadas del terreno y </w:t>
      </w:r>
      <w:r w:rsidR="00D7572E" w:rsidRPr="00941576">
        <w:rPr>
          <w:rFonts w:cs="Arial"/>
        </w:rPr>
        <w:t xml:space="preserve">las </w:t>
      </w:r>
      <w:r w:rsidR="004E78A4" w:rsidRPr="00941576">
        <w:rPr>
          <w:rFonts w:cs="Arial"/>
        </w:rPr>
        <w:t xml:space="preserve">cotas de relieve en donde se iba a construir la vía, </w:t>
      </w:r>
      <w:r w:rsidR="00D7572E" w:rsidRPr="00941576">
        <w:rPr>
          <w:rFonts w:cs="Arial"/>
        </w:rPr>
        <w:t xml:space="preserve">la confrontación de esos dos estudios dio como producto el trazado definitivo, resultado obtenido </w:t>
      </w:r>
      <w:r w:rsidR="000D56F9" w:rsidRPr="00941576">
        <w:rPr>
          <w:rFonts w:cs="Arial"/>
        </w:rPr>
        <w:t>en una semana</w:t>
      </w:r>
      <w:r w:rsidR="00930D2A" w:rsidRPr="00941576">
        <w:rPr>
          <w:rFonts w:cs="Arial"/>
        </w:rPr>
        <w:t xml:space="preserve"> -del 3 al 11 de junio de 2010</w:t>
      </w:r>
      <w:r w:rsidR="00930D2A" w:rsidRPr="00941576">
        <w:rPr>
          <w:rStyle w:val="Refdenotaalpie"/>
          <w:rFonts w:cs="Arial"/>
        </w:rPr>
        <w:footnoteReference w:id="27"/>
      </w:r>
      <w:r w:rsidR="00FF626F" w:rsidRPr="00941576">
        <w:rPr>
          <w:rFonts w:cs="Arial"/>
        </w:rPr>
        <w:t>-</w:t>
      </w:r>
      <w:r w:rsidR="000D56F9" w:rsidRPr="00941576">
        <w:rPr>
          <w:rFonts w:cs="Arial"/>
        </w:rPr>
        <w:t xml:space="preserve"> </w:t>
      </w:r>
      <w:r w:rsidR="004E78A4" w:rsidRPr="00941576">
        <w:rPr>
          <w:rFonts w:cs="Arial"/>
        </w:rPr>
        <w:t xml:space="preserve">y </w:t>
      </w:r>
      <w:r w:rsidR="00D7572E" w:rsidRPr="00941576">
        <w:rPr>
          <w:rFonts w:cs="Arial"/>
        </w:rPr>
        <w:t xml:space="preserve">que </w:t>
      </w:r>
      <w:r w:rsidR="004E78A4" w:rsidRPr="00941576">
        <w:rPr>
          <w:rFonts w:cs="Arial"/>
        </w:rPr>
        <w:t xml:space="preserve">no pasó de ser un asunto de carácter geométrico </w:t>
      </w:r>
      <w:r w:rsidR="00D7572E" w:rsidRPr="00941576">
        <w:rPr>
          <w:rFonts w:cs="Arial"/>
        </w:rPr>
        <w:t xml:space="preserve">y superficial </w:t>
      </w:r>
      <w:r w:rsidR="004E78A4" w:rsidRPr="00941576">
        <w:rPr>
          <w:rFonts w:cs="Arial"/>
        </w:rPr>
        <w:t>que no invadió el aspecto</w:t>
      </w:r>
      <w:r w:rsidR="00617C2A" w:rsidRPr="00941576">
        <w:rPr>
          <w:rFonts w:cs="Arial"/>
        </w:rPr>
        <w:t xml:space="preserve"> </w:t>
      </w:r>
      <w:r w:rsidR="00D7572E" w:rsidRPr="00941576">
        <w:rPr>
          <w:rFonts w:cs="Arial"/>
        </w:rPr>
        <w:t>relativo</w:t>
      </w:r>
      <w:r w:rsidR="00930D2A" w:rsidRPr="00941576">
        <w:rPr>
          <w:rFonts w:cs="Arial"/>
        </w:rPr>
        <w:t xml:space="preserve"> a la estructura del pavimento</w:t>
      </w:r>
      <w:r w:rsidR="000438BE" w:rsidRPr="00941576">
        <w:rPr>
          <w:rFonts w:cs="Arial"/>
        </w:rPr>
        <w:t>, al pun</w:t>
      </w:r>
      <w:r w:rsidR="004D32AE" w:rsidRPr="00941576">
        <w:rPr>
          <w:rFonts w:cs="Arial"/>
        </w:rPr>
        <w:t>to que en adelante</w:t>
      </w:r>
      <w:r w:rsidRPr="00941576">
        <w:rPr>
          <w:rFonts w:cs="Arial"/>
        </w:rPr>
        <w:t xml:space="preserve"> llegó la maquinara al lugar de la obra</w:t>
      </w:r>
      <w:r w:rsidR="004D32AE" w:rsidRPr="00941576">
        <w:rPr>
          <w:rFonts w:cs="Arial"/>
        </w:rPr>
        <w:t xml:space="preserve"> </w:t>
      </w:r>
      <w:r w:rsidRPr="00941576">
        <w:rPr>
          <w:rFonts w:cs="Arial"/>
        </w:rPr>
        <w:t xml:space="preserve">e </w:t>
      </w:r>
      <w:r w:rsidR="004D32AE" w:rsidRPr="00941576">
        <w:rPr>
          <w:rFonts w:cs="Arial"/>
        </w:rPr>
        <w:t>iniciaron las</w:t>
      </w:r>
      <w:r w:rsidR="000438BE" w:rsidRPr="00941576">
        <w:rPr>
          <w:rFonts w:cs="Arial"/>
        </w:rPr>
        <w:t xml:space="preserve"> actividades de corte y retiro de mater</w:t>
      </w:r>
      <w:r w:rsidRPr="00941576">
        <w:rPr>
          <w:rFonts w:cs="Arial"/>
        </w:rPr>
        <w:t>ial de los tramos a intervenir.</w:t>
      </w:r>
      <w:r w:rsidR="000438BE" w:rsidRPr="00941576">
        <w:rPr>
          <w:rFonts w:cs="Arial"/>
        </w:rPr>
        <w:t xml:space="preserve"> </w:t>
      </w:r>
    </w:p>
    <w:p w:rsidR="00321E92" w:rsidRPr="00941576" w:rsidRDefault="00321E92" w:rsidP="00F57296">
      <w:pPr>
        <w:ind w:right="-1"/>
        <w:rPr>
          <w:rFonts w:cs="Arial"/>
        </w:rPr>
      </w:pPr>
    </w:p>
    <w:p w:rsidR="00D7572E" w:rsidRPr="00941576" w:rsidRDefault="00AA2055" w:rsidP="00F57296">
      <w:pPr>
        <w:ind w:right="-1"/>
        <w:rPr>
          <w:rFonts w:cs="Arial"/>
        </w:rPr>
      </w:pPr>
      <w:r w:rsidRPr="00941576">
        <w:rPr>
          <w:rFonts w:cs="Arial"/>
        </w:rPr>
        <w:lastRenderedPageBreak/>
        <w:t>Se añade que</w:t>
      </w:r>
      <w:r w:rsidR="004D32AE" w:rsidRPr="00941576">
        <w:rPr>
          <w:rFonts w:cs="Arial"/>
        </w:rPr>
        <w:t xml:space="preserve"> </w:t>
      </w:r>
      <w:r w:rsidR="00C0670B" w:rsidRPr="00941576">
        <w:rPr>
          <w:rFonts w:cs="Arial"/>
        </w:rPr>
        <w:t xml:space="preserve">en el evento </w:t>
      </w:r>
      <w:r w:rsidR="00930D2A" w:rsidRPr="00941576">
        <w:rPr>
          <w:rFonts w:cs="Arial"/>
        </w:rPr>
        <w:t xml:space="preserve">de entenderse que los aspectos relativos a las inconsistencias </w:t>
      </w:r>
      <w:r w:rsidR="00C0670B" w:rsidRPr="00941576">
        <w:rPr>
          <w:rFonts w:cs="Arial"/>
        </w:rPr>
        <w:t>to</w:t>
      </w:r>
      <w:r w:rsidR="00930D2A" w:rsidRPr="00941576">
        <w:rPr>
          <w:rFonts w:cs="Arial"/>
        </w:rPr>
        <w:t>pográficas pudieron encuadrarse dentro del riesgo denominado “</w:t>
      </w:r>
      <w:r w:rsidR="00C0670B" w:rsidRPr="00941576">
        <w:rPr>
          <w:rFonts w:cs="Arial"/>
          <w:i/>
        </w:rPr>
        <w:t>condiciones imprevista</w:t>
      </w:r>
      <w:r w:rsidR="00930D2A" w:rsidRPr="00941576">
        <w:rPr>
          <w:rFonts w:cs="Arial"/>
          <w:i/>
        </w:rPr>
        <w:t>s del terr</w:t>
      </w:r>
      <w:r w:rsidR="00C0670B" w:rsidRPr="00941576">
        <w:rPr>
          <w:rFonts w:cs="Arial"/>
          <w:i/>
        </w:rPr>
        <w:t>eno</w:t>
      </w:r>
      <w:r w:rsidR="00C0670B" w:rsidRPr="00941576">
        <w:rPr>
          <w:rFonts w:cs="Arial"/>
        </w:rPr>
        <w:t xml:space="preserve">”, </w:t>
      </w:r>
      <w:r w:rsidRPr="00941576">
        <w:rPr>
          <w:rFonts w:cs="Arial"/>
        </w:rPr>
        <w:t xml:space="preserve">surge con nitidez que </w:t>
      </w:r>
      <w:r w:rsidR="00C0670B" w:rsidRPr="00941576">
        <w:rPr>
          <w:rFonts w:cs="Arial"/>
        </w:rPr>
        <w:t>su ocurrencia no rebasó el límite de la contingencia asumida</w:t>
      </w:r>
      <w:r w:rsidR="008C4666" w:rsidRPr="00941576">
        <w:rPr>
          <w:rStyle w:val="Refdenotaalpie"/>
          <w:rFonts w:cs="Arial"/>
        </w:rPr>
        <w:footnoteReference w:id="28"/>
      </w:r>
      <w:r w:rsidR="00C0670B" w:rsidRPr="00941576">
        <w:rPr>
          <w:rFonts w:cs="Arial"/>
        </w:rPr>
        <w:t xml:space="preserve"> por el demandante</w:t>
      </w:r>
      <w:r w:rsidR="00FF626F" w:rsidRPr="00941576">
        <w:rPr>
          <w:rFonts w:cs="Arial"/>
        </w:rPr>
        <w:t>,</w:t>
      </w:r>
      <w:r w:rsidR="00E0739C" w:rsidRPr="00941576">
        <w:rPr>
          <w:rFonts w:cs="Arial"/>
        </w:rPr>
        <w:t xml:space="preserve"> </w:t>
      </w:r>
      <w:r w:rsidR="008C4666" w:rsidRPr="00941576">
        <w:rPr>
          <w:rFonts w:cs="Arial"/>
        </w:rPr>
        <w:t xml:space="preserve">si </w:t>
      </w:r>
      <w:r w:rsidR="00C0670B" w:rsidRPr="00941576">
        <w:rPr>
          <w:rFonts w:cs="Arial"/>
        </w:rPr>
        <w:t xml:space="preserve">se tiene en consideración que el término del posible retraso por esa causa no superó los 8 días, </w:t>
      </w:r>
      <w:r w:rsidR="008C4666" w:rsidRPr="00941576">
        <w:rPr>
          <w:rFonts w:cs="Arial"/>
        </w:rPr>
        <w:t>lapso equivalente al 6,6% del plazo contractual (120 d</w:t>
      </w:r>
      <w:r w:rsidR="0092236B" w:rsidRPr="00941576">
        <w:rPr>
          <w:rFonts w:cs="Arial"/>
        </w:rPr>
        <w:t>ías).</w:t>
      </w:r>
    </w:p>
    <w:p w:rsidR="00D7572E" w:rsidRPr="00941576" w:rsidRDefault="00D7572E" w:rsidP="00F57296">
      <w:pPr>
        <w:ind w:right="-1"/>
        <w:rPr>
          <w:rFonts w:cs="Arial"/>
        </w:rPr>
      </w:pPr>
    </w:p>
    <w:p w:rsidR="00C3678F" w:rsidRPr="00941576" w:rsidRDefault="0092236B" w:rsidP="00F57296">
      <w:pPr>
        <w:ind w:right="-1"/>
        <w:rPr>
          <w:rFonts w:cs="Arial"/>
        </w:rPr>
      </w:pPr>
      <w:r w:rsidRPr="00941576">
        <w:rPr>
          <w:rFonts w:cs="Arial"/>
        </w:rPr>
        <w:t>Ahora</w:t>
      </w:r>
      <w:r w:rsidR="00C3678F" w:rsidRPr="00941576">
        <w:rPr>
          <w:rFonts w:cs="Arial"/>
        </w:rPr>
        <w:t xml:space="preserve">, </w:t>
      </w:r>
      <w:r w:rsidR="0069470E" w:rsidRPr="00941576">
        <w:rPr>
          <w:rFonts w:cs="Arial"/>
        </w:rPr>
        <w:t xml:space="preserve">de </w:t>
      </w:r>
      <w:r w:rsidR="00E0739C" w:rsidRPr="00941576">
        <w:rPr>
          <w:rFonts w:cs="Arial"/>
        </w:rPr>
        <w:t xml:space="preserve">la </w:t>
      </w:r>
      <w:r w:rsidR="0069470E" w:rsidRPr="00941576">
        <w:rPr>
          <w:rFonts w:cs="Arial"/>
        </w:rPr>
        <w:t xml:space="preserve">lectura del </w:t>
      </w:r>
      <w:r w:rsidR="00C3678F" w:rsidRPr="00941576">
        <w:rPr>
          <w:rFonts w:cs="Arial"/>
        </w:rPr>
        <w:t>acta de concertación llevada a cabo el 16 de julio de 2010</w:t>
      </w:r>
      <w:r w:rsidR="00E0739C" w:rsidRPr="00941576">
        <w:rPr>
          <w:rFonts w:cs="Arial"/>
        </w:rPr>
        <w:t>,</w:t>
      </w:r>
      <w:r w:rsidR="00C3678F" w:rsidRPr="00941576">
        <w:rPr>
          <w:rFonts w:cs="Arial"/>
        </w:rPr>
        <w:t xml:space="preserve"> en la que intervino, además de las partes, el consultor geotecnista de la Alcaldía</w:t>
      </w:r>
      <w:r w:rsidR="00E0739C" w:rsidRPr="00941576">
        <w:rPr>
          <w:rFonts w:cs="Arial"/>
        </w:rPr>
        <w:t>,</w:t>
      </w:r>
      <w:r w:rsidR="00C3678F" w:rsidRPr="00941576">
        <w:rPr>
          <w:rFonts w:cs="Arial"/>
        </w:rPr>
        <w:t xml:space="preserve"> se desprende que la finalidad de dicho encuentro estribó en acordar la meto</w:t>
      </w:r>
      <w:r w:rsidR="00DA7744" w:rsidRPr="00941576">
        <w:rPr>
          <w:rFonts w:cs="Arial"/>
        </w:rPr>
        <w:t>do</w:t>
      </w:r>
      <w:r w:rsidR="00C3678F" w:rsidRPr="00941576">
        <w:rPr>
          <w:rFonts w:cs="Arial"/>
        </w:rPr>
        <w:t>logía para dar inicio a las actividades de colocación de terraplén, mejoramiento de subrasante y estabilización en piedra de subrasante y</w:t>
      </w:r>
      <w:r w:rsidR="004D32AE" w:rsidRPr="00941576">
        <w:rPr>
          <w:rFonts w:cs="Arial"/>
        </w:rPr>
        <w:t>,</w:t>
      </w:r>
      <w:r w:rsidR="00C3678F" w:rsidRPr="00941576">
        <w:rPr>
          <w:rFonts w:cs="Arial"/>
        </w:rPr>
        <w:t xml:space="preserve"> además</w:t>
      </w:r>
      <w:r w:rsidR="004D32AE" w:rsidRPr="00941576">
        <w:rPr>
          <w:rFonts w:cs="Arial"/>
        </w:rPr>
        <w:t>,</w:t>
      </w:r>
      <w:r w:rsidR="00C3678F" w:rsidRPr="00941576">
        <w:rPr>
          <w:rFonts w:cs="Arial"/>
        </w:rPr>
        <w:t xml:space="preserve"> para escuchar del especialista algunas recomendaciones relativas al manejo del suelo en </w:t>
      </w:r>
      <w:r w:rsidR="004D32AE" w:rsidRPr="00941576">
        <w:rPr>
          <w:rFonts w:cs="Arial"/>
        </w:rPr>
        <w:t xml:space="preserve">donde </w:t>
      </w:r>
      <w:r w:rsidR="00C3678F" w:rsidRPr="00941576">
        <w:rPr>
          <w:rFonts w:cs="Arial"/>
        </w:rPr>
        <w:t xml:space="preserve">se habría de asentar la vía. </w:t>
      </w:r>
    </w:p>
    <w:p w:rsidR="003357AB" w:rsidRPr="00941576" w:rsidRDefault="003357AB" w:rsidP="00F57296">
      <w:pPr>
        <w:ind w:right="-1"/>
        <w:rPr>
          <w:rFonts w:cs="Arial"/>
        </w:rPr>
      </w:pPr>
    </w:p>
    <w:p w:rsidR="00034F48" w:rsidRPr="00941576" w:rsidRDefault="003357AB" w:rsidP="00F57296">
      <w:pPr>
        <w:ind w:right="-1"/>
        <w:rPr>
          <w:rFonts w:cs="Arial"/>
        </w:rPr>
      </w:pPr>
      <w:r w:rsidRPr="00941576">
        <w:rPr>
          <w:rFonts w:cs="Arial"/>
        </w:rPr>
        <w:t>Los puntos allí tratados</w:t>
      </w:r>
      <w:r w:rsidR="00544BC7" w:rsidRPr="00941576">
        <w:rPr>
          <w:rFonts w:cs="Arial"/>
        </w:rPr>
        <w:t xml:space="preserve"> </w:t>
      </w:r>
      <w:r w:rsidRPr="00941576">
        <w:rPr>
          <w:rFonts w:cs="Arial"/>
        </w:rPr>
        <w:t>se concretaron en</w:t>
      </w:r>
      <w:r w:rsidR="001F23ED" w:rsidRPr="00941576">
        <w:rPr>
          <w:rFonts w:cs="Arial"/>
        </w:rPr>
        <w:t xml:space="preserve"> los siguientes aspectos</w:t>
      </w:r>
      <w:r w:rsidR="00034F48" w:rsidRPr="00941576">
        <w:rPr>
          <w:rFonts w:cs="Arial"/>
        </w:rPr>
        <w:t>:</w:t>
      </w:r>
    </w:p>
    <w:p w:rsidR="001F23ED" w:rsidRPr="00941576" w:rsidRDefault="001F23ED" w:rsidP="00F57296">
      <w:pPr>
        <w:ind w:right="-1"/>
        <w:rPr>
          <w:rFonts w:cs="Arial"/>
        </w:rPr>
      </w:pPr>
    </w:p>
    <w:p w:rsidR="00034F48" w:rsidRPr="00941576" w:rsidRDefault="001F23ED" w:rsidP="00034F48">
      <w:pPr>
        <w:pStyle w:val="Prrafodelista"/>
        <w:numPr>
          <w:ilvl w:val="0"/>
          <w:numId w:val="33"/>
        </w:numPr>
        <w:ind w:right="-1"/>
        <w:rPr>
          <w:rFonts w:cs="Arial"/>
        </w:rPr>
      </w:pPr>
      <w:r w:rsidRPr="00941576">
        <w:rPr>
          <w:rFonts w:cs="Arial"/>
        </w:rPr>
        <w:t>De cara a</w:t>
      </w:r>
      <w:r w:rsidR="00034F48" w:rsidRPr="00941576">
        <w:rPr>
          <w:rFonts w:cs="Arial"/>
        </w:rPr>
        <w:t>l potencial expansivo</w:t>
      </w:r>
      <w:r w:rsidRPr="00941576">
        <w:rPr>
          <w:rFonts w:cs="Arial"/>
        </w:rPr>
        <w:t xml:space="preserve"> de las arcillas </w:t>
      </w:r>
      <w:r w:rsidR="00913F60" w:rsidRPr="00941576">
        <w:rPr>
          <w:rFonts w:cs="Arial"/>
        </w:rPr>
        <w:t>halladas en</w:t>
      </w:r>
      <w:r w:rsidR="00034F48" w:rsidRPr="00941576">
        <w:rPr>
          <w:rFonts w:cs="Arial"/>
        </w:rPr>
        <w:t xml:space="preserve"> la subrasante, </w:t>
      </w:r>
      <w:r w:rsidRPr="00941576">
        <w:rPr>
          <w:rFonts w:cs="Arial"/>
        </w:rPr>
        <w:t>se prescribió</w:t>
      </w:r>
      <w:r w:rsidR="00034F48" w:rsidRPr="00941576">
        <w:rPr>
          <w:rFonts w:cs="Arial"/>
        </w:rPr>
        <w:t xml:space="preserve"> la necesidad de acometer con prontitud la obra de construcción del terraplén establecida en el proyecto, para evitar </w:t>
      </w:r>
      <w:r w:rsidR="00913F60" w:rsidRPr="00941576">
        <w:rPr>
          <w:rFonts w:cs="Arial"/>
        </w:rPr>
        <w:t xml:space="preserve">la </w:t>
      </w:r>
      <w:r w:rsidR="00034F48" w:rsidRPr="00941576">
        <w:rPr>
          <w:rFonts w:cs="Arial"/>
        </w:rPr>
        <w:t>filtración</w:t>
      </w:r>
      <w:r w:rsidRPr="00941576">
        <w:rPr>
          <w:rFonts w:cs="Arial"/>
        </w:rPr>
        <w:t xml:space="preserve"> de agua </w:t>
      </w:r>
      <w:r w:rsidR="00913F60" w:rsidRPr="00941576">
        <w:rPr>
          <w:rFonts w:cs="Arial"/>
        </w:rPr>
        <w:t>y</w:t>
      </w:r>
      <w:r w:rsidR="00E0739C" w:rsidRPr="00941576">
        <w:rPr>
          <w:rFonts w:cs="Arial"/>
        </w:rPr>
        <w:t>,</w:t>
      </w:r>
      <w:r w:rsidR="00913F60" w:rsidRPr="00941576">
        <w:rPr>
          <w:rFonts w:cs="Arial"/>
        </w:rPr>
        <w:t xml:space="preserve"> con ello, la afectación de la base.</w:t>
      </w:r>
    </w:p>
    <w:p w:rsidR="00034F48" w:rsidRPr="00941576" w:rsidRDefault="001F23ED" w:rsidP="001F23ED">
      <w:pPr>
        <w:pStyle w:val="Prrafodelista"/>
        <w:numPr>
          <w:ilvl w:val="0"/>
          <w:numId w:val="33"/>
        </w:numPr>
        <w:ind w:right="-1"/>
        <w:rPr>
          <w:rFonts w:cs="Arial"/>
        </w:rPr>
      </w:pPr>
      <w:r w:rsidRPr="00941576">
        <w:rPr>
          <w:rFonts w:cs="Arial"/>
        </w:rPr>
        <w:t>Se dieron</w:t>
      </w:r>
      <w:r w:rsidR="00034F48" w:rsidRPr="00941576">
        <w:rPr>
          <w:rFonts w:cs="Arial"/>
        </w:rPr>
        <w:t xml:space="preserve"> recomendaciones para la compactación de la subrasante</w:t>
      </w:r>
      <w:r w:rsidR="003357AB" w:rsidRPr="00941576">
        <w:rPr>
          <w:rFonts w:cs="Arial"/>
        </w:rPr>
        <w:t>.</w:t>
      </w:r>
      <w:r w:rsidR="00034F48" w:rsidRPr="00941576">
        <w:rPr>
          <w:rFonts w:cs="Arial"/>
        </w:rPr>
        <w:t xml:space="preserve"> </w:t>
      </w:r>
    </w:p>
    <w:p w:rsidR="00034F48" w:rsidRPr="00941576" w:rsidRDefault="00034F48" w:rsidP="00034F48">
      <w:pPr>
        <w:pStyle w:val="Prrafodelista"/>
        <w:numPr>
          <w:ilvl w:val="0"/>
          <w:numId w:val="33"/>
        </w:numPr>
        <w:ind w:right="-1"/>
        <w:rPr>
          <w:rFonts w:cs="Arial"/>
        </w:rPr>
      </w:pPr>
      <w:r w:rsidRPr="00941576">
        <w:rPr>
          <w:rFonts w:cs="Arial"/>
        </w:rPr>
        <w:t>S</w:t>
      </w:r>
      <w:r w:rsidR="001F23ED" w:rsidRPr="00941576">
        <w:rPr>
          <w:rFonts w:cs="Arial"/>
        </w:rPr>
        <w:t>e consideró viable prescindir de</w:t>
      </w:r>
      <w:r w:rsidRPr="00941576">
        <w:rPr>
          <w:rFonts w:cs="Arial"/>
        </w:rPr>
        <w:t xml:space="preserve"> la utilización de materiales cementantes para reducir las propiedades expansivas de las arcillas del suelo de subrasante.</w:t>
      </w:r>
    </w:p>
    <w:p w:rsidR="00034F48" w:rsidRPr="00941576" w:rsidRDefault="00034F48" w:rsidP="00034F48">
      <w:pPr>
        <w:pStyle w:val="Prrafodelista"/>
        <w:numPr>
          <w:ilvl w:val="0"/>
          <w:numId w:val="33"/>
        </w:numPr>
        <w:ind w:right="-1"/>
        <w:rPr>
          <w:rFonts w:cs="Arial"/>
        </w:rPr>
      </w:pPr>
      <w:r w:rsidRPr="00941576">
        <w:rPr>
          <w:rFonts w:cs="Arial"/>
        </w:rPr>
        <w:t>Se h</w:t>
      </w:r>
      <w:r w:rsidR="001F23ED" w:rsidRPr="00941576">
        <w:rPr>
          <w:rFonts w:cs="Arial"/>
        </w:rPr>
        <w:t xml:space="preserve">izo </w:t>
      </w:r>
      <w:r w:rsidRPr="00941576">
        <w:rPr>
          <w:rFonts w:cs="Arial"/>
        </w:rPr>
        <w:t xml:space="preserve">énfasis en </w:t>
      </w:r>
      <w:r w:rsidR="00913F60" w:rsidRPr="00941576">
        <w:rPr>
          <w:rFonts w:cs="Arial"/>
        </w:rPr>
        <w:t xml:space="preserve">la necesidad de </w:t>
      </w:r>
      <w:r w:rsidRPr="00941576">
        <w:rPr>
          <w:rFonts w:cs="Arial"/>
        </w:rPr>
        <w:t>construir la estructura de pavimento a la mayor brevedad para evitar mayores inestabilidades en las arcillas.</w:t>
      </w:r>
    </w:p>
    <w:p w:rsidR="00034F48" w:rsidRPr="00941576" w:rsidRDefault="001F23ED" w:rsidP="00034F48">
      <w:pPr>
        <w:pStyle w:val="Prrafodelista"/>
        <w:numPr>
          <w:ilvl w:val="0"/>
          <w:numId w:val="33"/>
        </w:numPr>
        <w:ind w:right="-1"/>
        <w:rPr>
          <w:rFonts w:cs="Arial"/>
        </w:rPr>
      </w:pPr>
      <w:r w:rsidRPr="00941576">
        <w:rPr>
          <w:rFonts w:cs="Arial"/>
        </w:rPr>
        <w:t>Se mantuvo</w:t>
      </w:r>
      <w:r w:rsidR="003357AB" w:rsidRPr="00941576">
        <w:rPr>
          <w:rFonts w:cs="Arial"/>
        </w:rPr>
        <w:t xml:space="preserve"> la estructura de</w:t>
      </w:r>
      <w:r w:rsidR="00E0739C" w:rsidRPr="00941576">
        <w:rPr>
          <w:rFonts w:cs="Arial"/>
        </w:rPr>
        <w:t>l</w:t>
      </w:r>
      <w:r w:rsidR="003357AB" w:rsidRPr="00941576">
        <w:rPr>
          <w:rFonts w:cs="Arial"/>
        </w:rPr>
        <w:t xml:space="preserve"> pavimento en las condiciones previstas en el pliego de condiciones.</w:t>
      </w:r>
    </w:p>
    <w:p w:rsidR="00034F48" w:rsidRPr="00941576" w:rsidRDefault="00034F48" w:rsidP="003357AB">
      <w:pPr>
        <w:ind w:right="-1"/>
        <w:rPr>
          <w:rFonts w:cs="Arial"/>
        </w:rPr>
      </w:pPr>
    </w:p>
    <w:p w:rsidR="009C749B" w:rsidRPr="00941576" w:rsidRDefault="003357AB" w:rsidP="003357AB">
      <w:pPr>
        <w:ind w:right="-1"/>
        <w:rPr>
          <w:rFonts w:cs="Arial"/>
        </w:rPr>
      </w:pPr>
      <w:r w:rsidRPr="00941576">
        <w:rPr>
          <w:rFonts w:cs="Arial"/>
        </w:rPr>
        <w:t xml:space="preserve">De lo </w:t>
      </w:r>
      <w:r w:rsidR="001F23ED" w:rsidRPr="00941576">
        <w:rPr>
          <w:rFonts w:cs="Arial"/>
        </w:rPr>
        <w:t>plasmado no se extrae</w:t>
      </w:r>
      <w:r w:rsidR="00086011" w:rsidRPr="00941576">
        <w:rPr>
          <w:rFonts w:cs="Arial"/>
        </w:rPr>
        <w:t xml:space="preserve">n evidencias </w:t>
      </w:r>
      <w:r w:rsidR="0046740D" w:rsidRPr="00941576">
        <w:rPr>
          <w:rFonts w:cs="Arial"/>
        </w:rPr>
        <w:t>alusivas a que en</w:t>
      </w:r>
      <w:r w:rsidR="001F23ED" w:rsidRPr="00941576">
        <w:rPr>
          <w:rFonts w:cs="Arial"/>
        </w:rPr>
        <w:t xml:space="preserve"> el término de ejec</w:t>
      </w:r>
      <w:r w:rsidR="0046740D" w:rsidRPr="00941576">
        <w:rPr>
          <w:rFonts w:cs="Arial"/>
        </w:rPr>
        <w:t>ución contractual hubiera</w:t>
      </w:r>
      <w:r w:rsidR="001F23ED" w:rsidRPr="00941576">
        <w:rPr>
          <w:rFonts w:cs="Arial"/>
        </w:rPr>
        <w:t xml:space="preserve"> mediado</w:t>
      </w:r>
      <w:r w:rsidR="001600EC" w:rsidRPr="00941576">
        <w:rPr>
          <w:rFonts w:cs="Arial"/>
        </w:rPr>
        <w:t xml:space="preserve"> alguna</w:t>
      </w:r>
      <w:r w:rsidR="001F23ED" w:rsidRPr="00941576">
        <w:rPr>
          <w:rFonts w:cs="Arial"/>
        </w:rPr>
        <w:t xml:space="preserve"> modificación</w:t>
      </w:r>
      <w:r w:rsidR="001600EC" w:rsidRPr="00941576">
        <w:rPr>
          <w:rFonts w:cs="Arial"/>
        </w:rPr>
        <w:t xml:space="preserve"> sustancial</w:t>
      </w:r>
      <w:r w:rsidR="001F23ED" w:rsidRPr="00941576">
        <w:rPr>
          <w:rFonts w:cs="Arial"/>
        </w:rPr>
        <w:t xml:space="preserve"> </w:t>
      </w:r>
      <w:r w:rsidR="001600EC" w:rsidRPr="00941576">
        <w:rPr>
          <w:rFonts w:cs="Arial"/>
        </w:rPr>
        <w:t xml:space="preserve">a </w:t>
      </w:r>
      <w:r w:rsidR="00913F60" w:rsidRPr="00941576">
        <w:rPr>
          <w:rFonts w:cs="Arial"/>
        </w:rPr>
        <w:t xml:space="preserve">la estructura de suelos que </w:t>
      </w:r>
      <w:r w:rsidR="001F23ED" w:rsidRPr="00941576">
        <w:rPr>
          <w:rFonts w:cs="Arial"/>
        </w:rPr>
        <w:t xml:space="preserve">determinara la ampliación del plazo. </w:t>
      </w:r>
    </w:p>
    <w:p w:rsidR="009C749B" w:rsidRPr="00941576" w:rsidRDefault="009C749B" w:rsidP="003357AB">
      <w:pPr>
        <w:ind w:right="-1"/>
        <w:rPr>
          <w:rFonts w:cs="Arial"/>
        </w:rPr>
      </w:pPr>
    </w:p>
    <w:p w:rsidR="003304E4" w:rsidRPr="00941576" w:rsidRDefault="001F23ED" w:rsidP="003357AB">
      <w:pPr>
        <w:ind w:right="-1"/>
        <w:rPr>
          <w:rFonts w:cs="Arial"/>
        </w:rPr>
      </w:pPr>
      <w:r w:rsidRPr="00941576">
        <w:rPr>
          <w:rFonts w:cs="Arial"/>
        </w:rPr>
        <w:t xml:space="preserve">Por el contrario, en las recomendaciones </w:t>
      </w:r>
      <w:r w:rsidR="001600EC" w:rsidRPr="00941576">
        <w:rPr>
          <w:rFonts w:cs="Arial"/>
        </w:rPr>
        <w:t xml:space="preserve">reseñadas se partió de la necesidad de ejecutar con prontitud </w:t>
      </w:r>
      <w:r w:rsidR="00086011" w:rsidRPr="00941576">
        <w:rPr>
          <w:rFonts w:cs="Arial"/>
        </w:rPr>
        <w:t xml:space="preserve">la obra en su fase de colocación de terraplén </w:t>
      </w:r>
      <w:r w:rsidR="001600EC" w:rsidRPr="00941576">
        <w:rPr>
          <w:rFonts w:cs="Arial"/>
        </w:rPr>
        <w:t>para evitar filtraciones</w:t>
      </w:r>
      <w:r w:rsidR="003304E4" w:rsidRPr="00941576">
        <w:rPr>
          <w:rFonts w:cs="Arial"/>
        </w:rPr>
        <w:t xml:space="preserve"> en la </w:t>
      </w:r>
      <w:r w:rsidR="001600EC" w:rsidRPr="00941576">
        <w:rPr>
          <w:rFonts w:cs="Arial"/>
        </w:rPr>
        <w:t>capa de subrasante</w:t>
      </w:r>
      <w:r w:rsidR="00E0739C" w:rsidRPr="00941576">
        <w:rPr>
          <w:rFonts w:cs="Arial"/>
        </w:rPr>
        <w:t>,</w:t>
      </w:r>
      <w:r w:rsidR="001600EC" w:rsidRPr="00941576">
        <w:rPr>
          <w:rFonts w:cs="Arial"/>
        </w:rPr>
        <w:t xml:space="preserve"> ante la posibilidad de lluvias</w:t>
      </w:r>
      <w:r w:rsidR="00B52EF1" w:rsidRPr="00941576">
        <w:rPr>
          <w:rFonts w:cs="Arial"/>
        </w:rPr>
        <w:t xml:space="preserve"> que pudiera</w:t>
      </w:r>
      <w:r w:rsidR="009C749B" w:rsidRPr="00941576">
        <w:rPr>
          <w:rFonts w:cs="Arial"/>
        </w:rPr>
        <w:t>n</w:t>
      </w:r>
      <w:r w:rsidR="003304E4" w:rsidRPr="00941576">
        <w:rPr>
          <w:rFonts w:cs="Arial"/>
        </w:rPr>
        <w:t xml:space="preserve"> expandir la </w:t>
      </w:r>
      <w:r w:rsidR="009C749B" w:rsidRPr="00941576">
        <w:rPr>
          <w:rFonts w:cs="Arial"/>
        </w:rPr>
        <w:t>arcilla de la base. Con sustento en ello</w:t>
      </w:r>
      <w:r w:rsidR="0046740D" w:rsidRPr="00941576">
        <w:rPr>
          <w:rFonts w:cs="Arial"/>
        </w:rPr>
        <w:t>,</w:t>
      </w:r>
      <w:r w:rsidR="009C749B" w:rsidRPr="00941576">
        <w:rPr>
          <w:rFonts w:cs="Arial"/>
        </w:rPr>
        <w:t xml:space="preserve"> también</w:t>
      </w:r>
      <w:r w:rsidR="003304E4" w:rsidRPr="00941576">
        <w:rPr>
          <w:rFonts w:cs="Arial"/>
        </w:rPr>
        <w:t xml:space="preserve"> se excluyó la utilización de algunos materiales </w:t>
      </w:r>
      <w:r w:rsidR="00327868" w:rsidRPr="00941576">
        <w:rPr>
          <w:rFonts w:cs="Arial"/>
        </w:rPr>
        <w:t>propenso</w:t>
      </w:r>
      <w:r w:rsidR="003304E4" w:rsidRPr="00941576">
        <w:rPr>
          <w:rFonts w:cs="Arial"/>
        </w:rPr>
        <w:t>s a la expansión de la arcilla</w:t>
      </w:r>
      <w:r w:rsidR="00E0739C" w:rsidRPr="00941576">
        <w:rPr>
          <w:rFonts w:cs="Arial"/>
        </w:rPr>
        <w:t>,</w:t>
      </w:r>
      <w:r w:rsidR="003304E4" w:rsidRPr="00941576">
        <w:rPr>
          <w:rFonts w:cs="Arial"/>
        </w:rPr>
        <w:t xml:space="preserve"> con el fin de</w:t>
      </w:r>
      <w:r w:rsidR="005211FA" w:rsidRPr="00941576">
        <w:rPr>
          <w:rFonts w:cs="Arial"/>
        </w:rPr>
        <w:t xml:space="preserve"> brindar</w:t>
      </w:r>
      <w:r w:rsidR="003304E4" w:rsidRPr="00941576">
        <w:rPr>
          <w:rFonts w:cs="Arial"/>
        </w:rPr>
        <w:t xml:space="preserve"> mayor estabilidad. </w:t>
      </w:r>
    </w:p>
    <w:p w:rsidR="003304E4" w:rsidRPr="00941576" w:rsidRDefault="003304E4" w:rsidP="003357AB">
      <w:pPr>
        <w:ind w:right="-1"/>
        <w:rPr>
          <w:rFonts w:cs="Arial"/>
        </w:rPr>
      </w:pPr>
    </w:p>
    <w:p w:rsidR="004D1567" w:rsidRPr="00941576" w:rsidRDefault="003304E4" w:rsidP="003357AB">
      <w:pPr>
        <w:ind w:right="-1"/>
        <w:rPr>
          <w:rFonts w:cs="Arial"/>
        </w:rPr>
      </w:pPr>
      <w:r w:rsidRPr="00941576">
        <w:rPr>
          <w:rFonts w:cs="Arial"/>
        </w:rPr>
        <w:t>Ha</w:t>
      </w:r>
      <w:r w:rsidR="00930D2A" w:rsidRPr="00941576">
        <w:rPr>
          <w:rFonts w:cs="Arial"/>
        </w:rPr>
        <w:t xml:space="preserve"> de subrayarse</w:t>
      </w:r>
      <w:r w:rsidR="00F514A3" w:rsidRPr="00941576">
        <w:rPr>
          <w:rFonts w:cs="Arial"/>
        </w:rPr>
        <w:t>,</w:t>
      </w:r>
      <w:r w:rsidR="00930D2A" w:rsidRPr="00941576">
        <w:rPr>
          <w:rFonts w:cs="Arial"/>
        </w:rPr>
        <w:t xml:space="preserve"> además</w:t>
      </w:r>
      <w:r w:rsidR="00F514A3" w:rsidRPr="00941576">
        <w:rPr>
          <w:rFonts w:cs="Arial"/>
        </w:rPr>
        <w:t>,</w:t>
      </w:r>
      <w:r w:rsidR="00930D2A" w:rsidRPr="00941576">
        <w:rPr>
          <w:rFonts w:cs="Arial"/>
        </w:rPr>
        <w:t xml:space="preserve"> que, </w:t>
      </w:r>
      <w:r w:rsidRPr="00941576">
        <w:rPr>
          <w:rFonts w:cs="Arial"/>
        </w:rPr>
        <w:t>en todo caso</w:t>
      </w:r>
      <w:r w:rsidR="00930D2A" w:rsidRPr="00941576">
        <w:rPr>
          <w:rFonts w:cs="Arial"/>
        </w:rPr>
        <w:t>,</w:t>
      </w:r>
      <w:r w:rsidRPr="00941576">
        <w:rPr>
          <w:rFonts w:cs="Arial"/>
        </w:rPr>
        <w:t xml:space="preserve"> </w:t>
      </w:r>
      <w:r w:rsidR="004D1567" w:rsidRPr="00941576">
        <w:rPr>
          <w:rFonts w:cs="Arial"/>
        </w:rPr>
        <w:t xml:space="preserve">la estructura de pavimento debía </w:t>
      </w:r>
      <w:r w:rsidR="00913F60" w:rsidRPr="00941576">
        <w:rPr>
          <w:rFonts w:cs="Arial"/>
        </w:rPr>
        <w:t>conformarse en la forma contemplada</w:t>
      </w:r>
      <w:r w:rsidR="004D1567" w:rsidRPr="00941576">
        <w:rPr>
          <w:rFonts w:cs="Arial"/>
        </w:rPr>
        <w:t xml:space="preserve"> inicialmente en el pliego de condiciones.</w:t>
      </w:r>
      <w:r w:rsidR="000B46FA" w:rsidRPr="00941576">
        <w:rPr>
          <w:rFonts w:cs="Arial"/>
        </w:rPr>
        <w:t xml:space="preserve"> De ahí que lo p</w:t>
      </w:r>
      <w:r w:rsidR="00930D2A" w:rsidRPr="00941576">
        <w:rPr>
          <w:rFonts w:cs="Arial"/>
        </w:rPr>
        <w:t>erseguido por la reunión llevada</w:t>
      </w:r>
      <w:r w:rsidR="000B46FA" w:rsidRPr="00941576">
        <w:rPr>
          <w:rFonts w:cs="Arial"/>
        </w:rPr>
        <w:t xml:space="preserve"> a cabo era agilizar la ejecución del pro</w:t>
      </w:r>
      <w:r w:rsidR="00913F60" w:rsidRPr="00941576">
        <w:rPr>
          <w:rFonts w:cs="Arial"/>
        </w:rPr>
        <w:t>yecto en las condiciones pactada</w:t>
      </w:r>
      <w:r w:rsidR="000B46FA" w:rsidRPr="00941576">
        <w:rPr>
          <w:rFonts w:cs="Arial"/>
        </w:rPr>
        <w:t xml:space="preserve">s y </w:t>
      </w:r>
      <w:r w:rsidR="0036693F" w:rsidRPr="00941576">
        <w:rPr>
          <w:rFonts w:cs="Arial"/>
        </w:rPr>
        <w:t xml:space="preserve">no </w:t>
      </w:r>
      <w:r w:rsidR="000B46FA" w:rsidRPr="00941576">
        <w:rPr>
          <w:rFonts w:cs="Arial"/>
        </w:rPr>
        <w:t>retarda</w:t>
      </w:r>
      <w:r w:rsidR="0036693F" w:rsidRPr="00941576">
        <w:rPr>
          <w:rFonts w:cs="Arial"/>
        </w:rPr>
        <w:t>r</w:t>
      </w:r>
      <w:r w:rsidR="00F514A3" w:rsidRPr="00941576">
        <w:rPr>
          <w:rFonts w:cs="Arial"/>
        </w:rPr>
        <w:t xml:space="preserve"> su</w:t>
      </w:r>
      <w:r w:rsidR="000B46FA" w:rsidRPr="00941576">
        <w:rPr>
          <w:rFonts w:cs="Arial"/>
        </w:rPr>
        <w:t xml:space="preserve"> realización</w:t>
      </w:r>
      <w:r w:rsidR="006F5AC8" w:rsidRPr="00941576">
        <w:rPr>
          <w:rFonts w:cs="Arial"/>
        </w:rPr>
        <w:t xml:space="preserve"> por supuestos cambios o modificación de los diseños</w:t>
      </w:r>
      <w:r w:rsidR="000B46FA" w:rsidRPr="00941576">
        <w:rPr>
          <w:rFonts w:cs="Arial"/>
        </w:rPr>
        <w:t>.</w:t>
      </w:r>
    </w:p>
    <w:p w:rsidR="000B46FA" w:rsidRPr="00941576" w:rsidRDefault="000B46FA" w:rsidP="003357AB">
      <w:pPr>
        <w:ind w:right="-1"/>
        <w:rPr>
          <w:rFonts w:cs="Arial"/>
        </w:rPr>
      </w:pPr>
    </w:p>
    <w:p w:rsidR="008742CA" w:rsidRPr="00941576" w:rsidRDefault="000B46FA" w:rsidP="003357AB">
      <w:pPr>
        <w:ind w:right="-1"/>
        <w:rPr>
          <w:rFonts w:cs="Arial"/>
        </w:rPr>
      </w:pPr>
      <w:r w:rsidRPr="00941576">
        <w:rPr>
          <w:rFonts w:cs="Arial"/>
        </w:rPr>
        <w:t>Por lo dem</w:t>
      </w:r>
      <w:r w:rsidR="0036693F" w:rsidRPr="00941576">
        <w:rPr>
          <w:rFonts w:cs="Arial"/>
        </w:rPr>
        <w:t>ás, la bitácora de obra revela</w:t>
      </w:r>
      <w:r w:rsidR="00253EE1" w:rsidRPr="00941576">
        <w:rPr>
          <w:rFonts w:cs="Arial"/>
        </w:rPr>
        <w:t xml:space="preserve"> </w:t>
      </w:r>
      <w:r w:rsidR="0081410F" w:rsidRPr="00941576">
        <w:rPr>
          <w:rFonts w:cs="Arial"/>
        </w:rPr>
        <w:t xml:space="preserve">el adelantamiento de actividades </w:t>
      </w:r>
      <w:r w:rsidR="00D25DCD" w:rsidRPr="00941576">
        <w:rPr>
          <w:rFonts w:cs="Arial"/>
        </w:rPr>
        <w:t xml:space="preserve">hasta </w:t>
      </w:r>
      <w:r w:rsidR="008742CA" w:rsidRPr="00941576">
        <w:rPr>
          <w:rFonts w:cs="Arial"/>
        </w:rPr>
        <w:t xml:space="preserve">el 12 de julio de 2010. Se desconoce lo ocurrido desde entonces hasta la semana del 20 de octubre de 2010, pues en adelante </w:t>
      </w:r>
      <w:r w:rsidR="00D25DCD" w:rsidRPr="00941576">
        <w:rPr>
          <w:rFonts w:cs="Arial"/>
        </w:rPr>
        <w:t xml:space="preserve">no hay registro </w:t>
      </w:r>
      <w:r w:rsidR="00913F60" w:rsidRPr="00941576">
        <w:rPr>
          <w:rFonts w:cs="Arial"/>
        </w:rPr>
        <w:t xml:space="preserve">de </w:t>
      </w:r>
      <w:r w:rsidR="00E8209D" w:rsidRPr="00941576">
        <w:rPr>
          <w:rFonts w:cs="Arial"/>
        </w:rPr>
        <w:t>los trabajos realizados</w:t>
      </w:r>
      <w:r w:rsidR="008742CA" w:rsidRPr="00941576">
        <w:rPr>
          <w:rFonts w:cs="Arial"/>
        </w:rPr>
        <w:t>.</w:t>
      </w:r>
    </w:p>
    <w:p w:rsidR="008742CA" w:rsidRPr="00941576" w:rsidRDefault="008742CA" w:rsidP="003357AB">
      <w:pPr>
        <w:ind w:right="-1"/>
        <w:rPr>
          <w:rFonts w:cs="Arial"/>
        </w:rPr>
      </w:pPr>
    </w:p>
    <w:p w:rsidR="000B46FA" w:rsidRPr="00941576" w:rsidRDefault="008742CA" w:rsidP="003357AB">
      <w:pPr>
        <w:ind w:right="-1"/>
        <w:rPr>
          <w:rFonts w:cs="Arial"/>
        </w:rPr>
      </w:pPr>
      <w:r w:rsidRPr="00941576">
        <w:rPr>
          <w:rFonts w:cs="Arial"/>
        </w:rPr>
        <w:t xml:space="preserve">En consonancia con lo anotado, </w:t>
      </w:r>
      <w:r w:rsidR="00D25DCD" w:rsidRPr="00941576">
        <w:rPr>
          <w:rFonts w:cs="Arial"/>
        </w:rPr>
        <w:t>tanto en el acta de recibo final de recibo de obra, como en l</w:t>
      </w:r>
      <w:r w:rsidR="00E001A2" w:rsidRPr="00941576">
        <w:rPr>
          <w:rFonts w:cs="Arial"/>
        </w:rPr>
        <w:t>os informes de interventoría</w:t>
      </w:r>
      <w:r w:rsidR="00F514A3" w:rsidRPr="00941576">
        <w:rPr>
          <w:rFonts w:cs="Arial"/>
        </w:rPr>
        <w:t>,</w:t>
      </w:r>
      <w:r w:rsidR="00E001A2" w:rsidRPr="00941576">
        <w:rPr>
          <w:rFonts w:cs="Arial"/>
        </w:rPr>
        <w:t xml:space="preserve"> se puso de presente </w:t>
      </w:r>
      <w:r w:rsidR="00D25DCD" w:rsidRPr="00941576">
        <w:rPr>
          <w:rFonts w:cs="Arial"/>
        </w:rPr>
        <w:t xml:space="preserve">que el contrato se suspendió entre el 9 de agosto y el 7 de noviembre de </w:t>
      </w:r>
      <w:r w:rsidR="00032E72" w:rsidRPr="00941576">
        <w:rPr>
          <w:rFonts w:cs="Arial"/>
        </w:rPr>
        <w:t xml:space="preserve">2010.  Con todo, </w:t>
      </w:r>
      <w:r w:rsidR="006340C4" w:rsidRPr="00941576">
        <w:rPr>
          <w:rFonts w:cs="Arial"/>
        </w:rPr>
        <w:t>no reposa elemento probatorio del cual desprender con claridad la causa que motivó la mencionada suspensión y</w:t>
      </w:r>
      <w:r w:rsidR="00FF2C23" w:rsidRPr="00941576">
        <w:rPr>
          <w:rFonts w:cs="Arial"/>
        </w:rPr>
        <w:t>,</w:t>
      </w:r>
      <w:r w:rsidR="006340C4" w:rsidRPr="00941576">
        <w:rPr>
          <w:rFonts w:cs="Arial"/>
        </w:rPr>
        <w:t xml:space="preserve"> menos aún</w:t>
      </w:r>
      <w:r w:rsidR="00FF2C23" w:rsidRPr="00941576">
        <w:rPr>
          <w:rFonts w:cs="Arial"/>
        </w:rPr>
        <w:t>,</w:t>
      </w:r>
      <w:r w:rsidR="006340C4" w:rsidRPr="00941576">
        <w:rPr>
          <w:rFonts w:cs="Arial"/>
        </w:rPr>
        <w:t xml:space="preserve"> resulta</w:t>
      </w:r>
      <w:r w:rsidR="00FF2C23" w:rsidRPr="00941576">
        <w:rPr>
          <w:rFonts w:cs="Arial"/>
        </w:rPr>
        <w:t xml:space="preserve"> posible inferir, </w:t>
      </w:r>
      <w:r w:rsidR="006340C4" w:rsidRPr="00941576">
        <w:rPr>
          <w:rFonts w:cs="Arial"/>
        </w:rPr>
        <w:t>por las circunstancias anotadas</w:t>
      </w:r>
      <w:r w:rsidR="00FF2C23" w:rsidRPr="00941576">
        <w:rPr>
          <w:rFonts w:cs="Arial"/>
        </w:rPr>
        <w:t>,</w:t>
      </w:r>
      <w:r w:rsidR="00913F60" w:rsidRPr="00941576">
        <w:rPr>
          <w:rFonts w:cs="Arial"/>
        </w:rPr>
        <w:t xml:space="preserve"> que su parálisis</w:t>
      </w:r>
      <w:r w:rsidR="00032E72" w:rsidRPr="00941576">
        <w:rPr>
          <w:rFonts w:cs="Arial"/>
        </w:rPr>
        <w:t xml:space="preserve"> se </w:t>
      </w:r>
      <w:r w:rsidR="00E001A2" w:rsidRPr="00941576">
        <w:rPr>
          <w:rFonts w:cs="Arial"/>
        </w:rPr>
        <w:t>hubiera atribuido</w:t>
      </w:r>
      <w:r w:rsidR="00032E72" w:rsidRPr="00941576">
        <w:rPr>
          <w:rFonts w:cs="Arial"/>
        </w:rPr>
        <w:t xml:space="preserve"> a problemas climatológicos o a</w:t>
      </w:r>
      <w:r w:rsidR="0058123B" w:rsidRPr="00941576">
        <w:rPr>
          <w:rFonts w:cs="Arial"/>
        </w:rPr>
        <w:t xml:space="preserve"> cambio</w:t>
      </w:r>
      <w:r w:rsidR="00F514A3" w:rsidRPr="00941576">
        <w:rPr>
          <w:rFonts w:cs="Arial"/>
        </w:rPr>
        <w:t>s</w:t>
      </w:r>
      <w:r w:rsidR="0058123B" w:rsidRPr="00941576">
        <w:rPr>
          <w:rFonts w:cs="Arial"/>
        </w:rPr>
        <w:t xml:space="preserve"> en las especificaciones y diseños por</w:t>
      </w:r>
      <w:r w:rsidR="00032E72" w:rsidRPr="00941576">
        <w:rPr>
          <w:rFonts w:cs="Arial"/>
        </w:rPr>
        <w:t xml:space="preserve"> las condiciones del terreno</w:t>
      </w:r>
      <w:r w:rsidR="00F514A3" w:rsidRPr="00941576">
        <w:rPr>
          <w:rFonts w:cs="Arial"/>
        </w:rPr>
        <w:t>,</w:t>
      </w:r>
      <w:r w:rsidR="00FF2C23" w:rsidRPr="00941576">
        <w:rPr>
          <w:rFonts w:cs="Arial"/>
        </w:rPr>
        <w:t xml:space="preserve"> como lo sostuvo el actor</w:t>
      </w:r>
      <w:r w:rsidR="00032E72" w:rsidRPr="00941576">
        <w:rPr>
          <w:rFonts w:cs="Arial"/>
        </w:rPr>
        <w:t xml:space="preserve">. </w:t>
      </w:r>
    </w:p>
    <w:p w:rsidR="00777FC3" w:rsidRPr="00941576" w:rsidRDefault="00777FC3" w:rsidP="003357AB">
      <w:pPr>
        <w:ind w:right="-1"/>
        <w:rPr>
          <w:rFonts w:cs="Arial"/>
        </w:rPr>
      </w:pPr>
    </w:p>
    <w:p w:rsidR="00D242A8" w:rsidRPr="00941576" w:rsidRDefault="008742CA" w:rsidP="00C10F18">
      <w:pPr>
        <w:ind w:right="-1"/>
        <w:rPr>
          <w:rFonts w:cs="Arial"/>
        </w:rPr>
      </w:pPr>
      <w:r w:rsidRPr="00941576">
        <w:rPr>
          <w:rFonts w:cs="Arial"/>
        </w:rPr>
        <w:t>P</w:t>
      </w:r>
      <w:r w:rsidR="00C10F18" w:rsidRPr="00941576">
        <w:rPr>
          <w:rFonts w:cs="Arial"/>
        </w:rPr>
        <w:t>or cuenta de uno de los informes de interventoría se tiene noticia de que en el período comprendido entre el 20 de octubre y el 5 de noviembre de 2010, se</w:t>
      </w:r>
      <w:r w:rsidR="00467F57" w:rsidRPr="00941576">
        <w:rPr>
          <w:rFonts w:cs="Arial"/>
        </w:rPr>
        <w:t xml:space="preserve"> </w:t>
      </w:r>
      <w:r w:rsidR="00D242A8" w:rsidRPr="00941576">
        <w:rPr>
          <w:rFonts w:cs="Arial"/>
        </w:rPr>
        <w:t>llevaron</w:t>
      </w:r>
      <w:r w:rsidR="00467F57" w:rsidRPr="00941576">
        <w:rPr>
          <w:rFonts w:cs="Arial"/>
        </w:rPr>
        <w:t xml:space="preserve"> a cabo actividades tales como: </w:t>
      </w:r>
      <w:r w:rsidR="00F514A3" w:rsidRPr="00941576">
        <w:rPr>
          <w:rFonts w:cs="Arial"/>
        </w:rPr>
        <w:t>estabilización con pedraplé</w:t>
      </w:r>
      <w:r w:rsidR="00C10F18" w:rsidRPr="00941576">
        <w:rPr>
          <w:rFonts w:cs="Arial"/>
        </w:rPr>
        <w:t>n en laterales de talud</w:t>
      </w:r>
      <w:r w:rsidR="00D242A8" w:rsidRPr="00941576">
        <w:rPr>
          <w:rFonts w:cs="Arial"/>
        </w:rPr>
        <w:t xml:space="preserve">, </w:t>
      </w:r>
      <w:r w:rsidR="00C10F18" w:rsidRPr="00941576">
        <w:rPr>
          <w:rFonts w:cs="Arial"/>
        </w:rPr>
        <w:t>trabajos manuales por deslizamiento de talud</w:t>
      </w:r>
      <w:r w:rsidR="005211FA" w:rsidRPr="00941576">
        <w:rPr>
          <w:rStyle w:val="Refdenotaalpie"/>
          <w:rFonts w:cs="Arial"/>
        </w:rPr>
        <w:footnoteReference w:id="29"/>
      </w:r>
      <w:r w:rsidR="00C10F18" w:rsidRPr="00941576">
        <w:rPr>
          <w:rFonts w:cs="Arial"/>
        </w:rPr>
        <w:t>, compact</w:t>
      </w:r>
      <w:r w:rsidR="00D242A8" w:rsidRPr="00941576">
        <w:rPr>
          <w:rFonts w:cs="Arial"/>
        </w:rPr>
        <w:t>ación de las capas de terraplén, fundida de</w:t>
      </w:r>
      <w:r w:rsidR="00C10F18" w:rsidRPr="00941576">
        <w:rPr>
          <w:rFonts w:cs="Arial"/>
        </w:rPr>
        <w:t xml:space="preserve"> muros de encole y descole de boxc</w:t>
      </w:r>
      <w:r w:rsidR="00F514A3" w:rsidRPr="00941576">
        <w:rPr>
          <w:rFonts w:cs="Arial"/>
        </w:rPr>
        <w:t>o</w:t>
      </w:r>
      <w:r w:rsidR="00C10F18" w:rsidRPr="00941576">
        <w:rPr>
          <w:rFonts w:cs="Arial"/>
        </w:rPr>
        <w:t>ulvert, construcción de ciclópeo en canal abierto para conducción de aguas</w:t>
      </w:r>
      <w:r w:rsidR="00D242A8" w:rsidRPr="00941576">
        <w:rPr>
          <w:rFonts w:cs="Arial"/>
        </w:rPr>
        <w:t>.</w:t>
      </w:r>
    </w:p>
    <w:p w:rsidR="00D242A8" w:rsidRPr="00941576" w:rsidRDefault="00D242A8" w:rsidP="00C10F18">
      <w:pPr>
        <w:ind w:right="-1"/>
        <w:rPr>
          <w:rFonts w:cs="Arial"/>
        </w:rPr>
      </w:pPr>
    </w:p>
    <w:p w:rsidR="00561042" w:rsidRPr="00941576" w:rsidRDefault="00E8209D" w:rsidP="00C10F18">
      <w:pPr>
        <w:ind w:right="-1"/>
        <w:rPr>
          <w:rFonts w:cs="Arial"/>
        </w:rPr>
      </w:pPr>
      <w:r w:rsidRPr="00941576">
        <w:rPr>
          <w:rFonts w:cs="Arial"/>
        </w:rPr>
        <w:lastRenderedPageBreak/>
        <w:t>Como se observa, una semana antes de finalizar el término de suspensión</w:t>
      </w:r>
      <w:r w:rsidR="00D242A8" w:rsidRPr="00941576">
        <w:rPr>
          <w:rFonts w:cs="Arial"/>
        </w:rPr>
        <w:t xml:space="preserve"> la ejecución de las</w:t>
      </w:r>
      <w:r w:rsidR="00561042" w:rsidRPr="00941576">
        <w:rPr>
          <w:rFonts w:cs="Arial"/>
        </w:rPr>
        <w:t xml:space="preserve"> o</w:t>
      </w:r>
      <w:r w:rsidR="00344F8C" w:rsidRPr="00941576">
        <w:rPr>
          <w:rFonts w:cs="Arial"/>
        </w:rPr>
        <w:t>bras continuó</w:t>
      </w:r>
      <w:r w:rsidR="00561042" w:rsidRPr="00941576">
        <w:rPr>
          <w:rFonts w:cs="Arial"/>
        </w:rPr>
        <w:t xml:space="preserve"> </w:t>
      </w:r>
      <w:r w:rsidR="00344F8C" w:rsidRPr="00941576">
        <w:rPr>
          <w:rFonts w:cs="Arial"/>
        </w:rPr>
        <w:t xml:space="preserve">su curso </w:t>
      </w:r>
      <w:r w:rsidRPr="00941576">
        <w:rPr>
          <w:rFonts w:cs="Arial"/>
        </w:rPr>
        <w:t>sin reportar la causa que dio origen a la ampliación del plazo.</w:t>
      </w:r>
    </w:p>
    <w:p w:rsidR="00344F8C" w:rsidRPr="00941576" w:rsidRDefault="00344F8C" w:rsidP="00C10F18">
      <w:pPr>
        <w:ind w:right="-1"/>
        <w:rPr>
          <w:rFonts w:cs="Arial"/>
        </w:rPr>
      </w:pPr>
    </w:p>
    <w:p w:rsidR="00F514A3" w:rsidRPr="00941576" w:rsidRDefault="00913F60" w:rsidP="00C35607">
      <w:pPr>
        <w:ind w:right="-1"/>
        <w:rPr>
          <w:rFonts w:cs="Arial"/>
        </w:rPr>
      </w:pPr>
      <w:r w:rsidRPr="00941576">
        <w:rPr>
          <w:rFonts w:cs="Arial"/>
        </w:rPr>
        <w:t>A la</w:t>
      </w:r>
      <w:r w:rsidR="0058123B" w:rsidRPr="00941576">
        <w:rPr>
          <w:rFonts w:cs="Arial"/>
        </w:rPr>
        <w:t xml:space="preserve"> par con lo dicho, se reitera que </w:t>
      </w:r>
      <w:r w:rsidR="00FB60E6" w:rsidRPr="00941576">
        <w:rPr>
          <w:rFonts w:cs="Arial"/>
        </w:rPr>
        <w:t>la fecha prevista para la</w:t>
      </w:r>
      <w:r w:rsidR="00C10F18" w:rsidRPr="00941576">
        <w:rPr>
          <w:rFonts w:cs="Arial"/>
        </w:rPr>
        <w:t xml:space="preserve"> terminación del plazo contractual correspondía al 22 de noviembre de 2010</w:t>
      </w:r>
      <w:r w:rsidR="00C145EB" w:rsidRPr="00941576">
        <w:rPr>
          <w:rFonts w:cs="Arial"/>
        </w:rPr>
        <w:t>. Empero</w:t>
      </w:r>
      <w:r w:rsidR="00C10F18" w:rsidRPr="00941576">
        <w:rPr>
          <w:rFonts w:cs="Arial"/>
        </w:rPr>
        <w:t xml:space="preserve">, en </w:t>
      </w:r>
      <w:r w:rsidR="00C145EB" w:rsidRPr="00941576">
        <w:rPr>
          <w:rFonts w:cs="Arial"/>
        </w:rPr>
        <w:t>los meses de diciembre de 2010,</w:t>
      </w:r>
      <w:r w:rsidR="00C10F18" w:rsidRPr="00941576">
        <w:rPr>
          <w:rFonts w:cs="Arial"/>
        </w:rPr>
        <w:t xml:space="preserve"> enero y feb</w:t>
      </w:r>
      <w:r w:rsidR="00C35607" w:rsidRPr="00941576">
        <w:rPr>
          <w:rFonts w:cs="Arial"/>
        </w:rPr>
        <w:t>rero de 2011,</w:t>
      </w:r>
      <w:r w:rsidR="00F514A3" w:rsidRPr="00941576">
        <w:rPr>
          <w:rFonts w:cs="Arial"/>
        </w:rPr>
        <w:t xml:space="preserve"> la interventoría se pronunció frente a los resultados de </w:t>
      </w:r>
      <w:r w:rsidR="0068162C" w:rsidRPr="00941576">
        <w:rPr>
          <w:rFonts w:cs="Arial"/>
        </w:rPr>
        <w:t>laboratorio practicados sobre</w:t>
      </w:r>
      <w:r w:rsidR="00F514A3" w:rsidRPr="00941576">
        <w:rPr>
          <w:rFonts w:cs="Arial"/>
        </w:rPr>
        <w:t xml:space="preserve"> la subbase del suelo cemento presentado por el contratista, los cuales fueron insatisfactorios por no cumplir con las especificaciones exigidas por la entidad</w:t>
      </w:r>
      <w:r w:rsidR="00F514A3" w:rsidRPr="00941576">
        <w:rPr>
          <w:rStyle w:val="Refdenotaalpie"/>
          <w:rFonts w:cs="Arial"/>
        </w:rPr>
        <w:footnoteReference w:id="30"/>
      </w:r>
      <w:r w:rsidR="00F514A3" w:rsidRPr="00941576">
        <w:rPr>
          <w:rFonts w:cs="Arial"/>
        </w:rPr>
        <w:t>.</w:t>
      </w:r>
    </w:p>
    <w:p w:rsidR="0068162C" w:rsidRPr="00941576" w:rsidRDefault="0068162C" w:rsidP="00C35607">
      <w:pPr>
        <w:ind w:right="-1"/>
        <w:rPr>
          <w:rFonts w:cs="Arial"/>
        </w:rPr>
      </w:pPr>
    </w:p>
    <w:p w:rsidR="0058123B" w:rsidRPr="00941576" w:rsidRDefault="00F514A3" w:rsidP="00C35607">
      <w:pPr>
        <w:ind w:right="-1"/>
        <w:rPr>
          <w:rFonts w:cs="Arial"/>
        </w:rPr>
      </w:pPr>
      <w:r w:rsidRPr="00941576">
        <w:rPr>
          <w:rFonts w:cs="Arial"/>
        </w:rPr>
        <w:t>L</w:t>
      </w:r>
      <w:r w:rsidR="00C35607" w:rsidRPr="00941576">
        <w:rPr>
          <w:rFonts w:cs="Arial"/>
        </w:rPr>
        <w:t>a obra continuó</w:t>
      </w:r>
      <w:r w:rsidR="00C10F18" w:rsidRPr="00941576">
        <w:rPr>
          <w:rFonts w:cs="Arial"/>
        </w:rPr>
        <w:t xml:space="preserve"> en estado de ejecución</w:t>
      </w:r>
      <w:r w:rsidR="00C35607" w:rsidRPr="00941576">
        <w:rPr>
          <w:rFonts w:cs="Arial"/>
        </w:rPr>
        <w:t xml:space="preserve"> hasta el 29 de abril de 2011, cuando se suscribió al acta de recibo final</w:t>
      </w:r>
      <w:r w:rsidR="00C10F18" w:rsidRPr="00941576">
        <w:rPr>
          <w:rFonts w:cs="Arial"/>
        </w:rPr>
        <w:t xml:space="preserve">. </w:t>
      </w:r>
    </w:p>
    <w:p w:rsidR="00FC1366" w:rsidRPr="00941576" w:rsidRDefault="00FC1366" w:rsidP="00C10F18">
      <w:pPr>
        <w:ind w:right="-1"/>
        <w:rPr>
          <w:rFonts w:cs="Arial"/>
        </w:rPr>
      </w:pPr>
    </w:p>
    <w:p w:rsidR="00C10F18" w:rsidRPr="00941576" w:rsidRDefault="00FC1366" w:rsidP="00C10F18">
      <w:pPr>
        <w:ind w:right="-1"/>
        <w:rPr>
          <w:rFonts w:cs="Arial"/>
        </w:rPr>
      </w:pPr>
      <w:r w:rsidRPr="00941576">
        <w:rPr>
          <w:rFonts w:cs="Arial"/>
        </w:rPr>
        <w:t>Esta situación, a juicio de la Sala, permite inferir que la tardanza causada en los últimos meses de ejecución de la obra -</w:t>
      </w:r>
      <w:r w:rsidR="00D85B6C" w:rsidRPr="00941576">
        <w:rPr>
          <w:rFonts w:cs="Arial"/>
        </w:rPr>
        <w:t xml:space="preserve">enero, </w:t>
      </w:r>
      <w:r w:rsidRPr="00941576">
        <w:rPr>
          <w:rFonts w:cs="Arial"/>
        </w:rPr>
        <w:t xml:space="preserve">febrero </w:t>
      </w:r>
      <w:r w:rsidR="00D85B6C" w:rsidRPr="00941576">
        <w:rPr>
          <w:rFonts w:cs="Arial"/>
        </w:rPr>
        <w:t xml:space="preserve">y </w:t>
      </w:r>
      <w:r w:rsidRPr="00941576">
        <w:rPr>
          <w:rFonts w:cs="Arial"/>
        </w:rPr>
        <w:t>marzo de 2011-, se presentó por causas imputables al contratista</w:t>
      </w:r>
      <w:r w:rsidR="00BE2FC6" w:rsidRPr="00941576">
        <w:rPr>
          <w:rFonts w:cs="Arial"/>
        </w:rPr>
        <w:t xml:space="preserve"> en cuanto existió demora en </w:t>
      </w:r>
      <w:r w:rsidRPr="00941576">
        <w:rPr>
          <w:rFonts w:cs="Arial"/>
        </w:rPr>
        <w:t xml:space="preserve">el recibo de los tramos intervenidos </w:t>
      </w:r>
      <w:r w:rsidR="001510A8" w:rsidRPr="00941576">
        <w:rPr>
          <w:rFonts w:cs="Arial"/>
        </w:rPr>
        <w:t>por no ceñirse</w:t>
      </w:r>
      <w:r w:rsidR="00BE2FC6" w:rsidRPr="00941576">
        <w:rPr>
          <w:rFonts w:cs="Arial"/>
        </w:rPr>
        <w:t xml:space="preserve"> </w:t>
      </w:r>
      <w:r w:rsidR="00D85B6C" w:rsidRPr="00941576">
        <w:rPr>
          <w:rFonts w:cs="Arial"/>
        </w:rPr>
        <w:t>a la</w:t>
      </w:r>
      <w:r w:rsidR="002C2680" w:rsidRPr="00941576">
        <w:rPr>
          <w:rFonts w:cs="Arial"/>
        </w:rPr>
        <w:t>s</w:t>
      </w:r>
      <w:r w:rsidR="00D85B6C" w:rsidRPr="00941576">
        <w:rPr>
          <w:rFonts w:cs="Arial"/>
        </w:rPr>
        <w:t xml:space="preserve"> especificaciones de la subbase del suelo cemento.</w:t>
      </w:r>
    </w:p>
    <w:p w:rsidR="00C35607" w:rsidRPr="00941576" w:rsidRDefault="00C35607" w:rsidP="00C10F18">
      <w:pPr>
        <w:ind w:right="-1"/>
        <w:rPr>
          <w:rFonts w:cs="Arial"/>
        </w:rPr>
      </w:pPr>
    </w:p>
    <w:p w:rsidR="00637ADC" w:rsidRPr="00941576" w:rsidRDefault="00C35607" w:rsidP="00C10F18">
      <w:pPr>
        <w:ind w:right="-1"/>
        <w:rPr>
          <w:rFonts w:cs="Arial"/>
        </w:rPr>
      </w:pPr>
      <w:r w:rsidRPr="00941576">
        <w:rPr>
          <w:rFonts w:cs="Arial"/>
        </w:rPr>
        <w:t>Pues bien, como síntesis esencia</w:t>
      </w:r>
      <w:r w:rsidR="00F70D17" w:rsidRPr="00941576">
        <w:rPr>
          <w:rFonts w:cs="Arial"/>
        </w:rPr>
        <w:t>l</w:t>
      </w:r>
      <w:r w:rsidR="005A33DD" w:rsidRPr="00941576">
        <w:rPr>
          <w:rFonts w:cs="Arial"/>
        </w:rPr>
        <w:t xml:space="preserve"> de lo</w:t>
      </w:r>
      <w:r w:rsidR="00C145EB" w:rsidRPr="00941576">
        <w:rPr>
          <w:rFonts w:cs="Arial"/>
        </w:rPr>
        <w:t xml:space="preserve"> dicho</w:t>
      </w:r>
      <w:r w:rsidR="00F514A3" w:rsidRPr="00941576">
        <w:rPr>
          <w:rFonts w:cs="Arial"/>
        </w:rPr>
        <w:t>,</w:t>
      </w:r>
      <w:r w:rsidR="00C145EB" w:rsidRPr="00941576">
        <w:rPr>
          <w:rFonts w:cs="Arial"/>
        </w:rPr>
        <w:t xml:space="preserve"> la Sala encuentra que</w:t>
      </w:r>
      <w:r w:rsidR="00F70D17" w:rsidRPr="00941576">
        <w:rPr>
          <w:rFonts w:cs="Arial"/>
        </w:rPr>
        <w:t xml:space="preserve">, </w:t>
      </w:r>
      <w:r w:rsidRPr="00941576">
        <w:rPr>
          <w:rFonts w:cs="Arial"/>
        </w:rPr>
        <w:t xml:space="preserve">en </w:t>
      </w:r>
      <w:r w:rsidR="00F70D17" w:rsidRPr="00941576">
        <w:rPr>
          <w:rFonts w:cs="Arial"/>
        </w:rPr>
        <w:t>efecto,</w:t>
      </w:r>
      <w:r w:rsidRPr="00941576">
        <w:rPr>
          <w:rFonts w:cs="Arial"/>
        </w:rPr>
        <w:t xml:space="preserve"> existió una prolongación en el plazo de ejecución del Contrato No. 001 de 2010</w:t>
      </w:r>
      <w:r w:rsidR="00C145EB" w:rsidRPr="00941576">
        <w:rPr>
          <w:rFonts w:cs="Arial"/>
        </w:rPr>
        <w:t>. Sin embargo,</w:t>
      </w:r>
      <w:r w:rsidRPr="00941576">
        <w:rPr>
          <w:rFonts w:cs="Arial"/>
        </w:rPr>
        <w:t xml:space="preserve"> </w:t>
      </w:r>
      <w:r w:rsidR="00F70D17" w:rsidRPr="00941576">
        <w:rPr>
          <w:rFonts w:cs="Arial"/>
        </w:rPr>
        <w:t>no</w:t>
      </w:r>
      <w:r w:rsidR="005A33DD" w:rsidRPr="00941576">
        <w:rPr>
          <w:rFonts w:cs="Arial"/>
        </w:rPr>
        <w:t xml:space="preserve"> se encuentra acreditado en el plenario que dicha ampliación y la supuesta mayor permanencia en obra que dice haber soportado el demandante hubiera obe</w:t>
      </w:r>
      <w:r w:rsidR="009A0658" w:rsidRPr="00941576">
        <w:rPr>
          <w:rFonts w:cs="Arial"/>
        </w:rPr>
        <w:t>decido a la ola invernal o a condiciones imprevistas en el terreno</w:t>
      </w:r>
      <w:r w:rsidR="00637ADC" w:rsidRPr="00941576">
        <w:rPr>
          <w:rFonts w:cs="Arial"/>
        </w:rPr>
        <w:t>.</w:t>
      </w:r>
    </w:p>
    <w:p w:rsidR="00637ADC" w:rsidRPr="00941576" w:rsidRDefault="00637ADC" w:rsidP="00C10F18">
      <w:pPr>
        <w:ind w:right="-1"/>
        <w:rPr>
          <w:rFonts w:cs="Arial"/>
        </w:rPr>
      </w:pPr>
    </w:p>
    <w:p w:rsidR="006D7ABA" w:rsidRPr="00941576" w:rsidRDefault="00637ADC" w:rsidP="00C10F18">
      <w:pPr>
        <w:ind w:right="-1"/>
        <w:rPr>
          <w:rFonts w:cs="Arial"/>
        </w:rPr>
      </w:pPr>
      <w:r w:rsidRPr="00941576">
        <w:rPr>
          <w:rFonts w:cs="Arial"/>
        </w:rPr>
        <w:t>E</w:t>
      </w:r>
      <w:r w:rsidR="009A0658" w:rsidRPr="00941576">
        <w:rPr>
          <w:rFonts w:cs="Arial"/>
        </w:rPr>
        <w:t xml:space="preserve">l recorrido probatorio </w:t>
      </w:r>
      <w:r w:rsidRPr="00941576">
        <w:rPr>
          <w:rFonts w:cs="Arial"/>
        </w:rPr>
        <w:t>emprendido permitió</w:t>
      </w:r>
      <w:r w:rsidR="009A0658" w:rsidRPr="00941576">
        <w:rPr>
          <w:rFonts w:cs="Arial"/>
        </w:rPr>
        <w:t xml:space="preserve"> entrever que </w:t>
      </w:r>
      <w:r w:rsidRPr="00941576">
        <w:rPr>
          <w:rFonts w:cs="Arial"/>
        </w:rPr>
        <w:t xml:space="preserve">si bien </w:t>
      </w:r>
      <w:r w:rsidR="009A0658" w:rsidRPr="00941576">
        <w:rPr>
          <w:rFonts w:cs="Arial"/>
        </w:rPr>
        <w:t xml:space="preserve">se presentaron lluvias </w:t>
      </w:r>
      <w:r w:rsidR="006D7ABA" w:rsidRPr="00941576">
        <w:rPr>
          <w:rFonts w:cs="Arial"/>
        </w:rPr>
        <w:t xml:space="preserve">durante la ejecución de la obra </w:t>
      </w:r>
      <w:r w:rsidR="009A0658" w:rsidRPr="00941576">
        <w:rPr>
          <w:rFonts w:cs="Arial"/>
        </w:rPr>
        <w:t xml:space="preserve">y </w:t>
      </w:r>
      <w:r w:rsidRPr="00941576">
        <w:rPr>
          <w:rFonts w:cs="Arial"/>
        </w:rPr>
        <w:t xml:space="preserve">que se debió realizar un nuevo levantamiento topográfico para obtener el trazado definitivo de la vía, tales acontecimientos, como se dejó explicado, no tuvieron la virtualidad de determinar </w:t>
      </w:r>
      <w:r w:rsidR="00C07BCC" w:rsidRPr="00941576">
        <w:rPr>
          <w:rFonts w:cs="Arial"/>
        </w:rPr>
        <w:t xml:space="preserve">el retardo en la ejecución de la obra </w:t>
      </w:r>
      <w:r w:rsidRPr="00941576">
        <w:rPr>
          <w:rFonts w:cs="Arial"/>
        </w:rPr>
        <w:t>por ocho meses más de</w:t>
      </w:r>
      <w:r w:rsidR="00C07BCC" w:rsidRPr="00941576">
        <w:rPr>
          <w:rFonts w:cs="Arial"/>
        </w:rPr>
        <w:t>l tiempo</w:t>
      </w:r>
      <w:r w:rsidRPr="00941576">
        <w:rPr>
          <w:rFonts w:cs="Arial"/>
        </w:rPr>
        <w:t xml:space="preserve"> previsto. </w:t>
      </w:r>
    </w:p>
    <w:p w:rsidR="001629B2" w:rsidRPr="00941576" w:rsidRDefault="001629B2" w:rsidP="00C10F18">
      <w:pPr>
        <w:ind w:right="-1"/>
        <w:rPr>
          <w:rFonts w:cs="Arial"/>
        </w:rPr>
      </w:pPr>
    </w:p>
    <w:p w:rsidR="007A07D2" w:rsidRPr="00941576" w:rsidRDefault="00C145EB" w:rsidP="00C10F18">
      <w:pPr>
        <w:ind w:right="-1"/>
        <w:rPr>
          <w:rFonts w:cs="Arial"/>
        </w:rPr>
      </w:pPr>
      <w:r w:rsidRPr="00941576">
        <w:rPr>
          <w:rFonts w:cs="Arial"/>
        </w:rPr>
        <w:t>D</w:t>
      </w:r>
      <w:r w:rsidR="0011458A" w:rsidRPr="00941576">
        <w:rPr>
          <w:rFonts w:cs="Arial"/>
        </w:rPr>
        <w:t>e acuerdo con las evidencias d</w:t>
      </w:r>
      <w:r w:rsidR="006D7ABA" w:rsidRPr="00941576">
        <w:rPr>
          <w:rFonts w:cs="Arial"/>
        </w:rPr>
        <w:t>el proceso, la ocurrencia</w:t>
      </w:r>
      <w:r w:rsidR="005D29FF" w:rsidRPr="00941576">
        <w:rPr>
          <w:rFonts w:cs="Arial"/>
        </w:rPr>
        <w:t xml:space="preserve"> de</w:t>
      </w:r>
      <w:r w:rsidR="006D7ABA" w:rsidRPr="00941576">
        <w:rPr>
          <w:rFonts w:cs="Arial"/>
        </w:rPr>
        <w:t xml:space="preserve"> las dos situaciones descri</w:t>
      </w:r>
      <w:r w:rsidR="005600AC" w:rsidRPr="00941576">
        <w:rPr>
          <w:rFonts w:cs="Arial"/>
        </w:rPr>
        <w:t>tas en ningún</w:t>
      </w:r>
      <w:r w:rsidR="006D7ABA" w:rsidRPr="00941576">
        <w:rPr>
          <w:rFonts w:cs="Arial"/>
        </w:rPr>
        <w:t xml:space="preserve"> caso excedió el límite del riesgo asumido por el contratista por cuenta de su acaecimiento</w:t>
      </w:r>
      <w:r w:rsidR="00F17C67" w:rsidRPr="00941576">
        <w:rPr>
          <w:rFonts w:cs="Arial"/>
        </w:rPr>
        <w:t>, por</w:t>
      </w:r>
      <w:r w:rsidR="00F366DE" w:rsidRPr="00941576">
        <w:rPr>
          <w:rFonts w:cs="Arial"/>
        </w:rPr>
        <w:t xml:space="preserve"> manera que su </w:t>
      </w:r>
      <w:r w:rsidR="0011458A" w:rsidRPr="00941576">
        <w:rPr>
          <w:rFonts w:cs="Arial"/>
        </w:rPr>
        <w:t xml:space="preserve">concreción </w:t>
      </w:r>
      <w:r w:rsidR="00F366DE" w:rsidRPr="00941576">
        <w:rPr>
          <w:rFonts w:cs="Arial"/>
        </w:rPr>
        <w:t xml:space="preserve">no condujo a la fractura </w:t>
      </w:r>
      <w:r w:rsidR="00F366DE" w:rsidRPr="00941576">
        <w:rPr>
          <w:rFonts w:cs="Arial"/>
        </w:rPr>
        <w:lastRenderedPageBreak/>
        <w:t xml:space="preserve">del equilibrio económico alegada en la demanda. Se </w:t>
      </w:r>
      <w:r w:rsidR="00701A3C" w:rsidRPr="00941576">
        <w:rPr>
          <w:rFonts w:cs="Arial"/>
        </w:rPr>
        <w:t>agreg</w:t>
      </w:r>
      <w:r w:rsidR="00D5216E" w:rsidRPr="00941576">
        <w:rPr>
          <w:rFonts w:cs="Arial"/>
        </w:rPr>
        <w:t>a</w:t>
      </w:r>
      <w:r w:rsidR="006D7ABA" w:rsidRPr="00941576">
        <w:rPr>
          <w:rFonts w:cs="Arial"/>
        </w:rPr>
        <w:t xml:space="preserve"> </w:t>
      </w:r>
      <w:r w:rsidR="002E47A9" w:rsidRPr="00941576">
        <w:rPr>
          <w:rFonts w:cs="Arial"/>
        </w:rPr>
        <w:t xml:space="preserve">a lo anotado la </w:t>
      </w:r>
      <w:r w:rsidR="006D7ABA" w:rsidRPr="00941576">
        <w:rPr>
          <w:rFonts w:cs="Arial"/>
        </w:rPr>
        <w:t>orfandad probatoria que impide obtener claridad en relación con la</w:t>
      </w:r>
      <w:r w:rsidR="007A07D2" w:rsidRPr="00941576">
        <w:rPr>
          <w:rFonts w:cs="Arial"/>
        </w:rPr>
        <w:t>s</w:t>
      </w:r>
      <w:r w:rsidR="006D7ABA" w:rsidRPr="00941576">
        <w:rPr>
          <w:rFonts w:cs="Arial"/>
        </w:rPr>
        <w:t xml:space="preserve"> causas </w:t>
      </w:r>
      <w:r w:rsidR="007A07D2" w:rsidRPr="00941576">
        <w:rPr>
          <w:rFonts w:cs="Arial"/>
        </w:rPr>
        <w:t xml:space="preserve">reales </w:t>
      </w:r>
      <w:r w:rsidR="002E47A9" w:rsidRPr="00941576">
        <w:rPr>
          <w:rFonts w:cs="Arial"/>
        </w:rPr>
        <w:t>que dieron lugar</w:t>
      </w:r>
      <w:r w:rsidR="006D7ABA" w:rsidRPr="00941576">
        <w:rPr>
          <w:rFonts w:cs="Arial"/>
        </w:rPr>
        <w:t xml:space="preserve"> </w:t>
      </w:r>
      <w:r w:rsidR="007A07D2" w:rsidRPr="00941576">
        <w:rPr>
          <w:rFonts w:cs="Arial"/>
        </w:rPr>
        <w:t>a la</w:t>
      </w:r>
      <w:r w:rsidR="00D5216E" w:rsidRPr="00941576">
        <w:rPr>
          <w:rFonts w:cs="Arial"/>
        </w:rPr>
        <w:t xml:space="preserve"> prolongación del período en el cual</w:t>
      </w:r>
      <w:r w:rsidR="007A07D2" w:rsidRPr="00941576">
        <w:rPr>
          <w:rFonts w:cs="Arial"/>
        </w:rPr>
        <w:t xml:space="preserve"> se ejecutó el contrato</w:t>
      </w:r>
      <w:r w:rsidR="0011458A" w:rsidRPr="00941576">
        <w:rPr>
          <w:rFonts w:cs="Arial"/>
        </w:rPr>
        <w:t>,</w:t>
      </w:r>
      <w:r w:rsidR="00D85B6C" w:rsidRPr="00941576">
        <w:rPr>
          <w:rFonts w:cs="Arial"/>
        </w:rPr>
        <w:t xml:space="preserve"> a lo que se agrega que parte de esa extensión invadió la órbita de responsabilidad del contratista</w:t>
      </w:r>
      <w:r w:rsidR="007A07D2" w:rsidRPr="00941576">
        <w:rPr>
          <w:rFonts w:cs="Arial"/>
        </w:rPr>
        <w:t>.</w:t>
      </w:r>
    </w:p>
    <w:p w:rsidR="007A07D2" w:rsidRPr="00941576" w:rsidRDefault="007A07D2" w:rsidP="00C10F18">
      <w:pPr>
        <w:ind w:right="-1"/>
        <w:rPr>
          <w:rFonts w:cs="Arial"/>
        </w:rPr>
      </w:pPr>
    </w:p>
    <w:p w:rsidR="00111CE9" w:rsidRPr="00941576" w:rsidRDefault="009B519E" w:rsidP="004D25D6">
      <w:pPr>
        <w:rPr>
          <w:rFonts w:cs="Arial"/>
          <w:i/>
        </w:rPr>
      </w:pPr>
      <w:r w:rsidRPr="00941576">
        <w:rPr>
          <w:rFonts w:cs="Arial"/>
        </w:rPr>
        <w:t xml:space="preserve">Por </w:t>
      </w:r>
      <w:r w:rsidR="00200E54" w:rsidRPr="00941576">
        <w:rPr>
          <w:rFonts w:cs="Arial"/>
        </w:rPr>
        <w:t xml:space="preserve">último, no se pasa por alto el hecho de </w:t>
      </w:r>
      <w:r w:rsidR="00D5216E" w:rsidRPr="00941576">
        <w:rPr>
          <w:rFonts w:cs="Arial"/>
        </w:rPr>
        <w:t xml:space="preserve">que, </w:t>
      </w:r>
      <w:r w:rsidRPr="00941576">
        <w:rPr>
          <w:rFonts w:cs="Arial"/>
        </w:rPr>
        <w:t>seg</w:t>
      </w:r>
      <w:r w:rsidR="00200E54" w:rsidRPr="00941576">
        <w:rPr>
          <w:rFonts w:cs="Arial"/>
        </w:rPr>
        <w:t xml:space="preserve">ún el contenido del acta de liquidación </w:t>
      </w:r>
      <w:r w:rsidR="004D25D6" w:rsidRPr="00941576">
        <w:rPr>
          <w:rFonts w:cs="Arial"/>
        </w:rPr>
        <w:t>bilateral del Contrato</w:t>
      </w:r>
      <w:r w:rsidR="00D5216E" w:rsidRPr="00941576">
        <w:rPr>
          <w:rFonts w:cs="Arial"/>
        </w:rPr>
        <w:t>,</w:t>
      </w:r>
      <w:r w:rsidR="004D25D6" w:rsidRPr="00941576">
        <w:rPr>
          <w:rFonts w:cs="Arial"/>
        </w:rPr>
        <w:t xml:space="preserve"> </w:t>
      </w:r>
      <w:r w:rsidR="00111CE9" w:rsidRPr="00941576">
        <w:rPr>
          <w:rFonts w:cs="Arial"/>
        </w:rPr>
        <w:t xml:space="preserve">se consignó que </w:t>
      </w:r>
      <w:r w:rsidR="004D25D6" w:rsidRPr="00941576">
        <w:rPr>
          <w:rFonts w:cs="Arial"/>
        </w:rPr>
        <w:t>“</w:t>
      </w:r>
      <w:r w:rsidR="00111CE9" w:rsidRPr="00941576">
        <w:rPr>
          <w:rFonts w:cs="Arial"/>
          <w:i/>
        </w:rPr>
        <w:t xml:space="preserve">La Alcaldía Municipal se comprometió </w:t>
      </w:r>
      <w:r w:rsidR="00E2657A" w:rsidRPr="00941576">
        <w:rPr>
          <w:rFonts w:cs="Arial"/>
          <w:i/>
        </w:rPr>
        <w:t xml:space="preserve">… </w:t>
      </w:r>
      <w:r w:rsidR="00111CE9" w:rsidRPr="00941576">
        <w:rPr>
          <w:rFonts w:cs="Arial"/>
          <w:i/>
        </w:rPr>
        <w:t xml:space="preserve">a reconocerle al contratista los costos administrativos por mayor permanencia de obras por causas ajenas al contratista, las cuales generaron un desequilibrio económico en la ecuación contractual. El valor pactado entre las partes es de $560’286.379,80 que corresponden a seis meses”. </w:t>
      </w:r>
    </w:p>
    <w:p w:rsidR="004D25D6" w:rsidRPr="00941576" w:rsidRDefault="004D25D6" w:rsidP="00C10F18">
      <w:pPr>
        <w:ind w:right="-1"/>
        <w:rPr>
          <w:rFonts w:cs="Arial"/>
        </w:rPr>
      </w:pPr>
    </w:p>
    <w:p w:rsidR="00777FC3" w:rsidRPr="00941576" w:rsidRDefault="0011458A" w:rsidP="00C10F18">
      <w:pPr>
        <w:ind w:right="-1"/>
        <w:rPr>
          <w:rFonts w:cs="Arial"/>
        </w:rPr>
      </w:pPr>
      <w:r w:rsidRPr="00941576">
        <w:rPr>
          <w:rFonts w:cs="Arial"/>
        </w:rPr>
        <w:t>Sin embargo</w:t>
      </w:r>
      <w:r w:rsidR="004D25D6" w:rsidRPr="00941576">
        <w:rPr>
          <w:rFonts w:cs="Arial"/>
        </w:rPr>
        <w:t>, en primer lugar</w:t>
      </w:r>
      <w:r w:rsidR="00FD51EB" w:rsidRPr="00941576">
        <w:rPr>
          <w:rFonts w:cs="Arial"/>
        </w:rPr>
        <w:t>,</w:t>
      </w:r>
      <w:r w:rsidR="004D25D6" w:rsidRPr="00941576">
        <w:rPr>
          <w:rFonts w:cs="Arial"/>
        </w:rPr>
        <w:t xml:space="preserve"> la Sala reitera la asuencia de fuerza vinculante de ese docum</w:t>
      </w:r>
      <w:r w:rsidR="002E47A9" w:rsidRPr="00941576">
        <w:rPr>
          <w:rFonts w:cs="Arial"/>
        </w:rPr>
        <w:t>ento respecto de los valores allí consignados</w:t>
      </w:r>
      <w:r w:rsidR="004D25D6" w:rsidRPr="00941576">
        <w:rPr>
          <w:rFonts w:cs="Arial"/>
        </w:rPr>
        <w:t>, por cuanto no fue suscrito por el representante legal del extremo contra</w:t>
      </w:r>
      <w:r w:rsidR="005D29FF" w:rsidRPr="00941576">
        <w:rPr>
          <w:rFonts w:cs="Arial"/>
        </w:rPr>
        <w:t>tante</w:t>
      </w:r>
      <w:r w:rsidR="00EC50EA" w:rsidRPr="00941576">
        <w:rPr>
          <w:rFonts w:cs="Arial"/>
        </w:rPr>
        <w:t xml:space="preserve"> con capacidad para obligar al municipio</w:t>
      </w:r>
      <w:r w:rsidR="00EE3FFD" w:rsidRPr="00941576">
        <w:rPr>
          <w:rFonts w:cs="Arial"/>
        </w:rPr>
        <w:t xml:space="preserve"> a</w:t>
      </w:r>
      <w:r w:rsidR="00E2657A" w:rsidRPr="00941576">
        <w:rPr>
          <w:rFonts w:cs="Arial"/>
        </w:rPr>
        <w:t xml:space="preserve"> su reconocimiento</w:t>
      </w:r>
      <w:r w:rsidR="004D25D6" w:rsidRPr="00941576">
        <w:rPr>
          <w:rFonts w:cs="Arial"/>
        </w:rPr>
        <w:t>. Como segundo aspecto</w:t>
      </w:r>
      <w:r w:rsidR="00E2657A" w:rsidRPr="00941576">
        <w:rPr>
          <w:rFonts w:cs="Arial"/>
        </w:rPr>
        <w:t xml:space="preserve">, la suma </w:t>
      </w:r>
      <w:r w:rsidR="002E47A9" w:rsidRPr="00941576">
        <w:rPr>
          <w:rFonts w:cs="Arial"/>
        </w:rPr>
        <w:t xml:space="preserve">registrada en su texto </w:t>
      </w:r>
      <w:r w:rsidR="00E2657A" w:rsidRPr="00941576">
        <w:rPr>
          <w:rFonts w:cs="Arial"/>
        </w:rPr>
        <w:t xml:space="preserve">carece de respaldo probatorio que dé cuenta acerca del concepto y </w:t>
      </w:r>
      <w:r w:rsidR="00FD51EB" w:rsidRPr="00941576">
        <w:rPr>
          <w:rFonts w:cs="Arial"/>
        </w:rPr>
        <w:t xml:space="preserve">la </w:t>
      </w:r>
      <w:r w:rsidR="00E2657A" w:rsidRPr="00941576">
        <w:rPr>
          <w:rFonts w:cs="Arial"/>
        </w:rPr>
        <w:t xml:space="preserve">cuantía de su causación.  </w:t>
      </w:r>
    </w:p>
    <w:p w:rsidR="00777FC3" w:rsidRPr="00941576" w:rsidRDefault="00777FC3" w:rsidP="00C10F18">
      <w:pPr>
        <w:ind w:right="-1"/>
        <w:rPr>
          <w:rFonts w:cs="Arial"/>
        </w:rPr>
      </w:pPr>
    </w:p>
    <w:p w:rsidR="00777FC3" w:rsidRPr="00941576" w:rsidRDefault="00A36B74" w:rsidP="00C10F18">
      <w:pPr>
        <w:ind w:right="-1"/>
        <w:rPr>
          <w:rFonts w:cs="Arial"/>
        </w:rPr>
      </w:pPr>
      <w:r w:rsidRPr="00941576">
        <w:rPr>
          <w:rFonts w:cs="Arial"/>
        </w:rPr>
        <w:t>Así</w:t>
      </w:r>
      <w:r w:rsidR="005A293D" w:rsidRPr="00941576">
        <w:rPr>
          <w:rFonts w:cs="Arial"/>
        </w:rPr>
        <w:t xml:space="preserve"> </w:t>
      </w:r>
      <w:r w:rsidR="00A10644" w:rsidRPr="00941576">
        <w:rPr>
          <w:rFonts w:cs="Arial"/>
        </w:rPr>
        <w:t>las cosa</w:t>
      </w:r>
      <w:r w:rsidR="005A293D" w:rsidRPr="00941576">
        <w:rPr>
          <w:rFonts w:cs="Arial"/>
        </w:rPr>
        <w:t>s,</w:t>
      </w:r>
      <w:r w:rsidR="00A10644" w:rsidRPr="00941576">
        <w:rPr>
          <w:rFonts w:cs="Arial"/>
        </w:rPr>
        <w:t xml:space="preserve"> la pretensión </w:t>
      </w:r>
      <w:r w:rsidR="00ED3115" w:rsidRPr="00941576">
        <w:rPr>
          <w:rFonts w:cs="Arial"/>
        </w:rPr>
        <w:t xml:space="preserve">elevada por </w:t>
      </w:r>
      <w:r w:rsidR="007F028C" w:rsidRPr="00941576">
        <w:rPr>
          <w:rFonts w:cs="Arial"/>
        </w:rPr>
        <w:t>la demandante dirigida</w:t>
      </w:r>
      <w:r w:rsidR="00A10644" w:rsidRPr="00941576">
        <w:rPr>
          <w:rFonts w:cs="Arial"/>
        </w:rPr>
        <w:t xml:space="preserve"> a obtener el reconocimiento de perjuicios por mayor permanencia en obra no tiene vocación de prosperidad. </w:t>
      </w:r>
    </w:p>
    <w:p w:rsidR="002C2680" w:rsidRPr="00941576" w:rsidRDefault="002C2680" w:rsidP="00C10F18">
      <w:pPr>
        <w:ind w:right="-1"/>
        <w:rPr>
          <w:rFonts w:cs="Arial"/>
        </w:rPr>
      </w:pPr>
    </w:p>
    <w:p w:rsidR="00ED3115" w:rsidRPr="00941576" w:rsidRDefault="00C52EAE" w:rsidP="00C10F18">
      <w:pPr>
        <w:ind w:right="-1"/>
        <w:rPr>
          <w:rFonts w:cs="Arial"/>
          <w:u w:val="single"/>
        </w:rPr>
      </w:pPr>
      <w:r w:rsidRPr="00941576">
        <w:rPr>
          <w:rFonts w:cs="Arial"/>
        </w:rPr>
        <w:t xml:space="preserve">4.4.- </w:t>
      </w:r>
      <w:r w:rsidR="00ED3115" w:rsidRPr="00941576">
        <w:rPr>
          <w:rFonts w:cs="Arial"/>
          <w:u w:val="single"/>
        </w:rPr>
        <w:t>Del reconocimiento de las mayores cantidades de obra</w:t>
      </w:r>
    </w:p>
    <w:p w:rsidR="003A0416" w:rsidRPr="00941576" w:rsidRDefault="003A0416" w:rsidP="00C10F18">
      <w:pPr>
        <w:ind w:right="-1"/>
        <w:rPr>
          <w:rFonts w:cs="Arial"/>
        </w:rPr>
      </w:pPr>
    </w:p>
    <w:p w:rsidR="00547774" w:rsidRPr="00941576" w:rsidRDefault="00547774" w:rsidP="00C10F18">
      <w:pPr>
        <w:ind w:right="-1"/>
        <w:rPr>
          <w:rFonts w:cs="Arial"/>
        </w:rPr>
      </w:pPr>
      <w:r w:rsidRPr="00941576">
        <w:rPr>
          <w:rFonts w:cs="Arial"/>
        </w:rPr>
        <w:t>Otra de las pretensiones del libelista radicó en obtener el reconocimiento de</w:t>
      </w:r>
      <w:r w:rsidR="003C6E16" w:rsidRPr="00941576">
        <w:rPr>
          <w:rFonts w:cs="Arial"/>
        </w:rPr>
        <w:t xml:space="preserve"> </w:t>
      </w:r>
      <w:r w:rsidRPr="00941576">
        <w:rPr>
          <w:rFonts w:cs="Arial"/>
        </w:rPr>
        <w:t>l</w:t>
      </w:r>
      <w:r w:rsidR="003C6E16" w:rsidRPr="00941576">
        <w:rPr>
          <w:rFonts w:cs="Arial"/>
        </w:rPr>
        <w:t>a</w:t>
      </w:r>
      <w:r w:rsidRPr="00941576">
        <w:rPr>
          <w:rFonts w:cs="Arial"/>
        </w:rPr>
        <w:t xml:space="preserve"> suma de $74’014.835 por concepto de mayores cantidades de obra ejecutada</w:t>
      </w:r>
      <w:r w:rsidR="00FD51EB" w:rsidRPr="00941576">
        <w:rPr>
          <w:rFonts w:cs="Arial"/>
        </w:rPr>
        <w:t>s</w:t>
      </w:r>
      <w:r w:rsidRPr="00941576">
        <w:rPr>
          <w:rFonts w:cs="Arial"/>
        </w:rPr>
        <w:t xml:space="preserve"> en desarrollo del proyecto, </w:t>
      </w:r>
      <w:r w:rsidR="00110D25" w:rsidRPr="00941576">
        <w:rPr>
          <w:rFonts w:cs="Arial"/>
        </w:rPr>
        <w:t>valor equivalente a la ejecución de obras que no obstante</w:t>
      </w:r>
      <w:r w:rsidR="00BA037E" w:rsidRPr="00941576">
        <w:rPr>
          <w:rFonts w:cs="Arial"/>
        </w:rPr>
        <w:t xml:space="preserve"> </w:t>
      </w:r>
      <w:r w:rsidR="00110D25" w:rsidRPr="00941576">
        <w:rPr>
          <w:rFonts w:cs="Arial"/>
        </w:rPr>
        <w:t xml:space="preserve">haber sido ordenadas y recibidas por la entidad no le fueron pagadas al contratista. </w:t>
      </w:r>
    </w:p>
    <w:p w:rsidR="006114E5" w:rsidRPr="00941576" w:rsidRDefault="006114E5" w:rsidP="00C10F18">
      <w:pPr>
        <w:ind w:right="-1"/>
        <w:rPr>
          <w:rFonts w:cs="Arial"/>
        </w:rPr>
      </w:pPr>
    </w:p>
    <w:p w:rsidR="00110D25" w:rsidRPr="00941576" w:rsidRDefault="006114E5" w:rsidP="00C10F18">
      <w:pPr>
        <w:ind w:right="-1"/>
        <w:rPr>
          <w:rFonts w:cs="Arial"/>
        </w:rPr>
      </w:pPr>
      <w:r w:rsidRPr="00941576">
        <w:rPr>
          <w:rFonts w:cs="Arial"/>
        </w:rPr>
        <w:t xml:space="preserve">Para ilustrar brevemente el contexto de la reclamación, la Sala recuerda que el concepto de mayores cantidades de obra responde a la ejecución de unos </w:t>
      </w:r>
      <w:r w:rsidR="00DB42A2" w:rsidRPr="00941576">
        <w:rPr>
          <w:rFonts w:cs="Arial"/>
        </w:rPr>
        <w:t>ítems</w:t>
      </w:r>
      <w:r w:rsidRPr="00941576">
        <w:rPr>
          <w:rFonts w:cs="Arial"/>
        </w:rPr>
        <w:t xml:space="preserve"> que sí han sido contemplados inicialmente en el contrato</w:t>
      </w:r>
      <w:r w:rsidR="00FD51EB" w:rsidRPr="00941576">
        <w:rPr>
          <w:rFonts w:cs="Arial"/>
        </w:rPr>
        <w:t>,</w:t>
      </w:r>
      <w:r w:rsidRPr="00941576">
        <w:rPr>
          <w:rFonts w:cs="Arial"/>
        </w:rPr>
        <w:t xml:space="preserve"> solo que en cantidades inferiores. </w:t>
      </w:r>
    </w:p>
    <w:p w:rsidR="006114E5" w:rsidRPr="00941576" w:rsidRDefault="006114E5" w:rsidP="00C10F18">
      <w:pPr>
        <w:ind w:right="-1"/>
        <w:rPr>
          <w:rFonts w:cs="Arial"/>
        </w:rPr>
      </w:pPr>
    </w:p>
    <w:p w:rsidR="00854D3D" w:rsidRPr="00941576" w:rsidRDefault="005D65A9" w:rsidP="00C10F18">
      <w:pPr>
        <w:ind w:right="-1"/>
        <w:rPr>
          <w:rFonts w:cs="Arial"/>
        </w:rPr>
      </w:pPr>
      <w:r w:rsidRPr="00941576">
        <w:rPr>
          <w:rFonts w:cs="Arial"/>
        </w:rPr>
        <w:lastRenderedPageBreak/>
        <w:t xml:space="preserve">En similar sentido, </w:t>
      </w:r>
      <w:r w:rsidR="006114E5" w:rsidRPr="00941576">
        <w:rPr>
          <w:rFonts w:cs="Arial"/>
        </w:rPr>
        <w:t xml:space="preserve">como quiera que </w:t>
      </w:r>
      <w:r w:rsidR="00854D3D" w:rsidRPr="00941576">
        <w:rPr>
          <w:rFonts w:cs="Arial"/>
        </w:rPr>
        <w:t>la modalidad de pago acordada en el Contrato No. 010 de 2010 obedeció al sistema de precios unitarios</w:t>
      </w:r>
      <w:r w:rsidR="006114E5" w:rsidRPr="00941576">
        <w:rPr>
          <w:rFonts w:cs="Arial"/>
        </w:rPr>
        <w:t>, se precisa que en virtud de esta modalidad, ante la imposibilidad de establecer con exactitud el valor de la obra, previamente a la ejecución del negocio jurídico el proponente establece en su propuesta unos valores unitarios respecto de cada unidad de obra prevista por el ente contratante, de tal manera que el valor final del contrato será el resultado de sumar todos los productos que a su turno surjan de multiplicar los precios unitarios definidos por las cantidades de obra final y efectivamente ejecutadas.</w:t>
      </w:r>
      <w:r w:rsidR="00854D3D" w:rsidRPr="00941576">
        <w:rPr>
          <w:rFonts w:cs="Arial"/>
        </w:rPr>
        <w:t xml:space="preserve"> </w:t>
      </w:r>
    </w:p>
    <w:p w:rsidR="00BA037E" w:rsidRPr="00941576" w:rsidRDefault="00BA037E" w:rsidP="00C10F18">
      <w:pPr>
        <w:ind w:right="-1"/>
        <w:rPr>
          <w:rFonts w:cs="Arial"/>
        </w:rPr>
      </w:pPr>
    </w:p>
    <w:p w:rsidR="000267B1" w:rsidRPr="00941576" w:rsidRDefault="00D85B6C" w:rsidP="00BA037E">
      <w:pPr>
        <w:rPr>
          <w:rFonts w:cs="Arial"/>
        </w:rPr>
      </w:pPr>
      <w:r w:rsidRPr="00941576">
        <w:rPr>
          <w:rFonts w:cs="Arial"/>
          <w:bCs/>
          <w:color w:val="000000"/>
          <w:lang w:val="es-MX"/>
        </w:rPr>
        <w:t>Atendi</w:t>
      </w:r>
      <w:r w:rsidR="00886E2B" w:rsidRPr="00941576">
        <w:rPr>
          <w:rFonts w:cs="Arial"/>
          <w:bCs/>
          <w:color w:val="000000"/>
          <w:lang w:val="es-MX"/>
        </w:rPr>
        <w:t>endo a las ante</w:t>
      </w:r>
      <w:r w:rsidR="005D65A9" w:rsidRPr="00941576">
        <w:rPr>
          <w:rFonts w:cs="Arial"/>
          <w:bCs/>
          <w:color w:val="000000"/>
          <w:lang w:val="es-MX"/>
        </w:rPr>
        <w:t>riores precisiones y aplicadas</w:t>
      </w:r>
      <w:r w:rsidR="00886E2B" w:rsidRPr="00941576">
        <w:rPr>
          <w:rFonts w:cs="Arial"/>
          <w:bCs/>
          <w:color w:val="000000"/>
          <w:lang w:val="es-MX"/>
        </w:rPr>
        <w:t xml:space="preserve"> al caso concreto</w:t>
      </w:r>
      <w:r w:rsidR="00867A24" w:rsidRPr="00941576">
        <w:rPr>
          <w:rFonts w:cs="Arial"/>
        </w:rPr>
        <w:t xml:space="preserve">, </w:t>
      </w:r>
      <w:r w:rsidR="00D722C8" w:rsidRPr="00941576">
        <w:rPr>
          <w:rFonts w:cs="Arial"/>
        </w:rPr>
        <w:t>la Sala observa que</w:t>
      </w:r>
      <w:r w:rsidR="009721E1" w:rsidRPr="00941576">
        <w:rPr>
          <w:rFonts w:cs="Arial"/>
        </w:rPr>
        <w:t>,</w:t>
      </w:r>
      <w:r w:rsidR="00D722C8" w:rsidRPr="00941576">
        <w:rPr>
          <w:rFonts w:cs="Arial"/>
        </w:rPr>
        <w:t xml:space="preserve"> </w:t>
      </w:r>
      <w:r w:rsidR="00867A24" w:rsidRPr="00941576">
        <w:rPr>
          <w:rFonts w:cs="Arial"/>
        </w:rPr>
        <w:t>de co</w:t>
      </w:r>
      <w:r w:rsidR="005D65A9" w:rsidRPr="00941576">
        <w:rPr>
          <w:rFonts w:cs="Arial"/>
        </w:rPr>
        <w:t>nformidad con el contenido del a</w:t>
      </w:r>
      <w:r w:rsidR="00867A24" w:rsidRPr="00941576">
        <w:rPr>
          <w:rFonts w:cs="Arial"/>
        </w:rPr>
        <w:t>cta de recibo final de obra suscrita por el contratista, el inte</w:t>
      </w:r>
      <w:r w:rsidR="00EF7D74" w:rsidRPr="00941576">
        <w:rPr>
          <w:rFonts w:cs="Arial"/>
        </w:rPr>
        <w:t>r</w:t>
      </w:r>
      <w:r w:rsidR="00867A24" w:rsidRPr="00941576">
        <w:rPr>
          <w:rFonts w:cs="Arial"/>
        </w:rPr>
        <w:t>ventor y el</w:t>
      </w:r>
      <w:r w:rsidR="00EF7D74" w:rsidRPr="00941576">
        <w:rPr>
          <w:rFonts w:cs="Arial"/>
        </w:rPr>
        <w:t xml:space="preserve"> Secretario</w:t>
      </w:r>
      <w:r w:rsidR="003E24B4" w:rsidRPr="00941576">
        <w:rPr>
          <w:rFonts w:cs="Arial"/>
        </w:rPr>
        <w:t xml:space="preserve"> de Planeación Municipal</w:t>
      </w:r>
      <w:r w:rsidR="009721E1" w:rsidRPr="00941576">
        <w:rPr>
          <w:rFonts w:cs="Arial"/>
        </w:rPr>
        <w:t xml:space="preserve">, se registró la ejecución de mayores cantidades de obra en los siguientes </w:t>
      </w:r>
      <w:r w:rsidR="00DB42A2" w:rsidRPr="00941576">
        <w:rPr>
          <w:rFonts w:cs="Arial"/>
        </w:rPr>
        <w:t>ítems</w:t>
      </w:r>
      <w:r w:rsidR="009721E1" w:rsidRPr="00941576">
        <w:rPr>
          <w:rFonts w:cs="Arial"/>
        </w:rPr>
        <w:t xml:space="preserve"> y por las siguientes cuant</w:t>
      </w:r>
      <w:r w:rsidR="00961596" w:rsidRPr="00941576">
        <w:rPr>
          <w:rFonts w:cs="Arial"/>
        </w:rPr>
        <w:t>ías:</w:t>
      </w:r>
    </w:p>
    <w:p w:rsidR="00BA037E" w:rsidRPr="00941576" w:rsidRDefault="00BA037E" w:rsidP="002C4E8A">
      <w:pPr>
        <w:rPr>
          <w:rFonts w:cs="Arial"/>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277"/>
        <w:gridCol w:w="993"/>
        <w:gridCol w:w="992"/>
        <w:gridCol w:w="1417"/>
        <w:gridCol w:w="1134"/>
        <w:gridCol w:w="1560"/>
        <w:gridCol w:w="1559"/>
      </w:tblGrid>
      <w:tr w:rsidR="00941576" w:rsidRPr="00941576" w:rsidTr="00BC5E77">
        <w:tc>
          <w:tcPr>
            <w:tcW w:w="1417" w:type="dxa"/>
            <w:shd w:val="clear" w:color="auto" w:fill="auto"/>
          </w:tcPr>
          <w:p w:rsidR="00961596" w:rsidRPr="00941576" w:rsidRDefault="00961596" w:rsidP="00BC5E77">
            <w:pPr>
              <w:spacing w:before="100" w:beforeAutospacing="1" w:after="100" w:afterAutospacing="1" w:line="276" w:lineRule="auto"/>
              <w:rPr>
                <w:rFonts w:cs="Arial"/>
                <w:b/>
              </w:rPr>
            </w:pPr>
            <w:r w:rsidRPr="00941576">
              <w:rPr>
                <w:rFonts w:cs="Arial"/>
                <w:b/>
              </w:rPr>
              <w:t xml:space="preserve">Condiciones iniciales </w:t>
            </w:r>
          </w:p>
        </w:tc>
        <w:tc>
          <w:tcPr>
            <w:tcW w:w="1277" w:type="dxa"/>
            <w:shd w:val="clear" w:color="auto" w:fill="auto"/>
          </w:tcPr>
          <w:p w:rsidR="00961596" w:rsidRPr="00941576" w:rsidRDefault="00961596" w:rsidP="00BC5E77">
            <w:pPr>
              <w:spacing w:before="100" w:beforeAutospacing="1" w:after="100" w:afterAutospacing="1" w:line="276" w:lineRule="auto"/>
              <w:rPr>
                <w:rFonts w:cs="Arial"/>
              </w:rPr>
            </w:pPr>
          </w:p>
        </w:tc>
        <w:tc>
          <w:tcPr>
            <w:tcW w:w="993" w:type="dxa"/>
            <w:shd w:val="clear" w:color="auto" w:fill="auto"/>
          </w:tcPr>
          <w:p w:rsidR="00961596" w:rsidRPr="00941576" w:rsidRDefault="00961596" w:rsidP="00BC5E77">
            <w:pPr>
              <w:spacing w:before="100" w:beforeAutospacing="1" w:after="100" w:afterAutospacing="1" w:line="276" w:lineRule="auto"/>
              <w:rPr>
                <w:rFonts w:cs="Arial"/>
              </w:rPr>
            </w:pPr>
          </w:p>
        </w:tc>
        <w:tc>
          <w:tcPr>
            <w:tcW w:w="992" w:type="dxa"/>
            <w:shd w:val="clear" w:color="auto" w:fill="auto"/>
          </w:tcPr>
          <w:p w:rsidR="00961596" w:rsidRPr="00941576" w:rsidRDefault="00961596" w:rsidP="00BC5E77">
            <w:pPr>
              <w:spacing w:before="100" w:beforeAutospacing="1" w:after="100" w:afterAutospacing="1" w:line="276" w:lineRule="auto"/>
              <w:rPr>
                <w:rFonts w:cs="Arial"/>
              </w:rPr>
            </w:pPr>
          </w:p>
        </w:tc>
        <w:tc>
          <w:tcPr>
            <w:tcW w:w="1417" w:type="dxa"/>
            <w:shd w:val="clear" w:color="auto" w:fill="auto"/>
          </w:tcPr>
          <w:p w:rsidR="00961596" w:rsidRPr="00941576" w:rsidRDefault="00961596" w:rsidP="00BC5E77">
            <w:pPr>
              <w:spacing w:before="100" w:beforeAutospacing="1" w:after="100" w:afterAutospacing="1" w:line="276" w:lineRule="auto"/>
              <w:rPr>
                <w:rFonts w:cs="Arial"/>
              </w:rPr>
            </w:pPr>
          </w:p>
        </w:tc>
        <w:tc>
          <w:tcPr>
            <w:tcW w:w="1134" w:type="dxa"/>
            <w:shd w:val="clear" w:color="auto" w:fill="auto"/>
          </w:tcPr>
          <w:p w:rsidR="00961596" w:rsidRPr="00941576" w:rsidRDefault="00961596" w:rsidP="00BC5E77">
            <w:pPr>
              <w:spacing w:before="100" w:beforeAutospacing="1" w:after="100" w:afterAutospacing="1" w:line="276" w:lineRule="auto"/>
              <w:rPr>
                <w:rFonts w:cs="Arial"/>
                <w:b/>
              </w:rPr>
            </w:pPr>
            <w:r w:rsidRPr="00941576">
              <w:rPr>
                <w:rFonts w:cs="Arial"/>
                <w:b/>
              </w:rPr>
              <w:t>Obra ejecutada</w:t>
            </w:r>
          </w:p>
        </w:tc>
        <w:tc>
          <w:tcPr>
            <w:tcW w:w="1560" w:type="dxa"/>
            <w:shd w:val="clear" w:color="auto" w:fill="auto"/>
          </w:tcPr>
          <w:p w:rsidR="00961596" w:rsidRPr="00941576" w:rsidRDefault="00961596" w:rsidP="00BC5E77">
            <w:pPr>
              <w:spacing w:before="100" w:beforeAutospacing="1" w:after="100" w:afterAutospacing="1" w:line="276" w:lineRule="auto"/>
              <w:rPr>
                <w:rFonts w:cs="Arial"/>
              </w:rPr>
            </w:pPr>
          </w:p>
        </w:tc>
        <w:tc>
          <w:tcPr>
            <w:tcW w:w="1559" w:type="dxa"/>
            <w:shd w:val="clear" w:color="auto" w:fill="auto"/>
          </w:tcPr>
          <w:p w:rsidR="00961596" w:rsidRPr="00941576" w:rsidRDefault="00961596" w:rsidP="00BC5E77">
            <w:pPr>
              <w:spacing w:before="100" w:beforeAutospacing="1" w:after="100" w:afterAutospacing="1" w:line="276" w:lineRule="auto"/>
              <w:rPr>
                <w:rFonts w:cs="Arial"/>
              </w:rPr>
            </w:pPr>
          </w:p>
        </w:tc>
      </w:tr>
      <w:tr w:rsidR="00941576" w:rsidRPr="00941576" w:rsidTr="00BC5E77">
        <w:tc>
          <w:tcPr>
            <w:tcW w:w="1417" w:type="dxa"/>
            <w:shd w:val="clear" w:color="auto" w:fill="auto"/>
          </w:tcPr>
          <w:p w:rsidR="0072692A" w:rsidRPr="00941576" w:rsidRDefault="002C4E8A" w:rsidP="00BC5E77">
            <w:pPr>
              <w:spacing w:before="100" w:beforeAutospacing="1" w:after="100" w:afterAutospacing="1" w:line="276" w:lineRule="auto"/>
              <w:rPr>
                <w:rFonts w:cs="Arial"/>
              </w:rPr>
            </w:pPr>
            <w:r w:rsidRPr="00941576">
              <w:rPr>
                <w:rFonts w:cs="Arial"/>
              </w:rPr>
              <w:t>Ítems</w:t>
            </w:r>
          </w:p>
        </w:tc>
        <w:tc>
          <w:tcPr>
            <w:tcW w:w="1277" w:type="dxa"/>
            <w:shd w:val="clear" w:color="auto" w:fill="auto"/>
          </w:tcPr>
          <w:p w:rsidR="0072692A" w:rsidRPr="00941576" w:rsidRDefault="0072692A" w:rsidP="00BC5E77">
            <w:pPr>
              <w:spacing w:before="100" w:beforeAutospacing="1" w:after="100" w:afterAutospacing="1" w:line="276" w:lineRule="auto"/>
              <w:rPr>
                <w:rFonts w:cs="Arial"/>
              </w:rPr>
            </w:pPr>
            <w:r w:rsidRPr="00941576">
              <w:rPr>
                <w:rFonts w:cs="Arial"/>
              </w:rPr>
              <w:t>Descripción</w:t>
            </w:r>
          </w:p>
        </w:tc>
        <w:tc>
          <w:tcPr>
            <w:tcW w:w="993" w:type="dxa"/>
            <w:shd w:val="clear" w:color="auto" w:fill="auto"/>
          </w:tcPr>
          <w:p w:rsidR="0072692A" w:rsidRPr="00941576" w:rsidRDefault="0072692A" w:rsidP="00BC5E77">
            <w:pPr>
              <w:spacing w:before="100" w:beforeAutospacing="1" w:after="100" w:afterAutospacing="1" w:line="276" w:lineRule="auto"/>
              <w:rPr>
                <w:rFonts w:cs="Arial"/>
              </w:rPr>
            </w:pPr>
            <w:r w:rsidRPr="00941576">
              <w:rPr>
                <w:rFonts w:cs="Arial"/>
              </w:rPr>
              <w:t xml:space="preserve">Cantidad </w:t>
            </w:r>
          </w:p>
        </w:tc>
        <w:tc>
          <w:tcPr>
            <w:tcW w:w="992" w:type="dxa"/>
            <w:shd w:val="clear" w:color="auto" w:fill="auto"/>
          </w:tcPr>
          <w:p w:rsidR="0072692A" w:rsidRPr="00941576" w:rsidRDefault="0072692A" w:rsidP="00BC5E77">
            <w:pPr>
              <w:spacing w:before="100" w:beforeAutospacing="1" w:after="100" w:afterAutospacing="1" w:line="276" w:lineRule="auto"/>
              <w:rPr>
                <w:rFonts w:cs="Arial"/>
              </w:rPr>
            </w:pPr>
            <w:r w:rsidRPr="00941576">
              <w:rPr>
                <w:rFonts w:cs="Arial"/>
              </w:rPr>
              <w:t xml:space="preserve">Valor unitario </w:t>
            </w:r>
          </w:p>
        </w:tc>
        <w:tc>
          <w:tcPr>
            <w:tcW w:w="1417" w:type="dxa"/>
            <w:shd w:val="clear" w:color="auto" w:fill="auto"/>
          </w:tcPr>
          <w:p w:rsidR="0072692A" w:rsidRPr="00941576" w:rsidRDefault="0072692A" w:rsidP="00BC5E77">
            <w:pPr>
              <w:spacing w:before="100" w:beforeAutospacing="1" w:after="100" w:afterAutospacing="1" w:line="276" w:lineRule="auto"/>
              <w:rPr>
                <w:rFonts w:cs="Arial"/>
              </w:rPr>
            </w:pPr>
            <w:r w:rsidRPr="00941576">
              <w:rPr>
                <w:rFonts w:cs="Arial"/>
              </w:rPr>
              <w:t xml:space="preserve">Valor total </w:t>
            </w:r>
          </w:p>
        </w:tc>
        <w:tc>
          <w:tcPr>
            <w:tcW w:w="1134" w:type="dxa"/>
            <w:shd w:val="clear" w:color="auto" w:fill="auto"/>
          </w:tcPr>
          <w:p w:rsidR="0072692A" w:rsidRPr="00941576" w:rsidRDefault="0072692A" w:rsidP="00BC5E77">
            <w:pPr>
              <w:spacing w:before="100" w:beforeAutospacing="1" w:after="100" w:afterAutospacing="1" w:line="276" w:lineRule="auto"/>
              <w:rPr>
                <w:rFonts w:cs="Arial"/>
              </w:rPr>
            </w:pPr>
            <w:r w:rsidRPr="00941576">
              <w:rPr>
                <w:rFonts w:cs="Arial"/>
              </w:rPr>
              <w:t xml:space="preserve">Cantidad ejecutada </w:t>
            </w:r>
          </w:p>
        </w:tc>
        <w:tc>
          <w:tcPr>
            <w:tcW w:w="1560" w:type="dxa"/>
            <w:shd w:val="clear" w:color="auto" w:fill="auto"/>
          </w:tcPr>
          <w:p w:rsidR="0072692A" w:rsidRPr="00941576" w:rsidRDefault="0072692A" w:rsidP="00BC5E77">
            <w:pPr>
              <w:spacing w:before="100" w:beforeAutospacing="1" w:after="100" w:afterAutospacing="1" w:line="276" w:lineRule="auto"/>
              <w:rPr>
                <w:rFonts w:cs="Arial"/>
              </w:rPr>
            </w:pPr>
            <w:r w:rsidRPr="00941576">
              <w:rPr>
                <w:rFonts w:cs="Arial"/>
              </w:rPr>
              <w:t xml:space="preserve">Valor ejecutado </w:t>
            </w:r>
          </w:p>
        </w:tc>
        <w:tc>
          <w:tcPr>
            <w:tcW w:w="1559" w:type="dxa"/>
            <w:shd w:val="clear" w:color="auto" w:fill="auto"/>
          </w:tcPr>
          <w:p w:rsidR="0072692A" w:rsidRPr="00941576" w:rsidRDefault="0072692A" w:rsidP="00BC5E77">
            <w:pPr>
              <w:spacing w:before="100" w:beforeAutospacing="1" w:after="100" w:afterAutospacing="1" w:line="276" w:lineRule="auto"/>
              <w:jc w:val="right"/>
              <w:rPr>
                <w:rFonts w:cs="Arial"/>
              </w:rPr>
            </w:pPr>
            <w:r w:rsidRPr="00941576">
              <w:rPr>
                <w:rFonts w:cs="Arial"/>
              </w:rPr>
              <w:t xml:space="preserve">Diferencia a reconocer </w:t>
            </w:r>
          </w:p>
        </w:tc>
      </w:tr>
      <w:tr w:rsidR="00941576" w:rsidRPr="00941576" w:rsidTr="00BC5E77">
        <w:tc>
          <w:tcPr>
            <w:tcW w:w="1417" w:type="dxa"/>
            <w:shd w:val="clear" w:color="auto" w:fill="auto"/>
          </w:tcPr>
          <w:p w:rsidR="0072692A" w:rsidRPr="00941576" w:rsidRDefault="0072692A" w:rsidP="00BC5E77">
            <w:pPr>
              <w:spacing w:before="100" w:beforeAutospacing="1" w:after="100" w:afterAutospacing="1" w:line="276" w:lineRule="auto"/>
              <w:rPr>
                <w:rFonts w:cs="Arial"/>
              </w:rPr>
            </w:pPr>
            <w:r w:rsidRPr="00941576">
              <w:rPr>
                <w:rFonts w:cs="Arial"/>
              </w:rPr>
              <w:t>1,02</w:t>
            </w:r>
          </w:p>
        </w:tc>
        <w:tc>
          <w:tcPr>
            <w:tcW w:w="1277" w:type="dxa"/>
            <w:shd w:val="clear" w:color="auto" w:fill="auto"/>
          </w:tcPr>
          <w:p w:rsidR="0072692A" w:rsidRPr="00941576" w:rsidRDefault="0072692A" w:rsidP="00BC5E77">
            <w:pPr>
              <w:spacing w:before="100" w:beforeAutospacing="1" w:after="100" w:afterAutospacing="1" w:line="276" w:lineRule="auto"/>
              <w:rPr>
                <w:rFonts w:cs="Arial"/>
              </w:rPr>
            </w:pPr>
            <w:r w:rsidRPr="00941576">
              <w:rPr>
                <w:rFonts w:cs="Arial"/>
              </w:rPr>
              <w:t>Demolición pavimento rígido</w:t>
            </w:r>
          </w:p>
        </w:tc>
        <w:tc>
          <w:tcPr>
            <w:tcW w:w="993" w:type="dxa"/>
            <w:shd w:val="clear" w:color="auto" w:fill="auto"/>
          </w:tcPr>
          <w:p w:rsidR="0072692A" w:rsidRPr="00941576" w:rsidRDefault="0072692A" w:rsidP="00BC5E77">
            <w:pPr>
              <w:spacing w:before="100" w:beforeAutospacing="1" w:after="100" w:afterAutospacing="1" w:line="276" w:lineRule="auto"/>
              <w:jc w:val="right"/>
              <w:rPr>
                <w:rFonts w:cs="Arial"/>
              </w:rPr>
            </w:pPr>
            <w:r w:rsidRPr="00941576">
              <w:rPr>
                <w:rFonts w:cs="Arial"/>
              </w:rPr>
              <w:t>335 m3</w:t>
            </w:r>
          </w:p>
        </w:tc>
        <w:tc>
          <w:tcPr>
            <w:tcW w:w="992" w:type="dxa"/>
            <w:shd w:val="clear" w:color="auto" w:fill="auto"/>
          </w:tcPr>
          <w:p w:rsidR="0072692A" w:rsidRPr="00941576" w:rsidRDefault="0072692A" w:rsidP="00BC5E77">
            <w:pPr>
              <w:spacing w:before="100" w:beforeAutospacing="1" w:after="100" w:afterAutospacing="1" w:line="276" w:lineRule="auto"/>
              <w:jc w:val="right"/>
              <w:rPr>
                <w:rFonts w:cs="Arial"/>
              </w:rPr>
            </w:pPr>
            <w:r w:rsidRPr="00941576">
              <w:rPr>
                <w:rFonts w:cs="Arial"/>
              </w:rPr>
              <w:t>$90.520</w:t>
            </w:r>
          </w:p>
        </w:tc>
        <w:tc>
          <w:tcPr>
            <w:tcW w:w="1417" w:type="dxa"/>
            <w:shd w:val="clear" w:color="auto" w:fill="auto"/>
          </w:tcPr>
          <w:p w:rsidR="0072692A" w:rsidRPr="00941576" w:rsidRDefault="0072692A" w:rsidP="00BC5E77">
            <w:pPr>
              <w:spacing w:before="100" w:beforeAutospacing="1" w:after="100" w:afterAutospacing="1" w:line="276" w:lineRule="auto"/>
              <w:jc w:val="right"/>
              <w:rPr>
                <w:rFonts w:cs="Arial"/>
              </w:rPr>
            </w:pPr>
            <w:r w:rsidRPr="00941576">
              <w:rPr>
                <w:rFonts w:cs="Arial"/>
              </w:rPr>
              <w:t>$30.357.700</w:t>
            </w:r>
          </w:p>
        </w:tc>
        <w:tc>
          <w:tcPr>
            <w:tcW w:w="1134" w:type="dxa"/>
            <w:shd w:val="clear" w:color="auto" w:fill="auto"/>
          </w:tcPr>
          <w:p w:rsidR="0072692A" w:rsidRPr="00941576" w:rsidRDefault="0072692A" w:rsidP="00BC5E77">
            <w:pPr>
              <w:spacing w:before="100" w:beforeAutospacing="1" w:after="100" w:afterAutospacing="1" w:line="276" w:lineRule="auto"/>
              <w:jc w:val="right"/>
              <w:rPr>
                <w:rFonts w:cs="Arial"/>
              </w:rPr>
            </w:pPr>
            <w:r w:rsidRPr="00941576">
              <w:rPr>
                <w:rFonts w:cs="Arial"/>
              </w:rPr>
              <w:t>520</w:t>
            </w:r>
            <w:r w:rsidR="00135FA5" w:rsidRPr="00941576">
              <w:rPr>
                <w:rFonts w:cs="Arial"/>
              </w:rPr>
              <w:t xml:space="preserve"> m3</w:t>
            </w:r>
          </w:p>
        </w:tc>
        <w:tc>
          <w:tcPr>
            <w:tcW w:w="1560" w:type="dxa"/>
            <w:shd w:val="clear" w:color="auto" w:fill="auto"/>
          </w:tcPr>
          <w:p w:rsidR="0072692A" w:rsidRPr="00941576" w:rsidRDefault="0072692A" w:rsidP="00BC5E77">
            <w:pPr>
              <w:spacing w:before="100" w:beforeAutospacing="1" w:after="100" w:afterAutospacing="1" w:line="276" w:lineRule="auto"/>
              <w:jc w:val="right"/>
              <w:rPr>
                <w:rFonts w:cs="Arial"/>
              </w:rPr>
            </w:pPr>
            <w:r w:rsidRPr="00941576">
              <w:rPr>
                <w:rFonts w:cs="Arial"/>
              </w:rPr>
              <w:t>$47.122.400</w:t>
            </w:r>
          </w:p>
        </w:tc>
        <w:tc>
          <w:tcPr>
            <w:tcW w:w="1559" w:type="dxa"/>
            <w:shd w:val="clear" w:color="auto" w:fill="auto"/>
          </w:tcPr>
          <w:p w:rsidR="0072692A" w:rsidRPr="00941576" w:rsidRDefault="00A5270A" w:rsidP="00BC5E77">
            <w:pPr>
              <w:spacing w:before="100" w:beforeAutospacing="1" w:after="100" w:afterAutospacing="1" w:line="276" w:lineRule="auto"/>
              <w:jc w:val="right"/>
              <w:rPr>
                <w:rFonts w:cs="Arial"/>
              </w:rPr>
            </w:pPr>
            <w:r w:rsidRPr="00941576">
              <w:rPr>
                <w:rFonts w:cs="Arial"/>
              </w:rPr>
              <w:t>$16’764.700</w:t>
            </w:r>
          </w:p>
        </w:tc>
      </w:tr>
      <w:tr w:rsidR="00941576" w:rsidRPr="00941576" w:rsidTr="00BC5E77">
        <w:tc>
          <w:tcPr>
            <w:tcW w:w="1417" w:type="dxa"/>
            <w:shd w:val="clear" w:color="auto" w:fill="auto"/>
          </w:tcPr>
          <w:p w:rsidR="0072692A" w:rsidRPr="00941576" w:rsidRDefault="00A5270A" w:rsidP="00BC5E77">
            <w:pPr>
              <w:spacing w:before="100" w:beforeAutospacing="1" w:after="100" w:afterAutospacing="1" w:line="276" w:lineRule="auto"/>
              <w:rPr>
                <w:rFonts w:cs="Arial"/>
              </w:rPr>
            </w:pPr>
            <w:r w:rsidRPr="00941576">
              <w:rPr>
                <w:rFonts w:cs="Arial"/>
              </w:rPr>
              <w:t>2,02</w:t>
            </w:r>
          </w:p>
        </w:tc>
        <w:tc>
          <w:tcPr>
            <w:tcW w:w="1277" w:type="dxa"/>
            <w:shd w:val="clear" w:color="auto" w:fill="auto"/>
          </w:tcPr>
          <w:p w:rsidR="0072692A" w:rsidRPr="00941576" w:rsidRDefault="00A5270A" w:rsidP="00BC5E77">
            <w:pPr>
              <w:spacing w:before="100" w:beforeAutospacing="1" w:after="100" w:afterAutospacing="1" w:line="276" w:lineRule="auto"/>
              <w:rPr>
                <w:rFonts w:cs="Arial"/>
              </w:rPr>
            </w:pPr>
            <w:r w:rsidRPr="00941576">
              <w:rPr>
                <w:rFonts w:cs="Arial"/>
              </w:rPr>
              <w:t xml:space="preserve">Terraplén </w:t>
            </w:r>
          </w:p>
        </w:tc>
        <w:tc>
          <w:tcPr>
            <w:tcW w:w="993" w:type="dxa"/>
            <w:shd w:val="clear" w:color="auto" w:fill="auto"/>
          </w:tcPr>
          <w:p w:rsidR="0072692A" w:rsidRPr="00941576" w:rsidRDefault="00A5270A" w:rsidP="00BC5E77">
            <w:pPr>
              <w:spacing w:before="100" w:beforeAutospacing="1" w:after="100" w:afterAutospacing="1" w:line="276" w:lineRule="auto"/>
              <w:jc w:val="right"/>
              <w:rPr>
                <w:rFonts w:cs="Arial"/>
              </w:rPr>
            </w:pPr>
            <w:r w:rsidRPr="00941576">
              <w:rPr>
                <w:rFonts w:cs="Arial"/>
              </w:rPr>
              <w:t>9620 m3</w:t>
            </w:r>
          </w:p>
        </w:tc>
        <w:tc>
          <w:tcPr>
            <w:tcW w:w="992" w:type="dxa"/>
            <w:shd w:val="clear" w:color="auto" w:fill="auto"/>
          </w:tcPr>
          <w:p w:rsidR="0072692A" w:rsidRPr="00941576" w:rsidRDefault="00A5270A" w:rsidP="00BC5E77">
            <w:pPr>
              <w:spacing w:before="100" w:beforeAutospacing="1" w:after="100" w:afterAutospacing="1" w:line="276" w:lineRule="auto"/>
              <w:jc w:val="right"/>
              <w:rPr>
                <w:rFonts w:cs="Arial"/>
              </w:rPr>
            </w:pPr>
            <w:r w:rsidRPr="00941576">
              <w:rPr>
                <w:rFonts w:cs="Arial"/>
              </w:rPr>
              <w:t>$32.234</w:t>
            </w:r>
          </w:p>
        </w:tc>
        <w:tc>
          <w:tcPr>
            <w:tcW w:w="1417" w:type="dxa"/>
            <w:shd w:val="clear" w:color="auto" w:fill="auto"/>
          </w:tcPr>
          <w:p w:rsidR="0072692A" w:rsidRPr="00941576" w:rsidRDefault="00A5270A" w:rsidP="00BC5E77">
            <w:pPr>
              <w:spacing w:before="100" w:beforeAutospacing="1" w:after="100" w:afterAutospacing="1" w:line="276" w:lineRule="auto"/>
              <w:jc w:val="right"/>
              <w:rPr>
                <w:rFonts w:cs="Arial"/>
              </w:rPr>
            </w:pPr>
            <w:r w:rsidRPr="00941576">
              <w:rPr>
                <w:rFonts w:cs="Arial"/>
              </w:rPr>
              <w:t>$310’103.309</w:t>
            </w:r>
          </w:p>
        </w:tc>
        <w:tc>
          <w:tcPr>
            <w:tcW w:w="1134" w:type="dxa"/>
            <w:shd w:val="clear" w:color="auto" w:fill="auto"/>
          </w:tcPr>
          <w:p w:rsidR="0072692A" w:rsidRPr="00941576" w:rsidRDefault="00A5270A" w:rsidP="00BC5E77">
            <w:pPr>
              <w:spacing w:before="100" w:beforeAutospacing="1" w:after="100" w:afterAutospacing="1" w:line="276" w:lineRule="auto"/>
              <w:jc w:val="right"/>
              <w:rPr>
                <w:rFonts w:cs="Arial"/>
              </w:rPr>
            </w:pPr>
            <w:r w:rsidRPr="00941576">
              <w:rPr>
                <w:rFonts w:cs="Arial"/>
              </w:rPr>
              <w:t>10120,5</w:t>
            </w:r>
            <w:r w:rsidR="00135FA5" w:rsidRPr="00941576">
              <w:rPr>
                <w:rFonts w:cs="Arial"/>
              </w:rPr>
              <w:t>m3</w:t>
            </w:r>
          </w:p>
        </w:tc>
        <w:tc>
          <w:tcPr>
            <w:tcW w:w="1560" w:type="dxa"/>
            <w:shd w:val="clear" w:color="auto" w:fill="auto"/>
          </w:tcPr>
          <w:p w:rsidR="0072692A" w:rsidRPr="00941576" w:rsidRDefault="00A5270A" w:rsidP="00BC5E77">
            <w:pPr>
              <w:spacing w:before="100" w:beforeAutospacing="1" w:after="100" w:afterAutospacing="1" w:line="276" w:lineRule="auto"/>
              <w:jc w:val="right"/>
              <w:rPr>
                <w:rFonts w:cs="Arial"/>
              </w:rPr>
            </w:pPr>
            <w:r w:rsidRPr="00941576">
              <w:rPr>
                <w:rFonts w:cs="Arial"/>
              </w:rPr>
              <w:t>$326’225.808.70</w:t>
            </w:r>
          </w:p>
        </w:tc>
        <w:tc>
          <w:tcPr>
            <w:tcW w:w="1559" w:type="dxa"/>
            <w:shd w:val="clear" w:color="auto" w:fill="auto"/>
          </w:tcPr>
          <w:p w:rsidR="0072692A" w:rsidRPr="00941576" w:rsidRDefault="00A5270A" w:rsidP="00BC5E77">
            <w:pPr>
              <w:spacing w:before="100" w:beforeAutospacing="1" w:after="100" w:afterAutospacing="1" w:line="276" w:lineRule="auto"/>
              <w:jc w:val="right"/>
              <w:rPr>
                <w:rFonts w:cs="Arial"/>
              </w:rPr>
            </w:pPr>
            <w:r w:rsidRPr="00941576">
              <w:rPr>
                <w:rFonts w:cs="Arial"/>
              </w:rPr>
              <w:t>$16’122.499</w:t>
            </w:r>
          </w:p>
        </w:tc>
      </w:tr>
      <w:tr w:rsidR="00941576" w:rsidRPr="00941576" w:rsidTr="00BC5E77">
        <w:tc>
          <w:tcPr>
            <w:tcW w:w="1417" w:type="dxa"/>
            <w:shd w:val="clear" w:color="auto" w:fill="auto"/>
          </w:tcPr>
          <w:p w:rsidR="0072692A" w:rsidRPr="00941576" w:rsidRDefault="003B63BB" w:rsidP="00BC5E77">
            <w:pPr>
              <w:spacing w:before="100" w:beforeAutospacing="1" w:after="100" w:afterAutospacing="1" w:line="276" w:lineRule="auto"/>
              <w:rPr>
                <w:rFonts w:cs="Arial"/>
              </w:rPr>
            </w:pPr>
            <w:r w:rsidRPr="00941576">
              <w:rPr>
                <w:rFonts w:cs="Arial"/>
              </w:rPr>
              <w:t>PUN 001</w:t>
            </w:r>
          </w:p>
        </w:tc>
        <w:tc>
          <w:tcPr>
            <w:tcW w:w="1277" w:type="dxa"/>
            <w:shd w:val="clear" w:color="auto" w:fill="auto"/>
          </w:tcPr>
          <w:p w:rsidR="0072692A" w:rsidRPr="00941576" w:rsidRDefault="003B63BB" w:rsidP="00BC5E77">
            <w:pPr>
              <w:spacing w:before="100" w:beforeAutospacing="1" w:after="100" w:afterAutospacing="1" w:line="276" w:lineRule="auto"/>
              <w:rPr>
                <w:rFonts w:cs="Arial"/>
              </w:rPr>
            </w:pPr>
            <w:r w:rsidRPr="00941576">
              <w:rPr>
                <w:rFonts w:cs="Arial"/>
              </w:rPr>
              <w:t>Pedraplen</w:t>
            </w:r>
          </w:p>
        </w:tc>
        <w:tc>
          <w:tcPr>
            <w:tcW w:w="993" w:type="dxa"/>
            <w:shd w:val="clear" w:color="auto" w:fill="auto"/>
          </w:tcPr>
          <w:p w:rsidR="0072692A" w:rsidRPr="00941576" w:rsidRDefault="004F1D85" w:rsidP="00BC5E77">
            <w:pPr>
              <w:spacing w:before="100" w:beforeAutospacing="1" w:after="100" w:afterAutospacing="1" w:line="276" w:lineRule="auto"/>
              <w:jc w:val="right"/>
              <w:rPr>
                <w:rFonts w:cs="Arial"/>
              </w:rPr>
            </w:pPr>
            <w:r w:rsidRPr="00941576">
              <w:rPr>
                <w:rFonts w:cs="Arial"/>
              </w:rPr>
              <w:t>1040 m3</w:t>
            </w:r>
          </w:p>
        </w:tc>
        <w:tc>
          <w:tcPr>
            <w:tcW w:w="992" w:type="dxa"/>
            <w:shd w:val="clear" w:color="auto" w:fill="auto"/>
          </w:tcPr>
          <w:p w:rsidR="0072692A" w:rsidRPr="00941576" w:rsidRDefault="00B715D7" w:rsidP="00BC5E77">
            <w:pPr>
              <w:spacing w:before="100" w:beforeAutospacing="1" w:after="100" w:afterAutospacing="1" w:line="276" w:lineRule="auto"/>
              <w:jc w:val="right"/>
              <w:rPr>
                <w:rFonts w:cs="Arial"/>
              </w:rPr>
            </w:pPr>
            <w:r w:rsidRPr="00941576">
              <w:rPr>
                <w:rFonts w:cs="Arial"/>
              </w:rPr>
              <w:t>$43.517</w:t>
            </w:r>
          </w:p>
        </w:tc>
        <w:tc>
          <w:tcPr>
            <w:tcW w:w="1417" w:type="dxa"/>
            <w:shd w:val="clear" w:color="auto" w:fill="auto"/>
          </w:tcPr>
          <w:p w:rsidR="0072692A" w:rsidRPr="00941576" w:rsidRDefault="00B715D7" w:rsidP="00BC5E77">
            <w:pPr>
              <w:spacing w:before="100" w:beforeAutospacing="1" w:after="100" w:afterAutospacing="1" w:line="276" w:lineRule="auto"/>
              <w:jc w:val="right"/>
              <w:rPr>
                <w:rFonts w:cs="Arial"/>
              </w:rPr>
            </w:pPr>
            <w:r w:rsidRPr="00941576">
              <w:rPr>
                <w:rFonts w:cs="Arial"/>
              </w:rPr>
              <w:t>$45’257</w:t>
            </w:r>
            <w:r w:rsidR="00F04078" w:rsidRPr="00941576">
              <w:rPr>
                <w:rFonts w:cs="Arial"/>
              </w:rPr>
              <w:t>.</w:t>
            </w:r>
            <w:r w:rsidRPr="00941576">
              <w:rPr>
                <w:rFonts w:cs="Arial"/>
              </w:rPr>
              <w:t>680</w:t>
            </w:r>
          </w:p>
        </w:tc>
        <w:tc>
          <w:tcPr>
            <w:tcW w:w="1134" w:type="dxa"/>
            <w:shd w:val="clear" w:color="auto" w:fill="auto"/>
          </w:tcPr>
          <w:p w:rsidR="0072692A" w:rsidRPr="00941576" w:rsidRDefault="00B715D7" w:rsidP="00BC5E77">
            <w:pPr>
              <w:spacing w:before="100" w:beforeAutospacing="1" w:after="100" w:afterAutospacing="1" w:line="276" w:lineRule="auto"/>
              <w:jc w:val="right"/>
              <w:rPr>
                <w:rFonts w:cs="Arial"/>
              </w:rPr>
            </w:pPr>
            <w:r w:rsidRPr="00941576">
              <w:rPr>
                <w:rFonts w:cs="Arial"/>
              </w:rPr>
              <w:t>1740,0</w:t>
            </w:r>
            <w:r w:rsidR="00135FA5" w:rsidRPr="00941576">
              <w:rPr>
                <w:rFonts w:cs="Arial"/>
              </w:rPr>
              <w:t>m3</w:t>
            </w:r>
          </w:p>
        </w:tc>
        <w:tc>
          <w:tcPr>
            <w:tcW w:w="1560" w:type="dxa"/>
            <w:shd w:val="clear" w:color="auto" w:fill="auto"/>
          </w:tcPr>
          <w:p w:rsidR="0072692A" w:rsidRPr="00941576" w:rsidRDefault="00B715D7" w:rsidP="00BC5E77">
            <w:pPr>
              <w:spacing w:before="100" w:beforeAutospacing="1" w:after="100" w:afterAutospacing="1" w:line="276" w:lineRule="auto"/>
              <w:jc w:val="right"/>
              <w:rPr>
                <w:rFonts w:cs="Arial"/>
              </w:rPr>
            </w:pPr>
            <w:r w:rsidRPr="00941576">
              <w:rPr>
                <w:rFonts w:cs="Arial"/>
              </w:rPr>
              <w:t>$75’719.580</w:t>
            </w:r>
          </w:p>
        </w:tc>
        <w:tc>
          <w:tcPr>
            <w:tcW w:w="1559" w:type="dxa"/>
            <w:shd w:val="clear" w:color="auto" w:fill="auto"/>
          </w:tcPr>
          <w:p w:rsidR="0072692A" w:rsidRPr="00941576" w:rsidRDefault="00B715D7" w:rsidP="00BC5E77">
            <w:pPr>
              <w:spacing w:before="100" w:beforeAutospacing="1" w:after="100" w:afterAutospacing="1" w:line="276" w:lineRule="auto"/>
              <w:jc w:val="right"/>
              <w:rPr>
                <w:rFonts w:cs="Arial"/>
              </w:rPr>
            </w:pPr>
            <w:r w:rsidRPr="00941576">
              <w:rPr>
                <w:rFonts w:cs="Arial"/>
              </w:rPr>
              <w:t>$</w:t>
            </w:r>
            <w:r w:rsidR="00F04078" w:rsidRPr="00941576">
              <w:rPr>
                <w:rFonts w:cs="Arial"/>
              </w:rPr>
              <w:t>30’</w:t>
            </w:r>
            <w:r w:rsidR="000051ED" w:rsidRPr="00941576">
              <w:rPr>
                <w:rFonts w:cs="Arial"/>
              </w:rPr>
              <w:t>461.900</w:t>
            </w:r>
          </w:p>
        </w:tc>
      </w:tr>
      <w:tr w:rsidR="00941576" w:rsidRPr="00941576" w:rsidTr="00BC5E77">
        <w:tc>
          <w:tcPr>
            <w:tcW w:w="1417" w:type="dxa"/>
            <w:shd w:val="clear" w:color="auto" w:fill="auto"/>
          </w:tcPr>
          <w:p w:rsidR="0072692A" w:rsidRPr="00941576" w:rsidRDefault="002A3BED" w:rsidP="00BC5E77">
            <w:pPr>
              <w:spacing w:before="100" w:beforeAutospacing="1" w:after="100" w:afterAutospacing="1" w:line="276" w:lineRule="auto"/>
              <w:rPr>
                <w:rFonts w:cs="Arial"/>
              </w:rPr>
            </w:pPr>
            <w:r w:rsidRPr="00941576">
              <w:rPr>
                <w:rFonts w:cs="Arial"/>
              </w:rPr>
              <w:t>4,02</w:t>
            </w:r>
          </w:p>
        </w:tc>
        <w:tc>
          <w:tcPr>
            <w:tcW w:w="1277" w:type="dxa"/>
            <w:shd w:val="clear" w:color="auto" w:fill="auto"/>
          </w:tcPr>
          <w:p w:rsidR="0072692A" w:rsidRPr="00941576" w:rsidRDefault="007B2A26" w:rsidP="00BC5E77">
            <w:pPr>
              <w:spacing w:before="100" w:beforeAutospacing="1" w:after="100" w:afterAutospacing="1" w:line="276" w:lineRule="auto"/>
              <w:rPr>
                <w:rFonts w:cs="Arial"/>
              </w:rPr>
            </w:pPr>
            <w:r w:rsidRPr="00941576">
              <w:rPr>
                <w:rFonts w:cs="Arial"/>
              </w:rPr>
              <w:t xml:space="preserve">Relleno material seleccionado </w:t>
            </w:r>
          </w:p>
        </w:tc>
        <w:tc>
          <w:tcPr>
            <w:tcW w:w="993" w:type="dxa"/>
            <w:shd w:val="clear" w:color="auto" w:fill="auto"/>
          </w:tcPr>
          <w:p w:rsidR="0072692A" w:rsidRPr="00941576" w:rsidRDefault="00665C3C" w:rsidP="00BC5E77">
            <w:pPr>
              <w:spacing w:before="100" w:beforeAutospacing="1" w:after="100" w:afterAutospacing="1" w:line="276" w:lineRule="auto"/>
              <w:jc w:val="right"/>
              <w:rPr>
                <w:rFonts w:cs="Arial"/>
              </w:rPr>
            </w:pPr>
            <w:r w:rsidRPr="00941576">
              <w:rPr>
                <w:rFonts w:cs="Arial"/>
              </w:rPr>
              <w:t>795 m3</w:t>
            </w:r>
          </w:p>
        </w:tc>
        <w:tc>
          <w:tcPr>
            <w:tcW w:w="992" w:type="dxa"/>
            <w:shd w:val="clear" w:color="auto" w:fill="auto"/>
          </w:tcPr>
          <w:p w:rsidR="0072692A" w:rsidRPr="00941576" w:rsidRDefault="00665C3C" w:rsidP="00BC5E77">
            <w:pPr>
              <w:spacing w:before="100" w:beforeAutospacing="1" w:after="100" w:afterAutospacing="1" w:line="276" w:lineRule="auto"/>
              <w:jc w:val="right"/>
              <w:rPr>
                <w:rFonts w:cs="Arial"/>
              </w:rPr>
            </w:pPr>
            <w:r w:rsidRPr="00941576">
              <w:rPr>
                <w:rFonts w:cs="Arial"/>
              </w:rPr>
              <w:t>$46.880</w:t>
            </w:r>
          </w:p>
        </w:tc>
        <w:tc>
          <w:tcPr>
            <w:tcW w:w="1417" w:type="dxa"/>
            <w:shd w:val="clear" w:color="auto" w:fill="auto"/>
          </w:tcPr>
          <w:p w:rsidR="0072692A" w:rsidRPr="00941576" w:rsidRDefault="00665C3C" w:rsidP="00BC5E77">
            <w:pPr>
              <w:spacing w:before="100" w:beforeAutospacing="1" w:after="100" w:afterAutospacing="1" w:line="276" w:lineRule="auto"/>
              <w:jc w:val="right"/>
              <w:rPr>
                <w:rFonts w:cs="Arial"/>
              </w:rPr>
            </w:pPr>
            <w:r w:rsidRPr="00941576">
              <w:rPr>
                <w:rFonts w:cs="Arial"/>
              </w:rPr>
              <w:t>$37’269.600</w:t>
            </w:r>
          </w:p>
        </w:tc>
        <w:tc>
          <w:tcPr>
            <w:tcW w:w="1134" w:type="dxa"/>
            <w:shd w:val="clear" w:color="auto" w:fill="auto"/>
          </w:tcPr>
          <w:p w:rsidR="0072692A" w:rsidRPr="00941576" w:rsidRDefault="00665C3C" w:rsidP="00BC5E77">
            <w:pPr>
              <w:spacing w:before="100" w:beforeAutospacing="1" w:after="100" w:afterAutospacing="1" w:line="276" w:lineRule="auto"/>
              <w:jc w:val="right"/>
              <w:rPr>
                <w:rFonts w:cs="Arial"/>
              </w:rPr>
            </w:pPr>
            <w:r w:rsidRPr="00941576">
              <w:rPr>
                <w:rFonts w:cs="Arial"/>
              </w:rPr>
              <w:t>895</w:t>
            </w:r>
            <w:r w:rsidR="00135FA5" w:rsidRPr="00941576">
              <w:rPr>
                <w:rFonts w:cs="Arial"/>
              </w:rPr>
              <w:t>m3</w:t>
            </w:r>
          </w:p>
        </w:tc>
        <w:tc>
          <w:tcPr>
            <w:tcW w:w="1560" w:type="dxa"/>
            <w:shd w:val="clear" w:color="auto" w:fill="auto"/>
          </w:tcPr>
          <w:p w:rsidR="0072692A" w:rsidRPr="00941576" w:rsidRDefault="00665C3C" w:rsidP="00BC5E77">
            <w:pPr>
              <w:spacing w:before="100" w:beforeAutospacing="1" w:after="100" w:afterAutospacing="1" w:line="276" w:lineRule="auto"/>
              <w:jc w:val="right"/>
              <w:rPr>
                <w:rFonts w:cs="Arial"/>
              </w:rPr>
            </w:pPr>
            <w:r w:rsidRPr="00941576">
              <w:rPr>
                <w:rFonts w:cs="Arial"/>
              </w:rPr>
              <w:t>$41’959.475.20</w:t>
            </w:r>
          </w:p>
        </w:tc>
        <w:tc>
          <w:tcPr>
            <w:tcW w:w="1559" w:type="dxa"/>
            <w:shd w:val="clear" w:color="auto" w:fill="auto"/>
          </w:tcPr>
          <w:p w:rsidR="0072692A" w:rsidRPr="00941576" w:rsidRDefault="00665C3C" w:rsidP="00BC5E77">
            <w:pPr>
              <w:spacing w:before="100" w:beforeAutospacing="1" w:after="100" w:afterAutospacing="1" w:line="276" w:lineRule="auto"/>
              <w:jc w:val="right"/>
              <w:rPr>
                <w:rFonts w:cs="Arial"/>
              </w:rPr>
            </w:pPr>
            <w:r w:rsidRPr="00941576">
              <w:rPr>
                <w:rFonts w:cs="Arial"/>
              </w:rPr>
              <w:t>$</w:t>
            </w:r>
            <w:r w:rsidR="000943C4" w:rsidRPr="00941576">
              <w:rPr>
                <w:rFonts w:cs="Arial"/>
              </w:rPr>
              <w:t>4’689.875</w:t>
            </w:r>
            <w:r w:rsidR="002145F2" w:rsidRPr="00941576">
              <w:rPr>
                <w:rFonts w:cs="Arial"/>
              </w:rPr>
              <w:t>,2</w:t>
            </w:r>
          </w:p>
        </w:tc>
      </w:tr>
      <w:tr w:rsidR="00941576" w:rsidRPr="00941576" w:rsidTr="00BC5E77">
        <w:tc>
          <w:tcPr>
            <w:tcW w:w="1417" w:type="dxa"/>
            <w:shd w:val="clear" w:color="auto" w:fill="auto"/>
          </w:tcPr>
          <w:p w:rsidR="0072692A" w:rsidRPr="00941576" w:rsidRDefault="00051D76" w:rsidP="00BC5E77">
            <w:pPr>
              <w:spacing w:before="100" w:beforeAutospacing="1" w:after="100" w:afterAutospacing="1" w:line="276" w:lineRule="auto"/>
              <w:rPr>
                <w:rFonts w:cs="Arial"/>
              </w:rPr>
            </w:pPr>
            <w:r w:rsidRPr="00941576">
              <w:rPr>
                <w:rFonts w:cs="Arial"/>
              </w:rPr>
              <w:t>4,</w:t>
            </w:r>
            <w:r w:rsidR="00135FA5" w:rsidRPr="00941576">
              <w:rPr>
                <w:rFonts w:cs="Arial"/>
              </w:rPr>
              <w:t>03</w:t>
            </w:r>
          </w:p>
        </w:tc>
        <w:tc>
          <w:tcPr>
            <w:tcW w:w="1277" w:type="dxa"/>
            <w:shd w:val="clear" w:color="auto" w:fill="auto"/>
          </w:tcPr>
          <w:p w:rsidR="0072692A" w:rsidRPr="00941576" w:rsidRDefault="00C9105F" w:rsidP="00BC5E77">
            <w:pPr>
              <w:spacing w:before="100" w:beforeAutospacing="1" w:after="100" w:afterAutospacing="1" w:line="276" w:lineRule="auto"/>
              <w:rPr>
                <w:rFonts w:cs="Arial"/>
              </w:rPr>
            </w:pPr>
            <w:r w:rsidRPr="00941576">
              <w:rPr>
                <w:rFonts w:cs="Arial"/>
              </w:rPr>
              <w:t xml:space="preserve">Área de refuerzo </w:t>
            </w:r>
          </w:p>
        </w:tc>
        <w:tc>
          <w:tcPr>
            <w:tcW w:w="993" w:type="dxa"/>
            <w:shd w:val="clear" w:color="auto" w:fill="auto"/>
          </w:tcPr>
          <w:p w:rsidR="0072692A" w:rsidRPr="00941576" w:rsidRDefault="00C9105F" w:rsidP="00BC5E77">
            <w:pPr>
              <w:spacing w:before="100" w:beforeAutospacing="1" w:after="100" w:afterAutospacing="1" w:line="276" w:lineRule="auto"/>
              <w:jc w:val="right"/>
              <w:rPr>
                <w:rFonts w:cs="Arial"/>
              </w:rPr>
            </w:pPr>
            <w:r w:rsidRPr="00941576">
              <w:rPr>
                <w:rFonts w:cs="Arial"/>
              </w:rPr>
              <w:t>2.434 Kg</w:t>
            </w:r>
          </w:p>
        </w:tc>
        <w:tc>
          <w:tcPr>
            <w:tcW w:w="992" w:type="dxa"/>
            <w:shd w:val="clear" w:color="auto" w:fill="auto"/>
          </w:tcPr>
          <w:p w:rsidR="0072692A" w:rsidRPr="00941576" w:rsidRDefault="00C9105F" w:rsidP="00BC5E77">
            <w:pPr>
              <w:spacing w:before="100" w:beforeAutospacing="1" w:after="100" w:afterAutospacing="1" w:line="276" w:lineRule="auto"/>
              <w:jc w:val="right"/>
              <w:rPr>
                <w:rFonts w:cs="Arial"/>
              </w:rPr>
            </w:pPr>
            <w:r w:rsidRPr="00941576">
              <w:rPr>
                <w:rFonts w:cs="Arial"/>
              </w:rPr>
              <w:t>$3458</w:t>
            </w:r>
          </w:p>
        </w:tc>
        <w:tc>
          <w:tcPr>
            <w:tcW w:w="1417" w:type="dxa"/>
            <w:shd w:val="clear" w:color="auto" w:fill="auto"/>
          </w:tcPr>
          <w:p w:rsidR="0072692A" w:rsidRPr="00941576" w:rsidRDefault="00C9105F" w:rsidP="00BC5E77">
            <w:pPr>
              <w:spacing w:before="100" w:beforeAutospacing="1" w:after="100" w:afterAutospacing="1" w:line="276" w:lineRule="auto"/>
              <w:jc w:val="right"/>
              <w:rPr>
                <w:rFonts w:cs="Arial"/>
              </w:rPr>
            </w:pPr>
            <w:r w:rsidRPr="00941576">
              <w:rPr>
                <w:rFonts w:cs="Arial"/>
              </w:rPr>
              <w:t>$84’171.178</w:t>
            </w:r>
          </w:p>
        </w:tc>
        <w:tc>
          <w:tcPr>
            <w:tcW w:w="1134" w:type="dxa"/>
            <w:shd w:val="clear" w:color="auto" w:fill="auto"/>
          </w:tcPr>
          <w:p w:rsidR="0072692A" w:rsidRPr="00941576" w:rsidRDefault="00C9105F" w:rsidP="00BC5E77">
            <w:pPr>
              <w:spacing w:before="100" w:beforeAutospacing="1" w:after="100" w:afterAutospacing="1" w:line="276" w:lineRule="auto"/>
              <w:jc w:val="right"/>
              <w:rPr>
                <w:rFonts w:cs="Arial"/>
              </w:rPr>
            </w:pPr>
            <w:r w:rsidRPr="00941576">
              <w:rPr>
                <w:rFonts w:cs="Arial"/>
              </w:rPr>
              <w:t>25884.2</w:t>
            </w:r>
          </w:p>
        </w:tc>
        <w:tc>
          <w:tcPr>
            <w:tcW w:w="1560" w:type="dxa"/>
            <w:shd w:val="clear" w:color="auto" w:fill="auto"/>
          </w:tcPr>
          <w:p w:rsidR="0072692A" w:rsidRPr="00941576" w:rsidRDefault="00C9105F" w:rsidP="00BC5E77">
            <w:pPr>
              <w:spacing w:before="100" w:beforeAutospacing="1" w:after="100" w:afterAutospacing="1" w:line="276" w:lineRule="auto"/>
              <w:jc w:val="right"/>
              <w:rPr>
                <w:rFonts w:cs="Arial"/>
              </w:rPr>
            </w:pPr>
            <w:r w:rsidRPr="00941576">
              <w:rPr>
                <w:rFonts w:cs="Arial"/>
              </w:rPr>
              <w:t>$89’507.425</w:t>
            </w:r>
          </w:p>
        </w:tc>
        <w:tc>
          <w:tcPr>
            <w:tcW w:w="1559" w:type="dxa"/>
            <w:shd w:val="clear" w:color="auto" w:fill="auto"/>
          </w:tcPr>
          <w:p w:rsidR="0072692A" w:rsidRPr="00941576" w:rsidRDefault="00051D76" w:rsidP="00BC5E77">
            <w:pPr>
              <w:spacing w:before="100" w:beforeAutospacing="1" w:after="100" w:afterAutospacing="1" w:line="276" w:lineRule="auto"/>
              <w:jc w:val="right"/>
              <w:rPr>
                <w:rFonts w:cs="Arial"/>
              </w:rPr>
            </w:pPr>
            <w:r w:rsidRPr="00941576">
              <w:rPr>
                <w:rFonts w:cs="Arial"/>
              </w:rPr>
              <w:t>$5’336.247</w:t>
            </w:r>
          </w:p>
        </w:tc>
      </w:tr>
      <w:tr w:rsidR="00941576" w:rsidRPr="00941576" w:rsidTr="00BC5E77">
        <w:tc>
          <w:tcPr>
            <w:tcW w:w="1417" w:type="dxa"/>
            <w:shd w:val="clear" w:color="auto" w:fill="auto"/>
          </w:tcPr>
          <w:p w:rsidR="00051D76" w:rsidRPr="00941576" w:rsidRDefault="00051D76" w:rsidP="00BC5E77">
            <w:pPr>
              <w:spacing w:before="100" w:beforeAutospacing="1" w:after="100" w:afterAutospacing="1" w:line="276" w:lineRule="auto"/>
              <w:rPr>
                <w:rFonts w:cs="Arial"/>
              </w:rPr>
            </w:pPr>
            <w:r w:rsidRPr="00941576">
              <w:rPr>
                <w:rFonts w:cs="Arial"/>
              </w:rPr>
              <w:t>4,04</w:t>
            </w:r>
          </w:p>
        </w:tc>
        <w:tc>
          <w:tcPr>
            <w:tcW w:w="1277" w:type="dxa"/>
            <w:shd w:val="clear" w:color="auto" w:fill="auto"/>
          </w:tcPr>
          <w:p w:rsidR="00051D76" w:rsidRPr="00941576" w:rsidRDefault="00051D76" w:rsidP="00BC5E77">
            <w:pPr>
              <w:spacing w:before="100" w:beforeAutospacing="1" w:after="100" w:afterAutospacing="1" w:line="276" w:lineRule="auto"/>
              <w:rPr>
                <w:rFonts w:cs="Arial"/>
              </w:rPr>
            </w:pPr>
            <w:r w:rsidRPr="00941576">
              <w:rPr>
                <w:rFonts w:cs="Arial"/>
              </w:rPr>
              <w:t>Concreto de 3500 psi para estructuras</w:t>
            </w:r>
          </w:p>
        </w:tc>
        <w:tc>
          <w:tcPr>
            <w:tcW w:w="993" w:type="dxa"/>
            <w:shd w:val="clear" w:color="auto" w:fill="auto"/>
          </w:tcPr>
          <w:p w:rsidR="00051D76" w:rsidRPr="00941576" w:rsidRDefault="00051D76" w:rsidP="00BC5E77">
            <w:pPr>
              <w:spacing w:before="100" w:beforeAutospacing="1" w:after="100" w:afterAutospacing="1" w:line="276" w:lineRule="auto"/>
              <w:jc w:val="right"/>
              <w:rPr>
                <w:rFonts w:cs="Arial"/>
              </w:rPr>
            </w:pPr>
            <w:r w:rsidRPr="00941576">
              <w:rPr>
                <w:rFonts w:cs="Arial"/>
              </w:rPr>
              <w:t>141,4 m3</w:t>
            </w:r>
          </w:p>
        </w:tc>
        <w:tc>
          <w:tcPr>
            <w:tcW w:w="992" w:type="dxa"/>
            <w:shd w:val="clear" w:color="auto" w:fill="auto"/>
          </w:tcPr>
          <w:p w:rsidR="00051D76" w:rsidRPr="00941576" w:rsidRDefault="00051D76" w:rsidP="00BC5E77">
            <w:pPr>
              <w:spacing w:before="100" w:beforeAutospacing="1" w:after="100" w:afterAutospacing="1" w:line="276" w:lineRule="auto"/>
              <w:jc w:val="right"/>
              <w:rPr>
                <w:rFonts w:cs="Arial"/>
              </w:rPr>
            </w:pPr>
            <w:r w:rsidRPr="00941576">
              <w:rPr>
                <w:rFonts w:cs="Arial"/>
              </w:rPr>
              <w:t>$339.533</w:t>
            </w:r>
          </w:p>
        </w:tc>
        <w:tc>
          <w:tcPr>
            <w:tcW w:w="1417" w:type="dxa"/>
            <w:shd w:val="clear" w:color="auto" w:fill="auto"/>
          </w:tcPr>
          <w:p w:rsidR="00051D76" w:rsidRPr="00941576" w:rsidRDefault="00051D76" w:rsidP="00BC5E77">
            <w:pPr>
              <w:spacing w:before="100" w:beforeAutospacing="1" w:after="100" w:afterAutospacing="1" w:line="276" w:lineRule="auto"/>
              <w:jc w:val="right"/>
              <w:rPr>
                <w:rFonts w:cs="Arial"/>
              </w:rPr>
            </w:pPr>
            <w:r w:rsidRPr="00941576">
              <w:rPr>
                <w:rFonts w:cs="Arial"/>
              </w:rPr>
              <w:t>$48’020.152</w:t>
            </w:r>
          </w:p>
        </w:tc>
        <w:tc>
          <w:tcPr>
            <w:tcW w:w="1134" w:type="dxa"/>
            <w:shd w:val="clear" w:color="auto" w:fill="auto"/>
          </w:tcPr>
          <w:p w:rsidR="00051D76" w:rsidRPr="00941576" w:rsidRDefault="000E4911" w:rsidP="00BC5E77">
            <w:pPr>
              <w:spacing w:before="100" w:beforeAutospacing="1" w:after="100" w:afterAutospacing="1" w:line="276" w:lineRule="auto"/>
              <w:jc w:val="right"/>
              <w:rPr>
                <w:rFonts w:cs="Arial"/>
              </w:rPr>
            </w:pPr>
            <w:r w:rsidRPr="00941576">
              <w:rPr>
                <w:rFonts w:cs="Arial"/>
              </w:rPr>
              <w:t>176,5</w:t>
            </w:r>
          </w:p>
        </w:tc>
        <w:tc>
          <w:tcPr>
            <w:tcW w:w="1560" w:type="dxa"/>
            <w:shd w:val="clear" w:color="auto" w:fill="auto"/>
          </w:tcPr>
          <w:p w:rsidR="00051D76" w:rsidRPr="00941576" w:rsidRDefault="000E4911" w:rsidP="00BC5E77">
            <w:pPr>
              <w:spacing w:before="100" w:beforeAutospacing="1" w:after="100" w:afterAutospacing="1" w:line="276" w:lineRule="auto"/>
              <w:jc w:val="right"/>
              <w:rPr>
                <w:rFonts w:cs="Arial"/>
              </w:rPr>
            </w:pPr>
            <w:r w:rsidRPr="00941576">
              <w:rPr>
                <w:rFonts w:cs="Arial"/>
              </w:rPr>
              <w:t>$59’937760,49</w:t>
            </w:r>
          </w:p>
        </w:tc>
        <w:tc>
          <w:tcPr>
            <w:tcW w:w="1559" w:type="dxa"/>
            <w:shd w:val="clear" w:color="auto" w:fill="auto"/>
          </w:tcPr>
          <w:p w:rsidR="00051D76" w:rsidRPr="00941576" w:rsidRDefault="008273BC" w:rsidP="00BC5E77">
            <w:pPr>
              <w:spacing w:before="100" w:beforeAutospacing="1" w:after="100" w:afterAutospacing="1" w:line="276" w:lineRule="auto"/>
              <w:jc w:val="right"/>
              <w:rPr>
                <w:rFonts w:cs="Arial"/>
              </w:rPr>
            </w:pPr>
            <w:r w:rsidRPr="00941576">
              <w:rPr>
                <w:rFonts w:cs="Arial"/>
              </w:rPr>
              <w:t>$11’917.608,49</w:t>
            </w:r>
          </w:p>
        </w:tc>
      </w:tr>
    </w:tbl>
    <w:p w:rsidR="009721E1" w:rsidRPr="00941576" w:rsidRDefault="009721E1" w:rsidP="00522AB6">
      <w:pPr>
        <w:spacing w:before="100" w:beforeAutospacing="1" w:after="100" w:afterAutospacing="1"/>
        <w:rPr>
          <w:rFonts w:cs="Arial"/>
        </w:rPr>
      </w:pPr>
    </w:p>
    <w:p w:rsidR="009721E1" w:rsidRPr="00941576" w:rsidRDefault="005479F4" w:rsidP="002C4E8A">
      <w:pPr>
        <w:rPr>
          <w:rFonts w:cs="Arial"/>
        </w:rPr>
      </w:pPr>
      <w:r w:rsidRPr="00941576">
        <w:rPr>
          <w:rFonts w:cs="Arial"/>
        </w:rPr>
        <w:lastRenderedPageBreak/>
        <w:t xml:space="preserve">Al ser cotejada </w:t>
      </w:r>
      <w:r w:rsidR="00961596" w:rsidRPr="00941576">
        <w:rPr>
          <w:rFonts w:cs="Arial"/>
        </w:rPr>
        <w:t>la información consignada en el acta</w:t>
      </w:r>
      <w:r w:rsidRPr="00941576">
        <w:rPr>
          <w:rFonts w:cs="Arial"/>
        </w:rPr>
        <w:t xml:space="preserve"> final </w:t>
      </w:r>
      <w:r w:rsidR="00340107" w:rsidRPr="00941576">
        <w:rPr>
          <w:rFonts w:cs="Arial"/>
        </w:rPr>
        <w:t xml:space="preserve">en </w:t>
      </w:r>
      <w:r w:rsidRPr="00941576">
        <w:rPr>
          <w:rFonts w:cs="Arial"/>
        </w:rPr>
        <w:t>referencia</w:t>
      </w:r>
      <w:r w:rsidR="00961596" w:rsidRPr="00941576">
        <w:rPr>
          <w:rFonts w:cs="Arial"/>
        </w:rPr>
        <w:t xml:space="preserve"> con </w:t>
      </w:r>
      <w:r w:rsidR="00340107" w:rsidRPr="00941576">
        <w:rPr>
          <w:rFonts w:cs="Arial"/>
        </w:rPr>
        <w:t>otros medios de prueba</w:t>
      </w:r>
      <w:r w:rsidRPr="00941576">
        <w:rPr>
          <w:rFonts w:cs="Arial"/>
        </w:rPr>
        <w:t>, la Sala vislumbra</w:t>
      </w:r>
      <w:r w:rsidR="00961596" w:rsidRPr="00941576">
        <w:rPr>
          <w:rFonts w:cs="Arial"/>
        </w:rPr>
        <w:t xml:space="preserve"> serias inconsistencias </w:t>
      </w:r>
      <w:r w:rsidR="00D85B6C" w:rsidRPr="00941576">
        <w:rPr>
          <w:rFonts w:cs="Arial"/>
        </w:rPr>
        <w:t>que</w:t>
      </w:r>
      <w:r w:rsidRPr="00941576">
        <w:rPr>
          <w:rFonts w:cs="Arial"/>
        </w:rPr>
        <w:t xml:space="preserve"> se erigen como obstáculo para </w:t>
      </w:r>
      <w:r w:rsidR="00961596" w:rsidRPr="00941576">
        <w:rPr>
          <w:rFonts w:cs="Arial"/>
        </w:rPr>
        <w:t>formarse un convencimiento sólido y confiable sobre su causación</w:t>
      </w:r>
      <w:r w:rsidR="005600AC" w:rsidRPr="00941576">
        <w:rPr>
          <w:rFonts w:cs="Arial"/>
        </w:rPr>
        <w:t>, por las razones que pasan a</w:t>
      </w:r>
      <w:r w:rsidR="002203A4" w:rsidRPr="00941576">
        <w:rPr>
          <w:rFonts w:cs="Arial"/>
        </w:rPr>
        <w:t xml:space="preserve"> explicarse</w:t>
      </w:r>
      <w:r w:rsidR="00961596" w:rsidRPr="00941576">
        <w:rPr>
          <w:rFonts w:cs="Arial"/>
        </w:rPr>
        <w:t xml:space="preserve">. </w:t>
      </w:r>
    </w:p>
    <w:p w:rsidR="002C4E8A" w:rsidRPr="00941576" w:rsidRDefault="002C4E8A" w:rsidP="002C4E8A">
      <w:pPr>
        <w:rPr>
          <w:rFonts w:cs="Arial"/>
        </w:rPr>
      </w:pPr>
    </w:p>
    <w:p w:rsidR="00FA53C5" w:rsidRPr="00941576" w:rsidRDefault="002203A4" w:rsidP="002C4E8A">
      <w:pPr>
        <w:rPr>
          <w:rFonts w:cs="Arial"/>
        </w:rPr>
      </w:pPr>
      <w:r w:rsidRPr="00941576">
        <w:rPr>
          <w:rFonts w:cs="Arial"/>
        </w:rPr>
        <w:t>En relación con el primer ítem descrito</w:t>
      </w:r>
      <w:r w:rsidR="004F113C" w:rsidRPr="00941576">
        <w:rPr>
          <w:rFonts w:cs="Arial"/>
        </w:rPr>
        <w:t>, correspondiente a</w:t>
      </w:r>
      <w:r w:rsidRPr="00941576">
        <w:rPr>
          <w:rFonts w:cs="Arial"/>
        </w:rPr>
        <w:t xml:space="preserve"> “</w:t>
      </w:r>
      <w:r w:rsidRPr="00941576">
        <w:rPr>
          <w:rFonts w:cs="Arial"/>
          <w:i/>
        </w:rPr>
        <w:t>demolición de pavimento rígido</w:t>
      </w:r>
      <w:r w:rsidRPr="00941576">
        <w:rPr>
          <w:rFonts w:cs="Arial"/>
        </w:rPr>
        <w:t xml:space="preserve">”, </w:t>
      </w:r>
      <w:r w:rsidR="004F113C" w:rsidRPr="00941576">
        <w:rPr>
          <w:rFonts w:cs="Arial"/>
        </w:rPr>
        <w:t>la Sala advierte</w:t>
      </w:r>
      <w:r w:rsidRPr="00941576">
        <w:rPr>
          <w:rFonts w:cs="Arial"/>
        </w:rPr>
        <w:t xml:space="preserve"> que la</w:t>
      </w:r>
      <w:r w:rsidR="004F113C" w:rsidRPr="00941576">
        <w:rPr>
          <w:rFonts w:cs="Arial"/>
        </w:rPr>
        <w:t xml:space="preserve">s condiciones iniciales </w:t>
      </w:r>
      <w:r w:rsidR="0021631A" w:rsidRPr="00941576">
        <w:rPr>
          <w:rFonts w:cs="Arial"/>
        </w:rPr>
        <w:t>que se enuncian en el cuadro</w:t>
      </w:r>
      <w:r w:rsidR="005248BD" w:rsidRPr="00941576">
        <w:rPr>
          <w:rFonts w:cs="Arial"/>
        </w:rPr>
        <w:t xml:space="preserve"> que antecede n</w:t>
      </w:r>
      <w:r w:rsidR="004F113C" w:rsidRPr="00941576">
        <w:rPr>
          <w:rFonts w:cs="Arial"/>
        </w:rPr>
        <w:t xml:space="preserve">o guardan coincidencia con las </w:t>
      </w:r>
      <w:r w:rsidR="00C07BCC" w:rsidRPr="00941576">
        <w:rPr>
          <w:rFonts w:cs="Arial"/>
        </w:rPr>
        <w:t>originalmente</w:t>
      </w:r>
      <w:r w:rsidR="005248BD" w:rsidRPr="00941576">
        <w:rPr>
          <w:rFonts w:cs="Arial"/>
        </w:rPr>
        <w:t xml:space="preserve"> pactadas</w:t>
      </w:r>
      <w:r w:rsidR="003433C4" w:rsidRPr="00941576">
        <w:rPr>
          <w:rStyle w:val="Refdenotaalpie"/>
          <w:rFonts w:cs="Arial"/>
        </w:rPr>
        <w:footnoteReference w:id="31"/>
      </w:r>
      <w:r w:rsidR="00FD51EB" w:rsidRPr="00941576">
        <w:rPr>
          <w:rFonts w:cs="Arial"/>
        </w:rPr>
        <w:t>,</w:t>
      </w:r>
      <w:r w:rsidR="005248BD" w:rsidRPr="00941576">
        <w:rPr>
          <w:rFonts w:cs="Arial"/>
        </w:rPr>
        <w:t xml:space="preserve"> según el pliego de condiciones y la propuesta</w:t>
      </w:r>
      <w:r w:rsidR="00FD51EB" w:rsidRPr="00941576">
        <w:rPr>
          <w:rFonts w:cs="Arial"/>
        </w:rPr>
        <w:t>,</w:t>
      </w:r>
      <w:r w:rsidR="004F113C" w:rsidRPr="00941576">
        <w:rPr>
          <w:rFonts w:cs="Arial"/>
        </w:rPr>
        <w:t xml:space="preserve"> y a partir de las cuales se pretende calcular la diferencia adeudada por mayor cantidad de obra ejecutada</w:t>
      </w:r>
      <w:r w:rsidR="005248BD" w:rsidRPr="00941576">
        <w:rPr>
          <w:rFonts w:cs="Arial"/>
        </w:rPr>
        <w:t xml:space="preserve">. </w:t>
      </w:r>
    </w:p>
    <w:p w:rsidR="002C4E8A" w:rsidRPr="00941576" w:rsidRDefault="002C4E8A" w:rsidP="002C4E8A">
      <w:pPr>
        <w:rPr>
          <w:rFonts w:cs="Arial"/>
        </w:rPr>
      </w:pPr>
    </w:p>
    <w:p w:rsidR="00961596" w:rsidRPr="00941576" w:rsidRDefault="00FA53C5" w:rsidP="002C4E8A">
      <w:pPr>
        <w:rPr>
          <w:rFonts w:cs="Arial"/>
        </w:rPr>
      </w:pPr>
      <w:r w:rsidRPr="00941576">
        <w:rPr>
          <w:rFonts w:cs="Arial"/>
        </w:rPr>
        <w:t>Por el</w:t>
      </w:r>
      <w:r w:rsidR="005248BD" w:rsidRPr="00941576">
        <w:rPr>
          <w:rFonts w:cs="Arial"/>
        </w:rPr>
        <w:t xml:space="preserve"> contr</w:t>
      </w:r>
      <w:r w:rsidR="004F113C" w:rsidRPr="00941576">
        <w:rPr>
          <w:rFonts w:cs="Arial"/>
        </w:rPr>
        <w:t>ario, las condiciones que se convinieron</w:t>
      </w:r>
      <w:r w:rsidR="00FD51EB" w:rsidRPr="00941576">
        <w:rPr>
          <w:rFonts w:cs="Arial"/>
        </w:rPr>
        <w:t>,</w:t>
      </w:r>
      <w:r w:rsidR="004F113C" w:rsidRPr="00941576">
        <w:rPr>
          <w:rFonts w:cs="Arial"/>
        </w:rPr>
        <w:t xml:space="preserve"> de conformidad con los análisis de precios y cantidades</w:t>
      </w:r>
      <w:r w:rsidR="005248BD" w:rsidRPr="00941576">
        <w:rPr>
          <w:rFonts w:cs="Arial"/>
        </w:rPr>
        <w:t xml:space="preserve"> </w:t>
      </w:r>
      <w:r w:rsidR="004F113C" w:rsidRPr="00941576">
        <w:rPr>
          <w:rFonts w:cs="Arial"/>
        </w:rPr>
        <w:t>de</w:t>
      </w:r>
      <w:r w:rsidR="00340107" w:rsidRPr="00941576">
        <w:rPr>
          <w:rFonts w:cs="Arial"/>
        </w:rPr>
        <w:t>l</w:t>
      </w:r>
      <w:r w:rsidR="004F113C" w:rsidRPr="00941576">
        <w:rPr>
          <w:rFonts w:cs="Arial"/>
        </w:rPr>
        <w:t xml:space="preserve"> pliego y la oferta</w:t>
      </w:r>
      <w:r w:rsidR="00FD51EB" w:rsidRPr="00941576">
        <w:rPr>
          <w:rFonts w:cs="Arial"/>
        </w:rPr>
        <w:t>,</w:t>
      </w:r>
      <w:r w:rsidR="004F113C" w:rsidRPr="00941576">
        <w:rPr>
          <w:rFonts w:cs="Arial"/>
        </w:rPr>
        <w:t xml:space="preserve"> </w:t>
      </w:r>
      <w:r w:rsidRPr="00941576">
        <w:rPr>
          <w:rFonts w:cs="Arial"/>
        </w:rPr>
        <w:t>son las mismas</w:t>
      </w:r>
      <w:r w:rsidR="0021631A" w:rsidRPr="00941576">
        <w:rPr>
          <w:rFonts w:cs="Arial"/>
        </w:rPr>
        <w:t xml:space="preserve"> </w:t>
      </w:r>
      <w:r w:rsidR="004F113C" w:rsidRPr="00941576">
        <w:rPr>
          <w:rFonts w:cs="Arial"/>
        </w:rPr>
        <w:t>que se enlistan en el recuadro de “obra ejecutada</w:t>
      </w:r>
      <w:r w:rsidRPr="00941576">
        <w:rPr>
          <w:rFonts w:cs="Arial"/>
        </w:rPr>
        <w:t>”, cuestión</w:t>
      </w:r>
      <w:r w:rsidR="004F113C" w:rsidRPr="00941576">
        <w:rPr>
          <w:rFonts w:cs="Arial"/>
        </w:rPr>
        <w:t xml:space="preserve"> que </w:t>
      </w:r>
      <w:r w:rsidRPr="00941576">
        <w:rPr>
          <w:rFonts w:cs="Arial"/>
        </w:rPr>
        <w:t xml:space="preserve">pone de manifiesto </w:t>
      </w:r>
      <w:r w:rsidR="004F113C" w:rsidRPr="00941576">
        <w:rPr>
          <w:rFonts w:cs="Arial"/>
        </w:rPr>
        <w:t xml:space="preserve">la ausencia de </w:t>
      </w:r>
      <w:r w:rsidRPr="00941576">
        <w:rPr>
          <w:rFonts w:cs="Arial"/>
        </w:rPr>
        <w:t xml:space="preserve">valores </w:t>
      </w:r>
      <w:r w:rsidR="004F113C" w:rsidRPr="00941576">
        <w:rPr>
          <w:rFonts w:cs="Arial"/>
        </w:rPr>
        <w:t xml:space="preserve">por reconocer </w:t>
      </w:r>
      <w:r w:rsidRPr="00941576">
        <w:rPr>
          <w:rFonts w:cs="Arial"/>
        </w:rPr>
        <w:t>en exceso por la ejecución de ese ítem</w:t>
      </w:r>
      <w:r w:rsidR="00340107" w:rsidRPr="00941576">
        <w:rPr>
          <w:rFonts w:cs="Arial"/>
        </w:rPr>
        <w:t>,</w:t>
      </w:r>
      <w:r w:rsidRPr="00941576">
        <w:rPr>
          <w:rFonts w:cs="Arial"/>
        </w:rPr>
        <w:t xml:space="preserve"> </w:t>
      </w:r>
      <w:r w:rsidR="004F113C" w:rsidRPr="00941576">
        <w:rPr>
          <w:rFonts w:cs="Arial"/>
        </w:rPr>
        <w:t>en la medida en que lo ejecutado</w:t>
      </w:r>
      <w:r w:rsidR="00D21C37" w:rsidRPr="00941576">
        <w:rPr>
          <w:rFonts w:cs="Arial"/>
        </w:rPr>
        <w:t xml:space="preserve"> por esa actividad</w:t>
      </w:r>
      <w:r w:rsidR="004F113C" w:rsidRPr="00941576">
        <w:rPr>
          <w:rFonts w:cs="Arial"/>
        </w:rPr>
        <w:t xml:space="preserve"> correspondió a lo inicialmente acordado</w:t>
      </w:r>
      <w:r w:rsidR="00FD51EB" w:rsidRPr="00941576">
        <w:rPr>
          <w:rFonts w:cs="Arial"/>
        </w:rPr>
        <w:t>,</w:t>
      </w:r>
      <w:r w:rsidR="004F113C" w:rsidRPr="00941576">
        <w:rPr>
          <w:rFonts w:cs="Arial"/>
        </w:rPr>
        <w:t xml:space="preserve"> tanto en precio como en cantidad. </w:t>
      </w:r>
    </w:p>
    <w:p w:rsidR="002C4E8A" w:rsidRPr="00941576" w:rsidRDefault="002C4E8A" w:rsidP="002C4E8A">
      <w:pPr>
        <w:rPr>
          <w:rFonts w:cs="Arial"/>
        </w:rPr>
      </w:pPr>
    </w:p>
    <w:p w:rsidR="00FA53C5" w:rsidRPr="00941576" w:rsidRDefault="00FA53C5" w:rsidP="002C4E8A">
      <w:pPr>
        <w:rPr>
          <w:rFonts w:cs="Arial"/>
        </w:rPr>
      </w:pPr>
      <w:r w:rsidRPr="00941576">
        <w:rPr>
          <w:rFonts w:cs="Arial"/>
        </w:rPr>
        <w:t>Lo dicho se corrobora con la información consignada en el acta de interventoría de fecha del 30 al 5 de noviembre de 2010</w:t>
      </w:r>
      <w:r w:rsidR="00FD51EB" w:rsidRPr="00941576">
        <w:rPr>
          <w:rFonts w:cs="Arial"/>
        </w:rPr>
        <w:t>,</w:t>
      </w:r>
      <w:r w:rsidR="00061A26" w:rsidRPr="00941576">
        <w:rPr>
          <w:rFonts w:cs="Arial"/>
        </w:rPr>
        <w:t xml:space="preserve"> </w:t>
      </w:r>
      <w:r w:rsidRPr="00941576">
        <w:rPr>
          <w:rFonts w:cs="Arial"/>
        </w:rPr>
        <w:t>en la cual se registraron los mismos valores i</w:t>
      </w:r>
      <w:r w:rsidR="00061A26" w:rsidRPr="00941576">
        <w:rPr>
          <w:rFonts w:cs="Arial"/>
        </w:rPr>
        <w:t xml:space="preserve">niciales a los que se hace mención. </w:t>
      </w:r>
    </w:p>
    <w:p w:rsidR="002C4E8A" w:rsidRPr="00941576" w:rsidRDefault="002C4E8A" w:rsidP="002C4E8A">
      <w:pPr>
        <w:rPr>
          <w:rFonts w:cs="Arial"/>
        </w:rPr>
      </w:pPr>
    </w:p>
    <w:p w:rsidR="00A14342" w:rsidRPr="00941576" w:rsidRDefault="00BF23FD" w:rsidP="002C4E8A">
      <w:pPr>
        <w:rPr>
          <w:rFonts w:cs="Arial"/>
        </w:rPr>
      </w:pPr>
      <w:r w:rsidRPr="00941576">
        <w:rPr>
          <w:rFonts w:cs="Arial"/>
        </w:rPr>
        <w:t xml:space="preserve">Algo </w:t>
      </w:r>
      <w:r w:rsidR="00CB640F" w:rsidRPr="00941576">
        <w:rPr>
          <w:rFonts w:cs="Arial"/>
        </w:rPr>
        <w:t>similar ocurrió</w:t>
      </w:r>
      <w:r w:rsidRPr="00941576">
        <w:rPr>
          <w:rFonts w:cs="Arial"/>
        </w:rPr>
        <w:t xml:space="preserve"> en el </w:t>
      </w:r>
      <w:r w:rsidR="00292219" w:rsidRPr="00941576">
        <w:rPr>
          <w:rFonts w:cs="Arial"/>
        </w:rPr>
        <w:t xml:space="preserve">caso del </w:t>
      </w:r>
      <w:r w:rsidR="00E04A57" w:rsidRPr="00941576">
        <w:rPr>
          <w:rFonts w:cs="Arial"/>
        </w:rPr>
        <w:t>ítem</w:t>
      </w:r>
      <w:r w:rsidR="00765F58" w:rsidRPr="00941576">
        <w:rPr>
          <w:rFonts w:cs="Arial"/>
        </w:rPr>
        <w:t xml:space="preserve"> </w:t>
      </w:r>
      <w:r w:rsidRPr="00941576">
        <w:rPr>
          <w:rFonts w:cs="Arial"/>
          <w:i/>
        </w:rPr>
        <w:t>“</w:t>
      </w:r>
      <w:r w:rsidR="00292219" w:rsidRPr="00941576">
        <w:rPr>
          <w:rFonts w:cs="Arial"/>
          <w:i/>
        </w:rPr>
        <w:t>terraplén</w:t>
      </w:r>
      <w:r w:rsidRPr="00941576">
        <w:rPr>
          <w:rFonts w:cs="Arial"/>
        </w:rPr>
        <w:t xml:space="preserve">”, debido a que las condiciones iniciales descritas en el acta final tampoco </w:t>
      </w:r>
      <w:r w:rsidR="00C56FE6" w:rsidRPr="00941576">
        <w:rPr>
          <w:rFonts w:cs="Arial"/>
        </w:rPr>
        <w:t>se identifican con</w:t>
      </w:r>
      <w:r w:rsidRPr="00941576">
        <w:rPr>
          <w:rFonts w:cs="Arial"/>
        </w:rPr>
        <w:t xml:space="preserve"> las estipuladas</w:t>
      </w:r>
      <w:r w:rsidR="00E61B0A" w:rsidRPr="00941576">
        <w:rPr>
          <w:rFonts w:cs="Arial"/>
        </w:rPr>
        <w:t xml:space="preserve"> </w:t>
      </w:r>
      <w:r w:rsidR="00910693" w:rsidRPr="00941576">
        <w:rPr>
          <w:rFonts w:cs="Arial"/>
        </w:rPr>
        <w:t>en un comienzo por las partes y que,</w:t>
      </w:r>
      <w:r w:rsidR="00E61B0A" w:rsidRPr="00941576">
        <w:rPr>
          <w:rFonts w:cs="Arial"/>
        </w:rPr>
        <w:t xml:space="preserve"> incluso</w:t>
      </w:r>
      <w:r w:rsidR="00910693" w:rsidRPr="00941576">
        <w:rPr>
          <w:rFonts w:cs="Arial"/>
        </w:rPr>
        <w:t>,</w:t>
      </w:r>
      <w:r w:rsidR="00E61B0A" w:rsidRPr="00941576">
        <w:rPr>
          <w:rFonts w:cs="Arial"/>
        </w:rPr>
        <w:t xml:space="preserve"> se mantuvieron intactas al suscribir el acta de recibo parcial de fecha 21 de enero de 2011</w:t>
      </w:r>
      <w:r w:rsidR="00B62355" w:rsidRPr="00941576">
        <w:rPr>
          <w:rStyle w:val="Refdenotaalpie"/>
          <w:rFonts w:cs="Arial"/>
        </w:rPr>
        <w:footnoteReference w:id="32"/>
      </w:r>
      <w:r w:rsidR="00B62355" w:rsidRPr="00941576">
        <w:rPr>
          <w:rFonts w:cs="Arial"/>
        </w:rPr>
        <w:t>.</w:t>
      </w:r>
    </w:p>
    <w:p w:rsidR="002C4E8A" w:rsidRPr="00941576" w:rsidRDefault="002C4E8A" w:rsidP="002C4E8A">
      <w:pPr>
        <w:rPr>
          <w:rFonts w:cs="Arial"/>
        </w:rPr>
      </w:pPr>
    </w:p>
    <w:p w:rsidR="00DB66B6" w:rsidRPr="00941576" w:rsidRDefault="00A14342" w:rsidP="002C4E8A">
      <w:pPr>
        <w:rPr>
          <w:rFonts w:cs="Arial"/>
        </w:rPr>
      </w:pPr>
      <w:r w:rsidRPr="00941576">
        <w:rPr>
          <w:rFonts w:cs="Arial"/>
        </w:rPr>
        <w:t>Además, resulta menester poner de</w:t>
      </w:r>
      <w:r w:rsidR="003B5468" w:rsidRPr="00941576">
        <w:rPr>
          <w:rFonts w:cs="Arial"/>
        </w:rPr>
        <w:t xml:space="preserve"> presente </w:t>
      </w:r>
      <w:r w:rsidR="00892BE7" w:rsidRPr="00941576">
        <w:rPr>
          <w:rFonts w:cs="Arial"/>
        </w:rPr>
        <w:t xml:space="preserve">que </w:t>
      </w:r>
      <w:r w:rsidR="003B5468" w:rsidRPr="00941576">
        <w:rPr>
          <w:rFonts w:cs="Arial"/>
        </w:rPr>
        <w:t>el valor</w:t>
      </w:r>
      <w:r w:rsidR="00724A34" w:rsidRPr="00941576">
        <w:rPr>
          <w:rFonts w:cs="Arial"/>
        </w:rPr>
        <w:t xml:space="preserve"> reclamado</w:t>
      </w:r>
      <w:r w:rsidRPr="00941576">
        <w:rPr>
          <w:rFonts w:cs="Arial"/>
        </w:rPr>
        <w:t xml:space="preserve"> </w:t>
      </w:r>
      <w:r w:rsidR="00724A34" w:rsidRPr="00941576">
        <w:rPr>
          <w:rFonts w:cs="Arial"/>
        </w:rPr>
        <w:t>en la demanda</w:t>
      </w:r>
      <w:r w:rsidR="00092FD5" w:rsidRPr="00941576">
        <w:rPr>
          <w:rFonts w:cs="Arial"/>
        </w:rPr>
        <w:t xml:space="preserve"> </w:t>
      </w:r>
      <w:r w:rsidR="001D3556" w:rsidRPr="00941576">
        <w:rPr>
          <w:rFonts w:cs="Arial"/>
        </w:rPr>
        <w:t>por este concepto asciende a $74’</w:t>
      </w:r>
      <w:r w:rsidR="00892BE7" w:rsidRPr="00941576">
        <w:rPr>
          <w:rFonts w:cs="Arial"/>
        </w:rPr>
        <w:t xml:space="preserve">014.835. No obstante, </w:t>
      </w:r>
      <w:r w:rsidR="001D3556" w:rsidRPr="00941576">
        <w:rPr>
          <w:rFonts w:cs="Arial"/>
        </w:rPr>
        <w:t xml:space="preserve">al realizar </w:t>
      </w:r>
      <w:r w:rsidR="003B5468" w:rsidRPr="00941576">
        <w:rPr>
          <w:rFonts w:cs="Arial"/>
        </w:rPr>
        <w:t xml:space="preserve">la operación matemática dirigida a hallar la diferencia entre las “condiciones </w:t>
      </w:r>
      <w:r w:rsidR="00724A34" w:rsidRPr="00941576">
        <w:rPr>
          <w:rFonts w:cs="Arial"/>
        </w:rPr>
        <w:t>originales</w:t>
      </w:r>
      <w:r w:rsidR="003B5468" w:rsidRPr="00941576">
        <w:rPr>
          <w:rFonts w:cs="Arial"/>
        </w:rPr>
        <w:t>” y las cantidades</w:t>
      </w:r>
      <w:r w:rsidR="00092FD5" w:rsidRPr="00941576">
        <w:rPr>
          <w:rFonts w:cs="Arial"/>
        </w:rPr>
        <w:t xml:space="preserve"> de obra</w:t>
      </w:r>
      <w:r w:rsidR="00DB66B6" w:rsidRPr="00941576">
        <w:rPr>
          <w:rFonts w:cs="Arial"/>
        </w:rPr>
        <w:t xml:space="preserve"> ejecutada</w:t>
      </w:r>
      <w:r w:rsidR="003B5468" w:rsidRPr="00941576">
        <w:rPr>
          <w:rFonts w:cs="Arial"/>
        </w:rPr>
        <w:t xml:space="preserve"> se obtiene una suma de </w:t>
      </w:r>
      <w:r w:rsidR="00724A34" w:rsidRPr="00941576">
        <w:rPr>
          <w:rFonts w:cs="Arial"/>
        </w:rPr>
        <w:t>$85’295.904,77, situación que no deja de causar confusión en relación con el origen de la cuantía reclamada por este concepto</w:t>
      </w:r>
      <w:r w:rsidR="007559E8" w:rsidRPr="00941576">
        <w:rPr>
          <w:rFonts w:cs="Arial"/>
        </w:rPr>
        <w:t xml:space="preserve"> ($74’014.835)</w:t>
      </w:r>
      <w:r w:rsidR="0046312A" w:rsidRPr="00941576">
        <w:rPr>
          <w:rFonts w:cs="Arial"/>
        </w:rPr>
        <w:t xml:space="preserve">. </w:t>
      </w:r>
    </w:p>
    <w:p w:rsidR="002C4E8A" w:rsidRPr="00941576" w:rsidRDefault="002C4E8A" w:rsidP="002C4E8A">
      <w:pPr>
        <w:rPr>
          <w:rFonts w:cs="Arial"/>
        </w:rPr>
      </w:pPr>
    </w:p>
    <w:p w:rsidR="00A14342" w:rsidRPr="00941576" w:rsidRDefault="00724A34" w:rsidP="002C4E8A">
      <w:pPr>
        <w:rPr>
          <w:rFonts w:cs="Arial"/>
        </w:rPr>
      </w:pPr>
      <w:r w:rsidRPr="00941576">
        <w:rPr>
          <w:rFonts w:cs="Arial"/>
        </w:rPr>
        <w:t xml:space="preserve">A este último se impone añadir que si bien en el acta de recibo </w:t>
      </w:r>
      <w:r w:rsidR="00092FD5" w:rsidRPr="00941576">
        <w:rPr>
          <w:rFonts w:cs="Arial"/>
        </w:rPr>
        <w:t>final se indicó que existía un saldo en favor del contratista</w:t>
      </w:r>
      <w:r w:rsidR="007559E8" w:rsidRPr="00941576">
        <w:rPr>
          <w:rFonts w:cs="Arial"/>
        </w:rPr>
        <w:t xml:space="preserve"> por valor de $74’014.835</w:t>
      </w:r>
      <w:r w:rsidR="00092FD5" w:rsidRPr="00941576">
        <w:rPr>
          <w:rFonts w:cs="Arial"/>
        </w:rPr>
        <w:t>, en ese documento no se hizo referencia a qu</w:t>
      </w:r>
      <w:r w:rsidR="007559E8" w:rsidRPr="00941576">
        <w:rPr>
          <w:rFonts w:cs="Arial"/>
        </w:rPr>
        <w:t>é concepto respondía</w:t>
      </w:r>
      <w:r w:rsidR="00092FD5" w:rsidRPr="00941576">
        <w:rPr>
          <w:rFonts w:cs="Arial"/>
        </w:rPr>
        <w:t xml:space="preserve"> el rubro adeudado</w:t>
      </w:r>
      <w:r w:rsidR="00DB66B6" w:rsidRPr="00941576">
        <w:rPr>
          <w:rFonts w:cs="Arial"/>
        </w:rPr>
        <w:t>, incertidumbre que se aumenta por el hecho de que allí se enuncian unos conceptos en su favor distintos a los que constituyen la materia del presente análisis.</w:t>
      </w:r>
    </w:p>
    <w:p w:rsidR="002C4E8A" w:rsidRPr="00941576" w:rsidRDefault="002C4E8A" w:rsidP="002C4E8A">
      <w:pPr>
        <w:rPr>
          <w:rFonts w:cs="Arial"/>
        </w:rPr>
      </w:pPr>
    </w:p>
    <w:p w:rsidR="0046312A" w:rsidRPr="00941576" w:rsidRDefault="007C1516" w:rsidP="002C4E8A">
      <w:pPr>
        <w:autoSpaceDN w:val="0"/>
        <w:rPr>
          <w:rFonts w:cs="Arial"/>
          <w:bCs/>
          <w:color w:val="000000"/>
          <w:lang w:val="es-MX"/>
        </w:rPr>
      </w:pPr>
      <w:r w:rsidRPr="00941576">
        <w:rPr>
          <w:rFonts w:cs="Arial"/>
        </w:rPr>
        <w:t xml:space="preserve">Con sujeción a las consideraciones precedentes y </w:t>
      </w:r>
      <w:r w:rsidR="00912EFC" w:rsidRPr="00941576">
        <w:rPr>
          <w:rFonts w:cs="Arial"/>
        </w:rPr>
        <w:t>ante las inconsistencias halladas en el acta de recibo final de obra</w:t>
      </w:r>
      <w:r w:rsidR="00912EFC" w:rsidRPr="00941576">
        <w:rPr>
          <w:rFonts w:cs="Arial"/>
          <w:bCs/>
          <w:color w:val="000000"/>
          <w:lang w:val="es-MX"/>
        </w:rPr>
        <w:t xml:space="preserve">, </w:t>
      </w:r>
      <w:r w:rsidR="00DB66B6" w:rsidRPr="00941576">
        <w:rPr>
          <w:rFonts w:cs="Arial"/>
          <w:bCs/>
          <w:color w:val="000000"/>
          <w:lang w:val="es-MX"/>
        </w:rPr>
        <w:t xml:space="preserve">se </w:t>
      </w:r>
      <w:r w:rsidR="00912EFC" w:rsidRPr="00941576">
        <w:rPr>
          <w:rFonts w:cs="Arial"/>
          <w:bCs/>
          <w:color w:val="000000"/>
          <w:lang w:val="es-MX"/>
        </w:rPr>
        <w:t>negará el</w:t>
      </w:r>
      <w:r w:rsidR="00B17023" w:rsidRPr="00941576">
        <w:rPr>
          <w:rFonts w:cs="Arial"/>
          <w:bCs/>
          <w:color w:val="000000"/>
          <w:lang w:val="es-MX"/>
        </w:rPr>
        <w:t xml:space="preserve"> reconocimiento de los valores correspondientes a</w:t>
      </w:r>
      <w:r w:rsidR="00912EFC" w:rsidRPr="00941576">
        <w:rPr>
          <w:rFonts w:cs="Arial"/>
          <w:bCs/>
          <w:color w:val="000000"/>
          <w:lang w:val="es-MX"/>
        </w:rPr>
        <w:t xml:space="preserve"> las mayore</w:t>
      </w:r>
      <w:r w:rsidR="00B605E9" w:rsidRPr="00941576">
        <w:rPr>
          <w:rFonts w:cs="Arial"/>
          <w:bCs/>
          <w:color w:val="000000"/>
          <w:lang w:val="es-MX"/>
        </w:rPr>
        <w:t>s cantidades de obra ejecutada.</w:t>
      </w:r>
    </w:p>
    <w:p w:rsidR="002C4E8A" w:rsidRPr="00941576" w:rsidRDefault="002C4E8A" w:rsidP="002C4E8A">
      <w:pPr>
        <w:autoSpaceDN w:val="0"/>
        <w:rPr>
          <w:rFonts w:cs="Arial"/>
          <w:bCs/>
          <w:color w:val="000000"/>
          <w:lang w:val="es-MX"/>
        </w:rPr>
      </w:pPr>
    </w:p>
    <w:p w:rsidR="0046312A" w:rsidRPr="00941576" w:rsidRDefault="00917F81" w:rsidP="002C4E8A">
      <w:pPr>
        <w:autoSpaceDN w:val="0"/>
        <w:rPr>
          <w:rFonts w:cs="Arial"/>
          <w:bCs/>
          <w:color w:val="000000"/>
          <w:lang w:val="es-MX"/>
        </w:rPr>
      </w:pPr>
      <w:r w:rsidRPr="00941576">
        <w:rPr>
          <w:rFonts w:cs="Arial"/>
          <w:bCs/>
          <w:color w:val="000000"/>
          <w:lang w:val="es-MX"/>
        </w:rPr>
        <w:t xml:space="preserve">En mérito de lo expuesto, la Sala considera que la sentencia objeto de apelación merece ser confirmada en cuanto negó las pretensiones de la demanda. </w:t>
      </w:r>
    </w:p>
    <w:p w:rsidR="002C4E8A" w:rsidRPr="00941576" w:rsidRDefault="002C4E8A" w:rsidP="002C4E8A">
      <w:pPr>
        <w:autoSpaceDN w:val="0"/>
        <w:rPr>
          <w:rFonts w:cs="Arial"/>
          <w:bCs/>
          <w:color w:val="000000"/>
          <w:lang w:val="es-MX"/>
        </w:rPr>
      </w:pPr>
    </w:p>
    <w:p w:rsidR="007C1516" w:rsidRPr="00941576" w:rsidRDefault="00C52EAE" w:rsidP="002C4E8A">
      <w:pPr>
        <w:rPr>
          <w:rFonts w:cs="Arial"/>
          <w:b/>
        </w:rPr>
      </w:pPr>
      <w:r w:rsidRPr="00941576">
        <w:rPr>
          <w:rFonts w:cs="Arial"/>
          <w:b/>
        </w:rPr>
        <w:t>5.-</w:t>
      </w:r>
      <w:r w:rsidR="00F57296" w:rsidRPr="00941576">
        <w:rPr>
          <w:rFonts w:cs="Arial"/>
          <w:b/>
        </w:rPr>
        <w:t xml:space="preserve"> Costas</w:t>
      </w:r>
    </w:p>
    <w:p w:rsidR="002C4E8A" w:rsidRPr="00941576" w:rsidRDefault="002C4E8A" w:rsidP="002C4E8A">
      <w:pPr>
        <w:rPr>
          <w:rFonts w:cs="Arial"/>
          <w:b/>
        </w:rPr>
      </w:pPr>
    </w:p>
    <w:p w:rsidR="007E67BB" w:rsidRPr="00941576" w:rsidRDefault="007C1516" w:rsidP="002C4E8A">
      <w:pPr>
        <w:rPr>
          <w:rFonts w:cs="Arial"/>
          <w:i/>
          <w:color w:val="000000"/>
          <w:shd w:val="clear" w:color="auto" w:fill="FFFFFF"/>
        </w:rPr>
      </w:pPr>
      <w:r w:rsidRPr="00941576">
        <w:rPr>
          <w:rFonts w:cs="Arial"/>
        </w:rPr>
        <w:t>E</w:t>
      </w:r>
      <w:r w:rsidR="007E67BB" w:rsidRPr="00941576">
        <w:rPr>
          <w:rFonts w:cs="Arial"/>
        </w:rPr>
        <w:t>l aspecto de las costas se encuentra regulado por el artículo 267 del C.P.A.C.A., en cuyo contenido se establece que “</w:t>
      </w:r>
      <w:r w:rsidR="007E67BB" w:rsidRPr="00941576">
        <w:rPr>
          <w:rFonts w:cs="Arial"/>
          <w:i/>
          <w:color w:val="000000"/>
          <w:shd w:val="clear" w:color="auto" w:fill="FFFFFF"/>
        </w:rPr>
        <w:t>Si prospera el recurso, total o parcialmente, la sala anulará, en lo pertinente, la providencia recurrida y dictará la que deba reemplazarla o adoptará las decisiones que correspondan. Si el recurso es desestimado, se condenará en costas al recurrente”.</w:t>
      </w:r>
    </w:p>
    <w:p w:rsidR="002C4E8A" w:rsidRPr="00941576" w:rsidRDefault="002C4E8A" w:rsidP="002C4E8A">
      <w:pPr>
        <w:rPr>
          <w:rFonts w:cs="Arial"/>
          <w:i/>
          <w:color w:val="000000"/>
          <w:shd w:val="clear" w:color="auto" w:fill="FFFFFF"/>
        </w:rPr>
      </w:pPr>
    </w:p>
    <w:p w:rsidR="009207EA" w:rsidRPr="00941576" w:rsidRDefault="009207EA" w:rsidP="002C4E8A">
      <w:pPr>
        <w:rPr>
          <w:rFonts w:cs="Arial"/>
          <w:i/>
          <w:color w:val="000000"/>
          <w:shd w:val="clear" w:color="auto" w:fill="FFFFFF"/>
        </w:rPr>
      </w:pPr>
      <w:r w:rsidRPr="00941576">
        <w:rPr>
          <w:rFonts w:cs="Arial"/>
          <w:color w:val="000000"/>
          <w:shd w:val="clear" w:color="auto" w:fill="FFFFFF"/>
        </w:rPr>
        <w:t xml:space="preserve">Adicionalmente, el artículo 188 de ese mismo </w:t>
      </w:r>
      <w:r w:rsidR="00EB3C36" w:rsidRPr="00941576">
        <w:rPr>
          <w:rFonts w:cs="Arial"/>
          <w:color w:val="000000"/>
          <w:shd w:val="clear" w:color="auto" w:fill="FFFFFF"/>
        </w:rPr>
        <w:t>E</w:t>
      </w:r>
      <w:r w:rsidRPr="00941576">
        <w:rPr>
          <w:rFonts w:cs="Arial"/>
          <w:color w:val="000000"/>
          <w:shd w:val="clear" w:color="auto" w:fill="FFFFFF"/>
        </w:rPr>
        <w:t>statuto consagra que “</w:t>
      </w:r>
      <w:r w:rsidRPr="00941576">
        <w:rPr>
          <w:rFonts w:cs="Arial"/>
          <w:i/>
          <w:color w:val="000000"/>
          <w:shd w:val="clear" w:color="auto" w:fill="FFFFFF"/>
        </w:rPr>
        <w:t xml:space="preserve">la sentencia </w:t>
      </w:r>
      <w:r w:rsidR="00EB3C36" w:rsidRPr="00941576">
        <w:rPr>
          <w:rFonts w:cs="Arial"/>
          <w:i/>
          <w:color w:val="000000"/>
          <w:shd w:val="clear" w:color="auto" w:fill="FFFFFF"/>
        </w:rPr>
        <w:t xml:space="preserve">dispondrá </w:t>
      </w:r>
      <w:r w:rsidRPr="00941576">
        <w:rPr>
          <w:rFonts w:cs="Arial"/>
          <w:i/>
          <w:color w:val="000000"/>
          <w:shd w:val="clear" w:color="auto" w:fill="FFFFFF"/>
        </w:rPr>
        <w:t>sobre la condena en costas, cuya liquidación y ejecución se regirán por las normas del Código de Procedimiento Civil”.</w:t>
      </w:r>
    </w:p>
    <w:p w:rsidR="002C4E8A" w:rsidRPr="00941576" w:rsidRDefault="002C4E8A" w:rsidP="002C4E8A">
      <w:pPr>
        <w:rPr>
          <w:rFonts w:cs="Arial"/>
          <w:i/>
          <w:color w:val="000000"/>
          <w:shd w:val="clear" w:color="auto" w:fill="FFFFFF"/>
        </w:rPr>
      </w:pPr>
    </w:p>
    <w:p w:rsidR="001629B2" w:rsidRPr="00941576" w:rsidRDefault="007E67BB" w:rsidP="002C4E8A">
      <w:pPr>
        <w:pStyle w:val="Textoindependiente22"/>
        <w:numPr>
          <w:ilvl w:val="12"/>
          <w:numId w:val="0"/>
        </w:numPr>
        <w:overflowPunct/>
        <w:autoSpaceDE/>
        <w:autoSpaceDN/>
        <w:adjustRightInd/>
        <w:textAlignment w:val="auto"/>
        <w:rPr>
          <w:rFonts w:cs="Arial"/>
          <w:szCs w:val="24"/>
        </w:rPr>
      </w:pPr>
      <w:r w:rsidRPr="00941576">
        <w:rPr>
          <w:rFonts w:cs="Arial"/>
          <w:szCs w:val="24"/>
        </w:rPr>
        <w:t>De esta manera, con independencia de la buena fe con que las partes hubieran obrado en el presente recurso, el extremo recurrente</w:t>
      </w:r>
      <w:r w:rsidR="009207EA" w:rsidRPr="00941576">
        <w:rPr>
          <w:rFonts w:cs="Arial"/>
          <w:szCs w:val="24"/>
        </w:rPr>
        <w:t xml:space="preserve"> habrá</w:t>
      </w:r>
      <w:r w:rsidR="00D607E4" w:rsidRPr="00941576">
        <w:rPr>
          <w:rFonts w:cs="Arial"/>
          <w:szCs w:val="24"/>
        </w:rPr>
        <w:t xml:space="preserve"> de ser </w:t>
      </w:r>
      <w:r w:rsidRPr="00941576">
        <w:rPr>
          <w:rFonts w:cs="Arial"/>
          <w:szCs w:val="24"/>
        </w:rPr>
        <w:t>condenado en costas en favor del demandado</w:t>
      </w:r>
      <w:r w:rsidR="009207EA" w:rsidRPr="00941576">
        <w:rPr>
          <w:rFonts w:cs="Arial"/>
          <w:szCs w:val="24"/>
        </w:rPr>
        <w:t xml:space="preserve">. En primer lugar, por cuanto </w:t>
      </w:r>
      <w:r w:rsidR="007C1516" w:rsidRPr="00941576">
        <w:rPr>
          <w:rFonts w:cs="Arial"/>
          <w:szCs w:val="24"/>
        </w:rPr>
        <w:t>apoyó</w:t>
      </w:r>
      <w:r w:rsidRPr="00941576">
        <w:rPr>
          <w:rFonts w:cs="Arial"/>
          <w:szCs w:val="24"/>
        </w:rPr>
        <w:t xml:space="preserve"> la alzada en argumentos que </w:t>
      </w:r>
      <w:r w:rsidR="009207EA" w:rsidRPr="00941576">
        <w:rPr>
          <w:rFonts w:cs="Arial"/>
          <w:szCs w:val="24"/>
        </w:rPr>
        <w:t>han sido desestimados y, en segundo, debido a que no obstante que la defensa no desplegó</w:t>
      </w:r>
      <w:r w:rsidRPr="00941576">
        <w:rPr>
          <w:rFonts w:cs="Arial"/>
          <w:szCs w:val="24"/>
        </w:rPr>
        <w:t xml:space="preserve"> en esta instancia </w:t>
      </w:r>
      <w:r w:rsidR="009207EA" w:rsidRPr="00941576">
        <w:rPr>
          <w:rFonts w:cs="Arial"/>
          <w:szCs w:val="24"/>
        </w:rPr>
        <w:t xml:space="preserve">actuación alguna, en todo caso por </w:t>
      </w:r>
    </w:p>
    <w:p w:rsidR="0043564D" w:rsidRPr="00941576" w:rsidRDefault="009207EA" w:rsidP="002C4E8A">
      <w:pPr>
        <w:pStyle w:val="Textoindependiente22"/>
        <w:numPr>
          <w:ilvl w:val="12"/>
          <w:numId w:val="0"/>
        </w:numPr>
        <w:overflowPunct/>
        <w:autoSpaceDE/>
        <w:autoSpaceDN/>
        <w:adjustRightInd/>
        <w:textAlignment w:val="auto"/>
        <w:rPr>
          <w:rFonts w:cs="Arial"/>
          <w:szCs w:val="24"/>
        </w:rPr>
      </w:pPr>
      <w:r w:rsidRPr="00941576">
        <w:rPr>
          <w:rFonts w:cs="Arial"/>
          <w:szCs w:val="24"/>
        </w:rPr>
        <w:t>cuenta de la interposición de la alzada el proceso se prolongó por un término superior, lo que condujo a que</w:t>
      </w:r>
      <w:r w:rsidR="00EB3C36" w:rsidRPr="00941576">
        <w:rPr>
          <w:rFonts w:cs="Arial"/>
          <w:szCs w:val="24"/>
        </w:rPr>
        <w:t>,</w:t>
      </w:r>
      <w:r w:rsidRPr="00941576">
        <w:rPr>
          <w:rFonts w:cs="Arial"/>
          <w:szCs w:val="24"/>
        </w:rPr>
        <w:t xml:space="preserve"> al menos</w:t>
      </w:r>
      <w:r w:rsidR="00EB3C36" w:rsidRPr="00941576">
        <w:rPr>
          <w:rFonts w:cs="Arial"/>
          <w:szCs w:val="24"/>
        </w:rPr>
        <w:t xml:space="preserve">, la </w:t>
      </w:r>
      <w:r w:rsidR="0043564D" w:rsidRPr="00941576">
        <w:rPr>
          <w:rFonts w:cs="Arial"/>
          <w:szCs w:val="24"/>
        </w:rPr>
        <w:t xml:space="preserve">vigilancia procesal </w:t>
      </w:r>
      <w:r w:rsidR="00EB3C36" w:rsidRPr="00941576">
        <w:rPr>
          <w:rFonts w:cs="Arial"/>
          <w:szCs w:val="24"/>
        </w:rPr>
        <w:t xml:space="preserve">ejercida sobre el mismo </w:t>
      </w:r>
      <w:r w:rsidR="0043564D" w:rsidRPr="00941576">
        <w:rPr>
          <w:rFonts w:cs="Arial"/>
          <w:szCs w:val="24"/>
        </w:rPr>
        <w:t>se extendiera en el tiempo.</w:t>
      </w:r>
    </w:p>
    <w:p w:rsidR="0043564D" w:rsidRPr="00941576" w:rsidRDefault="0043564D" w:rsidP="002C4E8A">
      <w:pPr>
        <w:pStyle w:val="Textoindependiente22"/>
        <w:numPr>
          <w:ilvl w:val="12"/>
          <w:numId w:val="0"/>
        </w:numPr>
        <w:overflowPunct/>
        <w:autoSpaceDE/>
        <w:autoSpaceDN/>
        <w:adjustRightInd/>
        <w:textAlignment w:val="auto"/>
        <w:rPr>
          <w:rFonts w:cs="Arial"/>
          <w:szCs w:val="24"/>
        </w:rPr>
      </w:pPr>
    </w:p>
    <w:p w:rsidR="009207EA" w:rsidRPr="00941576" w:rsidRDefault="0043564D" w:rsidP="002C4E8A">
      <w:pPr>
        <w:pStyle w:val="Textoindependiente22"/>
        <w:numPr>
          <w:ilvl w:val="12"/>
          <w:numId w:val="0"/>
        </w:numPr>
        <w:overflowPunct/>
        <w:autoSpaceDE/>
        <w:autoSpaceDN/>
        <w:adjustRightInd/>
        <w:textAlignment w:val="auto"/>
        <w:rPr>
          <w:rFonts w:cs="Arial"/>
          <w:szCs w:val="24"/>
        </w:rPr>
      </w:pPr>
      <w:r w:rsidRPr="00941576">
        <w:rPr>
          <w:rFonts w:cs="Arial"/>
          <w:szCs w:val="24"/>
        </w:rPr>
        <w:t xml:space="preserve">Así las cosas, la Sala condenará en costas a la parte actora en los términos previstos por el artículo 366 del Código General del Proceso que impone su </w:t>
      </w:r>
      <w:r w:rsidRPr="00941576">
        <w:rPr>
          <w:rFonts w:cs="Arial"/>
          <w:szCs w:val="24"/>
        </w:rPr>
        <w:lastRenderedPageBreak/>
        <w:t>liquidación de manera concentrada por parte del Tribunal de origen.  Para el efecto</w:t>
      </w:r>
      <w:r w:rsidR="00EB3C36" w:rsidRPr="00941576">
        <w:rPr>
          <w:rFonts w:cs="Arial"/>
          <w:szCs w:val="24"/>
        </w:rPr>
        <w:t xml:space="preserve"> señalado</w:t>
      </w:r>
      <w:r w:rsidRPr="00941576">
        <w:rPr>
          <w:rFonts w:cs="Arial"/>
          <w:szCs w:val="24"/>
        </w:rPr>
        <w:t xml:space="preserve">, el </w:t>
      </w:r>
      <w:r w:rsidRPr="00941576">
        <w:rPr>
          <w:rFonts w:cs="Arial"/>
          <w:i/>
          <w:szCs w:val="24"/>
        </w:rPr>
        <w:t>a quo</w:t>
      </w:r>
      <w:r w:rsidRPr="00941576">
        <w:rPr>
          <w:rFonts w:cs="Arial"/>
          <w:szCs w:val="24"/>
        </w:rPr>
        <w:t xml:space="preserve"> deberá atender</w:t>
      </w:r>
      <w:r w:rsidR="00EB3C36" w:rsidRPr="00941576">
        <w:rPr>
          <w:rFonts w:cs="Arial"/>
          <w:szCs w:val="24"/>
        </w:rPr>
        <w:t xml:space="preserve"> las reglas previstas en dicho</w:t>
      </w:r>
      <w:r w:rsidRPr="00941576">
        <w:rPr>
          <w:rFonts w:cs="Arial"/>
          <w:szCs w:val="24"/>
        </w:rPr>
        <w:t xml:space="preserve"> precepto.</w:t>
      </w:r>
    </w:p>
    <w:p w:rsidR="007E67BB" w:rsidRPr="00941576" w:rsidRDefault="007E67BB" w:rsidP="007E67BB">
      <w:pPr>
        <w:pStyle w:val="Textoindependiente22"/>
        <w:numPr>
          <w:ilvl w:val="12"/>
          <w:numId w:val="0"/>
        </w:numPr>
        <w:overflowPunct/>
        <w:autoSpaceDE/>
        <w:autoSpaceDN/>
        <w:adjustRightInd/>
        <w:textAlignment w:val="auto"/>
        <w:rPr>
          <w:rFonts w:cs="Arial"/>
          <w:szCs w:val="24"/>
        </w:rPr>
      </w:pPr>
    </w:p>
    <w:p w:rsidR="00F57296" w:rsidRPr="00941576" w:rsidRDefault="00F57296" w:rsidP="00F57296">
      <w:pPr>
        <w:pStyle w:val="Textoindependiente22"/>
        <w:numPr>
          <w:ilvl w:val="12"/>
          <w:numId w:val="0"/>
        </w:numPr>
        <w:overflowPunct/>
        <w:autoSpaceDE/>
        <w:autoSpaceDN/>
        <w:adjustRightInd/>
        <w:ind w:right="-1"/>
        <w:textAlignment w:val="auto"/>
        <w:rPr>
          <w:rFonts w:cs="Arial"/>
          <w:szCs w:val="24"/>
        </w:rPr>
      </w:pPr>
      <w:r w:rsidRPr="00941576">
        <w:rPr>
          <w:rFonts w:cs="Arial"/>
          <w:szCs w:val="24"/>
        </w:rPr>
        <w:t>En mérito de lo expuesto, el Consejo de Estado, en Sala de lo Contencioso Administrativo, Sección Tercera, Subsección A, administrando justicia en nombre de la República de Colombia y por autoridad de la ley,</w:t>
      </w:r>
    </w:p>
    <w:p w:rsidR="0043564D" w:rsidRPr="00941576" w:rsidRDefault="0043564D" w:rsidP="00F57296">
      <w:pPr>
        <w:ind w:right="-1"/>
        <w:rPr>
          <w:rFonts w:cs="Arial"/>
        </w:rPr>
      </w:pPr>
    </w:p>
    <w:p w:rsidR="00F57296" w:rsidRPr="00941576" w:rsidRDefault="00F57296" w:rsidP="00F57296">
      <w:pPr>
        <w:pStyle w:val="Ttulo5"/>
        <w:ind w:right="-1"/>
        <w:rPr>
          <w:rFonts w:cs="Arial"/>
          <w:bCs/>
          <w:sz w:val="24"/>
          <w:szCs w:val="24"/>
        </w:rPr>
      </w:pPr>
      <w:r w:rsidRPr="00941576">
        <w:rPr>
          <w:rFonts w:cs="Arial"/>
          <w:bCs/>
          <w:sz w:val="24"/>
          <w:szCs w:val="24"/>
        </w:rPr>
        <w:t>F A L L A</w:t>
      </w:r>
    </w:p>
    <w:p w:rsidR="00F57296" w:rsidRPr="00941576" w:rsidRDefault="00F57296" w:rsidP="00F57296">
      <w:pPr>
        <w:widowControl w:val="0"/>
        <w:autoSpaceDE w:val="0"/>
        <w:autoSpaceDN w:val="0"/>
        <w:adjustRightInd w:val="0"/>
        <w:ind w:right="-1"/>
        <w:rPr>
          <w:rFonts w:cs="Arial"/>
          <w:b/>
        </w:rPr>
      </w:pPr>
    </w:p>
    <w:p w:rsidR="00207027" w:rsidRPr="00941576" w:rsidRDefault="00094882" w:rsidP="00094882">
      <w:pPr>
        <w:widowControl w:val="0"/>
        <w:autoSpaceDE w:val="0"/>
        <w:autoSpaceDN w:val="0"/>
        <w:adjustRightInd w:val="0"/>
        <w:ind w:right="-1"/>
        <w:rPr>
          <w:rFonts w:cs="Arial"/>
          <w:lang w:val="es-CO"/>
        </w:rPr>
      </w:pPr>
      <w:r w:rsidRPr="00941576">
        <w:rPr>
          <w:rFonts w:cs="Arial"/>
          <w:b/>
        </w:rPr>
        <w:t>1.</w:t>
      </w:r>
      <w:r w:rsidR="004C1C2B" w:rsidRPr="00941576">
        <w:rPr>
          <w:rFonts w:cs="Arial"/>
          <w:b/>
        </w:rPr>
        <w:t>-</w:t>
      </w:r>
      <w:r w:rsidR="00917F81" w:rsidRPr="00941576">
        <w:rPr>
          <w:rFonts w:cs="Arial"/>
          <w:b/>
        </w:rPr>
        <w:t xml:space="preserve"> CONFIRMAR</w:t>
      </w:r>
      <w:r w:rsidR="00917F81" w:rsidRPr="00941576">
        <w:rPr>
          <w:rFonts w:cs="Arial"/>
        </w:rPr>
        <w:t>, por las consideraciones que anteceden,</w:t>
      </w:r>
      <w:r w:rsidR="00F57296" w:rsidRPr="00941576">
        <w:rPr>
          <w:rFonts w:cs="Arial"/>
          <w:b/>
        </w:rPr>
        <w:t xml:space="preserve"> </w:t>
      </w:r>
      <w:r w:rsidR="00F57296" w:rsidRPr="00941576">
        <w:rPr>
          <w:rFonts w:cs="Arial"/>
        </w:rPr>
        <w:t>la</w:t>
      </w:r>
      <w:r w:rsidR="00F57296" w:rsidRPr="00941576">
        <w:rPr>
          <w:rFonts w:cs="Arial"/>
          <w:b/>
        </w:rPr>
        <w:t xml:space="preserve"> </w:t>
      </w:r>
      <w:r w:rsidR="00F57296" w:rsidRPr="00941576">
        <w:rPr>
          <w:rFonts w:cs="Arial"/>
          <w:lang w:val="es-CO"/>
        </w:rPr>
        <w:t>sentencia proferida por el Tri</w:t>
      </w:r>
      <w:r w:rsidR="004C1C2B" w:rsidRPr="00941576">
        <w:rPr>
          <w:rFonts w:cs="Arial"/>
          <w:lang w:val="es-CO"/>
        </w:rPr>
        <w:t>bunal Administrativo de</w:t>
      </w:r>
      <w:r w:rsidR="00917F81" w:rsidRPr="00941576">
        <w:rPr>
          <w:rFonts w:cs="Arial"/>
          <w:lang w:val="es-CO"/>
        </w:rPr>
        <w:t>l Atlántico, el quince (15</w:t>
      </w:r>
      <w:r w:rsidR="004C1C2B" w:rsidRPr="00941576">
        <w:rPr>
          <w:rFonts w:cs="Arial"/>
          <w:lang w:val="es-CO"/>
        </w:rPr>
        <w:t xml:space="preserve">) de </w:t>
      </w:r>
      <w:r w:rsidR="00917F81" w:rsidRPr="00941576">
        <w:rPr>
          <w:rFonts w:cs="Arial"/>
          <w:lang w:val="es-CO"/>
        </w:rPr>
        <w:t xml:space="preserve">mayo </w:t>
      </w:r>
      <w:r w:rsidR="004C1C2B" w:rsidRPr="00941576">
        <w:rPr>
          <w:rFonts w:cs="Arial"/>
          <w:lang w:val="es-CO"/>
        </w:rPr>
        <w:t>de dos mil catorce (2014</w:t>
      </w:r>
      <w:r w:rsidR="00CC4530" w:rsidRPr="00941576">
        <w:rPr>
          <w:rFonts w:cs="Arial"/>
          <w:lang w:val="es-CO"/>
        </w:rPr>
        <w:t>).</w:t>
      </w:r>
      <w:r w:rsidR="00F57296" w:rsidRPr="00941576">
        <w:rPr>
          <w:rFonts w:cs="Arial"/>
          <w:lang w:val="es-CO"/>
        </w:rPr>
        <w:t xml:space="preserve"> </w:t>
      </w:r>
    </w:p>
    <w:p w:rsidR="000712C0" w:rsidRPr="00941576" w:rsidRDefault="000712C0" w:rsidP="00F57296">
      <w:pPr>
        <w:widowControl w:val="0"/>
        <w:autoSpaceDE w:val="0"/>
        <w:autoSpaceDN w:val="0"/>
        <w:adjustRightInd w:val="0"/>
        <w:ind w:right="-1"/>
        <w:rPr>
          <w:rFonts w:cs="Arial"/>
          <w:b/>
        </w:rPr>
      </w:pPr>
    </w:p>
    <w:p w:rsidR="00F57296" w:rsidRPr="00941576" w:rsidRDefault="00094882" w:rsidP="00F57296">
      <w:pPr>
        <w:widowControl w:val="0"/>
        <w:autoSpaceDE w:val="0"/>
        <w:autoSpaceDN w:val="0"/>
        <w:adjustRightInd w:val="0"/>
        <w:ind w:right="-1"/>
        <w:rPr>
          <w:rFonts w:cs="Arial"/>
        </w:rPr>
      </w:pPr>
      <w:r w:rsidRPr="00941576">
        <w:rPr>
          <w:rFonts w:cs="Arial"/>
          <w:b/>
        </w:rPr>
        <w:t>2.-</w:t>
      </w:r>
      <w:r w:rsidR="0043564D" w:rsidRPr="00941576">
        <w:rPr>
          <w:rFonts w:cs="Arial"/>
        </w:rPr>
        <w:t xml:space="preserve"> </w:t>
      </w:r>
      <w:r w:rsidR="0043564D" w:rsidRPr="00941576">
        <w:rPr>
          <w:rFonts w:cs="Arial"/>
          <w:b/>
        </w:rPr>
        <w:t>CONDENAR</w:t>
      </w:r>
      <w:r w:rsidR="0043564D" w:rsidRPr="00941576">
        <w:rPr>
          <w:rFonts w:cs="Arial"/>
        </w:rPr>
        <w:t xml:space="preserve"> a la parte actora a pagar las costas que se hubiere</w:t>
      </w:r>
      <w:r w:rsidR="00EB3C36" w:rsidRPr="00941576">
        <w:rPr>
          <w:rFonts w:cs="Arial"/>
        </w:rPr>
        <w:t>n</w:t>
      </w:r>
      <w:r w:rsidR="0043564D" w:rsidRPr="00941576">
        <w:rPr>
          <w:rFonts w:cs="Arial"/>
        </w:rPr>
        <w:t xml:space="preserve"> causado en esta instancia. Como consecuencia, el Tribunal de origen deberá da</w:t>
      </w:r>
      <w:r w:rsidR="00EB3C36" w:rsidRPr="00941576">
        <w:rPr>
          <w:rFonts w:cs="Arial"/>
        </w:rPr>
        <w:t>r cumplimiento a lo dispuesto por</w:t>
      </w:r>
      <w:r w:rsidR="0043564D" w:rsidRPr="00941576">
        <w:rPr>
          <w:rFonts w:cs="Arial"/>
        </w:rPr>
        <w:t xml:space="preserve"> el artículo 366 del Código General del Proceso. </w:t>
      </w:r>
    </w:p>
    <w:p w:rsidR="006600F6" w:rsidRPr="00941576" w:rsidRDefault="006600F6" w:rsidP="00F57296">
      <w:pPr>
        <w:widowControl w:val="0"/>
        <w:autoSpaceDE w:val="0"/>
        <w:autoSpaceDN w:val="0"/>
        <w:adjustRightInd w:val="0"/>
        <w:ind w:right="-1"/>
        <w:rPr>
          <w:rFonts w:cs="Arial"/>
        </w:rPr>
      </w:pPr>
    </w:p>
    <w:p w:rsidR="00F57296" w:rsidRPr="00941576" w:rsidRDefault="00094882" w:rsidP="00F57296">
      <w:pPr>
        <w:widowControl w:val="0"/>
        <w:autoSpaceDE w:val="0"/>
        <w:autoSpaceDN w:val="0"/>
        <w:adjustRightInd w:val="0"/>
        <w:ind w:right="-1"/>
        <w:rPr>
          <w:rFonts w:cs="Arial"/>
        </w:rPr>
      </w:pPr>
      <w:r w:rsidRPr="00941576">
        <w:rPr>
          <w:rFonts w:cs="Arial"/>
          <w:b/>
        </w:rPr>
        <w:t>3.</w:t>
      </w:r>
      <w:r w:rsidR="00F57296" w:rsidRPr="00941576">
        <w:rPr>
          <w:rFonts w:cs="Arial"/>
          <w:b/>
        </w:rPr>
        <w:t xml:space="preserve">- </w:t>
      </w:r>
      <w:r w:rsidR="00F57296" w:rsidRPr="00941576">
        <w:rPr>
          <w:rFonts w:cs="Arial"/>
        </w:rPr>
        <w:t>En firme esta providencia, devuélvase el expediente al Tribunal de origen.</w:t>
      </w:r>
    </w:p>
    <w:p w:rsidR="00F57296" w:rsidRPr="00941576" w:rsidRDefault="00F57296" w:rsidP="00C07BCC">
      <w:pPr>
        <w:ind w:right="-1"/>
        <w:rPr>
          <w:rFonts w:cs="Arial"/>
          <w:b/>
          <w:bCs/>
          <w:noProof/>
        </w:rPr>
      </w:pPr>
    </w:p>
    <w:p w:rsidR="00F57296" w:rsidRPr="00941576" w:rsidRDefault="00F57296" w:rsidP="00F57296">
      <w:pPr>
        <w:ind w:right="-1"/>
        <w:jc w:val="center"/>
        <w:rPr>
          <w:rFonts w:cs="Arial"/>
          <w:b/>
          <w:bCs/>
          <w:noProof/>
        </w:rPr>
      </w:pPr>
      <w:r w:rsidRPr="00941576">
        <w:rPr>
          <w:rFonts w:cs="Arial"/>
          <w:b/>
          <w:bCs/>
          <w:noProof/>
        </w:rPr>
        <w:t>CÓPIESE, NOTIFÍQUESE Y CÚMPLASE</w:t>
      </w:r>
    </w:p>
    <w:p w:rsidR="00F57296" w:rsidRPr="00941576" w:rsidRDefault="00F57296" w:rsidP="00F57296">
      <w:pPr>
        <w:spacing w:line="240" w:lineRule="auto"/>
        <w:ind w:right="-1"/>
        <w:jc w:val="center"/>
        <w:rPr>
          <w:rFonts w:cs="Arial"/>
        </w:rPr>
      </w:pPr>
    </w:p>
    <w:p w:rsidR="00F57296" w:rsidRPr="00941576" w:rsidRDefault="00F57296" w:rsidP="002C4E8A">
      <w:pPr>
        <w:spacing w:line="240" w:lineRule="auto"/>
        <w:ind w:right="-1"/>
        <w:jc w:val="center"/>
        <w:rPr>
          <w:rFonts w:cs="Arial"/>
        </w:rPr>
      </w:pPr>
    </w:p>
    <w:p w:rsidR="00F57296" w:rsidRPr="00941576" w:rsidRDefault="00F57296" w:rsidP="002C4E8A">
      <w:pPr>
        <w:spacing w:line="240" w:lineRule="auto"/>
        <w:ind w:right="-1"/>
        <w:jc w:val="center"/>
        <w:rPr>
          <w:rFonts w:cs="Arial"/>
        </w:rPr>
      </w:pPr>
    </w:p>
    <w:p w:rsidR="002C4E8A" w:rsidRPr="00941576" w:rsidRDefault="00F57296" w:rsidP="002C4E8A">
      <w:pPr>
        <w:widowControl w:val="0"/>
        <w:autoSpaceDE w:val="0"/>
        <w:autoSpaceDN w:val="0"/>
        <w:adjustRightInd w:val="0"/>
        <w:ind w:right="-1"/>
        <w:jc w:val="center"/>
        <w:rPr>
          <w:rFonts w:cs="Arial"/>
          <w:b/>
          <w:lang w:val="es-CO"/>
        </w:rPr>
      </w:pPr>
      <w:r w:rsidRPr="00941576">
        <w:rPr>
          <w:rFonts w:cs="Arial"/>
          <w:b/>
          <w:lang w:val="es-CO"/>
        </w:rPr>
        <w:t>MARTA NUBIA VELÁSQUEZ RICO</w:t>
      </w:r>
    </w:p>
    <w:p w:rsidR="002C4E8A" w:rsidRPr="00941576" w:rsidRDefault="002C4E8A" w:rsidP="002C4E8A">
      <w:pPr>
        <w:widowControl w:val="0"/>
        <w:autoSpaceDE w:val="0"/>
        <w:autoSpaceDN w:val="0"/>
        <w:adjustRightInd w:val="0"/>
        <w:ind w:right="-1"/>
        <w:jc w:val="center"/>
        <w:rPr>
          <w:rFonts w:cs="Arial"/>
          <w:b/>
          <w:lang w:val="es-CO"/>
        </w:rPr>
      </w:pPr>
    </w:p>
    <w:p w:rsidR="002C4E8A" w:rsidRPr="00941576" w:rsidRDefault="002C4E8A" w:rsidP="002C4E8A">
      <w:pPr>
        <w:widowControl w:val="0"/>
        <w:autoSpaceDE w:val="0"/>
        <w:autoSpaceDN w:val="0"/>
        <w:adjustRightInd w:val="0"/>
        <w:ind w:right="-1"/>
        <w:jc w:val="center"/>
        <w:rPr>
          <w:rFonts w:cs="Arial"/>
          <w:b/>
          <w:lang w:val="es-CO"/>
        </w:rPr>
      </w:pPr>
    </w:p>
    <w:p w:rsidR="002C4E8A" w:rsidRPr="00941576" w:rsidRDefault="002C4E8A" w:rsidP="002C4E8A">
      <w:pPr>
        <w:widowControl w:val="0"/>
        <w:autoSpaceDE w:val="0"/>
        <w:autoSpaceDN w:val="0"/>
        <w:adjustRightInd w:val="0"/>
        <w:ind w:right="-1"/>
        <w:jc w:val="center"/>
        <w:rPr>
          <w:rFonts w:cs="Arial"/>
          <w:b/>
          <w:lang w:val="es-CO"/>
        </w:rPr>
      </w:pPr>
    </w:p>
    <w:p w:rsidR="00F57296" w:rsidRPr="00941576" w:rsidRDefault="00F57296" w:rsidP="002C4E8A">
      <w:pPr>
        <w:widowControl w:val="0"/>
        <w:autoSpaceDE w:val="0"/>
        <w:autoSpaceDN w:val="0"/>
        <w:adjustRightInd w:val="0"/>
        <w:ind w:right="-1"/>
        <w:jc w:val="center"/>
        <w:rPr>
          <w:rFonts w:cs="Arial"/>
          <w:b/>
        </w:rPr>
      </w:pPr>
      <w:r w:rsidRPr="00941576">
        <w:rPr>
          <w:rFonts w:cs="Arial"/>
          <w:b/>
          <w:lang w:val="es-CO"/>
        </w:rPr>
        <w:t>H</w:t>
      </w:r>
      <w:r w:rsidRPr="00941576">
        <w:rPr>
          <w:rFonts w:cs="Arial"/>
          <w:b/>
        </w:rPr>
        <w:t>ERNÁN ANDRADE RINCÓN</w:t>
      </w:r>
    </w:p>
    <w:p w:rsidR="00F57296" w:rsidRPr="00941576" w:rsidRDefault="00F57296" w:rsidP="002C4E8A">
      <w:pPr>
        <w:widowControl w:val="0"/>
        <w:autoSpaceDE w:val="0"/>
        <w:autoSpaceDN w:val="0"/>
        <w:adjustRightInd w:val="0"/>
        <w:ind w:right="-1"/>
        <w:jc w:val="center"/>
        <w:rPr>
          <w:rFonts w:cs="Arial"/>
          <w:b/>
        </w:rPr>
      </w:pPr>
    </w:p>
    <w:p w:rsidR="002C4E8A" w:rsidRPr="00941576" w:rsidRDefault="002C4E8A" w:rsidP="002C4E8A">
      <w:pPr>
        <w:widowControl w:val="0"/>
        <w:autoSpaceDE w:val="0"/>
        <w:autoSpaceDN w:val="0"/>
        <w:adjustRightInd w:val="0"/>
        <w:ind w:right="-1"/>
        <w:jc w:val="center"/>
        <w:rPr>
          <w:rFonts w:cs="Arial"/>
          <w:b/>
        </w:rPr>
      </w:pPr>
    </w:p>
    <w:p w:rsidR="00F57296" w:rsidRPr="00941576" w:rsidRDefault="00F57296" w:rsidP="002C4E8A">
      <w:pPr>
        <w:widowControl w:val="0"/>
        <w:autoSpaceDE w:val="0"/>
        <w:autoSpaceDN w:val="0"/>
        <w:adjustRightInd w:val="0"/>
        <w:ind w:right="-1"/>
        <w:jc w:val="center"/>
        <w:rPr>
          <w:rFonts w:cs="Arial"/>
          <w:b/>
        </w:rPr>
      </w:pPr>
    </w:p>
    <w:p w:rsidR="00606E9A" w:rsidRPr="00941576" w:rsidRDefault="00F57296" w:rsidP="002C4E8A">
      <w:pPr>
        <w:widowControl w:val="0"/>
        <w:autoSpaceDE w:val="0"/>
        <w:autoSpaceDN w:val="0"/>
        <w:adjustRightInd w:val="0"/>
        <w:ind w:right="-1"/>
        <w:jc w:val="center"/>
        <w:rPr>
          <w:rFonts w:cs="Arial"/>
          <w:b/>
        </w:rPr>
      </w:pPr>
      <w:r w:rsidRPr="00941576">
        <w:rPr>
          <w:rFonts w:cs="Arial"/>
          <w:b/>
        </w:rPr>
        <w:t>CARLOS ALBERTO ZAMBRANO BARRERA</w:t>
      </w:r>
    </w:p>
    <w:sectPr w:rsidR="00606E9A" w:rsidRPr="00941576" w:rsidSect="00941576">
      <w:headerReference w:type="even" r:id="rId11"/>
      <w:footerReference w:type="even" r:id="rId12"/>
      <w:headerReference w:type="first" r:id="rId13"/>
      <w:pgSz w:w="12242" w:h="18722" w:code="120"/>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33E" w:rsidRDefault="00E9433E" w:rsidP="00C85395">
      <w:r>
        <w:separator/>
      </w:r>
    </w:p>
  </w:endnote>
  <w:endnote w:type="continuationSeparator" w:id="0">
    <w:p w:rsidR="00E9433E" w:rsidRDefault="00E9433E"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576" w:rsidRDefault="00941576"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41576" w:rsidRDefault="00941576" w:rsidP="0064345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33E" w:rsidRDefault="00E9433E" w:rsidP="00C85395">
      <w:r>
        <w:separator/>
      </w:r>
    </w:p>
  </w:footnote>
  <w:footnote w:type="continuationSeparator" w:id="0">
    <w:p w:rsidR="00E9433E" w:rsidRDefault="00E9433E" w:rsidP="00C85395">
      <w:r>
        <w:continuationSeparator/>
      </w:r>
    </w:p>
  </w:footnote>
  <w:footnote w:id="1">
    <w:p w:rsidR="00941576" w:rsidRPr="00BA037E" w:rsidRDefault="00941576" w:rsidP="00BA037E">
      <w:pPr>
        <w:pStyle w:val="Textonotapie"/>
        <w:rPr>
          <w:rFonts w:cs="Arial"/>
          <w:lang w:val="es-CO"/>
        </w:rPr>
      </w:pPr>
      <w:r w:rsidRPr="00BA037E">
        <w:rPr>
          <w:rStyle w:val="Refdenotaalpie"/>
          <w:rFonts w:cs="Arial"/>
        </w:rPr>
        <w:footnoteRef/>
      </w:r>
      <w:r w:rsidRPr="00BA037E">
        <w:rPr>
          <w:rFonts w:cs="Arial"/>
        </w:rPr>
        <w:t xml:space="preserve"> </w:t>
      </w:r>
      <w:r w:rsidRPr="00BA037E">
        <w:rPr>
          <w:rFonts w:cs="Arial"/>
          <w:lang w:val="es-CO"/>
        </w:rPr>
        <w:t>Folio 44, cuaderno 1.</w:t>
      </w:r>
    </w:p>
  </w:footnote>
  <w:footnote w:id="2">
    <w:p w:rsidR="00941576" w:rsidRPr="00BA037E" w:rsidRDefault="00941576" w:rsidP="00BA037E">
      <w:pPr>
        <w:pStyle w:val="NormalWeb"/>
        <w:spacing w:before="0" w:beforeAutospacing="0" w:line="240" w:lineRule="auto"/>
        <w:contextualSpacing/>
        <w:rPr>
          <w:rFonts w:cs="Arial"/>
          <w:i/>
          <w:sz w:val="20"/>
          <w:szCs w:val="20"/>
        </w:rPr>
      </w:pPr>
      <w:r w:rsidRPr="00BA037E">
        <w:rPr>
          <w:rStyle w:val="Refdenotaalpie"/>
          <w:rFonts w:cs="Arial"/>
          <w:sz w:val="20"/>
          <w:szCs w:val="20"/>
        </w:rPr>
        <w:footnoteRef/>
      </w:r>
      <w:r w:rsidRPr="00BA037E">
        <w:rPr>
          <w:rFonts w:cs="Arial"/>
          <w:sz w:val="20"/>
          <w:szCs w:val="20"/>
        </w:rPr>
        <w:t xml:space="preserve"> </w:t>
      </w:r>
      <w:r w:rsidRPr="00BA037E">
        <w:rPr>
          <w:rFonts w:cs="Arial"/>
          <w:b/>
          <w:bCs/>
          <w:i/>
          <w:sz w:val="20"/>
          <w:szCs w:val="20"/>
        </w:rPr>
        <w:t>“</w:t>
      </w:r>
      <w:r w:rsidRPr="00BA037E">
        <w:rPr>
          <w:rFonts w:cs="Arial"/>
          <w:bCs/>
          <w:i/>
          <w:sz w:val="20"/>
          <w:szCs w:val="20"/>
        </w:rPr>
        <w:t>Artículo 104. De la Jurisdicción de lo Contencioso Administrativo</w:t>
      </w:r>
      <w:r w:rsidRPr="00BA037E">
        <w:rPr>
          <w:rFonts w:cs="Arial"/>
          <w:b/>
          <w:bCs/>
          <w:i/>
          <w:sz w:val="20"/>
          <w:szCs w:val="20"/>
        </w:rPr>
        <w:t xml:space="preserve">. </w:t>
      </w:r>
      <w:r w:rsidRPr="00BA037E">
        <w:rPr>
          <w:rFonts w:cs="Arial"/>
          <w:i/>
          <w:sz w:val="20"/>
          <w:szCs w:val="20"/>
        </w:rPr>
        <w:t>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p w:rsidR="00941576" w:rsidRPr="00BA037E" w:rsidRDefault="00941576" w:rsidP="00BA037E">
      <w:pPr>
        <w:pStyle w:val="NormalWeb"/>
        <w:spacing w:before="0" w:beforeAutospacing="0" w:line="240" w:lineRule="auto"/>
        <w:contextualSpacing/>
        <w:rPr>
          <w:rFonts w:cs="Arial"/>
          <w:i/>
          <w:sz w:val="20"/>
          <w:szCs w:val="20"/>
        </w:rPr>
      </w:pPr>
    </w:p>
    <w:p w:rsidR="00941576" w:rsidRPr="00BA037E" w:rsidRDefault="00941576" w:rsidP="00BA037E">
      <w:pPr>
        <w:pStyle w:val="NormalWeb"/>
        <w:spacing w:before="0" w:beforeAutospacing="0" w:line="240" w:lineRule="auto"/>
        <w:contextualSpacing/>
        <w:rPr>
          <w:rFonts w:cs="Arial"/>
          <w:i/>
          <w:sz w:val="20"/>
          <w:szCs w:val="20"/>
        </w:rPr>
      </w:pPr>
      <w:r w:rsidRPr="00BA037E">
        <w:rPr>
          <w:rFonts w:cs="Arial"/>
          <w:i/>
          <w:sz w:val="20"/>
          <w:szCs w:val="20"/>
        </w:rPr>
        <w:t>“Igualmente conocerá de los siguientes procesos:</w:t>
      </w:r>
    </w:p>
    <w:p w:rsidR="00941576" w:rsidRPr="00BA037E" w:rsidRDefault="00941576" w:rsidP="00BA037E">
      <w:pPr>
        <w:pStyle w:val="NormalWeb"/>
        <w:spacing w:before="0" w:beforeAutospacing="0" w:line="240" w:lineRule="auto"/>
        <w:contextualSpacing/>
        <w:rPr>
          <w:rFonts w:cs="Arial"/>
          <w:i/>
          <w:sz w:val="20"/>
          <w:szCs w:val="20"/>
        </w:rPr>
      </w:pPr>
    </w:p>
    <w:p w:rsidR="00941576" w:rsidRPr="00BA037E" w:rsidRDefault="00941576" w:rsidP="00BA037E">
      <w:pPr>
        <w:pStyle w:val="NormalWeb"/>
        <w:spacing w:line="240" w:lineRule="auto"/>
        <w:ind w:right="-1"/>
        <w:rPr>
          <w:rFonts w:cs="Arial"/>
          <w:i/>
          <w:sz w:val="20"/>
          <w:szCs w:val="20"/>
        </w:rPr>
      </w:pPr>
      <w:r w:rsidRPr="00BA037E">
        <w:rPr>
          <w:rFonts w:cs="Arial"/>
          <w:i/>
          <w:sz w:val="20"/>
          <w:szCs w:val="20"/>
        </w:rPr>
        <w:t>“(…).</w:t>
      </w:r>
    </w:p>
    <w:p w:rsidR="00941576" w:rsidRPr="00BA037E" w:rsidRDefault="00941576" w:rsidP="00BA037E">
      <w:pPr>
        <w:pStyle w:val="NormalWeb"/>
        <w:spacing w:line="240" w:lineRule="auto"/>
        <w:ind w:right="-1"/>
        <w:rPr>
          <w:rFonts w:cs="Arial"/>
          <w:sz w:val="20"/>
          <w:szCs w:val="20"/>
          <w:lang w:val="es-MX"/>
        </w:rPr>
      </w:pPr>
      <w:r w:rsidRPr="00BA037E">
        <w:rPr>
          <w:rFonts w:cs="Arial"/>
          <w:i/>
          <w:sz w:val="20"/>
          <w:szCs w:val="20"/>
        </w:rPr>
        <w:t>“2. Los relativos a los contratos, cualquiera que sea su régimen, en los que sea parte una entidad pública o un particular en ejercicio de funciones propias del Estado”.</w:t>
      </w:r>
    </w:p>
  </w:footnote>
  <w:footnote w:id="3">
    <w:p w:rsidR="00941576" w:rsidRPr="00BA037E" w:rsidRDefault="00941576" w:rsidP="00BA037E">
      <w:pPr>
        <w:pStyle w:val="NormalWeb"/>
        <w:shd w:val="clear" w:color="auto" w:fill="FFFFFF"/>
        <w:spacing w:line="240" w:lineRule="auto"/>
        <w:rPr>
          <w:rFonts w:cs="Arial"/>
          <w:i/>
          <w:color w:val="000000"/>
          <w:sz w:val="20"/>
          <w:szCs w:val="20"/>
          <w:lang w:val="es-CO" w:eastAsia="es-CO"/>
        </w:rPr>
      </w:pPr>
      <w:r w:rsidRPr="00BA037E">
        <w:rPr>
          <w:rStyle w:val="Refdenotaalpie"/>
          <w:rFonts w:cs="Arial"/>
          <w:sz w:val="20"/>
          <w:szCs w:val="20"/>
        </w:rPr>
        <w:footnoteRef/>
      </w:r>
      <w:r w:rsidRPr="00BA037E">
        <w:rPr>
          <w:rFonts w:cs="Arial"/>
          <w:sz w:val="20"/>
          <w:szCs w:val="20"/>
        </w:rPr>
        <w:t xml:space="preserve"> Ley 489 de 1998. “</w:t>
      </w:r>
      <w:r w:rsidRPr="00BA037E">
        <w:rPr>
          <w:rFonts w:cs="Arial"/>
          <w:i/>
          <w:sz w:val="20"/>
          <w:szCs w:val="20"/>
        </w:rPr>
        <w:t>A</w:t>
      </w:r>
      <w:r w:rsidRPr="00BA037E">
        <w:rPr>
          <w:rFonts w:cs="Arial"/>
          <w:bCs/>
          <w:i/>
          <w:color w:val="000000"/>
          <w:sz w:val="20"/>
          <w:szCs w:val="20"/>
          <w:lang w:val="es-CO" w:eastAsia="es-CO"/>
        </w:rPr>
        <w:t>rtículo 2º.-</w:t>
      </w:r>
      <w:r w:rsidRPr="00BA037E">
        <w:rPr>
          <w:rFonts w:cs="Arial"/>
          <w:i/>
          <w:color w:val="000000"/>
          <w:sz w:val="20"/>
          <w:szCs w:val="20"/>
          <w:lang w:val="es-CO" w:eastAsia="es-CO"/>
        </w:rPr>
        <w:t> </w:t>
      </w:r>
      <w:r w:rsidRPr="00BA037E">
        <w:rPr>
          <w:rFonts w:cs="Arial"/>
          <w:i/>
          <w:iCs/>
          <w:color w:val="000000"/>
          <w:sz w:val="20"/>
          <w:szCs w:val="20"/>
          <w:lang w:val="es-CO" w:eastAsia="es-CO"/>
        </w:rPr>
        <w:t>Ámbito de aplicación.</w:t>
      </w:r>
      <w:r w:rsidRPr="00BA037E">
        <w:rPr>
          <w:rFonts w:cs="Arial"/>
          <w:i/>
          <w:color w:val="000000"/>
          <w:sz w:val="20"/>
          <w:szCs w:val="20"/>
          <w:lang w:val="es-CO" w:eastAsia="es-CO"/>
        </w:rPr>
        <w:t> La presente Ley se aplica a todos los organismos y entidades de la Rama Ejecutiva del Poder Público y de la Administración Pública y a los servidores públicos que por mandato constitucional o legal tengan a su cargo la titularidad y el ejercicio de funciones administrativas, prestación de servicios públicos o provisión de obras y bienes públicos y, en lo pertinente, a los particulares cuando cumplan funciones administrativas.</w:t>
      </w:r>
    </w:p>
    <w:p w:rsidR="00941576" w:rsidRPr="00BA037E" w:rsidRDefault="00941576" w:rsidP="00BA037E">
      <w:pPr>
        <w:shd w:val="clear" w:color="auto" w:fill="FFFFFF"/>
        <w:spacing w:before="100" w:beforeAutospacing="1" w:after="100" w:afterAutospacing="1" w:line="240" w:lineRule="auto"/>
        <w:rPr>
          <w:rFonts w:cs="Arial"/>
          <w:color w:val="000000"/>
          <w:sz w:val="20"/>
          <w:szCs w:val="20"/>
          <w:lang w:val="es-CO" w:eastAsia="es-CO"/>
        </w:rPr>
      </w:pPr>
      <w:r w:rsidRPr="00BA037E">
        <w:rPr>
          <w:rFonts w:cs="Arial"/>
          <w:bCs/>
          <w:color w:val="000000"/>
          <w:sz w:val="20"/>
          <w:szCs w:val="20"/>
          <w:lang w:val="es-CO" w:eastAsia="es-CO"/>
        </w:rPr>
        <w:t>“</w:t>
      </w:r>
      <w:r w:rsidRPr="00BA037E">
        <w:rPr>
          <w:rFonts w:cs="Arial"/>
          <w:bCs/>
          <w:i/>
          <w:color w:val="000000"/>
          <w:sz w:val="20"/>
          <w:szCs w:val="20"/>
          <w:lang w:val="es-CO" w:eastAsia="es-CO"/>
        </w:rPr>
        <w:t>Parágrafo. -</w:t>
      </w:r>
      <w:r w:rsidRPr="00BA037E">
        <w:rPr>
          <w:rFonts w:cs="Arial"/>
          <w:i/>
          <w:color w:val="000000"/>
          <w:sz w:val="20"/>
          <w:szCs w:val="20"/>
          <w:lang w:val="es-CO" w:eastAsia="es-CO"/>
        </w:rPr>
        <w:t> </w:t>
      </w:r>
      <w:bookmarkStart w:id="1" w:name="2.p"/>
      <w:r w:rsidRPr="00BA037E">
        <w:rPr>
          <w:rFonts w:cs="Arial"/>
          <w:i/>
          <w:color w:val="000000"/>
          <w:sz w:val="20"/>
          <w:szCs w:val="20"/>
          <w:lang w:val="es-CO" w:eastAsia="es-CO"/>
        </w:rPr>
        <w:t> </w:t>
      </w:r>
      <w:bookmarkEnd w:id="1"/>
      <w:r w:rsidRPr="00BA037E">
        <w:rPr>
          <w:rFonts w:cs="Arial"/>
          <w:i/>
          <w:color w:val="000000"/>
          <w:sz w:val="20"/>
          <w:szCs w:val="20"/>
          <w:lang w:val="es-CO" w:eastAsia="es-CO"/>
        </w:rPr>
        <w:t>Las reglas relativas a los principios propios de la función administrativa, sobre delegación y desconcentración, características y régimen de las entidades descentralizadas, racionalización administrativa, desarrollo administrativo, participación y control interno de la Administración Pública se aplicarán, en lo pertinente, a las entidades territoriales, sin perjuicio de la autonomía que les es propia de acuerdo con la Constitución Política</w:t>
      </w:r>
      <w:r w:rsidRPr="00BA037E">
        <w:rPr>
          <w:rFonts w:cs="Arial"/>
          <w:color w:val="000000"/>
          <w:sz w:val="20"/>
          <w:szCs w:val="20"/>
          <w:lang w:val="es-CO" w:eastAsia="es-CO"/>
        </w:rPr>
        <w:t>.</w:t>
      </w:r>
    </w:p>
    <w:p w:rsidR="00941576" w:rsidRPr="00BA037E" w:rsidRDefault="00941576" w:rsidP="00BA037E">
      <w:pPr>
        <w:pStyle w:val="NormalWeb"/>
        <w:shd w:val="clear" w:color="auto" w:fill="FFFFFF"/>
        <w:spacing w:line="240" w:lineRule="auto"/>
        <w:rPr>
          <w:rFonts w:cs="Arial"/>
          <w:i/>
          <w:color w:val="000000"/>
          <w:sz w:val="20"/>
          <w:szCs w:val="20"/>
          <w:lang w:val="es-CO" w:eastAsia="es-CO"/>
        </w:rPr>
      </w:pPr>
      <w:r w:rsidRPr="00BA037E">
        <w:rPr>
          <w:rFonts w:cs="Arial"/>
          <w:bCs/>
          <w:color w:val="000000"/>
          <w:sz w:val="20"/>
          <w:szCs w:val="20"/>
          <w:lang w:val="es-CO" w:eastAsia="es-CO"/>
        </w:rPr>
        <w:t>“</w:t>
      </w:r>
      <w:r w:rsidRPr="00BA037E">
        <w:rPr>
          <w:rFonts w:cs="Arial"/>
          <w:bCs/>
          <w:i/>
          <w:color w:val="000000"/>
          <w:sz w:val="20"/>
          <w:szCs w:val="20"/>
          <w:lang w:val="es-CO" w:eastAsia="es-CO"/>
        </w:rPr>
        <w:t>Artículo 14º.-</w:t>
      </w:r>
      <w:r w:rsidRPr="00BA037E">
        <w:rPr>
          <w:rFonts w:cs="Arial"/>
          <w:i/>
          <w:color w:val="000000"/>
          <w:sz w:val="20"/>
          <w:szCs w:val="20"/>
          <w:lang w:val="es-CO" w:eastAsia="es-CO"/>
        </w:rPr>
        <w:t> </w:t>
      </w:r>
      <w:r w:rsidRPr="00BA037E">
        <w:rPr>
          <w:rFonts w:cs="Arial"/>
          <w:i/>
          <w:iCs/>
          <w:color w:val="000000"/>
          <w:sz w:val="20"/>
          <w:szCs w:val="20"/>
          <w:lang w:val="es-CO" w:eastAsia="es-CO"/>
        </w:rPr>
        <w:t>Delegación entre entidades públicas.</w:t>
      </w:r>
      <w:r w:rsidRPr="00BA037E">
        <w:rPr>
          <w:rFonts w:cs="Arial"/>
          <w:i/>
          <w:color w:val="000000"/>
          <w:sz w:val="20"/>
          <w:szCs w:val="20"/>
          <w:lang w:val="es-CO" w:eastAsia="es-CO"/>
        </w:rPr>
        <w:t> La delegación de las funciones de los organismos y entidades administrativos del orden nacional efectuado en favor de entidades descentralizadas o entidades territoriales deberá acompañarse de la celebración de convenios en los que se fijen los derechos y obligaciones de las entidades delegante y delegataria. Así mismo, en el correspondiente convenio podrá determinarse el funcionario de la entidad delegataria que tendrá a su cargo el ejercicio de las funciones delegadas.</w:t>
      </w:r>
    </w:p>
    <w:p w:rsidR="00941576" w:rsidRPr="00BA037E" w:rsidRDefault="00941576" w:rsidP="00BA037E">
      <w:pPr>
        <w:shd w:val="clear" w:color="auto" w:fill="FFFFFF"/>
        <w:spacing w:before="100" w:beforeAutospacing="1" w:after="100" w:afterAutospacing="1" w:line="240" w:lineRule="auto"/>
        <w:rPr>
          <w:rFonts w:cs="Arial"/>
          <w:i/>
          <w:color w:val="000000"/>
          <w:sz w:val="20"/>
          <w:szCs w:val="20"/>
          <w:lang w:val="es-CO" w:eastAsia="es-CO"/>
        </w:rPr>
      </w:pPr>
      <w:r w:rsidRPr="00BA037E">
        <w:rPr>
          <w:rFonts w:cs="Arial"/>
          <w:i/>
          <w:color w:val="000000"/>
          <w:sz w:val="20"/>
          <w:szCs w:val="20"/>
          <w:lang w:val="es-CO" w:eastAsia="es-CO"/>
        </w:rPr>
        <w:t>Estos convenios estarán sujetos únicamente a los requisitos</w:t>
      </w:r>
      <w:r w:rsidRPr="00BA037E">
        <w:rPr>
          <w:rFonts w:cs="Arial"/>
          <w:color w:val="000000"/>
          <w:sz w:val="20"/>
          <w:szCs w:val="20"/>
          <w:lang w:val="es-CO" w:eastAsia="es-CO"/>
        </w:rPr>
        <w:t xml:space="preserve"> </w:t>
      </w:r>
      <w:r w:rsidRPr="00BA037E">
        <w:rPr>
          <w:rFonts w:cs="Arial"/>
          <w:i/>
          <w:color w:val="000000"/>
          <w:sz w:val="20"/>
          <w:szCs w:val="20"/>
          <w:lang w:val="es-CO" w:eastAsia="es-CO"/>
        </w:rPr>
        <w:t>que la ley exige para los convenios o contratos entre entidades públicas o interadministrativos.</w:t>
      </w:r>
    </w:p>
  </w:footnote>
  <w:footnote w:id="4">
    <w:p w:rsidR="00941576" w:rsidRPr="00BA037E" w:rsidRDefault="00941576" w:rsidP="00BA037E">
      <w:pPr>
        <w:pStyle w:val="Textonotapie"/>
        <w:spacing w:line="240" w:lineRule="auto"/>
        <w:rPr>
          <w:rFonts w:cs="Arial"/>
          <w:lang w:val="es-CO"/>
        </w:rPr>
      </w:pPr>
      <w:r w:rsidRPr="00BA037E">
        <w:rPr>
          <w:rStyle w:val="Refdenotaalpie"/>
          <w:rFonts w:cs="Arial"/>
        </w:rPr>
        <w:footnoteRef/>
      </w:r>
      <w:r w:rsidRPr="00BA037E">
        <w:rPr>
          <w:rFonts w:cs="Arial"/>
        </w:rPr>
        <w:t xml:space="preserve"> </w:t>
      </w:r>
      <w:r w:rsidRPr="00BA037E">
        <w:rPr>
          <w:rFonts w:cs="Arial"/>
          <w:lang w:val="es-CO"/>
        </w:rPr>
        <w:t>$560’286.379, folio 3 del cuaderno 1.</w:t>
      </w:r>
    </w:p>
    <w:p w:rsidR="00941576" w:rsidRPr="00BA037E" w:rsidRDefault="00941576" w:rsidP="00BA037E">
      <w:pPr>
        <w:pStyle w:val="Textonotapie"/>
        <w:spacing w:line="240" w:lineRule="auto"/>
        <w:rPr>
          <w:rFonts w:cs="Arial"/>
          <w:lang w:val="es-CO"/>
        </w:rPr>
      </w:pPr>
    </w:p>
  </w:footnote>
  <w:footnote w:id="5">
    <w:p w:rsidR="00941576" w:rsidRPr="00BA037E" w:rsidRDefault="00941576" w:rsidP="00BA037E">
      <w:pPr>
        <w:pStyle w:val="Textonotapie"/>
        <w:spacing w:line="240" w:lineRule="auto"/>
        <w:rPr>
          <w:rFonts w:cs="Arial"/>
          <w:lang w:val="es-CO"/>
        </w:rPr>
      </w:pPr>
      <w:r w:rsidRPr="00BA037E">
        <w:rPr>
          <w:rStyle w:val="Refdenotaalpie"/>
          <w:rFonts w:cs="Arial"/>
        </w:rPr>
        <w:footnoteRef/>
      </w:r>
      <w:r w:rsidRPr="00BA037E">
        <w:rPr>
          <w:rFonts w:cs="Arial"/>
        </w:rPr>
        <w:t xml:space="preserve"> </w:t>
      </w:r>
      <w:r w:rsidRPr="00BA037E">
        <w:rPr>
          <w:rFonts w:cs="Arial"/>
          <w:lang w:val="es-CO"/>
        </w:rPr>
        <w:t xml:space="preserve">$589.500, con fundamento en el salario mínimo legal vigente de 2013 ($589.500 X 500 = $294’750.000). </w:t>
      </w:r>
    </w:p>
    <w:p w:rsidR="00941576" w:rsidRPr="00BA037E" w:rsidRDefault="00941576" w:rsidP="00BA037E">
      <w:pPr>
        <w:pStyle w:val="Textonotapie"/>
        <w:spacing w:line="240" w:lineRule="auto"/>
        <w:rPr>
          <w:rFonts w:cs="Arial"/>
          <w:lang w:val="es-CO"/>
        </w:rPr>
      </w:pPr>
    </w:p>
  </w:footnote>
  <w:footnote w:id="6">
    <w:p w:rsidR="00941576" w:rsidRPr="00BA037E" w:rsidRDefault="00941576" w:rsidP="00BA037E">
      <w:pPr>
        <w:pStyle w:val="Textonotapie"/>
        <w:rPr>
          <w:rFonts w:cs="Arial"/>
          <w:lang w:val="es-CO"/>
        </w:rPr>
      </w:pPr>
      <w:r w:rsidRPr="00BA037E">
        <w:rPr>
          <w:rStyle w:val="Refdenotaalpie"/>
          <w:rFonts w:cs="Arial"/>
        </w:rPr>
        <w:footnoteRef/>
      </w:r>
      <w:r w:rsidRPr="00BA037E">
        <w:rPr>
          <w:rFonts w:cs="Arial"/>
        </w:rPr>
        <w:t xml:space="preserve"> </w:t>
      </w:r>
      <w:r w:rsidRPr="00BA037E">
        <w:rPr>
          <w:rFonts w:cs="Arial"/>
          <w:lang w:val="es-CO"/>
        </w:rPr>
        <w:t>Fls. 27-28 C1.</w:t>
      </w:r>
    </w:p>
  </w:footnote>
  <w:footnote w:id="7">
    <w:p w:rsidR="00941576" w:rsidRPr="00BA037E" w:rsidRDefault="00941576" w:rsidP="00BA037E">
      <w:pPr>
        <w:pStyle w:val="Textonotapie"/>
        <w:spacing w:line="240" w:lineRule="auto"/>
        <w:rPr>
          <w:rFonts w:cs="Arial"/>
          <w:i/>
          <w:color w:val="000000"/>
          <w:shd w:val="clear" w:color="auto" w:fill="FFFFFF"/>
        </w:rPr>
      </w:pPr>
      <w:r w:rsidRPr="00BA037E">
        <w:rPr>
          <w:rStyle w:val="Refdenotaalpie"/>
          <w:rFonts w:cs="Arial"/>
        </w:rPr>
        <w:footnoteRef/>
      </w:r>
      <w:r w:rsidRPr="00BA037E">
        <w:rPr>
          <w:rFonts w:cs="Arial"/>
        </w:rPr>
        <w:t xml:space="preserve"> Ley 153 de 1887. “</w:t>
      </w:r>
      <w:r w:rsidRPr="00BA037E">
        <w:rPr>
          <w:rFonts w:cs="Arial"/>
          <w:bCs/>
          <w:i/>
          <w:color w:val="000000"/>
          <w:shd w:val="clear" w:color="auto" w:fill="FFFFFF"/>
        </w:rPr>
        <w:t>Artículo </w:t>
      </w:r>
      <w:bookmarkStart w:id="2" w:name="40"/>
      <w:r w:rsidRPr="00BA037E">
        <w:rPr>
          <w:rFonts w:cs="Arial"/>
          <w:bCs/>
          <w:i/>
          <w:color w:val="000000"/>
          <w:shd w:val="clear" w:color="auto" w:fill="FFFFFF"/>
        </w:rPr>
        <w:t> </w:t>
      </w:r>
      <w:bookmarkEnd w:id="2"/>
      <w:r w:rsidRPr="00BA037E">
        <w:rPr>
          <w:rFonts w:cs="Arial"/>
          <w:bCs/>
          <w:i/>
          <w:color w:val="000000"/>
          <w:shd w:val="clear" w:color="auto" w:fill="FFFFFF"/>
        </w:rPr>
        <w:t>40.</w:t>
      </w:r>
      <w:r w:rsidRPr="00BA037E">
        <w:rPr>
          <w:rFonts w:cs="Arial"/>
          <w:i/>
          <w:color w:val="000000"/>
          <w:shd w:val="clear" w:color="auto" w:fill="FFFFFF"/>
        </w:rPr>
        <w:t>  Las leyes concernientes a la sustanciación y ritualidad de los juicios prevalecen sobre las anteriores desde el momento en que deben empezar a regir. Pero los términos que hubieren empezado a correr, y las actuaciones y diligencias que ya estuvieren iniciadas, se regirán por la ley vigente al tiempo de su iniciación”.</w:t>
      </w:r>
    </w:p>
    <w:p w:rsidR="00941576" w:rsidRPr="00BA037E" w:rsidRDefault="00941576" w:rsidP="00BA037E">
      <w:pPr>
        <w:pStyle w:val="Textonotapie"/>
        <w:spacing w:line="240" w:lineRule="auto"/>
        <w:rPr>
          <w:rFonts w:cs="Arial"/>
          <w:i/>
          <w:lang w:val="es-CO"/>
        </w:rPr>
      </w:pPr>
    </w:p>
  </w:footnote>
  <w:footnote w:id="8">
    <w:p w:rsidR="00941576" w:rsidRPr="00BA037E" w:rsidRDefault="00941576" w:rsidP="00BA037E">
      <w:pPr>
        <w:pStyle w:val="NormalWeb"/>
        <w:shd w:val="clear" w:color="auto" w:fill="FFFFFF"/>
        <w:spacing w:before="0" w:beforeAutospacing="0" w:after="0" w:afterAutospacing="0" w:line="240" w:lineRule="auto"/>
        <w:rPr>
          <w:rFonts w:cs="Arial"/>
          <w:i/>
          <w:color w:val="000000"/>
          <w:sz w:val="20"/>
          <w:szCs w:val="20"/>
        </w:rPr>
      </w:pPr>
      <w:r w:rsidRPr="00BA037E">
        <w:rPr>
          <w:rStyle w:val="Refdenotaalpie"/>
          <w:rFonts w:cs="Arial"/>
          <w:i/>
          <w:sz w:val="20"/>
          <w:szCs w:val="20"/>
        </w:rPr>
        <w:footnoteRef/>
      </w:r>
      <w:r w:rsidRPr="00BA037E">
        <w:rPr>
          <w:rFonts w:cs="Arial"/>
          <w:i/>
          <w:sz w:val="20"/>
          <w:szCs w:val="20"/>
        </w:rPr>
        <w:t xml:space="preserve"> “</w:t>
      </w:r>
      <w:r w:rsidRPr="00BA037E">
        <w:rPr>
          <w:rFonts w:cs="Arial"/>
          <w:bCs/>
          <w:i/>
          <w:color w:val="000000"/>
          <w:sz w:val="20"/>
          <w:szCs w:val="20"/>
        </w:rPr>
        <w:t>Artículo </w:t>
      </w:r>
      <w:bookmarkStart w:id="3" w:name="308"/>
      <w:r w:rsidRPr="00BA037E">
        <w:rPr>
          <w:rFonts w:cs="Arial"/>
          <w:bCs/>
          <w:i/>
          <w:color w:val="000000"/>
          <w:sz w:val="20"/>
          <w:szCs w:val="20"/>
        </w:rPr>
        <w:t> </w:t>
      </w:r>
      <w:bookmarkEnd w:id="3"/>
      <w:r w:rsidRPr="00BA037E">
        <w:rPr>
          <w:rFonts w:cs="Arial"/>
          <w:bCs/>
          <w:i/>
          <w:color w:val="000000"/>
          <w:sz w:val="20"/>
          <w:szCs w:val="20"/>
        </w:rPr>
        <w:t xml:space="preserve">308. C.P.A.C.A. </w:t>
      </w:r>
      <w:r w:rsidRPr="00BA037E">
        <w:rPr>
          <w:rFonts w:cs="Arial"/>
          <w:bCs/>
          <w:i/>
          <w:iCs/>
          <w:color w:val="000000"/>
          <w:sz w:val="20"/>
          <w:szCs w:val="20"/>
        </w:rPr>
        <w:t>Régimen de transición y vigencia</w:t>
      </w:r>
      <w:r w:rsidRPr="00BA037E">
        <w:rPr>
          <w:rFonts w:cs="Arial"/>
          <w:b/>
          <w:bCs/>
          <w:i/>
          <w:iCs/>
          <w:color w:val="000000"/>
          <w:sz w:val="20"/>
          <w:szCs w:val="20"/>
        </w:rPr>
        <w:t>.</w:t>
      </w:r>
      <w:r w:rsidRPr="00BA037E">
        <w:rPr>
          <w:rFonts w:cs="Arial"/>
          <w:i/>
          <w:iCs/>
          <w:color w:val="000000"/>
          <w:sz w:val="20"/>
          <w:szCs w:val="20"/>
        </w:rPr>
        <w:t> </w:t>
      </w:r>
      <w:r w:rsidRPr="00BA037E">
        <w:rPr>
          <w:rFonts w:cs="Arial"/>
          <w:i/>
          <w:color w:val="000000"/>
          <w:sz w:val="20"/>
          <w:szCs w:val="20"/>
        </w:rPr>
        <w:t>El presente Código comenzará a regir el dos (2) de julio del año 2012.</w:t>
      </w:r>
    </w:p>
    <w:p w:rsidR="00941576" w:rsidRPr="00BA037E" w:rsidRDefault="00941576" w:rsidP="00BA037E">
      <w:pPr>
        <w:pStyle w:val="NormalWeb"/>
        <w:shd w:val="clear" w:color="auto" w:fill="FFFFFF"/>
        <w:spacing w:before="0" w:beforeAutospacing="0" w:after="0" w:afterAutospacing="0" w:line="240" w:lineRule="auto"/>
        <w:rPr>
          <w:rFonts w:cs="Arial"/>
          <w:i/>
          <w:color w:val="000000"/>
          <w:sz w:val="20"/>
          <w:szCs w:val="20"/>
        </w:rPr>
      </w:pPr>
    </w:p>
    <w:p w:rsidR="00941576" w:rsidRPr="00BA037E" w:rsidRDefault="00941576" w:rsidP="00BA037E">
      <w:pPr>
        <w:shd w:val="clear" w:color="auto" w:fill="FFFFFF"/>
        <w:spacing w:line="240" w:lineRule="auto"/>
        <w:rPr>
          <w:rFonts w:cs="Arial"/>
          <w:i/>
          <w:color w:val="000000"/>
          <w:sz w:val="20"/>
          <w:szCs w:val="20"/>
        </w:rPr>
      </w:pPr>
      <w:r w:rsidRPr="00BA037E">
        <w:rPr>
          <w:rFonts w:cs="Arial"/>
          <w:i/>
          <w:color w:val="000000"/>
          <w:sz w:val="20"/>
          <w:szCs w:val="20"/>
        </w:rPr>
        <w:t>“Este Código sólo se aplicará a los procedimientos y las actuaciones administrativas que se inicien, así como a las demandas y procesos que se instauren con posterioridad a la entrada en vigencia.</w:t>
      </w:r>
    </w:p>
    <w:p w:rsidR="00941576" w:rsidRPr="00BA037E" w:rsidRDefault="00941576" w:rsidP="00BA037E">
      <w:pPr>
        <w:shd w:val="clear" w:color="auto" w:fill="FFFFFF"/>
        <w:spacing w:line="240" w:lineRule="auto"/>
        <w:rPr>
          <w:rFonts w:cs="Arial"/>
          <w:i/>
          <w:color w:val="000000"/>
          <w:sz w:val="20"/>
          <w:szCs w:val="20"/>
        </w:rPr>
      </w:pPr>
    </w:p>
    <w:p w:rsidR="00941576" w:rsidRPr="00BA037E" w:rsidRDefault="00941576" w:rsidP="00BA037E">
      <w:pPr>
        <w:shd w:val="clear" w:color="auto" w:fill="FFFFFF"/>
        <w:spacing w:line="240" w:lineRule="auto"/>
        <w:rPr>
          <w:rFonts w:cs="Arial"/>
          <w:i/>
          <w:color w:val="000000"/>
          <w:sz w:val="20"/>
          <w:szCs w:val="20"/>
        </w:rPr>
      </w:pPr>
      <w:r w:rsidRPr="00BA037E">
        <w:rPr>
          <w:rFonts w:cs="Arial"/>
          <w:i/>
          <w:color w:val="000000"/>
          <w:sz w:val="20"/>
          <w:szCs w:val="20"/>
        </w:rPr>
        <w:t>“Los procedimientos y las actuaciones administrativas, así como las demandas y procesos en curso a la vigencia de la presente ley seguirán rigiéndose y culminarán de conformidad con el régimen jurídico anterior”.</w:t>
      </w:r>
    </w:p>
    <w:p w:rsidR="00941576" w:rsidRPr="00BA037E" w:rsidRDefault="00941576" w:rsidP="00BA037E">
      <w:pPr>
        <w:pStyle w:val="Textonotapie"/>
        <w:rPr>
          <w:rFonts w:cs="Arial"/>
          <w:lang w:val="es-CO"/>
        </w:rPr>
      </w:pPr>
    </w:p>
  </w:footnote>
  <w:footnote w:id="9">
    <w:p w:rsidR="00941576" w:rsidRPr="00BA037E" w:rsidRDefault="00941576" w:rsidP="00BA037E">
      <w:pPr>
        <w:pStyle w:val="Textoindependiente"/>
        <w:spacing w:line="240" w:lineRule="auto"/>
        <w:rPr>
          <w:rFonts w:cs="Arial"/>
          <w:sz w:val="20"/>
        </w:rPr>
      </w:pPr>
      <w:r w:rsidRPr="00BA037E">
        <w:rPr>
          <w:rStyle w:val="Refdenotaalpie"/>
          <w:rFonts w:cs="Arial"/>
          <w:sz w:val="20"/>
        </w:rPr>
        <w:footnoteRef/>
      </w:r>
      <w:r w:rsidRPr="00BA037E">
        <w:rPr>
          <w:rFonts w:cs="Arial"/>
          <w:sz w:val="20"/>
        </w:rPr>
        <w:t xml:space="preserve"> Con anterioridad se podía interpretar de la misma forma, con base en el artículo 60 de la Ley 80 de 1993 en concordancia con el artículo 136 del Código Contencioso Administrativo, lo cual  se corroboró con la precisión introducida por el artículo 11 de la Ley 1150 de 2007.</w:t>
      </w:r>
    </w:p>
    <w:p w:rsidR="00941576" w:rsidRPr="00BA037E" w:rsidRDefault="00941576" w:rsidP="00BA037E">
      <w:pPr>
        <w:pStyle w:val="Textonotapie"/>
        <w:rPr>
          <w:rFonts w:cs="Arial"/>
          <w:lang w:val="es-CO"/>
        </w:rPr>
      </w:pPr>
    </w:p>
  </w:footnote>
  <w:footnote w:id="10">
    <w:p w:rsidR="00941576" w:rsidRPr="00BA037E" w:rsidRDefault="00941576" w:rsidP="00BA037E">
      <w:pPr>
        <w:spacing w:line="240" w:lineRule="auto"/>
        <w:rPr>
          <w:rFonts w:cs="Arial"/>
          <w:bCs/>
          <w:spacing w:val="-3"/>
          <w:sz w:val="20"/>
          <w:szCs w:val="20"/>
        </w:rPr>
      </w:pPr>
      <w:r w:rsidRPr="00BA037E">
        <w:rPr>
          <w:rStyle w:val="Refdenotaalpie"/>
          <w:rFonts w:cs="Arial"/>
          <w:sz w:val="20"/>
          <w:szCs w:val="20"/>
        </w:rPr>
        <w:footnoteRef/>
      </w:r>
      <w:r w:rsidRPr="00BA037E">
        <w:rPr>
          <w:rFonts w:cs="Arial"/>
          <w:sz w:val="20"/>
          <w:szCs w:val="20"/>
        </w:rPr>
        <w:t xml:space="preserve"> “</w:t>
      </w:r>
      <w:r w:rsidRPr="00BA037E">
        <w:rPr>
          <w:rFonts w:cs="Arial"/>
          <w:i/>
          <w:sz w:val="20"/>
          <w:szCs w:val="20"/>
        </w:rPr>
        <w:t>La liquidación suscrita sin reparos es un auténtico corte de cuentas entre los contratistas, en la cual se define quién debe a quién y cuánto. Como es lógico se trata de un acuerdo entre personas capaces de disponer y las reglas sobre el consentimiento sin vicios rigen en su integridad. La jurisprudencia de la Sección Tercera reiteradamente ha sostenido y así lo confirma ahora, que una vez el contrato haya sido liquidado de mutuo acuerdo entre las partes, dicho acto de carácter bilateral no puede ser enjuiciado por vía jurisdiccional, salvo que se invoque algún vicio del consentimiento (error, fuerza o dolo), o alguna otra causal de nulidad que tienda a invalidarla”</w:t>
      </w:r>
      <w:r w:rsidRPr="00BA037E">
        <w:rPr>
          <w:rFonts w:cs="Arial"/>
          <w:sz w:val="20"/>
          <w:szCs w:val="20"/>
        </w:rPr>
        <w:t>.</w:t>
      </w:r>
      <w:r w:rsidRPr="00BA037E">
        <w:rPr>
          <w:rFonts w:cs="Arial"/>
          <w:bCs/>
          <w:sz w:val="20"/>
          <w:szCs w:val="20"/>
        </w:rPr>
        <w:t xml:space="preserve"> Consejo de Estado, Sala de lo Contencioso Administrativo, Sección Tercera, Consejero Ponente: Mauricio Fajardo Gómez, sentencia de </w:t>
      </w:r>
      <w:r w:rsidRPr="00BA037E">
        <w:rPr>
          <w:rFonts w:cs="Arial"/>
          <w:sz w:val="20"/>
          <w:szCs w:val="20"/>
        </w:rPr>
        <w:t>4 de diciembre de 2006, r</w:t>
      </w:r>
      <w:r w:rsidRPr="00BA037E">
        <w:rPr>
          <w:rFonts w:cs="Arial"/>
          <w:bCs/>
          <w:sz w:val="20"/>
          <w:szCs w:val="20"/>
        </w:rPr>
        <w:t>adicación número: 76001-23-31-000-1996-03097-01(16541), a</w:t>
      </w:r>
      <w:r w:rsidRPr="00BA037E">
        <w:rPr>
          <w:rFonts w:cs="Arial"/>
          <w:bCs/>
          <w:spacing w:val="-3"/>
          <w:sz w:val="20"/>
          <w:szCs w:val="20"/>
        </w:rPr>
        <w:t>ctor: Javier Alonso Quijano Alomia, d</w:t>
      </w:r>
      <w:r w:rsidRPr="00BA037E">
        <w:rPr>
          <w:rFonts w:cs="Arial"/>
          <w:bCs/>
          <w:sz w:val="20"/>
          <w:szCs w:val="20"/>
        </w:rPr>
        <w:t>emandado: Departamento del Valle, r</w:t>
      </w:r>
      <w:r w:rsidRPr="00BA037E">
        <w:rPr>
          <w:rFonts w:cs="Arial"/>
          <w:bCs/>
          <w:spacing w:val="-3"/>
          <w:sz w:val="20"/>
          <w:szCs w:val="20"/>
        </w:rPr>
        <w:t xml:space="preserve">eferencia: contractual - apelación sentencia. </w:t>
      </w:r>
    </w:p>
    <w:p w:rsidR="00941576" w:rsidRPr="00BA037E" w:rsidRDefault="00941576" w:rsidP="00BA037E">
      <w:pPr>
        <w:spacing w:line="240" w:lineRule="auto"/>
        <w:rPr>
          <w:rFonts w:cs="Arial"/>
          <w:i/>
          <w:sz w:val="20"/>
          <w:szCs w:val="20"/>
          <w:lang w:val="es-CO"/>
        </w:rPr>
      </w:pPr>
      <w:r w:rsidRPr="00BA037E">
        <w:rPr>
          <w:rFonts w:cs="Arial"/>
          <w:bCs/>
          <w:spacing w:val="-3"/>
          <w:sz w:val="20"/>
          <w:szCs w:val="20"/>
        </w:rPr>
        <w:t xml:space="preserve">En el mismo sentido se ha reiterado la jurisprudencia en diversas oportunidades, por ejemplo, en la siguiente providencia: </w:t>
      </w:r>
      <w:r w:rsidRPr="00BA037E">
        <w:rPr>
          <w:rFonts w:cs="Arial"/>
          <w:sz w:val="20"/>
          <w:szCs w:val="20"/>
        </w:rPr>
        <w:t xml:space="preserve">Consejo de Estado, Sección Tercera, Subsección A, </w:t>
      </w:r>
      <w:r w:rsidRPr="00BA037E">
        <w:rPr>
          <w:rFonts w:cs="Arial"/>
          <w:sz w:val="20"/>
          <w:szCs w:val="20"/>
          <w:lang w:val="es-CO"/>
        </w:rPr>
        <w:t xml:space="preserve">Consejero Ponente (E): Hernán Andrade Rincón, sentencia de </w:t>
      </w:r>
      <w:r w:rsidRPr="00BA037E">
        <w:rPr>
          <w:rFonts w:cs="Arial"/>
          <w:sz w:val="20"/>
          <w:szCs w:val="20"/>
        </w:rPr>
        <w:t>27 de mayo de 2015, r</w:t>
      </w:r>
      <w:r w:rsidRPr="00BA037E">
        <w:rPr>
          <w:rFonts w:cs="Arial"/>
          <w:bCs/>
          <w:sz w:val="20"/>
          <w:szCs w:val="20"/>
        </w:rPr>
        <w:t>adicación: 540012331000200001661 01, expediente: 38695, actor: Consorcio Construcar, demandado: INPEC, referencia: contractual – apelación sentencia. En esta última sentencia se citó el recuento de los pronunciamientos anteriores en el mismo orden, así: “</w:t>
      </w:r>
      <w:r w:rsidRPr="00BA037E">
        <w:rPr>
          <w:rFonts w:cs="Arial"/>
          <w:i/>
          <w:sz w:val="20"/>
          <w:szCs w:val="20"/>
        </w:rPr>
        <w:t xml:space="preserve">Consejo de Estado, </w:t>
      </w:r>
      <w:r w:rsidRPr="00BA037E">
        <w:rPr>
          <w:rFonts w:cs="Arial"/>
          <w:i/>
          <w:sz w:val="20"/>
          <w:szCs w:val="20"/>
          <w:lang w:val="es-CO"/>
        </w:rPr>
        <w:t>Sección Tercera, entre otras</w:t>
      </w:r>
      <w:r w:rsidRPr="00BA037E">
        <w:rPr>
          <w:rFonts w:cs="Arial"/>
          <w:i/>
          <w:sz w:val="20"/>
          <w:szCs w:val="20"/>
        </w:rPr>
        <w:t xml:space="preserve"> sentencias se citan las siguientes:</w:t>
      </w:r>
      <w:r w:rsidRPr="00BA037E">
        <w:rPr>
          <w:rFonts w:cs="Arial"/>
          <w:i/>
          <w:sz w:val="20"/>
          <w:szCs w:val="20"/>
          <w:lang w:val="es-CO"/>
        </w:rPr>
        <w:t xml:space="preserve"> Sentencias de 25 de noviembre de 1999, Exp. 10893; de 6 de mayo de 1992; exp. 6661, de 6 de diciembre de 1990, Exp. 5165, de 30 de mayo de 1991, Exp. 6665, de 19 de julio de 1995, Exp. 7882; de 22 de mayo de 1996, Exp. 9208”.</w:t>
      </w:r>
    </w:p>
    <w:p w:rsidR="00941576" w:rsidRPr="00BA037E" w:rsidRDefault="00941576" w:rsidP="00BA037E">
      <w:pPr>
        <w:spacing w:line="240" w:lineRule="auto"/>
        <w:rPr>
          <w:rFonts w:cs="Arial"/>
          <w:i/>
          <w:sz w:val="20"/>
          <w:szCs w:val="20"/>
          <w:lang w:val="es-CO"/>
        </w:rPr>
      </w:pPr>
    </w:p>
  </w:footnote>
  <w:footnote w:id="11">
    <w:p w:rsidR="00941576" w:rsidRPr="00BA037E" w:rsidRDefault="00941576" w:rsidP="00BA037E">
      <w:pPr>
        <w:spacing w:line="240" w:lineRule="auto"/>
        <w:rPr>
          <w:rFonts w:cs="Arial"/>
          <w:sz w:val="20"/>
          <w:szCs w:val="20"/>
        </w:rPr>
      </w:pPr>
      <w:r w:rsidRPr="00BA037E">
        <w:rPr>
          <w:rStyle w:val="Refdenotaalpie"/>
          <w:rFonts w:cs="Arial"/>
          <w:sz w:val="20"/>
          <w:szCs w:val="20"/>
        </w:rPr>
        <w:footnoteRef/>
      </w:r>
      <w:r w:rsidRPr="00BA037E">
        <w:rPr>
          <w:rFonts w:cs="Arial"/>
          <w:sz w:val="20"/>
          <w:szCs w:val="20"/>
        </w:rPr>
        <w:t xml:space="preserve"> Consejo de Estado, Sala de lo Contencioso Administrativo, Sección Tercera, Subsección A, Consejero Ponente: Carlos Alberto Zambrano Barrera, sentencia de 11 de abril de 2012, r</w:t>
      </w:r>
      <w:r w:rsidRPr="00BA037E">
        <w:rPr>
          <w:rFonts w:cs="Arial"/>
          <w:bCs/>
          <w:sz w:val="20"/>
          <w:szCs w:val="20"/>
        </w:rPr>
        <w:t>adicación número: 52001-23-31-000-1996-07799</w:t>
      </w:r>
      <w:r w:rsidRPr="00BA037E">
        <w:rPr>
          <w:rFonts w:cs="Arial"/>
          <w:sz w:val="20"/>
          <w:szCs w:val="20"/>
        </w:rPr>
        <w:t xml:space="preserve">-01(17434), Actor: Mapfre Seguros Generales de Colombia S.A., demandado: Municipio de Chachaguí;  Consejo de Estado, Sección Tercera, Subsección A, </w:t>
      </w:r>
      <w:r w:rsidRPr="00BA037E">
        <w:rPr>
          <w:rFonts w:cs="Arial"/>
          <w:sz w:val="20"/>
          <w:szCs w:val="20"/>
          <w:lang w:val="es-CO"/>
        </w:rPr>
        <w:t xml:space="preserve">Consejero Ponente (E): Hernán Andrade Rincón, sentencia de </w:t>
      </w:r>
      <w:r w:rsidRPr="00BA037E">
        <w:rPr>
          <w:rFonts w:cs="Arial"/>
          <w:sz w:val="20"/>
          <w:szCs w:val="20"/>
        </w:rPr>
        <w:t>27 de mayo de 2015, r</w:t>
      </w:r>
      <w:r w:rsidRPr="00BA037E">
        <w:rPr>
          <w:rFonts w:cs="Arial"/>
          <w:bCs/>
          <w:sz w:val="20"/>
          <w:szCs w:val="20"/>
        </w:rPr>
        <w:t>adicación: 540012331000200001661 01, expediente: 38695, actor: Consorcio Construcar, demandado: INPEC, referencia  contractual – apelación sentencia.</w:t>
      </w:r>
    </w:p>
    <w:p w:rsidR="00941576" w:rsidRPr="00BA037E" w:rsidRDefault="00941576" w:rsidP="00BA037E">
      <w:pPr>
        <w:pStyle w:val="Textonotapie"/>
        <w:tabs>
          <w:tab w:val="right" w:pos="8505"/>
        </w:tabs>
        <w:rPr>
          <w:rFonts w:cs="Arial"/>
          <w:lang w:val="es-CO"/>
        </w:rPr>
      </w:pPr>
    </w:p>
  </w:footnote>
  <w:footnote w:id="12">
    <w:p w:rsidR="00941576" w:rsidRPr="00BA037E" w:rsidRDefault="00941576" w:rsidP="00BA037E">
      <w:pPr>
        <w:pStyle w:val="Textonotapie"/>
        <w:spacing w:line="240" w:lineRule="auto"/>
        <w:rPr>
          <w:rFonts w:cs="Arial"/>
          <w:lang w:val="en-US"/>
        </w:rPr>
      </w:pPr>
      <w:r w:rsidRPr="00BA037E">
        <w:rPr>
          <w:rStyle w:val="Refdenotaalpie"/>
          <w:rFonts w:cs="Arial"/>
        </w:rPr>
        <w:footnoteRef/>
      </w:r>
      <w:r w:rsidRPr="00BA037E">
        <w:rPr>
          <w:rFonts w:cs="Arial"/>
          <w:lang w:val="en-US"/>
        </w:rPr>
        <w:t xml:space="preserve"> Fl. 74-77 C1. </w:t>
      </w:r>
    </w:p>
  </w:footnote>
  <w:footnote w:id="13">
    <w:p w:rsidR="00941576" w:rsidRPr="00BA037E" w:rsidRDefault="00941576" w:rsidP="00BA037E">
      <w:pPr>
        <w:pStyle w:val="Textonotapie"/>
        <w:spacing w:line="240" w:lineRule="auto"/>
        <w:rPr>
          <w:rFonts w:cs="Arial"/>
          <w:lang w:val="en-US"/>
        </w:rPr>
      </w:pPr>
      <w:r w:rsidRPr="00BA037E">
        <w:rPr>
          <w:rStyle w:val="Refdenotaalpie"/>
          <w:rFonts w:cs="Arial"/>
        </w:rPr>
        <w:footnoteRef/>
      </w:r>
      <w:r w:rsidRPr="00BA037E">
        <w:rPr>
          <w:rFonts w:cs="Arial"/>
          <w:lang w:val="en-US"/>
        </w:rPr>
        <w:t xml:space="preserve"> Fl. 133 C1. </w:t>
      </w:r>
    </w:p>
  </w:footnote>
  <w:footnote w:id="14">
    <w:p w:rsidR="00941576" w:rsidRPr="00BA037E" w:rsidRDefault="00941576" w:rsidP="00BA037E">
      <w:pPr>
        <w:pStyle w:val="Textonotapie"/>
        <w:spacing w:line="240" w:lineRule="auto"/>
        <w:rPr>
          <w:rFonts w:cs="Arial"/>
          <w:lang w:val="en-US"/>
        </w:rPr>
      </w:pPr>
      <w:r w:rsidRPr="00BA037E">
        <w:rPr>
          <w:rStyle w:val="Refdenotaalpie"/>
          <w:rFonts w:cs="Arial"/>
        </w:rPr>
        <w:footnoteRef/>
      </w:r>
      <w:r w:rsidRPr="00BA037E">
        <w:rPr>
          <w:rFonts w:cs="Arial"/>
          <w:lang w:val="en-US"/>
        </w:rPr>
        <w:t xml:space="preserve"> Fl. 168-169 C1.</w:t>
      </w:r>
    </w:p>
  </w:footnote>
  <w:footnote w:id="15">
    <w:p w:rsidR="00941576" w:rsidRPr="00BA037E" w:rsidRDefault="00941576" w:rsidP="00BA037E">
      <w:pPr>
        <w:pStyle w:val="Textonotapie"/>
        <w:spacing w:line="240" w:lineRule="auto"/>
        <w:rPr>
          <w:rFonts w:cs="Arial"/>
          <w:lang w:val="en-US"/>
        </w:rPr>
      </w:pPr>
      <w:r w:rsidRPr="00BA037E">
        <w:rPr>
          <w:rStyle w:val="Refdenotaalpie"/>
          <w:rFonts w:cs="Arial"/>
        </w:rPr>
        <w:footnoteRef/>
      </w:r>
      <w:r w:rsidRPr="00BA037E">
        <w:rPr>
          <w:rFonts w:cs="Arial"/>
          <w:lang w:val="en-US"/>
        </w:rPr>
        <w:t xml:space="preserve"> Fls. 23-26 C1. </w:t>
      </w:r>
    </w:p>
  </w:footnote>
  <w:footnote w:id="16">
    <w:p w:rsidR="00941576" w:rsidRPr="00BA037E" w:rsidRDefault="00941576" w:rsidP="00BA037E">
      <w:pPr>
        <w:spacing w:after="100" w:afterAutospacing="1" w:line="240" w:lineRule="auto"/>
        <w:rPr>
          <w:rFonts w:cs="Arial"/>
          <w:i/>
          <w:sz w:val="20"/>
          <w:szCs w:val="20"/>
          <w:lang w:val="es-CO" w:eastAsia="es-CO"/>
        </w:rPr>
      </w:pPr>
      <w:r w:rsidRPr="00BA037E">
        <w:rPr>
          <w:rStyle w:val="Refdenotaalpie"/>
          <w:rFonts w:cs="Arial"/>
          <w:sz w:val="20"/>
          <w:szCs w:val="20"/>
        </w:rPr>
        <w:footnoteRef/>
      </w:r>
      <w:r w:rsidRPr="00BA037E">
        <w:rPr>
          <w:rFonts w:cs="Arial"/>
          <w:sz w:val="20"/>
          <w:szCs w:val="20"/>
        </w:rPr>
        <w:t xml:space="preserve"> </w:t>
      </w:r>
      <w:bookmarkStart w:id="4" w:name="4"/>
      <w:r w:rsidRPr="00BA037E">
        <w:rPr>
          <w:rFonts w:cs="Arial"/>
          <w:i/>
          <w:sz w:val="20"/>
          <w:szCs w:val="20"/>
          <w:lang w:val="es-CO" w:eastAsia="es-CO"/>
        </w:rPr>
        <w:t>“ARTÍCULO 4o. DE LA DISTRIBUCIÓN DE RIESGOS EN LOS CONTRATOS ESTATALES.</w:t>
      </w:r>
      <w:bookmarkEnd w:id="4"/>
      <w:r w:rsidRPr="00BA037E">
        <w:rPr>
          <w:rFonts w:cs="Arial"/>
          <w:i/>
          <w:sz w:val="20"/>
          <w:szCs w:val="20"/>
          <w:lang w:val="es-CO" w:eastAsia="es-CO"/>
        </w:rPr>
        <w:t xml:space="preserve"> Los pliegos de condiciones o sus equivalentes deberán incluir la estimación, tipificación y asignación de los riesgos previsibles involucrados en la contratación.</w:t>
      </w:r>
    </w:p>
    <w:p w:rsidR="00941576" w:rsidRDefault="00941576" w:rsidP="00BA037E">
      <w:pPr>
        <w:spacing w:line="240" w:lineRule="auto"/>
        <w:rPr>
          <w:rFonts w:cs="Arial"/>
          <w:i/>
          <w:sz w:val="20"/>
          <w:szCs w:val="20"/>
          <w:lang w:val="es-CO" w:eastAsia="es-CO"/>
        </w:rPr>
      </w:pPr>
      <w:r w:rsidRPr="00BA037E">
        <w:rPr>
          <w:rFonts w:cs="Arial"/>
          <w:i/>
          <w:sz w:val="20"/>
          <w:szCs w:val="20"/>
          <w:lang w:val="es-CO" w:eastAsia="es-CO"/>
        </w:rPr>
        <w:t>En las licitaciones públicas, los pliegos de condiciones de las entidades estatales deberán señalar el momento en el que, con anterioridad a la presentación de las ofertas, los oferentes y la entidad revisarán la asignación de riesgos con el fin de establecer su distribución definitiva”.</w:t>
      </w:r>
    </w:p>
    <w:p w:rsidR="00941576" w:rsidRPr="00BA037E" w:rsidRDefault="00941576" w:rsidP="00BA037E">
      <w:pPr>
        <w:spacing w:line="240" w:lineRule="auto"/>
        <w:rPr>
          <w:rFonts w:cs="Arial"/>
          <w:sz w:val="20"/>
          <w:szCs w:val="20"/>
          <w:lang w:val="es-CO"/>
        </w:rPr>
      </w:pPr>
    </w:p>
  </w:footnote>
  <w:footnote w:id="17">
    <w:p w:rsidR="00941576" w:rsidRPr="00BA037E" w:rsidRDefault="00941576" w:rsidP="00BA037E">
      <w:pPr>
        <w:pStyle w:val="Textonotapie"/>
        <w:spacing w:line="240" w:lineRule="auto"/>
        <w:rPr>
          <w:rFonts w:cs="Arial"/>
          <w:lang w:val="es-CO"/>
        </w:rPr>
      </w:pPr>
      <w:r w:rsidRPr="00BA037E">
        <w:rPr>
          <w:rStyle w:val="Refdenotaalpie"/>
          <w:rFonts w:cs="Arial"/>
        </w:rPr>
        <w:footnoteRef/>
      </w:r>
      <w:r w:rsidRPr="00BA037E">
        <w:rPr>
          <w:rFonts w:cs="Arial"/>
        </w:rPr>
        <w:t xml:space="preserve"> </w:t>
      </w:r>
      <w:r w:rsidRPr="00BA037E">
        <w:rPr>
          <w:rFonts w:cs="Arial"/>
          <w:lang w:val="es-CO"/>
        </w:rPr>
        <w:t>Ello sin dejar de insistir en que existen circunstancias generadoras de desequilibrio económico del contrato que depende de la voluntad de la parte contratante como el ejercicio ius variandi y el hecho del príncipe que no son materia de distribución en cabeza del contratista por derivarse directamente del comportamiento exclusivo de la entidad.</w:t>
      </w:r>
    </w:p>
  </w:footnote>
  <w:footnote w:id="18">
    <w:p w:rsidR="00941576" w:rsidRPr="00BA037E" w:rsidRDefault="00941576" w:rsidP="00BA037E">
      <w:pPr>
        <w:pStyle w:val="Textonotapie"/>
        <w:spacing w:line="240" w:lineRule="auto"/>
        <w:rPr>
          <w:rFonts w:cs="Arial"/>
          <w:lang w:val="es-CO"/>
        </w:rPr>
      </w:pPr>
      <w:r w:rsidRPr="00BA037E">
        <w:rPr>
          <w:rStyle w:val="Refdenotaalpie"/>
          <w:rFonts w:cs="Arial"/>
        </w:rPr>
        <w:footnoteRef/>
      </w:r>
      <w:r w:rsidRPr="00BA037E">
        <w:rPr>
          <w:rFonts w:cs="Arial"/>
        </w:rPr>
        <w:t xml:space="preserve"> </w:t>
      </w:r>
      <w:r w:rsidRPr="00BA037E">
        <w:rPr>
          <w:rFonts w:cs="Arial"/>
          <w:lang w:val="es-CO"/>
        </w:rPr>
        <w:t>Fl. 51 C1 de Pruebas.</w:t>
      </w:r>
    </w:p>
  </w:footnote>
  <w:footnote w:id="19">
    <w:p w:rsidR="00941576" w:rsidRPr="00BA037E" w:rsidRDefault="00941576" w:rsidP="00BA037E">
      <w:pPr>
        <w:pStyle w:val="Textonotapie"/>
        <w:rPr>
          <w:rFonts w:cs="Arial"/>
          <w:lang w:val="es-CO"/>
        </w:rPr>
      </w:pPr>
      <w:r w:rsidRPr="00BA037E">
        <w:rPr>
          <w:rStyle w:val="Refdenotaalpie"/>
          <w:rFonts w:cs="Arial"/>
        </w:rPr>
        <w:footnoteRef/>
      </w:r>
      <w:r w:rsidRPr="00BA037E">
        <w:rPr>
          <w:rFonts w:cs="Arial"/>
        </w:rPr>
        <w:t xml:space="preserve"> </w:t>
      </w:r>
      <w:r w:rsidRPr="00BA037E">
        <w:rPr>
          <w:rFonts w:cs="Arial"/>
          <w:lang w:val="es-CO"/>
        </w:rPr>
        <w:t>Fl. 29 C1.</w:t>
      </w:r>
    </w:p>
  </w:footnote>
  <w:footnote w:id="20">
    <w:p w:rsidR="00941576" w:rsidRPr="00BA037E" w:rsidRDefault="00941576" w:rsidP="00BA037E">
      <w:pPr>
        <w:pStyle w:val="Textonotapie"/>
        <w:rPr>
          <w:rFonts w:cs="Arial"/>
          <w:lang w:val="en-US"/>
        </w:rPr>
      </w:pPr>
      <w:r w:rsidRPr="00BA037E">
        <w:rPr>
          <w:rStyle w:val="Refdenotaalpie"/>
          <w:rFonts w:cs="Arial"/>
        </w:rPr>
        <w:footnoteRef/>
      </w:r>
      <w:r w:rsidRPr="00BA037E">
        <w:rPr>
          <w:rFonts w:cs="Arial"/>
          <w:lang w:val="en-US"/>
        </w:rPr>
        <w:t xml:space="preserve"> Fl. 96-97 C2. </w:t>
      </w:r>
    </w:p>
  </w:footnote>
  <w:footnote w:id="21">
    <w:p w:rsidR="00941576" w:rsidRPr="00BA037E" w:rsidRDefault="00941576" w:rsidP="00BA037E">
      <w:pPr>
        <w:pStyle w:val="Textonotapie"/>
        <w:rPr>
          <w:rFonts w:cs="Arial"/>
          <w:lang w:val="en-US"/>
        </w:rPr>
      </w:pPr>
      <w:r w:rsidRPr="00BA037E">
        <w:rPr>
          <w:rStyle w:val="Refdenotaalpie"/>
          <w:rFonts w:cs="Arial"/>
        </w:rPr>
        <w:footnoteRef/>
      </w:r>
      <w:r w:rsidRPr="00BA037E">
        <w:rPr>
          <w:rFonts w:cs="Arial"/>
          <w:lang w:val="en-US"/>
        </w:rPr>
        <w:t xml:space="preserve"> Fls. 2-6 C3.</w:t>
      </w:r>
    </w:p>
  </w:footnote>
  <w:footnote w:id="22">
    <w:p w:rsidR="00941576" w:rsidRPr="00BA037E" w:rsidRDefault="00941576" w:rsidP="00BA037E">
      <w:pPr>
        <w:pStyle w:val="Textonotapie"/>
        <w:rPr>
          <w:rFonts w:cs="Arial"/>
          <w:lang w:val="en-US"/>
        </w:rPr>
      </w:pPr>
      <w:r w:rsidRPr="00BA037E">
        <w:rPr>
          <w:rStyle w:val="Refdenotaalpie"/>
          <w:rFonts w:cs="Arial"/>
        </w:rPr>
        <w:footnoteRef/>
      </w:r>
      <w:r w:rsidRPr="00BA037E">
        <w:rPr>
          <w:rFonts w:cs="Arial"/>
          <w:lang w:val="en-US"/>
        </w:rPr>
        <w:t xml:space="preserve"> Fls. 91-96 C3.</w:t>
      </w:r>
    </w:p>
  </w:footnote>
  <w:footnote w:id="23">
    <w:p w:rsidR="00941576" w:rsidRPr="00BA037E" w:rsidRDefault="00941576" w:rsidP="00BA037E">
      <w:pPr>
        <w:pStyle w:val="Textonotapie"/>
        <w:rPr>
          <w:rFonts w:cs="Arial"/>
          <w:lang w:val="es-CO"/>
        </w:rPr>
      </w:pPr>
      <w:r w:rsidRPr="00BA037E">
        <w:rPr>
          <w:rStyle w:val="Refdenotaalpie"/>
          <w:rFonts w:cs="Arial"/>
        </w:rPr>
        <w:footnoteRef/>
      </w:r>
      <w:r w:rsidRPr="00BA037E">
        <w:rPr>
          <w:rFonts w:cs="Arial"/>
        </w:rPr>
        <w:t xml:space="preserve"> </w:t>
      </w:r>
      <w:r w:rsidRPr="00BA037E">
        <w:rPr>
          <w:rFonts w:cs="Arial"/>
          <w:lang w:val="es-CO"/>
        </w:rPr>
        <w:t>Fls. 99-132 C3.</w:t>
      </w:r>
    </w:p>
  </w:footnote>
  <w:footnote w:id="24">
    <w:p w:rsidR="00941576" w:rsidRPr="00BA037E" w:rsidRDefault="00941576" w:rsidP="00BA037E">
      <w:pPr>
        <w:pStyle w:val="Textonotapie"/>
        <w:spacing w:line="240" w:lineRule="auto"/>
        <w:rPr>
          <w:rFonts w:cs="Arial"/>
          <w:lang w:val="es-CO"/>
        </w:rPr>
      </w:pPr>
      <w:r w:rsidRPr="00BA037E">
        <w:rPr>
          <w:rStyle w:val="Refdenotaalpie"/>
          <w:rFonts w:cs="Arial"/>
        </w:rPr>
        <w:footnoteRef/>
      </w:r>
      <w:r w:rsidRPr="00BA037E">
        <w:rPr>
          <w:rFonts w:cs="Arial"/>
        </w:rPr>
        <w:t xml:space="preserve"> </w:t>
      </w:r>
      <w:r w:rsidRPr="00BA037E">
        <w:rPr>
          <w:rFonts w:cs="Arial"/>
          <w:lang w:val="es-CO"/>
        </w:rPr>
        <w:t>Fl. 83 C2.</w:t>
      </w:r>
    </w:p>
  </w:footnote>
  <w:footnote w:id="25">
    <w:p w:rsidR="00941576" w:rsidRPr="00BA037E" w:rsidRDefault="00941576" w:rsidP="00BA037E">
      <w:pPr>
        <w:pStyle w:val="Textonotapie"/>
        <w:spacing w:line="240" w:lineRule="auto"/>
        <w:rPr>
          <w:rFonts w:cs="Arial"/>
          <w:lang w:val="es-CO"/>
        </w:rPr>
      </w:pPr>
      <w:r w:rsidRPr="00BA037E">
        <w:rPr>
          <w:rStyle w:val="Refdenotaalpie"/>
          <w:rFonts w:cs="Arial"/>
        </w:rPr>
        <w:footnoteRef/>
      </w:r>
      <w:r w:rsidRPr="00BA037E">
        <w:rPr>
          <w:rFonts w:cs="Arial"/>
        </w:rPr>
        <w:t xml:space="preserve"> </w:t>
      </w:r>
      <w:r w:rsidRPr="00BA037E">
        <w:rPr>
          <w:rFonts w:cs="Arial"/>
          <w:lang w:val="es-CO"/>
        </w:rPr>
        <w:t xml:space="preserve">Fls. 23-26 C1 de Pruebas. </w:t>
      </w:r>
    </w:p>
  </w:footnote>
  <w:footnote w:id="26">
    <w:p w:rsidR="00941576" w:rsidRPr="00BA037E" w:rsidRDefault="00941576" w:rsidP="00BA037E">
      <w:pPr>
        <w:pStyle w:val="Textonotapie"/>
        <w:spacing w:line="240" w:lineRule="auto"/>
        <w:rPr>
          <w:rFonts w:cs="Arial"/>
          <w:lang w:val="es-CO"/>
        </w:rPr>
      </w:pPr>
      <w:r w:rsidRPr="00BA037E">
        <w:rPr>
          <w:rStyle w:val="Refdenotaalpie"/>
          <w:rFonts w:cs="Arial"/>
        </w:rPr>
        <w:footnoteRef/>
      </w:r>
      <w:r w:rsidRPr="00BA037E">
        <w:rPr>
          <w:rFonts w:cs="Arial"/>
        </w:rPr>
        <w:t xml:space="preserve"> </w:t>
      </w:r>
      <w:r w:rsidRPr="00BA037E">
        <w:rPr>
          <w:rFonts w:cs="Arial"/>
          <w:lang w:val="es-CO"/>
        </w:rPr>
        <w:t xml:space="preserve">Fls. 29-30 C1 de Pruebas. </w:t>
      </w:r>
    </w:p>
  </w:footnote>
  <w:footnote w:id="27">
    <w:p w:rsidR="00941576" w:rsidRPr="00BA037E" w:rsidRDefault="00941576" w:rsidP="00BA037E">
      <w:pPr>
        <w:pStyle w:val="Textonotapie"/>
        <w:spacing w:line="276" w:lineRule="auto"/>
        <w:rPr>
          <w:rFonts w:cs="Arial"/>
          <w:lang w:val="es-CO"/>
        </w:rPr>
      </w:pPr>
      <w:r w:rsidRPr="00BA037E">
        <w:rPr>
          <w:rStyle w:val="Refdenotaalpie"/>
          <w:rFonts w:cs="Arial"/>
        </w:rPr>
        <w:footnoteRef/>
      </w:r>
      <w:r w:rsidRPr="00BA037E">
        <w:rPr>
          <w:rFonts w:cs="Arial"/>
        </w:rPr>
        <w:t xml:space="preserve"> </w:t>
      </w:r>
      <w:r w:rsidRPr="00BA037E">
        <w:rPr>
          <w:rFonts w:cs="Arial"/>
          <w:lang w:val="es-CO"/>
        </w:rPr>
        <w:t xml:space="preserve">Fls. 32-34 del C3. Anotaciones de la bitácora de obra. Se consignó que el 11 de junio de 2010 se recibió el trazado de la vía por parte de la comisión topográfica. </w:t>
      </w:r>
    </w:p>
  </w:footnote>
  <w:footnote w:id="28">
    <w:p w:rsidR="00941576" w:rsidRPr="00BA037E" w:rsidRDefault="00941576" w:rsidP="00BA037E">
      <w:pPr>
        <w:pStyle w:val="Textonotapie"/>
        <w:spacing w:line="276" w:lineRule="auto"/>
        <w:rPr>
          <w:rFonts w:cs="Arial"/>
          <w:lang w:val="es-CO"/>
        </w:rPr>
      </w:pPr>
      <w:r w:rsidRPr="00BA037E">
        <w:rPr>
          <w:rStyle w:val="Refdenotaalpie"/>
          <w:rFonts w:cs="Arial"/>
        </w:rPr>
        <w:footnoteRef/>
      </w:r>
      <w:r w:rsidRPr="00BA037E">
        <w:rPr>
          <w:rFonts w:cs="Arial"/>
        </w:rPr>
        <w:t xml:space="preserve"> Se recuerda que a la luz de la matriz de riesgos, al contratista le asistía la carga de asumir el riesgo denominado “Condiciones imprevistas del terreno” en los siguientes términos: “</w:t>
      </w:r>
      <w:r w:rsidRPr="00BA037E">
        <w:rPr>
          <w:rFonts w:cs="Arial"/>
          <w:i/>
        </w:rPr>
        <w:t>Cuando las condiciones imprevistas del terreno generen retrasos menores al 10% el plazo de construcción del contrato</w:t>
      </w:r>
      <w:r w:rsidRPr="00BA037E">
        <w:rPr>
          <w:rFonts w:cs="Arial"/>
        </w:rPr>
        <w:t>”.</w:t>
      </w:r>
    </w:p>
  </w:footnote>
  <w:footnote w:id="29">
    <w:p w:rsidR="00941576" w:rsidRPr="00BA037E" w:rsidRDefault="00941576" w:rsidP="00BA037E">
      <w:pPr>
        <w:pStyle w:val="Textonotapie"/>
        <w:spacing w:line="240" w:lineRule="auto"/>
        <w:rPr>
          <w:rFonts w:cs="Arial"/>
          <w:lang w:val="es-CO"/>
        </w:rPr>
      </w:pPr>
      <w:r w:rsidRPr="00BA037E">
        <w:rPr>
          <w:rStyle w:val="Refdenotaalpie"/>
          <w:rFonts w:cs="Arial"/>
        </w:rPr>
        <w:footnoteRef/>
      </w:r>
      <w:r w:rsidRPr="00BA037E">
        <w:rPr>
          <w:rFonts w:cs="Arial"/>
        </w:rPr>
        <w:t xml:space="preserve"> </w:t>
      </w:r>
      <w:r w:rsidRPr="00BA037E">
        <w:rPr>
          <w:rFonts w:cs="Arial"/>
          <w:lang w:val="es-CO"/>
        </w:rPr>
        <w:t xml:space="preserve">Se desconoce la magnitud y proporciones del deslizamiento y la fecha en que tuvo ocurrencia, de tal suerte que no es posible determinar su incidencia en el retardo de la obra, como tampoco en la suspensión del plazo. </w:t>
      </w:r>
    </w:p>
  </w:footnote>
  <w:footnote w:id="30">
    <w:p w:rsidR="00941576" w:rsidRPr="00BA037E" w:rsidRDefault="00941576" w:rsidP="00BA037E">
      <w:pPr>
        <w:pStyle w:val="Textonotapie"/>
        <w:spacing w:line="240" w:lineRule="auto"/>
        <w:rPr>
          <w:rFonts w:cs="Arial"/>
          <w:lang w:val="es-CO"/>
        </w:rPr>
      </w:pPr>
      <w:r w:rsidRPr="00BA037E">
        <w:rPr>
          <w:rStyle w:val="Refdenotaalpie"/>
          <w:rFonts w:cs="Arial"/>
        </w:rPr>
        <w:footnoteRef/>
      </w:r>
      <w:r w:rsidRPr="00BA037E">
        <w:rPr>
          <w:rFonts w:cs="Arial"/>
        </w:rPr>
        <w:t xml:space="preserve"> </w:t>
      </w:r>
      <w:r w:rsidRPr="00BA037E">
        <w:rPr>
          <w:rFonts w:cs="Arial"/>
          <w:lang w:val="es-CO"/>
        </w:rPr>
        <w:t>Fls. 69-70 C3.</w:t>
      </w:r>
    </w:p>
  </w:footnote>
  <w:footnote w:id="31">
    <w:p w:rsidR="00941576" w:rsidRPr="00BA037E" w:rsidRDefault="00941576" w:rsidP="00BA037E">
      <w:pPr>
        <w:pStyle w:val="Textonotapie"/>
        <w:spacing w:line="240" w:lineRule="auto"/>
        <w:rPr>
          <w:rFonts w:cs="Arial"/>
          <w:lang w:val="es-CO"/>
        </w:rPr>
      </w:pPr>
      <w:r w:rsidRPr="00BA037E">
        <w:rPr>
          <w:rStyle w:val="Refdenotaalpie"/>
          <w:rFonts w:cs="Arial"/>
        </w:rPr>
        <w:footnoteRef/>
      </w:r>
      <w:r w:rsidRPr="00BA037E">
        <w:rPr>
          <w:rFonts w:cs="Arial"/>
        </w:rPr>
        <w:t xml:space="preserve"> </w:t>
      </w:r>
      <w:r w:rsidRPr="00BA037E">
        <w:rPr>
          <w:rFonts w:cs="Arial"/>
          <w:lang w:val="es-CO"/>
        </w:rPr>
        <w:t xml:space="preserve">Tampoco existen actas de ajuste de las cantidades inicialmente pactadas, de manera que no se conoce si las mismas variaron por acuerdo entre las partes a lo largo de la ejecución contractual. De ahí que el único referente comparativo son las condiciones previstas en el pliego y en la oferta. </w:t>
      </w:r>
    </w:p>
  </w:footnote>
  <w:footnote w:id="32">
    <w:p w:rsidR="00941576" w:rsidRPr="00BA037E" w:rsidRDefault="00941576" w:rsidP="00BA037E">
      <w:pPr>
        <w:pStyle w:val="Textonotapie"/>
        <w:rPr>
          <w:rFonts w:cs="Arial"/>
          <w:lang w:val="es-CO"/>
        </w:rPr>
      </w:pPr>
      <w:r w:rsidRPr="00BA037E">
        <w:rPr>
          <w:rStyle w:val="Refdenotaalpie"/>
          <w:rFonts w:cs="Arial"/>
        </w:rPr>
        <w:footnoteRef/>
      </w:r>
      <w:r w:rsidRPr="00BA037E">
        <w:rPr>
          <w:rFonts w:cs="Arial"/>
        </w:rPr>
        <w:t>Fl. 56 C3.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576" w:rsidRDefault="00941576"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41576" w:rsidRDefault="00941576" w:rsidP="00643457">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576" w:rsidRDefault="0072172B">
    <w:pPr>
      <w:pStyle w:val="Encabezado"/>
    </w:pPr>
    <w:r w:rsidRPr="00BC5E77">
      <w:rPr>
        <w:noProof/>
        <w:lang w:val="en-US" w:eastAsia="en-US"/>
      </w:rPr>
      <w:drawing>
        <wp:inline distT="0" distB="0" distL="0" distR="0">
          <wp:extent cx="895350" cy="81915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FCED84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763F6D"/>
    <w:multiLevelType w:val="hybridMultilevel"/>
    <w:tmpl w:val="2F58B8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C6A51"/>
    <w:multiLevelType w:val="hybridMultilevel"/>
    <w:tmpl w:val="CBCAB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E12B6E"/>
    <w:multiLevelType w:val="hybridMultilevel"/>
    <w:tmpl w:val="EE8E43B2"/>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0E4A"/>
    <w:multiLevelType w:val="hybridMultilevel"/>
    <w:tmpl w:val="BFF00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E96252"/>
    <w:multiLevelType w:val="hybridMultilevel"/>
    <w:tmpl w:val="78524D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2E1D56"/>
    <w:multiLevelType w:val="hybridMultilevel"/>
    <w:tmpl w:val="5F2A3B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29B5613"/>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0415E2"/>
    <w:multiLevelType w:val="hybridMultilevel"/>
    <w:tmpl w:val="9DB22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4143E6E"/>
    <w:multiLevelType w:val="hybridMultilevel"/>
    <w:tmpl w:val="879E4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FD0278"/>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3"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DDB6EC4"/>
    <w:multiLevelType w:val="hybridMultilevel"/>
    <w:tmpl w:val="2B6E74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B91CE1"/>
    <w:multiLevelType w:val="hybridMultilevel"/>
    <w:tmpl w:val="C972BC04"/>
    <w:lvl w:ilvl="0" w:tplc="DF067BCC">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A805A8"/>
    <w:multiLevelType w:val="multilevel"/>
    <w:tmpl w:val="D8469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F1FCE"/>
    <w:multiLevelType w:val="hybridMultilevel"/>
    <w:tmpl w:val="794CC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39D103A"/>
    <w:multiLevelType w:val="hybridMultilevel"/>
    <w:tmpl w:val="D5A84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5AA4A0F"/>
    <w:multiLevelType w:val="hybridMultilevel"/>
    <w:tmpl w:val="C1661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7BD5CFD"/>
    <w:multiLevelType w:val="hybridMultilevel"/>
    <w:tmpl w:val="60ECAD86"/>
    <w:lvl w:ilvl="0" w:tplc="3E6C31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8237F04"/>
    <w:multiLevelType w:val="multilevel"/>
    <w:tmpl w:val="032035D4"/>
    <w:lvl w:ilvl="0">
      <w:start w:val="1"/>
      <w:numFmt w:val="decimal"/>
      <w:lvlText w:val="%1."/>
      <w:lvlJc w:val="left"/>
      <w:pPr>
        <w:ind w:left="720" w:hanging="360"/>
      </w:pPr>
      <w:rPr>
        <w:rFonts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A7B70DC"/>
    <w:multiLevelType w:val="hybridMultilevel"/>
    <w:tmpl w:val="95068F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D6B14AA"/>
    <w:multiLevelType w:val="hybridMultilevel"/>
    <w:tmpl w:val="DF8EF766"/>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1DE54BB"/>
    <w:multiLevelType w:val="hybridMultilevel"/>
    <w:tmpl w:val="A8B6E8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B2113DF"/>
    <w:multiLevelType w:val="hybridMultilevel"/>
    <w:tmpl w:val="F27405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B7C4BDF"/>
    <w:multiLevelType w:val="hybridMultilevel"/>
    <w:tmpl w:val="55B0A7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0276A01"/>
    <w:multiLevelType w:val="hybridMultilevel"/>
    <w:tmpl w:val="24765050"/>
    <w:lvl w:ilvl="0" w:tplc="3B64E950">
      <w:start w:val="1"/>
      <w:numFmt w:val="decimal"/>
      <w:lvlText w:val="%1."/>
      <w:lvlJc w:val="left"/>
      <w:pPr>
        <w:ind w:left="765" w:hanging="40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237090B"/>
    <w:multiLevelType w:val="multilevel"/>
    <w:tmpl w:val="4B86AA2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27"/>
  </w:num>
  <w:num w:numId="3">
    <w:abstractNumId w:val="23"/>
  </w:num>
  <w:num w:numId="4">
    <w:abstractNumId w:val="12"/>
  </w:num>
  <w:num w:numId="5">
    <w:abstractNumId w:val="13"/>
  </w:num>
  <w:num w:numId="6">
    <w:abstractNumId w:val="4"/>
  </w:num>
  <w:num w:numId="7">
    <w:abstractNumId w:val="25"/>
  </w:num>
  <w:num w:numId="8">
    <w:abstractNumId w:val="22"/>
  </w:num>
  <w:num w:numId="9">
    <w:abstractNumId w:val="3"/>
  </w:num>
  <w:num w:numId="10">
    <w:abstractNumId w:val="17"/>
  </w:num>
  <w:num w:numId="11">
    <w:abstractNumId w:val="0"/>
  </w:num>
  <w:num w:numId="12">
    <w:abstractNumId w:val="29"/>
  </w:num>
  <w:num w:numId="13">
    <w:abstractNumId w:val="16"/>
  </w:num>
  <w:num w:numId="14">
    <w:abstractNumId w:val="11"/>
  </w:num>
  <w:num w:numId="15">
    <w:abstractNumId w:val="15"/>
  </w:num>
  <w:num w:numId="16">
    <w:abstractNumId w:val="8"/>
  </w:num>
  <w:num w:numId="17">
    <w:abstractNumId w:val="1"/>
  </w:num>
  <w:num w:numId="18">
    <w:abstractNumId w:val="26"/>
  </w:num>
  <w:num w:numId="19">
    <w:abstractNumId w:val="7"/>
  </w:num>
  <w:num w:numId="20">
    <w:abstractNumId w:val="24"/>
  </w:num>
  <w:num w:numId="21">
    <w:abstractNumId w:val="21"/>
  </w:num>
  <w:num w:numId="22">
    <w:abstractNumId w:val="6"/>
  </w:num>
  <w:num w:numId="23">
    <w:abstractNumId w:val="9"/>
  </w:num>
  <w:num w:numId="24">
    <w:abstractNumId w:val="19"/>
  </w:num>
  <w:num w:numId="25">
    <w:abstractNumId w:val="5"/>
  </w:num>
  <w:num w:numId="26">
    <w:abstractNumId w:val="30"/>
  </w:num>
  <w:num w:numId="27">
    <w:abstractNumId w:val="2"/>
  </w:num>
  <w:num w:numId="28">
    <w:abstractNumId w:val="10"/>
  </w:num>
  <w:num w:numId="29">
    <w:abstractNumId w:val="31"/>
  </w:num>
  <w:num w:numId="30">
    <w:abstractNumId w:val="32"/>
  </w:num>
  <w:num w:numId="31">
    <w:abstractNumId w:val="28"/>
  </w:num>
  <w:num w:numId="32">
    <w:abstractNumId w:val="20"/>
  </w:num>
  <w:num w:numId="3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95"/>
    <w:rsid w:val="000004FE"/>
    <w:rsid w:val="0000071A"/>
    <w:rsid w:val="0000092F"/>
    <w:rsid w:val="00000F07"/>
    <w:rsid w:val="00001637"/>
    <w:rsid w:val="00001679"/>
    <w:rsid w:val="0000180C"/>
    <w:rsid w:val="00001F90"/>
    <w:rsid w:val="000022AF"/>
    <w:rsid w:val="0000284A"/>
    <w:rsid w:val="00002C1D"/>
    <w:rsid w:val="00002E38"/>
    <w:rsid w:val="00003317"/>
    <w:rsid w:val="00003330"/>
    <w:rsid w:val="0000356C"/>
    <w:rsid w:val="00003649"/>
    <w:rsid w:val="000036B8"/>
    <w:rsid w:val="000039FF"/>
    <w:rsid w:val="000041F0"/>
    <w:rsid w:val="00004597"/>
    <w:rsid w:val="00004616"/>
    <w:rsid w:val="000049E1"/>
    <w:rsid w:val="00004C66"/>
    <w:rsid w:val="00004D4F"/>
    <w:rsid w:val="000051ED"/>
    <w:rsid w:val="00005E16"/>
    <w:rsid w:val="0000645D"/>
    <w:rsid w:val="00006BE4"/>
    <w:rsid w:val="000072F1"/>
    <w:rsid w:val="0000753E"/>
    <w:rsid w:val="00010098"/>
    <w:rsid w:val="00010345"/>
    <w:rsid w:val="000104E1"/>
    <w:rsid w:val="000107A5"/>
    <w:rsid w:val="00010C50"/>
    <w:rsid w:val="00010DB5"/>
    <w:rsid w:val="00010E5B"/>
    <w:rsid w:val="00011931"/>
    <w:rsid w:val="00011C10"/>
    <w:rsid w:val="00011C9F"/>
    <w:rsid w:val="00011D33"/>
    <w:rsid w:val="000123DA"/>
    <w:rsid w:val="00013063"/>
    <w:rsid w:val="00013406"/>
    <w:rsid w:val="00013E02"/>
    <w:rsid w:val="00013EC4"/>
    <w:rsid w:val="00013F02"/>
    <w:rsid w:val="000142B2"/>
    <w:rsid w:val="000143F4"/>
    <w:rsid w:val="00014595"/>
    <w:rsid w:val="000148A2"/>
    <w:rsid w:val="0001495C"/>
    <w:rsid w:val="00014BED"/>
    <w:rsid w:val="000150BD"/>
    <w:rsid w:val="000151C6"/>
    <w:rsid w:val="000152A8"/>
    <w:rsid w:val="00015C11"/>
    <w:rsid w:val="00015C4E"/>
    <w:rsid w:val="000162E7"/>
    <w:rsid w:val="0001656D"/>
    <w:rsid w:val="0001657D"/>
    <w:rsid w:val="00016873"/>
    <w:rsid w:val="00016A5C"/>
    <w:rsid w:val="00016B27"/>
    <w:rsid w:val="00016B62"/>
    <w:rsid w:val="0001706A"/>
    <w:rsid w:val="00017F4B"/>
    <w:rsid w:val="000203FE"/>
    <w:rsid w:val="00020AE9"/>
    <w:rsid w:val="00020E94"/>
    <w:rsid w:val="00021148"/>
    <w:rsid w:val="00021209"/>
    <w:rsid w:val="00021342"/>
    <w:rsid w:val="000215EC"/>
    <w:rsid w:val="000217FD"/>
    <w:rsid w:val="00021A58"/>
    <w:rsid w:val="00022076"/>
    <w:rsid w:val="00022841"/>
    <w:rsid w:val="0002287B"/>
    <w:rsid w:val="00022F79"/>
    <w:rsid w:val="00022FF3"/>
    <w:rsid w:val="00023005"/>
    <w:rsid w:val="0002326F"/>
    <w:rsid w:val="000232F7"/>
    <w:rsid w:val="0002353C"/>
    <w:rsid w:val="00023675"/>
    <w:rsid w:val="000239D7"/>
    <w:rsid w:val="00023EB5"/>
    <w:rsid w:val="00024457"/>
    <w:rsid w:val="00024662"/>
    <w:rsid w:val="00024A86"/>
    <w:rsid w:val="00024D4D"/>
    <w:rsid w:val="0002571A"/>
    <w:rsid w:val="00025A21"/>
    <w:rsid w:val="00025C0C"/>
    <w:rsid w:val="00025C65"/>
    <w:rsid w:val="00025C7D"/>
    <w:rsid w:val="00025FB8"/>
    <w:rsid w:val="000260FB"/>
    <w:rsid w:val="000262BF"/>
    <w:rsid w:val="000263A9"/>
    <w:rsid w:val="000267B1"/>
    <w:rsid w:val="00026829"/>
    <w:rsid w:val="00027837"/>
    <w:rsid w:val="00027A49"/>
    <w:rsid w:val="0003004D"/>
    <w:rsid w:val="00030283"/>
    <w:rsid w:val="00030831"/>
    <w:rsid w:val="00030C59"/>
    <w:rsid w:val="000314FF"/>
    <w:rsid w:val="00031536"/>
    <w:rsid w:val="000315AA"/>
    <w:rsid w:val="00031F50"/>
    <w:rsid w:val="000320EB"/>
    <w:rsid w:val="000321D5"/>
    <w:rsid w:val="000323EA"/>
    <w:rsid w:val="000324F3"/>
    <w:rsid w:val="00032994"/>
    <w:rsid w:val="00032C85"/>
    <w:rsid w:val="00032CC9"/>
    <w:rsid w:val="00032D50"/>
    <w:rsid w:val="00032E72"/>
    <w:rsid w:val="00032F97"/>
    <w:rsid w:val="0003316F"/>
    <w:rsid w:val="00033185"/>
    <w:rsid w:val="00033707"/>
    <w:rsid w:val="00033A87"/>
    <w:rsid w:val="00033E47"/>
    <w:rsid w:val="00033EB5"/>
    <w:rsid w:val="0003415B"/>
    <w:rsid w:val="00034270"/>
    <w:rsid w:val="000342B6"/>
    <w:rsid w:val="00034796"/>
    <w:rsid w:val="00034F48"/>
    <w:rsid w:val="00035DEC"/>
    <w:rsid w:val="0003603A"/>
    <w:rsid w:val="0003632B"/>
    <w:rsid w:val="0003635B"/>
    <w:rsid w:val="00036854"/>
    <w:rsid w:val="00036F1E"/>
    <w:rsid w:val="00037440"/>
    <w:rsid w:val="00037EE8"/>
    <w:rsid w:val="000404A5"/>
    <w:rsid w:val="000404C9"/>
    <w:rsid w:val="00040A0A"/>
    <w:rsid w:val="00040B33"/>
    <w:rsid w:val="00040E57"/>
    <w:rsid w:val="00041167"/>
    <w:rsid w:val="00041362"/>
    <w:rsid w:val="00041502"/>
    <w:rsid w:val="00041689"/>
    <w:rsid w:val="00041B9B"/>
    <w:rsid w:val="00041D8F"/>
    <w:rsid w:val="00042364"/>
    <w:rsid w:val="00042AFC"/>
    <w:rsid w:val="000433BF"/>
    <w:rsid w:val="000438BE"/>
    <w:rsid w:val="000439A7"/>
    <w:rsid w:val="00043C28"/>
    <w:rsid w:val="00043E30"/>
    <w:rsid w:val="000442CE"/>
    <w:rsid w:val="00044A46"/>
    <w:rsid w:val="00044ABB"/>
    <w:rsid w:val="00044E26"/>
    <w:rsid w:val="00044F75"/>
    <w:rsid w:val="00045157"/>
    <w:rsid w:val="00045251"/>
    <w:rsid w:val="0004539B"/>
    <w:rsid w:val="00045754"/>
    <w:rsid w:val="00045C62"/>
    <w:rsid w:val="00045C63"/>
    <w:rsid w:val="00045E7D"/>
    <w:rsid w:val="00045FA8"/>
    <w:rsid w:val="000460C4"/>
    <w:rsid w:val="0004636C"/>
    <w:rsid w:val="00046CF7"/>
    <w:rsid w:val="00046F79"/>
    <w:rsid w:val="00046F8F"/>
    <w:rsid w:val="000472B4"/>
    <w:rsid w:val="00047AFA"/>
    <w:rsid w:val="000502E8"/>
    <w:rsid w:val="00050440"/>
    <w:rsid w:val="0005076D"/>
    <w:rsid w:val="00050CA0"/>
    <w:rsid w:val="00050D80"/>
    <w:rsid w:val="00050E71"/>
    <w:rsid w:val="00051050"/>
    <w:rsid w:val="000511A4"/>
    <w:rsid w:val="0005135E"/>
    <w:rsid w:val="00051C3C"/>
    <w:rsid w:val="00051D76"/>
    <w:rsid w:val="00052126"/>
    <w:rsid w:val="00052553"/>
    <w:rsid w:val="00052621"/>
    <w:rsid w:val="000527C6"/>
    <w:rsid w:val="00052814"/>
    <w:rsid w:val="0005282F"/>
    <w:rsid w:val="00052B55"/>
    <w:rsid w:val="00052E2B"/>
    <w:rsid w:val="00052E7C"/>
    <w:rsid w:val="00052EC9"/>
    <w:rsid w:val="00053041"/>
    <w:rsid w:val="00053234"/>
    <w:rsid w:val="00053524"/>
    <w:rsid w:val="00053778"/>
    <w:rsid w:val="00053C58"/>
    <w:rsid w:val="00053C87"/>
    <w:rsid w:val="0005420C"/>
    <w:rsid w:val="0005422D"/>
    <w:rsid w:val="0005429D"/>
    <w:rsid w:val="00054435"/>
    <w:rsid w:val="00054863"/>
    <w:rsid w:val="00054B60"/>
    <w:rsid w:val="00054E45"/>
    <w:rsid w:val="00054E8C"/>
    <w:rsid w:val="000552B1"/>
    <w:rsid w:val="00055411"/>
    <w:rsid w:val="00055A2C"/>
    <w:rsid w:val="00055E1B"/>
    <w:rsid w:val="00056023"/>
    <w:rsid w:val="00056867"/>
    <w:rsid w:val="00056F8F"/>
    <w:rsid w:val="000570EE"/>
    <w:rsid w:val="0005739B"/>
    <w:rsid w:val="0006047E"/>
    <w:rsid w:val="000605CC"/>
    <w:rsid w:val="0006071E"/>
    <w:rsid w:val="00060962"/>
    <w:rsid w:val="00060A10"/>
    <w:rsid w:val="00060D51"/>
    <w:rsid w:val="00061169"/>
    <w:rsid w:val="00061758"/>
    <w:rsid w:val="000619AB"/>
    <w:rsid w:val="00061A26"/>
    <w:rsid w:val="00062292"/>
    <w:rsid w:val="00062704"/>
    <w:rsid w:val="00062A8C"/>
    <w:rsid w:val="00062D91"/>
    <w:rsid w:val="00062EC8"/>
    <w:rsid w:val="00062F25"/>
    <w:rsid w:val="0006314A"/>
    <w:rsid w:val="00063833"/>
    <w:rsid w:val="00063D99"/>
    <w:rsid w:val="00063FDB"/>
    <w:rsid w:val="000641E1"/>
    <w:rsid w:val="00064582"/>
    <w:rsid w:val="000649ED"/>
    <w:rsid w:val="00064D83"/>
    <w:rsid w:val="00064FE5"/>
    <w:rsid w:val="00064FF3"/>
    <w:rsid w:val="000652B3"/>
    <w:rsid w:val="00066448"/>
    <w:rsid w:val="000666CE"/>
    <w:rsid w:val="00066EDF"/>
    <w:rsid w:val="0006725B"/>
    <w:rsid w:val="000678CE"/>
    <w:rsid w:val="000701BA"/>
    <w:rsid w:val="00070271"/>
    <w:rsid w:val="000705E6"/>
    <w:rsid w:val="000706AC"/>
    <w:rsid w:val="000708AE"/>
    <w:rsid w:val="00070A55"/>
    <w:rsid w:val="00070DFD"/>
    <w:rsid w:val="000712C0"/>
    <w:rsid w:val="00071767"/>
    <w:rsid w:val="000718A3"/>
    <w:rsid w:val="00071BC7"/>
    <w:rsid w:val="00071DAB"/>
    <w:rsid w:val="00071F28"/>
    <w:rsid w:val="000722F8"/>
    <w:rsid w:val="000723FC"/>
    <w:rsid w:val="000725C1"/>
    <w:rsid w:val="00072CB1"/>
    <w:rsid w:val="00072DD3"/>
    <w:rsid w:val="000739F5"/>
    <w:rsid w:val="00073B78"/>
    <w:rsid w:val="00073CB3"/>
    <w:rsid w:val="00073DB3"/>
    <w:rsid w:val="00074439"/>
    <w:rsid w:val="00074452"/>
    <w:rsid w:val="00074C0F"/>
    <w:rsid w:val="00074C56"/>
    <w:rsid w:val="00074EAA"/>
    <w:rsid w:val="00075779"/>
    <w:rsid w:val="00075FD8"/>
    <w:rsid w:val="000764D5"/>
    <w:rsid w:val="00076631"/>
    <w:rsid w:val="000768CD"/>
    <w:rsid w:val="00076AFF"/>
    <w:rsid w:val="000775AE"/>
    <w:rsid w:val="000778AA"/>
    <w:rsid w:val="00077B7D"/>
    <w:rsid w:val="00077BE9"/>
    <w:rsid w:val="00077E42"/>
    <w:rsid w:val="00077F0F"/>
    <w:rsid w:val="00080157"/>
    <w:rsid w:val="000805DC"/>
    <w:rsid w:val="00080B3A"/>
    <w:rsid w:val="00080B97"/>
    <w:rsid w:val="0008136A"/>
    <w:rsid w:val="0008171B"/>
    <w:rsid w:val="00081F74"/>
    <w:rsid w:val="00082157"/>
    <w:rsid w:val="00082852"/>
    <w:rsid w:val="00082E1A"/>
    <w:rsid w:val="00082FB7"/>
    <w:rsid w:val="00083053"/>
    <w:rsid w:val="0008343C"/>
    <w:rsid w:val="00083AEA"/>
    <w:rsid w:val="00083BEE"/>
    <w:rsid w:val="000841F0"/>
    <w:rsid w:val="000843C9"/>
    <w:rsid w:val="00084419"/>
    <w:rsid w:val="0008441D"/>
    <w:rsid w:val="0008486C"/>
    <w:rsid w:val="00084A32"/>
    <w:rsid w:val="00084B5E"/>
    <w:rsid w:val="0008509A"/>
    <w:rsid w:val="00085110"/>
    <w:rsid w:val="00085283"/>
    <w:rsid w:val="00085297"/>
    <w:rsid w:val="00085443"/>
    <w:rsid w:val="00086011"/>
    <w:rsid w:val="00086A5E"/>
    <w:rsid w:val="00086D58"/>
    <w:rsid w:val="0008798C"/>
    <w:rsid w:val="00087B20"/>
    <w:rsid w:val="00087C29"/>
    <w:rsid w:val="00087DEA"/>
    <w:rsid w:val="00087FBA"/>
    <w:rsid w:val="000902CC"/>
    <w:rsid w:val="000903DB"/>
    <w:rsid w:val="0009054D"/>
    <w:rsid w:val="000907DF"/>
    <w:rsid w:val="00090865"/>
    <w:rsid w:val="00090A63"/>
    <w:rsid w:val="00090C49"/>
    <w:rsid w:val="00091462"/>
    <w:rsid w:val="00091BDD"/>
    <w:rsid w:val="000923E9"/>
    <w:rsid w:val="000925A5"/>
    <w:rsid w:val="00092E1F"/>
    <w:rsid w:val="00092FCB"/>
    <w:rsid w:val="00092FD5"/>
    <w:rsid w:val="000935A8"/>
    <w:rsid w:val="0009383B"/>
    <w:rsid w:val="0009385C"/>
    <w:rsid w:val="00093953"/>
    <w:rsid w:val="00093CE2"/>
    <w:rsid w:val="00093F6C"/>
    <w:rsid w:val="00093FAE"/>
    <w:rsid w:val="00094264"/>
    <w:rsid w:val="0009429B"/>
    <w:rsid w:val="000943C4"/>
    <w:rsid w:val="000946D8"/>
    <w:rsid w:val="00094882"/>
    <w:rsid w:val="00094941"/>
    <w:rsid w:val="00094CF5"/>
    <w:rsid w:val="000950A0"/>
    <w:rsid w:val="000954D9"/>
    <w:rsid w:val="000958F8"/>
    <w:rsid w:val="00095A9A"/>
    <w:rsid w:val="00095DC4"/>
    <w:rsid w:val="00095DE2"/>
    <w:rsid w:val="000964A2"/>
    <w:rsid w:val="0009687C"/>
    <w:rsid w:val="00097392"/>
    <w:rsid w:val="00097454"/>
    <w:rsid w:val="00097E28"/>
    <w:rsid w:val="00097FFE"/>
    <w:rsid w:val="000A0632"/>
    <w:rsid w:val="000A0A57"/>
    <w:rsid w:val="000A10EB"/>
    <w:rsid w:val="000A11D4"/>
    <w:rsid w:val="000A15AD"/>
    <w:rsid w:val="000A2287"/>
    <w:rsid w:val="000A2365"/>
    <w:rsid w:val="000A254D"/>
    <w:rsid w:val="000A25DB"/>
    <w:rsid w:val="000A2796"/>
    <w:rsid w:val="000A2883"/>
    <w:rsid w:val="000A2BF3"/>
    <w:rsid w:val="000A2F71"/>
    <w:rsid w:val="000A32FC"/>
    <w:rsid w:val="000A3380"/>
    <w:rsid w:val="000A342E"/>
    <w:rsid w:val="000A344C"/>
    <w:rsid w:val="000A396B"/>
    <w:rsid w:val="000A3F4D"/>
    <w:rsid w:val="000A40B4"/>
    <w:rsid w:val="000A40C1"/>
    <w:rsid w:val="000A438E"/>
    <w:rsid w:val="000A43A4"/>
    <w:rsid w:val="000A46B2"/>
    <w:rsid w:val="000A54C0"/>
    <w:rsid w:val="000A59FB"/>
    <w:rsid w:val="000A5AB6"/>
    <w:rsid w:val="000A5CC8"/>
    <w:rsid w:val="000A5EB1"/>
    <w:rsid w:val="000A5F64"/>
    <w:rsid w:val="000A6106"/>
    <w:rsid w:val="000A6C47"/>
    <w:rsid w:val="000A6E70"/>
    <w:rsid w:val="000A700C"/>
    <w:rsid w:val="000A7358"/>
    <w:rsid w:val="000A7800"/>
    <w:rsid w:val="000A79D1"/>
    <w:rsid w:val="000A7D91"/>
    <w:rsid w:val="000A7F66"/>
    <w:rsid w:val="000B00D9"/>
    <w:rsid w:val="000B07B5"/>
    <w:rsid w:val="000B0BFA"/>
    <w:rsid w:val="000B0DF8"/>
    <w:rsid w:val="000B1254"/>
    <w:rsid w:val="000B1513"/>
    <w:rsid w:val="000B194A"/>
    <w:rsid w:val="000B1BC1"/>
    <w:rsid w:val="000B1F68"/>
    <w:rsid w:val="000B2B5A"/>
    <w:rsid w:val="000B2C03"/>
    <w:rsid w:val="000B3002"/>
    <w:rsid w:val="000B3247"/>
    <w:rsid w:val="000B35F0"/>
    <w:rsid w:val="000B393A"/>
    <w:rsid w:val="000B3B42"/>
    <w:rsid w:val="000B3DED"/>
    <w:rsid w:val="000B4594"/>
    <w:rsid w:val="000B45E5"/>
    <w:rsid w:val="000B46FA"/>
    <w:rsid w:val="000B4705"/>
    <w:rsid w:val="000B48A9"/>
    <w:rsid w:val="000B4DDE"/>
    <w:rsid w:val="000B4E3B"/>
    <w:rsid w:val="000B572D"/>
    <w:rsid w:val="000B5AC9"/>
    <w:rsid w:val="000B5B53"/>
    <w:rsid w:val="000B5BD6"/>
    <w:rsid w:val="000B5D70"/>
    <w:rsid w:val="000B5DB0"/>
    <w:rsid w:val="000B60B3"/>
    <w:rsid w:val="000B6230"/>
    <w:rsid w:val="000B642A"/>
    <w:rsid w:val="000B697D"/>
    <w:rsid w:val="000B6E9C"/>
    <w:rsid w:val="000B7050"/>
    <w:rsid w:val="000B7709"/>
    <w:rsid w:val="000B771B"/>
    <w:rsid w:val="000B781A"/>
    <w:rsid w:val="000B7C52"/>
    <w:rsid w:val="000C0124"/>
    <w:rsid w:val="000C0670"/>
    <w:rsid w:val="000C0E50"/>
    <w:rsid w:val="000C0E6F"/>
    <w:rsid w:val="000C15FA"/>
    <w:rsid w:val="000C160D"/>
    <w:rsid w:val="000C1CDB"/>
    <w:rsid w:val="000C1EB8"/>
    <w:rsid w:val="000C216C"/>
    <w:rsid w:val="000C2328"/>
    <w:rsid w:val="000C23D5"/>
    <w:rsid w:val="000C23F7"/>
    <w:rsid w:val="000C24A1"/>
    <w:rsid w:val="000C26D8"/>
    <w:rsid w:val="000C2AF4"/>
    <w:rsid w:val="000C2E36"/>
    <w:rsid w:val="000C2E79"/>
    <w:rsid w:val="000C344C"/>
    <w:rsid w:val="000C3490"/>
    <w:rsid w:val="000C397E"/>
    <w:rsid w:val="000C3A80"/>
    <w:rsid w:val="000C3C31"/>
    <w:rsid w:val="000C3FC8"/>
    <w:rsid w:val="000C40B3"/>
    <w:rsid w:val="000C4728"/>
    <w:rsid w:val="000C4D3F"/>
    <w:rsid w:val="000C4EC2"/>
    <w:rsid w:val="000C5315"/>
    <w:rsid w:val="000C54B0"/>
    <w:rsid w:val="000C55C9"/>
    <w:rsid w:val="000C56C2"/>
    <w:rsid w:val="000C5B22"/>
    <w:rsid w:val="000C5B2C"/>
    <w:rsid w:val="000C61D9"/>
    <w:rsid w:val="000C6608"/>
    <w:rsid w:val="000C67A0"/>
    <w:rsid w:val="000C695F"/>
    <w:rsid w:val="000C698B"/>
    <w:rsid w:val="000C6B91"/>
    <w:rsid w:val="000C7086"/>
    <w:rsid w:val="000C74FA"/>
    <w:rsid w:val="000C7A5D"/>
    <w:rsid w:val="000C7AAF"/>
    <w:rsid w:val="000C7D37"/>
    <w:rsid w:val="000C7F7D"/>
    <w:rsid w:val="000C7FA2"/>
    <w:rsid w:val="000D094E"/>
    <w:rsid w:val="000D0A01"/>
    <w:rsid w:val="000D0BCC"/>
    <w:rsid w:val="000D12CC"/>
    <w:rsid w:val="000D1CC8"/>
    <w:rsid w:val="000D1FD5"/>
    <w:rsid w:val="000D208E"/>
    <w:rsid w:val="000D2389"/>
    <w:rsid w:val="000D24AB"/>
    <w:rsid w:val="000D25BF"/>
    <w:rsid w:val="000D27B8"/>
    <w:rsid w:val="000D27BB"/>
    <w:rsid w:val="000D2AA5"/>
    <w:rsid w:val="000D2D7B"/>
    <w:rsid w:val="000D32C3"/>
    <w:rsid w:val="000D33B8"/>
    <w:rsid w:val="000D342F"/>
    <w:rsid w:val="000D3769"/>
    <w:rsid w:val="000D3852"/>
    <w:rsid w:val="000D3AE9"/>
    <w:rsid w:val="000D44D5"/>
    <w:rsid w:val="000D47FA"/>
    <w:rsid w:val="000D4C53"/>
    <w:rsid w:val="000D4DED"/>
    <w:rsid w:val="000D501B"/>
    <w:rsid w:val="000D5064"/>
    <w:rsid w:val="000D51F6"/>
    <w:rsid w:val="000D56F9"/>
    <w:rsid w:val="000D589C"/>
    <w:rsid w:val="000D59CB"/>
    <w:rsid w:val="000D601A"/>
    <w:rsid w:val="000D64BF"/>
    <w:rsid w:val="000D6865"/>
    <w:rsid w:val="000D69A6"/>
    <w:rsid w:val="000D6A66"/>
    <w:rsid w:val="000D6A86"/>
    <w:rsid w:val="000D6BB8"/>
    <w:rsid w:val="000D715A"/>
    <w:rsid w:val="000D715B"/>
    <w:rsid w:val="000D71A3"/>
    <w:rsid w:val="000D7488"/>
    <w:rsid w:val="000D764F"/>
    <w:rsid w:val="000D7773"/>
    <w:rsid w:val="000D7C59"/>
    <w:rsid w:val="000E0B89"/>
    <w:rsid w:val="000E0C18"/>
    <w:rsid w:val="000E0C3C"/>
    <w:rsid w:val="000E0D85"/>
    <w:rsid w:val="000E0E01"/>
    <w:rsid w:val="000E12A5"/>
    <w:rsid w:val="000E17DE"/>
    <w:rsid w:val="000E20DD"/>
    <w:rsid w:val="000E278E"/>
    <w:rsid w:val="000E28EB"/>
    <w:rsid w:val="000E2CB1"/>
    <w:rsid w:val="000E2D3C"/>
    <w:rsid w:val="000E325E"/>
    <w:rsid w:val="000E353A"/>
    <w:rsid w:val="000E363C"/>
    <w:rsid w:val="000E391B"/>
    <w:rsid w:val="000E3B41"/>
    <w:rsid w:val="000E3BA3"/>
    <w:rsid w:val="000E41A9"/>
    <w:rsid w:val="000E45B9"/>
    <w:rsid w:val="000E4683"/>
    <w:rsid w:val="000E4911"/>
    <w:rsid w:val="000E4DCC"/>
    <w:rsid w:val="000E4E92"/>
    <w:rsid w:val="000E52CC"/>
    <w:rsid w:val="000E571B"/>
    <w:rsid w:val="000E6697"/>
    <w:rsid w:val="000E6C2F"/>
    <w:rsid w:val="000E76A0"/>
    <w:rsid w:val="000E7842"/>
    <w:rsid w:val="000E7E25"/>
    <w:rsid w:val="000F05E1"/>
    <w:rsid w:val="000F0B36"/>
    <w:rsid w:val="000F0C2F"/>
    <w:rsid w:val="000F0C94"/>
    <w:rsid w:val="000F180A"/>
    <w:rsid w:val="000F1D87"/>
    <w:rsid w:val="000F22FF"/>
    <w:rsid w:val="000F2440"/>
    <w:rsid w:val="000F2592"/>
    <w:rsid w:val="000F265A"/>
    <w:rsid w:val="000F26E1"/>
    <w:rsid w:val="000F2F49"/>
    <w:rsid w:val="000F3037"/>
    <w:rsid w:val="000F34A9"/>
    <w:rsid w:val="000F3593"/>
    <w:rsid w:val="000F3716"/>
    <w:rsid w:val="000F3DB6"/>
    <w:rsid w:val="000F3DF5"/>
    <w:rsid w:val="000F3F79"/>
    <w:rsid w:val="000F40F7"/>
    <w:rsid w:val="000F4116"/>
    <w:rsid w:val="000F4144"/>
    <w:rsid w:val="000F48E0"/>
    <w:rsid w:val="000F4A39"/>
    <w:rsid w:val="000F4CAC"/>
    <w:rsid w:val="000F55D2"/>
    <w:rsid w:val="000F59B3"/>
    <w:rsid w:val="000F5B4E"/>
    <w:rsid w:val="000F61E7"/>
    <w:rsid w:val="000F65E7"/>
    <w:rsid w:val="000F6614"/>
    <w:rsid w:val="000F6B83"/>
    <w:rsid w:val="000F7158"/>
    <w:rsid w:val="000F7BB7"/>
    <w:rsid w:val="000F7F26"/>
    <w:rsid w:val="001002CF"/>
    <w:rsid w:val="00100AD0"/>
    <w:rsid w:val="00100AD9"/>
    <w:rsid w:val="00100B2F"/>
    <w:rsid w:val="00100BE6"/>
    <w:rsid w:val="00100C07"/>
    <w:rsid w:val="00100E68"/>
    <w:rsid w:val="00100F56"/>
    <w:rsid w:val="00100FD7"/>
    <w:rsid w:val="001011E7"/>
    <w:rsid w:val="0010130B"/>
    <w:rsid w:val="00101534"/>
    <w:rsid w:val="00101FD2"/>
    <w:rsid w:val="00102223"/>
    <w:rsid w:val="00102224"/>
    <w:rsid w:val="00102685"/>
    <w:rsid w:val="001028EE"/>
    <w:rsid w:val="00102A50"/>
    <w:rsid w:val="0010300A"/>
    <w:rsid w:val="001031B3"/>
    <w:rsid w:val="001031B7"/>
    <w:rsid w:val="0010323C"/>
    <w:rsid w:val="00103676"/>
    <w:rsid w:val="001036A6"/>
    <w:rsid w:val="00103A87"/>
    <w:rsid w:val="00103DD6"/>
    <w:rsid w:val="00104168"/>
    <w:rsid w:val="0010497F"/>
    <w:rsid w:val="00104C98"/>
    <w:rsid w:val="00104D7F"/>
    <w:rsid w:val="00104DB4"/>
    <w:rsid w:val="00104DE5"/>
    <w:rsid w:val="00104E10"/>
    <w:rsid w:val="0010526A"/>
    <w:rsid w:val="00105388"/>
    <w:rsid w:val="0010587D"/>
    <w:rsid w:val="00105C2B"/>
    <w:rsid w:val="0010616D"/>
    <w:rsid w:val="0010627B"/>
    <w:rsid w:val="00106B23"/>
    <w:rsid w:val="0010721D"/>
    <w:rsid w:val="001072BE"/>
    <w:rsid w:val="0010760F"/>
    <w:rsid w:val="00107F25"/>
    <w:rsid w:val="0011024D"/>
    <w:rsid w:val="0011056D"/>
    <w:rsid w:val="00110674"/>
    <w:rsid w:val="00110957"/>
    <w:rsid w:val="00110BD9"/>
    <w:rsid w:val="00110C75"/>
    <w:rsid w:val="00110D25"/>
    <w:rsid w:val="0011113C"/>
    <w:rsid w:val="00111357"/>
    <w:rsid w:val="00111438"/>
    <w:rsid w:val="0011158E"/>
    <w:rsid w:val="001116E5"/>
    <w:rsid w:val="0011173B"/>
    <w:rsid w:val="001118A8"/>
    <w:rsid w:val="00111CE9"/>
    <w:rsid w:val="0011227D"/>
    <w:rsid w:val="001125D6"/>
    <w:rsid w:val="001126A8"/>
    <w:rsid w:val="001128FC"/>
    <w:rsid w:val="0011291F"/>
    <w:rsid w:val="00112948"/>
    <w:rsid w:val="00112FEC"/>
    <w:rsid w:val="001135F0"/>
    <w:rsid w:val="0011390B"/>
    <w:rsid w:val="00113EBD"/>
    <w:rsid w:val="00113F61"/>
    <w:rsid w:val="001143E9"/>
    <w:rsid w:val="0011458A"/>
    <w:rsid w:val="0011467E"/>
    <w:rsid w:val="001146C5"/>
    <w:rsid w:val="001146DB"/>
    <w:rsid w:val="00114CA2"/>
    <w:rsid w:val="00114EF3"/>
    <w:rsid w:val="00114F81"/>
    <w:rsid w:val="00115037"/>
    <w:rsid w:val="0011518B"/>
    <w:rsid w:val="0011526B"/>
    <w:rsid w:val="00115940"/>
    <w:rsid w:val="001160A0"/>
    <w:rsid w:val="00116277"/>
    <w:rsid w:val="0011628F"/>
    <w:rsid w:val="00116306"/>
    <w:rsid w:val="001163C3"/>
    <w:rsid w:val="00116AC4"/>
    <w:rsid w:val="00116C60"/>
    <w:rsid w:val="00116E1D"/>
    <w:rsid w:val="00117245"/>
    <w:rsid w:val="00117B6F"/>
    <w:rsid w:val="00117F62"/>
    <w:rsid w:val="0012001C"/>
    <w:rsid w:val="0012045C"/>
    <w:rsid w:val="001204EE"/>
    <w:rsid w:val="00120A14"/>
    <w:rsid w:val="00120E8F"/>
    <w:rsid w:val="00120EA7"/>
    <w:rsid w:val="00120F4B"/>
    <w:rsid w:val="001211E7"/>
    <w:rsid w:val="00121C8E"/>
    <w:rsid w:val="00121F92"/>
    <w:rsid w:val="001223D1"/>
    <w:rsid w:val="0012299F"/>
    <w:rsid w:val="00122FBE"/>
    <w:rsid w:val="001235E1"/>
    <w:rsid w:val="001239CC"/>
    <w:rsid w:val="00123C45"/>
    <w:rsid w:val="00123D2C"/>
    <w:rsid w:val="00123F2C"/>
    <w:rsid w:val="00124346"/>
    <w:rsid w:val="001247CC"/>
    <w:rsid w:val="00124B07"/>
    <w:rsid w:val="001250F1"/>
    <w:rsid w:val="001250FD"/>
    <w:rsid w:val="00125331"/>
    <w:rsid w:val="00125551"/>
    <w:rsid w:val="0012558D"/>
    <w:rsid w:val="00125670"/>
    <w:rsid w:val="0012569B"/>
    <w:rsid w:val="00125C69"/>
    <w:rsid w:val="00126005"/>
    <w:rsid w:val="0012651D"/>
    <w:rsid w:val="0012681B"/>
    <w:rsid w:val="0012682C"/>
    <w:rsid w:val="00126EFE"/>
    <w:rsid w:val="001273CB"/>
    <w:rsid w:val="001276EB"/>
    <w:rsid w:val="00127748"/>
    <w:rsid w:val="00127A83"/>
    <w:rsid w:val="00127C06"/>
    <w:rsid w:val="00127E59"/>
    <w:rsid w:val="00127E98"/>
    <w:rsid w:val="001302AE"/>
    <w:rsid w:val="00130391"/>
    <w:rsid w:val="001303D4"/>
    <w:rsid w:val="001306FC"/>
    <w:rsid w:val="0013075B"/>
    <w:rsid w:val="00130FC6"/>
    <w:rsid w:val="00131111"/>
    <w:rsid w:val="00131311"/>
    <w:rsid w:val="0013154C"/>
    <w:rsid w:val="001316F1"/>
    <w:rsid w:val="00131801"/>
    <w:rsid w:val="0013204A"/>
    <w:rsid w:val="00132263"/>
    <w:rsid w:val="00132460"/>
    <w:rsid w:val="001329D5"/>
    <w:rsid w:val="00132BAD"/>
    <w:rsid w:val="00132F76"/>
    <w:rsid w:val="0013334F"/>
    <w:rsid w:val="00133490"/>
    <w:rsid w:val="00133669"/>
    <w:rsid w:val="001337CE"/>
    <w:rsid w:val="00133E89"/>
    <w:rsid w:val="00134B7A"/>
    <w:rsid w:val="00134F71"/>
    <w:rsid w:val="00135ABB"/>
    <w:rsid w:val="00135B30"/>
    <w:rsid w:val="00135CC1"/>
    <w:rsid w:val="00135FA5"/>
    <w:rsid w:val="00136487"/>
    <w:rsid w:val="00136665"/>
    <w:rsid w:val="0013679B"/>
    <w:rsid w:val="00136A61"/>
    <w:rsid w:val="001371BA"/>
    <w:rsid w:val="001373DB"/>
    <w:rsid w:val="00137C26"/>
    <w:rsid w:val="0014010E"/>
    <w:rsid w:val="00140297"/>
    <w:rsid w:val="00140307"/>
    <w:rsid w:val="0014059F"/>
    <w:rsid w:val="00140A82"/>
    <w:rsid w:val="00140AE1"/>
    <w:rsid w:val="00140C3E"/>
    <w:rsid w:val="00141037"/>
    <w:rsid w:val="00141173"/>
    <w:rsid w:val="001414A3"/>
    <w:rsid w:val="001414E2"/>
    <w:rsid w:val="001415A6"/>
    <w:rsid w:val="001416DF"/>
    <w:rsid w:val="00141B34"/>
    <w:rsid w:val="00142043"/>
    <w:rsid w:val="00142212"/>
    <w:rsid w:val="00142ED4"/>
    <w:rsid w:val="00143396"/>
    <w:rsid w:val="001437C1"/>
    <w:rsid w:val="00143CB4"/>
    <w:rsid w:val="00144423"/>
    <w:rsid w:val="00144673"/>
    <w:rsid w:val="001446D3"/>
    <w:rsid w:val="00144721"/>
    <w:rsid w:val="001449DF"/>
    <w:rsid w:val="00144B97"/>
    <w:rsid w:val="001452AD"/>
    <w:rsid w:val="00145AB1"/>
    <w:rsid w:val="00146135"/>
    <w:rsid w:val="00146777"/>
    <w:rsid w:val="00146AFC"/>
    <w:rsid w:val="00146B49"/>
    <w:rsid w:val="00146C5F"/>
    <w:rsid w:val="00147228"/>
    <w:rsid w:val="00147F23"/>
    <w:rsid w:val="00147F6D"/>
    <w:rsid w:val="00147F79"/>
    <w:rsid w:val="0015002B"/>
    <w:rsid w:val="00150215"/>
    <w:rsid w:val="001502AE"/>
    <w:rsid w:val="00150D05"/>
    <w:rsid w:val="00150D74"/>
    <w:rsid w:val="00150E1F"/>
    <w:rsid w:val="00150F73"/>
    <w:rsid w:val="00150FB5"/>
    <w:rsid w:val="001510A8"/>
    <w:rsid w:val="00151ABE"/>
    <w:rsid w:val="00151B5A"/>
    <w:rsid w:val="00151B88"/>
    <w:rsid w:val="00151DDE"/>
    <w:rsid w:val="001520DE"/>
    <w:rsid w:val="001524DF"/>
    <w:rsid w:val="00152DDD"/>
    <w:rsid w:val="00152F97"/>
    <w:rsid w:val="00153240"/>
    <w:rsid w:val="00153358"/>
    <w:rsid w:val="001535AA"/>
    <w:rsid w:val="001539DF"/>
    <w:rsid w:val="00153A2E"/>
    <w:rsid w:val="00153A89"/>
    <w:rsid w:val="00153CED"/>
    <w:rsid w:val="00154E9D"/>
    <w:rsid w:val="00155271"/>
    <w:rsid w:val="0015550B"/>
    <w:rsid w:val="00155770"/>
    <w:rsid w:val="00155D82"/>
    <w:rsid w:val="0015683C"/>
    <w:rsid w:val="00156D10"/>
    <w:rsid w:val="00156E16"/>
    <w:rsid w:val="00156F9F"/>
    <w:rsid w:val="001570B3"/>
    <w:rsid w:val="0015721D"/>
    <w:rsid w:val="00157224"/>
    <w:rsid w:val="0015741E"/>
    <w:rsid w:val="001579E6"/>
    <w:rsid w:val="00157AEB"/>
    <w:rsid w:val="00157F93"/>
    <w:rsid w:val="001600EC"/>
    <w:rsid w:val="001604BF"/>
    <w:rsid w:val="00161891"/>
    <w:rsid w:val="00161AF9"/>
    <w:rsid w:val="001621B3"/>
    <w:rsid w:val="00162248"/>
    <w:rsid w:val="001625D8"/>
    <w:rsid w:val="00162706"/>
    <w:rsid w:val="001629B2"/>
    <w:rsid w:val="001629CA"/>
    <w:rsid w:val="00162B64"/>
    <w:rsid w:val="00162DD8"/>
    <w:rsid w:val="0016305C"/>
    <w:rsid w:val="00163B0E"/>
    <w:rsid w:val="00163E82"/>
    <w:rsid w:val="00163FD6"/>
    <w:rsid w:val="001642D5"/>
    <w:rsid w:val="001646D1"/>
    <w:rsid w:val="00164922"/>
    <w:rsid w:val="00164C0A"/>
    <w:rsid w:val="00164F12"/>
    <w:rsid w:val="001653BB"/>
    <w:rsid w:val="0016559C"/>
    <w:rsid w:val="001655B0"/>
    <w:rsid w:val="00165A48"/>
    <w:rsid w:val="00165B4B"/>
    <w:rsid w:val="00165E9F"/>
    <w:rsid w:val="001660B3"/>
    <w:rsid w:val="00166260"/>
    <w:rsid w:val="001666D3"/>
    <w:rsid w:val="00166741"/>
    <w:rsid w:val="00167243"/>
    <w:rsid w:val="0016757D"/>
    <w:rsid w:val="00167667"/>
    <w:rsid w:val="00167F39"/>
    <w:rsid w:val="001701DC"/>
    <w:rsid w:val="001703DD"/>
    <w:rsid w:val="0017044D"/>
    <w:rsid w:val="00170494"/>
    <w:rsid w:val="00170638"/>
    <w:rsid w:val="00170952"/>
    <w:rsid w:val="00170A51"/>
    <w:rsid w:val="001710FA"/>
    <w:rsid w:val="001711CC"/>
    <w:rsid w:val="0017137C"/>
    <w:rsid w:val="00171503"/>
    <w:rsid w:val="001715C0"/>
    <w:rsid w:val="00171953"/>
    <w:rsid w:val="00171E82"/>
    <w:rsid w:val="00171F50"/>
    <w:rsid w:val="001727EA"/>
    <w:rsid w:val="00172F16"/>
    <w:rsid w:val="00174312"/>
    <w:rsid w:val="001743ED"/>
    <w:rsid w:val="00174AB4"/>
    <w:rsid w:val="00175220"/>
    <w:rsid w:val="0017535F"/>
    <w:rsid w:val="00175795"/>
    <w:rsid w:val="001758E1"/>
    <w:rsid w:val="00175933"/>
    <w:rsid w:val="00175A7E"/>
    <w:rsid w:val="00175E8E"/>
    <w:rsid w:val="00176100"/>
    <w:rsid w:val="001761DA"/>
    <w:rsid w:val="0017621A"/>
    <w:rsid w:val="0017625E"/>
    <w:rsid w:val="00176402"/>
    <w:rsid w:val="00176B30"/>
    <w:rsid w:val="00177780"/>
    <w:rsid w:val="00177DB2"/>
    <w:rsid w:val="0018002C"/>
    <w:rsid w:val="00180087"/>
    <w:rsid w:val="001808B4"/>
    <w:rsid w:val="001813BB"/>
    <w:rsid w:val="00181F73"/>
    <w:rsid w:val="00181F94"/>
    <w:rsid w:val="0018204D"/>
    <w:rsid w:val="00182253"/>
    <w:rsid w:val="001826B1"/>
    <w:rsid w:val="001827CC"/>
    <w:rsid w:val="00182860"/>
    <w:rsid w:val="00182875"/>
    <w:rsid w:val="00183325"/>
    <w:rsid w:val="00183754"/>
    <w:rsid w:val="00183B36"/>
    <w:rsid w:val="00183B89"/>
    <w:rsid w:val="00183CA3"/>
    <w:rsid w:val="00183FF3"/>
    <w:rsid w:val="00184072"/>
    <w:rsid w:val="00184384"/>
    <w:rsid w:val="00184F7D"/>
    <w:rsid w:val="001850B6"/>
    <w:rsid w:val="001852A9"/>
    <w:rsid w:val="00185455"/>
    <w:rsid w:val="0018556D"/>
    <w:rsid w:val="00185B27"/>
    <w:rsid w:val="00185DF1"/>
    <w:rsid w:val="00185DF2"/>
    <w:rsid w:val="00186A86"/>
    <w:rsid w:val="00186AC5"/>
    <w:rsid w:val="00186B8D"/>
    <w:rsid w:val="00186F53"/>
    <w:rsid w:val="00186FCD"/>
    <w:rsid w:val="00187081"/>
    <w:rsid w:val="00187254"/>
    <w:rsid w:val="00187564"/>
    <w:rsid w:val="0019007B"/>
    <w:rsid w:val="001900B1"/>
    <w:rsid w:val="001905C0"/>
    <w:rsid w:val="00190B67"/>
    <w:rsid w:val="00190BDA"/>
    <w:rsid w:val="0019122B"/>
    <w:rsid w:val="00191284"/>
    <w:rsid w:val="00191445"/>
    <w:rsid w:val="00191C4E"/>
    <w:rsid w:val="00191F99"/>
    <w:rsid w:val="00192133"/>
    <w:rsid w:val="00192619"/>
    <w:rsid w:val="0019261E"/>
    <w:rsid w:val="00192934"/>
    <w:rsid w:val="00193652"/>
    <w:rsid w:val="001937A3"/>
    <w:rsid w:val="00194CE7"/>
    <w:rsid w:val="00194F32"/>
    <w:rsid w:val="00195144"/>
    <w:rsid w:val="001957C6"/>
    <w:rsid w:val="00195920"/>
    <w:rsid w:val="001959D7"/>
    <w:rsid w:val="0019632D"/>
    <w:rsid w:val="00196AF5"/>
    <w:rsid w:val="00196B97"/>
    <w:rsid w:val="00196D5B"/>
    <w:rsid w:val="00196EE5"/>
    <w:rsid w:val="00197412"/>
    <w:rsid w:val="00197FE9"/>
    <w:rsid w:val="001A0DD9"/>
    <w:rsid w:val="001A1229"/>
    <w:rsid w:val="001A1273"/>
    <w:rsid w:val="001A1538"/>
    <w:rsid w:val="001A2149"/>
    <w:rsid w:val="001A24BD"/>
    <w:rsid w:val="001A2665"/>
    <w:rsid w:val="001A3250"/>
    <w:rsid w:val="001A3498"/>
    <w:rsid w:val="001A3504"/>
    <w:rsid w:val="001A35A5"/>
    <w:rsid w:val="001A38FC"/>
    <w:rsid w:val="001A3936"/>
    <w:rsid w:val="001A3F9A"/>
    <w:rsid w:val="001A4082"/>
    <w:rsid w:val="001A41AC"/>
    <w:rsid w:val="001A4543"/>
    <w:rsid w:val="001A57EC"/>
    <w:rsid w:val="001A604A"/>
    <w:rsid w:val="001A60B8"/>
    <w:rsid w:val="001A6131"/>
    <w:rsid w:val="001A78AB"/>
    <w:rsid w:val="001A79E0"/>
    <w:rsid w:val="001B039C"/>
    <w:rsid w:val="001B09CA"/>
    <w:rsid w:val="001B0F84"/>
    <w:rsid w:val="001B1497"/>
    <w:rsid w:val="001B15F6"/>
    <w:rsid w:val="001B177E"/>
    <w:rsid w:val="001B17F9"/>
    <w:rsid w:val="001B1C4A"/>
    <w:rsid w:val="001B1D26"/>
    <w:rsid w:val="001B22E6"/>
    <w:rsid w:val="001B2305"/>
    <w:rsid w:val="001B2CD6"/>
    <w:rsid w:val="001B2F11"/>
    <w:rsid w:val="001B3038"/>
    <w:rsid w:val="001B332A"/>
    <w:rsid w:val="001B348C"/>
    <w:rsid w:val="001B36E3"/>
    <w:rsid w:val="001B3A87"/>
    <w:rsid w:val="001B3BF2"/>
    <w:rsid w:val="001B3D48"/>
    <w:rsid w:val="001B497C"/>
    <w:rsid w:val="001B4C5E"/>
    <w:rsid w:val="001B5156"/>
    <w:rsid w:val="001B54C5"/>
    <w:rsid w:val="001B597E"/>
    <w:rsid w:val="001B5D18"/>
    <w:rsid w:val="001B60FB"/>
    <w:rsid w:val="001B6109"/>
    <w:rsid w:val="001B62F4"/>
    <w:rsid w:val="001B673B"/>
    <w:rsid w:val="001B6A1E"/>
    <w:rsid w:val="001B7012"/>
    <w:rsid w:val="001B730A"/>
    <w:rsid w:val="001B7AEB"/>
    <w:rsid w:val="001C04E4"/>
    <w:rsid w:val="001C04F6"/>
    <w:rsid w:val="001C09A7"/>
    <w:rsid w:val="001C0F3C"/>
    <w:rsid w:val="001C10A7"/>
    <w:rsid w:val="001C11DD"/>
    <w:rsid w:val="001C1657"/>
    <w:rsid w:val="001C1747"/>
    <w:rsid w:val="001C1BD5"/>
    <w:rsid w:val="001C25F4"/>
    <w:rsid w:val="001C2B6E"/>
    <w:rsid w:val="001C2C4F"/>
    <w:rsid w:val="001C2C99"/>
    <w:rsid w:val="001C3001"/>
    <w:rsid w:val="001C3642"/>
    <w:rsid w:val="001C47A1"/>
    <w:rsid w:val="001C4954"/>
    <w:rsid w:val="001C5066"/>
    <w:rsid w:val="001C5963"/>
    <w:rsid w:val="001C5971"/>
    <w:rsid w:val="001C5B82"/>
    <w:rsid w:val="001C5B9F"/>
    <w:rsid w:val="001C5E87"/>
    <w:rsid w:val="001C6080"/>
    <w:rsid w:val="001C6D0F"/>
    <w:rsid w:val="001C6E28"/>
    <w:rsid w:val="001C7217"/>
    <w:rsid w:val="001C72BF"/>
    <w:rsid w:val="001C747A"/>
    <w:rsid w:val="001C78BF"/>
    <w:rsid w:val="001D01F2"/>
    <w:rsid w:val="001D07EF"/>
    <w:rsid w:val="001D10FB"/>
    <w:rsid w:val="001D176C"/>
    <w:rsid w:val="001D18E6"/>
    <w:rsid w:val="001D1BA1"/>
    <w:rsid w:val="001D1D8A"/>
    <w:rsid w:val="001D1E1B"/>
    <w:rsid w:val="001D22F7"/>
    <w:rsid w:val="001D281F"/>
    <w:rsid w:val="001D29F0"/>
    <w:rsid w:val="001D3556"/>
    <w:rsid w:val="001D370C"/>
    <w:rsid w:val="001D3841"/>
    <w:rsid w:val="001D3927"/>
    <w:rsid w:val="001D3DEB"/>
    <w:rsid w:val="001D4140"/>
    <w:rsid w:val="001D4498"/>
    <w:rsid w:val="001D45B7"/>
    <w:rsid w:val="001D469F"/>
    <w:rsid w:val="001D4767"/>
    <w:rsid w:val="001D4F2A"/>
    <w:rsid w:val="001D4F44"/>
    <w:rsid w:val="001D52E5"/>
    <w:rsid w:val="001D5BBA"/>
    <w:rsid w:val="001D60EE"/>
    <w:rsid w:val="001D6366"/>
    <w:rsid w:val="001D66D6"/>
    <w:rsid w:val="001D6A0B"/>
    <w:rsid w:val="001D6AF4"/>
    <w:rsid w:val="001D6B91"/>
    <w:rsid w:val="001D6F5A"/>
    <w:rsid w:val="001D6FE4"/>
    <w:rsid w:val="001D735C"/>
    <w:rsid w:val="001D7A4E"/>
    <w:rsid w:val="001D7B51"/>
    <w:rsid w:val="001E0457"/>
    <w:rsid w:val="001E0757"/>
    <w:rsid w:val="001E11B9"/>
    <w:rsid w:val="001E13E8"/>
    <w:rsid w:val="001E169E"/>
    <w:rsid w:val="001E1B5F"/>
    <w:rsid w:val="001E1BDB"/>
    <w:rsid w:val="001E1E9F"/>
    <w:rsid w:val="001E1FB0"/>
    <w:rsid w:val="001E22EA"/>
    <w:rsid w:val="001E26A9"/>
    <w:rsid w:val="001E2CD5"/>
    <w:rsid w:val="001E32C6"/>
    <w:rsid w:val="001E4055"/>
    <w:rsid w:val="001E4547"/>
    <w:rsid w:val="001E45BC"/>
    <w:rsid w:val="001E477C"/>
    <w:rsid w:val="001E4792"/>
    <w:rsid w:val="001E4A9A"/>
    <w:rsid w:val="001E4B97"/>
    <w:rsid w:val="001E4F6E"/>
    <w:rsid w:val="001E4FCD"/>
    <w:rsid w:val="001E5091"/>
    <w:rsid w:val="001E513A"/>
    <w:rsid w:val="001E5708"/>
    <w:rsid w:val="001E57FC"/>
    <w:rsid w:val="001E605A"/>
    <w:rsid w:val="001E61BF"/>
    <w:rsid w:val="001E62B4"/>
    <w:rsid w:val="001E67A5"/>
    <w:rsid w:val="001E6A84"/>
    <w:rsid w:val="001E6CBA"/>
    <w:rsid w:val="001E7059"/>
    <w:rsid w:val="001E7166"/>
    <w:rsid w:val="001E71EC"/>
    <w:rsid w:val="001E7632"/>
    <w:rsid w:val="001E774B"/>
    <w:rsid w:val="001E78C1"/>
    <w:rsid w:val="001E7AB2"/>
    <w:rsid w:val="001E7B75"/>
    <w:rsid w:val="001E7C63"/>
    <w:rsid w:val="001E7E8B"/>
    <w:rsid w:val="001E7EC7"/>
    <w:rsid w:val="001E7F63"/>
    <w:rsid w:val="001F05AB"/>
    <w:rsid w:val="001F0996"/>
    <w:rsid w:val="001F0D0F"/>
    <w:rsid w:val="001F0F10"/>
    <w:rsid w:val="001F1737"/>
    <w:rsid w:val="001F17DB"/>
    <w:rsid w:val="001F1D8F"/>
    <w:rsid w:val="001F2120"/>
    <w:rsid w:val="001F23ED"/>
    <w:rsid w:val="001F278D"/>
    <w:rsid w:val="001F2C8B"/>
    <w:rsid w:val="001F2F82"/>
    <w:rsid w:val="001F495C"/>
    <w:rsid w:val="001F4A51"/>
    <w:rsid w:val="001F4BD7"/>
    <w:rsid w:val="001F59C6"/>
    <w:rsid w:val="001F6B09"/>
    <w:rsid w:val="001F6E34"/>
    <w:rsid w:val="001F74EF"/>
    <w:rsid w:val="001F75A8"/>
    <w:rsid w:val="001F7DDA"/>
    <w:rsid w:val="001F7DE3"/>
    <w:rsid w:val="002003D5"/>
    <w:rsid w:val="0020045A"/>
    <w:rsid w:val="00200630"/>
    <w:rsid w:val="00200792"/>
    <w:rsid w:val="00200C9E"/>
    <w:rsid w:val="00200D1D"/>
    <w:rsid w:val="00200DF5"/>
    <w:rsid w:val="00200E54"/>
    <w:rsid w:val="0020130B"/>
    <w:rsid w:val="00201352"/>
    <w:rsid w:val="0020160A"/>
    <w:rsid w:val="00201AF5"/>
    <w:rsid w:val="00202244"/>
    <w:rsid w:val="00202466"/>
    <w:rsid w:val="0020267C"/>
    <w:rsid w:val="00202E63"/>
    <w:rsid w:val="00202E7C"/>
    <w:rsid w:val="002031E2"/>
    <w:rsid w:val="00203279"/>
    <w:rsid w:val="0020346C"/>
    <w:rsid w:val="002034FF"/>
    <w:rsid w:val="002037DD"/>
    <w:rsid w:val="00203877"/>
    <w:rsid w:val="00203982"/>
    <w:rsid w:val="00204316"/>
    <w:rsid w:val="00204534"/>
    <w:rsid w:val="002046A3"/>
    <w:rsid w:val="002046F4"/>
    <w:rsid w:val="002048FD"/>
    <w:rsid w:val="00204EA2"/>
    <w:rsid w:val="0020544F"/>
    <w:rsid w:val="00205B0C"/>
    <w:rsid w:val="00205D5C"/>
    <w:rsid w:val="00206AB2"/>
    <w:rsid w:val="00206CF6"/>
    <w:rsid w:val="00206FA6"/>
    <w:rsid w:val="00206FF4"/>
    <w:rsid w:val="00207027"/>
    <w:rsid w:val="00207076"/>
    <w:rsid w:val="0020743B"/>
    <w:rsid w:val="002075A7"/>
    <w:rsid w:val="002076E3"/>
    <w:rsid w:val="00210255"/>
    <w:rsid w:val="002108A3"/>
    <w:rsid w:val="0021125D"/>
    <w:rsid w:val="002112D8"/>
    <w:rsid w:val="002116A2"/>
    <w:rsid w:val="002123B0"/>
    <w:rsid w:val="00212A33"/>
    <w:rsid w:val="00213204"/>
    <w:rsid w:val="00213686"/>
    <w:rsid w:val="00213F54"/>
    <w:rsid w:val="00214077"/>
    <w:rsid w:val="002142EF"/>
    <w:rsid w:val="002144E6"/>
    <w:rsid w:val="002145F2"/>
    <w:rsid w:val="00214B0C"/>
    <w:rsid w:val="00214C55"/>
    <w:rsid w:val="00215250"/>
    <w:rsid w:val="002152B4"/>
    <w:rsid w:val="0021540C"/>
    <w:rsid w:val="0021593F"/>
    <w:rsid w:val="0021600D"/>
    <w:rsid w:val="0021631A"/>
    <w:rsid w:val="002168EA"/>
    <w:rsid w:val="002178B1"/>
    <w:rsid w:val="0021793E"/>
    <w:rsid w:val="00217BA1"/>
    <w:rsid w:val="00217F98"/>
    <w:rsid w:val="0022009C"/>
    <w:rsid w:val="002200AD"/>
    <w:rsid w:val="002203A4"/>
    <w:rsid w:val="002203AE"/>
    <w:rsid w:val="00220660"/>
    <w:rsid w:val="00220998"/>
    <w:rsid w:val="00220BA7"/>
    <w:rsid w:val="00220E5D"/>
    <w:rsid w:val="00220EA0"/>
    <w:rsid w:val="002211E7"/>
    <w:rsid w:val="0022125C"/>
    <w:rsid w:val="00221732"/>
    <w:rsid w:val="00221AFD"/>
    <w:rsid w:val="00221DCA"/>
    <w:rsid w:val="00221E02"/>
    <w:rsid w:val="0022231A"/>
    <w:rsid w:val="00222916"/>
    <w:rsid w:val="00222944"/>
    <w:rsid w:val="00222FCD"/>
    <w:rsid w:val="00223036"/>
    <w:rsid w:val="0022391F"/>
    <w:rsid w:val="00223AB3"/>
    <w:rsid w:val="00223C48"/>
    <w:rsid w:val="00223F06"/>
    <w:rsid w:val="00223F9C"/>
    <w:rsid w:val="00224546"/>
    <w:rsid w:val="00225574"/>
    <w:rsid w:val="002255C7"/>
    <w:rsid w:val="002256F7"/>
    <w:rsid w:val="00225D6E"/>
    <w:rsid w:val="002261AE"/>
    <w:rsid w:val="00226263"/>
    <w:rsid w:val="00226431"/>
    <w:rsid w:val="002265BE"/>
    <w:rsid w:val="002266BC"/>
    <w:rsid w:val="00226776"/>
    <w:rsid w:val="002270CD"/>
    <w:rsid w:val="00227633"/>
    <w:rsid w:val="00227C2C"/>
    <w:rsid w:val="00227DAF"/>
    <w:rsid w:val="0023010E"/>
    <w:rsid w:val="002301C7"/>
    <w:rsid w:val="002301F6"/>
    <w:rsid w:val="0023051E"/>
    <w:rsid w:val="00230654"/>
    <w:rsid w:val="002307B9"/>
    <w:rsid w:val="00231315"/>
    <w:rsid w:val="002315FE"/>
    <w:rsid w:val="002316A6"/>
    <w:rsid w:val="00231CB7"/>
    <w:rsid w:val="0023220D"/>
    <w:rsid w:val="0023287D"/>
    <w:rsid w:val="002329C2"/>
    <w:rsid w:val="00232FF1"/>
    <w:rsid w:val="002339D2"/>
    <w:rsid w:val="00233A07"/>
    <w:rsid w:val="00233D4B"/>
    <w:rsid w:val="00233E54"/>
    <w:rsid w:val="00234059"/>
    <w:rsid w:val="0023410F"/>
    <w:rsid w:val="002342B7"/>
    <w:rsid w:val="00234476"/>
    <w:rsid w:val="00234489"/>
    <w:rsid w:val="002348DC"/>
    <w:rsid w:val="00234D53"/>
    <w:rsid w:val="00235279"/>
    <w:rsid w:val="0023538B"/>
    <w:rsid w:val="0023539B"/>
    <w:rsid w:val="0023555B"/>
    <w:rsid w:val="0023597F"/>
    <w:rsid w:val="00235AD9"/>
    <w:rsid w:val="00235B94"/>
    <w:rsid w:val="002362A3"/>
    <w:rsid w:val="00236353"/>
    <w:rsid w:val="0023653D"/>
    <w:rsid w:val="00236684"/>
    <w:rsid w:val="002369BE"/>
    <w:rsid w:val="00236B7D"/>
    <w:rsid w:val="00237308"/>
    <w:rsid w:val="002373D5"/>
    <w:rsid w:val="00237896"/>
    <w:rsid w:val="002402BD"/>
    <w:rsid w:val="0024050D"/>
    <w:rsid w:val="00240752"/>
    <w:rsid w:val="00240DAF"/>
    <w:rsid w:val="002410A7"/>
    <w:rsid w:val="002415D6"/>
    <w:rsid w:val="0024164C"/>
    <w:rsid w:val="0024190F"/>
    <w:rsid w:val="002420FF"/>
    <w:rsid w:val="002423FD"/>
    <w:rsid w:val="002424CE"/>
    <w:rsid w:val="002430C7"/>
    <w:rsid w:val="002432E8"/>
    <w:rsid w:val="00243ED6"/>
    <w:rsid w:val="00243F2B"/>
    <w:rsid w:val="002440CF"/>
    <w:rsid w:val="00244128"/>
    <w:rsid w:val="002446B5"/>
    <w:rsid w:val="0024526D"/>
    <w:rsid w:val="002452AC"/>
    <w:rsid w:val="00245EBB"/>
    <w:rsid w:val="002460C0"/>
    <w:rsid w:val="00246270"/>
    <w:rsid w:val="00246749"/>
    <w:rsid w:val="00246BC2"/>
    <w:rsid w:val="00246BDB"/>
    <w:rsid w:val="00246DCC"/>
    <w:rsid w:val="00246F73"/>
    <w:rsid w:val="00247384"/>
    <w:rsid w:val="00247ACE"/>
    <w:rsid w:val="00250035"/>
    <w:rsid w:val="002504A7"/>
    <w:rsid w:val="0025072E"/>
    <w:rsid w:val="002507D5"/>
    <w:rsid w:val="00250ADB"/>
    <w:rsid w:val="0025100E"/>
    <w:rsid w:val="00251132"/>
    <w:rsid w:val="00251351"/>
    <w:rsid w:val="0025149B"/>
    <w:rsid w:val="0025173D"/>
    <w:rsid w:val="00251DAB"/>
    <w:rsid w:val="002522C2"/>
    <w:rsid w:val="00252730"/>
    <w:rsid w:val="002528F4"/>
    <w:rsid w:val="00252B5E"/>
    <w:rsid w:val="00252BC4"/>
    <w:rsid w:val="0025303C"/>
    <w:rsid w:val="002531D9"/>
    <w:rsid w:val="002532CD"/>
    <w:rsid w:val="002535BF"/>
    <w:rsid w:val="00253A56"/>
    <w:rsid w:val="00253AB7"/>
    <w:rsid w:val="00253EE1"/>
    <w:rsid w:val="00254050"/>
    <w:rsid w:val="00254286"/>
    <w:rsid w:val="002542C4"/>
    <w:rsid w:val="00254A92"/>
    <w:rsid w:val="00254BB6"/>
    <w:rsid w:val="00254BCB"/>
    <w:rsid w:val="002551BA"/>
    <w:rsid w:val="002552CF"/>
    <w:rsid w:val="0025532D"/>
    <w:rsid w:val="00255769"/>
    <w:rsid w:val="002558C1"/>
    <w:rsid w:val="00255C86"/>
    <w:rsid w:val="00255E89"/>
    <w:rsid w:val="002562E2"/>
    <w:rsid w:val="00256583"/>
    <w:rsid w:val="002567A1"/>
    <w:rsid w:val="0025686C"/>
    <w:rsid w:val="00256BC5"/>
    <w:rsid w:val="00256EEB"/>
    <w:rsid w:val="002571B8"/>
    <w:rsid w:val="0025730C"/>
    <w:rsid w:val="00257361"/>
    <w:rsid w:val="00257805"/>
    <w:rsid w:val="00257B4D"/>
    <w:rsid w:val="00257CDE"/>
    <w:rsid w:val="00257E22"/>
    <w:rsid w:val="00260426"/>
    <w:rsid w:val="002608A8"/>
    <w:rsid w:val="002625B1"/>
    <w:rsid w:val="0026267C"/>
    <w:rsid w:val="00262FB9"/>
    <w:rsid w:val="0026308B"/>
    <w:rsid w:val="00263445"/>
    <w:rsid w:val="002639F9"/>
    <w:rsid w:val="00263CB9"/>
    <w:rsid w:val="00263CBC"/>
    <w:rsid w:val="00263D38"/>
    <w:rsid w:val="00263F56"/>
    <w:rsid w:val="00263F5E"/>
    <w:rsid w:val="00263FA2"/>
    <w:rsid w:val="002643F7"/>
    <w:rsid w:val="00264714"/>
    <w:rsid w:val="002647C3"/>
    <w:rsid w:val="002648DF"/>
    <w:rsid w:val="00264C44"/>
    <w:rsid w:val="002652D6"/>
    <w:rsid w:val="0026563D"/>
    <w:rsid w:val="00265D85"/>
    <w:rsid w:val="0026602B"/>
    <w:rsid w:val="00266100"/>
    <w:rsid w:val="00266217"/>
    <w:rsid w:val="00266218"/>
    <w:rsid w:val="0026623F"/>
    <w:rsid w:val="00266472"/>
    <w:rsid w:val="00266581"/>
    <w:rsid w:val="00266953"/>
    <w:rsid w:val="00266A3D"/>
    <w:rsid w:val="00266B6D"/>
    <w:rsid w:val="00266C0C"/>
    <w:rsid w:val="00267924"/>
    <w:rsid w:val="00267D2F"/>
    <w:rsid w:val="0027012B"/>
    <w:rsid w:val="0027040D"/>
    <w:rsid w:val="00270B95"/>
    <w:rsid w:val="00270CB2"/>
    <w:rsid w:val="00270CDE"/>
    <w:rsid w:val="00271675"/>
    <w:rsid w:val="0027192B"/>
    <w:rsid w:val="00271AC8"/>
    <w:rsid w:val="00271B4C"/>
    <w:rsid w:val="00271F5D"/>
    <w:rsid w:val="0027215F"/>
    <w:rsid w:val="00272594"/>
    <w:rsid w:val="002728AF"/>
    <w:rsid w:val="00273A64"/>
    <w:rsid w:val="00273B95"/>
    <w:rsid w:val="00273D7E"/>
    <w:rsid w:val="00273EDE"/>
    <w:rsid w:val="00274A86"/>
    <w:rsid w:val="00274BD0"/>
    <w:rsid w:val="00274D89"/>
    <w:rsid w:val="002752EE"/>
    <w:rsid w:val="002753DC"/>
    <w:rsid w:val="0027559A"/>
    <w:rsid w:val="002756BE"/>
    <w:rsid w:val="002756DB"/>
    <w:rsid w:val="00275A26"/>
    <w:rsid w:val="00275A73"/>
    <w:rsid w:val="00275C4D"/>
    <w:rsid w:val="002767A2"/>
    <w:rsid w:val="00276859"/>
    <w:rsid w:val="00276B49"/>
    <w:rsid w:val="00277145"/>
    <w:rsid w:val="00277CF3"/>
    <w:rsid w:val="002800AE"/>
    <w:rsid w:val="00280124"/>
    <w:rsid w:val="002801A0"/>
    <w:rsid w:val="0028033C"/>
    <w:rsid w:val="0028047B"/>
    <w:rsid w:val="002804FA"/>
    <w:rsid w:val="0028057B"/>
    <w:rsid w:val="002806D4"/>
    <w:rsid w:val="00280BBE"/>
    <w:rsid w:val="00280C95"/>
    <w:rsid w:val="00280F23"/>
    <w:rsid w:val="00281262"/>
    <w:rsid w:val="002812AE"/>
    <w:rsid w:val="0028134B"/>
    <w:rsid w:val="00281460"/>
    <w:rsid w:val="002819AF"/>
    <w:rsid w:val="00281FA5"/>
    <w:rsid w:val="00281FE6"/>
    <w:rsid w:val="00282726"/>
    <w:rsid w:val="00283160"/>
    <w:rsid w:val="00283240"/>
    <w:rsid w:val="00283254"/>
    <w:rsid w:val="00283A2B"/>
    <w:rsid w:val="00283F17"/>
    <w:rsid w:val="00284571"/>
    <w:rsid w:val="00284AA1"/>
    <w:rsid w:val="00284B77"/>
    <w:rsid w:val="00284E7D"/>
    <w:rsid w:val="00285144"/>
    <w:rsid w:val="00285331"/>
    <w:rsid w:val="00285427"/>
    <w:rsid w:val="0028558E"/>
    <w:rsid w:val="002856D0"/>
    <w:rsid w:val="0028580D"/>
    <w:rsid w:val="00285E5B"/>
    <w:rsid w:val="00286151"/>
    <w:rsid w:val="00286539"/>
    <w:rsid w:val="002865CA"/>
    <w:rsid w:val="00286BA7"/>
    <w:rsid w:val="00286BB9"/>
    <w:rsid w:val="00286C6A"/>
    <w:rsid w:val="00286DC0"/>
    <w:rsid w:val="002871D4"/>
    <w:rsid w:val="002873D8"/>
    <w:rsid w:val="002878B7"/>
    <w:rsid w:val="00290084"/>
    <w:rsid w:val="002900AB"/>
    <w:rsid w:val="00290419"/>
    <w:rsid w:val="002906ED"/>
    <w:rsid w:val="0029123F"/>
    <w:rsid w:val="00291245"/>
    <w:rsid w:val="002916DD"/>
    <w:rsid w:val="002918F4"/>
    <w:rsid w:val="00291C94"/>
    <w:rsid w:val="002921FE"/>
    <w:rsid w:val="00292219"/>
    <w:rsid w:val="00292500"/>
    <w:rsid w:val="002926C2"/>
    <w:rsid w:val="00292C17"/>
    <w:rsid w:val="00292E39"/>
    <w:rsid w:val="00293449"/>
    <w:rsid w:val="00293488"/>
    <w:rsid w:val="002934BC"/>
    <w:rsid w:val="00293548"/>
    <w:rsid w:val="00293554"/>
    <w:rsid w:val="00293661"/>
    <w:rsid w:val="00293CD7"/>
    <w:rsid w:val="00293D00"/>
    <w:rsid w:val="00293D15"/>
    <w:rsid w:val="00293EA2"/>
    <w:rsid w:val="00294062"/>
    <w:rsid w:val="0029411C"/>
    <w:rsid w:val="00294788"/>
    <w:rsid w:val="002949F2"/>
    <w:rsid w:val="00294B97"/>
    <w:rsid w:val="002953E4"/>
    <w:rsid w:val="00295DBC"/>
    <w:rsid w:val="00295FFC"/>
    <w:rsid w:val="0029732D"/>
    <w:rsid w:val="0029772C"/>
    <w:rsid w:val="00297BCE"/>
    <w:rsid w:val="00297F59"/>
    <w:rsid w:val="00297FF0"/>
    <w:rsid w:val="002A043E"/>
    <w:rsid w:val="002A0D0B"/>
    <w:rsid w:val="002A0F75"/>
    <w:rsid w:val="002A0FCB"/>
    <w:rsid w:val="002A1020"/>
    <w:rsid w:val="002A10CB"/>
    <w:rsid w:val="002A1626"/>
    <w:rsid w:val="002A1748"/>
    <w:rsid w:val="002A1A21"/>
    <w:rsid w:val="002A1C02"/>
    <w:rsid w:val="002A1E2C"/>
    <w:rsid w:val="002A20E0"/>
    <w:rsid w:val="002A2123"/>
    <w:rsid w:val="002A216E"/>
    <w:rsid w:val="002A249C"/>
    <w:rsid w:val="002A305C"/>
    <w:rsid w:val="002A349A"/>
    <w:rsid w:val="002A351A"/>
    <w:rsid w:val="002A39E7"/>
    <w:rsid w:val="002A3BED"/>
    <w:rsid w:val="002A40F4"/>
    <w:rsid w:val="002A43B2"/>
    <w:rsid w:val="002A452D"/>
    <w:rsid w:val="002A477D"/>
    <w:rsid w:val="002A496D"/>
    <w:rsid w:val="002A5232"/>
    <w:rsid w:val="002A5AFB"/>
    <w:rsid w:val="002A5DA1"/>
    <w:rsid w:val="002A5E0D"/>
    <w:rsid w:val="002A5EEB"/>
    <w:rsid w:val="002A5F66"/>
    <w:rsid w:val="002A5FB0"/>
    <w:rsid w:val="002A6236"/>
    <w:rsid w:val="002A63F6"/>
    <w:rsid w:val="002A66C4"/>
    <w:rsid w:val="002A6841"/>
    <w:rsid w:val="002A69BD"/>
    <w:rsid w:val="002A6D09"/>
    <w:rsid w:val="002A7168"/>
    <w:rsid w:val="002A747D"/>
    <w:rsid w:val="002A7662"/>
    <w:rsid w:val="002A78D6"/>
    <w:rsid w:val="002A7AB1"/>
    <w:rsid w:val="002A7E8A"/>
    <w:rsid w:val="002B042F"/>
    <w:rsid w:val="002B09DF"/>
    <w:rsid w:val="002B0CBE"/>
    <w:rsid w:val="002B0D30"/>
    <w:rsid w:val="002B1232"/>
    <w:rsid w:val="002B13A9"/>
    <w:rsid w:val="002B142B"/>
    <w:rsid w:val="002B1792"/>
    <w:rsid w:val="002B18FC"/>
    <w:rsid w:val="002B1993"/>
    <w:rsid w:val="002B212D"/>
    <w:rsid w:val="002B21C4"/>
    <w:rsid w:val="002B32EC"/>
    <w:rsid w:val="002B33A6"/>
    <w:rsid w:val="002B36DA"/>
    <w:rsid w:val="002B3FC6"/>
    <w:rsid w:val="002B42E0"/>
    <w:rsid w:val="002B5548"/>
    <w:rsid w:val="002B55A4"/>
    <w:rsid w:val="002B5767"/>
    <w:rsid w:val="002B5892"/>
    <w:rsid w:val="002B58EC"/>
    <w:rsid w:val="002B5979"/>
    <w:rsid w:val="002B5AF6"/>
    <w:rsid w:val="002B5B51"/>
    <w:rsid w:val="002B5F3D"/>
    <w:rsid w:val="002B6320"/>
    <w:rsid w:val="002B6536"/>
    <w:rsid w:val="002B6579"/>
    <w:rsid w:val="002B6A76"/>
    <w:rsid w:val="002B6BEA"/>
    <w:rsid w:val="002B6E9E"/>
    <w:rsid w:val="002B730F"/>
    <w:rsid w:val="002B7E65"/>
    <w:rsid w:val="002C0041"/>
    <w:rsid w:val="002C0374"/>
    <w:rsid w:val="002C0B7A"/>
    <w:rsid w:val="002C0CA0"/>
    <w:rsid w:val="002C109F"/>
    <w:rsid w:val="002C1DCF"/>
    <w:rsid w:val="002C2292"/>
    <w:rsid w:val="002C24E6"/>
    <w:rsid w:val="002C254E"/>
    <w:rsid w:val="002C2680"/>
    <w:rsid w:val="002C2A3A"/>
    <w:rsid w:val="002C2AFE"/>
    <w:rsid w:val="002C329E"/>
    <w:rsid w:val="002C336C"/>
    <w:rsid w:val="002C3439"/>
    <w:rsid w:val="002C37C1"/>
    <w:rsid w:val="002C3C15"/>
    <w:rsid w:val="002C3C8F"/>
    <w:rsid w:val="002C4108"/>
    <w:rsid w:val="002C428D"/>
    <w:rsid w:val="002C43F2"/>
    <w:rsid w:val="002C45D0"/>
    <w:rsid w:val="002C4749"/>
    <w:rsid w:val="002C4844"/>
    <w:rsid w:val="002C492B"/>
    <w:rsid w:val="002C4B26"/>
    <w:rsid w:val="002C4E8A"/>
    <w:rsid w:val="002C4E93"/>
    <w:rsid w:val="002C4FD7"/>
    <w:rsid w:val="002C4FE8"/>
    <w:rsid w:val="002C520F"/>
    <w:rsid w:val="002C544D"/>
    <w:rsid w:val="002C550E"/>
    <w:rsid w:val="002C5B59"/>
    <w:rsid w:val="002C5DA3"/>
    <w:rsid w:val="002C646B"/>
    <w:rsid w:val="002C66F5"/>
    <w:rsid w:val="002C6EA1"/>
    <w:rsid w:val="002C717B"/>
    <w:rsid w:val="002C7568"/>
    <w:rsid w:val="002C75F0"/>
    <w:rsid w:val="002C77FC"/>
    <w:rsid w:val="002C798C"/>
    <w:rsid w:val="002C7C95"/>
    <w:rsid w:val="002C7E38"/>
    <w:rsid w:val="002C7F3F"/>
    <w:rsid w:val="002C7F56"/>
    <w:rsid w:val="002D0DB5"/>
    <w:rsid w:val="002D193E"/>
    <w:rsid w:val="002D1A5B"/>
    <w:rsid w:val="002D1D9B"/>
    <w:rsid w:val="002D2033"/>
    <w:rsid w:val="002D208D"/>
    <w:rsid w:val="002D21C5"/>
    <w:rsid w:val="002D2369"/>
    <w:rsid w:val="002D239D"/>
    <w:rsid w:val="002D2416"/>
    <w:rsid w:val="002D2614"/>
    <w:rsid w:val="002D2A78"/>
    <w:rsid w:val="002D2E27"/>
    <w:rsid w:val="002D31E4"/>
    <w:rsid w:val="002D339F"/>
    <w:rsid w:val="002D3795"/>
    <w:rsid w:val="002D3BDF"/>
    <w:rsid w:val="002D3CA8"/>
    <w:rsid w:val="002D4001"/>
    <w:rsid w:val="002D405B"/>
    <w:rsid w:val="002D41DE"/>
    <w:rsid w:val="002D4371"/>
    <w:rsid w:val="002D494C"/>
    <w:rsid w:val="002D537C"/>
    <w:rsid w:val="002D539C"/>
    <w:rsid w:val="002D5E88"/>
    <w:rsid w:val="002D6129"/>
    <w:rsid w:val="002D693F"/>
    <w:rsid w:val="002D6D54"/>
    <w:rsid w:val="002D6EAA"/>
    <w:rsid w:val="002D728E"/>
    <w:rsid w:val="002D79C6"/>
    <w:rsid w:val="002E012E"/>
    <w:rsid w:val="002E0228"/>
    <w:rsid w:val="002E02FA"/>
    <w:rsid w:val="002E0E48"/>
    <w:rsid w:val="002E104B"/>
    <w:rsid w:val="002E1D37"/>
    <w:rsid w:val="002E20A4"/>
    <w:rsid w:val="002E2418"/>
    <w:rsid w:val="002E2676"/>
    <w:rsid w:val="002E2CAB"/>
    <w:rsid w:val="002E3228"/>
    <w:rsid w:val="002E37B1"/>
    <w:rsid w:val="002E3B47"/>
    <w:rsid w:val="002E41C9"/>
    <w:rsid w:val="002E42FB"/>
    <w:rsid w:val="002E43E0"/>
    <w:rsid w:val="002E454F"/>
    <w:rsid w:val="002E4586"/>
    <w:rsid w:val="002E47A9"/>
    <w:rsid w:val="002E4D59"/>
    <w:rsid w:val="002E4EF0"/>
    <w:rsid w:val="002E50D4"/>
    <w:rsid w:val="002E5283"/>
    <w:rsid w:val="002E5C68"/>
    <w:rsid w:val="002E6392"/>
    <w:rsid w:val="002E6B6B"/>
    <w:rsid w:val="002E6DFF"/>
    <w:rsid w:val="002E6F6B"/>
    <w:rsid w:val="002E7086"/>
    <w:rsid w:val="002E784C"/>
    <w:rsid w:val="002E798D"/>
    <w:rsid w:val="002E7B51"/>
    <w:rsid w:val="002F0242"/>
    <w:rsid w:val="002F0274"/>
    <w:rsid w:val="002F04F2"/>
    <w:rsid w:val="002F07A8"/>
    <w:rsid w:val="002F07B2"/>
    <w:rsid w:val="002F0873"/>
    <w:rsid w:val="002F0AFA"/>
    <w:rsid w:val="002F0DA3"/>
    <w:rsid w:val="002F0F27"/>
    <w:rsid w:val="002F0FA8"/>
    <w:rsid w:val="002F10B7"/>
    <w:rsid w:val="002F1184"/>
    <w:rsid w:val="002F146F"/>
    <w:rsid w:val="002F1B68"/>
    <w:rsid w:val="002F2165"/>
    <w:rsid w:val="002F26F3"/>
    <w:rsid w:val="002F2ACC"/>
    <w:rsid w:val="002F2F89"/>
    <w:rsid w:val="002F34A7"/>
    <w:rsid w:val="002F359E"/>
    <w:rsid w:val="002F3D1B"/>
    <w:rsid w:val="002F42B5"/>
    <w:rsid w:val="002F4789"/>
    <w:rsid w:val="002F4A73"/>
    <w:rsid w:val="002F4EC9"/>
    <w:rsid w:val="002F513A"/>
    <w:rsid w:val="002F5A66"/>
    <w:rsid w:val="002F6165"/>
    <w:rsid w:val="002F65C7"/>
    <w:rsid w:val="002F6FA4"/>
    <w:rsid w:val="002F7320"/>
    <w:rsid w:val="002F765C"/>
    <w:rsid w:val="002F7714"/>
    <w:rsid w:val="002F79B0"/>
    <w:rsid w:val="002F7A71"/>
    <w:rsid w:val="002F7B88"/>
    <w:rsid w:val="002F7D0C"/>
    <w:rsid w:val="003006D5"/>
    <w:rsid w:val="00300761"/>
    <w:rsid w:val="00300893"/>
    <w:rsid w:val="00300D15"/>
    <w:rsid w:val="0030109A"/>
    <w:rsid w:val="00301A21"/>
    <w:rsid w:val="00301AD6"/>
    <w:rsid w:val="00301B1A"/>
    <w:rsid w:val="00302139"/>
    <w:rsid w:val="003021A9"/>
    <w:rsid w:val="003021D8"/>
    <w:rsid w:val="003024C7"/>
    <w:rsid w:val="00302582"/>
    <w:rsid w:val="0030260E"/>
    <w:rsid w:val="00302BC7"/>
    <w:rsid w:val="00302CA8"/>
    <w:rsid w:val="00302E4A"/>
    <w:rsid w:val="00302E6C"/>
    <w:rsid w:val="00303092"/>
    <w:rsid w:val="0030347E"/>
    <w:rsid w:val="003034A0"/>
    <w:rsid w:val="00303592"/>
    <w:rsid w:val="003036CF"/>
    <w:rsid w:val="003036E6"/>
    <w:rsid w:val="003038BC"/>
    <w:rsid w:val="00303965"/>
    <w:rsid w:val="00303AD2"/>
    <w:rsid w:val="00303C1A"/>
    <w:rsid w:val="00303E1A"/>
    <w:rsid w:val="0030400B"/>
    <w:rsid w:val="0030402D"/>
    <w:rsid w:val="00304CE9"/>
    <w:rsid w:val="00304F03"/>
    <w:rsid w:val="00304FB2"/>
    <w:rsid w:val="00305567"/>
    <w:rsid w:val="00305689"/>
    <w:rsid w:val="003057D3"/>
    <w:rsid w:val="00306051"/>
    <w:rsid w:val="003061B7"/>
    <w:rsid w:val="00306485"/>
    <w:rsid w:val="003067FF"/>
    <w:rsid w:val="00306829"/>
    <w:rsid w:val="00306835"/>
    <w:rsid w:val="0030684A"/>
    <w:rsid w:val="0030685B"/>
    <w:rsid w:val="003073E8"/>
    <w:rsid w:val="003074B6"/>
    <w:rsid w:val="003076F9"/>
    <w:rsid w:val="003079F9"/>
    <w:rsid w:val="00307C49"/>
    <w:rsid w:val="00307DC8"/>
    <w:rsid w:val="00307FCC"/>
    <w:rsid w:val="00310108"/>
    <w:rsid w:val="00310690"/>
    <w:rsid w:val="003108E3"/>
    <w:rsid w:val="003112B8"/>
    <w:rsid w:val="003117AC"/>
    <w:rsid w:val="003117BE"/>
    <w:rsid w:val="00311F2E"/>
    <w:rsid w:val="003124FB"/>
    <w:rsid w:val="00312791"/>
    <w:rsid w:val="0031298C"/>
    <w:rsid w:val="00312A89"/>
    <w:rsid w:val="00313735"/>
    <w:rsid w:val="00313A10"/>
    <w:rsid w:val="00314C04"/>
    <w:rsid w:val="00314C3A"/>
    <w:rsid w:val="00314F91"/>
    <w:rsid w:val="00315316"/>
    <w:rsid w:val="00315599"/>
    <w:rsid w:val="003155F2"/>
    <w:rsid w:val="00315645"/>
    <w:rsid w:val="00315DB7"/>
    <w:rsid w:val="00316713"/>
    <w:rsid w:val="00316F7C"/>
    <w:rsid w:val="003171F1"/>
    <w:rsid w:val="00317346"/>
    <w:rsid w:val="00317ECA"/>
    <w:rsid w:val="003200BE"/>
    <w:rsid w:val="003204D8"/>
    <w:rsid w:val="00320862"/>
    <w:rsid w:val="0032094C"/>
    <w:rsid w:val="00320974"/>
    <w:rsid w:val="00320998"/>
    <w:rsid w:val="00320A42"/>
    <w:rsid w:val="003211B0"/>
    <w:rsid w:val="00321341"/>
    <w:rsid w:val="00321DB8"/>
    <w:rsid w:val="00321E92"/>
    <w:rsid w:val="00322001"/>
    <w:rsid w:val="00322199"/>
    <w:rsid w:val="003223C2"/>
    <w:rsid w:val="00322DAC"/>
    <w:rsid w:val="00322E53"/>
    <w:rsid w:val="00322F6B"/>
    <w:rsid w:val="00323032"/>
    <w:rsid w:val="003231D6"/>
    <w:rsid w:val="00323369"/>
    <w:rsid w:val="00323492"/>
    <w:rsid w:val="0032461A"/>
    <w:rsid w:val="00324961"/>
    <w:rsid w:val="0032499B"/>
    <w:rsid w:val="0032511B"/>
    <w:rsid w:val="003252E4"/>
    <w:rsid w:val="003255C6"/>
    <w:rsid w:val="003256DB"/>
    <w:rsid w:val="00325EE5"/>
    <w:rsid w:val="00325F17"/>
    <w:rsid w:val="00326080"/>
    <w:rsid w:val="003263A9"/>
    <w:rsid w:val="0032671C"/>
    <w:rsid w:val="0032691D"/>
    <w:rsid w:val="003269EA"/>
    <w:rsid w:val="00326B68"/>
    <w:rsid w:val="00326D2E"/>
    <w:rsid w:val="00327181"/>
    <w:rsid w:val="003274AC"/>
    <w:rsid w:val="00327781"/>
    <w:rsid w:val="00327868"/>
    <w:rsid w:val="00327CDD"/>
    <w:rsid w:val="00327F4A"/>
    <w:rsid w:val="00327F7F"/>
    <w:rsid w:val="0033007B"/>
    <w:rsid w:val="003300B2"/>
    <w:rsid w:val="003300B4"/>
    <w:rsid w:val="003301C9"/>
    <w:rsid w:val="003301CF"/>
    <w:rsid w:val="003301D9"/>
    <w:rsid w:val="003304E4"/>
    <w:rsid w:val="003306B0"/>
    <w:rsid w:val="00330C10"/>
    <w:rsid w:val="0033132A"/>
    <w:rsid w:val="003315DC"/>
    <w:rsid w:val="003320FA"/>
    <w:rsid w:val="00332D87"/>
    <w:rsid w:val="00332DCC"/>
    <w:rsid w:val="0033319E"/>
    <w:rsid w:val="00333536"/>
    <w:rsid w:val="0033354E"/>
    <w:rsid w:val="003335B9"/>
    <w:rsid w:val="00334202"/>
    <w:rsid w:val="00334207"/>
    <w:rsid w:val="003347E8"/>
    <w:rsid w:val="00334A3A"/>
    <w:rsid w:val="00334E06"/>
    <w:rsid w:val="00334E6C"/>
    <w:rsid w:val="00334F5C"/>
    <w:rsid w:val="0033510A"/>
    <w:rsid w:val="003353E9"/>
    <w:rsid w:val="003354FE"/>
    <w:rsid w:val="003357AB"/>
    <w:rsid w:val="00335885"/>
    <w:rsid w:val="00335897"/>
    <w:rsid w:val="00335A54"/>
    <w:rsid w:val="00335B9F"/>
    <w:rsid w:val="00335FED"/>
    <w:rsid w:val="0033603F"/>
    <w:rsid w:val="003360F4"/>
    <w:rsid w:val="00336749"/>
    <w:rsid w:val="00336919"/>
    <w:rsid w:val="00336A59"/>
    <w:rsid w:val="00336C78"/>
    <w:rsid w:val="00336F21"/>
    <w:rsid w:val="00336F89"/>
    <w:rsid w:val="003373A5"/>
    <w:rsid w:val="00337526"/>
    <w:rsid w:val="0033755D"/>
    <w:rsid w:val="00337B19"/>
    <w:rsid w:val="00340107"/>
    <w:rsid w:val="00340286"/>
    <w:rsid w:val="0034041E"/>
    <w:rsid w:val="00340754"/>
    <w:rsid w:val="00341411"/>
    <w:rsid w:val="003415E9"/>
    <w:rsid w:val="0034161F"/>
    <w:rsid w:val="00341BC4"/>
    <w:rsid w:val="00341BEB"/>
    <w:rsid w:val="00341DA2"/>
    <w:rsid w:val="00341DAA"/>
    <w:rsid w:val="003422E4"/>
    <w:rsid w:val="00342840"/>
    <w:rsid w:val="00342C5E"/>
    <w:rsid w:val="00342D98"/>
    <w:rsid w:val="00342DA9"/>
    <w:rsid w:val="003433C4"/>
    <w:rsid w:val="003435CF"/>
    <w:rsid w:val="00343824"/>
    <w:rsid w:val="003441BC"/>
    <w:rsid w:val="00344797"/>
    <w:rsid w:val="00344A84"/>
    <w:rsid w:val="00344ADB"/>
    <w:rsid w:val="00344B6F"/>
    <w:rsid w:val="00344BA0"/>
    <w:rsid w:val="00344F8C"/>
    <w:rsid w:val="00344FFC"/>
    <w:rsid w:val="0034598C"/>
    <w:rsid w:val="00345F3A"/>
    <w:rsid w:val="003460F6"/>
    <w:rsid w:val="003462E7"/>
    <w:rsid w:val="00346464"/>
    <w:rsid w:val="0034695C"/>
    <w:rsid w:val="00346FF5"/>
    <w:rsid w:val="0034765D"/>
    <w:rsid w:val="003501D4"/>
    <w:rsid w:val="00350314"/>
    <w:rsid w:val="00350430"/>
    <w:rsid w:val="003504BE"/>
    <w:rsid w:val="0035060B"/>
    <w:rsid w:val="0035084D"/>
    <w:rsid w:val="003509F2"/>
    <w:rsid w:val="00350BBE"/>
    <w:rsid w:val="00350CBC"/>
    <w:rsid w:val="00350D2D"/>
    <w:rsid w:val="00350E83"/>
    <w:rsid w:val="00350F7B"/>
    <w:rsid w:val="00350FAB"/>
    <w:rsid w:val="003512BE"/>
    <w:rsid w:val="00351BD1"/>
    <w:rsid w:val="00351EF5"/>
    <w:rsid w:val="0035212A"/>
    <w:rsid w:val="0035230C"/>
    <w:rsid w:val="00352389"/>
    <w:rsid w:val="003524F2"/>
    <w:rsid w:val="0035255F"/>
    <w:rsid w:val="003526AF"/>
    <w:rsid w:val="003527CF"/>
    <w:rsid w:val="00352C28"/>
    <w:rsid w:val="00352D88"/>
    <w:rsid w:val="00353278"/>
    <w:rsid w:val="00353572"/>
    <w:rsid w:val="003537DB"/>
    <w:rsid w:val="00353E99"/>
    <w:rsid w:val="00353F9C"/>
    <w:rsid w:val="003540F3"/>
    <w:rsid w:val="00354548"/>
    <w:rsid w:val="00354769"/>
    <w:rsid w:val="00354DAA"/>
    <w:rsid w:val="00354EE3"/>
    <w:rsid w:val="00355126"/>
    <w:rsid w:val="003551B1"/>
    <w:rsid w:val="003555DE"/>
    <w:rsid w:val="00355664"/>
    <w:rsid w:val="0035574F"/>
    <w:rsid w:val="003557A8"/>
    <w:rsid w:val="003557AC"/>
    <w:rsid w:val="003562AB"/>
    <w:rsid w:val="003568A8"/>
    <w:rsid w:val="0035706D"/>
    <w:rsid w:val="00357662"/>
    <w:rsid w:val="00357777"/>
    <w:rsid w:val="003578A6"/>
    <w:rsid w:val="0036024B"/>
    <w:rsid w:val="00360DDE"/>
    <w:rsid w:val="00361519"/>
    <w:rsid w:val="003615E5"/>
    <w:rsid w:val="00361658"/>
    <w:rsid w:val="003617AA"/>
    <w:rsid w:val="00361982"/>
    <w:rsid w:val="003621E5"/>
    <w:rsid w:val="0036246C"/>
    <w:rsid w:val="00362925"/>
    <w:rsid w:val="00362A7E"/>
    <w:rsid w:val="003633AA"/>
    <w:rsid w:val="003636F5"/>
    <w:rsid w:val="00363E88"/>
    <w:rsid w:val="00364520"/>
    <w:rsid w:val="00364D87"/>
    <w:rsid w:val="0036502C"/>
    <w:rsid w:val="00365ADC"/>
    <w:rsid w:val="00366259"/>
    <w:rsid w:val="003666F2"/>
    <w:rsid w:val="0036693F"/>
    <w:rsid w:val="00366AB8"/>
    <w:rsid w:val="00366AE7"/>
    <w:rsid w:val="00366DEC"/>
    <w:rsid w:val="0036705C"/>
    <w:rsid w:val="003670EC"/>
    <w:rsid w:val="003675C7"/>
    <w:rsid w:val="00367782"/>
    <w:rsid w:val="003679E1"/>
    <w:rsid w:val="00367B03"/>
    <w:rsid w:val="0037010C"/>
    <w:rsid w:val="003708C7"/>
    <w:rsid w:val="00370C14"/>
    <w:rsid w:val="00371089"/>
    <w:rsid w:val="003710AE"/>
    <w:rsid w:val="003711B0"/>
    <w:rsid w:val="003711FB"/>
    <w:rsid w:val="0037159A"/>
    <w:rsid w:val="00371EA2"/>
    <w:rsid w:val="00371F4D"/>
    <w:rsid w:val="003728AB"/>
    <w:rsid w:val="00372D1F"/>
    <w:rsid w:val="00372DD9"/>
    <w:rsid w:val="00373820"/>
    <w:rsid w:val="00373DB2"/>
    <w:rsid w:val="00373E6A"/>
    <w:rsid w:val="00373F22"/>
    <w:rsid w:val="00374161"/>
    <w:rsid w:val="0037467B"/>
    <w:rsid w:val="003749C4"/>
    <w:rsid w:val="003756FA"/>
    <w:rsid w:val="0037583D"/>
    <w:rsid w:val="00375BCB"/>
    <w:rsid w:val="00375D71"/>
    <w:rsid w:val="0037607B"/>
    <w:rsid w:val="00376B13"/>
    <w:rsid w:val="00376F4A"/>
    <w:rsid w:val="0037735C"/>
    <w:rsid w:val="003773AC"/>
    <w:rsid w:val="003773C4"/>
    <w:rsid w:val="00377514"/>
    <w:rsid w:val="00377656"/>
    <w:rsid w:val="00377690"/>
    <w:rsid w:val="00377A55"/>
    <w:rsid w:val="0038043A"/>
    <w:rsid w:val="0038069C"/>
    <w:rsid w:val="00380755"/>
    <w:rsid w:val="0038145A"/>
    <w:rsid w:val="00381878"/>
    <w:rsid w:val="00381AD6"/>
    <w:rsid w:val="00381B23"/>
    <w:rsid w:val="00381B35"/>
    <w:rsid w:val="00382240"/>
    <w:rsid w:val="0038242B"/>
    <w:rsid w:val="00382545"/>
    <w:rsid w:val="003829B7"/>
    <w:rsid w:val="00383080"/>
    <w:rsid w:val="003839B2"/>
    <w:rsid w:val="00383C34"/>
    <w:rsid w:val="00383C7F"/>
    <w:rsid w:val="00384468"/>
    <w:rsid w:val="003845CB"/>
    <w:rsid w:val="003846CB"/>
    <w:rsid w:val="00384B85"/>
    <w:rsid w:val="00384C70"/>
    <w:rsid w:val="00384C72"/>
    <w:rsid w:val="00384F0B"/>
    <w:rsid w:val="00385066"/>
    <w:rsid w:val="003854BD"/>
    <w:rsid w:val="00385624"/>
    <w:rsid w:val="00385741"/>
    <w:rsid w:val="0038585C"/>
    <w:rsid w:val="003858FC"/>
    <w:rsid w:val="00385A60"/>
    <w:rsid w:val="00385A78"/>
    <w:rsid w:val="00385C00"/>
    <w:rsid w:val="00385E41"/>
    <w:rsid w:val="00385E4A"/>
    <w:rsid w:val="00385EF5"/>
    <w:rsid w:val="00385F63"/>
    <w:rsid w:val="00386006"/>
    <w:rsid w:val="003862CB"/>
    <w:rsid w:val="003864EA"/>
    <w:rsid w:val="003865B6"/>
    <w:rsid w:val="003865BE"/>
    <w:rsid w:val="00386790"/>
    <w:rsid w:val="00386980"/>
    <w:rsid w:val="00386991"/>
    <w:rsid w:val="00386CDF"/>
    <w:rsid w:val="00386CE1"/>
    <w:rsid w:val="003872D0"/>
    <w:rsid w:val="00387367"/>
    <w:rsid w:val="0038736D"/>
    <w:rsid w:val="003879A5"/>
    <w:rsid w:val="003903C8"/>
    <w:rsid w:val="003915D5"/>
    <w:rsid w:val="00391B76"/>
    <w:rsid w:val="00391EDE"/>
    <w:rsid w:val="0039201C"/>
    <w:rsid w:val="00393040"/>
    <w:rsid w:val="00393203"/>
    <w:rsid w:val="003939D6"/>
    <w:rsid w:val="00393B17"/>
    <w:rsid w:val="00393FEE"/>
    <w:rsid w:val="00394284"/>
    <w:rsid w:val="003946BC"/>
    <w:rsid w:val="00394839"/>
    <w:rsid w:val="0039520C"/>
    <w:rsid w:val="00395A5D"/>
    <w:rsid w:val="00395F0D"/>
    <w:rsid w:val="00396226"/>
    <w:rsid w:val="00396532"/>
    <w:rsid w:val="00396CFF"/>
    <w:rsid w:val="00396D6A"/>
    <w:rsid w:val="00396E27"/>
    <w:rsid w:val="00396F5E"/>
    <w:rsid w:val="0039774A"/>
    <w:rsid w:val="00397D10"/>
    <w:rsid w:val="003A0416"/>
    <w:rsid w:val="003A061B"/>
    <w:rsid w:val="003A06A2"/>
    <w:rsid w:val="003A0767"/>
    <w:rsid w:val="003A0C0C"/>
    <w:rsid w:val="003A0E8B"/>
    <w:rsid w:val="003A14CA"/>
    <w:rsid w:val="003A17B8"/>
    <w:rsid w:val="003A1A76"/>
    <w:rsid w:val="003A1DBE"/>
    <w:rsid w:val="003A1EA2"/>
    <w:rsid w:val="003A21FC"/>
    <w:rsid w:val="003A24F6"/>
    <w:rsid w:val="003A2D52"/>
    <w:rsid w:val="003A3003"/>
    <w:rsid w:val="003A3104"/>
    <w:rsid w:val="003A3111"/>
    <w:rsid w:val="003A3408"/>
    <w:rsid w:val="003A36EB"/>
    <w:rsid w:val="003A3955"/>
    <w:rsid w:val="003A3AED"/>
    <w:rsid w:val="003A419A"/>
    <w:rsid w:val="003A4362"/>
    <w:rsid w:val="003A4752"/>
    <w:rsid w:val="003A4774"/>
    <w:rsid w:val="003A4791"/>
    <w:rsid w:val="003A4817"/>
    <w:rsid w:val="003A495E"/>
    <w:rsid w:val="003A4979"/>
    <w:rsid w:val="003A54A2"/>
    <w:rsid w:val="003A553A"/>
    <w:rsid w:val="003A559E"/>
    <w:rsid w:val="003A5843"/>
    <w:rsid w:val="003A5870"/>
    <w:rsid w:val="003A6C61"/>
    <w:rsid w:val="003A6E43"/>
    <w:rsid w:val="003A7311"/>
    <w:rsid w:val="003A7338"/>
    <w:rsid w:val="003A745F"/>
    <w:rsid w:val="003A746B"/>
    <w:rsid w:val="003A75E0"/>
    <w:rsid w:val="003B00EE"/>
    <w:rsid w:val="003B0D79"/>
    <w:rsid w:val="003B1291"/>
    <w:rsid w:val="003B148D"/>
    <w:rsid w:val="003B1C58"/>
    <w:rsid w:val="003B2738"/>
    <w:rsid w:val="003B2A11"/>
    <w:rsid w:val="003B2A8F"/>
    <w:rsid w:val="003B302E"/>
    <w:rsid w:val="003B34A9"/>
    <w:rsid w:val="003B36CD"/>
    <w:rsid w:val="003B3931"/>
    <w:rsid w:val="003B397B"/>
    <w:rsid w:val="003B3AC6"/>
    <w:rsid w:val="003B42B5"/>
    <w:rsid w:val="003B4464"/>
    <w:rsid w:val="003B4642"/>
    <w:rsid w:val="003B4B46"/>
    <w:rsid w:val="003B5468"/>
    <w:rsid w:val="003B5ADA"/>
    <w:rsid w:val="003B5D94"/>
    <w:rsid w:val="003B6069"/>
    <w:rsid w:val="003B60A8"/>
    <w:rsid w:val="003B61E5"/>
    <w:rsid w:val="003B63BB"/>
    <w:rsid w:val="003B7984"/>
    <w:rsid w:val="003B7AC4"/>
    <w:rsid w:val="003B7E90"/>
    <w:rsid w:val="003C00AD"/>
    <w:rsid w:val="003C02F8"/>
    <w:rsid w:val="003C102A"/>
    <w:rsid w:val="003C13A4"/>
    <w:rsid w:val="003C1696"/>
    <w:rsid w:val="003C1861"/>
    <w:rsid w:val="003C1975"/>
    <w:rsid w:val="003C1C06"/>
    <w:rsid w:val="003C23C5"/>
    <w:rsid w:val="003C2652"/>
    <w:rsid w:val="003C2783"/>
    <w:rsid w:val="003C2B03"/>
    <w:rsid w:val="003C2DEA"/>
    <w:rsid w:val="003C2E5E"/>
    <w:rsid w:val="003C31C5"/>
    <w:rsid w:val="003C32EF"/>
    <w:rsid w:val="003C38E8"/>
    <w:rsid w:val="003C3C76"/>
    <w:rsid w:val="003C400E"/>
    <w:rsid w:val="003C40F2"/>
    <w:rsid w:val="003C4224"/>
    <w:rsid w:val="003C43B7"/>
    <w:rsid w:val="003C4435"/>
    <w:rsid w:val="003C4581"/>
    <w:rsid w:val="003C49BF"/>
    <w:rsid w:val="003C4ABB"/>
    <w:rsid w:val="003C519C"/>
    <w:rsid w:val="003C53D8"/>
    <w:rsid w:val="003C584C"/>
    <w:rsid w:val="003C5961"/>
    <w:rsid w:val="003C5A32"/>
    <w:rsid w:val="003C5EF4"/>
    <w:rsid w:val="003C5FC8"/>
    <w:rsid w:val="003C6048"/>
    <w:rsid w:val="003C63FD"/>
    <w:rsid w:val="003C65F3"/>
    <w:rsid w:val="003C69EF"/>
    <w:rsid w:val="003C6E16"/>
    <w:rsid w:val="003C6F0A"/>
    <w:rsid w:val="003C7807"/>
    <w:rsid w:val="003C7B34"/>
    <w:rsid w:val="003C7CCD"/>
    <w:rsid w:val="003D05FB"/>
    <w:rsid w:val="003D07F9"/>
    <w:rsid w:val="003D0878"/>
    <w:rsid w:val="003D0890"/>
    <w:rsid w:val="003D08D1"/>
    <w:rsid w:val="003D0BD9"/>
    <w:rsid w:val="003D0E63"/>
    <w:rsid w:val="003D15F7"/>
    <w:rsid w:val="003D1863"/>
    <w:rsid w:val="003D1CAD"/>
    <w:rsid w:val="003D1E78"/>
    <w:rsid w:val="003D249C"/>
    <w:rsid w:val="003D25D0"/>
    <w:rsid w:val="003D279C"/>
    <w:rsid w:val="003D28BE"/>
    <w:rsid w:val="003D2D4D"/>
    <w:rsid w:val="003D2FD5"/>
    <w:rsid w:val="003D3385"/>
    <w:rsid w:val="003D351F"/>
    <w:rsid w:val="003D3945"/>
    <w:rsid w:val="003D3AB4"/>
    <w:rsid w:val="003D3B07"/>
    <w:rsid w:val="003D4403"/>
    <w:rsid w:val="003D47DB"/>
    <w:rsid w:val="003D4A56"/>
    <w:rsid w:val="003D4E09"/>
    <w:rsid w:val="003D517C"/>
    <w:rsid w:val="003D5599"/>
    <w:rsid w:val="003D5E0E"/>
    <w:rsid w:val="003D5F05"/>
    <w:rsid w:val="003D61BE"/>
    <w:rsid w:val="003D6258"/>
    <w:rsid w:val="003D6383"/>
    <w:rsid w:val="003D6477"/>
    <w:rsid w:val="003D6552"/>
    <w:rsid w:val="003D655F"/>
    <w:rsid w:val="003D6625"/>
    <w:rsid w:val="003D682A"/>
    <w:rsid w:val="003D69A1"/>
    <w:rsid w:val="003D69C9"/>
    <w:rsid w:val="003D6DEC"/>
    <w:rsid w:val="003D6DFE"/>
    <w:rsid w:val="003D7156"/>
    <w:rsid w:val="003D7978"/>
    <w:rsid w:val="003D7B46"/>
    <w:rsid w:val="003D7C66"/>
    <w:rsid w:val="003D7F77"/>
    <w:rsid w:val="003E027E"/>
    <w:rsid w:val="003E02DC"/>
    <w:rsid w:val="003E05AF"/>
    <w:rsid w:val="003E0824"/>
    <w:rsid w:val="003E0CD2"/>
    <w:rsid w:val="003E0DF6"/>
    <w:rsid w:val="003E0EFE"/>
    <w:rsid w:val="003E1E71"/>
    <w:rsid w:val="003E209B"/>
    <w:rsid w:val="003E21D5"/>
    <w:rsid w:val="003E24B4"/>
    <w:rsid w:val="003E24CB"/>
    <w:rsid w:val="003E2ADF"/>
    <w:rsid w:val="003E31D4"/>
    <w:rsid w:val="003E36A6"/>
    <w:rsid w:val="003E37A2"/>
    <w:rsid w:val="003E38F6"/>
    <w:rsid w:val="003E3CFC"/>
    <w:rsid w:val="003E3D5C"/>
    <w:rsid w:val="003E3E6B"/>
    <w:rsid w:val="003E4314"/>
    <w:rsid w:val="003E44B8"/>
    <w:rsid w:val="003E4910"/>
    <w:rsid w:val="003E51BD"/>
    <w:rsid w:val="003E5398"/>
    <w:rsid w:val="003E55F2"/>
    <w:rsid w:val="003E598A"/>
    <w:rsid w:val="003E637A"/>
    <w:rsid w:val="003E661E"/>
    <w:rsid w:val="003E6A64"/>
    <w:rsid w:val="003E762D"/>
    <w:rsid w:val="003E7C5E"/>
    <w:rsid w:val="003F0457"/>
    <w:rsid w:val="003F0E64"/>
    <w:rsid w:val="003F1035"/>
    <w:rsid w:val="003F104A"/>
    <w:rsid w:val="003F12DA"/>
    <w:rsid w:val="003F14BC"/>
    <w:rsid w:val="003F1B54"/>
    <w:rsid w:val="003F2168"/>
    <w:rsid w:val="003F2208"/>
    <w:rsid w:val="003F22D9"/>
    <w:rsid w:val="003F2643"/>
    <w:rsid w:val="003F36F1"/>
    <w:rsid w:val="003F3BD5"/>
    <w:rsid w:val="003F3BE5"/>
    <w:rsid w:val="003F3DA9"/>
    <w:rsid w:val="003F44FF"/>
    <w:rsid w:val="003F505D"/>
    <w:rsid w:val="003F5D88"/>
    <w:rsid w:val="003F5DA9"/>
    <w:rsid w:val="003F5E4B"/>
    <w:rsid w:val="003F5E91"/>
    <w:rsid w:val="003F6130"/>
    <w:rsid w:val="003F63C9"/>
    <w:rsid w:val="003F6CCB"/>
    <w:rsid w:val="003F6DC8"/>
    <w:rsid w:val="003F73EE"/>
    <w:rsid w:val="003F78B7"/>
    <w:rsid w:val="003F79B9"/>
    <w:rsid w:val="003F7A8E"/>
    <w:rsid w:val="003F7D66"/>
    <w:rsid w:val="00400626"/>
    <w:rsid w:val="0040085E"/>
    <w:rsid w:val="00400967"/>
    <w:rsid w:val="00400B67"/>
    <w:rsid w:val="00400E13"/>
    <w:rsid w:val="00401C35"/>
    <w:rsid w:val="00401D6B"/>
    <w:rsid w:val="00401E3C"/>
    <w:rsid w:val="004028FC"/>
    <w:rsid w:val="00402B79"/>
    <w:rsid w:val="00402DE6"/>
    <w:rsid w:val="00403294"/>
    <w:rsid w:val="0040329A"/>
    <w:rsid w:val="004039DF"/>
    <w:rsid w:val="00403C0F"/>
    <w:rsid w:val="00403E0A"/>
    <w:rsid w:val="0040433E"/>
    <w:rsid w:val="00404542"/>
    <w:rsid w:val="0040487D"/>
    <w:rsid w:val="00404B3E"/>
    <w:rsid w:val="00404B49"/>
    <w:rsid w:val="004052A3"/>
    <w:rsid w:val="0040564C"/>
    <w:rsid w:val="00405C53"/>
    <w:rsid w:val="00405F6A"/>
    <w:rsid w:val="00406056"/>
    <w:rsid w:val="004064F7"/>
    <w:rsid w:val="00406883"/>
    <w:rsid w:val="00406B37"/>
    <w:rsid w:val="004073A5"/>
    <w:rsid w:val="00407934"/>
    <w:rsid w:val="00407E75"/>
    <w:rsid w:val="00407EA2"/>
    <w:rsid w:val="00407F62"/>
    <w:rsid w:val="004105D1"/>
    <w:rsid w:val="00410A50"/>
    <w:rsid w:val="00410E82"/>
    <w:rsid w:val="00411354"/>
    <w:rsid w:val="004117B7"/>
    <w:rsid w:val="00411BD1"/>
    <w:rsid w:val="00411D06"/>
    <w:rsid w:val="0041204A"/>
    <w:rsid w:val="004128E3"/>
    <w:rsid w:val="00412D3B"/>
    <w:rsid w:val="00413BB9"/>
    <w:rsid w:val="004142F8"/>
    <w:rsid w:val="00414521"/>
    <w:rsid w:val="004145B2"/>
    <w:rsid w:val="00414640"/>
    <w:rsid w:val="00414B0A"/>
    <w:rsid w:val="00414DAB"/>
    <w:rsid w:val="00414F32"/>
    <w:rsid w:val="00415FE3"/>
    <w:rsid w:val="004164D9"/>
    <w:rsid w:val="00416729"/>
    <w:rsid w:val="00416B59"/>
    <w:rsid w:val="00416BC1"/>
    <w:rsid w:val="00416C39"/>
    <w:rsid w:val="00416FA1"/>
    <w:rsid w:val="00416FBB"/>
    <w:rsid w:val="00417396"/>
    <w:rsid w:val="004173E7"/>
    <w:rsid w:val="00417792"/>
    <w:rsid w:val="004177F3"/>
    <w:rsid w:val="004202FB"/>
    <w:rsid w:val="004203B1"/>
    <w:rsid w:val="00420581"/>
    <w:rsid w:val="00420888"/>
    <w:rsid w:val="00420A36"/>
    <w:rsid w:val="00421089"/>
    <w:rsid w:val="004210D7"/>
    <w:rsid w:val="00421134"/>
    <w:rsid w:val="0042116F"/>
    <w:rsid w:val="004226E0"/>
    <w:rsid w:val="00422B0C"/>
    <w:rsid w:val="00422D28"/>
    <w:rsid w:val="004236A8"/>
    <w:rsid w:val="004239F6"/>
    <w:rsid w:val="00423CDB"/>
    <w:rsid w:val="00424634"/>
    <w:rsid w:val="00424E10"/>
    <w:rsid w:val="004250D8"/>
    <w:rsid w:val="004254CB"/>
    <w:rsid w:val="0042575F"/>
    <w:rsid w:val="004259E2"/>
    <w:rsid w:val="004260D1"/>
    <w:rsid w:val="0042654B"/>
    <w:rsid w:val="004269CA"/>
    <w:rsid w:val="00426AC4"/>
    <w:rsid w:val="00426D1C"/>
    <w:rsid w:val="00426E70"/>
    <w:rsid w:val="00427509"/>
    <w:rsid w:val="00427754"/>
    <w:rsid w:val="00427E24"/>
    <w:rsid w:val="00427E61"/>
    <w:rsid w:val="00430A90"/>
    <w:rsid w:val="00430EC0"/>
    <w:rsid w:val="00431372"/>
    <w:rsid w:val="00431540"/>
    <w:rsid w:val="004318E7"/>
    <w:rsid w:val="0043196F"/>
    <w:rsid w:val="00431DC9"/>
    <w:rsid w:val="00431E6D"/>
    <w:rsid w:val="00432143"/>
    <w:rsid w:val="00432214"/>
    <w:rsid w:val="004323C6"/>
    <w:rsid w:val="0043258F"/>
    <w:rsid w:val="004325A7"/>
    <w:rsid w:val="00432602"/>
    <w:rsid w:val="004327B0"/>
    <w:rsid w:val="00432D8D"/>
    <w:rsid w:val="00432DEA"/>
    <w:rsid w:val="00432E2E"/>
    <w:rsid w:val="004333F8"/>
    <w:rsid w:val="004337F0"/>
    <w:rsid w:val="0043399D"/>
    <w:rsid w:val="00433FD9"/>
    <w:rsid w:val="0043419B"/>
    <w:rsid w:val="004341EB"/>
    <w:rsid w:val="004345D5"/>
    <w:rsid w:val="00434FB7"/>
    <w:rsid w:val="00435553"/>
    <w:rsid w:val="0043564D"/>
    <w:rsid w:val="00435B0C"/>
    <w:rsid w:val="00435C78"/>
    <w:rsid w:val="00435D20"/>
    <w:rsid w:val="00436400"/>
    <w:rsid w:val="00436BFE"/>
    <w:rsid w:val="004370F0"/>
    <w:rsid w:val="00437599"/>
    <w:rsid w:val="004378B3"/>
    <w:rsid w:val="00437958"/>
    <w:rsid w:val="00437BA4"/>
    <w:rsid w:val="00440786"/>
    <w:rsid w:val="004407B2"/>
    <w:rsid w:val="004408BD"/>
    <w:rsid w:val="00440A46"/>
    <w:rsid w:val="00440D04"/>
    <w:rsid w:val="00440F38"/>
    <w:rsid w:val="00441125"/>
    <w:rsid w:val="00441400"/>
    <w:rsid w:val="004414B7"/>
    <w:rsid w:val="00442344"/>
    <w:rsid w:val="00442483"/>
    <w:rsid w:val="004425FA"/>
    <w:rsid w:val="00442FB7"/>
    <w:rsid w:val="004433F8"/>
    <w:rsid w:val="00443966"/>
    <w:rsid w:val="00443978"/>
    <w:rsid w:val="00443B39"/>
    <w:rsid w:val="00443B71"/>
    <w:rsid w:val="00444096"/>
    <w:rsid w:val="004447EA"/>
    <w:rsid w:val="004449A2"/>
    <w:rsid w:val="00445271"/>
    <w:rsid w:val="00445852"/>
    <w:rsid w:val="00445973"/>
    <w:rsid w:val="00445A76"/>
    <w:rsid w:val="00445B52"/>
    <w:rsid w:val="00445DF3"/>
    <w:rsid w:val="00445E0C"/>
    <w:rsid w:val="004462F0"/>
    <w:rsid w:val="004463CB"/>
    <w:rsid w:val="0044654D"/>
    <w:rsid w:val="0044672C"/>
    <w:rsid w:val="00446780"/>
    <w:rsid w:val="00446834"/>
    <w:rsid w:val="00446DD5"/>
    <w:rsid w:val="00446F74"/>
    <w:rsid w:val="004474F8"/>
    <w:rsid w:val="00447922"/>
    <w:rsid w:val="004479AF"/>
    <w:rsid w:val="00447B4E"/>
    <w:rsid w:val="004502E7"/>
    <w:rsid w:val="0045050A"/>
    <w:rsid w:val="00450C25"/>
    <w:rsid w:val="0045101C"/>
    <w:rsid w:val="00451469"/>
    <w:rsid w:val="00452085"/>
    <w:rsid w:val="00452461"/>
    <w:rsid w:val="0045276D"/>
    <w:rsid w:val="00452770"/>
    <w:rsid w:val="0045296E"/>
    <w:rsid w:val="00452CCF"/>
    <w:rsid w:val="004532D7"/>
    <w:rsid w:val="004533EA"/>
    <w:rsid w:val="0045365B"/>
    <w:rsid w:val="004537FA"/>
    <w:rsid w:val="00453BEE"/>
    <w:rsid w:val="004540CA"/>
    <w:rsid w:val="0045419C"/>
    <w:rsid w:val="00454498"/>
    <w:rsid w:val="004546E1"/>
    <w:rsid w:val="00454E06"/>
    <w:rsid w:val="0045582B"/>
    <w:rsid w:val="004560D1"/>
    <w:rsid w:val="0045627A"/>
    <w:rsid w:val="00456344"/>
    <w:rsid w:val="00456969"/>
    <w:rsid w:val="00457725"/>
    <w:rsid w:val="00457F4D"/>
    <w:rsid w:val="00460860"/>
    <w:rsid w:val="00460A20"/>
    <w:rsid w:val="00460A58"/>
    <w:rsid w:val="00460D69"/>
    <w:rsid w:val="00460FCE"/>
    <w:rsid w:val="004610E9"/>
    <w:rsid w:val="004612EB"/>
    <w:rsid w:val="004612FF"/>
    <w:rsid w:val="00461326"/>
    <w:rsid w:val="0046147F"/>
    <w:rsid w:val="00461F2A"/>
    <w:rsid w:val="00461F2E"/>
    <w:rsid w:val="00461F8B"/>
    <w:rsid w:val="0046266B"/>
    <w:rsid w:val="00462B0A"/>
    <w:rsid w:val="00462CC3"/>
    <w:rsid w:val="0046312A"/>
    <w:rsid w:val="004632DE"/>
    <w:rsid w:val="004638D2"/>
    <w:rsid w:val="004641D1"/>
    <w:rsid w:val="004641F3"/>
    <w:rsid w:val="0046451B"/>
    <w:rsid w:val="00464C91"/>
    <w:rsid w:val="00464E7A"/>
    <w:rsid w:val="00464FFC"/>
    <w:rsid w:val="0046527B"/>
    <w:rsid w:val="00465597"/>
    <w:rsid w:val="004656DC"/>
    <w:rsid w:val="00465C1F"/>
    <w:rsid w:val="0046630C"/>
    <w:rsid w:val="004666FC"/>
    <w:rsid w:val="00466B86"/>
    <w:rsid w:val="00466C21"/>
    <w:rsid w:val="00467292"/>
    <w:rsid w:val="0046740D"/>
    <w:rsid w:val="00467BCD"/>
    <w:rsid w:val="00467D4D"/>
    <w:rsid w:val="00467E1D"/>
    <w:rsid w:val="00467F57"/>
    <w:rsid w:val="004711BF"/>
    <w:rsid w:val="00471353"/>
    <w:rsid w:val="00471515"/>
    <w:rsid w:val="0047153F"/>
    <w:rsid w:val="0047180E"/>
    <w:rsid w:val="004718F8"/>
    <w:rsid w:val="00471959"/>
    <w:rsid w:val="004719C3"/>
    <w:rsid w:val="00471AD5"/>
    <w:rsid w:val="00471D30"/>
    <w:rsid w:val="00471DC3"/>
    <w:rsid w:val="00471FF3"/>
    <w:rsid w:val="00472492"/>
    <w:rsid w:val="00472852"/>
    <w:rsid w:val="0047288D"/>
    <w:rsid w:val="00472EB7"/>
    <w:rsid w:val="00472FB1"/>
    <w:rsid w:val="004731B8"/>
    <w:rsid w:val="00473440"/>
    <w:rsid w:val="00473617"/>
    <w:rsid w:val="00473CC9"/>
    <w:rsid w:val="00473F85"/>
    <w:rsid w:val="00473FC0"/>
    <w:rsid w:val="0047401E"/>
    <w:rsid w:val="00474086"/>
    <w:rsid w:val="0047431E"/>
    <w:rsid w:val="0047438B"/>
    <w:rsid w:val="00474545"/>
    <w:rsid w:val="00474CBA"/>
    <w:rsid w:val="00474E1B"/>
    <w:rsid w:val="004755CF"/>
    <w:rsid w:val="00475823"/>
    <w:rsid w:val="004760A7"/>
    <w:rsid w:val="004760FF"/>
    <w:rsid w:val="0047617F"/>
    <w:rsid w:val="00476386"/>
    <w:rsid w:val="004773A2"/>
    <w:rsid w:val="00477472"/>
    <w:rsid w:val="00477595"/>
    <w:rsid w:val="00477623"/>
    <w:rsid w:val="00477656"/>
    <w:rsid w:val="00477B2E"/>
    <w:rsid w:val="00477EEB"/>
    <w:rsid w:val="004800C2"/>
    <w:rsid w:val="0048023E"/>
    <w:rsid w:val="0048034E"/>
    <w:rsid w:val="0048042B"/>
    <w:rsid w:val="00480828"/>
    <w:rsid w:val="0048082C"/>
    <w:rsid w:val="004808DE"/>
    <w:rsid w:val="004809BC"/>
    <w:rsid w:val="0048155D"/>
    <w:rsid w:val="004821C2"/>
    <w:rsid w:val="00482642"/>
    <w:rsid w:val="00482652"/>
    <w:rsid w:val="004830FE"/>
    <w:rsid w:val="004832D9"/>
    <w:rsid w:val="00483808"/>
    <w:rsid w:val="00483AEB"/>
    <w:rsid w:val="00483E29"/>
    <w:rsid w:val="00484746"/>
    <w:rsid w:val="0048477B"/>
    <w:rsid w:val="00485139"/>
    <w:rsid w:val="004852EB"/>
    <w:rsid w:val="004853A6"/>
    <w:rsid w:val="00485533"/>
    <w:rsid w:val="004857EA"/>
    <w:rsid w:val="0048581E"/>
    <w:rsid w:val="00485832"/>
    <w:rsid w:val="004858D1"/>
    <w:rsid w:val="0048662D"/>
    <w:rsid w:val="00486729"/>
    <w:rsid w:val="004868AF"/>
    <w:rsid w:val="0048692D"/>
    <w:rsid w:val="00486ED1"/>
    <w:rsid w:val="00487101"/>
    <w:rsid w:val="0048726E"/>
    <w:rsid w:val="00487382"/>
    <w:rsid w:val="0048739B"/>
    <w:rsid w:val="004877B6"/>
    <w:rsid w:val="00490242"/>
    <w:rsid w:val="004904A7"/>
    <w:rsid w:val="00490589"/>
    <w:rsid w:val="004909A1"/>
    <w:rsid w:val="00490CFD"/>
    <w:rsid w:val="004916B6"/>
    <w:rsid w:val="0049176E"/>
    <w:rsid w:val="00491925"/>
    <w:rsid w:val="004921C4"/>
    <w:rsid w:val="0049225D"/>
    <w:rsid w:val="004922EB"/>
    <w:rsid w:val="004926E1"/>
    <w:rsid w:val="00492928"/>
    <w:rsid w:val="00492BD3"/>
    <w:rsid w:val="004933C2"/>
    <w:rsid w:val="00493739"/>
    <w:rsid w:val="00493C80"/>
    <w:rsid w:val="00494029"/>
    <w:rsid w:val="004952A1"/>
    <w:rsid w:val="00495370"/>
    <w:rsid w:val="00495722"/>
    <w:rsid w:val="00495B34"/>
    <w:rsid w:val="00495BAC"/>
    <w:rsid w:val="00495D53"/>
    <w:rsid w:val="004960F5"/>
    <w:rsid w:val="004960FA"/>
    <w:rsid w:val="004962E2"/>
    <w:rsid w:val="0049653B"/>
    <w:rsid w:val="004969C0"/>
    <w:rsid w:val="00496BB0"/>
    <w:rsid w:val="00496BC1"/>
    <w:rsid w:val="004970DC"/>
    <w:rsid w:val="004979B8"/>
    <w:rsid w:val="00497B50"/>
    <w:rsid w:val="00497CDE"/>
    <w:rsid w:val="00497F62"/>
    <w:rsid w:val="004A00FE"/>
    <w:rsid w:val="004A03C5"/>
    <w:rsid w:val="004A060B"/>
    <w:rsid w:val="004A0683"/>
    <w:rsid w:val="004A0A67"/>
    <w:rsid w:val="004A15D3"/>
    <w:rsid w:val="004A189E"/>
    <w:rsid w:val="004A2133"/>
    <w:rsid w:val="004A22B3"/>
    <w:rsid w:val="004A22DF"/>
    <w:rsid w:val="004A22F5"/>
    <w:rsid w:val="004A258B"/>
    <w:rsid w:val="004A27F9"/>
    <w:rsid w:val="004A2853"/>
    <w:rsid w:val="004A2E67"/>
    <w:rsid w:val="004A3226"/>
    <w:rsid w:val="004A3E8A"/>
    <w:rsid w:val="004A43F5"/>
    <w:rsid w:val="004A446A"/>
    <w:rsid w:val="004A4896"/>
    <w:rsid w:val="004A48D7"/>
    <w:rsid w:val="004A4973"/>
    <w:rsid w:val="004A4A8E"/>
    <w:rsid w:val="004A4E4B"/>
    <w:rsid w:val="004A52A0"/>
    <w:rsid w:val="004A6099"/>
    <w:rsid w:val="004A6623"/>
    <w:rsid w:val="004A670D"/>
    <w:rsid w:val="004A6802"/>
    <w:rsid w:val="004A6993"/>
    <w:rsid w:val="004A6BAE"/>
    <w:rsid w:val="004A71EC"/>
    <w:rsid w:val="004A74A7"/>
    <w:rsid w:val="004A7A24"/>
    <w:rsid w:val="004A7E65"/>
    <w:rsid w:val="004B0002"/>
    <w:rsid w:val="004B008D"/>
    <w:rsid w:val="004B053C"/>
    <w:rsid w:val="004B05FC"/>
    <w:rsid w:val="004B09C7"/>
    <w:rsid w:val="004B0AC0"/>
    <w:rsid w:val="004B0CD5"/>
    <w:rsid w:val="004B0CDF"/>
    <w:rsid w:val="004B10D9"/>
    <w:rsid w:val="004B1364"/>
    <w:rsid w:val="004B18E2"/>
    <w:rsid w:val="004B195F"/>
    <w:rsid w:val="004B19FB"/>
    <w:rsid w:val="004B1C4D"/>
    <w:rsid w:val="004B2058"/>
    <w:rsid w:val="004B25F6"/>
    <w:rsid w:val="004B287C"/>
    <w:rsid w:val="004B2F14"/>
    <w:rsid w:val="004B38BB"/>
    <w:rsid w:val="004B3A33"/>
    <w:rsid w:val="004B3F63"/>
    <w:rsid w:val="004B41DF"/>
    <w:rsid w:val="004B41FD"/>
    <w:rsid w:val="004B4482"/>
    <w:rsid w:val="004B4519"/>
    <w:rsid w:val="004B47B4"/>
    <w:rsid w:val="004B4926"/>
    <w:rsid w:val="004B493A"/>
    <w:rsid w:val="004B4B2D"/>
    <w:rsid w:val="004B4ED7"/>
    <w:rsid w:val="004B4F10"/>
    <w:rsid w:val="004B5048"/>
    <w:rsid w:val="004B5834"/>
    <w:rsid w:val="004B5BD1"/>
    <w:rsid w:val="004B5C0F"/>
    <w:rsid w:val="004B6191"/>
    <w:rsid w:val="004B6461"/>
    <w:rsid w:val="004B7546"/>
    <w:rsid w:val="004B78C6"/>
    <w:rsid w:val="004B7B14"/>
    <w:rsid w:val="004B7C5F"/>
    <w:rsid w:val="004B7C89"/>
    <w:rsid w:val="004C0673"/>
    <w:rsid w:val="004C06E9"/>
    <w:rsid w:val="004C0766"/>
    <w:rsid w:val="004C098C"/>
    <w:rsid w:val="004C0EF0"/>
    <w:rsid w:val="004C0F2F"/>
    <w:rsid w:val="004C1170"/>
    <w:rsid w:val="004C12D8"/>
    <w:rsid w:val="004C13F7"/>
    <w:rsid w:val="004C15FF"/>
    <w:rsid w:val="004C1713"/>
    <w:rsid w:val="004C18A4"/>
    <w:rsid w:val="004C1C2B"/>
    <w:rsid w:val="004C1F31"/>
    <w:rsid w:val="004C2272"/>
    <w:rsid w:val="004C2349"/>
    <w:rsid w:val="004C2758"/>
    <w:rsid w:val="004C2A1D"/>
    <w:rsid w:val="004C2E8C"/>
    <w:rsid w:val="004C3028"/>
    <w:rsid w:val="004C3B49"/>
    <w:rsid w:val="004C3D65"/>
    <w:rsid w:val="004C42C6"/>
    <w:rsid w:val="004C4AD6"/>
    <w:rsid w:val="004C5447"/>
    <w:rsid w:val="004C56C3"/>
    <w:rsid w:val="004C5816"/>
    <w:rsid w:val="004C5B5D"/>
    <w:rsid w:val="004C5DA5"/>
    <w:rsid w:val="004C5FF5"/>
    <w:rsid w:val="004C61C6"/>
    <w:rsid w:val="004C64BB"/>
    <w:rsid w:val="004C683D"/>
    <w:rsid w:val="004C692D"/>
    <w:rsid w:val="004C69BC"/>
    <w:rsid w:val="004C6EED"/>
    <w:rsid w:val="004C704B"/>
    <w:rsid w:val="004C7089"/>
    <w:rsid w:val="004C71B7"/>
    <w:rsid w:val="004C73B2"/>
    <w:rsid w:val="004C762D"/>
    <w:rsid w:val="004C7A03"/>
    <w:rsid w:val="004C7E06"/>
    <w:rsid w:val="004D0D2C"/>
    <w:rsid w:val="004D101F"/>
    <w:rsid w:val="004D13EE"/>
    <w:rsid w:val="004D1567"/>
    <w:rsid w:val="004D1774"/>
    <w:rsid w:val="004D1831"/>
    <w:rsid w:val="004D1AD5"/>
    <w:rsid w:val="004D1ADA"/>
    <w:rsid w:val="004D1B24"/>
    <w:rsid w:val="004D1BF8"/>
    <w:rsid w:val="004D1E96"/>
    <w:rsid w:val="004D2045"/>
    <w:rsid w:val="004D25D6"/>
    <w:rsid w:val="004D2793"/>
    <w:rsid w:val="004D2855"/>
    <w:rsid w:val="004D32AE"/>
    <w:rsid w:val="004D3300"/>
    <w:rsid w:val="004D36D2"/>
    <w:rsid w:val="004D3965"/>
    <w:rsid w:val="004D3BA5"/>
    <w:rsid w:val="004D3D4B"/>
    <w:rsid w:val="004D3F1C"/>
    <w:rsid w:val="004D3F81"/>
    <w:rsid w:val="004D4023"/>
    <w:rsid w:val="004D4255"/>
    <w:rsid w:val="004D4D8B"/>
    <w:rsid w:val="004D4F8B"/>
    <w:rsid w:val="004D5238"/>
    <w:rsid w:val="004D54F8"/>
    <w:rsid w:val="004D5652"/>
    <w:rsid w:val="004D566B"/>
    <w:rsid w:val="004D56AA"/>
    <w:rsid w:val="004D5AA2"/>
    <w:rsid w:val="004D5D2C"/>
    <w:rsid w:val="004D5FDD"/>
    <w:rsid w:val="004D6118"/>
    <w:rsid w:val="004D62E7"/>
    <w:rsid w:val="004D6498"/>
    <w:rsid w:val="004D6A5B"/>
    <w:rsid w:val="004D6D70"/>
    <w:rsid w:val="004D7244"/>
    <w:rsid w:val="004D7705"/>
    <w:rsid w:val="004D7779"/>
    <w:rsid w:val="004D7BE9"/>
    <w:rsid w:val="004D7FA9"/>
    <w:rsid w:val="004E03F9"/>
    <w:rsid w:val="004E07B3"/>
    <w:rsid w:val="004E0AF9"/>
    <w:rsid w:val="004E0FC2"/>
    <w:rsid w:val="004E0FE7"/>
    <w:rsid w:val="004E103E"/>
    <w:rsid w:val="004E135B"/>
    <w:rsid w:val="004E138D"/>
    <w:rsid w:val="004E1694"/>
    <w:rsid w:val="004E1728"/>
    <w:rsid w:val="004E1C1F"/>
    <w:rsid w:val="004E20E1"/>
    <w:rsid w:val="004E227D"/>
    <w:rsid w:val="004E23B8"/>
    <w:rsid w:val="004E2853"/>
    <w:rsid w:val="004E2DE3"/>
    <w:rsid w:val="004E318A"/>
    <w:rsid w:val="004E3C01"/>
    <w:rsid w:val="004E3C71"/>
    <w:rsid w:val="004E3D35"/>
    <w:rsid w:val="004E43BE"/>
    <w:rsid w:val="004E4416"/>
    <w:rsid w:val="004E449E"/>
    <w:rsid w:val="004E487D"/>
    <w:rsid w:val="004E4A38"/>
    <w:rsid w:val="004E5838"/>
    <w:rsid w:val="004E5AE7"/>
    <w:rsid w:val="004E5BC2"/>
    <w:rsid w:val="004E5C0A"/>
    <w:rsid w:val="004E5D24"/>
    <w:rsid w:val="004E5E98"/>
    <w:rsid w:val="004E64F3"/>
    <w:rsid w:val="004E64F6"/>
    <w:rsid w:val="004E67D1"/>
    <w:rsid w:val="004E6C4A"/>
    <w:rsid w:val="004E6E35"/>
    <w:rsid w:val="004E6FE1"/>
    <w:rsid w:val="004E703B"/>
    <w:rsid w:val="004E73A8"/>
    <w:rsid w:val="004E76A4"/>
    <w:rsid w:val="004E77D3"/>
    <w:rsid w:val="004E78A4"/>
    <w:rsid w:val="004E7A78"/>
    <w:rsid w:val="004E7C85"/>
    <w:rsid w:val="004E7E19"/>
    <w:rsid w:val="004F0657"/>
    <w:rsid w:val="004F0974"/>
    <w:rsid w:val="004F0976"/>
    <w:rsid w:val="004F113C"/>
    <w:rsid w:val="004F11ED"/>
    <w:rsid w:val="004F1469"/>
    <w:rsid w:val="004F157F"/>
    <w:rsid w:val="004F1C9A"/>
    <w:rsid w:val="004F1D85"/>
    <w:rsid w:val="004F1E20"/>
    <w:rsid w:val="004F1F08"/>
    <w:rsid w:val="004F2059"/>
    <w:rsid w:val="004F24C0"/>
    <w:rsid w:val="004F24CA"/>
    <w:rsid w:val="004F3065"/>
    <w:rsid w:val="004F30EB"/>
    <w:rsid w:val="004F3227"/>
    <w:rsid w:val="004F3296"/>
    <w:rsid w:val="004F3C9F"/>
    <w:rsid w:val="004F3F1A"/>
    <w:rsid w:val="004F4EDB"/>
    <w:rsid w:val="004F4EE8"/>
    <w:rsid w:val="004F585B"/>
    <w:rsid w:val="004F5BD8"/>
    <w:rsid w:val="004F5FC7"/>
    <w:rsid w:val="004F64C2"/>
    <w:rsid w:val="004F64ED"/>
    <w:rsid w:val="004F6644"/>
    <w:rsid w:val="004F6C7A"/>
    <w:rsid w:val="004F703F"/>
    <w:rsid w:val="004F7174"/>
    <w:rsid w:val="004F7BA8"/>
    <w:rsid w:val="005006F4"/>
    <w:rsid w:val="005009FA"/>
    <w:rsid w:val="00500E57"/>
    <w:rsid w:val="00500F07"/>
    <w:rsid w:val="005017E2"/>
    <w:rsid w:val="00501E0D"/>
    <w:rsid w:val="00501F46"/>
    <w:rsid w:val="0050244F"/>
    <w:rsid w:val="005024B4"/>
    <w:rsid w:val="0050260D"/>
    <w:rsid w:val="0050266A"/>
    <w:rsid w:val="005026E3"/>
    <w:rsid w:val="005026F0"/>
    <w:rsid w:val="00502CE5"/>
    <w:rsid w:val="00503512"/>
    <w:rsid w:val="0050351D"/>
    <w:rsid w:val="00503B1A"/>
    <w:rsid w:val="00503BB8"/>
    <w:rsid w:val="00503E4D"/>
    <w:rsid w:val="0050480C"/>
    <w:rsid w:val="00504B3C"/>
    <w:rsid w:val="0050561A"/>
    <w:rsid w:val="00505E80"/>
    <w:rsid w:val="00506254"/>
    <w:rsid w:val="0050635E"/>
    <w:rsid w:val="00506C39"/>
    <w:rsid w:val="0051011E"/>
    <w:rsid w:val="0051080A"/>
    <w:rsid w:val="0051097A"/>
    <w:rsid w:val="00510B48"/>
    <w:rsid w:val="00510B76"/>
    <w:rsid w:val="00510C80"/>
    <w:rsid w:val="0051105D"/>
    <w:rsid w:val="0051108C"/>
    <w:rsid w:val="005110F0"/>
    <w:rsid w:val="00511329"/>
    <w:rsid w:val="00511CA4"/>
    <w:rsid w:val="00511DAE"/>
    <w:rsid w:val="005121E3"/>
    <w:rsid w:val="0051229D"/>
    <w:rsid w:val="0051261D"/>
    <w:rsid w:val="00512B04"/>
    <w:rsid w:val="0051303E"/>
    <w:rsid w:val="00513A11"/>
    <w:rsid w:val="005141E9"/>
    <w:rsid w:val="00514488"/>
    <w:rsid w:val="0051462E"/>
    <w:rsid w:val="0051470D"/>
    <w:rsid w:val="0051490C"/>
    <w:rsid w:val="00514A98"/>
    <w:rsid w:val="00514ABC"/>
    <w:rsid w:val="00514D5D"/>
    <w:rsid w:val="00514E96"/>
    <w:rsid w:val="0051505B"/>
    <w:rsid w:val="0051535D"/>
    <w:rsid w:val="00515394"/>
    <w:rsid w:val="00515B1F"/>
    <w:rsid w:val="00515E62"/>
    <w:rsid w:val="00516799"/>
    <w:rsid w:val="00516C75"/>
    <w:rsid w:val="00516F1B"/>
    <w:rsid w:val="005173D2"/>
    <w:rsid w:val="005174D1"/>
    <w:rsid w:val="005179C9"/>
    <w:rsid w:val="00517C9A"/>
    <w:rsid w:val="00520076"/>
    <w:rsid w:val="005201F5"/>
    <w:rsid w:val="005205C2"/>
    <w:rsid w:val="005207E5"/>
    <w:rsid w:val="00520B31"/>
    <w:rsid w:val="00520DF0"/>
    <w:rsid w:val="005211FA"/>
    <w:rsid w:val="00521265"/>
    <w:rsid w:val="005216C8"/>
    <w:rsid w:val="00521AAB"/>
    <w:rsid w:val="005220B2"/>
    <w:rsid w:val="005221BC"/>
    <w:rsid w:val="0052220F"/>
    <w:rsid w:val="005222F1"/>
    <w:rsid w:val="005228E8"/>
    <w:rsid w:val="005229F9"/>
    <w:rsid w:val="00522AB6"/>
    <w:rsid w:val="00522D29"/>
    <w:rsid w:val="00522E81"/>
    <w:rsid w:val="00522ED9"/>
    <w:rsid w:val="005233CE"/>
    <w:rsid w:val="0052386F"/>
    <w:rsid w:val="00523B2D"/>
    <w:rsid w:val="005243F4"/>
    <w:rsid w:val="00524545"/>
    <w:rsid w:val="005248BD"/>
    <w:rsid w:val="00524928"/>
    <w:rsid w:val="005249F9"/>
    <w:rsid w:val="00524A73"/>
    <w:rsid w:val="00524B24"/>
    <w:rsid w:val="00524B4E"/>
    <w:rsid w:val="00524DAF"/>
    <w:rsid w:val="0052500E"/>
    <w:rsid w:val="0052516C"/>
    <w:rsid w:val="0052529B"/>
    <w:rsid w:val="0052591F"/>
    <w:rsid w:val="00525A5F"/>
    <w:rsid w:val="0052622A"/>
    <w:rsid w:val="00526286"/>
    <w:rsid w:val="0052692F"/>
    <w:rsid w:val="00526BB8"/>
    <w:rsid w:val="00526CD1"/>
    <w:rsid w:val="00526E68"/>
    <w:rsid w:val="0052717D"/>
    <w:rsid w:val="00527382"/>
    <w:rsid w:val="00527B79"/>
    <w:rsid w:val="00527BF9"/>
    <w:rsid w:val="00527D66"/>
    <w:rsid w:val="00527EE6"/>
    <w:rsid w:val="00527F03"/>
    <w:rsid w:val="00527F13"/>
    <w:rsid w:val="00527F5A"/>
    <w:rsid w:val="00527FD3"/>
    <w:rsid w:val="00530250"/>
    <w:rsid w:val="00530285"/>
    <w:rsid w:val="005303B2"/>
    <w:rsid w:val="005306ED"/>
    <w:rsid w:val="005307F6"/>
    <w:rsid w:val="0053099F"/>
    <w:rsid w:val="005309AD"/>
    <w:rsid w:val="00530C41"/>
    <w:rsid w:val="00530CA5"/>
    <w:rsid w:val="00530E37"/>
    <w:rsid w:val="00530E44"/>
    <w:rsid w:val="00530EAE"/>
    <w:rsid w:val="00530F47"/>
    <w:rsid w:val="0053176B"/>
    <w:rsid w:val="0053197E"/>
    <w:rsid w:val="00531B91"/>
    <w:rsid w:val="0053257C"/>
    <w:rsid w:val="00532768"/>
    <w:rsid w:val="00532936"/>
    <w:rsid w:val="00532B4A"/>
    <w:rsid w:val="00532C14"/>
    <w:rsid w:val="00532CBC"/>
    <w:rsid w:val="00532E79"/>
    <w:rsid w:val="00532F10"/>
    <w:rsid w:val="005333F2"/>
    <w:rsid w:val="0053409D"/>
    <w:rsid w:val="00534658"/>
    <w:rsid w:val="005349B2"/>
    <w:rsid w:val="00534A88"/>
    <w:rsid w:val="00534A95"/>
    <w:rsid w:val="0053515F"/>
    <w:rsid w:val="0053534C"/>
    <w:rsid w:val="00535699"/>
    <w:rsid w:val="005357BA"/>
    <w:rsid w:val="00535BC9"/>
    <w:rsid w:val="0053632F"/>
    <w:rsid w:val="0053659D"/>
    <w:rsid w:val="005369BF"/>
    <w:rsid w:val="00536CFF"/>
    <w:rsid w:val="00536E00"/>
    <w:rsid w:val="005371F7"/>
    <w:rsid w:val="00537395"/>
    <w:rsid w:val="0053771D"/>
    <w:rsid w:val="005377F2"/>
    <w:rsid w:val="00537E80"/>
    <w:rsid w:val="0054082A"/>
    <w:rsid w:val="00540A06"/>
    <w:rsid w:val="00540B98"/>
    <w:rsid w:val="00540E9D"/>
    <w:rsid w:val="0054136E"/>
    <w:rsid w:val="0054146A"/>
    <w:rsid w:val="00541B1F"/>
    <w:rsid w:val="0054244D"/>
    <w:rsid w:val="00542950"/>
    <w:rsid w:val="00542A89"/>
    <w:rsid w:val="00542C91"/>
    <w:rsid w:val="00542E0B"/>
    <w:rsid w:val="0054354F"/>
    <w:rsid w:val="00543619"/>
    <w:rsid w:val="00543624"/>
    <w:rsid w:val="00543770"/>
    <w:rsid w:val="0054380A"/>
    <w:rsid w:val="00543D78"/>
    <w:rsid w:val="00544BC7"/>
    <w:rsid w:val="0054504A"/>
    <w:rsid w:val="005451DF"/>
    <w:rsid w:val="00545C14"/>
    <w:rsid w:val="00545CC1"/>
    <w:rsid w:val="0054678C"/>
    <w:rsid w:val="00546A7C"/>
    <w:rsid w:val="00546E31"/>
    <w:rsid w:val="005472AF"/>
    <w:rsid w:val="005472FC"/>
    <w:rsid w:val="00547774"/>
    <w:rsid w:val="005478C9"/>
    <w:rsid w:val="005478D9"/>
    <w:rsid w:val="005479F4"/>
    <w:rsid w:val="00547A0D"/>
    <w:rsid w:val="0055034E"/>
    <w:rsid w:val="0055058B"/>
    <w:rsid w:val="00550935"/>
    <w:rsid w:val="00550CED"/>
    <w:rsid w:val="00550D5A"/>
    <w:rsid w:val="00550D9A"/>
    <w:rsid w:val="00550F48"/>
    <w:rsid w:val="005514B5"/>
    <w:rsid w:val="00551580"/>
    <w:rsid w:val="00551649"/>
    <w:rsid w:val="00551C24"/>
    <w:rsid w:val="00552016"/>
    <w:rsid w:val="005521A3"/>
    <w:rsid w:val="0055276D"/>
    <w:rsid w:val="00552C81"/>
    <w:rsid w:val="00552D0E"/>
    <w:rsid w:val="00552EDD"/>
    <w:rsid w:val="00553151"/>
    <w:rsid w:val="005533D8"/>
    <w:rsid w:val="00554026"/>
    <w:rsid w:val="0055403D"/>
    <w:rsid w:val="005543C0"/>
    <w:rsid w:val="005548A9"/>
    <w:rsid w:val="00554998"/>
    <w:rsid w:val="00554A38"/>
    <w:rsid w:val="00554DB6"/>
    <w:rsid w:val="00555A1F"/>
    <w:rsid w:val="00556047"/>
    <w:rsid w:val="005561C4"/>
    <w:rsid w:val="005561EB"/>
    <w:rsid w:val="00556858"/>
    <w:rsid w:val="00556B37"/>
    <w:rsid w:val="00556C08"/>
    <w:rsid w:val="00556C0C"/>
    <w:rsid w:val="00556D21"/>
    <w:rsid w:val="00556E36"/>
    <w:rsid w:val="00557202"/>
    <w:rsid w:val="00557499"/>
    <w:rsid w:val="00557D18"/>
    <w:rsid w:val="005600AC"/>
    <w:rsid w:val="00560568"/>
    <w:rsid w:val="00560606"/>
    <w:rsid w:val="00560701"/>
    <w:rsid w:val="00560AF6"/>
    <w:rsid w:val="0056102E"/>
    <w:rsid w:val="00561042"/>
    <w:rsid w:val="0056110A"/>
    <w:rsid w:val="00561DB0"/>
    <w:rsid w:val="00561E71"/>
    <w:rsid w:val="00561E93"/>
    <w:rsid w:val="00562528"/>
    <w:rsid w:val="005628D2"/>
    <w:rsid w:val="00563446"/>
    <w:rsid w:val="0056352B"/>
    <w:rsid w:val="005635A1"/>
    <w:rsid w:val="00564275"/>
    <w:rsid w:val="00564ACF"/>
    <w:rsid w:val="00564DB8"/>
    <w:rsid w:val="00564E11"/>
    <w:rsid w:val="00564E67"/>
    <w:rsid w:val="00565175"/>
    <w:rsid w:val="00565312"/>
    <w:rsid w:val="00566293"/>
    <w:rsid w:val="00566442"/>
    <w:rsid w:val="00566FCB"/>
    <w:rsid w:val="0056721C"/>
    <w:rsid w:val="00567342"/>
    <w:rsid w:val="00567871"/>
    <w:rsid w:val="00567C87"/>
    <w:rsid w:val="005702FF"/>
    <w:rsid w:val="0057045F"/>
    <w:rsid w:val="0057046B"/>
    <w:rsid w:val="005707F3"/>
    <w:rsid w:val="00570A59"/>
    <w:rsid w:val="00570DCC"/>
    <w:rsid w:val="005711FA"/>
    <w:rsid w:val="005715CB"/>
    <w:rsid w:val="005715D5"/>
    <w:rsid w:val="00571B96"/>
    <w:rsid w:val="00571E3C"/>
    <w:rsid w:val="00572153"/>
    <w:rsid w:val="005723F1"/>
    <w:rsid w:val="005728DC"/>
    <w:rsid w:val="00572AE3"/>
    <w:rsid w:val="00572C0C"/>
    <w:rsid w:val="00572CA4"/>
    <w:rsid w:val="00572E28"/>
    <w:rsid w:val="005731C8"/>
    <w:rsid w:val="0057326B"/>
    <w:rsid w:val="00573336"/>
    <w:rsid w:val="005740EE"/>
    <w:rsid w:val="005741E4"/>
    <w:rsid w:val="00574271"/>
    <w:rsid w:val="0057439C"/>
    <w:rsid w:val="0057449A"/>
    <w:rsid w:val="00574990"/>
    <w:rsid w:val="00574995"/>
    <w:rsid w:val="00574B82"/>
    <w:rsid w:val="00574EA9"/>
    <w:rsid w:val="00575EF1"/>
    <w:rsid w:val="00575F2F"/>
    <w:rsid w:val="005760A7"/>
    <w:rsid w:val="0057611F"/>
    <w:rsid w:val="00576175"/>
    <w:rsid w:val="0057694D"/>
    <w:rsid w:val="00576CB9"/>
    <w:rsid w:val="00577651"/>
    <w:rsid w:val="005777E9"/>
    <w:rsid w:val="00577942"/>
    <w:rsid w:val="00577AB1"/>
    <w:rsid w:val="00577EEA"/>
    <w:rsid w:val="005805BB"/>
    <w:rsid w:val="005807EC"/>
    <w:rsid w:val="00580D0D"/>
    <w:rsid w:val="00580D73"/>
    <w:rsid w:val="0058108F"/>
    <w:rsid w:val="00581139"/>
    <w:rsid w:val="0058123B"/>
    <w:rsid w:val="00581454"/>
    <w:rsid w:val="00581A27"/>
    <w:rsid w:val="00581F99"/>
    <w:rsid w:val="0058216F"/>
    <w:rsid w:val="005821CB"/>
    <w:rsid w:val="0058259D"/>
    <w:rsid w:val="00583231"/>
    <w:rsid w:val="00583705"/>
    <w:rsid w:val="00583744"/>
    <w:rsid w:val="00583921"/>
    <w:rsid w:val="00583DE0"/>
    <w:rsid w:val="00584089"/>
    <w:rsid w:val="00584341"/>
    <w:rsid w:val="005855C0"/>
    <w:rsid w:val="0058584A"/>
    <w:rsid w:val="005859F0"/>
    <w:rsid w:val="00585B61"/>
    <w:rsid w:val="00586296"/>
    <w:rsid w:val="005863F5"/>
    <w:rsid w:val="00586514"/>
    <w:rsid w:val="0058671C"/>
    <w:rsid w:val="00586FC2"/>
    <w:rsid w:val="005870BD"/>
    <w:rsid w:val="005870E7"/>
    <w:rsid w:val="0058758F"/>
    <w:rsid w:val="00587EAB"/>
    <w:rsid w:val="00587EAC"/>
    <w:rsid w:val="00590223"/>
    <w:rsid w:val="00590294"/>
    <w:rsid w:val="005906DD"/>
    <w:rsid w:val="0059083E"/>
    <w:rsid w:val="00590BB9"/>
    <w:rsid w:val="00590C87"/>
    <w:rsid w:val="00590DF3"/>
    <w:rsid w:val="00590FB6"/>
    <w:rsid w:val="0059140A"/>
    <w:rsid w:val="00591908"/>
    <w:rsid w:val="00591F55"/>
    <w:rsid w:val="00592028"/>
    <w:rsid w:val="00592490"/>
    <w:rsid w:val="0059261F"/>
    <w:rsid w:val="00592885"/>
    <w:rsid w:val="005929BF"/>
    <w:rsid w:val="00592BAD"/>
    <w:rsid w:val="00593096"/>
    <w:rsid w:val="0059365F"/>
    <w:rsid w:val="0059380F"/>
    <w:rsid w:val="00593EA3"/>
    <w:rsid w:val="0059488C"/>
    <w:rsid w:val="00594A0E"/>
    <w:rsid w:val="00594FD6"/>
    <w:rsid w:val="00594FF8"/>
    <w:rsid w:val="005963F7"/>
    <w:rsid w:val="005969DB"/>
    <w:rsid w:val="00596B9B"/>
    <w:rsid w:val="00596E02"/>
    <w:rsid w:val="0059716F"/>
    <w:rsid w:val="00597628"/>
    <w:rsid w:val="005977CF"/>
    <w:rsid w:val="005978C1"/>
    <w:rsid w:val="00597C6B"/>
    <w:rsid w:val="00597DB8"/>
    <w:rsid w:val="005A0408"/>
    <w:rsid w:val="005A074A"/>
    <w:rsid w:val="005A0A64"/>
    <w:rsid w:val="005A0AA4"/>
    <w:rsid w:val="005A1159"/>
    <w:rsid w:val="005A11EF"/>
    <w:rsid w:val="005A1302"/>
    <w:rsid w:val="005A179D"/>
    <w:rsid w:val="005A19DC"/>
    <w:rsid w:val="005A1CD6"/>
    <w:rsid w:val="005A24DE"/>
    <w:rsid w:val="005A25E7"/>
    <w:rsid w:val="005A2689"/>
    <w:rsid w:val="005A290F"/>
    <w:rsid w:val="005A293D"/>
    <w:rsid w:val="005A29A0"/>
    <w:rsid w:val="005A2A77"/>
    <w:rsid w:val="005A2BFC"/>
    <w:rsid w:val="005A33DD"/>
    <w:rsid w:val="005A3E3C"/>
    <w:rsid w:val="005A41F6"/>
    <w:rsid w:val="005A440D"/>
    <w:rsid w:val="005A44D1"/>
    <w:rsid w:val="005A4E96"/>
    <w:rsid w:val="005A5197"/>
    <w:rsid w:val="005A5238"/>
    <w:rsid w:val="005A55B4"/>
    <w:rsid w:val="005A5C5C"/>
    <w:rsid w:val="005A5FBD"/>
    <w:rsid w:val="005A602B"/>
    <w:rsid w:val="005A6508"/>
    <w:rsid w:val="005A6597"/>
    <w:rsid w:val="005A6612"/>
    <w:rsid w:val="005A670B"/>
    <w:rsid w:val="005A6895"/>
    <w:rsid w:val="005A6C56"/>
    <w:rsid w:val="005A7481"/>
    <w:rsid w:val="005A75E6"/>
    <w:rsid w:val="005A7732"/>
    <w:rsid w:val="005A7798"/>
    <w:rsid w:val="005A7A7A"/>
    <w:rsid w:val="005A7B70"/>
    <w:rsid w:val="005B071D"/>
    <w:rsid w:val="005B07DC"/>
    <w:rsid w:val="005B0831"/>
    <w:rsid w:val="005B0C6C"/>
    <w:rsid w:val="005B0D46"/>
    <w:rsid w:val="005B0D6B"/>
    <w:rsid w:val="005B11F6"/>
    <w:rsid w:val="005B124F"/>
    <w:rsid w:val="005B131B"/>
    <w:rsid w:val="005B13FB"/>
    <w:rsid w:val="005B1636"/>
    <w:rsid w:val="005B1AE1"/>
    <w:rsid w:val="005B1E8C"/>
    <w:rsid w:val="005B1F6E"/>
    <w:rsid w:val="005B2046"/>
    <w:rsid w:val="005B2077"/>
    <w:rsid w:val="005B217E"/>
    <w:rsid w:val="005B21DF"/>
    <w:rsid w:val="005B2597"/>
    <w:rsid w:val="005B2892"/>
    <w:rsid w:val="005B2B9F"/>
    <w:rsid w:val="005B2C72"/>
    <w:rsid w:val="005B2D23"/>
    <w:rsid w:val="005B328B"/>
    <w:rsid w:val="005B35BA"/>
    <w:rsid w:val="005B35F8"/>
    <w:rsid w:val="005B3838"/>
    <w:rsid w:val="005B3A03"/>
    <w:rsid w:val="005B3A10"/>
    <w:rsid w:val="005B3B75"/>
    <w:rsid w:val="005B3D81"/>
    <w:rsid w:val="005B3D95"/>
    <w:rsid w:val="005B43FE"/>
    <w:rsid w:val="005B4403"/>
    <w:rsid w:val="005B4474"/>
    <w:rsid w:val="005B495D"/>
    <w:rsid w:val="005B5013"/>
    <w:rsid w:val="005B5132"/>
    <w:rsid w:val="005B532B"/>
    <w:rsid w:val="005B5750"/>
    <w:rsid w:val="005B5A37"/>
    <w:rsid w:val="005B5A71"/>
    <w:rsid w:val="005B5AD9"/>
    <w:rsid w:val="005B5F01"/>
    <w:rsid w:val="005B6291"/>
    <w:rsid w:val="005B6425"/>
    <w:rsid w:val="005B65F0"/>
    <w:rsid w:val="005B6AB5"/>
    <w:rsid w:val="005B76F2"/>
    <w:rsid w:val="005B7A0E"/>
    <w:rsid w:val="005B7B3B"/>
    <w:rsid w:val="005B7C93"/>
    <w:rsid w:val="005B7DCE"/>
    <w:rsid w:val="005C03E7"/>
    <w:rsid w:val="005C0834"/>
    <w:rsid w:val="005C0881"/>
    <w:rsid w:val="005C0974"/>
    <w:rsid w:val="005C109F"/>
    <w:rsid w:val="005C11E3"/>
    <w:rsid w:val="005C14D2"/>
    <w:rsid w:val="005C1602"/>
    <w:rsid w:val="005C197B"/>
    <w:rsid w:val="005C1A6D"/>
    <w:rsid w:val="005C1AC2"/>
    <w:rsid w:val="005C1C12"/>
    <w:rsid w:val="005C1EED"/>
    <w:rsid w:val="005C2173"/>
    <w:rsid w:val="005C2B7F"/>
    <w:rsid w:val="005C2CDA"/>
    <w:rsid w:val="005C2EC1"/>
    <w:rsid w:val="005C2F86"/>
    <w:rsid w:val="005C306B"/>
    <w:rsid w:val="005C328B"/>
    <w:rsid w:val="005C32C4"/>
    <w:rsid w:val="005C3640"/>
    <w:rsid w:val="005C3887"/>
    <w:rsid w:val="005C38AE"/>
    <w:rsid w:val="005C4729"/>
    <w:rsid w:val="005C4D4C"/>
    <w:rsid w:val="005C4E32"/>
    <w:rsid w:val="005C55BE"/>
    <w:rsid w:val="005C56C7"/>
    <w:rsid w:val="005C5750"/>
    <w:rsid w:val="005C5979"/>
    <w:rsid w:val="005C5B55"/>
    <w:rsid w:val="005C5F45"/>
    <w:rsid w:val="005C66E5"/>
    <w:rsid w:val="005C673D"/>
    <w:rsid w:val="005C6C9C"/>
    <w:rsid w:val="005C6CB3"/>
    <w:rsid w:val="005C704D"/>
    <w:rsid w:val="005C70F2"/>
    <w:rsid w:val="005C73BF"/>
    <w:rsid w:val="005C79DD"/>
    <w:rsid w:val="005C7BCA"/>
    <w:rsid w:val="005C7C9E"/>
    <w:rsid w:val="005C7FE5"/>
    <w:rsid w:val="005D0118"/>
    <w:rsid w:val="005D0DBD"/>
    <w:rsid w:val="005D0E4F"/>
    <w:rsid w:val="005D1226"/>
    <w:rsid w:val="005D1F62"/>
    <w:rsid w:val="005D2211"/>
    <w:rsid w:val="005D2567"/>
    <w:rsid w:val="005D29FF"/>
    <w:rsid w:val="005D34E3"/>
    <w:rsid w:val="005D38EA"/>
    <w:rsid w:val="005D4085"/>
    <w:rsid w:val="005D4252"/>
    <w:rsid w:val="005D4305"/>
    <w:rsid w:val="005D47A9"/>
    <w:rsid w:val="005D48AF"/>
    <w:rsid w:val="005D4B0D"/>
    <w:rsid w:val="005D4CBA"/>
    <w:rsid w:val="005D4F00"/>
    <w:rsid w:val="005D56C7"/>
    <w:rsid w:val="005D5D8C"/>
    <w:rsid w:val="005D65A9"/>
    <w:rsid w:val="005D6AB3"/>
    <w:rsid w:val="005D6C55"/>
    <w:rsid w:val="005D6EC7"/>
    <w:rsid w:val="005D6F26"/>
    <w:rsid w:val="005D6F4C"/>
    <w:rsid w:val="005D729A"/>
    <w:rsid w:val="005D7350"/>
    <w:rsid w:val="005D738B"/>
    <w:rsid w:val="005D791C"/>
    <w:rsid w:val="005D7C76"/>
    <w:rsid w:val="005D7CD4"/>
    <w:rsid w:val="005D7EE9"/>
    <w:rsid w:val="005E0015"/>
    <w:rsid w:val="005E0108"/>
    <w:rsid w:val="005E0264"/>
    <w:rsid w:val="005E04D2"/>
    <w:rsid w:val="005E09F5"/>
    <w:rsid w:val="005E1168"/>
    <w:rsid w:val="005E15F5"/>
    <w:rsid w:val="005E20E6"/>
    <w:rsid w:val="005E249F"/>
    <w:rsid w:val="005E265E"/>
    <w:rsid w:val="005E26D7"/>
    <w:rsid w:val="005E299B"/>
    <w:rsid w:val="005E2A1C"/>
    <w:rsid w:val="005E33C9"/>
    <w:rsid w:val="005E34B5"/>
    <w:rsid w:val="005E3769"/>
    <w:rsid w:val="005E39B4"/>
    <w:rsid w:val="005E3BB9"/>
    <w:rsid w:val="005E3EE9"/>
    <w:rsid w:val="005E4599"/>
    <w:rsid w:val="005E4C5F"/>
    <w:rsid w:val="005E5199"/>
    <w:rsid w:val="005E53F0"/>
    <w:rsid w:val="005E559D"/>
    <w:rsid w:val="005E5647"/>
    <w:rsid w:val="005E565D"/>
    <w:rsid w:val="005E5BDE"/>
    <w:rsid w:val="005E5D8E"/>
    <w:rsid w:val="005E612E"/>
    <w:rsid w:val="005E634C"/>
    <w:rsid w:val="005E65FE"/>
    <w:rsid w:val="005E69F5"/>
    <w:rsid w:val="005E6C38"/>
    <w:rsid w:val="005E6EA6"/>
    <w:rsid w:val="005E6FD2"/>
    <w:rsid w:val="005E7595"/>
    <w:rsid w:val="005E7803"/>
    <w:rsid w:val="005E7CB8"/>
    <w:rsid w:val="005E7DFC"/>
    <w:rsid w:val="005E7EDF"/>
    <w:rsid w:val="005F0023"/>
    <w:rsid w:val="005F00DF"/>
    <w:rsid w:val="005F0386"/>
    <w:rsid w:val="005F04D4"/>
    <w:rsid w:val="005F099D"/>
    <w:rsid w:val="005F0B48"/>
    <w:rsid w:val="005F1025"/>
    <w:rsid w:val="005F14B0"/>
    <w:rsid w:val="005F14F1"/>
    <w:rsid w:val="005F1773"/>
    <w:rsid w:val="005F1E5F"/>
    <w:rsid w:val="005F20C7"/>
    <w:rsid w:val="005F21CE"/>
    <w:rsid w:val="005F24ED"/>
    <w:rsid w:val="005F2524"/>
    <w:rsid w:val="005F2B2F"/>
    <w:rsid w:val="005F2C0A"/>
    <w:rsid w:val="005F2DB8"/>
    <w:rsid w:val="005F30DA"/>
    <w:rsid w:val="005F3562"/>
    <w:rsid w:val="005F36CB"/>
    <w:rsid w:val="005F37E5"/>
    <w:rsid w:val="005F3BF3"/>
    <w:rsid w:val="005F407D"/>
    <w:rsid w:val="005F411D"/>
    <w:rsid w:val="005F44F6"/>
    <w:rsid w:val="005F4648"/>
    <w:rsid w:val="005F4BD5"/>
    <w:rsid w:val="005F4C89"/>
    <w:rsid w:val="005F5350"/>
    <w:rsid w:val="005F563A"/>
    <w:rsid w:val="005F5651"/>
    <w:rsid w:val="005F5811"/>
    <w:rsid w:val="005F5F32"/>
    <w:rsid w:val="005F6058"/>
    <w:rsid w:val="005F64B0"/>
    <w:rsid w:val="005F69EA"/>
    <w:rsid w:val="005F6CDC"/>
    <w:rsid w:val="005F729F"/>
    <w:rsid w:val="005F7D19"/>
    <w:rsid w:val="005F7DBA"/>
    <w:rsid w:val="006001C2"/>
    <w:rsid w:val="006001CA"/>
    <w:rsid w:val="006001EB"/>
    <w:rsid w:val="00600201"/>
    <w:rsid w:val="00600D4B"/>
    <w:rsid w:val="00601718"/>
    <w:rsid w:val="0060173C"/>
    <w:rsid w:val="0060188E"/>
    <w:rsid w:val="00601BB2"/>
    <w:rsid w:val="00601D07"/>
    <w:rsid w:val="00602070"/>
    <w:rsid w:val="006022A8"/>
    <w:rsid w:val="006023A5"/>
    <w:rsid w:val="006023AA"/>
    <w:rsid w:val="006024E3"/>
    <w:rsid w:val="0060290F"/>
    <w:rsid w:val="006029B2"/>
    <w:rsid w:val="00602D01"/>
    <w:rsid w:val="00602F73"/>
    <w:rsid w:val="0060326B"/>
    <w:rsid w:val="00603349"/>
    <w:rsid w:val="00603688"/>
    <w:rsid w:val="006037CA"/>
    <w:rsid w:val="00603934"/>
    <w:rsid w:val="006039AB"/>
    <w:rsid w:val="00603ADD"/>
    <w:rsid w:val="00604478"/>
    <w:rsid w:val="00604568"/>
    <w:rsid w:val="00604721"/>
    <w:rsid w:val="00604A77"/>
    <w:rsid w:val="00604BC9"/>
    <w:rsid w:val="00605085"/>
    <w:rsid w:val="006051DF"/>
    <w:rsid w:val="006052B9"/>
    <w:rsid w:val="00605319"/>
    <w:rsid w:val="006054E1"/>
    <w:rsid w:val="00605550"/>
    <w:rsid w:val="00605564"/>
    <w:rsid w:val="0060558C"/>
    <w:rsid w:val="0060566B"/>
    <w:rsid w:val="00606E77"/>
    <w:rsid w:val="00606E9A"/>
    <w:rsid w:val="006073D0"/>
    <w:rsid w:val="00607E59"/>
    <w:rsid w:val="00607E85"/>
    <w:rsid w:val="00610094"/>
    <w:rsid w:val="00610487"/>
    <w:rsid w:val="0061051E"/>
    <w:rsid w:val="006111ED"/>
    <w:rsid w:val="006114E5"/>
    <w:rsid w:val="006117E0"/>
    <w:rsid w:val="006118CE"/>
    <w:rsid w:val="00611AA3"/>
    <w:rsid w:val="0061226C"/>
    <w:rsid w:val="00612A69"/>
    <w:rsid w:val="00613C19"/>
    <w:rsid w:val="00613F79"/>
    <w:rsid w:val="006145CA"/>
    <w:rsid w:val="0061480D"/>
    <w:rsid w:val="006149DF"/>
    <w:rsid w:val="00616542"/>
    <w:rsid w:val="00616A1C"/>
    <w:rsid w:val="00616C3C"/>
    <w:rsid w:val="00616D1E"/>
    <w:rsid w:val="006175FB"/>
    <w:rsid w:val="00617C2A"/>
    <w:rsid w:val="00617DD0"/>
    <w:rsid w:val="00620038"/>
    <w:rsid w:val="00620092"/>
    <w:rsid w:val="00620150"/>
    <w:rsid w:val="006201B6"/>
    <w:rsid w:val="0062037B"/>
    <w:rsid w:val="0062046F"/>
    <w:rsid w:val="00620893"/>
    <w:rsid w:val="006208BD"/>
    <w:rsid w:val="00620933"/>
    <w:rsid w:val="00620AA4"/>
    <w:rsid w:val="00620C8F"/>
    <w:rsid w:val="00620CE4"/>
    <w:rsid w:val="006213A7"/>
    <w:rsid w:val="006213BC"/>
    <w:rsid w:val="0062143C"/>
    <w:rsid w:val="006215DA"/>
    <w:rsid w:val="00621ABB"/>
    <w:rsid w:val="00621BC4"/>
    <w:rsid w:val="00621CE5"/>
    <w:rsid w:val="00621F83"/>
    <w:rsid w:val="00622891"/>
    <w:rsid w:val="00623182"/>
    <w:rsid w:val="006232F9"/>
    <w:rsid w:val="006236B3"/>
    <w:rsid w:val="006238BB"/>
    <w:rsid w:val="00624359"/>
    <w:rsid w:val="00624606"/>
    <w:rsid w:val="00624751"/>
    <w:rsid w:val="00624830"/>
    <w:rsid w:val="006248E0"/>
    <w:rsid w:val="00624B00"/>
    <w:rsid w:val="00624D3B"/>
    <w:rsid w:val="00624E1F"/>
    <w:rsid w:val="006257F0"/>
    <w:rsid w:val="00625ED9"/>
    <w:rsid w:val="00625EF9"/>
    <w:rsid w:val="00625FF7"/>
    <w:rsid w:val="00626059"/>
    <w:rsid w:val="0062610C"/>
    <w:rsid w:val="0062673B"/>
    <w:rsid w:val="006270DA"/>
    <w:rsid w:val="00627279"/>
    <w:rsid w:val="00627BBE"/>
    <w:rsid w:val="00627D80"/>
    <w:rsid w:val="00627FA8"/>
    <w:rsid w:val="00630438"/>
    <w:rsid w:val="0063059B"/>
    <w:rsid w:val="00631609"/>
    <w:rsid w:val="0063190E"/>
    <w:rsid w:val="00632260"/>
    <w:rsid w:val="00632418"/>
    <w:rsid w:val="00632580"/>
    <w:rsid w:val="00632F00"/>
    <w:rsid w:val="0063301E"/>
    <w:rsid w:val="00633799"/>
    <w:rsid w:val="00633813"/>
    <w:rsid w:val="006338C3"/>
    <w:rsid w:val="006340C4"/>
    <w:rsid w:val="00634157"/>
    <w:rsid w:val="006344E5"/>
    <w:rsid w:val="0063490B"/>
    <w:rsid w:val="0063497A"/>
    <w:rsid w:val="00634C6E"/>
    <w:rsid w:val="00635217"/>
    <w:rsid w:val="00635363"/>
    <w:rsid w:val="00635748"/>
    <w:rsid w:val="00635AA9"/>
    <w:rsid w:val="006364B2"/>
    <w:rsid w:val="00636A40"/>
    <w:rsid w:val="00636ABD"/>
    <w:rsid w:val="00637ADC"/>
    <w:rsid w:val="006404A2"/>
    <w:rsid w:val="00640C02"/>
    <w:rsid w:val="00640E18"/>
    <w:rsid w:val="006413E7"/>
    <w:rsid w:val="00641421"/>
    <w:rsid w:val="00641545"/>
    <w:rsid w:val="00641A19"/>
    <w:rsid w:val="00642114"/>
    <w:rsid w:val="0064263D"/>
    <w:rsid w:val="00642A6A"/>
    <w:rsid w:val="00642F12"/>
    <w:rsid w:val="00642F71"/>
    <w:rsid w:val="00642FB6"/>
    <w:rsid w:val="0064307B"/>
    <w:rsid w:val="0064315B"/>
    <w:rsid w:val="006432A5"/>
    <w:rsid w:val="00643457"/>
    <w:rsid w:val="00643971"/>
    <w:rsid w:val="00643D80"/>
    <w:rsid w:val="00644092"/>
    <w:rsid w:val="00644550"/>
    <w:rsid w:val="00644A66"/>
    <w:rsid w:val="00644D3A"/>
    <w:rsid w:val="00644D8C"/>
    <w:rsid w:val="006453E7"/>
    <w:rsid w:val="0064591E"/>
    <w:rsid w:val="00645BD5"/>
    <w:rsid w:val="00645CD9"/>
    <w:rsid w:val="00645FB6"/>
    <w:rsid w:val="00646187"/>
    <w:rsid w:val="00646518"/>
    <w:rsid w:val="006467DB"/>
    <w:rsid w:val="00646954"/>
    <w:rsid w:val="006469EB"/>
    <w:rsid w:val="006474B2"/>
    <w:rsid w:val="006477F8"/>
    <w:rsid w:val="00647B34"/>
    <w:rsid w:val="00647CF0"/>
    <w:rsid w:val="00647D8B"/>
    <w:rsid w:val="00647FFE"/>
    <w:rsid w:val="0065041C"/>
    <w:rsid w:val="00650754"/>
    <w:rsid w:val="00650C6C"/>
    <w:rsid w:val="00650CB1"/>
    <w:rsid w:val="006513B2"/>
    <w:rsid w:val="006513D7"/>
    <w:rsid w:val="00651815"/>
    <w:rsid w:val="00651D72"/>
    <w:rsid w:val="006520F6"/>
    <w:rsid w:val="00652345"/>
    <w:rsid w:val="006523E9"/>
    <w:rsid w:val="00652615"/>
    <w:rsid w:val="00652676"/>
    <w:rsid w:val="00652D85"/>
    <w:rsid w:val="00652E25"/>
    <w:rsid w:val="006531EA"/>
    <w:rsid w:val="0065353D"/>
    <w:rsid w:val="00653664"/>
    <w:rsid w:val="006538E5"/>
    <w:rsid w:val="00653CCA"/>
    <w:rsid w:val="00653E55"/>
    <w:rsid w:val="0065418A"/>
    <w:rsid w:val="00654256"/>
    <w:rsid w:val="0065433E"/>
    <w:rsid w:val="006547DA"/>
    <w:rsid w:val="00654EC4"/>
    <w:rsid w:val="0065559D"/>
    <w:rsid w:val="00655A3A"/>
    <w:rsid w:val="00655B8C"/>
    <w:rsid w:val="00655F45"/>
    <w:rsid w:val="00656724"/>
    <w:rsid w:val="00656E06"/>
    <w:rsid w:val="00656FFD"/>
    <w:rsid w:val="0065709D"/>
    <w:rsid w:val="006572DC"/>
    <w:rsid w:val="006574B8"/>
    <w:rsid w:val="00657650"/>
    <w:rsid w:val="006578EE"/>
    <w:rsid w:val="00657A30"/>
    <w:rsid w:val="00657C5E"/>
    <w:rsid w:val="00657EDC"/>
    <w:rsid w:val="00657EE5"/>
    <w:rsid w:val="00657FA9"/>
    <w:rsid w:val="006600F6"/>
    <w:rsid w:val="006606E5"/>
    <w:rsid w:val="00660701"/>
    <w:rsid w:val="006609E0"/>
    <w:rsid w:val="00660B62"/>
    <w:rsid w:val="006610DE"/>
    <w:rsid w:val="00661349"/>
    <w:rsid w:val="00661E9B"/>
    <w:rsid w:val="0066224C"/>
    <w:rsid w:val="006627A9"/>
    <w:rsid w:val="006627CC"/>
    <w:rsid w:val="00662D01"/>
    <w:rsid w:val="0066395B"/>
    <w:rsid w:val="00663A5A"/>
    <w:rsid w:val="00663ECF"/>
    <w:rsid w:val="00663F07"/>
    <w:rsid w:val="00663F15"/>
    <w:rsid w:val="00663FAD"/>
    <w:rsid w:val="00664075"/>
    <w:rsid w:val="006655CA"/>
    <w:rsid w:val="006657CD"/>
    <w:rsid w:val="00665ADB"/>
    <w:rsid w:val="00665C3C"/>
    <w:rsid w:val="0066610B"/>
    <w:rsid w:val="00666182"/>
    <w:rsid w:val="00666521"/>
    <w:rsid w:val="006667D8"/>
    <w:rsid w:val="00666AC5"/>
    <w:rsid w:val="00667994"/>
    <w:rsid w:val="00667BAE"/>
    <w:rsid w:val="00667E2B"/>
    <w:rsid w:val="00667E72"/>
    <w:rsid w:val="00670171"/>
    <w:rsid w:val="0067017A"/>
    <w:rsid w:val="00670500"/>
    <w:rsid w:val="006710F9"/>
    <w:rsid w:val="006711DE"/>
    <w:rsid w:val="00671202"/>
    <w:rsid w:val="00672282"/>
    <w:rsid w:val="0067260F"/>
    <w:rsid w:val="00672829"/>
    <w:rsid w:val="0067293F"/>
    <w:rsid w:val="00673BC7"/>
    <w:rsid w:val="00674359"/>
    <w:rsid w:val="006743C0"/>
    <w:rsid w:val="006743E7"/>
    <w:rsid w:val="00674694"/>
    <w:rsid w:val="006746FD"/>
    <w:rsid w:val="00674826"/>
    <w:rsid w:val="00674A9D"/>
    <w:rsid w:val="00674D00"/>
    <w:rsid w:val="00674E5B"/>
    <w:rsid w:val="00675B44"/>
    <w:rsid w:val="00675C10"/>
    <w:rsid w:val="00675C90"/>
    <w:rsid w:val="00675D8B"/>
    <w:rsid w:val="006767A8"/>
    <w:rsid w:val="00676950"/>
    <w:rsid w:val="00676AFC"/>
    <w:rsid w:val="00676D0F"/>
    <w:rsid w:val="006776D6"/>
    <w:rsid w:val="00677D61"/>
    <w:rsid w:val="006802F8"/>
    <w:rsid w:val="00680380"/>
    <w:rsid w:val="0068060E"/>
    <w:rsid w:val="00680831"/>
    <w:rsid w:val="00680951"/>
    <w:rsid w:val="00681511"/>
    <w:rsid w:val="0068162C"/>
    <w:rsid w:val="00681758"/>
    <w:rsid w:val="0068178A"/>
    <w:rsid w:val="006818CA"/>
    <w:rsid w:val="00681BF3"/>
    <w:rsid w:val="00681D34"/>
    <w:rsid w:val="00681DEA"/>
    <w:rsid w:val="00682115"/>
    <w:rsid w:val="00682333"/>
    <w:rsid w:val="006823D2"/>
    <w:rsid w:val="006823F8"/>
    <w:rsid w:val="006827AB"/>
    <w:rsid w:val="00682CCB"/>
    <w:rsid w:val="00682E54"/>
    <w:rsid w:val="006830F7"/>
    <w:rsid w:val="00683108"/>
    <w:rsid w:val="00683158"/>
    <w:rsid w:val="006832DE"/>
    <w:rsid w:val="00683B49"/>
    <w:rsid w:val="00683FF0"/>
    <w:rsid w:val="00684135"/>
    <w:rsid w:val="00684E62"/>
    <w:rsid w:val="006851D6"/>
    <w:rsid w:val="00685978"/>
    <w:rsid w:val="00685AD0"/>
    <w:rsid w:val="00685BA8"/>
    <w:rsid w:val="00685F1C"/>
    <w:rsid w:val="006865BD"/>
    <w:rsid w:val="006867DA"/>
    <w:rsid w:val="00686D97"/>
    <w:rsid w:val="0068700C"/>
    <w:rsid w:val="006870D3"/>
    <w:rsid w:val="0068796A"/>
    <w:rsid w:val="00687EEB"/>
    <w:rsid w:val="00690057"/>
    <w:rsid w:val="006901EB"/>
    <w:rsid w:val="006903F6"/>
    <w:rsid w:val="00690532"/>
    <w:rsid w:val="0069071B"/>
    <w:rsid w:val="00690A5C"/>
    <w:rsid w:val="00690A75"/>
    <w:rsid w:val="00690B0F"/>
    <w:rsid w:val="00690EC9"/>
    <w:rsid w:val="00691568"/>
    <w:rsid w:val="00691682"/>
    <w:rsid w:val="00691816"/>
    <w:rsid w:val="0069276B"/>
    <w:rsid w:val="00693F03"/>
    <w:rsid w:val="0069453B"/>
    <w:rsid w:val="0069470E"/>
    <w:rsid w:val="006949D3"/>
    <w:rsid w:val="00694F08"/>
    <w:rsid w:val="00694F89"/>
    <w:rsid w:val="0069504C"/>
    <w:rsid w:val="00695838"/>
    <w:rsid w:val="00695BBE"/>
    <w:rsid w:val="00695F0E"/>
    <w:rsid w:val="00695F1C"/>
    <w:rsid w:val="00696651"/>
    <w:rsid w:val="00696703"/>
    <w:rsid w:val="006969CD"/>
    <w:rsid w:val="00696D73"/>
    <w:rsid w:val="00696EFE"/>
    <w:rsid w:val="006A0112"/>
    <w:rsid w:val="006A087D"/>
    <w:rsid w:val="006A153D"/>
    <w:rsid w:val="006A16C1"/>
    <w:rsid w:val="006A17E4"/>
    <w:rsid w:val="006A189C"/>
    <w:rsid w:val="006A18B8"/>
    <w:rsid w:val="006A1A9C"/>
    <w:rsid w:val="006A24A2"/>
    <w:rsid w:val="006A32AC"/>
    <w:rsid w:val="006A32F8"/>
    <w:rsid w:val="006A3823"/>
    <w:rsid w:val="006A3B18"/>
    <w:rsid w:val="006A3FAF"/>
    <w:rsid w:val="006A4ADF"/>
    <w:rsid w:val="006A4B3F"/>
    <w:rsid w:val="006A4D70"/>
    <w:rsid w:val="006A526C"/>
    <w:rsid w:val="006A551E"/>
    <w:rsid w:val="006A5712"/>
    <w:rsid w:val="006A5AF6"/>
    <w:rsid w:val="006A5B9E"/>
    <w:rsid w:val="006A5DFF"/>
    <w:rsid w:val="006A6B29"/>
    <w:rsid w:val="006A6B66"/>
    <w:rsid w:val="006A6CAD"/>
    <w:rsid w:val="006A7E42"/>
    <w:rsid w:val="006B0A2A"/>
    <w:rsid w:val="006B0BA6"/>
    <w:rsid w:val="006B0E07"/>
    <w:rsid w:val="006B153B"/>
    <w:rsid w:val="006B1F55"/>
    <w:rsid w:val="006B2004"/>
    <w:rsid w:val="006B289F"/>
    <w:rsid w:val="006B29B3"/>
    <w:rsid w:val="006B2B7E"/>
    <w:rsid w:val="006B2C66"/>
    <w:rsid w:val="006B325D"/>
    <w:rsid w:val="006B33AA"/>
    <w:rsid w:val="006B3552"/>
    <w:rsid w:val="006B391C"/>
    <w:rsid w:val="006B3AFC"/>
    <w:rsid w:val="006B40F4"/>
    <w:rsid w:val="006B4258"/>
    <w:rsid w:val="006B4607"/>
    <w:rsid w:val="006B4D53"/>
    <w:rsid w:val="006B4D89"/>
    <w:rsid w:val="006B4FD9"/>
    <w:rsid w:val="006B53E3"/>
    <w:rsid w:val="006B5437"/>
    <w:rsid w:val="006B54A1"/>
    <w:rsid w:val="006B5B10"/>
    <w:rsid w:val="006B5B35"/>
    <w:rsid w:val="006B5D4C"/>
    <w:rsid w:val="006B5E66"/>
    <w:rsid w:val="006B6234"/>
    <w:rsid w:val="006B65D2"/>
    <w:rsid w:val="006B6738"/>
    <w:rsid w:val="006B7025"/>
    <w:rsid w:val="006B7179"/>
    <w:rsid w:val="006B791E"/>
    <w:rsid w:val="006B7ADE"/>
    <w:rsid w:val="006B7E50"/>
    <w:rsid w:val="006C04E3"/>
    <w:rsid w:val="006C0521"/>
    <w:rsid w:val="006C055D"/>
    <w:rsid w:val="006C0746"/>
    <w:rsid w:val="006C090D"/>
    <w:rsid w:val="006C0B25"/>
    <w:rsid w:val="006C0CCC"/>
    <w:rsid w:val="006C1380"/>
    <w:rsid w:val="006C14D5"/>
    <w:rsid w:val="006C1D94"/>
    <w:rsid w:val="006C1F59"/>
    <w:rsid w:val="006C236F"/>
    <w:rsid w:val="006C2515"/>
    <w:rsid w:val="006C2CFB"/>
    <w:rsid w:val="006C3426"/>
    <w:rsid w:val="006C3C40"/>
    <w:rsid w:val="006C4508"/>
    <w:rsid w:val="006C45F6"/>
    <w:rsid w:val="006C4B55"/>
    <w:rsid w:val="006C4B97"/>
    <w:rsid w:val="006C4D2E"/>
    <w:rsid w:val="006C5039"/>
    <w:rsid w:val="006C562E"/>
    <w:rsid w:val="006C567E"/>
    <w:rsid w:val="006C59A7"/>
    <w:rsid w:val="006C59F8"/>
    <w:rsid w:val="006C5B24"/>
    <w:rsid w:val="006C5C74"/>
    <w:rsid w:val="006C643A"/>
    <w:rsid w:val="006C6E1C"/>
    <w:rsid w:val="006C6F09"/>
    <w:rsid w:val="006C7102"/>
    <w:rsid w:val="006C71F5"/>
    <w:rsid w:val="006C73BC"/>
    <w:rsid w:val="006C7407"/>
    <w:rsid w:val="006C74F9"/>
    <w:rsid w:val="006C7652"/>
    <w:rsid w:val="006C780F"/>
    <w:rsid w:val="006C7904"/>
    <w:rsid w:val="006C7B61"/>
    <w:rsid w:val="006C7EDE"/>
    <w:rsid w:val="006D02DC"/>
    <w:rsid w:val="006D0ED5"/>
    <w:rsid w:val="006D2492"/>
    <w:rsid w:val="006D2A3D"/>
    <w:rsid w:val="006D2A89"/>
    <w:rsid w:val="006D30CE"/>
    <w:rsid w:val="006D328F"/>
    <w:rsid w:val="006D34C9"/>
    <w:rsid w:val="006D38E6"/>
    <w:rsid w:val="006D3DBF"/>
    <w:rsid w:val="006D3F6C"/>
    <w:rsid w:val="006D460F"/>
    <w:rsid w:val="006D47CB"/>
    <w:rsid w:val="006D4A81"/>
    <w:rsid w:val="006D4F82"/>
    <w:rsid w:val="006D5136"/>
    <w:rsid w:val="006D5724"/>
    <w:rsid w:val="006D5810"/>
    <w:rsid w:val="006D5BBD"/>
    <w:rsid w:val="006D5C45"/>
    <w:rsid w:val="006D60E6"/>
    <w:rsid w:val="006D60F0"/>
    <w:rsid w:val="006D6399"/>
    <w:rsid w:val="006D6578"/>
    <w:rsid w:val="006D664D"/>
    <w:rsid w:val="006D6665"/>
    <w:rsid w:val="006D68B9"/>
    <w:rsid w:val="006D69DF"/>
    <w:rsid w:val="006D765F"/>
    <w:rsid w:val="006D7845"/>
    <w:rsid w:val="006D78F5"/>
    <w:rsid w:val="006D7ABA"/>
    <w:rsid w:val="006D7DC2"/>
    <w:rsid w:val="006E051B"/>
    <w:rsid w:val="006E0671"/>
    <w:rsid w:val="006E0786"/>
    <w:rsid w:val="006E07DA"/>
    <w:rsid w:val="006E09D6"/>
    <w:rsid w:val="006E0C88"/>
    <w:rsid w:val="006E0E41"/>
    <w:rsid w:val="006E143E"/>
    <w:rsid w:val="006E1484"/>
    <w:rsid w:val="006E172E"/>
    <w:rsid w:val="006E1781"/>
    <w:rsid w:val="006E1DB3"/>
    <w:rsid w:val="006E1F2D"/>
    <w:rsid w:val="006E2650"/>
    <w:rsid w:val="006E3110"/>
    <w:rsid w:val="006E3350"/>
    <w:rsid w:val="006E344F"/>
    <w:rsid w:val="006E36DB"/>
    <w:rsid w:val="006E3BC0"/>
    <w:rsid w:val="006E3D11"/>
    <w:rsid w:val="006E403B"/>
    <w:rsid w:val="006E405D"/>
    <w:rsid w:val="006E4369"/>
    <w:rsid w:val="006E4440"/>
    <w:rsid w:val="006E4951"/>
    <w:rsid w:val="006E4A72"/>
    <w:rsid w:val="006E4A7A"/>
    <w:rsid w:val="006E4C15"/>
    <w:rsid w:val="006E565E"/>
    <w:rsid w:val="006E5912"/>
    <w:rsid w:val="006E5C01"/>
    <w:rsid w:val="006E607D"/>
    <w:rsid w:val="006E6102"/>
    <w:rsid w:val="006E6195"/>
    <w:rsid w:val="006E632C"/>
    <w:rsid w:val="006E6580"/>
    <w:rsid w:val="006E66F0"/>
    <w:rsid w:val="006E6A31"/>
    <w:rsid w:val="006E6D6C"/>
    <w:rsid w:val="006F014E"/>
    <w:rsid w:val="006F0203"/>
    <w:rsid w:val="006F0268"/>
    <w:rsid w:val="006F03D8"/>
    <w:rsid w:val="006F16CD"/>
    <w:rsid w:val="006F1B87"/>
    <w:rsid w:val="006F1E5F"/>
    <w:rsid w:val="006F20C1"/>
    <w:rsid w:val="006F2229"/>
    <w:rsid w:val="006F2810"/>
    <w:rsid w:val="006F2F73"/>
    <w:rsid w:val="006F3753"/>
    <w:rsid w:val="006F37A1"/>
    <w:rsid w:val="006F3EC8"/>
    <w:rsid w:val="006F40A8"/>
    <w:rsid w:val="006F4820"/>
    <w:rsid w:val="006F50B5"/>
    <w:rsid w:val="006F522F"/>
    <w:rsid w:val="006F5321"/>
    <w:rsid w:val="006F54C6"/>
    <w:rsid w:val="006F58F6"/>
    <w:rsid w:val="006F5977"/>
    <w:rsid w:val="006F5AC8"/>
    <w:rsid w:val="006F5DD1"/>
    <w:rsid w:val="006F60E5"/>
    <w:rsid w:val="006F62FC"/>
    <w:rsid w:val="006F6DAB"/>
    <w:rsid w:val="006F74C6"/>
    <w:rsid w:val="006F74CA"/>
    <w:rsid w:val="006F7502"/>
    <w:rsid w:val="006F77AD"/>
    <w:rsid w:val="006F795F"/>
    <w:rsid w:val="006F7A3A"/>
    <w:rsid w:val="006F7C9B"/>
    <w:rsid w:val="006F7E0B"/>
    <w:rsid w:val="006F7FB9"/>
    <w:rsid w:val="006F7FC1"/>
    <w:rsid w:val="007001D5"/>
    <w:rsid w:val="00700530"/>
    <w:rsid w:val="007006F1"/>
    <w:rsid w:val="00700DD4"/>
    <w:rsid w:val="00700FF3"/>
    <w:rsid w:val="0070148B"/>
    <w:rsid w:val="007017E4"/>
    <w:rsid w:val="00701859"/>
    <w:rsid w:val="00701A3C"/>
    <w:rsid w:val="00701F18"/>
    <w:rsid w:val="0070229F"/>
    <w:rsid w:val="007022B8"/>
    <w:rsid w:val="00702565"/>
    <w:rsid w:val="00702A93"/>
    <w:rsid w:val="00702C12"/>
    <w:rsid w:val="00702C88"/>
    <w:rsid w:val="007032FE"/>
    <w:rsid w:val="007037AC"/>
    <w:rsid w:val="0070398D"/>
    <w:rsid w:val="00703A8B"/>
    <w:rsid w:val="0070454C"/>
    <w:rsid w:val="0070474A"/>
    <w:rsid w:val="00704AEB"/>
    <w:rsid w:val="0070527E"/>
    <w:rsid w:val="00705999"/>
    <w:rsid w:val="00705C19"/>
    <w:rsid w:val="00706032"/>
    <w:rsid w:val="00706366"/>
    <w:rsid w:val="00706368"/>
    <w:rsid w:val="00706491"/>
    <w:rsid w:val="00706767"/>
    <w:rsid w:val="00706DCB"/>
    <w:rsid w:val="00707340"/>
    <w:rsid w:val="0071022E"/>
    <w:rsid w:val="00710B15"/>
    <w:rsid w:val="00711019"/>
    <w:rsid w:val="0071123B"/>
    <w:rsid w:val="0071145C"/>
    <w:rsid w:val="00711FFC"/>
    <w:rsid w:val="0071284C"/>
    <w:rsid w:val="0071297A"/>
    <w:rsid w:val="0071297B"/>
    <w:rsid w:val="00714332"/>
    <w:rsid w:val="0071465F"/>
    <w:rsid w:val="00714706"/>
    <w:rsid w:val="0071472C"/>
    <w:rsid w:val="00714813"/>
    <w:rsid w:val="00714EC6"/>
    <w:rsid w:val="007152F4"/>
    <w:rsid w:val="0071585A"/>
    <w:rsid w:val="007159AB"/>
    <w:rsid w:val="007159CB"/>
    <w:rsid w:val="00715DD7"/>
    <w:rsid w:val="00716425"/>
    <w:rsid w:val="00716A0F"/>
    <w:rsid w:val="00716EA1"/>
    <w:rsid w:val="00716F1D"/>
    <w:rsid w:val="00717210"/>
    <w:rsid w:val="00717730"/>
    <w:rsid w:val="00717B6E"/>
    <w:rsid w:val="00717C78"/>
    <w:rsid w:val="00717FC2"/>
    <w:rsid w:val="00721196"/>
    <w:rsid w:val="00721633"/>
    <w:rsid w:val="0072172B"/>
    <w:rsid w:val="00721762"/>
    <w:rsid w:val="00721868"/>
    <w:rsid w:val="007219EE"/>
    <w:rsid w:val="00721A74"/>
    <w:rsid w:val="00721B79"/>
    <w:rsid w:val="007222BC"/>
    <w:rsid w:val="00722676"/>
    <w:rsid w:val="00723389"/>
    <w:rsid w:val="00723AF6"/>
    <w:rsid w:val="00723BAB"/>
    <w:rsid w:val="007240AF"/>
    <w:rsid w:val="00724A34"/>
    <w:rsid w:val="00724A7D"/>
    <w:rsid w:val="007250C9"/>
    <w:rsid w:val="007255DF"/>
    <w:rsid w:val="0072567B"/>
    <w:rsid w:val="0072570E"/>
    <w:rsid w:val="00725E22"/>
    <w:rsid w:val="00726753"/>
    <w:rsid w:val="0072692A"/>
    <w:rsid w:val="00726F87"/>
    <w:rsid w:val="00727710"/>
    <w:rsid w:val="0072777D"/>
    <w:rsid w:val="00727934"/>
    <w:rsid w:val="00727CD1"/>
    <w:rsid w:val="00727D4D"/>
    <w:rsid w:val="00727D54"/>
    <w:rsid w:val="0073012B"/>
    <w:rsid w:val="00730301"/>
    <w:rsid w:val="00730702"/>
    <w:rsid w:val="00730AAC"/>
    <w:rsid w:val="00730B36"/>
    <w:rsid w:val="00730B55"/>
    <w:rsid w:val="00730B7E"/>
    <w:rsid w:val="00730C38"/>
    <w:rsid w:val="00730C5B"/>
    <w:rsid w:val="00730CA3"/>
    <w:rsid w:val="00730DDF"/>
    <w:rsid w:val="007311C5"/>
    <w:rsid w:val="007315ED"/>
    <w:rsid w:val="00731653"/>
    <w:rsid w:val="00731AB5"/>
    <w:rsid w:val="00731B4D"/>
    <w:rsid w:val="00731C21"/>
    <w:rsid w:val="00731F3D"/>
    <w:rsid w:val="0073220F"/>
    <w:rsid w:val="007324CB"/>
    <w:rsid w:val="0073288C"/>
    <w:rsid w:val="00732FC2"/>
    <w:rsid w:val="007337C5"/>
    <w:rsid w:val="00733A59"/>
    <w:rsid w:val="00733A8A"/>
    <w:rsid w:val="0073400F"/>
    <w:rsid w:val="00734265"/>
    <w:rsid w:val="00734330"/>
    <w:rsid w:val="007343D8"/>
    <w:rsid w:val="00735103"/>
    <w:rsid w:val="0073556E"/>
    <w:rsid w:val="0073558C"/>
    <w:rsid w:val="0073584C"/>
    <w:rsid w:val="007358DD"/>
    <w:rsid w:val="0073638A"/>
    <w:rsid w:val="00736498"/>
    <w:rsid w:val="00736587"/>
    <w:rsid w:val="007366F1"/>
    <w:rsid w:val="0073677A"/>
    <w:rsid w:val="00736AC2"/>
    <w:rsid w:val="00736BD3"/>
    <w:rsid w:val="00736DA1"/>
    <w:rsid w:val="007377A4"/>
    <w:rsid w:val="00737ED0"/>
    <w:rsid w:val="00737F84"/>
    <w:rsid w:val="00740D0A"/>
    <w:rsid w:val="00740D86"/>
    <w:rsid w:val="00740F58"/>
    <w:rsid w:val="00741489"/>
    <w:rsid w:val="00741648"/>
    <w:rsid w:val="007416D9"/>
    <w:rsid w:val="00741755"/>
    <w:rsid w:val="00741D9F"/>
    <w:rsid w:val="00741FFD"/>
    <w:rsid w:val="007422D7"/>
    <w:rsid w:val="00742E08"/>
    <w:rsid w:val="00742EC2"/>
    <w:rsid w:val="0074337C"/>
    <w:rsid w:val="00744011"/>
    <w:rsid w:val="007441D6"/>
    <w:rsid w:val="00744400"/>
    <w:rsid w:val="007448FB"/>
    <w:rsid w:val="0074490E"/>
    <w:rsid w:val="00744B6B"/>
    <w:rsid w:val="00744BA6"/>
    <w:rsid w:val="00744C8A"/>
    <w:rsid w:val="00744E0E"/>
    <w:rsid w:val="00745108"/>
    <w:rsid w:val="00745352"/>
    <w:rsid w:val="007454FE"/>
    <w:rsid w:val="00745E7A"/>
    <w:rsid w:val="0074631E"/>
    <w:rsid w:val="007463CA"/>
    <w:rsid w:val="007468C0"/>
    <w:rsid w:val="0074692B"/>
    <w:rsid w:val="00747137"/>
    <w:rsid w:val="00747761"/>
    <w:rsid w:val="00747CB1"/>
    <w:rsid w:val="00750679"/>
    <w:rsid w:val="0075073C"/>
    <w:rsid w:val="00750828"/>
    <w:rsid w:val="0075089A"/>
    <w:rsid w:val="00750AC5"/>
    <w:rsid w:val="00750DF9"/>
    <w:rsid w:val="00750E67"/>
    <w:rsid w:val="00750EDC"/>
    <w:rsid w:val="0075113E"/>
    <w:rsid w:val="00751B7F"/>
    <w:rsid w:val="00751D35"/>
    <w:rsid w:val="00751F70"/>
    <w:rsid w:val="007523C7"/>
    <w:rsid w:val="007528A2"/>
    <w:rsid w:val="007528AF"/>
    <w:rsid w:val="00752D2C"/>
    <w:rsid w:val="00752DAB"/>
    <w:rsid w:val="00753BD4"/>
    <w:rsid w:val="007544F4"/>
    <w:rsid w:val="00754B7E"/>
    <w:rsid w:val="00755424"/>
    <w:rsid w:val="007559E8"/>
    <w:rsid w:val="00755B2D"/>
    <w:rsid w:val="007560CC"/>
    <w:rsid w:val="007562A9"/>
    <w:rsid w:val="007562E9"/>
    <w:rsid w:val="00756491"/>
    <w:rsid w:val="0075652C"/>
    <w:rsid w:val="00756ABC"/>
    <w:rsid w:val="007578E0"/>
    <w:rsid w:val="00757A5E"/>
    <w:rsid w:val="00757CBE"/>
    <w:rsid w:val="0076011B"/>
    <w:rsid w:val="00760373"/>
    <w:rsid w:val="007604B3"/>
    <w:rsid w:val="00760698"/>
    <w:rsid w:val="00760D2F"/>
    <w:rsid w:val="007612F4"/>
    <w:rsid w:val="007618FF"/>
    <w:rsid w:val="00761999"/>
    <w:rsid w:val="00761CCC"/>
    <w:rsid w:val="00761D13"/>
    <w:rsid w:val="00761D7A"/>
    <w:rsid w:val="00762220"/>
    <w:rsid w:val="007629A8"/>
    <w:rsid w:val="00762B2D"/>
    <w:rsid w:val="00763163"/>
    <w:rsid w:val="00763170"/>
    <w:rsid w:val="00763951"/>
    <w:rsid w:val="0076480A"/>
    <w:rsid w:val="007648D0"/>
    <w:rsid w:val="00764B5B"/>
    <w:rsid w:val="00765236"/>
    <w:rsid w:val="007652ED"/>
    <w:rsid w:val="0076533F"/>
    <w:rsid w:val="0076567A"/>
    <w:rsid w:val="00765689"/>
    <w:rsid w:val="00765CF4"/>
    <w:rsid w:val="00765F58"/>
    <w:rsid w:val="00765F6E"/>
    <w:rsid w:val="007662A6"/>
    <w:rsid w:val="00767925"/>
    <w:rsid w:val="00767BD1"/>
    <w:rsid w:val="00767E67"/>
    <w:rsid w:val="0077018A"/>
    <w:rsid w:val="007707C5"/>
    <w:rsid w:val="00770A92"/>
    <w:rsid w:val="00770DAD"/>
    <w:rsid w:val="00770F0B"/>
    <w:rsid w:val="00771331"/>
    <w:rsid w:val="00771BF0"/>
    <w:rsid w:val="00771CB7"/>
    <w:rsid w:val="00771F2A"/>
    <w:rsid w:val="007720C5"/>
    <w:rsid w:val="007722A8"/>
    <w:rsid w:val="007722F4"/>
    <w:rsid w:val="007731EB"/>
    <w:rsid w:val="00773817"/>
    <w:rsid w:val="00773856"/>
    <w:rsid w:val="00773B5D"/>
    <w:rsid w:val="00773F66"/>
    <w:rsid w:val="00773FFD"/>
    <w:rsid w:val="0077447A"/>
    <w:rsid w:val="00774802"/>
    <w:rsid w:val="00775379"/>
    <w:rsid w:val="00775423"/>
    <w:rsid w:val="00775A4F"/>
    <w:rsid w:val="00775B45"/>
    <w:rsid w:val="00775E12"/>
    <w:rsid w:val="00776120"/>
    <w:rsid w:val="007762A6"/>
    <w:rsid w:val="007767A1"/>
    <w:rsid w:val="00776989"/>
    <w:rsid w:val="00776AED"/>
    <w:rsid w:val="00777040"/>
    <w:rsid w:val="007772AA"/>
    <w:rsid w:val="00777A76"/>
    <w:rsid w:val="00777C51"/>
    <w:rsid w:val="00777C6E"/>
    <w:rsid w:val="00777DC3"/>
    <w:rsid w:val="00777FC3"/>
    <w:rsid w:val="0078021A"/>
    <w:rsid w:val="0078049E"/>
    <w:rsid w:val="00780E56"/>
    <w:rsid w:val="00781015"/>
    <w:rsid w:val="00781987"/>
    <w:rsid w:val="00781A94"/>
    <w:rsid w:val="00781E16"/>
    <w:rsid w:val="00781E83"/>
    <w:rsid w:val="00781FBD"/>
    <w:rsid w:val="007820DD"/>
    <w:rsid w:val="007821BB"/>
    <w:rsid w:val="00782245"/>
    <w:rsid w:val="0078251C"/>
    <w:rsid w:val="00782D13"/>
    <w:rsid w:val="00782F6C"/>
    <w:rsid w:val="00783065"/>
    <w:rsid w:val="007830C8"/>
    <w:rsid w:val="00783446"/>
    <w:rsid w:val="00783488"/>
    <w:rsid w:val="00783522"/>
    <w:rsid w:val="00783A58"/>
    <w:rsid w:val="00783D0B"/>
    <w:rsid w:val="0078400A"/>
    <w:rsid w:val="0078427A"/>
    <w:rsid w:val="007842C3"/>
    <w:rsid w:val="00784CEE"/>
    <w:rsid w:val="00784D65"/>
    <w:rsid w:val="00784EB4"/>
    <w:rsid w:val="00784EDF"/>
    <w:rsid w:val="00784F6E"/>
    <w:rsid w:val="0078518E"/>
    <w:rsid w:val="0078542B"/>
    <w:rsid w:val="007854B9"/>
    <w:rsid w:val="00785567"/>
    <w:rsid w:val="00785717"/>
    <w:rsid w:val="007857A3"/>
    <w:rsid w:val="00785874"/>
    <w:rsid w:val="00785909"/>
    <w:rsid w:val="00785CCB"/>
    <w:rsid w:val="00785F06"/>
    <w:rsid w:val="007861E1"/>
    <w:rsid w:val="0078629A"/>
    <w:rsid w:val="007862DD"/>
    <w:rsid w:val="007868E9"/>
    <w:rsid w:val="007869D9"/>
    <w:rsid w:val="00786F9B"/>
    <w:rsid w:val="007871AB"/>
    <w:rsid w:val="00787431"/>
    <w:rsid w:val="0079020B"/>
    <w:rsid w:val="00790634"/>
    <w:rsid w:val="007908A3"/>
    <w:rsid w:val="00790BFA"/>
    <w:rsid w:val="00790EA6"/>
    <w:rsid w:val="0079115D"/>
    <w:rsid w:val="00791549"/>
    <w:rsid w:val="0079165E"/>
    <w:rsid w:val="00791729"/>
    <w:rsid w:val="00792213"/>
    <w:rsid w:val="007922C7"/>
    <w:rsid w:val="007928B4"/>
    <w:rsid w:val="00792904"/>
    <w:rsid w:val="00792B5B"/>
    <w:rsid w:val="00792CC3"/>
    <w:rsid w:val="00792E5B"/>
    <w:rsid w:val="00792FB8"/>
    <w:rsid w:val="007930FC"/>
    <w:rsid w:val="00793183"/>
    <w:rsid w:val="007939DB"/>
    <w:rsid w:val="00793E33"/>
    <w:rsid w:val="007940C0"/>
    <w:rsid w:val="007940F3"/>
    <w:rsid w:val="007940F7"/>
    <w:rsid w:val="007941A9"/>
    <w:rsid w:val="007944D5"/>
    <w:rsid w:val="00794806"/>
    <w:rsid w:val="00794A9E"/>
    <w:rsid w:val="00794AED"/>
    <w:rsid w:val="00794D4E"/>
    <w:rsid w:val="007950DE"/>
    <w:rsid w:val="00795348"/>
    <w:rsid w:val="00795CC2"/>
    <w:rsid w:val="0079614D"/>
    <w:rsid w:val="007962B6"/>
    <w:rsid w:val="007965A2"/>
    <w:rsid w:val="007969A2"/>
    <w:rsid w:val="00796A11"/>
    <w:rsid w:val="00796A75"/>
    <w:rsid w:val="00796D12"/>
    <w:rsid w:val="007971AD"/>
    <w:rsid w:val="0079739C"/>
    <w:rsid w:val="007975D2"/>
    <w:rsid w:val="00797C17"/>
    <w:rsid w:val="00797C49"/>
    <w:rsid w:val="00797C84"/>
    <w:rsid w:val="007A00BC"/>
    <w:rsid w:val="007A0224"/>
    <w:rsid w:val="007A030C"/>
    <w:rsid w:val="007A05B9"/>
    <w:rsid w:val="007A07D2"/>
    <w:rsid w:val="007A0E0C"/>
    <w:rsid w:val="007A0F0E"/>
    <w:rsid w:val="007A1176"/>
    <w:rsid w:val="007A126D"/>
    <w:rsid w:val="007A16C4"/>
    <w:rsid w:val="007A1B12"/>
    <w:rsid w:val="007A1E1B"/>
    <w:rsid w:val="007A1F63"/>
    <w:rsid w:val="007A2358"/>
    <w:rsid w:val="007A23BF"/>
    <w:rsid w:val="007A2462"/>
    <w:rsid w:val="007A25B2"/>
    <w:rsid w:val="007A274B"/>
    <w:rsid w:val="007A2D1A"/>
    <w:rsid w:val="007A332C"/>
    <w:rsid w:val="007A3B38"/>
    <w:rsid w:val="007A3CEA"/>
    <w:rsid w:val="007A3D46"/>
    <w:rsid w:val="007A3F48"/>
    <w:rsid w:val="007A45A5"/>
    <w:rsid w:val="007A4E2F"/>
    <w:rsid w:val="007A5126"/>
    <w:rsid w:val="007A5146"/>
    <w:rsid w:val="007A518C"/>
    <w:rsid w:val="007A523D"/>
    <w:rsid w:val="007A52C2"/>
    <w:rsid w:val="007A53D8"/>
    <w:rsid w:val="007A5E1A"/>
    <w:rsid w:val="007A62C9"/>
    <w:rsid w:val="007A6CB2"/>
    <w:rsid w:val="007A6D45"/>
    <w:rsid w:val="007A7BBA"/>
    <w:rsid w:val="007A7C17"/>
    <w:rsid w:val="007A7C98"/>
    <w:rsid w:val="007A7EDE"/>
    <w:rsid w:val="007A7FCD"/>
    <w:rsid w:val="007B080B"/>
    <w:rsid w:val="007B0B28"/>
    <w:rsid w:val="007B0D07"/>
    <w:rsid w:val="007B0FB0"/>
    <w:rsid w:val="007B0FEB"/>
    <w:rsid w:val="007B188F"/>
    <w:rsid w:val="007B1EE6"/>
    <w:rsid w:val="007B2008"/>
    <w:rsid w:val="007B25B2"/>
    <w:rsid w:val="007B2A26"/>
    <w:rsid w:val="007B2DB6"/>
    <w:rsid w:val="007B2F40"/>
    <w:rsid w:val="007B306A"/>
    <w:rsid w:val="007B3311"/>
    <w:rsid w:val="007B338C"/>
    <w:rsid w:val="007B37BA"/>
    <w:rsid w:val="007B37C5"/>
    <w:rsid w:val="007B39DB"/>
    <w:rsid w:val="007B3B39"/>
    <w:rsid w:val="007B3E04"/>
    <w:rsid w:val="007B3EBC"/>
    <w:rsid w:val="007B3FF5"/>
    <w:rsid w:val="007B413E"/>
    <w:rsid w:val="007B525E"/>
    <w:rsid w:val="007B53A0"/>
    <w:rsid w:val="007B53E7"/>
    <w:rsid w:val="007B57A5"/>
    <w:rsid w:val="007B58A5"/>
    <w:rsid w:val="007B5B2D"/>
    <w:rsid w:val="007B5B56"/>
    <w:rsid w:val="007B5E7A"/>
    <w:rsid w:val="007B5F41"/>
    <w:rsid w:val="007B61EE"/>
    <w:rsid w:val="007B6331"/>
    <w:rsid w:val="007B6A6D"/>
    <w:rsid w:val="007B6F65"/>
    <w:rsid w:val="007B7097"/>
    <w:rsid w:val="007B7145"/>
    <w:rsid w:val="007B73E6"/>
    <w:rsid w:val="007B7614"/>
    <w:rsid w:val="007B77F8"/>
    <w:rsid w:val="007B7A9C"/>
    <w:rsid w:val="007C03DB"/>
    <w:rsid w:val="007C0A00"/>
    <w:rsid w:val="007C0C3F"/>
    <w:rsid w:val="007C0D5A"/>
    <w:rsid w:val="007C100E"/>
    <w:rsid w:val="007C11A3"/>
    <w:rsid w:val="007C1332"/>
    <w:rsid w:val="007C1398"/>
    <w:rsid w:val="007C1516"/>
    <w:rsid w:val="007C1550"/>
    <w:rsid w:val="007C161F"/>
    <w:rsid w:val="007C166F"/>
    <w:rsid w:val="007C1D79"/>
    <w:rsid w:val="007C2207"/>
    <w:rsid w:val="007C254E"/>
    <w:rsid w:val="007C2A3E"/>
    <w:rsid w:val="007C2AB4"/>
    <w:rsid w:val="007C2EDF"/>
    <w:rsid w:val="007C3395"/>
    <w:rsid w:val="007C3402"/>
    <w:rsid w:val="007C40F8"/>
    <w:rsid w:val="007C42FB"/>
    <w:rsid w:val="007C45A5"/>
    <w:rsid w:val="007C4C0C"/>
    <w:rsid w:val="007C4F44"/>
    <w:rsid w:val="007C5DA2"/>
    <w:rsid w:val="007C5E9C"/>
    <w:rsid w:val="007C613B"/>
    <w:rsid w:val="007C63E0"/>
    <w:rsid w:val="007C67D4"/>
    <w:rsid w:val="007C6828"/>
    <w:rsid w:val="007C6AA7"/>
    <w:rsid w:val="007C6BBD"/>
    <w:rsid w:val="007C77E1"/>
    <w:rsid w:val="007C79CF"/>
    <w:rsid w:val="007D0330"/>
    <w:rsid w:val="007D039D"/>
    <w:rsid w:val="007D049C"/>
    <w:rsid w:val="007D051A"/>
    <w:rsid w:val="007D0B01"/>
    <w:rsid w:val="007D0B04"/>
    <w:rsid w:val="007D152F"/>
    <w:rsid w:val="007D1531"/>
    <w:rsid w:val="007D1D04"/>
    <w:rsid w:val="007D2044"/>
    <w:rsid w:val="007D2186"/>
    <w:rsid w:val="007D2271"/>
    <w:rsid w:val="007D2366"/>
    <w:rsid w:val="007D2863"/>
    <w:rsid w:val="007D294B"/>
    <w:rsid w:val="007D2D33"/>
    <w:rsid w:val="007D2F34"/>
    <w:rsid w:val="007D31E2"/>
    <w:rsid w:val="007D382F"/>
    <w:rsid w:val="007D38AE"/>
    <w:rsid w:val="007D39D3"/>
    <w:rsid w:val="007D3DD4"/>
    <w:rsid w:val="007D42C9"/>
    <w:rsid w:val="007D4A43"/>
    <w:rsid w:val="007D4EDB"/>
    <w:rsid w:val="007D5184"/>
    <w:rsid w:val="007D5364"/>
    <w:rsid w:val="007D558B"/>
    <w:rsid w:val="007D56CB"/>
    <w:rsid w:val="007D5C60"/>
    <w:rsid w:val="007D5D2C"/>
    <w:rsid w:val="007D5DBC"/>
    <w:rsid w:val="007D6113"/>
    <w:rsid w:val="007D62B4"/>
    <w:rsid w:val="007D6939"/>
    <w:rsid w:val="007D6D4D"/>
    <w:rsid w:val="007D6E10"/>
    <w:rsid w:val="007D75C0"/>
    <w:rsid w:val="007D7B7F"/>
    <w:rsid w:val="007D7CD6"/>
    <w:rsid w:val="007D7F83"/>
    <w:rsid w:val="007E008B"/>
    <w:rsid w:val="007E00AA"/>
    <w:rsid w:val="007E06D5"/>
    <w:rsid w:val="007E0B27"/>
    <w:rsid w:val="007E0B49"/>
    <w:rsid w:val="007E1719"/>
    <w:rsid w:val="007E184C"/>
    <w:rsid w:val="007E187D"/>
    <w:rsid w:val="007E1A71"/>
    <w:rsid w:val="007E1D38"/>
    <w:rsid w:val="007E1E5F"/>
    <w:rsid w:val="007E2136"/>
    <w:rsid w:val="007E2762"/>
    <w:rsid w:val="007E2879"/>
    <w:rsid w:val="007E2CB6"/>
    <w:rsid w:val="007E2F97"/>
    <w:rsid w:val="007E2FA5"/>
    <w:rsid w:val="007E319A"/>
    <w:rsid w:val="007E3929"/>
    <w:rsid w:val="007E3ABB"/>
    <w:rsid w:val="007E4317"/>
    <w:rsid w:val="007E4C3E"/>
    <w:rsid w:val="007E4C3F"/>
    <w:rsid w:val="007E604B"/>
    <w:rsid w:val="007E6394"/>
    <w:rsid w:val="007E64EB"/>
    <w:rsid w:val="007E6516"/>
    <w:rsid w:val="007E67BB"/>
    <w:rsid w:val="007E6851"/>
    <w:rsid w:val="007E6BA8"/>
    <w:rsid w:val="007E7249"/>
    <w:rsid w:val="007E7366"/>
    <w:rsid w:val="007E73F6"/>
    <w:rsid w:val="007E7783"/>
    <w:rsid w:val="007F028C"/>
    <w:rsid w:val="007F06A8"/>
    <w:rsid w:val="007F0702"/>
    <w:rsid w:val="007F0AF2"/>
    <w:rsid w:val="007F1128"/>
    <w:rsid w:val="007F1365"/>
    <w:rsid w:val="007F1B06"/>
    <w:rsid w:val="007F25A5"/>
    <w:rsid w:val="007F2A4A"/>
    <w:rsid w:val="007F2A7C"/>
    <w:rsid w:val="007F30F0"/>
    <w:rsid w:val="007F3124"/>
    <w:rsid w:val="007F337F"/>
    <w:rsid w:val="007F365E"/>
    <w:rsid w:val="007F3BFE"/>
    <w:rsid w:val="007F4038"/>
    <w:rsid w:val="007F4119"/>
    <w:rsid w:val="007F4473"/>
    <w:rsid w:val="007F48D6"/>
    <w:rsid w:val="007F4A03"/>
    <w:rsid w:val="007F4A0D"/>
    <w:rsid w:val="007F4ADC"/>
    <w:rsid w:val="007F4B78"/>
    <w:rsid w:val="007F55BB"/>
    <w:rsid w:val="007F569A"/>
    <w:rsid w:val="007F585B"/>
    <w:rsid w:val="007F5B91"/>
    <w:rsid w:val="007F6107"/>
    <w:rsid w:val="007F62C3"/>
    <w:rsid w:val="007F65FB"/>
    <w:rsid w:val="007F673E"/>
    <w:rsid w:val="007F680B"/>
    <w:rsid w:val="007F6B50"/>
    <w:rsid w:val="007F6D4B"/>
    <w:rsid w:val="007F6E81"/>
    <w:rsid w:val="007F7A58"/>
    <w:rsid w:val="007F7B1F"/>
    <w:rsid w:val="007F7B49"/>
    <w:rsid w:val="007F7F45"/>
    <w:rsid w:val="008006F9"/>
    <w:rsid w:val="00800903"/>
    <w:rsid w:val="00800A70"/>
    <w:rsid w:val="00801103"/>
    <w:rsid w:val="00801762"/>
    <w:rsid w:val="008017C1"/>
    <w:rsid w:val="00801B70"/>
    <w:rsid w:val="00801E41"/>
    <w:rsid w:val="00802DAC"/>
    <w:rsid w:val="00803683"/>
    <w:rsid w:val="00803D36"/>
    <w:rsid w:val="00803EBD"/>
    <w:rsid w:val="00803FFA"/>
    <w:rsid w:val="00804184"/>
    <w:rsid w:val="0080469C"/>
    <w:rsid w:val="0080489D"/>
    <w:rsid w:val="00804CA2"/>
    <w:rsid w:val="00804D16"/>
    <w:rsid w:val="008050D6"/>
    <w:rsid w:val="00805203"/>
    <w:rsid w:val="0080540F"/>
    <w:rsid w:val="00805448"/>
    <w:rsid w:val="00805481"/>
    <w:rsid w:val="00805893"/>
    <w:rsid w:val="00805D43"/>
    <w:rsid w:val="00805F26"/>
    <w:rsid w:val="008066BD"/>
    <w:rsid w:val="0080676E"/>
    <w:rsid w:val="00806A1F"/>
    <w:rsid w:val="00806A6C"/>
    <w:rsid w:val="00806C74"/>
    <w:rsid w:val="008073FF"/>
    <w:rsid w:val="00807646"/>
    <w:rsid w:val="00807AD2"/>
    <w:rsid w:val="0081002A"/>
    <w:rsid w:val="00810424"/>
    <w:rsid w:val="00810624"/>
    <w:rsid w:val="008107F3"/>
    <w:rsid w:val="00810B04"/>
    <w:rsid w:val="00810B32"/>
    <w:rsid w:val="00811305"/>
    <w:rsid w:val="00811580"/>
    <w:rsid w:val="008115B7"/>
    <w:rsid w:val="00811715"/>
    <w:rsid w:val="008117D3"/>
    <w:rsid w:val="0081188A"/>
    <w:rsid w:val="00811ECF"/>
    <w:rsid w:val="0081205A"/>
    <w:rsid w:val="00812799"/>
    <w:rsid w:val="00812B35"/>
    <w:rsid w:val="00812BCB"/>
    <w:rsid w:val="00812C33"/>
    <w:rsid w:val="00812E53"/>
    <w:rsid w:val="00813294"/>
    <w:rsid w:val="00813406"/>
    <w:rsid w:val="00813484"/>
    <w:rsid w:val="00813619"/>
    <w:rsid w:val="00813BFC"/>
    <w:rsid w:val="00813CBF"/>
    <w:rsid w:val="0081410F"/>
    <w:rsid w:val="008145BA"/>
    <w:rsid w:val="008148AB"/>
    <w:rsid w:val="0081498C"/>
    <w:rsid w:val="00814B6F"/>
    <w:rsid w:val="00814D65"/>
    <w:rsid w:val="00814DCA"/>
    <w:rsid w:val="008158B3"/>
    <w:rsid w:val="008159BA"/>
    <w:rsid w:val="00815E22"/>
    <w:rsid w:val="0081633F"/>
    <w:rsid w:val="00816702"/>
    <w:rsid w:val="00816EE6"/>
    <w:rsid w:val="00816FE8"/>
    <w:rsid w:val="0081729C"/>
    <w:rsid w:val="008172B7"/>
    <w:rsid w:val="00817A11"/>
    <w:rsid w:val="00817C73"/>
    <w:rsid w:val="008206E1"/>
    <w:rsid w:val="008208DB"/>
    <w:rsid w:val="00820D8C"/>
    <w:rsid w:val="00821ADD"/>
    <w:rsid w:val="00821C07"/>
    <w:rsid w:val="00821CC7"/>
    <w:rsid w:val="00821F60"/>
    <w:rsid w:val="00822168"/>
    <w:rsid w:val="00822589"/>
    <w:rsid w:val="00822635"/>
    <w:rsid w:val="00822BC4"/>
    <w:rsid w:val="00823270"/>
    <w:rsid w:val="008236E5"/>
    <w:rsid w:val="0082381D"/>
    <w:rsid w:val="0082382C"/>
    <w:rsid w:val="00823DD8"/>
    <w:rsid w:val="0082410B"/>
    <w:rsid w:val="00824493"/>
    <w:rsid w:val="008248B0"/>
    <w:rsid w:val="00824A74"/>
    <w:rsid w:val="00824B3B"/>
    <w:rsid w:val="00824BB8"/>
    <w:rsid w:val="00825475"/>
    <w:rsid w:val="0082579F"/>
    <w:rsid w:val="00825A26"/>
    <w:rsid w:val="00825E83"/>
    <w:rsid w:val="00826111"/>
    <w:rsid w:val="00826E13"/>
    <w:rsid w:val="0082732F"/>
    <w:rsid w:val="0082738D"/>
    <w:rsid w:val="008273BC"/>
    <w:rsid w:val="00827512"/>
    <w:rsid w:val="0082788A"/>
    <w:rsid w:val="00827899"/>
    <w:rsid w:val="008278D4"/>
    <w:rsid w:val="00827A08"/>
    <w:rsid w:val="00827D03"/>
    <w:rsid w:val="008301DB"/>
    <w:rsid w:val="0083024A"/>
    <w:rsid w:val="0083067C"/>
    <w:rsid w:val="00830D3E"/>
    <w:rsid w:val="008310F6"/>
    <w:rsid w:val="008311E3"/>
    <w:rsid w:val="0083126C"/>
    <w:rsid w:val="0083158B"/>
    <w:rsid w:val="008316A8"/>
    <w:rsid w:val="00831FD5"/>
    <w:rsid w:val="008321AA"/>
    <w:rsid w:val="008325B6"/>
    <w:rsid w:val="00833220"/>
    <w:rsid w:val="008334C3"/>
    <w:rsid w:val="00833809"/>
    <w:rsid w:val="00833BE6"/>
    <w:rsid w:val="008341D9"/>
    <w:rsid w:val="00834890"/>
    <w:rsid w:val="00834AF2"/>
    <w:rsid w:val="00834BF3"/>
    <w:rsid w:val="00835481"/>
    <w:rsid w:val="00835586"/>
    <w:rsid w:val="0083566A"/>
    <w:rsid w:val="00835921"/>
    <w:rsid w:val="00835BF2"/>
    <w:rsid w:val="00835C93"/>
    <w:rsid w:val="00836019"/>
    <w:rsid w:val="008361FD"/>
    <w:rsid w:val="00836578"/>
    <w:rsid w:val="008369CE"/>
    <w:rsid w:val="00836C1B"/>
    <w:rsid w:val="00836CC1"/>
    <w:rsid w:val="00836D04"/>
    <w:rsid w:val="00836F8C"/>
    <w:rsid w:val="00837A87"/>
    <w:rsid w:val="00837B25"/>
    <w:rsid w:val="00840160"/>
    <w:rsid w:val="008405BB"/>
    <w:rsid w:val="00840AAD"/>
    <w:rsid w:val="00840E3E"/>
    <w:rsid w:val="00841482"/>
    <w:rsid w:val="00841484"/>
    <w:rsid w:val="0084152F"/>
    <w:rsid w:val="008417EC"/>
    <w:rsid w:val="00841C3D"/>
    <w:rsid w:val="008420A7"/>
    <w:rsid w:val="00842339"/>
    <w:rsid w:val="00842365"/>
    <w:rsid w:val="00842DDF"/>
    <w:rsid w:val="00843058"/>
    <w:rsid w:val="00844250"/>
    <w:rsid w:val="00844FAA"/>
    <w:rsid w:val="0084523B"/>
    <w:rsid w:val="00845518"/>
    <w:rsid w:val="008458DD"/>
    <w:rsid w:val="00845CB5"/>
    <w:rsid w:val="00845EC5"/>
    <w:rsid w:val="008462BA"/>
    <w:rsid w:val="0084646F"/>
    <w:rsid w:val="00846709"/>
    <w:rsid w:val="00847056"/>
    <w:rsid w:val="0084720E"/>
    <w:rsid w:val="00847853"/>
    <w:rsid w:val="00847A3F"/>
    <w:rsid w:val="00847D60"/>
    <w:rsid w:val="00850232"/>
    <w:rsid w:val="00850264"/>
    <w:rsid w:val="008502C2"/>
    <w:rsid w:val="00850648"/>
    <w:rsid w:val="00850A8B"/>
    <w:rsid w:val="00850BF4"/>
    <w:rsid w:val="008517EA"/>
    <w:rsid w:val="008518B0"/>
    <w:rsid w:val="008519C5"/>
    <w:rsid w:val="00851D0D"/>
    <w:rsid w:val="00851E28"/>
    <w:rsid w:val="00852782"/>
    <w:rsid w:val="008536C9"/>
    <w:rsid w:val="00853716"/>
    <w:rsid w:val="00853961"/>
    <w:rsid w:val="008539F4"/>
    <w:rsid w:val="00853CCA"/>
    <w:rsid w:val="00853D66"/>
    <w:rsid w:val="008543E8"/>
    <w:rsid w:val="00854598"/>
    <w:rsid w:val="008547E8"/>
    <w:rsid w:val="00854D3D"/>
    <w:rsid w:val="00854DBC"/>
    <w:rsid w:val="00854F7B"/>
    <w:rsid w:val="00855254"/>
    <w:rsid w:val="00856441"/>
    <w:rsid w:val="00856478"/>
    <w:rsid w:val="00856570"/>
    <w:rsid w:val="00856CB6"/>
    <w:rsid w:val="00856E95"/>
    <w:rsid w:val="00856F57"/>
    <w:rsid w:val="0085736F"/>
    <w:rsid w:val="00857427"/>
    <w:rsid w:val="00857616"/>
    <w:rsid w:val="0085766D"/>
    <w:rsid w:val="00857758"/>
    <w:rsid w:val="0085796E"/>
    <w:rsid w:val="008603E0"/>
    <w:rsid w:val="00860927"/>
    <w:rsid w:val="00860A6E"/>
    <w:rsid w:val="00860D5A"/>
    <w:rsid w:val="00860E0B"/>
    <w:rsid w:val="00860E30"/>
    <w:rsid w:val="00860FF7"/>
    <w:rsid w:val="0086182C"/>
    <w:rsid w:val="008620D8"/>
    <w:rsid w:val="008620DB"/>
    <w:rsid w:val="008621BE"/>
    <w:rsid w:val="00862208"/>
    <w:rsid w:val="008627CD"/>
    <w:rsid w:val="008633E6"/>
    <w:rsid w:val="008633F6"/>
    <w:rsid w:val="00863552"/>
    <w:rsid w:val="008638CF"/>
    <w:rsid w:val="00863B19"/>
    <w:rsid w:val="00863C73"/>
    <w:rsid w:val="00864155"/>
    <w:rsid w:val="00864467"/>
    <w:rsid w:val="00865A1E"/>
    <w:rsid w:val="00865F57"/>
    <w:rsid w:val="008663BD"/>
    <w:rsid w:val="00866491"/>
    <w:rsid w:val="0086649B"/>
    <w:rsid w:val="00866680"/>
    <w:rsid w:val="00866807"/>
    <w:rsid w:val="008669EA"/>
    <w:rsid w:val="00866DC2"/>
    <w:rsid w:val="0086738E"/>
    <w:rsid w:val="0086752B"/>
    <w:rsid w:val="008679B1"/>
    <w:rsid w:val="00867A24"/>
    <w:rsid w:val="00867C00"/>
    <w:rsid w:val="0087045C"/>
    <w:rsid w:val="008704AE"/>
    <w:rsid w:val="00870516"/>
    <w:rsid w:val="00870ED8"/>
    <w:rsid w:val="00870FFF"/>
    <w:rsid w:val="00871539"/>
    <w:rsid w:val="00871F2E"/>
    <w:rsid w:val="00872095"/>
    <w:rsid w:val="008720D3"/>
    <w:rsid w:val="00872347"/>
    <w:rsid w:val="00872C1B"/>
    <w:rsid w:val="00872EC5"/>
    <w:rsid w:val="00873151"/>
    <w:rsid w:val="00873BF2"/>
    <w:rsid w:val="00873E4C"/>
    <w:rsid w:val="008741C3"/>
    <w:rsid w:val="008742CA"/>
    <w:rsid w:val="0087471D"/>
    <w:rsid w:val="00874796"/>
    <w:rsid w:val="00874824"/>
    <w:rsid w:val="0087525F"/>
    <w:rsid w:val="00875E5D"/>
    <w:rsid w:val="00875F93"/>
    <w:rsid w:val="008763AF"/>
    <w:rsid w:val="00876917"/>
    <w:rsid w:val="00876C7F"/>
    <w:rsid w:val="00876D65"/>
    <w:rsid w:val="00876D8C"/>
    <w:rsid w:val="00876F7E"/>
    <w:rsid w:val="0087708A"/>
    <w:rsid w:val="00877443"/>
    <w:rsid w:val="008779FC"/>
    <w:rsid w:val="00877BE6"/>
    <w:rsid w:val="0088008C"/>
    <w:rsid w:val="00881DED"/>
    <w:rsid w:val="00882012"/>
    <w:rsid w:val="0088212C"/>
    <w:rsid w:val="0088231F"/>
    <w:rsid w:val="008828BD"/>
    <w:rsid w:val="00882D03"/>
    <w:rsid w:val="00882D51"/>
    <w:rsid w:val="00882DA6"/>
    <w:rsid w:val="00882F4B"/>
    <w:rsid w:val="00883990"/>
    <w:rsid w:val="00883CE1"/>
    <w:rsid w:val="00883DB9"/>
    <w:rsid w:val="00883DE9"/>
    <w:rsid w:val="008841FC"/>
    <w:rsid w:val="0088424B"/>
    <w:rsid w:val="008847BA"/>
    <w:rsid w:val="00884A23"/>
    <w:rsid w:val="00884E1B"/>
    <w:rsid w:val="00885085"/>
    <w:rsid w:val="00885781"/>
    <w:rsid w:val="00885A4A"/>
    <w:rsid w:val="00885B26"/>
    <w:rsid w:val="00885B39"/>
    <w:rsid w:val="00885C9B"/>
    <w:rsid w:val="00885D27"/>
    <w:rsid w:val="00885FCF"/>
    <w:rsid w:val="00886064"/>
    <w:rsid w:val="00886100"/>
    <w:rsid w:val="008862A5"/>
    <w:rsid w:val="0088648E"/>
    <w:rsid w:val="008867DF"/>
    <w:rsid w:val="00886867"/>
    <w:rsid w:val="008869FA"/>
    <w:rsid w:val="00886E2B"/>
    <w:rsid w:val="008870AC"/>
    <w:rsid w:val="00887229"/>
    <w:rsid w:val="0088761C"/>
    <w:rsid w:val="00887623"/>
    <w:rsid w:val="00887FEB"/>
    <w:rsid w:val="008901DA"/>
    <w:rsid w:val="0089036D"/>
    <w:rsid w:val="00890625"/>
    <w:rsid w:val="0089065F"/>
    <w:rsid w:val="008906ED"/>
    <w:rsid w:val="00890C99"/>
    <w:rsid w:val="0089123E"/>
    <w:rsid w:val="008917EA"/>
    <w:rsid w:val="008919D2"/>
    <w:rsid w:val="00891C9D"/>
    <w:rsid w:val="00891D37"/>
    <w:rsid w:val="00892A84"/>
    <w:rsid w:val="00892B73"/>
    <w:rsid w:val="00892BE7"/>
    <w:rsid w:val="00892C9A"/>
    <w:rsid w:val="00893082"/>
    <w:rsid w:val="0089340A"/>
    <w:rsid w:val="00893914"/>
    <w:rsid w:val="00893920"/>
    <w:rsid w:val="00893C0B"/>
    <w:rsid w:val="00894091"/>
    <w:rsid w:val="0089424A"/>
    <w:rsid w:val="008947D6"/>
    <w:rsid w:val="008948DE"/>
    <w:rsid w:val="00894B32"/>
    <w:rsid w:val="00894B95"/>
    <w:rsid w:val="00894BFE"/>
    <w:rsid w:val="00894CF0"/>
    <w:rsid w:val="00894E5B"/>
    <w:rsid w:val="008951E1"/>
    <w:rsid w:val="008956EB"/>
    <w:rsid w:val="00895977"/>
    <w:rsid w:val="00895A06"/>
    <w:rsid w:val="00895B24"/>
    <w:rsid w:val="00895F3B"/>
    <w:rsid w:val="0089648F"/>
    <w:rsid w:val="0089671B"/>
    <w:rsid w:val="00896F95"/>
    <w:rsid w:val="008973C7"/>
    <w:rsid w:val="008976A2"/>
    <w:rsid w:val="008A0171"/>
    <w:rsid w:val="008A0301"/>
    <w:rsid w:val="008A09AE"/>
    <w:rsid w:val="008A0B0A"/>
    <w:rsid w:val="008A0EAA"/>
    <w:rsid w:val="008A1213"/>
    <w:rsid w:val="008A12D8"/>
    <w:rsid w:val="008A1C70"/>
    <w:rsid w:val="008A1DFD"/>
    <w:rsid w:val="008A229A"/>
    <w:rsid w:val="008A23F4"/>
    <w:rsid w:val="008A2C14"/>
    <w:rsid w:val="008A31B0"/>
    <w:rsid w:val="008A326F"/>
    <w:rsid w:val="008A32B3"/>
    <w:rsid w:val="008A3C56"/>
    <w:rsid w:val="008A3E08"/>
    <w:rsid w:val="008A4461"/>
    <w:rsid w:val="008A4AD4"/>
    <w:rsid w:val="008A4D34"/>
    <w:rsid w:val="008A4DFC"/>
    <w:rsid w:val="008A4FFE"/>
    <w:rsid w:val="008A51E8"/>
    <w:rsid w:val="008A528A"/>
    <w:rsid w:val="008A5423"/>
    <w:rsid w:val="008A5647"/>
    <w:rsid w:val="008A5808"/>
    <w:rsid w:val="008A5A9E"/>
    <w:rsid w:val="008A5EA8"/>
    <w:rsid w:val="008A68B0"/>
    <w:rsid w:val="008A6AA0"/>
    <w:rsid w:val="008A6EC1"/>
    <w:rsid w:val="008A6F0B"/>
    <w:rsid w:val="008A6F75"/>
    <w:rsid w:val="008A7852"/>
    <w:rsid w:val="008A7BAE"/>
    <w:rsid w:val="008A7D2A"/>
    <w:rsid w:val="008B0331"/>
    <w:rsid w:val="008B05A7"/>
    <w:rsid w:val="008B0B7D"/>
    <w:rsid w:val="008B0D86"/>
    <w:rsid w:val="008B0E4F"/>
    <w:rsid w:val="008B12AE"/>
    <w:rsid w:val="008B1599"/>
    <w:rsid w:val="008B185A"/>
    <w:rsid w:val="008B1953"/>
    <w:rsid w:val="008B1989"/>
    <w:rsid w:val="008B22C7"/>
    <w:rsid w:val="008B269F"/>
    <w:rsid w:val="008B277D"/>
    <w:rsid w:val="008B2827"/>
    <w:rsid w:val="008B2964"/>
    <w:rsid w:val="008B2D27"/>
    <w:rsid w:val="008B2DC1"/>
    <w:rsid w:val="008B32FC"/>
    <w:rsid w:val="008B33A5"/>
    <w:rsid w:val="008B35EC"/>
    <w:rsid w:val="008B3C30"/>
    <w:rsid w:val="008B4051"/>
    <w:rsid w:val="008B42D3"/>
    <w:rsid w:val="008B45B3"/>
    <w:rsid w:val="008B4888"/>
    <w:rsid w:val="008B48B5"/>
    <w:rsid w:val="008B48EF"/>
    <w:rsid w:val="008B5D43"/>
    <w:rsid w:val="008B5F0A"/>
    <w:rsid w:val="008B5FF9"/>
    <w:rsid w:val="008B6838"/>
    <w:rsid w:val="008B692B"/>
    <w:rsid w:val="008B6A19"/>
    <w:rsid w:val="008B6F04"/>
    <w:rsid w:val="008B6F34"/>
    <w:rsid w:val="008B743E"/>
    <w:rsid w:val="008B75B2"/>
    <w:rsid w:val="008B7E4C"/>
    <w:rsid w:val="008C05B1"/>
    <w:rsid w:val="008C07A4"/>
    <w:rsid w:val="008C09A2"/>
    <w:rsid w:val="008C1182"/>
    <w:rsid w:val="008C1B95"/>
    <w:rsid w:val="008C1BA4"/>
    <w:rsid w:val="008C2107"/>
    <w:rsid w:val="008C254A"/>
    <w:rsid w:val="008C2718"/>
    <w:rsid w:val="008C2B22"/>
    <w:rsid w:val="008C355C"/>
    <w:rsid w:val="008C3776"/>
    <w:rsid w:val="008C3A9C"/>
    <w:rsid w:val="008C4430"/>
    <w:rsid w:val="008C463C"/>
    <w:rsid w:val="008C4666"/>
    <w:rsid w:val="008C466B"/>
    <w:rsid w:val="008C4844"/>
    <w:rsid w:val="008C4988"/>
    <w:rsid w:val="008C4ABA"/>
    <w:rsid w:val="008C4D1C"/>
    <w:rsid w:val="008C4DB9"/>
    <w:rsid w:val="008C4E54"/>
    <w:rsid w:val="008C4F9A"/>
    <w:rsid w:val="008C5473"/>
    <w:rsid w:val="008C567A"/>
    <w:rsid w:val="008C587C"/>
    <w:rsid w:val="008C5A2F"/>
    <w:rsid w:val="008C5C1F"/>
    <w:rsid w:val="008C5F24"/>
    <w:rsid w:val="008C6011"/>
    <w:rsid w:val="008C699A"/>
    <w:rsid w:val="008C6B82"/>
    <w:rsid w:val="008C6F2F"/>
    <w:rsid w:val="008C6F3D"/>
    <w:rsid w:val="008C70F4"/>
    <w:rsid w:val="008C76DB"/>
    <w:rsid w:val="008C77C2"/>
    <w:rsid w:val="008C7909"/>
    <w:rsid w:val="008C7968"/>
    <w:rsid w:val="008C79FE"/>
    <w:rsid w:val="008C7AE6"/>
    <w:rsid w:val="008D11B7"/>
    <w:rsid w:val="008D192C"/>
    <w:rsid w:val="008D19E3"/>
    <w:rsid w:val="008D1A5C"/>
    <w:rsid w:val="008D1B7B"/>
    <w:rsid w:val="008D1D9A"/>
    <w:rsid w:val="008D1E1D"/>
    <w:rsid w:val="008D20AE"/>
    <w:rsid w:val="008D2212"/>
    <w:rsid w:val="008D25A6"/>
    <w:rsid w:val="008D26F7"/>
    <w:rsid w:val="008D2AD4"/>
    <w:rsid w:val="008D2C95"/>
    <w:rsid w:val="008D31AC"/>
    <w:rsid w:val="008D32BE"/>
    <w:rsid w:val="008D32EA"/>
    <w:rsid w:val="008D3C0E"/>
    <w:rsid w:val="008D3E15"/>
    <w:rsid w:val="008D3E7B"/>
    <w:rsid w:val="008D450A"/>
    <w:rsid w:val="008D47DA"/>
    <w:rsid w:val="008D487E"/>
    <w:rsid w:val="008D48AC"/>
    <w:rsid w:val="008D4A87"/>
    <w:rsid w:val="008D4AE7"/>
    <w:rsid w:val="008D4F01"/>
    <w:rsid w:val="008D5203"/>
    <w:rsid w:val="008D5343"/>
    <w:rsid w:val="008D53B8"/>
    <w:rsid w:val="008D54BE"/>
    <w:rsid w:val="008D58C8"/>
    <w:rsid w:val="008D5A3A"/>
    <w:rsid w:val="008D5CD6"/>
    <w:rsid w:val="008D5EE5"/>
    <w:rsid w:val="008D5EFB"/>
    <w:rsid w:val="008D60C7"/>
    <w:rsid w:val="008D6126"/>
    <w:rsid w:val="008D63C8"/>
    <w:rsid w:val="008D6DB4"/>
    <w:rsid w:val="008D6F2C"/>
    <w:rsid w:val="008D7721"/>
    <w:rsid w:val="008D7B69"/>
    <w:rsid w:val="008D7ED7"/>
    <w:rsid w:val="008E0598"/>
    <w:rsid w:val="008E063F"/>
    <w:rsid w:val="008E0995"/>
    <w:rsid w:val="008E0BAF"/>
    <w:rsid w:val="008E0BB5"/>
    <w:rsid w:val="008E0CFD"/>
    <w:rsid w:val="008E0E35"/>
    <w:rsid w:val="008E1415"/>
    <w:rsid w:val="008E1754"/>
    <w:rsid w:val="008E1B41"/>
    <w:rsid w:val="008E1BA8"/>
    <w:rsid w:val="008E1BD8"/>
    <w:rsid w:val="008E2387"/>
    <w:rsid w:val="008E2A20"/>
    <w:rsid w:val="008E2DA8"/>
    <w:rsid w:val="008E3204"/>
    <w:rsid w:val="008E34C8"/>
    <w:rsid w:val="008E35C6"/>
    <w:rsid w:val="008E3BC5"/>
    <w:rsid w:val="008E3EC8"/>
    <w:rsid w:val="008E4153"/>
    <w:rsid w:val="008E44CC"/>
    <w:rsid w:val="008E521E"/>
    <w:rsid w:val="008E5331"/>
    <w:rsid w:val="008E54BD"/>
    <w:rsid w:val="008E55E9"/>
    <w:rsid w:val="008E56F2"/>
    <w:rsid w:val="008E5757"/>
    <w:rsid w:val="008E57E9"/>
    <w:rsid w:val="008E595B"/>
    <w:rsid w:val="008E5B5A"/>
    <w:rsid w:val="008E5D59"/>
    <w:rsid w:val="008E5E1F"/>
    <w:rsid w:val="008E619B"/>
    <w:rsid w:val="008E623E"/>
    <w:rsid w:val="008E6253"/>
    <w:rsid w:val="008E64CA"/>
    <w:rsid w:val="008E66E5"/>
    <w:rsid w:val="008E6ED1"/>
    <w:rsid w:val="008E7777"/>
    <w:rsid w:val="008E78F3"/>
    <w:rsid w:val="008E7B84"/>
    <w:rsid w:val="008E7D7B"/>
    <w:rsid w:val="008F0B68"/>
    <w:rsid w:val="008F0FD4"/>
    <w:rsid w:val="008F12D8"/>
    <w:rsid w:val="008F136A"/>
    <w:rsid w:val="008F164B"/>
    <w:rsid w:val="008F1F64"/>
    <w:rsid w:val="008F2176"/>
    <w:rsid w:val="008F2333"/>
    <w:rsid w:val="008F234F"/>
    <w:rsid w:val="008F2457"/>
    <w:rsid w:val="008F2837"/>
    <w:rsid w:val="008F2935"/>
    <w:rsid w:val="008F2E5B"/>
    <w:rsid w:val="008F310F"/>
    <w:rsid w:val="008F3904"/>
    <w:rsid w:val="008F3AB8"/>
    <w:rsid w:val="008F4099"/>
    <w:rsid w:val="008F4485"/>
    <w:rsid w:val="008F47A3"/>
    <w:rsid w:val="008F4CE6"/>
    <w:rsid w:val="008F4D08"/>
    <w:rsid w:val="008F4FCE"/>
    <w:rsid w:val="008F5638"/>
    <w:rsid w:val="008F56CB"/>
    <w:rsid w:val="008F5844"/>
    <w:rsid w:val="008F5E45"/>
    <w:rsid w:val="008F60AA"/>
    <w:rsid w:val="008F60E4"/>
    <w:rsid w:val="008F635E"/>
    <w:rsid w:val="008F6A1B"/>
    <w:rsid w:val="008F6A39"/>
    <w:rsid w:val="008F6FB1"/>
    <w:rsid w:val="008F7FF9"/>
    <w:rsid w:val="00900087"/>
    <w:rsid w:val="009000DC"/>
    <w:rsid w:val="009006DC"/>
    <w:rsid w:val="009008A7"/>
    <w:rsid w:val="009008AE"/>
    <w:rsid w:val="00900913"/>
    <w:rsid w:val="00900957"/>
    <w:rsid w:val="00900A8E"/>
    <w:rsid w:val="00900C39"/>
    <w:rsid w:val="0090105C"/>
    <w:rsid w:val="0090155D"/>
    <w:rsid w:val="00901945"/>
    <w:rsid w:val="00901BE7"/>
    <w:rsid w:val="00901D16"/>
    <w:rsid w:val="00901F1F"/>
    <w:rsid w:val="009020DF"/>
    <w:rsid w:val="0090258A"/>
    <w:rsid w:val="00902696"/>
    <w:rsid w:val="00903036"/>
    <w:rsid w:val="009034F0"/>
    <w:rsid w:val="00903827"/>
    <w:rsid w:val="00903A0B"/>
    <w:rsid w:val="00904101"/>
    <w:rsid w:val="00904151"/>
    <w:rsid w:val="00904910"/>
    <w:rsid w:val="00904BBC"/>
    <w:rsid w:val="00904BBD"/>
    <w:rsid w:val="00904CF0"/>
    <w:rsid w:val="00904DCD"/>
    <w:rsid w:val="0090556B"/>
    <w:rsid w:val="00905725"/>
    <w:rsid w:val="00905C28"/>
    <w:rsid w:val="00905D7C"/>
    <w:rsid w:val="009060C9"/>
    <w:rsid w:val="009074EC"/>
    <w:rsid w:val="00907588"/>
    <w:rsid w:val="0090782C"/>
    <w:rsid w:val="00907D1C"/>
    <w:rsid w:val="00907EAC"/>
    <w:rsid w:val="00910107"/>
    <w:rsid w:val="0091034A"/>
    <w:rsid w:val="00910693"/>
    <w:rsid w:val="0091089B"/>
    <w:rsid w:val="00910CF6"/>
    <w:rsid w:val="00911129"/>
    <w:rsid w:val="009113CE"/>
    <w:rsid w:val="009113FC"/>
    <w:rsid w:val="0091143C"/>
    <w:rsid w:val="009115C4"/>
    <w:rsid w:val="0091197C"/>
    <w:rsid w:val="00911C8F"/>
    <w:rsid w:val="00911F82"/>
    <w:rsid w:val="00911FF1"/>
    <w:rsid w:val="009121AF"/>
    <w:rsid w:val="009121DE"/>
    <w:rsid w:val="0091272C"/>
    <w:rsid w:val="00912803"/>
    <w:rsid w:val="00912812"/>
    <w:rsid w:val="00912B35"/>
    <w:rsid w:val="00912DAE"/>
    <w:rsid w:val="00912EFC"/>
    <w:rsid w:val="009130E5"/>
    <w:rsid w:val="00913126"/>
    <w:rsid w:val="00913500"/>
    <w:rsid w:val="009138AB"/>
    <w:rsid w:val="00913D93"/>
    <w:rsid w:val="00913F60"/>
    <w:rsid w:val="00914197"/>
    <w:rsid w:val="00914347"/>
    <w:rsid w:val="009144E1"/>
    <w:rsid w:val="009150E1"/>
    <w:rsid w:val="009151D3"/>
    <w:rsid w:val="009155CE"/>
    <w:rsid w:val="0091597B"/>
    <w:rsid w:val="00915AC0"/>
    <w:rsid w:val="00916031"/>
    <w:rsid w:val="009169FB"/>
    <w:rsid w:val="00916DA1"/>
    <w:rsid w:val="00917351"/>
    <w:rsid w:val="00917F35"/>
    <w:rsid w:val="00917F81"/>
    <w:rsid w:val="00917FCB"/>
    <w:rsid w:val="0092007C"/>
    <w:rsid w:val="00920163"/>
    <w:rsid w:val="00920284"/>
    <w:rsid w:val="009202DD"/>
    <w:rsid w:val="00920727"/>
    <w:rsid w:val="009207EA"/>
    <w:rsid w:val="00920C00"/>
    <w:rsid w:val="00920ED7"/>
    <w:rsid w:val="00921432"/>
    <w:rsid w:val="00921762"/>
    <w:rsid w:val="00921A9E"/>
    <w:rsid w:val="00921B8F"/>
    <w:rsid w:val="00921CED"/>
    <w:rsid w:val="0092225E"/>
    <w:rsid w:val="0092236B"/>
    <w:rsid w:val="0092293A"/>
    <w:rsid w:val="00922ADD"/>
    <w:rsid w:val="00922BB7"/>
    <w:rsid w:val="00922C6B"/>
    <w:rsid w:val="00922E64"/>
    <w:rsid w:val="009239F8"/>
    <w:rsid w:val="00923B3B"/>
    <w:rsid w:val="00923C08"/>
    <w:rsid w:val="00923DFA"/>
    <w:rsid w:val="00923E80"/>
    <w:rsid w:val="00923F72"/>
    <w:rsid w:val="00924233"/>
    <w:rsid w:val="009242F9"/>
    <w:rsid w:val="00924384"/>
    <w:rsid w:val="00924504"/>
    <w:rsid w:val="0092488B"/>
    <w:rsid w:val="00924A16"/>
    <w:rsid w:val="00924B50"/>
    <w:rsid w:val="00924E02"/>
    <w:rsid w:val="009255A4"/>
    <w:rsid w:val="00925A44"/>
    <w:rsid w:val="00925CF3"/>
    <w:rsid w:val="00925D8E"/>
    <w:rsid w:val="009260F9"/>
    <w:rsid w:val="009262C6"/>
    <w:rsid w:val="00926887"/>
    <w:rsid w:val="00926E65"/>
    <w:rsid w:val="00926F25"/>
    <w:rsid w:val="00926F4F"/>
    <w:rsid w:val="0092719F"/>
    <w:rsid w:val="0092758D"/>
    <w:rsid w:val="009276E4"/>
    <w:rsid w:val="00927BE0"/>
    <w:rsid w:val="00927FD1"/>
    <w:rsid w:val="00930230"/>
    <w:rsid w:val="00930497"/>
    <w:rsid w:val="00930629"/>
    <w:rsid w:val="00930D2A"/>
    <w:rsid w:val="00930E3E"/>
    <w:rsid w:val="009312C3"/>
    <w:rsid w:val="009313E3"/>
    <w:rsid w:val="0093184D"/>
    <w:rsid w:val="00931AF9"/>
    <w:rsid w:val="009320D7"/>
    <w:rsid w:val="009328A7"/>
    <w:rsid w:val="00932B04"/>
    <w:rsid w:val="00932BA8"/>
    <w:rsid w:val="00933915"/>
    <w:rsid w:val="00933ABE"/>
    <w:rsid w:val="00933DFA"/>
    <w:rsid w:val="00933F29"/>
    <w:rsid w:val="00934450"/>
    <w:rsid w:val="0093460D"/>
    <w:rsid w:val="0093471F"/>
    <w:rsid w:val="009347F4"/>
    <w:rsid w:val="0093486B"/>
    <w:rsid w:val="009349B9"/>
    <w:rsid w:val="00934C7B"/>
    <w:rsid w:val="00935247"/>
    <w:rsid w:val="0093535C"/>
    <w:rsid w:val="009356DD"/>
    <w:rsid w:val="00935C32"/>
    <w:rsid w:val="00935F0B"/>
    <w:rsid w:val="0093614A"/>
    <w:rsid w:val="0093624E"/>
    <w:rsid w:val="009364EB"/>
    <w:rsid w:val="00936702"/>
    <w:rsid w:val="00937136"/>
    <w:rsid w:val="00937571"/>
    <w:rsid w:val="0093786C"/>
    <w:rsid w:val="00940022"/>
    <w:rsid w:val="009406C7"/>
    <w:rsid w:val="00940786"/>
    <w:rsid w:val="009407FD"/>
    <w:rsid w:val="00941499"/>
    <w:rsid w:val="00941576"/>
    <w:rsid w:val="00941962"/>
    <w:rsid w:val="00941B33"/>
    <w:rsid w:val="00941C10"/>
    <w:rsid w:val="00941C3F"/>
    <w:rsid w:val="00941EF0"/>
    <w:rsid w:val="0094243C"/>
    <w:rsid w:val="00942482"/>
    <w:rsid w:val="009424FB"/>
    <w:rsid w:val="009426F3"/>
    <w:rsid w:val="00942FDF"/>
    <w:rsid w:val="0094374F"/>
    <w:rsid w:val="00943DB2"/>
    <w:rsid w:val="00943EDA"/>
    <w:rsid w:val="00944019"/>
    <w:rsid w:val="009441B5"/>
    <w:rsid w:val="00944472"/>
    <w:rsid w:val="00944AB1"/>
    <w:rsid w:val="00944F2E"/>
    <w:rsid w:val="00944F30"/>
    <w:rsid w:val="0094504C"/>
    <w:rsid w:val="009465C9"/>
    <w:rsid w:val="00946A3B"/>
    <w:rsid w:val="00946CCB"/>
    <w:rsid w:val="00946EBA"/>
    <w:rsid w:val="00947571"/>
    <w:rsid w:val="009477AC"/>
    <w:rsid w:val="009479F7"/>
    <w:rsid w:val="00947A9D"/>
    <w:rsid w:val="00947B2F"/>
    <w:rsid w:val="00947BF9"/>
    <w:rsid w:val="009503BD"/>
    <w:rsid w:val="00950CD5"/>
    <w:rsid w:val="00951388"/>
    <w:rsid w:val="0095216D"/>
    <w:rsid w:val="00952443"/>
    <w:rsid w:val="00952896"/>
    <w:rsid w:val="009529AE"/>
    <w:rsid w:val="00952A71"/>
    <w:rsid w:val="00952D31"/>
    <w:rsid w:val="00954603"/>
    <w:rsid w:val="00954957"/>
    <w:rsid w:val="00954A4F"/>
    <w:rsid w:val="00954FB8"/>
    <w:rsid w:val="009552CC"/>
    <w:rsid w:val="00955477"/>
    <w:rsid w:val="0095576A"/>
    <w:rsid w:val="00955C3B"/>
    <w:rsid w:val="00955FB4"/>
    <w:rsid w:val="009565FA"/>
    <w:rsid w:val="00956967"/>
    <w:rsid w:val="00956A0B"/>
    <w:rsid w:val="00956CB2"/>
    <w:rsid w:val="009572B0"/>
    <w:rsid w:val="009573A1"/>
    <w:rsid w:val="00957475"/>
    <w:rsid w:val="009574C8"/>
    <w:rsid w:val="00957AE8"/>
    <w:rsid w:val="00957F3C"/>
    <w:rsid w:val="0096023D"/>
    <w:rsid w:val="009607CB"/>
    <w:rsid w:val="00960A76"/>
    <w:rsid w:val="00960C6A"/>
    <w:rsid w:val="00960D4A"/>
    <w:rsid w:val="00960F3F"/>
    <w:rsid w:val="009611CD"/>
    <w:rsid w:val="009612E9"/>
    <w:rsid w:val="009613A4"/>
    <w:rsid w:val="00961596"/>
    <w:rsid w:val="009615E3"/>
    <w:rsid w:val="00961DAD"/>
    <w:rsid w:val="009623EF"/>
    <w:rsid w:val="00962520"/>
    <w:rsid w:val="0096260C"/>
    <w:rsid w:val="00962A9C"/>
    <w:rsid w:val="00962C0D"/>
    <w:rsid w:val="00962CA5"/>
    <w:rsid w:val="00962E12"/>
    <w:rsid w:val="00962F92"/>
    <w:rsid w:val="00963207"/>
    <w:rsid w:val="009634B1"/>
    <w:rsid w:val="00963860"/>
    <w:rsid w:val="00963AF0"/>
    <w:rsid w:val="00963BE6"/>
    <w:rsid w:val="00963C7C"/>
    <w:rsid w:val="00964C51"/>
    <w:rsid w:val="00964D70"/>
    <w:rsid w:val="009657C2"/>
    <w:rsid w:val="00965A0A"/>
    <w:rsid w:val="009667FE"/>
    <w:rsid w:val="0096699A"/>
    <w:rsid w:val="009669C2"/>
    <w:rsid w:val="00966C83"/>
    <w:rsid w:val="00967BE7"/>
    <w:rsid w:val="00967D70"/>
    <w:rsid w:val="00967E0B"/>
    <w:rsid w:val="00967F91"/>
    <w:rsid w:val="00967FD2"/>
    <w:rsid w:val="0097018E"/>
    <w:rsid w:val="009701A3"/>
    <w:rsid w:val="009702FA"/>
    <w:rsid w:val="00970719"/>
    <w:rsid w:val="00970766"/>
    <w:rsid w:val="0097111B"/>
    <w:rsid w:val="00971435"/>
    <w:rsid w:val="009716F3"/>
    <w:rsid w:val="0097179D"/>
    <w:rsid w:val="009717FB"/>
    <w:rsid w:val="009720C0"/>
    <w:rsid w:val="00972109"/>
    <w:rsid w:val="0097218F"/>
    <w:rsid w:val="009721E1"/>
    <w:rsid w:val="00972368"/>
    <w:rsid w:val="00972644"/>
    <w:rsid w:val="00972CD9"/>
    <w:rsid w:val="0097306F"/>
    <w:rsid w:val="0097312A"/>
    <w:rsid w:val="00973219"/>
    <w:rsid w:val="0097355E"/>
    <w:rsid w:val="0097390C"/>
    <w:rsid w:val="00973992"/>
    <w:rsid w:val="00973AE0"/>
    <w:rsid w:val="00973D06"/>
    <w:rsid w:val="00973DE9"/>
    <w:rsid w:val="0097409A"/>
    <w:rsid w:val="00974190"/>
    <w:rsid w:val="00974359"/>
    <w:rsid w:val="009745C9"/>
    <w:rsid w:val="0097492B"/>
    <w:rsid w:val="00974DF7"/>
    <w:rsid w:val="0097532A"/>
    <w:rsid w:val="009755B2"/>
    <w:rsid w:val="009757B8"/>
    <w:rsid w:val="009758DF"/>
    <w:rsid w:val="00975976"/>
    <w:rsid w:val="00975A07"/>
    <w:rsid w:val="0097630E"/>
    <w:rsid w:val="00976331"/>
    <w:rsid w:val="00976BF6"/>
    <w:rsid w:val="00976F05"/>
    <w:rsid w:val="00976F90"/>
    <w:rsid w:val="0097710E"/>
    <w:rsid w:val="00977710"/>
    <w:rsid w:val="00977BF2"/>
    <w:rsid w:val="0098001D"/>
    <w:rsid w:val="00980D7C"/>
    <w:rsid w:val="00980D83"/>
    <w:rsid w:val="009812F7"/>
    <w:rsid w:val="009813F8"/>
    <w:rsid w:val="00981637"/>
    <w:rsid w:val="009818C5"/>
    <w:rsid w:val="0098196E"/>
    <w:rsid w:val="00981F0A"/>
    <w:rsid w:val="009821F1"/>
    <w:rsid w:val="009823E2"/>
    <w:rsid w:val="0098245F"/>
    <w:rsid w:val="00982615"/>
    <w:rsid w:val="00983C4D"/>
    <w:rsid w:val="009847F3"/>
    <w:rsid w:val="009848AA"/>
    <w:rsid w:val="00984C54"/>
    <w:rsid w:val="00984F29"/>
    <w:rsid w:val="0098581B"/>
    <w:rsid w:val="009858FF"/>
    <w:rsid w:val="0098592E"/>
    <w:rsid w:val="00985A33"/>
    <w:rsid w:val="009861A2"/>
    <w:rsid w:val="0098623F"/>
    <w:rsid w:val="00986326"/>
    <w:rsid w:val="009866CB"/>
    <w:rsid w:val="00986A03"/>
    <w:rsid w:val="00986B73"/>
    <w:rsid w:val="00986C82"/>
    <w:rsid w:val="00986DF7"/>
    <w:rsid w:val="00986FF0"/>
    <w:rsid w:val="009870F2"/>
    <w:rsid w:val="00987492"/>
    <w:rsid w:val="009874E5"/>
    <w:rsid w:val="0098786B"/>
    <w:rsid w:val="00987881"/>
    <w:rsid w:val="0099063B"/>
    <w:rsid w:val="00990686"/>
    <w:rsid w:val="00990FAA"/>
    <w:rsid w:val="00991108"/>
    <w:rsid w:val="00991235"/>
    <w:rsid w:val="0099126E"/>
    <w:rsid w:val="0099188D"/>
    <w:rsid w:val="00991E25"/>
    <w:rsid w:val="00991E55"/>
    <w:rsid w:val="0099271A"/>
    <w:rsid w:val="009929BF"/>
    <w:rsid w:val="00992E24"/>
    <w:rsid w:val="00992F4A"/>
    <w:rsid w:val="009934C7"/>
    <w:rsid w:val="009936F4"/>
    <w:rsid w:val="0099371E"/>
    <w:rsid w:val="00993A09"/>
    <w:rsid w:val="0099417A"/>
    <w:rsid w:val="009941BB"/>
    <w:rsid w:val="00994761"/>
    <w:rsid w:val="00994A15"/>
    <w:rsid w:val="00994ABF"/>
    <w:rsid w:val="00994EB3"/>
    <w:rsid w:val="009952E5"/>
    <w:rsid w:val="009954FD"/>
    <w:rsid w:val="00995D4B"/>
    <w:rsid w:val="0099682D"/>
    <w:rsid w:val="00996D0D"/>
    <w:rsid w:val="0099727B"/>
    <w:rsid w:val="0099750A"/>
    <w:rsid w:val="00997BF7"/>
    <w:rsid w:val="00997C6B"/>
    <w:rsid w:val="00997C8B"/>
    <w:rsid w:val="00997C92"/>
    <w:rsid w:val="00997E58"/>
    <w:rsid w:val="00997FE1"/>
    <w:rsid w:val="009A02B4"/>
    <w:rsid w:val="009A05CD"/>
    <w:rsid w:val="009A05E8"/>
    <w:rsid w:val="009A0658"/>
    <w:rsid w:val="009A090D"/>
    <w:rsid w:val="009A0ADB"/>
    <w:rsid w:val="009A0F9B"/>
    <w:rsid w:val="009A1B38"/>
    <w:rsid w:val="009A1CF9"/>
    <w:rsid w:val="009A22E5"/>
    <w:rsid w:val="009A2589"/>
    <w:rsid w:val="009A25E1"/>
    <w:rsid w:val="009A26E2"/>
    <w:rsid w:val="009A274F"/>
    <w:rsid w:val="009A280B"/>
    <w:rsid w:val="009A30FA"/>
    <w:rsid w:val="009A3250"/>
    <w:rsid w:val="009A367E"/>
    <w:rsid w:val="009A38B3"/>
    <w:rsid w:val="009A3A92"/>
    <w:rsid w:val="009A3FFD"/>
    <w:rsid w:val="009A49F1"/>
    <w:rsid w:val="009A4A2F"/>
    <w:rsid w:val="009A4A45"/>
    <w:rsid w:val="009A4E28"/>
    <w:rsid w:val="009A5AD2"/>
    <w:rsid w:val="009A60E5"/>
    <w:rsid w:val="009A6177"/>
    <w:rsid w:val="009A61CC"/>
    <w:rsid w:val="009A63DD"/>
    <w:rsid w:val="009A6550"/>
    <w:rsid w:val="009A677E"/>
    <w:rsid w:val="009A6A46"/>
    <w:rsid w:val="009A6B54"/>
    <w:rsid w:val="009A6D72"/>
    <w:rsid w:val="009A6E83"/>
    <w:rsid w:val="009A709A"/>
    <w:rsid w:val="009A7138"/>
    <w:rsid w:val="009A7257"/>
    <w:rsid w:val="009A7A0C"/>
    <w:rsid w:val="009B0186"/>
    <w:rsid w:val="009B0743"/>
    <w:rsid w:val="009B0814"/>
    <w:rsid w:val="009B0B56"/>
    <w:rsid w:val="009B106F"/>
    <w:rsid w:val="009B142E"/>
    <w:rsid w:val="009B1B3F"/>
    <w:rsid w:val="009B230D"/>
    <w:rsid w:val="009B234E"/>
    <w:rsid w:val="009B23F8"/>
    <w:rsid w:val="009B2F28"/>
    <w:rsid w:val="009B3AC7"/>
    <w:rsid w:val="009B519E"/>
    <w:rsid w:val="009B539A"/>
    <w:rsid w:val="009B576F"/>
    <w:rsid w:val="009B62E3"/>
    <w:rsid w:val="009B67D1"/>
    <w:rsid w:val="009B6A03"/>
    <w:rsid w:val="009B6A54"/>
    <w:rsid w:val="009B70C0"/>
    <w:rsid w:val="009B7A7D"/>
    <w:rsid w:val="009B7B83"/>
    <w:rsid w:val="009C0040"/>
    <w:rsid w:val="009C0180"/>
    <w:rsid w:val="009C026B"/>
    <w:rsid w:val="009C02E8"/>
    <w:rsid w:val="009C0915"/>
    <w:rsid w:val="009C0AA3"/>
    <w:rsid w:val="009C0D5C"/>
    <w:rsid w:val="009C1377"/>
    <w:rsid w:val="009C1581"/>
    <w:rsid w:val="009C17AB"/>
    <w:rsid w:val="009C18B9"/>
    <w:rsid w:val="009C1995"/>
    <w:rsid w:val="009C1AEC"/>
    <w:rsid w:val="009C24B9"/>
    <w:rsid w:val="009C34C8"/>
    <w:rsid w:val="009C36D7"/>
    <w:rsid w:val="009C3722"/>
    <w:rsid w:val="009C4506"/>
    <w:rsid w:val="009C4550"/>
    <w:rsid w:val="009C4EC5"/>
    <w:rsid w:val="009C4EF5"/>
    <w:rsid w:val="009C5B27"/>
    <w:rsid w:val="009C5EFF"/>
    <w:rsid w:val="009C60D6"/>
    <w:rsid w:val="009C611F"/>
    <w:rsid w:val="009C640F"/>
    <w:rsid w:val="009C6703"/>
    <w:rsid w:val="009C672F"/>
    <w:rsid w:val="009C7477"/>
    <w:rsid w:val="009C749B"/>
    <w:rsid w:val="009C77D3"/>
    <w:rsid w:val="009C7E76"/>
    <w:rsid w:val="009D03E3"/>
    <w:rsid w:val="009D05EB"/>
    <w:rsid w:val="009D06B4"/>
    <w:rsid w:val="009D0F31"/>
    <w:rsid w:val="009D1633"/>
    <w:rsid w:val="009D16D1"/>
    <w:rsid w:val="009D1715"/>
    <w:rsid w:val="009D1976"/>
    <w:rsid w:val="009D19F8"/>
    <w:rsid w:val="009D1A98"/>
    <w:rsid w:val="009D1C0D"/>
    <w:rsid w:val="009D213E"/>
    <w:rsid w:val="009D21B8"/>
    <w:rsid w:val="009D2452"/>
    <w:rsid w:val="009D2947"/>
    <w:rsid w:val="009D2A60"/>
    <w:rsid w:val="009D2B6A"/>
    <w:rsid w:val="009D2EBA"/>
    <w:rsid w:val="009D3124"/>
    <w:rsid w:val="009D35D3"/>
    <w:rsid w:val="009D3B1E"/>
    <w:rsid w:val="009D40D2"/>
    <w:rsid w:val="009D4495"/>
    <w:rsid w:val="009D44EB"/>
    <w:rsid w:val="009D4524"/>
    <w:rsid w:val="009D4782"/>
    <w:rsid w:val="009D48E9"/>
    <w:rsid w:val="009D4FE0"/>
    <w:rsid w:val="009D55C6"/>
    <w:rsid w:val="009D5817"/>
    <w:rsid w:val="009D5839"/>
    <w:rsid w:val="009D5B98"/>
    <w:rsid w:val="009D5BFD"/>
    <w:rsid w:val="009D63CA"/>
    <w:rsid w:val="009D66A1"/>
    <w:rsid w:val="009D6830"/>
    <w:rsid w:val="009D6B05"/>
    <w:rsid w:val="009D7067"/>
    <w:rsid w:val="009D7739"/>
    <w:rsid w:val="009D7835"/>
    <w:rsid w:val="009D7836"/>
    <w:rsid w:val="009D7E34"/>
    <w:rsid w:val="009E0288"/>
    <w:rsid w:val="009E0502"/>
    <w:rsid w:val="009E1B0A"/>
    <w:rsid w:val="009E1E3C"/>
    <w:rsid w:val="009E252F"/>
    <w:rsid w:val="009E2CF8"/>
    <w:rsid w:val="009E2FD2"/>
    <w:rsid w:val="009E32C2"/>
    <w:rsid w:val="009E34C6"/>
    <w:rsid w:val="009E358C"/>
    <w:rsid w:val="009E3700"/>
    <w:rsid w:val="009E3795"/>
    <w:rsid w:val="009E3B49"/>
    <w:rsid w:val="009E3C37"/>
    <w:rsid w:val="009E4AE3"/>
    <w:rsid w:val="009E4B5C"/>
    <w:rsid w:val="009E5258"/>
    <w:rsid w:val="009E52C5"/>
    <w:rsid w:val="009E5751"/>
    <w:rsid w:val="009E57B9"/>
    <w:rsid w:val="009E5891"/>
    <w:rsid w:val="009E5B2F"/>
    <w:rsid w:val="009E5B7E"/>
    <w:rsid w:val="009E5C74"/>
    <w:rsid w:val="009E5EFA"/>
    <w:rsid w:val="009E6222"/>
    <w:rsid w:val="009E62B9"/>
    <w:rsid w:val="009E6442"/>
    <w:rsid w:val="009E6482"/>
    <w:rsid w:val="009E64E6"/>
    <w:rsid w:val="009E6653"/>
    <w:rsid w:val="009E67AF"/>
    <w:rsid w:val="009E69FC"/>
    <w:rsid w:val="009E6E0A"/>
    <w:rsid w:val="009E6EEE"/>
    <w:rsid w:val="009E6F18"/>
    <w:rsid w:val="009E72A8"/>
    <w:rsid w:val="009E7480"/>
    <w:rsid w:val="009E7A62"/>
    <w:rsid w:val="009E7F7F"/>
    <w:rsid w:val="009F0786"/>
    <w:rsid w:val="009F1882"/>
    <w:rsid w:val="009F1C70"/>
    <w:rsid w:val="009F1CBA"/>
    <w:rsid w:val="009F1E50"/>
    <w:rsid w:val="009F28C3"/>
    <w:rsid w:val="009F28D6"/>
    <w:rsid w:val="009F2A8F"/>
    <w:rsid w:val="009F2BFE"/>
    <w:rsid w:val="009F2C0B"/>
    <w:rsid w:val="009F2CDD"/>
    <w:rsid w:val="009F2E3F"/>
    <w:rsid w:val="009F2E8D"/>
    <w:rsid w:val="009F324D"/>
    <w:rsid w:val="009F351F"/>
    <w:rsid w:val="009F36BD"/>
    <w:rsid w:val="009F3866"/>
    <w:rsid w:val="009F3D3D"/>
    <w:rsid w:val="009F3DC7"/>
    <w:rsid w:val="009F427B"/>
    <w:rsid w:val="009F4549"/>
    <w:rsid w:val="009F4FB9"/>
    <w:rsid w:val="009F5085"/>
    <w:rsid w:val="009F5A4E"/>
    <w:rsid w:val="009F5AC5"/>
    <w:rsid w:val="009F5F89"/>
    <w:rsid w:val="009F61A5"/>
    <w:rsid w:val="009F6209"/>
    <w:rsid w:val="009F6E19"/>
    <w:rsid w:val="009F73AA"/>
    <w:rsid w:val="009F7E65"/>
    <w:rsid w:val="00A0044B"/>
    <w:rsid w:val="00A0094F"/>
    <w:rsid w:val="00A00A3E"/>
    <w:rsid w:val="00A00B72"/>
    <w:rsid w:val="00A010DD"/>
    <w:rsid w:val="00A0153B"/>
    <w:rsid w:val="00A02C85"/>
    <w:rsid w:val="00A02D0F"/>
    <w:rsid w:val="00A02DDD"/>
    <w:rsid w:val="00A030EF"/>
    <w:rsid w:val="00A03260"/>
    <w:rsid w:val="00A033DF"/>
    <w:rsid w:val="00A03A90"/>
    <w:rsid w:val="00A03D78"/>
    <w:rsid w:val="00A041D8"/>
    <w:rsid w:val="00A0453B"/>
    <w:rsid w:val="00A04698"/>
    <w:rsid w:val="00A0486E"/>
    <w:rsid w:val="00A051CF"/>
    <w:rsid w:val="00A05239"/>
    <w:rsid w:val="00A055DD"/>
    <w:rsid w:val="00A05710"/>
    <w:rsid w:val="00A05B43"/>
    <w:rsid w:val="00A06350"/>
    <w:rsid w:val="00A06475"/>
    <w:rsid w:val="00A064AC"/>
    <w:rsid w:val="00A06D06"/>
    <w:rsid w:val="00A077CA"/>
    <w:rsid w:val="00A07E5A"/>
    <w:rsid w:val="00A10418"/>
    <w:rsid w:val="00A10644"/>
    <w:rsid w:val="00A106E3"/>
    <w:rsid w:val="00A107FF"/>
    <w:rsid w:val="00A10877"/>
    <w:rsid w:val="00A10ACC"/>
    <w:rsid w:val="00A10CCB"/>
    <w:rsid w:val="00A11170"/>
    <w:rsid w:val="00A1166E"/>
    <w:rsid w:val="00A11693"/>
    <w:rsid w:val="00A1170B"/>
    <w:rsid w:val="00A1176E"/>
    <w:rsid w:val="00A11A69"/>
    <w:rsid w:val="00A11D15"/>
    <w:rsid w:val="00A122EA"/>
    <w:rsid w:val="00A122EC"/>
    <w:rsid w:val="00A123F8"/>
    <w:rsid w:val="00A12B9C"/>
    <w:rsid w:val="00A12DA4"/>
    <w:rsid w:val="00A12E02"/>
    <w:rsid w:val="00A12E7E"/>
    <w:rsid w:val="00A12EE5"/>
    <w:rsid w:val="00A13124"/>
    <w:rsid w:val="00A13148"/>
    <w:rsid w:val="00A13193"/>
    <w:rsid w:val="00A131E7"/>
    <w:rsid w:val="00A13381"/>
    <w:rsid w:val="00A1338F"/>
    <w:rsid w:val="00A13566"/>
    <w:rsid w:val="00A13D36"/>
    <w:rsid w:val="00A13E15"/>
    <w:rsid w:val="00A13FC8"/>
    <w:rsid w:val="00A140E1"/>
    <w:rsid w:val="00A14173"/>
    <w:rsid w:val="00A14342"/>
    <w:rsid w:val="00A14748"/>
    <w:rsid w:val="00A15E12"/>
    <w:rsid w:val="00A15F2E"/>
    <w:rsid w:val="00A16119"/>
    <w:rsid w:val="00A163EE"/>
    <w:rsid w:val="00A163FF"/>
    <w:rsid w:val="00A16855"/>
    <w:rsid w:val="00A17099"/>
    <w:rsid w:val="00A171BD"/>
    <w:rsid w:val="00A17229"/>
    <w:rsid w:val="00A17401"/>
    <w:rsid w:val="00A174C2"/>
    <w:rsid w:val="00A17572"/>
    <w:rsid w:val="00A1799F"/>
    <w:rsid w:val="00A179CD"/>
    <w:rsid w:val="00A17F33"/>
    <w:rsid w:val="00A200D4"/>
    <w:rsid w:val="00A204FE"/>
    <w:rsid w:val="00A2053E"/>
    <w:rsid w:val="00A208CA"/>
    <w:rsid w:val="00A20CD1"/>
    <w:rsid w:val="00A21CAD"/>
    <w:rsid w:val="00A21F07"/>
    <w:rsid w:val="00A220B2"/>
    <w:rsid w:val="00A225D4"/>
    <w:rsid w:val="00A23060"/>
    <w:rsid w:val="00A230B2"/>
    <w:rsid w:val="00A23E13"/>
    <w:rsid w:val="00A23F79"/>
    <w:rsid w:val="00A24165"/>
    <w:rsid w:val="00A2423A"/>
    <w:rsid w:val="00A24732"/>
    <w:rsid w:val="00A24972"/>
    <w:rsid w:val="00A24A1E"/>
    <w:rsid w:val="00A24FA4"/>
    <w:rsid w:val="00A2539D"/>
    <w:rsid w:val="00A254E9"/>
    <w:rsid w:val="00A258C2"/>
    <w:rsid w:val="00A25B5A"/>
    <w:rsid w:val="00A25BA6"/>
    <w:rsid w:val="00A25D2C"/>
    <w:rsid w:val="00A26076"/>
    <w:rsid w:val="00A26790"/>
    <w:rsid w:val="00A26A3F"/>
    <w:rsid w:val="00A26CA2"/>
    <w:rsid w:val="00A26FF2"/>
    <w:rsid w:val="00A274FA"/>
    <w:rsid w:val="00A3018E"/>
    <w:rsid w:val="00A301A5"/>
    <w:rsid w:val="00A30302"/>
    <w:rsid w:val="00A30444"/>
    <w:rsid w:val="00A30627"/>
    <w:rsid w:val="00A3091A"/>
    <w:rsid w:val="00A30CE5"/>
    <w:rsid w:val="00A30D83"/>
    <w:rsid w:val="00A30E64"/>
    <w:rsid w:val="00A31522"/>
    <w:rsid w:val="00A3159F"/>
    <w:rsid w:val="00A31E85"/>
    <w:rsid w:val="00A3204A"/>
    <w:rsid w:val="00A32199"/>
    <w:rsid w:val="00A323E8"/>
    <w:rsid w:val="00A324BD"/>
    <w:rsid w:val="00A32E09"/>
    <w:rsid w:val="00A3352B"/>
    <w:rsid w:val="00A3376E"/>
    <w:rsid w:val="00A33878"/>
    <w:rsid w:val="00A33AF0"/>
    <w:rsid w:val="00A341BD"/>
    <w:rsid w:val="00A3475A"/>
    <w:rsid w:val="00A348FE"/>
    <w:rsid w:val="00A34A3A"/>
    <w:rsid w:val="00A34B46"/>
    <w:rsid w:val="00A34E6D"/>
    <w:rsid w:val="00A34EE8"/>
    <w:rsid w:val="00A34F18"/>
    <w:rsid w:val="00A3557E"/>
    <w:rsid w:val="00A355EF"/>
    <w:rsid w:val="00A358B3"/>
    <w:rsid w:val="00A35A8B"/>
    <w:rsid w:val="00A35D3F"/>
    <w:rsid w:val="00A35D55"/>
    <w:rsid w:val="00A35FEC"/>
    <w:rsid w:val="00A36078"/>
    <w:rsid w:val="00A3609B"/>
    <w:rsid w:val="00A36288"/>
    <w:rsid w:val="00A36349"/>
    <w:rsid w:val="00A36486"/>
    <w:rsid w:val="00A364B8"/>
    <w:rsid w:val="00A366AC"/>
    <w:rsid w:val="00A36875"/>
    <w:rsid w:val="00A36A38"/>
    <w:rsid w:val="00A36B74"/>
    <w:rsid w:val="00A36C9D"/>
    <w:rsid w:val="00A36D2E"/>
    <w:rsid w:val="00A37132"/>
    <w:rsid w:val="00A376E3"/>
    <w:rsid w:val="00A377EA"/>
    <w:rsid w:val="00A37B80"/>
    <w:rsid w:val="00A37F6F"/>
    <w:rsid w:val="00A40346"/>
    <w:rsid w:val="00A403FC"/>
    <w:rsid w:val="00A405CF"/>
    <w:rsid w:val="00A406A3"/>
    <w:rsid w:val="00A40A9B"/>
    <w:rsid w:val="00A40C92"/>
    <w:rsid w:val="00A40D65"/>
    <w:rsid w:val="00A41AE7"/>
    <w:rsid w:val="00A41C82"/>
    <w:rsid w:val="00A41CA7"/>
    <w:rsid w:val="00A41D58"/>
    <w:rsid w:val="00A420D8"/>
    <w:rsid w:val="00A42702"/>
    <w:rsid w:val="00A427A2"/>
    <w:rsid w:val="00A428F8"/>
    <w:rsid w:val="00A429FC"/>
    <w:rsid w:val="00A42A42"/>
    <w:rsid w:val="00A42BD7"/>
    <w:rsid w:val="00A4346C"/>
    <w:rsid w:val="00A4361E"/>
    <w:rsid w:val="00A43895"/>
    <w:rsid w:val="00A43898"/>
    <w:rsid w:val="00A43B63"/>
    <w:rsid w:val="00A43BAA"/>
    <w:rsid w:val="00A44617"/>
    <w:rsid w:val="00A449A4"/>
    <w:rsid w:val="00A44AAE"/>
    <w:rsid w:val="00A44AD2"/>
    <w:rsid w:val="00A45AAE"/>
    <w:rsid w:val="00A45AD1"/>
    <w:rsid w:val="00A46C4C"/>
    <w:rsid w:val="00A47866"/>
    <w:rsid w:val="00A479E3"/>
    <w:rsid w:val="00A47B6D"/>
    <w:rsid w:val="00A47EFF"/>
    <w:rsid w:val="00A47F8D"/>
    <w:rsid w:val="00A506E6"/>
    <w:rsid w:val="00A50722"/>
    <w:rsid w:val="00A50912"/>
    <w:rsid w:val="00A50BE3"/>
    <w:rsid w:val="00A50DE1"/>
    <w:rsid w:val="00A5146E"/>
    <w:rsid w:val="00A5155E"/>
    <w:rsid w:val="00A515AA"/>
    <w:rsid w:val="00A516F5"/>
    <w:rsid w:val="00A51FF4"/>
    <w:rsid w:val="00A522BC"/>
    <w:rsid w:val="00A5270A"/>
    <w:rsid w:val="00A5298C"/>
    <w:rsid w:val="00A52B20"/>
    <w:rsid w:val="00A52BEA"/>
    <w:rsid w:val="00A5308B"/>
    <w:rsid w:val="00A53212"/>
    <w:rsid w:val="00A53288"/>
    <w:rsid w:val="00A5328C"/>
    <w:rsid w:val="00A538C9"/>
    <w:rsid w:val="00A54317"/>
    <w:rsid w:val="00A5450C"/>
    <w:rsid w:val="00A54CAE"/>
    <w:rsid w:val="00A54E58"/>
    <w:rsid w:val="00A55127"/>
    <w:rsid w:val="00A5582A"/>
    <w:rsid w:val="00A5586C"/>
    <w:rsid w:val="00A558F0"/>
    <w:rsid w:val="00A55A6A"/>
    <w:rsid w:val="00A55C9F"/>
    <w:rsid w:val="00A560A5"/>
    <w:rsid w:val="00A560F7"/>
    <w:rsid w:val="00A569FA"/>
    <w:rsid w:val="00A56EDB"/>
    <w:rsid w:val="00A57515"/>
    <w:rsid w:val="00A57608"/>
    <w:rsid w:val="00A5794C"/>
    <w:rsid w:val="00A57AFB"/>
    <w:rsid w:val="00A57CE4"/>
    <w:rsid w:val="00A57D86"/>
    <w:rsid w:val="00A57FD1"/>
    <w:rsid w:val="00A6017B"/>
    <w:rsid w:val="00A601F4"/>
    <w:rsid w:val="00A6036B"/>
    <w:rsid w:val="00A60BDE"/>
    <w:rsid w:val="00A61006"/>
    <w:rsid w:val="00A6139A"/>
    <w:rsid w:val="00A6140E"/>
    <w:rsid w:val="00A61449"/>
    <w:rsid w:val="00A6196E"/>
    <w:rsid w:val="00A61BD7"/>
    <w:rsid w:val="00A61CD5"/>
    <w:rsid w:val="00A621F0"/>
    <w:rsid w:val="00A6239D"/>
    <w:rsid w:val="00A6255C"/>
    <w:rsid w:val="00A625EB"/>
    <w:rsid w:val="00A628BF"/>
    <w:rsid w:val="00A62AD4"/>
    <w:rsid w:val="00A62FAC"/>
    <w:rsid w:val="00A63096"/>
    <w:rsid w:val="00A633B8"/>
    <w:rsid w:val="00A63529"/>
    <w:rsid w:val="00A64256"/>
    <w:rsid w:val="00A64343"/>
    <w:rsid w:val="00A6464B"/>
    <w:rsid w:val="00A6470E"/>
    <w:rsid w:val="00A649DB"/>
    <w:rsid w:val="00A64ADC"/>
    <w:rsid w:val="00A651AB"/>
    <w:rsid w:val="00A6529A"/>
    <w:rsid w:val="00A65B40"/>
    <w:rsid w:val="00A65BC9"/>
    <w:rsid w:val="00A6616D"/>
    <w:rsid w:val="00A6629F"/>
    <w:rsid w:val="00A66353"/>
    <w:rsid w:val="00A66577"/>
    <w:rsid w:val="00A665D8"/>
    <w:rsid w:val="00A665F2"/>
    <w:rsid w:val="00A667D7"/>
    <w:rsid w:val="00A6683A"/>
    <w:rsid w:val="00A6688B"/>
    <w:rsid w:val="00A668A2"/>
    <w:rsid w:val="00A66A69"/>
    <w:rsid w:val="00A66DC5"/>
    <w:rsid w:val="00A66E65"/>
    <w:rsid w:val="00A66FCD"/>
    <w:rsid w:val="00A6742E"/>
    <w:rsid w:val="00A678B6"/>
    <w:rsid w:val="00A67C08"/>
    <w:rsid w:val="00A67C23"/>
    <w:rsid w:val="00A67CC1"/>
    <w:rsid w:val="00A7007F"/>
    <w:rsid w:val="00A704D2"/>
    <w:rsid w:val="00A70A6E"/>
    <w:rsid w:val="00A70DD2"/>
    <w:rsid w:val="00A7121F"/>
    <w:rsid w:val="00A71602"/>
    <w:rsid w:val="00A71A04"/>
    <w:rsid w:val="00A71D26"/>
    <w:rsid w:val="00A71E5F"/>
    <w:rsid w:val="00A722F9"/>
    <w:rsid w:val="00A72430"/>
    <w:rsid w:val="00A72516"/>
    <w:rsid w:val="00A72AE0"/>
    <w:rsid w:val="00A734E9"/>
    <w:rsid w:val="00A73EB1"/>
    <w:rsid w:val="00A74653"/>
    <w:rsid w:val="00A747A5"/>
    <w:rsid w:val="00A748D8"/>
    <w:rsid w:val="00A750BA"/>
    <w:rsid w:val="00A752CE"/>
    <w:rsid w:val="00A75404"/>
    <w:rsid w:val="00A757C5"/>
    <w:rsid w:val="00A75A8B"/>
    <w:rsid w:val="00A75C66"/>
    <w:rsid w:val="00A7636D"/>
    <w:rsid w:val="00A7690B"/>
    <w:rsid w:val="00A76D29"/>
    <w:rsid w:val="00A76FCB"/>
    <w:rsid w:val="00A778F2"/>
    <w:rsid w:val="00A779D0"/>
    <w:rsid w:val="00A77B19"/>
    <w:rsid w:val="00A77F83"/>
    <w:rsid w:val="00A8050F"/>
    <w:rsid w:val="00A80747"/>
    <w:rsid w:val="00A807F2"/>
    <w:rsid w:val="00A80990"/>
    <w:rsid w:val="00A814D3"/>
    <w:rsid w:val="00A81EF6"/>
    <w:rsid w:val="00A8299E"/>
    <w:rsid w:val="00A82A0C"/>
    <w:rsid w:val="00A83421"/>
    <w:rsid w:val="00A838FB"/>
    <w:rsid w:val="00A83A98"/>
    <w:rsid w:val="00A83C01"/>
    <w:rsid w:val="00A83C1F"/>
    <w:rsid w:val="00A84013"/>
    <w:rsid w:val="00A840E1"/>
    <w:rsid w:val="00A84290"/>
    <w:rsid w:val="00A84681"/>
    <w:rsid w:val="00A84721"/>
    <w:rsid w:val="00A84C0F"/>
    <w:rsid w:val="00A854D3"/>
    <w:rsid w:val="00A85598"/>
    <w:rsid w:val="00A855D4"/>
    <w:rsid w:val="00A856DB"/>
    <w:rsid w:val="00A85719"/>
    <w:rsid w:val="00A85DBD"/>
    <w:rsid w:val="00A85FA0"/>
    <w:rsid w:val="00A85FB8"/>
    <w:rsid w:val="00A8646E"/>
    <w:rsid w:val="00A866B9"/>
    <w:rsid w:val="00A86A86"/>
    <w:rsid w:val="00A86EC0"/>
    <w:rsid w:val="00A86FD5"/>
    <w:rsid w:val="00A87BB6"/>
    <w:rsid w:val="00A87CAA"/>
    <w:rsid w:val="00A87E2B"/>
    <w:rsid w:val="00A90431"/>
    <w:rsid w:val="00A90436"/>
    <w:rsid w:val="00A90612"/>
    <w:rsid w:val="00A9096C"/>
    <w:rsid w:val="00A90998"/>
    <w:rsid w:val="00A90AF3"/>
    <w:rsid w:val="00A91136"/>
    <w:rsid w:val="00A912B5"/>
    <w:rsid w:val="00A914F8"/>
    <w:rsid w:val="00A91826"/>
    <w:rsid w:val="00A918AE"/>
    <w:rsid w:val="00A918CD"/>
    <w:rsid w:val="00A9192A"/>
    <w:rsid w:val="00A919D8"/>
    <w:rsid w:val="00A91A0D"/>
    <w:rsid w:val="00A91F17"/>
    <w:rsid w:val="00A92499"/>
    <w:rsid w:val="00A925E9"/>
    <w:rsid w:val="00A9285E"/>
    <w:rsid w:val="00A92948"/>
    <w:rsid w:val="00A92EF0"/>
    <w:rsid w:val="00A931D6"/>
    <w:rsid w:val="00A935E8"/>
    <w:rsid w:val="00A9440E"/>
    <w:rsid w:val="00A947C9"/>
    <w:rsid w:val="00A94834"/>
    <w:rsid w:val="00A94B57"/>
    <w:rsid w:val="00A94D84"/>
    <w:rsid w:val="00A9523A"/>
    <w:rsid w:val="00A95C9C"/>
    <w:rsid w:val="00A96685"/>
    <w:rsid w:val="00A969FB"/>
    <w:rsid w:val="00A96AF5"/>
    <w:rsid w:val="00A9752A"/>
    <w:rsid w:val="00A97615"/>
    <w:rsid w:val="00A9780A"/>
    <w:rsid w:val="00A979E2"/>
    <w:rsid w:val="00A97BEB"/>
    <w:rsid w:val="00A97C6D"/>
    <w:rsid w:val="00A97CCD"/>
    <w:rsid w:val="00A97E3D"/>
    <w:rsid w:val="00A97FBD"/>
    <w:rsid w:val="00AA0198"/>
    <w:rsid w:val="00AA0964"/>
    <w:rsid w:val="00AA0F1C"/>
    <w:rsid w:val="00AA1149"/>
    <w:rsid w:val="00AA14D3"/>
    <w:rsid w:val="00AA187B"/>
    <w:rsid w:val="00AA1DD7"/>
    <w:rsid w:val="00AA1E3A"/>
    <w:rsid w:val="00AA1F14"/>
    <w:rsid w:val="00AA1F7B"/>
    <w:rsid w:val="00AA2041"/>
    <w:rsid w:val="00AA2055"/>
    <w:rsid w:val="00AA228E"/>
    <w:rsid w:val="00AA2407"/>
    <w:rsid w:val="00AA2E27"/>
    <w:rsid w:val="00AA2EC8"/>
    <w:rsid w:val="00AA3B8F"/>
    <w:rsid w:val="00AA3D05"/>
    <w:rsid w:val="00AA3EBA"/>
    <w:rsid w:val="00AA3F85"/>
    <w:rsid w:val="00AA41AA"/>
    <w:rsid w:val="00AA4481"/>
    <w:rsid w:val="00AA45BF"/>
    <w:rsid w:val="00AA4748"/>
    <w:rsid w:val="00AA4ACC"/>
    <w:rsid w:val="00AA5074"/>
    <w:rsid w:val="00AA5342"/>
    <w:rsid w:val="00AA54F5"/>
    <w:rsid w:val="00AA5972"/>
    <w:rsid w:val="00AA5C99"/>
    <w:rsid w:val="00AA5D97"/>
    <w:rsid w:val="00AA65E3"/>
    <w:rsid w:val="00AA66F1"/>
    <w:rsid w:val="00AA67A0"/>
    <w:rsid w:val="00AA6803"/>
    <w:rsid w:val="00AA6CC3"/>
    <w:rsid w:val="00AA6E2D"/>
    <w:rsid w:val="00AA6E65"/>
    <w:rsid w:val="00AA79E6"/>
    <w:rsid w:val="00AA7A75"/>
    <w:rsid w:val="00AA7BB0"/>
    <w:rsid w:val="00AA7C6D"/>
    <w:rsid w:val="00AA7ECA"/>
    <w:rsid w:val="00AB00B4"/>
    <w:rsid w:val="00AB0384"/>
    <w:rsid w:val="00AB0A45"/>
    <w:rsid w:val="00AB0CB0"/>
    <w:rsid w:val="00AB0E1C"/>
    <w:rsid w:val="00AB1027"/>
    <w:rsid w:val="00AB132C"/>
    <w:rsid w:val="00AB1348"/>
    <w:rsid w:val="00AB1C78"/>
    <w:rsid w:val="00AB247C"/>
    <w:rsid w:val="00AB250E"/>
    <w:rsid w:val="00AB2C4D"/>
    <w:rsid w:val="00AB2DE9"/>
    <w:rsid w:val="00AB2F1E"/>
    <w:rsid w:val="00AB30B1"/>
    <w:rsid w:val="00AB31F6"/>
    <w:rsid w:val="00AB35D0"/>
    <w:rsid w:val="00AB36AE"/>
    <w:rsid w:val="00AB399E"/>
    <w:rsid w:val="00AB3BF4"/>
    <w:rsid w:val="00AB437B"/>
    <w:rsid w:val="00AB5614"/>
    <w:rsid w:val="00AB57BD"/>
    <w:rsid w:val="00AB5A67"/>
    <w:rsid w:val="00AB5F21"/>
    <w:rsid w:val="00AB65AD"/>
    <w:rsid w:val="00AB6720"/>
    <w:rsid w:val="00AB6829"/>
    <w:rsid w:val="00AB6A8B"/>
    <w:rsid w:val="00AB6CFE"/>
    <w:rsid w:val="00AB6D47"/>
    <w:rsid w:val="00AB7089"/>
    <w:rsid w:val="00AB70EE"/>
    <w:rsid w:val="00AB75F7"/>
    <w:rsid w:val="00AB7942"/>
    <w:rsid w:val="00AB7E4C"/>
    <w:rsid w:val="00AC00F6"/>
    <w:rsid w:val="00AC061A"/>
    <w:rsid w:val="00AC06D1"/>
    <w:rsid w:val="00AC07FC"/>
    <w:rsid w:val="00AC0866"/>
    <w:rsid w:val="00AC0D50"/>
    <w:rsid w:val="00AC1298"/>
    <w:rsid w:val="00AC13BB"/>
    <w:rsid w:val="00AC17EA"/>
    <w:rsid w:val="00AC1EC3"/>
    <w:rsid w:val="00AC1ED0"/>
    <w:rsid w:val="00AC1FB0"/>
    <w:rsid w:val="00AC257E"/>
    <w:rsid w:val="00AC29E3"/>
    <w:rsid w:val="00AC2BE3"/>
    <w:rsid w:val="00AC2D68"/>
    <w:rsid w:val="00AC308A"/>
    <w:rsid w:val="00AC314C"/>
    <w:rsid w:val="00AC317C"/>
    <w:rsid w:val="00AC3891"/>
    <w:rsid w:val="00AC3AAE"/>
    <w:rsid w:val="00AC3C21"/>
    <w:rsid w:val="00AC4209"/>
    <w:rsid w:val="00AC4545"/>
    <w:rsid w:val="00AC4628"/>
    <w:rsid w:val="00AC4837"/>
    <w:rsid w:val="00AC4903"/>
    <w:rsid w:val="00AC4A9F"/>
    <w:rsid w:val="00AC4DBF"/>
    <w:rsid w:val="00AC5025"/>
    <w:rsid w:val="00AC52BC"/>
    <w:rsid w:val="00AC52DA"/>
    <w:rsid w:val="00AC54BF"/>
    <w:rsid w:val="00AC572E"/>
    <w:rsid w:val="00AC596F"/>
    <w:rsid w:val="00AC5ADC"/>
    <w:rsid w:val="00AC5F8D"/>
    <w:rsid w:val="00AC669B"/>
    <w:rsid w:val="00AC6AD1"/>
    <w:rsid w:val="00AC6D0A"/>
    <w:rsid w:val="00AC6F9A"/>
    <w:rsid w:val="00AC6FB3"/>
    <w:rsid w:val="00AC6FFB"/>
    <w:rsid w:val="00AC733D"/>
    <w:rsid w:val="00AC7809"/>
    <w:rsid w:val="00AC7F82"/>
    <w:rsid w:val="00AD027A"/>
    <w:rsid w:val="00AD090A"/>
    <w:rsid w:val="00AD102F"/>
    <w:rsid w:val="00AD10A9"/>
    <w:rsid w:val="00AD12FE"/>
    <w:rsid w:val="00AD151B"/>
    <w:rsid w:val="00AD17B7"/>
    <w:rsid w:val="00AD193B"/>
    <w:rsid w:val="00AD1B13"/>
    <w:rsid w:val="00AD20DF"/>
    <w:rsid w:val="00AD2296"/>
    <w:rsid w:val="00AD2B5A"/>
    <w:rsid w:val="00AD3228"/>
    <w:rsid w:val="00AD3836"/>
    <w:rsid w:val="00AD3D58"/>
    <w:rsid w:val="00AD3FB2"/>
    <w:rsid w:val="00AD49F9"/>
    <w:rsid w:val="00AD4DBE"/>
    <w:rsid w:val="00AD4F72"/>
    <w:rsid w:val="00AD519B"/>
    <w:rsid w:val="00AD56E2"/>
    <w:rsid w:val="00AD5890"/>
    <w:rsid w:val="00AD59BE"/>
    <w:rsid w:val="00AD5BA3"/>
    <w:rsid w:val="00AD5E40"/>
    <w:rsid w:val="00AD6196"/>
    <w:rsid w:val="00AD63CB"/>
    <w:rsid w:val="00AD63D0"/>
    <w:rsid w:val="00AD6702"/>
    <w:rsid w:val="00AD69F4"/>
    <w:rsid w:val="00AD6E13"/>
    <w:rsid w:val="00AD71BE"/>
    <w:rsid w:val="00AD76CA"/>
    <w:rsid w:val="00AD7C61"/>
    <w:rsid w:val="00AD7E95"/>
    <w:rsid w:val="00AD7EEC"/>
    <w:rsid w:val="00AE0087"/>
    <w:rsid w:val="00AE01EC"/>
    <w:rsid w:val="00AE0CC9"/>
    <w:rsid w:val="00AE1985"/>
    <w:rsid w:val="00AE1B40"/>
    <w:rsid w:val="00AE1B8D"/>
    <w:rsid w:val="00AE1C9F"/>
    <w:rsid w:val="00AE2327"/>
    <w:rsid w:val="00AE2348"/>
    <w:rsid w:val="00AE2760"/>
    <w:rsid w:val="00AE27E3"/>
    <w:rsid w:val="00AE2DBC"/>
    <w:rsid w:val="00AE2E18"/>
    <w:rsid w:val="00AE2ED0"/>
    <w:rsid w:val="00AE30C2"/>
    <w:rsid w:val="00AE3873"/>
    <w:rsid w:val="00AE3D94"/>
    <w:rsid w:val="00AE3E30"/>
    <w:rsid w:val="00AE3F2A"/>
    <w:rsid w:val="00AE4417"/>
    <w:rsid w:val="00AE4421"/>
    <w:rsid w:val="00AE4787"/>
    <w:rsid w:val="00AE4B13"/>
    <w:rsid w:val="00AE5573"/>
    <w:rsid w:val="00AE572F"/>
    <w:rsid w:val="00AE5C4E"/>
    <w:rsid w:val="00AE5F2D"/>
    <w:rsid w:val="00AE6B4A"/>
    <w:rsid w:val="00AE6BD2"/>
    <w:rsid w:val="00AE7212"/>
    <w:rsid w:val="00AE782D"/>
    <w:rsid w:val="00AE7DDA"/>
    <w:rsid w:val="00AF02AA"/>
    <w:rsid w:val="00AF034F"/>
    <w:rsid w:val="00AF056E"/>
    <w:rsid w:val="00AF0658"/>
    <w:rsid w:val="00AF07FE"/>
    <w:rsid w:val="00AF0CE7"/>
    <w:rsid w:val="00AF0D95"/>
    <w:rsid w:val="00AF0F34"/>
    <w:rsid w:val="00AF13F9"/>
    <w:rsid w:val="00AF1530"/>
    <w:rsid w:val="00AF1889"/>
    <w:rsid w:val="00AF1CD2"/>
    <w:rsid w:val="00AF1F2B"/>
    <w:rsid w:val="00AF2437"/>
    <w:rsid w:val="00AF29E1"/>
    <w:rsid w:val="00AF2A92"/>
    <w:rsid w:val="00AF3116"/>
    <w:rsid w:val="00AF3CA2"/>
    <w:rsid w:val="00AF3D0E"/>
    <w:rsid w:val="00AF3EFE"/>
    <w:rsid w:val="00AF4007"/>
    <w:rsid w:val="00AF401D"/>
    <w:rsid w:val="00AF406E"/>
    <w:rsid w:val="00AF4115"/>
    <w:rsid w:val="00AF4551"/>
    <w:rsid w:val="00AF4C91"/>
    <w:rsid w:val="00AF4EF6"/>
    <w:rsid w:val="00AF5550"/>
    <w:rsid w:val="00AF5901"/>
    <w:rsid w:val="00AF5B68"/>
    <w:rsid w:val="00AF62F6"/>
    <w:rsid w:val="00AF71A2"/>
    <w:rsid w:val="00AF7329"/>
    <w:rsid w:val="00AF788F"/>
    <w:rsid w:val="00AF795C"/>
    <w:rsid w:val="00AF7C36"/>
    <w:rsid w:val="00B00119"/>
    <w:rsid w:val="00B00134"/>
    <w:rsid w:val="00B00169"/>
    <w:rsid w:val="00B004AF"/>
    <w:rsid w:val="00B005B1"/>
    <w:rsid w:val="00B00612"/>
    <w:rsid w:val="00B00645"/>
    <w:rsid w:val="00B0116D"/>
    <w:rsid w:val="00B01C3E"/>
    <w:rsid w:val="00B01D31"/>
    <w:rsid w:val="00B01F66"/>
    <w:rsid w:val="00B022B3"/>
    <w:rsid w:val="00B02311"/>
    <w:rsid w:val="00B0281D"/>
    <w:rsid w:val="00B02E35"/>
    <w:rsid w:val="00B02F5B"/>
    <w:rsid w:val="00B03280"/>
    <w:rsid w:val="00B03362"/>
    <w:rsid w:val="00B03836"/>
    <w:rsid w:val="00B03B8C"/>
    <w:rsid w:val="00B03DC6"/>
    <w:rsid w:val="00B04302"/>
    <w:rsid w:val="00B04421"/>
    <w:rsid w:val="00B045B4"/>
    <w:rsid w:val="00B046B4"/>
    <w:rsid w:val="00B04A7A"/>
    <w:rsid w:val="00B04EFB"/>
    <w:rsid w:val="00B04FF9"/>
    <w:rsid w:val="00B05291"/>
    <w:rsid w:val="00B0539B"/>
    <w:rsid w:val="00B05577"/>
    <w:rsid w:val="00B05760"/>
    <w:rsid w:val="00B059F7"/>
    <w:rsid w:val="00B05C9D"/>
    <w:rsid w:val="00B0608D"/>
    <w:rsid w:val="00B065AF"/>
    <w:rsid w:val="00B06E49"/>
    <w:rsid w:val="00B06E4A"/>
    <w:rsid w:val="00B06F4A"/>
    <w:rsid w:val="00B07261"/>
    <w:rsid w:val="00B07B2C"/>
    <w:rsid w:val="00B07DB0"/>
    <w:rsid w:val="00B10427"/>
    <w:rsid w:val="00B1053C"/>
    <w:rsid w:val="00B10CB2"/>
    <w:rsid w:val="00B10F0A"/>
    <w:rsid w:val="00B110C8"/>
    <w:rsid w:val="00B111BE"/>
    <w:rsid w:val="00B11248"/>
    <w:rsid w:val="00B11349"/>
    <w:rsid w:val="00B11479"/>
    <w:rsid w:val="00B11D3F"/>
    <w:rsid w:val="00B11EA5"/>
    <w:rsid w:val="00B1248A"/>
    <w:rsid w:val="00B126F7"/>
    <w:rsid w:val="00B1345E"/>
    <w:rsid w:val="00B13898"/>
    <w:rsid w:val="00B138B6"/>
    <w:rsid w:val="00B143A4"/>
    <w:rsid w:val="00B143A8"/>
    <w:rsid w:val="00B143F8"/>
    <w:rsid w:val="00B14550"/>
    <w:rsid w:val="00B147C3"/>
    <w:rsid w:val="00B149FD"/>
    <w:rsid w:val="00B14A48"/>
    <w:rsid w:val="00B15609"/>
    <w:rsid w:val="00B15876"/>
    <w:rsid w:val="00B160A1"/>
    <w:rsid w:val="00B1616D"/>
    <w:rsid w:val="00B1659A"/>
    <w:rsid w:val="00B16996"/>
    <w:rsid w:val="00B16A9B"/>
    <w:rsid w:val="00B17023"/>
    <w:rsid w:val="00B1738A"/>
    <w:rsid w:val="00B1759E"/>
    <w:rsid w:val="00B176B8"/>
    <w:rsid w:val="00B1784C"/>
    <w:rsid w:val="00B17E7F"/>
    <w:rsid w:val="00B2029A"/>
    <w:rsid w:val="00B20BE0"/>
    <w:rsid w:val="00B20C46"/>
    <w:rsid w:val="00B20C96"/>
    <w:rsid w:val="00B20F76"/>
    <w:rsid w:val="00B21067"/>
    <w:rsid w:val="00B21262"/>
    <w:rsid w:val="00B215D4"/>
    <w:rsid w:val="00B21DA9"/>
    <w:rsid w:val="00B21FAE"/>
    <w:rsid w:val="00B2248C"/>
    <w:rsid w:val="00B2270A"/>
    <w:rsid w:val="00B22D26"/>
    <w:rsid w:val="00B2320E"/>
    <w:rsid w:val="00B2323B"/>
    <w:rsid w:val="00B23361"/>
    <w:rsid w:val="00B233BE"/>
    <w:rsid w:val="00B233E6"/>
    <w:rsid w:val="00B23617"/>
    <w:rsid w:val="00B2391A"/>
    <w:rsid w:val="00B23DB5"/>
    <w:rsid w:val="00B24345"/>
    <w:rsid w:val="00B246A4"/>
    <w:rsid w:val="00B2488F"/>
    <w:rsid w:val="00B24A07"/>
    <w:rsid w:val="00B25162"/>
    <w:rsid w:val="00B25AA2"/>
    <w:rsid w:val="00B25C9D"/>
    <w:rsid w:val="00B25F51"/>
    <w:rsid w:val="00B2612E"/>
    <w:rsid w:val="00B27308"/>
    <w:rsid w:val="00B2768F"/>
    <w:rsid w:val="00B2787A"/>
    <w:rsid w:val="00B27923"/>
    <w:rsid w:val="00B27DD6"/>
    <w:rsid w:val="00B3038F"/>
    <w:rsid w:val="00B304E2"/>
    <w:rsid w:val="00B3061C"/>
    <w:rsid w:val="00B30861"/>
    <w:rsid w:val="00B30AF3"/>
    <w:rsid w:val="00B30EAD"/>
    <w:rsid w:val="00B3122B"/>
    <w:rsid w:val="00B3158C"/>
    <w:rsid w:val="00B31754"/>
    <w:rsid w:val="00B319C9"/>
    <w:rsid w:val="00B320A9"/>
    <w:rsid w:val="00B322A8"/>
    <w:rsid w:val="00B3247A"/>
    <w:rsid w:val="00B3260B"/>
    <w:rsid w:val="00B3268D"/>
    <w:rsid w:val="00B32A94"/>
    <w:rsid w:val="00B32AEA"/>
    <w:rsid w:val="00B33005"/>
    <w:rsid w:val="00B33387"/>
    <w:rsid w:val="00B3387E"/>
    <w:rsid w:val="00B3415C"/>
    <w:rsid w:val="00B347B3"/>
    <w:rsid w:val="00B34845"/>
    <w:rsid w:val="00B34AF1"/>
    <w:rsid w:val="00B34EF4"/>
    <w:rsid w:val="00B35933"/>
    <w:rsid w:val="00B359AD"/>
    <w:rsid w:val="00B364D4"/>
    <w:rsid w:val="00B36710"/>
    <w:rsid w:val="00B36BF2"/>
    <w:rsid w:val="00B37619"/>
    <w:rsid w:val="00B3790F"/>
    <w:rsid w:val="00B37B58"/>
    <w:rsid w:val="00B37E14"/>
    <w:rsid w:val="00B37F29"/>
    <w:rsid w:val="00B400DF"/>
    <w:rsid w:val="00B4013E"/>
    <w:rsid w:val="00B4026E"/>
    <w:rsid w:val="00B4066C"/>
    <w:rsid w:val="00B40674"/>
    <w:rsid w:val="00B40CC8"/>
    <w:rsid w:val="00B40F37"/>
    <w:rsid w:val="00B41326"/>
    <w:rsid w:val="00B415F9"/>
    <w:rsid w:val="00B41948"/>
    <w:rsid w:val="00B419B7"/>
    <w:rsid w:val="00B41B04"/>
    <w:rsid w:val="00B41BD2"/>
    <w:rsid w:val="00B41C3B"/>
    <w:rsid w:val="00B41CCA"/>
    <w:rsid w:val="00B41D4E"/>
    <w:rsid w:val="00B41DFB"/>
    <w:rsid w:val="00B41EC6"/>
    <w:rsid w:val="00B4203C"/>
    <w:rsid w:val="00B423C0"/>
    <w:rsid w:val="00B42B76"/>
    <w:rsid w:val="00B42BAD"/>
    <w:rsid w:val="00B42D80"/>
    <w:rsid w:val="00B4306F"/>
    <w:rsid w:val="00B435DC"/>
    <w:rsid w:val="00B4362D"/>
    <w:rsid w:val="00B43686"/>
    <w:rsid w:val="00B43828"/>
    <w:rsid w:val="00B43B54"/>
    <w:rsid w:val="00B4402E"/>
    <w:rsid w:val="00B4410C"/>
    <w:rsid w:val="00B442CF"/>
    <w:rsid w:val="00B448E8"/>
    <w:rsid w:val="00B44C79"/>
    <w:rsid w:val="00B44DCD"/>
    <w:rsid w:val="00B44F4A"/>
    <w:rsid w:val="00B45353"/>
    <w:rsid w:val="00B455E1"/>
    <w:rsid w:val="00B45A7C"/>
    <w:rsid w:val="00B45E14"/>
    <w:rsid w:val="00B46415"/>
    <w:rsid w:val="00B464AF"/>
    <w:rsid w:val="00B465B8"/>
    <w:rsid w:val="00B46A48"/>
    <w:rsid w:val="00B46BCE"/>
    <w:rsid w:val="00B47045"/>
    <w:rsid w:val="00B472D6"/>
    <w:rsid w:val="00B473BC"/>
    <w:rsid w:val="00B47448"/>
    <w:rsid w:val="00B47BD8"/>
    <w:rsid w:val="00B47D7A"/>
    <w:rsid w:val="00B500CE"/>
    <w:rsid w:val="00B5026B"/>
    <w:rsid w:val="00B50380"/>
    <w:rsid w:val="00B50A38"/>
    <w:rsid w:val="00B514D2"/>
    <w:rsid w:val="00B515A2"/>
    <w:rsid w:val="00B51882"/>
    <w:rsid w:val="00B519FB"/>
    <w:rsid w:val="00B51BE5"/>
    <w:rsid w:val="00B51DE9"/>
    <w:rsid w:val="00B51E5E"/>
    <w:rsid w:val="00B524B6"/>
    <w:rsid w:val="00B52726"/>
    <w:rsid w:val="00B5287C"/>
    <w:rsid w:val="00B529A3"/>
    <w:rsid w:val="00B52A45"/>
    <w:rsid w:val="00B52C18"/>
    <w:rsid w:val="00B52EF1"/>
    <w:rsid w:val="00B52F08"/>
    <w:rsid w:val="00B531B2"/>
    <w:rsid w:val="00B53C69"/>
    <w:rsid w:val="00B53EBD"/>
    <w:rsid w:val="00B54024"/>
    <w:rsid w:val="00B54151"/>
    <w:rsid w:val="00B547B3"/>
    <w:rsid w:val="00B54943"/>
    <w:rsid w:val="00B54B15"/>
    <w:rsid w:val="00B54C28"/>
    <w:rsid w:val="00B54CAB"/>
    <w:rsid w:val="00B54E6E"/>
    <w:rsid w:val="00B5512E"/>
    <w:rsid w:val="00B55BB9"/>
    <w:rsid w:val="00B55D75"/>
    <w:rsid w:val="00B55DBF"/>
    <w:rsid w:val="00B56CDF"/>
    <w:rsid w:val="00B56EC8"/>
    <w:rsid w:val="00B57069"/>
    <w:rsid w:val="00B5719A"/>
    <w:rsid w:val="00B57479"/>
    <w:rsid w:val="00B57CF0"/>
    <w:rsid w:val="00B57D3F"/>
    <w:rsid w:val="00B57E79"/>
    <w:rsid w:val="00B57FEA"/>
    <w:rsid w:val="00B60070"/>
    <w:rsid w:val="00B605E9"/>
    <w:rsid w:val="00B6061D"/>
    <w:rsid w:val="00B60F31"/>
    <w:rsid w:val="00B60F3E"/>
    <w:rsid w:val="00B61842"/>
    <w:rsid w:val="00B62153"/>
    <w:rsid w:val="00B62355"/>
    <w:rsid w:val="00B62592"/>
    <w:rsid w:val="00B62654"/>
    <w:rsid w:val="00B626C6"/>
    <w:rsid w:val="00B6286A"/>
    <w:rsid w:val="00B62A8B"/>
    <w:rsid w:val="00B63377"/>
    <w:rsid w:val="00B636BF"/>
    <w:rsid w:val="00B63A4A"/>
    <w:rsid w:val="00B63ED8"/>
    <w:rsid w:val="00B641EB"/>
    <w:rsid w:val="00B645D5"/>
    <w:rsid w:val="00B64A51"/>
    <w:rsid w:val="00B64B92"/>
    <w:rsid w:val="00B653D9"/>
    <w:rsid w:val="00B654C1"/>
    <w:rsid w:val="00B655B4"/>
    <w:rsid w:val="00B657F1"/>
    <w:rsid w:val="00B65EEF"/>
    <w:rsid w:val="00B66073"/>
    <w:rsid w:val="00B66333"/>
    <w:rsid w:val="00B6640B"/>
    <w:rsid w:val="00B6644D"/>
    <w:rsid w:val="00B665CF"/>
    <w:rsid w:val="00B66643"/>
    <w:rsid w:val="00B66C39"/>
    <w:rsid w:val="00B67145"/>
    <w:rsid w:val="00B6797E"/>
    <w:rsid w:val="00B67BA1"/>
    <w:rsid w:val="00B67E7D"/>
    <w:rsid w:val="00B7045F"/>
    <w:rsid w:val="00B70585"/>
    <w:rsid w:val="00B70BC8"/>
    <w:rsid w:val="00B70BE8"/>
    <w:rsid w:val="00B70D13"/>
    <w:rsid w:val="00B70EF5"/>
    <w:rsid w:val="00B715D7"/>
    <w:rsid w:val="00B71782"/>
    <w:rsid w:val="00B71BBC"/>
    <w:rsid w:val="00B71CCE"/>
    <w:rsid w:val="00B71DE5"/>
    <w:rsid w:val="00B71FD7"/>
    <w:rsid w:val="00B72305"/>
    <w:rsid w:val="00B726B9"/>
    <w:rsid w:val="00B7296F"/>
    <w:rsid w:val="00B72994"/>
    <w:rsid w:val="00B72E37"/>
    <w:rsid w:val="00B72F3B"/>
    <w:rsid w:val="00B73002"/>
    <w:rsid w:val="00B73262"/>
    <w:rsid w:val="00B7326B"/>
    <w:rsid w:val="00B7396E"/>
    <w:rsid w:val="00B73A31"/>
    <w:rsid w:val="00B750D9"/>
    <w:rsid w:val="00B7529B"/>
    <w:rsid w:val="00B75816"/>
    <w:rsid w:val="00B7591D"/>
    <w:rsid w:val="00B75959"/>
    <w:rsid w:val="00B75ACC"/>
    <w:rsid w:val="00B75DE1"/>
    <w:rsid w:val="00B7607C"/>
    <w:rsid w:val="00B765D2"/>
    <w:rsid w:val="00B77076"/>
    <w:rsid w:val="00B771CC"/>
    <w:rsid w:val="00B774A4"/>
    <w:rsid w:val="00B77ADF"/>
    <w:rsid w:val="00B77B8C"/>
    <w:rsid w:val="00B803C0"/>
    <w:rsid w:val="00B80502"/>
    <w:rsid w:val="00B80517"/>
    <w:rsid w:val="00B807EA"/>
    <w:rsid w:val="00B80C34"/>
    <w:rsid w:val="00B80C36"/>
    <w:rsid w:val="00B80C45"/>
    <w:rsid w:val="00B80F77"/>
    <w:rsid w:val="00B81580"/>
    <w:rsid w:val="00B817BF"/>
    <w:rsid w:val="00B817EE"/>
    <w:rsid w:val="00B81D4B"/>
    <w:rsid w:val="00B820EB"/>
    <w:rsid w:val="00B82202"/>
    <w:rsid w:val="00B82429"/>
    <w:rsid w:val="00B825EC"/>
    <w:rsid w:val="00B8272C"/>
    <w:rsid w:val="00B82A0F"/>
    <w:rsid w:val="00B82C4C"/>
    <w:rsid w:val="00B82E18"/>
    <w:rsid w:val="00B8310B"/>
    <w:rsid w:val="00B831C4"/>
    <w:rsid w:val="00B8384A"/>
    <w:rsid w:val="00B83C4E"/>
    <w:rsid w:val="00B83D14"/>
    <w:rsid w:val="00B83D69"/>
    <w:rsid w:val="00B84057"/>
    <w:rsid w:val="00B84360"/>
    <w:rsid w:val="00B84583"/>
    <w:rsid w:val="00B845B8"/>
    <w:rsid w:val="00B84659"/>
    <w:rsid w:val="00B8484F"/>
    <w:rsid w:val="00B84946"/>
    <w:rsid w:val="00B84B45"/>
    <w:rsid w:val="00B850E1"/>
    <w:rsid w:val="00B85AA4"/>
    <w:rsid w:val="00B85E43"/>
    <w:rsid w:val="00B85E58"/>
    <w:rsid w:val="00B85EB3"/>
    <w:rsid w:val="00B863EE"/>
    <w:rsid w:val="00B86861"/>
    <w:rsid w:val="00B868B1"/>
    <w:rsid w:val="00B86A53"/>
    <w:rsid w:val="00B86B46"/>
    <w:rsid w:val="00B86BAC"/>
    <w:rsid w:val="00B86E4C"/>
    <w:rsid w:val="00B87333"/>
    <w:rsid w:val="00B874CF"/>
    <w:rsid w:val="00B87F7D"/>
    <w:rsid w:val="00B90C87"/>
    <w:rsid w:val="00B91054"/>
    <w:rsid w:val="00B9133C"/>
    <w:rsid w:val="00B913F9"/>
    <w:rsid w:val="00B9143B"/>
    <w:rsid w:val="00B91D32"/>
    <w:rsid w:val="00B91D63"/>
    <w:rsid w:val="00B91F3E"/>
    <w:rsid w:val="00B920A3"/>
    <w:rsid w:val="00B922D1"/>
    <w:rsid w:val="00B92648"/>
    <w:rsid w:val="00B927E8"/>
    <w:rsid w:val="00B92C44"/>
    <w:rsid w:val="00B92F3A"/>
    <w:rsid w:val="00B930ED"/>
    <w:rsid w:val="00B931E1"/>
    <w:rsid w:val="00B93D56"/>
    <w:rsid w:val="00B93E2B"/>
    <w:rsid w:val="00B93E44"/>
    <w:rsid w:val="00B93F41"/>
    <w:rsid w:val="00B94739"/>
    <w:rsid w:val="00B9473C"/>
    <w:rsid w:val="00B947B7"/>
    <w:rsid w:val="00B94800"/>
    <w:rsid w:val="00B9511A"/>
    <w:rsid w:val="00B95270"/>
    <w:rsid w:val="00B954C1"/>
    <w:rsid w:val="00B963DF"/>
    <w:rsid w:val="00B96A12"/>
    <w:rsid w:val="00B96E5E"/>
    <w:rsid w:val="00B96F19"/>
    <w:rsid w:val="00B96F3A"/>
    <w:rsid w:val="00B9707F"/>
    <w:rsid w:val="00B971BF"/>
    <w:rsid w:val="00B972D2"/>
    <w:rsid w:val="00B97448"/>
    <w:rsid w:val="00B97A4C"/>
    <w:rsid w:val="00B97AB8"/>
    <w:rsid w:val="00B97E90"/>
    <w:rsid w:val="00BA0296"/>
    <w:rsid w:val="00BA037E"/>
    <w:rsid w:val="00BA0518"/>
    <w:rsid w:val="00BA0AB0"/>
    <w:rsid w:val="00BA0E2A"/>
    <w:rsid w:val="00BA1140"/>
    <w:rsid w:val="00BA118D"/>
    <w:rsid w:val="00BA1FFF"/>
    <w:rsid w:val="00BA208A"/>
    <w:rsid w:val="00BA218C"/>
    <w:rsid w:val="00BA21A5"/>
    <w:rsid w:val="00BA224F"/>
    <w:rsid w:val="00BA2914"/>
    <w:rsid w:val="00BA2BAD"/>
    <w:rsid w:val="00BA3898"/>
    <w:rsid w:val="00BA3AA6"/>
    <w:rsid w:val="00BA3B30"/>
    <w:rsid w:val="00BA3B3F"/>
    <w:rsid w:val="00BA3C1A"/>
    <w:rsid w:val="00BA3F93"/>
    <w:rsid w:val="00BA46A2"/>
    <w:rsid w:val="00BA4BFF"/>
    <w:rsid w:val="00BA4C89"/>
    <w:rsid w:val="00BA5444"/>
    <w:rsid w:val="00BA54B5"/>
    <w:rsid w:val="00BA57D9"/>
    <w:rsid w:val="00BA5C56"/>
    <w:rsid w:val="00BA5CF6"/>
    <w:rsid w:val="00BA5F35"/>
    <w:rsid w:val="00BA60F1"/>
    <w:rsid w:val="00BA6887"/>
    <w:rsid w:val="00BA6D32"/>
    <w:rsid w:val="00BA6F01"/>
    <w:rsid w:val="00BA720E"/>
    <w:rsid w:val="00BA7A72"/>
    <w:rsid w:val="00BA7B2A"/>
    <w:rsid w:val="00BA7CAB"/>
    <w:rsid w:val="00BA7F57"/>
    <w:rsid w:val="00BB0674"/>
    <w:rsid w:val="00BB077B"/>
    <w:rsid w:val="00BB092C"/>
    <w:rsid w:val="00BB0995"/>
    <w:rsid w:val="00BB0DF2"/>
    <w:rsid w:val="00BB0FF0"/>
    <w:rsid w:val="00BB1947"/>
    <w:rsid w:val="00BB1A54"/>
    <w:rsid w:val="00BB1DA5"/>
    <w:rsid w:val="00BB1EAB"/>
    <w:rsid w:val="00BB2FB9"/>
    <w:rsid w:val="00BB3075"/>
    <w:rsid w:val="00BB3146"/>
    <w:rsid w:val="00BB34E9"/>
    <w:rsid w:val="00BB37A1"/>
    <w:rsid w:val="00BB3E9F"/>
    <w:rsid w:val="00BB4567"/>
    <w:rsid w:val="00BB4639"/>
    <w:rsid w:val="00BB4DB9"/>
    <w:rsid w:val="00BB4ED1"/>
    <w:rsid w:val="00BB505A"/>
    <w:rsid w:val="00BB52C4"/>
    <w:rsid w:val="00BB5AE3"/>
    <w:rsid w:val="00BB5C1E"/>
    <w:rsid w:val="00BB5D66"/>
    <w:rsid w:val="00BB5DE0"/>
    <w:rsid w:val="00BB64AD"/>
    <w:rsid w:val="00BB659C"/>
    <w:rsid w:val="00BB67FF"/>
    <w:rsid w:val="00BB71B4"/>
    <w:rsid w:val="00BB793E"/>
    <w:rsid w:val="00BC0091"/>
    <w:rsid w:val="00BC0866"/>
    <w:rsid w:val="00BC0B50"/>
    <w:rsid w:val="00BC0E4E"/>
    <w:rsid w:val="00BC1110"/>
    <w:rsid w:val="00BC1167"/>
    <w:rsid w:val="00BC1845"/>
    <w:rsid w:val="00BC1C3E"/>
    <w:rsid w:val="00BC1F26"/>
    <w:rsid w:val="00BC2930"/>
    <w:rsid w:val="00BC29A0"/>
    <w:rsid w:val="00BC2B8B"/>
    <w:rsid w:val="00BC2BC7"/>
    <w:rsid w:val="00BC300F"/>
    <w:rsid w:val="00BC3BD3"/>
    <w:rsid w:val="00BC3D91"/>
    <w:rsid w:val="00BC4149"/>
    <w:rsid w:val="00BC44A5"/>
    <w:rsid w:val="00BC4576"/>
    <w:rsid w:val="00BC46B5"/>
    <w:rsid w:val="00BC4EF6"/>
    <w:rsid w:val="00BC5092"/>
    <w:rsid w:val="00BC597A"/>
    <w:rsid w:val="00BC5C4B"/>
    <w:rsid w:val="00BC5D1C"/>
    <w:rsid w:val="00BC5E77"/>
    <w:rsid w:val="00BC5E95"/>
    <w:rsid w:val="00BC6D07"/>
    <w:rsid w:val="00BC72BA"/>
    <w:rsid w:val="00BC72E5"/>
    <w:rsid w:val="00BC737E"/>
    <w:rsid w:val="00BC7584"/>
    <w:rsid w:val="00BC759A"/>
    <w:rsid w:val="00BD005F"/>
    <w:rsid w:val="00BD024A"/>
    <w:rsid w:val="00BD0FE7"/>
    <w:rsid w:val="00BD1216"/>
    <w:rsid w:val="00BD1570"/>
    <w:rsid w:val="00BD191B"/>
    <w:rsid w:val="00BD1E53"/>
    <w:rsid w:val="00BD2142"/>
    <w:rsid w:val="00BD23F5"/>
    <w:rsid w:val="00BD27E1"/>
    <w:rsid w:val="00BD2873"/>
    <w:rsid w:val="00BD2892"/>
    <w:rsid w:val="00BD2C79"/>
    <w:rsid w:val="00BD3675"/>
    <w:rsid w:val="00BD3A1C"/>
    <w:rsid w:val="00BD3BB3"/>
    <w:rsid w:val="00BD46D0"/>
    <w:rsid w:val="00BD4730"/>
    <w:rsid w:val="00BD485E"/>
    <w:rsid w:val="00BD4C06"/>
    <w:rsid w:val="00BD4D92"/>
    <w:rsid w:val="00BD534F"/>
    <w:rsid w:val="00BD5491"/>
    <w:rsid w:val="00BD562C"/>
    <w:rsid w:val="00BD56C8"/>
    <w:rsid w:val="00BD56D1"/>
    <w:rsid w:val="00BD57D3"/>
    <w:rsid w:val="00BD5ACF"/>
    <w:rsid w:val="00BD5F6F"/>
    <w:rsid w:val="00BD68DD"/>
    <w:rsid w:val="00BD6F70"/>
    <w:rsid w:val="00BD75A8"/>
    <w:rsid w:val="00BD782D"/>
    <w:rsid w:val="00BD7876"/>
    <w:rsid w:val="00BD7995"/>
    <w:rsid w:val="00BE04D3"/>
    <w:rsid w:val="00BE0B5E"/>
    <w:rsid w:val="00BE0C4B"/>
    <w:rsid w:val="00BE0E48"/>
    <w:rsid w:val="00BE103E"/>
    <w:rsid w:val="00BE1058"/>
    <w:rsid w:val="00BE171D"/>
    <w:rsid w:val="00BE19A1"/>
    <w:rsid w:val="00BE1D6E"/>
    <w:rsid w:val="00BE1F63"/>
    <w:rsid w:val="00BE21B6"/>
    <w:rsid w:val="00BE2204"/>
    <w:rsid w:val="00BE26A5"/>
    <w:rsid w:val="00BE2759"/>
    <w:rsid w:val="00BE2FC6"/>
    <w:rsid w:val="00BE330A"/>
    <w:rsid w:val="00BE33C6"/>
    <w:rsid w:val="00BE364C"/>
    <w:rsid w:val="00BE38AA"/>
    <w:rsid w:val="00BE3F1E"/>
    <w:rsid w:val="00BE4114"/>
    <w:rsid w:val="00BE45C8"/>
    <w:rsid w:val="00BE4740"/>
    <w:rsid w:val="00BE4E64"/>
    <w:rsid w:val="00BE5AA2"/>
    <w:rsid w:val="00BE5AF0"/>
    <w:rsid w:val="00BE5DFE"/>
    <w:rsid w:val="00BE6E8B"/>
    <w:rsid w:val="00BE73D1"/>
    <w:rsid w:val="00BE7A3B"/>
    <w:rsid w:val="00BE7AA6"/>
    <w:rsid w:val="00BE7FA3"/>
    <w:rsid w:val="00BF0435"/>
    <w:rsid w:val="00BF0B5E"/>
    <w:rsid w:val="00BF0BED"/>
    <w:rsid w:val="00BF0F57"/>
    <w:rsid w:val="00BF0FA6"/>
    <w:rsid w:val="00BF0FF8"/>
    <w:rsid w:val="00BF1458"/>
    <w:rsid w:val="00BF16AF"/>
    <w:rsid w:val="00BF1F1C"/>
    <w:rsid w:val="00BF2133"/>
    <w:rsid w:val="00BF2197"/>
    <w:rsid w:val="00BF21D7"/>
    <w:rsid w:val="00BF23FD"/>
    <w:rsid w:val="00BF270A"/>
    <w:rsid w:val="00BF2842"/>
    <w:rsid w:val="00BF2925"/>
    <w:rsid w:val="00BF349C"/>
    <w:rsid w:val="00BF3628"/>
    <w:rsid w:val="00BF3D10"/>
    <w:rsid w:val="00BF3D41"/>
    <w:rsid w:val="00BF3E21"/>
    <w:rsid w:val="00BF3EEF"/>
    <w:rsid w:val="00BF44E8"/>
    <w:rsid w:val="00BF45AB"/>
    <w:rsid w:val="00BF45D7"/>
    <w:rsid w:val="00BF464C"/>
    <w:rsid w:val="00BF4AA1"/>
    <w:rsid w:val="00BF4B68"/>
    <w:rsid w:val="00BF6316"/>
    <w:rsid w:val="00BF6910"/>
    <w:rsid w:val="00BF6A77"/>
    <w:rsid w:val="00BF6C04"/>
    <w:rsid w:val="00BF6E64"/>
    <w:rsid w:val="00BF70C1"/>
    <w:rsid w:val="00BF70C8"/>
    <w:rsid w:val="00BF7197"/>
    <w:rsid w:val="00BF7297"/>
    <w:rsid w:val="00BF72A8"/>
    <w:rsid w:val="00BF72CB"/>
    <w:rsid w:val="00BF73CB"/>
    <w:rsid w:val="00BF7503"/>
    <w:rsid w:val="00BF7C44"/>
    <w:rsid w:val="00C00087"/>
    <w:rsid w:val="00C0086A"/>
    <w:rsid w:val="00C00FEE"/>
    <w:rsid w:val="00C01090"/>
    <w:rsid w:val="00C017AE"/>
    <w:rsid w:val="00C019B1"/>
    <w:rsid w:val="00C02379"/>
    <w:rsid w:val="00C0290E"/>
    <w:rsid w:val="00C02C88"/>
    <w:rsid w:val="00C02DA8"/>
    <w:rsid w:val="00C02FC8"/>
    <w:rsid w:val="00C03661"/>
    <w:rsid w:val="00C03973"/>
    <w:rsid w:val="00C03F49"/>
    <w:rsid w:val="00C04461"/>
    <w:rsid w:val="00C04A89"/>
    <w:rsid w:val="00C04C22"/>
    <w:rsid w:val="00C04C98"/>
    <w:rsid w:val="00C04EAB"/>
    <w:rsid w:val="00C04F02"/>
    <w:rsid w:val="00C0520F"/>
    <w:rsid w:val="00C0538B"/>
    <w:rsid w:val="00C05477"/>
    <w:rsid w:val="00C05E0B"/>
    <w:rsid w:val="00C05EA0"/>
    <w:rsid w:val="00C06160"/>
    <w:rsid w:val="00C0642B"/>
    <w:rsid w:val="00C0670B"/>
    <w:rsid w:val="00C06B28"/>
    <w:rsid w:val="00C06BCF"/>
    <w:rsid w:val="00C06D84"/>
    <w:rsid w:val="00C06E43"/>
    <w:rsid w:val="00C07096"/>
    <w:rsid w:val="00C070D6"/>
    <w:rsid w:val="00C07133"/>
    <w:rsid w:val="00C07BCC"/>
    <w:rsid w:val="00C07D73"/>
    <w:rsid w:val="00C07FC1"/>
    <w:rsid w:val="00C1031A"/>
    <w:rsid w:val="00C105B8"/>
    <w:rsid w:val="00C105CE"/>
    <w:rsid w:val="00C109CA"/>
    <w:rsid w:val="00C10C2D"/>
    <w:rsid w:val="00C10D45"/>
    <w:rsid w:val="00C10E6B"/>
    <w:rsid w:val="00C10F18"/>
    <w:rsid w:val="00C1127E"/>
    <w:rsid w:val="00C11444"/>
    <w:rsid w:val="00C11A54"/>
    <w:rsid w:val="00C11C72"/>
    <w:rsid w:val="00C11E83"/>
    <w:rsid w:val="00C12F6C"/>
    <w:rsid w:val="00C13016"/>
    <w:rsid w:val="00C1310E"/>
    <w:rsid w:val="00C13170"/>
    <w:rsid w:val="00C139F1"/>
    <w:rsid w:val="00C13E76"/>
    <w:rsid w:val="00C13F37"/>
    <w:rsid w:val="00C145EB"/>
    <w:rsid w:val="00C14A44"/>
    <w:rsid w:val="00C15596"/>
    <w:rsid w:val="00C1583F"/>
    <w:rsid w:val="00C15AB6"/>
    <w:rsid w:val="00C15F9D"/>
    <w:rsid w:val="00C1613A"/>
    <w:rsid w:val="00C16260"/>
    <w:rsid w:val="00C162F4"/>
    <w:rsid w:val="00C1630E"/>
    <w:rsid w:val="00C16A64"/>
    <w:rsid w:val="00C16BE9"/>
    <w:rsid w:val="00C170B1"/>
    <w:rsid w:val="00C170D6"/>
    <w:rsid w:val="00C171E0"/>
    <w:rsid w:val="00C172D3"/>
    <w:rsid w:val="00C172E5"/>
    <w:rsid w:val="00C17345"/>
    <w:rsid w:val="00C17412"/>
    <w:rsid w:val="00C174F0"/>
    <w:rsid w:val="00C176ED"/>
    <w:rsid w:val="00C17DB5"/>
    <w:rsid w:val="00C17DF5"/>
    <w:rsid w:val="00C17E0A"/>
    <w:rsid w:val="00C200BD"/>
    <w:rsid w:val="00C20128"/>
    <w:rsid w:val="00C20166"/>
    <w:rsid w:val="00C2034B"/>
    <w:rsid w:val="00C21A06"/>
    <w:rsid w:val="00C2297D"/>
    <w:rsid w:val="00C23021"/>
    <w:rsid w:val="00C233A9"/>
    <w:rsid w:val="00C24050"/>
    <w:rsid w:val="00C24243"/>
    <w:rsid w:val="00C24356"/>
    <w:rsid w:val="00C24759"/>
    <w:rsid w:val="00C24B43"/>
    <w:rsid w:val="00C24B97"/>
    <w:rsid w:val="00C251F6"/>
    <w:rsid w:val="00C255E7"/>
    <w:rsid w:val="00C257A5"/>
    <w:rsid w:val="00C258A1"/>
    <w:rsid w:val="00C25AAF"/>
    <w:rsid w:val="00C25CA1"/>
    <w:rsid w:val="00C25F19"/>
    <w:rsid w:val="00C26927"/>
    <w:rsid w:val="00C2720A"/>
    <w:rsid w:val="00C27311"/>
    <w:rsid w:val="00C27542"/>
    <w:rsid w:val="00C27BA4"/>
    <w:rsid w:val="00C27BBA"/>
    <w:rsid w:val="00C27D80"/>
    <w:rsid w:val="00C27E39"/>
    <w:rsid w:val="00C27FA9"/>
    <w:rsid w:val="00C27FE7"/>
    <w:rsid w:val="00C30211"/>
    <w:rsid w:val="00C30F98"/>
    <w:rsid w:val="00C3135C"/>
    <w:rsid w:val="00C32210"/>
    <w:rsid w:val="00C32B00"/>
    <w:rsid w:val="00C332A3"/>
    <w:rsid w:val="00C33354"/>
    <w:rsid w:val="00C33699"/>
    <w:rsid w:val="00C3377B"/>
    <w:rsid w:val="00C33C55"/>
    <w:rsid w:val="00C33DD7"/>
    <w:rsid w:val="00C33EA3"/>
    <w:rsid w:val="00C342C3"/>
    <w:rsid w:val="00C3468B"/>
    <w:rsid w:val="00C34AE2"/>
    <w:rsid w:val="00C35607"/>
    <w:rsid w:val="00C356AA"/>
    <w:rsid w:val="00C35B03"/>
    <w:rsid w:val="00C36356"/>
    <w:rsid w:val="00C3678F"/>
    <w:rsid w:val="00C369B5"/>
    <w:rsid w:val="00C36DC0"/>
    <w:rsid w:val="00C370F4"/>
    <w:rsid w:val="00C3763B"/>
    <w:rsid w:val="00C376BD"/>
    <w:rsid w:val="00C37AFE"/>
    <w:rsid w:val="00C37D8D"/>
    <w:rsid w:val="00C37F5A"/>
    <w:rsid w:val="00C37FC4"/>
    <w:rsid w:val="00C40389"/>
    <w:rsid w:val="00C406F3"/>
    <w:rsid w:val="00C40708"/>
    <w:rsid w:val="00C407D1"/>
    <w:rsid w:val="00C40F98"/>
    <w:rsid w:val="00C410B6"/>
    <w:rsid w:val="00C4119D"/>
    <w:rsid w:val="00C4201E"/>
    <w:rsid w:val="00C4202B"/>
    <w:rsid w:val="00C424D9"/>
    <w:rsid w:val="00C42A9F"/>
    <w:rsid w:val="00C42B8C"/>
    <w:rsid w:val="00C43135"/>
    <w:rsid w:val="00C432A4"/>
    <w:rsid w:val="00C433A1"/>
    <w:rsid w:val="00C43620"/>
    <w:rsid w:val="00C43CE6"/>
    <w:rsid w:val="00C441D7"/>
    <w:rsid w:val="00C44CEC"/>
    <w:rsid w:val="00C44DEC"/>
    <w:rsid w:val="00C44E96"/>
    <w:rsid w:val="00C45201"/>
    <w:rsid w:val="00C45896"/>
    <w:rsid w:val="00C459A8"/>
    <w:rsid w:val="00C45B1A"/>
    <w:rsid w:val="00C461A2"/>
    <w:rsid w:val="00C46289"/>
    <w:rsid w:val="00C46879"/>
    <w:rsid w:val="00C469D5"/>
    <w:rsid w:val="00C46CF4"/>
    <w:rsid w:val="00C46F8D"/>
    <w:rsid w:val="00C471B1"/>
    <w:rsid w:val="00C476D8"/>
    <w:rsid w:val="00C50092"/>
    <w:rsid w:val="00C50236"/>
    <w:rsid w:val="00C5084E"/>
    <w:rsid w:val="00C508FC"/>
    <w:rsid w:val="00C51124"/>
    <w:rsid w:val="00C51354"/>
    <w:rsid w:val="00C519DF"/>
    <w:rsid w:val="00C51AF1"/>
    <w:rsid w:val="00C51C3E"/>
    <w:rsid w:val="00C52422"/>
    <w:rsid w:val="00C52600"/>
    <w:rsid w:val="00C52639"/>
    <w:rsid w:val="00C52776"/>
    <w:rsid w:val="00C52B3C"/>
    <w:rsid w:val="00C52BFC"/>
    <w:rsid w:val="00C52DC4"/>
    <w:rsid w:val="00C52EAE"/>
    <w:rsid w:val="00C53418"/>
    <w:rsid w:val="00C5350A"/>
    <w:rsid w:val="00C53791"/>
    <w:rsid w:val="00C537B5"/>
    <w:rsid w:val="00C53C60"/>
    <w:rsid w:val="00C54127"/>
    <w:rsid w:val="00C543BD"/>
    <w:rsid w:val="00C543C7"/>
    <w:rsid w:val="00C543E6"/>
    <w:rsid w:val="00C54A56"/>
    <w:rsid w:val="00C54D39"/>
    <w:rsid w:val="00C550C9"/>
    <w:rsid w:val="00C550FC"/>
    <w:rsid w:val="00C551DA"/>
    <w:rsid w:val="00C552FF"/>
    <w:rsid w:val="00C5544C"/>
    <w:rsid w:val="00C56935"/>
    <w:rsid w:val="00C56CEC"/>
    <w:rsid w:val="00C56E5E"/>
    <w:rsid w:val="00C56FE6"/>
    <w:rsid w:val="00C579D2"/>
    <w:rsid w:val="00C57CF3"/>
    <w:rsid w:val="00C6043A"/>
    <w:rsid w:val="00C60DFD"/>
    <w:rsid w:val="00C6113E"/>
    <w:rsid w:val="00C61251"/>
    <w:rsid w:val="00C61390"/>
    <w:rsid w:val="00C616CB"/>
    <w:rsid w:val="00C616E7"/>
    <w:rsid w:val="00C61876"/>
    <w:rsid w:val="00C61936"/>
    <w:rsid w:val="00C61B71"/>
    <w:rsid w:val="00C61E82"/>
    <w:rsid w:val="00C6209C"/>
    <w:rsid w:val="00C622D5"/>
    <w:rsid w:val="00C6249C"/>
    <w:rsid w:val="00C62536"/>
    <w:rsid w:val="00C6282E"/>
    <w:rsid w:val="00C62A62"/>
    <w:rsid w:val="00C62D6E"/>
    <w:rsid w:val="00C62DA4"/>
    <w:rsid w:val="00C62DAC"/>
    <w:rsid w:val="00C62E57"/>
    <w:rsid w:val="00C62EE4"/>
    <w:rsid w:val="00C6382C"/>
    <w:rsid w:val="00C63945"/>
    <w:rsid w:val="00C643E1"/>
    <w:rsid w:val="00C6440A"/>
    <w:rsid w:val="00C647DC"/>
    <w:rsid w:val="00C64B59"/>
    <w:rsid w:val="00C651FF"/>
    <w:rsid w:val="00C653A6"/>
    <w:rsid w:val="00C65408"/>
    <w:rsid w:val="00C656AF"/>
    <w:rsid w:val="00C65B91"/>
    <w:rsid w:val="00C65F0E"/>
    <w:rsid w:val="00C65F4B"/>
    <w:rsid w:val="00C66104"/>
    <w:rsid w:val="00C66202"/>
    <w:rsid w:val="00C6668E"/>
    <w:rsid w:val="00C667BC"/>
    <w:rsid w:val="00C66849"/>
    <w:rsid w:val="00C674D9"/>
    <w:rsid w:val="00C675FB"/>
    <w:rsid w:val="00C67648"/>
    <w:rsid w:val="00C67A0D"/>
    <w:rsid w:val="00C67C03"/>
    <w:rsid w:val="00C7050C"/>
    <w:rsid w:val="00C709A4"/>
    <w:rsid w:val="00C70F53"/>
    <w:rsid w:val="00C715F0"/>
    <w:rsid w:val="00C717A1"/>
    <w:rsid w:val="00C71A66"/>
    <w:rsid w:val="00C723C4"/>
    <w:rsid w:val="00C723E6"/>
    <w:rsid w:val="00C72423"/>
    <w:rsid w:val="00C7256E"/>
    <w:rsid w:val="00C72872"/>
    <w:rsid w:val="00C72BAE"/>
    <w:rsid w:val="00C73353"/>
    <w:rsid w:val="00C73597"/>
    <w:rsid w:val="00C739B9"/>
    <w:rsid w:val="00C73A33"/>
    <w:rsid w:val="00C73BE1"/>
    <w:rsid w:val="00C73DC0"/>
    <w:rsid w:val="00C7495A"/>
    <w:rsid w:val="00C74E34"/>
    <w:rsid w:val="00C75319"/>
    <w:rsid w:val="00C75A7A"/>
    <w:rsid w:val="00C75AF2"/>
    <w:rsid w:val="00C75E90"/>
    <w:rsid w:val="00C7611A"/>
    <w:rsid w:val="00C762DE"/>
    <w:rsid w:val="00C7651D"/>
    <w:rsid w:val="00C76702"/>
    <w:rsid w:val="00C76709"/>
    <w:rsid w:val="00C770BE"/>
    <w:rsid w:val="00C770C9"/>
    <w:rsid w:val="00C77C04"/>
    <w:rsid w:val="00C77DCA"/>
    <w:rsid w:val="00C807DD"/>
    <w:rsid w:val="00C80B9E"/>
    <w:rsid w:val="00C80C3F"/>
    <w:rsid w:val="00C80FF8"/>
    <w:rsid w:val="00C818DA"/>
    <w:rsid w:val="00C8199A"/>
    <w:rsid w:val="00C81C86"/>
    <w:rsid w:val="00C81CA2"/>
    <w:rsid w:val="00C81F08"/>
    <w:rsid w:val="00C82988"/>
    <w:rsid w:val="00C82D76"/>
    <w:rsid w:val="00C8342C"/>
    <w:rsid w:val="00C8374B"/>
    <w:rsid w:val="00C83A71"/>
    <w:rsid w:val="00C840A2"/>
    <w:rsid w:val="00C8432B"/>
    <w:rsid w:val="00C845ED"/>
    <w:rsid w:val="00C8472E"/>
    <w:rsid w:val="00C84D90"/>
    <w:rsid w:val="00C84EE8"/>
    <w:rsid w:val="00C850E1"/>
    <w:rsid w:val="00C8524F"/>
    <w:rsid w:val="00C85395"/>
    <w:rsid w:val="00C854AB"/>
    <w:rsid w:val="00C85A64"/>
    <w:rsid w:val="00C8608C"/>
    <w:rsid w:val="00C86543"/>
    <w:rsid w:val="00C86686"/>
    <w:rsid w:val="00C86BAC"/>
    <w:rsid w:val="00C86E48"/>
    <w:rsid w:val="00C86E74"/>
    <w:rsid w:val="00C87228"/>
    <w:rsid w:val="00C8781B"/>
    <w:rsid w:val="00C878FA"/>
    <w:rsid w:val="00C87A2B"/>
    <w:rsid w:val="00C87C3A"/>
    <w:rsid w:val="00C87E5D"/>
    <w:rsid w:val="00C902A2"/>
    <w:rsid w:val="00C90332"/>
    <w:rsid w:val="00C9083D"/>
    <w:rsid w:val="00C90CB0"/>
    <w:rsid w:val="00C90CC3"/>
    <w:rsid w:val="00C9105F"/>
    <w:rsid w:val="00C917CD"/>
    <w:rsid w:val="00C91B1D"/>
    <w:rsid w:val="00C91C0F"/>
    <w:rsid w:val="00C922EF"/>
    <w:rsid w:val="00C92356"/>
    <w:rsid w:val="00C92379"/>
    <w:rsid w:val="00C924D7"/>
    <w:rsid w:val="00C924F0"/>
    <w:rsid w:val="00C9336F"/>
    <w:rsid w:val="00C9393D"/>
    <w:rsid w:val="00C940F8"/>
    <w:rsid w:val="00C94248"/>
    <w:rsid w:val="00C944DC"/>
    <w:rsid w:val="00C945C7"/>
    <w:rsid w:val="00C94648"/>
    <w:rsid w:val="00C946B4"/>
    <w:rsid w:val="00C95577"/>
    <w:rsid w:val="00C955FA"/>
    <w:rsid w:val="00C9568F"/>
    <w:rsid w:val="00C95AFA"/>
    <w:rsid w:val="00C95D34"/>
    <w:rsid w:val="00C95E70"/>
    <w:rsid w:val="00C95F1E"/>
    <w:rsid w:val="00C95F45"/>
    <w:rsid w:val="00C96836"/>
    <w:rsid w:val="00C969E0"/>
    <w:rsid w:val="00C96B5E"/>
    <w:rsid w:val="00C96C6A"/>
    <w:rsid w:val="00C9713D"/>
    <w:rsid w:val="00C971B9"/>
    <w:rsid w:val="00C9721A"/>
    <w:rsid w:val="00C9765D"/>
    <w:rsid w:val="00C97AE8"/>
    <w:rsid w:val="00C97E61"/>
    <w:rsid w:val="00CA00D2"/>
    <w:rsid w:val="00CA071C"/>
    <w:rsid w:val="00CA09CD"/>
    <w:rsid w:val="00CA0BB8"/>
    <w:rsid w:val="00CA0FAD"/>
    <w:rsid w:val="00CA1CAD"/>
    <w:rsid w:val="00CA2196"/>
    <w:rsid w:val="00CA2227"/>
    <w:rsid w:val="00CA22ED"/>
    <w:rsid w:val="00CA2D29"/>
    <w:rsid w:val="00CA2F00"/>
    <w:rsid w:val="00CA3381"/>
    <w:rsid w:val="00CA3469"/>
    <w:rsid w:val="00CA380B"/>
    <w:rsid w:val="00CA3E4C"/>
    <w:rsid w:val="00CA3EAB"/>
    <w:rsid w:val="00CA462B"/>
    <w:rsid w:val="00CA491E"/>
    <w:rsid w:val="00CA4DFF"/>
    <w:rsid w:val="00CA505D"/>
    <w:rsid w:val="00CA531F"/>
    <w:rsid w:val="00CA5487"/>
    <w:rsid w:val="00CA57B4"/>
    <w:rsid w:val="00CA58AC"/>
    <w:rsid w:val="00CA6213"/>
    <w:rsid w:val="00CA720D"/>
    <w:rsid w:val="00CA7535"/>
    <w:rsid w:val="00CA7654"/>
    <w:rsid w:val="00CA77F7"/>
    <w:rsid w:val="00CA7A16"/>
    <w:rsid w:val="00CA7A52"/>
    <w:rsid w:val="00CB0ED6"/>
    <w:rsid w:val="00CB1066"/>
    <w:rsid w:val="00CB11C7"/>
    <w:rsid w:val="00CB129C"/>
    <w:rsid w:val="00CB1B9E"/>
    <w:rsid w:val="00CB2251"/>
    <w:rsid w:val="00CB2794"/>
    <w:rsid w:val="00CB2C7B"/>
    <w:rsid w:val="00CB331A"/>
    <w:rsid w:val="00CB33EA"/>
    <w:rsid w:val="00CB3478"/>
    <w:rsid w:val="00CB3776"/>
    <w:rsid w:val="00CB40C3"/>
    <w:rsid w:val="00CB43CC"/>
    <w:rsid w:val="00CB4F0E"/>
    <w:rsid w:val="00CB4F9F"/>
    <w:rsid w:val="00CB5543"/>
    <w:rsid w:val="00CB5E7A"/>
    <w:rsid w:val="00CB640F"/>
    <w:rsid w:val="00CB6523"/>
    <w:rsid w:val="00CB6638"/>
    <w:rsid w:val="00CB6E1D"/>
    <w:rsid w:val="00CB7169"/>
    <w:rsid w:val="00CB764D"/>
    <w:rsid w:val="00CC013C"/>
    <w:rsid w:val="00CC0855"/>
    <w:rsid w:val="00CC086A"/>
    <w:rsid w:val="00CC0D8A"/>
    <w:rsid w:val="00CC19FA"/>
    <w:rsid w:val="00CC1A61"/>
    <w:rsid w:val="00CC1EFA"/>
    <w:rsid w:val="00CC223F"/>
    <w:rsid w:val="00CC250A"/>
    <w:rsid w:val="00CC25D1"/>
    <w:rsid w:val="00CC27CF"/>
    <w:rsid w:val="00CC29BA"/>
    <w:rsid w:val="00CC30FC"/>
    <w:rsid w:val="00CC36D2"/>
    <w:rsid w:val="00CC3A93"/>
    <w:rsid w:val="00CC3AE2"/>
    <w:rsid w:val="00CC3D6E"/>
    <w:rsid w:val="00CC3FEB"/>
    <w:rsid w:val="00CC4530"/>
    <w:rsid w:val="00CC46A7"/>
    <w:rsid w:val="00CC4874"/>
    <w:rsid w:val="00CC4910"/>
    <w:rsid w:val="00CC4CCF"/>
    <w:rsid w:val="00CC510B"/>
    <w:rsid w:val="00CC5486"/>
    <w:rsid w:val="00CC5AD9"/>
    <w:rsid w:val="00CC5ECA"/>
    <w:rsid w:val="00CC5F0E"/>
    <w:rsid w:val="00CC5FDB"/>
    <w:rsid w:val="00CC64E7"/>
    <w:rsid w:val="00CC676D"/>
    <w:rsid w:val="00CC6901"/>
    <w:rsid w:val="00CC69DF"/>
    <w:rsid w:val="00CC6C05"/>
    <w:rsid w:val="00CC6FE3"/>
    <w:rsid w:val="00CC7053"/>
    <w:rsid w:val="00CC72CE"/>
    <w:rsid w:val="00CC753E"/>
    <w:rsid w:val="00CC7824"/>
    <w:rsid w:val="00CC7A01"/>
    <w:rsid w:val="00CC7D3B"/>
    <w:rsid w:val="00CD00C0"/>
    <w:rsid w:val="00CD016E"/>
    <w:rsid w:val="00CD0477"/>
    <w:rsid w:val="00CD07B8"/>
    <w:rsid w:val="00CD0932"/>
    <w:rsid w:val="00CD0DFF"/>
    <w:rsid w:val="00CD1359"/>
    <w:rsid w:val="00CD1412"/>
    <w:rsid w:val="00CD1708"/>
    <w:rsid w:val="00CD18C7"/>
    <w:rsid w:val="00CD1F03"/>
    <w:rsid w:val="00CD200A"/>
    <w:rsid w:val="00CD2432"/>
    <w:rsid w:val="00CD2562"/>
    <w:rsid w:val="00CD256B"/>
    <w:rsid w:val="00CD27CC"/>
    <w:rsid w:val="00CD29A3"/>
    <w:rsid w:val="00CD2D78"/>
    <w:rsid w:val="00CD2FE9"/>
    <w:rsid w:val="00CD307E"/>
    <w:rsid w:val="00CD3262"/>
    <w:rsid w:val="00CD336C"/>
    <w:rsid w:val="00CD3512"/>
    <w:rsid w:val="00CD3A8D"/>
    <w:rsid w:val="00CD4030"/>
    <w:rsid w:val="00CD419C"/>
    <w:rsid w:val="00CD4680"/>
    <w:rsid w:val="00CD4798"/>
    <w:rsid w:val="00CD49AC"/>
    <w:rsid w:val="00CD4ABF"/>
    <w:rsid w:val="00CD4B41"/>
    <w:rsid w:val="00CD4C00"/>
    <w:rsid w:val="00CD4DE2"/>
    <w:rsid w:val="00CD4F4C"/>
    <w:rsid w:val="00CD517D"/>
    <w:rsid w:val="00CD55F3"/>
    <w:rsid w:val="00CD5693"/>
    <w:rsid w:val="00CD58C6"/>
    <w:rsid w:val="00CD5977"/>
    <w:rsid w:val="00CD5B28"/>
    <w:rsid w:val="00CD6135"/>
    <w:rsid w:val="00CD620F"/>
    <w:rsid w:val="00CD62E6"/>
    <w:rsid w:val="00CD644A"/>
    <w:rsid w:val="00CD69C8"/>
    <w:rsid w:val="00CD6ABC"/>
    <w:rsid w:val="00CD6AEC"/>
    <w:rsid w:val="00CD6CFD"/>
    <w:rsid w:val="00CD780B"/>
    <w:rsid w:val="00CD78EA"/>
    <w:rsid w:val="00CD7EAB"/>
    <w:rsid w:val="00CE0286"/>
    <w:rsid w:val="00CE05D3"/>
    <w:rsid w:val="00CE06D5"/>
    <w:rsid w:val="00CE1077"/>
    <w:rsid w:val="00CE159F"/>
    <w:rsid w:val="00CE1711"/>
    <w:rsid w:val="00CE1816"/>
    <w:rsid w:val="00CE1F23"/>
    <w:rsid w:val="00CE1F6C"/>
    <w:rsid w:val="00CE24C3"/>
    <w:rsid w:val="00CE28D6"/>
    <w:rsid w:val="00CE393F"/>
    <w:rsid w:val="00CE3D31"/>
    <w:rsid w:val="00CE3DA5"/>
    <w:rsid w:val="00CE403B"/>
    <w:rsid w:val="00CE45BA"/>
    <w:rsid w:val="00CE482B"/>
    <w:rsid w:val="00CE53C4"/>
    <w:rsid w:val="00CE58FA"/>
    <w:rsid w:val="00CE595B"/>
    <w:rsid w:val="00CE59CD"/>
    <w:rsid w:val="00CE5B4C"/>
    <w:rsid w:val="00CE5BBA"/>
    <w:rsid w:val="00CE5FDA"/>
    <w:rsid w:val="00CE6293"/>
    <w:rsid w:val="00CE63AE"/>
    <w:rsid w:val="00CE6C34"/>
    <w:rsid w:val="00CE74E3"/>
    <w:rsid w:val="00CE76FA"/>
    <w:rsid w:val="00CE7847"/>
    <w:rsid w:val="00CE7EAC"/>
    <w:rsid w:val="00CF0033"/>
    <w:rsid w:val="00CF0303"/>
    <w:rsid w:val="00CF046D"/>
    <w:rsid w:val="00CF06B3"/>
    <w:rsid w:val="00CF0716"/>
    <w:rsid w:val="00CF101F"/>
    <w:rsid w:val="00CF11BE"/>
    <w:rsid w:val="00CF1310"/>
    <w:rsid w:val="00CF16F5"/>
    <w:rsid w:val="00CF1B46"/>
    <w:rsid w:val="00CF1EF0"/>
    <w:rsid w:val="00CF2B2B"/>
    <w:rsid w:val="00CF2D07"/>
    <w:rsid w:val="00CF2DA9"/>
    <w:rsid w:val="00CF31DA"/>
    <w:rsid w:val="00CF32B9"/>
    <w:rsid w:val="00CF3C2B"/>
    <w:rsid w:val="00CF3C8F"/>
    <w:rsid w:val="00CF3DA9"/>
    <w:rsid w:val="00CF4028"/>
    <w:rsid w:val="00CF4201"/>
    <w:rsid w:val="00CF43BA"/>
    <w:rsid w:val="00CF4478"/>
    <w:rsid w:val="00CF4BD5"/>
    <w:rsid w:val="00CF5008"/>
    <w:rsid w:val="00CF56BC"/>
    <w:rsid w:val="00CF57C4"/>
    <w:rsid w:val="00CF5C6D"/>
    <w:rsid w:val="00CF6B59"/>
    <w:rsid w:val="00CF76FD"/>
    <w:rsid w:val="00CF7742"/>
    <w:rsid w:val="00D00149"/>
    <w:rsid w:val="00D001C4"/>
    <w:rsid w:val="00D003A1"/>
    <w:rsid w:val="00D003F5"/>
    <w:rsid w:val="00D0045E"/>
    <w:rsid w:val="00D00478"/>
    <w:rsid w:val="00D00653"/>
    <w:rsid w:val="00D00911"/>
    <w:rsid w:val="00D00D24"/>
    <w:rsid w:val="00D01151"/>
    <w:rsid w:val="00D012B4"/>
    <w:rsid w:val="00D01476"/>
    <w:rsid w:val="00D01627"/>
    <w:rsid w:val="00D01AEC"/>
    <w:rsid w:val="00D01C27"/>
    <w:rsid w:val="00D01E4E"/>
    <w:rsid w:val="00D03950"/>
    <w:rsid w:val="00D03C09"/>
    <w:rsid w:val="00D03D3D"/>
    <w:rsid w:val="00D03D53"/>
    <w:rsid w:val="00D0413E"/>
    <w:rsid w:val="00D0465F"/>
    <w:rsid w:val="00D046C3"/>
    <w:rsid w:val="00D04747"/>
    <w:rsid w:val="00D04FCB"/>
    <w:rsid w:val="00D0505A"/>
    <w:rsid w:val="00D0543F"/>
    <w:rsid w:val="00D056A1"/>
    <w:rsid w:val="00D05A53"/>
    <w:rsid w:val="00D063AC"/>
    <w:rsid w:val="00D06447"/>
    <w:rsid w:val="00D06A78"/>
    <w:rsid w:val="00D06A91"/>
    <w:rsid w:val="00D06FC3"/>
    <w:rsid w:val="00D071B2"/>
    <w:rsid w:val="00D07347"/>
    <w:rsid w:val="00D077F8"/>
    <w:rsid w:val="00D078F9"/>
    <w:rsid w:val="00D07DB4"/>
    <w:rsid w:val="00D07E2E"/>
    <w:rsid w:val="00D07ED3"/>
    <w:rsid w:val="00D1003E"/>
    <w:rsid w:val="00D10258"/>
    <w:rsid w:val="00D104A1"/>
    <w:rsid w:val="00D104E0"/>
    <w:rsid w:val="00D10530"/>
    <w:rsid w:val="00D10A24"/>
    <w:rsid w:val="00D119CF"/>
    <w:rsid w:val="00D11C4E"/>
    <w:rsid w:val="00D11E55"/>
    <w:rsid w:val="00D12059"/>
    <w:rsid w:val="00D1209D"/>
    <w:rsid w:val="00D12449"/>
    <w:rsid w:val="00D125E5"/>
    <w:rsid w:val="00D129DE"/>
    <w:rsid w:val="00D1308D"/>
    <w:rsid w:val="00D1327F"/>
    <w:rsid w:val="00D1402E"/>
    <w:rsid w:val="00D1429C"/>
    <w:rsid w:val="00D1436E"/>
    <w:rsid w:val="00D1436F"/>
    <w:rsid w:val="00D148D4"/>
    <w:rsid w:val="00D14ABB"/>
    <w:rsid w:val="00D14E0D"/>
    <w:rsid w:val="00D152B5"/>
    <w:rsid w:val="00D156AD"/>
    <w:rsid w:val="00D15E70"/>
    <w:rsid w:val="00D15F59"/>
    <w:rsid w:val="00D15FCB"/>
    <w:rsid w:val="00D16296"/>
    <w:rsid w:val="00D16478"/>
    <w:rsid w:val="00D165F4"/>
    <w:rsid w:val="00D16940"/>
    <w:rsid w:val="00D16C6E"/>
    <w:rsid w:val="00D17618"/>
    <w:rsid w:val="00D1769C"/>
    <w:rsid w:val="00D178D3"/>
    <w:rsid w:val="00D17FC3"/>
    <w:rsid w:val="00D202A8"/>
    <w:rsid w:val="00D204BF"/>
    <w:rsid w:val="00D205A5"/>
    <w:rsid w:val="00D20802"/>
    <w:rsid w:val="00D2092D"/>
    <w:rsid w:val="00D20DE3"/>
    <w:rsid w:val="00D20FD3"/>
    <w:rsid w:val="00D210C6"/>
    <w:rsid w:val="00D2125C"/>
    <w:rsid w:val="00D21C37"/>
    <w:rsid w:val="00D21D2D"/>
    <w:rsid w:val="00D2213F"/>
    <w:rsid w:val="00D2248D"/>
    <w:rsid w:val="00D22C31"/>
    <w:rsid w:val="00D22F0C"/>
    <w:rsid w:val="00D23163"/>
    <w:rsid w:val="00D231A7"/>
    <w:rsid w:val="00D235D3"/>
    <w:rsid w:val="00D242A8"/>
    <w:rsid w:val="00D247B7"/>
    <w:rsid w:val="00D24A76"/>
    <w:rsid w:val="00D24ADA"/>
    <w:rsid w:val="00D2506C"/>
    <w:rsid w:val="00D25427"/>
    <w:rsid w:val="00D255DE"/>
    <w:rsid w:val="00D257C8"/>
    <w:rsid w:val="00D25B08"/>
    <w:rsid w:val="00D25DCD"/>
    <w:rsid w:val="00D25E00"/>
    <w:rsid w:val="00D25F60"/>
    <w:rsid w:val="00D260BC"/>
    <w:rsid w:val="00D26AFB"/>
    <w:rsid w:val="00D26C56"/>
    <w:rsid w:val="00D26EB7"/>
    <w:rsid w:val="00D27001"/>
    <w:rsid w:val="00D2707D"/>
    <w:rsid w:val="00D27578"/>
    <w:rsid w:val="00D27868"/>
    <w:rsid w:val="00D2787E"/>
    <w:rsid w:val="00D27BB0"/>
    <w:rsid w:val="00D302C2"/>
    <w:rsid w:val="00D30407"/>
    <w:rsid w:val="00D30777"/>
    <w:rsid w:val="00D30C38"/>
    <w:rsid w:val="00D311D5"/>
    <w:rsid w:val="00D3186C"/>
    <w:rsid w:val="00D319D2"/>
    <w:rsid w:val="00D31AAC"/>
    <w:rsid w:val="00D31AF5"/>
    <w:rsid w:val="00D31DA6"/>
    <w:rsid w:val="00D325C6"/>
    <w:rsid w:val="00D32693"/>
    <w:rsid w:val="00D327E7"/>
    <w:rsid w:val="00D3288A"/>
    <w:rsid w:val="00D3299A"/>
    <w:rsid w:val="00D32DB7"/>
    <w:rsid w:val="00D336DB"/>
    <w:rsid w:val="00D33C37"/>
    <w:rsid w:val="00D33E6C"/>
    <w:rsid w:val="00D33EE1"/>
    <w:rsid w:val="00D34301"/>
    <w:rsid w:val="00D35476"/>
    <w:rsid w:val="00D355E3"/>
    <w:rsid w:val="00D35BB7"/>
    <w:rsid w:val="00D35BC6"/>
    <w:rsid w:val="00D360A8"/>
    <w:rsid w:val="00D3614A"/>
    <w:rsid w:val="00D3620E"/>
    <w:rsid w:val="00D3622A"/>
    <w:rsid w:val="00D36383"/>
    <w:rsid w:val="00D3653D"/>
    <w:rsid w:val="00D37741"/>
    <w:rsid w:val="00D4011A"/>
    <w:rsid w:val="00D40943"/>
    <w:rsid w:val="00D40CF9"/>
    <w:rsid w:val="00D40E68"/>
    <w:rsid w:val="00D4101C"/>
    <w:rsid w:val="00D41218"/>
    <w:rsid w:val="00D41439"/>
    <w:rsid w:val="00D414E8"/>
    <w:rsid w:val="00D41F92"/>
    <w:rsid w:val="00D42378"/>
    <w:rsid w:val="00D425B4"/>
    <w:rsid w:val="00D4284E"/>
    <w:rsid w:val="00D430B8"/>
    <w:rsid w:val="00D43162"/>
    <w:rsid w:val="00D43617"/>
    <w:rsid w:val="00D43652"/>
    <w:rsid w:val="00D43AE4"/>
    <w:rsid w:val="00D43B35"/>
    <w:rsid w:val="00D43CAC"/>
    <w:rsid w:val="00D44056"/>
    <w:rsid w:val="00D440B4"/>
    <w:rsid w:val="00D44147"/>
    <w:rsid w:val="00D44207"/>
    <w:rsid w:val="00D44948"/>
    <w:rsid w:val="00D44B22"/>
    <w:rsid w:val="00D44B87"/>
    <w:rsid w:val="00D44C2B"/>
    <w:rsid w:val="00D44E5B"/>
    <w:rsid w:val="00D45019"/>
    <w:rsid w:val="00D450A3"/>
    <w:rsid w:val="00D4522C"/>
    <w:rsid w:val="00D4562D"/>
    <w:rsid w:val="00D456B1"/>
    <w:rsid w:val="00D45945"/>
    <w:rsid w:val="00D45A33"/>
    <w:rsid w:val="00D45ABC"/>
    <w:rsid w:val="00D45B65"/>
    <w:rsid w:val="00D461C3"/>
    <w:rsid w:val="00D46289"/>
    <w:rsid w:val="00D46743"/>
    <w:rsid w:val="00D4680F"/>
    <w:rsid w:val="00D4696A"/>
    <w:rsid w:val="00D46AA4"/>
    <w:rsid w:val="00D4726B"/>
    <w:rsid w:val="00D472C7"/>
    <w:rsid w:val="00D4761B"/>
    <w:rsid w:val="00D47B31"/>
    <w:rsid w:val="00D47BC4"/>
    <w:rsid w:val="00D47CEA"/>
    <w:rsid w:val="00D50A49"/>
    <w:rsid w:val="00D50A78"/>
    <w:rsid w:val="00D50F0D"/>
    <w:rsid w:val="00D51ABC"/>
    <w:rsid w:val="00D51C75"/>
    <w:rsid w:val="00D51E0B"/>
    <w:rsid w:val="00D5216E"/>
    <w:rsid w:val="00D522A8"/>
    <w:rsid w:val="00D52632"/>
    <w:rsid w:val="00D528F0"/>
    <w:rsid w:val="00D52936"/>
    <w:rsid w:val="00D52987"/>
    <w:rsid w:val="00D52BDD"/>
    <w:rsid w:val="00D52D5B"/>
    <w:rsid w:val="00D5313D"/>
    <w:rsid w:val="00D5366D"/>
    <w:rsid w:val="00D5368F"/>
    <w:rsid w:val="00D53930"/>
    <w:rsid w:val="00D53AB7"/>
    <w:rsid w:val="00D53B80"/>
    <w:rsid w:val="00D53CDB"/>
    <w:rsid w:val="00D53E9F"/>
    <w:rsid w:val="00D53F1B"/>
    <w:rsid w:val="00D53FCC"/>
    <w:rsid w:val="00D54721"/>
    <w:rsid w:val="00D549A5"/>
    <w:rsid w:val="00D54BD4"/>
    <w:rsid w:val="00D54C55"/>
    <w:rsid w:val="00D550F9"/>
    <w:rsid w:val="00D55303"/>
    <w:rsid w:val="00D55D06"/>
    <w:rsid w:val="00D56298"/>
    <w:rsid w:val="00D563A2"/>
    <w:rsid w:val="00D56892"/>
    <w:rsid w:val="00D56A25"/>
    <w:rsid w:val="00D577DF"/>
    <w:rsid w:val="00D57AD1"/>
    <w:rsid w:val="00D57D66"/>
    <w:rsid w:val="00D607B7"/>
    <w:rsid w:val="00D607E4"/>
    <w:rsid w:val="00D60AA7"/>
    <w:rsid w:val="00D60B38"/>
    <w:rsid w:val="00D60B8C"/>
    <w:rsid w:val="00D60C93"/>
    <w:rsid w:val="00D612BD"/>
    <w:rsid w:val="00D61385"/>
    <w:rsid w:val="00D61640"/>
    <w:rsid w:val="00D61788"/>
    <w:rsid w:val="00D61A0E"/>
    <w:rsid w:val="00D61C7E"/>
    <w:rsid w:val="00D61CBC"/>
    <w:rsid w:val="00D61EE9"/>
    <w:rsid w:val="00D623A4"/>
    <w:rsid w:val="00D63B31"/>
    <w:rsid w:val="00D63FD6"/>
    <w:rsid w:val="00D6403F"/>
    <w:rsid w:val="00D64093"/>
    <w:rsid w:val="00D6417B"/>
    <w:rsid w:val="00D6465C"/>
    <w:rsid w:val="00D64D84"/>
    <w:rsid w:val="00D651A9"/>
    <w:rsid w:val="00D65406"/>
    <w:rsid w:val="00D6596A"/>
    <w:rsid w:val="00D65A6E"/>
    <w:rsid w:val="00D65D23"/>
    <w:rsid w:val="00D6606D"/>
    <w:rsid w:val="00D667AD"/>
    <w:rsid w:val="00D66BE9"/>
    <w:rsid w:val="00D6723F"/>
    <w:rsid w:val="00D672F0"/>
    <w:rsid w:val="00D67590"/>
    <w:rsid w:val="00D67756"/>
    <w:rsid w:val="00D6786E"/>
    <w:rsid w:val="00D7035E"/>
    <w:rsid w:val="00D704CB"/>
    <w:rsid w:val="00D708D0"/>
    <w:rsid w:val="00D712B7"/>
    <w:rsid w:val="00D71401"/>
    <w:rsid w:val="00D716C7"/>
    <w:rsid w:val="00D71957"/>
    <w:rsid w:val="00D71990"/>
    <w:rsid w:val="00D71AE5"/>
    <w:rsid w:val="00D71CBC"/>
    <w:rsid w:val="00D71DCE"/>
    <w:rsid w:val="00D71E8D"/>
    <w:rsid w:val="00D72008"/>
    <w:rsid w:val="00D722C8"/>
    <w:rsid w:val="00D72ABD"/>
    <w:rsid w:val="00D72BED"/>
    <w:rsid w:val="00D72C2C"/>
    <w:rsid w:val="00D72FFC"/>
    <w:rsid w:val="00D73ED6"/>
    <w:rsid w:val="00D7411B"/>
    <w:rsid w:val="00D7418D"/>
    <w:rsid w:val="00D7442C"/>
    <w:rsid w:val="00D7446E"/>
    <w:rsid w:val="00D745E1"/>
    <w:rsid w:val="00D753EE"/>
    <w:rsid w:val="00D7572E"/>
    <w:rsid w:val="00D7589B"/>
    <w:rsid w:val="00D75A3B"/>
    <w:rsid w:val="00D75AC2"/>
    <w:rsid w:val="00D76116"/>
    <w:rsid w:val="00D770EB"/>
    <w:rsid w:val="00D77608"/>
    <w:rsid w:val="00D77D6B"/>
    <w:rsid w:val="00D804A5"/>
    <w:rsid w:val="00D8115A"/>
    <w:rsid w:val="00D811FB"/>
    <w:rsid w:val="00D81807"/>
    <w:rsid w:val="00D81D62"/>
    <w:rsid w:val="00D81D81"/>
    <w:rsid w:val="00D8240D"/>
    <w:rsid w:val="00D82486"/>
    <w:rsid w:val="00D82630"/>
    <w:rsid w:val="00D82818"/>
    <w:rsid w:val="00D82F5B"/>
    <w:rsid w:val="00D83148"/>
    <w:rsid w:val="00D834F4"/>
    <w:rsid w:val="00D83725"/>
    <w:rsid w:val="00D8398F"/>
    <w:rsid w:val="00D83E1A"/>
    <w:rsid w:val="00D83FF9"/>
    <w:rsid w:val="00D846E2"/>
    <w:rsid w:val="00D84CD4"/>
    <w:rsid w:val="00D84D60"/>
    <w:rsid w:val="00D850EF"/>
    <w:rsid w:val="00D853ED"/>
    <w:rsid w:val="00D85985"/>
    <w:rsid w:val="00D85B6C"/>
    <w:rsid w:val="00D85CC1"/>
    <w:rsid w:val="00D85E16"/>
    <w:rsid w:val="00D85EC5"/>
    <w:rsid w:val="00D86386"/>
    <w:rsid w:val="00D865F4"/>
    <w:rsid w:val="00D86654"/>
    <w:rsid w:val="00D86838"/>
    <w:rsid w:val="00D86AC9"/>
    <w:rsid w:val="00D86B09"/>
    <w:rsid w:val="00D87078"/>
    <w:rsid w:val="00D87088"/>
    <w:rsid w:val="00D87459"/>
    <w:rsid w:val="00D87581"/>
    <w:rsid w:val="00D8769A"/>
    <w:rsid w:val="00D87934"/>
    <w:rsid w:val="00D87AE7"/>
    <w:rsid w:val="00D90567"/>
    <w:rsid w:val="00D90577"/>
    <w:rsid w:val="00D907EF"/>
    <w:rsid w:val="00D90E57"/>
    <w:rsid w:val="00D90EAA"/>
    <w:rsid w:val="00D91189"/>
    <w:rsid w:val="00D917D4"/>
    <w:rsid w:val="00D925AA"/>
    <w:rsid w:val="00D92741"/>
    <w:rsid w:val="00D92813"/>
    <w:rsid w:val="00D92DB9"/>
    <w:rsid w:val="00D92F40"/>
    <w:rsid w:val="00D93325"/>
    <w:rsid w:val="00D9381C"/>
    <w:rsid w:val="00D93EC8"/>
    <w:rsid w:val="00D941F0"/>
    <w:rsid w:val="00D9472C"/>
    <w:rsid w:val="00D94C0B"/>
    <w:rsid w:val="00D95034"/>
    <w:rsid w:val="00D953F3"/>
    <w:rsid w:val="00D9568F"/>
    <w:rsid w:val="00D95ADE"/>
    <w:rsid w:val="00D95B78"/>
    <w:rsid w:val="00D96936"/>
    <w:rsid w:val="00D96B9A"/>
    <w:rsid w:val="00D96BF5"/>
    <w:rsid w:val="00D9723A"/>
    <w:rsid w:val="00D97394"/>
    <w:rsid w:val="00D9739D"/>
    <w:rsid w:val="00D973ED"/>
    <w:rsid w:val="00DA0016"/>
    <w:rsid w:val="00DA0707"/>
    <w:rsid w:val="00DA0796"/>
    <w:rsid w:val="00DA0938"/>
    <w:rsid w:val="00DA0A21"/>
    <w:rsid w:val="00DA0BCF"/>
    <w:rsid w:val="00DA0CC8"/>
    <w:rsid w:val="00DA1F03"/>
    <w:rsid w:val="00DA1F7D"/>
    <w:rsid w:val="00DA2488"/>
    <w:rsid w:val="00DA25D3"/>
    <w:rsid w:val="00DA2C85"/>
    <w:rsid w:val="00DA2CCF"/>
    <w:rsid w:val="00DA2F84"/>
    <w:rsid w:val="00DA32FC"/>
    <w:rsid w:val="00DA3495"/>
    <w:rsid w:val="00DA3C18"/>
    <w:rsid w:val="00DA3D5F"/>
    <w:rsid w:val="00DA3D63"/>
    <w:rsid w:val="00DA437F"/>
    <w:rsid w:val="00DA4490"/>
    <w:rsid w:val="00DA4A34"/>
    <w:rsid w:val="00DA4E94"/>
    <w:rsid w:val="00DA4F55"/>
    <w:rsid w:val="00DA543E"/>
    <w:rsid w:val="00DA568E"/>
    <w:rsid w:val="00DA5699"/>
    <w:rsid w:val="00DA59F8"/>
    <w:rsid w:val="00DA5A9D"/>
    <w:rsid w:val="00DA5AB6"/>
    <w:rsid w:val="00DA5B39"/>
    <w:rsid w:val="00DA5CDE"/>
    <w:rsid w:val="00DA5DD4"/>
    <w:rsid w:val="00DA624F"/>
    <w:rsid w:val="00DA653E"/>
    <w:rsid w:val="00DA6564"/>
    <w:rsid w:val="00DA6659"/>
    <w:rsid w:val="00DA6732"/>
    <w:rsid w:val="00DA69B3"/>
    <w:rsid w:val="00DA6A7F"/>
    <w:rsid w:val="00DA6C13"/>
    <w:rsid w:val="00DA6F9D"/>
    <w:rsid w:val="00DA7530"/>
    <w:rsid w:val="00DA7744"/>
    <w:rsid w:val="00DA7979"/>
    <w:rsid w:val="00DA7B8B"/>
    <w:rsid w:val="00DB015D"/>
    <w:rsid w:val="00DB0374"/>
    <w:rsid w:val="00DB0603"/>
    <w:rsid w:val="00DB0636"/>
    <w:rsid w:val="00DB065D"/>
    <w:rsid w:val="00DB0A6B"/>
    <w:rsid w:val="00DB0B04"/>
    <w:rsid w:val="00DB0C87"/>
    <w:rsid w:val="00DB141E"/>
    <w:rsid w:val="00DB1430"/>
    <w:rsid w:val="00DB150C"/>
    <w:rsid w:val="00DB1A3C"/>
    <w:rsid w:val="00DB1A74"/>
    <w:rsid w:val="00DB1AE7"/>
    <w:rsid w:val="00DB1E3C"/>
    <w:rsid w:val="00DB1EFA"/>
    <w:rsid w:val="00DB2098"/>
    <w:rsid w:val="00DB27AE"/>
    <w:rsid w:val="00DB28D2"/>
    <w:rsid w:val="00DB28E0"/>
    <w:rsid w:val="00DB2A5F"/>
    <w:rsid w:val="00DB2E06"/>
    <w:rsid w:val="00DB2F36"/>
    <w:rsid w:val="00DB2F95"/>
    <w:rsid w:val="00DB2FF0"/>
    <w:rsid w:val="00DB3512"/>
    <w:rsid w:val="00DB3608"/>
    <w:rsid w:val="00DB36AD"/>
    <w:rsid w:val="00DB389F"/>
    <w:rsid w:val="00DB3D89"/>
    <w:rsid w:val="00DB40D0"/>
    <w:rsid w:val="00DB42A2"/>
    <w:rsid w:val="00DB4585"/>
    <w:rsid w:val="00DB4D94"/>
    <w:rsid w:val="00DB4FA9"/>
    <w:rsid w:val="00DB52A4"/>
    <w:rsid w:val="00DB560F"/>
    <w:rsid w:val="00DB56D6"/>
    <w:rsid w:val="00DB575B"/>
    <w:rsid w:val="00DB5D72"/>
    <w:rsid w:val="00DB5F3B"/>
    <w:rsid w:val="00DB6019"/>
    <w:rsid w:val="00DB64E0"/>
    <w:rsid w:val="00DB66B6"/>
    <w:rsid w:val="00DB6E14"/>
    <w:rsid w:val="00DB7333"/>
    <w:rsid w:val="00DB7375"/>
    <w:rsid w:val="00DB78BD"/>
    <w:rsid w:val="00DB7A74"/>
    <w:rsid w:val="00DC049D"/>
    <w:rsid w:val="00DC05E7"/>
    <w:rsid w:val="00DC062B"/>
    <w:rsid w:val="00DC06F2"/>
    <w:rsid w:val="00DC0933"/>
    <w:rsid w:val="00DC0B3E"/>
    <w:rsid w:val="00DC0B94"/>
    <w:rsid w:val="00DC0BF1"/>
    <w:rsid w:val="00DC0BFE"/>
    <w:rsid w:val="00DC1726"/>
    <w:rsid w:val="00DC19AF"/>
    <w:rsid w:val="00DC21AA"/>
    <w:rsid w:val="00DC24BD"/>
    <w:rsid w:val="00DC2515"/>
    <w:rsid w:val="00DC2528"/>
    <w:rsid w:val="00DC26B4"/>
    <w:rsid w:val="00DC2B99"/>
    <w:rsid w:val="00DC2C01"/>
    <w:rsid w:val="00DC2EB9"/>
    <w:rsid w:val="00DC3235"/>
    <w:rsid w:val="00DC3519"/>
    <w:rsid w:val="00DC3571"/>
    <w:rsid w:val="00DC3A4C"/>
    <w:rsid w:val="00DC3A6B"/>
    <w:rsid w:val="00DC403D"/>
    <w:rsid w:val="00DC42E9"/>
    <w:rsid w:val="00DC4882"/>
    <w:rsid w:val="00DC4968"/>
    <w:rsid w:val="00DC4C28"/>
    <w:rsid w:val="00DC5248"/>
    <w:rsid w:val="00DC575B"/>
    <w:rsid w:val="00DC5AC6"/>
    <w:rsid w:val="00DC5CFA"/>
    <w:rsid w:val="00DC61A4"/>
    <w:rsid w:val="00DC641E"/>
    <w:rsid w:val="00DC6E95"/>
    <w:rsid w:val="00DD070A"/>
    <w:rsid w:val="00DD13F7"/>
    <w:rsid w:val="00DD156E"/>
    <w:rsid w:val="00DD1860"/>
    <w:rsid w:val="00DD1D6C"/>
    <w:rsid w:val="00DD1DD5"/>
    <w:rsid w:val="00DD2012"/>
    <w:rsid w:val="00DD20C1"/>
    <w:rsid w:val="00DD214C"/>
    <w:rsid w:val="00DD2340"/>
    <w:rsid w:val="00DD2A87"/>
    <w:rsid w:val="00DD31B4"/>
    <w:rsid w:val="00DD3D85"/>
    <w:rsid w:val="00DD3E54"/>
    <w:rsid w:val="00DD40DE"/>
    <w:rsid w:val="00DD42B7"/>
    <w:rsid w:val="00DD43B0"/>
    <w:rsid w:val="00DD4792"/>
    <w:rsid w:val="00DD4923"/>
    <w:rsid w:val="00DD4F20"/>
    <w:rsid w:val="00DD4FF2"/>
    <w:rsid w:val="00DD550A"/>
    <w:rsid w:val="00DD559B"/>
    <w:rsid w:val="00DD5809"/>
    <w:rsid w:val="00DD5E3C"/>
    <w:rsid w:val="00DD5FF5"/>
    <w:rsid w:val="00DD60ED"/>
    <w:rsid w:val="00DD68C6"/>
    <w:rsid w:val="00DD68D3"/>
    <w:rsid w:val="00DD693C"/>
    <w:rsid w:val="00DD6B36"/>
    <w:rsid w:val="00DD6C5D"/>
    <w:rsid w:val="00DD719C"/>
    <w:rsid w:val="00DD723B"/>
    <w:rsid w:val="00DD74EF"/>
    <w:rsid w:val="00DD79CD"/>
    <w:rsid w:val="00DD7E7E"/>
    <w:rsid w:val="00DD7EFA"/>
    <w:rsid w:val="00DE0309"/>
    <w:rsid w:val="00DE06B9"/>
    <w:rsid w:val="00DE0B15"/>
    <w:rsid w:val="00DE0BE8"/>
    <w:rsid w:val="00DE0CAD"/>
    <w:rsid w:val="00DE119E"/>
    <w:rsid w:val="00DE181C"/>
    <w:rsid w:val="00DE1956"/>
    <w:rsid w:val="00DE1AB4"/>
    <w:rsid w:val="00DE1BF2"/>
    <w:rsid w:val="00DE1C53"/>
    <w:rsid w:val="00DE1E29"/>
    <w:rsid w:val="00DE1EA2"/>
    <w:rsid w:val="00DE25FC"/>
    <w:rsid w:val="00DE27C1"/>
    <w:rsid w:val="00DE2CAE"/>
    <w:rsid w:val="00DE318B"/>
    <w:rsid w:val="00DE31B4"/>
    <w:rsid w:val="00DE3502"/>
    <w:rsid w:val="00DE3631"/>
    <w:rsid w:val="00DE36FE"/>
    <w:rsid w:val="00DE3878"/>
    <w:rsid w:val="00DE3A62"/>
    <w:rsid w:val="00DE3F88"/>
    <w:rsid w:val="00DE3FE7"/>
    <w:rsid w:val="00DE42B2"/>
    <w:rsid w:val="00DE4951"/>
    <w:rsid w:val="00DE4B0D"/>
    <w:rsid w:val="00DE507D"/>
    <w:rsid w:val="00DE52B6"/>
    <w:rsid w:val="00DE55DC"/>
    <w:rsid w:val="00DE59CF"/>
    <w:rsid w:val="00DE5F1C"/>
    <w:rsid w:val="00DE61BF"/>
    <w:rsid w:val="00DE61CD"/>
    <w:rsid w:val="00DE6278"/>
    <w:rsid w:val="00DE63F7"/>
    <w:rsid w:val="00DE77C9"/>
    <w:rsid w:val="00DE7A7B"/>
    <w:rsid w:val="00DF005E"/>
    <w:rsid w:val="00DF08E4"/>
    <w:rsid w:val="00DF09F9"/>
    <w:rsid w:val="00DF0CDD"/>
    <w:rsid w:val="00DF0D46"/>
    <w:rsid w:val="00DF1276"/>
    <w:rsid w:val="00DF1365"/>
    <w:rsid w:val="00DF16E7"/>
    <w:rsid w:val="00DF1DAB"/>
    <w:rsid w:val="00DF238A"/>
    <w:rsid w:val="00DF2492"/>
    <w:rsid w:val="00DF2B16"/>
    <w:rsid w:val="00DF2B9E"/>
    <w:rsid w:val="00DF2D10"/>
    <w:rsid w:val="00DF2E47"/>
    <w:rsid w:val="00DF4031"/>
    <w:rsid w:val="00DF4663"/>
    <w:rsid w:val="00DF48FB"/>
    <w:rsid w:val="00DF4B0E"/>
    <w:rsid w:val="00DF4CCD"/>
    <w:rsid w:val="00DF4F51"/>
    <w:rsid w:val="00DF623B"/>
    <w:rsid w:val="00DF64FD"/>
    <w:rsid w:val="00DF66D0"/>
    <w:rsid w:val="00DF6891"/>
    <w:rsid w:val="00DF6AE8"/>
    <w:rsid w:val="00DF6BD5"/>
    <w:rsid w:val="00DF6CE0"/>
    <w:rsid w:val="00DF6D3E"/>
    <w:rsid w:val="00DF7F13"/>
    <w:rsid w:val="00E001A2"/>
    <w:rsid w:val="00E00E90"/>
    <w:rsid w:val="00E01743"/>
    <w:rsid w:val="00E02440"/>
    <w:rsid w:val="00E024F1"/>
    <w:rsid w:val="00E02546"/>
    <w:rsid w:val="00E0298A"/>
    <w:rsid w:val="00E02BC7"/>
    <w:rsid w:val="00E02C0D"/>
    <w:rsid w:val="00E039CD"/>
    <w:rsid w:val="00E04144"/>
    <w:rsid w:val="00E049FD"/>
    <w:rsid w:val="00E04A57"/>
    <w:rsid w:val="00E04B43"/>
    <w:rsid w:val="00E04B65"/>
    <w:rsid w:val="00E04BE8"/>
    <w:rsid w:val="00E04D00"/>
    <w:rsid w:val="00E05181"/>
    <w:rsid w:val="00E051C2"/>
    <w:rsid w:val="00E057C8"/>
    <w:rsid w:val="00E059CF"/>
    <w:rsid w:val="00E05B05"/>
    <w:rsid w:val="00E0610B"/>
    <w:rsid w:val="00E06381"/>
    <w:rsid w:val="00E06C03"/>
    <w:rsid w:val="00E06C1E"/>
    <w:rsid w:val="00E06F19"/>
    <w:rsid w:val="00E0739C"/>
    <w:rsid w:val="00E075DC"/>
    <w:rsid w:val="00E0782E"/>
    <w:rsid w:val="00E07A4A"/>
    <w:rsid w:val="00E07D1C"/>
    <w:rsid w:val="00E07EA3"/>
    <w:rsid w:val="00E100E3"/>
    <w:rsid w:val="00E10167"/>
    <w:rsid w:val="00E10275"/>
    <w:rsid w:val="00E10378"/>
    <w:rsid w:val="00E10767"/>
    <w:rsid w:val="00E10A07"/>
    <w:rsid w:val="00E10B40"/>
    <w:rsid w:val="00E10F44"/>
    <w:rsid w:val="00E11007"/>
    <w:rsid w:val="00E11055"/>
    <w:rsid w:val="00E11222"/>
    <w:rsid w:val="00E112CB"/>
    <w:rsid w:val="00E112F7"/>
    <w:rsid w:val="00E11493"/>
    <w:rsid w:val="00E11985"/>
    <w:rsid w:val="00E11A33"/>
    <w:rsid w:val="00E12693"/>
    <w:rsid w:val="00E1271F"/>
    <w:rsid w:val="00E12805"/>
    <w:rsid w:val="00E1284A"/>
    <w:rsid w:val="00E12D38"/>
    <w:rsid w:val="00E1367C"/>
    <w:rsid w:val="00E13B2F"/>
    <w:rsid w:val="00E13E5F"/>
    <w:rsid w:val="00E14129"/>
    <w:rsid w:val="00E14276"/>
    <w:rsid w:val="00E14476"/>
    <w:rsid w:val="00E14794"/>
    <w:rsid w:val="00E1548C"/>
    <w:rsid w:val="00E15D1E"/>
    <w:rsid w:val="00E162F7"/>
    <w:rsid w:val="00E16378"/>
    <w:rsid w:val="00E165DE"/>
    <w:rsid w:val="00E16834"/>
    <w:rsid w:val="00E16CB1"/>
    <w:rsid w:val="00E16E79"/>
    <w:rsid w:val="00E16F0C"/>
    <w:rsid w:val="00E177C8"/>
    <w:rsid w:val="00E17B2C"/>
    <w:rsid w:val="00E17D49"/>
    <w:rsid w:val="00E17E48"/>
    <w:rsid w:val="00E2028F"/>
    <w:rsid w:val="00E203E6"/>
    <w:rsid w:val="00E20D8A"/>
    <w:rsid w:val="00E20DB9"/>
    <w:rsid w:val="00E20F69"/>
    <w:rsid w:val="00E20F86"/>
    <w:rsid w:val="00E21075"/>
    <w:rsid w:val="00E21587"/>
    <w:rsid w:val="00E218CA"/>
    <w:rsid w:val="00E21D34"/>
    <w:rsid w:val="00E2201B"/>
    <w:rsid w:val="00E220FF"/>
    <w:rsid w:val="00E22747"/>
    <w:rsid w:val="00E22900"/>
    <w:rsid w:val="00E23508"/>
    <w:rsid w:val="00E236C4"/>
    <w:rsid w:val="00E23B48"/>
    <w:rsid w:val="00E23CE9"/>
    <w:rsid w:val="00E244CE"/>
    <w:rsid w:val="00E24914"/>
    <w:rsid w:val="00E251CE"/>
    <w:rsid w:val="00E2537B"/>
    <w:rsid w:val="00E25382"/>
    <w:rsid w:val="00E2577C"/>
    <w:rsid w:val="00E25B48"/>
    <w:rsid w:val="00E25FAA"/>
    <w:rsid w:val="00E262C7"/>
    <w:rsid w:val="00E26540"/>
    <w:rsid w:val="00E2657A"/>
    <w:rsid w:val="00E26846"/>
    <w:rsid w:val="00E26ACE"/>
    <w:rsid w:val="00E26C7A"/>
    <w:rsid w:val="00E274CD"/>
    <w:rsid w:val="00E274E7"/>
    <w:rsid w:val="00E27753"/>
    <w:rsid w:val="00E27898"/>
    <w:rsid w:val="00E27A87"/>
    <w:rsid w:val="00E27BEB"/>
    <w:rsid w:val="00E3006A"/>
    <w:rsid w:val="00E302BB"/>
    <w:rsid w:val="00E30A98"/>
    <w:rsid w:val="00E30D7D"/>
    <w:rsid w:val="00E30E09"/>
    <w:rsid w:val="00E31330"/>
    <w:rsid w:val="00E31340"/>
    <w:rsid w:val="00E31A21"/>
    <w:rsid w:val="00E3287D"/>
    <w:rsid w:val="00E3349F"/>
    <w:rsid w:val="00E334FB"/>
    <w:rsid w:val="00E335BB"/>
    <w:rsid w:val="00E336F7"/>
    <w:rsid w:val="00E339AA"/>
    <w:rsid w:val="00E33E42"/>
    <w:rsid w:val="00E3413B"/>
    <w:rsid w:val="00E34515"/>
    <w:rsid w:val="00E3471B"/>
    <w:rsid w:val="00E34758"/>
    <w:rsid w:val="00E34C5B"/>
    <w:rsid w:val="00E34D0B"/>
    <w:rsid w:val="00E35D94"/>
    <w:rsid w:val="00E35F46"/>
    <w:rsid w:val="00E36446"/>
    <w:rsid w:val="00E36512"/>
    <w:rsid w:val="00E36967"/>
    <w:rsid w:val="00E371BB"/>
    <w:rsid w:val="00E37440"/>
    <w:rsid w:val="00E37594"/>
    <w:rsid w:val="00E37867"/>
    <w:rsid w:val="00E37F26"/>
    <w:rsid w:val="00E37F9A"/>
    <w:rsid w:val="00E4093D"/>
    <w:rsid w:val="00E40B44"/>
    <w:rsid w:val="00E40EFC"/>
    <w:rsid w:val="00E419ED"/>
    <w:rsid w:val="00E41B9C"/>
    <w:rsid w:val="00E41DE5"/>
    <w:rsid w:val="00E4299E"/>
    <w:rsid w:val="00E42D84"/>
    <w:rsid w:val="00E430D1"/>
    <w:rsid w:val="00E4411A"/>
    <w:rsid w:val="00E44544"/>
    <w:rsid w:val="00E44B83"/>
    <w:rsid w:val="00E44C27"/>
    <w:rsid w:val="00E44F0C"/>
    <w:rsid w:val="00E457E1"/>
    <w:rsid w:val="00E4592D"/>
    <w:rsid w:val="00E4595D"/>
    <w:rsid w:val="00E45C67"/>
    <w:rsid w:val="00E45C87"/>
    <w:rsid w:val="00E465EB"/>
    <w:rsid w:val="00E46687"/>
    <w:rsid w:val="00E4688F"/>
    <w:rsid w:val="00E468FC"/>
    <w:rsid w:val="00E46F12"/>
    <w:rsid w:val="00E472A9"/>
    <w:rsid w:val="00E477FD"/>
    <w:rsid w:val="00E47FDA"/>
    <w:rsid w:val="00E50557"/>
    <w:rsid w:val="00E50D12"/>
    <w:rsid w:val="00E513C9"/>
    <w:rsid w:val="00E51FB3"/>
    <w:rsid w:val="00E522AC"/>
    <w:rsid w:val="00E5232E"/>
    <w:rsid w:val="00E52F0C"/>
    <w:rsid w:val="00E53DA7"/>
    <w:rsid w:val="00E53FB1"/>
    <w:rsid w:val="00E5414A"/>
    <w:rsid w:val="00E5437F"/>
    <w:rsid w:val="00E54450"/>
    <w:rsid w:val="00E54658"/>
    <w:rsid w:val="00E548E2"/>
    <w:rsid w:val="00E54EB1"/>
    <w:rsid w:val="00E54FE9"/>
    <w:rsid w:val="00E550ED"/>
    <w:rsid w:val="00E5521E"/>
    <w:rsid w:val="00E55444"/>
    <w:rsid w:val="00E556F7"/>
    <w:rsid w:val="00E55C00"/>
    <w:rsid w:val="00E55D2D"/>
    <w:rsid w:val="00E56269"/>
    <w:rsid w:val="00E562B6"/>
    <w:rsid w:val="00E566F4"/>
    <w:rsid w:val="00E566FD"/>
    <w:rsid w:val="00E569C8"/>
    <w:rsid w:val="00E571E2"/>
    <w:rsid w:val="00E57389"/>
    <w:rsid w:val="00E576C6"/>
    <w:rsid w:val="00E57A7A"/>
    <w:rsid w:val="00E60461"/>
    <w:rsid w:val="00E60858"/>
    <w:rsid w:val="00E608E5"/>
    <w:rsid w:val="00E60A2D"/>
    <w:rsid w:val="00E60E79"/>
    <w:rsid w:val="00E615AB"/>
    <w:rsid w:val="00E618F4"/>
    <w:rsid w:val="00E61B0A"/>
    <w:rsid w:val="00E6222F"/>
    <w:rsid w:val="00E624F0"/>
    <w:rsid w:val="00E62690"/>
    <w:rsid w:val="00E6297F"/>
    <w:rsid w:val="00E62EF5"/>
    <w:rsid w:val="00E6323D"/>
    <w:rsid w:val="00E632C0"/>
    <w:rsid w:val="00E635C6"/>
    <w:rsid w:val="00E64032"/>
    <w:rsid w:val="00E640F3"/>
    <w:rsid w:val="00E64387"/>
    <w:rsid w:val="00E643E0"/>
    <w:rsid w:val="00E643ED"/>
    <w:rsid w:val="00E64588"/>
    <w:rsid w:val="00E64B33"/>
    <w:rsid w:val="00E64E3D"/>
    <w:rsid w:val="00E651A8"/>
    <w:rsid w:val="00E65343"/>
    <w:rsid w:val="00E655C5"/>
    <w:rsid w:val="00E6575C"/>
    <w:rsid w:val="00E65B5B"/>
    <w:rsid w:val="00E65C9F"/>
    <w:rsid w:val="00E65D2F"/>
    <w:rsid w:val="00E65D30"/>
    <w:rsid w:val="00E65DB0"/>
    <w:rsid w:val="00E66250"/>
    <w:rsid w:val="00E66270"/>
    <w:rsid w:val="00E66299"/>
    <w:rsid w:val="00E66673"/>
    <w:rsid w:val="00E66C6A"/>
    <w:rsid w:val="00E66F26"/>
    <w:rsid w:val="00E6711F"/>
    <w:rsid w:val="00E67570"/>
    <w:rsid w:val="00E678C9"/>
    <w:rsid w:val="00E67B35"/>
    <w:rsid w:val="00E67D6B"/>
    <w:rsid w:val="00E67F3A"/>
    <w:rsid w:val="00E70484"/>
    <w:rsid w:val="00E7091E"/>
    <w:rsid w:val="00E70D64"/>
    <w:rsid w:val="00E70F24"/>
    <w:rsid w:val="00E70F4A"/>
    <w:rsid w:val="00E710F5"/>
    <w:rsid w:val="00E71131"/>
    <w:rsid w:val="00E714FD"/>
    <w:rsid w:val="00E718E0"/>
    <w:rsid w:val="00E71EAA"/>
    <w:rsid w:val="00E71F35"/>
    <w:rsid w:val="00E7206B"/>
    <w:rsid w:val="00E7277E"/>
    <w:rsid w:val="00E728C4"/>
    <w:rsid w:val="00E730A9"/>
    <w:rsid w:val="00E7398E"/>
    <w:rsid w:val="00E73DEA"/>
    <w:rsid w:val="00E75042"/>
    <w:rsid w:val="00E75283"/>
    <w:rsid w:val="00E7531A"/>
    <w:rsid w:val="00E75909"/>
    <w:rsid w:val="00E75E82"/>
    <w:rsid w:val="00E7631F"/>
    <w:rsid w:val="00E76555"/>
    <w:rsid w:val="00E8039D"/>
    <w:rsid w:val="00E8061F"/>
    <w:rsid w:val="00E80771"/>
    <w:rsid w:val="00E80999"/>
    <w:rsid w:val="00E8149C"/>
    <w:rsid w:val="00E8161D"/>
    <w:rsid w:val="00E819AA"/>
    <w:rsid w:val="00E81E18"/>
    <w:rsid w:val="00E8209D"/>
    <w:rsid w:val="00E8227B"/>
    <w:rsid w:val="00E82AC0"/>
    <w:rsid w:val="00E82D70"/>
    <w:rsid w:val="00E838B4"/>
    <w:rsid w:val="00E83A6F"/>
    <w:rsid w:val="00E83B39"/>
    <w:rsid w:val="00E83EB0"/>
    <w:rsid w:val="00E83EB7"/>
    <w:rsid w:val="00E83F0B"/>
    <w:rsid w:val="00E8408B"/>
    <w:rsid w:val="00E84544"/>
    <w:rsid w:val="00E84F68"/>
    <w:rsid w:val="00E850F6"/>
    <w:rsid w:val="00E85290"/>
    <w:rsid w:val="00E852BF"/>
    <w:rsid w:val="00E857BF"/>
    <w:rsid w:val="00E8595B"/>
    <w:rsid w:val="00E863A9"/>
    <w:rsid w:val="00E8641B"/>
    <w:rsid w:val="00E86C32"/>
    <w:rsid w:val="00E86E9C"/>
    <w:rsid w:val="00E86EA3"/>
    <w:rsid w:val="00E87078"/>
    <w:rsid w:val="00E87356"/>
    <w:rsid w:val="00E8751A"/>
    <w:rsid w:val="00E875E6"/>
    <w:rsid w:val="00E87794"/>
    <w:rsid w:val="00E8782F"/>
    <w:rsid w:val="00E8790F"/>
    <w:rsid w:val="00E87D4D"/>
    <w:rsid w:val="00E87E38"/>
    <w:rsid w:val="00E87F5A"/>
    <w:rsid w:val="00E87FAE"/>
    <w:rsid w:val="00E90115"/>
    <w:rsid w:val="00E90234"/>
    <w:rsid w:val="00E903D2"/>
    <w:rsid w:val="00E90730"/>
    <w:rsid w:val="00E9079B"/>
    <w:rsid w:val="00E90F11"/>
    <w:rsid w:val="00E90F52"/>
    <w:rsid w:val="00E911FB"/>
    <w:rsid w:val="00E91D83"/>
    <w:rsid w:val="00E91F1F"/>
    <w:rsid w:val="00E92409"/>
    <w:rsid w:val="00E9260B"/>
    <w:rsid w:val="00E928A7"/>
    <w:rsid w:val="00E92933"/>
    <w:rsid w:val="00E92FB4"/>
    <w:rsid w:val="00E93114"/>
    <w:rsid w:val="00E93483"/>
    <w:rsid w:val="00E9353C"/>
    <w:rsid w:val="00E93604"/>
    <w:rsid w:val="00E936F5"/>
    <w:rsid w:val="00E93B79"/>
    <w:rsid w:val="00E93D8F"/>
    <w:rsid w:val="00E93FA0"/>
    <w:rsid w:val="00E9418D"/>
    <w:rsid w:val="00E941DB"/>
    <w:rsid w:val="00E9433E"/>
    <w:rsid w:val="00E946C3"/>
    <w:rsid w:val="00E948A9"/>
    <w:rsid w:val="00E948C6"/>
    <w:rsid w:val="00E9492F"/>
    <w:rsid w:val="00E94CD3"/>
    <w:rsid w:val="00E95317"/>
    <w:rsid w:val="00E956A1"/>
    <w:rsid w:val="00E95A5F"/>
    <w:rsid w:val="00E96569"/>
    <w:rsid w:val="00E96925"/>
    <w:rsid w:val="00E9722C"/>
    <w:rsid w:val="00E97D54"/>
    <w:rsid w:val="00E97D7B"/>
    <w:rsid w:val="00EA0208"/>
    <w:rsid w:val="00EA038B"/>
    <w:rsid w:val="00EA078D"/>
    <w:rsid w:val="00EA0A6D"/>
    <w:rsid w:val="00EA0E22"/>
    <w:rsid w:val="00EA0EB1"/>
    <w:rsid w:val="00EA1973"/>
    <w:rsid w:val="00EA19C4"/>
    <w:rsid w:val="00EA1F23"/>
    <w:rsid w:val="00EA1FEA"/>
    <w:rsid w:val="00EA285A"/>
    <w:rsid w:val="00EA29FD"/>
    <w:rsid w:val="00EA2A08"/>
    <w:rsid w:val="00EA3113"/>
    <w:rsid w:val="00EA32F2"/>
    <w:rsid w:val="00EA33E0"/>
    <w:rsid w:val="00EA37F3"/>
    <w:rsid w:val="00EA3960"/>
    <w:rsid w:val="00EA3A5A"/>
    <w:rsid w:val="00EA4147"/>
    <w:rsid w:val="00EA4226"/>
    <w:rsid w:val="00EA4456"/>
    <w:rsid w:val="00EA473A"/>
    <w:rsid w:val="00EA4ADC"/>
    <w:rsid w:val="00EA4B61"/>
    <w:rsid w:val="00EA4C34"/>
    <w:rsid w:val="00EA4C4B"/>
    <w:rsid w:val="00EA501B"/>
    <w:rsid w:val="00EA52C7"/>
    <w:rsid w:val="00EA5412"/>
    <w:rsid w:val="00EA5953"/>
    <w:rsid w:val="00EA6301"/>
    <w:rsid w:val="00EA6A98"/>
    <w:rsid w:val="00EA7299"/>
    <w:rsid w:val="00EA7679"/>
    <w:rsid w:val="00EA7974"/>
    <w:rsid w:val="00EA7A14"/>
    <w:rsid w:val="00EA7C3E"/>
    <w:rsid w:val="00EB0334"/>
    <w:rsid w:val="00EB0DD6"/>
    <w:rsid w:val="00EB11A6"/>
    <w:rsid w:val="00EB17B6"/>
    <w:rsid w:val="00EB1912"/>
    <w:rsid w:val="00EB19ED"/>
    <w:rsid w:val="00EB1ACE"/>
    <w:rsid w:val="00EB1EED"/>
    <w:rsid w:val="00EB20F5"/>
    <w:rsid w:val="00EB24B5"/>
    <w:rsid w:val="00EB24C5"/>
    <w:rsid w:val="00EB2710"/>
    <w:rsid w:val="00EB28EE"/>
    <w:rsid w:val="00EB2C46"/>
    <w:rsid w:val="00EB3523"/>
    <w:rsid w:val="00EB3C36"/>
    <w:rsid w:val="00EB3DC9"/>
    <w:rsid w:val="00EB3DF8"/>
    <w:rsid w:val="00EB40A6"/>
    <w:rsid w:val="00EB4139"/>
    <w:rsid w:val="00EB448B"/>
    <w:rsid w:val="00EB4510"/>
    <w:rsid w:val="00EB49C6"/>
    <w:rsid w:val="00EB4CBE"/>
    <w:rsid w:val="00EB5536"/>
    <w:rsid w:val="00EB5972"/>
    <w:rsid w:val="00EB5D4C"/>
    <w:rsid w:val="00EB716F"/>
    <w:rsid w:val="00EB7440"/>
    <w:rsid w:val="00EC013C"/>
    <w:rsid w:val="00EC0414"/>
    <w:rsid w:val="00EC07CA"/>
    <w:rsid w:val="00EC08D3"/>
    <w:rsid w:val="00EC0D8A"/>
    <w:rsid w:val="00EC128D"/>
    <w:rsid w:val="00EC187C"/>
    <w:rsid w:val="00EC1F2F"/>
    <w:rsid w:val="00EC206D"/>
    <w:rsid w:val="00EC226E"/>
    <w:rsid w:val="00EC22D6"/>
    <w:rsid w:val="00EC294E"/>
    <w:rsid w:val="00EC29EB"/>
    <w:rsid w:val="00EC2E8C"/>
    <w:rsid w:val="00EC3069"/>
    <w:rsid w:val="00EC30C7"/>
    <w:rsid w:val="00EC3479"/>
    <w:rsid w:val="00EC36AC"/>
    <w:rsid w:val="00EC37E2"/>
    <w:rsid w:val="00EC3E6E"/>
    <w:rsid w:val="00EC4168"/>
    <w:rsid w:val="00EC4212"/>
    <w:rsid w:val="00EC43C5"/>
    <w:rsid w:val="00EC4986"/>
    <w:rsid w:val="00EC4DEB"/>
    <w:rsid w:val="00EC4F0E"/>
    <w:rsid w:val="00EC4F17"/>
    <w:rsid w:val="00EC50EA"/>
    <w:rsid w:val="00EC5825"/>
    <w:rsid w:val="00EC6AEA"/>
    <w:rsid w:val="00EC6C54"/>
    <w:rsid w:val="00EC6D84"/>
    <w:rsid w:val="00EC729E"/>
    <w:rsid w:val="00EC72E4"/>
    <w:rsid w:val="00EC7A84"/>
    <w:rsid w:val="00EC7BCA"/>
    <w:rsid w:val="00ED0128"/>
    <w:rsid w:val="00ED0160"/>
    <w:rsid w:val="00ED03AF"/>
    <w:rsid w:val="00ED03BB"/>
    <w:rsid w:val="00ED03C2"/>
    <w:rsid w:val="00ED05B8"/>
    <w:rsid w:val="00ED06D7"/>
    <w:rsid w:val="00ED13A5"/>
    <w:rsid w:val="00ED13AC"/>
    <w:rsid w:val="00ED1571"/>
    <w:rsid w:val="00ED189A"/>
    <w:rsid w:val="00ED18CA"/>
    <w:rsid w:val="00ED1C06"/>
    <w:rsid w:val="00ED1D82"/>
    <w:rsid w:val="00ED1D86"/>
    <w:rsid w:val="00ED1F40"/>
    <w:rsid w:val="00ED21F8"/>
    <w:rsid w:val="00ED22FB"/>
    <w:rsid w:val="00ED2BFA"/>
    <w:rsid w:val="00ED2CE9"/>
    <w:rsid w:val="00ED2EDD"/>
    <w:rsid w:val="00ED2FDA"/>
    <w:rsid w:val="00ED3115"/>
    <w:rsid w:val="00ED3AD9"/>
    <w:rsid w:val="00ED3C21"/>
    <w:rsid w:val="00ED3DF5"/>
    <w:rsid w:val="00ED3EDA"/>
    <w:rsid w:val="00ED3F30"/>
    <w:rsid w:val="00ED4051"/>
    <w:rsid w:val="00ED4206"/>
    <w:rsid w:val="00ED447C"/>
    <w:rsid w:val="00ED47C8"/>
    <w:rsid w:val="00ED5540"/>
    <w:rsid w:val="00ED5C2C"/>
    <w:rsid w:val="00ED5CFC"/>
    <w:rsid w:val="00ED5FB4"/>
    <w:rsid w:val="00ED62A9"/>
    <w:rsid w:val="00ED68FD"/>
    <w:rsid w:val="00ED6957"/>
    <w:rsid w:val="00ED69E3"/>
    <w:rsid w:val="00ED6BEF"/>
    <w:rsid w:val="00ED70AD"/>
    <w:rsid w:val="00ED7518"/>
    <w:rsid w:val="00ED7562"/>
    <w:rsid w:val="00ED7FC9"/>
    <w:rsid w:val="00EE0173"/>
    <w:rsid w:val="00EE02C7"/>
    <w:rsid w:val="00EE04F9"/>
    <w:rsid w:val="00EE051F"/>
    <w:rsid w:val="00EE0B5D"/>
    <w:rsid w:val="00EE0C88"/>
    <w:rsid w:val="00EE0CAA"/>
    <w:rsid w:val="00EE1096"/>
    <w:rsid w:val="00EE147B"/>
    <w:rsid w:val="00EE14D8"/>
    <w:rsid w:val="00EE193D"/>
    <w:rsid w:val="00EE1995"/>
    <w:rsid w:val="00EE19DE"/>
    <w:rsid w:val="00EE1CCD"/>
    <w:rsid w:val="00EE20F3"/>
    <w:rsid w:val="00EE21E5"/>
    <w:rsid w:val="00EE2597"/>
    <w:rsid w:val="00EE26FC"/>
    <w:rsid w:val="00EE2A92"/>
    <w:rsid w:val="00EE2C4F"/>
    <w:rsid w:val="00EE36C1"/>
    <w:rsid w:val="00EE38A0"/>
    <w:rsid w:val="00EE3FFD"/>
    <w:rsid w:val="00EE4344"/>
    <w:rsid w:val="00EE4405"/>
    <w:rsid w:val="00EE493E"/>
    <w:rsid w:val="00EE4CFF"/>
    <w:rsid w:val="00EE4F79"/>
    <w:rsid w:val="00EE509E"/>
    <w:rsid w:val="00EE5424"/>
    <w:rsid w:val="00EE5652"/>
    <w:rsid w:val="00EE5A01"/>
    <w:rsid w:val="00EE5FBB"/>
    <w:rsid w:val="00EE6122"/>
    <w:rsid w:val="00EE63FD"/>
    <w:rsid w:val="00EE6461"/>
    <w:rsid w:val="00EE66BA"/>
    <w:rsid w:val="00EE6CCA"/>
    <w:rsid w:val="00EE6DC1"/>
    <w:rsid w:val="00EE78AC"/>
    <w:rsid w:val="00EE7F14"/>
    <w:rsid w:val="00EF0138"/>
    <w:rsid w:val="00EF0198"/>
    <w:rsid w:val="00EF06F4"/>
    <w:rsid w:val="00EF0DAF"/>
    <w:rsid w:val="00EF0E69"/>
    <w:rsid w:val="00EF0F7B"/>
    <w:rsid w:val="00EF10F4"/>
    <w:rsid w:val="00EF1227"/>
    <w:rsid w:val="00EF14BD"/>
    <w:rsid w:val="00EF150F"/>
    <w:rsid w:val="00EF1B22"/>
    <w:rsid w:val="00EF1D66"/>
    <w:rsid w:val="00EF1F43"/>
    <w:rsid w:val="00EF23C1"/>
    <w:rsid w:val="00EF2822"/>
    <w:rsid w:val="00EF2CDE"/>
    <w:rsid w:val="00EF30A8"/>
    <w:rsid w:val="00EF31B0"/>
    <w:rsid w:val="00EF35AA"/>
    <w:rsid w:val="00EF35BB"/>
    <w:rsid w:val="00EF3974"/>
    <w:rsid w:val="00EF39AB"/>
    <w:rsid w:val="00EF3D8B"/>
    <w:rsid w:val="00EF425B"/>
    <w:rsid w:val="00EF4427"/>
    <w:rsid w:val="00EF47F3"/>
    <w:rsid w:val="00EF4AE3"/>
    <w:rsid w:val="00EF4C02"/>
    <w:rsid w:val="00EF5281"/>
    <w:rsid w:val="00EF538E"/>
    <w:rsid w:val="00EF5640"/>
    <w:rsid w:val="00EF6B09"/>
    <w:rsid w:val="00EF6F96"/>
    <w:rsid w:val="00EF7318"/>
    <w:rsid w:val="00EF7344"/>
    <w:rsid w:val="00EF7472"/>
    <w:rsid w:val="00EF74FB"/>
    <w:rsid w:val="00EF7642"/>
    <w:rsid w:val="00EF7691"/>
    <w:rsid w:val="00EF7D74"/>
    <w:rsid w:val="00EF7F59"/>
    <w:rsid w:val="00F0028F"/>
    <w:rsid w:val="00F00A7F"/>
    <w:rsid w:val="00F00AEE"/>
    <w:rsid w:val="00F00B55"/>
    <w:rsid w:val="00F00D63"/>
    <w:rsid w:val="00F00FFE"/>
    <w:rsid w:val="00F0119E"/>
    <w:rsid w:val="00F0181F"/>
    <w:rsid w:val="00F0183B"/>
    <w:rsid w:val="00F019AD"/>
    <w:rsid w:val="00F019E6"/>
    <w:rsid w:val="00F01C9D"/>
    <w:rsid w:val="00F01D8C"/>
    <w:rsid w:val="00F01E12"/>
    <w:rsid w:val="00F01E81"/>
    <w:rsid w:val="00F01FA3"/>
    <w:rsid w:val="00F01FB5"/>
    <w:rsid w:val="00F020AB"/>
    <w:rsid w:val="00F023AC"/>
    <w:rsid w:val="00F0264D"/>
    <w:rsid w:val="00F027C1"/>
    <w:rsid w:val="00F02841"/>
    <w:rsid w:val="00F02D08"/>
    <w:rsid w:val="00F030F9"/>
    <w:rsid w:val="00F03153"/>
    <w:rsid w:val="00F03C93"/>
    <w:rsid w:val="00F03CC3"/>
    <w:rsid w:val="00F03DC2"/>
    <w:rsid w:val="00F04078"/>
    <w:rsid w:val="00F0414F"/>
    <w:rsid w:val="00F042D3"/>
    <w:rsid w:val="00F04BDF"/>
    <w:rsid w:val="00F04D1E"/>
    <w:rsid w:val="00F04E57"/>
    <w:rsid w:val="00F0537E"/>
    <w:rsid w:val="00F064D2"/>
    <w:rsid w:val="00F06AB6"/>
    <w:rsid w:val="00F06BDE"/>
    <w:rsid w:val="00F06CAB"/>
    <w:rsid w:val="00F06E54"/>
    <w:rsid w:val="00F0748C"/>
    <w:rsid w:val="00F07524"/>
    <w:rsid w:val="00F075C0"/>
    <w:rsid w:val="00F07C9D"/>
    <w:rsid w:val="00F07D2B"/>
    <w:rsid w:val="00F07E68"/>
    <w:rsid w:val="00F100BC"/>
    <w:rsid w:val="00F106A9"/>
    <w:rsid w:val="00F106C8"/>
    <w:rsid w:val="00F10920"/>
    <w:rsid w:val="00F10E82"/>
    <w:rsid w:val="00F11149"/>
    <w:rsid w:val="00F112C3"/>
    <w:rsid w:val="00F1163A"/>
    <w:rsid w:val="00F11AE3"/>
    <w:rsid w:val="00F11F2F"/>
    <w:rsid w:val="00F12140"/>
    <w:rsid w:val="00F12230"/>
    <w:rsid w:val="00F1230E"/>
    <w:rsid w:val="00F125A4"/>
    <w:rsid w:val="00F1276E"/>
    <w:rsid w:val="00F12BB5"/>
    <w:rsid w:val="00F130A4"/>
    <w:rsid w:val="00F13892"/>
    <w:rsid w:val="00F1391E"/>
    <w:rsid w:val="00F13974"/>
    <w:rsid w:val="00F13A99"/>
    <w:rsid w:val="00F13C84"/>
    <w:rsid w:val="00F1409C"/>
    <w:rsid w:val="00F14B8E"/>
    <w:rsid w:val="00F14EA5"/>
    <w:rsid w:val="00F1524D"/>
    <w:rsid w:val="00F1536A"/>
    <w:rsid w:val="00F157A8"/>
    <w:rsid w:val="00F15D91"/>
    <w:rsid w:val="00F15DBF"/>
    <w:rsid w:val="00F15FE0"/>
    <w:rsid w:val="00F16231"/>
    <w:rsid w:val="00F1657E"/>
    <w:rsid w:val="00F16740"/>
    <w:rsid w:val="00F16CBC"/>
    <w:rsid w:val="00F16D77"/>
    <w:rsid w:val="00F16DE5"/>
    <w:rsid w:val="00F17792"/>
    <w:rsid w:val="00F17A93"/>
    <w:rsid w:val="00F17C67"/>
    <w:rsid w:val="00F17CD8"/>
    <w:rsid w:val="00F17D87"/>
    <w:rsid w:val="00F17F85"/>
    <w:rsid w:val="00F202D1"/>
    <w:rsid w:val="00F206CC"/>
    <w:rsid w:val="00F20760"/>
    <w:rsid w:val="00F20860"/>
    <w:rsid w:val="00F20C1B"/>
    <w:rsid w:val="00F210EB"/>
    <w:rsid w:val="00F21177"/>
    <w:rsid w:val="00F212BB"/>
    <w:rsid w:val="00F21484"/>
    <w:rsid w:val="00F21667"/>
    <w:rsid w:val="00F216BA"/>
    <w:rsid w:val="00F217AF"/>
    <w:rsid w:val="00F21ABB"/>
    <w:rsid w:val="00F21E70"/>
    <w:rsid w:val="00F2220C"/>
    <w:rsid w:val="00F22620"/>
    <w:rsid w:val="00F22B3F"/>
    <w:rsid w:val="00F22CE2"/>
    <w:rsid w:val="00F22E91"/>
    <w:rsid w:val="00F22FF3"/>
    <w:rsid w:val="00F23305"/>
    <w:rsid w:val="00F233F5"/>
    <w:rsid w:val="00F2376B"/>
    <w:rsid w:val="00F23CC0"/>
    <w:rsid w:val="00F23EA2"/>
    <w:rsid w:val="00F24388"/>
    <w:rsid w:val="00F247A1"/>
    <w:rsid w:val="00F2482F"/>
    <w:rsid w:val="00F24A0B"/>
    <w:rsid w:val="00F2541D"/>
    <w:rsid w:val="00F256F0"/>
    <w:rsid w:val="00F25AAA"/>
    <w:rsid w:val="00F25C04"/>
    <w:rsid w:val="00F25EFD"/>
    <w:rsid w:val="00F26DE6"/>
    <w:rsid w:val="00F27562"/>
    <w:rsid w:val="00F27760"/>
    <w:rsid w:val="00F27936"/>
    <w:rsid w:val="00F27AAA"/>
    <w:rsid w:val="00F27F36"/>
    <w:rsid w:val="00F30339"/>
    <w:rsid w:val="00F316E4"/>
    <w:rsid w:val="00F31925"/>
    <w:rsid w:val="00F319A1"/>
    <w:rsid w:val="00F319F1"/>
    <w:rsid w:val="00F31D39"/>
    <w:rsid w:val="00F31E1D"/>
    <w:rsid w:val="00F3214C"/>
    <w:rsid w:val="00F32C88"/>
    <w:rsid w:val="00F32DBB"/>
    <w:rsid w:val="00F32DDE"/>
    <w:rsid w:val="00F32ED0"/>
    <w:rsid w:val="00F32F2B"/>
    <w:rsid w:val="00F332B9"/>
    <w:rsid w:val="00F33631"/>
    <w:rsid w:val="00F336CC"/>
    <w:rsid w:val="00F3380E"/>
    <w:rsid w:val="00F3388E"/>
    <w:rsid w:val="00F33DBB"/>
    <w:rsid w:val="00F3489D"/>
    <w:rsid w:val="00F34A74"/>
    <w:rsid w:val="00F34A97"/>
    <w:rsid w:val="00F34AA3"/>
    <w:rsid w:val="00F34AE7"/>
    <w:rsid w:val="00F34DCB"/>
    <w:rsid w:val="00F356E9"/>
    <w:rsid w:val="00F35810"/>
    <w:rsid w:val="00F365AE"/>
    <w:rsid w:val="00F366DE"/>
    <w:rsid w:val="00F3672B"/>
    <w:rsid w:val="00F367C4"/>
    <w:rsid w:val="00F36837"/>
    <w:rsid w:val="00F368BE"/>
    <w:rsid w:val="00F36A64"/>
    <w:rsid w:val="00F36AC1"/>
    <w:rsid w:val="00F36CF8"/>
    <w:rsid w:val="00F3739B"/>
    <w:rsid w:val="00F3751E"/>
    <w:rsid w:val="00F3764A"/>
    <w:rsid w:val="00F37F59"/>
    <w:rsid w:val="00F40526"/>
    <w:rsid w:val="00F40615"/>
    <w:rsid w:val="00F4086A"/>
    <w:rsid w:val="00F40A02"/>
    <w:rsid w:val="00F40C9E"/>
    <w:rsid w:val="00F40EEA"/>
    <w:rsid w:val="00F40F57"/>
    <w:rsid w:val="00F410D0"/>
    <w:rsid w:val="00F41780"/>
    <w:rsid w:val="00F42111"/>
    <w:rsid w:val="00F4278D"/>
    <w:rsid w:val="00F437B5"/>
    <w:rsid w:val="00F43902"/>
    <w:rsid w:val="00F43A2F"/>
    <w:rsid w:val="00F43EA2"/>
    <w:rsid w:val="00F43EF0"/>
    <w:rsid w:val="00F44032"/>
    <w:rsid w:val="00F440A9"/>
    <w:rsid w:val="00F441A1"/>
    <w:rsid w:val="00F445AE"/>
    <w:rsid w:val="00F44A3F"/>
    <w:rsid w:val="00F44A6F"/>
    <w:rsid w:val="00F44CD8"/>
    <w:rsid w:val="00F44EF0"/>
    <w:rsid w:val="00F452CC"/>
    <w:rsid w:val="00F453E6"/>
    <w:rsid w:val="00F455B6"/>
    <w:rsid w:val="00F45B67"/>
    <w:rsid w:val="00F45E63"/>
    <w:rsid w:val="00F45F6F"/>
    <w:rsid w:val="00F465C4"/>
    <w:rsid w:val="00F46752"/>
    <w:rsid w:val="00F46FC5"/>
    <w:rsid w:val="00F477D3"/>
    <w:rsid w:val="00F47971"/>
    <w:rsid w:val="00F47C1E"/>
    <w:rsid w:val="00F47EA4"/>
    <w:rsid w:val="00F50042"/>
    <w:rsid w:val="00F50461"/>
    <w:rsid w:val="00F50D0C"/>
    <w:rsid w:val="00F51372"/>
    <w:rsid w:val="00F514A3"/>
    <w:rsid w:val="00F51B41"/>
    <w:rsid w:val="00F51C77"/>
    <w:rsid w:val="00F51D8E"/>
    <w:rsid w:val="00F52E41"/>
    <w:rsid w:val="00F5300D"/>
    <w:rsid w:val="00F53042"/>
    <w:rsid w:val="00F53188"/>
    <w:rsid w:val="00F533BE"/>
    <w:rsid w:val="00F53424"/>
    <w:rsid w:val="00F5352D"/>
    <w:rsid w:val="00F53CD4"/>
    <w:rsid w:val="00F53D8C"/>
    <w:rsid w:val="00F53E65"/>
    <w:rsid w:val="00F53FED"/>
    <w:rsid w:val="00F54136"/>
    <w:rsid w:val="00F545D5"/>
    <w:rsid w:val="00F5477F"/>
    <w:rsid w:val="00F54BD8"/>
    <w:rsid w:val="00F55513"/>
    <w:rsid w:val="00F556DB"/>
    <w:rsid w:val="00F55D12"/>
    <w:rsid w:val="00F560FD"/>
    <w:rsid w:val="00F5645B"/>
    <w:rsid w:val="00F564E7"/>
    <w:rsid w:val="00F5672A"/>
    <w:rsid w:val="00F568A1"/>
    <w:rsid w:val="00F56946"/>
    <w:rsid w:val="00F56BF1"/>
    <w:rsid w:val="00F56F38"/>
    <w:rsid w:val="00F57296"/>
    <w:rsid w:val="00F5792B"/>
    <w:rsid w:val="00F579B4"/>
    <w:rsid w:val="00F57FCC"/>
    <w:rsid w:val="00F60CD6"/>
    <w:rsid w:val="00F60F21"/>
    <w:rsid w:val="00F61411"/>
    <w:rsid w:val="00F616C1"/>
    <w:rsid w:val="00F61928"/>
    <w:rsid w:val="00F61C01"/>
    <w:rsid w:val="00F622A1"/>
    <w:rsid w:val="00F622DF"/>
    <w:rsid w:val="00F62432"/>
    <w:rsid w:val="00F6275A"/>
    <w:rsid w:val="00F6299C"/>
    <w:rsid w:val="00F62CED"/>
    <w:rsid w:val="00F6324B"/>
    <w:rsid w:val="00F63BC6"/>
    <w:rsid w:val="00F64138"/>
    <w:rsid w:val="00F6478D"/>
    <w:rsid w:val="00F64D5E"/>
    <w:rsid w:val="00F64DDC"/>
    <w:rsid w:val="00F6503F"/>
    <w:rsid w:val="00F652C7"/>
    <w:rsid w:val="00F65597"/>
    <w:rsid w:val="00F657AC"/>
    <w:rsid w:val="00F65BAF"/>
    <w:rsid w:val="00F65C9B"/>
    <w:rsid w:val="00F6619E"/>
    <w:rsid w:val="00F665CB"/>
    <w:rsid w:val="00F66979"/>
    <w:rsid w:val="00F66A85"/>
    <w:rsid w:val="00F66B64"/>
    <w:rsid w:val="00F66F21"/>
    <w:rsid w:val="00F67997"/>
    <w:rsid w:val="00F7007F"/>
    <w:rsid w:val="00F70155"/>
    <w:rsid w:val="00F70AB5"/>
    <w:rsid w:val="00F70CCC"/>
    <w:rsid w:val="00F70D17"/>
    <w:rsid w:val="00F70DE2"/>
    <w:rsid w:val="00F71216"/>
    <w:rsid w:val="00F713FC"/>
    <w:rsid w:val="00F71487"/>
    <w:rsid w:val="00F718C5"/>
    <w:rsid w:val="00F71A60"/>
    <w:rsid w:val="00F71AEF"/>
    <w:rsid w:val="00F71D61"/>
    <w:rsid w:val="00F71F44"/>
    <w:rsid w:val="00F72021"/>
    <w:rsid w:val="00F72534"/>
    <w:rsid w:val="00F72CF3"/>
    <w:rsid w:val="00F72D2D"/>
    <w:rsid w:val="00F73355"/>
    <w:rsid w:val="00F73669"/>
    <w:rsid w:val="00F737C4"/>
    <w:rsid w:val="00F73E3D"/>
    <w:rsid w:val="00F73EFB"/>
    <w:rsid w:val="00F7404D"/>
    <w:rsid w:val="00F7406C"/>
    <w:rsid w:val="00F740D2"/>
    <w:rsid w:val="00F7425C"/>
    <w:rsid w:val="00F74305"/>
    <w:rsid w:val="00F74577"/>
    <w:rsid w:val="00F74DD2"/>
    <w:rsid w:val="00F75052"/>
    <w:rsid w:val="00F7544E"/>
    <w:rsid w:val="00F7558B"/>
    <w:rsid w:val="00F75BD8"/>
    <w:rsid w:val="00F76319"/>
    <w:rsid w:val="00F764DE"/>
    <w:rsid w:val="00F7684E"/>
    <w:rsid w:val="00F77188"/>
    <w:rsid w:val="00F774B1"/>
    <w:rsid w:val="00F779C8"/>
    <w:rsid w:val="00F77A8A"/>
    <w:rsid w:val="00F77F60"/>
    <w:rsid w:val="00F80074"/>
    <w:rsid w:val="00F803FF"/>
    <w:rsid w:val="00F80D7F"/>
    <w:rsid w:val="00F810DD"/>
    <w:rsid w:val="00F813EB"/>
    <w:rsid w:val="00F814C4"/>
    <w:rsid w:val="00F814D8"/>
    <w:rsid w:val="00F8153A"/>
    <w:rsid w:val="00F81556"/>
    <w:rsid w:val="00F8198C"/>
    <w:rsid w:val="00F81D68"/>
    <w:rsid w:val="00F81DAC"/>
    <w:rsid w:val="00F828C3"/>
    <w:rsid w:val="00F82CCD"/>
    <w:rsid w:val="00F82F8C"/>
    <w:rsid w:val="00F83225"/>
    <w:rsid w:val="00F83C8D"/>
    <w:rsid w:val="00F84077"/>
    <w:rsid w:val="00F84109"/>
    <w:rsid w:val="00F84576"/>
    <w:rsid w:val="00F8484A"/>
    <w:rsid w:val="00F84FA4"/>
    <w:rsid w:val="00F851BD"/>
    <w:rsid w:val="00F8538A"/>
    <w:rsid w:val="00F855A8"/>
    <w:rsid w:val="00F85D97"/>
    <w:rsid w:val="00F8684A"/>
    <w:rsid w:val="00F868AF"/>
    <w:rsid w:val="00F86C23"/>
    <w:rsid w:val="00F86D82"/>
    <w:rsid w:val="00F86EBE"/>
    <w:rsid w:val="00F87022"/>
    <w:rsid w:val="00F87032"/>
    <w:rsid w:val="00F879FB"/>
    <w:rsid w:val="00F87B04"/>
    <w:rsid w:val="00F9009B"/>
    <w:rsid w:val="00F901AB"/>
    <w:rsid w:val="00F90790"/>
    <w:rsid w:val="00F90BA5"/>
    <w:rsid w:val="00F90D99"/>
    <w:rsid w:val="00F90EE4"/>
    <w:rsid w:val="00F90F19"/>
    <w:rsid w:val="00F91B00"/>
    <w:rsid w:val="00F91B82"/>
    <w:rsid w:val="00F91E45"/>
    <w:rsid w:val="00F92490"/>
    <w:rsid w:val="00F9256F"/>
    <w:rsid w:val="00F93C8E"/>
    <w:rsid w:val="00F949E7"/>
    <w:rsid w:val="00F94F23"/>
    <w:rsid w:val="00F95131"/>
    <w:rsid w:val="00F95615"/>
    <w:rsid w:val="00F95753"/>
    <w:rsid w:val="00F95B9D"/>
    <w:rsid w:val="00F95CD8"/>
    <w:rsid w:val="00F961D3"/>
    <w:rsid w:val="00F96559"/>
    <w:rsid w:val="00F967C7"/>
    <w:rsid w:val="00F968C8"/>
    <w:rsid w:val="00F96959"/>
    <w:rsid w:val="00F96DDF"/>
    <w:rsid w:val="00F96EBA"/>
    <w:rsid w:val="00F9702E"/>
    <w:rsid w:val="00F971E0"/>
    <w:rsid w:val="00F9723E"/>
    <w:rsid w:val="00F97D91"/>
    <w:rsid w:val="00F97E23"/>
    <w:rsid w:val="00FA0870"/>
    <w:rsid w:val="00FA0B13"/>
    <w:rsid w:val="00FA0E75"/>
    <w:rsid w:val="00FA1925"/>
    <w:rsid w:val="00FA1C42"/>
    <w:rsid w:val="00FA1CE9"/>
    <w:rsid w:val="00FA21CC"/>
    <w:rsid w:val="00FA2233"/>
    <w:rsid w:val="00FA24CE"/>
    <w:rsid w:val="00FA2A08"/>
    <w:rsid w:val="00FA2B88"/>
    <w:rsid w:val="00FA2C5F"/>
    <w:rsid w:val="00FA2EC7"/>
    <w:rsid w:val="00FA303C"/>
    <w:rsid w:val="00FA3077"/>
    <w:rsid w:val="00FA3445"/>
    <w:rsid w:val="00FA391D"/>
    <w:rsid w:val="00FA3967"/>
    <w:rsid w:val="00FA3FB6"/>
    <w:rsid w:val="00FA4048"/>
    <w:rsid w:val="00FA4389"/>
    <w:rsid w:val="00FA5011"/>
    <w:rsid w:val="00FA53C5"/>
    <w:rsid w:val="00FA56A2"/>
    <w:rsid w:val="00FA587B"/>
    <w:rsid w:val="00FA5A5D"/>
    <w:rsid w:val="00FA5B5A"/>
    <w:rsid w:val="00FA5F69"/>
    <w:rsid w:val="00FA6456"/>
    <w:rsid w:val="00FA66BD"/>
    <w:rsid w:val="00FA66F1"/>
    <w:rsid w:val="00FA6975"/>
    <w:rsid w:val="00FA6EC9"/>
    <w:rsid w:val="00FA6EE8"/>
    <w:rsid w:val="00FA6FA5"/>
    <w:rsid w:val="00FA727B"/>
    <w:rsid w:val="00FA7682"/>
    <w:rsid w:val="00FA778D"/>
    <w:rsid w:val="00FA7C43"/>
    <w:rsid w:val="00FB001D"/>
    <w:rsid w:val="00FB0145"/>
    <w:rsid w:val="00FB0169"/>
    <w:rsid w:val="00FB040D"/>
    <w:rsid w:val="00FB05AE"/>
    <w:rsid w:val="00FB08F3"/>
    <w:rsid w:val="00FB0D60"/>
    <w:rsid w:val="00FB113E"/>
    <w:rsid w:val="00FB127E"/>
    <w:rsid w:val="00FB129A"/>
    <w:rsid w:val="00FB18CA"/>
    <w:rsid w:val="00FB1A9B"/>
    <w:rsid w:val="00FB1D17"/>
    <w:rsid w:val="00FB20DC"/>
    <w:rsid w:val="00FB23AE"/>
    <w:rsid w:val="00FB2AF6"/>
    <w:rsid w:val="00FB2D00"/>
    <w:rsid w:val="00FB31B3"/>
    <w:rsid w:val="00FB3347"/>
    <w:rsid w:val="00FB336A"/>
    <w:rsid w:val="00FB36AA"/>
    <w:rsid w:val="00FB3F3B"/>
    <w:rsid w:val="00FB432F"/>
    <w:rsid w:val="00FB4597"/>
    <w:rsid w:val="00FB48FC"/>
    <w:rsid w:val="00FB4B10"/>
    <w:rsid w:val="00FB4C19"/>
    <w:rsid w:val="00FB4C52"/>
    <w:rsid w:val="00FB4C64"/>
    <w:rsid w:val="00FB4DC5"/>
    <w:rsid w:val="00FB4E50"/>
    <w:rsid w:val="00FB5003"/>
    <w:rsid w:val="00FB520B"/>
    <w:rsid w:val="00FB54E7"/>
    <w:rsid w:val="00FB5841"/>
    <w:rsid w:val="00FB5FE4"/>
    <w:rsid w:val="00FB60E6"/>
    <w:rsid w:val="00FB6359"/>
    <w:rsid w:val="00FB63F1"/>
    <w:rsid w:val="00FB699F"/>
    <w:rsid w:val="00FB6AD8"/>
    <w:rsid w:val="00FB70DB"/>
    <w:rsid w:val="00FB73E5"/>
    <w:rsid w:val="00FB7447"/>
    <w:rsid w:val="00FB75BC"/>
    <w:rsid w:val="00FB78DB"/>
    <w:rsid w:val="00FB7AAF"/>
    <w:rsid w:val="00FB7CD0"/>
    <w:rsid w:val="00FB7E21"/>
    <w:rsid w:val="00FB7EDC"/>
    <w:rsid w:val="00FC0599"/>
    <w:rsid w:val="00FC096A"/>
    <w:rsid w:val="00FC1205"/>
    <w:rsid w:val="00FC1366"/>
    <w:rsid w:val="00FC175B"/>
    <w:rsid w:val="00FC1B19"/>
    <w:rsid w:val="00FC1CCA"/>
    <w:rsid w:val="00FC205A"/>
    <w:rsid w:val="00FC2817"/>
    <w:rsid w:val="00FC31AB"/>
    <w:rsid w:val="00FC33CF"/>
    <w:rsid w:val="00FC3574"/>
    <w:rsid w:val="00FC3ADF"/>
    <w:rsid w:val="00FC3B85"/>
    <w:rsid w:val="00FC3E97"/>
    <w:rsid w:val="00FC3F76"/>
    <w:rsid w:val="00FC3F82"/>
    <w:rsid w:val="00FC3FBF"/>
    <w:rsid w:val="00FC43DB"/>
    <w:rsid w:val="00FC45EB"/>
    <w:rsid w:val="00FC4D3E"/>
    <w:rsid w:val="00FC4DDA"/>
    <w:rsid w:val="00FC534C"/>
    <w:rsid w:val="00FC5B14"/>
    <w:rsid w:val="00FC603D"/>
    <w:rsid w:val="00FC649E"/>
    <w:rsid w:val="00FC6A44"/>
    <w:rsid w:val="00FC6FEB"/>
    <w:rsid w:val="00FC7178"/>
    <w:rsid w:val="00FC7321"/>
    <w:rsid w:val="00FC7419"/>
    <w:rsid w:val="00FC7555"/>
    <w:rsid w:val="00FC7AC2"/>
    <w:rsid w:val="00FD0148"/>
    <w:rsid w:val="00FD02E8"/>
    <w:rsid w:val="00FD0598"/>
    <w:rsid w:val="00FD062D"/>
    <w:rsid w:val="00FD0744"/>
    <w:rsid w:val="00FD0A3A"/>
    <w:rsid w:val="00FD0B27"/>
    <w:rsid w:val="00FD0E85"/>
    <w:rsid w:val="00FD1032"/>
    <w:rsid w:val="00FD11D5"/>
    <w:rsid w:val="00FD11E5"/>
    <w:rsid w:val="00FD14B4"/>
    <w:rsid w:val="00FD1E8D"/>
    <w:rsid w:val="00FD2067"/>
    <w:rsid w:val="00FD249A"/>
    <w:rsid w:val="00FD260D"/>
    <w:rsid w:val="00FD284C"/>
    <w:rsid w:val="00FD28B2"/>
    <w:rsid w:val="00FD2CC7"/>
    <w:rsid w:val="00FD35F2"/>
    <w:rsid w:val="00FD3A95"/>
    <w:rsid w:val="00FD4223"/>
    <w:rsid w:val="00FD44FB"/>
    <w:rsid w:val="00FD478D"/>
    <w:rsid w:val="00FD47A4"/>
    <w:rsid w:val="00FD4F9E"/>
    <w:rsid w:val="00FD5088"/>
    <w:rsid w:val="00FD50B8"/>
    <w:rsid w:val="00FD51EB"/>
    <w:rsid w:val="00FD55B7"/>
    <w:rsid w:val="00FD58C9"/>
    <w:rsid w:val="00FD5A7D"/>
    <w:rsid w:val="00FD5B49"/>
    <w:rsid w:val="00FD62B7"/>
    <w:rsid w:val="00FD663A"/>
    <w:rsid w:val="00FD679E"/>
    <w:rsid w:val="00FD6AD4"/>
    <w:rsid w:val="00FD6D41"/>
    <w:rsid w:val="00FD6E92"/>
    <w:rsid w:val="00FD6F4F"/>
    <w:rsid w:val="00FD7189"/>
    <w:rsid w:val="00FD72EE"/>
    <w:rsid w:val="00FD74A2"/>
    <w:rsid w:val="00FD76C4"/>
    <w:rsid w:val="00FD7B90"/>
    <w:rsid w:val="00FD7D48"/>
    <w:rsid w:val="00FE0457"/>
    <w:rsid w:val="00FE06B7"/>
    <w:rsid w:val="00FE0ABF"/>
    <w:rsid w:val="00FE0C8A"/>
    <w:rsid w:val="00FE1017"/>
    <w:rsid w:val="00FE17B7"/>
    <w:rsid w:val="00FE17EF"/>
    <w:rsid w:val="00FE1EB0"/>
    <w:rsid w:val="00FE2230"/>
    <w:rsid w:val="00FE226F"/>
    <w:rsid w:val="00FE22E6"/>
    <w:rsid w:val="00FE2DFE"/>
    <w:rsid w:val="00FE3128"/>
    <w:rsid w:val="00FE3434"/>
    <w:rsid w:val="00FE355D"/>
    <w:rsid w:val="00FE39FD"/>
    <w:rsid w:val="00FE3AB5"/>
    <w:rsid w:val="00FE3C33"/>
    <w:rsid w:val="00FE3EC2"/>
    <w:rsid w:val="00FE3F7A"/>
    <w:rsid w:val="00FE41D3"/>
    <w:rsid w:val="00FE4422"/>
    <w:rsid w:val="00FE4A07"/>
    <w:rsid w:val="00FE4E0D"/>
    <w:rsid w:val="00FE50AE"/>
    <w:rsid w:val="00FE50CC"/>
    <w:rsid w:val="00FE5564"/>
    <w:rsid w:val="00FE5A0D"/>
    <w:rsid w:val="00FE5B92"/>
    <w:rsid w:val="00FE5EA8"/>
    <w:rsid w:val="00FE618D"/>
    <w:rsid w:val="00FE6424"/>
    <w:rsid w:val="00FE648A"/>
    <w:rsid w:val="00FE6757"/>
    <w:rsid w:val="00FE67D7"/>
    <w:rsid w:val="00FE67F1"/>
    <w:rsid w:val="00FE6A44"/>
    <w:rsid w:val="00FE6B0A"/>
    <w:rsid w:val="00FE6EA3"/>
    <w:rsid w:val="00FE70E6"/>
    <w:rsid w:val="00FE737F"/>
    <w:rsid w:val="00FE7B49"/>
    <w:rsid w:val="00FE7B80"/>
    <w:rsid w:val="00FE7B9C"/>
    <w:rsid w:val="00FE7EEF"/>
    <w:rsid w:val="00FF050B"/>
    <w:rsid w:val="00FF068E"/>
    <w:rsid w:val="00FF0BE2"/>
    <w:rsid w:val="00FF0C0B"/>
    <w:rsid w:val="00FF0F68"/>
    <w:rsid w:val="00FF0F98"/>
    <w:rsid w:val="00FF117B"/>
    <w:rsid w:val="00FF131E"/>
    <w:rsid w:val="00FF16D9"/>
    <w:rsid w:val="00FF1985"/>
    <w:rsid w:val="00FF1DD0"/>
    <w:rsid w:val="00FF1E67"/>
    <w:rsid w:val="00FF2698"/>
    <w:rsid w:val="00FF27A5"/>
    <w:rsid w:val="00FF27E1"/>
    <w:rsid w:val="00FF27F9"/>
    <w:rsid w:val="00FF2986"/>
    <w:rsid w:val="00FF2A51"/>
    <w:rsid w:val="00FF2BFD"/>
    <w:rsid w:val="00FF2C23"/>
    <w:rsid w:val="00FF2EFB"/>
    <w:rsid w:val="00FF3250"/>
    <w:rsid w:val="00FF3328"/>
    <w:rsid w:val="00FF3426"/>
    <w:rsid w:val="00FF3AA9"/>
    <w:rsid w:val="00FF3F99"/>
    <w:rsid w:val="00FF40ED"/>
    <w:rsid w:val="00FF482A"/>
    <w:rsid w:val="00FF49F4"/>
    <w:rsid w:val="00FF4AAF"/>
    <w:rsid w:val="00FF550D"/>
    <w:rsid w:val="00FF573E"/>
    <w:rsid w:val="00FF58D1"/>
    <w:rsid w:val="00FF5922"/>
    <w:rsid w:val="00FF5AD7"/>
    <w:rsid w:val="00FF6003"/>
    <w:rsid w:val="00FF626F"/>
    <w:rsid w:val="00FF652A"/>
    <w:rsid w:val="00FF659D"/>
    <w:rsid w:val="00FF66F1"/>
    <w:rsid w:val="00FF6990"/>
    <w:rsid w:val="00FF6ABB"/>
    <w:rsid w:val="00FF6B04"/>
    <w:rsid w:val="00FF6EF8"/>
    <w:rsid w:val="00FF7960"/>
    <w:rsid w:val="00FF7979"/>
    <w:rsid w:val="00FF7AD8"/>
    <w:rsid w:val="00FF7C88"/>
    <w:rsid w:val="00FF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E891B0"/>
  <w15:docId w15:val="{D1D6E13C-A88E-4005-8415-34D81A04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442"/>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2">
    <w:name w:val="heading 2"/>
    <w:basedOn w:val="Normal"/>
    <w:next w:val="Normal"/>
    <w:link w:val="Ttulo2Car"/>
    <w:qFormat/>
    <w:rsid w:val="009130E5"/>
    <w:pPr>
      <w:keepNext/>
      <w:spacing w:before="240" w:after="60" w:line="240" w:lineRule="auto"/>
      <w:jc w:val="left"/>
      <w:outlineLvl w:val="1"/>
    </w:pPr>
    <w:rPr>
      <w:rFonts w:cs="Arial"/>
      <w:b/>
      <w:bCs/>
      <w:i/>
      <w:iCs/>
      <w:sz w:val="28"/>
      <w:szCs w:val="28"/>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4">
    <w:name w:val="heading 4"/>
    <w:basedOn w:val="Normal"/>
    <w:next w:val="Normal"/>
    <w:link w:val="Ttulo4Car"/>
    <w:uiPriority w:val="9"/>
    <w:unhideWhenUsed/>
    <w:qFormat/>
    <w:rsid w:val="0080676E"/>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qFormat/>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FA Fu Car Car1"/>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uiPriority w:val="99"/>
    <w:rsid w:val="00C85395"/>
    <w:pPr>
      <w:tabs>
        <w:tab w:val="center" w:pos="4252"/>
        <w:tab w:val="right" w:pos="8504"/>
      </w:tabs>
    </w:pPr>
    <w:rPr>
      <w:szCs w:val="20"/>
    </w:rPr>
  </w:style>
  <w:style w:type="character" w:customStyle="1" w:styleId="PiedepginaCar">
    <w:name w:val="Pie de página Car"/>
    <w:link w:val="Piedepgina"/>
    <w:uiPriority w:val="99"/>
    <w:locked/>
    <w:rsid w:val="00C85395"/>
    <w:rPr>
      <w:rFonts w:ascii="Arial" w:hAnsi="Arial"/>
      <w:sz w:val="24"/>
      <w:lang w:eastAsia="es-ES"/>
    </w:rPr>
  </w:style>
  <w:style w:type="character" w:styleId="Nmerodepgina">
    <w:name w:val="page number"/>
    <w:uiPriority w:val="99"/>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uiPriority w:val="34"/>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lang w:val="es-CO" w:eastAsia="es-CO"/>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customStyle="1" w:styleId="Puesto">
    <w:name w:val="Puesto"/>
    <w:basedOn w:val="Normal"/>
    <w:link w:val="PuestoCar"/>
    <w:qFormat/>
    <w:rsid w:val="00D210C6"/>
    <w:pPr>
      <w:spacing w:line="240" w:lineRule="auto"/>
      <w:jc w:val="center"/>
    </w:pPr>
    <w:rPr>
      <w:rFonts w:eastAsia="Batang" w:cs="Arial"/>
      <w:b/>
      <w:bCs/>
      <w:sz w:val="22"/>
      <w:lang w:val="es-ES_tradnl"/>
    </w:rPr>
  </w:style>
  <w:style w:type="character" w:customStyle="1" w:styleId="PuestoCar">
    <w:name w:val="Puesto Car"/>
    <w:link w:val="Puest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customStyle="1" w:styleId="centrado">
    <w:name w:val="centrado"/>
    <w:basedOn w:val="Normal"/>
    <w:uiPriority w:val="99"/>
    <w:rsid w:val="0083126C"/>
    <w:pPr>
      <w:spacing w:before="100" w:beforeAutospacing="1" w:after="100" w:afterAutospacing="1" w:line="240" w:lineRule="auto"/>
      <w:jc w:val="left"/>
    </w:pPr>
    <w:rPr>
      <w:rFonts w:ascii="Times New Roman" w:hAnsi="Times New Roman"/>
    </w:rPr>
  </w:style>
  <w:style w:type="character" w:customStyle="1" w:styleId="baj">
    <w:name w:val="b_aj"/>
    <w:basedOn w:val="Fuentedeprrafopredeter"/>
    <w:rsid w:val="0083126C"/>
  </w:style>
  <w:style w:type="paragraph" w:customStyle="1" w:styleId="indentfl1punto5">
    <w:name w:val="indent_fl_1punto5"/>
    <w:basedOn w:val="Normal"/>
    <w:rsid w:val="007D5184"/>
    <w:pPr>
      <w:spacing w:before="100" w:beforeAutospacing="1" w:after="100" w:afterAutospacing="1" w:line="240" w:lineRule="auto"/>
      <w:jc w:val="left"/>
    </w:pPr>
    <w:rPr>
      <w:rFonts w:ascii="Times New Roman" w:hAnsi="Times New Roman"/>
    </w:rPr>
  </w:style>
  <w:style w:type="paragraph" w:customStyle="1" w:styleId="margenizq2punto0margender1punto0">
    <w:name w:val="margen_izq_2punto0_margen_der_1punto0"/>
    <w:basedOn w:val="Normal"/>
    <w:rsid w:val="007D5184"/>
    <w:pPr>
      <w:spacing w:before="100" w:beforeAutospacing="1" w:after="100" w:afterAutospacing="1" w:line="240" w:lineRule="auto"/>
      <w:jc w:val="left"/>
    </w:pPr>
    <w:rPr>
      <w:rFonts w:ascii="Times New Roman" w:hAnsi="Times New Roman"/>
    </w:rPr>
  </w:style>
  <w:style w:type="character" w:customStyle="1" w:styleId="iaj">
    <w:name w:val="i_aj"/>
    <w:basedOn w:val="Fuentedeprrafopredeter"/>
    <w:rsid w:val="007D5184"/>
  </w:style>
  <w:style w:type="character" w:styleId="nfasis">
    <w:name w:val="Emphasis"/>
    <w:uiPriority w:val="20"/>
    <w:qFormat/>
    <w:rsid w:val="009A709A"/>
    <w:rPr>
      <w:i/>
      <w:iCs/>
    </w:rPr>
  </w:style>
  <w:style w:type="paragraph" w:customStyle="1" w:styleId="western">
    <w:name w:val="western"/>
    <w:basedOn w:val="Normal"/>
    <w:rsid w:val="004560D1"/>
    <w:pPr>
      <w:spacing w:before="100" w:beforeAutospacing="1" w:after="100" w:afterAutospacing="1" w:line="240" w:lineRule="auto"/>
      <w:jc w:val="left"/>
    </w:pPr>
    <w:rPr>
      <w:rFonts w:ascii="Times New Roman" w:hAnsi="Times New Roman"/>
    </w:rPr>
  </w:style>
  <w:style w:type="paragraph" w:customStyle="1" w:styleId="Textosinformato1">
    <w:name w:val="Texto sin formato1"/>
    <w:basedOn w:val="Normal"/>
    <w:rsid w:val="00C6282E"/>
    <w:pPr>
      <w:spacing w:line="240" w:lineRule="auto"/>
      <w:jc w:val="left"/>
    </w:pPr>
    <w:rPr>
      <w:rFonts w:ascii="Courier New" w:hAnsi="Courier New"/>
      <w:sz w:val="20"/>
      <w:szCs w:val="20"/>
    </w:rPr>
  </w:style>
  <w:style w:type="paragraph" w:styleId="Listaconvietas">
    <w:name w:val="List Bullet"/>
    <w:basedOn w:val="Normal"/>
    <w:uiPriority w:val="99"/>
    <w:unhideWhenUsed/>
    <w:rsid w:val="00730CA3"/>
    <w:pPr>
      <w:numPr>
        <w:numId w:val="11"/>
      </w:numPr>
      <w:contextualSpacing/>
    </w:pPr>
  </w:style>
  <w:style w:type="paragraph" w:customStyle="1" w:styleId="Citas">
    <w:name w:val="Citas"/>
    <w:basedOn w:val="Normal"/>
    <w:qFormat/>
    <w:rsid w:val="007C40F8"/>
    <w:pPr>
      <w:overflowPunct w:val="0"/>
      <w:autoSpaceDE w:val="0"/>
      <w:autoSpaceDN w:val="0"/>
      <w:adjustRightInd w:val="0"/>
      <w:spacing w:line="240" w:lineRule="auto"/>
      <w:textAlignment w:val="baseline"/>
    </w:pPr>
    <w:rPr>
      <w:sz w:val="20"/>
      <w:szCs w:val="20"/>
      <w:lang w:val="es-ES_tradnl"/>
    </w:rPr>
  </w:style>
  <w:style w:type="character" w:customStyle="1" w:styleId="Ttulo4Car">
    <w:name w:val="Título 4 Car"/>
    <w:link w:val="Ttulo4"/>
    <w:uiPriority w:val="9"/>
    <w:rsid w:val="0080676E"/>
    <w:rPr>
      <w:rFonts w:ascii="Cambria" w:eastAsia="Times New Roman" w:hAnsi="Cambria" w:cs="Times New Roman"/>
      <w:b/>
      <w:bCs/>
      <w:i/>
      <w:iCs/>
      <w:color w:val="4F81BD"/>
      <w:sz w:val="24"/>
      <w:szCs w:val="24"/>
    </w:rPr>
  </w:style>
  <w:style w:type="paragraph" w:customStyle="1" w:styleId="Sangra3detindependiente2">
    <w:name w:val="Sangría 3 de t. independiente2"/>
    <w:basedOn w:val="Normal"/>
    <w:rsid w:val="00ED447C"/>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480" w:lineRule="atLeast"/>
      <w:ind w:firstLine="1296"/>
      <w:jc w:val="left"/>
      <w:textAlignment w:val="baseline"/>
    </w:pPr>
    <w:rPr>
      <w:szCs w:val="20"/>
      <w:lang w:val="es-ES_tradnl"/>
    </w:rPr>
  </w:style>
  <w:style w:type="character" w:customStyle="1" w:styleId="Ttulo2Car">
    <w:name w:val="Título 2 Car"/>
    <w:link w:val="Ttulo2"/>
    <w:rsid w:val="009130E5"/>
    <w:rPr>
      <w:rFonts w:ascii="Arial" w:hAnsi="Arial" w:cs="Arial"/>
      <w:b/>
      <w:bCs/>
      <w:i/>
      <w:iCs/>
      <w:sz w:val="28"/>
      <w:szCs w:val="28"/>
    </w:rPr>
  </w:style>
  <w:style w:type="paragraph" w:customStyle="1" w:styleId="Textodecuerpo21">
    <w:name w:val="Texto de cuerpo 21"/>
    <w:basedOn w:val="Normal"/>
    <w:rsid w:val="003F5E91"/>
    <w:pPr>
      <w:overflowPunct w:val="0"/>
      <w:autoSpaceDE w:val="0"/>
      <w:autoSpaceDN w:val="0"/>
      <w:adjustRightInd w:val="0"/>
      <w:textAlignment w:val="baseline"/>
    </w:pPr>
    <w:rPr>
      <w:rFonts w:cs="Arial"/>
      <w:color w:val="008000"/>
      <w:szCs w:val="20"/>
    </w:rPr>
  </w:style>
  <w:style w:type="paragraph" w:customStyle="1" w:styleId="Acuerda-Considerando">
    <w:name w:val="Acuerda-Considerando"/>
    <w:rsid w:val="003F5E91"/>
    <w:pPr>
      <w:jc w:val="center"/>
    </w:pPr>
    <w:rPr>
      <w:rFonts w:ascii="Arial" w:eastAsia="MS Mincho" w:hAnsi="Arial" w:cs="Times New Roman"/>
      <w:b/>
      <w:lang w:val="es-ES" w:eastAsia="es-ES"/>
    </w:rPr>
  </w:style>
  <w:style w:type="character" w:styleId="Refdecomentario">
    <w:name w:val="annotation reference"/>
    <w:uiPriority w:val="99"/>
    <w:semiHidden/>
    <w:unhideWhenUsed/>
    <w:rsid w:val="00A558F0"/>
    <w:rPr>
      <w:sz w:val="16"/>
      <w:szCs w:val="16"/>
    </w:rPr>
  </w:style>
  <w:style w:type="paragraph" w:customStyle="1" w:styleId="nueve">
    <w:name w:val="nueve"/>
    <w:basedOn w:val="Normal"/>
    <w:rsid w:val="00D07E2E"/>
    <w:pPr>
      <w:spacing w:before="100" w:beforeAutospacing="1" w:after="100" w:afterAutospacing="1" w:line="240" w:lineRule="auto"/>
      <w:jc w:val="left"/>
    </w:pPr>
    <w:rPr>
      <w:rFonts w:ascii="Times New Roman" w:hAnsi="Times New Roman"/>
      <w:lang w:val="es-CO" w:eastAsia="es-CO"/>
    </w:rPr>
  </w:style>
  <w:style w:type="paragraph" w:styleId="Sinespaciado">
    <w:name w:val="No Spacing"/>
    <w:uiPriority w:val="1"/>
    <w:qFormat/>
    <w:rsid w:val="00837B25"/>
    <w:rPr>
      <w:rFonts w:eastAsia="Calibri" w:cs="Times New Roman"/>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5351">
      <w:bodyDiv w:val="1"/>
      <w:marLeft w:val="0"/>
      <w:marRight w:val="0"/>
      <w:marTop w:val="0"/>
      <w:marBottom w:val="0"/>
      <w:divBdr>
        <w:top w:val="none" w:sz="0" w:space="0" w:color="auto"/>
        <w:left w:val="none" w:sz="0" w:space="0" w:color="auto"/>
        <w:bottom w:val="none" w:sz="0" w:space="0" w:color="auto"/>
        <w:right w:val="none" w:sz="0" w:space="0" w:color="auto"/>
      </w:divBdr>
    </w:div>
    <w:div w:id="42100820">
      <w:bodyDiv w:val="1"/>
      <w:marLeft w:val="0"/>
      <w:marRight w:val="0"/>
      <w:marTop w:val="0"/>
      <w:marBottom w:val="0"/>
      <w:divBdr>
        <w:top w:val="none" w:sz="0" w:space="0" w:color="auto"/>
        <w:left w:val="none" w:sz="0" w:space="0" w:color="auto"/>
        <w:bottom w:val="none" w:sz="0" w:space="0" w:color="auto"/>
        <w:right w:val="none" w:sz="0" w:space="0" w:color="auto"/>
      </w:divBdr>
    </w:div>
    <w:div w:id="45417231">
      <w:bodyDiv w:val="1"/>
      <w:marLeft w:val="0"/>
      <w:marRight w:val="0"/>
      <w:marTop w:val="0"/>
      <w:marBottom w:val="0"/>
      <w:divBdr>
        <w:top w:val="none" w:sz="0" w:space="0" w:color="auto"/>
        <w:left w:val="none" w:sz="0" w:space="0" w:color="auto"/>
        <w:bottom w:val="none" w:sz="0" w:space="0" w:color="auto"/>
        <w:right w:val="none" w:sz="0" w:space="0" w:color="auto"/>
      </w:divBdr>
    </w:div>
    <w:div w:id="115560772">
      <w:bodyDiv w:val="1"/>
      <w:marLeft w:val="0"/>
      <w:marRight w:val="0"/>
      <w:marTop w:val="0"/>
      <w:marBottom w:val="0"/>
      <w:divBdr>
        <w:top w:val="none" w:sz="0" w:space="0" w:color="auto"/>
        <w:left w:val="none" w:sz="0" w:space="0" w:color="auto"/>
        <w:bottom w:val="none" w:sz="0" w:space="0" w:color="auto"/>
        <w:right w:val="none" w:sz="0" w:space="0" w:color="auto"/>
      </w:divBdr>
    </w:div>
    <w:div w:id="195580790">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4435111">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320542678">
      <w:bodyDiv w:val="1"/>
      <w:marLeft w:val="0"/>
      <w:marRight w:val="0"/>
      <w:marTop w:val="0"/>
      <w:marBottom w:val="0"/>
      <w:divBdr>
        <w:top w:val="none" w:sz="0" w:space="0" w:color="auto"/>
        <w:left w:val="none" w:sz="0" w:space="0" w:color="auto"/>
        <w:bottom w:val="none" w:sz="0" w:space="0" w:color="auto"/>
        <w:right w:val="none" w:sz="0" w:space="0" w:color="auto"/>
      </w:divBdr>
      <w:divsChild>
        <w:div w:id="150606247">
          <w:marLeft w:val="0"/>
          <w:marRight w:val="0"/>
          <w:marTop w:val="0"/>
          <w:marBottom w:val="0"/>
          <w:divBdr>
            <w:top w:val="none" w:sz="0" w:space="0" w:color="auto"/>
            <w:left w:val="none" w:sz="0" w:space="0" w:color="auto"/>
            <w:bottom w:val="none" w:sz="0" w:space="0" w:color="auto"/>
            <w:right w:val="none" w:sz="0" w:space="0" w:color="auto"/>
          </w:divBdr>
        </w:div>
        <w:div w:id="327639701">
          <w:marLeft w:val="0"/>
          <w:marRight w:val="0"/>
          <w:marTop w:val="0"/>
          <w:marBottom w:val="0"/>
          <w:divBdr>
            <w:top w:val="none" w:sz="0" w:space="0" w:color="auto"/>
            <w:left w:val="none" w:sz="0" w:space="0" w:color="auto"/>
            <w:bottom w:val="none" w:sz="0" w:space="0" w:color="auto"/>
            <w:right w:val="none" w:sz="0" w:space="0" w:color="auto"/>
          </w:divBdr>
        </w:div>
        <w:div w:id="362824472">
          <w:marLeft w:val="0"/>
          <w:marRight w:val="0"/>
          <w:marTop w:val="0"/>
          <w:marBottom w:val="0"/>
          <w:divBdr>
            <w:top w:val="none" w:sz="0" w:space="0" w:color="auto"/>
            <w:left w:val="none" w:sz="0" w:space="0" w:color="auto"/>
            <w:bottom w:val="none" w:sz="0" w:space="0" w:color="auto"/>
            <w:right w:val="none" w:sz="0" w:space="0" w:color="auto"/>
          </w:divBdr>
        </w:div>
        <w:div w:id="1188524146">
          <w:marLeft w:val="0"/>
          <w:marRight w:val="0"/>
          <w:marTop w:val="0"/>
          <w:marBottom w:val="0"/>
          <w:divBdr>
            <w:top w:val="none" w:sz="0" w:space="0" w:color="auto"/>
            <w:left w:val="none" w:sz="0" w:space="0" w:color="auto"/>
            <w:bottom w:val="none" w:sz="0" w:space="0" w:color="auto"/>
            <w:right w:val="none" w:sz="0" w:space="0" w:color="auto"/>
          </w:divBdr>
        </w:div>
        <w:div w:id="1412461409">
          <w:marLeft w:val="0"/>
          <w:marRight w:val="0"/>
          <w:marTop w:val="0"/>
          <w:marBottom w:val="0"/>
          <w:divBdr>
            <w:top w:val="none" w:sz="0" w:space="0" w:color="auto"/>
            <w:left w:val="none" w:sz="0" w:space="0" w:color="auto"/>
            <w:bottom w:val="none" w:sz="0" w:space="0" w:color="auto"/>
            <w:right w:val="none" w:sz="0" w:space="0" w:color="auto"/>
          </w:divBdr>
        </w:div>
        <w:div w:id="1662005328">
          <w:marLeft w:val="0"/>
          <w:marRight w:val="0"/>
          <w:marTop w:val="0"/>
          <w:marBottom w:val="0"/>
          <w:divBdr>
            <w:top w:val="none" w:sz="0" w:space="0" w:color="auto"/>
            <w:left w:val="none" w:sz="0" w:space="0" w:color="auto"/>
            <w:bottom w:val="none" w:sz="0" w:space="0" w:color="auto"/>
            <w:right w:val="none" w:sz="0" w:space="0" w:color="auto"/>
          </w:divBdr>
        </w:div>
        <w:div w:id="1945069556">
          <w:marLeft w:val="0"/>
          <w:marRight w:val="0"/>
          <w:marTop w:val="0"/>
          <w:marBottom w:val="0"/>
          <w:divBdr>
            <w:top w:val="none" w:sz="0" w:space="0" w:color="auto"/>
            <w:left w:val="none" w:sz="0" w:space="0" w:color="auto"/>
            <w:bottom w:val="none" w:sz="0" w:space="0" w:color="auto"/>
            <w:right w:val="none" w:sz="0" w:space="0" w:color="auto"/>
          </w:divBdr>
        </w:div>
      </w:divsChild>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12241403">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521556374">
      <w:bodyDiv w:val="1"/>
      <w:marLeft w:val="0"/>
      <w:marRight w:val="0"/>
      <w:marTop w:val="0"/>
      <w:marBottom w:val="0"/>
      <w:divBdr>
        <w:top w:val="none" w:sz="0" w:space="0" w:color="auto"/>
        <w:left w:val="none" w:sz="0" w:space="0" w:color="auto"/>
        <w:bottom w:val="none" w:sz="0" w:space="0" w:color="auto"/>
        <w:right w:val="none" w:sz="0" w:space="0" w:color="auto"/>
      </w:divBdr>
    </w:div>
    <w:div w:id="526724579">
      <w:bodyDiv w:val="1"/>
      <w:marLeft w:val="0"/>
      <w:marRight w:val="0"/>
      <w:marTop w:val="0"/>
      <w:marBottom w:val="0"/>
      <w:divBdr>
        <w:top w:val="none" w:sz="0" w:space="0" w:color="auto"/>
        <w:left w:val="none" w:sz="0" w:space="0" w:color="auto"/>
        <w:bottom w:val="none" w:sz="0" w:space="0" w:color="auto"/>
        <w:right w:val="none" w:sz="0" w:space="0" w:color="auto"/>
      </w:divBdr>
    </w:div>
    <w:div w:id="538737476">
      <w:bodyDiv w:val="1"/>
      <w:marLeft w:val="0"/>
      <w:marRight w:val="0"/>
      <w:marTop w:val="0"/>
      <w:marBottom w:val="0"/>
      <w:divBdr>
        <w:top w:val="none" w:sz="0" w:space="0" w:color="auto"/>
        <w:left w:val="none" w:sz="0" w:space="0" w:color="auto"/>
        <w:bottom w:val="none" w:sz="0" w:space="0" w:color="auto"/>
        <w:right w:val="none" w:sz="0" w:space="0" w:color="auto"/>
      </w:divBdr>
    </w:div>
    <w:div w:id="540166829">
      <w:bodyDiv w:val="1"/>
      <w:marLeft w:val="0"/>
      <w:marRight w:val="0"/>
      <w:marTop w:val="0"/>
      <w:marBottom w:val="0"/>
      <w:divBdr>
        <w:top w:val="none" w:sz="0" w:space="0" w:color="auto"/>
        <w:left w:val="none" w:sz="0" w:space="0" w:color="auto"/>
        <w:bottom w:val="none" w:sz="0" w:space="0" w:color="auto"/>
        <w:right w:val="none" w:sz="0" w:space="0" w:color="auto"/>
      </w:divBdr>
    </w:div>
    <w:div w:id="629434434">
      <w:bodyDiv w:val="1"/>
      <w:marLeft w:val="0"/>
      <w:marRight w:val="0"/>
      <w:marTop w:val="0"/>
      <w:marBottom w:val="0"/>
      <w:divBdr>
        <w:top w:val="none" w:sz="0" w:space="0" w:color="auto"/>
        <w:left w:val="none" w:sz="0" w:space="0" w:color="auto"/>
        <w:bottom w:val="none" w:sz="0" w:space="0" w:color="auto"/>
        <w:right w:val="none" w:sz="0" w:space="0" w:color="auto"/>
      </w:divBdr>
    </w:div>
    <w:div w:id="720858930">
      <w:bodyDiv w:val="1"/>
      <w:marLeft w:val="0"/>
      <w:marRight w:val="0"/>
      <w:marTop w:val="0"/>
      <w:marBottom w:val="0"/>
      <w:divBdr>
        <w:top w:val="none" w:sz="0" w:space="0" w:color="auto"/>
        <w:left w:val="none" w:sz="0" w:space="0" w:color="auto"/>
        <w:bottom w:val="none" w:sz="0" w:space="0" w:color="auto"/>
        <w:right w:val="none" w:sz="0" w:space="0" w:color="auto"/>
      </w:divBdr>
    </w:div>
    <w:div w:id="733351500">
      <w:bodyDiv w:val="1"/>
      <w:marLeft w:val="0"/>
      <w:marRight w:val="0"/>
      <w:marTop w:val="0"/>
      <w:marBottom w:val="0"/>
      <w:divBdr>
        <w:top w:val="none" w:sz="0" w:space="0" w:color="auto"/>
        <w:left w:val="none" w:sz="0" w:space="0" w:color="auto"/>
        <w:bottom w:val="none" w:sz="0" w:space="0" w:color="auto"/>
        <w:right w:val="none" w:sz="0" w:space="0" w:color="auto"/>
      </w:divBdr>
    </w:div>
    <w:div w:id="746539736">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45822922">
      <w:bodyDiv w:val="1"/>
      <w:marLeft w:val="0"/>
      <w:marRight w:val="0"/>
      <w:marTop w:val="0"/>
      <w:marBottom w:val="0"/>
      <w:divBdr>
        <w:top w:val="none" w:sz="0" w:space="0" w:color="auto"/>
        <w:left w:val="none" w:sz="0" w:space="0" w:color="auto"/>
        <w:bottom w:val="none" w:sz="0" w:space="0" w:color="auto"/>
        <w:right w:val="none" w:sz="0" w:space="0" w:color="auto"/>
      </w:divBdr>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907960586">
      <w:bodyDiv w:val="1"/>
      <w:marLeft w:val="0"/>
      <w:marRight w:val="0"/>
      <w:marTop w:val="0"/>
      <w:marBottom w:val="0"/>
      <w:divBdr>
        <w:top w:val="none" w:sz="0" w:space="0" w:color="auto"/>
        <w:left w:val="none" w:sz="0" w:space="0" w:color="auto"/>
        <w:bottom w:val="none" w:sz="0" w:space="0" w:color="auto"/>
        <w:right w:val="none" w:sz="0" w:space="0" w:color="auto"/>
      </w:divBdr>
    </w:div>
    <w:div w:id="912199635">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2032599">
      <w:bodyDiv w:val="1"/>
      <w:marLeft w:val="0"/>
      <w:marRight w:val="0"/>
      <w:marTop w:val="0"/>
      <w:marBottom w:val="0"/>
      <w:divBdr>
        <w:top w:val="none" w:sz="0" w:space="0" w:color="auto"/>
        <w:left w:val="none" w:sz="0" w:space="0" w:color="auto"/>
        <w:bottom w:val="none" w:sz="0" w:space="0" w:color="auto"/>
        <w:right w:val="none" w:sz="0" w:space="0" w:color="auto"/>
      </w:divBdr>
    </w:div>
    <w:div w:id="1030496601">
      <w:bodyDiv w:val="1"/>
      <w:marLeft w:val="0"/>
      <w:marRight w:val="0"/>
      <w:marTop w:val="0"/>
      <w:marBottom w:val="0"/>
      <w:divBdr>
        <w:top w:val="none" w:sz="0" w:space="0" w:color="auto"/>
        <w:left w:val="none" w:sz="0" w:space="0" w:color="auto"/>
        <w:bottom w:val="none" w:sz="0" w:space="0" w:color="auto"/>
        <w:right w:val="none" w:sz="0" w:space="0" w:color="auto"/>
      </w:divBdr>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46832685">
      <w:bodyDiv w:val="1"/>
      <w:marLeft w:val="0"/>
      <w:marRight w:val="0"/>
      <w:marTop w:val="0"/>
      <w:marBottom w:val="0"/>
      <w:divBdr>
        <w:top w:val="none" w:sz="0" w:space="0" w:color="auto"/>
        <w:left w:val="none" w:sz="0" w:space="0" w:color="auto"/>
        <w:bottom w:val="none" w:sz="0" w:space="0" w:color="auto"/>
        <w:right w:val="none" w:sz="0" w:space="0" w:color="auto"/>
      </w:divBdr>
      <w:divsChild>
        <w:div w:id="615672604">
          <w:marLeft w:val="0"/>
          <w:marRight w:val="0"/>
          <w:marTop w:val="0"/>
          <w:marBottom w:val="0"/>
          <w:divBdr>
            <w:top w:val="none" w:sz="0" w:space="0" w:color="auto"/>
            <w:left w:val="none" w:sz="0" w:space="0" w:color="auto"/>
            <w:bottom w:val="none" w:sz="0" w:space="0" w:color="auto"/>
            <w:right w:val="none" w:sz="0" w:space="0" w:color="auto"/>
          </w:divBdr>
        </w:div>
        <w:div w:id="954826548">
          <w:marLeft w:val="0"/>
          <w:marRight w:val="0"/>
          <w:marTop w:val="0"/>
          <w:marBottom w:val="0"/>
          <w:divBdr>
            <w:top w:val="none" w:sz="0" w:space="0" w:color="auto"/>
            <w:left w:val="none" w:sz="0" w:space="0" w:color="auto"/>
            <w:bottom w:val="none" w:sz="0" w:space="0" w:color="auto"/>
            <w:right w:val="none" w:sz="0" w:space="0" w:color="auto"/>
          </w:divBdr>
        </w:div>
      </w:divsChild>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077703477">
      <w:bodyDiv w:val="1"/>
      <w:marLeft w:val="0"/>
      <w:marRight w:val="0"/>
      <w:marTop w:val="0"/>
      <w:marBottom w:val="0"/>
      <w:divBdr>
        <w:top w:val="none" w:sz="0" w:space="0" w:color="auto"/>
        <w:left w:val="none" w:sz="0" w:space="0" w:color="auto"/>
        <w:bottom w:val="none" w:sz="0" w:space="0" w:color="auto"/>
        <w:right w:val="none" w:sz="0" w:space="0" w:color="auto"/>
      </w:divBdr>
    </w:div>
    <w:div w:id="1085414218">
      <w:bodyDiv w:val="1"/>
      <w:marLeft w:val="0"/>
      <w:marRight w:val="0"/>
      <w:marTop w:val="0"/>
      <w:marBottom w:val="0"/>
      <w:divBdr>
        <w:top w:val="none" w:sz="0" w:space="0" w:color="auto"/>
        <w:left w:val="none" w:sz="0" w:space="0" w:color="auto"/>
        <w:bottom w:val="none" w:sz="0" w:space="0" w:color="auto"/>
        <w:right w:val="none" w:sz="0" w:space="0" w:color="auto"/>
      </w:divBdr>
    </w:div>
    <w:div w:id="1109394608">
      <w:bodyDiv w:val="1"/>
      <w:marLeft w:val="0"/>
      <w:marRight w:val="0"/>
      <w:marTop w:val="0"/>
      <w:marBottom w:val="0"/>
      <w:divBdr>
        <w:top w:val="none" w:sz="0" w:space="0" w:color="auto"/>
        <w:left w:val="none" w:sz="0" w:space="0" w:color="auto"/>
        <w:bottom w:val="none" w:sz="0" w:space="0" w:color="auto"/>
        <w:right w:val="none" w:sz="0" w:space="0" w:color="auto"/>
      </w:divBdr>
      <w:divsChild>
        <w:div w:id="1858426067">
          <w:marLeft w:val="0"/>
          <w:marRight w:val="0"/>
          <w:marTop w:val="0"/>
          <w:marBottom w:val="0"/>
          <w:divBdr>
            <w:top w:val="none" w:sz="0" w:space="0" w:color="auto"/>
            <w:left w:val="none" w:sz="0" w:space="0" w:color="auto"/>
            <w:bottom w:val="none" w:sz="0" w:space="0" w:color="auto"/>
            <w:right w:val="none" w:sz="0" w:space="0" w:color="auto"/>
          </w:divBdr>
          <w:divsChild>
            <w:div w:id="109129595">
              <w:marLeft w:val="0"/>
              <w:marRight w:val="0"/>
              <w:marTop w:val="0"/>
              <w:marBottom w:val="0"/>
              <w:divBdr>
                <w:top w:val="none" w:sz="0" w:space="0" w:color="auto"/>
                <w:left w:val="none" w:sz="0" w:space="0" w:color="auto"/>
                <w:bottom w:val="none" w:sz="0" w:space="0" w:color="auto"/>
                <w:right w:val="none" w:sz="0" w:space="0" w:color="auto"/>
              </w:divBdr>
            </w:div>
            <w:div w:id="119809022">
              <w:marLeft w:val="0"/>
              <w:marRight w:val="0"/>
              <w:marTop w:val="0"/>
              <w:marBottom w:val="0"/>
              <w:divBdr>
                <w:top w:val="none" w:sz="0" w:space="0" w:color="auto"/>
                <w:left w:val="none" w:sz="0" w:space="0" w:color="auto"/>
                <w:bottom w:val="none" w:sz="0" w:space="0" w:color="auto"/>
                <w:right w:val="none" w:sz="0" w:space="0" w:color="auto"/>
              </w:divBdr>
            </w:div>
            <w:div w:id="135953811">
              <w:marLeft w:val="0"/>
              <w:marRight w:val="0"/>
              <w:marTop w:val="0"/>
              <w:marBottom w:val="0"/>
              <w:divBdr>
                <w:top w:val="none" w:sz="0" w:space="0" w:color="auto"/>
                <w:left w:val="none" w:sz="0" w:space="0" w:color="auto"/>
                <w:bottom w:val="none" w:sz="0" w:space="0" w:color="auto"/>
                <w:right w:val="none" w:sz="0" w:space="0" w:color="auto"/>
              </w:divBdr>
            </w:div>
            <w:div w:id="182133118">
              <w:marLeft w:val="0"/>
              <w:marRight w:val="0"/>
              <w:marTop w:val="0"/>
              <w:marBottom w:val="0"/>
              <w:divBdr>
                <w:top w:val="none" w:sz="0" w:space="0" w:color="auto"/>
                <w:left w:val="none" w:sz="0" w:space="0" w:color="auto"/>
                <w:bottom w:val="none" w:sz="0" w:space="0" w:color="auto"/>
                <w:right w:val="none" w:sz="0" w:space="0" w:color="auto"/>
              </w:divBdr>
            </w:div>
            <w:div w:id="209459031">
              <w:marLeft w:val="0"/>
              <w:marRight w:val="0"/>
              <w:marTop w:val="0"/>
              <w:marBottom w:val="0"/>
              <w:divBdr>
                <w:top w:val="none" w:sz="0" w:space="0" w:color="auto"/>
                <w:left w:val="none" w:sz="0" w:space="0" w:color="auto"/>
                <w:bottom w:val="none" w:sz="0" w:space="0" w:color="auto"/>
                <w:right w:val="none" w:sz="0" w:space="0" w:color="auto"/>
              </w:divBdr>
            </w:div>
            <w:div w:id="219826222">
              <w:marLeft w:val="0"/>
              <w:marRight w:val="0"/>
              <w:marTop w:val="0"/>
              <w:marBottom w:val="0"/>
              <w:divBdr>
                <w:top w:val="none" w:sz="0" w:space="0" w:color="auto"/>
                <w:left w:val="none" w:sz="0" w:space="0" w:color="auto"/>
                <w:bottom w:val="none" w:sz="0" w:space="0" w:color="auto"/>
                <w:right w:val="none" w:sz="0" w:space="0" w:color="auto"/>
              </w:divBdr>
            </w:div>
            <w:div w:id="220409161">
              <w:marLeft w:val="0"/>
              <w:marRight w:val="0"/>
              <w:marTop w:val="0"/>
              <w:marBottom w:val="0"/>
              <w:divBdr>
                <w:top w:val="none" w:sz="0" w:space="0" w:color="auto"/>
                <w:left w:val="none" w:sz="0" w:space="0" w:color="auto"/>
                <w:bottom w:val="none" w:sz="0" w:space="0" w:color="auto"/>
                <w:right w:val="none" w:sz="0" w:space="0" w:color="auto"/>
              </w:divBdr>
            </w:div>
            <w:div w:id="238490260">
              <w:marLeft w:val="0"/>
              <w:marRight w:val="0"/>
              <w:marTop w:val="0"/>
              <w:marBottom w:val="0"/>
              <w:divBdr>
                <w:top w:val="none" w:sz="0" w:space="0" w:color="auto"/>
                <w:left w:val="none" w:sz="0" w:space="0" w:color="auto"/>
                <w:bottom w:val="none" w:sz="0" w:space="0" w:color="auto"/>
                <w:right w:val="none" w:sz="0" w:space="0" w:color="auto"/>
              </w:divBdr>
            </w:div>
            <w:div w:id="341204982">
              <w:marLeft w:val="0"/>
              <w:marRight w:val="0"/>
              <w:marTop w:val="0"/>
              <w:marBottom w:val="0"/>
              <w:divBdr>
                <w:top w:val="none" w:sz="0" w:space="0" w:color="auto"/>
                <w:left w:val="none" w:sz="0" w:space="0" w:color="auto"/>
                <w:bottom w:val="none" w:sz="0" w:space="0" w:color="auto"/>
                <w:right w:val="none" w:sz="0" w:space="0" w:color="auto"/>
              </w:divBdr>
            </w:div>
            <w:div w:id="356123203">
              <w:marLeft w:val="0"/>
              <w:marRight w:val="0"/>
              <w:marTop w:val="0"/>
              <w:marBottom w:val="0"/>
              <w:divBdr>
                <w:top w:val="none" w:sz="0" w:space="0" w:color="auto"/>
                <w:left w:val="none" w:sz="0" w:space="0" w:color="auto"/>
                <w:bottom w:val="none" w:sz="0" w:space="0" w:color="auto"/>
                <w:right w:val="none" w:sz="0" w:space="0" w:color="auto"/>
              </w:divBdr>
            </w:div>
            <w:div w:id="381253844">
              <w:marLeft w:val="0"/>
              <w:marRight w:val="0"/>
              <w:marTop w:val="0"/>
              <w:marBottom w:val="0"/>
              <w:divBdr>
                <w:top w:val="none" w:sz="0" w:space="0" w:color="auto"/>
                <w:left w:val="none" w:sz="0" w:space="0" w:color="auto"/>
                <w:bottom w:val="none" w:sz="0" w:space="0" w:color="auto"/>
                <w:right w:val="none" w:sz="0" w:space="0" w:color="auto"/>
              </w:divBdr>
            </w:div>
            <w:div w:id="400910119">
              <w:marLeft w:val="0"/>
              <w:marRight w:val="0"/>
              <w:marTop w:val="0"/>
              <w:marBottom w:val="0"/>
              <w:divBdr>
                <w:top w:val="none" w:sz="0" w:space="0" w:color="auto"/>
                <w:left w:val="none" w:sz="0" w:space="0" w:color="auto"/>
                <w:bottom w:val="none" w:sz="0" w:space="0" w:color="auto"/>
                <w:right w:val="none" w:sz="0" w:space="0" w:color="auto"/>
              </w:divBdr>
            </w:div>
            <w:div w:id="973827595">
              <w:marLeft w:val="0"/>
              <w:marRight w:val="0"/>
              <w:marTop w:val="0"/>
              <w:marBottom w:val="0"/>
              <w:divBdr>
                <w:top w:val="none" w:sz="0" w:space="0" w:color="auto"/>
                <w:left w:val="none" w:sz="0" w:space="0" w:color="auto"/>
                <w:bottom w:val="none" w:sz="0" w:space="0" w:color="auto"/>
                <w:right w:val="none" w:sz="0" w:space="0" w:color="auto"/>
              </w:divBdr>
            </w:div>
            <w:div w:id="986516351">
              <w:marLeft w:val="0"/>
              <w:marRight w:val="0"/>
              <w:marTop w:val="0"/>
              <w:marBottom w:val="0"/>
              <w:divBdr>
                <w:top w:val="none" w:sz="0" w:space="0" w:color="auto"/>
                <w:left w:val="none" w:sz="0" w:space="0" w:color="auto"/>
                <w:bottom w:val="none" w:sz="0" w:space="0" w:color="auto"/>
                <w:right w:val="none" w:sz="0" w:space="0" w:color="auto"/>
              </w:divBdr>
            </w:div>
            <w:div w:id="1035501268">
              <w:marLeft w:val="0"/>
              <w:marRight w:val="0"/>
              <w:marTop w:val="0"/>
              <w:marBottom w:val="0"/>
              <w:divBdr>
                <w:top w:val="none" w:sz="0" w:space="0" w:color="auto"/>
                <w:left w:val="none" w:sz="0" w:space="0" w:color="auto"/>
                <w:bottom w:val="none" w:sz="0" w:space="0" w:color="auto"/>
                <w:right w:val="none" w:sz="0" w:space="0" w:color="auto"/>
              </w:divBdr>
            </w:div>
            <w:div w:id="1054474343">
              <w:marLeft w:val="0"/>
              <w:marRight w:val="0"/>
              <w:marTop w:val="0"/>
              <w:marBottom w:val="0"/>
              <w:divBdr>
                <w:top w:val="none" w:sz="0" w:space="0" w:color="auto"/>
                <w:left w:val="none" w:sz="0" w:space="0" w:color="auto"/>
                <w:bottom w:val="none" w:sz="0" w:space="0" w:color="auto"/>
                <w:right w:val="none" w:sz="0" w:space="0" w:color="auto"/>
              </w:divBdr>
            </w:div>
            <w:div w:id="1086875540">
              <w:marLeft w:val="0"/>
              <w:marRight w:val="0"/>
              <w:marTop w:val="0"/>
              <w:marBottom w:val="0"/>
              <w:divBdr>
                <w:top w:val="none" w:sz="0" w:space="0" w:color="auto"/>
                <w:left w:val="none" w:sz="0" w:space="0" w:color="auto"/>
                <w:bottom w:val="none" w:sz="0" w:space="0" w:color="auto"/>
                <w:right w:val="none" w:sz="0" w:space="0" w:color="auto"/>
              </w:divBdr>
            </w:div>
            <w:div w:id="1316228000">
              <w:marLeft w:val="0"/>
              <w:marRight w:val="0"/>
              <w:marTop w:val="0"/>
              <w:marBottom w:val="0"/>
              <w:divBdr>
                <w:top w:val="none" w:sz="0" w:space="0" w:color="auto"/>
                <w:left w:val="none" w:sz="0" w:space="0" w:color="auto"/>
                <w:bottom w:val="none" w:sz="0" w:space="0" w:color="auto"/>
                <w:right w:val="none" w:sz="0" w:space="0" w:color="auto"/>
              </w:divBdr>
            </w:div>
            <w:div w:id="1347253063">
              <w:marLeft w:val="0"/>
              <w:marRight w:val="0"/>
              <w:marTop w:val="0"/>
              <w:marBottom w:val="0"/>
              <w:divBdr>
                <w:top w:val="none" w:sz="0" w:space="0" w:color="auto"/>
                <w:left w:val="none" w:sz="0" w:space="0" w:color="auto"/>
                <w:bottom w:val="none" w:sz="0" w:space="0" w:color="auto"/>
                <w:right w:val="none" w:sz="0" w:space="0" w:color="auto"/>
              </w:divBdr>
            </w:div>
            <w:div w:id="1354965551">
              <w:marLeft w:val="0"/>
              <w:marRight w:val="0"/>
              <w:marTop w:val="0"/>
              <w:marBottom w:val="0"/>
              <w:divBdr>
                <w:top w:val="none" w:sz="0" w:space="0" w:color="auto"/>
                <w:left w:val="none" w:sz="0" w:space="0" w:color="auto"/>
                <w:bottom w:val="none" w:sz="0" w:space="0" w:color="auto"/>
                <w:right w:val="none" w:sz="0" w:space="0" w:color="auto"/>
              </w:divBdr>
            </w:div>
            <w:div w:id="1380861053">
              <w:marLeft w:val="0"/>
              <w:marRight w:val="0"/>
              <w:marTop w:val="0"/>
              <w:marBottom w:val="0"/>
              <w:divBdr>
                <w:top w:val="none" w:sz="0" w:space="0" w:color="auto"/>
                <w:left w:val="none" w:sz="0" w:space="0" w:color="auto"/>
                <w:bottom w:val="none" w:sz="0" w:space="0" w:color="auto"/>
                <w:right w:val="none" w:sz="0" w:space="0" w:color="auto"/>
              </w:divBdr>
            </w:div>
            <w:div w:id="1394160313">
              <w:marLeft w:val="0"/>
              <w:marRight w:val="0"/>
              <w:marTop w:val="0"/>
              <w:marBottom w:val="0"/>
              <w:divBdr>
                <w:top w:val="none" w:sz="0" w:space="0" w:color="auto"/>
                <w:left w:val="none" w:sz="0" w:space="0" w:color="auto"/>
                <w:bottom w:val="none" w:sz="0" w:space="0" w:color="auto"/>
                <w:right w:val="none" w:sz="0" w:space="0" w:color="auto"/>
              </w:divBdr>
            </w:div>
            <w:div w:id="1527980118">
              <w:marLeft w:val="0"/>
              <w:marRight w:val="0"/>
              <w:marTop w:val="0"/>
              <w:marBottom w:val="0"/>
              <w:divBdr>
                <w:top w:val="none" w:sz="0" w:space="0" w:color="auto"/>
                <w:left w:val="none" w:sz="0" w:space="0" w:color="auto"/>
                <w:bottom w:val="none" w:sz="0" w:space="0" w:color="auto"/>
                <w:right w:val="none" w:sz="0" w:space="0" w:color="auto"/>
              </w:divBdr>
            </w:div>
            <w:div w:id="1803648211">
              <w:marLeft w:val="0"/>
              <w:marRight w:val="0"/>
              <w:marTop w:val="0"/>
              <w:marBottom w:val="0"/>
              <w:divBdr>
                <w:top w:val="none" w:sz="0" w:space="0" w:color="auto"/>
                <w:left w:val="none" w:sz="0" w:space="0" w:color="auto"/>
                <w:bottom w:val="none" w:sz="0" w:space="0" w:color="auto"/>
                <w:right w:val="none" w:sz="0" w:space="0" w:color="auto"/>
              </w:divBdr>
            </w:div>
            <w:div w:id="1889106933">
              <w:marLeft w:val="0"/>
              <w:marRight w:val="0"/>
              <w:marTop w:val="0"/>
              <w:marBottom w:val="0"/>
              <w:divBdr>
                <w:top w:val="none" w:sz="0" w:space="0" w:color="auto"/>
                <w:left w:val="none" w:sz="0" w:space="0" w:color="auto"/>
                <w:bottom w:val="none" w:sz="0" w:space="0" w:color="auto"/>
                <w:right w:val="none" w:sz="0" w:space="0" w:color="auto"/>
              </w:divBdr>
            </w:div>
            <w:div w:id="1898781229">
              <w:marLeft w:val="0"/>
              <w:marRight w:val="0"/>
              <w:marTop w:val="0"/>
              <w:marBottom w:val="0"/>
              <w:divBdr>
                <w:top w:val="none" w:sz="0" w:space="0" w:color="auto"/>
                <w:left w:val="none" w:sz="0" w:space="0" w:color="auto"/>
                <w:bottom w:val="none" w:sz="0" w:space="0" w:color="auto"/>
                <w:right w:val="none" w:sz="0" w:space="0" w:color="auto"/>
              </w:divBdr>
            </w:div>
            <w:div w:id="1978487853">
              <w:marLeft w:val="0"/>
              <w:marRight w:val="0"/>
              <w:marTop w:val="0"/>
              <w:marBottom w:val="0"/>
              <w:divBdr>
                <w:top w:val="none" w:sz="0" w:space="0" w:color="auto"/>
                <w:left w:val="none" w:sz="0" w:space="0" w:color="auto"/>
                <w:bottom w:val="none" w:sz="0" w:space="0" w:color="auto"/>
                <w:right w:val="none" w:sz="0" w:space="0" w:color="auto"/>
              </w:divBdr>
            </w:div>
            <w:div w:id="2005278489">
              <w:marLeft w:val="0"/>
              <w:marRight w:val="0"/>
              <w:marTop w:val="0"/>
              <w:marBottom w:val="0"/>
              <w:divBdr>
                <w:top w:val="none" w:sz="0" w:space="0" w:color="auto"/>
                <w:left w:val="none" w:sz="0" w:space="0" w:color="auto"/>
                <w:bottom w:val="none" w:sz="0" w:space="0" w:color="auto"/>
                <w:right w:val="none" w:sz="0" w:space="0" w:color="auto"/>
              </w:divBdr>
            </w:div>
            <w:div w:id="2008703133">
              <w:marLeft w:val="0"/>
              <w:marRight w:val="0"/>
              <w:marTop w:val="0"/>
              <w:marBottom w:val="0"/>
              <w:divBdr>
                <w:top w:val="none" w:sz="0" w:space="0" w:color="auto"/>
                <w:left w:val="none" w:sz="0" w:space="0" w:color="auto"/>
                <w:bottom w:val="none" w:sz="0" w:space="0" w:color="auto"/>
                <w:right w:val="none" w:sz="0" w:space="0" w:color="auto"/>
              </w:divBdr>
            </w:div>
            <w:div w:id="2056737346">
              <w:marLeft w:val="0"/>
              <w:marRight w:val="0"/>
              <w:marTop w:val="0"/>
              <w:marBottom w:val="0"/>
              <w:divBdr>
                <w:top w:val="none" w:sz="0" w:space="0" w:color="auto"/>
                <w:left w:val="none" w:sz="0" w:space="0" w:color="auto"/>
                <w:bottom w:val="none" w:sz="0" w:space="0" w:color="auto"/>
                <w:right w:val="none" w:sz="0" w:space="0" w:color="auto"/>
              </w:divBdr>
            </w:div>
            <w:div w:id="21086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141073985">
      <w:bodyDiv w:val="1"/>
      <w:marLeft w:val="0"/>
      <w:marRight w:val="0"/>
      <w:marTop w:val="0"/>
      <w:marBottom w:val="0"/>
      <w:divBdr>
        <w:top w:val="none" w:sz="0" w:space="0" w:color="auto"/>
        <w:left w:val="none" w:sz="0" w:space="0" w:color="auto"/>
        <w:bottom w:val="none" w:sz="0" w:space="0" w:color="auto"/>
        <w:right w:val="none" w:sz="0" w:space="0" w:color="auto"/>
      </w:divBdr>
    </w:div>
    <w:div w:id="1234437615">
      <w:bodyDiv w:val="1"/>
      <w:marLeft w:val="0"/>
      <w:marRight w:val="0"/>
      <w:marTop w:val="0"/>
      <w:marBottom w:val="0"/>
      <w:divBdr>
        <w:top w:val="none" w:sz="0" w:space="0" w:color="auto"/>
        <w:left w:val="none" w:sz="0" w:space="0" w:color="auto"/>
        <w:bottom w:val="none" w:sz="0" w:space="0" w:color="auto"/>
        <w:right w:val="none" w:sz="0" w:space="0" w:color="auto"/>
      </w:divBdr>
    </w:div>
    <w:div w:id="1263951904">
      <w:bodyDiv w:val="1"/>
      <w:marLeft w:val="0"/>
      <w:marRight w:val="0"/>
      <w:marTop w:val="0"/>
      <w:marBottom w:val="0"/>
      <w:divBdr>
        <w:top w:val="none" w:sz="0" w:space="0" w:color="auto"/>
        <w:left w:val="none" w:sz="0" w:space="0" w:color="auto"/>
        <w:bottom w:val="none" w:sz="0" w:space="0" w:color="auto"/>
        <w:right w:val="none" w:sz="0" w:space="0" w:color="auto"/>
      </w:divBdr>
    </w:div>
    <w:div w:id="1268198925">
      <w:bodyDiv w:val="1"/>
      <w:marLeft w:val="0"/>
      <w:marRight w:val="0"/>
      <w:marTop w:val="0"/>
      <w:marBottom w:val="0"/>
      <w:divBdr>
        <w:top w:val="none" w:sz="0" w:space="0" w:color="auto"/>
        <w:left w:val="none" w:sz="0" w:space="0" w:color="auto"/>
        <w:bottom w:val="none" w:sz="0" w:space="0" w:color="auto"/>
        <w:right w:val="none" w:sz="0" w:space="0" w:color="auto"/>
      </w:divBdr>
    </w:div>
    <w:div w:id="1273829407">
      <w:bodyDiv w:val="1"/>
      <w:marLeft w:val="0"/>
      <w:marRight w:val="0"/>
      <w:marTop w:val="0"/>
      <w:marBottom w:val="0"/>
      <w:divBdr>
        <w:top w:val="none" w:sz="0" w:space="0" w:color="auto"/>
        <w:left w:val="none" w:sz="0" w:space="0" w:color="auto"/>
        <w:bottom w:val="none" w:sz="0" w:space="0" w:color="auto"/>
        <w:right w:val="none" w:sz="0" w:space="0" w:color="auto"/>
      </w:divBdr>
      <w:divsChild>
        <w:div w:id="373316401">
          <w:marLeft w:val="0"/>
          <w:marRight w:val="0"/>
          <w:marTop w:val="0"/>
          <w:marBottom w:val="0"/>
          <w:divBdr>
            <w:top w:val="none" w:sz="0" w:space="0" w:color="auto"/>
            <w:left w:val="none" w:sz="0" w:space="0" w:color="auto"/>
            <w:bottom w:val="none" w:sz="0" w:space="0" w:color="auto"/>
            <w:right w:val="none" w:sz="0" w:space="0" w:color="auto"/>
          </w:divBdr>
        </w:div>
        <w:div w:id="813985699">
          <w:marLeft w:val="0"/>
          <w:marRight w:val="0"/>
          <w:marTop w:val="0"/>
          <w:marBottom w:val="0"/>
          <w:divBdr>
            <w:top w:val="none" w:sz="0" w:space="0" w:color="auto"/>
            <w:left w:val="none" w:sz="0" w:space="0" w:color="auto"/>
            <w:bottom w:val="none" w:sz="0" w:space="0" w:color="auto"/>
            <w:right w:val="none" w:sz="0" w:space="0" w:color="auto"/>
          </w:divBdr>
        </w:div>
        <w:div w:id="968824572">
          <w:marLeft w:val="0"/>
          <w:marRight w:val="0"/>
          <w:marTop w:val="0"/>
          <w:marBottom w:val="0"/>
          <w:divBdr>
            <w:top w:val="none" w:sz="0" w:space="0" w:color="auto"/>
            <w:left w:val="none" w:sz="0" w:space="0" w:color="auto"/>
            <w:bottom w:val="none" w:sz="0" w:space="0" w:color="auto"/>
            <w:right w:val="none" w:sz="0" w:space="0" w:color="auto"/>
          </w:divBdr>
        </w:div>
        <w:div w:id="1291470182">
          <w:marLeft w:val="0"/>
          <w:marRight w:val="0"/>
          <w:marTop w:val="0"/>
          <w:marBottom w:val="0"/>
          <w:divBdr>
            <w:top w:val="none" w:sz="0" w:space="0" w:color="auto"/>
            <w:left w:val="none" w:sz="0" w:space="0" w:color="auto"/>
            <w:bottom w:val="none" w:sz="0" w:space="0" w:color="auto"/>
            <w:right w:val="none" w:sz="0" w:space="0" w:color="auto"/>
          </w:divBdr>
        </w:div>
        <w:div w:id="1546790848">
          <w:marLeft w:val="0"/>
          <w:marRight w:val="0"/>
          <w:marTop w:val="0"/>
          <w:marBottom w:val="0"/>
          <w:divBdr>
            <w:top w:val="none" w:sz="0" w:space="0" w:color="auto"/>
            <w:left w:val="none" w:sz="0" w:space="0" w:color="auto"/>
            <w:bottom w:val="none" w:sz="0" w:space="0" w:color="auto"/>
            <w:right w:val="none" w:sz="0" w:space="0" w:color="auto"/>
          </w:divBdr>
        </w:div>
        <w:div w:id="1918436433">
          <w:marLeft w:val="0"/>
          <w:marRight w:val="0"/>
          <w:marTop w:val="0"/>
          <w:marBottom w:val="0"/>
          <w:divBdr>
            <w:top w:val="none" w:sz="0" w:space="0" w:color="auto"/>
            <w:left w:val="none" w:sz="0" w:space="0" w:color="auto"/>
            <w:bottom w:val="none" w:sz="0" w:space="0" w:color="auto"/>
            <w:right w:val="none" w:sz="0" w:space="0" w:color="auto"/>
          </w:divBdr>
        </w:div>
        <w:div w:id="2030913786">
          <w:marLeft w:val="0"/>
          <w:marRight w:val="0"/>
          <w:marTop w:val="0"/>
          <w:marBottom w:val="0"/>
          <w:divBdr>
            <w:top w:val="none" w:sz="0" w:space="0" w:color="auto"/>
            <w:left w:val="none" w:sz="0" w:space="0" w:color="auto"/>
            <w:bottom w:val="none" w:sz="0" w:space="0" w:color="auto"/>
            <w:right w:val="none" w:sz="0" w:space="0" w:color="auto"/>
          </w:divBdr>
        </w:div>
      </w:divsChild>
    </w:div>
    <w:div w:id="1282031595">
      <w:bodyDiv w:val="1"/>
      <w:marLeft w:val="0"/>
      <w:marRight w:val="0"/>
      <w:marTop w:val="0"/>
      <w:marBottom w:val="0"/>
      <w:divBdr>
        <w:top w:val="none" w:sz="0" w:space="0" w:color="auto"/>
        <w:left w:val="none" w:sz="0" w:space="0" w:color="auto"/>
        <w:bottom w:val="none" w:sz="0" w:space="0" w:color="auto"/>
        <w:right w:val="none" w:sz="0" w:space="0" w:color="auto"/>
      </w:divBdr>
    </w:div>
    <w:div w:id="1360738884">
      <w:bodyDiv w:val="1"/>
      <w:marLeft w:val="0"/>
      <w:marRight w:val="0"/>
      <w:marTop w:val="0"/>
      <w:marBottom w:val="0"/>
      <w:divBdr>
        <w:top w:val="none" w:sz="0" w:space="0" w:color="auto"/>
        <w:left w:val="none" w:sz="0" w:space="0" w:color="auto"/>
        <w:bottom w:val="none" w:sz="0" w:space="0" w:color="auto"/>
        <w:right w:val="none" w:sz="0" w:space="0" w:color="auto"/>
      </w:divBdr>
    </w:div>
    <w:div w:id="1361393135">
      <w:bodyDiv w:val="1"/>
      <w:marLeft w:val="0"/>
      <w:marRight w:val="0"/>
      <w:marTop w:val="0"/>
      <w:marBottom w:val="0"/>
      <w:divBdr>
        <w:top w:val="none" w:sz="0" w:space="0" w:color="auto"/>
        <w:left w:val="none" w:sz="0" w:space="0" w:color="auto"/>
        <w:bottom w:val="none" w:sz="0" w:space="0" w:color="auto"/>
        <w:right w:val="none" w:sz="0" w:space="0" w:color="auto"/>
      </w:divBdr>
    </w:div>
    <w:div w:id="1371568900">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07343107">
      <w:bodyDiv w:val="1"/>
      <w:marLeft w:val="0"/>
      <w:marRight w:val="0"/>
      <w:marTop w:val="0"/>
      <w:marBottom w:val="0"/>
      <w:divBdr>
        <w:top w:val="none" w:sz="0" w:space="0" w:color="auto"/>
        <w:left w:val="none" w:sz="0" w:space="0" w:color="auto"/>
        <w:bottom w:val="none" w:sz="0" w:space="0" w:color="auto"/>
        <w:right w:val="none" w:sz="0" w:space="0" w:color="auto"/>
      </w:divBdr>
    </w:div>
    <w:div w:id="1409502596">
      <w:bodyDiv w:val="1"/>
      <w:marLeft w:val="0"/>
      <w:marRight w:val="0"/>
      <w:marTop w:val="0"/>
      <w:marBottom w:val="0"/>
      <w:divBdr>
        <w:top w:val="none" w:sz="0" w:space="0" w:color="auto"/>
        <w:left w:val="none" w:sz="0" w:space="0" w:color="auto"/>
        <w:bottom w:val="none" w:sz="0" w:space="0" w:color="auto"/>
        <w:right w:val="none" w:sz="0" w:space="0" w:color="auto"/>
      </w:divBdr>
      <w:divsChild>
        <w:div w:id="23095689">
          <w:marLeft w:val="0"/>
          <w:marRight w:val="0"/>
          <w:marTop w:val="0"/>
          <w:marBottom w:val="0"/>
          <w:divBdr>
            <w:top w:val="none" w:sz="0" w:space="0" w:color="auto"/>
            <w:left w:val="none" w:sz="0" w:space="0" w:color="auto"/>
            <w:bottom w:val="none" w:sz="0" w:space="0" w:color="auto"/>
            <w:right w:val="none" w:sz="0" w:space="0" w:color="auto"/>
          </w:divBdr>
        </w:div>
        <w:div w:id="862401485">
          <w:marLeft w:val="0"/>
          <w:marRight w:val="0"/>
          <w:marTop w:val="0"/>
          <w:marBottom w:val="0"/>
          <w:divBdr>
            <w:top w:val="none" w:sz="0" w:space="0" w:color="auto"/>
            <w:left w:val="none" w:sz="0" w:space="0" w:color="auto"/>
            <w:bottom w:val="none" w:sz="0" w:space="0" w:color="auto"/>
            <w:right w:val="none" w:sz="0" w:space="0" w:color="auto"/>
          </w:divBdr>
        </w:div>
        <w:div w:id="1223298437">
          <w:marLeft w:val="0"/>
          <w:marRight w:val="0"/>
          <w:marTop w:val="0"/>
          <w:marBottom w:val="0"/>
          <w:divBdr>
            <w:top w:val="none" w:sz="0" w:space="0" w:color="auto"/>
            <w:left w:val="none" w:sz="0" w:space="0" w:color="auto"/>
            <w:bottom w:val="none" w:sz="0" w:space="0" w:color="auto"/>
            <w:right w:val="none" w:sz="0" w:space="0" w:color="auto"/>
          </w:divBdr>
        </w:div>
        <w:div w:id="1303537646">
          <w:marLeft w:val="0"/>
          <w:marRight w:val="0"/>
          <w:marTop w:val="0"/>
          <w:marBottom w:val="0"/>
          <w:divBdr>
            <w:top w:val="none" w:sz="0" w:space="0" w:color="auto"/>
            <w:left w:val="none" w:sz="0" w:space="0" w:color="auto"/>
            <w:bottom w:val="none" w:sz="0" w:space="0" w:color="auto"/>
            <w:right w:val="none" w:sz="0" w:space="0" w:color="auto"/>
          </w:divBdr>
        </w:div>
        <w:div w:id="1318530221">
          <w:marLeft w:val="0"/>
          <w:marRight w:val="0"/>
          <w:marTop w:val="0"/>
          <w:marBottom w:val="0"/>
          <w:divBdr>
            <w:top w:val="none" w:sz="0" w:space="0" w:color="auto"/>
            <w:left w:val="none" w:sz="0" w:space="0" w:color="auto"/>
            <w:bottom w:val="none" w:sz="0" w:space="0" w:color="auto"/>
            <w:right w:val="none" w:sz="0" w:space="0" w:color="auto"/>
          </w:divBdr>
        </w:div>
        <w:div w:id="1415662333">
          <w:marLeft w:val="0"/>
          <w:marRight w:val="0"/>
          <w:marTop w:val="0"/>
          <w:marBottom w:val="0"/>
          <w:divBdr>
            <w:top w:val="none" w:sz="0" w:space="0" w:color="auto"/>
            <w:left w:val="none" w:sz="0" w:space="0" w:color="auto"/>
            <w:bottom w:val="none" w:sz="0" w:space="0" w:color="auto"/>
            <w:right w:val="none" w:sz="0" w:space="0" w:color="auto"/>
          </w:divBdr>
        </w:div>
        <w:div w:id="1506633410">
          <w:marLeft w:val="0"/>
          <w:marRight w:val="0"/>
          <w:marTop w:val="0"/>
          <w:marBottom w:val="0"/>
          <w:divBdr>
            <w:top w:val="none" w:sz="0" w:space="0" w:color="auto"/>
            <w:left w:val="none" w:sz="0" w:space="0" w:color="auto"/>
            <w:bottom w:val="none" w:sz="0" w:space="0" w:color="auto"/>
            <w:right w:val="none" w:sz="0" w:space="0" w:color="auto"/>
          </w:divBdr>
        </w:div>
        <w:div w:id="1582833932">
          <w:marLeft w:val="0"/>
          <w:marRight w:val="0"/>
          <w:marTop w:val="0"/>
          <w:marBottom w:val="0"/>
          <w:divBdr>
            <w:top w:val="none" w:sz="0" w:space="0" w:color="auto"/>
            <w:left w:val="none" w:sz="0" w:space="0" w:color="auto"/>
            <w:bottom w:val="none" w:sz="0" w:space="0" w:color="auto"/>
            <w:right w:val="none" w:sz="0" w:space="0" w:color="auto"/>
          </w:divBdr>
        </w:div>
        <w:div w:id="1805387149">
          <w:marLeft w:val="0"/>
          <w:marRight w:val="0"/>
          <w:marTop w:val="0"/>
          <w:marBottom w:val="0"/>
          <w:divBdr>
            <w:top w:val="none" w:sz="0" w:space="0" w:color="auto"/>
            <w:left w:val="none" w:sz="0" w:space="0" w:color="auto"/>
            <w:bottom w:val="none" w:sz="0" w:space="0" w:color="auto"/>
            <w:right w:val="none" w:sz="0" w:space="0" w:color="auto"/>
          </w:divBdr>
        </w:div>
        <w:div w:id="2004578772">
          <w:marLeft w:val="0"/>
          <w:marRight w:val="0"/>
          <w:marTop w:val="0"/>
          <w:marBottom w:val="0"/>
          <w:divBdr>
            <w:top w:val="none" w:sz="0" w:space="0" w:color="auto"/>
            <w:left w:val="none" w:sz="0" w:space="0" w:color="auto"/>
            <w:bottom w:val="none" w:sz="0" w:space="0" w:color="auto"/>
            <w:right w:val="none" w:sz="0" w:space="0" w:color="auto"/>
          </w:divBdr>
        </w:div>
        <w:div w:id="2050689951">
          <w:marLeft w:val="0"/>
          <w:marRight w:val="0"/>
          <w:marTop w:val="0"/>
          <w:marBottom w:val="0"/>
          <w:divBdr>
            <w:top w:val="none" w:sz="0" w:space="0" w:color="auto"/>
            <w:left w:val="none" w:sz="0" w:space="0" w:color="auto"/>
            <w:bottom w:val="none" w:sz="0" w:space="0" w:color="auto"/>
            <w:right w:val="none" w:sz="0" w:space="0" w:color="auto"/>
          </w:divBdr>
        </w:div>
        <w:div w:id="2086023691">
          <w:marLeft w:val="0"/>
          <w:marRight w:val="0"/>
          <w:marTop w:val="0"/>
          <w:marBottom w:val="0"/>
          <w:divBdr>
            <w:top w:val="none" w:sz="0" w:space="0" w:color="auto"/>
            <w:left w:val="none" w:sz="0" w:space="0" w:color="auto"/>
            <w:bottom w:val="none" w:sz="0" w:space="0" w:color="auto"/>
            <w:right w:val="none" w:sz="0" w:space="0" w:color="auto"/>
          </w:divBdr>
        </w:div>
      </w:divsChild>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24522947">
      <w:bodyDiv w:val="1"/>
      <w:marLeft w:val="0"/>
      <w:marRight w:val="0"/>
      <w:marTop w:val="0"/>
      <w:marBottom w:val="0"/>
      <w:divBdr>
        <w:top w:val="none" w:sz="0" w:space="0" w:color="auto"/>
        <w:left w:val="none" w:sz="0" w:space="0" w:color="auto"/>
        <w:bottom w:val="none" w:sz="0" w:space="0" w:color="auto"/>
        <w:right w:val="none" w:sz="0" w:space="0" w:color="auto"/>
      </w:divBdr>
    </w:div>
    <w:div w:id="1432162613">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10681961">
      <w:bodyDiv w:val="1"/>
      <w:marLeft w:val="0"/>
      <w:marRight w:val="0"/>
      <w:marTop w:val="0"/>
      <w:marBottom w:val="0"/>
      <w:divBdr>
        <w:top w:val="none" w:sz="0" w:space="0" w:color="auto"/>
        <w:left w:val="none" w:sz="0" w:space="0" w:color="auto"/>
        <w:bottom w:val="none" w:sz="0" w:space="0" w:color="auto"/>
        <w:right w:val="none" w:sz="0" w:space="0" w:color="auto"/>
      </w:divBdr>
    </w:div>
    <w:div w:id="1511407061">
      <w:bodyDiv w:val="1"/>
      <w:marLeft w:val="0"/>
      <w:marRight w:val="0"/>
      <w:marTop w:val="0"/>
      <w:marBottom w:val="0"/>
      <w:divBdr>
        <w:top w:val="none" w:sz="0" w:space="0" w:color="auto"/>
        <w:left w:val="none" w:sz="0" w:space="0" w:color="auto"/>
        <w:bottom w:val="none" w:sz="0" w:space="0" w:color="auto"/>
        <w:right w:val="none" w:sz="0" w:space="0" w:color="auto"/>
      </w:divBdr>
    </w:div>
    <w:div w:id="1559824118">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689789278">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33968810">
      <w:bodyDiv w:val="1"/>
      <w:marLeft w:val="0"/>
      <w:marRight w:val="0"/>
      <w:marTop w:val="0"/>
      <w:marBottom w:val="0"/>
      <w:divBdr>
        <w:top w:val="none" w:sz="0" w:space="0" w:color="auto"/>
        <w:left w:val="none" w:sz="0" w:space="0" w:color="auto"/>
        <w:bottom w:val="none" w:sz="0" w:space="0" w:color="auto"/>
        <w:right w:val="none" w:sz="0" w:space="0" w:color="auto"/>
      </w:divBdr>
    </w:div>
    <w:div w:id="1745182286">
      <w:bodyDiv w:val="1"/>
      <w:marLeft w:val="0"/>
      <w:marRight w:val="0"/>
      <w:marTop w:val="0"/>
      <w:marBottom w:val="0"/>
      <w:divBdr>
        <w:top w:val="none" w:sz="0" w:space="0" w:color="auto"/>
        <w:left w:val="none" w:sz="0" w:space="0" w:color="auto"/>
        <w:bottom w:val="none" w:sz="0" w:space="0" w:color="auto"/>
        <w:right w:val="none" w:sz="0" w:space="0" w:color="auto"/>
      </w:divBdr>
    </w:div>
    <w:div w:id="1812094146">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42429346">
      <w:bodyDiv w:val="1"/>
      <w:marLeft w:val="0"/>
      <w:marRight w:val="0"/>
      <w:marTop w:val="0"/>
      <w:marBottom w:val="0"/>
      <w:divBdr>
        <w:top w:val="none" w:sz="0" w:space="0" w:color="auto"/>
        <w:left w:val="none" w:sz="0" w:space="0" w:color="auto"/>
        <w:bottom w:val="none" w:sz="0" w:space="0" w:color="auto"/>
        <w:right w:val="none" w:sz="0" w:space="0" w:color="auto"/>
      </w:divBdr>
    </w:div>
    <w:div w:id="1853839995">
      <w:bodyDiv w:val="1"/>
      <w:marLeft w:val="0"/>
      <w:marRight w:val="0"/>
      <w:marTop w:val="0"/>
      <w:marBottom w:val="0"/>
      <w:divBdr>
        <w:top w:val="none" w:sz="0" w:space="0" w:color="auto"/>
        <w:left w:val="none" w:sz="0" w:space="0" w:color="auto"/>
        <w:bottom w:val="none" w:sz="0" w:space="0" w:color="auto"/>
        <w:right w:val="none" w:sz="0" w:space="0" w:color="auto"/>
      </w:divBdr>
    </w:div>
    <w:div w:id="1862627866">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36591861">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79408212">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1997104986">
      <w:bodyDiv w:val="1"/>
      <w:marLeft w:val="0"/>
      <w:marRight w:val="0"/>
      <w:marTop w:val="0"/>
      <w:marBottom w:val="0"/>
      <w:divBdr>
        <w:top w:val="none" w:sz="0" w:space="0" w:color="auto"/>
        <w:left w:val="none" w:sz="0" w:space="0" w:color="auto"/>
        <w:bottom w:val="none" w:sz="0" w:space="0" w:color="auto"/>
        <w:right w:val="none" w:sz="0" w:space="0" w:color="auto"/>
      </w:divBdr>
    </w:div>
    <w:div w:id="2001423098">
      <w:bodyDiv w:val="1"/>
      <w:marLeft w:val="0"/>
      <w:marRight w:val="0"/>
      <w:marTop w:val="0"/>
      <w:marBottom w:val="0"/>
      <w:divBdr>
        <w:top w:val="none" w:sz="0" w:space="0" w:color="auto"/>
        <w:left w:val="none" w:sz="0" w:space="0" w:color="auto"/>
        <w:bottom w:val="none" w:sz="0" w:space="0" w:color="auto"/>
        <w:right w:val="none" w:sz="0" w:space="0" w:color="auto"/>
      </w:divBdr>
    </w:div>
    <w:div w:id="2019648269">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054840184">
      <w:bodyDiv w:val="1"/>
      <w:marLeft w:val="0"/>
      <w:marRight w:val="0"/>
      <w:marTop w:val="0"/>
      <w:marBottom w:val="0"/>
      <w:divBdr>
        <w:top w:val="none" w:sz="0" w:space="0" w:color="auto"/>
        <w:left w:val="none" w:sz="0" w:space="0" w:color="auto"/>
        <w:bottom w:val="none" w:sz="0" w:space="0" w:color="auto"/>
        <w:right w:val="none" w:sz="0" w:space="0" w:color="auto"/>
      </w:divBdr>
    </w:div>
    <w:div w:id="2081900471">
      <w:bodyDiv w:val="1"/>
      <w:marLeft w:val="0"/>
      <w:marRight w:val="0"/>
      <w:marTop w:val="0"/>
      <w:marBottom w:val="0"/>
      <w:divBdr>
        <w:top w:val="none" w:sz="0" w:space="0" w:color="auto"/>
        <w:left w:val="none" w:sz="0" w:space="0" w:color="auto"/>
        <w:bottom w:val="none" w:sz="0" w:space="0" w:color="auto"/>
        <w:right w:val="none" w:sz="0" w:space="0" w:color="auto"/>
      </w:divBdr>
    </w:div>
    <w:div w:id="2092964444">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330E1-F33B-4C4F-B978-25E198F08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FBAE3-5737-4AB5-9AE9-94170D9AA4BA}">
  <ds:schemaRefs>
    <ds:schemaRef ds:uri="http://schemas.microsoft.com/sharepoint/v3/contenttype/forms"/>
  </ds:schemaRefs>
</ds:datastoreItem>
</file>

<file path=customXml/itemProps3.xml><?xml version="1.0" encoding="utf-8"?>
<ds:datastoreItem xmlns:ds="http://schemas.openxmlformats.org/officeDocument/2006/customXml" ds:itemID="{D8D24484-F13B-49C9-AE78-C05C42F5C8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ABDE3E-1050-4185-AFBF-280298AB2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11374</Words>
  <Characters>58703</Characters>
  <Application>Microsoft Office Word</Application>
  <DocSecurity>0</DocSecurity>
  <Lines>489</Lines>
  <Paragraphs>139</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69938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Silvia Juliana Saavedra Arguello</cp:lastModifiedBy>
  <cp:revision>3</cp:revision>
  <cp:lastPrinted>2017-03-27T19:12:00Z</cp:lastPrinted>
  <dcterms:created xsi:type="dcterms:W3CDTF">2020-06-04T15:24:00Z</dcterms:created>
  <dcterms:modified xsi:type="dcterms:W3CDTF">2020-06-05T21:25:00Z</dcterms:modified>
</cp:coreProperties>
</file>