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4F7C4" w14:textId="708F7A14" w:rsidR="003D0E5C" w:rsidRPr="006455DE" w:rsidRDefault="004F337B" w:rsidP="003D0E5C">
      <w:pPr>
        <w:pStyle w:val="Ttulo1"/>
        <w:spacing w:line="240" w:lineRule="auto"/>
        <w:ind w:left="708" w:hanging="708"/>
        <w:jc w:val="both"/>
        <w:rPr>
          <w:rFonts w:ascii="Arial" w:hAnsi="Arial" w:cs="Arial"/>
          <w:color w:val="1D1B11"/>
          <w:sz w:val="22"/>
          <w:szCs w:val="22"/>
          <w:lang w:val="es-CO"/>
        </w:rPr>
      </w:pPr>
      <w:r w:rsidRPr="006455DE">
        <w:rPr>
          <w:rFonts w:ascii="Arial" w:hAnsi="Arial" w:cs="Arial"/>
          <w:color w:val="1D1B11"/>
          <w:sz w:val="22"/>
          <w:szCs w:val="22"/>
          <w:lang w:val="es-CO"/>
        </w:rPr>
        <w:t>APELACIÓN</w:t>
      </w:r>
      <w:r w:rsidR="006455DE">
        <w:rPr>
          <w:rFonts w:ascii="Arial" w:hAnsi="Arial" w:cs="Arial"/>
          <w:color w:val="1D1B11"/>
          <w:sz w:val="22"/>
          <w:szCs w:val="22"/>
          <w:lang w:val="es-CO"/>
        </w:rPr>
        <w:t xml:space="preserve"> </w:t>
      </w:r>
      <w:r w:rsidRPr="006455DE">
        <w:rPr>
          <w:rFonts w:ascii="Arial" w:hAnsi="Arial" w:cs="Arial"/>
          <w:color w:val="1D1B11"/>
          <w:sz w:val="22"/>
          <w:szCs w:val="22"/>
          <w:lang w:val="es-CO"/>
        </w:rPr>
        <w:t>–</w:t>
      </w:r>
      <w:r w:rsidR="006455DE">
        <w:rPr>
          <w:rFonts w:ascii="Arial" w:hAnsi="Arial" w:cs="Arial"/>
          <w:color w:val="1D1B11"/>
          <w:sz w:val="22"/>
          <w:szCs w:val="22"/>
          <w:lang w:val="es-CO"/>
        </w:rPr>
        <w:t xml:space="preserve"> </w:t>
      </w:r>
      <w:r w:rsidRPr="006455DE">
        <w:rPr>
          <w:rFonts w:ascii="Arial" w:hAnsi="Arial" w:cs="Arial"/>
          <w:color w:val="1D1B11"/>
          <w:sz w:val="22"/>
          <w:szCs w:val="22"/>
          <w:lang w:val="es-CO"/>
        </w:rPr>
        <w:t>C</w:t>
      </w:r>
      <w:r w:rsidR="003D0E5C" w:rsidRPr="006455DE">
        <w:rPr>
          <w:rFonts w:ascii="Arial" w:hAnsi="Arial" w:cs="Arial"/>
          <w:color w:val="1D1B11"/>
          <w:sz w:val="22"/>
          <w:szCs w:val="22"/>
          <w:lang w:val="es-CO"/>
        </w:rPr>
        <w:t>ompetencia</w:t>
      </w:r>
      <w:r w:rsidRPr="006455DE">
        <w:rPr>
          <w:rFonts w:ascii="Arial" w:hAnsi="Arial" w:cs="Arial"/>
          <w:color w:val="1D1B11"/>
          <w:sz w:val="22"/>
          <w:szCs w:val="22"/>
          <w:lang w:val="es-CO"/>
        </w:rPr>
        <w:t xml:space="preserve"> del Consejo de Estado</w:t>
      </w:r>
    </w:p>
    <w:p w14:paraId="5711E714" w14:textId="77777777" w:rsidR="003D0E5C" w:rsidRPr="006455DE" w:rsidRDefault="003D0E5C" w:rsidP="003D0E5C">
      <w:pPr>
        <w:pStyle w:val="Ttulo1"/>
        <w:spacing w:line="240" w:lineRule="auto"/>
        <w:ind w:left="708" w:hanging="708"/>
        <w:jc w:val="both"/>
        <w:rPr>
          <w:rFonts w:ascii="Arial" w:hAnsi="Arial" w:cs="Arial"/>
          <w:b w:val="0"/>
          <w:color w:val="1D1B11"/>
          <w:sz w:val="22"/>
          <w:szCs w:val="22"/>
          <w:lang w:val="es-CO"/>
        </w:rPr>
      </w:pPr>
    </w:p>
    <w:p w14:paraId="39B8B96D" w14:textId="3621140D" w:rsidR="003D0E5C" w:rsidRPr="006455DE" w:rsidRDefault="004F337B" w:rsidP="003D0E5C">
      <w:pPr>
        <w:pStyle w:val="Ttulo1"/>
        <w:spacing w:line="240" w:lineRule="auto"/>
        <w:jc w:val="both"/>
        <w:rPr>
          <w:rFonts w:ascii="Arial" w:hAnsi="Arial" w:cs="Arial"/>
          <w:color w:val="1D1B11"/>
          <w:sz w:val="22"/>
          <w:szCs w:val="22"/>
        </w:rPr>
      </w:pPr>
      <w:r w:rsidRPr="006455DE">
        <w:rPr>
          <w:rFonts w:ascii="Arial" w:hAnsi="Arial" w:cs="Arial"/>
          <w:b w:val="0"/>
          <w:color w:val="1D1B11"/>
          <w:sz w:val="22"/>
          <w:szCs w:val="22"/>
        </w:rPr>
        <w:t xml:space="preserve">La </w:t>
      </w:r>
      <w:r w:rsidR="003D0E5C" w:rsidRPr="006455DE">
        <w:rPr>
          <w:rFonts w:ascii="Arial" w:hAnsi="Arial" w:cs="Arial"/>
          <w:b w:val="0"/>
          <w:color w:val="1D1B11"/>
          <w:sz w:val="22"/>
          <w:szCs w:val="22"/>
        </w:rPr>
        <w:t>Sala es competente para decidir el presente asunto, por tratarse de una providencia mediante la cual el Tribunal Administrativo de Risaralda declaró no probada la excepción de falta de jurisdicción, en un proceso cuya segunda instancia le corresponde resolver a esta Corporación, como lo disponen los artículos 125,150 y 180 numeral 6 del C.P.A.C.A.</w:t>
      </w:r>
    </w:p>
    <w:p w14:paraId="7EAE64BC" w14:textId="77777777" w:rsidR="004F337B" w:rsidRPr="006455DE" w:rsidRDefault="004F337B" w:rsidP="003D0E5C">
      <w:pPr>
        <w:pStyle w:val="Ttulo1"/>
        <w:spacing w:line="240" w:lineRule="auto"/>
        <w:jc w:val="both"/>
        <w:rPr>
          <w:rFonts w:ascii="Arial" w:hAnsi="Arial" w:cs="Arial"/>
          <w:color w:val="1D1B11"/>
          <w:sz w:val="22"/>
          <w:szCs w:val="22"/>
        </w:rPr>
      </w:pPr>
    </w:p>
    <w:p w14:paraId="035B6DD9" w14:textId="77777777" w:rsidR="003D0E5C" w:rsidRPr="006455DE" w:rsidRDefault="00C11472" w:rsidP="003D0E5C">
      <w:pPr>
        <w:pStyle w:val="Ttulo1"/>
        <w:spacing w:line="240" w:lineRule="auto"/>
        <w:jc w:val="both"/>
        <w:rPr>
          <w:rFonts w:ascii="Arial" w:hAnsi="Arial" w:cs="Arial"/>
          <w:b w:val="0"/>
          <w:color w:val="1D1B11"/>
          <w:sz w:val="22"/>
          <w:szCs w:val="22"/>
          <w:lang w:val="es-CO"/>
        </w:rPr>
      </w:pPr>
      <w:r w:rsidRPr="006455DE">
        <w:rPr>
          <w:rFonts w:ascii="Arial" w:hAnsi="Arial" w:cs="Arial"/>
          <w:color w:val="1D1B11"/>
          <w:sz w:val="22"/>
          <w:szCs w:val="22"/>
          <w:lang w:val="es-CO"/>
        </w:rPr>
        <w:t>PÓLIZA DE SEGUROS –</w:t>
      </w:r>
      <w:r w:rsidR="003D0E5C" w:rsidRPr="006455DE">
        <w:rPr>
          <w:rFonts w:ascii="Arial" w:eastAsia="Calibri" w:hAnsi="Arial" w:cs="Arial"/>
          <w:sz w:val="22"/>
          <w:szCs w:val="22"/>
          <w:lang w:val="es-CO" w:eastAsia="en-US"/>
        </w:rPr>
        <w:t xml:space="preserve"> </w:t>
      </w:r>
      <w:r w:rsidRPr="006455DE">
        <w:rPr>
          <w:rFonts w:ascii="Arial" w:hAnsi="Arial" w:cs="Arial"/>
          <w:color w:val="1D1B11"/>
          <w:sz w:val="22"/>
          <w:szCs w:val="22"/>
          <w:lang w:val="es-CO"/>
        </w:rPr>
        <w:t>Regulación Decreto 734 de 2012</w:t>
      </w:r>
    </w:p>
    <w:p w14:paraId="6591C086" w14:textId="77777777" w:rsidR="003D0E5C" w:rsidRPr="006455DE" w:rsidRDefault="003D0E5C" w:rsidP="003D0E5C">
      <w:pPr>
        <w:pStyle w:val="Ttulo1"/>
        <w:spacing w:line="240" w:lineRule="auto"/>
        <w:jc w:val="both"/>
        <w:rPr>
          <w:rFonts w:ascii="Arial" w:hAnsi="Arial" w:cs="Arial"/>
          <w:color w:val="1D1B11"/>
          <w:sz w:val="22"/>
          <w:szCs w:val="22"/>
          <w:lang w:val="es-CO"/>
        </w:rPr>
      </w:pPr>
    </w:p>
    <w:p w14:paraId="742D8F64" w14:textId="3AB7BED7" w:rsidR="003D0E5C" w:rsidRPr="006455DE" w:rsidRDefault="003D0E5C" w:rsidP="006455DE">
      <w:pPr>
        <w:pStyle w:val="Ttulo1"/>
        <w:spacing w:line="240" w:lineRule="auto"/>
        <w:jc w:val="both"/>
        <w:rPr>
          <w:rFonts w:ascii="Arial" w:hAnsi="Arial" w:cs="Arial"/>
          <w:color w:val="1D1B11"/>
          <w:sz w:val="22"/>
          <w:szCs w:val="22"/>
        </w:rPr>
      </w:pPr>
      <w:r w:rsidRPr="006455DE">
        <w:rPr>
          <w:rFonts w:ascii="Arial" w:hAnsi="Arial" w:cs="Arial"/>
          <w:b w:val="0"/>
          <w:color w:val="1D1B11"/>
          <w:sz w:val="22"/>
          <w:szCs w:val="22"/>
          <w:lang w:val="es-CO"/>
        </w:rPr>
        <w:t>El Decreto 734 de 2012, reglamentario del Estatuto General de la Contratación Pública, regula las garantías que deben prestar los contratistas a las entidades que los contratan…</w:t>
      </w:r>
      <w:r w:rsidR="00C11472" w:rsidRPr="006455DE">
        <w:rPr>
          <w:rFonts w:ascii="Arial" w:hAnsi="Arial" w:cs="Arial"/>
          <w:b w:val="0"/>
          <w:sz w:val="22"/>
          <w:szCs w:val="22"/>
        </w:rPr>
        <w:t>En relación con la póliza de seguros, el mismo decreto señala que no son oponibles a la entidad asegurada las excepciones originadas en la conducta del tomador de la misma…</w:t>
      </w:r>
      <w:r w:rsidRPr="006455DE">
        <w:rPr>
          <w:rFonts w:ascii="Arial" w:hAnsi="Arial" w:cs="Arial"/>
          <w:b w:val="0"/>
          <w:color w:val="1D1B11"/>
          <w:sz w:val="22"/>
          <w:szCs w:val="22"/>
        </w:rPr>
        <w:t>Es de anotar que entre las condiciones generales referidas, no se advierte la sujeción de las controversias, en razón de la responsabilidad de la aseguradora por la realización del riesgo, a la decisión arbitral; de donde si bien las partes podían convenirla era menester pactarlo expresamente.</w:t>
      </w:r>
    </w:p>
    <w:p w14:paraId="12E2DCBA" w14:textId="77777777" w:rsidR="00C11472" w:rsidRPr="006455DE" w:rsidRDefault="00C11472" w:rsidP="003D0E5C">
      <w:pPr>
        <w:pStyle w:val="Ttulo1"/>
        <w:spacing w:line="240" w:lineRule="auto"/>
        <w:jc w:val="both"/>
        <w:rPr>
          <w:rFonts w:ascii="Arial" w:hAnsi="Arial" w:cs="Arial"/>
          <w:color w:val="1D1B11"/>
          <w:sz w:val="22"/>
          <w:szCs w:val="22"/>
          <w:lang w:val="es-CO"/>
        </w:rPr>
      </w:pPr>
    </w:p>
    <w:p w14:paraId="243A868A" w14:textId="6980D58B" w:rsidR="003D0E5C" w:rsidRPr="006455DE" w:rsidRDefault="003D0E5C" w:rsidP="003D0E5C">
      <w:pPr>
        <w:pStyle w:val="Ttulo1"/>
        <w:spacing w:line="240" w:lineRule="auto"/>
        <w:jc w:val="both"/>
        <w:rPr>
          <w:rFonts w:ascii="Arial" w:hAnsi="Arial" w:cs="Arial"/>
          <w:b w:val="0"/>
          <w:color w:val="1D1B11"/>
          <w:sz w:val="22"/>
          <w:szCs w:val="22"/>
          <w:lang w:val="es-CO"/>
        </w:rPr>
      </w:pPr>
      <w:r w:rsidRPr="006455DE">
        <w:rPr>
          <w:rFonts w:ascii="Arial" w:hAnsi="Arial" w:cs="Arial"/>
          <w:color w:val="1D1B11"/>
          <w:sz w:val="22"/>
          <w:szCs w:val="22"/>
          <w:lang w:val="es-CO"/>
        </w:rPr>
        <w:t>PACTO ARBITRAL</w:t>
      </w:r>
      <w:r w:rsidR="00C11472" w:rsidRPr="006455DE">
        <w:rPr>
          <w:rFonts w:ascii="Arial" w:hAnsi="Arial" w:cs="Arial"/>
          <w:color w:val="1D1B11"/>
          <w:sz w:val="22"/>
          <w:szCs w:val="22"/>
          <w:lang w:val="es-CO"/>
        </w:rPr>
        <w:t xml:space="preserve"> </w:t>
      </w:r>
      <w:r w:rsidR="006455DE" w:rsidRPr="006455DE">
        <w:rPr>
          <w:rFonts w:ascii="Arial" w:hAnsi="Arial" w:cs="Arial"/>
          <w:color w:val="1D1B11"/>
          <w:sz w:val="22"/>
          <w:szCs w:val="22"/>
          <w:lang w:val="es-CO"/>
        </w:rPr>
        <w:t>–</w:t>
      </w:r>
      <w:r w:rsidRPr="006455DE">
        <w:rPr>
          <w:rFonts w:ascii="Arial" w:hAnsi="Arial" w:cs="Arial"/>
          <w:color w:val="1D1B11"/>
          <w:sz w:val="22"/>
          <w:szCs w:val="22"/>
          <w:lang w:val="es-CO"/>
        </w:rPr>
        <w:t xml:space="preserve"> </w:t>
      </w:r>
      <w:r w:rsidR="00C11472" w:rsidRPr="006455DE">
        <w:rPr>
          <w:rFonts w:ascii="Arial" w:hAnsi="Arial" w:cs="Arial"/>
          <w:color w:val="1D1B11"/>
          <w:sz w:val="22"/>
          <w:szCs w:val="22"/>
          <w:lang w:val="es-CO"/>
        </w:rPr>
        <w:t>D</w:t>
      </w:r>
      <w:r w:rsidRPr="006455DE">
        <w:rPr>
          <w:rFonts w:ascii="Arial" w:hAnsi="Arial" w:cs="Arial"/>
          <w:color w:val="1D1B11"/>
          <w:sz w:val="22"/>
          <w:szCs w:val="22"/>
          <w:lang w:val="es-CO"/>
        </w:rPr>
        <w:t>efinición y desarrollo</w:t>
      </w:r>
      <w:r w:rsidRPr="006455DE">
        <w:rPr>
          <w:rFonts w:ascii="Arial" w:hAnsi="Arial" w:cs="Arial"/>
          <w:b w:val="0"/>
          <w:color w:val="1D1B11"/>
          <w:sz w:val="22"/>
          <w:szCs w:val="22"/>
          <w:lang w:val="es-CO"/>
        </w:rPr>
        <w:t xml:space="preserve"> </w:t>
      </w:r>
    </w:p>
    <w:p w14:paraId="74483419" w14:textId="77777777" w:rsidR="003D0E5C" w:rsidRPr="006455DE" w:rsidRDefault="003D0E5C" w:rsidP="003D0E5C">
      <w:pPr>
        <w:pStyle w:val="Ttulo1"/>
        <w:spacing w:line="240" w:lineRule="auto"/>
        <w:jc w:val="both"/>
        <w:rPr>
          <w:rFonts w:ascii="Arial" w:hAnsi="Arial" w:cs="Arial"/>
          <w:color w:val="1D1B11"/>
          <w:sz w:val="22"/>
          <w:szCs w:val="22"/>
          <w:lang w:val="es-CO"/>
        </w:rPr>
      </w:pPr>
    </w:p>
    <w:p w14:paraId="1103865D" w14:textId="05963C52" w:rsidR="003D0E5C" w:rsidRDefault="003D0E5C" w:rsidP="003D0E5C">
      <w:pPr>
        <w:pStyle w:val="Ttulo1"/>
        <w:spacing w:line="240" w:lineRule="auto"/>
        <w:jc w:val="both"/>
        <w:rPr>
          <w:rFonts w:ascii="Arial" w:hAnsi="Arial" w:cs="Arial"/>
          <w:b w:val="0"/>
          <w:color w:val="1D1B11"/>
          <w:sz w:val="22"/>
          <w:szCs w:val="22"/>
          <w:lang w:val="es-CO"/>
        </w:rPr>
      </w:pPr>
      <w:r w:rsidRPr="006455DE">
        <w:rPr>
          <w:rFonts w:ascii="Arial" w:hAnsi="Arial" w:cs="Arial"/>
          <w:b w:val="0"/>
          <w:color w:val="1D1B11"/>
          <w:sz w:val="22"/>
          <w:szCs w:val="22"/>
          <w:lang w:val="es-CO"/>
        </w:rPr>
        <w:t xml:space="preserve">De conformidad con la Ley 1563 de 2012, por medio de la </w:t>
      </w:r>
      <w:bookmarkStart w:id="0" w:name="_GoBack"/>
      <w:bookmarkEnd w:id="0"/>
      <w:r w:rsidRPr="006455DE">
        <w:rPr>
          <w:rFonts w:ascii="Arial" w:hAnsi="Arial" w:cs="Arial"/>
          <w:b w:val="0"/>
          <w:color w:val="1D1B11"/>
          <w:sz w:val="22"/>
          <w:szCs w:val="22"/>
          <w:lang w:val="es-CO"/>
        </w:rPr>
        <w:t xml:space="preserve">cual se expide el Estatuto de Arbitraje Nacional e Internacional, el pacto arbitral es “un negocio jurídico por virtud del cual las partes someten o se obligan a someter a arbitraje controversias que hayan surgido o puedan surgir entre ellas. El pacto arbitral implica la renuncia de las partes a hacer valer sus pretensiones ante los jueces. El pacto arbitral puede consistir en un compromiso o en una cláusula compromisoria”…Así mismo, el artículo 5º del estatuto mencionado, se refiere a la autonomía de la cláusula compromisoria, esto es, deja en claro que los vicios del contrato no la afectan; que el tribunal de arbitramento define la controversia surgida del contrato y que, cedido el contrato, la cláusula sigue igual suerte, todo ello acorde con el principio general según el cual los derechos personales no trascienden a terceros, salvo que estos lo convengan o que el ordenamiento así lo prevea. Siendo así, para la Sala es claro que el acuerdo entre La Previsora S.A. y </w:t>
      </w:r>
      <w:proofErr w:type="spellStart"/>
      <w:r w:rsidRPr="006455DE">
        <w:rPr>
          <w:rFonts w:ascii="Arial" w:hAnsi="Arial" w:cs="Arial"/>
          <w:b w:val="0"/>
          <w:color w:val="1D1B11"/>
          <w:sz w:val="22"/>
          <w:szCs w:val="22"/>
          <w:lang w:val="es-CO"/>
        </w:rPr>
        <w:t>Centurion</w:t>
      </w:r>
      <w:proofErr w:type="spellEnd"/>
      <w:r w:rsidRPr="006455DE">
        <w:rPr>
          <w:rFonts w:ascii="Arial" w:hAnsi="Arial" w:cs="Arial"/>
          <w:b w:val="0"/>
          <w:color w:val="1D1B11"/>
          <w:sz w:val="22"/>
          <w:szCs w:val="22"/>
          <w:lang w:val="es-CO"/>
        </w:rPr>
        <w:t xml:space="preserve"> </w:t>
      </w:r>
      <w:proofErr w:type="spellStart"/>
      <w:r w:rsidRPr="006455DE">
        <w:rPr>
          <w:rFonts w:ascii="Arial" w:hAnsi="Arial" w:cs="Arial"/>
          <w:b w:val="0"/>
          <w:color w:val="1D1B11"/>
          <w:sz w:val="22"/>
          <w:szCs w:val="22"/>
          <w:lang w:val="es-CO"/>
        </w:rPr>
        <w:t>Driling</w:t>
      </w:r>
      <w:proofErr w:type="spellEnd"/>
      <w:r w:rsidRPr="006455DE">
        <w:rPr>
          <w:rFonts w:ascii="Arial" w:hAnsi="Arial" w:cs="Arial"/>
          <w:b w:val="0"/>
          <w:color w:val="1D1B11"/>
          <w:sz w:val="22"/>
          <w:szCs w:val="22"/>
          <w:lang w:val="es-CO"/>
        </w:rPr>
        <w:t xml:space="preserve"> </w:t>
      </w:r>
      <w:proofErr w:type="spellStart"/>
      <w:r w:rsidRPr="006455DE">
        <w:rPr>
          <w:rFonts w:ascii="Arial" w:hAnsi="Arial" w:cs="Arial"/>
          <w:b w:val="0"/>
          <w:color w:val="1D1B11"/>
          <w:sz w:val="22"/>
          <w:szCs w:val="22"/>
          <w:lang w:val="es-CO"/>
        </w:rPr>
        <w:t>Limited</w:t>
      </w:r>
      <w:proofErr w:type="spellEnd"/>
      <w:r w:rsidRPr="006455DE">
        <w:rPr>
          <w:rFonts w:ascii="Arial" w:hAnsi="Arial" w:cs="Arial"/>
          <w:b w:val="0"/>
          <w:color w:val="1D1B11"/>
          <w:sz w:val="22"/>
          <w:szCs w:val="22"/>
          <w:lang w:val="es-CO"/>
        </w:rPr>
        <w:t xml:space="preserve"> Sucursal Colombia-en liquidación dirigido a someter sus controversias al proceso arbitral no obliga a ECOPETROL S.A. precisamente porque lo convenido descansa en la voluntad manifiesta de las partes sin efectos más allá del marco contractual en que opera.</w:t>
      </w:r>
    </w:p>
    <w:p w14:paraId="6F94CE35" w14:textId="77777777" w:rsidR="006455DE" w:rsidRPr="006455DE" w:rsidRDefault="006455DE" w:rsidP="003D0E5C">
      <w:pPr>
        <w:pStyle w:val="Ttulo1"/>
        <w:spacing w:line="240" w:lineRule="auto"/>
        <w:jc w:val="both"/>
        <w:rPr>
          <w:rFonts w:ascii="Arial" w:hAnsi="Arial" w:cs="Arial"/>
          <w:b w:val="0"/>
          <w:color w:val="1D1B11"/>
          <w:sz w:val="22"/>
          <w:szCs w:val="22"/>
          <w:lang w:val="es-CO"/>
        </w:rPr>
      </w:pPr>
    </w:p>
    <w:p w14:paraId="4F466B2F" w14:textId="77777777" w:rsidR="003D0E5C" w:rsidRPr="006455DE" w:rsidRDefault="00C11472" w:rsidP="00AE3677">
      <w:pPr>
        <w:pStyle w:val="Ttulo1"/>
        <w:spacing w:line="240" w:lineRule="auto"/>
        <w:ind w:left="708" w:hanging="708"/>
        <w:rPr>
          <w:rFonts w:ascii="Arial" w:hAnsi="Arial" w:cs="Arial"/>
          <w:color w:val="1D1B11"/>
          <w:sz w:val="22"/>
          <w:szCs w:val="22"/>
          <w:lang w:val="es-CO"/>
        </w:rPr>
      </w:pPr>
      <w:r w:rsidRPr="006455DE">
        <w:rPr>
          <w:rFonts w:ascii="Arial" w:hAnsi="Arial" w:cs="Arial"/>
          <w:color w:val="1D1B11"/>
          <w:sz w:val="22"/>
          <w:szCs w:val="22"/>
          <w:lang w:val="es-CO"/>
        </w:rPr>
        <w:t xml:space="preserve"> </w:t>
      </w:r>
    </w:p>
    <w:p w14:paraId="5B8ADC43" w14:textId="77777777" w:rsidR="009F0986" w:rsidRPr="00982DD9" w:rsidRDefault="009F0986" w:rsidP="00AE3677">
      <w:pPr>
        <w:pStyle w:val="Ttulo1"/>
        <w:spacing w:line="240" w:lineRule="auto"/>
        <w:ind w:left="708" w:hanging="708"/>
        <w:rPr>
          <w:rFonts w:ascii="Arial" w:hAnsi="Arial" w:cs="Arial"/>
          <w:color w:val="1D1B11"/>
          <w:szCs w:val="24"/>
          <w:lang w:val="es-CO"/>
        </w:rPr>
      </w:pPr>
      <w:r w:rsidRPr="00982DD9">
        <w:rPr>
          <w:rFonts w:ascii="Arial" w:hAnsi="Arial" w:cs="Arial"/>
          <w:color w:val="1D1B11"/>
          <w:szCs w:val="24"/>
          <w:lang w:val="es-CO"/>
        </w:rPr>
        <w:t>CONSEJO DE ESTADO</w:t>
      </w:r>
    </w:p>
    <w:p w14:paraId="7930EFA5" w14:textId="77777777" w:rsidR="00982DD9" w:rsidRPr="00982DD9" w:rsidRDefault="00982DD9" w:rsidP="00AE3677">
      <w:pPr>
        <w:pStyle w:val="Ttulo1"/>
        <w:spacing w:line="240" w:lineRule="auto"/>
        <w:ind w:left="708" w:hanging="708"/>
        <w:rPr>
          <w:rFonts w:ascii="Arial" w:hAnsi="Arial" w:cs="Arial"/>
          <w:color w:val="1D1B11"/>
          <w:szCs w:val="24"/>
          <w:lang w:val="es-CO"/>
        </w:rPr>
      </w:pPr>
    </w:p>
    <w:p w14:paraId="65669010" w14:textId="77777777" w:rsidR="009F0986" w:rsidRPr="00982DD9" w:rsidRDefault="009F0986" w:rsidP="00AE3677">
      <w:pPr>
        <w:jc w:val="center"/>
        <w:rPr>
          <w:rFonts w:ascii="Arial" w:hAnsi="Arial" w:cs="Arial"/>
          <w:b/>
          <w:bCs/>
          <w:color w:val="1D1B11"/>
          <w:sz w:val="24"/>
          <w:szCs w:val="24"/>
        </w:rPr>
      </w:pPr>
      <w:r w:rsidRPr="00982DD9">
        <w:rPr>
          <w:rFonts w:ascii="Arial" w:hAnsi="Arial" w:cs="Arial"/>
          <w:b/>
          <w:bCs/>
          <w:color w:val="1D1B11"/>
          <w:sz w:val="24"/>
          <w:szCs w:val="24"/>
        </w:rPr>
        <w:t>SALA DE LO CONTENCIOSO ADMINISTRATIVO</w:t>
      </w:r>
    </w:p>
    <w:p w14:paraId="2AB1B139" w14:textId="77777777" w:rsidR="00982DD9" w:rsidRPr="00982DD9" w:rsidRDefault="00982DD9" w:rsidP="00AE3677">
      <w:pPr>
        <w:jc w:val="center"/>
        <w:rPr>
          <w:rFonts w:ascii="Arial" w:hAnsi="Arial" w:cs="Arial"/>
          <w:b/>
          <w:bCs/>
          <w:color w:val="1D1B11"/>
          <w:sz w:val="24"/>
          <w:szCs w:val="24"/>
          <w:lang w:val="es-ES"/>
        </w:rPr>
      </w:pPr>
    </w:p>
    <w:p w14:paraId="7DE89166" w14:textId="77777777" w:rsidR="009F0986" w:rsidRPr="00982DD9" w:rsidRDefault="009F0986" w:rsidP="00AE3677">
      <w:pPr>
        <w:jc w:val="center"/>
        <w:rPr>
          <w:rFonts w:ascii="Arial" w:hAnsi="Arial" w:cs="Arial"/>
          <w:b/>
          <w:color w:val="1D1B11"/>
          <w:sz w:val="24"/>
          <w:szCs w:val="24"/>
        </w:rPr>
      </w:pPr>
      <w:r w:rsidRPr="00982DD9">
        <w:rPr>
          <w:rFonts w:ascii="Arial" w:hAnsi="Arial" w:cs="Arial"/>
          <w:b/>
          <w:color w:val="1D1B11"/>
          <w:sz w:val="24"/>
          <w:szCs w:val="24"/>
        </w:rPr>
        <w:t>SECCIÓN TERCERA</w:t>
      </w:r>
    </w:p>
    <w:p w14:paraId="5E1EF103" w14:textId="77777777" w:rsidR="00982DD9" w:rsidRPr="00982DD9" w:rsidRDefault="00982DD9" w:rsidP="00AE3677">
      <w:pPr>
        <w:jc w:val="center"/>
        <w:rPr>
          <w:rFonts w:ascii="Arial" w:hAnsi="Arial" w:cs="Arial"/>
          <w:b/>
          <w:color w:val="1D1B11"/>
          <w:sz w:val="24"/>
          <w:szCs w:val="24"/>
        </w:rPr>
      </w:pPr>
    </w:p>
    <w:p w14:paraId="6410DCC6" w14:textId="77777777" w:rsidR="009F0986" w:rsidRPr="00982DD9" w:rsidRDefault="009F0986" w:rsidP="00AE3677">
      <w:pPr>
        <w:jc w:val="center"/>
        <w:rPr>
          <w:rFonts w:ascii="Arial" w:hAnsi="Arial" w:cs="Arial"/>
          <w:b/>
          <w:color w:val="1D1B11"/>
          <w:sz w:val="24"/>
          <w:szCs w:val="24"/>
        </w:rPr>
      </w:pPr>
      <w:r w:rsidRPr="00982DD9">
        <w:rPr>
          <w:rFonts w:ascii="Arial" w:hAnsi="Arial" w:cs="Arial"/>
          <w:b/>
          <w:color w:val="1D1B11"/>
          <w:sz w:val="24"/>
          <w:szCs w:val="24"/>
        </w:rPr>
        <w:t>SUBSECCIÓN B</w:t>
      </w:r>
    </w:p>
    <w:p w14:paraId="75F28C37" w14:textId="77777777" w:rsidR="009F0986" w:rsidRPr="00982DD9" w:rsidRDefault="009F0986" w:rsidP="00AE3677">
      <w:pPr>
        <w:jc w:val="center"/>
        <w:rPr>
          <w:rFonts w:ascii="Arial" w:hAnsi="Arial" w:cs="Arial"/>
          <w:b/>
          <w:color w:val="1D1B11"/>
          <w:sz w:val="24"/>
          <w:szCs w:val="24"/>
        </w:rPr>
      </w:pPr>
    </w:p>
    <w:p w14:paraId="74FA1695" w14:textId="77777777" w:rsidR="009F0986" w:rsidRPr="00982DD9" w:rsidRDefault="00AE3677" w:rsidP="00AE3677">
      <w:pPr>
        <w:jc w:val="center"/>
        <w:rPr>
          <w:rFonts w:ascii="Arial" w:hAnsi="Arial" w:cs="Arial"/>
          <w:b/>
          <w:bCs/>
          <w:color w:val="1D1B11"/>
          <w:sz w:val="24"/>
          <w:szCs w:val="24"/>
        </w:rPr>
      </w:pPr>
      <w:r>
        <w:rPr>
          <w:rFonts w:ascii="Arial" w:hAnsi="Arial" w:cs="Arial"/>
          <w:b/>
          <w:bCs/>
          <w:color w:val="1D1B11"/>
          <w:sz w:val="24"/>
          <w:szCs w:val="24"/>
        </w:rPr>
        <w:t>Consejera p</w:t>
      </w:r>
      <w:r w:rsidR="009F0986" w:rsidRPr="00982DD9">
        <w:rPr>
          <w:rFonts w:ascii="Arial" w:hAnsi="Arial" w:cs="Arial"/>
          <w:b/>
          <w:bCs/>
          <w:color w:val="1D1B11"/>
          <w:sz w:val="24"/>
          <w:szCs w:val="24"/>
        </w:rPr>
        <w:t>onente: STELLA CONTO DÍAZ DEL CASTILLO</w:t>
      </w:r>
    </w:p>
    <w:p w14:paraId="39415508" w14:textId="77777777" w:rsidR="00982DD9" w:rsidRPr="00982DD9" w:rsidRDefault="00982DD9" w:rsidP="00AE3677">
      <w:pPr>
        <w:jc w:val="center"/>
        <w:rPr>
          <w:rFonts w:ascii="Arial" w:hAnsi="Arial" w:cs="Arial"/>
          <w:b/>
          <w:bCs/>
          <w:color w:val="1D1B11"/>
          <w:sz w:val="24"/>
          <w:szCs w:val="24"/>
        </w:rPr>
      </w:pPr>
    </w:p>
    <w:p w14:paraId="1A67D3F9" w14:textId="77777777" w:rsidR="00982DD9" w:rsidRPr="00982DD9" w:rsidRDefault="009F0986" w:rsidP="00AE3677">
      <w:pPr>
        <w:pStyle w:val="Encabezado"/>
        <w:overflowPunct/>
        <w:autoSpaceDE/>
        <w:adjustRightInd/>
        <w:jc w:val="both"/>
        <w:rPr>
          <w:rFonts w:cs="Arial"/>
          <w:sz w:val="24"/>
          <w:szCs w:val="24"/>
        </w:rPr>
      </w:pPr>
      <w:r w:rsidRPr="00982DD9">
        <w:rPr>
          <w:rFonts w:cs="Arial"/>
          <w:color w:val="1D1B11"/>
          <w:sz w:val="24"/>
          <w:szCs w:val="24"/>
          <w:lang w:val="es-CO"/>
        </w:rPr>
        <w:t>Bogotá, D.C.,</w:t>
      </w:r>
      <w:r w:rsidR="006852BF">
        <w:rPr>
          <w:rFonts w:cs="Arial"/>
          <w:color w:val="1D1B11"/>
          <w:sz w:val="24"/>
          <w:szCs w:val="24"/>
          <w:lang w:val="es-CO"/>
        </w:rPr>
        <w:t xml:space="preserve"> dieciséis (16) de marzo </w:t>
      </w:r>
      <w:r w:rsidRPr="00982DD9">
        <w:rPr>
          <w:rFonts w:cs="Arial"/>
          <w:color w:val="1D1B11"/>
          <w:sz w:val="24"/>
          <w:szCs w:val="24"/>
          <w:lang w:val="es-CO"/>
        </w:rPr>
        <w:t>de dos mil diecisiete (2017)</w:t>
      </w:r>
      <w:r w:rsidR="00982DD9" w:rsidRPr="00982DD9">
        <w:rPr>
          <w:rFonts w:cs="Arial"/>
          <w:sz w:val="24"/>
          <w:szCs w:val="24"/>
        </w:rPr>
        <w:t xml:space="preserve"> </w:t>
      </w:r>
    </w:p>
    <w:p w14:paraId="1C3BB68D" w14:textId="77777777" w:rsidR="00982DD9" w:rsidRPr="00982DD9" w:rsidRDefault="00982DD9" w:rsidP="00AE3677">
      <w:pPr>
        <w:pStyle w:val="Encabezado"/>
        <w:overflowPunct/>
        <w:autoSpaceDE/>
        <w:adjustRightInd/>
        <w:jc w:val="both"/>
        <w:rPr>
          <w:rFonts w:cs="Arial"/>
          <w:sz w:val="24"/>
          <w:szCs w:val="24"/>
        </w:rPr>
      </w:pPr>
    </w:p>
    <w:p w14:paraId="39D6F074" w14:textId="77777777" w:rsidR="009F0986" w:rsidRPr="00AE3677" w:rsidRDefault="00982DD9" w:rsidP="00AE3677">
      <w:pPr>
        <w:pStyle w:val="Encabezado"/>
        <w:overflowPunct/>
        <w:autoSpaceDE/>
        <w:adjustRightInd/>
        <w:jc w:val="both"/>
        <w:rPr>
          <w:rFonts w:cs="Arial"/>
          <w:b/>
          <w:sz w:val="24"/>
          <w:szCs w:val="24"/>
        </w:rPr>
      </w:pPr>
      <w:r w:rsidRPr="00AE3677">
        <w:rPr>
          <w:rFonts w:cs="Arial"/>
          <w:b/>
          <w:sz w:val="24"/>
          <w:szCs w:val="24"/>
        </w:rPr>
        <w:t>Radicación número: 25000-23-36-000-2014-00905-02(56948)</w:t>
      </w:r>
    </w:p>
    <w:p w14:paraId="05D35295" w14:textId="77777777" w:rsidR="00982DD9" w:rsidRPr="00AE3677" w:rsidRDefault="00982DD9" w:rsidP="00AE3677">
      <w:pPr>
        <w:pStyle w:val="Encabezado"/>
        <w:overflowPunct/>
        <w:autoSpaceDE/>
        <w:adjustRightInd/>
        <w:jc w:val="both"/>
        <w:rPr>
          <w:rFonts w:cs="Arial"/>
          <w:b/>
          <w:sz w:val="24"/>
          <w:szCs w:val="24"/>
        </w:rPr>
      </w:pPr>
    </w:p>
    <w:p w14:paraId="1713D9B3" w14:textId="77777777" w:rsidR="00982DD9" w:rsidRPr="00AE3677" w:rsidRDefault="00982DD9" w:rsidP="00AE3677">
      <w:pPr>
        <w:pStyle w:val="Encabezado"/>
        <w:overflowPunct/>
        <w:autoSpaceDE/>
        <w:adjustRightInd/>
        <w:jc w:val="both"/>
        <w:rPr>
          <w:rFonts w:cs="Arial"/>
          <w:b/>
          <w:sz w:val="24"/>
          <w:szCs w:val="24"/>
        </w:rPr>
      </w:pPr>
      <w:r w:rsidRPr="00AE3677">
        <w:rPr>
          <w:rFonts w:cs="Arial"/>
          <w:b/>
          <w:sz w:val="24"/>
          <w:szCs w:val="24"/>
        </w:rPr>
        <w:t>Actor: CENTURION DRILING LIMITED SUCURSAL COLOMBIA</w:t>
      </w:r>
    </w:p>
    <w:p w14:paraId="6F936B03" w14:textId="77777777" w:rsidR="00982DD9" w:rsidRPr="00AE3677" w:rsidRDefault="00982DD9" w:rsidP="00AE3677">
      <w:pPr>
        <w:pStyle w:val="Encabezado"/>
        <w:overflowPunct/>
        <w:autoSpaceDE/>
        <w:adjustRightInd/>
        <w:jc w:val="both"/>
        <w:rPr>
          <w:rFonts w:cs="Arial"/>
          <w:b/>
          <w:sz w:val="24"/>
          <w:szCs w:val="24"/>
        </w:rPr>
      </w:pPr>
    </w:p>
    <w:p w14:paraId="057D3AC5" w14:textId="77777777" w:rsidR="00982DD9" w:rsidRPr="00AE3677" w:rsidRDefault="00982DD9" w:rsidP="00AE3677">
      <w:pPr>
        <w:pStyle w:val="Encabezado"/>
        <w:overflowPunct/>
        <w:autoSpaceDE/>
        <w:adjustRightInd/>
        <w:jc w:val="both"/>
        <w:rPr>
          <w:rFonts w:cs="Arial"/>
          <w:b/>
          <w:sz w:val="24"/>
          <w:szCs w:val="24"/>
        </w:rPr>
      </w:pPr>
      <w:r w:rsidRPr="00AE3677">
        <w:rPr>
          <w:rFonts w:cs="Arial"/>
          <w:b/>
          <w:sz w:val="24"/>
          <w:szCs w:val="24"/>
        </w:rPr>
        <w:t>Demandado: EMPRESA COLOMBIANA DE PETRÓLEOS - ECOPETROL</w:t>
      </w:r>
    </w:p>
    <w:p w14:paraId="3044419A" w14:textId="77777777" w:rsidR="00982DD9" w:rsidRPr="00AE3677" w:rsidRDefault="00982DD9" w:rsidP="00AE3677">
      <w:pPr>
        <w:pStyle w:val="Encabezado"/>
        <w:overflowPunct/>
        <w:autoSpaceDE/>
        <w:adjustRightInd/>
        <w:jc w:val="both"/>
        <w:rPr>
          <w:rFonts w:cs="Arial"/>
          <w:b/>
          <w:color w:val="1D1B11"/>
          <w:sz w:val="24"/>
          <w:szCs w:val="24"/>
          <w:lang w:val="es-CO"/>
        </w:rPr>
      </w:pPr>
    </w:p>
    <w:p w14:paraId="459586F7" w14:textId="77777777" w:rsidR="00982DD9" w:rsidRPr="00AE3677" w:rsidRDefault="00982DD9" w:rsidP="00AE3677">
      <w:pPr>
        <w:pStyle w:val="Encabezado"/>
        <w:overflowPunct/>
        <w:autoSpaceDE/>
        <w:adjustRightInd/>
        <w:jc w:val="both"/>
        <w:rPr>
          <w:rFonts w:cs="Arial"/>
          <w:b/>
          <w:color w:val="1D1B11"/>
          <w:sz w:val="24"/>
          <w:szCs w:val="24"/>
          <w:lang w:val="es-CO"/>
        </w:rPr>
      </w:pPr>
    </w:p>
    <w:p w14:paraId="1467794A" w14:textId="77777777" w:rsidR="00982DD9" w:rsidRPr="00AE3677" w:rsidRDefault="00982DD9" w:rsidP="00AE3677">
      <w:pPr>
        <w:pStyle w:val="Encabezado"/>
        <w:overflowPunct/>
        <w:autoSpaceDE/>
        <w:adjustRightInd/>
        <w:jc w:val="both"/>
        <w:rPr>
          <w:rFonts w:cs="Arial"/>
          <w:b/>
          <w:color w:val="1D1B11"/>
          <w:sz w:val="24"/>
          <w:szCs w:val="24"/>
          <w:lang w:val="es-CO"/>
        </w:rPr>
      </w:pPr>
    </w:p>
    <w:p w14:paraId="60A4D144" w14:textId="77777777" w:rsidR="00982DD9" w:rsidRPr="00AE3677" w:rsidRDefault="00982DD9" w:rsidP="00AE3677">
      <w:pPr>
        <w:pStyle w:val="Encabezado"/>
        <w:overflowPunct/>
        <w:autoSpaceDE/>
        <w:adjustRightInd/>
        <w:jc w:val="both"/>
        <w:rPr>
          <w:rFonts w:cs="Arial"/>
          <w:b/>
          <w:color w:val="1D1B11"/>
          <w:sz w:val="24"/>
          <w:szCs w:val="24"/>
          <w:lang w:val="es-CO"/>
        </w:rPr>
      </w:pPr>
      <w:r w:rsidRPr="00AE3677">
        <w:rPr>
          <w:rFonts w:cs="Arial"/>
          <w:b/>
          <w:color w:val="1D1B11"/>
          <w:sz w:val="24"/>
          <w:szCs w:val="24"/>
          <w:lang w:val="es-CO"/>
        </w:rPr>
        <w:lastRenderedPageBreak/>
        <w:t>Referencia: APELACIÓN AUTO - MEDIO DE CONTROL DE CONTROVERSIAS CONTRACTUALES</w:t>
      </w:r>
    </w:p>
    <w:p w14:paraId="2DFCFF30" w14:textId="77777777" w:rsidR="00982DD9" w:rsidRPr="00982DD9" w:rsidRDefault="00982DD9" w:rsidP="00AE3677">
      <w:pPr>
        <w:pStyle w:val="Encabezado"/>
        <w:overflowPunct/>
        <w:autoSpaceDE/>
        <w:adjustRightInd/>
        <w:jc w:val="both"/>
        <w:rPr>
          <w:rFonts w:cs="Arial"/>
          <w:color w:val="1D1B11"/>
          <w:sz w:val="24"/>
          <w:szCs w:val="24"/>
          <w:lang w:val="es-CO"/>
        </w:rPr>
      </w:pPr>
    </w:p>
    <w:p w14:paraId="5DD693FA" w14:textId="77777777" w:rsidR="00982DD9" w:rsidRPr="00982DD9" w:rsidRDefault="00982DD9" w:rsidP="00AE3677">
      <w:pPr>
        <w:pStyle w:val="Encabezado"/>
        <w:overflowPunct/>
        <w:autoSpaceDE/>
        <w:adjustRightInd/>
        <w:jc w:val="both"/>
        <w:rPr>
          <w:rFonts w:cs="Arial"/>
          <w:color w:val="1D1B11"/>
          <w:sz w:val="24"/>
          <w:szCs w:val="24"/>
          <w:lang w:val="es-CO"/>
        </w:rPr>
      </w:pPr>
    </w:p>
    <w:p w14:paraId="0BF7B8DD" w14:textId="77777777" w:rsidR="00982DD9" w:rsidRPr="00982DD9" w:rsidRDefault="00982DD9" w:rsidP="00AE3677">
      <w:pPr>
        <w:pStyle w:val="Encabezado"/>
        <w:overflowPunct/>
        <w:autoSpaceDE/>
        <w:adjustRightInd/>
        <w:jc w:val="both"/>
        <w:rPr>
          <w:rFonts w:cs="Arial"/>
          <w:color w:val="1D1B11"/>
          <w:sz w:val="24"/>
          <w:szCs w:val="24"/>
          <w:lang w:val="es-CO"/>
        </w:rPr>
      </w:pPr>
    </w:p>
    <w:p w14:paraId="397B9DFF" w14:textId="77777777" w:rsidR="009F0986" w:rsidRPr="00982DD9" w:rsidRDefault="009F0986" w:rsidP="00982DD9">
      <w:pPr>
        <w:spacing w:line="360" w:lineRule="auto"/>
        <w:ind w:firstLine="708"/>
        <w:jc w:val="both"/>
        <w:rPr>
          <w:rFonts w:ascii="Arial" w:hAnsi="Arial" w:cs="Arial"/>
          <w:color w:val="1D1B11"/>
          <w:sz w:val="24"/>
          <w:szCs w:val="24"/>
          <w:lang w:val="es-ES"/>
        </w:rPr>
      </w:pPr>
      <w:r w:rsidRPr="00982DD9">
        <w:rPr>
          <w:rFonts w:ascii="Arial" w:hAnsi="Arial" w:cs="Arial"/>
          <w:color w:val="1D1B11"/>
          <w:sz w:val="24"/>
          <w:szCs w:val="24"/>
          <w:lang w:val="es-ES"/>
        </w:rPr>
        <w:t>Se resuelve el recurso de apelación interpuesto por La Previsora S.A., a través de su apoderada, contra el auto de 10 de marzo de 2016 proferido por el Tribunal Administrativo de Cundinamarca en la audiencia inicial, para declarar no probadas las excepciones de cláusula compromisoria y falta de jurisdicción y competencia.</w:t>
      </w:r>
    </w:p>
    <w:p w14:paraId="566923D1" w14:textId="77777777" w:rsidR="00982DD9" w:rsidRPr="00982DD9" w:rsidRDefault="00982DD9" w:rsidP="00982DD9">
      <w:pPr>
        <w:spacing w:line="360" w:lineRule="auto"/>
        <w:ind w:firstLine="708"/>
        <w:jc w:val="both"/>
        <w:rPr>
          <w:rFonts w:ascii="Arial" w:hAnsi="Arial" w:cs="Arial"/>
          <w:color w:val="1D1B11"/>
          <w:sz w:val="24"/>
          <w:szCs w:val="24"/>
          <w:lang w:val="es-ES"/>
        </w:rPr>
      </w:pPr>
    </w:p>
    <w:p w14:paraId="1A8FDD26" w14:textId="77777777" w:rsidR="009F0986" w:rsidRPr="00982DD9" w:rsidRDefault="009F0986" w:rsidP="00982DD9">
      <w:pPr>
        <w:spacing w:line="360" w:lineRule="auto"/>
        <w:ind w:firstLine="708"/>
        <w:jc w:val="center"/>
        <w:rPr>
          <w:rFonts w:ascii="Arial" w:hAnsi="Arial" w:cs="Arial"/>
          <w:b/>
          <w:color w:val="1D1B11"/>
          <w:sz w:val="24"/>
          <w:szCs w:val="24"/>
        </w:rPr>
      </w:pPr>
      <w:r w:rsidRPr="00982DD9">
        <w:rPr>
          <w:rFonts w:ascii="Arial" w:hAnsi="Arial" w:cs="Arial"/>
          <w:b/>
          <w:color w:val="1D1B11"/>
          <w:sz w:val="24"/>
          <w:szCs w:val="24"/>
        </w:rPr>
        <w:t>ANTECEDENTES</w:t>
      </w:r>
    </w:p>
    <w:p w14:paraId="1C23B494" w14:textId="77777777" w:rsidR="00982DD9" w:rsidRPr="00982DD9" w:rsidRDefault="00982DD9" w:rsidP="00982DD9">
      <w:pPr>
        <w:spacing w:line="360" w:lineRule="auto"/>
        <w:ind w:firstLine="708"/>
        <w:jc w:val="center"/>
        <w:rPr>
          <w:rFonts w:ascii="Arial" w:hAnsi="Arial" w:cs="Arial"/>
          <w:b/>
          <w:color w:val="1D1B11"/>
          <w:sz w:val="24"/>
          <w:szCs w:val="24"/>
        </w:rPr>
      </w:pPr>
    </w:p>
    <w:p w14:paraId="20D346F8" w14:textId="77777777" w:rsidR="009F0986" w:rsidRPr="00982DD9" w:rsidRDefault="009F0986" w:rsidP="00982DD9">
      <w:pPr>
        <w:pStyle w:val="Prrafodelista"/>
        <w:numPr>
          <w:ilvl w:val="0"/>
          <w:numId w:val="3"/>
        </w:numPr>
        <w:spacing w:after="0" w:line="360" w:lineRule="auto"/>
        <w:ind w:left="1071" w:hanging="357"/>
        <w:contextualSpacing w:val="0"/>
        <w:rPr>
          <w:rFonts w:ascii="Arial" w:hAnsi="Arial" w:cs="Arial"/>
          <w:b/>
          <w:color w:val="1D1B11"/>
          <w:sz w:val="24"/>
          <w:szCs w:val="24"/>
        </w:rPr>
      </w:pPr>
      <w:r w:rsidRPr="00982DD9">
        <w:rPr>
          <w:rFonts w:ascii="Arial" w:hAnsi="Arial" w:cs="Arial"/>
          <w:b/>
          <w:color w:val="1D1B11"/>
          <w:sz w:val="24"/>
          <w:szCs w:val="24"/>
        </w:rPr>
        <w:t>La demanda principal</w:t>
      </w:r>
    </w:p>
    <w:p w14:paraId="64564A38" w14:textId="77777777" w:rsidR="00982DD9" w:rsidRPr="00982DD9" w:rsidRDefault="00982DD9" w:rsidP="00982DD9">
      <w:pPr>
        <w:pStyle w:val="Prrafodelista"/>
        <w:spacing w:after="0" w:line="360" w:lineRule="auto"/>
        <w:contextualSpacing w:val="0"/>
        <w:rPr>
          <w:rFonts w:ascii="Arial" w:hAnsi="Arial" w:cs="Arial"/>
          <w:b/>
          <w:color w:val="1D1B11"/>
          <w:sz w:val="24"/>
          <w:szCs w:val="24"/>
        </w:rPr>
      </w:pPr>
    </w:p>
    <w:p w14:paraId="5D6A340A" w14:textId="77777777" w:rsidR="009F0986" w:rsidRPr="00982DD9" w:rsidRDefault="009F0986" w:rsidP="00982DD9">
      <w:pPr>
        <w:pStyle w:val="Prrafodelista"/>
        <w:spacing w:after="0" w:line="360" w:lineRule="auto"/>
        <w:ind w:left="0" w:firstLine="357"/>
        <w:contextualSpacing w:val="0"/>
        <w:jc w:val="both"/>
        <w:rPr>
          <w:rFonts w:ascii="Arial" w:hAnsi="Arial" w:cs="Arial"/>
          <w:color w:val="1D1B11"/>
          <w:sz w:val="24"/>
          <w:szCs w:val="24"/>
        </w:rPr>
      </w:pPr>
      <w:r w:rsidRPr="00982DD9">
        <w:rPr>
          <w:rFonts w:ascii="Arial" w:hAnsi="Arial" w:cs="Arial"/>
          <w:color w:val="1D1B11"/>
          <w:sz w:val="24"/>
          <w:szCs w:val="24"/>
        </w:rPr>
        <w:t xml:space="preserve">El 1 de julio de 2014, </w:t>
      </w:r>
      <w:proofErr w:type="spellStart"/>
      <w:r w:rsidRPr="00982DD9">
        <w:rPr>
          <w:rFonts w:ascii="Arial" w:hAnsi="Arial" w:cs="Arial"/>
          <w:color w:val="1D1B11"/>
          <w:sz w:val="24"/>
          <w:szCs w:val="24"/>
        </w:rPr>
        <w:t>Centurion</w:t>
      </w:r>
      <w:proofErr w:type="spellEnd"/>
      <w:r w:rsidRPr="00982DD9">
        <w:rPr>
          <w:rFonts w:ascii="Arial" w:hAnsi="Arial" w:cs="Arial"/>
          <w:color w:val="1D1B11"/>
          <w:sz w:val="24"/>
          <w:szCs w:val="24"/>
        </w:rPr>
        <w:t xml:space="preserve"> </w:t>
      </w:r>
      <w:proofErr w:type="spellStart"/>
      <w:r w:rsidRPr="00982DD9">
        <w:rPr>
          <w:rFonts w:ascii="Arial" w:hAnsi="Arial" w:cs="Arial"/>
          <w:color w:val="1D1B11"/>
          <w:sz w:val="24"/>
          <w:szCs w:val="24"/>
        </w:rPr>
        <w:t>Drilling</w:t>
      </w:r>
      <w:proofErr w:type="spellEnd"/>
      <w:r w:rsidRPr="00982DD9">
        <w:rPr>
          <w:rFonts w:ascii="Arial" w:hAnsi="Arial" w:cs="Arial"/>
          <w:color w:val="1D1B11"/>
          <w:sz w:val="24"/>
          <w:szCs w:val="24"/>
        </w:rPr>
        <w:t xml:space="preserve"> </w:t>
      </w:r>
      <w:proofErr w:type="spellStart"/>
      <w:r w:rsidRPr="00982DD9">
        <w:rPr>
          <w:rFonts w:ascii="Arial" w:hAnsi="Arial" w:cs="Arial"/>
          <w:color w:val="1D1B11"/>
          <w:sz w:val="24"/>
          <w:szCs w:val="24"/>
        </w:rPr>
        <w:t>Limited</w:t>
      </w:r>
      <w:proofErr w:type="spellEnd"/>
      <w:r w:rsidRPr="00982DD9">
        <w:rPr>
          <w:rFonts w:ascii="Arial" w:hAnsi="Arial" w:cs="Arial"/>
          <w:color w:val="1D1B11"/>
          <w:sz w:val="24"/>
          <w:szCs w:val="24"/>
        </w:rPr>
        <w:t>-Sucursal Colombia, interpuso demanda para que se declare el incumplimiento de ECOPETROL S.A. del contrato MA-0017103, la ruptura del equilibrio económico, sobrecostos y retrasos, con fundamento en los siguientes hechos</w:t>
      </w:r>
      <w:r w:rsidRPr="00982DD9">
        <w:rPr>
          <w:rStyle w:val="Refdenotaalpie"/>
          <w:rFonts w:ascii="Arial" w:hAnsi="Arial" w:cs="Arial"/>
          <w:color w:val="1D1B11"/>
          <w:sz w:val="24"/>
          <w:szCs w:val="24"/>
        </w:rPr>
        <w:footnoteReference w:id="1"/>
      </w:r>
      <w:r w:rsidRPr="00982DD9">
        <w:rPr>
          <w:rFonts w:ascii="Arial" w:hAnsi="Arial" w:cs="Arial"/>
          <w:color w:val="1D1B11"/>
          <w:sz w:val="24"/>
          <w:szCs w:val="24"/>
        </w:rPr>
        <w:t xml:space="preserve">: </w:t>
      </w:r>
    </w:p>
    <w:p w14:paraId="4E5B3A79" w14:textId="77777777" w:rsidR="00982DD9" w:rsidRPr="00982DD9" w:rsidRDefault="00982DD9" w:rsidP="00982DD9">
      <w:pPr>
        <w:pStyle w:val="Prrafodelista"/>
        <w:spacing w:after="0" w:line="360" w:lineRule="auto"/>
        <w:ind w:left="0" w:firstLine="357"/>
        <w:contextualSpacing w:val="0"/>
        <w:jc w:val="both"/>
        <w:rPr>
          <w:rFonts w:ascii="Arial" w:hAnsi="Arial" w:cs="Arial"/>
          <w:color w:val="1D1B11"/>
          <w:sz w:val="24"/>
          <w:szCs w:val="24"/>
        </w:rPr>
      </w:pPr>
    </w:p>
    <w:p w14:paraId="1CDF21CE" w14:textId="77777777" w:rsidR="009F0986" w:rsidRPr="00982DD9" w:rsidRDefault="009F0986" w:rsidP="00982DD9">
      <w:pPr>
        <w:pStyle w:val="Prrafodelista"/>
        <w:numPr>
          <w:ilvl w:val="1"/>
          <w:numId w:val="1"/>
        </w:numPr>
        <w:spacing w:after="0" w:line="360" w:lineRule="auto"/>
        <w:contextualSpacing w:val="0"/>
        <w:jc w:val="both"/>
        <w:rPr>
          <w:rFonts w:ascii="Arial" w:hAnsi="Arial" w:cs="Arial"/>
          <w:color w:val="1D1B11"/>
          <w:sz w:val="24"/>
          <w:szCs w:val="24"/>
        </w:rPr>
      </w:pPr>
      <w:r w:rsidRPr="00982DD9">
        <w:rPr>
          <w:rFonts w:ascii="Arial" w:hAnsi="Arial" w:cs="Arial"/>
          <w:color w:val="1D1B11"/>
          <w:sz w:val="24"/>
          <w:szCs w:val="24"/>
        </w:rPr>
        <w:t>El 26 de octubre de 2012, se firmó el contrato con el propósito de terminar 30 pozos ubicados en el Magdalena Medio, por un valor estimado de veintitrés millones ciento cincuenta y cinco mil trece dólares de los EEUU (US$23.155.013) y cuarenta y un mil seiscientos setenta y seis millones quinientos noventa y dos mil cuatrocientos cuarenta y siete pesos colombianos (COP$41.676’592.847). A título de garantía el contratista constituyó dos pólizas, por valor de US$3’473.250.oo y COP$6.251’488.867 con La Previsora Compañía de Seguros S.A., 3002464</w:t>
      </w:r>
      <w:r w:rsidRPr="00982DD9">
        <w:rPr>
          <w:rStyle w:val="Refdenotaalpie"/>
          <w:rFonts w:ascii="Arial" w:hAnsi="Arial" w:cs="Arial"/>
          <w:color w:val="1D1B11"/>
          <w:sz w:val="24"/>
          <w:szCs w:val="24"/>
        </w:rPr>
        <w:footnoteReference w:id="2"/>
      </w:r>
      <w:r w:rsidRPr="00982DD9">
        <w:rPr>
          <w:rFonts w:ascii="Arial" w:hAnsi="Arial" w:cs="Arial"/>
          <w:color w:val="1D1B11"/>
          <w:sz w:val="24"/>
          <w:szCs w:val="24"/>
        </w:rPr>
        <w:t xml:space="preserve"> y 3002465</w:t>
      </w:r>
      <w:r w:rsidRPr="00982DD9">
        <w:rPr>
          <w:rStyle w:val="Refdenotaalpie"/>
          <w:rFonts w:ascii="Arial" w:hAnsi="Arial" w:cs="Arial"/>
          <w:color w:val="1D1B11"/>
          <w:sz w:val="24"/>
          <w:szCs w:val="24"/>
        </w:rPr>
        <w:footnoteReference w:id="3"/>
      </w:r>
      <w:r w:rsidRPr="00982DD9">
        <w:rPr>
          <w:rFonts w:ascii="Arial" w:hAnsi="Arial" w:cs="Arial"/>
          <w:color w:val="1D1B11"/>
          <w:sz w:val="24"/>
          <w:szCs w:val="24"/>
        </w:rPr>
        <w:t xml:space="preserve"> respectivamente.</w:t>
      </w:r>
    </w:p>
    <w:p w14:paraId="37209A41" w14:textId="77777777" w:rsidR="009F0986" w:rsidRPr="00982DD9" w:rsidRDefault="009F0986" w:rsidP="00982DD9">
      <w:pPr>
        <w:pStyle w:val="Prrafodelista"/>
        <w:numPr>
          <w:ilvl w:val="1"/>
          <w:numId w:val="1"/>
        </w:numPr>
        <w:spacing w:after="0" w:line="360" w:lineRule="auto"/>
        <w:contextualSpacing w:val="0"/>
        <w:jc w:val="both"/>
        <w:rPr>
          <w:rFonts w:ascii="Arial" w:hAnsi="Arial" w:cs="Arial"/>
          <w:color w:val="1D1B11"/>
          <w:sz w:val="24"/>
          <w:szCs w:val="24"/>
        </w:rPr>
      </w:pPr>
      <w:r w:rsidRPr="00982DD9">
        <w:rPr>
          <w:rFonts w:ascii="Arial" w:hAnsi="Arial" w:cs="Arial"/>
          <w:color w:val="1D1B11"/>
          <w:sz w:val="24"/>
          <w:szCs w:val="24"/>
        </w:rPr>
        <w:t xml:space="preserve">El 11 de diciembre de 2012 y el 4 de febrero de 2013, ECOPETROL S.A. hizo ejecutiva la cláusula penal de apremio a </w:t>
      </w:r>
      <w:proofErr w:type="spellStart"/>
      <w:r w:rsidRPr="00982DD9">
        <w:rPr>
          <w:rFonts w:ascii="Arial" w:hAnsi="Arial" w:cs="Arial"/>
          <w:color w:val="1D1B11"/>
          <w:sz w:val="24"/>
          <w:szCs w:val="24"/>
        </w:rPr>
        <w:t>Centurion</w:t>
      </w:r>
      <w:proofErr w:type="spellEnd"/>
      <w:r w:rsidRPr="00982DD9">
        <w:rPr>
          <w:rFonts w:ascii="Arial" w:hAnsi="Arial" w:cs="Arial"/>
          <w:color w:val="1D1B11"/>
          <w:sz w:val="24"/>
          <w:szCs w:val="24"/>
        </w:rPr>
        <w:t xml:space="preserve"> </w:t>
      </w:r>
      <w:proofErr w:type="spellStart"/>
      <w:r w:rsidRPr="00982DD9">
        <w:rPr>
          <w:rFonts w:ascii="Arial" w:hAnsi="Arial" w:cs="Arial"/>
          <w:color w:val="1D1B11"/>
          <w:sz w:val="24"/>
          <w:szCs w:val="24"/>
        </w:rPr>
        <w:t>Drilling</w:t>
      </w:r>
      <w:proofErr w:type="spellEnd"/>
      <w:r w:rsidRPr="00982DD9">
        <w:rPr>
          <w:rFonts w:ascii="Arial" w:hAnsi="Arial" w:cs="Arial"/>
          <w:color w:val="1D1B11"/>
          <w:sz w:val="24"/>
          <w:szCs w:val="24"/>
        </w:rPr>
        <w:t xml:space="preserve"> </w:t>
      </w:r>
      <w:proofErr w:type="spellStart"/>
      <w:r w:rsidRPr="00982DD9">
        <w:rPr>
          <w:rFonts w:ascii="Arial" w:hAnsi="Arial" w:cs="Arial"/>
          <w:color w:val="1D1B11"/>
          <w:sz w:val="24"/>
          <w:szCs w:val="24"/>
        </w:rPr>
        <w:t>Limited</w:t>
      </w:r>
      <w:proofErr w:type="spellEnd"/>
      <w:r w:rsidRPr="00982DD9">
        <w:rPr>
          <w:rFonts w:ascii="Arial" w:hAnsi="Arial" w:cs="Arial"/>
          <w:color w:val="1D1B11"/>
          <w:sz w:val="24"/>
          <w:szCs w:val="24"/>
        </w:rPr>
        <w:t xml:space="preserve">-Sucursal por dilatación injustificada en la entrega y firma del contrato y por incumplimiento del cronograma de trabajo. En consecuencia el contratista pagó a ECOPETROL la suma de cuatrocientos veinte mil quinientos dos dólares estadounidenses (US$420.502) y mil doscientos treinta y seis </w:t>
      </w:r>
      <w:r w:rsidRPr="00982DD9">
        <w:rPr>
          <w:rFonts w:ascii="Arial" w:hAnsi="Arial" w:cs="Arial"/>
          <w:color w:val="1D1B11"/>
          <w:sz w:val="24"/>
          <w:szCs w:val="24"/>
        </w:rPr>
        <w:lastRenderedPageBreak/>
        <w:t>millones trescientos siete mil novecientos cuarenta pesos colombianos (COP$1.236’3.7.940).</w:t>
      </w:r>
    </w:p>
    <w:p w14:paraId="78CA6EDA" w14:textId="77777777" w:rsidR="009F0986" w:rsidRPr="00982DD9" w:rsidRDefault="009F0986" w:rsidP="00982DD9">
      <w:pPr>
        <w:pStyle w:val="Prrafodelista"/>
        <w:numPr>
          <w:ilvl w:val="1"/>
          <w:numId w:val="1"/>
        </w:numPr>
        <w:spacing w:after="0" w:line="360" w:lineRule="auto"/>
        <w:contextualSpacing w:val="0"/>
        <w:jc w:val="both"/>
        <w:rPr>
          <w:rFonts w:ascii="Arial" w:hAnsi="Arial" w:cs="Arial"/>
          <w:color w:val="1D1B11"/>
          <w:sz w:val="24"/>
          <w:szCs w:val="24"/>
        </w:rPr>
      </w:pPr>
      <w:r w:rsidRPr="00982DD9">
        <w:rPr>
          <w:rFonts w:ascii="Arial" w:hAnsi="Arial" w:cs="Arial"/>
          <w:color w:val="1D1B11"/>
          <w:sz w:val="24"/>
          <w:szCs w:val="24"/>
        </w:rPr>
        <w:t xml:space="preserve">Debido a las demoras en las que incurrió ECOPETROL en la socialización del contrato, </w:t>
      </w:r>
      <w:proofErr w:type="spellStart"/>
      <w:r w:rsidRPr="00982DD9">
        <w:rPr>
          <w:rFonts w:ascii="Arial" w:hAnsi="Arial" w:cs="Arial"/>
          <w:color w:val="1D1B11"/>
          <w:sz w:val="24"/>
          <w:szCs w:val="24"/>
        </w:rPr>
        <w:t>Centurion</w:t>
      </w:r>
      <w:proofErr w:type="spellEnd"/>
      <w:r w:rsidRPr="00982DD9">
        <w:rPr>
          <w:rFonts w:ascii="Arial" w:hAnsi="Arial" w:cs="Arial"/>
          <w:color w:val="1D1B11"/>
          <w:sz w:val="24"/>
          <w:szCs w:val="24"/>
        </w:rPr>
        <w:t xml:space="preserve"> </w:t>
      </w:r>
      <w:proofErr w:type="spellStart"/>
      <w:r w:rsidRPr="00982DD9">
        <w:rPr>
          <w:rFonts w:ascii="Arial" w:hAnsi="Arial" w:cs="Arial"/>
          <w:color w:val="1D1B11"/>
          <w:sz w:val="24"/>
          <w:szCs w:val="24"/>
        </w:rPr>
        <w:t>Drilling</w:t>
      </w:r>
      <w:proofErr w:type="spellEnd"/>
      <w:r w:rsidRPr="00982DD9">
        <w:rPr>
          <w:rFonts w:ascii="Arial" w:hAnsi="Arial" w:cs="Arial"/>
          <w:color w:val="1D1B11"/>
          <w:sz w:val="24"/>
          <w:szCs w:val="24"/>
        </w:rPr>
        <w:t xml:space="preserve"> </w:t>
      </w:r>
      <w:proofErr w:type="spellStart"/>
      <w:r w:rsidRPr="00982DD9">
        <w:rPr>
          <w:rFonts w:ascii="Arial" w:hAnsi="Arial" w:cs="Arial"/>
          <w:color w:val="1D1B11"/>
          <w:sz w:val="24"/>
          <w:szCs w:val="24"/>
        </w:rPr>
        <w:t>Limited</w:t>
      </w:r>
      <w:proofErr w:type="spellEnd"/>
      <w:r w:rsidRPr="00982DD9">
        <w:rPr>
          <w:rFonts w:ascii="Arial" w:hAnsi="Arial" w:cs="Arial"/>
          <w:color w:val="1D1B11"/>
          <w:sz w:val="24"/>
          <w:szCs w:val="24"/>
        </w:rPr>
        <w:t>-Sucursal Colombia asumió sobrecostos y pérdidas del costo de oportunidad e incurrió en retrasos con la ejecución, relacionados con bloqueos por parte de las comunidades de la zona. Con fundamento en lo anterior, requirió varias veces a Ecopetrol para que reconociera y pagara los costos adicionales a los que dio lugar en la ejecución del objeto contractual.</w:t>
      </w:r>
    </w:p>
    <w:p w14:paraId="090B86BA" w14:textId="77777777" w:rsidR="009F0986" w:rsidRPr="00982DD9" w:rsidRDefault="009F0986" w:rsidP="00982DD9">
      <w:pPr>
        <w:pStyle w:val="Prrafodelista"/>
        <w:numPr>
          <w:ilvl w:val="1"/>
          <w:numId w:val="1"/>
        </w:numPr>
        <w:spacing w:after="0" w:line="360" w:lineRule="auto"/>
        <w:contextualSpacing w:val="0"/>
        <w:jc w:val="both"/>
        <w:rPr>
          <w:rFonts w:ascii="Arial" w:hAnsi="Arial" w:cs="Arial"/>
          <w:color w:val="1D1B11"/>
          <w:sz w:val="24"/>
          <w:szCs w:val="24"/>
        </w:rPr>
      </w:pPr>
      <w:r w:rsidRPr="00982DD9">
        <w:rPr>
          <w:rFonts w:ascii="Arial" w:hAnsi="Arial" w:cs="Arial"/>
          <w:color w:val="1D1B11"/>
          <w:sz w:val="24"/>
          <w:szCs w:val="24"/>
        </w:rPr>
        <w:t xml:space="preserve">Acorde con las cláusulas cuarta y quinta del contrato, las partes acordaron el pago de lo efectivamente realizado y los requisitos para reclamarlo, sin inconvenientes, hasta el mes de octubre de 2013. A partir del mes siguiente, ECOPETROL no solo se abstuvo de pagar las facturas presentadas, sino que, en aplicación de la cláusula décimo séptima del contrato, tomó dineros propios del contratista para pagar con ellos parte de las obligaciones laborales y comerciales adeudadas, al punto que, el 10 de diciembre de 2013, </w:t>
      </w:r>
      <w:proofErr w:type="spellStart"/>
      <w:r w:rsidRPr="00982DD9">
        <w:rPr>
          <w:rFonts w:ascii="Arial" w:hAnsi="Arial" w:cs="Arial"/>
          <w:color w:val="1D1B11"/>
          <w:sz w:val="24"/>
          <w:szCs w:val="24"/>
        </w:rPr>
        <w:t>Centurion</w:t>
      </w:r>
      <w:proofErr w:type="spellEnd"/>
      <w:r w:rsidRPr="00982DD9">
        <w:rPr>
          <w:rFonts w:ascii="Arial" w:hAnsi="Arial" w:cs="Arial"/>
          <w:color w:val="1D1B11"/>
          <w:sz w:val="24"/>
          <w:szCs w:val="24"/>
        </w:rPr>
        <w:t xml:space="preserve"> </w:t>
      </w:r>
      <w:proofErr w:type="spellStart"/>
      <w:r w:rsidRPr="00982DD9">
        <w:rPr>
          <w:rFonts w:ascii="Arial" w:hAnsi="Arial" w:cs="Arial"/>
          <w:color w:val="1D1B11"/>
          <w:sz w:val="24"/>
          <w:szCs w:val="24"/>
        </w:rPr>
        <w:t>Drilling</w:t>
      </w:r>
      <w:proofErr w:type="spellEnd"/>
      <w:r w:rsidRPr="00982DD9">
        <w:rPr>
          <w:rFonts w:ascii="Arial" w:hAnsi="Arial" w:cs="Arial"/>
          <w:color w:val="1D1B11"/>
          <w:sz w:val="24"/>
          <w:szCs w:val="24"/>
        </w:rPr>
        <w:t xml:space="preserve"> </w:t>
      </w:r>
      <w:proofErr w:type="spellStart"/>
      <w:r w:rsidRPr="00982DD9">
        <w:rPr>
          <w:rFonts w:ascii="Arial" w:hAnsi="Arial" w:cs="Arial"/>
          <w:color w:val="1D1B11"/>
          <w:sz w:val="24"/>
          <w:szCs w:val="24"/>
        </w:rPr>
        <w:t>Limited</w:t>
      </w:r>
      <w:proofErr w:type="spellEnd"/>
      <w:r w:rsidRPr="00982DD9">
        <w:rPr>
          <w:rFonts w:ascii="Arial" w:hAnsi="Arial" w:cs="Arial"/>
          <w:color w:val="1D1B11"/>
          <w:sz w:val="24"/>
          <w:szCs w:val="24"/>
        </w:rPr>
        <w:t xml:space="preserve">-Sucursal Colombia decidió terminar unilateralmente el contrato. </w:t>
      </w:r>
    </w:p>
    <w:p w14:paraId="1A3C45D8" w14:textId="77777777" w:rsidR="009F0986" w:rsidRPr="00982DD9" w:rsidRDefault="009F0986" w:rsidP="00982DD9">
      <w:pPr>
        <w:pStyle w:val="Prrafodelista"/>
        <w:numPr>
          <w:ilvl w:val="1"/>
          <w:numId w:val="1"/>
        </w:numPr>
        <w:spacing w:after="0" w:line="360" w:lineRule="auto"/>
        <w:contextualSpacing w:val="0"/>
        <w:jc w:val="both"/>
        <w:rPr>
          <w:rFonts w:ascii="Arial" w:hAnsi="Arial" w:cs="Arial"/>
          <w:color w:val="1D1B11"/>
          <w:sz w:val="24"/>
          <w:szCs w:val="24"/>
        </w:rPr>
      </w:pPr>
      <w:r w:rsidRPr="00982DD9">
        <w:rPr>
          <w:rFonts w:ascii="Arial" w:hAnsi="Arial" w:cs="Arial"/>
          <w:color w:val="1D1B11"/>
          <w:sz w:val="24"/>
          <w:szCs w:val="24"/>
        </w:rPr>
        <w:t>El 9 de abril de 2014, el actor presentó ante la Procuraduría General de la Nación solicitud de conciliación, adelantada el 19 de mayo siguiente, sin llegar a un acuerdo.</w:t>
      </w:r>
    </w:p>
    <w:p w14:paraId="155032C2" w14:textId="77777777" w:rsidR="009F0986" w:rsidRPr="00982DD9" w:rsidRDefault="009F0986" w:rsidP="00982DD9">
      <w:pPr>
        <w:spacing w:line="360" w:lineRule="auto"/>
        <w:jc w:val="both"/>
        <w:rPr>
          <w:rFonts w:ascii="Arial" w:hAnsi="Arial" w:cs="Arial"/>
          <w:color w:val="1D1B11"/>
          <w:sz w:val="24"/>
          <w:szCs w:val="24"/>
        </w:rPr>
      </w:pPr>
    </w:p>
    <w:p w14:paraId="40B7F44C" w14:textId="77777777" w:rsidR="009F0986" w:rsidRPr="00982DD9" w:rsidRDefault="009F0986" w:rsidP="00982DD9">
      <w:pPr>
        <w:pStyle w:val="Prrafodelista"/>
        <w:numPr>
          <w:ilvl w:val="0"/>
          <w:numId w:val="3"/>
        </w:numPr>
        <w:spacing w:after="0" w:line="360" w:lineRule="auto"/>
        <w:jc w:val="both"/>
        <w:rPr>
          <w:rFonts w:ascii="Arial" w:hAnsi="Arial" w:cs="Arial"/>
          <w:b/>
          <w:color w:val="1D1B11"/>
          <w:sz w:val="24"/>
          <w:szCs w:val="24"/>
        </w:rPr>
      </w:pPr>
      <w:r w:rsidRPr="00982DD9">
        <w:rPr>
          <w:rFonts w:ascii="Arial" w:hAnsi="Arial" w:cs="Arial"/>
          <w:b/>
          <w:color w:val="1D1B11"/>
          <w:sz w:val="24"/>
          <w:szCs w:val="24"/>
        </w:rPr>
        <w:t>Intervención pasiva – Demanda principal</w:t>
      </w:r>
    </w:p>
    <w:p w14:paraId="6C23EDCF" w14:textId="77777777" w:rsidR="00982DD9" w:rsidRPr="00982DD9" w:rsidRDefault="00982DD9" w:rsidP="00982DD9">
      <w:pPr>
        <w:pStyle w:val="Prrafodelista"/>
        <w:spacing w:after="0" w:line="360" w:lineRule="auto"/>
        <w:ind w:left="1077"/>
        <w:jc w:val="both"/>
        <w:rPr>
          <w:rFonts w:ascii="Arial" w:hAnsi="Arial" w:cs="Arial"/>
          <w:b/>
          <w:color w:val="1D1B11"/>
          <w:sz w:val="24"/>
          <w:szCs w:val="24"/>
        </w:rPr>
      </w:pPr>
    </w:p>
    <w:p w14:paraId="3967151C" w14:textId="77777777" w:rsidR="009F0986" w:rsidRPr="00982DD9" w:rsidRDefault="009F0986" w:rsidP="00982DD9">
      <w:pPr>
        <w:spacing w:line="360" w:lineRule="auto"/>
        <w:ind w:firstLine="360"/>
        <w:jc w:val="both"/>
        <w:rPr>
          <w:rFonts w:ascii="Arial" w:hAnsi="Arial" w:cs="Arial"/>
          <w:color w:val="1D1B11"/>
          <w:sz w:val="24"/>
          <w:szCs w:val="24"/>
        </w:rPr>
      </w:pPr>
      <w:r w:rsidRPr="00982DD9">
        <w:rPr>
          <w:rFonts w:ascii="Arial" w:hAnsi="Arial" w:cs="Arial"/>
          <w:color w:val="1D1B11"/>
          <w:sz w:val="24"/>
          <w:szCs w:val="24"/>
        </w:rPr>
        <w:t>El 8 de octubre de 2014, ECOPETROL S.A. se opuso a la prosperidad de las pretensiones. Además, propuso las excepciones de i) contrato no cumplido</w:t>
      </w:r>
      <w:r w:rsidRPr="00982DD9">
        <w:rPr>
          <w:rStyle w:val="Refdenotaalpie"/>
          <w:rFonts w:ascii="Arial" w:hAnsi="Arial" w:cs="Arial"/>
          <w:color w:val="1D1B11"/>
          <w:sz w:val="24"/>
          <w:szCs w:val="24"/>
        </w:rPr>
        <w:footnoteReference w:id="4"/>
      </w:r>
      <w:r w:rsidRPr="00982DD9">
        <w:rPr>
          <w:rFonts w:ascii="Arial" w:hAnsi="Arial" w:cs="Arial"/>
          <w:color w:val="1D1B11"/>
          <w:sz w:val="24"/>
          <w:szCs w:val="24"/>
        </w:rPr>
        <w:t>, ii) inexistencia de la obligación y nexo causal</w:t>
      </w:r>
      <w:r w:rsidRPr="00982DD9">
        <w:rPr>
          <w:rStyle w:val="Refdenotaalpie"/>
          <w:rFonts w:ascii="Arial" w:hAnsi="Arial" w:cs="Arial"/>
          <w:color w:val="1D1B11"/>
          <w:sz w:val="24"/>
          <w:szCs w:val="24"/>
        </w:rPr>
        <w:footnoteReference w:id="5"/>
      </w:r>
      <w:r w:rsidRPr="00982DD9">
        <w:rPr>
          <w:rFonts w:ascii="Arial" w:hAnsi="Arial" w:cs="Arial"/>
          <w:color w:val="1D1B11"/>
          <w:sz w:val="24"/>
          <w:szCs w:val="24"/>
        </w:rPr>
        <w:t>, iii) endoso sin los requisitos legales</w:t>
      </w:r>
      <w:r w:rsidRPr="00982DD9">
        <w:rPr>
          <w:rStyle w:val="Refdenotaalpie"/>
          <w:rFonts w:ascii="Arial" w:hAnsi="Arial" w:cs="Arial"/>
          <w:color w:val="1D1B11"/>
          <w:sz w:val="24"/>
          <w:szCs w:val="24"/>
        </w:rPr>
        <w:footnoteReference w:id="6"/>
      </w:r>
      <w:r w:rsidRPr="00982DD9">
        <w:rPr>
          <w:rFonts w:ascii="Arial" w:hAnsi="Arial" w:cs="Arial"/>
          <w:color w:val="1D1B11"/>
          <w:sz w:val="24"/>
          <w:szCs w:val="24"/>
        </w:rPr>
        <w:t xml:space="preserve"> e iv) inexigibilidad de las obligaciones incorporadas en las facturas</w:t>
      </w:r>
      <w:r w:rsidRPr="00982DD9">
        <w:rPr>
          <w:rStyle w:val="Refdenotaalpie"/>
          <w:rFonts w:ascii="Arial" w:hAnsi="Arial" w:cs="Arial"/>
          <w:color w:val="1D1B11"/>
          <w:sz w:val="24"/>
          <w:szCs w:val="24"/>
        </w:rPr>
        <w:footnoteReference w:id="7"/>
      </w:r>
      <w:r w:rsidRPr="00982DD9">
        <w:rPr>
          <w:rFonts w:ascii="Arial" w:hAnsi="Arial" w:cs="Arial"/>
          <w:color w:val="1D1B11"/>
          <w:sz w:val="24"/>
          <w:szCs w:val="24"/>
        </w:rPr>
        <w:t>.</w:t>
      </w:r>
    </w:p>
    <w:p w14:paraId="42A1B734" w14:textId="77777777" w:rsidR="00982DD9" w:rsidRPr="00982DD9" w:rsidRDefault="00982DD9" w:rsidP="00982DD9">
      <w:pPr>
        <w:spacing w:line="360" w:lineRule="auto"/>
        <w:ind w:firstLine="360"/>
        <w:jc w:val="both"/>
        <w:rPr>
          <w:rFonts w:ascii="Arial" w:hAnsi="Arial" w:cs="Arial"/>
          <w:color w:val="1D1B11"/>
          <w:sz w:val="24"/>
          <w:szCs w:val="24"/>
        </w:rPr>
      </w:pPr>
    </w:p>
    <w:p w14:paraId="50FE0C2C" w14:textId="77777777" w:rsidR="009F0986" w:rsidRPr="00982DD9" w:rsidRDefault="009F0986" w:rsidP="00982DD9">
      <w:pPr>
        <w:pStyle w:val="Prrafodelista"/>
        <w:numPr>
          <w:ilvl w:val="0"/>
          <w:numId w:val="3"/>
        </w:numPr>
        <w:spacing w:after="0" w:line="360" w:lineRule="auto"/>
        <w:ind w:left="1071" w:hanging="357"/>
        <w:contextualSpacing w:val="0"/>
        <w:jc w:val="both"/>
        <w:rPr>
          <w:rFonts w:ascii="Arial" w:hAnsi="Arial" w:cs="Arial"/>
          <w:b/>
          <w:color w:val="1D1B11"/>
          <w:sz w:val="24"/>
          <w:szCs w:val="24"/>
        </w:rPr>
      </w:pPr>
      <w:r w:rsidRPr="00982DD9">
        <w:rPr>
          <w:rFonts w:ascii="Arial" w:hAnsi="Arial" w:cs="Arial"/>
          <w:b/>
          <w:color w:val="1D1B11"/>
          <w:sz w:val="24"/>
          <w:szCs w:val="24"/>
        </w:rPr>
        <w:t>Demanda de reconvención</w:t>
      </w:r>
    </w:p>
    <w:p w14:paraId="3D25DC5C" w14:textId="77777777" w:rsidR="00982DD9" w:rsidRPr="00982DD9" w:rsidRDefault="00982DD9" w:rsidP="00982DD9">
      <w:pPr>
        <w:pStyle w:val="Prrafodelista"/>
        <w:spacing w:after="0" w:line="360" w:lineRule="auto"/>
        <w:ind w:left="1071"/>
        <w:contextualSpacing w:val="0"/>
        <w:jc w:val="both"/>
        <w:rPr>
          <w:rFonts w:ascii="Arial" w:hAnsi="Arial" w:cs="Arial"/>
          <w:b/>
          <w:color w:val="1D1B11"/>
          <w:sz w:val="24"/>
          <w:szCs w:val="24"/>
        </w:rPr>
      </w:pPr>
    </w:p>
    <w:p w14:paraId="7083903B" w14:textId="77777777" w:rsidR="009F0986" w:rsidRPr="00982DD9" w:rsidRDefault="009F0986" w:rsidP="00982DD9">
      <w:pPr>
        <w:pStyle w:val="Prrafodelista"/>
        <w:spacing w:after="0" w:line="360" w:lineRule="auto"/>
        <w:ind w:left="0" w:firstLine="360"/>
        <w:contextualSpacing w:val="0"/>
        <w:jc w:val="both"/>
        <w:rPr>
          <w:rFonts w:ascii="Arial" w:hAnsi="Arial" w:cs="Arial"/>
          <w:color w:val="1D1B11"/>
          <w:sz w:val="24"/>
          <w:szCs w:val="24"/>
        </w:rPr>
      </w:pPr>
      <w:r w:rsidRPr="00982DD9">
        <w:rPr>
          <w:rFonts w:ascii="Arial" w:hAnsi="Arial" w:cs="Arial"/>
          <w:color w:val="1D1B11"/>
          <w:sz w:val="24"/>
          <w:szCs w:val="24"/>
        </w:rPr>
        <w:t xml:space="preserve">Al tiempo con la contestación de la demanda, ECOPETROL presentó demanda de reconvención para que se condene a </w:t>
      </w:r>
      <w:proofErr w:type="spellStart"/>
      <w:r w:rsidRPr="00982DD9">
        <w:rPr>
          <w:rFonts w:ascii="Arial" w:hAnsi="Arial" w:cs="Arial"/>
          <w:color w:val="1D1B11"/>
          <w:sz w:val="24"/>
          <w:szCs w:val="24"/>
        </w:rPr>
        <w:t>Centurion</w:t>
      </w:r>
      <w:proofErr w:type="spellEnd"/>
      <w:r w:rsidRPr="00982DD9">
        <w:rPr>
          <w:rFonts w:ascii="Arial" w:hAnsi="Arial" w:cs="Arial"/>
          <w:color w:val="1D1B11"/>
          <w:sz w:val="24"/>
          <w:szCs w:val="24"/>
        </w:rPr>
        <w:t xml:space="preserve"> </w:t>
      </w:r>
      <w:proofErr w:type="spellStart"/>
      <w:r w:rsidRPr="00982DD9">
        <w:rPr>
          <w:rFonts w:ascii="Arial" w:hAnsi="Arial" w:cs="Arial"/>
          <w:color w:val="1D1B11"/>
          <w:sz w:val="24"/>
          <w:szCs w:val="24"/>
        </w:rPr>
        <w:t>Drilling</w:t>
      </w:r>
      <w:proofErr w:type="spellEnd"/>
      <w:r w:rsidRPr="00982DD9">
        <w:rPr>
          <w:rFonts w:ascii="Arial" w:hAnsi="Arial" w:cs="Arial"/>
          <w:color w:val="1D1B11"/>
          <w:sz w:val="24"/>
          <w:szCs w:val="24"/>
        </w:rPr>
        <w:t xml:space="preserve"> </w:t>
      </w:r>
      <w:proofErr w:type="spellStart"/>
      <w:r w:rsidRPr="00982DD9">
        <w:rPr>
          <w:rFonts w:ascii="Arial" w:hAnsi="Arial" w:cs="Arial"/>
          <w:color w:val="1D1B11"/>
          <w:sz w:val="24"/>
          <w:szCs w:val="24"/>
        </w:rPr>
        <w:t>Limited</w:t>
      </w:r>
      <w:proofErr w:type="spellEnd"/>
      <w:r w:rsidRPr="00982DD9">
        <w:rPr>
          <w:rFonts w:ascii="Arial" w:hAnsi="Arial" w:cs="Arial"/>
          <w:color w:val="1D1B11"/>
          <w:sz w:val="24"/>
          <w:szCs w:val="24"/>
        </w:rPr>
        <w:t xml:space="preserve"> Sucursal </w:t>
      </w:r>
      <w:r w:rsidRPr="00982DD9">
        <w:rPr>
          <w:rFonts w:ascii="Arial" w:hAnsi="Arial" w:cs="Arial"/>
          <w:color w:val="1D1B11"/>
          <w:sz w:val="24"/>
          <w:szCs w:val="24"/>
        </w:rPr>
        <w:lastRenderedPageBreak/>
        <w:t>Colombia al pago de los perjuicios causados por su incumplimiento, con fundamento en los siguientes hechos</w:t>
      </w:r>
      <w:r w:rsidRPr="00982DD9">
        <w:rPr>
          <w:rStyle w:val="Refdenotaalpie"/>
          <w:rFonts w:ascii="Arial" w:hAnsi="Arial" w:cs="Arial"/>
          <w:color w:val="1D1B11"/>
          <w:sz w:val="24"/>
          <w:szCs w:val="24"/>
        </w:rPr>
        <w:footnoteReference w:id="8"/>
      </w:r>
      <w:r w:rsidRPr="00982DD9">
        <w:rPr>
          <w:rFonts w:ascii="Arial" w:hAnsi="Arial" w:cs="Arial"/>
          <w:color w:val="1D1B11"/>
          <w:sz w:val="24"/>
          <w:szCs w:val="24"/>
        </w:rPr>
        <w:t>:</w:t>
      </w:r>
    </w:p>
    <w:p w14:paraId="02412D56" w14:textId="77777777" w:rsidR="00982DD9" w:rsidRPr="00982DD9" w:rsidRDefault="00982DD9" w:rsidP="00982DD9">
      <w:pPr>
        <w:pStyle w:val="Prrafodelista"/>
        <w:spacing w:after="0" w:line="360" w:lineRule="auto"/>
        <w:ind w:left="0" w:firstLine="360"/>
        <w:contextualSpacing w:val="0"/>
        <w:jc w:val="both"/>
        <w:rPr>
          <w:rFonts w:ascii="Arial" w:hAnsi="Arial" w:cs="Arial"/>
          <w:color w:val="1D1B11"/>
          <w:sz w:val="24"/>
          <w:szCs w:val="24"/>
        </w:rPr>
      </w:pPr>
    </w:p>
    <w:p w14:paraId="1974E023" w14:textId="77777777" w:rsidR="009F0986" w:rsidRPr="00982DD9" w:rsidRDefault="009F0986" w:rsidP="00982DD9">
      <w:pPr>
        <w:pStyle w:val="Prrafodelista"/>
        <w:numPr>
          <w:ilvl w:val="0"/>
          <w:numId w:val="2"/>
        </w:numPr>
        <w:spacing w:after="0" w:line="360" w:lineRule="auto"/>
        <w:contextualSpacing w:val="0"/>
        <w:jc w:val="both"/>
        <w:rPr>
          <w:rFonts w:ascii="Arial" w:hAnsi="Arial" w:cs="Arial"/>
          <w:color w:val="1D1B11"/>
          <w:sz w:val="24"/>
          <w:szCs w:val="24"/>
        </w:rPr>
      </w:pPr>
      <w:r w:rsidRPr="00982DD9">
        <w:rPr>
          <w:rFonts w:ascii="Arial" w:hAnsi="Arial" w:cs="Arial"/>
          <w:color w:val="1D1B11"/>
          <w:sz w:val="24"/>
          <w:szCs w:val="24"/>
        </w:rPr>
        <w:t xml:space="preserve">En virtud del proceso de selección n.º 50015012, ECOPETROL S.A. y </w:t>
      </w:r>
      <w:proofErr w:type="spellStart"/>
      <w:r w:rsidRPr="00982DD9">
        <w:rPr>
          <w:rFonts w:ascii="Arial" w:hAnsi="Arial" w:cs="Arial"/>
          <w:color w:val="1D1B11"/>
          <w:sz w:val="24"/>
          <w:szCs w:val="24"/>
        </w:rPr>
        <w:t>Centurion</w:t>
      </w:r>
      <w:proofErr w:type="spellEnd"/>
      <w:r w:rsidRPr="00982DD9">
        <w:rPr>
          <w:rFonts w:ascii="Arial" w:hAnsi="Arial" w:cs="Arial"/>
          <w:color w:val="1D1B11"/>
          <w:sz w:val="24"/>
          <w:szCs w:val="24"/>
        </w:rPr>
        <w:t xml:space="preserve"> </w:t>
      </w:r>
      <w:proofErr w:type="spellStart"/>
      <w:r w:rsidRPr="00982DD9">
        <w:rPr>
          <w:rFonts w:ascii="Arial" w:hAnsi="Arial" w:cs="Arial"/>
          <w:color w:val="1D1B11"/>
          <w:sz w:val="24"/>
          <w:szCs w:val="24"/>
        </w:rPr>
        <w:t>Drilling</w:t>
      </w:r>
      <w:proofErr w:type="spellEnd"/>
      <w:r w:rsidRPr="00982DD9">
        <w:rPr>
          <w:rFonts w:ascii="Arial" w:hAnsi="Arial" w:cs="Arial"/>
          <w:color w:val="1D1B11"/>
          <w:sz w:val="24"/>
          <w:szCs w:val="24"/>
        </w:rPr>
        <w:t xml:space="preserve"> </w:t>
      </w:r>
      <w:proofErr w:type="spellStart"/>
      <w:r w:rsidRPr="00982DD9">
        <w:rPr>
          <w:rFonts w:ascii="Arial" w:hAnsi="Arial" w:cs="Arial"/>
          <w:color w:val="1D1B11"/>
          <w:sz w:val="24"/>
          <w:szCs w:val="24"/>
        </w:rPr>
        <w:t>Limited</w:t>
      </w:r>
      <w:proofErr w:type="spellEnd"/>
      <w:r w:rsidRPr="00982DD9">
        <w:rPr>
          <w:rFonts w:ascii="Arial" w:hAnsi="Arial" w:cs="Arial"/>
          <w:color w:val="1D1B11"/>
          <w:sz w:val="24"/>
          <w:szCs w:val="24"/>
        </w:rPr>
        <w:t xml:space="preserve"> Sucursal Colombia celebraron el contrato n.º MA-0017103 para la ejecución de las operaciones y perforación de 22 pozos ubicados en la Gerencia Regional del Magdalena Medio. Una vez adjudicado el contrato, las partes acordaron la fecha de inicio, no obstante, desde antes del levantamiento del acta y una vez suscrita, sobrevinieron incumplimientos por parte del contratista que llevaron a la entidad a ejercer su facultad de apremió, en aplicación de la cláusula vigésima tercera del contrato. El contratista excusó sus incumplimientos argumentando circunstancias incontrolables e imprevisibles, sin recibo para la entidad.</w:t>
      </w:r>
    </w:p>
    <w:p w14:paraId="33C7526B" w14:textId="77777777" w:rsidR="009F0986" w:rsidRPr="00982DD9" w:rsidRDefault="009F0986" w:rsidP="00982DD9">
      <w:pPr>
        <w:pStyle w:val="Prrafodelista"/>
        <w:numPr>
          <w:ilvl w:val="0"/>
          <w:numId w:val="2"/>
        </w:numPr>
        <w:spacing w:after="0" w:line="360" w:lineRule="auto"/>
        <w:contextualSpacing w:val="0"/>
        <w:jc w:val="both"/>
        <w:rPr>
          <w:rFonts w:ascii="Arial" w:hAnsi="Arial" w:cs="Arial"/>
          <w:color w:val="1D1B11"/>
          <w:sz w:val="24"/>
          <w:szCs w:val="24"/>
        </w:rPr>
      </w:pPr>
      <w:proofErr w:type="spellStart"/>
      <w:r w:rsidRPr="00982DD9">
        <w:rPr>
          <w:rFonts w:ascii="Arial" w:hAnsi="Arial" w:cs="Arial"/>
          <w:color w:val="1D1B11"/>
          <w:sz w:val="24"/>
          <w:szCs w:val="24"/>
        </w:rPr>
        <w:t>Centurion</w:t>
      </w:r>
      <w:proofErr w:type="spellEnd"/>
      <w:r w:rsidRPr="00982DD9">
        <w:rPr>
          <w:rFonts w:ascii="Arial" w:hAnsi="Arial" w:cs="Arial"/>
          <w:color w:val="1D1B11"/>
          <w:sz w:val="24"/>
          <w:szCs w:val="24"/>
        </w:rPr>
        <w:t xml:space="preserve"> </w:t>
      </w:r>
      <w:proofErr w:type="spellStart"/>
      <w:r w:rsidRPr="00982DD9">
        <w:rPr>
          <w:rFonts w:ascii="Arial" w:hAnsi="Arial" w:cs="Arial"/>
          <w:color w:val="1D1B11"/>
          <w:sz w:val="24"/>
          <w:szCs w:val="24"/>
        </w:rPr>
        <w:t>Drilling</w:t>
      </w:r>
      <w:proofErr w:type="spellEnd"/>
      <w:r w:rsidRPr="00982DD9">
        <w:rPr>
          <w:rFonts w:ascii="Arial" w:hAnsi="Arial" w:cs="Arial"/>
          <w:color w:val="1D1B11"/>
          <w:sz w:val="24"/>
          <w:szCs w:val="24"/>
        </w:rPr>
        <w:t xml:space="preserve"> </w:t>
      </w:r>
      <w:proofErr w:type="spellStart"/>
      <w:r w:rsidRPr="00982DD9">
        <w:rPr>
          <w:rFonts w:ascii="Arial" w:hAnsi="Arial" w:cs="Arial"/>
          <w:color w:val="1D1B11"/>
          <w:sz w:val="24"/>
          <w:szCs w:val="24"/>
        </w:rPr>
        <w:t>Limited</w:t>
      </w:r>
      <w:proofErr w:type="spellEnd"/>
      <w:r w:rsidRPr="00982DD9">
        <w:rPr>
          <w:rFonts w:ascii="Arial" w:hAnsi="Arial" w:cs="Arial"/>
          <w:color w:val="1D1B11"/>
          <w:sz w:val="24"/>
          <w:szCs w:val="24"/>
        </w:rPr>
        <w:t xml:space="preserve"> Sucursal Colombia, además, incumplió las obligaciones i) con respecto a sus trabajadores, quienes realizaron unos bloqueos a manera de protesta; ii) en relación con </w:t>
      </w:r>
      <w:proofErr w:type="spellStart"/>
      <w:r w:rsidRPr="00982DD9">
        <w:rPr>
          <w:rFonts w:ascii="Arial" w:hAnsi="Arial" w:cs="Arial"/>
          <w:color w:val="1D1B11"/>
          <w:sz w:val="24"/>
          <w:szCs w:val="24"/>
        </w:rPr>
        <w:t>Tuscany</w:t>
      </w:r>
      <w:proofErr w:type="spellEnd"/>
      <w:r w:rsidRPr="00982DD9">
        <w:rPr>
          <w:rFonts w:ascii="Arial" w:hAnsi="Arial" w:cs="Arial"/>
          <w:color w:val="1D1B11"/>
          <w:sz w:val="24"/>
          <w:szCs w:val="24"/>
        </w:rPr>
        <w:t xml:space="preserve"> South América Ltda. Sucursal Colombia, con quien celebró un contrato de </w:t>
      </w:r>
      <w:r w:rsidRPr="00982DD9">
        <w:rPr>
          <w:rFonts w:ascii="Arial" w:hAnsi="Arial" w:cs="Arial"/>
          <w:i/>
          <w:color w:val="1D1B11"/>
          <w:sz w:val="24"/>
          <w:szCs w:val="24"/>
        </w:rPr>
        <w:t>leasing</w:t>
      </w:r>
      <w:r w:rsidRPr="00982DD9">
        <w:rPr>
          <w:rFonts w:ascii="Arial" w:hAnsi="Arial" w:cs="Arial"/>
          <w:color w:val="1D1B11"/>
          <w:sz w:val="24"/>
          <w:szCs w:val="24"/>
        </w:rPr>
        <w:t xml:space="preserve"> sobre cinco (5) equipos de perforación, dando lugar, por su incumplimiento, a que se hiciera efectiva la cláusula penal y iii) sus proveedores, quienes presentaron quejas sobre el particular a ECOPETROL S.A.</w:t>
      </w:r>
    </w:p>
    <w:p w14:paraId="00B1AA18" w14:textId="77777777" w:rsidR="009F0986" w:rsidRPr="00982DD9" w:rsidRDefault="009F0986" w:rsidP="00982DD9">
      <w:pPr>
        <w:pStyle w:val="Prrafodelista"/>
        <w:numPr>
          <w:ilvl w:val="0"/>
          <w:numId w:val="2"/>
        </w:numPr>
        <w:spacing w:after="0" w:line="360" w:lineRule="auto"/>
        <w:contextualSpacing w:val="0"/>
        <w:jc w:val="both"/>
        <w:rPr>
          <w:rFonts w:ascii="Arial" w:hAnsi="Arial" w:cs="Arial"/>
          <w:color w:val="1D1B11"/>
          <w:sz w:val="24"/>
          <w:szCs w:val="24"/>
        </w:rPr>
      </w:pPr>
      <w:r w:rsidRPr="00982DD9">
        <w:rPr>
          <w:rFonts w:ascii="Arial" w:hAnsi="Arial" w:cs="Arial"/>
          <w:color w:val="1D1B11"/>
          <w:sz w:val="24"/>
          <w:szCs w:val="24"/>
        </w:rPr>
        <w:t>Por todo lo anterior, ECOPETROL S.A. se vio precisada a terminar anticipadamente el contrato y a celebrar nuevos para la continuación y terminación de las labores. Pone de presente la entidad que el contrato debía ser ejecutado en un plazo de doce (12) meses, con un costo de veintitrés millones ciento cincuenta y cinco mil trece dólares estadounidenses (US$23.155.013) y  cuarenta y un mil seiscientos setenta y seis millones quinientos noventa y dos mil cuatrocientos cuarenta y siete pesos colombianos (COP$41.676’592.447).</w:t>
      </w:r>
    </w:p>
    <w:p w14:paraId="3AD6F851" w14:textId="77777777" w:rsidR="009F0986" w:rsidRPr="00982DD9" w:rsidRDefault="009F0986" w:rsidP="00982DD9">
      <w:pPr>
        <w:pStyle w:val="Prrafodelista"/>
        <w:numPr>
          <w:ilvl w:val="0"/>
          <w:numId w:val="2"/>
        </w:numPr>
        <w:spacing w:after="0" w:line="360" w:lineRule="auto"/>
        <w:contextualSpacing w:val="0"/>
        <w:jc w:val="both"/>
        <w:rPr>
          <w:rFonts w:ascii="Arial" w:hAnsi="Arial" w:cs="Arial"/>
          <w:color w:val="1D1B11"/>
          <w:sz w:val="24"/>
          <w:szCs w:val="24"/>
        </w:rPr>
      </w:pPr>
      <w:r w:rsidRPr="00982DD9">
        <w:rPr>
          <w:rFonts w:ascii="Arial" w:hAnsi="Arial" w:cs="Arial"/>
          <w:color w:val="1D1B11"/>
          <w:sz w:val="24"/>
          <w:szCs w:val="24"/>
        </w:rPr>
        <w:t xml:space="preserve">Previo a la liquidación unilateral, ECOPETROL S.A. remitió varias solicitudes que la contratista desatendió. </w:t>
      </w:r>
    </w:p>
    <w:p w14:paraId="64010B99" w14:textId="77777777" w:rsidR="009F0986" w:rsidRPr="00982DD9" w:rsidRDefault="009F0986" w:rsidP="00982DD9">
      <w:pPr>
        <w:pStyle w:val="Prrafodelista"/>
        <w:numPr>
          <w:ilvl w:val="0"/>
          <w:numId w:val="2"/>
        </w:numPr>
        <w:spacing w:after="0" w:line="360" w:lineRule="auto"/>
        <w:contextualSpacing w:val="0"/>
        <w:jc w:val="both"/>
        <w:rPr>
          <w:rFonts w:ascii="Arial" w:hAnsi="Arial" w:cs="Arial"/>
          <w:color w:val="1D1B11"/>
          <w:sz w:val="24"/>
          <w:szCs w:val="24"/>
        </w:rPr>
      </w:pPr>
      <w:r w:rsidRPr="00982DD9">
        <w:rPr>
          <w:rFonts w:ascii="Arial" w:hAnsi="Arial" w:cs="Arial"/>
          <w:color w:val="1D1B11"/>
          <w:sz w:val="24"/>
          <w:szCs w:val="24"/>
        </w:rPr>
        <w:t>El 14 de julio de 2014, ECOPETROL S.A. presentó a La Previsora S.A. compañía de seguros la reclamación formal, en la que se demostró la ocurrencia del siniestro. La aseguradora objetó el reclamo.</w:t>
      </w:r>
    </w:p>
    <w:p w14:paraId="1726DF86" w14:textId="77777777" w:rsidR="00982DD9" w:rsidRPr="00982DD9" w:rsidRDefault="00982DD9" w:rsidP="00982DD9">
      <w:pPr>
        <w:pStyle w:val="Prrafodelista"/>
        <w:spacing w:after="0" w:line="360" w:lineRule="auto"/>
        <w:ind w:left="0" w:firstLine="567"/>
        <w:contextualSpacing w:val="0"/>
        <w:jc w:val="both"/>
        <w:rPr>
          <w:rFonts w:ascii="Arial" w:hAnsi="Arial" w:cs="Arial"/>
          <w:color w:val="1D1B11"/>
          <w:sz w:val="24"/>
          <w:szCs w:val="24"/>
        </w:rPr>
      </w:pPr>
    </w:p>
    <w:p w14:paraId="4959E395" w14:textId="77777777" w:rsidR="009F0986" w:rsidRPr="00982DD9" w:rsidRDefault="009F0986" w:rsidP="00982DD9">
      <w:pPr>
        <w:pStyle w:val="Prrafodelista"/>
        <w:spacing w:after="0" w:line="360" w:lineRule="auto"/>
        <w:ind w:left="0" w:firstLine="567"/>
        <w:contextualSpacing w:val="0"/>
        <w:jc w:val="both"/>
        <w:rPr>
          <w:rFonts w:ascii="Arial" w:hAnsi="Arial" w:cs="Arial"/>
          <w:color w:val="1D1B11"/>
          <w:sz w:val="24"/>
          <w:szCs w:val="24"/>
        </w:rPr>
      </w:pPr>
      <w:r w:rsidRPr="00982DD9">
        <w:rPr>
          <w:rFonts w:ascii="Arial" w:hAnsi="Arial" w:cs="Arial"/>
          <w:color w:val="1D1B11"/>
          <w:sz w:val="24"/>
          <w:szCs w:val="24"/>
        </w:rPr>
        <w:lastRenderedPageBreak/>
        <w:t>La demanda de reconvención fue admitida el 26 de enero de siguiente</w:t>
      </w:r>
      <w:r w:rsidRPr="00982DD9">
        <w:rPr>
          <w:rStyle w:val="Refdenotaalpie"/>
          <w:rFonts w:ascii="Arial" w:hAnsi="Arial" w:cs="Arial"/>
          <w:color w:val="1D1B11"/>
          <w:sz w:val="24"/>
          <w:szCs w:val="24"/>
        </w:rPr>
        <w:footnoteReference w:id="9"/>
      </w:r>
      <w:r w:rsidRPr="00982DD9">
        <w:rPr>
          <w:rFonts w:ascii="Arial" w:hAnsi="Arial" w:cs="Arial"/>
          <w:color w:val="1D1B11"/>
          <w:sz w:val="24"/>
          <w:szCs w:val="24"/>
        </w:rPr>
        <w:t>, al tiempo que se vinculó a La Previsora S.A. como litisconsorte necesario. El 8 de julio de 2015, esta última interpuso recurso de reposición en lo relativo a su vinculación. Tramitado como apelación dio lugar a que esta Corporación confirmara la providencia. Se sostuvo al respecto:</w:t>
      </w:r>
    </w:p>
    <w:p w14:paraId="187CA50C" w14:textId="77777777" w:rsidR="009F0986" w:rsidRPr="00982DD9" w:rsidRDefault="009F0986" w:rsidP="00982DD9">
      <w:pPr>
        <w:ind w:left="567"/>
        <w:jc w:val="both"/>
        <w:rPr>
          <w:rFonts w:ascii="Arial" w:hAnsi="Arial" w:cs="Arial"/>
          <w:i/>
          <w:sz w:val="24"/>
          <w:szCs w:val="24"/>
        </w:rPr>
      </w:pPr>
      <w:r w:rsidRPr="00982DD9">
        <w:rPr>
          <w:rFonts w:ascii="Arial" w:hAnsi="Arial" w:cs="Arial"/>
          <w:i/>
          <w:color w:val="1D1B11"/>
          <w:sz w:val="24"/>
          <w:szCs w:val="24"/>
        </w:rPr>
        <w:t xml:space="preserve">“(…) </w:t>
      </w:r>
      <w:r w:rsidRPr="00982DD9">
        <w:rPr>
          <w:rFonts w:ascii="Arial" w:hAnsi="Arial" w:cs="Arial"/>
          <w:i/>
          <w:sz w:val="24"/>
          <w:szCs w:val="24"/>
        </w:rPr>
        <w:t xml:space="preserve">para este despacho es claro que La Previsora S.A. detenta la calidad de litisconsorte en virtud del contrato de seguro, celebrado para garantizar las obligaciones del contratista, emanadas dentro del contrato estatal suscrito entre </w:t>
      </w:r>
      <w:proofErr w:type="spellStart"/>
      <w:r w:rsidRPr="00982DD9">
        <w:rPr>
          <w:rFonts w:ascii="Arial" w:hAnsi="Arial" w:cs="Arial"/>
          <w:i/>
          <w:sz w:val="24"/>
          <w:szCs w:val="24"/>
        </w:rPr>
        <w:t>Centurion</w:t>
      </w:r>
      <w:proofErr w:type="spellEnd"/>
      <w:r w:rsidRPr="00982DD9">
        <w:rPr>
          <w:rFonts w:ascii="Arial" w:hAnsi="Arial" w:cs="Arial"/>
          <w:i/>
          <w:sz w:val="24"/>
          <w:szCs w:val="24"/>
        </w:rPr>
        <w:t xml:space="preserve"> </w:t>
      </w:r>
      <w:proofErr w:type="spellStart"/>
      <w:r w:rsidRPr="00982DD9">
        <w:rPr>
          <w:rFonts w:ascii="Arial" w:hAnsi="Arial" w:cs="Arial"/>
          <w:i/>
          <w:sz w:val="24"/>
          <w:szCs w:val="24"/>
        </w:rPr>
        <w:t>Driling</w:t>
      </w:r>
      <w:proofErr w:type="spellEnd"/>
      <w:r w:rsidRPr="00982DD9">
        <w:rPr>
          <w:rFonts w:ascii="Arial" w:hAnsi="Arial" w:cs="Arial"/>
          <w:i/>
          <w:sz w:val="24"/>
          <w:szCs w:val="24"/>
        </w:rPr>
        <w:t xml:space="preserve"> </w:t>
      </w:r>
      <w:proofErr w:type="spellStart"/>
      <w:r w:rsidRPr="00982DD9">
        <w:rPr>
          <w:rFonts w:ascii="Arial" w:hAnsi="Arial" w:cs="Arial"/>
          <w:i/>
          <w:sz w:val="24"/>
          <w:szCs w:val="24"/>
        </w:rPr>
        <w:t>Limited</w:t>
      </w:r>
      <w:proofErr w:type="spellEnd"/>
      <w:r w:rsidRPr="00982DD9">
        <w:rPr>
          <w:rFonts w:ascii="Arial" w:hAnsi="Arial" w:cs="Arial"/>
          <w:i/>
          <w:sz w:val="24"/>
          <w:szCs w:val="24"/>
        </w:rPr>
        <w:t xml:space="preserve"> Sucursal Colombia en liquidación y Ecopetrol S.A. Es de advertir que si bien en principio la vinculación al proceso de la aseguradora no devenía en obligatoria, la demanda de reconvención dirigida a hacer efectiva la póliza de garantía en razón de la declaratoria de incumplimiento, la hace necesaria toda vez que [en] caso de ser declarado el incumplimiento se deberá resolver igualmente sobre la responsabilidad de La Previsora S.A.”</w:t>
      </w:r>
    </w:p>
    <w:p w14:paraId="00D46FA4" w14:textId="77777777" w:rsidR="00982DD9" w:rsidRPr="00982DD9" w:rsidRDefault="00982DD9" w:rsidP="00982DD9">
      <w:pPr>
        <w:spacing w:after="120"/>
        <w:ind w:left="567"/>
        <w:jc w:val="both"/>
        <w:rPr>
          <w:rFonts w:ascii="Arial" w:hAnsi="Arial" w:cs="Arial"/>
          <w:i/>
          <w:color w:val="1D1B11"/>
          <w:sz w:val="24"/>
          <w:szCs w:val="24"/>
        </w:rPr>
      </w:pPr>
    </w:p>
    <w:p w14:paraId="70CB957B" w14:textId="77777777" w:rsidR="009F0986" w:rsidRPr="00982DD9" w:rsidRDefault="009F0986" w:rsidP="00982DD9">
      <w:pPr>
        <w:pStyle w:val="Prrafodelista"/>
        <w:numPr>
          <w:ilvl w:val="0"/>
          <w:numId w:val="3"/>
        </w:numPr>
        <w:spacing w:after="0" w:line="360" w:lineRule="auto"/>
        <w:jc w:val="both"/>
        <w:rPr>
          <w:rFonts w:ascii="Arial" w:hAnsi="Arial" w:cs="Arial"/>
          <w:b/>
          <w:color w:val="1D1B11"/>
          <w:sz w:val="24"/>
          <w:szCs w:val="24"/>
        </w:rPr>
      </w:pPr>
      <w:r w:rsidRPr="00982DD9">
        <w:rPr>
          <w:rFonts w:ascii="Arial" w:hAnsi="Arial" w:cs="Arial"/>
          <w:b/>
          <w:color w:val="1D1B11"/>
          <w:sz w:val="24"/>
          <w:szCs w:val="24"/>
        </w:rPr>
        <w:t>Intervención pasiva - Demanda de reconvención</w:t>
      </w:r>
    </w:p>
    <w:p w14:paraId="4D3284A6" w14:textId="77777777" w:rsidR="00982DD9" w:rsidRPr="00982DD9" w:rsidRDefault="00982DD9" w:rsidP="00982DD9">
      <w:pPr>
        <w:pStyle w:val="Prrafodelista"/>
        <w:spacing w:after="0" w:line="360" w:lineRule="auto"/>
        <w:ind w:left="1077"/>
        <w:jc w:val="both"/>
        <w:rPr>
          <w:rFonts w:ascii="Arial" w:hAnsi="Arial" w:cs="Arial"/>
          <w:b/>
          <w:color w:val="1D1B11"/>
          <w:sz w:val="24"/>
          <w:szCs w:val="24"/>
        </w:rPr>
      </w:pPr>
    </w:p>
    <w:p w14:paraId="2617A827" w14:textId="77777777" w:rsidR="009F0986" w:rsidRPr="000B6346" w:rsidRDefault="009F0986" w:rsidP="00982DD9">
      <w:pPr>
        <w:spacing w:line="360" w:lineRule="auto"/>
        <w:ind w:firstLine="567"/>
        <w:jc w:val="both"/>
        <w:rPr>
          <w:rFonts w:ascii="Arial" w:hAnsi="Arial" w:cs="Arial"/>
          <w:b/>
          <w:color w:val="1D1B11"/>
          <w:sz w:val="24"/>
          <w:szCs w:val="24"/>
          <w:lang w:val="it-IT"/>
        </w:rPr>
      </w:pPr>
      <w:r w:rsidRPr="000B6346">
        <w:rPr>
          <w:rFonts w:ascii="Arial" w:hAnsi="Arial" w:cs="Arial"/>
          <w:b/>
          <w:color w:val="1D1B11"/>
          <w:sz w:val="24"/>
          <w:szCs w:val="24"/>
          <w:lang w:val="it-IT"/>
        </w:rPr>
        <w:t>a) La Previsora S.A.</w:t>
      </w:r>
    </w:p>
    <w:p w14:paraId="749A9D75" w14:textId="77777777" w:rsidR="009F0986" w:rsidRPr="00982DD9" w:rsidRDefault="009F0986" w:rsidP="00982DD9">
      <w:pPr>
        <w:spacing w:line="360" w:lineRule="auto"/>
        <w:ind w:firstLine="567"/>
        <w:jc w:val="both"/>
        <w:rPr>
          <w:rFonts w:ascii="Arial" w:hAnsi="Arial" w:cs="Arial"/>
          <w:color w:val="1D1B11"/>
          <w:sz w:val="24"/>
          <w:szCs w:val="24"/>
        </w:rPr>
      </w:pPr>
      <w:r w:rsidRPr="00982DD9">
        <w:rPr>
          <w:rFonts w:ascii="Arial" w:hAnsi="Arial" w:cs="Arial"/>
          <w:color w:val="1D1B11"/>
          <w:sz w:val="24"/>
          <w:szCs w:val="24"/>
        </w:rPr>
        <w:t>El 27 de octubre de 2015, La Previsora S.A. contestó la demanda de reconvención, propuso las excepciones</w:t>
      </w:r>
      <w:r w:rsidRPr="00982DD9">
        <w:rPr>
          <w:rStyle w:val="Refdenotaalpie"/>
          <w:rFonts w:ascii="Arial" w:hAnsi="Arial" w:cs="Arial"/>
          <w:color w:val="1D1B11"/>
          <w:sz w:val="24"/>
          <w:szCs w:val="24"/>
        </w:rPr>
        <w:footnoteReference w:id="10"/>
      </w:r>
      <w:r w:rsidRPr="00982DD9">
        <w:rPr>
          <w:rFonts w:ascii="Arial" w:hAnsi="Arial" w:cs="Arial"/>
          <w:color w:val="1D1B11"/>
          <w:sz w:val="24"/>
          <w:szCs w:val="24"/>
        </w:rPr>
        <w:t xml:space="preserve"> de i) existencia de cláusula compromisoria y falta de jurisdicción, ii) falta de legitimación por pasiva, por improcedencia de su vinculación a la litis y iii) ausencia del siniestro, de cuya realización depende el nacimiento de la obligación que el demandante pretende que se declare, dado el cumplimiento de la sociedad asegurada.</w:t>
      </w:r>
    </w:p>
    <w:p w14:paraId="6A9781AB" w14:textId="77777777" w:rsidR="00982DD9" w:rsidRPr="00982DD9" w:rsidRDefault="00982DD9" w:rsidP="00982DD9">
      <w:pPr>
        <w:spacing w:line="360" w:lineRule="auto"/>
        <w:ind w:firstLine="567"/>
        <w:jc w:val="both"/>
        <w:rPr>
          <w:rFonts w:ascii="Arial" w:hAnsi="Arial" w:cs="Arial"/>
          <w:color w:val="1D1B11"/>
          <w:sz w:val="24"/>
          <w:szCs w:val="24"/>
        </w:rPr>
      </w:pPr>
    </w:p>
    <w:p w14:paraId="51567A2D" w14:textId="77777777" w:rsidR="009F0986" w:rsidRPr="000B6346" w:rsidRDefault="009F0986" w:rsidP="00982DD9">
      <w:pPr>
        <w:spacing w:line="360" w:lineRule="auto"/>
        <w:ind w:firstLine="567"/>
        <w:jc w:val="both"/>
        <w:rPr>
          <w:rFonts w:ascii="Arial" w:hAnsi="Arial" w:cs="Arial"/>
          <w:b/>
          <w:color w:val="1D1B11"/>
          <w:sz w:val="24"/>
          <w:szCs w:val="24"/>
          <w:lang w:val="en-US"/>
        </w:rPr>
      </w:pPr>
      <w:r w:rsidRPr="000B6346">
        <w:rPr>
          <w:rFonts w:ascii="Arial" w:hAnsi="Arial" w:cs="Arial"/>
          <w:b/>
          <w:color w:val="1D1B11"/>
          <w:sz w:val="24"/>
          <w:szCs w:val="24"/>
          <w:lang w:val="en-US"/>
        </w:rPr>
        <w:t>b) Centurion Drilling Limited-</w:t>
      </w:r>
      <w:proofErr w:type="spellStart"/>
      <w:r w:rsidRPr="000B6346">
        <w:rPr>
          <w:rFonts w:ascii="Arial" w:hAnsi="Arial" w:cs="Arial"/>
          <w:b/>
          <w:color w:val="1D1B11"/>
          <w:sz w:val="24"/>
          <w:szCs w:val="24"/>
          <w:lang w:val="en-US"/>
        </w:rPr>
        <w:t>Sucursal</w:t>
      </w:r>
      <w:proofErr w:type="spellEnd"/>
      <w:r w:rsidRPr="000B6346">
        <w:rPr>
          <w:rFonts w:ascii="Arial" w:hAnsi="Arial" w:cs="Arial"/>
          <w:b/>
          <w:color w:val="1D1B11"/>
          <w:sz w:val="24"/>
          <w:szCs w:val="24"/>
          <w:lang w:val="en-US"/>
        </w:rPr>
        <w:t xml:space="preserve"> Colombia</w:t>
      </w:r>
    </w:p>
    <w:p w14:paraId="7D99F041" w14:textId="77777777" w:rsidR="00982DD9" w:rsidRPr="000B6346" w:rsidRDefault="00982DD9" w:rsidP="00982DD9">
      <w:pPr>
        <w:spacing w:line="360" w:lineRule="auto"/>
        <w:ind w:firstLine="567"/>
        <w:jc w:val="both"/>
        <w:rPr>
          <w:rFonts w:ascii="Arial" w:hAnsi="Arial" w:cs="Arial"/>
          <w:b/>
          <w:color w:val="1D1B11"/>
          <w:sz w:val="24"/>
          <w:szCs w:val="24"/>
          <w:lang w:val="en-US"/>
        </w:rPr>
      </w:pPr>
    </w:p>
    <w:p w14:paraId="15A2DAA3" w14:textId="77777777" w:rsidR="009F0986" w:rsidRPr="00982DD9" w:rsidRDefault="009F0986" w:rsidP="00982DD9">
      <w:pPr>
        <w:spacing w:line="360" w:lineRule="auto"/>
        <w:jc w:val="both"/>
        <w:rPr>
          <w:rFonts w:ascii="Arial" w:hAnsi="Arial" w:cs="Arial"/>
          <w:color w:val="1D1B11"/>
          <w:sz w:val="24"/>
          <w:szCs w:val="24"/>
        </w:rPr>
      </w:pPr>
      <w:r w:rsidRPr="000B6346">
        <w:rPr>
          <w:rFonts w:ascii="Arial" w:hAnsi="Arial" w:cs="Arial"/>
          <w:color w:val="1D1B11"/>
          <w:sz w:val="24"/>
          <w:szCs w:val="24"/>
          <w:lang w:val="en-US"/>
        </w:rPr>
        <w:tab/>
      </w:r>
      <w:r w:rsidRPr="00982DD9">
        <w:rPr>
          <w:rFonts w:ascii="Arial" w:hAnsi="Arial" w:cs="Arial"/>
          <w:color w:val="1D1B11"/>
          <w:sz w:val="24"/>
          <w:szCs w:val="24"/>
        </w:rPr>
        <w:t xml:space="preserve">El 6 de julio de 2015, </w:t>
      </w:r>
      <w:proofErr w:type="spellStart"/>
      <w:r w:rsidRPr="00982DD9">
        <w:rPr>
          <w:rFonts w:ascii="Arial" w:hAnsi="Arial" w:cs="Arial"/>
          <w:color w:val="1D1B11"/>
          <w:sz w:val="24"/>
          <w:szCs w:val="24"/>
        </w:rPr>
        <w:t>Centurion</w:t>
      </w:r>
      <w:proofErr w:type="spellEnd"/>
      <w:r w:rsidRPr="00982DD9">
        <w:rPr>
          <w:rFonts w:ascii="Arial" w:hAnsi="Arial" w:cs="Arial"/>
          <w:color w:val="1D1B11"/>
          <w:sz w:val="24"/>
          <w:szCs w:val="24"/>
        </w:rPr>
        <w:t xml:space="preserve"> </w:t>
      </w:r>
      <w:proofErr w:type="spellStart"/>
      <w:r w:rsidRPr="00982DD9">
        <w:rPr>
          <w:rFonts w:ascii="Arial" w:hAnsi="Arial" w:cs="Arial"/>
          <w:color w:val="1D1B11"/>
          <w:sz w:val="24"/>
          <w:szCs w:val="24"/>
        </w:rPr>
        <w:t>Drilling</w:t>
      </w:r>
      <w:proofErr w:type="spellEnd"/>
      <w:r w:rsidRPr="00982DD9">
        <w:rPr>
          <w:rFonts w:ascii="Arial" w:hAnsi="Arial" w:cs="Arial"/>
          <w:color w:val="1D1B11"/>
          <w:sz w:val="24"/>
          <w:szCs w:val="24"/>
        </w:rPr>
        <w:t xml:space="preserve"> </w:t>
      </w:r>
      <w:proofErr w:type="spellStart"/>
      <w:r w:rsidRPr="00982DD9">
        <w:rPr>
          <w:rFonts w:ascii="Arial" w:hAnsi="Arial" w:cs="Arial"/>
          <w:color w:val="1D1B11"/>
          <w:sz w:val="24"/>
          <w:szCs w:val="24"/>
        </w:rPr>
        <w:t>Limited</w:t>
      </w:r>
      <w:proofErr w:type="spellEnd"/>
      <w:r w:rsidRPr="00982DD9">
        <w:rPr>
          <w:rFonts w:ascii="Arial" w:hAnsi="Arial" w:cs="Arial"/>
          <w:color w:val="1D1B11"/>
          <w:sz w:val="24"/>
          <w:szCs w:val="24"/>
        </w:rPr>
        <w:t xml:space="preserve"> Sucursal Colombia, en oportunidad para contestar la demanda de reconvención, formuló las excepciones</w:t>
      </w:r>
      <w:r w:rsidRPr="00982DD9">
        <w:rPr>
          <w:rStyle w:val="Refdenotaalpie"/>
          <w:rFonts w:ascii="Arial" w:hAnsi="Arial" w:cs="Arial"/>
          <w:color w:val="1D1B11"/>
          <w:sz w:val="24"/>
          <w:szCs w:val="24"/>
        </w:rPr>
        <w:footnoteReference w:id="11"/>
      </w:r>
      <w:r w:rsidRPr="00982DD9">
        <w:rPr>
          <w:rFonts w:ascii="Arial" w:hAnsi="Arial" w:cs="Arial"/>
          <w:color w:val="1D1B11"/>
          <w:sz w:val="24"/>
          <w:szCs w:val="24"/>
        </w:rPr>
        <w:t xml:space="preserve"> de i) contrato no cumplido por parte de ECOPETROL S.A., ii) desequilibrio económico, iii) abuso del derecho y de la posición dominante y iv) uso de facultades excepcionales que no le fueron conferidas, entre otras.</w:t>
      </w:r>
    </w:p>
    <w:p w14:paraId="23AA5DC8" w14:textId="77777777" w:rsidR="00982DD9" w:rsidRPr="00982DD9" w:rsidRDefault="00982DD9" w:rsidP="00982DD9">
      <w:pPr>
        <w:spacing w:after="100" w:afterAutospacing="1" w:line="360" w:lineRule="auto"/>
        <w:jc w:val="both"/>
        <w:rPr>
          <w:rFonts w:ascii="Arial" w:hAnsi="Arial" w:cs="Arial"/>
          <w:color w:val="1D1B11"/>
          <w:sz w:val="24"/>
          <w:szCs w:val="24"/>
        </w:rPr>
      </w:pPr>
    </w:p>
    <w:p w14:paraId="59DC8ED5" w14:textId="77777777" w:rsidR="009F0986" w:rsidRPr="00982DD9" w:rsidRDefault="009F0986" w:rsidP="00982DD9">
      <w:pPr>
        <w:pStyle w:val="Prrafodelista"/>
        <w:numPr>
          <w:ilvl w:val="0"/>
          <w:numId w:val="3"/>
        </w:numPr>
        <w:spacing w:after="0" w:line="360" w:lineRule="auto"/>
        <w:ind w:left="1071" w:hanging="357"/>
        <w:contextualSpacing w:val="0"/>
        <w:jc w:val="both"/>
        <w:rPr>
          <w:rFonts w:ascii="Arial" w:hAnsi="Arial" w:cs="Arial"/>
          <w:b/>
          <w:color w:val="1D1B11"/>
          <w:sz w:val="24"/>
          <w:szCs w:val="24"/>
        </w:rPr>
      </w:pPr>
      <w:r w:rsidRPr="00982DD9">
        <w:rPr>
          <w:rFonts w:ascii="Arial" w:hAnsi="Arial" w:cs="Arial"/>
          <w:b/>
          <w:color w:val="1D1B11"/>
          <w:sz w:val="24"/>
          <w:szCs w:val="24"/>
        </w:rPr>
        <w:t xml:space="preserve">Providencia Impugnada </w:t>
      </w:r>
    </w:p>
    <w:p w14:paraId="7D605EA9" w14:textId="77777777" w:rsidR="00982DD9" w:rsidRPr="00982DD9" w:rsidRDefault="00982DD9" w:rsidP="00982DD9">
      <w:pPr>
        <w:pStyle w:val="Prrafodelista"/>
        <w:spacing w:after="0" w:line="360" w:lineRule="auto"/>
        <w:ind w:left="1071"/>
        <w:contextualSpacing w:val="0"/>
        <w:jc w:val="both"/>
        <w:rPr>
          <w:rFonts w:ascii="Arial" w:hAnsi="Arial" w:cs="Arial"/>
          <w:b/>
          <w:color w:val="1D1B11"/>
          <w:sz w:val="24"/>
          <w:szCs w:val="24"/>
        </w:rPr>
      </w:pPr>
    </w:p>
    <w:p w14:paraId="751C7F10" w14:textId="77777777" w:rsidR="009F0986" w:rsidRPr="00982DD9" w:rsidRDefault="009F0986" w:rsidP="00982DD9">
      <w:pPr>
        <w:pStyle w:val="Prrafodelista"/>
        <w:spacing w:after="0" w:line="360" w:lineRule="auto"/>
        <w:ind w:left="0" w:firstLine="567"/>
        <w:contextualSpacing w:val="0"/>
        <w:jc w:val="both"/>
        <w:rPr>
          <w:rFonts w:ascii="Arial" w:hAnsi="Arial" w:cs="Arial"/>
          <w:sz w:val="24"/>
          <w:szCs w:val="24"/>
        </w:rPr>
      </w:pPr>
      <w:r w:rsidRPr="00982DD9">
        <w:rPr>
          <w:rFonts w:ascii="Arial" w:hAnsi="Arial" w:cs="Arial"/>
          <w:sz w:val="24"/>
          <w:szCs w:val="24"/>
        </w:rPr>
        <w:t>El 10 de marzo de 2016, en la audiencia inicial, el Tribunal</w:t>
      </w:r>
      <w:r w:rsidRPr="00982DD9">
        <w:rPr>
          <w:rFonts w:ascii="Arial" w:hAnsi="Arial" w:cs="Arial"/>
          <w:i/>
          <w:sz w:val="24"/>
          <w:szCs w:val="24"/>
        </w:rPr>
        <w:t xml:space="preserve"> </w:t>
      </w:r>
      <w:r w:rsidRPr="00982DD9">
        <w:rPr>
          <w:rFonts w:ascii="Arial" w:hAnsi="Arial" w:cs="Arial"/>
          <w:sz w:val="24"/>
          <w:szCs w:val="24"/>
        </w:rPr>
        <w:t xml:space="preserve">Administrativo de Cundinamarca calificó de mérito las excepciones propuestas contra la demanda principal de parte de ECOPETROL S.A., de conformidad con los artículos 180.6 del CPACA y 100 del CGP. Las formuladas por </w:t>
      </w:r>
      <w:proofErr w:type="spellStart"/>
      <w:r w:rsidRPr="00982DD9">
        <w:rPr>
          <w:rFonts w:ascii="Arial" w:hAnsi="Arial" w:cs="Arial"/>
          <w:sz w:val="24"/>
          <w:szCs w:val="24"/>
        </w:rPr>
        <w:t>Centurion</w:t>
      </w:r>
      <w:proofErr w:type="spellEnd"/>
      <w:r w:rsidRPr="00982DD9">
        <w:rPr>
          <w:rFonts w:ascii="Arial" w:hAnsi="Arial" w:cs="Arial"/>
          <w:sz w:val="24"/>
          <w:szCs w:val="24"/>
        </w:rPr>
        <w:t xml:space="preserve"> </w:t>
      </w:r>
      <w:proofErr w:type="spellStart"/>
      <w:r w:rsidRPr="00982DD9">
        <w:rPr>
          <w:rFonts w:ascii="Arial" w:hAnsi="Arial" w:cs="Arial"/>
          <w:sz w:val="24"/>
          <w:szCs w:val="24"/>
        </w:rPr>
        <w:t>Drilling</w:t>
      </w:r>
      <w:proofErr w:type="spellEnd"/>
      <w:r w:rsidRPr="00982DD9">
        <w:rPr>
          <w:rFonts w:ascii="Arial" w:hAnsi="Arial" w:cs="Arial"/>
          <w:sz w:val="24"/>
          <w:szCs w:val="24"/>
        </w:rPr>
        <w:t xml:space="preserve"> </w:t>
      </w:r>
      <w:proofErr w:type="spellStart"/>
      <w:r w:rsidRPr="00982DD9">
        <w:rPr>
          <w:rFonts w:ascii="Arial" w:hAnsi="Arial" w:cs="Arial"/>
          <w:sz w:val="24"/>
          <w:szCs w:val="24"/>
        </w:rPr>
        <w:t>Limited</w:t>
      </w:r>
      <w:proofErr w:type="spellEnd"/>
      <w:r w:rsidRPr="00982DD9">
        <w:rPr>
          <w:rFonts w:ascii="Arial" w:hAnsi="Arial" w:cs="Arial"/>
          <w:sz w:val="24"/>
          <w:szCs w:val="24"/>
        </w:rPr>
        <w:t xml:space="preserve"> Sucursal Colombia y La Previsora S.A. contra la demanda de reconvención las declaró no probadas</w:t>
      </w:r>
      <w:r w:rsidRPr="00982DD9">
        <w:rPr>
          <w:rStyle w:val="Refdenotaalpie"/>
          <w:rFonts w:ascii="Arial" w:hAnsi="Arial" w:cs="Arial"/>
          <w:sz w:val="24"/>
          <w:szCs w:val="24"/>
        </w:rPr>
        <w:footnoteReference w:id="12"/>
      </w:r>
      <w:r w:rsidRPr="00982DD9">
        <w:rPr>
          <w:rFonts w:ascii="Arial" w:hAnsi="Arial" w:cs="Arial"/>
          <w:sz w:val="24"/>
          <w:szCs w:val="24"/>
        </w:rPr>
        <w:t xml:space="preserve">. </w:t>
      </w:r>
    </w:p>
    <w:p w14:paraId="61438AD0" w14:textId="77777777" w:rsidR="00982DD9" w:rsidRPr="00982DD9" w:rsidRDefault="00982DD9" w:rsidP="00982DD9">
      <w:pPr>
        <w:pStyle w:val="Prrafodelista"/>
        <w:spacing w:after="0" w:line="360" w:lineRule="auto"/>
        <w:ind w:left="0" w:firstLine="567"/>
        <w:contextualSpacing w:val="0"/>
        <w:jc w:val="both"/>
        <w:rPr>
          <w:rFonts w:ascii="Arial" w:hAnsi="Arial" w:cs="Arial"/>
          <w:sz w:val="24"/>
          <w:szCs w:val="24"/>
        </w:rPr>
      </w:pPr>
    </w:p>
    <w:p w14:paraId="77312D18" w14:textId="77777777" w:rsidR="009F0986" w:rsidRPr="00982DD9" w:rsidRDefault="009F0986" w:rsidP="00982DD9">
      <w:pPr>
        <w:pStyle w:val="Prrafodelista"/>
        <w:spacing w:after="0" w:line="360" w:lineRule="auto"/>
        <w:ind w:left="0" w:firstLine="567"/>
        <w:contextualSpacing w:val="0"/>
        <w:jc w:val="both"/>
        <w:rPr>
          <w:rFonts w:ascii="Arial" w:hAnsi="Arial" w:cs="Arial"/>
          <w:sz w:val="24"/>
          <w:szCs w:val="24"/>
        </w:rPr>
      </w:pPr>
      <w:r w:rsidRPr="00982DD9">
        <w:rPr>
          <w:rFonts w:ascii="Arial" w:hAnsi="Arial" w:cs="Arial"/>
          <w:sz w:val="24"/>
          <w:szCs w:val="24"/>
        </w:rPr>
        <w:t xml:space="preserve">Sobre la </w:t>
      </w:r>
      <w:r w:rsidRPr="00982DD9">
        <w:rPr>
          <w:rFonts w:ascii="Arial" w:hAnsi="Arial" w:cs="Arial"/>
          <w:i/>
          <w:sz w:val="24"/>
          <w:szCs w:val="24"/>
        </w:rPr>
        <w:t>indebida acumulación de pretensiones</w:t>
      </w:r>
      <w:r w:rsidRPr="00982DD9">
        <w:rPr>
          <w:rFonts w:ascii="Arial" w:hAnsi="Arial" w:cs="Arial"/>
          <w:sz w:val="24"/>
          <w:szCs w:val="24"/>
        </w:rPr>
        <w:t xml:space="preserve">, propuesta por </w:t>
      </w:r>
      <w:proofErr w:type="spellStart"/>
      <w:r w:rsidRPr="00982DD9">
        <w:rPr>
          <w:rFonts w:ascii="Arial" w:hAnsi="Arial" w:cs="Arial"/>
          <w:sz w:val="24"/>
          <w:szCs w:val="24"/>
        </w:rPr>
        <w:t>Centurion</w:t>
      </w:r>
      <w:proofErr w:type="spellEnd"/>
      <w:r w:rsidRPr="00982DD9">
        <w:rPr>
          <w:rFonts w:ascii="Arial" w:hAnsi="Arial" w:cs="Arial"/>
          <w:sz w:val="24"/>
          <w:szCs w:val="24"/>
        </w:rPr>
        <w:t xml:space="preserve"> </w:t>
      </w:r>
      <w:proofErr w:type="spellStart"/>
      <w:r w:rsidRPr="00982DD9">
        <w:rPr>
          <w:rFonts w:ascii="Arial" w:hAnsi="Arial" w:cs="Arial"/>
          <w:sz w:val="24"/>
          <w:szCs w:val="24"/>
        </w:rPr>
        <w:t>Drilling</w:t>
      </w:r>
      <w:proofErr w:type="spellEnd"/>
      <w:r w:rsidRPr="00982DD9">
        <w:rPr>
          <w:rFonts w:ascii="Arial" w:hAnsi="Arial" w:cs="Arial"/>
          <w:sz w:val="24"/>
          <w:szCs w:val="24"/>
        </w:rPr>
        <w:t xml:space="preserve"> </w:t>
      </w:r>
      <w:proofErr w:type="spellStart"/>
      <w:r w:rsidRPr="00982DD9">
        <w:rPr>
          <w:rFonts w:ascii="Arial" w:hAnsi="Arial" w:cs="Arial"/>
          <w:sz w:val="24"/>
          <w:szCs w:val="24"/>
        </w:rPr>
        <w:t>Limited</w:t>
      </w:r>
      <w:proofErr w:type="spellEnd"/>
      <w:r w:rsidRPr="00982DD9">
        <w:rPr>
          <w:rFonts w:ascii="Arial" w:hAnsi="Arial" w:cs="Arial"/>
          <w:sz w:val="24"/>
          <w:szCs w:val="24"/>
        </w:rPr>
        <w:t xml:space="preserve"> Sucursal Colombia, el tribunal considera que, aunque presentada como previa, en realidad se dirige al fondo, en el marco de un medio diseñado para resolver controversias contractuales y no para ejecutarlas. Resalta que la formulación de las pretensiones compete al demandante y no genera </w:t>
      </w:r>
      <w:r w:rsidRPr="00982DD9">
        <w:rPr>
          <w:rFonts w:ascii="Arial" w:hAnsi="Arial" w:cs="Arial"/>
          <w:i/>
          <w:sz w:val="24"/>
          <w:szCs w:val="24"/>
        </w:rPr>
        <w:t>per se</w:t>
      </w:r>
      <w:r w:rsidRPr="00982DD9">
        <w:rPr>
          <w:rFonts w:ascii="Arial" w:hAnsi="Arial" w:cs="Arial"/>
          <w:sz w:val="24"/>
          <w:szCs w:val="24"/>
        </w:rPr>
        <w:t xml:space="preserve"> indebida acumulación.</w:t>
      </w:r>
    </w:p>
    <w:p w14:paraId="349BE243" w14:textId="77777777" w:rsidR="00982DD9" w:rsidRPr="00982DD9" w:rsidRDefault="00982DD9" w:rsidP="00982DD9">
      <w:pPr>
        <w:pStyle w:val="Prrafodelista"/>
        <w:spacing w:after="0" w:line="360" w:lineRule="auto"/>
        <w:ind w:left="0" w:firstLine="567"/>
        <w:contextualSpacing w:val="0"/>
        <w:jc w:val="both"/>
        <w:rPr>
          <w:rFonts w:ascii="Arial" w:hAnsi="Arial" w:cs="Arial"/>
          <w:sz w:val="24"/>
          <w:szCs w:val="24"/>
        </w:rPr>
      </w:pPr>
    </w:p>
    <w:p w14:paraId="5B43F795" w14:textId="77777777" w:rsidR="009F0986" w:rsidRPr="00982DD9" w:rsidRDefault="009F0986" w:rsidP="00982DD9">
      <w:pPr>
        <w:tabs>
          <w:tab w:val="left" w:pos="708"/>
          <w:tab w:val="left" w:pos="1276"/>
        </w:tabs>
        <w:overflowPunct w:val="0"/>
        <w:autoSpaceDE w:val="0"/>
        <w:autoSpaceDN w:val="0"/>
        <w:adjustRightInd w:val="0"/>
        <w:spacing w:line="360" w:lineRule="auto"/>
        <w:jc w:val="both"/>
        <w:textAlignment w:val="baseline"/>
        <w:rPr>
          <w:rFonts w:ascii="Arial" w:hAnsi="Arial" w:cs="Arial"/>
          <w:sz w:val="24"/>
          <w:szCs w:val="24"/>
        </w:rPr>
      </w:pPr>
      <w:r w:rsidRPr="00982DD9">
        <w:rPr>
          <w:rFonts w:ascii="Arial" w:hAnsi="Arial" w:cs="Arial"/>
          <w:sz w:val="24"/>
          <w:szCs w:val="24"/>
        </w:rPr>
        <w:tab/>
        <w:t xml:space="preserve">Respecto de la excepción propuesta por La Previsora, aunque el tribunal advierte la voluntad contractual para someter el conocimiento de las controversias relativas al contrato de seguro a la decisión de árbitros, considera que la derogatoria de jurisdicción no comprendió el contrato de obra, al punto que la aseguradora podía ser vinculada, como ocurrió, sin tener que cumplir la eventual condena en contra del contratista. </w:t>
      </w:r>
    </w:p>
    <w:p w14:paraId="597E07C3" w14:textId="77777777" w:rsidR="00982DD9" w:rsidRPr="00982DD9" w:rsidRDefault="00982DD9" w:rsidP="00982DD9">
      <w:pPr>
        <w:tabs>
          <w:tab w:val="left" w:pos="708"/>
          <w:tab w:val="left" w:pos="1276"/>
        </w:tabs>
        <w:overflowPunct w:val="0"/>
        <w:autoSpaceDE w:val="0"/>
        <w:autoSpaceDN w:val="0"/>
        <w:adjustRightInd w:val="0"/>
        <w:spacing w:line="360" w:lineRule="auto"/>
        <w:jc w:val="both"/>
        <w:textAlignment w:val="baseline"/>
        <w:rPr>
          <w:rFonts w:ascii="Arial" w:hAnsi="Arial" w:cs="Arial"/>
          <w:sz w:val="24"/>
          <w:szCs w:val="24"/>
        </w:rPr>
      </w:pPr>
    </w:p>
    <w:p w14:paraId="52FCAE9D" w14:textId="77777777" w:rsidR="009F0986" w:rsidRPr="00982DD9" w:rsidRDefault="009F0986" w:rsidP="00982DD9">
      <w:pPr>
        <w:tabs>
          <w:tab w:val="left" w:pos="708"/>
          <w:tab w:val="left" w:pos="1276"/>
        </w:tabs>
        <w:overflowPunct w:val="0"/>
        <w:autoSpaceDE w:val="0"/>
        <w:autoSpaceDN w:val="0"/>
        <w:adjustRightInd w:val="0"/>
        <w:spacing w:line="360" w:lineRule="auto"/>
        <w:jc w:val="both"/>
        <w:textAlignment w:val="baseline"/>
        <w:rPr>
          <w:rFonts w:ascii="Arial" w:hAnsi="Arial" w:cs="Arial"/>
          <w:sz w:val="24"/>
          <w:szCs w:val="24"/>
        </w:rPr>
      </w:pPr>
      <w:r w:rsidRPr="00982DD9">
        <w:rPr>
          <w:rFonts w:ascii="Arial" w:hAnsi="Arial" w:cs="Arial"/>
          <w:sz w:val="24"/>
          <w:szCs w:val="24"/>
        </w:rPr>
        <w:tab/>
        <w:t>Advierte que la aseguradora en realidad controvierte la vinculación al proceso, asunto ya decidido con efectos definitivos en la oportunidad procesal correspondiente, por lo que la aseguradora debe estarse a lo resuelto, razón por la cual no encontró de recibo la excepción de falta de jurisdicción y competencia.</w:t>
      </w:r>
    </w:p>
    <w:p w14:paraId="42C390A8" w14:textId="77777777" w:rsidR="00982DD9" w:rsidRPr="00982DD9" w:rsidRDefault="00982DD9" w:rsidP="00982DD9">
      <w:pPr>
        <w:tabs>
          <w:tab w:val="left" w:pos="708"/>
          <w:tab w:val="left" w:pos="1276"/>
        </w:tabs>
        <w:overflowPunct w:val="0"/>
        <w:autoSpaceDE w:val="0"/>
        <w:autoSpaceDN w:val="0"/>
        <w:adjustRightInd w:val="0"/>
        <w:spacing w:line="360" w:lineRule="auto"/>
        <w:jc w:val="both"/>
        <w:textAlignment w:val="baseline"/>
        <w:rPr>
          <w:rFonts w:ascii="Arial" w:hAnsi="Arial" w:cs="Arial"/>
          <w:sz w:val="24"/>
          <w:szCs w:val="24"/>
        </w:rPr>
      </w:pPr>
    </w:p>
    <w:p w14:paraId="63914BC7" w14:textId="77777777" w:rsidR="009F0986" w:rsidRPr="00982DD9" w:rsidRDefault="009F0986" w:rsidP="00982DD9">
      <w:pPr>
        <w:tabs>
          <w:tab w:val="left" w:pos="708"/>
          <w:tab w:val="left" w:pos="1276"/>
        </w:tabs>
        <w:overflowPunct w:val="0"/>
        <w:autoSpaceDE w:val="0"/>
        <w:autoSpaceDN w:val="0"/>
        <w:adjustRightInd w:val="0"/>
        <w:spacing w:line="360" w:lineRule="auto"/>
        <w:jc w:val="both"/>
        <w:textAlignment w:val="baseline"/>
        <w:rPr>
          <w:rFonts w:ascii="Arial" w:hAnsi="Arial" w:cs="Arial"/>
          <w:sz w:val="24"/>
          <w:szCs w:val="24"/>
        </w:rPr>
      </w:pPr>
      <w:r w:rsidRPr="00982DD9">
        <w:rPr>
          <w:rFonts w:ascii="Arial" w:hAnsi="Arial" w:cs="Arial"/>
          <w:sz w:val="24"/>
          <w:szCs w:val="24"/>
        </w:rPr>
        <w:tab/>
        <w:t xml:space="preserve">Cabe resaltar que, como lo señala el tribunal y quedó explicado, mediante providencia del 28 de enero del año en curso se resolvió confirmar el auto apelado en el sentido de vincular a La Previsora S.A. como litisconsorte necesario de </w:t>
      </w:r>
      <w:proofErr w:type="spellStart"/>
      <w:r w:rsidRPr="00982DD9">
        <w:rPr>
          <w:rFonts w:ascii="Arial" w:hAnsi="Arial" w:cs="Arial"/>
          <w:sz w:val="24"/>
          <w:szCs w:val="24"/>
        </w:rPr>
        <w:t>Centurion</w:t>
      </w:r>
      <w:proofErr w:type="spellEnd"/>
      <w:r w:rsidRPr="00982DD9">
        <w:rPr>
          <w:rFonts w:ascii="Arial" w:hAnsi="Arial" w:cs="Arial"/>
          <w:sz w:val="24"/>
          <w:szCs w:val="24"/>
        </w:rPr>
        <w:t xml:space="preserve"> </w:t>
      </w:r>
      <w:proofErr w:type="spellStart"/>
      <w:r w:rsidRPr="00982DD9">
        <w:rPr>
          <w:rFonts w:ascii="Arial" w:hAnsi="Arial" w:cs="Arial"/>
          <w:sz w:val="24"/>
          <w:szCs w:val="24"/>
        </w:rPr>
        <w:t>Drilling</w:t>
      </w:r>
      <w:proofErr w:type="spellEnd"/>
      <w:r w:rsidRPr="00982DD9">
        <w:rPr>
          <w:rFonts w:ascii="Arial" w:hAnsi="Arial" w:cs="Arial"/>
          <w:sz w:val="24"/>
          <w:szCs w:val="24"/>
        </w:rPr>
        <w:t xml:space="preserve"> </w:t>
      </w:r>
      <w:proofErr w:type="spellStart"/>
      <w:r w:rsidRPr="00982DD9">
        <w:rPr>
          <w:rFonts w:ascii="Arial" w:hAnsi="Arial" w:cs="Arial"/>
          <w:sz w:val="24"/>
          <w:szCs w:val="24"/>
        </w:rPr>
        <w:t>Limited</w:t>
      </w:r>
      <w:proofErr w:type="spellEnd"/>
      <w:r w:rsidRPr="00982DD9">
        <w:rPr>
          <w:rFonts w:ascii="Arial" w:hAnsi="Arial" w:cs="Arial"/>
          <w:sz w:val="24"/>
          <w:szCs w:val="24"/>
        </w:rPr>
        <w:t xml:space="preserve"> Sucursal Colombia en liquidación, dada la reconvención instaurada en contra de ésta última por Ecopetrol S.A.</w:t>
      </w:r>
    </w:p>
    <w:p w14:paraId="58150DD3" w14:textId="77777777" w:rsidR="00982DD9" w:rsidRPr="00982DD9" w:rsidRDefault="00982DD9" w:rsidP="00982DD9">
      <w:pPr>
        <w:tabs>
          <w:tab w:val="left" w:pos="708"/>
          <w:tab w:val="left" w:pos="1276"/>
        </w:tabs>
        <w:overflowPunct w:val="0"/>
        <w:autoSpaceDE w:val="0"/>
        <w:autoSpaceDN w:val="0"/>
        <w:adjustRightInd w:val="0"/>
        <w:spacing w:after="120" w:line="360" w:lineRule="auto"/>
        <w:jc w:val="both"/>
        <w:textAlignment w:val="baseline"/>
        <w:rPr>
          <w:rFonts w:ascii="Arial" w:hAnsi="Arial" w:cs="Arial"/>
          <w:sz w:val="24"/>
          <w:szCs w:val="24"/>
        </w:rPr>
      </w:pPr>
    </w:p>
    <w:p w14:paraId="3AC02D25" w14:textId="77777777" w:rsidR="009F0986" w:rsidRPr="00982DD9" w:rsidRDefault="009F0986" w:rsidP="00982DD9">
      <w:pPr>
        <w:pStyle w:val="Sinespaciado"/>
        <w:numPr>
          <w:ilvl w:val="0"/>
          <w:numId w:val="3"/>
        </w:numPr>
        <w:spacing w:line="360" w:lineRule="auto"/>
        <w:rPr>
          <w:rFonts w:ascii="Arial" w:hAnsi="Arial" w:cs="Arial"/>
          <w:color w:val="1D1B11"/>
          <w:sz w:val="24"/>
          <w:szCs w:val="24"/>
        </w:rPr>
      </w:pPr>
      <w:r w:rsidRPr="00982DD9">
        <w:rPr>
          <w:rFonts w:ascii="Arial" w:hAnsi="Arial" w:cs="Arial"/>
          <w:b/>
          <w:color w:val="1D1B11"/>
          <w:sz w:val="24"/>
          <w:szCs w:val="24"/>
        </w:rPr>
        <w:t>Recurso de apelación</w:t>
      </w:r>
    </w:p>
    <w:p w14:paraId="7990C7F1" w14:textId="77777777" w:rsidR="00982DD9" w:rsidRPr="00982DD9" w:rsidRDefault="00982DD9" w:rsidP="00982DD9">
      <w:pPr>
        <w:pStyle w:val="Sinespaciado"/>
        <w:spacing w:line="360" w:lineRule="auto"/>
        <w:ind w:left="1077"/>
        <w:rPr>
          <w:rFonts w:ascii="Arial" w:hAnsi="Arial" w:cs="Arial"/>
          <w:color w:val="1D1B11"/>
          <w:sz w:val="24"/>
          <w:szCs w:val="24"/>
        </w:rPr>
      </w:pPr>
    </w:p>
    <w:p w14:paraId="42537125" w14:textId="77777777" w:rsidR="009F0986" w:rsidRPr="00982DD9" w:rsidRDefault="009F0986" w:rsidP="00982DD9">
      <w:pPr>
        <w:pStyle w:val="Sinespaciado"/>
        <w:spacing w:line="360" w:lineRule="auto"/>
        <w:ind w:firstLine="708"/>
        <w:jc w:val="both"/>
        <w:rPr>
          <w:rFonts w:ascii="Arial" w:hAnsi="Arial" w:cs="Arial"/>
          <w:color w:val="1D1B11"/>
          <w:sz w:val="24"/>
          <w:szCs w:val="24"/>
        </w:rPr>
      </w:pPr>
      <w:r w:rsidRPr="00982DD9">
        <w:rPr>
          <w:rFonts w:ascii="Arial" w:hAnsi="Arial" w:cs="Arial"/>
          <w:color w:val="1D1B11"/>
          <w:sz w:val="24"/>
          <w:szCs w:val="24"/>
        </w:rPr>
        <w:lastRenderedPageBreak/>
        <w:t>La Previsora S.A. interpone recurso de apelación, contra la decisión que declaró no probada la excepción de falta de jurisdicción y competencia</w:t>
      </w:r>
      <w:r w:rsidRPr="00982DD9">
        <w:rPr>
          <w:rStyle w:val="Refdenotaalpie"/>
          <w:rFonts w:ascii="Arial" w:hAnsi="Arial" w:cs="Arial"/>
          <w:color w:val="1D1B11"/>
          <w:sz w:val="24"/>
          <w:szCs w:val="24"/>
        </w:rPr>
        <w:footnoteReference w:id="13"/>
      </w:r>
      <w:r w:rsidRPr="00982DD9">
        <w:rPr>
          <w:rFonts w:ascii="Arial" w:hAnsi="Arial" w:cs="Arial"/>
          <w:color w:val="1D1B11"/>
          <w:sz w:val="24"/>
          <w:szCs w:val="24"/>
        </w:rPr>
        <w:t>. Para el efecto sostiene que, entre el asegurador y el tomador de la póliza de seguro, por este solo hecho no se configura litisconsorcio necesario, como lo ha desarrollado la jurisprudencia  de esta Corporación y que esta jurisdicción no puede pronunciarse sobre el cumplimiento del contrato de seguro, en razón de la cláusula compromisoria, porque así lo prevén los artículos 104 y 105.1 del CPACA, si se tiene en cuenta que La Previsora S.A. es “</w:t>
      </w:r>
      <w:r w:rsidRPr="00982DD9">
        <w:rPr>
          <w:rFonts w:ascii="Arial" w:hAnsi="Arial" w:cs="Arial"/>
          <w:i/>
          <w:color w:val="1D1B11"/>
          <w:sz w:val="24"/>
          <w:szCs w:val="24"/>
        </w:rPr>
        <w:t>una institución financiera de carácter público que ha (…) celebrado ese contrato de seguro en desarrollo del giro ordinario de sus negocios”</w:t>
      </w:r>
      <w:r w:rsidRPr="00982DD9">
        <w:rPr>
          <w:rFonts w:ascii="Arial" w:hAnsi="Arial" w:cs="Arial"/>
          <w:color w:val="1D1B11"/>
          <w:sz w:val="24"/>
          <w:szCs w:val="24"/>
        </w:rPr>
        <w:t>.</w:t>
      </w:r>
    </w:p>
    <w:p w14:paraId="16287761" w14:textId="77777777" w:rsidR="00982DD9" w:rsidRPr="00982DD9" w:rsidRDefault="00982DD9" w:rsidP="00982DD9">
      <w:pPr>
        <w:pStyle w:val="Sinespaciado"/>
        <w:spacing w:line="360" w:lineRule="auto"/>
        <w:ind w:firstLine="708"/>
        <w:jc w:val="both"/>
        <w:rPr>
          <w:rFonts w:ascii="Arial" w:hAnsi="Arial" w:cs="Arial"/>
          <w:color w:val="1D1B11"/>
          <w:sz w:val="24"/>
          <w:szCs w:val="24"/>
        </w:rPr>
      </w:pPr>
    </w:p>
    <w:p w14:paraId="29787D09" w14:textId="77777777" w:rsidR="009F0986" w:rsidRDefault="009F0986" w:rsidP="00982DD9">
      <w:pPr>
        <w:pStyle w:val="Sinespaciado"/>
        <w:spacing w:line="360" w:lineRule="auto"/>
        <w:ind w:firstLine="708"/>
        <w:jc w:val="both"/>
        <w:rPr>
          <w:rFonts w:ascii="Arial" w:hAnsi="Arial" w:cs="Arial"/>
          <w:i/>
          <w:color w:val="1D1B11"/>
          <w:sz w:val="24"/>
          <w:szCs w:val="24"/>
        </w:rPr>
      </w:pPr>
      <w:r w:rsidRPr="00982DD9">
        <w:rPr>
          <w:rFonts w:ascii="Arial" w:hAnsi="Arial" w:cs="Arial"/>
          <w:color w:val="1D1B11"/>
          <w:sz w:val="24"/>
          <w:szCs w:val="24"/>
        </w:rPr>
        <w:t>Además sostiene, con fundamento en el artículo 1037 del Código de Comercio, que ECOPETROL S.A. “</w:t>
      </w:r>
      <w:r w:rsidRPr="00982DD9">
        <w:rPr>
          <w:rFonts w:ascii="Arial" w:hAnsi="Arial" w:cs="Arial"/>
          <w:i/>
          <w:color w:val="1D1B11"/>
          <w:sz w:val="24"/>
          <w:szCs w:val="24"/>
        </w:rPr>
        <w:t xml:space="preserve">recibe los efectos del contrato como asegurada que es y en consecuencia, como titular del interés asegurable en ese contrato. En consecuencia, ECOPETROL no tiene posibilidad de convocar ante la jurisdicción contencioso-administrativa a la aseguradora” </w:t>
      </w:r>
      <w:r w:rsidRPr="00982DD9">
        <w:rPr>
          <w:rFonts w:ascii="Arial" w:hAnsi="Arial" w:cs="Arial"/>
          <w:color w:val="1D1B11"/>
          <w:sz w:val="24"/>
          <w:szCs w:val="24"/>
        </w:rPr>
        <w:t>y en ese orden no puede sino admitir la cláusula compromisoria pactada</w:t>
      </w:r>
      <w:r w:rsidRPr="00982DD9">
        <w:rPr>
          <w:rFonts w:ascii="Arial" w:hAnsi="Arial" w:cs="Arial"/>
          <w:i/>
          <w:color w:val="1D1B11"/>
          <w:sz w:val="24"/>
          <w:szCs w:val="24"/>
        </w:rPr>
        <w:t>.</w:t>
      </w:r>
    </w:p>
    <w:p w14:paraId="0E618FF9" w14:textId="77777777" w:rsidR="00982DD9" w:rsidRPr="00982DD9" w:rsidRDefault="00982DD9" w:rsidP="00982DD9">
      <w:pPr>
        <w:pStyle w:val="Sinespaciado"/>
        <w:spacing w:line="360" w:lineRule="auto"/>
        <w:ind w:firstLine="708"/>
        <w:jc w:val="both"/>
        <w:rPr>
          <w:rFonts w:ascii="Arial" w:hAnsi="Arial" w:cs="Arial"/>
          <w:color w:val="1D1B11"/>
          <w:sz w:val="24"/>
          <w:szCs w:val="24"/>
        </w:rPr>
      </w:pPr>
    </w:p>
    <w:p w14:paraId="4FDD04CB" w14:textId="77777777" w:rsidR="009F0986" w:rsidRDefault="009F0986" w:rsidP="00982DD9">
      <w:pPr>
        <w:pStyle w:val="Sinespaciado"/>
        <w:spacing w:line="360" w:lineRule="auto"/>
        <w:ind w:firstLine="708"/>
        <w:jc w:val="both"/>
        <w:rPr>
          <w:rFonts w:ascii="Arial" w:hAnsi="Arial" w:cs="Arial"/>
          <w:color w:val="1D1B11"/>
          <w:sz w:val="24"/>
          <w:szCs w:val="24"/>
        </w:rPr>
      </w:pPr>
      <w:r w:rsidRPr="00982DD9">
        <w:rPr>
          <w:rFonts w:ascii="Arial" w:hAnsi="Arial" w:cs="Arial"/>
          <w:color w:val="1D1B11"/>
          <w:sz w:val="24"/>
          <w:szCs w:val="24"/>
        </w:rPr>
        <w:t xml:space="preserve">Adicionalmente arguye que si bien ECOPETROL S.A. pretende que la aseguradora responda por el riesgo de incumplimiento asumido, se trata de un asunto ajeno a la cuestión que se ventila, tanto en el proceso principal como en el que da lugar la demanda de reconvención, dirigidas a resolver la controversia contractual por el incumplimiento. </w:t>
      </w:r>
    </w:p>
    <w:p w14:paraId="6D0DC891" w14:textId="77777777" w:rsidR="00982DD9" w:rsidRPr="00982DD9" w:rsidRDefault="00982DD9" w:rsidP="00982DD9">
      <w:pPr>
        <w:pStyle w:val="Sinespaciado"/>
        <w:spacing w:line="360" w:lineRule="auto"/>
        <w:ind w:firstLine="708"/>
        <w:jc w:val="both"/>
        <w:rPr>
          <w:rFonts w:ascii="Arial" w:hAnsi="Arial" w:cs="Arial"/>
          <w:color w:val="1D1B11"/>
          <w:sz w:val="24"/>
          <w:szCs w:val="24"/>
        </w:rPr>
      </w:pPr>
    </w:p>
    <w:p w14:paraId="44D4674D" w14:textId="77777777" w:rsidR="009F0986" w:rsidRDefault="009F0986" w:rsidP="00982DD9">
      <w:pPr>
        <w:pStyle w:val="Sinespaciado"/>
        <w:spacing w:line="360" w:lineRule="auto"/>
        <w:ind w:firstLine="708"/>
        <w:jc w:val="both"/>
        <w:rPr>
          <w:rFonts w:ascii="Arial" w:hAnsi="Arial" w:cs="Arial"/>
          <w:color w:val="1D1B11"/>
          <w:sz w:val="24"/>
          <w:szCs w:val="24"/>
        </w:rPr>
      </w:pPr>
      <w:r w:rsidRPr="00982DD9">
        <w:rPr>
          <w:rFonts w:ascii="Arial" w:hAnsi="Arial" w:cs="Arial"/>
          <w:color w:val="1D1B11"/>
          <w:sz w:val="24"/>
          <w:szCs w:val="24"/>
        </w:rPr>
        <w:t>Advierte que, mantener la decisión antes referida acarrearía nulidad de carácter insaneable, por falta de jurisdicción.</w:t>
      </w:r>
    </w:p>
    <w:p w14:paraId="238BBBEF" w14:textId="77777777" w:rsidR="00982DD9" w:rsidRPr="00982DD9" w:rsidRDefault="00982DD9" w:rsidP="00982DD9">
      <w:pPr>
        <w:pStyle w:val="Sinespaciado"/>
        <w:spacing w:after="100" w:afterAutospacing="1" w:line="360" w:lineRule="auto"/>
        <w:ind w:firstLine="708"/>
        <w:jc w:val="both"/>
        <w:rPr>
          <w:rFonts w:ascii="Arial" w:hAnsi="Arial" w:cs="Arial"/>
          <w:color w:val="1D1B11"/>
          <w:sz w:val="24"/>
          <w:szCs w:val="24"/>
        </w:rPr>
      </w:pPr>
    </w:p>
    <w:p w14:paraId="42B573D3" w14:textId="77777777" w:rsidR="009F0986" w:rsidRDefault="009F0986" w:rsidP="00982DD9">
      <w:pPr>
        <w:pStyle w:val="Sinespaciado"/>
        <w:spacing w:line="360" w:lineRule="auto"/>
        <w:jc w:val="center"/>
        <w:rPr>
          <w:rFonts w:ascii="Arial" w:hAnsi="Arial" w:cs="Arial"/>
          <w:b/>
          <w:color w:val="1D1B11"/>
          <w:sz w:val="24"/>
          <w:szCs w:val="24"/>
        </w:rPr>
      </w:pPr>
      <w:r w:rsidRPr="00982DD9">
        <w:rPr>
          <w:rFonts w:ascii="Arial" w:hAnsi="Arial" w:cs="Arial"/>
          <w:b/>
          <w:color w:val="1D1B11"/>
          <w:sz w:val="24"/>
          <w:szCs w:val="24"/>
        </w:rPr>
        <w:t>CONSIDERACIONES</w:t>
      </w:r>
    </w:p>
    <w:p w14:paraId="462941BD" w14:textId="77777777" w:rsidR="00982DD9" w:rsidRPr="00982DD9" w:rsidRDefault="00982DD9" w:rsidP="00982DD9">
      <w:pPr>
        <w:pStyle w:val="Sinespaciado"/>
        <w:spacing w:line="360" w:lineRule="auto"/>
        <w:jc w:val="center"/>
        <w:rPr>
          <w:rFonts w:ascii="Arial" w:hAnsi="Arial" w:cs="Arial"/>
          <w:b/>
          <w:color w:val="1D1B11"/>
          <w:sz w:val="24"/>
          <w:szCs w:val="24"/>
        </w:rPr>
      </w:pPr>
    </w:p>
    <w:p w14:paraId="37CBD291" w14:textId="77777777" w:rsidR="009F0986" w:rsidRPr="00982DD9" w:rsidRDefault="009F0986" w:rsidP="00982DD9">
      <w:pPr>
        <w:pStyle w:val="BodyText21"/>
        <w:numPr>
          <w:ilvl w:val="2"/>
          <w:numId w:val="1"/>
        </w:numPr>
        <w:spacing w:line="360" w:lineRule="auto"/>
        <w:rPr>
          <w:szCs w:val="24"/>
        </w:rPr>
      </w:pPr>
      <w:r w:rsidRPr="00982DD9">
        <w:rPr>
          <w:b/>
          <w:szCs w:val="24"/>
        </w:rPr>
        <w:t xml:space="preserve">Competencia </w:t>
      </w:r>
    </w:p>
    <w:p w14:paraId="2159D587" w14:textId="77777777" w:rsidR="00982DD9" w:rsidRPr="00982DD9" w:rsidRDefault="00982DD9" w:rsidP="00982DD9">
      <w:pPr>
        <w:pStyle w:val="BodyText21"/>
        <w:spacing w:line="360" w:lineRule="auto"/>
        <w:ind w:left="785"/>
        <w:rPr>
          <w:szCs w:val="24"/>
        </w:rPr>
      </w:pPr>
    </w:p>
    <w:p w14:paraId="0E614F26" w14:textId="77777777" w:rsidR="009F0986" w:rsidRPr="00982DD9" w:rsidRDefault="009F0986" w:rsidP="00982DD9">
      <w:pPr>
        <w:pStyle w:val="BodyText21"/>
        <w:spacing w:line="360" w:lineRule="auto"/>
        <w:ind w:firstLine="426"/>
        <w:rPr>
          <w:szCs w:val="24"/>
        </w:rPr>
      </w:pPr>
      <w:r w:rsidRPr="00982DD9">
        <w:rPr>
          <w:szCs w:val="24"/>
        </w:rPr>
        <w:t xml:space="preserve">La Sala es competente para decidir el presente asunto, por tratarse de una providencia mediante la cual el Tribunal Administrativo de Risaralda declaró no </w:t>
      </w:r>
      <w:r w:rsidRPr="00982DD9">
        <w:rPr>
          <w:szCs w:val="24"/>
        </w:rPr>
        <w:lastRenderedPageBreak/>
        <w:t>probada la excepción de falta de jurisdicción, en un proceso cuya segunda instancia le corresponde resolver a esta Corporación</w:t>
      </w:r>
      <w:r w:rsidRPr="00982DD9">
        <w:rPr>
          <w:rStyle w:val="Refdenotaalpie"/>
          <w:szCs w:val="24"/>
        </w:rPr>
        <w:footnoteReference w:id="14"/>
      </w:r>
      <w:r w:rsidRPr="00982DD9">
        <w:rPr>
          <w:szCs w:val="24"/>
        </w:rPr>
        <w:t>, como lo disponen los artículos 125,150 y 180 numeral 6 del C.P.A.C.A.</w:t>
      </w:r>
    </w:p>
    <w:p w14:paraId="462613A3" w14:textId="77777777" w:rsidR="009F0986" w:rsidRPr="00982DD9" w:rsidRDefault="009F0986" w:rsidP="00982DD9">
      <w:pPr>
        <w:pStyle w:val="BodyText21"/>
        <w:spacing w:line="360" w:lineRule="auto"/>
        <w:ind w:firstLine="426"/>
        <w:rPr>
          <w:szCs w:val="24"/>
        </w:rPr>
      </w:pPr>
    </w:p>
    <w:p w14:paraId="3DCC1BD9" w14:textId="77777777" w:rsidR="009F0986" w:rsidRDefault="009F0986" w:rsidP="00982DD9">
      <w:pPr>
        <w:pStyle w:val="Prrafodelista"/>
        <w:numPr>
          <w:ilvl w:val="2"/>
          <w:numId w:val="1"/>
        </w:numPr>
        <w:spacing w:after="0" w:line="360" w:lineRule="auto"/>
        <w:rPr>
          <w:rFonts w:ascii="Arial" w:hAnsi="Arial" w:cs="Arial"/>
          <w:b/>
          <w:sz w:val="24"/>
          <w:szCs w:val="24"/>
        </w:rPr>
      </w:pPr>
      <w:r w:rsidRPr="00982DD9">
        <w:rPr>
          <w:rFonts w:ascii="Arial" w:hAnsi="Arial" w:cs="Arial"/>
          <w:b/>
          <w:sz w:val="24"/>
          <w:szCs w:val="24"/>
        </w:rPr>
        <w:t xml:space="preserve">Problema jurídico </w:t>
      </w:r>
    </w:p>
    <w:p w14:paraId="5A55202F" w14:textId="77777777" w:rsidR="00982DD9" w:rsidRPr="00982DD9" w:rsidRDefault="00982DD9" w:rsidP="00982DD9">
      <w:pPr>
        <w:pStyle w:val="Prrafodelista"/>
        <w:spacing w:after="0" w:line="360" w:lineRule="auto"/>
        <w:ind w:left="785"/>
        <w:rPr>
          <w:rFonts w:ascii="Arial" w:hAnsi="Arial" w:cs="Arial"/>
          <w:b/>
          <w:sz w:val="24"/>
          <w:szCs w:val="24"/>
        </w:rPr>
      </w:pPr>
    </w:p>
    <w:p w14:paraId="0EC08870" w14:textId="77777777" w:rsidR="009F0986" w:rsidRPr="00982DD9" w:rsidRDefault="009F0986" w:rsidP="00982DD9">
      <w:pPr>
        <w:overflowPunct w:val="0"/>
        <w:autoSpaceDE w:val="0"/>
        <w:autoSpaceDN w:val="0"/>
        <w:adjustRightInd w:val="0"/>
        <w:spacing w:line="360" w:lineRule="auto"/>
        <w:ind w:firstLine="426"/>
        <w:jc w:val="both"/>
        <w:textAlignment w:val="baseline"/>
        <w:rPr>
          <w:rFonts w:ascii="Arial" w:hAnsi="Arial" w:cs="Arial"/>
          <w:sz w:val="24"/>
          <w:szCs w:val="24"/>
        </w:rPr>
      </w:pPr>
      <w:r w:rsidRPr="00982DD9">
        <w:rPr>
          <w:rFonts w:ascii="Arial" w:hAnsi="Arial" w:cs="Arial"/>
          <w:sz w:val="24"/>
          <w:szCs w:val="24"/>
        </w:rPr>
        <w:t xml:space="preserve">Corresponde a la Sala resolver el recurso de apelación interpuesto por La Previsora S.A., litisconsorte necesario del contratista, contra la providencia que negó la excepción de falta de jurisdicción y competencia, formulada en el marco de la demanda de reconvención presentada por Ecopetrol S.A. en contra de la </w:t>
      </w:r>
      <w:proofErr w:type="spellStart"/>
      <w:r w:rsidRPr="00982DD9">
        <w:rPr>
          <w:rFonts w:ascii="Arial" w:hAnsi="Arial" w:cs="Arial"/>
          <w:sz w:val="24"/>
          <w:szCs w:val="24"/>
        </w:rPr>
        <w:t>Centurion</w:t>
      </w:r>
      <w:proofErr w:type="spellEnd"/>
      <w:r w:rsidRPr="00982DD9">
        <w:rPr>
          <w:rFonts w:ascii="Arial" w:hAnsi="Arial" w:cs="Arial"/>
          <w:sz w:val="24"/>
          <w:szCs w:val="24"/>
        </w:rPr>
        <w:t xml:space="preserve"> </w:t>
      </w:r>
      <w:proofErr w:type="spellStart"/>
      <w:r w:rsidRPr="00982DD9">
        <w:rPr>
          <w:rFonts w:ascii="Arial" w:hAnsi="Arial" w:cs="Arial"/>
          <w:sz w:val="24"/>
          <w:szCs w:val="24"/>
        </w:rPr>
        <w:t>Drilling</w:t>
      </w:r>
      <w:proofErr w:type="spellEnd"/>
      <w:r w:rsidRPr="00982DD9">
        <w:rPr>
          <w:rFonts w:ascii="Arial" w:hAnsi="Arial" w:cs="Arial"/>
          <w:sz w:val="24"/>
          <w:szCs w:val="24"/>
        </w:rPr>
        <w:t xml:space="preserve"> Limites Sucursal Colombia.</w:t>
      </w:r>
    </w:p>
    <w:p w14:paraId="0B3EF09B" w14:textId="77777777" w:rsidR="00982DD9" w:rsidRPr="00982DD9" w:rsidRDefault="00982DD9" w:rsidP="00982DD9">
      <w:pPr>
        <w:overflowPunct w:val="0"/>
        <w:autoSpaceDE w:val="0"/>
        <w:autoSpaceDN w:val="0"/>
        <w:adjustRightInd w:val="0"/>
        <w:spacing w:line="360" w:lineRule="auto"/>
        <w:ind w:firstLine="426"/>
        <w:jc w:val="both"/>
        <w:textAlignment w:val="baseline"/>
        <w:rPr>
          <w:rFonts w:ascii="Arial" w:hAnsi="Arial" w:cs="Arial"/>
          <w:sz w:val="24"/>
          <w:szCs w:val="24"/>
        </w:rPr>
      </w:pPr>
    </w:p>
    <w:p w14:paraId="08A11B77" w14:textId="77777777" w:rsidR="009F0986" w:rsidRPr="00982DD9" w:rsidRDefault="009F0986" w:rsidP="00982DD9">
      <w:pPr>
        <w:overflowPunct w:val="0"/>
        <w:autoSpaceDE w:val="0"/>
        <w:autoSpaceDN w:val="0"/>
        <w:adjustRightInd w:val="0"/>
        <w:spacing w:line="360" w:lineRule="auto"/>
        <w:ind w:firstLine="426"/>
        <w:jc w:val="both"/>
        <w:textAlignment w:val="baseline"/>
        <w:rPr>
          <w:rFonts w:ascii="Arial" w:hAnsi="Arial" w:cs="Arial"/>
          <w:sz w:val="24"/>
          <w:szCs w:val="24"/>
        </w:rPr>
      </w:pPr>
      <w:r w:rsidRPr="00982DD9">
        <w:rPr>
          <w:rFonts w:ascii="Arial" w:hAnsi="Arial" w:cs="Arial"/>
          <w:sz w:val="24"/>
          <w:szCs w:val="24"/>
        </w:rPr>
        <w:t>Lo anterior en razón de la cláusula compromisoria pactada en el contrato de seguro, acorde con la cual las diferencias entre la aseguradora y la contratista se someterían a la decisión arbitral.</w:t>
      </w:r>
    </w:p>
    <w:p w14:paraId="27A75DB4" w14:textId="77777777" w:rsidR="00982DD9" w:rsidRPr="00982DD9" w:rsidRDefault="00982DD9" w:rsidP="00982DD9">
      <w:pPr>
        <w:overflowPunct w:val="0"/>
        <w:autoSpaceDE w:val="0"/>
        <w:autoSpaceDN w:val="0"/>
        <w:adjustRightInd w:val="0"/>
        <w:spacing w:line="360" w:lineRule="auto"/>
        <w:ind w:firstLine="426"/>
        <w:jc w:val="both"/>
        <w:textAlignment w:val="baseline"/>
        <w:rPr>
          <w:rFonts w:ascii="Arial" w:hAnsi="Arial" w:cs="Arial"/>
          <w:sz w:val="24"/>
          <w:szCs w:val="24"/>
        </w:rPr>
      </w:pPr>
    </w:p>
    <w:p w14:paraId="5AC28214" w14:textId="77777777" w:rsidR="009F0986" w:rsidRPr="00982DD9" w:rsidRDefault="009F0986" w:rsidP="00982DD9">
      <w:pPr>
        <w:pStyle w:val="Prrafodelista"/>
        <w:numPr>
          <w:ilvl w:val="2"/>
          <w:numId w:val="1"/>
        </w:numPr>
        <w:spacing w:after="0" w:line="360" w:lineRule="auto"/>
        <w:rPr>
          <w:rFonts w:ascii="Arial" w:hAnsi="Arial" w:cs="Arial"/>
          <w:b/>
          <w:sz w:val="24"/>
          <w:szCs w:val="24"/>
        </w:rPr>
      </w:pPr>
      <w:r w:rsidRPr="00982DD9">
        <w:rPr>
          <w:rFonts w:ascii="Arial" w:hAnsi="Arial" w:cs="Arial"/>
          <w:b/>
          <w:sz w:val="24"/>
          <w:szCs w:val="24"/>
        </w:rPr>
        <w:t>La póliza de cumplimiento en la contratación administrativa</w:t>
      </w:r>
    </w:p>
    <w:p w14:paraId="7305223D" w14:textId="77777777" w:rsidR="00982DD9" w:rsidRPr="00982DD9" w:rsidRDefault="00982DD9" w:rsidP="00982DD9">
      <w:pPr>
        <w:spacing w:line="360" w:lineRule="auto"/>
        <w:ind w:firstLine="425"/>
        <w:jc w:val="both"/>
        <w:rPr>
          <w:rFonts w:ascii="Arial" w:hAnsi="Arial" w:cs="Arial"/>
          <w:sz w:val="24"/>
          <w:szCs w:val="24"/>
        </w:rPr>
      </w:pPr>
    </w:p>
    <w:p w14:paraId="26FF6A5C" w14:textId="77777777" w:rsidR="009F0986" w:rsidRPr="00982DD9" w:rsidRDefault="009F0986" w:rsidP="00982DD9">
      <w:pPr>
        <w:spacing w:line="360" w:lineRule="auto"/>
        <w:ind w:firstLine="425"/>
        <w:jc w:val="both"/>
        <w:rPr>
          <w:rFonts w:ascii="Arial" w:hAnsi="Arial" w:cs="Arial"/>
          <w:sz w:val="24"/>
          <w:szCs w:val="24"/>
        </w:rPr>
      </w:pPr>
      <w:r w:rsidRPr="00982DD9">
        <w:rPr>
          <w:rFonts w:ascii="Arial" w:hAnsi="Arial" w:cs="Arial"/>
          <w:sz w:val="24"/>
          <w:szCs w:val="24"/>
        </w:rPr>
        <w:t>Dispone el artículo 7 de la Ley 1150 de 2007:</w:t>
      </w:r>
    </w:p>
    <w:p w14:paraId="2FA009FD" w14:textId="77777777" w:rsidR="009F0986" w:rsidRPr="00982DD9" w:rsidRDefault="009F0986" w:rsidP="00982DD9">
      <w:pPr>
        <w:ind w:left="425" w:firstLine="425"/>
        <w:jc w:val="both"/>
        <w:rPr>
          <w:rFonts w:ascii="Arial" w:hAnsi="Arial" w:cs="Arial"/>
          <w:i/>
          <w:sz w:val="24"/>
          <w:szCs w:val="24"/>
        </w:rPr>
      </w:pPr>
      <w:r w:rsidRPr="00982DD9">
        <w:rPr>
          <w:rFonts w:ascii="Arial" w:hAnsi="Arial" w:cs="Arial"/>
          <w:sz w:val="24"/>
          <w:szCs w:val="24"/>
        </w:rPr>
        <w:t xml:space="preserve"> “</w:t>
      </w:r>
      <w:r w:rsidRPr="00982DD9">
        <w:rPr>
          <w:rFonts w:ascii="Arial" w:hAnsi="Arial" w:cs="Arial"/>
          <w:i/>
          <w:sz w:val="24"/>
          <w:szCs w:val="24"/>
        </w:rPr>
        <w:t xml:space="preserve">ARTÍCULO 7o. DE LAS GARANTÍAS EN LA CONTRATACIÓN. </w:t>
      </w:r>
      <w:r w:rsidRPr="00982DD9">
        <w:rPr>
          <w:rFonts w:ascii="Arial" w:hAnsi="Arial" w:cs="Arial"/>
          <w:i/>
          <w:sz w:val="24"/>
          <w:szCs w:val="24"/>
          <w:u w:val="single"/>
        </w:rPr>
        <w:t>Los contratistas prestarán garantía única para el cumplimiento de las obligaciones surgidas del contrato.</w:t>
      </w:r>
      <w:r w:rsidRPr="00982DD9">
        <w:rPr>
          <w:rFonts w:ascii="Arial" w:hAnsi="Arial" w:cs="Arial"/>
          <w:i/>
          <w:sz w:val="24"/>
          <w:szCs w:val="24"/>
        </w:rPr>
        <w:t xml:space="preserve"> Los proponentes prestarán garantía de seriedad de los ofrecimientos hechos.</w:t>
      </w:r>
    </w:p>
    <w:p w14:paraId="29ABFC17" w14:textId="77777777" w:rsidR="009F0986" w:rsidRDefault="009F0986" w:rsidP="00982DD9">
      <w:pPr>
        <w:ind w:left="425" w:firstLine="425"/>
        <w:jc w:val="both"/>
        <w:rPr>
          <w:rFonts w:ascii="Arial" w:hAnsi="Arial" w:cs="Arial"/>
          <w:i/>
          <w:sz w:val="24"/>
          <w:szCs w:val="24"/>
        </w:rPr>
      </w:pPr>
      <w:r w:rsidRPr="00982DD9">
        <w:rPr>
          <w:rFonts w:ascii="Arial" w:hAnsi="Arial" w:cs="Arial"/>
          <w:i/>
          <w:sz w:val="24"/>
          <w:szCs w:val="24"/>
          <w:u w:val="single"/>
        </w:rPr>
        <w:t>Las garantías consistirán en pólizas expedidas por compañías de seguros legalmente autorizadas para funcionar en Colombia, en garantías bancarias</w:t>
      </w:r>
      <w:r w:rsidRPr="00982DD9">
        <w:rPr>
          <w:rFonts w:ascii="Arial" w:hAnsi="Arial" w:cs="Arial"/>
          <w:i/>
          <w:sz w:val="24"/>
          <w:szCs w:val="24"/>
        </w:rPr>
        <w:t xml:space="preserve">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14:paraId="45F2B547" w14:textId="77777777" w:rsidR="00AE3677" w:rsidRPr="00982DD9" w:rsidRDefault="00AE3677" w:rsidP="00AE3677">
      <w:pPr>
        <w:spacing w:after="100" w:afterAutospacing="1"/>
        <w:ind w:left="425" w:firstLine="425"/>
        <w:jc w:val="both"/>
        <w:rPr>
          <w:rFonts w:ascii="Arial" w:hAnsi="Arial" w:cs="Arial"/>
          <w:i/>
          <w:sz w:val="24"/>
          <w:szCs w:val="24"/>
        </w:rPr>
      </w:pPr>
    </w:p>
    <w:p w14:paraId="0B21441B" w14:textId="77777777" w:rsidR="009F0986" w:rsidRPr="00982DD9" w:rsidRDefault="009F0986" w:rsidP="00982DD9">
      <w:pPr>
        <w:spacing w:line="360" w:lineRule="auto"/>
        <w:ind w:firstLine="425"/>
        <w:jc w:val="both"/>
        <w:rPr>
          <w:rFonts w:ascii="Arial" w:hAnsi="Arial" w:cs="Arial"/>
          <w:sz w:val="24"/>
          <w:szCs w:val="24"/>
        </w:rPr>
      </w:pPr>
      <w:r w:rsidRPr="00982DD9">
        <w:rPr>
          <w:rFonts w:ascii="Arial" w:hAnsi="Arial" w:cs="Arial"/>
          <w:sz w:val="24"/>
          <w:szCs w:val="24"/>
        </w:rPr>
        <w:t>El Decreto 734 de 2012, reglamentario del Estatuto General de la Contratación Pública, regula las garantías que deben prestar los contratistas a las entidades que los contratan. Al respecto dispone:</w:t>
      </w:r>
    </w:p>
    <w:p w14:paraId="163E7516" w14:textId="77777777" w:rsidR="009F0986" w:rsidRPr="00982DD9" w:rsidRDefault="009F0986" w:rsidP="00982DD9">
      <w:pPr>
        <w:ind w:left="425" w:firstLine="425"/>
        <w:jc w:val="both"/>
        <w:rPr>
          <w:rFonts w:ascii="Arial" w:hAnsi="Arial" w:cs="Arial"/>
          <w:i/>
          <w:sz w:val="24"/>
          <w:szCs w:val="24"/>
        </w:rPr>
      </w:pPr>
      <w:r w:rsidRPr="00982DD9">
        <w:rPr>
          <w:rFonts w:ascii="Arial" w:hAnsi="Arial" w:cs="Arial"/>
          <w:i/>
          <w:sz w:val="24"/>
          <w:szCs w:val="24"/>
        </w:rPr>
        <w:t xml:space="preserve">Artículo 5.1.2. Mecanismos de cobertura del riesgo. </w:t>
      </w:r>
      <w:r w:rsidRPr="00982DD9">
        <w:rPr>
          <w:rFonts w:ascii="Arial" w:hAnsi="Arial" w:cs="Arial"/>
          <w:i/>
          <w:sz w:val="24"/>
          <w:szCs w:val="24"/>
          <w:u w:val="single"/>
        </w:rPr>
        <w:t>Se entiende por mecanismo de cobertura del riesgo el instrumento otorgado por los oferentes o por el contratista de una entidad pública contratante, en favor de esta o en favor de terceros, con el objeto de garantizar</w:t>
      </w:r>
      <w:r w:rsidRPr="00982DD9">
        <w:rPr>
          <w:rFonts w:ascii="Arial" w:hAnsi="Arial" w:cs="Arial"/>
          <w:i/>
          <w:sz w:val="24"/>
          <w:szCs w:val="24"/>
        </w:rPr>
        <w:t xml:space="preserve">, entre otros (i) la seriedad de su ofrecimiento; </w:t>
      </w:r>
      <w:r w:rsidRPr="00982DD9">
        <w:rPr>
          <w:rFonts w:ascii="Arial" w:hAnsi="Arial" w:cs="Arial"/>
          <w:i/>
          <w:sz w:val="24"/>
          <w:szCs w:val="24"/>
          <w:u w:val="single"/>
        </w:rPr>
        <w:t>(ii) el cumplimiento de las obligaciones que para aquel surjan del contrato y de su liquidación;</w:t>
      </w:r>
      <w:r w:rsidRPr="00982DD9">
        <w:rPr>
          <w:rFonts w:ascii="Arial" w:hAnsi="Arial" w:cs="Arial"/>
          <w:i/>
          <w:sz w:val="24"/>
          <w:szCs w:val="24"/>
        </w:rPr>
        <w:t xml:space="preserve"> (iii) la responsabilidad extracontractual que pueda </w:t>
      </w:r>
      <w:r w:rsidRPr="00982DD9">
        <w:rPr>
          <w:rFonts w:ascii="Arial" w:hAnsi="Arial" w:cs="Arial"/>
          <w:i/>
          <w:sz w:val="24"/>
          <w:szCs w:val="24"/>
        </w:rPr>
        <w:lastRenderedPageBreak/>
        <w:t>surgir para la administración por las actuaciones, hechos u omisiones de sus contratistas o subcontratistas; y (iv) los demás riesgos a que se encuentre expuesta la administración según el contrato.</w:t>
      </w:r>
    </w:p>
    <w:p w14:paraId="751E8616" w14:textId="77777777" w:rsidR="009F0986" w:rsidRPr="00982DD9" w:rsidRDefault="009F0986" w:rsidP="00982DD9">
      <w:pPr>
        <w:ind w:left="425" w:firstLine="425"/>
        <w:jc w:val="both"/>
        <w:rPr>
          <w:rFonts w:ascii="Arial" w:hAnsi="Arial" w:cs="Arial"/>
          <w:i/>
          <w:sz w:val="24"/>
          <w:szCs w:val="24"/>
        </w:rPr>
      </w:pPr>
      <w:r w:rsidRPr="00982DD9">
        <w:rPr>
          <w:rFonts w:ascii="Arial" w:hAnsi="Arial" w:cs="Arial"/>
          <w:i/>
          <w:sz w:val="24"/>
          <w:szCs w:val="24"/>
        </w:rPr>
        <w:t>(…)</w:t>
      </w:r>
    </w:p>
    <w:p w14:paraId="2F0AE391" w14:textId="77777777" w:rsidR="009F0986" w:rsidRPr="00982DD9" w:rsidRDefault="009F0986" w:rsidP="00982DD9">
      <w:pPr>
        <w:ind w:left="425" w:firstLine="425"/>
        <w:jc w:val="both"/>
        <w:rPr>
          <w:rFonts w:ascii="Arial" w:hAnsi="Arial" w:cs="Arial"/>
          <w:i/>
          <w:sz w:val="24"/>
          <w:szCs w:val="24"/>
          <w:u w:val="single"/>
        </w:rPr>
      </w:pPr>
      <w:r w:rsidRPr="00982DD9">
        <w:rPr>
          <w:rFonts w:ascii="Arial" w:hAnsi="Arial" w:cs="Arial"/>
          <w:i/>
          <w:sz w:val="24"/>
          <w:szCs w:val="24"/>
        </w:rPr>
        <w:t xml:space="preserve">Artículo 5.1.3. Clases de garantías. </w:t>
      </w:r>
      <w:r w:rsidRPr="00982DD9">
        <w:rPr>
          <w:rFonts w:ascii="Arial" w:hAnsi="Arial" w:cs="Arial"/>
          <w:i/>
          <w:sz w:val="24"/>
          <w:szCs w:val="24"/>
          <w:u w:val="single"/>
        </w:rPr>
        <w:t>En los procesos de contratación los oferentes o contratistas podrán otorgar únicamente, como mecanismos de cobertura del riesgo, cualquiera de las siguientes garantías:</w:t>
      </w:r>
    </w:p>
    <w:p w14:paraId="4FC908F7" w14:textId="77777777" w:rsidR="009F0986" w:rsidRPr="00982DD9" w:rsidRDefault="009F0986" w:rsidP="00982DD9">
      <w:pPr>
        <w:ind w:left="425" w:firstLine="425"/>
        <w:jc w:val="both"/>
        <w:rPr>
          <w:rFonts w:ascii="Arial" w:hAnsi="Arial" w:cs="Arial"/>
          <w:i/>
          <w:sz w:val="24"/>
          <w:szCs w:val="24"/>
          <w:u w:val="single"/>
        </w:rPr>
      </w:pPr>
      <w:r w:rsidRPr="00982DD9">
        <w:rPr>
          <w:rFonts w:ascii="Arial" w:hAnsi="Arial" w:cs="Arial"/>
          <w:i/>
          <w:sz w:val="24"/>
          <w:szCs w:val="24"/>
          <w:u w:val="single"/>
        </w:rPr>
        <w:t>1. Póliza de seguros.</w:t>
      </w:r>
    </w:p>
    <w:p w14:paraId="6E69DD05" w14:textId="77777777" w:rsidR="009F0986" w:rsidRPr="00982DD9" w:rsidRDefault="009F0986" w:rsidP="00982DD9">
      <w:pPr>
        <w:ind w:left="425" w:firstLine="425"/>
        <w:jc w:val="both"/>
        <w:rPr>
          <w:rFonts w:ascii="Arial" w:hAnsi="Arial" w:cs="Arial"/>
          <w:i/>
          <w:sz w:val="24"/>
          <w:szCs w:val="24"/>
        </w:rPr>
      </w:pPr>
      <w:r w:rsidRPr="00982DD9">
        <w:rPr>
          <w:rFonts w:ascii="Arial" w:hAnsi="Arial" w:cs="Arial"/>
          <w:i/>
          <w:sz w:val="24"/>
          <w:szCs w:val="24"/>
        </w:rPr>
        <w:t>(…)</w:t>
      </w:r>
    </w:p>
    <w:p w14:paraId="6E50FB3B" w14:textId="77777777" w:rsidR="009F0986" w:rsidRPr="00982DD9" w:rsidRDefault="009F0986" w:rsidP="00982DD9">
      <w:pPr>
        <w:ind w:left="425" w:firstLine="425"/>
        <w:jc w:val="both"/>
        <w:rPr>
          <w:rFonts w:ascii="Arial" w:hAnsi="Arial" w:cs="Arial"/>
          <w:i/>
          <w:sz w:val="24"/>
          <w:szCs w:val="24"/>
        </w:rPr>
      </w:pPr>
      <w:r w:rsidRPr="00982DD9">
        <w:rPr>
          <w:rFonts w:ascii="Arial" w:hAnsi="Arial" w:cs="Arial"/>
          <w:i/>
          <w:sz w:val="24"/>
          <w:szCs w:val="24"/>
        </w:rPr>
        <w:t>Lo anterior, sin perjuicio de que la responsabilidad extracontractual de la administración derivada de las actuaciones, hechos u omisiones de sus contratistas o subcontratistas sólo puede ser amparada mediante póliza de seguro.</w:t>
      </w:r>
    </w:p>
    <w:p w14:paraId="33C2EE5C" w14:textId="77777777" w:rsidR="009F0986" w:rsidRPr="00982DD9" w:rsidRDefault="009F0986" w:rsidP="00982DD9">
      <w:pPr>
        <w:ind w:left="425" w:firstLine="425"/>
        <w:jc w:val="both"/>
        <w:rPr>
          <w:rFonts w:ascii="Arial" w:hAnsi="Arial" w:cs="Arial"/>
          <w:i/>
          <w:sz w:val="24"/>
          <w:szCs w:val="24"/>
        </w:rPr>
      </w:pPr>
      <w:r w:rsidRPr="00982DD9">
        <w:rPr>
          <w:rFonts w:ascii="Arial" w:hAnsi="Arial" w:cs="Arial"/>
          <w:i/>
          <w:sz w:val="24"/>
          <w:szCs w:val="24"/>
        </w:rPr>
        <w:t>(…).</w:t>
      </w:r>
    </w:p>
    <w:p w14:paraId="583F16DD" w14:textId="77777777" w:rsidR="00982DD9" w:rsidRPr="00982DD9" w:rsidRDefault="00982DD9" w:rsidP="00982DD9">
      <w:pPr>
        <w:ind w:left="425" w:firstLine="425"/>
        <w:jc w:val="both"/>
        <w:rPr>
          <w:rFonts w:ascii="Arial" w:hAnsi="Arial" w:cs="Arial"/>
          <w:i/>
          <w:sz w:val="24"/>
          <w:szCs w:val="24"/>
        </w:rPr>
      </w:pPr>
    </w:p>
    <w:p w14:paraId="075CF527" w14:textId="77777777" w:rsidR="009F0986" w:rsidRPr="00982DD9" w:rsidRDefault="009F0986" w:rsidP="00982DD9">
      <w:pPr>
        <w:spacing w:line="360" w:lineRule="auto"/>
        <w:ind w:firstLine="708"/>
        <w:jc w:val="both"/>
        <w:rPr>
          <w:rFonts w:ascii="Arial" w:hAnsi="Arial" w:cs="Arial"/>
          <w:sz w:val="24"/>
          <w:szCs w:val="24"/>
        </w:rPr>
      </w:pPr>
      <w:r w:rsidRPr="00982DD9">
        <w:rPr>
          <w:rFonts w:ascii="Arial" w:hAnsi="Arial" w:cs="Arial"/>
          <w:sz w:val="24"/>
          <w:szCs w:val="24"/>
        </w:rPr>
        <w:t>En relación con la póliza de seguros, el mismo decreto señala que no son oponibles a la entidad asegurada las excepciones originadas en la conducta del tomador de la misma. Señala la norma:</w:t>
      </w:r>
    </w:p>
    <w:p w14:paraId="14359CFB" w14:textId="77777777" w:rsidR="009F0986" w:rsidRPr="00982DD9" w:rsidRDefault="009F0986" w:rsidP="00982DD9">
      <w:pPr>
        <w:ind w:left="425"/>
        <w:jc w:val="both"/>
        <w:rPr>
          <w:rFonts w:ascii="Arial" w:hAnsi="Arial" w:cs="Arial"/>
          <w:i/>
          <w:sz w:val="24"/>
          <w:szCs w:val="24"/>
        </w:rPr>
      </w:pPr>
      <w:r w:rsidRPr="00982DD9">
        <w:rPr>
          <w:rFonts w:ascii="Arial" w:hAnsi="Arial" w:cs="Arial"/>
          <w:i/>
          <w:sz w:val="24"/>
          <w:szCs w:val="24"/>
        </w:rPr>
        <w:t>5.2.1.1.6 Inoponibilidad de excepciones a la entidad asegurada</w:t>
      </w:r>
      <w:r w:rsidRPr="00982DD9">
        <w:rPr>
          <w:rFonts w:ascii="Arial" w:hAnsi="Arial" w:cs="Arial"/>
          <w:i/>
          <w:sz w:val="24"/>
          <w:szCs w:val="24"/>
          <w:u w:val="single"/>
        </w:rPr>
        <w:t>. A la entidad estatal no le serán oponibles por parte del asegurador las excepciones o defensas provenientes de la conducta del tomador del seguro</w:t>
      </w:r>
      <w:r w:rsidRPr="00982DD9">
        <w:rPr>
          <w:rFonts w:ascii="Arial" w:hAnsi="Arial" w:cs="Arial"/>
          <w:i/>
          <w:sz w:val="24"/>
          <w:szCs w:val="24"/>
        </w:rPr>
        <w:t>, en especial las derivadas de las inexactitudes o reticencias en que este hubiere incurrido con ocasión de la contratación del seguro ni en general, cualesquiera otras excepciones que posea el asegurador en contra del contratista.</w:t>
      </w:r>
    </w:p>
    <w:p w14:paraId="67D40B6B" w14:textId="77777777" w:rsidR="00982DD9" w:rsidRPr="00982DD9" w:rsidRDefault="00982DD9" w:rsidP="00AE3677">
      <w:pPr>
        <w:spacing w:after="120"/>
        <w:ind w:left="425"/>
        <w:jc w:val="both"/>
        <w:rPr>
          <w:rFonts w:ascii="Arial" w:hAnsi="Arial" w:cs="Arial"/>
          <w:i/>
          <w:sz w:val="24"/>
          <w:szCs w:val="24"/>
        </w:rPr>
      </w:pPr>
    </w:p>
    <w:p w14:paraId="4CC6F797" w14:textId="77777777" w:rsidR="009F0986" w:rsidRDefault="009F0986" w:rsidP="00982DD9">
      <w:pPr>
        <w:spacing w:line="360" w:lineRule="auto"/>
        <w:ind w:firstLine="425"/>
        <w:jc w:val="both"/>
        <w:rPr>
          <w:rFonts w:ascii="Arial" w:hAnsi="Arial" w:cs="Arial"/>
          <w:sz w:val="24"/>
          <w:szCs w:val="24"/>
        </w:rPr>
      </w:pPr>
      <w:r w:rsidRPr="00982DD9">
        <w:rPr>
          <w:rFonts w:ascii="Arial" w:hAnsi="Arial" w:cs="Arial"/>
          <w:sz w:val="24"/>
          <w:szCs w:val="24"/>
        </w:rPr>
        <w:t>Es de anotar que entre las condiciones generales referidas, no se advierte la sujeción de las controversias, en razón de la responsabilidad de la aseguradora por la realización del riesgo, a la decisión arbitral; de donde si bien las partes podían convenirla era menester pactarlo expresamente.</w:t>
      </w:r>
    </w:p>
    <w:p w14:paraId="08152F08" w14:textId="77777777" w:rsidR="00AE3677" w:rsidRPr="00982DD9" w:rsidRDefault="00AE3677" w:rsidP="00AE3677">
      <w:pPr>
        <w:spacing w:after="100" w:afterAutospacing="1" w:line="360" w:lineRule="auto"/>
        <w:ind w:firstLine="425"/>
        <w:jc w:val="both"/>
        <w:rPr>
          <w:rFonts w:ascii="Arial" w:hAnsi="Arial" w:cs="Arial"/>
          <w:i/>
          <w:sz w:val="24"/>
          <w:szCs w:val="24"/>
        </w:rPr>
      </w:pPr>
    </w:p>
    <w:p w14:paraId="2FB9EAD9" w14:textId="77777777" w:rsidR="009F0986" w:rsidRDefault="009F0986" w:rsidP="00982DD9">
      <w:pPr>
        <w:pStyle w:val="Prrafodelista"/>
        <w:numPr>
          <w:ilvl w:val="2"/>
          <w:numId w:val="1"/>
        </w:numPr>
        <w:spacing w:after="0" w:line="360" w:lineRule="auto"/>
        <w:rPr>
          <w:rFonts w:ascii="Arial" w:hAnsi="Arial" w:cs="Arial"/>
          <w:b/>
          <w:sz w:val="24"/>
          <w:szCs w:val="24"/>
        </w:rPr>
      </w:pPr>
      <w:r w:rsidRPr="00982DD9">
        <w:rPr>
          <w:rFonts w:ascii="Arial" w:hAnsi="Arial" w:cs="Arial"/>
          <w:b/>
          <w:sz w:val="24"/>
          <w:szCs w:val="24"/>
        </w:rPr>
        <w:t>El pacto arbitral</w:t>
      </w:r>
    </w:p>
    <w:p w14:paraId="0A734F5E" w14:textId="77777777" w:rsidR="00AE3677" w:rsidRPr="00982DD9" w:rsidRDefault="00AE3677" w:rsidP="00AE3677">
      <w:pPr>
        <w:pStyle w:val="Prrafodelista"/>
        <w:spacing w:after="0" w:line="360" w:lineRule="auto"/>
        <w:ind w:left="785"/>
        <w:rPr>
          <w:rFonts w:ascii="Arial" w:hAnsi="Arial" w:cs="Arial"/>
          <w:b/>
          <w:sz w:val="24"/>
          <w:szCs w:val="24"/>
        </w:rPr>
      </w:pPr>
    </w:p>
    <w:p w14:paraId="04B87609" w14:textId="77777777" w:rsidR="009F0986" w:rsidRPr="00982DD9" w:rsidRDefault="009F0986" w:rsidP="00982DD9">
      <w:pPr>
        <w:spacing w:line="360" w:lineRule="auto"/>
        <w:ind w:firstLine="425"/>
        <w:jc w:val="both"/>
        <w:rPr>
          <w:rFonts w:ascii="Arial" w:hAnsi="Arial" w:cs="Arial"/>
          <w:sz w:val="24"/>
          <w:szCs w:val="24"/>
        </w:rPr>
      </w:pPr>
      <w:r w:rsidRPr="00982DD9">
        <w:rPr>
          <w:rFonts w:ascii="Arial" w:hAnsi="Arial" w:cs="Arial"/>
          <w:sz w:val="24"/>
          <w:szCs w:val="24"/>
        </w:rPr>
        <w:t>De conformidad con la Ley 1563 de 2012, por medio de la cual se expide el Estatuto de Arbitraje Nacional e Internacional, el pacto arbitral es “un negocio jurídico por virtud del cual l</w:t>
      </w:r>
      <w:r w:rsidRPr="00982DD9">
        <w:rPr>
          <w:rFonts w:ascii="Arial" w:hAnsi="Arial" w:cs="Arial"/>
          <w:sz w:val="24"/>
          <w:szCs w:val="24"/>
          <w:u w:val="single"/>
        </w:rPr>
        <w:t>as partes someten o se obligan a someter a arbitraje controversias que hayan surgido o puedan surgir entre ellas. El pacto arbitral implica la renuncia de las partes a hacer valer sus pretensiones ante los jueces. El pacto arbitral puede consistir en un compromiso o en una cláusula compromisoria”</w:t>
      </w:r>
      <w:r w:rsidRPr="00982DD9">
        <w:rPr>
          <w:rStyle w:val="Refdenotaalpie"/>
          <w:rFonts w:ascii="Arial" w:hAnsi="Arial" w:cs="Arial"/>
          <w:sz w:val="24"/>
          <w:szCs w:val="24"/>
          <w:u w:val="single"/>
        </w:rPr>
        <w:footnoteReference w:id="15"/>
      </w:r>
      <w:r w:rsidRPr="00982DD9">
        <w:rPr>
          <w:rFonts w:ascii="Arial" w:hAnsi="Arial" w:cs="Arial"/>
          <w:sz w:val="24"/>
          <w:szCs w:val="24"/>
        </w:rPr>
        <w:t xml:space="preserve"> – subrayado fuera del texto –. </w:t>
      </w:r>
    </w:p>
    <w:p w14:paraId="3394E32E" w14:textId="77777777" w:rsidR="00982DD9" w:rsidRPr="00982DD9" w:rsidRDefault="00982DD9" w:rsidP="00982DD9">
      <w:pPr>
        <w:spacing w:line="360" w:lineRule="auto"/>
        <w:ind w:firstLine="425"/>
        <w:jc w:val="both"/>
        <w:rPr>
          <w:rFonts w:ascii="Arial" w:hAnsi="Arial" w:cs="Arial"/>
          <w:sz w:val="24"/>
          <w:szCs w:val="24"/>
        </w:rPr>
      </w:pPr>
    </w:p>
    <w:p w14:paraId="71DC201E" w14:textId="77777777" w:rsidR="009F0986" w:rsidRPr="00982DD9" w:rsidRDefault="009F0986" w:rsidP="00982DD9">
      <w:pPr>
        <w:spacing w:line="360" w:lineRule="auto"/>
        <w:ind w:firstLine="425"/>
        <w:jc w:val="both"/>
        <w:rPr>
          <w:rFonts w:ascii="Arial" w:hAnsi="Arial" w:cs="Arial"/>
          <w:sz w:val="24"/>
          <w:szCs w:val="24"/>
        </w:rPr>
      </w:pPr>
      <w:r w:rsidRPr="00982DD9">
        <w:rPr>
          <w:rFonts w:ascii="Arial" w:hAnsi="Arial" w:cs="Arial"/>
          <w:sz w:val="24"/>
          <w:szCs w:val="24"/>
        </w:rPr>
        <w:lastRenderedPageBreak/>
        <w:t xml:space="preserve">Adicionalmente, el artículo 4º siguiente dispone que </w:t>
      </w:r>
      <w:r w:rsidRPr="00982DD9">
        <w:rPr>
          <w:rFonts w:ascii="Arial" w:hAnsi="Arial" w:cs="Arial"/>
          <w:i/>
          <w:sz w:val="24"/>
          <w:szCs w:val="24"/>
        </w:rPr>
        <w:t xml:space="preserve">“[l]a cláusula compromisoria, </w:t>
      </w:r>
      <w:r w:rsidRPr="00982DD9">
        <w:rPr>
          <w:rFonts w:ascii="Arial" w:hAnsi="Arial" w:cs="Arial"/>
          <w:i/>
          <w:sz w:val="24"/>
          <w:szCs w:val="24"/>
          <w:u w:val="single"/>
        </w:rPr>
        <w:t>podrá formar parte de un contrato o constar en documento separado inequívocamente referido a él</w:t>
      </w:r>
      <w:r w:rsidRPr="00982DD9">
        <w:rPr>
          <w:rFonts w:ascii="Arial" w:hAnsi="Arial" w:cs="Arial"/>
          <w:i/>
          <w:sz w:val="24"/>
          <w:szCs w:val="24"/>
        </w:rPr>
        <w:t xml:space="preserve">. La cláusula compromisoria que se pacte en documento separado del contrato, para producir efectos jurídicos </w:t>
      </w:r>
      <w:r w:rsidRPr="00982DD9">
        <w:rPr>
          <w:rFonts w:ascii="Arial" w:hAnsi="Arial" w:cs="Arial"/>
          <w:i/>
          <w:sz w:val="24"/>
          <w:szCs w:val="24"/>
          <w:u w:val="single"/>
        </w:rPr>
        <w:t>deberá expresar el nombre de las partes e indicar en forma precisa el contrato a que se refiere</w:t>
      </w:r>
      <w:r w:rsidRPr="00982DD9">
        <w:rPr>
          <w:rFonts w:ascii="Arial" w:hAnsi="Arial" w:cs="Arial"/>
          <w:i/>
          <w:sz w:val="24"/>
          <w:szCs w:val="24"/>
        </w:rPr>
        <w:t>”.</w:t>
      </w:r>
      <w:r w:rsidRPr="00982DD9">
        <w:rPr>
          <w:rFonts w:ascii="Arial" w:hAnsi="Arial" w:cs="Arial"/>
          <w:sz w:val="24"/>
          <w:szCs w:val="24"/>
        </w:rPr>
        <w:t xml:space="preserve"> </w:t>
      </w:r>
    </w:p>
    <w:p w14:paraId="24C918E2" w14:textId="77777777" w:rsidR="00982DD9" w:rsidRPr="00982DD9" w:rsidRDefault="00982DD9" w:rsidP="00982DD9">
      <w:pPr>
        <w:spacing w:line="360" w:lineRule="auto"/>
        <w:ind w:firstLine="425"/>
        <w:jc w:val="both"/>
        <w:rPr>
          <w:rFonts w:ascii="Arial" w:hAnsi="Arial" w:cs="Arial"/>
          <w:sz w:val="24"/>
          <w:szCs w:val="24"/>
          <w:u w:val="single"/>
        </w:rPr>
      </w:pPr>
    </w:p>
    <w:p w14:paraId="51CC64DA" w14:textId="77777777" w:rsidR="009F0986" w:rsidRPr="00982DD9" w:rsidRDefault="009F0986" w:rsidP="00982DD9">
      <w:pPr>
        <w:spacing w:line="360" w:lineRule="auto"/>
        <w:ind w:firstLine="425"/>
        <w:jc w:val="both"/>
        <w:rPr>
          <w:rFonts w:ascii="Arial" w:hAnsi="Arial" w:cs="Arial"/>
          <w:sz w:val="24"/>
          <w:szCs w:val="24"/>
        </w:rPr>
      </w:pPr>
      <w:r w:rsidRPr="00982DD9">
        <w:rPr>
          <w:rFonts w:ascii="Arial" w:hAnsi="Arial" w:cs="Arial"/>
          <w:sz w:val="24"/>
          <w:szCs w:val="24"/>
        </w:rPr>
        <w:t xml:space="preserve">Así mismo, el artículo 5º del estatuto mencionado, se refiere a la autonomía de la cláusula compromisoria, esto es, deja en claro que los vicios del contrato no la afectan; que el tribunal de arbitramento define la controversia surgida del contrato y que, cedido el contrato, la cláusula sigue igual suerte, todo ello acorde con el principio general según el cual los derechos personales no trascienden a terceros, salvo que estos lo convengan o que el ordenamiento así lo prevea. </w:t>
      </w:r>
    </w:p>
    <w:p w14:paraId="2945D55D" w14:textId="77777777" w:rsidR="00982DD9" w:rsidRPr="00982DD9" w:rsidRDefault="00982DD9" w:rsidP="00982DD9">
      <w:pPr>
        <w:spacing w:line="360" w:lineRule="auto"/>
        <w:ind w:firstLine="425"/>
        <w:jc w:val="both"/>
        <w:rPr>
          <w:rFonts w:ascii="Arial" w:hAnsi="Arial" w:cs="Arial"/>
          <w:sz w:val="24"/>
          <w:szCs w:val="24"/>
        </w:rPr>
      </w:pPr>
    </w:p>
    <w:p w14:paraId="77172646" w14:textId="77777777" w:rsidR="009F0986" w:rsidRPr="00982DD9" w:rsidRDefault="009F0986" w:rsidP="00982DD9">
      <w:pPr>
        <w:spacing w:line="360" w:lineRule="auto"/>
        <w:ind w:firstLine="425"/>
        <w:jc w:val="both"/>
        <w:rPr>
          <w:rFonts w:ascii="Arial" w:hAnsi="Arial" w:cs="Arial"/>
          <w:sz w:val="24"/>
          <w:szCs w:val="24"/>
        </w:rPr>
      </w:pPr>
      <w:r w:rsidRPr="00982DD9">
        <w:rPr>
          <w:rFonts w:ascii="Arial" w:hAnsi="Arial" w:cs="Arial"/>
          <w:sz w:val="24"/>
          <w:szCs w:val="24"/>
        </w:rPr>
        <w:t xml:space="preserve">Siendo así, para la Sala es claro que el acuerdo entre La Previsora S.A. y </w:t>
      </w:r>
      <w:proofErr w:type="spellStart"/>
      <w:r w:rsidRPr="00982DD9">
        <w:rPr>
          <w:rFonts w:ascii="Arial" w:hAnsi="Arial" w:cs="Arial"/>
          <w:sz w:val="24"/>
          <w:szCs w:val="24"/>
        </w:rPr>
        <w:t>Centurion</w:t>
      </w:r>
      <w:proofErr w:type="spellEnd"/>
      <w:r w:rsidRPr="00982DD9">
        <w:rPr>
          <w:rFonts w:ascii="Arial" w:hAnsi="Arial" w:cs="Arial"/>
          <w:sz w:val="24"/>
          <w:szCs w:val="24"/>
        </w:rPr>
        <w:t xml:space="preserve"> </w:t>
      </w:r>
      <w:proofErr w:type="spellStart"/>
      <w:r w:rsidRPr="00982DD9">
        <w:rPr>
          <w:rFonts w:ascii="Arial" w:hAnsi="Arial" w:cs="Arial"/>
          <w:sz w:val="24"/>
          <w:szCs w:val="24"/>
        </w:rPr>
        <w:t>Driling</w:t>
      </w:r>
      <w:proofErr w:type="spellEnd"/>
      <w:r w:rsidRPr="00982DD9">
        <w:rPr>
          <w:rFonts w:ascii="Arial" w:hAnsi="Arial" w:cs="Arial"/>
          <w:sz w:val="24"/>
          <w:szCs w:val="24"/>
        </w:rPr>
        <w:t xml:space="preserve"> </w:t>
      </w:r>
      <w:proofErr w:type="spellStart"/>
      <w:r w:rsidRPr="00982DD9">
        <w:rPr>
          <w:rFonts w:ascii="Arial" w:hAnsi="Arial" w:cs="Arial"/>
          <w:sz w:val="24"/>
          <w:szCs w:val="24"/>
        </w:rPr>
        <w:t>Limited</w:t>
      </w:r>
      <w:proofErr w:type="spellEnd"/>
      <w:r w:rsidRPr="00982DD9">
        <w:rPr>
          <w:rFonts w:ascii="Arial" w:hAnsi="Arial" w:cs="Arial"/>
          <w:sz w:val="24"/>
          <w:szCs w:val="24"/>
        </w:rPr>
        <w:t xml:space="preserve"> Sucursal Colombia-en liquidación dirigido a someter sus controversias al proceso arbitral no obliga a ECOPETROL S.A. precisamente porque lo convenido descansa en la voluntad manifiesta de las partes sin efectos más allá del marco contractual en que opera.</w:t>
      </w:r>
    </w:p>
    <w:p w14:paraId="4E24554C" w14:textId="77777777" w:rsidR="00982DD9" w:rsidRPr="00982DD9" w:rsidRDefault="00982DD9" w:rsidP="00982DD9">
      <w:pPr>
        <w:spacing w:line="360" w:lineRule="auto"/>
        <w:ind w:firstLine="425"/>
        <w:jc w:val="both"/>
        <w:rPr>
          <w:rFonts w:ascii="Arial" w:hAnsi="Arial" w:cs="Arial"/>
          <w:sz w:val="24"/>
          <w:szCs w:val="24"/>
        </w:rPr>
      </w:pPr>
    </w:p>
    <w:p w14:paraId="62E926D7" w14:textId="77777777" w:rsidR="009F0986" w:rsidRDefault="009F0986" w:rsidP="00982DD9">
      <w:pPr>
        <w:pStyle w:val="Prrafodelista"/>
        <w:numPr>
          <w:ilvl w:val="2"/>
          <w:numId w:val="1"/>
        </w:numPr>
        <w:spacing w:after="0" w:line="360" w:lineRule="auto"/>
        <w:rPr>
          <w:rFonts w:ascii="Arial" w:hAnsi="Arial" w:cs="Arial"/>
          <w:b/>
          <w:sz w:val="24"/>
          <w:szCs w:val="24"/>
        </w:rPr>
      </w:pPr>
      <w:r w:rsidRPr="00982DD9">
        <w:rPr>
          <w:rFonts w:ascii="Arial" w:hAnsi="Arial" w:cs="Arial"/>
          <w:b/>
          <w:sz w:val="24"/>
          <w:szCs w:val="24"/>
        </w:rPr>
        <w:t>La competencia de la jurisdicción contencioso-administrativa</w:t>
      </w:r>
    </w:p>
    <w:p w14:paraId="2583E4F7" w14:textId="77777777" w:rsidR="005B34A1" w:rsidRPr="00982DD9" w:rsidRDefault="005B34A1" w:rsidP="005B34A1">
      <w:pPr>
        <w:pStyle w:val="Prrafodelista"/>
        <w:spacing w:after="0" w:line="360" w:lineRule="auto"/>
        <w:ind w:left="785"/>
        <w:rPr>
          <w:rFonts w:ascii="Arial" w:hAnsi="Arial" w:cs="Arial"/>
          <w:b/>
          <w:sz w:val="24"/>
          <w:szCs w:val="24"/>
        </w:rPr>
      </w:pPr>
    </w:p>
    <w:p w14:paraId="4FF3AFEC" w14:textId="77777777" w:rsidR="009F0986" w:rsidRDefault="009F0986" w:rsidP="00982DD9">
      <w:pPr>
        <w:pStyle w:val="BodyText21"/>
        <w:spacing w:line="360" w:lineRule="auto"/>
        <w:ind w:firstLine="425"/>
        <w:rPr>
          <w:rFonts w:eastAsia="Calibri"/>
          <w:szCs w:val="24"/>
          <w:lang w:val="es-CO" w:eastAsia="en-US"/>
        </w:rPr>
      </w:pPr>
      <w:r w:rsidRPr="00982DD9">
        <w:rPr>
          <w:rFonts w:eastAsia="Calibri"/>
          <w:szCs w:val="24"/>
          <w:lang w:val="es-CO" w:eastAsia="en-US"/>
        </w:rPr>
        <w:t>De conformidad con el artículo 104 del Código de Procedimiento Administrativo y de lo Contencioso Administrativo, la jurisdicción contencioso administrativa fue instituida para conocer, entre otros asuntos, de las controversias y litigios de origen contractual en los que sean parte las entidades públicas o los particulares que ejercen funciones administrativas, en razón de las mismas.</w:t>
      </w:r>
    </w:p>
    <w:p w14:paraId="52B0C28E" w14:textId="77777777" w:rsidR="00AE3677" w:rsidRPr="00982DD9" w:rsidRDefault="00AE3677" w:rsidP="00982DD9">
      <w:pPr>
        <w:pStyle w:val="BodyText21"/>
        <w:spacing w:line="360" w:lineRule="auto"/>
        <w:ind w:firstLine="425"/>
        <w:rPr>
          <w:rFonts w:eastAsia="Calibri"/>
          <w:szCs w:val="24"/>
          <w:lang w:val="es-CO" w:eastAsia="en-US"/>
        </w:rPr>
      </w:pPr>
    </w:p>
    <w:p w14:paraId="6224A8E9" w14:textId="77777777" w:rsidR="009F0986" w:rsidRPr="00982DD9" w:rsidRDefault="009F0986" w:rsidP="00982DD9">
      <w:pPr>
        <w:pStyle w:val="BodyText21"/>
        <w:spacing w:line="360" w:lineRule="auto"/>
        <w:ind w:firstLine="425"/>
        <w:rPr>
          <w:rFonts w:eastAsia="Calibri"/>
          <w:i/>
          <w:szCs w:val="24"/>
          <w:lang w:val="es-CO" w:eastAsia="en-US"/>
        </w:rPr>
      </w:pPr>
      <w:r w:rsidRPr="00982DD9">
        <w:rPr>
          <w:rFonts w:eastAsia="Calibri"/>
          <w:szCs w:val="24"/>
          <w:lang w:val="es-CO" w:eastAsia="en-US"/>
        </w:rPr>
        <w:t xml:space="preserve">No obstante, el artículo 105 del mismo estatuto, establece cuatro excepciones a la regla anterior, concretamente, el numeral primero, dispone que esta jurisdicción no conocerá de </w:t>
      </w:r>
      <w:r w:rsidRPr="00982DD9">
        <w:rPr>
          <w:rFonts w:eastAsia="Calibri"/>
          <w:i/>
          <w:szCs w:val="24"/>
          <w:u w:val="single"/>
          <w:lang w:val="es-CO" w:eastAsia="en-US"/>
        </w:rPr>
        <w:t xml:space="preserve">“[l]as controversias relativas </w:t>
      </w:r>
      <w:r w:rsidRPr="00982DD9">
        <w:rPr>
          <w:rFonts w:eastAsia="Calibri"/>
          <w:i/>
          <w:szCs w:val="24"/>
          <w:lang w:val="es-CO" w:eastAsia="en-US"/>
        </w:rPr>
        <w:t xml:space="preserve">a la responsabilidad extracontractual y </w:t>
      </w:r>
      <w:r w:rsidRPr="00982DD9">
        <w:rPr>
          <w:rFonts w:eastAsia="Calibri"/>
          <w:i/>
          <w:szCs w:val="24"/>
          <w:u w:val="single"/>
          <w:lang w:val="es-CO" w:eastAsia="en-US"/>
        </w:rPr>
        <w:t>a los contratos celebrados por entidades públicas que tengan el carácter de instituciones financieras, aseguradoras, intermediarios de seguros o intermediarios de valores vigilados por la Superintendencia Financiera,</w:t>
      </w:r>
      <w:r w:rsidRPr="00982DD9">
        <w:rPr>
          <w:rFonts w:eastAsia="Calibri"/>
          <w:i/>
          <w:szCs w:val="24"/>
          <w:lang w:val="es-CO" w:eastAsia="en-US"/>
        </w:rPr>
        <w:t xml:space="preserve"> cuando correspondan al giro ordinario de los negocios de dichas entidades, incluyendo los procesos ejecutivos”.</w:t>
      </w:r>
    </w:p>
    <w:p w14:paraId="3370DEFE" w14:textId="77777777" w:rsidR="009F0986" w:rsidRPr="00982DD9" w:rsidRDefault="009F0986" w:rsidP="00982DD9">
      <w:pPr>
        <w:pStyle w:val="BodyText21"/>
        <w:spacing w:line="360" w:lineRule="auto"/>
        <w:ind w:firstLine="425"/>
        <w:rPr>
          <w:rFonts w:eastAsia="Calibri"/>
          <w:i/>
          <w:szCs w:val="24"/>
          <w:lang w:val="es-CO" w:eastAsia="en-US"/>
        </w:rPr>
      </w:pPr>
    </w:p>
    <w:p w14:paraId="0C2782C7" w14:textId="77777777" w:rsidR="009F0986" w:rsidRDefault="009F0986" w:rsidP="00982DD9">
      <w:pPr>
        <w:pStyle w:val="BodyText21"/>
        <w:numPr>
          <w:ilvl w:val="2"/>
          <w:numId w:val="1"/>
        </w:numPr>
        <w:spacing w:line="360" w:lineRule="auto"/>
        <w:rPr>
          <w:b/>
          <w:color w:val="1D1B11"/>
          <w:szCs w:val="24"/>
        </w:rPr>
      </w:pPr>
      <w:r w:rsidRPr="00982DD9">
        <w:rPr>
          <w:b/>
          <w:color w:val="1D1B11"/>
          <w:szCs w:val="24"/>
        </w:rPr>
        <w:t>El caso concreto</w:t>
      </w:r>
    </w:p>
    <w:p w14:paraId="62D0D13A" w14:textId="77777777" w:rsidR="00AE3677" w:rsidRPr="00982DD9" w:rsidRDefault="00AE3677" w:rsidP="00AE3677">
      <w:pPr>
        <w:pStyle w:val="BodyText21"/>
        <w:spacing w:line="360" w:lineRule="auto"/>
        <w:ind w:left="785"/>
        <w:rPr>
          <w:b/>
          <w:color w:val="1D1B11"/>
          <w:szCs w:val="24"/>
        </w:rPr>
      </w:pPr>
    </w:p>
    <w:p w14:paraId="7FF77C1A" w14:textId="77777777" w:rsidR="009F0986" w:rsidRDefault="009F0986" w:rsidP="00982DD9">
      <w:pPr>
        <w:pStyle w:val="BodyText21"/>
        <w:spacing w:line="360" w:lineRule="auto"/>
        <w:ind w:firstLine="425"/>
        <w:rPr>
          <w:color w:val="1D1B11"/>
          <w:szCs w:val="24"/>
        </w:rPr>
      </w:pPr>
      <w:r w:rsidRPr="00982DD9">
        <w:rPr>
          <w:color w:val="1D1B11"/>
          <w:szCs w:val="24"/>
        </w:rPr>
        <w:t xml:space="preserve">Procede la Sala a resolver el recurso de apelación impetrado por La Previsora S.A. contra el auto de 10 de marzo de 2016 proferido por el Tribunal Administrativo de Cundinamarca. Sea lo primero advertir que en el asunto de la referencia se controvierte el cumplimiento del contrato estatal de obra MA-0017103 suscrito entre ECOPETROL y </w:t>
      </w:r>
      <w:proofErr w:type="spellStart"/>
      <w:r w:rsidRPr="00982DD9">
        <w:rPr>
          <w:color w:val="1D1B11"/>
          <w:szCs w:val="24"/>
        </w:rPr>
        <w:t>Centurion</w:t>
      </w:r>
      <w:proofErr w:type="spellEnd"/>
      <w:r w:rsidRPr="00982DD9">
        <w:rPr>
          <w:color w:val="1D1B11"/>
          <w:szCs w:val="24"/>
        </w:rPr>
        <w:t xml:space="preserve"> </w:t>
      </w:r>
      <w:proofErr w:type="spellStart"/>
      <w:r w:rsidRPr="00982DD9">
        <w:rPr>
          <w:color w:val="1D1B11"/>
          <w:szCs w:val="24"/>
        </w:rPr>
        <w:t>Drilling</w:t>
      </w:r>
      <w:proofErr w:type="spellEnd"/>
      <w:r w:rsidRPr="00982DD9">
        <w:rPr>
          <w:color w:val="1D1B11"/>
          <w:szCs w:val="24"/>
        </w:rPr>
        <w:t xml:space="preserve"> </w:t>
      </w:r>
      <w:proofErr w:type="spellStart"/>
      <w:r w:rsidRPr="00982DD9">
        <w:rPr>
          <w:color w:val="1D1B11"/>
          <w:szCs w:val="24"/>
        </w:rPr>
        <w:t>Limited</w:t>
      </w:r>
      <w:proofErr w:type="spellEnd"/>
      <w:r w:rsidRPr="00982DD9">
        <w:rPr>
          <w:color w:val="1D1B11"/>
          <w:szCs w:val="24"/>
        </w:rPr>
        <w:t xml:space="preserve"> Sucursal Colombia-en liquidación para la terminación de 30 pozos, ubicados en el Magdalena Medio, que las partes no sometieron a la jurisdicción arbitral y tampoco se conoce el compromiso de hacerlo, de donde la excepción de falta de jurisdicción formulada por La Previsora S.A. no tendría que prosperar, como efectivamente ocurrió. </w:t>
      </w:r>
    </w:p>
    <w:p w14:paraId="5460F013" w14:textId="77777777" w:rsidR="00AE3677" w:rsidRPr="00982DD9" w:rsidRDefault="00AE3677" w:rsidP="00982DD9">
      <w:pPr>
        <w:pStyle w:val="BodyText21"/>
        <w:spacing w:line="360" w:lineRule="auto"/>
        <w:ind w:firstLine="425"/>
        <w:rPr>
          <w:color w:val="1D1B11"/>
          <w:szCs w:val="24"/>
        </w:rPr>
      </w:pPr>
    </w:p>
    <w:p w14:paraId="25E6E1D8" w14:textId="77777777" w:rsidR="009F0986" w:rsidRDefault="009F0986" w:rsidP="00982DD9">
      <w:pPr>
        <w:pStyle w:val="BodyText21"/>
        <w:spacing w:line="360" w:lineRule="auto"/>
        <w:ind w:firstLine="425"/>
        <w:rPr>
          <w:color w:val="1D1B11"/>
          <w:szCs w:val="24"/>
        </w:rPr>
      </w:pPr>
      <w:r w:rsidRPr="00982DD9">
        <w:rPr>
          <w:color w:val="1D1B11"/>
          <w:szCs w:val="24"/>
        </w:rPr>
        <w:t xml:space="preserve">Ahora, si bien La Previsora S.A. y la contratista acordaron dicho sometimiento de eso no se sigue la vinculación de ECOPETROL S.A., de donde no tendría que exigirse a esta última sujetarse a la misma. En este punto es dable insistir en que la cláusula compromisoria rige entre las partes que la convienen y respecto del contrato y alcances establecidos, para el caso las controversias surgidas entre la aseguradora y la contratista, sin que para el efecto interese que la </w:t>
      </w:r>
      <w:r w:rsidRPr="00982DD9">
        <w:rPr>
          <w:i/>
          <w:color w:val="1D1B11"/>
          <w:szCs w:val="24"/>
        </w:rPr>
        <w:t xml:space="preserve">litis </w:t>
      </w:r>
      <w:r w:rsidRPr="00982DD9">
        <w:rPr>
          <w:color w:val="1D1B11"/>
          <w:szCs w:val="24"/>
        </w:rPr>
        <w:t>trate sobre la obra contratada por ECOPETROL, y de ser ello así, lo decidido tampoco tendría que vincular a esta última</w:t>
      </w:r>
    </w:p>
    <w:p w14:paraId="2572E640" w14:textId="77777777" w:rsidR="00AE3677" w:rsidRPr="00982DD9" w:rsidRDefault="00AE3677" w:rsidP="00982DD9">
      <w:pPr>
        <w:pStyle w:val="BodyText21"/>
        <w:spacing w:line="360" w:lineRule="auto"/>
        <w:ind w:firstLine="425"/>
        <w:rPr>
          <w:color w:val="1D1B11"/>
          <w:szCs w:val="24"/>
        </w:rPr>
      </w:pPr>
    </w:p>
    <w:p w14:paraId="43F7E35E" w14:textId="77777777" w:rsidR="009F0986" w:rsidRDefault="009F0986" w:rsidP="00982DD9">
      <w:pPr>
        <w:pStyle w:val="BodyText21"/>
        <w:spacing w:line="360" w:lineRule="auto"/>
        <w:ind w:firstLine="425"/>
        <w:rPr>
          <w:color w:val="1D1B11"/>
          <w:szCs w:val="24"/>
        </w:rPr>
      </w:pPr>
      <w:r w:rsidRPr="00982DD9">
        <w:rPr>
          <w:color w:val="1D1B11"/>
          <w:szCs w:val="24"/>
        </w:rPr>
        <w:t>Ahora, distinta es la relación jurídica que pretende hacer efectiva ECOPETROL S.A., sin que para ello comporte que se integre en el mismo documento, pues el texto relativo a la cláusula compromisoria en cuanto accesorio y convenido entre el contratista y la aseguradora se comprende y aplica separadamente. En consecuencia, no es razonable afirmar que la cláusula compromisoria pactada al margen de ECOPETROL S.A., esto es, sin su concurso, la inhabilita para hacer comparecer a la aseguradora ante esta jurisdicción.</w:t>
      </w:r>
    </w:p>
    <w:p w14:paraId="17DA56E1" w14:textId="77777777" w:rsidR="00AE3677" w:rsidRPr="00982DD9" w:rsidRDefault="00AE3677" w:rsidP="00982DD9">
      <w:pPr>
        <w:pStyle w:val="BodyText21"/>
        <w:spacing w:line="360" w:lineRule="auto"/>
        <w:ind w:firstLine="425"/>
        <w:rPr>
          <w:color w:val="1D1B11"/>
          <w:szCs w:val="24"/>
        </w:rPr>
      </w:pPr>
    </w:p>
    <w:p w14:paraId="2E43C563" w14:textId="77777777" w:rsidR="009F0986" w:rsidRDefault="009F0986" w:rsidP="00982DD9">
      <w:pPr>
        <w:pStyle w:val="BodyText21"/>
        <w:spacing w:line="360" w:lineRule="auto"/>
        <w:ind w:firstLine="425"/>
        <w:rPr>
          <w:color w:val="1D1B11"/>
          <w:szCs w:val="24"/>
        </w:rPr>
      </w:pPr>
      <w:r w:rsidRPr="00982DD9">
        <w:rPr>
          <w:color w:val="1D1B11"/>
          <w:szCs w:val="24"/>
        </w:rPr>
        <w:t>Por otro lado, La Previsora S.A. asegura que el artículo 105 del Código de Procedimiento Administrativo y de lo Contencioso Administrativo, excluye el asunto del conocimiento de esta jurisdicción, pues se trata de un contrato celebrado por una entidad pública que tiene el carácter de aseguradora. No obstante, el argumento no es de recibo pues las excepciones a las competencias generales, en cuanto de aplicación restrictiva, se aplican en los términos señalados. Esto es, las controversias surgidas de la contratación estatal y sus garantías se someten a esta jurisdicción, excepto aquellas propias del giro ordinario de los negocios de las instituciones financieras de carácter estatal.</w:t>
      </w:r>
    </w:p>
    <w:p w14:paraId="78F84406" w14:textId="77777777" w:rsidR="00AE3677" w:rsidRPr="00982DD9" w:rsidRDefault="00AE3677" w:rsidP="00982DD9">
      <w:pPr>
        <w:pStyle w:val="BodyText21"/>
        <w:spacing w:line="360" w:lineRule="auto"/>
        <w:ind w:firstLine="425"/>
        <w:rPr>
          <w:color w:val="1D1B11"/>
          <w:szCs w:val="24"/>
        </w:rPr>
      </w:pPr>
    </w:p>
    <w:p w14:paraId="67568AF2" w14:textId="77777777" w:rsidR="009F0986" w:rsidRDefault="009F0986" w:rsidP="00982DD9">
      <w:pPr>
        <w:pStyle w:val="BodyText21"/>
        <w:spacing w:line="360" w:lineRule="auto"/>
        <w:ind w:firstLine="425"/>
        <w:rPr>
          <w:color w:val="1D1B11"/>
          <w:szCs w:val="24"/>
        </w:rPr>
      </w:pPr>
      <w:r w:rsidRPr="00982DD9">
        <w:rPr>
          <w:color w:val="1D1B11"/>
          <w:szCs w:val="24"/>
        </w:rPr>
        <w:t xml:space="preserve"> En mérito de lo expuesto, el despacho</w:t>
      </w:r>
    </w:p>
    <w:p w14:paraId="7E1D4DFC" w14:textId="77777777" w:rsidR="00AE3677" w:rsidRPr="00982DD9" w:rsidRDefault="00AE3677" w:rsidP="00AE3677">
      <w:pPr>
        <w:pStyle w:val="BodyText21"/>
        <w:spacing w:after="100" w:afterAutospacing="1" w:line="360" w:lineRule="auto"/>
        <w:ind w:firstLine="425"/>
        <w:rPr>
          <w:color w:val="1D1B11"/>
          <w:szCs w:val="24"/>
        </w:rPr>
      </w:pPr>
    </w:p>
    <w:p w14:paraId="4545C837" w14:textId="77777777" w:rsidR="009F0986" w:rsidRPr="00982DD9" w:rsidRDefault="009F0986" w:rsidP="00982DD9">
      <w:pPr>
        <w:spacing w:line="360" w:lineRule="auto"/>
        <w:ind w:left="2832" w:firstLine="708"/>
        <w:jc w:val="both"/>
        <w:rPr>
          <w:rFonts w:ascii="Arial" w:hAnsi="Arial" w:cs="Arial"/>
          <w:b/>
          <w:color w:val="1D1B11"/>
          <w:sz w:val="24"/>
          <w:szCs w:val="24"/>
        </w:rPr>
      </w:pPr>
      <w:r w:rsidRPr="00982DD9">
        <w:rPr>
          <w:rFonts w:ascii="Arial" w:hAnsi="Arial" w:cs="Arial"/>
          <w:b/>
          <w:color w:val="1D1B11"/>
          <w:sz w:val="24"/>
          <w:szCs w:val="24"/>
        </w:rPr>
        <w:t>R E S U E L V E:</w:t>
      </w:r>
    </w:p>
    <w:p w14:paraId="211EAFA3" w14:textId="77777777" w:rsidR="00982DD9" w:rsidRPr="00982DD9" w:rsidRDefault="00982DD9" w:rsidP="00982DD9">
      <w:pPr>
        <w:spacing w:line="360" w:lineRule="auto"/>
        <w:ind w:left="2832" w:firstLine="708"/>
        <w:jc w:val="both"/>
        <w:rPr>
          <w:rFonts w:ascii="Arial" w:hAnsi="Arial" w:cs="Arial"/>
          <w:b/>
          <w:color w:val="1D1B11"/>
          <w:sz w:val="24"/>
          <w:szCs w:val="24"/>
        </w:rPr>
      </w:pPr>
    </w:p>
    <w:p w14:paraId="3144C8E6" w14:textId="77777777" w:rsidR="009F0986" w:rsidRPr="00982DD9" w:rsidRDefault="009F0986" w:rsidP="00982DD9">
      <w:pPr>
        <w:spacing w:line="360" w:lineRule="auto"/>
        <w:ind w:firstLine="708"/>
        <w:jc w:val="both"/>
        <w:rPr>
          <w:rFonts w:ascii="Arial" w:hAnsi="Arial" w:cs="Arial"/>
          <w:bCs/>
          <w:color w:val="1D1B11"/>
          <w:sz w:val="24"/>
          <w:szCs w:val="24"/>
        </w:rPr>
      </w:pPr>
      <w:r w:rsidRPr="00982DD9">
        <w:rPr>
          <w:rFonts w:ascii="Arial" w:hAnsi="Arial" w:cs="Arial"/>
          <w:b/>
          <w:color w:val="1D1B11"/>
          <w:sz w:val="24"/>
          <w:szCs w:val="24"/>
        </w:rPr>
        <w:t xml:space="preserve">CONFIRMAR </w:t>
      </w:r>
      <w:r w:rsidRPr="00982DD9">
        <w:rPr>
          <w:rFonts w:ascii="Arial" w:hAnsi="Arial" w:cs="Arial"/>
          <w:bCs/>
          <w:color w:val="1D1B11"/>
          <w:sz w:val="24"/>
          <w:szCs w:val="24"/>
        </w:rPr>
        <w:t>el auto proferido el 10 de marzo de 2016 por el Tribunal Administrativo de Cundinamarca.</w:t>
      </w:r>
    </w:p>
    <w:p w14:paraId="36DBDA60" w14:textId="77777777" w:rsidR="00982DD9" w:rsidRPr="00982DD9" w:rsidRDefault="00982DD9" w:rsidP="00982DD9">
      <w:pPr>
        <w:spacing w:line="360" w:lineRule="auto"/>
        <w:ind w:firstLine="708"/>
        <w:jc w:val="both"/>
        <w:rPr>
          <w:rFonts w:ascii="Arial" w:hAnsi="Arial" w:cs="Arial"/>
          <w:bCs/>
          <w:color w:val="1D1B11"/>
          <w:sz w:val="24"/>
          <w:szCs w:val="24"/>
        </w:rPr>
      </w:pPr>
    </w:p>
    <w:p w14:paraId="2B555EE8" w14:textId="77777777" w:rsidR="00AE3677" w:rsidRPr="00AE3677" w:rsidRDefault="009F0986" w:rsidP="00AE3677">
      <w:pPr>
        <w:spacing w:line="360" w:lineRule="auto"/>
        <w:ind w:firstLine="708"/>
        <w:jc w:val="both"/>
        <w:rPr>
          <w:rFonts w:ascii="Arial" w:hAnsi="Arial" w:cs="Arial"/>
          <w:color w:val="1D1B11"/>
          <w:sz w:val="24"/>
          <w:szCs w:val="24"/>
        </w:rPr>
      </w:pPr>
      <w:r w:rsidRPr="00982DD9">
        <w:rPr>
          <w:rFonts w:ascii="Arial" w:hAnsi="Arial" w:cs="Arial"/>
          <w:color w:val="1D1B11"/>
          <w:sz w:val="24"/>
          <w:szCs w:val="24"/>
        </w:rPr>
        <w:t xml:space="preserve">En firme este proveído </w:t>
      </w:r>
      <w:r w:rsidRPr="00982DD9">
        <w:rPr>
          <w:rFonts w:ascii="Arial" w:hAnsi="Arial" w:cs="Arial"/>
          <w:b/>
          <w:color w:val="1D1B11"/>
          <w:sz w:val="24"/>
          <w:szCs w:val="24"/>
        </w:rPr>
        <w:t>DEVUÉLVASE</w:t>
      </w:r>
      <w:r w:rsidRPr="00982DD9">
        <w:rPr>
          <w:rFonts w:ascii="Arial" w:hAnsi="Arial" w:cs="Arial"/>
          <w:color w:val="1D1B11"/>
          <w:sz w:val="24"/>
          <w:szCs w:val="24"/>
        </w:rPr>
        <w:t xml:space="preserve"> el expediente al Tribunal de origen para lo de su cargo. </w:t>
      </w:r>
    </w:p>
    <w:p w14:paraId="0526AF72" w14:textId="77777777" w:rsidR="00982DD9" w:rsidRPr="00982DD9" w:rsidRDefault="00982DD9" w:rsidP="00982DD9">
      <w:pPr>
        <w:jc w:val="center"/>
        <w:rPr>
          <w:rFonts w:ascii="Arial" w:hAnsi="Arial" w:cs="Arial"/>
          <w:b/>
          <w:color w:val="1D1B11"/>
          <w:sz w:val="24"/>
          <w:szCs w:val="24"/>
        </w:rPr>
      </w:pPr>
    </w:p>
    <w:p w14:paraId="38254EA1" w14:textId="77777777" w:rsidR="00982DD9" w:rsidRPr="00982DD9" w:rsidRDefault="00982DD9" w:rsidP="00982DD9">
      <w:pPr>
        <w:pStyle w:val="Ttulo8"/>
        <w:spacing w:line="240" w:lineRule="auto"/>
        <w:ind w:firstLine="0"/>
        <w:rPr>
          <w:rFonts w:ascii="Arial" w:hAnsi="Arial" w:cs="Arial"/>
          <w:b w:val="0"/>
          <w:color w:val="1D1B11"/>
          <w:sz w:val="24"/>
          <w:szCs w:val="24"/>
        </w:rPr>
      </w:pPr>
      <w:r w:rsidRPr="00982DD9">
        <w:rPr>
          <w:rFonts w:ascii="Arial" w:hAnsi="Arial" w:cs="Arial"/>
          <w:color w:val="1D1B11"/>
          <w:sz w:val="24"/>
          <w:szCs w:val="24"/>
          <w:lang w:val="es-ES"/>
        </w:rPr>
        <w:t xml:space="preserve"> </w:t>
      </w:r>
    </w:p>
    <w:p w14:paraId="0A464265" w14:textId="77777777" w:rsidR="00982DD9" w:rsidRPr="00982DD9" w:rsidRDefault="00982DD9" w:rsidP="00982DD9">
      <w:pPr>
        <w:spacing w:line="360" w:lineRule="auto"/>
        <w:jc w:val="center"/>
        <w:rPr>
          <w:rFonts w:ascii="Arial" w:hAnsi="Arial" w:cs="Arial"/>
          <w:b/>
          <w:color w:val="1D1B11"/>
          <w:sz w:val="24"/>
          <w:szCs w:val="24"/>
        </w:rPr>
      </w:pPr>
      <w:r w:rsidRPr="00982DD9">
        <w:rPr>
          <w:rFonts w:ascii="Arial" w:hAnsi="Arial" w:cs="Arial"/>
          <w:b/>
          <w:color w:val="1D1B11"/>
          <w:sz w:val="24"/>
          <w:szCs w:val="24"/>
        </w:rPr>
        <w:t>NOTIFÍQUESE Y CÚMPLASE</w:t>
      </w:r>
    </w:p>
    <w:p w14:paraId="446DD03E" w14:textId="77777777" w:rsidR="00982DD9" w:rsidRPr="00982DD9" w:rsidRDefault="00982DD9" w:rsidP="00982DD9">
      <w:pPr>
        <w:jc w:val="center"/>
        <w:rPr>
          <w:rFonts w:ascii="Arial" w:hAnsi="Arial" w:cs="Arial"/>
          <w:b/>
          <w:color w:val="1D1B11"/>
          <w:sz w:val="24"/>
          <w:szCs w:val="24"/>
        </w:rPr>
      </w:pPr>
    </w:p>
    <w:p w14:paraId="43DAB32A" w14:textId="77777777" w:rsidR="00982DD9" w:rsidRPr="00982DD9" w:rsidRDefault="00982DD9" w:rsidP="00982DD9">
      <w:pPr>
        <w:jc w:val="center"/>
        <w:rPr>
          <w:rFonts w:ascii="Arial" w:hAnsi="Arial" w:cs="Arial"/>
          <w:b/>
          <w:color w:val="1D1B11"/>
          <w:sz w:val="24"/>
          <w:szCs w:val="24"/>
        </w:rPr>
      </w:pPr>
    </w:p>
    <w:p w14:paraId="38182787" w14:textId="77777777" w:rsidR="00982DD9" w:rsidRPr="00982DD9" w:rsidRDefault="00982DD9" w:rsidP="00982DD9">
      <w:pPr>
        <w:jc w:val="center"/>
        <w:rPr>
          <w:rFonts w:ascii="Arial" w:hAnsi="Arial" w:cs="Arial"/>
          <w:b/>
          <w:color w:val="1D1B11"/>
          <w:sz w:val="24"/>
          <w:szCs w:val="24"/>
        </w:rPr>
      </w:pPr>
    </w:p>
    <w:p w14:paraId="11B134A5" w14:textId="77777777" w:rsidR="00982DD9" w:rsidRPr="00982DD9" w:rsidRDefault="00982DD9" w:rsidP="00982DD9">
      <w:pPr>
        <w:pStyle w:val="Ttulo8"/>
        <w:spacing w:line="240" w:lineRule="auto"/>
        <w:ind w:firstLine="0"/>
        <w:rPr>
          <w:rFonts w:ascii="Arial" w:hAnsi="Arial" w:cs="Arial"/>
          <w:color w:val="1D1B11"/>
          <w:sz w:val="24"/>
          <w:szCs w:val="24"/>
          <w:lang w:val="es-ES"/>
        </w:rPr>
      </w:pPr>
      <w:r w:rsidRPr="00982DD9">
        <w:rPr>
          <w:rFonts w:ascii="Arial" w:hAnsi="Arial" w:cs="Arial"/>
          <w:color w:val="1D1B11"/>
          <w:sz w:val="24"/>
          <w:szCs w:val="24"/>
          <w:lang w:val="es-ES"/>
        </w:rPr>
        <w:t>STELLA CONTO DÍAZ DEL CASTILLO</w:t>
      </w:r>
    </w:p>
    <w:p w14:paraId="563D662C" w14:textId="77777777" w:rsidR="00982DD9" w:rsidRPr="00982DD9" w:rsidRDefault="00982DD9" w:rsidP="00982DD9">
      <w:pPr>
        <w:jc w:val="center"/>
        <w:rPr>
          <w:rFonts w:ascii="Arial" w:hAnsi="Arial" w:cs="Arial"/>
          <w:b/>
          <w:sz w:val="24"/>
          <w:szCs w:val="24"/>
          <w:lang w:val="es-ES"/>
        </w:rPr>
      </w:pPr>
      <w:r w:rsidRPr="00982DD9">
        <w:rPr>
          <w:rFonts w:ascii="Arial" w:hAnsi="Arial" w:cs="Arial"/>
          <w:b/>
          <w:sz w:val="24"/>
          <w:szCs w:val="24"/>
          <w:lang w:val="es-ES"/>
        </w:rPr>
        <w:t>Presidenta de la Sala</w:t>
      </w:r>
    </w:p>
    <w:p w14:paraId="0C8583B9" w14:textId="77777777" w:rsidR="00982DD9" w:rsidRPr="00982DD9" w:rsidRDefault="00982DD9" w:rsidP="00982DD9">
      <w:pPr>
        <w:jc w:val="center"/>
        <w:rPr>
          <w:rFonts w:ascii="Arial" w:hAnsi="Arial" w:cs="Arial"/>
          <w:b/>
          <w:color w:val="1D1B11"/>
          <w:sz w:val="24"/>
          <w:szCs w:val="24"/>
        </w:rPr>
      </w:pPr>
    </w:p>
    <w:p w14:paraId="791B0C99" w14:textId="77777777" w:rsidR="00982DD9" w:rsidRPr="00982DD9" w:rsidRDefault="00982DD9" w:rsidP="00982DD9">
      <w:pPr>
        <w:jc w:val="center"/>
        <w:rPr>
          <w:rFonts w:ascii="Arial" w:hAnsi="Arial" w:cs="Arial"/>
          <w:b/>
          <w:color w:val="1D1B11"/>
          <w:sz w:val="24"/>
          <w:szCs w:val="24"/>
        </w:rPr>
      </w:pPr>
    </w:p>
    <w:p w14:paraId="1DBF32DC" w14:textId="77777777" w:rsidR="00982DD9" w:rsidRPr="00982DD9" w:rsidRDefault="00982DD9" w:rsidP="00982DD9">
      <w:pPr>
        <w:jc w:val="center"/>
        <w:rPr>
          <w:rFonts w:ascii="Arial" w:hAnsi="Arial" w:cs="Arial"/>
          <w:b/>
          <w:color w:val="1D1B11"/>
          <w:sz w:val="24"/>
          <w:szCs w:val="24"/>
        </w:rPr>
      </w:pPr>
    </w:p>
    <w:p w14:paraId="4B0EDD57" w14:textId="77777777" w:rsidR="00982DD9" w:rsidRPr="00982DD9" w:rsidRDefault="00982DD9" w:rsidP="00982DD9">
      <w:pPr>
        <w:jc w:val="center"/>
        <w:rPr>
          <w:rFonts w:ascii="Arial" w:hAnsi="Arial" w:cs="Arial"/>
          <w:b/>
          <w:color w:val="1D1B11"/>
          <w:sz w:val="24"/>
          <w:szCs w:val="24"/>
        </w:rPr>
      </w:pPr>
      <w:r w:rsidRPr="00982DD9">
        <w:rPr>
          <w:rFonts w:ascii="Arial" w:hAnsi="Arial" w:cs="Arial"/>
          <w:b/>
          <w:color w:val="1D1B11"/>
          <w:sz w:val="24"/>
          <w:szCs w:val="24"/>
        </w:rPr>
        <w:t>RAMIRO PAZOS GUERRERO</w:t>
      </w:r>
    </w:p>
    <w:p w14:paraId="144E2E05" w14:textId="77777777" w:rsidR="00982DD9" w:rsidRPr="00982DD9" w:rsidRDefault="00982DD9" w:rsidP="00982DD9">
      <w:pPr>
        <w:jc w:val="center"/>
        <w:rPr>
          <w:rFonts w:ascii="Arial" w:hAnsi="Arial" w:cs="Arial"/>
          <w:b/>
          <w:color w:val="1D1B11"/>
          <w:sz w:val="24"/>
          <w:szCs w:val="24"/>
        </w:rPr>
      </w:pPr>
      <w:r w:rsidRPr="00982DD9">
        <w:rPr>
          <w:rFonts w:ascii="Arial" w:hAnsi="Arial" w:cs="Arial"/>
          <w:b/>
          <w:color w:val="1D1B11"/>
          <w:sz w:val="24"/>
          <w:szCs w:val="24"/>
        </w:rPr>
        <w:t>Magistrado</w:t>
      </w:r>
    </w:p>
    <w:p w14:paraId="1648405F" w14:textId="77777777" w:rsidR="00982DD9" w:rsidRPr="00982DD9" w:rsidRDefault="00982DD9" w:rsidP="00982DD9">
      <w:pPr>
        <w:jc w:val="center"/>
        <w:rPr>
          <w:rFonts w:ascii="Arial" w:hAnsi="Arial" w:cs="Arial"/>
          <w:b/>
          <w:color w:val="1D1B11"/>
          <w:sz w:val="24"/>
          <w:szCs w:val="24"/>
        </w:rPr>
      </w:pPr>
    </w:p>
    <w:p w14:paraId="6CDA4C15" w14:textId="77777777" w:rsidR="00982DD9" w:rsidRPr="00982DD9" w:rsidRDefault="00982DD9" w:rsidP="00982DD9">
      <w:pPr>
        <w:jc w:val="center"/>
        <w:rPr>
          <w:rFonts w:ascii="Arial" w:hAnsi="Arial" w:cs="Arial"/>
          <w:b/>
          <w:color w:val="1D1B11"/>
          <w:sz w:val="24"/>
          <w:szCs w:val="24"/>
        </w:rPr>
      </w:pPr>
    </w:p>
    <w:p w14:paraId="0DA5BE17" w14:textId="77777777" w:rsidR="00982DD9" w:rsidRPr="00982DD9" w:rsidRDefault="00982DD9" w:rsidP="00982DD9">
      <w:pPr>
        <w:jc w:val="center"/>
        <w:rPr>
          <w:rFonts w:ascii="Arial" w:hAnsi="Arial" w:cs="Arial"/>
          <w:b/>
          <w:color w:val="1D1B11"/>
          <w:sz w:val="24"/>
          <w:szCs w:val="24"/>
        </w:rPr>
      </w:pPr>
    </w:p>
    <w:p w14:paraId="2A7A2098" w14:textId="77777777" w:rsidR="00982DD9" w:rsidRPr="00982DD9" w:rsidRDefault="00982DD9" w:rsidP="00982DD9">
      <w:pPr>
        <w:jc w:val="center"/>
        <w:rPr>
          <w:rFonts w:ascii="Arial" w:hAnsi="Arial" w:cs="Arial"/>
          <w:b/>
          <w:color w:val="1D1B11"/>
          <w:sz w:val="24"/>
          <w:szCs w:val="24"/>
        </w:rPr>
      </w:pPr>
      <w:r w:rsidRPr="00982DD9">
        <w:rPr>
          <w:rFonts w:ascii="Arial" w:hAnsi="Arial" w:cs="Arial"/>
          <w:b/>
          <w:color w:val="1D1B11"/>
          <w:sz w:val="24"/>
          <w:szCs w:val="24"/>
        </w:rPr>
        <w:t>DANILO ROJAS BETANCOURTH</w:t>
      </w:r>
    </w:p>
    <w:p w14:paraId="2A412F74" w14:textId="77777777" w:rsidR="00B3794A" w:rsidRPr="00982DD9" w:rsidRDefault="00982DD9" w:rsidP="00982DD9">
      <w:pPr>
        <w:jc w:val="center"/>
        <w:rPr>
          <w:rFonts w:ascii="Arial" w:hAnsi="Arial" w:cs="Arial"/>
          <w:sz w:val="24"/>
          <w:szCs w:val="24"/>
        </w:rPr>
      </w:pPr>
      <w:r w:rsidRPr="00982DD9">
        <w:rPr>
          <w:rFonts w:ascii="Arial" w:hAnsi="Arial" w:cs="Arial"/>
          <w:b/>
          <w:color w:val="1D1B11"/>
          <w:sz w:val="24"/>
          <w:szCs w:val="24"/>
        </w:rPr>
        <w:t>Magistrado</w:t>
      </w:r>
    </w:p>
    <w:sectPr w:rsidR="00B3794A" w:rsidRPr="00982DD9" w:rsidSect="00982DD9">
      <w:pgSz w:w="12242" w:h="18722" w:code="120"/>
      <w:pgMar w:top="1701" w:right="1701" w:bottom="1701" w:left="1701"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EC8E0" w14:textId="77777777" w:rsidR="008F4471" w:rsidRDefault="008F4471" w:rsidP="001C5AB5">
      <w:r>
        <w:separator/>
      </w:r>
    </w:p>
  </w:endnote>
  <w:endnote w:type="continuationSeparator" w:id="0">
    <w:p w14:paraId="7B7A67DB" w14:textId="77777777" w:rsidR="008F4471" w:rsidRDefault="008F4471" w:rsidP="001C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62C84" w14:textId="77777777" w:rsidR="008F4471" w:rsidRDefault="008F4471" w:rsidP="001C5AB5">
      <w:r>
        <w:separator/>
      </w:r>
    </w:p>
  </w:footnote>
  <w:footnote w:type="continuationSeparator" w:id="0">
    <w:p w14:paraId="7096993E" w14:textId="77777777" w:rsidR="008F4471" w:rsidRDefault="008F4471" w:rsidP="001C5AB5">
      <w:r>
        <w:continuationSeparator/>
      </w:r>
    </w:p>
  </w:footnote>
  <w:footnote w:id="1">
    <w:p w14:paraId="068BE2B2" w14:textId="77777777" w:rsidR="009F0986" w:rsidRPr="00982DD9" w:rsidRDefault="009F0986" w:rsidP="00982DD9">
      <w:pPr>
        <w:pStyle w:val="Textonotapie"/>
        <w:spacing w:after="0"/>
        <w:jc w:val="both"/>
        <w:rPr>
          <w:rFonts w:ascii="Arial" w:hAnsi="Arial" w:cs="Arial"/>
        </w:rPr>
      </w:pPr>
      <w:r w:rsidRPr="00982DD9">
        <w:rPr>
          <w:rStyle w:val="Refdenotaalpie"/>
          <w:rFonts w:ascii="Arial" w:hAnsi="Arial" w:cs="Arial"/>
        </w:rPr>
        <w:footnoteRef/>
      </w:r>
      <w:r w:rsidRPr="00982DD9">
        <w:rPr>
          <w:rFonts w:ascii="Arial" w:hAnsi="Arial" w:cs="Arial"/>
        </w:rPr>
        <w:t xml:space="preserve"> Narración de los hechos visible a folios 2 a 13 del cuaderno 1.</w:t>
      </w:r>
    </w:p>
  </w:footnote>
  <w:footnote w:id="2">
    <w:p w14:paraId="3F8484A1" w14:textId="77777777" w:rsidR="009F0986" w:rsidRPr="00982DD9" w:rsidRDefault="009F0986" w:rsidP="00982DD9">
      <w:pPr>
        <w:pStyle w:val="Textonotapie"/>
        <w:spacing w:after="0"/>
        <w:jc w:val="both"/>
        <w:rPr>
          <w:rFonts w:ascii="Arial" w:hAnsi="Arial" w:cs="Arial"/>
        </w:rPr>
      </w:pPr>
      <w:r w:rsidRPr="00982DD9">
        <w:rPr>
          <w:rStyle w:val="Refdenotaalpie"/>
          <w:rFonts w:ascii="Arial" w:hAnsi="Arial" w:cs="Arial"/>
        </w:rPr>
        <w:footnoteRef/>
      </w:r>
      <w:r w:rsidRPr="00982DD9">
        <w:rPr>
          <w:rFonts w:ascii="Arial" w:hAnsi="Arial" w:cs="Arial"/>
        </w:rPr>
        <w:t xml:space="preserve"> Visible a folio 56 del cuaderno 8</w:t>
      </w:r>
    </w:p>
  </w:footnote>
  <w:footnote w:id="3">
    <w:p w14:paraId="59E0F6A5" w14:textId="77777777" w:rsidR="009F0986" w:rsidRPr="00982DD9" w:rsidRDefault="009F0986" w:rsidP="00982DD9">
      <w:pPr>
        <w:pStyle w:val="Textonotapie"/>
        <w:spacing w:after="0"/>
        <w:jc w:val="both"/>
        <w:rPr>
          <w:rFonts w:ascii="Arial" w:hAnsi="Arial" w:cs="Arial"/>
        </w:rPr>
      </w:pPr>
      <w:r w:rsidRPr="00982DD9">
        <w:rPr>
          <w:rStyle w:val="Refdenotaalpie"/>
          <w:rFonts w:ascii="Arial" w:hAnsi="Arial" w:cs="Arial"/>
        </w:rPr>
        <w:footnoteRef/>
      </w:r>
      <w:r w:rsidRPr="00982DD9">
        <w:rPr>
          <w:rFonts w:ascii="Arial" w:hAnsi="Arial" w:cs="Arial"/>
        </w:rPr>
        <w:t xml:space="preserve"> Visible a folio 58 del cuaderno 8</w:t>
      </w:r>
    </w:p>
  </w:footnote>
  <w:footnote w:id="4">
    <w:p w14:paraId="2662EFD6" w14:textId="77777777" w:rsidR="009F0986" w:rsidRPr="00982DD9" w:rsidRDefault="009F0986" w:rsidP="00982DD9">
      <w:pPr>
        <w:pStyle w:val="Textonotapie"/>
        <w:spacing w:after="0"/>
        <w:jc w:val="both"/>
        <w:rPr>
          <w:rFonts w:ascii="Arial" w:hAnsi="Arial" w:cs="Arial"/>
        </w:rPr>
      </w:pPr>
      <w:r w:rsidRPr="00982DD9">
        <w:rPr>
          <w:rStyle w:val="Refdenotaalpie"/>
          <w:rFonts w:ascii="Arial" w:hAnsi="Arial" w:cs="Arial"/>
        </w:rPr>
        <w:footnoteRef/>
      </w:r>
      <w:r w:rsidRPr="00982DD9">
        <w:rPr>
          <w:rFonts w:ascii="Arial" w:hAnsi="Arial" w:cs="Arial"/>
        </w:rPr>
        <w:t xml:space="preserve"> Folio 30 del cuaderno 7</w:t>
      </w:r>
    </w:p>
  </w:footnote>
  <w:footnote w:id="5">
    <w:p w14:paraId="3C979AB1" w14:textId="77777777" w:rsidR="009F0986" w:rsidRPr="00982DD9" w:rsidRDefault="009F0986" w:rsidP="00982DD9">
      <w:pPr>
        <w:pStyle w:val="Textonotapie"/>
        <w:spacing w:after="0"/>
        <w:jc w:val="both"/>
        <w:rPr>
          <w:rFonts w:ascii="Arial" w:hAnsi="Arial" w:cs="Arial"/>
        </w:rPr>
      </w:pPr>
      <w:r w:rsidRPr="00982DD9">
        <w:rPr>
          <w:rStyle w:val="Refdenotaalpie"/>
          <w:rFonts w:ascii="Arial" w:hAnsi="Arial" w:cs="Arial"/>
        </w:rPr>
        <w:footnoteRef/>
      </w:r>
      <w:r w:rsidRPr="00982DD9">
        <w:rPr>
          <w:rFonts w:ascii="Arial" w:hAnsi="Arial" w:cs="Arial"/>
        </w:rPr>
        <w:t xml:space="preserve"> Folio 39 del cuaderno 7</w:t>
      </w:r>
    </w:p>
  </w:footnote>
  <w:footnote w:id="6">
    <w:p w14:paraId="1F1649C0" w14:textId="77777777" w:rsidR="009F0986" w:rsidRPr="00982DD9" w:rsidRDefault="009F0986" w:rsidP="00982DD9">
      <w:pPr>
        <w:pStyle w:val="Textonotapie"/>
        <w:spacing w:after="0"/>
        <w:jc w:val="both"/>
        <w:rPr>
          <w:rFonts w:ascii="Arial" w:hAnsi="Arial" w:cs="Arial"/>
        </w:rPr>
      </w:pPr>
      <w:r w:rsidRPr="00982DD9">
        <w:rPr>
          <w:rStyle w:val="Refdenotaalpie"/>
          <w:rFonts w:ascii="Arial" w:hAnsi="Arial" w:cs="Arial"/>
        </w:rPr>
        <w:footnoteRef/>
      </w:r>
      <w:r w:rsidRPr="00982DD9">
        <w:rPr>
          <w:rFonts w:ascii="Arial" w:hAnsi="Arial" w:cs="Arial"/>
        </w:rPr>
        <w:t xml:space="preserve"> Folio 40 del cuaderno 7</w:t>
      </w:r>
    </w:p>
  </w:footnote>
  <w:footnote w:id="7">
    <w:p w14:paraId="35180F3C" w14:textId="77777777" w:rsidR="009F0986" w:rsidRPr="00982DD9" w:rsidRDefault="009F0986" w:rsidP="00982DD9">
      <w:pPr>
        <w:pStyle w:val="Textonotapie"/>
        <w:spacing w:after="0"/>
        <w:jc w:val="both"/>
        <w:rPr>
          <w:rFonts w:ascii="Arial" w:hAnsi="Arial" w:cs="Arial"/>
        </w:rPr>
      </w:pPr>
      <w:r w:rsidRPr="00982DD9">
        <w:rPr>
          <w:rStyle w:val="Refdenotaalpie"/>
          <w:rFonts w:ascii="Arial" w:hAnsi="Arial" w:cs="Arial"/>
        </w:rPr>
        <w:footnoteRef/>
      </w:r>
      <w:r w:rsidRPr="00982DD9">
        <w:rPr>
          <w:rFonts w:ascii="Arial" w:hAnsi="Arial" w:cs="Arial"/>
        </w:rPr>
        <w:t xml:space="preserve"> Folio 42 del cuaderno 7</w:t>
      </w:r>
    </w:p>
  </w:footnote>
  <w:footnote w:id="8">
    <w:p w14:paraId="770D4B62" w14:textId="77777777" w:rsidR="009F0986" w:rsidRPr="00982DD9" w:rsidRDefault="009F0986" w:rsidP="00982DD9">
      <w:pPr>
        <w:pStyle w:val="Textonotapie"/>
        <w:spacing w:after="0"/>
        <w:jc w:val="both"/>
        <w:rPr>
          <w:rFonts w:ascii="Arial" w:hAnsi="Arial" w:cs="Arial"/>
        </w:rPr>
      </w:pPr>
      <w:r w:rsidRPr="00982DD9">
        <w:rPr>
          <w:rStyle w:val="Refdenotaalpie"/>
          <w:rFonts w:ascii="Arial" w:hAnsi="Arial" w:cs="Arial"/>
        </w:rPr>
        <w:footnoteRef/>
      </w:r>
      <w:r w:rsidRPr="00982DD9">
        <w:rPr>
          <w:rFonts w:ascii="Arial" w:hAnsi="Arial" w:cs="Arial"/>
        </w:rPr>
        <w:t xml:space="preserve"> Narración de los hechos a folios 3 al 29 del cuaderno 2.</w:t>
      </w:r>
    </w:p>
  </w:footnote>
  <w:footnote w:id="9">
    <w:p w14:paraId="5411DF98" w14:textId="77777777" w:rsidR="009F0986" w:rsidRPr="00982DD9" w:rsidRDefault="009F0986" w:rsidP="00982DD9">
      <w:pPr>
        <w:pStyle w:val="Textonotapie"/>
        <w:spacing w:after="0"/>
        <w:jc w:val="both"/>
        <w:rPr>
          <w:rFonts w:ascii="Arial" w:hAnsi="Arial" w:cs="Arial"/>
        </w:rPr>
      </w:pPr>
      <w:r w:rsidRPr="00982DD9">
        <w:rPr>
          <w:rStyle w:val="Refdenotaalpie"/>
          <w:rFonts w:ascii="Arial" w:hAnsi="Arial" w:cs="Arial"/>
        </w:rPr>
        <w:footnoteRef/>
      </w:r>
      <w:r w:rsidRPr="00982DD9">
        <w:rPr>
          <w:rFonts w:ascii="Arial" w:hAnsi="Arial" w:cs="Arial"/>
        </w:rPr>
        <w:t xml:space="preserve"> La providencia fue adicionada mediante auto de 16 de febrero de 2015 y corregida mediante auto de 4 de mayo de la misma anualidad en lo relativo a los nombres de las demandadas en reconvención.</w:t>
      </w:r>
    </w:p>
  </w:footnote>
  <w:footnote w:id="10">
    <w:p w14:paraId="4CBBA0C3" w14:textId="77777777" w:rsidR="009F0986" w:rsidRPr="00982DD9" w:rsidRDefault="009F0986" w:rsidP="00982DD9">
      <w:pPr>
        <w:pStyle w:val="Textonotapie"/>
        <w:spacing w:after="0"/>
        <w:jc w:val="both"/>
        <w:rPr>
          <w:rFonts w:ascii="Arial" w:hAnsi="Arial" w:cs="Arial"/>
        </w:rPr>
      </w:pPr>
      <w:r w:rsidRPr="00982DD9">
        <w:rPr>
          <w:rStyle w:val="Refdenotaalpie"/>
          <w:rFonts w:ascii="Arial" w:hAnsi="Arial" w:cs="Arial"/>
        </w:rPr>
        <w:footnoteRef/>
      </w:r>
      <w:r w:rsidRPr="00982DD9">
        <w:rPr>
          <w:rFonts w:ascii="Arial" w:hAnsi="Arial" w:cs="Arial"/>
        </w:rPr>
        <w:t xml:space="preserve"> Folios 293 a 308 del cuaderno 1</w:t>
      </w:r>
    </w:p>
  </w:footnote>
  <w:footnote w:id="11">
    <w:p w14:paraId="55132ACF" w14:textId="77777777" w:rsidR="009F0986" w:rsidRPr="00982DD9" w:rsidRDefault="009F0986" w:rsidP="00982DD9">
      <w:pPr>
        <w:pStyle w:val="Textonotapie"/>
        <w:spacing w:after="0"/>
        <w:jc w:val="both"/>
        <w:rPr>
          <w:rFonts w:ascii="Arial" w:hAnsi="Arial" w:cs="Arial"/>
        </w:rPr>
      </w:pPr>
      <w:r w:rsidRPr="00982DD9">
        <w:rPr>
          <w:rStyle w:val="Refdenotaalpie"/>
          <w:rFonts w:ascii="Arial" w:hAnsi="Arial" w:cs="Arial"/>
        </w:rPr>
        <w:footnoteRef/>
      </w:r>
      <w:r w:rsidRPr="00982DD9">
        <w:rPr>
          <w:rFonts w:ascii="Arial" w:hAnsi="Arial" w:cs="Arial"/>
        </w:rPr>
        <w:t xml:space="preserve"> Folios 83 a 112 del cuaderno 10</w:t>
      </w:r>
    </w:p>
  </w:footnote>
  <w:footnote w:id="12">
    <w:p w14:paraId="5B5E3C76" w14:textId="77777777" w:rsidR="009F0986" w:rsidRPr="00982DD9" w:rsidRDefault="009F0986" w:rsidP="00982DD9">
      <w:pPr>
        <w:pStyle w:val="Textonotapie"/>
        <w:spacing w:after="0"/>
        <w:jc w:val="both"/>
        <w:rPr>
          <w:rFonts w:ascii="Arial" w:hAnsi="Arial" w:cs="Arial"/>
        </w:rPr>
      </w:pPr>
      <w:r w:rsidRPr="00982DD9">
        <w:rPr>
          <w:rStyle w:val="Refdenotaalpie"/>
          <w:rFonts w:ascii="Arial" w:hAnsi="Arial" w:cs="Arial"/>
        </w:rPr>
        <w:footnoteRef/>
      </w:r>
      <w:r w:rsidRPr="00982DD9">
        <w:rPr>
          <w:rFonts w:ascii="Arial" w:hAnsi="Arial" w:cs="Arial"/>
        </w:rPr>
        <w:t xml:space="preserve"> Folios 407 a 409 del cuaderno principal.</w:t>
      </w:r>
    </w:p>
  </w:footnote>
  <w:footnote w:id="13">
    <w:p w14:paraId="49425EF9" w14:textId="77777777" w:rsidR="009F0986" w:rsidRPr="00982DD9" w:rsidRDefault="009F0986" w:rsidP="00982DD9">
      <w:pPr>
        <w:pStyle w:val="Textonotapie"/>
        <w:jc w:val="both"/>
        <w:rPr>
          <w:rFonts w:ascii="Arial" w:hAnsi="Arial" w:cs="Arial"/>
        </w:rPr>
      </w:pPr>
      <w:r w:rsidRPr="00982DD9">
        <w:rPr>
          <w:rStyle w:val="Refdenotaalpie"/>
          <w:rFonts w:ascii="Arial" w:hAnsi="Arial" w:cs="Arial"/>
        </w:rPr>
        <w:footnoteRef/>
      </w:r>
      <w:r w:rsidRPr="00982DD9">
        <w:rPr>
          <w:rFonts w:ascii="Arial" w:hAnsi="Arial" w:cs="Arial"/>
        </w:rPr>
        <w:t xml:space="preserve"> Minuto 21:15 de la grabación magnetofónica de la audiencia inicial llevada a cabo el 10 de marzo de 2016.</w:t>
      </w:r>
    </w:p>
  </w:footnote>
  <w:footnote w:id="14">
    <w:p w14:paraId="124243B6" w14:textId="77777777" w:rsidR="009F0986" w:rsidRPr="00982DD9" w:rsidRDefault="009F0986" w:rsidP="00982DD9">
      <w:pPr>
        <w:pStyle w:val="Textonotapie"/>
        <w:spacing w:after="0" w:line="240" w:lineRule="auto"/>
        <w:jc w:val="both"/>
        <w:rPr>
          <w:rStyle w:val="Refdenotaalpie"/>
          <w:rFonts w:ascii="Arial" w:eastAsia="Times New Roman" w:hAnsi="Arial" w:cs="Arial"/>
          <w:lang w:eastAsia="es-CO"/>
        </w:rPr>
      </w:pPr>
      <w:r w:rsidRPr="00982DD9">
        <w:rPr>
          <w:rStyle w:val="Refdenotaalpie"/>
          <w:rFonts w:ascii="Arial" w:hAnsi="Arial" w:cs="Arial"/>
        </w:rPr>
        <w:footnoteRef/>
      </w:r>
      <w:r w:rsidRPr="00982DD9">
        <w:rPr>
          <w:rFonts w:ascii="Arial" w:hAnsi="Arial" w:cs="Arial"/>
        </w:rPr>
        <w:t xml:space="preserve"> En el asunto de la referencia la mayor de las pretensiones equivale a la suma de $443’400.000,oo por daño emergente, es decir que excede los 500 </w:t>
      </w:r>
      <w:proofErr w:type="spellStart"/>
      <w:r w:rsidRPr="00982DD9">
        <w:rPr>
          <w:rFonts w:ascii="Arial" w:hAnsi="Arial" w:cs="Arial"/>
        </w:rPr>
        <w:t>s.m.l.m.v</w:t>
      </w:r>
      <w:proofErr w:type="spellEnd"/>
      <w:r w:rsidRPr="00982DD9">
        <w:rPr>
          <w:rFonts w:ascii="Arial" w:hAnsi="Arial" w:cs="Arial"/>
        </w:rPr>
        <w:t>.</w:t>
      </w:r>
      <w:r w:rsidRPr="00982DD9">
        <w:rPr>
          <w:rStyle w:val="Refdenotaalpie"/>
          <w:rFonts w:ascii="Arial" w:eastAsia="Times New Roman" w:hAnsi="Arial" w:cs="Arial"/>
          <w:lang w:eastAsia="es-CO"/>
        </w:rPr>
        <w:t xml:space="preserve">  </w:t>
      </w:r>
    </w:p>
  </w:footnote>
  <w:footnote w:id="15">
    <w:p w14:paraId="132C5B03" w14:textId="77777777" w:rsidR="009F0986" w:rsidRPr="00982DD9" w:rsidRDefault="009F0986" w:rsidP="00982DD9">
      <w:pPr>
        <w:pStyle w:val="Textonotapie"/>
        <w:jc w:val="both"/>
        <w:rPr>
          <w:rFonts w:ascii="Arial" w:hAnsi="Arial" w:cs="Arial"/>
        </w:rPr>
      </w:pPr>
      <w:r w:rsidRPr="00982DD9">
        <w:rPr>
          <w:rStyle w:val="Refdenotaalpie"/>
          <w:rFonts w:ascii="Arial" w:hAnsi="Arial" w:cs="Arial"/>
        </w:rPr>
        <w:footnoteRef/>
      </w:r>
      <w:r w:rsidRPr="00982DD9">
        <w:rPr>
          <w:rFonts w:ascii="Arial" w:hAnsi="Arial" w:cs="Arial"/>
        </w:rPr>
        <w:t xml:space="preserve"> Artículo 3º, Ley 1563 de 2012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06C"/>
    <w:multiLevelType w:val="hybridMultilevel"/>
    <w:tmpl w:val="0EBA30E8"/>
    <w:lvl w:ilvl="0" w:tplc="240A0011">
      <w:start w:val="1"/>
      <w:numFmt w:val="decimal"/>
      <w:lvlText w:val="%1)"/>
      <w:lvlJc w:val="left"/>
      <w:pPr>
        <w:tabs>
          <w:tab w:val="num" w:pos="207"/>
        </w:tabs>
        <w:ind w:left="360" w:hanging="360"/>
      </w:pPr>
      <w:rPr>
        <w:rFonts w:hint="default"/>
      </w:rPr>
    </w:lvl>
    <w:lvl w:ilvl="1" w:tplc="422E5BF8">
      <w:start w:val="1"/>
      <w:numFmt w:val="lowerRoman"/>
      <w:lvlText w:val="%2)"/>
      <w:lvlJc w:val="left"/>
      <w:pPr>
        <w:ind w:left="720" w:hanging="720"/>
      </w:pPr>
      <w:rPr>
        <w:rFonts w:hint="default"/>
      </w:rPr>
    </w:lvl>
    <w:lvl w:ilvl="2" w:tplc="A2B4771E">
      <w:start w:val="1"/>
      <w:numFmt w:val="decimal"/>
      <w:lvlText w:val="%3."/>
      <w:lvlJc w:val="left"/>
      <w:pPr>
        <w:ind w:left="785" w:hanging="360"/>
      </w:pPr>
      <w:rPr>
        <w:rFonts w:hint="default"/>
        <w:b/>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67AA3AB2"/>
    <w:multiLevelType w:val="hybridMultilevel"/>
    <w:tmpl w:val="A68A8AB4"/>
    <w:lvl w:ilvl="0" w:tplc="9E104C66">
      <w:start w:val="1"/>
      <w:numFmt w:val="lowerRoman"/>
      <w:lvlText w:val="%1)"/>
      <w:lvlJc w:val="left"/>
      <w:pPr>
        <w:ind w:left="862" w:hanging="720"/>
      </w:pPr>
      <w:rPr>
        <w:rFonts w:hint="default"/>
      </w:rPr>
    </w:lvl>
    <w:lvl w:ilvl="1" w:tplc="968CFCB4">
      <w:start w:val="1"/>
      <w:numFmt w:val="lowerRoman"/>
      <w:lvlText w:val="%2)"/>
      <w:lvlJc w:val="left"/>
      <w:pPr>
        <w:ind w:left="720" w:hanging="720"/>
      </w:pPr>
      <w:rPr>
        <w:rFonts w:hint="default"/>
      </w:r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71EC48BF"/>
    <w:multiLevelType w:val="hybridMultilevel"/>
    <w:tmpl w:val="14AA259A"/>
    <w:lvl w:ilvl="0" w:tplc="BEBE1CE0">
      <w:start w:val="1"/>
      <w:numFmt w:val="decimal"/>
      <w:lvlText w:val="%1."/>
      <w:lvlJc w:val="left"/>
      <w:pPr>
        <w:ind w:left="1077" w:hanging="360"/>
      </w:pPr>
      <w:rPr>
        <w:b/>
      </w:rPr>
    </w:lvl>
    <w:lvl w:ilvl="1" w:tplc="240A0019" w:tentative="1">
      <w:start w:val="1"/>
      <w:numFmt w:val="lowerLetter"/>
      <w:lvlText w:val="%2."/>
      <w:lvlJc w:val="left"/>
      <w:pPr>
        <w:ind w:left="1797" w:hanging="360"/>
      </w:pPr>
    </w:lvl>
    <w:lvl w:ilvl="2" w:tplc="240A001B" w:tentative="1">
      <w:start w:val="1"/>
      <w:numFmt w:val="lowerRoman"/>
      <w:lvlText w:val="%3."/>
      <w:lvlJc w:val="right"/>
      <w:pPr>
        <w:ind w:left="2517" w:hanging="180"/>
      </w:pPr>
    </w:lvl>
    <w:lvl w:ilvl="3" w:tplc="240A000F" w:tentative="1">
      <w:start w:val="1"/>
      <w:numFmt w:val="decimal"/>
      <w:lvlText w:val="%4."/>
      <w:lvlJc w:val="left"/>
      <w:pPr>
        <w:ind w:left="3237" w:hanging="360"/>
      </w:pPr>
    </w:lvl>
    <w:lvl w:ilvl="4" w:tplc="240A0019" w:tentative="1">
      <w:start w:val="1"/>
      <w:numFmt w:val="lowerLetter"/>
      <w:lvlText w:val="%5."/>
      <w:lvlJc w:val="left"/>
      <w:pPr>
        <w:ind w:left="3957" w:hanging="360"/>
      </w:pPr>
    </w:lvl>
    <w:lvl w:ilvl="5" w:tplc="240A001B" w:tentative="1">
      <w:start w:val="1"/>
      <w:numFmt w:val="lowerRoman"/>
      <w:lvlText w:val="%6."/>
      <w:lvlJc w:val="right"/>
      <w:pPr>
        <w:ind w:left="4677" w:hanging="180"/>
      </w:pPr>
    </w:lvl>
    <w:lvl w:ilvl="6" w:tplc="240A000F" w:tentative="1">
      <w:start w:val="1"/>
      <w:numFmt w:val="decimal"/>
      <w:lvlText w:val="%7."/>
      <w:lvlJc w:val="left"/>
      <w:pPr>
        <w:ind w:left="5397" w:hanging="360"/>
      </w:pPr>
    </w:lvl>
    <w:lvl w:ilvl="7" w:tplc="240A0019" w:tentative="1">
      <w:start w:val="1"/>
      <w:numFmt w:val="lowerLetter"/>
      <w:lvlText w:val="%8."/>
      <w:lvlJc w:val="left"/>
      <w:pPr>
        <w:ind w:left="6117" w:hanging="360"/>
      </w:pPr>
    </w:lvl>
    <w:lvl w:ilvl="8" w:tplc="240A001B" w:tentative="1">
      <w:start w:val="1"/>
      <w:numFmt w:val="lowerRoman"/>
      <w:lvlText w:val="%9."/>
      <w:lvlJc w:val="right"/>
      <w:pPr>
        <w:ind w:left="683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87"/>
    <w:rsid w:val="00052548"/>
    <w:rsid w:val="000A66E0"/>
    <w:rsid w:val="000B6346"/>
    <w:rsid w:val="00124CEA"/>
    <w:rsid w:val="00134BDB"/>
    <w:rsid w:val="00166EED"/>
    <w:rsid w:val="00184487"/>
    <w:rsid w:val="001C5AB5"/>
    <w:rsid w:val="001E66C3"/>
    <w:rsid w:val="002F5BB3"/>
    <w:rsid w:val="003D0E5C"/>
    <w:rsid w:val="00413E33"/>
    <w:rsid w:val="00494D41"/>
    <w:rsid w:val="004A759B"/>
    <w:rsid w:val="004E7EBA"/>
    <w:rsid w:val="004F337B"/>
    <w:rsid w:val="005B34A1"/>
    <w:rsid w:val="005C3725"/>
    <w:rsid w:val="006455DE"/>
    <w:rsid w:val="00654C9D"/>
    <w:rsid w:val="006852BF"/>
    <w:rsid w:val="006A21FE"/>
    <w:rsid w:val="006C0D6F"/>
    <w:rsid w:val="00807F08"/>
    <w:rsid w:val="00833FFD"/>
    <w:rsid w:val="00864001"/>
    <w:rsid w:val="008F4471"/>
    <w:rsid w:val="00982DD9"/>
    <w:rsid w:val="009F0986"/>
    <w:rsid w:val="009F3709"/>
    <w:rsid w:val="00A27B69"/>
    <w:rsid w:val="00AE3677"/>
    <w:rsid w:val="00AF5D49"/>
    <w:rsid w:val="00B331BE"/>
    <w:rsid w:val="00B3794A"/>
    <w:rsid w:val="00B83EB8"/>
    <w:rsid w:val="00C11472"/>
    <w:rsid w:val="00C3644E"/>
    <w:rsid w:val="00C41CA8"/>
    <w:rsid w:val="00CA1436"/>
    <w:rsid w:val="00D808E4"/>
    <w:rsid w:val="00DA373C"/>
    <w:rsid w:val="00EE6C4C"/>
    <w:rsid w:val="00F43E3C"/>
    <w:rsid w:val="00FE68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1AC1"/>
  <w15:chartTrackingRefBased/>
  <w15:docId w15:val="{1E4F332D-A787-4E1D-AD28-18DE0DE1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eastAsia="en-US"/>
    </w:rPr>
  </w:style>
  <w:style w:type="paragraph" w:styleId="Ttulo8">
    <w:name w:val="heading 8"/>
    <w:basedOn w:val="Normal"/>
    <w:next w:val="Normal"/>
    <w:link w:val="Ttulo8Car"/>
    <w:uiPriority w:val="99"/>
    <w:unhideWhenUsed/>
    <w:qFormat/>
    <w:rsid w:val="001C5AB5"/>
    <w:pPr>
      <w:keepNext/>
      <w:spacing w:line="360" w:lineRule="auto"/>
      <w:ind w:firstLine="708"/>
      <w:jc w:val="center"/>
      <w:outlineLvl w:val="7"/>
    </w:pPr>
    <w:rPr>
      <w:rFonts w:ascii="Century Gothic" w:eastAsia="Times New Roman" w:hAnsi="Century Gothic"/>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link w:val="Ttulo8"/>
    <w:uiPriority w:val="99"/>
    <w:rsid w:val="001C5AB5"/>
    <w:rPr>
      <w:rFonts w:ascii="Century Gothic" w:eastAsia="Times New Roman" w:hAnsi="Century Gothic"/>
      <w:b/>
      <w:bCs/>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link w:val="Textonotapie"/>
    <w:semiHidden/>
    <w:locked/>
    <w:rsid w:val="001C5AB5"/>
    <w:rPr>
      <w:lang w:eastAsia="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ie"/>
    <w:basedOn w:val="Normal"/>
    <w:link w:val="TextonotapieCar"/>
    <w:semiHidden/>
    <w:unhideWhenUsed/>
    <w:rsid w:val="001C5AB5"/>
    <w:pPr>
      <w:spacing w:after="200" w:line="276" w:lineRule="auto"/>
    </w:pPr>
    <w:rPr>
      <w:sz w:val="20"/>
      <w:szCs w:val="20"/>
      <w:lang w:eastAsia="x-none"/>
    </w:rPr>
  </w:style>
  <w:style w:type="character" w:customStyle="1" w:styleId="TextonotapieCar1">
    <w:name w:val="Texto nota pie Car1"/>
    <w:uiPriority w:val="99"/>
    <w:semiHidden/>
    <w:rsid w:val="001C5AB5"/>
    <w:rPr>
      <w:lang w:eastAsia="en-US"/>
    </w:rPr>
  </w:style>
  <w:style w:type="paragraph" w:styleId="Encabezado">
    <w:name w:val="header"/>
    <w:basedOn w:val="Normal"/>
    <w:link w:val="EncabezadoCar"/>
    <w:uiPriority w:val="99"/>
    <w:unhideWhenUsed/>
    <w:rsid w:val="001C5AB5"/>
    <w:pPr>
      <w:tabs>
        <w:tab w:val="center" w:pos="4252"/>
        <w:tab w:val="right" w:pos="8504"/>
      </w:tabs>
      <w:overflowPunct w:val="0"/>
      <w:autoSpaceDE w:val="0"/>
      <w:autoSpaceDN w:val="0"/>
      <w:adjustRightInd w:val="0"/>
    </w:pPr>
    <w:rPr>
      <w:rFonts w:ascii="Arial" w:eastAsia="Times New Roman" w:hAnsi="Arial"/>
      <w:sz w:val="20"/>
      <w:szCs w:val="20"/>
      <w:lang w:val="es-ES_tradnl" w:eastAsia="es-ES"/>
    </w:rPr>
  </w:style>
  <w:style w:type="character" w:customStyle="1" w:styleId="EncabezadoCar">
    <w:name w:val="Encabezado Car"/>
    <w:link w:val="Encabezado"/>
    <w:uiPriority w:val="99"/>
    <w:rsid w:val="001C5AB5"/>
    <w:rPr>
      <w:rFonts w:ascii="Arial" w:eastAsia="Times New Roman" w:hAnsi="Arial"/>
      <w:lang w:val="es-ES_tradnl" w:eastAsia="es-ES"/>
    </w:rPr>
  </w:style>
  <w:style w:type="paragraph" w:customStyle="1" w:styleId="Ttulo1">
    <w:name w:val="Título1"/>
    <w:basedOn w:val="Normal"/>
    <w:link w:val="TtuloCar"/>
    <w:uiPriority w:val="99"/>
    <w:qFormat/>
    <w:rsid w:val="001C5AB5"/>
    <w:pPr>
      <w:overflowPunct w:val="0"/>
      <w:autoSpaceDE w:val="0"/>
      <w:autoSpaceDN w:val="0"/>
      <w:adjustRightInd w:val="0"/>
      <w:spacing w:line="480" w:lineRule="auto"/>
      <w:jc w:val="center"/>
    </w:pPr>
    <w:rPr>
      <w:rFonts w:ascii="Century Gothic" w:eastAsia="Times New Roman" w:hAnsi="Century Gothic"/>
      <w:b/>
      <w:sz w:val="24"/>
      <w:szCs w:val="20"/>
      <w:lang w:val="es-ES_tradnl" w:eastAsia="es-ES"/>
    </w:rPr>
  </w:style>
  <w:style w:type="character" w:customStyle="1" w:styleId="TtuloCar">
    <w:name w:val="Título Car"/>
    <w:link w:val="Ttulo1"/>
    <w:uiPriority w:val="99"/>
    <w:rsid w:val="001C5AB5"/>
    <w:rPr>
      <w:rFonts w:ascii="Century Gothic" w:eastAsia="Times New Roman" w:hAnsi="Century Gothic"/>
      <w:b/>
      <w:sz w:val="24"/>
      <w:lang w:val="es-ES_tradnl" w:eastAsia="es-ES"/>
    </w:rPr>
  </w:style>
  <w:style w:type="paragraph" w:styleId="Sinespaciado">
    <w:name w:val="No Spacing"/>
    <w:uiPriority w:val="1"/>
    <w:qFormat/>
    <w:rsid w:val="001C5AB5"/>
    <w:rPr>
      <w:sz w:val="22"/>
      <w:szCs w:val="22"/>
      <w:lang w:val="es-CO" w:eastAsia="en-US"/>
    </w:rPr>
  </w:style>
  <w:style w:type="paragraph" w:styleId="Prrafodelista">
    <w:name w:val="List Paragraph"/>
    <w:basedOn w:val="Normal"/>
    <w:uiPriority w:val="34"/>
    <w:qFormat/>
    <w:rsid w:val="001C5AB5"/>
    <w:pPr>
      <w:spacing w:after="200" w:line="276" w:lineRule="auto"/>
      <w:ind w:left="720"/>
      <w:contextualSpacing/>
    </w:pPr>
  </w:style>
  <w:style w:type="character" w:customStyle="1" w:styleId="BodyText21Car">
    <w:name w:val="Body Text 21 Car"/>
    <w:link w:val="BodyText21"/>
    <w:semiHidden/>
    <w:locked/>
    <w:rsid w:val="001C5AB5"/>
    <w:rPr>
      <w:rFonts w:ascii="Arial" w:eastAsia="Times New Roman" w:hAnsi="Arial" w:cs="Arial"/>
      <w:sz w:val="24"/>
      <w:lang w:val="es-ES_tradnl" w:eastAsia="es-ES"/>
    </w:rPr>
  </w:style>
  <w:style w:type="paragraph" w:customStyle="1" w:styleId="BodyText21">
    <w:name w:val="Body Text 21"/>
    <w:basedOn w:val="Normal"/>
    <w:link w:val="BodyText21Car"/>
    <w:semiHidden/>
    <w:rsid w:val="001C5AB5"/>
    <w:pPr>
      <w:overflowPunct w:val="0"/>
      <w:autoSpaceDE w:val="0"/>
      <w:autoSpaceDN w:val="0"/>
      <w:adjustRightInd w:val="0"/>
      <w:spacing w:line="480" w:lineRule="auto"/>
      <w:jc w:val="both"/>
    </w:pPr>
    <w:rPr>
      <w:rFonts w:ascii="Arial" w:eastAsia="Times New Roman" w:hAnsi="Arial" w:cs="Arial"/>
      <w:sz w:val="24"/>
      <w:szCs w:val="20"/>
      <w:lang w:val="es-ES_tradnl" w:eastAsia="es-ES"/>
    </w:rPr>
  </w:style>
  <w:style w:type="character" w:styleId="Refdenotaalpie">
    <w:name w:val="footnote reference"/>
    <w:aliases w:val="Ref. de nota al pie 2,Texto de nota al pie,Pie de Página,FC,Texto de nota al pi,Ref,de nota al pie,Appel note de bas de p,Appel note de bas de page,Footnotes refss,Footnote number,referencia nota al pie,BVI fnr,f,4_G,16 Point"/>
    <w:semiHidden/>
    <w:unhideWhenUsed/>
    <w:rsid w:val="001C5AB5"/>
    <w:rPr>
      <w:vertAlign w:val="superscript"/>
    </w:rPr>
  </w:style>
  <w:style w:type="table" w:styleId="Tablaconcuadrcula">
    <w:name w:val="Table Grid"/>
    <w:basedOn w:val="Tablanormal"/>
    <w:uiPriority w:val="59"/>
    <w:rsid w:val="001C5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82DD9"/>
    <w:pPr>
      <w:tabs>
        <w:tab w:val="center" w:pos="4252"/>
        <w:tab w:val="right" w:pos="8504"/>
      </w:tabs>
    </w:pPr>
  </w:style>
  <w:style w:type="character" w:customStyle="1" w:styleId="PiedepginaCar">
    <w:name w:val="Pie de página Car"/>
    <w:link w:val="Piedepgina"/>
    <w:uiPriority w:val="99"/>
    <w:rsid w:val="00982DD9"/>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16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C63B9-770F-4F15-8CBF-E1690B45E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C11B9C-104E-494F-9B16-9763C868D879}">
  <ds:schemaRefs>
    <ds:schemaRef ds:uri="http://schemas.microsoft.com/sharepoint/v3/contenttype/forms"/>
  </ds:schemaRefs>
</ds:datastoreItem>
</file>

<file path=customXml/itemProps3.xml><?xml version="1.0" encoding="utf-8"?>
<ds:datastoreItem xmlns:ds="http://schemas.openxmlformats.org/officeDocument/2006/customXml" ds:itemID="{8A8EF7CE-8C61-4356-B93F-4F5331EE5B0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3576</Words>
  <Characters>20387</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Silvia Juliana Saavedra Arguello</cp:lastModifiedBy>
  <cp:revision>2</cp:revision>
  <dcterms:created xsi:type="dcterms:W3CDTF">2020-06-05T22:04:00Z</dcterms:created>
  <dcterms:modified xsi:type="dcterms:W3CDTF">2020-06-05T22:04:00Z</dcterms:modified>
</cp:coreProperties>
</file>